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02B50" w14:textId="04C3ABE2" w:rsidR="005E541D" w:rsidRDefault="005E541D" w:rsidP="00CD04AF">
      <w:pPr>
        <w:shd w:val="clear" w:color="auto" w:fill="FAFAFA"/>
        <w:spacing w:after="240"/>
        <w:outlineLvl w:val="0"/>
        <w:rPr>
          <w:rFonts w:ascii="Microsoft YaHei" w:eastAsia="Microsoft YaHei" w:hAnsi="Microsoft YaHei" w:cs="Microsoft YaHei"/>
          <w:b/>
          <w:bCs/>
          <w:color w:val="3B3B3B"/>
          <w:kern w:val="36"/>
          <w:sz w:val="42"/>
          <w:szCs w:val="42"/>
          <w:lang w:eastAsia="zh-CN"/>
        </w:rPr>
      </w:pPr>
      <w:bookmarkStart w:id="0" w:name="_Hlk36536624"/>
      <w:r>
        <w:rPr>
          <w:rFonts w:ascii="Microsoft YaHei" w:eastAsia="Microsoft YaHei" w:hAnsi="Microsoft YaHei" w:cs="Microsoft YaHei" w:hint="eastAsia"/>
          <w:b/>
          <w:bCs/>
          <w:color w:val="3B3B3B"/>
          <w:kern w:val="36"/>
          <w:sz w:val="42"/>
          <w:szCs w:val="42"/>
          <w:lang w:eastAsia="zh-CN"/>
        </w:rPr>
        <w:t>在</w:t>
      </w:r>
      <w:r w:rsidRPr="005E541D">
        <w:rPr>
          <w:rFonts w:ascii="Microsoft YaHei" w:eastAsia="Microsoft YaHei" w:hAnsi="Microsoft YaHei" w:cs="Microsoft YaHei" w:hint="eastAsia"/>
          <w:b/>
          <w:bCs/>
          <w:color w:val="3B3B3B"/>
          <w:kern w:val="36"/>
          <w:sz w:val="42"/>
          <w:szCs w:val="42"/>
          <w:lang w:eastAsia="zh-CN"/>
        </w:rPr>
        <w:t>里斯本联盟成员对原产地名称和地理标志权利提出异议以及行使原产地名称和地理标志权利所适用</w:t>
      </w:r>
      <w:r w:rsidR="002C6AB2">
        <w:rPr>
          <w:rFonts w:ascii="Microsoft YaHei" w:eastAsia="Microsoft YaHei" w:hAnsi="Microsoft YaHei" w:cs="Microsoft YaHei" w:hint="eastAsia"/>
          <w:b/>
          <w:bCs/>
          <w:color w:val="3B3B3B"/>
          <w:kern w:val="36"/>
          <w:sz w:val="42"/>
          <w:szCs w:val="42"/>
          <w:lang w:eastAsia="zh-CN"/>
        </w:rPr>
        <w:t>的</w:t>
      </w:r>
      <w:r w:rsidRPr="005E541D">
        <w:rPr>
          <w:rFonts w:ascii="Microsoft YaHei" w:eastAsia="Microsoft YaHei" w:hAnsi="Microsoft YaHei" w:cs="Microsoft YaHei" w:hint="eastAsia"/>
          <w:b/>
          <w:bCs/>
          <w:color w:val="3B3B3B"/>
          <w:kern w:val="36"/>
          <w:sz w:val="42"/>
          <w:szCs w:val="42"/>
          <w:lang w:eastAsia="zh-CN"/>
        </w:rPr>
        <w:t>程序</w:t>
      </w:r>
    </w:p>
    <w:p w14:paraId="5461B98F" w14:textId="23A5E7A9" w:rsidR="00CD04AF" w:rsidRPr="00CD04AF" w:rsidRDefault="002C6AB2" w:rsidP="00CD04AF">
      <w:pPr>
        <w:shd w:val="clear" w:color="auto" w:fill="FAFAFA"/>
        <w:spacing w:before="480" w:after="120"/>
        <w:outlineLvl w:val="2"/>
        <w:rPr>
          <w:b/>
          <w:bCs/>
          <w:color w:val="3B3B3B"/>
          <w:sz w:val="24"/>
          <w:szCs w:val="24"/>
          <w:lang w:eastAsia="zh-CN"/>
        </w:rPr>
      </w:pPr>
      <w:r>
        <w:rPr>
          <w:rFonts w:hint="eastAsia"/>
          <w:b/>
          <w:bCs/>
          <w:color w:val="3B3B3B"/>
          <w:sz w:val="24"/>
          <w:szCs w:val="24"/>
          <w:lang w:eastAsia="zh-CN"/>
        </w:rPr>
        <w:t>主管机构根据</w:t>
      </w:r>
      <w:hyperlink r:id="rId7" w:history="1">
        <w:r w:rsidRPr="002C6AB2">
          <w:rPr>
            <w:rStyle w:val="Hyperlink"/>
            <w:rFonts w:hint="eastAsia"/>
            <w:b/>
            <w:bCs/>
            <w:sz w:val="24"/>
            <w:szCs w:val="24"/>
            <w:lang w:eastAsia="zh-CN"/>
          </w:rPr>
          <w:t>《里斯本协定和里斯本协定日内瓦文本共同实施细则》</w:t>
        </w:r>
      </w:hyperlink>
      <w:r>
        <w:rPr>
          <w:rFonts w:hint="eastAsia"/>
          <w:b/>
          <w:bCs/>
          <w:color w:val="3B3B3B"/>
          <w:sz w:val="24"/>
          <w:szCs w:val="24"/>
          <w:lang w:eastAsia="zh-CN"/>
        </w:rPr>
        <w:t>第四条第三款提供的信息</w:t>
      </w:r>
    </w:p>
    <w:tbl>
      <w:tblPr>
        <w:tblW w:w="3168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946"/>
        <w:gridCol w:w="14281"/>
        <w:gridCol w:w="14453"/>
      </w:tblGrid>
      <w:tr w:rsidR="005E541D" w:rsidRPr="00CD04AF" w14:paraId="19B0AFE3" w14:textId="77777777" w:rsidTr="005E541D">
        <w:tc>
          <w:tcPr>
            <w:tcW w:w="2946" w:type="dxa"/>
            <w:tcBorders>
              <w:top w:val="nil"/>
              <w:left w:val="nil"/>
              <w:bottom w:val="nil"/>
              <w:right w:val="nil"/>
            </w:tcBorders>
            <w:shd w:val="clear" w:color="auto" w:fill="F3F3F3"/>
            <w:tcMar>
              <w:top w:w="120" w:type="dxa"/>
              <w:left w:w="240" w:type="dxa"/>
              <w:bottom w:w="120" w:type="dxa"/>
              <w:right w:w="240" w:type="dxa"/>
            </w:tcMar>
            <w:hideMark/>
          </w:tcPr>
          <w:p w14:paraId="441878AB" w14:textId="18EB3C36" w:rsidR="005E541D" w:rsidRPr="00CD04AF" w:rsidRDefault="002C6AB2" w:rsidP="00CD04AF">
            <w:pPr>
              <w:rPr>
                <w:color w:val="3B3B3B"/>
                <w:sz w:val="21"/>
                <w:szCs w:val="21"/>
              </w:rPr>
            </w:pPr>
            <w:r>
              <w:rPr>
                <w:rFonts w:hint="eastAsia"/>
                <w:color w:val="3B3B3B"/>
                <w:sz w:val="21"/>
                <w:szCs w:val="21"/>
                <w:lang w:eastAsia="zh-CN"/>
              </w:rPr>
              <w:t>欧洲联盟</w:t>
            </w:r>
          </w:p>
        </w:tc>
        <w:tc>
          <w:tcPr>
            <w:tcW w:w="14281" w:type="dxa"/>
            <w:tcBorders>
              <w:top w:val="nil"/>
              <w:left w:val="single" w:sz="6" w:space="0" w:color="CCCCCC"/>
              <w:bottom w:val="nil"/>
              <w:right w:val="single" w:sz="6" w:space="0" w:color="CCCCCC"/>
            </w:tcBorders>
            <w:shd w:val="clear" w:color="auto" w:fill="F3F3F3"/>
          </w:tcPr>
          <w:p w14:paraId="4A229B28" w14:textId="45635879" w:rsidR="005E541D" w:rsidRPr="00ED5D10" w:rsidRDefault="006E3BE4" w:rsidP="00F121F4">
            <w:pPr>
              <w:rPr>
                <w:b/>
                <w:color w:val="0070C0"/>
                <w:sz w:val="21"/>
                <w:szCs w:val="21"/>
                <w:u w:val="single"/>
                <w:lang w:eastAsia="zh-CN"/>
              </w:rPr>
            </w:pPr>
            <w:hyperlink r:id="rId8" w:history="1">
              <w:r w:rsidR="000D5C1A" w:rsidRPr="00D57E24">
                <w:rPr>
                  <w:rStyle w:val="Hyperlink"/>
                  <w:rFonts w:hint="eastAsia"/>
                  <w:b/>
                  <w:sz w:val="21"/>
                  <w:szCs w:val="21"/>
                  <w:lang w:eastAsia="zh-CN"/>
                </w:rPr>
                <w:t>适用的程序</w:t>
              </w:r>
            </w:hyperlink>
          </w:p>
        </w:tc>
        <w:tc>
          <w:tcPr>
            <w:tcW w:w="14453" w:type="dxa"/>
            <w:tcBorders>
              <w:top w:val="nil"/>
              <w:left w:val="single" w:sz="6" w:space="0" w:color="CCCCCC"/>
              <w:bottom w:val="nil"/>
              <w:right w:val="nil"/>
            </w:tcBorders>
            <w:shd w:val="clear" w:color="auto" w:fill="F3F3F3"/>
            <w:tcMar>
              <w:top w:w="120" w:type="dxa"/>
              <w:left w:w="240" w:type="dxa"/>
              <w:bottom w:w="120" w:type="dxa"/>
              <w:right w:w="240" w:type="dxa"/>
            </w:tcMar>
            <w:hideMark/>
          </w:tcPr>
          <w:p w14:paraId="3CC4E97D" w14:textId="47B01BAD" w:rsidR="005E541D" w:rsidRDefault="005E541D" w:rsidP="00F121F4">
            <w:pPr>
              <w:rPr>
                <w:i/>
                <w:color w:val="002060"/>
                <w:sz w:val="21"/>
                <w:szCs w:val="21"/>
              </w:rPr>
            </w:pPr>
            <w:r w:rsidRPr="00ED5D10">
              <w:rPr>
                <w:b/>
                <w:color w:val="0070C0"/>
                <w:sz w:val="21"/>
                <w:szCs w:val="21"/>
                <w:u w:val="single"/>
              </w:rPr>
              <w:t>Applicable procedure</w:t>
            </w:r>
            <w:r w:rsidRPr="00ED5D10">
              <w:rPr>
                <w:color w:val="0070C0"/>
                <w:sz w:val="21"/>
                <w:szCs w:val="21"/>
              </w:rPr>
              <w:t xml:space="preserve">  </w:t>
            </w:r>
            <w:r>
              <w:rPr>
                <w:i/>
                <w:color w:val="002060"/>
                <w:sz w:val="21"/>
                <w:szCs w:val="21"/>
              </w:rPr>
              <w:t xml:space="preserve">( Note: Please create hyperlink to </w:t>
            </w:r>
          </w:p>
          <w:p w14:paraId="693E408A" w14:textId="3D4E7169" w:rsidR="005E541D" w:rsidRPr="00580C3C" w:rsidRDefault="005E541D" w:rsidP="00F121F4">
            <w:pPr>
              <w:rPr>
                <w:i/>
                <w:color w:val="002060"/>
                <w:sz w:val="21"/>
                <w:szCs w:val="21"/>
              </w:rPr>
            </w:pPr>
            <w:r>
              <w:rPr>
                <w:i/>
                <w:color w:val="002060"/>
                <w:sz w:val="21"/>
                <w:szCs w:val="21"/>
              </w:rPr>
              <w:t>attached PDF titled  ‘Applicable Procedures-European Union’)</w:t>
            </w:r>
          </w:p>
          <w:p w14:paraId="143EF010" w14:textId="77777777" w:rsidR="005E541D" w:rsidRDefault="005E541D" w:rsidP="00CD04AF">
            <w:pPr>
              <w:rPr>
                <w:color w:val="3B3B3B"/>
                <w:sz w:val="21"/>
                <w:szCs w:val="21"/>
              </w:rPr>
            </w:pPr>
          </w:p>
          <w:p w14:paraId="4D8C47F0" w14:textId="77777777" w:rsidR="005E541D" w:rsidRPr="00ED5D10" w:rsidRDefault="005E541D" w:rsidP="00CD04AF">
            <w:pPr>
              <w:rPr>
                <w:i/>
                <w:color w:val="3B3B3B"/>
                <w:sz w:val="21"/>
                <w:szCs w:val="21"/>
              </w:rPr>
            </w:pPr>
            <w:r w:rsidRPr="00ED5D10">
              <w:rPr>
                <w:i/>
                <w:color w:val="3B3B3B"/>
                <w:sz w:val="21"/>
                <w:szCs w:val="21"/>
              </w:rPr>
              <w:br/>
            </w:r>
          </w:p>
        </w:tc>
      </w:tr>
      <w:tr w:rsidR="005E541D" w:rsidRPr="00CD04AF" w14:paraId="31297233" w14:textId="77777777" w:rsidTr="005E541D">
        <w:tc>
          <w:tcPr>
            <w:tcW w:w="2946" w:type="dxa"/>
            <w:tcBorders>
              <w:top w:val="single" w:sz="6" w:space="0" w:color="CCCCCC"/>
              <w:left w:val="nil"/>
              <w:bottom w:val="nil"/>
              <w:right w:val="nil"/>
            </w:tcBorders>
            <w:shd w:val="clear" w:color="auto" w:fill="FFFFFF"/>
            <w:tcMar>
              <w:top w:w="120" w:type="dxa"/>
              <w:left w:w="240" w:type="dxa"/>
              <w:bottom w:w="120" w:type="dxa"/>
              <w:right w:w="240" w:type="dxa"/>
            </w:tcMar>
            <w:hideMark/>
          </w:tcPr>
          <w:p w14:paraId="2A5847F2" w14:textId="3E5AD866" w:rsidR="005E541D" w:rsidRPr="00CD04AF" w:rsidRDefault="002C6AB2" w:rsidP="00CD04AF">
            <w:pPr>
              <w:rPr>
                <w:color w:val="3B3B3B"/>
                <w:sz w:val="21"/>
                <w:szCs w:val="21"/>
              </w:rPr>
            </w:pPr>
            <w:r>
              <w:rPr>
                <w:rFonts w:hint="eastAsia"/>
                <w:color w:val="3B3B3B"/>
                <w:sz w:val="21"/>
                <w:szCs w:val="21"/>
                <w:lang w:eastAsia="zh-CN"/>
              </w:rPr>
              <w:t>萨摩亚</w:t>
            </w:r>
          </w:p>
        </w:tc>
        <w:tc>
          <w:tcPr>
            <w:tcW w:w="14281" w:type="dxa"/>
            <w:tcBorders>
              <w:top w:val="single" w:sz="6" w:space="0" w:color="CCCCCC"/>
              <w:left w:val="single" w:sz="6" w:space="0" w:color="CCCCCC"/>
              <w:bottom w:val="nil"/>
              <w:right w:val="single" w:sz="6" w:space="0" w:color="CCCCCC"/>
            </w:tcBorders>
            <w:shd w:val="clear" w:color="auto" w:fill="FFFFFF"/>
          </w:tcPr>
          <w:p w14:paraId="23E33615" w14:textId="77777777" w:rsidR="005E541D" w:rsidRPr="00CD04AF" w:rsidRDefault="005E541D" w:rsidP="00CD04AF">
            <w:pPr>
              <w:rPr>
                <w:color w:val="3B3B3B"/>
                <w:sz w:val="21"/>
                <w:szCs w:val="21"/>
              </w:rPr>
            </w:pPr>
          </w:p>
        </w:tc>
        <w:tc>
          <w:tcPr>
            <w:tcW w:w="14453" w:type="dxa"/>
            <w:tcBorders>
              <w:top w:val="single" w:sz="6" w:space="0" w:color="CCCCCC"/>
              <w:left w:val="single" w:sz="6" w:space="0" w:color="CCCCCC"/>
              <w:bottom w:val="nil"/>
              <w:right w:val="nil"/>
            </w:tcBorders>
            <w:shd w:val="clear" w:color="auto" w:fill="FFFFFF"/>
            <w:tcMar>
              <w:top w:w="120" w:type="dxa"/>
              <w:left w:w="240" w:type="dxa"/>
              <w:bottom w:w="120" w:type="dxa"/>
              <w:right w:w="240" w:type="dxa"/>
            </w:tcMar>
            <w:hideMark/>
          </w:tcPr>
          <w:p w14:paraId="2849C579" w14:textId="2CA7292C" w:rsidR="005E541D" w:rsidRPr="00CD04AF" w:rsidRDefault="005E541D" w:rsidP="00CD04AF">
            <w:pPr>
              <w:rPr>
                <w:color w:val="3B3B3B"/>
                <w:sz w:val="21"/>
                <w:szCs w:val="21"/>
              </w:rPr>
            </w:pPr>
          </w:p>
        </w:tc>
      </w:tr>
      <w:bookmarkEnd w:id="0"/>
    </w:tbl>
    <w:p w14:paraId="1E0ECDB2" w14:textId="2A885EC1" w:rsidR="00C55271" w:rsidRDefault="00C55271" w:rsidP="00804DB7"/>
    <w:sectPr w:rsidR="00C55271" w:rsidSect="00CD04AF">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CF8FF" w14:textId="77777777" w:rsidR="006E3BE4" w:rsidRDefault="006E3BE4" w:rsidP="00CD04AF">
      <w:r>
        <w:separator/>
      </w:r>
    </w:p>
  </w:endnote>
  <w:endnote w:type="continuationSeparator" w:id="0">
    <w:p w14:paraId="325C3449" w14:textId="77777777" w:rsidR="006E3BE4" w:rsidRDefault="006E3BE4" w:rsidP="00CD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4FE4" w14:textId="77777777" w:rsidR="00CD04AF" w:rsidRDefault="00CD04AF" w:rsidP="00CD04AF">
    <w:pPr>
      <w:pStyle w:val="Footer"/>
    </w:pPr>
    <w:r>
      <w:rPr>
        <w:noProof/>
      </w:rPr>
      <mc:AlternateContent>
        <mc:Choice Requires="wps">
          <w:drawing>
            <wp:anchor distT="558800" distB="0" distL="114300" distR="114300" simplePos="0" relativeHeight="251661312" behindDoc="0" locked="0" layoutInCell="0" allowOverlap="1" wp14:anchorId="626C4588" wp14:editId="6EB45A4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5FF08" w14:textId="77777777" w:rsidR="00CD04AF" w:rsidRDefault="007838BD" w:rsidP="007838BD">
                          <w:pPr>
                            <w:jc w:val="center"/>
                          </w:pPr>
                          <w:r w:rsidRPr="007838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6C4588"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0EOAIAAG0EAAAOAAAAZHJzL2Uyb0RvYy54bWysVMlu2zAQvRfoPxC815K8toLlwE3qIoCR&#10;BLCDnGmKtIRKHJakLblf3yElL0h7Knqhhpw365vR/K6tK3IUxpagMpoMYkqE4pCXap/R1+3q02dK&#10;rGMqZxUokdGTsPRu8fHDvNGpGEIBVS4MQSfKpo3OaOGcTqPI8kLUzA5AC4VKCaZmDq9mH+WGNei9&#10;rqJhHE+jBkyuDXBhLb4+dEq6CP6lFNw9S2mFI1VGMTcXThPOnT+jxZyle8N0UfI+DfYPWdSsVBj0&#10;4uqBOUYOpvzDVV1yAxakG3CoI5Cy5CLUgNUk8btqNgXTItSCzbH60ib7/9zyp+OLIWWe0RElitVI&#10;0fZx+7r5lkgAJ4xvUKNtiriNRqRrv0KLRIdirV4D/2EREt1gOgOLaN+QVpraf7FUgobIwenSd9E6&#10;wvFxNkUqY1Rx1I2S2QRl7/RqrY113wXUxAsZNchryIAd19Z10DPEB1OwKqsK31laKdJkdDqaxMHg&#10;okHnleoT73L1Jbh216KZF3eQn7BgA93MWM1XJQZfM+temMEhwXxx8N0zHrICDAK9REkB5tff3j0e&#10;uUMtJQ0OXUbtzwMzgpLqUSGrX5Lx2E9puIwnsyFezK1md6tRh/oecK4TXDHNg+jxrjqL0kD9hvux&#10;9FFRxRTH2Bl1Z/HedauA+8XFchlAOJeaubXaaH7m2bd2274xo/v+O2TuCc7jydJ3NHTYjojlwYEs&#10;A0fXrvZ9x5kOLPf755fm9h5Q17/E4j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gwW0EOAIAAG0EAAAOAAAAAAAAAAAAAAAA&#10;AC4CAABkcnMvZTJvRG9jLnhtbFBLAQItABQABgAIAAAAIQDN8vMo2gAAAAgBAAAPAAAAAAAAAAAA&#10;AAAAAJIEAABkcnMvZG93bnJldi54bWxQSwUGAAAAAAQABADzAAAAmQUAAAAA&#10;" o:allowincell="f" filled="f" stroked="f" strokeweight=".5pt">
              <v:path arrowok="t"/>
              <v:textbox>
                <w:txbxContent>
                  <w:p w14:paraId="7A15FF08" w14:textId="77777777" w:rsidR="00CD04AF" w:rsidRDefault="007838BD" w:rsidP="007838BD">
                    <w:pPr>
                      <w:jc w:val="center"/>
                    </w:pPr>
                    <w:r w:rsidRPr="007838BD">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4A348" w14:textId="77777777" w:rsidR="00CD04AF" w:rsidRDefault="00CD04AF">
    <w:pPr>
      <w:pStyle w:val="Footer"/>
    </w:pPr>
    <w:r>
      <w:rPr>
        <w:noProof/>
      </w:rPr>
      <mc:AlternateContent>
        <mc:Choice Requires="wps">
          <w:drawing>
            <wp:anchor distT="558800" distB="0" distL="114300" distR="114300" simplePos="0" relativeHeight="251660288" behindDoc="0" locked="0" layoutInCell="0" allowOverlap="1" wp14:anchorId="17F76661" wp14:editId="091F46F9">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9B732C" w14:textId="77777777" w:rsidR="00CD04AF" w:rsidRDefault="007838BD" w:rsidP="007838BD">
                          <w:pPr>
                            <w:jc w:val="center"/>
                          </w:pPr>
                          <w:r w:rsidRPr="007838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F76661"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1uPQIAAHQEAAAOAAAAZHJzL2Uyb0RvYy54bWysVFFv2jAQfp+0/2D5fSShQLuIULFWTJVQ&#10;qQRVn41jk2iJz7MNCfv1OzsJRd2epr04Z9/n89333WV+39YVOQljS1AZTUYxJUJxyEt1yOjrbvXl&#10;jhLrmMpZBUpk9CwsvV98/jRvdCrGUECVC0MwiLJpozNaOKfTKLK8EDWzI9BCoVOCqZnDrTlEuWEN&#10;Rq+raBzHs6gBk2sDXFiLp4+dky5CfCkFdxsprXCkyijm5sJqwrr3a7SYs/RgmC5K3qfB/iGLmpUK&#10;H72EemSOkaMp/whVl9yABelGHOoIpCy5CDVgNUn8oZptwbQItSA5Vl9osv8vLH8+vRhS5hkdU6JY&#10;jRLtnnav200iAZwwnqBG2xRxW41I136DFoUOxVq9Bv7DIiS6wnQXLKI9Ia00tf9iqQQvogbnC++i&#10;dYTj4e0MpYzRxdF3k9xO0fZB329rY913ATXxRkYN6hoyYKe1dR10gPjHFKzKqsJzllaKNBmd3Uzj&#10;cOHiweCV6hPvcvUluHbfBjaSofA95Ges20DXOlbzVYk5rJl1L8xgr2Da2P9ug4usAN+C3qKkAPPr&#10;b+cejxKil5IGey+j9ueRGUFJ9aRQ3K/JZOKbNWwm09sxbsy1Z3/tUcf6AbC9E5w0zYPp8a4aTGmg&#10;fsMxWfpX0cUUx7cz6gbzwXUTgWPGxXIZQNiemrm12mo+yO0Z3rVvzOheBocCPsPQpSz9oEaH7fRY&#10;Hh3IMkjlee5Y7enH1g5i92PoZ+d6H1DvP4vFbwAAAP//AwBQSwMEFAAGAAgAAAAhAM3y8yjaAAAA&#10;CAEAAA8AAABkcnMvZG93bnJldi54bWxMT01PwzAMvSPxHyIjcWMpIEFVmk4TggsSQoxJiJvXeE1H&#10;4pQm28q/xzuxk5/9rPdRz6fg1Z7G1Ec2cD0rQBG30fbcGVh9PF+VoFJGtugjk4FfSjBvzs9qrGw8&#10;8Dvtl7lTIsKpQgMu56HSOrWOAqZZHIiF28QxYJZ17LQd8SDiweuborjTAXsWB4cDPTpqv5e7YOC+&#10;/LJuO75Mq8/XxY97G7R/Qm3M5cW0eACVacr/z3CML9GhkUzruGOblDcgRbKBspR5ZMVM0FrQrZx0&#10;U+vTAs0fAAAA//8DAFBLAQItABQABgAIAAAAIQC2gziS/gAAAOEBAAATAAAAAAAAAAAAAAAAAAAA&#10;AABbQ29udGVudF9UeXBlc10ueG1sUEsBAi0AFAAGAAgAAAAhADj9If/WAAAAlAEAAAsAAAAAAAAA&#10;AAAAAAAALwEAAF9yZWxzLy5yZWxzUEsBAi0AFAAGAAgAAAAhAPHZHW49AgAAdAQAAA4AAAAAAAAA&#10;AAAAAAAALgIAAGRycy9lMm9Eb2MueG1sUEsBAi0AFAAGAAgAAAAhAM3y8yjaAAAACAEAAA8AAAAA&#10;AAAAAAAAAAAAlwQAAGRycy9kb3ducmV2LnhtbFBLBQYAAAAABAAEAPMAAACeBQAAAAA=&#10;" o:allowincell="f" filled="f" stroked="f" strokeweight=".5pt">
              <v:path arrowok="t"/>
              <v:textbox>
                <w:txbxContent>
                  <w:p w14:paraId="659B732C" w14:textId="77777777" w:rsidR="00CD04AF" w:rsidRDefault="007838BD" w:rsidP="007838BD">
                    <w:pPr>
                      <w:jc w:val="center"/>
                    </w:pPr>
                    <w:r w:rsidRPr="007838BD">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5573B" w14:textId="77777777" w:rsidR="00C03639" w:rsidRDefault="00C0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88798" w14:textId="77777777" w:rsidR="006E3BE4" w:rsidRDefault="006E3BE4" w:rsidP="00CD04AF">
      <w:r>
        <w:separator/>
      </w:r>
    </w:p>
  </w:footnote>
  <w:footnote w:type="continuationSeparator" w:id="0">
    <w:p w14:paraId="157DF2BE" w14:textId="77777777" w:rsidR="006E3BE4" w:rsidRDefault="006E3BE4" w:rsidP="00CD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7E1BD" w14:textId="77777777" w:rsidR="00C03639" w:rsidRDefault="00C0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F3CD" w14:textId="77777777" w:rsidR="00C03639" w:rsidRDefault="00C03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EFB06" w14:textId="77777777" w:rsidR="00CD04AF" w:rsidRDefault="00CD04AF">
    <w:pPr>
      <w:pStyle w:val="Header"/>
    </w:pPr>
    <w:r>
      <w:rPr>
        <w:noProof/>
      </w:rPr>
      <mc:AlternateContent>
        <mc:Choice Requires="wps">
          <w:drawing>
            <wp:anchor distT="558800" distB="0" distL="114300" distR="114300" simplePos="0" relativeHeight="251659264" behindDoc="0" locked="0" layoutInCell="0" allowOverlap="1" wp14:anchorId="0FF2669F" wp14:editId="6157A306">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6B27" w14:textId="77777777" w:rsidR="00CD04AF" w:rsidRDefault="007838BD" w:rsidP="007838BD">
                          <w:pPr>
                            <w:jc w:val="center"/>
                          </w:pPr>
                          <w:r w:rsidRPr="007838B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2669F"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qOgIAAHQEAAAOAAAAZHJzL2Uyb0RvYy54bWysVEtv2zAMvg/YfxB0X+ykeXRGnCJrkaFA&#10;0BZIip4VWYqNWaImKbGzXz9KdtKg22nYRSbFT3x9pOd3rarJUVhXgc7pcJBSIjSHotL7nL5uV19u&#10;KXGe6YLVoEVOT8LRu8XnT/PGZGIEJdSFsASdaJc1Jqel9yZLEsdLoZgbgBEajRKsYh5Vu08Kyxr0&#10;rupklKbTpAFbGAtcOIe3D52RLqJ/KQX3z1I64UmdU8zNx9PGcxfOZDFn2d4yU1a8T4P9QxaKVRqD&#10;Xlw9MM/IwVZ/uFIVt+BA+gEHlYCUFRexBqxmmH6oZlMyI2It2BxnLm1y/88tfzq+WFIVyB0lmimk&#10;aPu4fd2shhLACxsa1BiXIW5jEOnbb9AGcCjWmTXwHw4hyRWme+AQHTCttCp8sVSCD5GD06XvovWE&#10;4+VsilSmaOJouxnOJigHp++vjXX+uwBFgpBTi7zGDNhx7XwHPUNCMA2rqq7xnmW1Jk1OpzeTND64&#10;WNB5rfvEu1xDCb7dtbEbo3PhOyhOWLeFbnSc4asKc1gz51+YxVnBtHH+/TMesgaMBb1ESQn219/u&#10;Ax4pRCslDc5eTt3PA7OCkvpRI7lfh+NxGNaojCezESr22rK7tuiDugccbyQQs4tiwPv6LEoL6g3X&#10;ZBmioolpjrFz6s/ive82AteMi+UygnA8DfNrvTH8THfo8LZ9Y9b0NHgk8AnOU8qyD2x02I6P5cGD&#10;rCJVoc9dV/v242hHsvs1DLtzrUfU+89i8Rs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LVxVCo6AgAAdAQAAA4AAAAAAAAAAAAA&#10;AAAALgIAAGRycy9lMm9Eb2MueG1sUEsBAi0AFAAGAAgAAAAhAM3y8yjaAAAACAEAAA8AAAAAAAAA&#10;AAAAAAAAlAQAAGRycy9kb3ducmV2LnhtbFBLBQYAAAAABAAEAPMAAACbBQAAAAA=&#10;" o:allowincell="f" filled="f" stroked="f" strokeweight=".5pt">
              <v:path arrowok="t"/>
              <v:textbox>
                <w:txbxContent>
                  <w:p w14:paraId="31466B27" w14:textId="77777777" w:rsidR="00CD04AF" w:rsidRDefault="007838BD" w:rsidP="007838BD">
                    <w:pPr>
                      <w:jc w:val="center"/>
                    </w:pPr>
                    <w:r w:rsidRPr="007838BD">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AF"/>
    <w:rsid w:val="000833DF"/>
    <w:rsid w:val="000D5C1A"/>
    <w:rsid w:val="000F5E56"/>
    <w:rsid w:val="00107385"/>
    <w:rsid w:val="00115D45"/>
    <w:rsid w:val="00141CB7"/>
    <w:rsid w:val="001D78FD"/>
    <w:rsid w:val="002C6AB2"/>
    <w:rsid w:val="002C7286"/>
    <w:rsid w:val="00335FA2"/>
    <w:rsid w:val="0034214E"/>
    <w:rsid w:val="00362DD5"/>
    <w:rsid w:val="003E6531"/>
    <w:rsid w:val="00431118"/>
    <w:rsid w:val="00444AD6"/>
    <w:rsid w:val="00472E72"/>
    <w:rsid w:val="004955F6"/>
    <w:rsid w:val="00545F9F"/>
    <w:rsid w:val="00580C3C"/>
    <w:rsid w:val="005A2A3A"/>
    <w:rsid w:val="005E3812"/>
    <w:rsid w:val="005E541D"/>
    <w:rsid w:val="006E3BE4"/>
    <w:rsid w:val="00712757"/>
    <w:rsid w:val="00725570"/>
    <w:rsid w:val="007554E4"/>
    <w:rsid w:val="007838BD"/>
    <w:rsid w:val="00794D75"/>
    <w:rsid w:val="007B240C"/>
    <w:rsid w:val="007D53C7"/>
    <w:rsid w:val="00800DDE"/>
    <w:rsid w:val="00804DB7"/>
    <w:rsid w:val="00856882"/>
    <w:rsid w:val="00910280"/>
    <w:rsid w:val="0092512E"/>
    <w:rsid w:val="009265D8"/>
    <w:rsid w:val="00A04E0D"/>
    <w:rsid w:val="00AC7249"/>
    <w:rsid w:val="00AE00DC"/>
    <w:rsid w:val="00AF2D9E"/>
    <w:rsid w:val="00B762E3"/>
    <w:rsid w:val="00C03639"/>
    <w:rsid w:val="00C55271"/>
    <w:rsid w:val="00C554EC"/>
    <w:rsid w:val="00CD04AF"/>
    <w:rsid w:val="00D57E24"/>
    <w:rsid w:val="00DF5112"/>
    <w:rsid w:val="00EB72B9"/>
    <w:rsid w:val="00ED5D10"/>
    <w:rsid w:val="00F11072"/>
    <w:rsid w:val="00F121F4"/>
    <w:rsid w:val="00F51673"/>
    <w:rsid w:val="00F51FF4"/>
    <w:rsid w:val="00F57E42"/>
    <w:rsid w:val="00FC21F7"/>
    <w:rsid w:val="00FD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002F6"/>
  <w15:chartTrackingRefBased/>
  <w15:docId w15:val="{B6D43BDC-6CF9-4442-BA14-5292C03A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Hyperlink">
    <w:name w:val="Hyperlink"/>
    <w:basedOn w:val="DefaultParagraphFont"/>
    <w:unhideWhenUsed/>
    <w:rsid w:val="001D78FD"/>
    <w:rPr>
      <w:color w:val="0000FF" w:themeColor="hyperlink"/>
      <w:u w:val="single"/>
    </w:rPr>
  </w:style>
  <w:style w:type="character" w:styleId="FollowedHyperlink">
    <w:name w:val="FollowedHyperlink"/>
    <w:basedOn w:val="DefaultParagraphFont"/>
    <w:semiHidden/>
    <w:unhideWhenUsed/>
    <w:rsid w:val="00545F9F"/>
    <w:rPr>
      <w:color w:val="800080" w:themeColor="followedHyperlink"/>
      <w:u w:val="single"/>
    </w:rPr>
  </w:style>
  <w:style w:type="character" w:customStyle="1" w:styleId="1">
    <w:name w:val="未处理的提及1"/>
    <w:basedOn w:val="DefaultParagraphFont"/>
    <w:uiPriority w:val="99"/>
    <w:semiHidden/>
    <w:unhideWhenUsed/>
    <w:rsid w:val="00115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8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lisbon/zh/pdf/applicable_procedures_eu.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ipolex.wipo.int/en/text/50156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ROJAL Florence</dc:creator>
  <cp:keywords>FOR OFFICIAL USE ONLY</cp:keywords>
  <dc:description/>
  <cp:lastModifiedBy>Florence Rojal</cp:lastModifiedBy>
  <cp:revision>4</cp:revision>
  <dcterms:created xsi:type="dcterms:W3CDTF">2020-04-15T12:55:00Z</dcterms:created>
  <dcterms:modified xsi:type="dcterms:W3CDTF">2020-04-15T13:58:00Z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16ec97c2-d8d9-4793-bf2a-2f09c31c0c08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