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FA" w:rsidRPr="008E5CDF" w:rsidRDefault="007A2FE0" w:rsidP="002A508D">
      <w:pPr>
        <w:ind w:left="1134"/>
        <w:rPr>
          <w:lang w:val="es-419"/>
        </w:rPr>
      </w:pPr>
      <w:r w:rsidRPr="008E5CD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-254000</wp:posOffset>
            </wp:positionV>
            <wp:extent cx="1855470" cy="1326515"/>
            <wp:effectExtent l="0" t="0" r="0" b="6985"/>
            <wp:wrapNone/>
            <wp:docPr id="2" name="Picture 2" descr="WIPO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3FA" w:rsidRPr="008E5CDF" w:rsidRDefault="00AD03FA" w:rsidP="002A508D">
      <w:pPr>
        <w:ind w:left="1134"/>
        <w:rPr>
          <w:lang w:val="es-419"/>
        </w:rPr>
      </w:pPr>
    </w:p>
    <w:p w:rsidR="00AD03FA" w:rsidRPr="008E5CDF" w:rsidRDefault="00AD03FA" w:rsidP="002A508D">
      <w:pPr>
        <w:ind w:left="1134"/>
        <w:rPr>
          <w:lang w:val="es-419"/>
        </w:rPr>
      </w:pPr>
    </w:p>
    <w:p w:rsidR="00AD03FA" w:rsidRPr="008E5CDF" w:rsidRDefault="00AD03FA" w:rsidP="002A508D">
      <w:pPr>
        <w:ind w:left="1134"/>
        <w:rPr>
          <w:lang w:val="es-419"/>
        </w:rPr>
      </w:pPr>
    </w:p>
    <w:p w:rsidR="00AD03FA" w:rsidRPr="008E5CDF" w:rsidRDefault="00AD03FA" w:rsidP="002A508D">
      <w:pPr>
        <w:ind w:left="1134"/>
        <w:rPr>
          <w:lang w:val="es-419"/>
        </w:rPr>
      </w:pPr>
    </w:p>
    <w:p w:rsidR="000E072A" w:rsidRPr="008E5CDF" w:rsidRDefault="000E072A" w:rsidP="002A508D">
      <w:pPr>
        <w:ind w:left="1134"/>
        <w:rPr>
          <w:lang w:val="es-419"/>
        </w:rPr>
      </w:pPr>
    </w:p>
    <w:p w:rsidR="003B4808" w:rsidRPr="008E5CDF" w:rsidRDefault="001A61C9" w:rsidP="007650B4">
      <w:pPr>
        <w:jc w:val="right"/>
        <w:rPr>
          <w:rFonts w:ascii="Arial Black" w:hAnsi="Arial Black"/>
          <w:b/>
          <w:sz w:val="15"/>
          <w:szCs w:val="15"/>
          <w:lang w:val="es-419"/>
        </w:rPr>
      </w:pPr>
      <w:r w:rsidRPr="008E5CDF">
        <w:rPr>
          <w:rFonts w:ascii="Arial Black" w:hAnsi="Arial Black"/>
          <w:b/>
          <w:sz w:val="15"/>
          <w:szCs w:val="15"/>
          <w:lang w:val="es-419"/>
        </w:rPr>
        <w:t>Aviso N.º</w:t>
      </w:r>
      <w:r w:rsidR="007650B4" w:rsidRPr="008E5CDF">
        <w:rPr>
          <w:rFonts w:ascii="Arial Black" w:hAnsi="Arial Black"/>
          <w:b/>
          <w:sz w:val="15"/>
          <w:szCs w:val="15"/>
          <w:lang w:val="es-419"/>
        </w:rPr>
        <w:t xml:space="preserve"> </w:t>
      </w:r>
      <w:r w:rsidR="000906A9">
        <w:rPr>
          <w:rFonts w:ascii="Arial Black" w:hAnsi="Arial Black"/>
          <w:b/>
          <w:sz w:val="15"/>
          <w:szCs w:val="15"/>
          <w:lang w:val="es-419"/>
        </w:rPr>
        <w:t>2</w:t>
      </w:r>
      <w:r w:rsidR="00F25ED6" w:rsidRPr="008E5CDF">
        <w:rPr>
          <w:rFonts w:ascii="Arial Black" w:hAnsi="Arial Black"/>
          <w:b/>
          <w:sz w:val="15"/>
          <w:szCs w:val="15"/>
          <w:lang w:val="es-419"/>
        </w:rPr>
        <w:t>/</w:t>
      </w:r>
      <w:r w:rsidR="000D3864" w:rsidRPr="008E5CDF">
        <w:rPr>
          <w:rFonts w:ascii="Arial Black" w:hAnsi="Arial Black"/>
          <w:b/>
          <w:sz w:val="15"/>
          <w:szCs w:val="15"/>
          <w:lang w:val="es-419"/>
        </w:rPr>
        <w:t>2020</w:t>
      </w:r>
    </w:p>
    <w:p w:rsidR="003B4808" w:rsidRPr="008E5CDF" w:rsidRDefault="003B4808" w:rsidP="002A508D">
      <w:pPr>
        <w:ind w:left="1134"/>
        <w:rPr>
          <w:lang w:val="es-419"/>
        </w:rPr>
      </w:pPr>
    </w:p>
    <w:p w:rsidR="003B4808" w:rsidRPr="008E5CDF" w:rsidRDefault="003B4808" w:rsidP="002A508D">
      <w:pPr>
        <w:ind w:left="1134"/>
        <w:rPr>
          <w:lang w:val="es-419"/>
        </w:rPr>
      </w:pPr>
    </w:p>
    <w:p w:rsidR="003B4808" w:rsidRPr="008E5CDF" w:rsidRDefault="003B4808" w:rsidP="002A508D">
      <w:pPr>
        <w:ind w:left="1134"/>
        <w:rPr>
          <w:lang w:val="es-419"/>
        </w:rPr>
      </w:pPr>
    </w:p>
    <w:p w:rsidR="000009F0" w:rsidRPr="008E5CDF" w:rsidRDefault="001A61C9" w:rsidP="002A508D">
      <w:pPr>
        <w:spacing w:after="360"/>
        <w:ind w:left="1134"/>
        <w:rPr>
          <w:b/>
          <w:sz w:val="28"/>
          <w:szCs w:val="28"/>
          <w:lang w:val="es-419"/>
        </w:rPr>
      </w:pPr>
      <w:r w:rsidRPr="008E5CDF">
        <w:rPr>
          <w:b/>
          <w:sz w:val="28"/>
          <w:szCs w:val="28"/>
          <w:lang w:val="es-419"/>
        </w:rPr>
        <w:t>Acta de Ginebra del Arreglo de Lisboa relativo a las Denominaciones de Origen y las Indicaciones Geográficas</w:t>
      </w:r>
    </w:p>
    <w:p w:rsidR="00AD03FA" w:rsidRPr="008E5CDF" w:rsidRDefault="00000F96" w:rsidP="002A508D">
      <w:pPr>
        <w:spacing w:after="360"/>
        <w:ind w:left="1134"/>
        <w:rPr>
          <w:b/>
          <w:sz w:val="22"/>
          <w:szCs w:val="22"/>
          <w:lang w:val="es-419"/>
        </w:rPr>
      </w:pPr>
      <w:r w:rsidRPr="008E5CD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EA75A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zV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EE4D0F" w:rsidRPr="008E5CDF">
        <w:rPr>
          <w:b/>
          <w:sz w:val="22"/>
          <w:szCs w:val="22"/>
          <w:lang w:val="es-419"/>
        </w:rPr>
        <w:t>A</w:t>
      </w:r>
      <w:r w:rsidR="001A61C9" w:rsidRPr="008E5CDF">
        <w:rPr>
          <w:b/>
          <w:sz w:val="22"/>
          <w:szCs w:val="22"/>
          <w:lang w:val="es-419"/>
        </w:rPr>
        <w:t xml:space="preserve">DHESIÓN </w:t>
      </w:r>
      <w:r w:rsidR="003C4B13" w:rsidRPr="008E5CDF">
        <w:rPr>
          <w:b/>
          <w:sz w:val="22"/>
          <w:szCs w:val="22"/>
          <w:lang w:val="es-419"/>
        </w:rPr>
        <w:t>DEL REINO DE</w:t>
      </w:r>
      <w:r w:rsidR="001A61C9" w:rsidRPr="008E5CDF">
        <w:rPr>
          <w:b/>
          <w:sz w:val="22"/>
          <w:szCs w:val="22"/>
          <w:lang w:val="es-419"/>
        </w:rPr>
        <w:t xml:space="preserve"> CAMBOYA</w:t>
      </w:r>
    </w:p>
    <w:p w:rsidR="00E02550" w:rsidRPr="008E5CDF" w:rsidRDefault="00EA01D2" w:rsidP="006F64C6">
      <w:pPr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fldChar w:fldCharType="begin"/>
      </w:r>
      <w:r w:rsidRPr="008E5CDF">
        <w:rPr>
          <w:sz w:val="22"/>
          <w:szCs w:val="22"/>
          <w:lang w:val="es-419"/>
        </w:rPr>
        <w:instrText xml:space="preserve"> AUTONUM  </w:instrText>
      </w:r>
      <w:r w:rsidRPr="008E5CDF">
        <w:rPr>
          <w:sz w:val="22"/>
          <w:szCs w:val="22"/>
          <w:lang w:val="es-419"/>
        </w:rPr>
        <w:fldChar w:fldCharType="end"/>
      </w:r>
      <w:r w:rsidRPr="008E5CDF">
        <w:rPr>
          <w:sz w:val="22"/>
          <w:szCs w:val="22"/>
          <w:lang w:val="es-419"/>
        </w:rPr>
        <w:tab/>
      </w:r>
      <w:r w:rsidR="001A61C9" w:rsidRPr="008E5CDF">
        <w:rPr>
          <w:sz w:val="22"/>
          <w:szCs w:val="22"/>
          <w:lang w:val="es-419"/>
        </w:rPr>
        <w:t>El 9 de marzo de 2018, el Gobierno de</w:t>
      </w:r>
      <w:r w:rsidR="003C4B13" w:rsidRPr="008E5CDF">
        <w:rPr>
          <w:sz w:val="22"/>
          <w:szCs w:val="22"/>
          <w:lang w:val="es-419"/>
        </w:rPr>
        <w:t>l Reino de</w:t>
      </w:r>
      <w:r w:rsidR="001A61C9" w:rsidRPr="008E5CDF">
        <w:rPr>
          <w:sz w:val="22"/>
          <w:szCs w:val="22"/>
          <w:lang w:val="es-419"/>
        </w:rPr>
        <w:t xml:space="preserve"> Camboya depositó en poder del director general de la Organización Mund</w:t>
      </w:r>
      <w:r w:rsidR="00D311DA">
        <w:rPr>
          <w:sz w:val="22"/>
          <w:szCs w:val="22"/>
          <w:lang w:val="es-419"/>
        </w:rPr>
        <w:t xml:space="preserve">ial de la Propiedad Intelectual </w:t>
      </w:r>
      <w:r w:rsidR="001A61C9" w:rsidRPr="008E5CDF">
        <w:rPr>
          <w:sz w:val="22"/>
          <w:szCs w:val="22"/>
          <w:lang w:val="es-419"/>
        </w:rPr>
        <w:t>(OMPI) su instrumento de adhesión al Acta de Ginebra del Arreglo de Lisboa relativo a las Denominaciones de Origen y las Indicaciones Geográficas (el “Acta de Ginebra del Arreglo de Lisboa”), adoptada en Ginebra el 20 de mayo de 2015</w:t>
      </w:r>
      <w:r w:rsidR="00CA3902" w:rsidRPr="008E5CDF">
        <w:rPr>
          <w:sz w:val="22"/>
          <w:szCs w:val="22"/>
          <w:lang w:val="es-419"/>
        </w:rPr>
        <w:t>.</w:t>
      </w:r>
    </w:p>
    <w:p w:rsidR="00E02550" w:rsidRPr="008E5CDF" w:rsidRDefault="00E02550" w:rsidP="002A508D">
      <w:pPr>
        <w:spacing w:after="0"/>
        <w:ind w:left="1134"/>
        <w:rPr>
          <w:sz w:val="22"/>
          <w:szCs w:val="22"/>
          <w:lang w:val="es-419"/>
        </w:rPr>
      </w:pPr>
    </w:p>
    <w:p w:rsidR="00E02550" w:rsidRPr="008E5CDF" w:rsidRDefault="00E02550" w:rsidP="002A508D">
      <w:pPr>
        <w:spacing w:after="0"/>
        <w:ind w:left="1134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2.</w:t>
      </w:r>
      <w:r w:rsidRPr="008E5CDF">
        <w:rPr>
          <w:sz w:val="22"/>
          <w:szCs w:val="22"/>
          <w:lang w:val="es-419"/>
        </w:rPr>
        <w:tab/>
      </w:r>
      <w:r w:rsidR="001A61C9" w:rsidRPr="008E5CDF">
        <w:rPr>
          <w:sz w:val="22"/>
          <w:szCs w:val="22"/>
          <w:lang w:val="es-419"/>
        </w:rPr>
        <w:t>El instrumento de adhesión estuvo acompañado de la siguiente declaración</w:t>
      </w:r>
      <w:r w:rsidRPr="008E5CDF">
        <w:rPr>
          <w:sz w:val="22"/>
          <w:szCs w:val="22"/>
          <w:lang w:val="es-419"/>
        </w:rPr>
        <w:t>:</w:t>
      </w:r>
    </w:p>
    <w:p w:rsidR="00E02550" w:rsidRPr="008E5CDF" w:rsidRDefault="00E02550" w:rsidP="002A508D">
      <w:pPr>
        <w:spacing w:after="0"/>
        <w:ind w:left="1134"/>
        <w:rPr>
          <w:sz w:val="22"/>
          <w:szCs w:val="22"/>
          <w:lang w:val="es-419"/>
        </w:rPr>
      </w:pPr>
    </w:p>
    <w:p w:rsidR="009D2534" w:rsidRPr="008E5CDF" w:rsidRDefault="001A61C9" w:rsidP="002A508D">
      <w:pPr>
        <w:numPr>
          <w:ilvl w:val="0"/>
          <w:numId w:val="1"/>
        </w:numPr>
        <w:spacing w:after="0"/>
        <w:ind w:left="2268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 xml:space="preserve">la declaración mencionada en el </w:t>
      </w:r>
      <w:r w:rsidR="00703A33" w:rsidRPr="008E5CDF">
        <w:rPr>
          <w:sz w:val="22"/>
          <w:szCs w:val="22"/>
          <w:lang w:val="es-419"/>
        </w:rPr>
        <w:t>a</w:t>
      </w:r>
      <w:r w:rsidRPr="008E5CDF">
        <w:rPr>
          <w:sz w:val="22"/>
          <w:szCs w:val="22"/>
          <w:lang w:val="es-419"/>
        </w:rPr>
        <w:t xml:space="preserve">rtículo </w:t>
      </w:r>
      <w:proofErr w:type="gramStart"/>
      <w:r w:rsidRPr="008E5CDF">
        <w:rPr>
          <w:sz w:val="22"/>
          <w:szCs w:val="22"/>
          <w:lang w:val="es-419"/>
        </w:rPr>
        <w:t>7.4)a</w:t>
      </w:r>
      <w:proofErr w:type="gramEnd"/>
      <w:r w:rsidRPr="008E5CDF">
        <w:rPr>
          <w:sz w:val="22"/>
          <w:szCs w:val="22"/>
          <w:lang w:val="es-419"/>
        </w:rPr>
        <w:t>) del Acta de Ginebra del Arreglo de Lisboa, en el sentido de que</w:t>
      </w:r>
      <w:r w:rsidR="003C4B13" w:rsidRPr="008E5CDF">
        <w:rPr>
          <w:sz w:val="22"/>
          <w:szCs w:val="22"/>
          <w:lang w:val="es-419"/>
        </w:rPr>
        <w:t xml:space="preserve"> </w:t>
      </w:r>
      <w:r w:rsidR="00703A33" w:rsidRPr="008E5CDF">
        <w:rPr>
          <w:sz w:val="22"/>
          <w:szCs w:val="22"/>
          <w:lang w:val="es-419"/>
        </w:rPr>
        <w:t>el</w:t>
      </w:r>
      <w:r w:rsidR="003C4B13" w:rsidRPr="008E5CDF">
        <w:rPr>
          <w:sz w:val="22"/>
          <w:szCs w:val="22"/>
          <w:lang w:val="es-419"/>
        </w:rPr>
        <w:t xml:space="preserve"> Reino de</w:t>
      </w:r>
      <w:r w:rsidRPr="008E5CDF">
        <w:rPr>
          <w:sz w:val="22"/>
          <w:szCs w:val="22"/>
          <w:lang w:val="es-419"/>
        </w:rPr>
        <w:t xml:space="preserve"> Camboya desea recibir una tasa individual para cubrir el costo del examen sustantivo de cada registro internacional</w:t>
      </w:r>
      <w:r w:rsidR="003A032E" w:rsidRPr="008E5CDF">
        <w:rPr>
          <w:sz w:val="22"/>
          <w:szCs w:val="22"/>
          <w:lang w:val="es-419"/>
        </w:rPr>
        <w:t>.</w:t>
      </w:r>
    </w:p>
    <w:p w:rsidR="003A032E" w:rsidRPr="008E5CDF" w:rsidRDefault="003A032E" w:rsidP="002A508D">
      <w:pPr>
        <w:spacing w:after="0"/>
        <w:ind w:left="1134"/>
        <w:rPr>
          <w:sz w:val="22"/>
          <w:szCs w:val="22"/>
          <w:lang w:val="es-419"/>
        </w:rPr>
      </w:pPr>
    </w:p>
    <w:p w:rsidR="009D2534" w:rsidRPr="008E5CDF" w:rsidRDefault="009D2534" w:rsidP="006F64C6">
      <w:pPr>
        <w:tabs>
          <w:tab w:val="left" w:pos="990"/>
        </w:tabs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3.</w:t>
      </w:r>
      <w:r w:rsidRPr="008E5CDF">
        <w:rPr>
          <w:sz w:val="22"/>
          <w:szCs w:val="22"/>
          <w:lang w:val="es-419"/>
        </w:rPr>
        <w:tab/>
      </w:r>
      <w:r w:rsidR="001A61C9" w:rsidRPr="008E5CDF">
        <w:rPr>
          <w:sz w:val="22"/>
          <w:szCs w:val="22"/>
          <w:lang w:val="es-419"/>
        </w:rPr>
        <w:t xml:space="preserve">La cuantía de la tasa individual indicada por </w:t>
      </w:r>
      <w:r w:rsidR="003C4B13" w:rsidRPr="008E5CDF">
        <w:rPr>
          <w:sz w:val="22"/>
          <w:szCs w:val="22"/>
          <w:lang w:val="es-419"/>
        </w:rPr>
        <w:t xml:space="preserve">el Reino de </w:t>
      </w:r>
      <w:r w:rsidR="001A61C9" w:rsidRPr="008E5CDF">
        <w:rPr>
          <w:sz w:val="22"/>
          <w:szCs w:val="22"/>
          <w:lang w:val="es-419"/>
        </w:rPr>
        <w:t xml:space="preserve">Camboya </w:t>
      </w:r>
      <w:r w:rsidR="00703A33" w:rsidRPr="008E5CDF">
        <w:rPr>
          <w:sz w:val="22"/>
          <w:szCs w:val="22"/>
          <w:lang w:val="es-419"/>
        </w:rPr>
        <w:t>en virtud del a</w:t>
      </w:r>
      <w:r w:rsidR="001A61C9" w:rsidRPr="008E5CDF">
        <w:rPr>
          <w:sz w:val="22"/>
          <w:szCs w:val="22"/>
          <w:lang w:val="es-419"/>
        </w:rPr>
        <w:t>rtículo </w:t>
      </w:r>
      <w:proofErr w:type="gramStart"/>
      <w:r w:rsidR="001A61C9" w:rsidRPr="008E5CDF">
        <w:rPr>
          <w:sz w:val="22"/>
          <w:szCs w:val="22"/>
          <w:lang w:val="es-419"/>
        </w:rPr>
        <w:t>7.4)a</w:t>
      </w:r>
      <w:proofErr w:type="gramEnd"/>
      <w:r w:rsidR="001A61C9" w:rsidRPr="008E5CDF">
        <w:rPr>
          <w:sz w:val="22"/>
          <w:szCs w:val="22"/>
          <w:lang w:val="es-419"/>
        </w:rPr>
        <w:t>) del Acta de Ginebra del Arreglo de Lisboa será objeto de otro Aviso</w:t>
      </w:r>
      <w:r w:rsidRPr="008E5CDF">
        <w:rPr>
          <w:sz w:val="22"/>
          <w:szCs w:val="22"/>
          <w:lang w:val="es-419"/>
        </w:rPr>
        <w:t xml:space="preserve">.  </w:t>
      </w:r>
    </w:p>
    <w:p w:rsidR="003A032E" w:rsidRPr="008E5CDF" w:rsidRDefault="003A032E" w:rsidP="002A508D">
      <w:pPr>
        <w:tabs>
          <w:tab w:val="left" w:pos="990"/>
        </w:tabs>
        <w:spacing w:after="0"/>
        <w:ind w:left="1134"/>
        <w:rPr>
          <w:sz w:val="22"/>
          <w:szCs w:val="22"/>
          <w:lang w:val="es-419"/>
        </w:rPr>
      </w:pPr>
    </w:p>
    <w:p w:rsidR="003A032E" w:rsidRPr="008E5CDF" w:rsidRDefault="003A032E" w:rsidP="006F64C6">
      <w:pPr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4.</w:t>
      </w:r>
      <w:r w:rsidRPr="008E5CDF">
        <w:rPr>
          <w:sz w:val="22"/>
          <w:szCs w:val="22"/>
          <w:lang w:val="es-419"/>
        </w:rPr>
        <w:tab/>
      </w:r>
      <w:r w:rsidR="001A61C9" w:rsidRPr="008E5CDF">
        <w:rPr>
          <w:sz w:val="22"/>
          <w:szCs w:val="22"/>
          <w:lang w:val="es-419"/>
        </w:rPr>
        <w:t>De conformidad con la regla</w:t>
      </w:r>
      <w:r w:rsidRPr="008E5CDF">
        <w:rPr>
          <w:sz w:val="22"/>
          <w:szCs w:val="22"/>
          <w:lang w:val="es-419"/>
        </w:rPr>
        <w:t xml:space="preserve"> 4</w:t>
      </w:r>
      <w:r w:rsidR="001A61C9" w:rsidRPr="008E5CDF">
        <w:rPr>
          <w:sz w:val="22"/>
          <w:szCs w:val="22"/>
          <w:lang w:val="es-419"/>
        </w:rPr>
        <w:t>.</w:t>
      </w:r>
      <w:r w:rsidR="003C75F2" w:rsidRPr="008E5CDF">
        <w:rPr>
          <w:sz w:val="22"/>
          <w:szCs w:val="22"/>
          <w:lang w:val="es-419"/>
        </w:rPr>
        <w:t>1)</w:t>
      </w:r>
      <w:r w:rsidRPr="008E5CDF">
        <w:rPr>
          <w:sz w:val="22"/>
          <w:szCs w:val="22"/>
          <w:lang w:val="es-419"/>
        </w:rPr>
        <w:t xml:space="preserve"> </w:t>
      </w:r>
      <w:r w:rsidR="001A61C9" w:rsidRPr="008E5CDF">
        <w:rPr>
          <w:sz w:val="22"/>
          <w:szCs w:val="22"/>
          <w:lang w:val="es-419"/>
        </w:rPr>
        <w:t xml:space="preserve">del Reglamento Común del Arreglo de Lisboa relativo a la Protección de las Denominaciones de Origen y su Registro Internacional y del Acta de Ginebra del Arreglo de Lisboa relativo a las Denominaciones de Origen y las Indicaciones Geográficas </w:t>
      </w:r>
      <w:r w:rsidR="0000006A" w:rsidRPr="008E5CDF">
        <w:rPr>
          <w:sz w:val="22"/>
          <w:szCs w:val="22"/>
          <w:lang w:val="es-419"/>
        </w:rPr>
        <w:t>(</w:t>
      </w:r>
      <w:r w:rsidR="001A61C9" w:rsidRPr="008E5CDF">
        <w:rPr>
          <w:sz w:val="22"/>
          <w:szCs w:val="22"/>
          <w:lang w:val="es-419"/>
        </w:rPr>
        <w:t>el</w:t>
      </w:r>
      <w:r w:rsidR="0000006A" w:rsidRPr="008E5CDF">
        <w:rPr>
          <w:sz w:val="22"/>
          <w:szCs w:val="22"/>
          <w:lang w:val="es-419"/>
        </w:rPr>
        <w:t xml:space="preserve"> </w:t>
      </w:r>
      <w:r w:rsidR="001A61C9" w:rsidRPr="008E5CDF">
        <w:rPr>
          <w:sz w:val="22"/>
          <w:szCs w:val="22"/>
          <w:lang w:val="es-419"/>
        </w:rPr>
        <w:t>“Reglamento Común”</w:t>
      </w:r>
      <w:r w:rsidR="0000006A" w:rsidRPr="008E5CDF">
        <w:rPr>
          <w:sz w:val="22"/>
          <w:szCs w:val="22"/>
          <w:lang w:val="es-419"/>
        </w:rPr>
        <w:t>)</w:t>
      </w:r>
      <w:r w:rsidRPr="008E5CDF">
        <w:rPr>
          <w:sz w:val="22"/>
          <w:szCs w:val="22"/>
          <w:lang w:val="es-419"/>
        </w:rPr>
        <w:t xml:space="preserve">, </w:t>
      </w:r>
      <w:r w:rsidR="003C4B13" w:rsidRPr="008E5CDF">
        <w:rPr>
          <w:sz w:val="22"/>
          <w:szCs w:val="22"/>
          <w:lang w:val="es-419"/>
        </w:rPr>
        <w:t xml:space="preserve">y a los fines de los procedimientos en virtud de dicha Acta, </w:t>
      </w:r>
      <w:r w:rsidR="00A93B56" w:rsidRPr="008E5CDF">
        <w:rPr>
          <w:sz w:val="22"/>
          <w:szCs w:val="22"/>
          <w:lang w:val="es-419"/>
        </w:rPr>
        <w:t>el Gobierno de</w:t>
      </w:r>
      <w:r w:rsidR="003C4B13" w:rsidRPr="008E5CDF">
        <w:rPr>
          <w:sz w:val="22"/>
          <w:szCs w:val="22"/>
          <w:lang w:val="es-419"/>
        </w:rPr>
        <w:t>l Reino de</w:t>
      </w:r>
      <w:r w:rsidRPr="008E5CDF">
        <w:rPr>
          <w:sz w:val="22"/>
          <w:szCs w:val="22"/>
          <w:lang w:val="es-419"/>
        </w:rPr>
        <w:t xml:space="preserve"> Cambo</w:t>
      </w:r>
      <w:r w:rsidR="00A93B56" w:rsidRPr="008E5CDF">
        <w:rPr>
          <w:sz w:val="22"/>
          <w:szCs w:val="22"/>
          <w:lang w:val="es-419"/>
        </w:rPr>
        <w:t>ya</w:t>
      </w:r>
      <w:r w:rsidRPr="008E5CDF">
        <w:rPr>
          <w:sz w:val="22"/>
          <w:szCs w:val="22"/>
          <w:lang w:val="es-419"/>
        </w:rPr>
        <w:t xml:space="preserve"> </w:t>
      </w:r>
      <w:r w:rsidR="00A93B56" w:rsidRPr="008E5CDF">
        <w:rPr>
          <w:sz w:val="22"/>
          <w:szCs w:val="22"/>
          <w:lang w:val="es-419"/>
        </w:rPr>
        <w:t>ha notificado el nombre y la dirección siguientes correspondientes a su Administración competente</w:t>
      </w:r>
      <w:r w:rsidRPr="008E5CDF">
        <w:rPr>
          <w:sz w:val="22"/>
          <w:szCs w:val="22"/>
          <w:lang w:val="es-419"/>
        </w:rPr>
        <w:t xml:space="preserve">:  </w:t>
      </w:r>
    </w:p>
    <w:p w:rsidR="003A032E" w:rsidRPr="008E5CDF" w:rsidRDefault="003A032E" w:rsidP="002A508D">
      <w:pPr>
        <w:spacing w:after="0"/>
        <w:ind w:left="1134"/>
        <w:rPr>
          <w:sz w:val="22"/>
          <w:szCs w:val="22"/>
          <w:lang w:val="es-419"/>
        </w:rPr>
      </w:pPr>
    </w:p>
    <w:p w:rsidR="003A032E" w:rsidRPr="000906A9" w:rsidRDefault="003D3C38" w:rsidP="006F64C6">
      <w:pPr>
        <w:spacing w:after="0"/>
        <w:ind w:left="2268"/>
        <w:jc w:val="both"/>
        <w:rPr>
          <w:sz w:val="22"/>
          <w:szCs w:val="22"/>
        </w:rPr>
      </w:pPr>
      <w:r>
        <w:rPr>
          <w:i/>
          <w:sz w:val="22"/>
          <w:szCs w:val="22"/>
        </w:rPr>
        <w:t>Department of Intellectual</w:t>
      </w:r>
      <w:r w:rsidR="00A93B56" w:rsidRPr="000906A9">
        <w:rPr>
          <w:i/>
          <w:sz w:val="22"/>
          <w:szCs w:val="22"/>
        </w:rPr>
        <w:t xml:space="preserve"> Property</w:t>
      </w:r>
      <w:r w:rsidR="00A93B56" w:rsidRPr="000906A9">
        <w:rPr>
          <w:sz w:val="22"/>
          <w:szCs w:val="22"/>
        </w:rPr>
        <w:t xml:space="preserve"> (DIP)</w:t>
      </w:r>
    </w:p>
    <w:p w:rsidR="003C75F2" w:rsidRPr="000906A9" w:rsidRDefault="00E17632" w:rsidP="006F64C6">
      <w:pPr>
        <w:spacing w:after="0"/>
        <w:ind w:left="2268"/>
        <w:jc w:val="both"/>
        <w:rPr>
          <w:sz w:val="22"/>
          <w:szCs w:val="22"/>
        </w:rPr>
      </w:pPr>
      <w:r w:rsidRPr="000906A9">
        <w:rPr>
          <w:sz w:val="22"/>
          <w:szCs w:val="22"/>
        </w:rPr>
        <w:t>Ministry of Commerce</w:t>
      </w:r>
    </w:p>
    <w:p w:rsidR="003C75F2" w:rsidRPr="000906A9" w:rsidRDefault="003C75F2" w:rsidP="006F64C6">
      <w:pPr>
        <w:spacing w:after="0"/>
        <w:ind w:left="2268"/>
        <w:jc w:val="both"/>
        <w:rPr>
          <w:sz w:val="22"/>
          <w:szCs w:val="22"/>
        </w:rPr>
      </w:pPr>
      <w:r w:rsidRPr="000906A9">
        <w:rPr>
          <w:sz w:val="22"/>
          <w:szCs w:val="22"/>
        </w:rPr>
        <w:t>Lot 19-61, MOC Road (113B Road)</w:t>
      </w:r>
    </w:p>
    <w:p w:rsidR="00EF43B9" w:rsidRPr="000906A9" w:rsidRDefault="003C75F2" w:rsidP="006F64C6">
      <w:pPr>
        <w:spacing w:after="0"/>
        <w:ind w:left="2268"/>
        <w:jc w:val="both"/>
        <w:rPr>
          <w:sz w:val="22"/>
          <w:szCs w:val="22"/>
        </w:rPr>
      </w:pPr>
      <w:proofErr w:type="spellStart"/>
      <w:r w:rsidRPr="000906A9">
        <w:rPr>
          <w:sz w:val="22"/>
          <w:szCs w:val="22"/>
        </w:rPr>
        <w:t>Phum</w:t>
      </w:r>
      <w:proofErr w:type="spellEnd"/>
      <w:r w:rsidRPr="000906A9">
        <w:rPr>
          <w:sz w:val="22"/>
          <w:szCs w:val="22"/>
        </w:rPr>
        <w:t xml:space="preserve"> </w:t>
      </w:r>
      <w:proofErr w:type="spellStart"/>
      <w:r w:rsidRPr="000906A9">
        <w:rPr>
          <w:sz w:val="22"/>
          <w:szCs w:val="22"/>
        </w:rPr>
        <w:t>Teuk</w:t>
      </w:r>
      <w:proofErr w:type="spellEnd"/>
      <w:r w:rsidRPr="000906A9">
        <w:rPr>
          <w:sz w:val="22"/>
          <w:szCs w:val="22"/>
        </w:rPr>
        <w:t xml:space="preserve"> </w:t>
      </w:r>
      <w:proofErr w:type="spellStart"/>
      <w:r w:rsidRPr="000906A9">
        <w:rPr>
          <w:sz w:val="22"/>
          <w:szCs w:val="22"/>
        </w:rPr>
        <w:t>Thla</w:t>
      </w:r>
      <w:proofErr w:type="spellEnd"/>
    </w:p>
    <w:p w:rsidR="003A032E" w:rsidRPr="000906A9" w:rsidRDefault="00E17632" w:rsidP="006F64C6">
      <w:pPr>
        <w:spacing w:after="0"/>
        <w:ind w:left="2268"/>
        <w:jc w:val="both"/>
        <w:rPr>
          <w:sz w:val="22"/>
          <w:szCs w:val="22"/>
        </w:rPr>
      </w:pPr>
      <w:proofErr w:type="spellStart"/>
      <w:r w:rsidRPr="000906A9">
        <w:rPr>
          <w:sz w:val="22"/>
          <w:szCs w:val="22"/>
        </w:rPr>
        <w:t>Sangkat</w:t>
      </w:r>
      <w:proofErr w:type="spellEnd"/>
      <w:r w:rsidRPr="000906A9">
        <w:rPr>
          <w:sz w:val="22"/>
          <w:szCs w:val="22"/>
        </w:rPr>
        <w:t xml:space="preserve"> </w:t>
      </w:r>
      <w:proofErr w:type="spellStart"/>
      <w:r w:rsidR="003C75F2" w:rsidRPr="000906A9">
        <w:rPr>
          <w:sz w:val="22"/>
          <w:szCs w:val="22"/>
        </w:rPr>
        <w:t>Teuk</w:t>
      </w:r>
      <w:proofErr w:type="spellEnd"/>
      <w:r w:rsidR="003C75F2" w:rsidRPr="000906A9">
        <w:rPr>
          <w:sz w:val="22"/>
          <w:szCs w:val="22"/>
        </w:rPr>
        <w:t xml:space="preserve"> </w:t>
      </w:r>
      <w:proofErr w:type="spellStart"/>
      <w:r w:rsidR="003C75F2" w:rsidRPr="000906A9">
        <w:rPr>
          <w:sz w:val="22"/>
          <w:szCs w:val="22"/>
        </w:rPr>
        <w:t>Thla</w:t>
      </w:r>
      <w:proofErr w:type="spellEnd"/>
      <w:r w:rsidR="00D311DA">
        <w:rPr>
          <w:sz w:val="22"/>
          <w:szCs w:val="22"/>
        </w:rPr>
        <w:t>, Khan Sen Sok</w:t>
      </w:r>
    </w:p>
    <w:p w:rsidR="00EF43B9" w:rsidRPr="003D3C38" w:rsidRDefault="003A032E" w:rsidP="006F64C6">
      <w:pPr>
        <w:spacing w:after="0"/>
        <w:ind w:left="2268"/>
        <w:jc w:val="both"/>
        <w:rPr>
          <w:sz w:val="22"/>
          <w:szCs w:val="22"/>
          <w:lang w:val="es-ES"/>
        </w:rPr>
      </w:pPr>
      <w:r w:rsidRPr="003D3C38">
        <w:rPr>
          <w:sz w:val="22"/>
          <w:szCs w:val="22"/>
          <w:lang w:val="es-ES"/>
        </w:rPr>
        <w:t>Phnom Penh</w:t>
      </w:r>
    </w:p>
    <w:p w:rsidR="00D311DA" w:rsidRPr="003D3C38" w:rsidRDefault="00D311DA" w:rsidP="00D311DA">
      <w:pPr>
        <w:spacing w:after="0"/>
        <w:ind w:left="2268"/>
        <w:jc w:val="both"/>
        <w:rPr>
          <w:sz w:val="22"/>
          <w:szCs w:val="22"/>
          <w:lang w:val="es-ES"/>
        </w:rPr>
      </w:pPr>
      <w:r w:rsidRPr="003D3C38">
        <w:rPr>
          <w:sz w:val="22"/>
          <w:szCs w:val="22"/>
          <w:lang w:val="es-ES"/>
        </w:rPr>
        <w:t>Camboya</w:t>
      </w:r>
    </w:p>
    <w:p w:rsidR="00EF43B9" w:rsidRPr="00DC27AC" w:rsidRDefault="003A032E" w:rsidP="006F64C6">
      <w:pPr>
        <w:spacing w:after="0"/>
        <w:ind w:left="2268"/>
        <w:jc w:val="both"/>
        <w:rPr>
          <w:rFonts w:cs="Arial"/>
          <w:color w:val="3B3B3B"/>
          <w:sz w:val="22"/>
          <w:szCs w:val="22"/>
          <w:lang w:val="es-ES"/>
        </w:rPr>
      </w:pPr>
      <w:r w:rsidRPr="00DC27AC">
        <w:rPr>
          <w:sz w:val="22"/>
          <w:szCs w:val="22"/>
          <w:lang w:val="es-ES"/>
        </w:rPr>
        <w:lastRenderedPageBreak/>
        <w:t>Tel:</w:t>
      </w:r>
      <w:r w:rsidR="003C75F2" w:rsidRPr="00DC27AC">
        <w:rPr>
          <w:sz w:val="22"/>
          <w:szCs w:val="22"/>
          <w:lang w:val="es-ES"/>
        </w:rPr>
        <w:t xml:space="preserve"> </w:t>
      </w:r>
      <w:r w:rsidR="00DC27AC" w:rsidRPr="00DC27AC">
        <w:rPr>
          <w:sz w:val="22"/>
          <w:szCs w:val="22"/>
          <w:lang w:val="es-ES"/>
        </w:rPr>
        <w:t xml:space="preserve"> </w:t>
      </w:r>
      <w:r w:rsidR="003C75F2" w:rsidRPr="00DC27AC">
        <w:rPr>
          <w:rFonts w:cs="Arial"/>
          <w:color w:val="3B3B3B"/>
          <w:sz w:val="22"/>
          <w:szCs w:val="22"/>
          <w:lang w:val="es-ES"/>
        </w:rPr>
        <w:t>(855 23) 866 115</w:t>
      </w:r>
      <w:bookmarkStart w:id="0" w:name="_GoBack"/>
      <w:bookmarkEnd w:id="0"/>
    </w:p>
    <w:p w:rsidR="003A032E" w:rsidRPr="00DC27AC" w:rsidRDefault="003A032E" w:rsidP="006F64C6">
      <w:pPr>
        <w:spacing w:after="0"/>
        <w:ind w:left="2268"/>
        <w:jc w:val="both"/>
        <w:rPr>
          <w:sz w:val="22"/>
          <w:szCs w:val="22"/>
          <w:lang w:val="es-ES"/>
        </w:rPr>
      </w:pPr>
      <w:r w:rsidRPr="00DC27AC">
        <w:rPr>
          <w:sz w:val="22"/>
          <w:szCs w:val="22"/>
          <w:lang w:val="es-ES"/>
        </w:rPr>
        <w:t>Fax</w:t>
      </w:r>
      <w:proofErr w:type="gramStart"/>
      <w:r w:rsidRPr="00DC27AC">
        <w:rPr>
          <w:sz w:val="22"/>
          <w:szCs w:val="22"/>
          <w:lang w:val="es-ES"/>
        </w:rPr>
        <w:t>:</w:t>
      </w:r>
      <w:r w:rsidR="003C75F2" w:rsidRPr="00DC27AC">
        <w:rPr>
          <w:sz w:val="22"/>
          <w:szCs w:val="22"/>
          <w:lang w:val="es-ES"/>
        </w:rPr>
        <w:t xml:space="preserve"> </w:t>
      </w:r>
      <w:r w:rsidR="00DC27AC" w:rsidRPr="00DC27AC">
        <w:rPr>
          <w:sz w:val="22"/>
          <w:szCs w:val="22"/>
          <w:lang w:val="es-ES"/>
        </w:rPr>
        <w:t xml:space="preserve"> </w:t>
      </w:r>
      <w:r w:rsidR="00381D52" w:rsidRPr="00DC27AC">
        <w:rPr>
          <w:rFonts w:cs="Arial"/>
          <w:color w:val="3B3B3B"/>
          <w:sz w:val="22"/>
          <w:szCs w:val="22"/>
          <w:lang w:val="es-ES"/>
        </w:rPr>
        <w:t>(</w:t>
      </w:r>
      <w:proofErr w:type="gramEnd"/>
      <w:r w:rsidR="00381D52" w:rsidRPr="00DC27AC">
        <w:rPr>
          <w:rFonts w:cs="Arial"/>
          <w:color w:val="3B3B3B"/>
          <w:sz w:val="22"/>
          <w:szCs w:val="22"/>
          <w:lang w:val="es-ES"/>
        </w:rPr>
        <w:t xml:space="preserve">855 23) 866 </w:t>
      </w:r>
      <w:r w:rsidR="003C75F2" w:rsidRPr="00DC27AC">
        <w:rPr>
          <w:rFonts w:cs="Arial"/>
          <w:color w:val="3B3B3B"/>
          <w:sz w:val="22"/>
          <w:szCs w:val="22"/>
          <w:lang w:val="es-ES"/>
        </w:rPr>
        <w:t>469</w:t>
      </w:r>
    </w:p>
    <w:p w:rsidR="003A032E" w:rsidRPr="000906A9" w:rsidRDefault="00A93B56" w:rsidP="006F64C6">
      <w:pPr>
        <w:spacing w:after="0"/>
        <w:ind w:left="2268"/>
        <w:jc w:val="both"/>
        <w:rPr>
          <w:sz w:val="22"/>
          <w:szCs w:val="22"/>
          <w:lang w:val="es-419"/>
        </w:rPr>
      </w:pPr>
      <w:r w:rsidRPr="000906A9">
        <w:rPr>
          <w:sz w:val="22"/>
          <w:szCs w:val="22"/>
          <w:lang w:val="es-419"/>
        </w:rPr>
        <w:t>Correo</w:t>
      </w:r>
      <w:r w:rsidR="003A032E" w:rsidRPr="000906A9">
        <w:rPr>
          <w:sz w:val="22"/>
          <w:szCs w:val="22"/>
          <w:lang w:val="es-419"/>
        </w:rPr>
        <w:t>-</w:t>
      </w:r>
      <w:r w:rsidRPr="000906A9">
        <w:rPr>
          <w:sz w:val="22"/>
          <w:szCs w:val="22"/>
          <w:lang w:val="es-419"/>
        </w:rPr>
        <w:t>e</w:t>
      </w:r>
      <w:r w:rsidR="003A032E" w:rsidRPr="000906A9">
        <w:rPr>
          <w:sz w:val="22"/>
          <w:szCs w:val="22"/>
          <w:lang w:val="es-419"/>
        </w:rPr>
        <w:t>:</w:t>
      </w:r>
      <w:r w:rsidR="003C75F2" w:rsidRPr="000906A9">
        <w:rPr>
          <w:sz w:val="22"/>
          <w:szCs w:val="22"/>
          <w:lang w:val="es-419"/>
        </w:rPr>
        <w:t xml:space="preserve"> </w:t>
      </w:r>
      <w:r w:rsidR="00DC27AC">
        <w:rPr>
          <w:sz w:val="22"/>
          <w:szCs w:val="22"/>
          <w:lang w:val="es-419"/>
        </w:rPr>
        <w:t xml:space="preserve"> </w:t>
      </w:r>
      <w:hyperlink r:id="rId9" w:history="1">
        <w:r w:rsidR="00381D52" w:rsidRPr="000906A9">
          <w:rPr>
            <w:rStyle w:val="Hyperlink"/>
            <w:rFonts w:cs="Arial"/>
            <w:sz w:val="22"/>
            <w:szCs w:val="22"/>
            <w:lang w:val="es-419"/>
          </w:rPr>
          <w:t>cambodiaip.dip@gmail.com</w:t>
        </w:r>
      </w:hyperlink>
      <w:r w:rsidR="00381D52" w:rsidRPr="000906A9">
        <w:rPr>
          <w:rFonts w:cs="Arial"/>
          <w:color w:val="3B3B3B"/>
          <w:sz w:val="22"/>
          <w:szCs w:val="22"/>
          <w:lang w:val="es-419"/>
        </w:rPr>
        <w:t xml:space="preserve"> </w:t>
      </w:r>
    </w:p>
    <w:p w:rsidR="003A032E" w:rsidRPr="0084214E" w:rsidRDefault="00A93B56" w:rsidP="006F64C6">
      <w:pPr>
        <w:spacing w:after="0"/>
        <w:ind w:left="2268"/>
        <w:jc w:val="both"/>
        <w:rPr>
          <w:sz w:val="22"/>
          <w:szCs w:val="22"/>
          <w:lang w:val="es-ES"/>
        </w:rPr>
      </w:pPr>
      <w:r w:rsidRPr="0084214E">
        <w:rPr>
          <w:sz w:val="22"/>
          <w:szCs w:val="22"/>
          <w:lang w:val="es-ES"/>
        </w:rPr>
        <w:t>Sitio web</w:t>
      </w:r>
      <w:r w:rsidR="003A032E" w:rsidRPr="0084214E">
        <w:rPr>
          <w:sz w:val="22"/>
          <w:szCs w:val="22"/>
          <w:lang w:val="es-ES"/>
        </w:rPr>
        <w:t>:</w:t>
      </w:r>
      <w:r w:rsidR="00381D52" w:rsidRPr="0084214E">
        <w:rPr>
          <w:sz w:val="22"/>
          <w:szCs w:val="22"/>
          <w:lang w:val="es-ES"/>
        </w:rPr>
        <w:t xml:space="preserve"> </w:t>
      </w:r>
      <w:r w:rsidR="00DC27AC">
        <w:rPr>
          <w:sz w:val="22"/>
          <w:szCs w:val="22"/>
          <w:lang w:val="es-ES"/>
        </w:rPr>
        <w:t xml:space="preserve"> </w:t>
      </w:r>
      <w:hyperlink r:id="rId10" w:history="1">
        <w:r w:rsidR="00381D52" w:rsidRPr="0084214E">
          <w:rPr>
            <w:rStyle w:val="Hyperlink"/>
            <w:rFonts w:cs="Arial"/>
            <w:sz w:val="22"/>
            <w:szCs w:val="22"/>
            <w:lang w:val="es-ES"/>
          </w:rPr>
          <w:t>www.cambodiaip.gov.kh</w:t>
        </w:r>
      </w:hyperlink>
      <w:r w:rsidR="00381D52" w:rsidRPr="0084214E">
        <w:rPr>
          <w:rFonts w:cs="Arial"/>
          <w:color w:val="3B3B3B"/>
          <w:sz w:val="22"/>
          <w:szCs w:val="22"/>
          <w:lang w:val="es-ES"/>
        </w:rPr>
        <w:t xml:space="preserve">  </w:t>
      </w:r>
    </w:p>
    <w:p w:rsidR="00EF43B9" w:rsidRPr="0084214E" w:rsidRDefault="00EF43B9" w:rsidP="002A508D">
      <w:pPr>
        <w:spacing w:after="0"/>
        <w:ind w:left="1134"/>
        <w:jc w:val="both"/>
        <w:rPr>
          <w:sz w:val="22"/>
          <w:szCs w:val="22"/>
          <w:lang w:val="es-ES"/>
        </w:rPr>
      </w:pPr>
    </w:p>
    <w:p w:rsidR="00EF43B9" w:rsidRPr="008E5CDF" w:rsidRDefault="002A508D" w:rsidP="006F64C6">
      <w:pPr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5.</w:t>
      </w:r>
      <w:r w:rsidR="00EF43B9" w:rsidRPr="008E5CDF">
        <w:rPr>
          <w:sz w:val="22"/>
          <w:szCs w:val="22"/>
          <w:lang w:val="es-419"/>
        </w:rPr>
        <w:tab/>
      </w:r>
      <w:r w:rsidR="00A93B56" w:rsidRPr="008E5CDF">
        <w:rPr>
          <w:sz w:val="22"/>
          <w:szCs w:val="22"/>
          <w:lang w:val="es-419"/>
        </w:rPr>
        <w:t>De conformidad con la regla</w:t>
      </w:r>
      <w:r w:rsidR="00EF43B9" w:rsidRPr="008E5CDF">
        <w:rPr>
          <w:sz w:val="22"/>
          <w:szCs w:val="22"/>
          <w:lang w:val="es-419"/>
        </w:rPr>
        <w:t xml:space="preserve"> </w:t>
      </w:r>
      <w:r w:rsidR="00A93B56" w:rsidRPr="008E5CDF">
        <w:rPr>
          <w:sz w:val="22"/>
          <w:szCs w:val="22"/>
          <w:lang w:val="es-419"/>
        </w:rPr>
        <w:t>4.</w:t>
      </w:r>
      <w:r w:rsidR="00EF43B9" w:rsidRPr="008E5CDF">
        <w:rPr>
          <w:sz w:val="22"/>
          <w:szCs w:val="22"/>
          <w:lang w:val="es-419"/>
        </w:rPr>
        <w:t xml:space="preserve">3) </w:t>
      </w:r>
      <w:r w:rsidR="00A93B56" w:rsidRPr="008E5CDF">
        <w:rPr>
          <w:sz w:val="22"/>
          <w:szCs w:val="22"/>
          <w:lang w:val="es-419"/>
        </w:rPr>
        <w:t>del Reglamento Común</w:t>
      </w:r>
      <w:r w:rsidR="00EF43B9" w:rsidRPr="008E5CDF">
        <w:rPr>
          <w:sz w:val="22"/>
          <w:szCs w:val="22"/>
          <w:lang w:val="es-419"/>
        </w:rPr>
        <w:t xml:space="preserve">, </w:t>
      </w:r>
      <w:r w:rsidR="00A93B56" w:rsidRPr="008E5CDF">
        <w:rPr>
          <w:sz w:val="22"/>
          <w:szCs w:val="22"/>
          <w:lang w:val="es-419"/>
        </w:rPr>
        <w:t xml:space="preserve">la Administración Competente mencionada en el párrafo 4 </w:t>
      </w:r>
      <w:r w:rsidR="00A93B56" w:rsidRPr="008E5CDF">
        <w:rPr>
          <w:i/>
          <w:sz w:val="22"/>
          <w:szCs w:val="22"/>
          <w:lang w:val="es-419"/>
        </w:rPr>
        <w:t xml:space="preserve">supra </w:t>
      </w:r>
      <w:r w:rsidR="00A93B56" w:rsidRPr="008E5CDF">
        <w:rPr>
          <w:sz w:val="22"/>
          <w:szCs w:val="22"/>
          <w:lang w:val="es-419"/>
        </w:rPr>
        <w:t>pondrá a disposición información sobre los procedimientos vigentes en su territorio para la impugnación y la observancia de derechos sobre denominaciones de origen e indicaciones geográficas</w:t>
      </w:r>
      <w:r w:rsidR="00EF43B9" w:rsidRPr="008E5CDF">
        <w:rPr>
          <w:sz w:val="22"/>
          <w:szCs w:val="22"/>
          <w:lang w:val="es-419"/>
        </w:rPr>
        <w:t xml:space="preserve">. </w:t>
      </w:r>
      <w:r w:rsidR="00A93B56" w:rsidRPr="008E5CDF">
        <w:rPr>
          <w:sz w:val="22"/>
          <w:szCs w:val="22"/>
          <w:lang w:val="es-419"/>
        </w:rPr>
        <w:t>Esa información será publicada en</w:t>
      </w:r>
      <w:r w:rsidR="00EF43B9" w:rsidRPr="008E5CDF">
        <w:rPr>
          <w:sz w:val="22"/>
          <w:szCs w:val="22"/>
          <w:lang w:val="es-419"/>
        </w:rPr>
        <w:t xml:space="preserve"> </w:t>
      </w:r>
      <w:hyperlink r:id="rId11" w:history="1">
        <w:r w:rsidR="00A93B56" w:rsidRPr="008E5CDF">
          <w:rPr>
            <w:rStyle w:val="Hyperlink"/>
            <w:sz w:val="22"/>
            <w:szCs w:val="22"/>
            <w:lang w:val="es-419"/>
          </w:rPr>
          <w:t>https://www.wipo.int/lisbon/es/index.html</w:t>
        </w:r>
      </w:hyperlink>
      <w:r w:rsidR="00EF43B9" w:rsidRPr="008E5CDF">
        <w:rPr>
          <w:sz w:val="22"/>
          <w:szCs w:val="22"/>
          <w:lang w:val="es-419"/>
        </w:rPr>
        <w:t>.</w:t>
      </w:r>
    </w:p>
    <w:p w:rsidR="00E02550" w:rsidRPr="008E5CDF" w:rsidRDefault="00E02550" w:rsidP="002A508D">
      <w:pPr>
        <w:tabs>
          <w:tab w:val="left" w:pos="2268"/>
        </w:tabs>
        <w:spacing w:after="0"/>
        <w:ind w:left="1134"/>
        <w:jc w:val="both"/>
        <w:rPr>
          <w:sz w:val="22"/>
          <w:szCs w:val="22"/>
          <w:lang w:val="es-419"/>
        </w:rPr>
      </w:pPr>
    </w:p>
    <w:p w:rsidR="00381D52" w:rsidRPr="008E5CDF" w:rsidRDefault="00EF43B9" w:rsidP="006F64C6">
      <w:pPr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6</w:t>
      </w:r>
      <w:r w:rsidR="00E02550" w:rsidRPr="008E5CDF">
        <w:rPr>
          <w:sz w:val="22"/>
          <w:szCs w:val="22"/>
          <w:lang w:val="es-419"/>
        </w:rPr>
        <w:t>.</w:t>
      </w:r>
      <w:r w:rsidR="00EA01D2" w:rsidRPr="008E5CDF">
        <w:rPr>
          <w:sz w:val="22"/>
          <w:szCs w:val="22"/>
          <w:lang w:val="es-419"/>
        </w:rPr>
        <w:tab/>
      </w:r>
      <w:r w:rsidR="00A93B56" w:rsidRPr="008E5CDF">
        <w:rPr>
          <w:sz w:val="22"/>
          <w:szCs w:val="22"/>
          <w:lang w:val="es-419"/>
        </w:rPr>
        <w:t>Cabe rec</w:t>
      </w:r>
      <w:r w:rsidR="00703A33" w:rsidRPr="008E5CDF">
        <w:rPr>
          <w:sz w:val="22"/>
          <w:szCs w:val="22"/>
          <w:lang w:val="es-419"/>
        </w:rPr>
        <w:t xml:space="preserve">ordar que, </w:t>
      </w:r>
      <w:r w:rsidR="00A93B56" w:rsidRPr="008E5CDF">
        <w:rPr>
          <w:sz w:val="22"/>
          <w:szCs w:val="22"/>
          <w:lang w:val="es-419"/>
        </w:rPr>
        <w:t xml:space="preserve">en lo que respecta al Acta de Ginebra del Arreglo de Lisboa, </w:t>
      </w:r>
      <w:r w:rsidR="00703A33" w:rsidRPr="008E5CDF">
        <w:rPr>
          <w:sz w:val="22"/>
          <w:szCs w:val="22"/>
          <w:lang w:val="es-419"/>
        </w:rPr>
        <w:t>han sido</w:t>
      </w:r>
      <w:r w:rsidR="00A93B56" w:rsidRPr="008E5CDF">
        <w:rPr>
          <w:sz w:val="22"/>
          <w:szCs w:val="22"/>
          <w:lang w:val="es-419"/>
        </w:rPr>
        <w:t xml:space="preserve"> depositados los siguientes instrumentos de ratificación o adhesión</w:t>
      </w:r>
      <w:r w:rsidR="00381D52" w:rsidRPr="008E5CDF">
        <w:rPr>
          <w:sz w:val="22"/>
          <w:szCs w:val="22"/>
          <w:lang w:val="es-419"/>
        </w:rPr>
        <w:t>:</w:t>
      </w:r>
      <w:r w:rsidR="00F648DE" w:rsidRPr="008E5CDF">
        <w:rPr>
          <w:sz w:val="22"/>
          <w:szCs w:val="22"/>
          <w:lang w:val="es-419"/>
        </w:rPr>
        <w:br/>
      </w:r>
    </w:p>
    <w:p w:rsidR="00381D52" w:rsidRPr="008E5CDF" w:rsidRDefault="00A93B56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9 de marzo de</w:t>
      </w:r>
      <w:r w:rsidR="00381D52" w:rsidRPr="008E5CDF">
        <w:rPr>
          <w:sz w:val="22"/>
          <w:szCs w:val="22"/>
          <w:lang w:val="es-419"/>
        </w:rPr>
        <w:t xml:space="preserve"> 2018, </w:t>
      </w:r>
      <w:r w:rsidRPr="008E5CDF">
        <w:rPr>
          <w:sz w:val="22"/>
          <w:szCs w:val="22"/>
          <w:lang w:val="es-419"/>
        </w:rPr>
        <w:t xml:space="preserve">por </w:t>
      </w:r>
      <w:r w:rsidR="003C4B13" w:rsidRPr="008E5CDF">
        <w:rPr>
          <w:sz w:val="22"/>
          <w:szCs w:val="22"/>
          <w:lang w:val="es-419"/>
        </w:rPr>
        <w:t xml:space="preserve">el Reino de </w:t>
      </w:r>
      <w:r w:rsidRPr="008E5CDF">
        <w:rPr>
          <w:sz w:val="22"/>
          <w:szCs w:val="22"/>
          <w:lang w:val="es-419"/>
        </w:rPr>
        <w:t>Camboya</w:t>
      </w:r>
    </w:p>
    <w:p w:rsidR="00381D52" w:rsidRPr="008E5CDF" w:rsidRDefault="003C4B13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26 de junio de</w:t>
      </w:r>
      <w:r w:rsidR="00381D52" w:rsidRPr="008E5CDF">
        <w:rPr>
          <w:sz w:val="22"/>
          <w:szCs w:val="22"/>
          <w:lang w:val="es-419"/>
        </w:rPr>
        <w:t xml:space="preserve"> 2019, </w:t>
      </w:r>
      <w:r w:rsidRPr="008E5CDF">
        <w:rPr>
          <w:sz w:val="22"/>
          <w:szCs w:val="22"/>
          <w:lang w:val="es-419"/>
        </w:rPr>
        <w:t>por la República de</w:t>
      </w:r>
      <w:r w:rsidR="00381D52" w:rsidRPr="008E5CDF">
        <w:rPr>
          <w:sz w:val="22"/>
          <w:szCs w:val="22"/>
          <w:lang w:val="es-419"/>
        </w:rPr>
        <w:t xml:space="preserve"> Albania</w:t>
      </w:r>
    </w:p>
    <w:p w:rsidR="00381D52" w:rsidRPr="008E5CDF" w:rsidRDefault="003C4B13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2 de octubre de</w:t>
      </w:r>
      <w:r w:rsidR="00381D52" w:rsidRPr="008E5CDF">
        <w:rPr>
          <w:sz w:val="22"/>
          <w:szCs w:val="22"/>
          <w:lang w:val="es-419"/>
        </w:rPr>
        <w:t xml:space="preserve"> 2019, </w:t>
      </w:r>
      <w:r w:rsidRPr="008E5CDF">
        <w:rPr>
          <w:sz w:val="22"/>
          <w:szCs w:val="22"/>
          <w:lang w:val="es-419"/>
        </w:rPr>
        <w:t>por el Estado Independiente de</w:t>
      </w:r>
      <w:r w:rsidR="00381D52" w:rsidRPr="008E5CDF">
        <w:rPr>
          <w:sz w:val="22"/>
          <w:szCs w:val="22"/>
          <w:lang w:val="es-419"/>
        </w:rPr>
        <w:t xml:space="preserve"> Samoa</w:t>
      </w:r>
    </w:p>
    <w:p w:rsidR="00381D52" w:rsidRPr="008E5CDF" w:rsidRDefault="003C4B13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8 octubre de</w:t>
      </w:r>
      <w:r w:rsidR="00381D52" w:rsidRPr="008E5CDF">
        <w:rPr>
          <w:sz w:val="22"/>
          <w:szCs w:val="22"/>
          <w:lang w:val="es-419"/>
        </w:rPr>
        <w:t xml:space="preserve"> 2019, </w:t>
      </w:r>
      <w:r w:rsidRPr="008E5CDF">
        <w:rPr>
          <w:sz w:val="22"/>
          <w:szCs w:val="22"/>
          <w:lang w:val="es-419"/>
        </w:rPr>
        <w:t>por la República Popular Democrática de Corea</w:t>
      </w:r>
    </w:p>
    <w:p w:rsidR="00381D52" w:rsidRPr="008E5CDF" w:rsidRDefault="003C4B13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26 de noviembre de</w:t>
      </w:r>
      <w:r w:rsidR="00381D52" w:rsidRPr="008E5CDF">
        <w:rPr>
          <w:sz w:val="22"/>
          <w:szCs w:val="22"/>
          <w:lang w:val="es-419"/>
        </w:rPr>
        <w:t xml:space="preserve"> 2019, </w:t>
      </w:r>
      <w:r w:rsidRPr="008E5CDF">
        <w:rPr>
          <w:sz w:val="22"/>
          <w:szCs w:val="22"/>
          <w:lang w:val="es-419"/>
        </w:rPr>
        <w:t>por la Unión Europea</w:t>
      </w:r>
      <w:r w:rsidR="00381D52" w:rsidRPr="008E5CDF">
        <w:rPr>
          <w:sz w:val="22"/>
          <w:szCs w:val="22"/>
          <w:lang w:val="es-419"/>
        </w:rPr>
        <w:t>.</w:t>
      </w:r>
    </w:p>
    <w:p w:rsidR="00381D52" w:rsidRPr="008E5CDF" w:rsidRDefault="00381D52" w:rsidP="002A508D">
      <w:pPr>
        <w:tabs>
          <w:tab w:val="left" w:pos="1560"/>
        </w:tabs>
        <w:spacing w:after="0"/>
        <w:ind w:left="1134"/>
        <w:rPr>
          <w:sz w:val="22"/>
          <w:szCs w:val="22"/>
          <w:lang w:val="es-419"/>
        </w:rPr>
      </w:pPr>
    </w:p>
    <w:p w:rsidR="00197C7C" w:rsidRPr="008E5CDF" w:rsidRDefault="00BA0C38" w:rsidP="006F64C6">
      <w:pPr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ab/>
      </w:r>
      <w:r w:rsidRPr="008E5CDF">
        <w:rPr>
          <w:sz w:val="22"/>
          <w:szCs w:val="22"/>
          <w:lang w:val="es-419"/>
        </w:rPr>
        <w:tab/>
      </w:r>
      <w:r w:rsidR="00D46A67" w:rsidRPr="008E5CDF">
        <w:rPr>
          <w:sz w:val="22"/>
          <w:szCs w:val="22"/>
          <w:lang w:val="es-419"/>
        </w:rPr>
        <w:t xml:space="preserve">Por consiguiente, de conformidad con lo dispuesto en el </w:t>
      </w:r>
      <w:r w:rsidR="00703A33" w:rsidRPr="008E5CDF">
        <w:rPr>
          <w:sz w:val="22"/>
          <w:szCs w:val="22"/>
          <w:lang w:val="es-419"/>
        </w:rPr>
        <w:t>a</w:t>
      </w:r>
      <w:r w:rsidR="00D46A67" w:rsidRPr="008E5CDF">
        <w:rPr>
          <w:sz w:val="22"/>
          <w:szCs w:val="22"/>
          <w:lang w:val="es-419"/>
        </w:rPr>
        <w:t>rtículo 29.2)</w:t>
      </w:r>
      <w:r w:rsidR="00381D52" w:rsidRPr="008E5CDF">
        <w:rPr>
          <w:sz w:val="22"/>
          <w:szCs w:val="22"/>
          <w:lang w:val="es-419"/>
        </w:rPr>
        <w:t xml:space="preserve">, </w:t>
      </w:r>
      <w:r w:rsidR="00D46A67" w:rsidRPr="008E5CDF">
        <w:rPr>
          <w:sz w:val="22"/>
          <w:szCs w:val="22"/>
          <w:lang w:val="es-419"/>
        </w:rPr>
        <w:t>dicha Acta entrará en vigor el 26 de febrero de</w:t>
      </w:r>
      <w:r w:rsidR="00381D52" w:rsidRPr="008E5CDF">
        <w:rPr>
          <w:sz w:val="22"/>
          <w:szCs w:val="22"/>
          <w:lang w:val="es-419"/>
        </w:rPr>
        <w:t xml:space="preserve"> 2020</w:t>
      </w:r>
      <w:r w:rsidR="00D46A67" w:rsidRPr="008E5CDF">
        <w:rPr>
          <w:sz w:val="22"/>
          <w:szCs w:val="22"/>
          <w:lang w:val="es-419"/>
        </w:rPr>
        <w:t xml:space="preserve"> con respecto a los cinco Estados y la organización intergubernamental mencionados </w:t>
      </w:r>
      <w:r w:rsidR="00D46A67" w:rsidRPr="008E5CDF">
        <w:rPr>
          <w:i/>
          <w:sz w:val="22"/>
          <w:szCs w:val="22"/>
          <w:lang w:val="es-419"/>
        </w:rPr>
        <w:t>supra</w:t>
      </w:r>
      <w:r w:rsidR="00381D52" w:rsidRPr="008E5CDF">
        <w:rPr>
          <w:sz w:val="22"/>
          <w:szCs w:val="22"/>
          <w:lang w:val="es-419"/>
        </w:rPr>
        <w:t>.</w:t>
      </w:r>
    </w:p>
    <w:p w:rsidR="00665CEB" w:rsidRDefault="00665CEB" w:rsidP="007F5046">
      <w:pPr>
        <w:spacing w:after="0"/>
        <w:jc w:val="both"/>
        <w:rPr>
          <w:sz w:val="22"/>
          <w:szCs w:val="22"/>
          <w:lang w:val="es-419"/>
        </w:rPr>
      </w:pPr>
    </w:p>
    <w:p w:rsidR="007439D2" w:rsidRPr="008E5CDF" w:rsidRDefault="007439D2" w:rsidP="007F5046">
      <w:pPr>
        <w:spacing w:after="0"/>
        <w:jc w:val="both"/>
        <w:rPr>
          <w:sz w:val="22"/>
          <w:szCs w:val="22"/>
          <w:lang w:val="es-419"/>
        </w:rPr>
      </w:pPr>
    </w:p>
    <w:p w:rsidR="00665CEB" w:rsidRPr="008E5CDF" w:rsidRDefault="00665CEB" w:rsidP="007F5046">
      <w:pPr>
        <w:spacing w:after="0"/>
        <w:jc w:val="both"/>
        <w:rPr>
          <w:sz w:val="22"/>
          <w:szCs w:val="22"/>
          <w:lang w:val="es-419"/>
        </w:rPr>
      </w:pPr>
    </w:p>
    <w:p w:rsidR="00EA01D2" w:rsidRPr="008E5CDF" w:rsidRDefault="000906A9" w:rsidP="00665CEB">
      <w:pPr>
        <w:spacing w:after="0"/>
        <w:ind w:left="5529"/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>19</w:t>
      </w:r>
      <w:r w:rsidR="00D46A67" w:rsidRPr="008E5CDF">
        <w:rPr>
          <w:sz w:val="22"/>
          <w:szCs w:val="22"/>
          <w:lang w:val="es-419"/>
        </w:rPr>
        <w:t xml:space="preserve"> de febrero de</w:t>
      </w:r>
      <w:r w:rsidR="00F25ED6" w:rsidRPr="008E5CDF">
        <w:rPr>
          <w:sz w:val="22"/>
          <w:szCs w:val="22"/>
          <w:lang w:val="es-419"/>
        </w:rPr>
        <w:t xml:space="preserve"> 20</w:t>
      </w:r>
      <w:r w:rsidR="00F648DE" w:rsidRPr="008E5CDF">
        <w:rPr>
          <w:sz w:val="22"/>
          <w:szCs w:val="22"/>
          <w:lang w:val="es-419"/>
        </w:rPr>
        <w:t>20</w:t>
      </w:r>
    </w:p>
    <w:sectPr w:rsidR="00EA01D2" w:rsidRPr="008E5CDF" w:rsidSect="00800A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851" w:bottom="1710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E1" w:rsidRDefault="006B10E1">
      <w:r>
        <w:separator/>
      </w:r>
    </w:p>
  </w:endnote>
  <w:endnote w:type="continuationSeparator" w:id="0">
    <w:p w:rsidR="006B10E1" w:rsidRDefault="006B10E1">
      <w:r>
        <w:separator/>
      </w:r>
    </w:p>
    <w:p w:rsidR="006B10E1" w:rsidRDefault="006B10E1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10E1" w:rsidRDefault="006B10E1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0D3864" w:rsidRDefault="00015C4C" w:rsidP="005D566A">
    <w:pPr>
      <w:pStyle w:val="Footer"/>
      <w:jc w:val="right"/>
      <w:rPr>
        <w:color w:val="000000"/>
        <w:sz w:val="17"/>
      </w:rPr>
    </w:pPr>
    <w:r w:rsidRPr="00015C4C">
      <w:rPr>
        <w:color w:val="000000"/>
        <w:sz w:val="17"/>
      </w:rPr>
      <w:t xml:space="preserve">  </w:t>
    </w:r>
  </w:p>
  <w:p w:rsidR="00015C4C" w:rsidRDefault="00015C4C" w:rsidP="00015C4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6A" w:rsidRDefault="005D566A" w:rsidP="005D566A">
    <w:pPr>
      <w:pStyle w:val="Footer"/>
      <w:rPr>
        <w:color w:val="000000"/>
        <w:sz w:val="17"/>
      </w:rPr>
    </w:pPr>
    <w:bookmarkStart w:id="2" w:name="TITUS1FooterPrimary"/>
  </w:p>
  <w:bookmarkEnd w:id="2"/>
  <w:p w:rsidR="000D3864" w:rsidRDefault="005D566A" w:rsidP="005D566A">
    <w:pPr>
      <w:pStyle w:val="Footer"/>
      <w:rPr>
        <w:color w:val="000000"/>
        <w:sz w:val="17"/>
      </w:rPr>
    </w:pPr>
    <w:r w:rsidRPr="005D566A">
      <w:rPr>
        <w:color w:val="000000"/>
        <w:sz w:val="17"/>
      </w:rPr>
      <w:t xml:space="preserve">  </w:t>
    </w:r>
  </w:p>
  <w:p w:rsidR="005D566A" w:rsidRDefault="005D566A" w:rsidP="005D5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6A" w:rsidRDefault="005D566A" w:rsidP="005D566A">
    <w:pPr>
      <w:pStyle w:val="Footer"/>
      <w:spacing w:after="0"/>
      <w:rPr>
        <w:color w:val="000000"/>
        <w:sz w:val="17"/>
      </w:rPr>
    </w:pPr>
    <w:bookmarkStart w:id="4" w:name="TITUS1FooterFirstPage"/>
    <w:r>
      <w:rPr>
        <w:color w:val="000000"/>
        <w:sz w:val="17"/>
      </w:rPr>
      <w:t xml:space="preserve">  </w:t>
    </w:r>
  </w:p>
  <w:bookmarkEnd w:id="4"/>
  <w:p w:rsidR="000D3864" w:rsidRDefault="000D3864" w:rsidP="005D566A">
    <w:pPr>
      <w:pStyle w:val="Footer"/>
      <w:jc w:val="center"/>
      <w:rPr>
        <w:color w:val="000000"/>
        <w:sz w:val="17"/>
      </w:rPr>
    </w:pPr>
  </w:p>
  <w:p w:rsidR="005D566A" w:rsidRDefault="005D566A" w:rsidP="005D566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E1" w:rsidRDefault="006B10E1">
      <w:r>
        <w:separator/>
      </w:r>
    </w:p>
  </w:footnote>
  <w:footnote w:type="continuationSeparator" w:id="0">
    <w:p w:rsidR="006B10E1" w:rsidRDefault="006B10E1">
      <w:r>
        <w:separator/>
      </w:r>
    </w:p>
    <w:p w:rsidR="006B10E1" w:rsidRDefault="006B10E1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6B10E1" w:rsidRDefault="006B10E1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7439D2" w:rsidP="00EF0884">
    <w:pPr>
      <w:spacing w:after="0"/>
      <w:jc w:val="right"/>
    </w:pPr>
    <w:proofErr w:type="spellStart"/>
    <w:proofErr w:type="gramStart"/>
    <w:r>
      <w:t>p</w:t>
    </w:r>
    <w:r w:rsidR="008E1710">
      <w:t>ágina</w:t>
    </w:r>
    <w:proofErr w:type="spellEnd"/>
    <w:proofErr w:type="gramEnd"/>
    <w:r w:rsidR="000D3864">
      <w:t xml:space="preserve"> </w:t>
    </w:r>
    <w:r w:rsidR="000D3864">
      <w:fldChar w:fldCharType="begin"/>
    </w:r>
    <w:r w:rsidR="000D3864">
      <w:instrText xml:space="preserve"> PAGE  \* MERGEFORMAT </w:instrText>
    </w:r>
    <w:r w:rsidR="000D3864">
      <w:fldChar w:fldCharType="separate"/>
    </w:r>
    <w:r w:rsidR="00E70882">
      <w:rPr>
        <w:noProof/>
      </w:rPr>
      <w:t>2</w:t>
    </w:r>
    <w:r w:rsidR="000D3864">
      <w:fldChar w:fldCharType="end"/>
    </w:r>
  </w:p>
  <w:p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5D566A" w:rsidP="005D566A">
    <w:pPr>
      <w:spacing w:after="0"/>
      <w:jc w:val="right"/>
      <w:rPr>
        <w:color w:val="000000"/>
        <w:sz w:val="17"/>
      </w:rPr>
    </w:pPr>
    <w:bookmarkStart w:id="1" w:name="TITUS1HeaderPrimary"/>
    <w:r>
      <w:rPr>
        <w:color w:val="000000"/>
        <w:sz w:val="17"/>
      </w:rPr>
      <w:t xml:space="preserve">  </w:t>
    </w:r>
  </w:p>
  <w:bookmarkEnd w:id="1"/>
  <w:p w:rsidR="007921E8" w:rsidRDefault="007921E8">
    <w:pPr>
      <w:jc w:val="center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E4F7F">
      <w:rPr>
        <w:noProof/>
      </w:rPr>
      <w:t>2</w:t>
    </w:r>
    <w:r>
      <w:fldChar w:fldCharType="end"/>
    </w:r>
  </w:p>
  <w:p w:rsidR="007921E8" w:rsidRDefault="007921E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5D566A" w:rsidP="005D566A">
    <w:pPr>
      <w:pStyle w:val="Header"/>
      <w:spacing w:after="0"/>
      <w:jc w:val="right"/>
      <w:rPr>
        <w:color w:val="000000"/>
        <w:sz w:val="17"/>
      </w:rPr>
    </w:pPr>
    <w:bookmarkStart w:id="3" w:name="TITUS1HeaderFirstPage"/>
    <w:r>
      <w:rPr>
        <w:color w:val="000000"/>
        <w:sz w:val="17"/>
      </w:rPr>
      <w:t xml:space="preserve">  </w:t>
    </w:r>
  </w:p>
  <w:bookmarkEnd w:id="3"/>
  <w:p w:rsidR="000D3864" w:rsidRDefault="000D3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6397539E"/>
    <w:multiLevelType w:val="hybridMultilevel"/>
    <w:tmpl w:val="5AC0EE70"/>
    <w:lvl w:ilvl="0" w:tplc="C77A47A2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D2"/>
    <w:rsid w:val="0000006A"/>
    <w:rsid w:val="000009F0"/>
    <w:rsid w:val="00000F96"/>
    <w:rsid w:val="000072EE"/>
    <w:rsid w:val="00015C4C"/>
    <w:rsid w:val="00023E8B"/>
    <w:rsid w:val="00040425"/>
    <w:rsid w:val="00042BD2"/>
    <w:rsid w:val="000906A9"/>
    <w:rsid w:val="000A5742"/>
    <w:rsid w:val="000B38B5"/>
    <w:rsid w:val="000B6D65"/>
    <w:rsid w:val="000C774D"/>
    <w:rsid w:val="000D3864"/>
    <w:rsid w:val="000E072A"/>
    <w:rsid w:val="00106BAE"/>
    <w:rsid w:val="00150CF6"/>
    <w:rsid w:val="00191E44"/>
    <w:rsid w:val="00197C7C"/>
    <w:rsid w:val="001A2E00"/>
    <w:rsid w:val="001A61C9"/>
    <w:rsid w:val="001B534E"/>
    <w:rsid w:val="001F5A8E"/>
    <w:rsid w:val="00200976"/>
    <w:rsid w:val="00212F6B"/>
    <w:rsid w:val="00230DF4"/>
    <w:rsid w:val="00237A67"/>
    <w:rsid w:val="00261D19"/>
    <w:rsid w:val="00264E42"/>
    <w:rsid w:val="0029704F"/>
    <w:rsid w:val="002A508D"/>
    <w:rsid w:val="002C69D9"/>
    <w:rsid w:val="002E1745"/>
    <w:rsid w:val="002E48C8"/>
    <w:rsid w:val="002E5E82"/>
    <w:rsid w:val="00305A8F"/>
    <w:rsid w:val="0032621F"/>
    <w:rsid w:val="00343428"/>
    <w:rsid w:val="00345F13"/>
    <w:rsid w:val="003555F4"/>
    <w:rsid w:val="00361F8F"/>
    <w:rsid w:val="00377D89"/>
    <w:rsid w:val="00381D52"/>
    <w:rsid w:val="0038753D"/>
    <w:rsid w:val="003A032E"/>
    <w:rsid w:val="003A1368"/>
    <w:rsid w:val="003A4806"/>
    <w:rsid w:val="003B2C0D"/>
    <w:rsid w:val="003B4808"/>
    <w:rsid w:val="003C4B01"/>
    <w:rsid w:val="003C4B13"/>
    <w:rsid w:val="003C75F2"/>
    <w:rsid w:val="003D341E"/>
    <w:rsid w:val="003D3C38"/>
    <w:rsid w:val="003E4FB2"/>
    <w:rsid w:val="003F2264"/>
    <w:rsid w:val="003F4553"/>
    <w:rsid w:val="003F73CD"/>
    <w:rsid w:val="00444D9B"/>
    <w:rsid w:val="00457669"/>
    <w:rsid w:val="00481003"/>
    <w:rsid w:val="004D040D"/>
    <w:rsid w:val="004D38FC"/>
    <w:rsid w:val="004F4110"/>
    <w:rsid w:val="004F5DAB"/>
    <w:rsid w:val="005029BB"/>
    <w:rsid w:val="00517500"/>
    <w:rsid w:val="00531395"/>
    <w:rsid w:val="00546B1E"/>
    <w:rsid w:val="005712E6"/>
    <w:rsid w:val="005B3167"/>
    <w:rsid w:val="005B5CBA"/>
    <w:rsid w:val="005C050E"/>
    <w:rsid w:val="005C2889"/>
    <w:rsid w:val="005D566A"/>
    <w:rsid w:val="005E0C9B"/>
    <w:rsid w:val="005E7706"/>
    <w:rsid w:val="00606B9A"/>
    <w:rsid w:val="006210A3"/>
    <w:rsid w:val="00641EDA"/>
    <w:rsid w:val="00663C08"/>
    <w:rsid w:val="00665CEB"/>
    <w:rsid w:val="006776ED"/>
    <w:rsid w:val="00683DEF"/>
    <w:rsid w:val="0069384C"/>
    <w:rsid w:val="00694945"/>
    <w:rsid w:val="006B10E1"/>
    <w:rsid w:val="006B1C22"/>
    <w:rsid w:val="006D0A46"/>
    <w:rsid w:val="006D7C44"/>
    <w:rsid w:val="006F64C6"/>
    <w:rsid w:val="00702FCB"/>
    <w:rsid w:val="00703A33"/>
    <w:rsid w:val="007161AF"/>
    <w:rsid w:val="0072508E"/>
    <w:rsid w:val="00730F6A"/>
    <w:rsid w:val="007439D2"/>
    <w:rsid w:val="007650B4"/>
    <w:rsid w:val="00765841"/>
    <w:rsid w:val="007921E8"/>
    <w:rsid w:val="007A2FE0"/>
    <w:rsid w:val="007C0638"/>
    <w:rsid w:val="007D47E6"/>
    <w:rsid w:val="007D6437"/>
    <w:rsid w:val="007F0A7A"/>
    <w:rsid w:val="007F5046"/>
    <w:rsid w:val="00800A9B"/>
    <w:rsid w:val="008116BA"/>
    <w:rsid w:val="00831A26"/>
    <w:rsid w:val="0084214E"/>
    <w:rsid w:val="00842AB1"/>
    <w:rsid w:val="0084410A"/>
    <w:rsid w:val="0085488A"/>
    <w:rsid w:val="00856B5E"/>
    <w:rsid w:val="0086291A"/>
    <w:rsid w:val="00885998"/>
    <w:rsid w:val="00886D3A"/>
    <w:rsid w:val="008A42FA"/>
    <w:rsid w:val="008D6245"/>
    <w:rsid w:val="008E1710"/>
    <w:rsid w:val="008E183B"/>
    <w:rsid w:val="008E5CDF"/>
    <w:rsid w:val="008F33F5"/>
    <w:rsid w:val="008F55E4"/>
    <w:rsid w:val="00916252"/>
    <w:rsid w:val="00922A50"/>
    <w:rsid w:val="00935F68"/>
    <w:rsid w:val="0097265A"/>
    <w:rsid w:val="009A3CD4"/>
    <w:rsid w:val="009A4966"/>
    <w:rsid w:val="009A6B40"/>
    <w:rsid w:val="009C024E"/>
    <w:rsid w:val="009C2AD1"/>
    <w:rsid w:val="009D2534"/>
    <w:rsid w:val="009E0489"/>
    <w:rsid w:val="009E185D"/>
    <w:rsid w:val="00A0608E"/>
    <w:rsid w:val="00A5573D"/>
    <w:rsid w:val="00A63F09"/>
    <w:rsid w:val="00A746A0"/>
    <w:rsid w:val="00A93B56"/>
    <w:rsid w:val="00AD03FA"/>
    <w:rsid w:val="00B05311"/>
    <w:rsid w:val="00B14807"/>
    <w:rsid w:val="00B833E5"/>
    <w:rsid w:val="00B85527"/>
    <w:rsid w:val="00BA0C38"/>
    <w:rsid w:val="00BB1EDC"/>
    <w:rsid w:val="00BB68A2"/>
    <w:rsid w:val="00BB750D"/>
    <w:rsid w:val="00BC34F6"/>
    <w:rsid w:val="00BC544A"/>
    <w:rsid w:val="00BD1AE0"/>
    <w:rsid w:val="00BE6384"/>
    <w:rsid w:val="00BF5D1B"/>
    <w:rsid w:val="00C7431C"/>
    <w:rsid w:val="00C74AC2"/>
    <w:rsid w:val="00CA3902"/>
    <w:rsid w:val="00CC479A"/>
    <w:rsid w:val="00CD3C70"/>
    <w:rsid w:val="00CE4F7F"/>
    <w:rsid w:val="00D21A15"/>
    <w:rsid w:val="00D311DA"/>
    <w:rsid w:val="00D46A67"/>
    <w:rsid w:val="00D55F36"/>
    <w:rsid w:val="00D61452"/>
    <w:rsid w:val="00D91EF7"/>
    <w:rsid w:val="00DB0343"/>
    <w:rsid w:val="00DC27AC"/>
    <w:rsid w:val="00DC5733"/>
    <w:rsid w:val="00DE5C8D"/>
    <w:rsid w:val="00E02550"/>
    <w:rsid w:val="00E11C88"/>
    <w:rsid w:val="00E17632"/>
    <w:rsid w:val="00E47591"/>
    <w:rsid w:val="00E54EFB"/>
    <w:rsid w:val="00E70882"/>
    <w:rsid w:val="00E77AA5"/>
    <w:rsid w:val="00E8230D"/>
    <w:rsid w:val="00E950BD"/>
    <w:rsid w:val="00EA01D2"/>
    <w:rsid w:val="00EB3E9F"/>
    <w:rsid w:val="00EC39FE"/>
    <w:rsid w:val="00EE2556"/>
    <w:rsid w:val="00EE4D0F"/>
    <w:rsid w:val="00EE7293"/>
    <w:rsid w:val="00EF0884"/>
    <w:rsid w:val="00EF43B9"/>
    <w:rsid w:val="00F000AF"/>
    <w:rsid w:val="00F15381"/>
    <w:rsid w:val="00F25ED6"/>
    <w:rsid w:val="00F648DE"/>
    <w:rsid w:val="00F76C94"/>
    <w:rsid w:val="00FA272A"/>
    <w:rsid w:val="00FB4F2F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C42B77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9B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  <w:lang w:val="fr-FR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hAnsi="Arial"/>
      <w:sz w:val="22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A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lisbon/es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ambodiaip.gov.k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mbodiaip.dip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6C58-3B0B-4D1E-886A-3FB5D946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2392</Characters>
  <Application>Microsoft Office Word</Application>
  <DocSecurity>0</DocSecurity>
  <Lines>73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Hague Information No. 3/2010</vt:lpstr>
    </vt:vector>
  </TitlesOfParts>
  <Manager>Lähdesmäki</Manager>
  <Company>WIPO</Company>
  <LinksUpToDate>false</LinksUpToDate>
  <CharactersWithSpaces>2846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Hague Information No. 3/2010</dc:title>
  <dc:subject>Change in the Amounts of the Individual Fee:  European Union</dc:subject>
  <dc:creator>CleaveleyA</dc:creator>
  <cp:keywords>FOR OFFICIAL USE ONLY</cp:keywords>
  <cp:lastModifiedBy>VINCENT Anouck</cp:lastModifiedBy>
  <cp:revision>10</cp:revision>
  <cp:lastPrinted>2018-02-28T13:51:00Z</cp:lastPrinted>
  <dcterms:created xsi:type="dcterms:W3CDTF">2020-02-19T10:15:00Z</dcterms:created>
  <dcterms:modified xsi:type="dcterms:W3CDTF">2020-02-19T13:52:00Z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72ccea1b-28c9-4a63-b7aa-7bb295b412c8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