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34E90" w14:textId="77777777" w:rsidR="008B2CC1" w:rsidRPr="000C21BC" w:rsidRDefault="00472A6E" w:rsidP="0059280E">
      <w:pPr>
        <w:pBdr>
          <w:bottom w:val="single" w:sz="4" w:space="10" w:color="auto"/>
        </w:pBdr>
        <w:spacing w:after="120"/>
        <w:ind w:right="-57"/>
        <w:jc w:val="right"/>
        <w:rPr>
          <w:lang w:val="es-419"/>
        </w:rPr>
      </w:pPr>
      <w:r w:rsidRPr="000C21BC">
        <w:rPr>
          <w:noProof/>
          <w:lang w:val="es-419" w:eastAsia="en-US"/>
        </w:rPr>
        <w:drawing>
          <wp:inline distT="0" distB="0" distL="0" distR="0" wp14:anchorId="260F73A2" wp14:editId="39D3DE07">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3709DB61" w14:textId="0068F0CB" w:rsidR="00472A6E" w:rsidRPr="000C21BC" w:rsidRDefault="0059280E" w:rsidP="00472A6E">
      <w:pPr>
        <w:jc w:val="right"/>
        <w:rPr>
          <w:rFonts w:ascii="Arial Black" w:hAnsi="Arial Black"/>
          <w:caps/>
          <w:sz w:val="15"/>
          <w:lang w:val="es-419"/>
        </w:rPr>
      </w:pPr>
      <w:r w:rsidRPr="000C21BC">
        <w:rPr>
          <w:rFonts w:ascii="Arial Black" w:hAnsi="Arial Black"/>
          <w:caps/>
          <w:sz w:val="15"/>
          <w:lang w:val="es-419"/>
        </w:rPr>
        <w:t>WILD/</w:t>
      </w:r>
      <w:r w:rsidR="00BB4DDA" w:rsidRPr="000C21BC">
        <w:rPr>
          <w:rFonts w:ascii="Arial Black" w:hAnsi="Arial Black"/>
          <w:caps/>
          <w:sz w:val="15"/>
          <w:lang w:val="es-419"/>
        </w:rPr>
        <w:t>2</w:t>
      </w:r>
      <w:r w:rsidRPr="000C21BC">
        <w:rPr>
          <w:rFonts w:ascii="Arial Black" w:hAnsi="Arial Black"/>
          <w:caps/>
          <w:sz w:val="15"/>
          <w:lang w:val="es-419"/>
        </w:rPr>
        <w:t>/</w:t>
      </w:r>
      <w:bookmarkStart w:id="0" w:name="Code"/>
      <w:bookmarkEnd w:id="0"/>
      <w:r w:rsidR="0097631F" w:rsidRPr="000C21BC">
        <w:rPr>
          <w:rFonts w:ascii="Arial Black" w:hAnsi="Arial Black"/>
          <w:caps/>
          <w:sz w:val="15"/>
          <w:lang w:val="es-419"/>
        </w:rPr>
        <w:t>1 PROV.</w:t>
      </w:r>
    </w:p>
    <w:p w14:paraId="1031F5D4" w14:textId="54EA57C3" w:rsidR="008B2CC1" w:rsidRPr="000C21BC" w:rsidRDefault="00472A6E" w:rsidP="00472A6E">
      <w:pPr>
        <w:jc w:val="right"/>
        <w:rPr>
          <w:lang w:val="es-419"/>
        </w:rPr>
      </w:pPr>
      <w:r w:rsidRPr="000C21BC">
        <w:rPr>
          <w:rFonts w:ascii="Arial Black" w:hAnsi="Arial Black"/>
          <w:caps/>
          <w:sz w:val="15"/>
          <w:lang w:val="es-419"/>
        </w:rPr>
        <w:t>ORIGINAL:</w:t>
      </w:r>
      <w:r w:rsidR="00FE7116" w:rsidRPr="000C21BC">
        <w:rPr>
          <w:rFonts w:ascii="Arial Black" w:hAnsi="Arial Black"/>
          <w:caps/>
          <w:sz w:val="15"/>
          <w:lang w:val="es-419"/>
        </w:rPr>
        <w:t xml:space="preserve"> </w:t>
      </w:r>
      <w:bookmarkStart w:id="1" w:name="Original"/>
      <w:bookmarkEnd w:id="1"/>
      <w:r w:rsidR="0097631F" w:rsidRPr="000C21BC">
        <w:rPr>
          <w:rFonts w:ascii="Arial Black" w:hAnsi="Arial Black"/>
          <w:caps/>
          <w:sz w:val="15"/>
          <w:lang w:val="es-419"/>
        </w:rPr>
        <w:t>INGLÉS</w:t>
      </w:r>
    </w:p>
    <w:p w14:paraId="67B07478" w14:textId="48F8348E" w:rsidR="008B2CC1" w:rsidRPr="000C21BC" w:rsidRDefault="00472A6E" w:rsidP="00472A6E">
      <w:pPr>
        <w:spacing w:after="1200"/>
        <w:jc w:val="right"/>
        <w:rPr>
          <w:lang w:val="es-419"/>
        </w:rPr>
      </w:pPr>
      <w:r w:rsidRPr="000C21BC">
        <w:rPr>
          <w:rFonts w:ascii="Arial Black" w:hAnsi="Arial Black"/>
          <w:caps/>
          <w:sz w:val="15"/>
          <w:lang w:val="es-419"/>
        </w:rPr>
        <w:t xml:space="preserve">fecha: </w:t>
      </w:r>
      <w:bookmarkStart w:id="2" w:name="Date"/>
      <w:bookmarkEnd w:id="2"/>
      <w:r w:rsidR="00023002">
        <w:rPr>
          <w:rFonts w:ascii="Arial Black" w:hAnsi="Arial Black"/>
          <w:caps/>
          <w:sz w:val="15"/>
          <w:lang w:val="es-419"/>
        </w:rPr>
        <w:t>23</w:t>
      </w:r>
      <w:r w:rsidR="0097631F" w:rsidRPr="000C21BC">
        <w:rPr>
          <w:rFonts w:ascii="Arial Black" w:hAnsi="Arial Black"/>
          <w:caps/>
          <w:sz w:val="15"/>
          <w:lang w:val="es-419"/>
        </w:rPr>
        <w:t xml:space="preserve"> DE DICIEMBRE DE 2025</w:t>
      </w:r>
    </w:p>
    <w:p w14:paraId="7771111B" w14:textId="77777777" w:rsidR="00B67CDC" w:rsidRPr="000C21BC" w:rsidRDefault="0059280E" w:rsidP="00472A6E">
      <w:pPr>
        <w:pStyle w:val="Heading1"/>
        <w:spacing w:before="0" w:after="480"/>
        <w:rPr>
          <w:sz w:val="28"/>
          <w:lang w:val="es-419"/>
        </w:rPr>
      </w:pPr>
      <w:r w:rsidRPr="000C21BC">
        <w:rPr>
          <w:caps w:val="0"/>
          <w:sz w:val="28"/>
          <w:lang w:val="es-419"/>
        </w:rPr>
        <w:t xml:space="preserve">Diálogo de la OMPI para Líderes de TIC </w:t>
      </w:r>
      <w:r w:rsidRPr="000C21BC">
        <w:rPr>
          <w:sz w:val="28"/>
          <w:lang w:val="es-419"/>
        </w:rPr>
        <w:t>(WILD)</w:t>
      </w:r>
    </w:p>
    <w:p w14:paraId="47AA4021" w14:textId="77777777" w:rsidR="005B2EAE" w:rsidRPr="000C21BC" w:rsidRDefault="00FA2AD8" w:rsidP="005B2EAE">
      <w:pPr>
        <w:outlineLvl w:val="1"/>
        <w:rPr>
          <w:b/>
          <w:sz w:val="24"/>
          <w:szCs w:val="24"/>
          <w:lang w:val="es-419"/>
        </w:rPr>
      </w:pPr>
      <w:r w:rsidRPr="000C21BC">
        <w:rPr>
          <w:b/>
          <w:sz w:val="24"/>
          <w:szCs w:val="24"/>
          <w:lang w:val="es-419"/>
        </w:rPr>
        <w:t>Segunda</w:t>
      </w:r>
      <w:r w:rsidR="0059280E" w:rsidRPr="000C21BC">
        <w:rPr>
          <w:b/>
          <w:sz w:val="24"/>
          <w:szCs w:val="24"/>
          <w:lang w:val="es-419"/>
        </w:rPr>
        <w:t xml:space="preserve"> sesión</w:t>
      </w:r>
    </w:p>
    <w:p w14:paraId="696B0DA0" w14:textId="77777777" w:rsidR="00B67CDC" w:rsidRPr="000C21BC" w:rsidRDefault="0059280E" w:rsidP="00472A6E">
      <w:pPr>
        <w:spacing w:after="720"/>
        <w:outlineLvl w:val="1"/>
        <w:rPr>
          <w:b/>
          <w:sz w:val="24"/>
          <w:szCs w:val="24"/>
          <w:lang w:val="es-419"/>
        </w:rPr>
      </w:pPr>
      <w:r w:rsidRPr="000C21BC">
        <w:rPr>
          <w:b/>
          <w:sz w:val="24"/>
          <w:szCs w:val="24"/>
          <w:lang w:val="es-419"/>
        </w:rPr>
        <w:t>Ginebra, 14 a 16 de abril de 202</w:t>
      </w:r>
      <w:r w:rsidR="00FA2AD8" w:rsidRPr="000C21BC">
        <w:rPr>
          <w:b/>
          <w:sz w:val="24"/>
          <w:szCs w:val="24"/>
          <w:lang w:val="es-419"/>
        </w:rPr>
        <w:t>6</w:t>
      </w:r>
    </w:p>
    <w:p w14:paraId="4AF69295" w14:textId="7048CAD3" w:rsidR="008B2CC1" w:rsidRPr="000C21BC" w:rsidRDefault="0097631F" w:rsidP="00472A6E">
      <w:pPr>
        <w:spacing w:after="360"/>
        <w:rPr>
          <w:caps/>
          <w:sz w:val="24"/>
          <w:lang w:val="es-419"/>
        </w:rPr>
      </w:pPr>
      <w:bookmarkStart w:id="3" w:name="TitleOfDoc"/>
      <w:r w:rsidRPr="000C21BC">
        <w:rPr>
          <w:caps/>
          <w:sz w:val="24"/>
          <w:lang w:val="es-419"/>
        </w:rPr>
        <w:t>Programa provisional</w:t>
      </w:r>
    </w:p>
    <w:p w14:paraId="706247B3" w14:textId="19815566" w:rsidR="008B2CC1" w:rsidRPr="000C21BC" w:rsidRDefault="0097631F" w:rsidP="00472A6E">
      <w:pPr>
        <w:spacing w:after="1040"/>
        <w:rPr>
          <w:i/>
          <w:lang w:val="es-419"/>
        </w:rPr>
      </w:pPr>
      <w:bookmarkStart w:id="4" w:name="Prepared"/>
      <w:bookmarkEnd w:id="3"/>
      <w:bookmarkEnd w:id="4"/>
      <w:r w:rsidRPr="000C21BC">
        <w:rPr>
          <w:i/>
          <w:lang w:val="es-419"/>
        </w:rPr>
        <w:t>preparado por la Secretaría</w:t>
      </w:r>
    </w:p>
    <w:p w14:paraId="5BACC3CA" w14:textId="77777777" w:rsidR="0097631F" w:rsidRPr="000C21BC" w:rsidRDefault="0097631F" w:rsidP="0097631F">
      <w:pPr>
        <w:tabs>
          <w:tab w:val="left" w:pos="567"/>
          <w:tab w:val="left" w:pos="1134"/>
        </w:tabs>
        <w:spacing w:after="220"/>
        <w:rPr>
          <w:b/>
          <w:bCs/>
          <w:u w:val="single"/>
          <w:lang w:val="es-419"/>
        </w:rPr>
      </w:pPr>
      <w:r w:rsidRPr="000C21BC">
        <w:rPr>
          <w:b/>
          <w:u w:val="single"/>
          <w:lang w:val="es-419"/>
        </w:rPr>
        <w:t>Martes, 14 de abril de 2026</w:t>
      </w:r>
    </w:p>
    <w:p w14:paraId="0DDFF3AD" w14:textId="77777777" w:rsidR="0097631F" w:rsidRPr="000C21BC" w:rsidRDefault="0097631F" w:rsidP="0097631F">
      <w:pPr>
        <w:spacing w:after="220"/>
        <w:ind w:left="2268" w:hanging="2268"/>
        <w:rPr>
          <w:rFonts w:eastAsia="Malgun Gothic"/>
          <w:b/>
          <w:lang w:val="es-419"/>
        </w:rPr>
      </w:pPr>
      <w:r w:rsidRPr="000C21BC">
        <w:rPr>
          <w:lang w:val="es-419"/>
        </w:rPr>
        <w:t>10.00 – 10.10</w:t>
      </w:r>
      <w:r w:rsidRPr="000C21BC">
        <w:rPr>
          <w:lang w:val="es-419"/>
        </w:rPr>
        <w:tab/>
      </w:r>
      <w:r w:rsidRPr="000C21BC">
        <w:rPr>
          <w:b/>
          <w:lang w:val="es-419"/>
        </w:rPr>
        <w:t>Palabras de apertura</w:t>
      </w:r>
    </w:p>
    <w:p w14:paraId="6393FEC6" w14:textId="77777777" w:rsidR="0097631F" w:rsidRPr="000C21BC" w:rsidRDefault="0097631F" w:rsidP="0097631F">
      <w:pPr>
        <w:pStyle w:val="InfoSection"/>
        <w:rPr>
          <w:i w:val="0"/>
          <w:iCs w:val="0"/>
          <w:lang w:val="es-419"/>
        </w:rPr>
      </w:pPr>
      <w:r w:rsidRPr="000C21BC">
        <w:rPr>
          <w:lang w:val="es-419"/>
        </w:rPr>
        <w:t xml:space="preserve">Alocución del Sr. </w:t>
      </w:r>
      <w:proofErr w:type="spellStart"/>
      <w:r w:rsidRPr="000C21BC">
        <w:rPr>
          <w:lang w:val="es-419"/>
        </w:rPr>
        <w:t>Daren</w:t>
      </w:r>
      <w:proofErr w:type="spellEnd"/>
      <w:r w:rsidRPr="000C21BC">
        <w:rPr>
          <w:lang w:val="es-419"/>
        </w:rPr>
        <w:t xml:space="preserve"> Tang, director general</w:t>
      </w:r>
    </w:p>
    <w:p w14:paraId="3FA1E458" w14:textId="77777777" w:rsidR="0097631F" w:rsidRPr="000C21BC" w:rsidRDefault="0097631F" w:rsidP="0097631F">
      <w:pPr>
        <w:tabs>
          <w:tab w:val="left" w:pos="2268"/>
        </w:tabs>
        <w:spacing w:after="220"/>
        <w:ind w:left="2268" w:hanging="2268"/>
        <w:rPr>
          <w:rFonts w:eastAsia="Malgun Gothic"/>
          <w:lang w:val="es-419"/>
        </w:rPr>
      </w:pPr>
      <w:r w:rsidRPr="000C21BC">
        <w:rPr>
          <w:lang w:val="es-419"/>
        </w:rPr>
        <w:t>10.10 – 10.40</w:t>
      </w:r>
      <w:r w:rsidRPr="000C21BC">
        <w:rPr>
          <w:lang w:val="es-419"/>
        </w:rPr>
        <w:tab/>
      </w:r>
      <w:r w:rsidRPr="000C21BC">
        <w:rPr>
          <w:b/>
          <w:lang w:val="es-419"/>
        </w:rPr>
        <w:t>Ponencia 1</w:t>
      </w:r>
    </w:p>
    <w:p w14:paraId="40C1EBD2" w14:textId="77777777" w:rsidR="0097631F" w:rsidRPr="000C21BC" w:rsidRDefault="0097631F" w:rsidP="0097631F">
      <w:pPr>
        <w:pStyle w:val="InfoSection"/>
        <w:rPr>
          <w:lang w:val="es-419"/>
        </w:rPr>
      </w:pPr>
      <w:r w:rsidRPr="000C21BC">
        <w:rPr>
          <w:lang w:val="es-419"/>
        </w:rPr>
        <w:t>Presentación detallada a cargo de un líder intelectual sobre el panorama actual y la orientación futura de la IA en la propiedad intelectual (PI), en la que se resaltará la importancia estratégica de la transformación impulsada por la IA en las oficinas de PI</w:t>
      </w:r>
    </w:p>
    <w:p w14:paraId="6A80A7AF" w14:textId="77777777" w:rsidR="0097631F" w:rsidRPr="000C21BC" w:rsidRDefault="0097631F" w:rsidP="0097631F">
      <w:pPr>
        <w:tabs>
          <w:tab w:val="left" w:pos="2268"/>
        </w:tabs>
        <w:spacing w:after="220"/>
        <w:ind w:left="2268" w:hanging="2268"/>
        <w:rPr>
          <w:rFonts w:eastAsia="Malgun Gothic"/>
          <w:b/>
          <w:bCs/>
          <w:lang w:val="es-419"/>
        </w:rPr>
      </w:pPr>
      <w:r w:rsidRPr="000C21BC">
        <w:rPr>
          <w:lang w:val="es-419"/>
        </w:rPr>
        <w:t>10.40 – 11.00</w:t>
      </w:r>
      <w:r w:rsidRPr="000C21BC">
        <w:rPr>
          <w:lang w:val="es-419"/>
        </w:rPr>
        <w:tab/>
      </w:r>
      <w:r w:rsidRPr="000C21BC">
        <w:rPr>
          <w:b/>
          <w:lang w:val="es-419"/>
        </w:rPr>
        <w:t>Avances desde la primera sesión del WILD</w:t>
      </w:r>
    </w:p>
    <w:p w14:paraId="64ADE0F4" w14:textId="77777777" w:rsidR="0097631F" w:rsidRPr="000C21BC" w:rsidRDefault="0097631F" w:rsidP="0097631F">
      <w:pPr>
        <w:pStyle w:val="InfoSection"/>
        <w:rPr>
          <w:lang w:val="es-419"/>
        </w:rPr>
      </w:pPr>
      <w:r w:rsidRPr="000C21BC">
        <w:rPr>
          <w:lang w:val="es-419"/>
        </w:rPr>
        <w:t>Se informará sobre las medidas de seguimiento acordadas en la primera sesión del WILD.</w:t>
      </w:r>
    </w:p>
    <w:p w14:paraId="7D9BDE8F" w14:textId="294B3F91" w:rsidR="0097631F" w:rsidRPr="000C21BC" w:rsidRDefault="0097631F" w:rsidP="0097631F">
      <w:pPr>
        <w:tabs>
          <w:tab w:val="left" w:pos="2268"/>
        </w:tabs>
        <w:spacing w:after="220"/>
        <w:ind w:left="2268" w:hanging="2268"/>
        <w:rPr>
          <w:b/>
          <w:lang w:val="es-419"/>
        </w:rPr>
      </w:pPr>
      <w:bookmarkStart w:id="5" w:name="_Hlk166579999"/>
      <w:r w:rsidRPr="000C21BC">
        <w:rPr>
          <w:lang w:val="es-419"/>
        </w:rPr>
        <w:t>11.00 – 13.00</w:t>
      </w:r>
      <w:r w:rsidRPr="000C21BC">
        <w:rPr>
          <w:lang w:val="es-419"/>
        </w:rPr>
        <w:tab/>
      </w:r>
      <w:r w:rsidRPr="000C21BC">
        <w:rPr>
          <w:b/>
          <w:lang w:val="es-419"/>
        </w:rPr>
        <w:t>Tema 1: Estrategia y política de transformación mediante la IA</w:t>
      </w:r>
    </w:p>
    <w:p w14:paraId="5FB5FFB2" w14:textId="77777777" w:rsidR="0097631F" w:rsidRPr="000C21BC" w:rsidRDefault="0097631F" w:rsidP="0097631F">
      <w:pPr>
        <w:pStyle w:val="InfoSection"/>
        <w:rPr>
          <w:i w:val="0"/>
          <w:iCs w:val="0"/>
          <w:lang w:val="es-419"/>
        </w:rPr>
      </w:pPr>
      <w:r w:rsidRPr="000C21BC">
        <w:rPr>
          <w:lang w:val="es-419"/>
        </w:rPr>
        <w:t>Debates sobre el desarrollo de estrategias integrales de IA para las oficinas de propiedad intelectual, incluido el diseño y la implementación de una infraestructura de IA sólida que respalde soluciones escalables y sostenibles en el ecosistema de PI.</w:t>
      </w:r>
    </w:p>
    <w:p w14:paraId="641F314B" w14:textId="77777777" w:rsidR="0097631F" w:rsidRPr="000C21BC" w:rsidRDefault="0097631F" w:rsidP="0097631F">
      <w:pPr>
        <w:tabs>
          <w:tab w:val="left" w:pos="2268"/>
        </w:tabs>
        <w:spacing w:after="220"/>
        <w:ind w:left="2268" w:hanging="2268"/>
        <w:rPr>
          <w:rFonts w:eastAsia="Malgun Gothic"/>
          <w:bCs/>
          <w:lang w:val="es-419"/>
        </w:rPr>
      </w:pPr>
      <w:r w:rsidRPr="000C21BC">
        <w:rPr>
          <w:lang w:val="es-419"/>
        </w:rPr>
        <w:t>13.00 – 15.00</w:t>
      </w:r>
      <w:r w:rsidRPr="000C21BC">
        <w:rPr>
          <w:lang w:val="es-419"/>
        </w:rPr>
        <w:tab/>
        <w:t>Pausa para el almuerzo</w:t>
      </w:r>
    </w:p>
    <w:p w14:paraId="1BB2FE16" w14:textId="10997326" w:rsidR="0097631F" w:rsidRPr="000C21BC" w:rsidRDefault="0097631F" w:rsidP="0097631F">
      <w:pPr>
        <w:keepNext/>
        <w:tabs>
          <w:tab w:val="left" w:pos="2268"/>
        </w:tabs>
        <w:spacing w:after="220"/>
        <w:ind w:left="2268" w:hanging="2268"/>
        <w:rPr>
          <w:rFonts w:eastAsia="Malgun Gothic"/>
          <w:b/>
          <w:bCs/>
          <w:lang w:val="es-419"/>
        </w:rPr>
      </w:pPr>
      <w:r w:rsidRPr="000C21BC">
        <w:rPr>
          <w:lang w:val="es-419"/>
        </w:rPr>
        <w:lastRenderedPageBreak/>
        <w:t>15.00 – 17.30</w:t>
      </w:r>
      <w:r w:rsidRPr="000C21BC">
        <w:rPr>
          <w:lang w:val="es-419"/>
        </w:rPr>
        <w:tab/>
      </w:r>
      <w:r w:rsidRPr="000C21BC">
        <w:rPr>
          <w:b/>
          <w:lang w:val="es-419"/>
        </w:rPr>
        <w:t>Tema 2: Soluciones de IA para el sector de la PI</w:t>
      </w:r>
    </w:p>
    <w:p w14:paraId="3CCA64CA" w14:textId="77777777" w:rsidR="0097631F" w:rsidRPr="000C21BC" w:rsidRDefault="0097631F" w:rsidP="0097631F">
      <w:pPr>
        <w:pStyle w:val="InfoSection"/>
        <w:keepNext/>
        <w:rPr>
          <w:lang w:val="es-419"/>
        </w:rPr>
      </w:pPr>
      <w:r w:rsidRPr="000C21BC">
        <w:rPr>
          <w:lang w:val="es-419"/>
        </w:rPr>
        <w:t>Presentaciones de las oficinas de PI y los participantes del sector sobre las herramientas de IA que se utilizan actualmente, seguidas de un análisis de las oportunidades de colaboración para mejorar aún más los servicios de PI mediante la innovación basada en la IA.</w:t>
      </w:r>
    </w:p>
    <w:p w14:paraId="3B896835" w14:textId="7686449D" w:rsidR="0097631F" w:rsidRPr="000C21BC" w:rsidRDefault="0097631F" w:rsidP="000C21BC">
      <w:pPr>
        <w:tabs>
          <w:tab w:val="left" w:pos="2268"/>
        </w:tabs>
        <w:spacing w:after="220"/>
        <w:rPr>
          <w:rFonts w:eastAsia="Times New Roman"/>
          <w:b/>
          <w:lang w:val="es-419"/>
        </w:rPr>
      </w:pPr>
      <w:r w:rsidRPr="000C21BC">
        <w:rPr>
          <w:lang w:val="es-419"/>
        </w:rPr>
        <w:t>17.30 - 18.00</w:t>
      </w:r>
      <w:r w:rsidRPr="000C21BC">
        <w:rPr>
          <w:lang w:val="es-419"/>
        </w:rPr>
        <w:tab/>
      </w:r>
      <w:r w:rsidRPr="000C21BC">
        <w:rPr>
          <w:b/>
          <w:lang w:val="es-419"/>
        </w:rPr>
        <w:t>Cierre del día 1</w:t>
      </w:r>
    </w:p>
    <w:p w14:paraId="216F9664" w14:textId="77777777" w:rsidR="0097631F" w:rsidRPr="000C21BC" w:rsidRDefault="0097631F" w:rsidP="0097631F">
      <w:pPr>
        <w:tabs>
          <w:tab w:val="left" w:pos="567"/>
          <w:tab w:val="left" w:pos="1134"/>
        </w:tabs>
        <w:spacing w:after="220"/>
        <w:rPr>
          <w:rFonts w:eastAsia="Malgun Gothic"/>
          <w:bCs/>
          <w:szCs w:val="26"/>
          <w:u w:val="single"/>
          <w:lang w:val="es-419" w:eastAsia="ko-KR"/>
        </w:rPr>
      </w:pPr>
    </w:p>
    <w:p w14:paraId="50E94BB3" w14:textId="77777777" w:rsidR="0097631F" w:rsidRPr="000C21BC" w:rsidRDefault="0097631F" w:rsidP="0097631F">
      <w:pPr>
        <w:keepNext/>
        <w:tabs>
          <w:tab w:val="left" w:pos="567"/>
          <w:tab w:val="left" w:pos="1134"/>
        </w:tabs>
        <w:spacing w:after="220"/>
        <w:rPr>
          <w:b/>
          <w:szCs w:val="26"/>
          <w:u w:val="single"/>
          <w:lang w:val="es-419"/>
        </w:rPr>
      </w:pPr>
      <w:r w:rsidRPr="000C21BC">
        <w:rPr>
          <w:b/>
          <w:u w:val="single"/>
          <w:lang w:val="es-419"/>
        </w:rPr>
        <w:t>Miércoles, 15 de abril de 2026</w:t>
      </w:r>
    </w:p>
    <w:p w14:paraId="2109F5E9" w14:textId="77777777" w:rsidR="0097631F" w:rsidRPr="000C21BC" w:rsidRDefault="0097631F" w:rsidP="0097631F">
      <w:pPr>
        <w:keepNext/>
        <w:tabs>
          <w:tab w:val="left" w:pos="2268"/>
        </w:tabs>
        <w:spacing w:after="220"/>
        <w:ind w:left="2268" w:hanging="2268"/>
        <w:rPr>
          <w:rFonts w:eastAsia="Malgun Gothic"/>
          <w:b/>
          <w:bCs/>
          <w:lang w:val="es-419"/>
        </w:rPr>
      </w:pPr>
      <w:r w:rsidRPr="000C21BC">
        <w:rPr>
          <w:lang w:val="es-419"/>
        </w:rPr>
        <w:t>10.00 – 10.30</w:t>
      </w:r>
      <w:r w:rsidRPr="000C21BC">
        <w:rPr>
          <w:lang w:val="es-419"/>
        </w:rPr>
        <w:tab/>
      </w:r>
      <w:r w:rsidRPr="000C21BC">
        <w:rPr>
          <w:b/>
          <w:lang w:val="es-419"/>
        </w:rPr>
        <w:t>Ponencia 2</w:t>
      </w:r>
    </w:p>
    <w:p w14:paraId="162BA3FE" w14:textId="77777777" w:rsidR="0097631F" w:rsidRPr="000C21BC" w:rsidRDefault="0097631F" w:rsidP="0097631F">
      <w:pPr>
        <w:pStyle w:val="InfoSection"/>
        <w:rPr>
          <w:lang w:val="es-419"/>
        </w:rPr>
      </w:pPr>
      <w:r w:rsidRPr="000C21BC">
        <w:rPr>
          <w:lang w:val="es-419"/>
        </w:rPr>
        <w:t>Ponencia especial sobre perspectivas en materia de política de datos, gobernanza y el papel de los datos en la aceleración de la transformación digital en los sistemas de PI.</w:t>
      </w:r>
    </w:p>
    <w:p w14:paraId="233F1188" w14:textId="4D1AC153" w:rsidR="0097631F" w:rsidRPr="000C21BC" w:rsidRDefault="0097631F" w:rsidP="0097631F">
      <w:pPr>
        <w:tabs>
          <w:tab w:val="left" w:pos="2268"/>
        </w:tabs>
        <w:spacing w:after="220"/>
        <w:ind w:left="2268" w:hanging="2268"/>
        <w:rPr>
          <w:b/>
          <w:bCs/>
          <w:lang w:val="es-419"/>
        </w:rPr>
      </w:pPr>
      <w:r w:rsidRPr="000C21BC">
        <w:rPr>
          <w:lang w:val="es-419"/>
        </w:rPr>
        <w:t>10.30 – 13.00</w:t>
      </w:r>
      <w:r w:rsidRPr="000C21BC">
        <w:rPr>
          <w:lang w:val="es-419"/>
        </w:rPr>
        <w:tab/>
      </w:r>
      <w:r w:rsidRPr="000C21BC">
        <w:rPr>
          <w:b/>
          <w:lang w:val="es-419"/>
        </w:rPr>
        <w:t xml:space="preserve">Tema 3: Política de datos e intercambio de datos </w:t>
      </w:r>
    </w:p>
    <w:p w14:paraId="4590421B" w14:textId="77777777" w:rsidR="0097631F" w:rsidRPr="000C21BC" w:rsidRDefault="0097631F" w:rsidP="0097631F">
      <w:pPr>
        <w:pStyle w:val="InfoSection"/>
        <w:rPr>
          <w:b/>
          <w:bCs/>
          <w:lang w:val="es-419"/>
        </w:rPr>
      </w:pPr>
      <w:r w:rsidRPr="000C21BC">
        <w:rPr>
          <w:lang w:val="es-419"/>
        </w:rPr>
        <w:tab/>
        <w:t>Debates en profundidad sobre la formulación de políticas de datos, los mecanismos para un intercambio de datos seguro y eficaz, y el impacto de estas prácticas en la innovación y la cooperación internacional.</w:t>
      </w:r>
    </w:p>
    <w:p w14:paraId="4A44EC63" w14:textId="77777777" w:rsidR="0097631F" w:rsidRPr="000C21BC" w:rsidRDefault="0097631F" w:rsidP="0097631F">
      <w:pPr>
        <w:tabs>
          <w:tab w:val="left" w:pos="2268"/>
        </w:tabs>
        <w:spacing w:after="220"/>
        <w:ind w:left="2268" w:hanging="2268"/>
        <w:rPr>
          <w:rFonts w:eastAsia="Malgun Gothic"/>
          <w:bCs/>
          <w:lang w:val="es-419"/>
        </w:rPr>
      </w:pPr>
      <w:r w:rsidRPr="000C21BC">
        <w:rPr>
          <w:lang w:val="es-419"/>
        </w:rPr>
        <w:t>13.00 – 15.00</w:t>
      </w:r>
      <w:r w:rsidRPr="000C21BC">
        <w:rPr>
          <w:lang w:val="es-419"/>
        </w:rPr>
        <w:tab/>
        <w:t>Pausa para el almuerzo</w:t>
      </w:r>
    </w:p>
    <w:p w14:paraId="512D5EFE" w14:textId="77777777" w:rsidR="0097631F" w:rsidRPr="000C21BC" w:rsidRDefault="0097631F" w:rsidP="0097631F">
      <w:pPr>
        <w:tabs>
          <w:tab w:val="left" w:pos="2268"/>
        </w:tabs>
        <w:spacing w:after="220"/>
        <w:ind w:left="2268" w:hanging="2268"/>
        <w:rPr>
          <w:b/>
          <w:bCs/>
          <w:lang w:val="es-419"/>
        </w:rPr>
      </w:pPr>
      <w:r w:rsidRPr="000C21BC">
        <w:rPr>
          <w:lang w:val="es-419"/>
        </w:rPr>
        <w:t>15.00 - 16.50</w:t>
      </w:r>
      <w:r w:rsidRPr="000C21BC">
        <w:rPr>
          <w:lang w:val="es-419"/>
        </w:rPr>
        <w:tab/>
      </w:r>
      <w:r w:rsidRPr="000C21BC">
        <w:rPr>
          <w:lang w:val="es-419"/>
        </w:rPr>
        <w:tab/>
      </w:r>
      <w:r w:rsidRPr="000C21BC">
        <w:rPr>
          <w:b/>
          <w:bCs/>
          <w:lang w:val="es-419"/>
        </w:rPr>
        <w:t>Reuniones paralelas</w:t>
      </w:r>
      <w:r w:rsidRPr="000C21BC">
        <w:rPr>
          <w:b/>
          <w:lang w:val="es-419"/>
        </w:rPr>
        <w:t xml:space="preserve"> </w:t>
      </w:r>
    </w:p>
    <w:p w14:paraId="54A2059F" w14:textId="3488C453" w:rsidR="0097631F" w:rsidRPr="000C21BC" w:rsidRDefault="0097631F" w:rsidP="0097631F">
      <w:pPr>
        <w:pStyle w:val="InfoSection"/>
        <w:spacing w:after="120"/>
        <w:rPr>
          <w:b/>
          <w:bCs/>
          <w:i w:val="0"/>
          <w:iCs w:val="0"/>
          <w:lang w:val="es-419"/>
        </w:rPr>
      </w:pPr>
      <w:r w:rsidRPr="000C21BC">
        <w:rPr>
          <w:lang w:val="es-419"/>
        </w:rPr>
        <w:tab/>
        <w:t>Los participantes se dividirán en grupos especializados para centrarse en temas clave previamente seleccionados. Cada grupo debatirá retos, mejores prácticas y recomendaciones viables.</w:t>
      </w:r>
    </w:p>
    <w:p w14:paraId="66BE8C50" w14:textId="77777777" w:rsidR="0097631F" w:rsidRPr="000C21BC" w:rsidRDefault="0097631F" w:rsidP="0097631F">
      <w:pPr>
        <w:pStyle w:val="Endofdocument"/>
        <w:numPr>
          <w:ilvl w:val="1"/>
          <w:numId w:val="7"/>
        </w:numPr>
        <w:tabs>
          <w:tab w:val="left" w:pos="567"/>
          <w:tab w:val="left" w:pos="1134"/>
        </w:tabs>
        <w:spacing w:after="120"/>
        <w:rPr>
          <w:rFonts w:cs="Arial"/>
          <w:sz w:val="22"/>
          <w:szCs w:val="22"/>
          <w:lang w:val="es-419"/>
        </w:rPr>
      </w:pPr>
      <w:r w:rsidRPr="000C21BC">
        <w:rPr>
          <w:sz w:val="22"/>
          <w:lang w:val="es-419"/>
        </w:rPr>
        <w:t>Seguridad de la información</w:t>
      </w:r>
    </w:p>
    <w:p w14:paraId="3719B3F4" w14:textId="77777777" w:rsidR="0097631F" w:rsidRPr="000C21BC" w:rsidRDefault="0097631F" w:rsidP="0097631F">
      <w:pPr>
        <w:pStyle w:val="Endofdocument"/>
        <w:numPr>
          <w:ilvl w:val="1"/>
          <w:numId w:val="7"/>
        </w:numPr>
        <w:tabs>
          <w:tab w:val="left" w:pos="567"/>
          <w:tab w:val="left" w:pos="1134"/>
        </w:tabs>
        <w:spacing w:after="120"/>
        <w:rPr>
          <w:rFonts w:cs="Arial"/>
          <w:sz w:val="22"/>
          <w:szCs w:val="22"/>
          <w:lang w:val="es-419"/>
        </w:rPr>
      </w:pPr>
      <w:r w:rsidRPr="000C21BC">
        <w:rPr>
          <w:sz w:val="22"/>
          <w:lang w:val="es-419"/>
        </w:rPr>
        <w:t>Arquitectura de soluciones digitales</w:t>
      </w:r>
    </w:p>
    <w:p w14:paraId="701957C7" w14:textId="77777777" w:rsidR="0097631F" w:rsidRPr="000C21BC" w:rsidRDefault="0097631F" w:rsidP="0097631F">
      <w:pPr>
        <w:pStyle w:val="Endofdocument"/>
        <w:numPr>
          <w:ilvl w:val="1"/>
          <w:numId w:val="7"/>
        </w:numPr>
        <w:tabs>
          <w:tab w:val="left" w:pos="567"/>
          <w:tab w:val="left" w:pos="1134"/>
        </w:tabs>
        <w:spacing w:after="120"/>
        <w:rPr>
          <w:rFonts w:cs="Arial"/>
          <w:sz w:val="22"/>
          <w:szCs w:val="22"/>
          <w:lang w:val="es-419"/>
        </w:rPr>
      </w:pPr>
      <w:r w:rsidRPr="000C21BC">
        <w:rPr>
          <w:sz w:val="22"/>
          <w:lang w:val="es-419"/>
        </w:rPr>
        <w:t>Interfaces de programación de aplicaciones (API)</w:t>
      </w:r>
    </w:p>
    <w:p w14:paraId="174959B8" w14:textId="18032882" w:rsidR="0097631F" w:rsidRPr="000C21BC" w:rsidRDefault="0097631F" w:rsidP="0097631F">
      <w:pPr>
        <w:pStyle w:val="Endofdocument"/>
        <w:numPr>
          <w:ilvl w:val="1"/>
          <w:numId w:val="7"/>
        </w:numPr>
        <w:tabs>
          <w:tab w:val="left" w:pos="567"/>
          <w:tab w:val="left" w:pos="1134"/>
        </w:tabs>
        <w:spacing w:after="220"/>
        <w:rPr>
          <w:rFonts w:cs="Arial"/>
          <w:sz w:val="22"/>
          <w:szCs w:val="22"/>
          <w:lang w:val="es-419"/>
        </w:rPr>
      </w:pPr>
      <w:r w:rsidRPr="000C21BC">
        <w:rPr>
          <w:sz w:val="22"/>
          <w:lang w:val="es-419"/>
        </w:rPr>
        <w:t>Gestión de la calidad de los datos</w:t>
      </w:r>
    </w:p>
    <w:p w14:paraId="74039506" w14:textId="7F6BDC49" w:rsidR="0097631F" w:rsidRPr="000C21BC" w:rsidRDefault="0097631F" w:rsidP="0097631F">
      <w:pPr>
        <w:tabs>
          <w:tab w:val="left" w:pos="2268"/>
        </w:tabs>
        <w:spacing w:after="220"/>
        <w:ind w:left="2265" w:hanging="2265"/>
        <w:rPr>
          <w:rFonts w:eastAsia="Malgun Gothic"/>
          <w:lang w:val="es-419"/>
        </w:rPr>
      </w:pPr>
      <w:r w:rsidRPr="000C21BC">
        <w:rPr>
          <w:lang w:val="es-419"/>
        </w:rPr>
        <w:t xml:space="preserve">16.50 – 17.30 </w:t>
      </w:r>
      <w:r w:rsidRPr="000C21BC">
        <w:rPr>
          <w:b/>
          <w:lang w:val="es-419"/>
        </w:rPr>
        <w:tab/>
        <w:t>Mesa redonda 1</w:t>
      </w:r>
      <w:r w:rsidRPr="000C21BC">
        <w:rPr>
          <w:lang w:val="es-419"/>
        </w:rPr>
        <w:t xml:space="preserve">: </w:t>
      </w:r>
      <w:r w:rsidRPr="000C21BC">
        <w:rPr>
          <w:b/>
          <w:lang w:val="es-419"/>
        </w:rPr>
        <w:t>Resultados de las reuniones paralelas</w:t>
      </w:r>
    </w:p>
    <w:p w14:paraId="4878F553" w14:textId="77777777" w:rsidR="0097631F" w:rsidRPr="000C21BC" w:rsidRDefault="0097631F" w:rsidP="0097631F">
      <w:pPr>
        <w:pStyle w:val="InfoSection"/>
        <w:rPr>
          <w:lang w:val="es-419"/>
        </w:rPr>
      </w:pPr>
      <w:r w:rsidRPr="000C21BC">
        <w:rPr>
          <w:lang w:val="es-419"/>
        </w:rPr>
        <w:t>Los grupos de trabajo intercambiarán conclusiones y sugerencias, lo que facilitará el intercambio de conocimientos y permitirá determinar cuestiones transversales para la actuación colectiva.</w:t>
      </w:r>
    </w:p>
    <w:p w14:paraId="63684B97" w14:textId="4C35C53D" w:rsidR="0097631F" w:rsidRPr="000C21BC" w:rsidRDefault="0097631F" w:rsidP="0097631F">
      <w:pPr>
        <w:tabs>
          <w:tab w:val="left" w:pos="2268"/>
        </w:tabs>
        <w:spacing w:after="220"/>
        <w:rPr>
          <w:rFonts w:eastAsia="Malgun Gothic"/>
          <w:b/>
          <w:lang w:val="es-419"/>
        </w:rPr>
      </w:pPr>
      <w:r w:rsidRPr="000C21BC">
        <w:rPr>
          <w:lang w:val="es-419"/>
        </w:rPr>
        <w:t>17.30 - 18.00</w:t>
      </w:r>
      <w:r w:rsidRPr="000C21BC">
        <w:rPr>
          <w:lang w:val="es-419"/>
        </w:rPr>
        <w:tab/>
      </w:r>
      <w:r w:rsidRPr="000C21BC">
        <w:rPr>
          <w:lang w:val="es-419"/>
        </w:rPr>
        <w:tab/>
      </w:r>
      <w:r w:rsidRPr="000C21BC">
        <w:rPr>
          <w:b/>
          <w:lang w:val="es-419"/>
        </w:rPr>
        <w:t>Cierre del día 2</w:t>
      </w:r>
    </w:p>
    <w:p w14:paraId="3328C2E9" w14:textId="77777777" w:rsidR="0097631F" w:rsidRPr="000C21BC" w:rsidRDefault="0097631F" w:rsidP="0097631F">
      <w:pPr>
        <w:tabs>
          <w:tab w:val="left" w:pos="567"/>
          <w:tab w:val="left" w:pos="1134"/>
        </w:tabs>
        <w:spacing w:after="220"/>
        <w:rPr>
          <w:rFonts w:eastAsia="Malgun Gothic"/>
          <w:bCs/>
          <w:szCs w:val="26"/>
          <w:u w:val="single"/>
          <w:lang w:val="es-419" w:eastAsia="ko-KR"/>
        </w:rPr>
      </w:pPr>
    </w:p>
    <w:p w14:paraId="3DCA436E" w14:textId="77777777" w:rsidR="0097631F" w:rsidRPr="000C21BC" w:rsidRDefault="0097631F" w:rsidP="0097631F">
      <w:pPr>
        <w:tabs>
          <w:tab w:val="left" w:pos="567"/>
          <w:tab w:val="left" w:pos="1134"/>
        </w:tabs>
        <w:spacing w:after="220"/>
        <w:rPr>
          <w:b/>
          <w:szCs w:val="26"/>
          <w:u w:val="single"/>
          <w:lang w:val="es-419"/>
        </w:rPr>
      </w:pPr>
      <w:r w:rsidRPr="000C21BC">
        <w:rPr>
          <w:b/>
          <w:u w:val="single"/>
          <w:lang w:val="es-419"/>
        </w:rPr>
        <w:t>Jueves, 16 de abril de 2026</w:t>
      </w:r>
    </w:p>
    <w:p w14:paraId="1389A430" w14:textId="4FA24D75" w:rsidR="0097631F" w:rsidRPr="000C21BC" w:rsidRDefault="0097631F" w:rsidP="0097631F">
      <w:pPr>
        <w:tabs>
          <w:tab w:val="left" w:pos="2268"/>
        </w:tabs>
        <w:spacing w:after="220"/>
        <w:ind w:left="2268" w:hanging="2268"/>
        <w:rPr>
          <w:b/>
          <w:lang w:val="es-419"/>
        </w:rPr>
      </w:pPr>
      <w:r w:rsidRPr="000C21BC">
        <w:rPr>
          <w:lang w:val="es-419"/>
        </w:rPr>
        <w:t>10.00 – 11.30</w:t>
      </w:r>
      <w:r w:rsidRPr="000C21BC">
        <w:rPr>
          <w:lang w:val="es-419"/>
        </w:rPr>
        <w:tab/>
      </w:r>
      <w:r w:rsidRPr="000C21BC">
        <w:rPr>
          <w:b/>
          <w:lang w:val="es-419"/>
        </w:rPr>
        <w:t>Tema 4: Índice de experiencia de las oficinas de PI en el ámbito de las TIC</w:t>
      </w:r>
    </w:p>
    <w:p w14:paraId="226C7505" w14:textId="77777777" w:rsidR="0097631F" w:rsidRPr="000C21BC" w:rsidRDefault="0097631F" w:rsidP="0097631F">
      <w:pPr>
        <w:pStyle w:val="InfoSection"/>
        <w:rPr>
          <w:lang w:val="es-419"/>
        </w:rPr>
      </w:pPr>
      <w:r w:rsidRPr="000C21BC">
        <w:rPr>
          <w:lang w:val="es-419"/>
        </w:rPr>
        <w:t xml:space="preserve">Análisis de los modelos de índices de madurez de las TIC aplicables a las oficinas de propiedad intelectual, junto con enfoques prácticos para </w:t>
      </w:r>
      <w:r w:rsidRPr="000C21BC">
        <w:rPr>
          <w:lang w:val="es-419"/>
        </w:rPr>
        <w:lastRenderedPageBreak/>
        <w:t>su implementación en la planificación estratégica y el fortalecimiento de capacidades orientadas a impulsar la preparación digital.</w:t>
      </w:r>
    </w:p>
    <w:p w14:paraId="35D20168" w14:textId="432AF9D3" w:rsidR="0097631F" w:rsidRPr="000C21BC" w:rsidRDefault="0097631F" w:rsidP="0097631F">
      <w:pPr>
        <w:keepNext/>
        <w:keepLines/>
        <w:tabs>
          <w:tab w:val="left" w:pos="2268"/>
        </w:tabs>
        <w:spacing w:after="220"/>
        <w:ind w:left="2268" w:hanging="2268"/>
        <w:rPr>
          <w:rFonts w:eastAsia="Malgun Gothic"/>
          <w:b/>
          <w:bCs/>
          <w:lang w:val="es-419"/>
        </w:rPr>
      </w:pPr>
      <w:r w:rsidRPr="000C21BC">
        <w:rPr>
          <w:lang w:val="es-419"/>
        </w:rPr>
        <w:t>11.30 – 13.00</w:t>
      </w:r>
      <w:r w:rsidRPr="000C21BC">
        <w:rPr>
          <w:lang w:val="es-419"/>
        </w:rPr>
        <w:tab/>
      </w:r>
      <w:r w:rsidRPr="000C21BC">
        <w:rPr>
          <w:b/>
          <w:lang w:val="es-419"/>
        </w:rPr>
        <w:t>Tema 5: Función de las normas de la OMPI en la elaboración de soluciones digitales</w:t>
      </w:r>
    </w:p>
    <w:p w14:paraId="548CBC49" w14:textId="77777777" w:rsidR="0097631F" w:rsidRPr="000C21BC" w:rsidRDefault="0097631F" w:rsidP="0097631F">
      <w:pPr>
        <w:pStyle w:val="InfoSection"/>
        <w:keepNext/>
        <w:keepLines/>
        <w:rPr>
          <w:lang w:val="es-419"/>
        </w:rPr>
      </w:pPr>
      <w:r w:rsidRPr="000C21BC">
        <w:rPr>
          <w:lang w:val="es-419"/>
        </w:rPr>
        <w:tab/>
        <w:t>Debates sobre la forma en que las oficinas de PI utilizan las normas de la OMPI en la elaboración de soluciones digitales, con especial atención a las mejores prácticas y las ventajas.</w:t>
      </w:r>
    </w:p>
    <w:p w14:paraId="36201DA1" w14:textId="77777777" w:rsidR="0097631F" w:rsidRPr="000C21BC" w:rsidRDefault="0097631F" w:rsidP="0097631F">
      <w:pPr>
        <w:tabs>
          <w:tab w:val="left" w:pos="2268"/>
        </w:tabs>
        <w:spacing w:after="220"/>
        <w:ind w:left="2268" w:hanging="2268"/>
        <w:rPr>
          <w:rFonts w:eastAsia="Malgun Gothic"/>
          <w:bCs/>
          <w:lang w:val="es-419"/>
        </w:rPr>
      </w:pPr>
      <w:r w:rsidRPr="000C21BC">
        <w:rPr>
          <w:lang w:val="es-419"/>
        </w:rPr>
        <w:t>13.00 – 15.00</w:t>
      </w:r>
      <w:r w:rsidRPr="000C21BC">
        <w:rPr>
          <w:lang w:val="es-419"/>
        </w:rPr>
        <w:tab/>
        <w:t>Pausa para el almuerzo</w:t>
      </w:r>
    </w:p>
    <w:p w14:paraId="091D6C8E" w14:textId="4F7385EC" w:rsidR="0097631F" w:rsidRPr="000C21BC" w:rsidRDefault="0097631F" w:rsidP="0097631F">
      <w:pPr>
        <w:keepNext/>
        <w:keepLines/>
        <w:tabs>
          <w:tab w:val="left" w:pos="2268"/>
        </w:tabs>
        <w:spacing w:after="220"/>
        <w:ind w:left="2268" w:hanging="2268"/>
        <w:rPr>
          <w:rFonts w:eastAsia="Malgun Gothic"/>
          <w:b/>
          <w:bCs/>
          <w:lang w:val="es-419"/>
        </w:rPr>
      </w:pPr>
      <w:r w:rsidRPr="000C21BC">
        <w:rPr>
          <w:lang w:val="es-419"/>
        </w:rPr>
        <w:t>15.00 – 16.00</w:t>
      </w:r>
      <w:r w:rsidRPr="000C21BC">
        <w:rPr>
          <w:lang w:val="es-419"/>
        </w:rPr>
        <w:tab/>
      </w:r>
      <w:r w:rsidRPr="000C21BC">
        <w:rPr>
          <w:b/>
          <w:lang w:val="es-419"/>
        </w:rPr>
        <w:t>Tema 6: Talento digital y fortalecimiento de capacidades en IA</w:t>
      </w:r>
    </w:p>
    <w:p w14:paraId="48DA2681" w14:textId="77777777" w:rsidR="0097631F" w:rsidRPr="000C21BC" w:rsidRDefault="0097631F" w:rsidP="0097631F">
      <w:pPr>
        <w:pStyle w:val="InfoSection"/>
        <w:keepLines/>
        <w:rPr>
          <w:lang w:val="es-419"/>
        </w:rPr>
      </w:pPr>
      <w:r w:rsidRPr="000C21BC">
        <w:rPr>
          <w:lang w:val="es-419"/>
        </w:rPr>
        <w:tab/>
        <w:t>Presentaciones y debates sobre iniciativas para mejorar las competencias de los profesionales de TI y PI en materia de IA, gestión de datos y ciberseguridad, así como programas de colaboración coordinados por la OMPI para fortalecer las capacidades digitales en los Estados miembros.</w:t>
      </w:r>
    </w:p>
    <w:p w14:paraId="7403EF10" w14:textId="0A92971F" w:rsidR="0097631F" w:rsidRPr="000C21BC" w:rsidRDefault="0097631F" w:rsidP="0097631F">
      <w:pPr>
        <w:tabs>
          <w:tab w:val="left" w:pos="2268"/>
        </w:tabs>
        <w:spacing w:after="220"/>
        <w:ind w:left="2265" w:hanging="2265"/>
        <w:rPr>
          <w:rFonts w:eastAsia="Malgun Gothic"/>
          <w:lang w:val="es-419"/>
        </w:rPr>
      </w:pPr>
      <w:r w:rsidRPr="000C21BC">
        <w:rPr>
          <w:lang w:val="es-419"/>
        </w:rPr>
        <w:t xml:space="preserve">16.00 – 17.00 </w:t>
      </w:r>
      <w:r w:rsidRPr="000C21BC">
        <w:rPr>
          <w:b/>
          <w:lang w:val="es-419"/>
        </w:rPr>
        <w:tab/>
        <w:t>Mesa redonda 2</w:t>
      </w:r>
      <w:r w:rsidRPr="000C21BC">
        <w:rPr>
          <w:lang w:val="es-419"/>
        </w:rPr>
        <w:t xml:space="preserve">: </w:t>
      </w:r>
      <w:r w:rsidRPr="000C21BC">
        <w:rPr>
          <w:b/>
          <w:lang w:val="es-419"/>
        </w:rPr>
        <w:t>Fortalecimiento de la colaboración digital</w:t>
      </w:r>
    </w:p>
    <w:p w14:paraId="55F72E99" w14:textId="77777777" w:rsidR="0097631F" w:rsidRPr="000C21BC" w:rsidRDefault="0097631F" w:rsidP="0097631F">
      <w:pPr>
        <w:pStyle w:val="InfoSection"/>
        <w:rPr>
          <w:lang w:val="es-419"/>
        </w:rPr>
      </w:pPr>
      <w:r w:rsidRPr="000C21BC">
        <w:rPr>
          <w:lang w:val="es-419"/>
        </w:rPr>
        <w:tab/>
        <w:t>Mesa redonda dedicada a explorar estrategias para potenciar la colaboración digital entre los Estados miembros, promover el intercambio de conocimientos y fortalecer la comunidad internacional en el ámbito de la propiedad intelectual digital.</w:t>
      </w:r>
    </w:p>
    <w:p w14:paraId="06C3921B" w14:textId="3178DE16" w:rsidR="0097631F" w:rsidRPr="000C21BC" w:rsidRDefault="0097631F" w:rsidP="0097631F">
      <w:pPr>
        <w:tabs>
          <w:tab w:val="left" w:pos="2268"/>
        </w:tabs>
        <w:spacing w:after="220"/>
        <w:ind w:left="2268" w:hanging="2268"/>
        <w:rPr>
          <w:rFonts w:eastAsia="Malgun Gothic"/>
          <w:b/>
          <w:bCs/>
          <w:lang w:val="es-419"/>
        </w:rPr>
      </w:pPr>
      <w:r w:rsidRPr="000C21BC">
        <w:rPr>
          <w:lang w:val="es-419"/>
        </w:rPr>
        <w:t>17.00 – 17.50</w:t>
      </w:r>
      <w:r w:rsidRPr="000C21BC">
        <w:rPr>
          <w:lang w:val="es-419"/>
        </w:rPr>
        <w:tab/>
      </w:r>
      <w:r w:rsidRPr="000C21BC">
        <w:rPr>
          <w:b/>
          <w:lang w:val="es-419"/>
        </w:rPr>
        <w:t>Próximas etapas: Medidas clave que han de adoptar las oficinas de PI y la OMPI</w:t>
      </w:r>
    </w:p>
    <w:p w14:paraId="17C8C637" w14:textId="77777777" w:rsidR="0097631F" w:rsidRPr="000C21BC" w:rsidRDefault="0097631F" w:rsidP="0097631F">
      <w:pPr>
        <w:pStyle w:val="InfoSection"/>
        <w:rPr>
          <w:b/>
          <w:bCs/>
          <w:lang w:val="es-419"/>
        </w:rPr>
      </w:pPr>
      <w:r w:rsidRPr="000C21BC">
        <w:rPr>
          <w:lang w:val="es-419"/>
        </w:rPr>
        <w:tab/>
        <w:t>Consolidación de las conclusiones de la conferencia, poniendo especial énfasis en las estrategias viables, los compromisos adoptados y los próximos pasos que deben emprender tanto las oficinas de PI como la OMPI para acelerar la transformación digital.</w:t>
      </w:r>
    </w:p>
    <w:p w14:paraId="0C68EC7F" w14:textId="77777777" w:rsidR="0097631F" w:rsidRPr="000C21BC" w:rsidRDefault="0097631F" w:rsidP="0097631F">
      <w:pPr>
        <w:tabs>
          <w:tab w:val="left" w:pos="2268"/>
        </w:tabs>
        <w:spacing w:after="220"/>
        <w:rPr>
          <w:rFonts w:eastAsia="Malgun Gothic"/>
          <w:b/>
          <w:lang w:val="es-419"/>
        </w:rPr>
      </w:pPr>
      <w:r w:rsidRPr="000C21BC">
        <w:rPr>
          <w:lang w:val="es-419"/>
        </w:rPr>
        <w:t>17.50 – 18.00</w:t>
      </w:r>
      <w:r w:rsidRPr="000C21BC">
        <w:rPr>
          <w:lang w:val="es-419"/>
        </w:rPr>
        <w:tab/>
      </w:r>
      <w:r w:rsidRPr="000C21BC">
        <w:rPr>
          <w:lang w:val="es-419"/>
        </w:rPr>
        <w:tab/>
      </w:r>
      <w:r w:rsidRPr="000C21BC">
        <w:rPr>
          <w:b/>
          <w:bCs/>
          <w:lang w:val="es-419"/>
        </w:rPr>
        <w:t>Observaciones de clausura</w:t>
      </w:r>
    </w:p>
    <w:bookmarkEnd w:id="5"/>
    <w:p w14:paraId="304586AD" w14:textId="77777777" w:rsidR="0097631F" w:rsidRPr="000C21BC" w:rsidRDefault="0097631F" w:rsidP="0097631F">
      <w:pPr>
        <w:pStyle w:val="InfoSection"/>
        <w:rPr>
          <w:rFonts w:eastAsia="Times New Roman"/>
          <w:lang w:val="es-419"/>
        </w:rPr>
      </w:pPr>
      <w:r w:rsidRPr="000C21BC">
        <w:rPr>
          <w:lang w:val="es-419"/>
        </w:rPr>
        <w:t>Clausura a cargo del Sr. Ken-</w:t>
      </w:r>
      <w:proofErr w:type="spellStart"/>
      <w:r w:rsidRPr="000C21BC">
        <w:rPr>
          <w:lang w:val="es-419"/>
        </w:rPr>
        <w:t>ichiro</w:t>
      </w:r>
      <w:proofErr w:type="spellEnd"/>
      <w:r w:rsidRPr="000C21BC">
        <w:rPr>
          <w:lang w:val="es-419"/>
        </w:rPr>
        <w:t xml:space="preserve"> Natsume, subdirector general</w:t>
      </w:r>
    </w:p>
    <w:p w14:paraId="05659B9C" w14:textId="50273474" w:rsidR="00152CEA" w:rsidRPr="000C21BC" w:rsidRDefault="0097631F" w:rsidP="000C21BC">
      <w:pPr>
        <w:pStyle w:val="Endofdocument-Annex"/>
        <w:spacing w:before="720"/>
        <w:rPr>
          <w:lang w:val="es-419"/>
        </w:rPr>
      </w:pPr>
      <w:r w:rsidRPr="000C21BC">
        <w:rPr>
          <w:lang w:val="es-419"/>
        </w:rPr>
        <w:t>[Fin del documento</w:t>
      </w:r>
      <w:r w:rsidR="000C21BC" w:rsidRPr="000C21BC">
        <w:rPr>
          <w:lang w:val="es-419"/>
        </w:rPr>
        <w:t>]</w:t>
      </w:r>
    </w:p>
    <w:sectPr w:rsidR="00152CEA" w:rsidRPr="000C21BC" w:rsidSect="0097631F">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D3193" w14:textId="77777777" w:rsidR="0097631F" w:rsidRDefault="0097631F">
      <w:r>
        <w:separator/>
      </w:r>
    </w:p>
  </w:endnote>
  <w:endnote w:type="continuationSeparator" w:id="0">
    <w:p w14:paraId="7BEEAD4B" w14:textId="77777777" w:rsidR="0097631F" w:rsidRPr="009D30E6" w:rsidRDefault="0097631F" w:rsidP="007E663E">
      <w:pPr>
        <w:rPr>
          <w:sz w:val="17"/>
          <w:szCs w:val="17"/>
        </w:rPr>
      </w:pPr>
      <w:r w:rsidRPr="009D30E6">
        <w:rPr>
          <w:sz w:val="17"/>
          <w:szCs w:val="17"/>
        </w:rPr>
        <w:separator/>
      </w:r>
    </w:p>
    <w:p w14:paraId="0E7B1986" w14:textId="77777777" w:rsidR="0097631F" w:rsidRPr="007E663E" w:rsidRDefault="0097631F" w:rsidP="007E663E">
      <w:pPr>
        <w:spacing w:after="60"/>
        <w:rPr>
          <w:sz w:val="17"/>
          <w:szCs w:val="17"/>
        </w:rPr>
      </w:pPr>
      <w:r>
        <w:rPr>
          <w:sz w:val="17"/>
        </w:rPr>
        <w:t>[Continuación de la nota de la página anterior]</w:t>
      </w:r>
    </w:p>
  </w:endnote>
  <w:endnote w:type="continuationNotice" w:id="1">
    <w:p w14:paraId="3C2009AF" w14:textId="77777777" w:rsidR="0097631F" w:rsidRPr="007E663E" w:rsidRDefault="0097631F"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6C7F3" w14:textId="77777777" w:rsidR="0097631F" w:rsidRDefault="0097631F">
      <w:r>
        <w:separator/>
      </w:r>
    </w:p>
  </w:footnote>
  <w:footnote w:type="continuationSeparator" w:id="0">
    <w:p w14:paraId="282026AE" w14:textId="77777777" w:rsidR="0097631F" w:rsidRPr="009D30E6" w:rsidRDefault="0097631F" w:rsidP="007E663E">
      <w:pPr>
        <w:rPr>
          <w:sz w:val="17"/>
          <w:szCs w:val="17"/>
        </w:rPr>
      </w:pPr>
      <w:r w:rsidRPr="009D30E6">
        <w:rPr>
          <w:sz w:val="17"/>
          <w:szCs w:val="17"/>
        </w:rPr>
        <w:separator/>
      </w:r>
    </w:p>
    <w:p w14:paraId="747898CE" w14:textId="77777777" w:rsidR="0097631F" w:rsidRPr="007E663E" w:rsidRDefault="0097631F" w:rsidP="007E663E">
      <w:pPr>
        <w:spacing w:after="60"/>
        <w:rPr>
          <w:sz w:val="17"/>
          <w:szCs w:val="17"/>
        </w:rPr>
      </w:pPr>
      <w:r>
        <w:rPr>
          <w:sz w:val="17"/>
        </w:rPr>
        <w:t>[Continuación de la nota de la página anterior]</w:t>
      </w:r>
    </w:p>
  </w:footnote>
  <w:footnote w:type="continuationNotice" w:id="1">
    <w:p w14:paraId="5EB7FB1F" w14:textId="77777777" w:rsidR="0097631F" w:rsidRPr="007E663E" w:rsidRDefault="0097631F"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C65B6" w14:textId="791C1607" w:rsidR="00AE7F20" w:rsidRPr="00EB0D93" w:rsidRDefault="0097631F" w:rsidP="00477D6B">
    <w:pPr>
      <w:jc w:val="right"/>
      <w:rPr>
        <w:caps/>
      </w:rPr>
    </w:pPr>
    <w:bookmarkStart w:id="6" w:name="Code2"/>
    <w:bookmarkEnd w:id="6"/>
    <w:r>
      <w:rPr>
        <w:caps/>
      </w:rPr>
      <w:t xml:space="preserve">WILD/2/1 </w:t>
    </w:r>
    <w:r>
      <w:t>Prov</w:t>
    </w:r>
    <w:r>
      <w:rPr>
        <w:caps/>
      </w:rPr>
      <w:t>.</w:t>
    </w:r>
  </w:p>
  <w:p w14:paraId="3756E8A2" w14:textId="77777777" w:rsidR="00AE7F20" w:rsidRDefault="00AE7F20" w:rsidP="00477D6B">
    <w:pPr>
      <w:jc w:val="right"/>
    </w:pPr>
    <w:r>
      <w:t xml:space="preserve">página </w:t>
    </w:r>
    <w:r>
      <w:fldChar w:fldCharType="begin"/>
    </w:r>
    <w:r>
      <w:instrText xml:space="preserve"> PAGE  \* MERGEFORMAT </w:instrText>
    </w:r>
    <w:r>
      <w:fldChar w:fldCharType="separate"/>
    </w:r>
    <w:r w:rsidR="00EB0D93">
      <w:rPr>
        <w:noProof/>
      </w:rPr>
      <w:t>2</w:t>
    </w:r>
    <w:r>
      <w:fldChar w:fldCharType="end"/>
    </w:r>
  </w:p>
  <w:p w14:paraId="1C276FD0" w14:textId="77777777" w:rsidR="00AE7F20" w:rsidRDefault="00AE7F20" w:rsidP="00477D6B">
    <w:pPr>
      <w:jc w:val="right"/>
    </w:pPr>
  </w:p>
  <w:p w14:paraId="2FF933B0" w14:textId="77777777"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171771D"/>
    <w:multiLevelType w:val="hybridMultilevel"/>
    <w:tmpl w:val="6B54CF0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2625"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69845921">
    <w:abstractNumId w:val="2"/>
  </w:num>
  <w:num w:numId="2" w16cid:durableId="1632899909">
    <w:abstractNumId w:val="5"/>
  </w:num>
  <w:num w:numId="3" w16cid:durableId="1719629078">
    <w:abstractNumId w:val="0"/>
  </w:num>
  <w:num w:numId="4" w16cid:durableId="1825775145">
    <w:abstractNumId w:val="6"/>
  </w:num>
  <w:num w:numId="5" w16cid:durableId="1181044349">
    <w:abstractNumId w:val="1"/>
  </w:num>
  <w:num w:numId="6" w16cid:durableId="898437782">
    <w:abstractNumId w:val="3"/>
  </w:num>
  <w:num w:numId="7" w16cid:durableId="17115634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31F"/>
    <w:rsid w:val="00010686"/>
    <w:rsid w:val="00023002"/>
    <w:rsid w:val="00052915"/>
    <w:rsid w:val="000C21BC"/>
    <w:rsid w:val="000C2C7B"/>
    <w:rsid w:val="000E3BB3"/>
    <w:rsid w:val="000F5E56"/>
    <w:rsid w:val="001362EE"/>
    <w:rsid w:val="00152CEA"/>
    <w:rsid w:val="001832A6"/>
    <w:rsid w:val="001A3569"/>
    <w:rsid w:val="002634C4"/>
    <w:rsid w:val="002C2E2F"/>
    <w:rsid w:val="002D23B5"/>
    <w:rsid w:val="002E0F47"/>
    <w:rsid w:val="002F4E68"/>
    <w:rsid w:val="00310826"/>
    <w:rsid w:val="003514FD"/>
    <w:rsid w:val="00354647"/>
    <w:rsid w:val="00377273"/>
    <w:rsid w:val="003845C1"/>
    <w:rsid w:val="00387287"/>
    <w:rsid w:val="003B1B84"/>
    <w:rsid w:val="003C4A46"/>
    <w:rsid w:val="003E48F1"/>
    <w:rsid w:val="003F347A"/>
    <w:rsid w:val="00423E3E"/>
    <w:rsid w:val="00427AF4"/>
    <w:rsid w:val="0045231F"/>
    <w:rsid w:val="004647DA"/>
    <w:rsid w:val="0046793F"/>
    <w:rsid w:val="00472A6E"/>
    <w:rsid w:val="00477808"/>
    <w:rsid w:val="00477D6B"/>
    <w:rsid w:val="004A6C37"/>
    <w:rsid w:val="004E297D"/>
    <w:rsid w:val="00531B02"/>
    <w:rsid w:val="005332F0"/>
    <w:rsid w:val="0055013B"/>
    <w:rsid w:val="00571B99"/>
    <w:rsid w:val="0059280E"/>
    <w:rsid w:val="005B2EAE"/>
    <w:rsid w:val="00605827"/>
    <w:rsid w:val="00675021"/>
    <w:rsid w:val="00697618"/>
    <w:rsid w:val="006A06C6"/>
    <w:rsid w:val="007224C8"/>
    <w:rsid w:val="00794BE2"/>
    <w:rsid w:val="007A5581"/>
    <w:rsid w:val="007B71FE"/>
    <w:rsid w:val="007D781E"/>
    <w:rsid w:val="007E663E"/>
    <w:rsid w:val="00815082"/>
    <w:rsid w:val="0088395E"/>
    <w:rsid w:val="008B2CC1"/>
    <w:rsid w:val="008E6BD6"/>
    <w:rsid w:val="0090731E"/>
    <w:rsid w:val="00966A22"/>
    <w:rsid w:val="00972F03"/>
    <w:rsid w:val="0097631F"/>
    <w:rsid w:val="0098367F"/>
    <w:rsid w:val="009A0C8B"/>
    <w:rsid w:val="009A20CD"/>
    <w:rsid w:val="009B6241"/>
    <w:rsid w:val="00A16FC0"/>
    <w:rsid w:val="00A17A16"/>
    <w:rsid w:val="00A32C9E"/>
    <w:rsid w:val="00AB613D"/>
    <w:rsid w:val="00AE7F20"/>
    <w:rsid w:val="00B24BAB"/>
    <w:rsid w:val="00B475B8"/>
    <w:rsid w:val="00B534D5"/>
    <w:rsid w:val="00B60F7B"/>
    <w:rsid w:val="00B65A0A"/>
    <w:rsid w:val="00B67CDC"/>
    <w:rsid w:val="00B72D36"/>
    <w:rsid w:val="00BB4DDA"/>
    <w:rsid w:val="00BC4164"/>
    <w:rsid w:val="00BD2DCC"/>
    <w:rsid w:val="00BF5A8E"/>
    <w:rsid w:val="00C90559"/>
    <w:rsid w:val="00CA0500"/>
    <w:rsid w:val="00CA2251"/>
    <w:rsid w:val="00D56C7C"/>
    <w:rsid w:val="00D71B4D"/>
    <w:rsid w:val="00D90289"/>
    <w:rsid w:val="00D93D55"/>
    <w:rsid w:val="00DC4C60"/>
    <w:rsid w:val="00DD12F3"/>
    <w:rsid w:val="00DD6CF4"/>
    <w:rsid w:val="00DF4239"/>
    <w:rsid w:val="00E0079A"/>
    <w:rsid w:val="00E444DA"/>
    <w:rsid w:val="00E45C84"/>
    <w:rsid w:val="00E504E5"/>
    <w:rsid w:val="00E82A2C"/>
    <w:rsid w:val="00EB0D93"/>
    <w:rsid w:val="00EB7A3E"/>
    <w:rsid w:val="00EC1AA7"/>
    <w:rsid w:val="00EC401A"/>
    <w:rsid w:val="00EF530A"/>
    <w:rsid w:val="00EF6622"/>
    <w:rsid w:val="00EF78A9"/>
    <w:rsid w:val="00F16607"/>
    <w:rsid w:val="00F55408"/>
    <w:rsid w:val="00F66152"/>
    <w:rsid w:val="00F70331"/>
    <w:rsid w:val="00F80845"/>
    <w:rsid w:val="00F84474"/>
    <w:rsid w:val="00FA0F0D"/>
    <w:rsid w:val="00FA2AD8"/>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3BB597"/>
  <w15:docId w15:val="{0FA1E7CB-0362-42BC-88E6-9DA34CB58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Endofdocument">
    <w:name w:val="End of document"/>
    <w:basedOn w:val="Normal"/>
    <w:rsid w:val="0097631F"/>
    <w:pPr>
      <w:spacing w:line="260" w:lineRule="atLeast"/>
      <w:ind w:left="5534"/>
    </w:pPr>
    <w:rPr>
      <w:rFonts w:eastAsia="Times New Roman" w:cs="Times New Roman"/>
      <w:sz w:val="20"/>
      <w:lang w:eastAsia="en-US"/>
    </w:rPr>
  </w:style>
  <w:style w:type="paragraph" w:customStyle="1" w:styleId="InfoSection">
    <w:name w:val="Info Section"/>
    <w:basedOn w:val="Normal"/>
    <w:qFormat/>
    <w:rsid w:val="0097631F"/>
    <w:pPr>
      <w:spacing w:after="220"/>
      <w:ind w:left="2268"/>
    </w:pPr>
    <w:rPr>
      <w:rFonts w:eastAsia="Malgun Gothic"/>
      <w:i/>
      <w:iCs/>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nt.%20Classif\WILD_2%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14DCE3865539564792259C8548EF8D28" ma:contentTypeVersion="415" ma:contentTypeDescription="" ma:contentTypeScope="" ma:versionID="c8e5df746b703de131a859a6515cba10">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a4853902d3ac474e23990fb7e7ab8d94"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80a6d461-e229-4c32-a600-23351369d3ab}"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0a6d461-e229-4c32-a600-23351369d3ab}"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rchitecture Document"/>
          <xsd:enumeration value="Briefing"/>
          <xsd:enumeration value="Contingency Plan"/>
          <xsd:enumeration value="Crisis Management Plan"/>
          <xsd:enumeration value="Letter"/>
          <xsd:enumeration value="Memo"/>
          <xsd:enumeration value="Mission Report"/>
          <xsd:enumeration value="Presentation"/>
          <xsd:enumeration value="Project Closure Document"/>
          <xsd:enumeration value="Project Initiation Document"/>
          <xsd:enumeration value="Record of Conversation"/>
          <xsd:enumeration value="Report"/>
          <xsd:enumeration value="Requirements Document"/>
          <xsd:enumeration value="SOP"/>
          <xsd:enumeration value="Speech"/>
          <xsd:enumeration value="Talking Poin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f7a99264-aac8-44dd-b14f-8017e78a225a" ContentTypeId="0x01010043A0F979BE30A3469F998CB749C11FBD"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4</Value>
      <Value>3</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TermInfo xmlns="http://schemas.microsoft.com/office/infopath/2007/PartnerControls">
          <TermName xmlns="http://schemas.microsoft.com/office/infopath/2007/PartnerControls">WIPO ICT Leadership Dialog</TermName>
          <TermId xmlns="http://schemas.microsoft.com/office/infopath/2007/PartnerControls">f48e5c5b-093c-419d-a644-637d5f909d34</TermId>
        </TermInfo>
      </Term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Events</TermName>
          <TermId xmlns="http://schemas.microsoft.com/office/infopath/2007/PartnerControls">0fa6d5bb-cd7d-439c-900a-6e43964619ce</TermId>
        </TermInfo>
      </Terms>
    </oec7080f59824b85bfab9bab42c36e68>
    <_dlc_DocId xmlns="ec94eb93-2160-433d-bc9d-10bdc50beb83">ICSDBFP-1892860892-579</_dlc_DocId>
    <_dlc_DocIdUrl xmlns="ec94eb93-2160-433d-bc9d-10bdc50beb83">
      <Url>https://wipoprod.sharepoint.com/sites/SPS-INT-BFP-ICSD-WILD/_layouts/15/DocIdRedir.aspx?ID=ICSDBFP-1892860892-579</Url>
      <Description>ICSDBFP-1892860892-579</Description>
    </_dlc_DocIdUrl>
  </documentManagement>
</p:properties>
</file>

<file path=customXml/itemProps1.xml><?xml version="1.0" encoding="utf-8"?>
<ds:datastoreItem xmlns:ds="http://schemas.openxmlformats.org/officeDocument/2006/customXml" ds:itemID="{654C7D96-760B-4AE6-9290-97808C3CE97E}">
  <ds:schemaRefs>
    <ds:schemaRef ds:uri="http://schemas.openxmlformats.org/officeDocument/2006/bibliography"/>
  </ds:schemaRefs>
</ds:datastoreItem>
</file>

<file path=customXml/itemProps2.xml><?xml version="1.0" encoding="utf-8"?>
<ds:datastoreItem xmlns:ds="http://schemas.openxmlformats.org/officeDocument/2006/customXml" ds:itemID="{94C5DF24-72AE-48D2-8123-D7C5F9E34D81}"/>
</file>

<file path=customXml/itemProps3.xml><?xml version="1.0" encoding="utf-8"?>
<ds:datastoreItem xmlns:ds="http://schemas.openxmlformats.org/officeDocument/2006/customXml" ds:itemID="{6B4F8156-8767-4FBB-A6FC-9C84F165CD60}"/>
</file>

<file path=customXml/itemProps4.xml><?xml version="1.0" encoding="utf-8"?>
<ds:datastoreItem xmlns:ds="http://schemas.openxmlformats.org/officeDocument/2006/customXml" ds:itemID="{B9A33CBB-187D-4BF7-ACD0-F48CE0A722F3}"/>
</file>

<file path=customXml/itemProps5.xml><?xml version="1.0" encoding="utf-8"?>
<ds:datastoreItem xmlns:ds="http://schemas.openxmlformats.org/officeDocument/2006/customXml" ds:itemID="{CC4561BD-07D1-4F72-A962-45ADBFE2CE2D}"/>
</file>

<file path=customXml/itemProps6.xml><?xml version="1.0" encoding="utf-8"?>
<ds:datastoreItem xmlns:ds="http://schemas.openxmlformats.org/officeDocument/2006/customXml" ds:itemID="{CC176929-2287-41D2-B1C9-4EEF103C4617}"/>
</file>

<file path=docProps/app.xml><?xml version="1.0" encoding="utf-8"?>
<Properties xmlns="http://schemas.openxmlformats.org/officeDocument/2006/extended-properties" xmlns:vt="http://schemas.openxmlformats.org/officeDocument/2006/docPropsVTypes">
  <Template>WILD_2 (S)</Template>
  <TotalTime>9</TotalTime>
  <Pages>3</Pages>
  <Words>711</Words>
  <Characters>3837</Characters>
  <Application>Microsoft Office Word</Application>
  <DocSecurity>0</DocSecurity>
  <Lines>91</Lines>
  <Paragraphs>60</Paragraphs>
  <ScaleCrop>false</ScaleCrop>
  <HeadingPairs>
    <vt:vector size="2" baseType="variant">
      <vt:variant>
        <vt:lpstr>Title</vt:lpstr>
      </vt:variant>
      <vt:variant>
        <vt:i4>1</vt:i4>
      </vt:variant>
    </vt:vector>
  </HeadingPairs>
  <TitlesOfParts>
    <vt:vector size="1" baseType="lpstr">
      <vt:lpstr>WILD/2/1 Prov. Programa provisional</vt:lpstr>
    </vt:vector>
  </TitlesOfParts>
  <Company>WIPO</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WILD/2/1 Prov. Programa provisional</dc:title>
  <dc:subject>Programa provisional</dc:subject>
  <dc:creator>WIPO</dc:creator>
  <cp:keywords>WIPO, WILD, Diálogo, Líderes ,TIC, 2026</cp:keywords>
  <cp:lastModifiedBy>MURATAJ Erjola</cp:lastModifiedBy>
  <cp:revision>10</cp:revision>
  <dcterms:created xsi:type="dcterms:W3CDTF">2025-12-17T10:36:00Z</dcterms:created>
  <dcterms:modified xsi:type="dcterms:W3CDTF">2025-12-22T14:06:00Z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2025-12-17T10:36:43Z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88ab2665-750e-435b-8d1f-16accaf3dd3b</vt:lpwstr>
  </property>
  <property fmtid="{D5CDD505-2E9C-101B-9397-08002B2CF9AE}" pid="13" name="MSIP_Label_20773ee6-353b-4fb9-a59d-0b94c8c67bea_ContentBits">
    <vt:lpwstr>0</vt:lpwstr>
  </property>
  <property fmtid="{D5CDD505-2E9C-101B-9397-08002B2CF9AE}" pid="14" name="MSIP_Label_20773ee6-353b-4fb9-a59d-0b94c8c67bea_Tag">
    <vt:lpwstr>10, 0, 1, 1</vt:lpwstr>
  </property>
  <property fmtid="{D5CDD505-2E9C-101B-9397-08002B2CF9AE}" pid="15" name="ContentTypeId">
    <vt:lpwstr>0x01010043A0F979BE30A3469F998CB749C11FBD0F0014DCE3865539564792259C8548EF8D28</vt:lpwstr>
  </property>
  <property fmtid="{D5CDD505-2E9C-101B-9397-08002B2CF9AE}" pid="16" name="_dlc_DocIdItemGuid">
    <vt:lpwstr>0299643c-ea56-4c29-84bd-25f144c57911</vt:lpwstr>
  </property>
  <property fmtid="{D5CDD505-2E9C-101B-9397-08002B2CF9AE}" pid="17" name="Languages">
    <vt:lpwstr>1;#English|950e6fa2-2df0-4983-a604-54e57c7a6d93</vt:lpwstr>
  </property>
  <property fmtid="{D5CDD505-2E9C-101B-9397-08002B2CF9AE}" pid="18" name="BusinessUnit">
    <vt:lpwstr>4;#International Classifications and Standards Division|1bda9d19-f2c0-4f24-b9f1-c91ec6b8f041</vt:lpwstr>
  </property>
  <property fmtid="{D5CDD505-2E9C-101B-9397-08002B2CF9AE}" pid="19" name="MediaServiceImageTags">
    <vt:lpwstr/>
  </property>
  <property fmtid="{D5CDD505-2E9C-101B-9397-08002B2CF9AE}" pid="20" name="m4535404f5974080b635c68c1acaf1ab">
    <vt:lpwstr/>
  </property>
  <property fmtid="{D5CDD505-2E9C-101B-9397-08002B2CF9AE}" pid="21" name="RMClassification">
    <vt:lpwstr>5;#05 Events|0fa6d5bb-cd7d-439c-900a-6e43964619ce</vt:lpwstr>
  </property>
  <property fmtid="{D5CDD505-2E9C-101B-9397-08002B2CF9AE}" pid="22" name="Body1">
    <vt:lpwstr>3;#WIPO ICT Leadership Dialog|f48e5c5b-093c-419d-a644-637d5f909d34</vt:lpwstr>
  </property>
  <property fmtid="{D5CDD505-2E9C-101B-9397-08002B2CF9AE}" pid="23" name="ECCM_Year">
    <vt:lpwstr/>
  </property>
  <property fmtid="{D5CDD505-2E9C-101B-9397-08002B2CF9AE}" pid="24" name="k5f91d7f67f54ee29b509143279df90f">
    <vt:lpwstr/>
  </property>
  <property fmtid="{D5CDD505-2E9C-101B-9397-08002B2CF9AE}" pid="25" name="IPTopics">
    <vt:lpwstr/>
  </property>
  <property fmtid="{D5CDD505-2E9C-101B-9397-08002B2CF9AE}" pid="26" name="lcf76f155ced4ddcb4097134ff3c332f">
    <vt:lpwstr/>
  </property>
</Properties>
</file>