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3D20" w14:textId="77777777" w:rsidR="008B2CC1" w:rsidRPr="009E0267" w:rsidRDefault="00472A6E" w:rsidP="0059280E">
      <w:pPr>
        <w:pBdr>
          <w:bottom w:val="single" w:sz="4" w:space="10" w:color="auto"/>
        </w:pBdr>
        <w:spacing w:after="120"/>
        <w:ind w:right="-57"/>
        <w:jc w:val="right"/>
        <w:rPr>
          <w:lang w:val="es-419"/>
        </w:rPr>
      </w:pPr>
      <w:r w:rsidRPr="009E0267">
        <w:rPr>
          <w:noProof/>
          <w:lang w:val="es-419" w:eastAsia="en-US"/>
        </w:rPr>
        <w:drawing>
          <wp:inline distT="0" distB="0" distL="0" distR="0" wp14:anchorId="5764C7BA" wp14:editId="504F178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545D9DB" w14:textId="66F6C716" w:rsidR="00472A6E" w:rsidRPr="009E0267" w:rsidRDefault="0059280E" w:rsidP="00472A6E">
      <w:pPr>
        <w:jc w:val="right"/>
        <w:rPr>
          <w:rFonts w:ascii="Arial Black" w:hAnsi="Arial Black"/>
          <w:caps/>
          <w:sz w:val="15"/>
          <w:lang w:val="es-419"/>
        </w:rPr>
      </w:pPr>
      <w:r w:rsidRPr="009E0267">
        <w:rPr>
          <w:rFonts w:ascii="Arial Black" w:hAnsi="Arial Black"/>
          <w:caps/>
          <w:sz w:val="15"/>
          <w:lang w:val="es-419"/>
        </w:rPr>
        <w:t>WILD/1/</w:t>
      </w:r>
      <w:bookmarkStart w:id="0" w:name="Code"/>
      <w:bookmarkEnd w:id="0"/>
      <w:r w:rsidR="0070679C" w:rsidRPr="009E0267">
        <w:rPr>
          <w:rFonts w:ascii="Arial Black" w:hAnsi="Arial Black"/>
          <w:caps/>
          <w:sz w:val="15"/>
          <w:lang w:val="es-419"/>
        </w:rPr>
        <w:t>2 PROV.</w:t>
      </w:r>
    </w:p>
    <w:p w14:paraId="03C36940" w14:textId="0D86C4C2" w:rsidR="008B2CC1" w:rsidRPr="009E0267" w:rsidRDefault="00472A6E" w:rsidP="00472A6E">
      <w:pPr>
        <w:jc w:val="right"/>
        <w:rPr>
          <w:lang w:val="es-419"/>
        </w:rPr>
      </w:pPr>
      <w:r w:rsidRPr="009E0267">
        <w:rPr>
          <w:rFonts w:ascii="Arial Black" w:hAnsi="Arial Black"/>
          <w:caps/>
          <w:sz w:val="15"/>
          <w:lang w:val="es-419"/>
        </w:rPr>
        <w:t>ORIGINAL:</w:t>
      </w:r>
      <w:bookmarkStart w:id="1" w:name="Original"/>
      <w:r w:rsidR="00E81166">
        <w:rPr>
          <w:rFonts w:ascii="Arial Black" w:hAnsi="Arial Black"/>
          <w:caps/>
          <w:sz w:val="15"/>
          <w:lang w:val="es-419"/>
        </w:rPr>
        <w:t xml:space="preserve"> </w:t>
      </w:r>
      <w:r w:rsidR="0070679C" w:rsidRPr="009E0267">
        <w:rPr>
          <w:rFonts w:ascii="Arial Black" w:hAnsi="Arial Black"/>
          <w:caps/>
          <w:sz w:val="15"/>
          <w:lang w:val="es-419"/>
        </w:rPr>
        <w:t>INGLÉS</w:t>
      </w:r>
    </w:p>
    <w:bookmarkEnd w:id="1"/>
    <w:p w14:paraId="7AA962AF" w14:textId="740CDA1F" w:rsidR="008B2CC1" w:rsidRPr="009E0267" w:rsidRDefault="00472A6E" w:rsidP="00472A6E">
      <w:pPr>
        <w:spacing w:after="1200"/>
        <w:jc w:val="right"/>
        <w:rPr>
          <w:lang w:val="es-419"/>
        </w:rPr>
      </w:pPr>
      <w:r w:rsidRPr="009E0267">
        <w:rPr>
          <w:rFonts w:ascii="Arial Black" w:hAnsi="Arial Black"/>
          <w:caps/>
          <w:sz w:val="15"/>
          <w:lang w:val="es-419"/>
        </w:rPr>
        <w:t xml:space="preserve">fecha: </w:t>
      </w:r>
      <w:bookmarkStart w:id="2" w:name="Date"/>
      <w:r w:rsidR="00C74104" w:rsidRPr="009E0267">
        <w:rPr>
          <w:rFonts w:ascii="Arial Black" w:hAnsi="Arial Black"/>
          <w:caps/>
          <w:sz w:val="15"/>
          <w:lang w:val="es-419"/>
        </w:rPr>
        <w:t>13</w:t>
      </w:r>
      <w:r w:rsidR="0070679C" w:rsidRPr="009E0267">
        <w:rPr>
          <w:rFonts w:ascii="Arial Black" w:hAnsi="Arial Black"/>
          <w:caps/>
          <w:sz w:val="15"/>
          <w:lang w:val="es-419"/>
        </w:rPr>
        <w:t xml:space="preserve"> DE MAYO DE 2025</w:t>
      </w:r>
    </w:p>
    <w:bookmarkEnd w:id="2"/>
    <w:p w14:paraId="4F3BDABF" w14:textId="77777777" w:rsidR="00B67CDC" w:rsidRPr="009E0267" w:rsidRDefault="0059280E" w:rsidP="00472A6E">
      <w:pPr>
        <w:pStyle w:val="Heading1"/>
        <w:spacing w:before="0" w:after="480"/>
        <w:rPr>
          <w:sz w:val="28"/>
          <w:lang w:val="es-419"/>
        </w:rPr>
      </w:pPr>
      <w:r w:rsidRPr="009E0267">
        <w:rPr>
          <w:caps w:val="0"/>
          <w:sz w:val="28"/>
          <w:lang w:val="es-419"/>
        </w:rPr>
        <w:t xml:space="preserve">Diálogo de la OMPI para Líderes de TIC </w:t>
      </w:r>
      <w:r w:rsidRPr="009E0267">
        <w:rPr>
          <w:sz w:val="28"/>
          <w:lang w:val="es-419"/>
        </w:rPr>
        <w:t>(WILD)</w:t>
      </w:r>
    </w:p>
    <w:p w14:paraId="46439EF0" w14:textId="77777777" w:rsidR="005B2EAE" w:rsidRPr="009E0267" w:rsidRDefault="0059280E" w:rsidP="005B2EAE">
      <w:pPr>
        <w:outlineLvl w:val="1"/>
        <w:rPr>
          <w:b/>
          <w:sz w:val="24"/>
          <w:szCs w:val="24"/>
          <w:lang w:val="es-419"/>
        </w:rPr>
      </w:pPr>
      <w:r w:rsidRPr="009E0267">
        <w:rPr>
          <w:b/>
          <w:sz w:val="24"/>
          <w:szCs w:val="24"/>
          <w:lang w:val="es-419"/>
        </w:rPr>
        <w:t>Primera sesión</w:t>
      </w:r>
    </w:p>
    <w:p w14:paraId="2B3536F4" w14:textId="77777777" w:rsidR="00B67CDC" w:rsidRPr="009E0267" w:rsidRDefault="0059280E" w:rsidP="00472A6E">
      <w:pPr>
        <w:spacing w:after="720"/>
        <w:outlineLvl w:val="1"/>
        <w:rPr>
          <w:b/>
          <w:sz w:val="24"/>
          <w:szCs w:val="24"/>
          <w:lang w:val="es-419"/>
        </w:rPr>
      </w:pPr>
      <w:r w:rsidRPr="009E0267">
        <w:rPr>
          <w:b/>
          <w:sz w:val="24"/>
          <w:szCs w:val="24"/>
          <w:lang w:val="es-419"/>
        </w:rPr>
        <w:t>Ginebra, 14 a 16 de abril de 2025</w:t>
      </w:r>
    </w:p>
    <w:p w14:paraId="3389F958" w14:textId="597D80E5" w:rsidR="008B2CC1" w:rsidRPr="009E0267" w:rsidRDefault="0041562E" w:rsidP="00472A6E">
      <w:pPr>
        <w:spacing w:after="360"/>
        <w:rPr>
          <w:caps/>
          <w:sz w:val="24"/>
          <w:lang w:val="es-419"/>
        </w:rPr>
      </w:pPr>
      <w:bookmarkStart w:id="3" w:name="TitleOfDoc"/>
      <w:r>
        <w:rPr>
          <w:caps/>
          <w:lang w:val="es-419"/>
        </w:rPr>
        <w:t>PROYECTO DE</w:t>
      </w:r>
      <w:r w:rsidR="00CB2D71">
        <w:rPr>
          <w:caps/>
          <w:lang w:val="es-419"/>
        </w:rPr>
        <w:t xml:space="preserve"> </w:t>
      </w:r>
      <w:r w:rsidR="0070679C" w:rsidRPr="009E0267">
        <w:rPr>
          <w:caps/>
          <w:lang w:val="es-419"/>
        </w:rPr>
        <w:t>RESUMEN DE LOS DEBATES</w:t>
      </w:r>
    </w:p>
    <w:p w14:paraId="4F2F827B" w14:textId="55AB5950" w:rsidR="008B2CC1" w:rsidRPr="009E0267" w:rsidRDefault="0070679C" w:rsidP="00472A6E">
      <w:pPr>
        <w:spacing w:after="1040"/>
        <w:rPr>
          <w:i/>
          <w:lang w:val="es-419"/>
        </w:rPr>
      </w:pPr>
      <w:bookmarkStart w:id="4" w:name="Prepared"/>
      <w:bookmarkEnd w:id="3"/>
      <w:bookmarkEnd w:id="4"/>
      <w:r w:rsidRPr="009E0267">
        <w:rPr>
          <w:i/>
          <w:lang w:val="es-419"/>
        </w:rPr>
        <w:t>preparado por la Secretaría</w:t>
      </w:r>
    </w:p>
    <w:p w14:paraId="5736F0D9" w14:textId="77777777" w:rsidR="0070679C" w:rsidRPr="009E0267" w:rsidRDefault="0070679C" w:rsidP="0070679C">
      <w:pPr>
        <w:pStyle w:val="Heading2"/>
        <w:rPr>
          <w:lang w:val="es-419"/>
        </w:rPr>
      </w:pPr>
      <w:r w:rsidRPr="009E0267">
        <w:rPr>
          <w:lang w:val="es-419"/>
        </w:rPr>
        <w:t>INTRODUCCIÓN</w:t>
      </w:r>
    </w:p>
    <w:p w14:paraId="71C2A66C" w14:textId="77777777" w:rsidR="0070679C" w:rsidRPr="009E0267" w:rsidRDefault="0070679C" w:rsidP="002E0030">
      <w:pPr>
        <w:pStyle w:val="ONUMFS"/>
        <w:rPr>
          <w:lang w:val="es-419"/>
        </w:rPr>
      </w:pPr>
      <w:r w:rsidRPr="009E0267">
        <w:rPr>
          <w:lang w:val="es-419"/>
        </w:rPr>
        <w:t xml:space="preserve">La primera sesión del Diálogo de la Organización Mundial de la Propiedad Intelectual (OMPI) para Líderes de TIC (WILD) se celebró presencialmente en la sede de la OMPI, en Ginebra, del 14 al 16 de abril de 2025. </w:t>
      </w:r>
    </w:p>
    <w:p w14:paraId="53776529" w14:textId="636F2010" w:rsidR="0070679C" w:rsidRPr="009E0267" w:rsidRDefault="0070679C" w:rsidP="002E0030">
      <w:pPr>
        <w:pStyle w:val="ONUMFS"/>
        <w:rPr>
          <w:lang w:val="es-419"/>
        </w:rPr>
      </w:pPr>
      <w:r w:rsidRPr="009E0267">
        <w:rPr>
          <w:lang w:val="es-419"/>
        </w:rPr>
        <w:t>Estuvieron representados en la sesión los siguientes Estados miembros de la OMPI</w:t>
      </w:r>
      <w:r w:rsidR="00425D23" w:rsidRPr="009E0267">
        <w:rPr>
          <w:lang w:val="es-419"/>
        </w:rPr>
        <w:t xml:space="preserve">: </w:t>
      </w:r>
      <w:r w:rsidRPr="009E0267">
        <w:rPr>
          <w:lang w:val="es-419"/>
        </w:rPr>
        <w:t>Albania; Alemania; Arabia Saudita; Argelia; Australia; Azerbaiyán; Brasil; Burkina Faso; Canadá; Chile; China; Croacia; Dinamarca; España; Estados Unidos de América; Federación de Rusia; Finlandia; Francia; Georgia; Ghana; Grecia; Guatemala; Hungría; India; Indonesia; Islandia; Italia; Japón; Kazajstán; Marruecos; Noruega; Paraguay; Perú; Portugal; Reino Unido; República Checa; República de Corea; República de Moldova; Serbia; Singapur; Suiza; Trinidad y Tabago; Uganda; Uzbekistán; Venezuela (República Bolivariana de); y Zambia (46).</w:t>
      </w:r>
    </w:p>
    <w:p w14:paraId="2670AD56" w14:textId="3439A9AE" w:rsidR="0070679C" w:rsidRPr="009E0267" w:rsidRDefault="0070679C" w:rsidP="002E0030">
      <w:pPr>
        <w:pStyle w:val="ONUMFS"/>
        <w:rPr>
          <w:lang w:val="es-419"/>
        </w:rPr>
      </w:pPr>
      <w:r w:rsidRPr="009E0267">
        <w:rPr>
          <w:lang w:val="es-419"/>
        </w:rPr>
        <w:t>También participaron en la sesión las siguientes organizaciones intergubernamentales</w:t>
      </w:r>
      <w:r w:rsidR="00425D23" w:rsidRPr="009E0267">
        <w:rPr>
          <w:lang w:val="es-419"/>
        </w:rPr>
        <w:t xml:space="preserve">: </w:t>
      </w:r>
      <w:r w:rsidRPr="009E0267">
        <w:rPr>
          <w:lang w:val="es-419"/>
        </w:rPr>
        <w:t xml:space="preserve">Organización Africana de la Propiedad Intelectual; Organización de Propiedad Intelectual del Benelux; Organización Eurasiática de Patentes; Organización Europea de Patentes; y Unión Europea (5). </w:t>
      </w:r>
    </w:p>
    <w:p w14:paraId="4BB6951B" w14:textId="5D7D4CF4" w:rsidR="0070679C" w:rsidRPr="009E0267" w:rsidRDefault="0070679C" w:rsidP="002E0030">
      <w:pPr>
        <w:pStyle w:val="ONUMFS"/>
        <w:rPr>
          <w:lang w:val="es-419"/>
        </w:rPr>
      </w:pPr>
      <w:r w:rsidRPr="009E0267">
        <w:rPr>
          <w:lang w:val="es-419"/>
        </w:rPr>
        <w:t>La lista de participantes se puede consultar en</w:t>
      </w:r>
      <w:r w:rsidR="00425D23" w:rsidRPr="009E0267">
        <w:rPr>
          <w:lang w:val="es-419"/>
        </w:rPr>
        <w:t xml:space="preserve">: </w:t>
      </w:r>
      <w:hyperlink r:id="rId9" w:history="1">
        <w:r w:rsidRPr="009E0267">
          <w:rPr>
            <w:rStyle w:val="Hyperlink"/>
            <w:lang w:val="es-419"/>
          </w:rPr>
          <w:t>https://www.wipo.int/meetings/es/details.jsp?meeting_id=86271</w:t>
        </w:r>
      </w:hyperlink>
      <w:r w:rsidRPr="009E0267">
        <w:rPr>
          <w:lang w:val="es-419"/>
        </w:rPr>
        <w:t>.</w:t>
      </w:r>
    </w:p>
    <w:p w14:paraId="368316FC" w14:textId="77777777" w:rsidR="0070679C" w:rsidRPr="009E0267" w:rsidRDefault="0070679C" w:rsidP="0070679C">
      <w:pPr>
        <w:rPr>
          <w:bCs/>
          <w:szCs w:val="26"/>
          <w:u w:val="single"/>
          <w:lang w:val="es-419"/>
        </w:rPr>
      </w:pPr>
      <w:r w:rsidRPr="009E0267">
        <w:rPr>
          <w:lang w:val="es-419"/>
        </w:rPr>
        <w:br w:type="page"/>
      </w:r>
    </w:p>
    <w:p w14:paraId="5E1583C8" w14:textId="77777777" w:rsidR="0070679C" w:rsidRPr="009E0267" w:rsidRDefault="0070679C" w:rsidP="0070679C">
      <w:pPr>
        <w:pStyle w:val="Heading3"/>
        <w:spacing w:after="240"/>
        <w:rPr>
          <w:lang w:val="es-419"/>
        </w:rPr>
      </w:pPr>
      <w:r w:rsidRPr="009E0267">
        <w:rPr>
          <w:lang w:val="es-419"/>
        </w:rPr>
        <w:lastRenderedPageBreak/>
        <w:t>Apertura de la sesión</w:t>
      </w:r>
    </w:p>
    <w:p w14:paraId="7A6D7F5F" w14:textId="6DDC20D4" w:rsidR="0070679C" w:rsidRPr="009E0267" w:rsidRDefault="0070679C" w:rsidP="002E0030">
      <w:pPr>
        <w:pStyle w:val="ONUMFS"/>
        <w:rPr>
          <w:lang w:val="es-419"/>
        </w:rPr>
      </w:pPr>
      <w:r w:rsidRPr="009E0267">
        <w:rPr>
          <w:lang w:val="es-419"/>
        </w:rPr>
        <w:t>La primera sesión fue inaugurada por el director general, Daren Tang, quien destacó la importancia de la transformación digital de las oficinas de propiedad intelectual (PI) en todo el mundo, y se refirió a los retos y oportunidades relacionados con la integración de las herramientas digitales y las tecnologías emergentes con miras a impulsar la eficiencia y la participación</w:t>
      </w:r>
      <w:r w:rsidR="00425D23" w:rsidRPr="009E0267">
        <w:rPr>
          <w:lang w:val="es-419"/>
        </w:rPr>
        <w:t xml:space="preserve">. </w:t>
      </w:r>
      <w:r w:rsidRPr="009E0267">
        <w:rPr>
          <w:lang w:val="es-419"/>
        </w:rPr>
        <w:t>Afirmó que el WILD se celebra con la idea de promover la colaboración y el intercambio de conocimientos entre los líderes y profesionales de primer nivel del sector de las tecnologías de la información y las comunicaciones (TIC) para, de ese modo, crear más cohesión en la comunidad mundial de la PI.</w:t>
      </w:r>
    </w:p>
    <w:p w14:paraId="55BC590B" w14:textId="77777777" w:rsidR="0070679C" w:rsidRPr="009E0267" w:rsidRDefault="0070679C" w:rsidP="0070679C">
      <w:pPr>
        <w:pStyle w:val="Heading3"/>
        <w:spacing w:after="240"/>
        <w:rPr>
          <w:lang w:val="es-419"/>
        </w:rPr>
      </w:pPr>
      <w:r w:rsidRPr="009E0267">
        <w:rPr>
          <w:lang w:val="es-419"/>
        </w:rPr>
        <w:t>Funcionarios y presentaciones</w:t>
      </w:r>
    </w:p>
    <w:p w14:paraId="35B0ECD0" w14:textId="4203CA02" w:rsidR="0070679C" w:rsidRPr="009E0267" w:rsidRDefault="0070679C" w:rsidP="002E0030">
      <w:pPr>
        <w:pStyle w:val="ONUMFS"/>
        <w:rPr>
          <w:lang w:val="es-419"/>
        </w:rPr>
      </w:pPr>
      <w:r w:rsidRPr="009E0267">
        <w:rPr>
          <w:lang w:val="es-419"/>
        </w:rPr>
        <w:t>La Sra. Sian-Nia Davies (Reino Unido) ejerció la presidencia</w:t>
      </w:r>
      <w:r w:rsidR="00425D23" w:rsidRPr="009E0267">
        <w:rPr>
          <w:lang w:val="es-419"/>
        </w:rPr>
        <w:t xml:space="preserve">. </w:t>
      </w:r>
      <w:r w:rsidRPr="009E0267">
        <w:rPr>
          <w:lang w:val="es-419"/>
        </w:rPr>
        <w:t>El Sr. Young-Woo Yun (OMPI) desempeñó la función de secretario del WILD.</w:t>
      </w:r>
    </w:p>
    <w:p w14:paraId="5F79BE07" w14:textId="705F366D" w:rsidR="0070679C" w:rsidRPr="009E0267" w:rsidRDefault="0070679C" w:rsidP="002E0030">
      <w:pPr>
        <w:pStyle w:val="ONUMFS"/>
        <w:rPr>
          <w:lang w:val="es-419"/>
        </w:rPr>
      </w:pPr>
      <w:r w:rsidRPr="009E0267">
        <w:rPr>
          <w:lang w:val="es-419"/>
        </w:rPr>
        <w:t>El programa de la sesión, las presentaciones y otros documentos conexos se pueden consultar en</w:t>
      </w:r>
      <w:r w:rsidR="00425D23" w:rsidRPr="009E0267">
        <w:rPr>
          <w:lang w:val="es-419"/>
        </w:rPr>
        <w:t xml:space="preserve">: </w:t>
      </w:r>
      <w:hyperlink r:id="rId10" w:history="1">
        <w:r w:rsidRPr="009E0267">
          <w:rPr>
            <w:rStyle w:val="Hyperlink"/>
            <w:lang w:val="es-419"/>
          </w:rPr>
          <w:t>https://www.wipo.int/meetings/es/details.jsp?meeting_id=86271</w:t>
        </w:r>
      </w:hyperlink>
      <w:r w:rsidRPr="009E0267">
        <w:rPr>
          <w:lang w:val="es-419"/>
        </w:rPr>
        <w:t xml:space="preserve">. </w:t>
      </w:r>
    </w:p>
    <w:p w14:paraId="5C7C03E8" w14:textId="77777777" w:rsidR="0070679C" w:rsidRPr="009E0267" w:rsidRDefault="0070679C" w:rsidP="0070679C">
      <w:pPr>
        <w:pStyle w:val="Heading2"/>
        <w:rPr>
          <w:lang w:val="es-419"/>
        </w:rPr>
      </w:pPr>
      <w:r w:rsidRPr="009E0267">
        <w:rPr>
          <w:lang w:val="es-419"/>
        </w:rPr>
        <w:t>DEBATES</w:t>
      </w:r>
    </w:p>
    <w:p w14:paraId="1CAED4AB" w14:textId="77777777" w:rsidR="0070679C" w:rsidRPr="009E0267" w:rsidRDefault="0070679C" w:rsidP="002E0030">
      <w:pPr>
        <w:pStyle w:val="ONUMFS"/>
        <w:rPr>
          <w:lang w:val="es-419"/>
        </w:rPr>
      </w:pPr>
      <w:r w:rsidRPr="009E0267">
        <w:rPr>
          <w:lang w:val="es-419"/>
        </w:rPr>
        <w:t>La sesión inaugural del WILD congregó a líderes del sector de las TIC y a personal directivo superior de todo el mundo para examinar el panorama de las TIC, que evoluciona rápidamente, y sus repercusiones en las estrategias empresariales y la prestación de servicios en materia de PI.</w:t>
      </w:r>
    </w:p>
    <w:p w14:paraId="7A21617C" w14:textId="09F9107B" w:rsidR="0070679C" w:rsidRPr="009E0267" w:rsidRDefault="0070679C" w:rsidP="002E0030">
      <w:pPr>
        <w:pStyle w:val="ONUMFS"/>
        <w:rPr>
          <w:lang w:val="es-419"/>
        </w:rPr>
      </w:pPr>
      <w:r w:rsidRPr="009E0267">
        <w:rPr>
          <w:lang w:val="es-419"/>
        </w:rPr>
        <w:t>Se realizaron 35 presentaciones agrupadas en 11 temas</w:t>
      </w:r>
      <w:r w:rsidR="00425D23" w:rsidRPr="009E0267">
        <w:rPr>
          <w:lang w:val="es-419"/>
        </w:rPr>
        <w:t xml:space="preserve">. </w:t>
      </w:r>
      <w:r w:rsidRPr="009E0267">
        <w:rPr>
          <w:lang w:val="es-419"/>
        </w:rPr>
        <w:t>Se trataron temas como la transformación digital, la gobernanza de datos, la ciberresiliencia, el aprovechamiento de las tecnologías emergentes y la colaboración digital a escala mundial</w:t>
      </w:r>
      <w:r w:rsidR="00425D23" w:rsidRPr="009E0267">
        <w:rPr>
          <w:lang w:val="es-419"/>
        </w:rPr>
        <w:t xml:space="preserve">. </w:t>
      </w:r>
      <w:r w:rsidRPr="009E0267">
        <w:rPr>
          <w:lang w:val="es-419"/>
        </w:rPr>
        <w:t>Los participantes intercambiaron ideas valiosas y mejores prácticas, y examinaron los próximos pasos que se deben dar para colaborar en la creación de un ecosistema de la PI resiliente, inclusivo y dotado de capacidad digital.</w:t>
      </w:r>
    </w:p>
    <w:p w14:paraId="6DA5C92E" w14:textId="5CBB7194" w:rsidR="0070679C" w:rsidRPr="009E0267" w:rsidRDefault="0070679C" w:rsidP="0070679C">
      <w:pPr>
        <w:pStyle w:val="Heading3"/>
        <w:spacing w:after="240"/>
        <w:rPr>
          <w:lang w:val="es-419"/>
        </w:rPr>
      </w:pPr>
      <w:r w:rsidRPr="009E0267">
        <w:rPr>
          <w:lang w:val="es-419"/>
        </w:rPr>
        <w:t>Día 1</w:t>
      </w:r>
      <w:r w:rsidR="00425D23" w:rsidRPr="009E0267">
        <w:rPr>
          <w:lang w:val="es-419"/>
        </w:rPr>
        <w:t xml:space="preserve">: </w:t>
      </w:r>
      <w:r w:rsidRPr="009E0267">
        <w:rPr>
          <w:lang w:val="es-419"/>
        </w:rPr>
        <w:t>Preparación del terreno para la transformación digital</w:t>
      </w:r>
    </w:p>
    <w:p w14:paraId="0C23E2B9" w14:textId="77777777" w:rsidR="0070679C" w:rsidRPr="009E0267" w:rsidRDefault="0070679C" w:rsidP="002E0030">
      <w:pPr>
        <w:pStyle w:val="ONUMFS"/>
        <w:rPr>
          <w:lang w:val="es-419"/>
        </w:rPr>
      </w:pPr>
      <w:r w:rsidRPr="009E0267">
        <w:rPr>
          <w:lang w:val="es-419"/>
        </w:rPr>
        <w:t>Los debates se basaron en 15 presentaciones sobre los temas 1 a 5.</w:t>
      </w:r>
    </w:p>
    <w:p w14:paraId="57BD942B" w14:textId="2EFC8EA9" w:rsidR="0070679C" w:rsidRPr="009E0267" w:rsidRDefault="0070679C" w:rsidP="002E0030">
      <w:pPr>
        <w:pStyle w:val="ONUMFS"/>
        <w:rPr>
          <w:lang w:val="es-419"/>
        </w:rPr>
      </w:pPr>
      <w:r w:rsidRPr="009E0267">
        <w:rPr>
          <w:lang w:val="es-419"/>
        </w:rPr>
        <w:t>Los participantes se centraron en la evolución del panorama de las TIC y sus efectos en las actividades y la prestación de servicios de las oficinas de PI</w:t>
      </w:r>
      <w:r w:rsidR="00425D23" w:rsidRPr="009E0267">
        <w:rPr>
          <w:lang w:val="es-419"/>
        </w:rPr>
        <w:t xml:space="preserve">. </w:t>
      </w:r>
      <w:r w:rsidRPr="009E0267">
        <w:rPr>
          <w:lang w:val="es-419"/>
        </w:rPr>
        <w:t>Se debatió sobre la estrategia digital, las tendencias tecnológicas, las tecnologías emergentes, la gobernanza de datos, la ciberresiliencia y las oportunidades de colaboración</w:t>
      </w:r>
      <w:r w:rsidR="00425D23" w:rsidRPr="009E0267">
        <w:rPr>
          <w:lang w:val="es-419"/>
        </w:rPr>
        <w:t xml:space="preserve">. </w:t>
      </w:r>
      <w:r w:rsidRPr="009E0267">
        <w:rPr>
          <w:lang w:val="es-419"/>
        </w:rPr>
        <w:t xml:space="preserve">Se realizaron las presentaciones siguientes: </w:t>
      </w:r>
    </w:p>
    <w:p w14:paraId="1EEA21F8"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 xml:space="preserve">El camino hacia la digitalización mediante la adopción automatizada de decisiones con la ayuda de herramientas de inteligencia artificial (IA) y la importancia de la gobernanza responsable; </w:t>
      </w:r>
    </w:p>
    <w:p w14:paraId="1725F399"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Adopción efectiva de la computación en la nube y la contenedorización, prestando atención especial a la existencia de marcos de seguridad sólidos (como la cero confianza), la gestión del aumento de los costos y de los problemas de seguridad, y la necesidad de considerar la posibilidad de adoptar estrategias multinube a fin de atenuar los riesgos geopolíticos y garantizar la flexibilidad de los servicios en la nube;</w:t>
      </w:r>
    </w:p>
    <w:p w14:paraId="25FEF985" w14:textId="77777777" w:rsidR="0070679C" w:rsidRPr="009E0267" w:rsidRDefault="0070679C" w:rsidP="006F7707">
      <w:pPr>
        <w:pStyle w:val="ONUMFS"/>
        <w:numPr>
          <w:ilvl w:val="0"/>
          <w:numId w:val="10"/>
        </w:numPr>
        <w:tabs>
          <w:tab w:val="clear" w:pos="567"/>
        </w:tabs>
        <w:ind w:left="567"/>
        <w:rPr>
          <w:szCs w:val="22"/>
          <w:lang w:val="es-419"/>
        </w:rPr>
      </w:pPr>
      <w:r w:rsidRPr="009E0267">
        <w:rPr>
          <w:lang w:val="es-419"/>
        </w:rPr>
        <w:t>Colaboración entre los departamentos comerciales y de TI para lograr la transformación digital;</w:t>
      </w:r>
    </w:p>
    <w:p w14:paraId="41B71AFD" w14:textId="77777777" w:rsidR="0070679C" w:rsidRPr="009E0267" w:rsidRDefault="0070679C" w:rsidP="006F7707">
      <w:pPr>
        <w:pStyle w:val="ONUMFS"/>
        <w:numPr>
          <w:ilvl w:val="0"/>
          <w:numId w:val="10"/>
        </w:numPr>
        <w:tabs>
          <w:tab w:val="clear" w:pos="567"/>
        </w:tabs>
        <w:ind w:left="567"/>
        <w:rPr>
          <w:szCs w:val="22"/>
          <w:lang w:val="es-419"/>
        </w:rPr>
      </w:pPr>
      <w:r w:rsidRPr="009E0267">
        <w:rPr>
          <w:lang w:val="es-419"/>
        </w:rPr>
        <w:lastRenderedPageBreak/>
        <w:t xml:space="preserve">Adopción de un enfoque híbrido para los países en desarrollo, en el que se combinen productos disponibles en el mercado con el desarrollo interno para mejorar la eficiencia operacional; </w:t>
      </w:r>
    </w:p>
    <w:p w14:paraId="2893342D"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Elaboración de un plan estratégico para gestionar los riesgos de ciberseguridad mediante una arquitectura sólida, la protección de datos y la sensibilización de los usuarios, con planes de respuesta a incidentes y evaluaciones posteriores a los incidentes;</w:t>
      </w:r>
    </w:p>
    <w:p w14:paraId="32457B24"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Realización de auditorías integrales de la arquitectura de seguridad, y mejora continua mediante ejercicios de simulación;</w:t>
      </w:r>
    </w:p>
    <w:p w14:paraId="2E91D0EC"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Aplicación de un enfoque equilibrado para la adopción de tecnología, que vaya dando pequeños pasos y se centre en los conocimientos elementales antes de avanzar hacia modelos complejos de IA;</w:t>
      </w:r>
    </w:p>
    <w:p w14:paraId="2B08B418"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 xml:space="preserve">Colaboración más estrecha con las empresas para mejorar los servicios innovadores y la eficiencia operacional de las oficinas de PI; e </w:t>
      </w:r>
    </w:p>
    <w:p w14:paraId="07F1C5B4" w14:textId="77777777" w:rsidR="0070679C" w:rsidRPr="009E0267" w:rsidRDefault="0070679C" w:rsidP="006F7707">
      <w:pPr>
        <w:pStyle w:val="ONUMFS"/>
        <w:numPr>
          <w:ilvl w:val="0"/>
          <w:numId w:val="10"/>
        </w:numPr>
        <w:tabs>
          <w:tab w:val="clear" w:pos="567"/>
        </w:tabs>
        <w:ind w:left="567"/>
        <w:rPr>
          <w:lang w:val="es-419"/>
        </w:rPr>
      </w:pPr>
      <w:r w:rsidRPr="009E0267">
        <w:rPr>
          <w:lang w:val="es-419"/>
        </w:rPr>
        <w:t>Intercambio de conocimientos y experiencias a fin de afrontar los retos comunes y mejorar la cooperación internacional.</w:t>
      </w:r>
    </w:p>
    <w:p w14:paraId="613A3AB8" w14:textId="183E758C" w:rsidR="0070679C" w:rsidRPr="009E0267" w:rsidRDefault="0070679C" w:rsidP="002E0030">
      <w:pPr>
        <w:pStyle w:val="ONUMFS"/>
        <w:rPr>
          <w:szCs w:val="22"/>
          <w:lang w:val="es-419"/>
        </w:rPr>
      </w:pPr>
      <w:r w:rsidRPr="009E0267">
        <w:rPr>
          <w:lang w:val="es-419"/>
        </w:rPr>
        <w:t>Los participantes definieron los principales retos y oportunidades que se les presentan a las oficinas de PI al incorporar las tecnologías emergentes, en particular la IA, con el fin de actualizar las operaciones y mejorar la prestación de servicios</w:t>
      </w:r>
      <w:r w:rsidR="00425D23" w:rsidRPr="009E0267">
        <w:rPr>
          <w:lang w:val="es-419"/>
        </w:rPr>
        <w:t xml:space="preserve">. </w:t>
      </w:r>
      <w:r w:rsidRPr="009E0267">
        <w:rPr>
          <w:lang w:val="es-419"/>
        </w:rPr>
        <w:t>Examinaron la importancia de aplicar una estrategia operativa digital de amplio alcance, el uso y la gobernanza eficaces de los datos y la necesidad de tener ciberresiliencia para salvaguardar los datos sensibles de PI y mantener la integridad operacional</w:t>
      </w:r>
      <w:r w:rsidR="00425D23" w:rsidRPr="009E0267">
        <w:rPr>
          <w:lang w:val="es-419"/>
        </w:rPr>
        <w:t xml:space="preserve">. </w:t>
      </w:r>
      <w:r w:rsidRPr="009E0267">
        <w:rPr>
          <w:lang w:val="es-419"/>
        </w:rPr>
        <w:t>Se intercambiaron mejores prácticas y casos prácticos a fin de mostrar soluciones y estrategias digitales que han dado buenos resultados en todo el mundo.</w:t>
      </w:r>
    </w:p>
    <w:p w14:paraId="11EB84C1" w14:textId="66136DBB" w:rsidR="0070679C" w:rsidRPr="009E0267" w:rsidRDefault="0070679C" w:rsidP="002E0030">
      <w:pPr>
        <w:pStyle w:val="ONUMFS"/>
        <w:rPr>
          <w:lang w:val="es-419"/>
        </w:rPr>
      </w:pPr>
      <w:r w:rsidRPr="009E0267">
        <w:rPr>
          <w:lang w:val="es-419"/>
        </w:rPr>
        <w:t>Los participantes intercambiaron impresiones acerca de la importancia de adecuar la adopción de tecnología a las necesidades institucionales, crear resiliencia y fomentar la colaboración internacional</w:t>
      </w:r>
      <w:r w:rsidR="00425D23" w:rsidRPr="009E0267">
        <w:rPr>
          <w:lang w:val="es-419"/>
        </w:rPr>
        <w:t xml:space="preserve">. </w:t>
      </w:r>
      <w:r w:rsidRPr="009E0267">
        <w:rPr>
          <w:lang w:val="es-419"/>
        </w:rPr>
        <w:t>Asimismo, subrayaron la necesidad de contar con una planificación estratégica, un aprendizaje y una mejora continuos, y de adaptarse a las tecnologías emergentes para mejorar la eficiencia y la eficacia de las operaciones de PI, todo lo cual proporcionaría elementos para futuros debates e iniciativas.</w:t>
      </w:r>
    </w:p>
    <w:p w14:paraId="1350A6C6" w14:textId="2A2A13DD" w:rsidR="0070679C" w:rsidRPr="009E0267" w:rsidRDefault="0070679C" w:rsidP="0070679C">
      <w:pPr>
        <w:pStyle w:val="Heading3"/>
        <w:spacing w:after="240"/>
        <w:rPr>
          <w:lang w:val="es-419"/>
        </w:rPr>
      </w:pPr>
      <w:r w:rsidRPr="009E0267">
        <w:rPr>
          <w:lang w:val="es-419"/>
        </w:rPr>
        <w:t>Día 2</w:t>
      </w:r>
      <w:r w:rsidR="00425D23" w:rsidRPr="009E0267">
        <w:rPr>
          <w:lang w:val="es-419"/>
        </w:rPr>
        <w:t xml:space="preserve">: </w:t>
      </w:r>
      <w:r w:rsidRPr="009E0267">
        <w:rPr>
          <w:lang w:val="es-419"/>
        </w:rPr>
        <w:t>Aprovechamiento de las tecnologías emergentes en favor de la PI</w:t>
      </w:r>
    </w:p>
    <w:p w14:paraId="181AB86C" w14:textId="77777777" w:rsidR="0070679C" w:rsidRPr="009E0267" w:rsidRDefault="0070679C" w:rsidP="002E0030">
      <w:pPr>
        <w:pStyle w:val="ONUMFS"/>
        <w:rPr>
          <w:lang w:val="es-419"/>
        </w:rPr>
      </w:pPr>
      <w:r w:rsidRPr="009E0267">
        <w:rPr>
          <w:lang w:val="es-419"/>
        </w:rPr>
        <w:t>Los debates se basaron en 12 presentaciones sobre los temas 6 a 8.</w:t>
      </w:r>
    </w:p>
    <w:p w14:paraId="5421CD71" w14:textId="5E913F27" w:rsidR="0070679C" w:rsidRPr="009E0267" w:rsidRDefault="0070679C" w:rsidP="002E0030">
      <w:pPr>
        <w:pStyle w:val="ONUMFS"/>
        <w:rPr>
          <w:lang w:val="es-419"/>
        </w:rPr>
      </w:pPr>
      <w:r w:rsidRPr="009E0267">
        <w:rPr>
          <w:lang w:val="es-419"/>
        </w:rPr>
        <w:t>Los participantes se centraron en analizar la forma en que las tecnologías emergentes, como la IA y la cadena de bloques, están transformando el panorama mundial de la PI y los efectos de todo ello en los ecosistemas de la PI</w:t>
      </w:r>
      <w:r w:rsidR="00425D23" w:rsidRPr="009E0267">
        <w:rPr>
          <w:lang w:val="es-419"/>
        </w:rPr>
        <w:t xml:space="preserve">. </w:t>
      </w:r>
      <w:r w:rsidRPr="009E0267">
        <w:rPr>
          <w:lang w:val="es-419"/>
        </w:rPr>
        <w:t>También exploraron ámbitos en los que se podría colaborar a fin de mejorar la eficiencia y fomentar la innovación en los ecosistemas de la PI.</w:t>
      </w:r>
    </w:p>
    <w:p w14:paraId="2FD34975" w14:textId="77777777" w:rsidR="0070679C" w:rsidRPr="009E0267" w:rsidRDefault="0070679C" w:rsidP="002E0030">
      <w:pPr>
        <w:pStyle w:val="ONUMFS"/>
        <w:rPr>
          <w:lang w:val="es-419"/>
        </w:rPr>
      </w:pPr>
      <w:r w:rsidRPr="009E0267">
        <w:rPr>
          <w:lang w:val="es-419"/>
        </w:rPr>
        <w:t>Los oradores expusieron sus puntos de vista sobre los efectos de las tecnologías emergentes en sus respectivas oficinas de PI, y trataron los aspectos siguientes:</w:t>
      </w:r>
    </w:p>
    <w:p w14:paraId="57B5EC70" w14:textId="77777777" w:rsidR="0070679C" w:rsidRPr="009E0267" w:rsidRDefault="0070679C" w:rsidP="006F7707">
      <w:pPr>
        <w:pStyle w:val="ONUMFS"/>
        <w:numPr>
          <w:ilvl w:val="0"/>
          <w:numId w:val="11"/>
        </w:numPr>
        <w:tabs>
          <w:tab w:val="clear" w:pos="567"/>
        </w:tabs>
        <w:ind w:left="567"/>
        <w:rPr>
          <w:lang w:val="es-419"/>
        </w:rPr>
      </w:pPr>
      <w:r w:rsidRPr="009E0267">
        <w:rPr>
          <w:lang w:val="es-419"/>
        </w:rPr>
        <w:t xml:space="preserve">el uso de herramientas basadas en la IA para tareas como la clasificación, la traducción automática y las funciones de búsqueda, aunque la automatización completa del examen de fondo siga siendo un objetivo de futuro; </w:t>
      </w:r>
    </w:p>
    <w:p w14:paraId="793C63D8" w14:textId="77777777" w:rsidR="0070679C" w:rsidRPr="009E0267" w:rsidRDefault="0070679C" w:rsidP="006F7707">
      <w:pPr>
        <w:pStyle w:val="ONUMFS"/>
        <w:numPr>
          <w:ilvl w:val="0"/>
          <w:numId w:val="11"/>
        </w:numPr>
        <w:tabs>
          <w:tab w:val="clear" w:pos="567"/>
        </w:tabs>
        <w:ind w:left="567"/>
        <w:rPr>
          <w:lang w:val="es-419"/>
        </w:rPr>
      </w:pPr>
      <w:r w:rsidRPr="009E0267">
        <w:rPr>
          <w:lang w:val="es-419"/>
        </w:rPr>
        <w:lastRenderedPageBreak/>
        <w:t>la importancia de considerar la IA no como un objetivo, sino como una herramienta de apoyo que no sustituya a los recursos humanos y se centre en mejorar la calidad y la eficiencia; y</w:t>
      </w:r>
    </w:p>
    <w:p w14:paraId="1CCF4989" w14:textId="77777777" w:rsidR="0070679C" w:rsidRPr="009E0267" w:rsidRDefault="0070679C" w:rsidP="006F7707">
      <w:pPr>
        <w:pStyle w:val="ONUMFS"/>
        <w:numPr>
          <w:ilvl w:val="0"/>
          <w:numId w:val="11"/>
        </w:numPr>
        <w:tabs>
          <w:tab w:val="clear" w:pos="567"/>
        </w:tabs>
        <w:ind w:left="567"/>
        <w:rPr>
          <w:szCs w:val="22"/>
          <w:lang w:val="es-419"/>
        </w:rPr>
      </w:pPr>
      <w:r w:rsidRPr="009E0267">
        <w:rPr>
          <w:lang w:val="es-419"/>
        </w:rPr>
        <w:t xml:space="preserve">el uso de las aplicaciones de las cadenas de bloques para mejorar la confianza y la eficiencia en las interacciones externas, en particular para la gestión de los derechos de PI. </w:t>
      </w:r>
    </w:p>
    <w:p w14:paraId="5744CE2E" w14:textId="77777777" w:rsidR="0070679C" w:rsidRPr="009E0267" w:rsidRDefault="0070679C" w:rsidP="002E0030">
      <w:pPr>
        <w:pStyle w:val="ONUMFS"/>
        <w:rPr>
          <w:lang w:val="es-419"/>
        </w:rPr>
      </w:pPr>
      <w:r w:rsidRPr="009E0267">
        <w:rPr>
          <w:lang w:val="es-419"/>
        </w:rPr>
        <w:t>Los participantes examinaron estrategias prácticas para la adopción efectiva de la IA y los retos conexos, haciendo hincapié en los siguientes aspectos fundamentales:</w:t>
      </w:r>
    </w:p>
    <w:p w14:paraId="05A6AA82" w14:textId="211B548C" w:rsidR="0070679C" w:rsidRPr="009E0267" w:rsidRDefault="0070679C" w:rsidP="006F7707">
      <w:pPr>
        <w:pStyle w:val="ONUMFS"/>
        <w:numPr>
          <w:ilvl w:val="0"/>
          <w:numId w:val="12"/>
        </w:numPr>
        <w:tabs>
          <w:tab w:val="clear" w:pos="567"/>
        </w:tabs>
        <w:ind w:left="567"/>
        <w:rPr>
          <w:lang w:val="es-419"/>
        </w:rPr>
      </w:pPr>
      <w:r w:rsidRPr="009E0267">
        <w:rPr>
          <w:lang w:val="es-419"/>
        </w:rPr>
        <w:t>gestión de los costos y los recursos</w:t>
      </w:r>
      <w:r w:rsidR="00425D23" w:rsidRPr="009E0267">
        <w:rPr>
          <w:lang w:val="es-419"/>
        </w:rPr>
        <w:t xml:space="preserve">: </w:t>
      </w:r>
      <w:r w:rsidRPr="009E0267">
        <w:rPr>
          <w:lang w:val="es-419"/>
        </w:rPr>
        <w:t>la implementación de la IA y la necesidad de contar con personal cualificado son retos fundamentales</w:t>
      </w:r>
      <w:r w:rsidR="00425D23" w:rsidRPr="009E0267">
        <w:rPr>
          <w:lang w:val="es-419"/>
        </w:rPr>
        <w:t xml:space="preserve">. </w:t>
      </w:r>
      <w:r w:rsidRPr="009E0267">
        <w:rPr>
          <w:lang w:val="es-419"/>
        </w:rPr>
        <w:t xml:space="preserve">Entre las soluciones que se podrían aplicar cabe citar el aprovechamiento de las herramientas de código abierto, la colaboración con el sector privado, en particular con las empresas emergentes, y la búsqueda de financiación pública; </w:t>
      </w:r>
    </w:p>
    <w:p w14:paraId="65E7F100" w14:textId="4FDC054F" w:rsidR="0070679C" w:rsidRPr="009E0267" w:rsidRDefault="0070679C" w:rsidP="006F7707">
      <w:pPr>
        <w:pStyle w:val="ONUMFS"/>
        <w:numPr>
          <w:ilvl w:val="0"/>
          <w:numId w:val="12"/>
        </w:numPr>
        <w:tabs>
          <w:tab w:val="clear" w:pos="567"/>
        </w:tabs>
        <w:ind w:left="567"/>
        <w:rPr>
          <w:lang w:val="es-419"/>
        </w:rPr>
      </w:pPr>
      <w:r w:rsidRPr="009E0267">
        <w:rPr>
          <w:lang w:val="es-419"/>
        </w:rPr>
        <w:t>gestión del cambio</w:t>
      </w:r>
      <w:r w:rsidR="00425D23" w:rsidRPr="009E0267">
        <w:rPr>
          <w:lang w:val="es-419"/>
        </w:rPr>
        <w:t xml:space="preserve">: </w:t>
      </w:r>
      <w:r w:rsidRPr="009E0267">
        <w:rPr>
          <w:lang w:val="es-419"/>
        </w:rPr>
        <w:t>la comunicación y la formación eficaces son decisivas para gestionar la transición y aliviar la preocupación del personal por la pérdida de puestos de trabajo;</w:t>
      </w:r>
    </w:p>
    <w:p w14:paraId="0E157A8C" w14:textId="7A0C6F6D" w:rsidR="0070679C" w:rsidRPr="009E0267" w:rsidRDefault="0070679C" w:rsidP="006F7707">
      <w:pPr>
        <w:pStyle w:val="ONUMFS"/>
        <w:numPr>
          <w:ilvl w:val="0"/>
          <w:numId w:val="12"/>
        </w:numPr>
        <w:tabs>
          <w:tab w:val="clear" w:pos="567"/>
        </w:tabs>
        <w:ind w:left="567"/>
        <w:rPr>
          <w:lang w:val="es-419"/>
        </w:rPr>
      </w:pPr>
      <w:r w:rsidRPr="009E0267">
        <w:rPr>
          <w:lang w:val="es-419"/>
        </w:rPr>
        <w:t>calidad e integración de los datos</w:t>
      </w:r>
      <w:r w:rsidR="00425D23" w:rsidRPr="009E0267">
        <w:rPr>
          <w:lang w:val="es-419"/>
        </w:rPr>
        <w:t xml:space="preserve">: </w:t>
      </w:r>
      <w:r w:rsidRPr="009E0267">
        <w:rPr>
          <w:lang w:val="es-419"/>
        </w:rPr>
        <w:t xml:space="preserve">es fundamental disponer de datos de gran calidad y lograr una integración perfecta con los sistemas existentes para aprovechar al máximo las </w:t>
      </w:r>
      <w:bookmarkStart w:id="5" w:name="_Int_4TYmenYt"/>
      <w:r w:rsidRPr="009E0267">
        <w:rPr>
          <w:lang w:val="es-419"/>
        </w:rPr>
        <w:t>ventajas de la IA; y</w:t>
      </w:r>
      <w:bookmarkEnd w:id="5"/>
    </w:p>
    <w:p w14:paraId="690B15C3" w14:textId="1F08762D" w:rsidR="0070679C" w:rsidRPr="009E0267" w:rsidRDefault="0070679C" w:rsidP="006F7707">
      <w:pPr>
        <w:pStyle w:val="ONUMFS"/>
        <w:numPr>
          <w:ilvl w:val="0"/>
          <w:numId w:val="12"/>
        </w:numPr>
        <w:tabs>
          <w:tab w:val="clear" w:pos="567"/>
        </w:tabs>
        <w:ind w:left="567"/>
        <w:rPr>
          <w:lang w:val="es-419"/>
        </w:rPr>
      </w:pPr>
      <w:r w:rsidRPr="009E0267">
        <w:rPr>
          <w:lang w:val="es-419"/>
        </w:rPr>
        <w:t>colaboración interfuncional</w:t>
      </w:r>
      <w:r w:rsidR="00425D23" w:rsidRPr="009E0267">
        <w:rPr>
          <w:lang w:val="es-419"/>
        </w:rPr>
        <w:t xml:space="preserve">: </w:t>
      </w:r>
      <w:r w:rsidRPr="009E0267">
        <w:rPr>
          <w:lang w:val="es-419"/>
        </w:rPr>
        <w:t>es importante involucrar a las partes interesadas de las distintas unidades operativas, a los expertos jurídicos y a los clientes en el proceso de implementación de la IA para que las soluciones sean integrales y eficaces.</w:t>
      </w:r>
    </w:p>
    <w:p w14:paraId="694ECFED" w14:textId="56BE33EB" w:rsidR="0070679C" w:rsidRPr="009E0267" w:rsidRDefault="0070679C" w:rsidP="002E0030">
      <w:pPr>
        <w:pStyle w:val="ONUMFS"/>
        <w:rPr>
          <w:lang w:val="es-419"/>
        </w:rPr>
      </w:pPr>
      <w:r w:rsidRPr="009E0267">
        <w:rPr>
          <w:lang w:val="es-419"/>
        </w:rPr>
        <w:t>En sus debates, los participantes subrayaron la importancia que tiene la cooperación internacional a fin de impulsar las tecnologías de la IA en las oficinas de PI</w:t>
      </w:r>
      <w:r w:rsidR="00425D23" w:rsidRPr="009E0267">
        <w:rPr>
          <w:lang w:val="es-419"/>
        </w:rPr>
        <w:t xml:space="preserve">. </w:t>
      </w:r>
      <w:r w:rsidRPr="009E0267">
        <w:rPr>
          <w:lang w:val="es-419"/>
        </w:rPr>
        <w:t>Entre los aspectos más destacados se incluyeron los siguientes:</w:t>
      </w:r>
    </w:p>
    <w:p w14:paraId="0F8B9B21" w14:textId="77777777" w:rsidR="0070679C" w:rsidRPr="009E0267" w:rsidRDefault="0070679C" w:rsidP="006F7707">
      <w:pPr>
        <w:pStyle w:val="ONUMFS"/>
        <w:numPr>
          <w:ilvl w:val="0"/>
          <w:numId w:val="13"/>
        </w:numPr>
        <w:tabs>
          <w:tab w:val="clear" w:pos="567"/>
        </w:tabs>
        <w:ind w:left="567"/>
        <w:rPr>
          <w:lang w:val="es-419"/>
        </w:rPr>
      </w:pPr>
      <w:r w:rsidRPr="009E0267">
        <w:rPr>
          <w:lang w:val="es-419"/>
        </w:rPr>
        <w:t xml:space="preserve">intercambio de conocimientos y recursos entre las oficinas de PI con el fin de evitar la duplicación de tareas y fomentar el crecimiento colectivo; </w:t>
      </w:r>
    </w:p>
    <w:p w14:paraId="79CB0745" w14:textId="77777777" w:rsidR="0070679C" w:rsidRPr="009E0267" w:rsidRDefault="0070679C" w:rsidP="006F7707">
      <w:pPr>
        <w:pStyle w:val="ONUMFS"/>
        <w:numPr>
          <w:ilvl w:val="0"/>
          <w:numId w:val="13"/>
        </w:numPr>
        <w:tabs>
          <w:tab w:val="clear" w:pos="567"/>
        </w:tabs>
        <w:ind w:left="567"/>
        <w:rPr>
          <w:lang w:val="es-419"/>
        </w:rPr>
      </w:pPr>
      <w:r w:rsidRPr="009E0267">
        <w:rPr>
          <w:lang w:val="es-419"/>
        </w:rPr>
        <w:t xml:space="preserve">establecimiento de marcos de colaboración para desarrollar conjuntamente herramientas de IA y explorar </w:t>
      </w:r>
      <w:bookmarkStart w:id="6" w:name="_Int_1iHEyEp9"/>
      <w:r w:rsidRPr="009E0267">
        <w:rPr>
          <w:lang w:val="es-419"/>
        </w:rPr>
        <w:t>capacidades nuevas; y</w:t>
      </w:r>
      <w:bookmarkEnd w:id="6"/>
    </w:p>
    <w:p w14:paraId="7CE2CA70" w14:textId="77777777" w:rsidR="0070679C" w:rsidRPr="009E0267" w:rsidRDefault="0070679C" w:rsidP="006F7707">
      <w:pPr>
        <w:pStyle w:val="ONUMFS"/>
        <w:numPr>
          <w:ilvl w:val="0"/>
          <w:numId w:val="13"/>
        </w:numPr>
        <w:tabs>
          <w:tab w:val="clear" w:pos="567"/>
        </w:tabs>
        <w:ind w:left="567"/>
        <w:rPr>
          <w:szCs w:val="22"/>
          <w:lang w:val="es-419"/>
        </w:rPr>
      </w:pPr>
      <w:r w:rsidRPr="009E0267">
        <w:rPr>
          <w:lang w:val="es-419"/>
        </w:rPr>
        <w:t>aprovechamiento de los modelos y tecnologías de IA existentes para reducir los costos y acelerar la implementación.</w:t>
      </w:r>
    </w:p>
    <w:p w14:paraId="237D2BF1" w14:textId="77777777" w:rsidR="0070679C" w:rsidRPr="009E0267" w:rsidRDefault="0070679C" w:rsidP="002E0030">
      <w:pPr>
        <w:pStyle w:val="ONUMFS"/>
        <w:rPr>
          <w:lang w:val="es-419"/>
        </w:rPr>
      </w:pPr>
      <w:r w:rsidRPr="009E0267">
        <w:rPr>
          <w:lang w:val="es-419"/>
        </w:rPr>
        <w:t>Los líderes de TIC participantes destacaron varios ámbitos de interés para el futuro:</w:t>
      </w:r>
    </w:p>
    <w:p w14:paraId="140B7CC4" w14:textId="7AF6011F" w:rsidR="0070679C" w:rsidRPr="009E0267" w:rsidRDefault="0070679C" w:rsidP="006F7707">
      <w:pPr>
        <w:pStyle w:val="ONUMFS"/>
        <w:numPr>
          <w:ilvl w:val="0"/>
          <w:numId w:val="14"/>
        </w:numPr>
        <w:tabs>
          <w:tab w:val="clear" w:pos="567"/>
        </w:tabs>
        <w:ind w:left="567"/>
        <w:rPr>
          <w:lang w:val="es-419"/>
        </w:rPr>
      </w:pPr>
      <w:r w:rsidRPr="009E0267">
        <w:rPr>
          <w:lang w:val="es-419"/>
        </w:rPr>
        <w:t>ámbitos prometedores para la IA</w:t>
      </w:r>
      <w:r w:rsidR="00425D23" w:rsidRPr="009E0267">
        <w:rPr>
          <w:lang w:val="es-419"/>
        </w:rPr>
        <w:t xml:space="preserve">: </w:t>
      </w:r>
      <w:r w:rsidRPr="009E0267">
        <w:rPr>
          <w:lang w:val="es-419"/>
        </w:rPr>
        <w:t>exploración continua de grandes modelos de lenguaje y su potencial como apoyo a los procesos de examen de fondo;</w:t>
      </w:r>
    </w:p>
    <w:p w14:paraId="17BE383B" w14:textId="78D7F651" w:rsidR="0070679C" w:rsidRPr="009E0267" w:rsidRDefault="0070679C" w:rsidP="006F7707">
      <w:pPr>
        <w:pStyle w:val="ONUMFS"/>
        <w:numPr>
          <w:ilvl w:val="0"/>
          <w:numId w:val="14"/>
        </w:numPr>
        <w:tabs>
          <w:tab w:val="clear" w:pos="567"/>
        </w:tabs>
        <w:ind w:left="567"/>
        <w:rPr>
          <w:lang w:val="es-419"/>
        </w:rPr>
      </w:pPr>
      <w:r w:rsidRPr="009E0267">
        <w:rPr>
          <w:lang w:val="es-419"/>
        </w:rPr>
        <w:t>gestión de las expectativas</w:t>
      </w:r>
      <w:r w:rsidR="00425D23" w:rsidRPr="009E0267">
        <w:rPr>
          <w:lang w:val="es-419"/>
        </w:rPr>
        <w:t xml:space="preserve">: </w:t>
      </w:r>
      <w:r w:rsidRPr="009E0267">
        <w:rPr>
          <w:lang w:val="es-419"/>
        </w:rPr>
        <w:t>encontrar un equilibrio entre las posibilidades que ofrece la IA y unos objetivos realistas, y mantener la transparencia con las partes interesadas sobre las capacidades y limitaciones de esta tecnología;</w:t>
      </w:r>
    </w:p>
    <w:p w14:paraId="777FFEC8" w14:textId="076814B0" w:rsidR="0070679C" w:rsidRPr="009E0267" w:rsidRDefault="0070679C" w:rsidP="006F7707">
      <w:pPr>
        <w:pStyle w:val="ONUMFS"/>
        <w:numPr>
          <w:ilvl w:val="0"/>
          <w:numId w:val="14"/>
        </w:numPr>
        <w:tabs>
          <w:tab w:val="clear" w:pos="567"/>
        </w:tabs>
        <w:ind w:left="567"/>
        <w:rPr>
          <w:lang w:val="es-419"/>
        </w:rPr>
      </w:pPr>
      <w:r w:rsidRPr="009E0267">
        <w:rPr>
          <w:lang w:val="es-419"/>
        </w:rPr>
        <w:t>desarrollo de competencias</w:t>
      </w:r>
      <w:r w:rsidR="00425D23" w:rsidRPr="009E0267">
        <w:rPr>
          <w:lang w:val="es-419"/>
        </w:rPr>
        <w:t xml:space="preserve">: </w:t>
      </w:r>
      <w:r w:rsidRPr="009E0267">
        <w:rPr>
          <w:lang w:val="es-419"/>
        </w:rPr>
        <w:t xml:space="preserve">invertir en la formación y el perfeccionamiento de los funcionarios a fin de prepararlos para las nuevas funciones y responsabilidades que deberán asumir en un </w:t>
      </w:r>
      <w:bookmarkStart w:id="7" w:name="_Int_eJyXowXY"/>
      <w:r w:rsidRPr="009E0267">
        <w:rPr>
          <w:lang w:val="es-419"/>
        </w:rPr>
        <w:t>entorno impulsado por la IA; y</w:t>
      </w:r>
      <w:bookmarkEnd w:id="7"/>
    </w:p>
    <w:p w14:paraId="045E2636" w14:textId="5AE3D4ED" w:rsidR="0070679C" w:rsidRPr="009E0267" w:rsidRDefault="0070679C" w:rsidP="006F7707">
      <w:pPr>
        <w:pStyle w:val="ONUMFS"/>
        <w:numPr>
          <w:ilvl w:val="0"/>
          <w:numId w:val="14"/>
        </w:numPr>
        <w:tabs>
          <w:tab w:val="clear" w:pos="567"/>
        </w:tabs>
        <w:ind w:left="567"/>
        <w:rPr>
          <w:lang w:val="es-419"/>
        </w:rPr>
      </w:pPr>
      <w:r w:rsidRPr="009E0267">
        <w:rPr>
          <w:lang w:val="es-419"/>
        </w:rPr>
        <w:lastRenderedPageBreak/>
        <w:t>consideraciones normativas y éticas</w:t>
      </w:r>
      <w:r w:rsidR="00425D23" w:rsidRPr="009E0267">
        <w:rPr>
          <w:lang w:val="es-419"/>
        </w:rPr>
        <w:t xml:space="preserve">: </w:t>
      </w:r>
      <w:r w:rsidRPr="009E0267">
        <w:rPr>
          <w:lang w:val="es-419"/>
        </w:rPr>
        <w:t>velar por que el uso de la IA se ajuste a normas jurídicas y directrices éticas con el fin de mantener la confianza del público.</w:t>
      </w:r>
    </w:p>
    <w:p w14:paraId="2AEC9A4B" w14:textId="77777777" w:rsidR="0070679C" w:rsidRPr="009E0267" w:rsidRDefault="0070679C" w:rsidP="002E0030">
      <w:pPr>
        <w:pStyle w:val="ONUMFS"/>
        <w:rPr>
          <w:lang w:val="es-419"/>
        </w:rPr>
      </w:pPr>
      <w:r w:rsidRPr="009E0267">
        <w:rPr>
          <w:lang w:val="es-419"/>
        </w:rPr>
        <w:t>Los participantes convinieron en la necesidad de colaborar de forma continua, invertir en formación y aplicar un enfoque equilibrado en la adopción de la tecnología para aprovechar al máximo las ventajas que ofrece la IA y, al mismo tiempo, hacer frente a los retos que plantea.</w:t>
      </w:r>
    </w:p>
    <w:p w14:paraId="51E7FD52" w14:textId="670159D4" w:rsidR="0070679C" w:rsidRPr="009E0267" w:rsidRDefault="0070679C" w:rsidP="0070679C">
      <w:pPr>
        <w:pStyle w:val="Heading3"/>
        <w:spacing w:after="240"/>
        <w:rPr>
          <w:lang w:val="es-419"/>
        </w:rPr>
      </w:pPr>
      <w:r w:rsidRPr="009E0267">
        <w:rPr>
          <w:lang w:val="es-419"/>
        </w:rPr>
        <w:t>Día 3</w:t>
      </w:r>
      <w:r w:rsidR="00425D23" w:rsidRPr="009E0267">
        <w:rPr>
          <w:lang w:val="es-419"/>
        </w:rPr>
        <w:t xml:space="preserve">: </w:t>
      </w:r>
      <w:r w:rsidRPr="009E0267">
        <w:rPr>
          <w:lang w:val="es-419"/>
        </w:rPr>
        <w:t>Fortalecimiento de la colaboración mundial y la armonización digital</w:t>
      </w:r>
    </w:p>
    <w:p w14:paraId="4BEE16F8" w14:textId="77777777" w:rsidR="0070679C" w:rsidRPr="009E0267" w:rsidRDefault="0070679C" w:rsidP="002E0030">
      <w:pPr>
        <w:pStyle w:val="ONUMFS"/>
        <w:rPr>
          <w:lang w:val="es-419"/>
        </w:rPr>
      </w:pPr>
      <w:r w:rsidRPr="009E0267">
        <w:rPr>
          <w:lang w:val="es-419"/>
        </w:rPr>
        <w:t>Los debates se basaron en ocho presentaciones sobre los temas 9 a 11.</w:t>
      </w:r>
    </w:p>
    <w:p w14:paraId="07F3FC51" w14:textId="36527025" w:rsidR="0070679C" w:rsidRPr="009E0267" w:rsidRDefault="0070679C" w:rsidP="002E0030">
      <w:pPr>
        <w:pStyle w:val="ONUMFS"/>
        <w:rPr>
          <w:lang w:val="es-419"/>
        </w:rPr>
      </w:pPr>
      <w:r w:rsidRPr="009E0267">
        <w:rPr>
          <w:lang w:val="es-419"/>
        </w:rPr>
        <w:t>Los participantes se centraron en la colaboración mundial para promover los sistemas de información sobre PI y las iniciativas digitales</w:t>
      </w:r>
      <w:r w:rsidR="00425D23" w:rsidRPr="009E0267">
        <w:rPr>
          <w:lang w:val="es-419"/>
        </w:rPr>
        <w:t xml:space="preserve">. </w:t>
      </w:r>
      <w:r w:rsidRPr="009E0267">
        <w:rPr>
          <w:lang w:val="es-419"/>
        </w:rPr>
        <w:t>Se debatió acerca de la mejora de la interoperabilidad con las normas técnicas de la OMPI, el intercambio mundial de datos, la reducción de la brecha digital y las medidas que se pueden adoptar en pro de una transformación digital sostenible.</w:t>
      </w:r>
    </w:p>
    <w:p w14:paraId="36236932" w14:textId="402571B5" w:rsidR="0070679C" w:rsidRPr="009E0267" w:rsidRDefault="0070679C" w:rsidP="002E0030">
      <w:pPr>
        <w:pStyle w:val="ONUMFS"/>
        <w:rPr>
          <w:lang w:val="es-419"/>
        </w:rPr>
      </w:pPr>
      <w:r w:rsidRPr="009E0267">
        <w:rPr>
          <w:lang w:val="es-419"/>
        </w:rPr>
        <w:t>Los oradores destacaron las numerosas ventajas que conlleva lograr la interoperabilidad y la coherencia en los sistemas de información sobre PI</w:t>
      </w:r>
      <w:r w:rsidR="00425D23" w:rsidRPr="009E0267">
        <w:rPr>
          <w:lang w:val="es-419"/>
        </w:rPr>
        <w:t xml:space="preserve">. </w:t>
      </w:r>
      <w:r w:rsidRPr="009E0267">
        <w:rPr>
          <w:lang w:val="es-419"/>
        </w:rPr>
        <w:t xml:space="preserve">Entre los beneficios más destacados se incluyeron los siguientes: </w:t>
      </w:r>
    </w:p>
    <w:p w14:paraId="07877EBB" w14:textId="655AA803" w:rsidR="0070679C" w:rsidRPr="009E0267" w:rsidRDefault="0070679C" w:rsidP="006F7707">
      <w:pPr>
        <w:pStyle w:val="ONUMFS"/>
        <w:numPr>
          <w:ilvl w:val="0"/>
          <w:numId w:val="15"/>
        </w:numPr>
        <w:tabs>
          <w:tab w:val="clear" w:pos="567"/>
        </w:tabs>
        <w:ind w:left="567"/>
        <w:rPr>
          <w:lang w:val="es-419"/>
        </w:rPr>
      </w:pPr>
      <w:r w:rsidRPr="009E0267">
        <w:rPr>
          <w:lang w:val="es-419"/>
        </w:rPr>
        <w:t>rentabilidad</w:t>
      </w:r>
      <w:r w:rsidR="00425D23" w:rsidRPr="009E0267">
        <w:rPr>
          <w:lang w:val="es-419"/>
        </w:rPr>
        <w:t xml:space="preserve">: </w:t>
      </w:r>
      <w:r w:rsidRPr="009E0267">
        <w:rPr>
          <w:lang w:val="es-419"/>
        </w:rPr>
        <w:t>un sistema unificado permite contar con un único equipo de apoyo y mantenimiento, lo que reduce la duplicación y los costos derivados de gestionar varios sistemas;</w:t>
      </w:r>
    </w:p>
    <w:p w14:paraId="74157E0F" w14:textId="48317EB2" w:rsidR="0070679C" w:rsidRPr="009E0267" w:rsidRDefault="0070679C" w:rsidP="006F7707">
      <w:pPr>
        <w:pStyle w:val="ONUMFS"/>
        <w:numPr>
          <w:ilvl w:val="0"/>
          <w:numId w:val="15"/>
        </w:numPr>
        <w:tabs>
          <w:tab w:val="clear" w:pos="567"/>
        </w:tabs>
        <w:ind w:left="567"/>
        <w:rPr>
          <w:lang w:val="es-419"/>
        </w:rPr>
      </w:pPr>
      <w:r w:rsidRPr="009E0267">
        <w:rPr>
          <w:lang w:val="es-419"/>
        </w:rPr>
        <w:t>mejora de la experiencia de los usuarios</w:t>
      </w:r>
      <w:r w:rsidR="00425D23" w:rsidRPr="009E0267">
        <w:rPr>
          <w:lang w:val="es-419"/>
        </w:rPr>
        <w:t xml:space="preserve">: </w:t>
      </w:r>
      <w:r w:rsidRPr="009E0267">
        <w:rPr>
          <w:lang w:val="es-419"/>
        </w:rPr>
        <w:t>los sistemas armonizados proporcionan una experiencia coherente a los clientes y a los funcionarios, lo que propicia un entorno operacional cohesionado;</w:t>
      </w:r>
    </w:p>
    <w:p w14:paraId="7791F324" w14:textId="0F255ADA" w:rsidR="0070679C" w:rsidRPr="009E0267" w:rsidRDefault="0070679C" w:rsidP="006F7707">
      <w:pPr>
        <w:pStyle w:val="ONUMFS"/>
        <w:numPr>
          <w:ilvl w:val="0"/>
          <w:numId w:val="15"/>
        </w:numPr>
        <w:tabs>
          <w:tab w:val="clear" w:pos="567"/>
        </w:tabs>
        <w:ind w:left="567"/>
        <w:rPr>
          <w:lang w:val="es-419"/>
        </w:rPr>
      </w:pPr>
      <w:r w:rsidRPr="009E0267">
        <w:rPr>
          <w:lang w:val="es-419"/>
        </w:rPr>
        <w:t>mejora de la adopción de decisiones</w:t>
      </w:r>
      <w:r w:rsidR="00425D23" w:rsidRPr="009E0267">
        <w:rPr>
          <w:lang w:val="es-419"/>
        </w:rPr>
        <w:t xml:space="preserve">: </w:t>
      </w:r>
      <w:r w:rsidRPr="009E0267">
        <w:rPr>
          <w:lang w:val="es-419"/>
        </w:rPr>
        <w:t xml:space="preserve">los datos de gran calidad permiten realizar mejores análisis y adoptar decisiones fundamentadas, lo que promueve la eficiencia y la precisión en la </w:t>
      </w:r>
      <w:bookmarkStart w:id="8" w:name="_Int_5DBMNhdY"/>
      <w:r w:rsidRPr="009E0267">
        <w:rPr>
          <w:lang w:val="es-419"/>
        </w:rPr>
        <w:t>gestión de la PI; y</w:t>
      </w:r>
      <w:bookmarkEnd w:id="8"/>
    </w:p>
    <w:p w14:paraId="3529A949" w14:textId="55699C00" w:rsidR="0070679C" w:rsidRPr="009E0267" w:rsidRDefault="0070679C" w:rsidP="006F7707">
      <w:pPr>
        <w:pStyle w:val="ONUMFS"/>
        <w:numPr>
          <w:ilvl w:val="0"/>
          <w:numId w:val="15"/>
        </w:numPr>
        <w:tabs>
          <w:tab w:val="clear" w:pos="567"/>
        </w:tabs>
        <w:ind w:left="567"/>
        <w:rPr>
          <w:lang w:val="es-419"/>
        </w:rPr>
      </w:pPr>
      <w:r w:rsidRPr="009E0267">
        <w:rPr>
          <w:lang w:val="es-419"/>
        </w:rPr>
        <w:t>aumento de la productividad</w:t>
      </w:r>
      <w:r w:rsidR="00425D23" w:rsidRPr="009E0267">
        <w:rPr>
          <w:lang w:val="es-419"/>
        </w:rPr>
        <w:t xml:space="preserve">: </w:t>
      </w:r>
      <w:r w:rsidRPr="009E0267">
        <w:rPr>
          <w:lang w:val="es-419"/>
        </w:rPr>
        <w:t>la racionalización de los procesos reduce al mínimo las tareas redundantes, lo que aumenta la productividad general.</w:t>
      </w:r>
    </w:p>
    <w:p w14:paraId="1A501D14" w14:textId="77777777" w:rsidR="0070679C" w:rsidRPr="009E0267" w:rsidRDefault="0070679C" w:rsidP="002E0030">
      <w:pPr>
        <w:pStyle w:val="ONUMFS"/>
        <w:rPr>
          <w:lang w:val="es-419"/>
        </w:rPr>
      </w:pPr>
      <w:r w:rsidRPr="009E0267">
        <w:rPr>
          <w:lang w:val="es-419"/>
        </w:rPr>
        <w:t>A pesar de que las ventajas son evidentes, varios oradores reconocieron que siguen existiendo retos en materia de armonización digital y aplicación de las normas técnicas de la OMPI, a saber:</w:t>
      </w:r>
    </w:p>
    <w:p w14:paraId="0E784DA7" w14:textId="42846205" w:rsidR="0070679C" w:rsidRPr="009E0267" w:rsidRDefault="0070679C" w:rsidP="006F7707">
      <w:pPr>
        <w:pStyle w:val="ONUMFS"/>
        <w:numPr>
          <w:ilvl w:val="0"/>
          <w:numId w:val="16"/>
        </w:numPr>
        <w:tabs>
          <w:tab w:val="clear" w:pos="567"/>
        </w:tabs>
        <w:ind w:left="567"/>
        <w:rPr>
          <w:lang w:val="es-419"/>
        </w:rPr>
      </w:pPr>
      <w:r w:rsidRPr="009E0267">
        <w:rPr>
          <w:lang w:val="es-419"/>
        </w:rPr>
        <w:t>escasez de recursos</w:t>
      </w:r>
      <w:r w:rsidR="00425D23" w:rsidRPr="009E0267">
        <w:rPr>
          <w:lang w:val="es-419"/>
        </w:rPr>
        <w:t xml:space="preserve">: </w:t>
      </w:r>
      <w:r w:rsidRPr="009E0267">
        <w:rPr>
          <w:lang w:val="es-419"/>
        </w:rPr>
        <w:t>los recursos financieros y humanos suelen ser escasos, lo que dificulta la realización de proyectos de modernización de gran envergadura;</w:t>
      </w:r>
    </w:p>
    <w:p w14:paraId="3847BACA" w14:textId="081D4573" w:rsidR="0070679C" w:rsidRPr="009E0267" w:rsidRDefault="0070679C" w:rsidP="006F7707">
      <w:pPr>
        <w:pStyle w:val="ONUMFS"/>
        <w:numPr>
          <w:ilvl w:val="0"/>
          <w:numId w:val="16"/>
        </w:numPr>
        <w:tabs>
          <w:tab w:val="clear" w:pos="567"/>
        </w:tabs>
        <w:ind w:left="567"/>
        <w:rPr>
          <w:lang w:val="es-419"/>
        </w:rPr>
      </w:pPr>
      <w:r w:rsidRPr="009E0267">
        <w:rPr>
          <w:lang w:val="es-419"/>
        </w:rPr>
        <w:t>sistemas anticuados</w:t>
      </w:r>
      <w:r w:rsidR="00425D23" w:rsidRPr="009E0267">
        <w:rPr>
          <w:lang w:val="es-419"/>
        </w:rPr>
        <w:t xml:space="preserve">: </w:t>
      </w:r>
      <w:r w:rsidRPr="009E0267">
        <w:rPr>
          <w:lang w:val="es-419"/>
        </w:rPr>
        <w:t>los sistemas más antiguos pueden no ser compatibles con las nuevas normas técnicas de la OMPI, por lo que es necesario realizar inversiones y esfuerzos considerables para actualizarlos;</w:t>
      </w:r>
    </w:p>
    <w:p w14:paraId="32D596EC" w14:textId="5B0F1E49" w:rsidR="0070679C" w:rsidRPr="009E0267" w:rsidRDefault="0070679C" w:rsidP="006F7707">
      <w:pPr>
        <w:pStyle w:val="ONUMFS"/>
        <w:numPr>
          <w:ilvl w:val="0"/>
          <w:numId w:val="16"/>
        </w:numPr>
        <w:tabs>
          <w:tab w:val="clear" w:pos="567"/>
        </w:tabs>
        <w:ind w:left="567"/>
        <w:rPr>
          <w:lang w:val="es-419"/>
        </w:rPr>
      </w:pPr>
      <w:r w:rsidRPr="009E0267">
        <w:rPr>
          <w:lang w:val="es-419"/>
        </w:rPr>
        <w:t>obstáculos jurídicos y de seguridad</w:t>
      </w:r>
      <w:r w:rsidR="00425D23" w:rsidRPr="009E0267">
        <w:rPr>
          <w:lang w:val="es-419"/>
        </w:rPr>
        <w:t xml:space="preserve">: </w:t>
      </w:r>
      <w:r w:rsidRPr="009E0267">
        <w:rPr>
          <w:lang w:val="es-419"/>
        </w:rPr>
        <w:t xml:space="preserve">las diferencias entre las legislaciones nacionales y los protocolos de seguridad pueden dificultar la adopción de </w:t>
      </w:r>
      <w:bookmarkStart w:id="9" w:name="_Int_2HRwHzsE"/>
      <w:r w:rsidRPr="009E0267">
        <w:rPr>
          <w:lang w:val="es-419"/>
        </w:rPr>
        <w:t>prácticas normalizadas; y</w:t>
      </w:r>
      <w:bookmarkEnd w:id="9"/>
    </w:p>
    <w:p w14:paraId="470BB6C6" w14:textId="0754AD5A" w:rsidR="0070679C" w:rsidRPr="009E0267" w:rsidRDefault="0070679C" w:rsidP="006F7707">
      <w:pPr>
        <w:pStyle w:val="ONUMFS"/>
        <w:numPr>
          <w:ilvl w:val="0"/>
          <w:numId w:val="16"/>
        </w:numPr>
        <w:tabs>
          <w:tab w:val="clear" w:pos="567"/>
        </w:tabs>
        <w:ind w:left="567"/>
        <w:rPr>
          <w:lang w:val="es-419"/>
        </w:rPr>
      </w:pPr>
      <w:r w:rsidRPr="009E0267">
        <w:rPr>
          <w:lang w:val="es-419"/>
        </w:rPr>
        <w:t>gestión del cambio</w:t>
      </w:r>
      <w:r w:rsidR="00425D23" w:rsidRPr="009E0267">
        <w:rPr>
          <w:lang w:val="es-419"/>
        </w:rPr>
        <w:t xml:space="preserve">: </w:t>
      </w:r>
      <w:r w:rsidRPr="009E0267">
        <w:rPr>
          <w:lang w:val="es-419"/>
        </w:rPr>
        <w:t>la gestión de los cambios culturales y operacionales asociados a la transformación digital puede provocar agotamiento entre los funcionarios.</w:t>
      </w:r>
    </w:p>
    <w:p w14:paraId="276F9802" w14:textId="77777777" w:rsidR="0070679C" w:rsidRPr="009E0267" w:rsidRDefault="0070679C" w:rsidP="002E0030">
      <w:pPr>
        <w:pStyle w:val="ONUMFS"/>
        <w:rPr>
          <w:lang w:val="es-419"/>
        </w:rPr>
      </w:pPr>
      <w:r w:rsidRPr="009E0267">
        <w:rPr>
          <w:lang w:val="es-419"/>
        </w:rPr>
        <w:t>Los debates se centraron asimismo en las dificultades que entraña el intercambio eficaz de datos sobre PI a escala mundial, entre los que se encuentran los siguientes:</w:t>
      </w:r>
    </w:p>
    <w:p w14:paraId="7F27428A" w14:textId="30899C09" w:rsidR="0070679C" w:rsidRPr="009E0267" w:rsidRDefault="0070679C" w:rsidP="006F7707">
      <w:pPr>
        <w:pStyle w:val="ONUMFS"/>
        <w:numPr>
          <w:ilvl w:val="0"/>
          <w:numId w:val="17"/>
        </w:numPr>
        <w:tabs>
          <w:tab w:val="clear" w:pos="567"/>
        </w:tabs>
        <w:ind w:left="567"/>
        <w:rPr>
          <w:lang w:val="es-419"/>
        </w:rPr>
      </w:pPr>
      <w:r w:rsidRPr="009E0267">
        <w:rPr>
          <w:lang w:val="es-419"/>
        </w:rPr>
        <w:lastRenderedPageBreak/>
        <w:t>incompatibilidades tecnológicas</w:t>
      </w:r>
      <w:r w:rsidR="00425D23" w:rsidRPr="009E0267">
        <w:rPr>
          <w:lang w:val="es-419"/>
        </w:rPr>
        <w:t xml:space="preserve">: </w:t>
      </w:r>
      <w:r w:rsidRPr="009E0267">
        <w:rPr>
          <w:lang w:val="es-419"/>
        </w:rPr>
        <w:t xml:space="preserve">los distintos países utilizan sistemas y normas diferentes, lo que complica el intercambio de datos; </w:t>
      </w:r>
    </w:p>
    <w:p w14:paraId="2030A2B8" w14:textId="203FE6A9" w:rsidR="0070679C" w:rsidRPr="009E0267" w:rsidRDefault="0070679C" w:rsidP="006F7707">
      <w:pPr>
        <w:pStyle w:val="ONUMFS"/>
        <w:numPr>
          <w:ilvl w:val="0"/>
          <w:numId w:val="17"/>
        </w:numPr>
        <w:tabs>
          <w:tab w:val="clear" w:pos="567"/>
        </w:tabs>
        <w:ind w:left="567"/>
        <w:rPr>
          <w:lang w:val="es-419"/>
        </w:rPr>
      </w:pPr>
      <w:r w:rsidRPr="009E0267">
        <w:rPr>
          <w:lang w:val="es-419"/>
        </w:rPr>
        <w:t>calidad y seguridad de los datos</w:t>
      </w:r>
      <w:r w:rsidR="00425D23" w:rsidRPr="009E0267">
        <w:rPr>
          <w:lang w:val="es-419"/>
        </w:rPr>
        <w:t xml:space="preserve">: </w:t>
      </w:r>
      <w:r w:rsidRPr="009E0267">
        <w:rPr>
          <w:lang w:val="es-419"/>
        </w:rPr>
        <w:t xml:space="preserve">garantizar la transferencia segura de datos de gran calidad es fundamental para que la cooperación mundial sea fiable; </w:t>
      </w:r>
    </w:p>
    <w:p w14:paraId="04DF269E" w14:textId="383D6544" w:rsidR="0070679C" w:rsidRPr="009E0267" w:rsidRDefault="0070679C" w:rsidP="006F7707">
      <w:pPr>
        <w:pStyle w:val="ONUMFS"/>
        <w:numPr>
          <w:ilvl w:val="0"/>
          <w:numId w:val="17"/>
        </w:numPr>
        <w:tabs>
          <w:tab w:val="clear" w:pos="567"/>
        </w:tabs>
        <w:ind w:left="567"/>
        <w:rPr>
          <w:lang w:val="es-419"/>
        </w:rPr>
      </w:pPr>
      <w:r w:rsidRPr="009E0267">
        <w:rPr>
          <w:lang w:val="es-419"/>
        </w:rPr>
        <w:t>marcos jurídicos</w:t>
      </w:r>
      <w:r w:rsidR="00425D23" w:rsidRPr="009E0267">
        <w:rPr>
          <w:lang w:val="es-419"/>
        </w:rPr>
        <w:t xml:space="preserve">: </w:t>
      </w:r>
      <w:r w:rsidRPr="009E0267">
        <w:rPr>
          <w:lang w:val="es-419"/>
        </w:rPr>
        <w:t xml:space="preserve">las diferencias en los requisitos legales y las leyes de protección de datos plantean </w:t>
      </w:r>
      <w:bookmarkStart w:id="10" w:name="_Int_6Irrz55q"/>
      <w:r w:rsidRPr="009E0267">
        <w:rPr>
          <w:lang w:val="es-419"/>
        </w:rPr>
        <w:t>retos importantes; y</w:t>
      </w:r>
      <w:bookmarkEnd w:id="10"/>
    </w:p>
    <w:p w14:paraId="7FD93098" w14:textId="35FDC6F1" w:rsidR="0070679C" w:rsidRPr="009E0267" w:rsidRDefault="0070679C" w:rsidP="006F7707">
      <w:pPr>
        <w:pStyle w:val="ONUMFS"/>
        <w:numPr>
          <w:ilvl w:val="0"/>
          <w:numId w:val="17"/>
        </w:numPr>
        <w:tabs>
          <w:tab w:val="clear" w:pos="567"/>
        </w:tabs>
        <w:ind w:left="567"/>
        <w:rPr>
          <w:lang w:val="es-419"/>
        </w:rPr>
      </w:pPr>
      <w:r w:rsidRPr="009E0267">
        <w:rPr>
          <w:lang w:val="es-419"/>
        </w:rPr>
        <w:t>escasez de recursos</w:t>
      </w:r>
      <w:r w:rsidR="00425D23" w:rsidRPr="009E0267">
        <w:rPr>
          <w:lang w:val="es-419"/>
        </w:rPr>
        <w:t xml:space="preserve">: </w:t>
      </w:r>
      <w:r w:rsidRPr="009E0267">
        <w:rPr>
          <w:lang w:val="es-419"/>
        </w:rPr>
        <w:t>las oficinas más pequeñas pueden carecer de la infraestructura y los conocimientos especializados necesarios para la digitalización y el intercambio eficaz de los datos.</w:t>
      </w:r>
    </w:p>
    <w:p w14:paraId="4A2A3612" w14:textId="77777777" w:rsidR="0070679C" w:rsidRPr="009E0267" w:rsidRDefault="0070679C" w:rsidP="002E0030">
      <w:pPr>
        <w:pStyle w:val="ONUMFS"/>
        <w:rPr>
          <w:lang w:val="es-419"/>
        </w:rPr>
      </w:pPr>
      <w:r w:rsidRPr="009E0267">
        <w:rPr>
          <w:lang w:val="es-419"/>
        </w:rPr>
        <w:t>Se propusieron las estrategias siguientes a fin de salvar las brechas digitales y promover la cooperación:</w:t>
      </w:r>
    </w:p>
    <w:p w14:paraId="50693E4F" w14:textId="3AFAF39F" w:rsidR="0070679C" w:rsidRPr="009E0267" w:rsidRDefault="0070679C" w:rsidP="006F7707">
      <w:pPr>
        <w:pStyle w:val="ONUMFS"/>
        <w:numPr>
          <w:ilvl w:val="0"/>
          <w:numId w:val="18"/>
        </w:numPr>
        <w:tabs>
          <w:tab w:val="clear" w:pos="567"/>
        </w:tabs>
        <w:ind w:left="567"/>
        <w:rPr>
          <w:lang w:val="es-419"/>
        </w:rPr>
      </w:pPr>
      <w:r w:rsidRPr="009E0267">
        <w:rPr>
          <w:lang w:val="es-419"/>
        </w:rPr>
        <w:t>iniciativas en el plano nacional</w:t>
      </w:r>
      <w:r w:rsidR="00425D23" w:rsidRPr="009E0267">
        <w:rPr>
          <w:lang w:val="es-419"/>
        </w:rPr>
        <w:t xml:space="preserve">: </w:t>
      </w:r>
      <w:r w:rsidRPr="009E0267">
        <w:rPr>
          <w:lang w:val="es-419"/>
        </w:rPr>
        <w:t>la inversión en infraestructura digital, la armonización de los marcos reguladores y el fomento de las alianzas público-privadas pueden impulsar la modernización;</w:t>
      </w:r>
    </w:p>
    <w:p w14:paraId="70883A82" w14:textId="47E86866" w:rsidR="0070679C" w:rsidRPr="009E0267" w:rsidRDefault="0070679C" w:rsidP="006F7707">
      <w:pPr>
        <w:pStyle w:val="ONUMFS"/>
        <w:numPr>
          <w:ilvl w:val="0"/>
          <w:numId w:val="18"/>
        </w:numPr>
        <w:tabs>
          <w:tab w:val="clear" w:pos="567"/>
        </w:tabs>
        <w:ind w:left="567"/>
        <w:rPr>
          <w:lang w:val="es-419"/>
        </w:rPr>
      </w:pPr>
      <w:r w:rsidRPr="009E0267">
        <w:rPr>
          <w:lang w:val="es-419"/>
        </w:rPr>
        <w:t>colaboración internacional</w:t>
      </w:r>
      <w:r w:rsidR="00425D23" w:rsidRPr="009E0267">
        <w:rPr>
          <w:lang w:val="es-419"/>
        </w:rPr>
        <w:t xml:space="preserve">: </w:t>
      </w:r>
      <w:r w:rsidRPr="009E0267">
        <w:rPr>
          <w:lang w:val="es-419"/>
        </w:rPr>
        <w:t>la Oficina Internacional de la OMP y las oficinas de PI más avanzadas pueden ayudar a las oficinas menos avanzadas con herramientas modulares, formación y financiación;</w:t>
      </w:r>
    </w:p>
    <w:p w14:paraId="353976F4" w14:textId="4125C25A" w:rsidR="0070679C" w:rsidRPr="009E0267" w:rsidRDefault="0070679C" w:rsidP="006F7707">
      <w:pPr>
        <w:pStyle w:val="ONUMFS"/>
        <w:numPr>
          <w:ilvl w:val="0"/>
          <w:numId w:val="18"/>
        </w:numPr>
        <w:tabs>
          <w:tab w:val="clear" w:pos="567"/>
        </w:tabs>
        <w:ind w:left="567"/>
        <w:rPr>
          <w:lang w:val="es-419"/>
        </w:rPr>
      </w:pPr>
      <w:r w:rsidRPr="009E0267">
        <w:rPr>
          <w:lang w:val="es-419"/>
        </w:rPr>
        <w:t>fortalecimiento de capacidades</w:t>
      </w:r>
      <w:r w:rsidR="00425D23" w:rsidRPr="009E0267">
        <w:rPr>
          <w:lang w:val="es-419"/>
        </w:rPr>
        <w:t xml:space="preserve">: </w:t>
      </w:r>
      <w:r w:rsidRPr="009E0267">
        <w:rPr>
          <w:lang w:val="es-419"/>
        </w:rPr>
        <w:t xml:space="preserve">el desarrollo de conocimientos especializados en el ámbito local mediante programas de formación específicos y el intercambio de conocimientos es fundamental para lograr un </w:t>
      </w:r>
      <w:bookmarkStart w:id="11" w:name="_Int_j0jB6eNr"/>
      <w:r w:rsidRPr="009E0267">
        <w:rPr>
          <w:lang w:val="es-419"/>
        </w:rPr>
        <w:t>progreso sostenible; y</w:t>
      </w:r>
      <w:bookmarkEnd w:id="11"/>
    </w:p>
    <w:p w14:paraId="78952D81" w14:textId="1E594BD8" w:rsidR="0070679C" w:rsidRPr="009E0267" w:rsidRDefault="0070679C" w:rsidP="006F7707">
      <w:pPr>
        <w:pStyle w:val="ONUMFS"/>
        <w:numPr>
          <w:ilvl w:val="0"/>
          <w:numId w:val="18"/>
        </w:numPr>
        <w:tabs>
          <w:tab w:val="clear" w:pos="567"/>
        </w:tabs>
        <w:ind w:left="567"/>
        <w:rPr>
          <w:lang w:val="es-419"/>
        </w:rPr>
      </w:pPr>
      <w:r w:rsidRPr="009E0267">
        <w:rPr>
          <w:lang w:val="es-419"/>
        </w:rPr>
        <w:t>uso de soluciones de código abierto</w:t>
      </w:r>
      <w:r w:rsidR="00425D23" w:rsidRPr="009E0267">
        <w:rPr>
          <w:lang w:val="es-419"/>
        </w:rPr>
        <w:t xml:space="preserve">: </w:t>
      </w:r>
      <w:r w:rsidRPr="009E0267">
        <w:rPr>
          <w:lang w:val="es-419"/>
        </w:rPr>
        <w:t>las herramientas de código abierto y el desarrollo impulsado por la comunidad pueden ofrecer soluciones flexibles y rentables para las oficinas de PI.</w:t>
      </w:r>
    </w:p>
    <w:p w14:paraId="0DFF96EB" w14:textId="3701D772" w:rsidR="0070679C" w:rsidRPr="009E0267" w:rsidRDefault="0070679C" w:rsidP="002E0030">
      <w:pPr>
        <w:pStyle w:val="ONUMFS"/>
        <w:rPr>
          <w:lang w:val="es-419"/>
        </w:rPr>
      </w:pPr>
      <w:r w:rsidRPr="009E0267">
        <w:rPr>
          <w:lang w:val="es-419"/>
        </w:rPr>
        <w:t>Los participantes subrayaron lo importante que es colaborar y hacer un esfuerzo conjunto en pro de la transformación digital de los sistemas de información sobre PI</w:t>
      </w:r>
      <w:r w:rsidR="00425D23" w:rsidRPr="009E0267">
        <w:rPr>
          <w:lang w:val="es-419"/>
        </w:rPr>
        <w:t xml:space="preserve">. </w:t>
      </w:r>
      <w:r w:rsidRPr="009E0267">
        <w:rPr>
          <w:lang w:val="es-419"/>
        </w:rPr>
        <w:t>Llegaron a la conclusión de que, si dan respuesta a los retos y aprovechan las estrategias examinadas, las oficinas de PI podrán mejorar la interoperabilidad, la calidad de los datos y la cooperación mundial, lo que, a la larga, contribuirá a crear un ecosistema de la PI más eficiente e integrado.</w:t>
      </w:r>
    </w:p>
    <w:p w14:paraId="214D5BF6" w14:textId="63CD0057" w:rsidR="0070679C" w:rsidRPr="009E0267" w:rsidRDefault="0070679C" w:rsidP="0070679C">
      <w:pPr>
        <w:pStyle w:val="Heading3"/>
        <w:spacing w:after="240"/>
        <w:rPr>
          <w:lang w:val="es-419"/>
        </w:rPr>
      </w:pPr>
      <w:r w:rsidRPr="009E0267">
        <w:rPr>
          <w:lang w:val="es-419"/>
        </w:rPr>
        <w:t>Próximos pasos</w:t>
      </w:r>
      <w:r w:rsidR="00425D23" w:rsidRPr="009E0267">
        <w:rPr>
          <w:lang w:val="es-419"/>
        </w:rPr>
        <w:t xml:space="preserve">: </w:t>
      </w:r>
      <w:r w:rsidRPr="009E0267">
        <w:rPr>
          <w:lang w:val="es-419"/>
        </w:rPr>
        <w:t>medidas principales que han de adoptar las oficinas de PI y la OMPI</w:t>
      </w:r>
    </w:p>
    <w:p w14:paraId="2FCDB4C0" w14:textId="0857765A" w:rsidR="0070679C" w:rsidRPr="009E0267" w:rsidRDefault="0070679C" w:rsidP="002E0030">
      <w:pPr>
        <w:pStyle w:val="ONUMFS"/>
        <w:rPr>
          <w:lang w:val="es-419"/>
        </w:rPr>
      </w:pPr>
      <w:r w:rsidRPr="009E0267">
        <w:rPr>
          <w:lang w:val="es-419"/>
        </w:rPr>
        <w:t>La Secretaría informó sobre los resultados de la encuesta realizada antes de la reunión, entre el 24 de enero y el 4 de abril de 2025, con el fin de conocer las prioridades de las oficinas de PI, en particular en lo que respecta al uso de las tecnologías emergentes, los retos a los que se enfrentan y las oportunidades que detectan, así como a la colaboración digital entre ellas</w:t>
      </w:r>
      <w:r w:rsidR="00425D23" w:rsidRPr="009E0267">
        <w:rPr>
          <w:lang w:val="es-419"/>
        </w:rPr>
        <w:t xml:space="preserve">. </w:t>
      </w:r>
      <w:r w:rsidRPr="009E0267">
        <w:rPr>
          <w:lang w:val="es-419"/>
        </w:rPr>
        <w:t>En la encuesta participaron 42 Estados miembros y tres organizaciones intergubernamentales</w:t>
      </w:r>
      <w:r w:rsidR="00425D23" w:rsidRPr="009E0267">
        <w:rPr>
          <w:lang w:val="es-419"/>
        </w:rPr>
        <w:t xml:space="preserve">. </w:t>
      </w:r>
      <w:r w:rsidRPr="009E0267">
        <w:rPr>
          <w:lang w:val="es-419"/>
        </w:rPr>
        <w:t>El informe se puede consultar en</w:t>
      </w:r>
      <w:r w:rsidR="00425D23" w:rsidRPr="009E0267">
        <w:rPr>
          <w:lang w:val="es-419"/>
        </w:rPr>
        <w:t xml:space="preserve">: </w:t>
      </w:r>
      <w:hyperlink r:id="rId11" w:history="1">
        <w:r w:rsidRPr="009E0267">
          <w:rPr>
            <w:rStyle w:val="Hyperlink"/>
            <w:lang w:val="es-419"/>
          </w:rPr>
          <w:t>https://www.wipo.int/meetings/es/doc_details.jsp?doc_id=644543</w:t>
        </w:r>
      </w:hyperlink>
      <w:hyperlink r:id="rId12">
        <w:r w:rsidRPr="009E0267">
          <w:rPr>
            <w:rStyle w:val="Hyperlink"/>
            <w:lang w:val="es-419"/>
          </w:rPr>
          <w:t>.</w:t>
        </w:r>
      </w:hyperlink>
    </w:p>
    <w:p w14:paraId="019BEF10" w14:textId="77777777" w:rsidR="0070679C" w:rsidRPr="009E0267" w:rsidRDefault="0070679C" w:rsidP="002E0030">
      <w:pPr>
        <w:pStyle w:val="ONUMFS"/>
        <w:rPr>
          <w:lang w:val="es-419"/>
        </w:rPr>
      </w:pPr>
      <w:r w:rsidRPr="009E0267">
        <w:rPr>
          <w:lang w:val="es-419"/>
        </w:rPr>
        <w:t xml:space="preserve">A la luz de los resultados de la encuesta y de los debates celebrados durante los tres días de la sesión inaugural del WILD, los participantes examinaron los próximos pasos que se deben dar, a saber: </w:t>
      </w:r>
    </w:p>
    <w:p w14:paraId="562EECF6" w14:textId="77777777" w:rsidR="0070679C" w:rsidRPr="009E0267" w:rsidRDefault="0070679C" w:rsidP="006F7707">
      <w:pPr>
        <w:pStyle w:val="ONUMFS"/>
        <w:numPr>
          <w:ilvl w:val="0"/>
          <w:numId w:val="19"/>
        </w:numPr>
        <w:tabs>
          <w:tab w:val="clear" w:pos="567"/>
        </w:tabs>
        <w:ind w:left="567"/>
        <w:rPr>
          <w:lang w:val="es-419"/>
        </w:rPr>
      </w:pPr>
      <w:r w:rsidRPr="009E0267">
        <w:rPr>
          <w:lang w:val="es-419"/>
        </w:rPr>
        <w:t>crear una red de directores de los sistemas de información y directores de tecnología (CIO/CTO) de las oficinas de PI;</w:t>
      </w:r>
    </w:p>
    <w:p w14:paraId="61458364" w14:textId="77777777" w:rsidR="0070679C" w:rsidRPr="009E0267" w:rsidRDefault="0070679C" w:rsidP="006F7707">
      <w:pPr>
        <w:pStyle w:val="ONUMFS"/>
        <w:numPr>
          <w:ilvl w:val="0"/>
          <w:numId w:val="19"/>
        </w:numPr>
        <w:tabs>
          <w:tab w:val="clear" w:pos="567"/>
        </w:tabs>
        <w:ind w:left="567"/>
        <w:rPr>
          <w:lang w:val="es-419"/>
        </w:rPr>
      </w:pPr>
      <w:r w:rsidRPr="009E0267">
        <w:rPr>
          <w:lang w:val="es-419"/>
        </w:rPr>
        <w:lastRenderedPageBreak/>
        <w:t>establecer un foro en el que intercambiar información sobre los servicios de TIC y el conjunto de soluciones disponibles;</w:t>
      </w:r>
    </w:p>
    <w:p w14:paraId="42CE7975" w14:textId="77777777" w:rsidR="0070679C" w:rsidRPr="009E0267" w:rsidRDefault="0070679C" w:rsidP="006F7707">
      <w:pPr>
        <w:pStyle w:val="ONUMFS"/>
        <w:numPr>
          <w:ilvl w:val="0"/>
          <w:numId w:val="19"/>
        </w:numPr>
        <w:tabs>
          <w:tab w:val="clear" w:pos="567"/>
        </w:tabs>
        <w:ind w:left="567"/>
        <w:rPr>
          <w:lang w:val="es-419"/>
        </w:rPr>
      </w:pPr>
      <w:r w:rsidRPr="009E0267">
        <w:rPr>
          <w:lang w:val="es-419"/>
        </w:rPr>
        <w:t xml:space="preserve">organizar talleres de intercambio de conocimientos o sesiones de formación a fin de fortalecer las capacidades; </w:t>
      </w:r>
    </w:p>
    <w:p w14:paraId="06164716" w14:textId="77777777" w:rsidR="0070679C" w:rsidRPr="009E0267" w:rsidRDefault="0070679C" w:rsidP="006F7707">
      <w:pPr>
        <w:pStyle w:val="ONUMFS"/>
        <w:numPr>
          <w:ilvl w:val="0"/>
          <w:numId w:val="19"/>
        </w:numPr>
        <w:tabs>
          <w:tab w:val="clear" w:pos="567"/>
        </w:tabs>
        <w:ind w:left="567"/>
        <w:rPr>
          <w:lang w:val="es-419"/>
        </w:rPr>
      </w:pPr>
      <w:r w:rsidRPr="009E0267">
        <w:rPr>
          <w:lang w:val="es-419"/>
        </w:rPr>
        <w:t xml:space="preserve">colaborar en uno o varios proyectos piloto sobre la utilización de tecnologías emergentes, por ejemplo, una actividad dedicada a las herramientas, como un hackatón o un encuentro de programadores, destinado a las empresas y </w:t>
      </w:r>
      <w:bookmarkStart w:id="12" w:name="_Int_fWpyv6xY"/>
      <w:r w:rsidRPr="009E0267">
        <w:rPr>
          <w:lang w:val="es-419"/>
        </w:rPr>
        <w:t>servicios relacionados con la PI; y</w:t>
      </w:r>
      <w:bookmarkEnd w:id="12"/>
      <w:r w:rsidRPr="009E0267">
        <w:rPr>
          <w:lang w:val="es-419"/>
        </w:rPr>
        <w:t xml:space="preserve"> </w:t>
      </w:r>
    </w:p>
    <w:p w14:paraId="1FB1D8B5" w14:textId="3172E21A" w:rsidR="0070679C" w:rsidRPr="009E0267" w:rsidRDefault="0070679C" w:rsidP="006F7707">
      <w:pPr>
        <w:pStyle w:val="ONUMFS"/>
        <w:numPr>
          <w:ilvl w:val="0"/>
          <w:numId w:val="19"/>
        </w:numPr>
        <w:tabs>
          <w:tab w:val="clear" w:pos="567"/>
        </w:tabs>
        <w:ind w:left="567"/>
        <w:rPr>
          <w:lang w:val="es-419"/>
        </w:rPr>
      </w:pPr>
      <w:r w:rsidRPr="009E0267">
        <w:rPr>
          <w:lang w:val="es-419"/>
        </w:rPr>
        <w:t>crear uno o varios grupos temáticos a fin de colaborar en los principales ámbitos de interés</w:t>
      </w:r>
      <w:bookmarkStart w:id="13" w:name="_Int_qRLB7rvU"/>
      <w:r w:rsidR="00425D23" w:rsidRPr="009E0267">
        <w:rPr>
          <w:lang w:val="es-419"/>
        </w:rPr>
        <w:t xml:space="preserve">; </w:t>
      </w:r>
      <w:r w:rsidRPr="009E0267">
        <w:rPr>
          <w:lang w:val="es-419"/>
        </w:rPr>
        <w:t>se</w:t>
      </w:r>
      <w:bookmarkEnd w:id="13"/>
      <w:r w:rsidRPr="009E0267">
        <w:rPr>
          <w:lang w:val="es-419"/>
        </w:rPr>
        <w:t xml:space="preserve"> sugirió que el primero de ellos fuera un grupo sobre herramientas de IA. </w:t>
      </w:r>
    </w:p>
    <w:p w14:paraId="04D356B3" w14:textId="4F17AF88" w:rsidR="0070679C" w:rsidRPr="009E0267" w:rsidRDefault="0070679C" w:rsidP="002E0030">
      <w:pPr>
        <w:pStyle w:val="ONUMFS"/>
        <w:rPr>
          <w:lang w:val="es-419"/>
        </w:rPr>
      </w:pPr>
      <w:r w:rsidRPr="009E0267">
        <w:rPr>
          <w:lang w:val="es-419"/>
        </w:rPr>
        <w:t>Los participantes señalaron que, para que dichas iniciativas fueran eficaces, sería fundamental contar con una participación activa</w:t>
      </w:r>
      <w:r w:rsidR="00425D23" w:rsidRPr="009E0267">
        <w:rPr>
          <w:lang w:val="es-419"/>
        </w:rPr>
        <w:t xml:space="preserve">. </w:t>
      </w:r>
      <w:r w:rsidRPr="009E0267">
        <w:rPr>
          <w:lang w:val="es-419"/>
        </w:rPr>
        <w:t>Acordaron que la Secretaría difundiría las medidas propuestas en el párrafo 29 en relación con los próximos pasos que se deberían dar, con miras a proseguir su examen y formular observaciones al respecto en los dos meses siguientes a la sesión inaugural del WILD.</w:t>
      </w:r>
    </w:p>
    <w:p w14:paraId="3AB1B452" w14:textId="77777777" w:rsidR="0070679C" w:rsidRPr="009E0267" w:rsidRDefault="0070679C" w:rsidP="002E0030">
      <w:pPr>
        <w:pStyle w:val="ONUMFS"/>
        <w:rPr>
          <w:lang w:val="es-419"/>
        </w:rPr>
      </w:pPr>
      <w:r w:rsidRPr="009E0267">
        <w:rPr>
          <w:lang w:val="es-419"/>
        </w:rPr>
        <w:t xml:space="preserve">Muchos participantes reconocieron que la OMPI podría desempeñar un papel fundamental en el ámbito de las TIC, en particular mediante las acciones siguientes: </w:t>
      </w:r>
    </w:p>
    <w:p w14:paraId="4E5F7678" w14:textId="77777777" w:rsidR="0070679C" w:rsidRPr="009E0267" w:rsidRDefault="0070679C" w:rsidP="006F7707">
      <w:pPr>
        <w:pStyle w:val="ONUMFS"/>
        <w:numPr>
          <w:ilvl w:val="0"/>
          <w:numId w:val="20"/>
        </w:numPr>
        <w:tabs>
          <w:tab w:val="clear" w:pos="567"/>
        </w:tabs>
        <w:ind w:left="567"/>
        <w:rPr>
          <w:lang w:val="es-419"/>
        </w:rPr>
      </w:pPr>
      <w:r w:rsidRPr="009E0267">
        <w:rPr>
          <w:lang w:val="es-419"/>
        </w:rPr>
        <w:t>fomentar y coordinar la colaboración digital entre las oficinas de PI con el fin de reducir la duplicación de tareas en el desarrollo y el funcionamiento de soluciones de TI;</w:t>
      </w:r>
    </w:p>
    <w:p w14:paraId="3F50BAC7" w14:textId="77777777" w:rsidR="0070679C" w:rsidRPr="009E0267" w:rsidRDefault="0070679C" w:rsidP="006F7707">
      <w:pPr>
        <w:pStyle w:val="ONUMFS"/>
        <w:numPr>
          <w:ilvl w:val="0"/>
          <w:numId w:val="20"/>
        </w:numPr>
        <w:tabs>
          <w:tab w:val="clear" w:pos="567"/>
        </w:tabs>
        <w:ind w:left="567"/>
        <w:rPr>
          <w:lang w:val="es-419"/>
        </w:rPr>
      </w:pPr>
      <w:r w:rsidRPr="009E0267">
        <w:rPr>
          <w:lang w:val="es-419"/>
        </w:rPr>
        <w:t>establecer correspondencias en función de las necesidades y del grado de experiencia de las oficinas de PI en el ámbito de las TIC;</w:t>
      </w:r>
    </w:p>
    <w:p w14:paraId="171A2E53" w14:textId="77777777" w:rsidR="0070679C" w:rsidRPr="009E0267" w:rsidRDefault="0070679C" w:rsidP="006F7707">
      <w:pPr>
        <w:pStyle w:val="ONUMFS"/>
        <w:numPr>
          <w:ilvl w:val="0"/>
          <w:numId w:val="20"/>
        </w:numPr>
        <w:tabs>
          <w:tab w:val="clear" w:pos="567"/>
        </w:tabs>
        <w:ind w:left="567"/>
        <w:rPr>
          <w:lang w:val="es-419"/>
        </w:rPr>
      </w:pPr>
      <w:r w:rsidRPr="009E0267">
        <w:rPr>
          <w:lang w:val="es-419"/>
        </w:rPr>
        <w:t xml:space="preserve">orientar a las oficinas de PI sobre el panorama de la transformación </w:t>
      </w:r>
      <w:bookmarkStart w:id="14" w:name="_Int_38D9yCub"/>
      <w:r w:rsidRPr="009E0267">
        <w:rPr>
          <w:lang w:val="es-419"/>
        </w:rPr>
        <w:t>digital; y</w:t>
      </w:r>
      <w:bookmarkEnd w:id="14"/>
      <w:r w:rsidRPr="009E0267">
        <w:rPr>
          <w:lang w:val="es-419"/>
        </w:rPr>
        <w:t xml:space="preserve"> </w:t>
      </w:r>
    </w:p>
    <w:p w14:paraId="626FEB4F" w14:textId="77777777" w:rsidR="0070679C" w:rsidRPr="009E0267" w:rsidRDefault="0070679C" w:rsidP="006F7707">
      <w:pPr>
        <w:pStyle w:val="ONUMFS"/>
        <w:numPr>
          <w:ilvl w:val="0"/>
          <w:numId w:val="20"/>
        </w:numPr>
        <w:tabs>
          <w:tab w:val="clear" w:pos="567"/>
        </w:tabs>
        <w:ind w:left="567"/>
        <w:rPr>
          <w:lang w:val="es-419"/>
        </w:rPr>
      </w:pPr>
      <w:r w:rsidRPr="009E0267">
        <w:rPr>
          <w:lang w:val="es-419"/>
        </w:rPr>
        <w:t>celebrar talleres de intercambio de conocimientos y sesiones de formación, entre otras cosas sobre las normas técnicas de la OMPI.</w:t>
      </w:r>
    </w:p>
    <w:p w14:paraId="7AA328A3" w14:textId="77777777" w:rsidR="0070679C" w:rsidRPr="009E0267" w:rsidRDefault="0070679C" w:rsidP="002E0030">
      <w:pPr>
        <w:pStyle w:val="ONUMFS"/>
        <w:rPr>
          <w:lang w:val="es-419"/>
        </w:rPr>
      </w:pPr>
      <w:r w:rsidRPr="009E0267">
        <w:rPr>
          <w:lang w:val="es-419"/>
        </w:rPr>
        <w:t xml:space="preserve">Varios participantes sugirieron temas de debate para la próxima sesión del WILD, entre ellos los siguientes: </w:t>
      </w:r>
    </w:p>
    <w:p w14:paraId="605AE77B" w14:textId="77777777" w:rsidR="0070679C" w:rsidRPr="009E0267" w:rsidRDefault="0070679C" w:rsidP="006F7707">
      <w:pPr>
        <w:pStyle w:val="ONUMFS"/>
        <w:numPr>
          <w:ilvl w:val="0"/>
          <w:numId w:val="21"/>
        </w:numPr>
        <w:tabs>
          <w:tab w:val="clear" w:pos="567"/>
        </w:tabs>
        <w:ind w:left="567"/>
        <w:rPr>
          <w:lang w:val="es-419"/>
        </w:rPr>
      </w:pPr>
      <w:r w:rsidRPr="009E0267">
        <w:rPr>
          <w:lang w:val="es-419"/>
        </w:rPr>
        <w:t>índice de experiencia de las oficinas de PI en el ámbito de las TIC;</w:t>
      </w:r>
    </w:p>
    <w:p w14:paraId="1A6F33AD" w14:textId="77777777" w:rsidR="0070679C" w:rsidRPr="009E0267" w:rsidRDefault="0070679C" w:rsidP="006F7707">
      <w:pPr>
        <w:pStyle w:val="ONUMFS"/>
        <w:numPr>
          <w:ilvl w:val="0"/>
          <w:numId w:val="21"/>
        </w:numPr>
        <w:tabs>
          <w:tab w:val="clear" w:pos="567"/>
        </w:tabs>
        <w:ind w:left="567"/>
        <w:rPr>
          <w:lang w:val="es-419"/>
        </w:rPr>
      </w:pPr>
      <w:r w:rsidRPr="009E0267">
        <w:rPr>
          <w:lang w:val="es-419"/>
        </w:rPr>
        <w:t xml:space="preserve">presentaciones del sector privado sobre herramientas basadas </w:t>
      </w:r>
      <w:bookmarkStart w:id="15" w:name="_Int_HYE1Zfge"/>
      <w:r w:rsidRPr="009E0267">
        <w:rPr>
          <w:lang w:val="es-419"/>
        </w:rPr>
        <w:t>en la IA; y</w:t>
      </w:r>
      <w:bookmarkEnd w:id="15"/>
    </w:p>
    <w:p w14:paraId="371E2D18" w14:textId="77777777" w:rsidR="0070679C" w:rsidRPr="009E0267" w:rsidRDefault="0070679C" w:rsidP="006F7707">
      <w:pPr>
        <w:pStyle w:val="ONUMFS"/>
        <w:numPr>
          <w:ilvl w:val="0"/>
          <w:numId w:val="21"/>
        </w:numPr>
        <w:tabs>
          <w:tab w:val="clear" w:pos="567"/>
        </w:tabs>
        <w:ind w:left="567"/>
        <w:rPr>
          <w:lang w:val="es-419"/>
        </w:rPr>
      </w:pPr>
      <w:r w:rsidRPr="009E0267">
        <w:rPr>
          <w:lang w:val="es-419"/>
        </w:rPr>
        <w:t>reuniones paralelas a fin de propiciar debates más interactivos.</w:t>
      </w:r>
    </w:p>
    <w:p w14:paraId="1BB4C2DE" w14:textId="0A3AA9A2" w:rsidR="0070679C" w:rsidRPr="009E0267" w:rsidRDefault="0070679C" w:rsidP="002E0030">
      <w:pPr>
        <w:pStyle w:val="ONUMFS"/>
        <w:rPr>
          <w:lang w:val="es-419"/>
        </w:rPr>
      </w:pPr>
      <w:r w:rsidRPr="009E0267">
        <w:rPr>
          <w:lang w:val="es-419"/>
        </w:rPr>
        <w:t>La reunión concluyó con un recordatorio de que la transformación digital es un proceso continuo</w:t>
      </w:r>
      <w:r w:rsidR="00425D23" w:rsidRPr="009E0267">
        <w:rPr>
          <w:lang w:val="es-419"/>
        </w:rPr>
        <w:t xml:space="preserve">. </w:t>
      </w:r>
      <w:r w:rsidRPr="009E0267">
        <w:rPr>
          <w:lang w:val="es-419"/>
        </w:rPr>
        <w:t xml:space="preserve">Se animó a los participantes a seguir intercambiando ideas y forjando alianzas con miras a potenciar el ecosistema mundial de la PI. </w:t>
      </w:r>
    </w:p>
    <w:p w14:paraId="55A9350B" w14:textId="174C5A53" w:rsidR="00152CEA" w:rsidRPr="009E0267" w:rsidRDefault="0070679C" w:rsidP="00425D23">
      <w:pPr>
        <w:pStyle w:val="Endofdocument-Annex"/>
        <w:spacing w:before="720"/>
        <w:rPr>
          <w:lang w:val="es-419"/>
        </w:rPr>
      </w:pPr>
      <w:r w:rsidRPr="009E0267">
        <w:rPr>
          <w:lang w:val="es-419"/>
        </w:rPr>
        <w:t>[Fin del documento]</w:t>
      </w:r>
    </w:p>
    <w:sectPr w:rsidR="00152CEA" w:rsidRPr="009E0267" w:rsidSect="0070679C">
      <w:headerReference w:type="default" r:id="rId13"/>
      <w:footerReference w:type="even" r:id="rId14"/>
      <w:footerReference w:type="defaul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9000" w14:textId="77777777" w:rsidR="00E76AC1" w:rsidRDefault="00E76AC1">
      <w:r>
        <w:separator/>
      </w:r>
    </w:p>
  </w:endnote>
  <w:endnote w:type="continuationSeparator" w:id="0">
    <w:p w14:paraId="1D1C7FE8" w14:textId="77777777" w:rsidR="00E76AC1" w:rsidRPr="009D30E6" w:rsidRDefault="00E76AC1" w:rsidP="007E663E">
      <w:pPr>
        <w:rPr>
          <w:sz w:val="17"/>
          <w:szCs w:val="17"/>
        </w:rPr>
      </w:pPr>
      <w:r w:rsidRPr="009D30E6">
        <w:rPr>
          <w:sz w:val="17"/>
          <w:szCs w:val="17"/>
        </w:rPr>
        <w:separator/>
      </w:r>
    </w:p>
    <w:p w14:paraId="6963B31B" w14:textId="77777777" w:rsidR="00E76AC1" w:rsidRPr="007E663E" w:rsidRDefault="00E76AC1" w:rsidP="007E663E">
      <w:pPr>
        <w:spacing w:after="60"/>
        <w:rPr>
          <w:sz w:val="17"/>
          <w:szCs w:val="17"/>
        </w:rPr>
      </w:pPr>
      <w:r>
        <w:rPr>
          <w:sz w:val="17"/>
        </w:rPr>
        <w:t>[Continuación de la nota de la página anterior]</w:t>
      </w:r>
    </w:p>
  </w:endnote>
  <w:endnote w:type="continuationNotice" w:id="1">
    <w:p w14:paraId="5E6CB7A8" w14:textId="77777777" w:rsidR="00E76AC1" w:rsidRPr="007E663E" w:rsidRDefault="00E76AC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BDB0" w14:textId="22F70987" w:rsidR="00F70331" w:rsidRDefault="00F70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FCF" w14:textId="3C97B492" w:rsidR="00F70331" w:rsidRDefault="00F70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E595" w14:textId="2B3C1FAB" w:rsidR="00F70331" w:rsidRDefault="00F7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F6B8" w14:textId="77777777" w:rsidR="00E76AC1" w:rsidRDefault="00E76AC1">
      <w:r>
        <w:separator/>
      </w:r>
    </w:p>
  </w:footnote>
  <w:footnote w:type="continuationSeparator" w:id="0">
    <w:p w14:paraId="3DF622A4" w14:textId="77777777" w:rsidR="00E76AC1" w:rsidRPr="009D30E6" w:rsidRDefault="00E76AC1" w:rsidP="007E663E">
      <w:pPr>
        <w:rPr>
          <w:sz w:val="17"/>
          <w:szCs w:val="17"/>
        </w:rPr>
      </w:pPr>
      <w:r w:rsidRPr="009D30E6">
        <w:rPr>
          <w:sz w:val="17"/>
          <w:szCs w:val="17"/>
        </w:rPr>
        <w:separator/>
      </w:r>
    </w:p>
    <w:p w14:paraId="269BCE50" w14:textId="77777777" w:rsidR="00E76AC1" w:rsidRPr="007E663E" w:rsidRDefault="00E76AC1" w:rsidP="007E663E">
      <w:pPr>
        <w:spacing w:after="60"/>
        <w:rPr>
          <w:sz w:val="17"/>
          <w:szCs w:val="17"/>
        </w:rPr>
      </w:pPr>
      <w:r>
        <w:rPr>
          <w:sz w:val="17"/>
        </w:rPr>
        <w:t>[Continuación de la nota de la página anterior]</w:t>
      </w:r>
    </w:p>
  </w:footnote>
  <w:footnote w:type="continuationNotice" w:id="1">
    <w:p w14:paraId="29812CD4" w14:textId="77777777" w:rsidR="00E76AC1" w:rsidRPr="007E663E" w:rsidRDefault="00E76AC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D28D" w14:textId="151BB574" w:rsidR="00AE7F20" w:rsidRPr="00EB0D93" w:rsidRDefault="0070679C" w:rsidP="00477D6B">
    <w:pPr>
      <w:jc w:val="right"/>
      <w:rPr>
        <w:caps/>
      </w:rPr>
    </w:pPr>
    <w:bookmarkStart w:id="16" w:name="Code2"/>
    <w:bookmarkEnd w:id="16"/>
    <w:r>
      <w:rPr>
        <w:caps/>
      </w:rPr>
      <w:t xml:space="preserve">WILD/1/2 </w:t>
    </w:r>
    <w:r>
      <w:t>Prov</w:t>
    </w:r>
    <w:r>
      <w:rPr>
        <w:caps/>
      </w:rPr>
      <w:t>.</w:t>
    </w:r>
  </w:p>
  <w:p w14:paraId="024E193C"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092AB425" w14:textId="77777777" w:rsidR="00AE7F20" w:rsidRDefault="00AE7F20" w:rsidP="00477D6B">
    <w:pPr>
      <w:jc w:val="right"/>
    </w:pPr>
  </w:p>
  <w:p w14:paraId="464DB366"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9F6649"/>
    <w:multiLevelType w:val="multilevel"/>
    <w:tmpl w:val="0A10720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404C27E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627917"/>
    <w:multiLevelType w:val="multilevel"/>
    <w:tmpl w:val="3E7EF24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A05E63"/>
    <w:multiLevelType w:val="multilevel"/>
    <w:tmpl w:val="F6A6BFE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7C3AFC"/>
    <w:multiLevelType w:val="hybridMultilevel"/>
    <w:tmpl w:val="A71C88D4"/>
    <w:lvl w:ilvl="0" w:tplc="D08638AA">
      <w:start w:val="1"/>
      <w:numFmt w:val="lowerLetter"/>
      <w:lvlText w:val="(%1)"/>
      <w:lvlJc w:val="left"/>
      <w:pPr>
        <w:ind w:left="720" w:hanging="360"/>
      </w:pPr>
      <w:rPr>
        <w:rFonts w:hint="default"/>
      </w:rPr>
    </w:lvl>
    <w:lvl w:ilvl="1" w:tplc="FFFFFFFF">
      <w:numFmt w:val="bullet"/>
      <w:lvlText w:val="•"/>
      <w:lvlJc w:val="left"/>
      <w:pPr>
        <w:ind w:left="1650" w:hanging="570"/>
      </w:pPr>
      <w:rPr>
        <w:rFonts w:ascii="Arial" w:eastAsia="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1C7396"/>
    <w:multiLevelType w:val="multilevel"/>
    <w:tmpl w:val="3C2850D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34753C6E"/>
    <w:multiLevelType w:val="multilevel"/>
    <w:tmpl w:val="44C6ACF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354A1CD8"/>
    <w:multiLevelType w:val="multilevel"/>
    <w:tmpl w:val="E496D9E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3AD75E4"/>
    <w:multiLevelType w:val="multilevel"/>
    <w:tmpl w:val="24D6A3B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86546A"/>
    <w:multiLevelType w:val="multilevel"/>
    <w:tmpl w:val="FE222CA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E8A5105"/>
    <w:multiLevelType w:val="multilevel"/>
    <w:tmpl w:val="16A6271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50F22112"/>
    <w:multiLevelType w:val="multilevel"/>
    <w:tmpl w:val="F400504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3B01E82"/>
    <w:multiLevelType w:val="multilevel"/>
    <w:tmpl w:val="F9408F1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67A03C8D"/>
    <w:multiLevelType w:val="multilevel"/>
    <w:tmpl w:val="5044AF8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8640CED"/>
    <w:multiLevelType w:val="multilevel"/>
    <w:tmpl w:val="9C90CCE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1AB7D44"/>
    <w:multiLevelType w:val="multilevel"/>
    <w:tmpl w:val="6D6424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369845921">
    <w:abstractNumId w:val="4"/>
  </w:num>
  <w:num w:numId="2" w16cid:durableId="1632899909">
    <w:abstractNumId w:val="12"/>
  </w:num>
  <w:num w:numId="3" w16cid:durableId="1719629078">
    <w:abstractNumId w:val="0"/>
  </w:num>
  <w:num w:numId="4" w16cid:durableId="1825775145">
    <w:abstractNumId w:val="13"/>
  </w:num>
  <w:num w:numId="5" w16cid:durableId="1181044349">
    <w:abstractNumId w:val="2"/>
  </w:num>
  <w:num w:numId="6" w16cid:durableId="898437782">
    <w:abstractNumId w:val="5"/>
  </w:num>
  <w:num w:numId="7" w16cid:durableId="608703911">
    <w:abstractNumId w:val="7"/>
  </w:num>
  <w:num w:numId="8" w16cid:durableId="35738059">
    <w:abstractNumId w:val="8"/>
  </w:num>
  <w:num w:numId="9" w16cid:durableId="2093115836">
    <w:abstractNumId w:val="9"/>
  </w:num>
  <w:num w:numId="10" w16cid:durableId="584805338">
    <w:abstractNumId w:val="19"/>
  </w:num>
  <w:num w:numId="11" w16cid:durableId="104348585">
    <w:abstractNumId w:val="17"/>
  </w:num>
  <w:num w:numId="12" w16cid:durableId="1985498263">
    <w:abstractNumId w:val="16"/>
  </w:num>
  <w:num w:numId="13" w16cid:durableId="1525511766">
    <w:abstractNumId w:val="1"/>
  </w:num>
  <w:num w:numId="14" w16cid:durableId="1669747123">
    <w:abstractNumId w:val="15"/>
  </w:num>
  <w:num w:numId="15" w16cid:durableId="198128760">
    <w:abstractNumId w:val="11"/>
  </w:num>
  <w:num w:numId="16" w16cid:durableId="662053883">
    <w:abstractNumId w:val="14"/>
  </w:num>
  <w:num w:numId="17" w16cid:durableId="476654585">
    <w:abstractNumId w:val="18"/>
  </w:num>
  <w:num w:numId="18" w16cid:durableId="1004168054">
    <w:abstractNumId w:val="6"/>
  </w:num>
  <w:num w:numId="19" w16cid:durableId="1286934821">
    <w:abstractNumId w:val="10"/>
  </w:num>
  <w:num w:numId="20" w16cid:durableId="989870417">
    <w:abstractNumId w:val="3"/>
  </w:num>
  <w:num w:numId="21" w16cid:durableId="1968925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9C"/>
    <w:rsid w:val="00010686"/>
    <w:rsid w:val="00052915"/>
    <w:rsid w:val="00074045"/>
    <w:rsid w:val="000B0F4F"/>
    <w:rsid w:val="000E3BB3"/>
    <w:rsid w:val="000F5E56"/>
    <w:rsid w:val="001362EE"/>
    <w:rsid w:val="00152CEA"/>
    <w:rsid w:val="001546E7"/>
    <w:rsid w:val="00163C28"/>
    <w:rsid w:val="001832A6"/>
    <w:rsid w:val="002634C4"/>
    <w:rsid w:val="002C2E2F"/>
    <w:rsid w:val="002D23B5"/>
    <w:rsid w:val="002E0030"/>
    <w:rsid w:val="002E0F47"/>
    <w:rsid w:val="002F4E68"/>
    <w:rsid w:val="00310826"/>
    <w:rsid w:val="00354647"/>
    <w:rsid w:val="00377273"/>
    <w:rsid w:val="003845C1"/>
    <w:rsid w:val="00387287"/>
    <w:rsid w:val="003950B6"/>
    <w:rsid w:val="003976CA"/>
    <w:rsid w:val="003C4A46"/>
    <w:rsid w:val="003E48F1"/>
    <w:rsid w:val="003F347A"/>
    <w:rsid w:val="00404DF2"/>
    <w:rsid w:val="0041562E"/>
    <w:rsid w:val="00423E3E"/>
    <w:rsid w:val="00425D23"/>
    <w:rsid w:val="00427AF4"/>
    <w:rsid w:val="0045231F"/>
    <w:rsid w:val="004647DA"/>
    <w:rsid w:val="0046793F"/>
    <w:rsid w:val="00472A6E"/>
    <w:rsid w:val="00477808"/>
    <w:rsid w:val="00477D6B"/>
    <w:rsid w:val="00493437"/>
    <w:rsid w:val="004A6C37"/>
    <w:rsid w:val="004E297D"/>
    <w:rsid w:val="004F76F4"/>
    <w:rsid w:val="00531B02"/>
    <w:rsid w:val="005332F0"/>
    <w:rsid w:val="0055013B"/>
    <w:rsid w:val="00571B99"/>
    <w:rsid w:val="0059280E"/>
    <w:rsid w:val="005A46ED"/>
    <w:rsid w:val="005B2EAE"/>
    <w:rsid w:val="00605827"/>
    <w:rsid w:val="006612E9"/>
    <w:rsid w:val="00675021"/>
    <w:rsid w:val="006A06C6"/>
    <w:rsid w:val="006B7E7F"/>
    <w:rsid w:val="006F7707"/>
    <w:rsid w:val="0070679C"/>
    <w:rsid w:val="007224C8"/>
    <w:rsid w:val="00767781"/>
    <w:rsid w:val="00794BE2"/>
    <w:rsid w:val="007A5581"/>
    <w:rsid w:val="007B71FE"/>
    <w:rsid w:val="007C5BC9"/>
    <w:rsid w:val="007D781E"/>
    <w:rsid w:val="007E663E"/>
    <w:rsid w:val="00815082"/>
    <w:rsid w:val="0088395E"/>
    <w:rsid w:val="008B2CC1"/>
    <w:rsid w:val="008E6BD6"/>
    <w:rsid w:val="0090731E"/>
    <w:rsid w:val="00966A22"/>
    <w:rsid w:val="00972F03"/>
    <w:rsid w:val="0098367F"/>
    <w:rsid w:val="009A0C8B"/>
    <w:rsid w:val="009A20CD"/>
    <w:rsid w:val="009B6241"/>
    <w:rsid w:val="009E0267"/>
    <w:rsid w:val="009F5CBC"/>
    <w:rsid w:val="00A16FC0"/>
    <w:rsid w:val="00A17A16"/>
    <w:rsid w:val="00A32C9E"/>
    <w:rsid w:val="00AB613D"/>
    <w:rsid w:val="00AE7F20"/>
    <w:rsid w:val="00B518BF"/>
    <w:rsid w:val="00B534D5"/>
    <w:rsid w:val="00B65A0A"/>
    <w:rsid w:val="00B67CDC"/>
    <w:rsid w:val="00B72D36"/>
    <w:rsid w:val="00BC4164"/>
    <w:rsid w:val="00BD2DCC"/>
    <w:rsid w:val="00BF5A8E"/>
    <w:rsid w:val="00C74104"/>
    <w:rsid w:val="00C90559"/>
    <w:rsid w:val="00CA0500"/>
    <w:rsid w:val="00CA2251"/>
    <w:rsid w:val="00CB2D71"/>
    <w:rsid w:val="00D56C7C"/>
    <w:rsid w:val="00D71B4D"/>
    <w:rsid w:val="00D7205E"/>
    <w:rsid w:val="00D765F1"/>
    <w:rsid w:val="00D90289"/>
    <w:rsid w:val="00D93D55"/>
    <w:rsid w:val="00DB78ED"/>
    <w:rsid w:val="00DC4C60"/>
    <w:rsid w:val="00DD6CF4"/>
    <w:rsid w:val="00E0079A"/>
    <w:rsid w:val="00E143EB"/>
    <w:rsid w:val="00E444DA"/>
    <w:rsid w:val="00E45C84"/>
    <w:rsid w:val="00E504E5"/>
    <w:rsid w:val="00E76AC1"/>
    <w:rsid w:val="00E81166"/>
    <w:rsid w:val="00EB0D93"/>
    <w:rsid w:val="00EB7A3E"/>
    <w:rsid w:val="00EC1AA7"/>
    <w:rsid w:val="00EC401A"/>
    <w:rsid w:val="00EF530A"/>
    <w:rsid w:val="00EF6622"/>
    <w:rsid w:val="00EF78A9"/>
    <w:rsid w:val="00F55408"/>
    <w:rsid w:val="00F66152"/>
    <w:rsid w:val="00F70331"/>
    <w:rsid w:val="00F80845"/>
    <w:rsid w:val="00F84474"/>
    <w:rsid w:val="00FA0F0D"/>
    <w:rsid w:val="00FC0364"/>
    <w:rsid w:val="00FC4CE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1EAF"/>
  <w15:docId w15:val="{BD51E715-8738-424D-814C-3054B9F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7067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etails.jsp?meeting_id=862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445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n/details.jsp?meeting_id=86271" TargetMode="External"/><Relationship Id="rId4" Type="http://schemas.openxmlformats.org/officeDocument/2006/relationships/settings" Target="settings.xml"/><Relationship Id="rId9" Type="http://schemas.openxmlformats.org/officeDocument/2006/relationships/hyperlink" Target="https://www.wipo.int/meetings/en/details.jsp?meeting_id=8627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WILD_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WILD_1 (S).dotm</Template>
  <TotalTime>29</TotalTime>
  <Pages>7</Pages>
  <Words>2932</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WILD/1/2 PROV.</vt:lpstr>
    </vt:vector>
  </TitlesOfParts>
  <Company>WIPO</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WILD/1/2 PROV.</dc:title>
  <dc:subject>WILD Proyecto de Resumen de los Debates</dc:subject>
  <dc:creator>WIPO</dc:creator>
  <cp:keywords>WIPO, WILD, Primera sesión, Resumen, Debates</cp:keywords>
  <cp:lastModifiedBy>EMMETT Claudia</cp:lastModifiedBy>
  <cp:revision>18</cp:revision>
  <dcterms:created xsi:type="dcterms:W3CDTF">2025-05-12T12:54:00Z</dcterms:created>
  <dcterms:modified xsi:type="dcterms:W3CDTF">2025-05-13T16:27:00Z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2025-05-12T13:02:01Z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34b2a6e2-e1f4-44e2-90b4-418dd5680357</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