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E6664" w14:textId="4DB172B8" w:rsidR="008B2CC1" w:rsidRPr="008B2CC1" w:rsidRDefault="00147D6D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34B753D1" wp14:editId="78173D2F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  <w:lang w:val="en-US" w:eastAsia="en-US"/>
        </w:rPr>
        <mc:AlternateContent>
          <mc:Choice Requires="wps">
            <w:drawing>
              <wp:inline distT="0" distB="0" distL="0" distR="0" wp14:anchorId="71AED6D6" wp14:editId="2B8AD290">
                <wp:extent cx="5935980" cy="0"/>
                <wp:effectExtent l="0" t="0" r="26670" b="19050"/>
                <wp:docPr id="2" name="Straight Connector 2" descr="Горизонтальная 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F6EB99" id="Straight Connector 2" o:spid="_x0000_s1026" alt="Горизонтальная линия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" strokecolor="black [3040]">
                <w10:anchorlock/>
              </v:line>
            </w:pict>
          </mc:Fallback>
        </mc:AlternateContent>
      </w:r>
    </w:p>
    <w:p w14:paraId="2F5ACF7D" w14:textId="77777777" w:rsidR="008B2CC1" w:rsidRPr="001024FE" w:rsidRDefault="00AF0E73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WIPO/GRTKF/IC/45/</w:t>
      </w:r>
      <w:bookmarkStart w:id="0" w:name="Code"/>
      <w:r>
        <w:rPr>
          <w:rFonts w:ascii="Arial Black" w:hAnsi="Arial Black"/>
          <w:caps/>
          <w:sz w:val="15"/>
        </w:rPr>
        <w:t>2</w:t>
      </w:r>
    </w:p>
    <w:bookmarkEnd w:id="0"/>
    <w:p w14:paraId="49D6BAFD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4DD047D0" w14:textId="432BDC01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16 ноября 2022 года</w:t>
      </w:r>
    </w:p>
    <w:bookmarkEnd w:id="2"/>
    <w:p w14:paraId="4A5FD07A" w14:textId="77777777" w:rsidR="008B2CC1" w:rsidRPr="003845C1" w:rsidRDefault="00AF0E73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 традиционным знаниям и фольклору</w:t>
      </w:r>
    </w:p>
    <w:p w14:paraId="58CDB0F6" w14:textId="77777777" w:rsidR="008B2CC1" w:rsidRPr="003845C1" w:rsidRDefault="00AF0E73" w:rsidP="008B2CC1">
      <w:pPr>
        <w:rPr>
          <w:b/>
          <w:sz w:val="24"/>
          <w:szCs w:val="24"/>
        </w:rPr>
      </w:pPr>
      <w:r>
        <w:rPr>
          <w:b/>
          <w:sz w:val="24"/>
        </w:rPr>
        <w:t>Сорок пятая сессия</w:t>
      </w:r>
    </w:p>
    <w:p w14:paraId="660AA2A2" w14:textId="77777777" w:rsidR="008B2CC1" w:rsidRPr="009F3BF9" w:rsidRDefault="00AF0E73" w:rsidP="00CE65D4">
      <w:pPr>
        <w:spacing w:after="720"/>
      </w:pPr>
      <w:r>
        <w:rPr>
          <w:b/>
          <w:sz w:val="24"/>
        </w:rPr>
        <w:t>Женева, 5–9 декабря 2022 года</w:t>
      </w:r>
    </w:p>
    <w:p w14:paraId="410E15D1" w14:textId="77777777" w:rsidR="00AE6473" w:rsidRPr="003845C1" w:rsidRDefault="00F10663" w:rsidP="00AE6473">
      <w:pPr>
        <w:rPr>
          <w:caps/>
          <w:sz w:val="24"/>
        </w:rPr>
      </w:pPr>
      <w:r>
        <w:rPr>
          <w:caps/>
          <w:sz w:val="24"/>
        </w:rPr>
        <w:t>ОБНОВЛЕНИЕ СПИСКА НЕПРАВИТЕЛЬСТВЕННЫХ ОРГАНИЗАЦИЙ, АККРЕДИТОВАННЫХ В КАЧЕСТВЕ НАБЛЮДАТЕЛЕЙ AD HOC ПРИ МЕЖПРАВИТЕЛЬСТВЕННОМ КОМИТЕТЕ ПО ИНТЕЛЛЕКТУАЛЬНОЙ СОБСТВЕННОСТИ, ГЕНЕТИЧЕСКИМ РЕСУРСАМ, ТРАДИЦИОННЫМ ЗНАНИЯМ И ФОЛЬКЛОРУ</w:t>
      </w:r>
    </w:p>
    <w:p w14:paraId="5467BB28" w14:textId="77777777" w:rsidR="00AE6473" w:rsidRPr="008B2CC1" w:rsidRDefault="00AE6473" w:rsidP="00AE6473"/>
    <w:p w14:paraId="2A83CB45" w14:textId="77777777" w:rsidR="00AE6473" w:rsidRPr="008B2CC1" w:rsidRDefault="00E72EAB" w:rsidP="00AE6473">
      <w:pPr>
        <w:rPr>
          <w:i/>
        </w:rPr>
      </w:pPr>
      <w:r>
        <w:rPr>
          <w:i/>
        </w:rPr>
        <w:t>Документ подготовлен Секретариатом</w:t>
      </w:r>
    </w:p>
    <w:p w14:paraId="1D19D276" w14:textId="77777777" w:rsidR="00AE6473" w:rsidRDefault="00AE6473" w:rsidP="00AE6473"/>
    <w:p w14:paraId="02ABBBC8" w14:textId="77777777" w:rsidR="00AE6473" w:rsidRDefault="00AE6473" w:rsidP="00AE6473"/>
    <w:p w14:paraId="114FA301" w14:textId="77777777" w:rsidR="00AE6473" w:rsidRDefault="00AE6473" w:rsidP="00AE6473"/>
    <w:p w14:paraId="372D0B73" w14:textId="77777777" w:rsidR="00AE6473" w:rsidRDefault="00AE6473" w:rsidP="00AE6473"/>
    <w:p w14:paraId="561CFA17" w14:textId="77777777" w:rsidR="00F10663" w:rsidRDefault="00F10663" w:rsidP="00EF0DE3">
      <w:pPr>
        <w:pStyle w:val="Heading2"/>
        <w:spacing w:before="0" w:after="0"/>
      </w:pPr>
      <w:r>
        <w:t>Введение</w:t>
      </w:r>
    </w:p>
    <w:p w14:paraId="30B330DA" w14:textId="77777777" w:rsidR="00F10663" w:rsidRPr="00F10663" w:rsidRDefault="00F10663" w:rsidP="00EF0DE3"/>
    <w:p w14:paraId="6565F5A2" w14:textId="711D7C2A" w:rsidR="00F10663" w:rsidRDefault="00F10663" w:rsidP="00EF0DE3">
      <w:r>
        <w:fldChar w:fldCharType="begin"/>
      </w:r>
      <w:r>
        <w:instrText xml:space="preserve"> AUTONUM  </w:instrText>
      </w:r>
      <w:r>
        <w:fldChar w:fldCharType="end"/>
      </w:r>
      <w:r>
        <w:tab/>
        <w:t>В настоящем документе содержится анализ роста числа неправительственных организаций (НПО), аккредитованных в качестве наблюдателей ad hoc при Межправительственном комитете по интеллектуальной собственности, генетическим ресурсам, традиционным знаниям и фол</w:t>
      </w:r>
      <w:r w:rsidR="00147D6D">
        <w:t xml:space="preserve">ьклору (МКГР). </w:t>
      </w:r>
      <w:r>
        <w:t>В документе показано увеличение числа таких наблюдателей с момента учреждения МКГР и объясняю</w:t>
      </w:r>
      <w:r w:rsidR="00147D6D">
        <w:t xml:space="preserve">тся связанные с этим проблемы. </w:t>
      </w:r>
      <w:r>
        <w:t>В конце документа представлена процедура обновления списка наблюдателей от НПО для смягчения последствий данных проблем.</w:t>
      </w:r>
    </w:p>
    <w:p w14:paraId="138D2AE9" w14:textId="77777777" w:rsidR="00EF0DE3" w:rsidRDefault="00EF0DE3" w:rsidP="00EF0DE3"/>
    <w:p w14:paraId="29B3E511" w14:textId="77777777" w:rsidR="00F10663" w:rsidRDefault="00F10663" w:rsidP="00EF0DE3">
      <w:pPr>
        <w:pStyle w:val="Heading2"/>
        <w:spacing w:before="0" w:after="0"/>
      </w:pPr>
      <w:r>
        <w:t>Увеличение числа неправительственных организаций, аккредитованных в качестве наблюдателей, и их присутствие на сессиях МКГР</w:t>
      </w:r>
    </w:p>
    <w:p w14:paraId="75678E65" w14:textId="77777777" w:rsidR="00F10663" w:rsidRPr="00F10663" w:rsidRDefault="00F10663" w:rsidP="00EF0DE3"/>
    <w:p w14:paraId="20CEB500" w14:textId="2E0CE1DF" w:rsidR="00F10663" w:rsidRDefault="00F10663" w:rsidP="00EF0DE3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За последние 22 года число НПО, аккредитованных в качестве наблюдателей ad hoc при МКГР, значительно возросло. Общее число наблюдателей от НПО выросло на 417 </w:t>
      </w:r>
      <w:r>
        <w:lastRenderedPageBreak/>
        <w:t>(c</w:t>
      </w:r>
      <w:r w:rsidR="00147D6D">
        <w:t> </w:t>
      </w:r>
      <w:r>
        <w:t>19 наблюдателей от НПО на первой сессии МКГР до 436 на сорок четвертой сессии Комитета).</w:t>
      </w:r>
    </w:p>
    <w:p w14:paraId="350281AA" w14:textId="77777777" w:rsidR="00F10663" w:rsidRDefault="00F10663" w:rsidP="00EF0DE3"/>
    <w:p w14:paraId="3C35273B" w14:textId="73DD675E" w:rsidR="00F10663" w:rsidRDefault="00F10663" w:rsidP="00EF0DE3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Однако число НПО, которые присутствовали на сессиях МПК в качестве наблюдателей, оставалось довольно </w:t>
      </w:r>
      <w:r w:rsidR="00147D6D">
        <w:t xml:space="preserve">стабильным. </w:t>
      </w:r>
      <w:r>
        <w:t>Например, в период с тридцать пятой по сорок четвертую сессию МКГР в каждой сессии участвовало в среднем 23,1 наблюдателя от НПО (включая как постоянных наблюдателей при ВОИС, так и наблюдателей ad hoc при МКГР).</w:t>
      </w:r>
    </w:p>
    <w:p w14:paraId="5E2EDF6B" w14:textId="77777777" w:rsidR="00EF0DE3" w:rsidRDefault="00EF0DE3" w:rsidP="00EF0DE3"/>
    <w:p w14:paraId="473DF5AB" w14:textId="77777777" w:rsidR="00F10663" w:rsidRDefault="00F10663" w:rsidP="00EF0DE3">
      <w:pPr>
        <w:pStyle w:val="Heading2"/>
        <w:spacing w:before="0" w:after="0"/>
      </w:pPr>
      <w:r>
        <w:t>Проблемы</w:t>
      </w:r>
    </w:p>
    <w:p w14:paraId="2F068D3E" w14:textId="77777777" w:rsidR="007935C2" w:rsidRPr="007935C2" w:rsidRDefault="007935C2" w:rsidP="00EF0DE3"/>
    <w:p w14:paraId="63A34290" w14:textId="77777777" w:rsidR="00147D6D" w:rsidRDefault="00F10663" w:rsidP="00147D6D">
      <w:r>
        <w:fldChar w:fldCharType="begin"/>
      </w:r>
      <w:r>
        <w:instrText xml:space="preserve"> AUTONUM  </w:instrText>
      </w:r>
      <w:r>
        <w:fldChar w:fldCharType="end"/>
      </w:r>
      <w:r>
        <w:tab/>
        <w:t>В связи с резким ростом числа наблюдателей от НПО, аккредитованных при МПК, встает вопрос о том, точно ли этот список отражает реальное число организаций, которые все еще существуют и/или заинтересованы в участии в переговорах в рамках МКГР.</w:t>
      </w:r>
    </w:p>
    <w:p w14:paraId="66244D92" w14:textId="67758D89" w:rsidR="00147D6D" w:rsidRDefault="00147D6D" w:rsidP="00147D6D"/>
    <w:p w14:paraId="2B260B9E" w14:textId="7F2EF3DC" w:rsidR="00147D6D" w:rsidRPr="00147D6D" w:rsidRDefault="00147D6D" w:rsidP="00147D6D">
      <w:r>
        <w:fldChar w:fldCharType="begin"/>
      </w:r>
      <w:r w:rsidRPr="00147D6D">
        <w:instrText xml:space="preserve"> </w:instrText>
      </w:r>
      <w:r w:rsidRPr="00147D6D">
        <w:rPr>
          <w:lang w:val="en-US"/>
        </w:rPr>
        <w:instrText>AUTONUM</w:instrText>
      </w:r>
      <w:r w:rsidRPr="00147D6D">
        <w:instrText xml:space="preserve">  </w:instrText>
      </w:r>
      <w:r>
        <w:fldChar w:fldCharType="end"/>
      </w:r>
      <w:r w:rsidRPr="00147D6D">
        <w:tab/>
      </w:r>
      <w:r>
        <w:t>Как отмечено выше, в период с тридцать пятой по сорок четвертую сессию МКГР в среднем в заседаниях МКГР принимал участие только 23,1 наблюдателя от НПО, что составляет 5,3% от общего числа</w:t>
      </w:r>
      <w:r w:rsidRPr="00147D6D">
        <w:t>.</w:t>
      </w:r>
    </w:p>
    <w:p w14:paraId="23C3A001" w14:textId="77777777" w:rsidR="00147D6D" w:rsidRPr="00147D6D" w:rsidRDefault="00147D6D" w:rsidP="00147D6D"/>
    <w:p w14:paraId="335437EB" w14:textId="7E02451A" w:rsidR="00F10663" w:rsidRDefault="00F10663" w:rsidP="00EF0DE3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Таким образом, как представляется, значительное число НПО, перечисленных в документе </w:t>
      </w:r>
      <w:hyperlink r:id="rId9" w:history="1">
        <w:r>
          <w:rPr>
            <w:rStyle w:val="Hyperlink"/>
          </w:rPr>
          <w:t>https://www.wipo.int/export/sites/www/tk/en/igc/docs/igc_observers.pdf</w:t>
        </w:r>
      </w:hyperlink>
      <w:r>
        <w:t>, либо прекратили свое существование, либо утратили интерес к участию в сессиях МКГР.</w:t>
      </w:r>
      <w:r w:rsidR="00147D6D">
        <w:t xml:space="preserve"> </w:t>
      </w:r>
      <w:r>
        <w:t>В настоящее время в МКГР не установлено никакой процедуры на случай отсутствия уведомления от самих организаций для проверки того, продолж</w:t>
      </w:r>
      <w:r w:rsidR="00147D6D">
        <w:t xml:space="preserve">ают ли действовать данные НПО. </w:t>
      </w:r>
      <w:r>
        <w:t>В интересах создания более эффективного механизма актуализации списка наблюдателей и предотвращения нерациональных затрат, таких как направление писем на несуществующие адреса, Секретариат МКГР обновит список наблюдателей ad hoc от НПО в соответствии с описанной ниже процедурой.</w:t>
      </w:r>
    </w:p>
    <w:p w14:paraId="40F20FF5" w14:textId="77777777" w:rsidR="00EF0DE3" w:rsidRPr="00D62DF0" w:rsidRDefault="00EF0DE3" w:rsidP="00EF0DE3"/>
    <w:p w14:paraId="215AFED3" w14:textId="77777777" w:rsidR="00F10663" w:rsidRDefault="00F10663" w:rsidP="00EF0DE3">
      <w:pPr>
        <w:pStyle w:val="Heading2"/>
        <w:spacing w:before="0" w:after="0"/>
      </w:pPr>
      <w:r>
        <w:t xml:space="preserve">Обновление списка неправительственных организаций </w:t>
      </w:r>
    </w:p>
    <w:p w14:paraId="3AEEAFCE" w14:textId="77777777" w:rsidR="00DB41BB" w:rsidRPr="00DB41BB" w:rsidRDefault="00DB41BB" w:rsidP="00EF0DE3"/>
    <w:p w14:paraId="71DB52CA" w14:textId="77777777" w:rsidR="00F10663" w:rsidRDefault="00F10663" w:rsidP="00EF0DE3">
      <w:r>
        <w:fldChar w:fldCharType="begin"/>
      </w:r>
      <w:r>
        <w:instrText xml:space="preserve"> AUTONUM  </w:instrText>
      </w:r>
      <w:r>
        <w:fldChar w:fldCharType="end"/>
      </w:r>
      <w:r>
        <w:tab/>
        <w:t>В стремлении выявить НПО, аккредитованные в качестве наблюдателей ad hoc при МКГР, которые прекратили свое существование или утратили интерес к участию в сессиях МКГР, Секретариат обновит текущий список наблюдателей с помощью следующих мер:</w:t>
      </w:r>
    </w:p>
    <w:p w14:paraId="0604113D" w14:textId="77777777" w:rsidR="00EF0DE3" w:rsidRDefault="00EF0DE3" w:rsidP="00EF0DE3"/>
    <w:p w14:paraId="6515FC64" w14:textId="77777777" w:rsidR="00F10663" w:rsidRDefault="00F10663" w:rsidP="00EF0DE3">
      <w:pPr>
        <w:pStyle w:val="ListParagraph"/>
        <w:numPr>
          <w:ilvl w:val="0"/>
          <w:numId w:val="12"/>
        </w:numPr>
        <w:ind w:left="993" w:hanging="426"/>
        <w:contextualSpacing w:val="0"/>
      </w:pPr>
      <w:r>
        <w:t xml:space="preserve">распространит опросник с просьбой ко всем наблюдателям ad hoc, не участвовавшим в сессиях МКГР на протяжении последних пяти лет, подтвердить их неизменный интерес к деятельности МКГР и желание сохранить статус наблюдателей ad hoc; </w:t>
      </w:r>
    </w:p>
    <w:p w14:paraId="1780811E" w14:textId="77777777" w:rsidR="00EF0DE3" w:rsidRDefault="00EF0DE3" w:rsidP="00EF0DE3">
      <w:pPr>
        <w:pStyle w:val="ListParagraph"/>
        <w:ind w:left="993"/>
        <w:contextualSpacing w:val="0"/>
      </w:pPr>
    </w:p>
    <w:p w14:paraId="37E607E2" w14:textId="33F9B7AA" w:rsidR="00F10663" w:rsidRDefault="00F10663" w:rsidP="00EF0DE3">
      <w:pPr>
        <w:pStyle w:val="ListParagraph"/>
        <w:numPr>
          <w:ilvl w:val="0"/>
          <w:numId w:val="12"/>
        </w:numPr>
        <w:ind w:left="993" w:hanging="426"/>
        <w:contextualSpacing w:val="0"/>
      </w:pPr>
      <w:r>
        <w:t>после получения ответов на опросник пе</w:t>
      </w:r>
      <w:r w:rsidR="00147D6D">
        <w:t xml:space="preserve">ресмотрит список наблюдателей. </w:t>
      </w:r>
      <w:r>
        <w:t>НПО, которые не ответили на первоначальное обращение, будет направле</w:t>
      </w:r>
      <w:r w:rsidR="00147D6D">
        <w:t xml:space="preserve">но одно повторное уведомление. </w:t>
      </w:r>
      <w:r>
        <w:t>Последующие действия будут заключаться в следующем:</w:t>
      </w:r>
    </w:p>
    <w:p w14:paraId="0EC9347C" w14:textId="77777777" w:rsidR="00EF0DE3" w:rsidRDefault="00EF0DE3" w:rsidP="00EF0DE3"/>
    <w:p w14:paraId="57EF222E" w14:textId="77777777" w:rsidR="00F10663" w:rsidRPr="00EF0DE3" w:rsidRDefault="00F10663" w:rsidP="00EF0DE3">
      <w:pPr>
        <w:pStyle w:val="ListParagraph"/>
        <w:numPr>
          <w:ilvl w:val="0"/>
          <w:numId w:val="13"/>
        </w:numPr>
        <w:ind w:hanging="447"/>
        <w:contextualSpacing w:val="0"/>
        <w:rPr>
          <w:b/>
        </w:rPr>
      </w:pPr>
      <w:r>
        <w:t>обновление контактных данных НПО, аккредитованных в качестве наблюдателей ad hoc и подтвердивших свой интерес к сохранению статуса наблюдателя; и</w:t>
      </w:r>
    </w:p>
    <w:p w14:paraId="0BFF3434" w14:textId="77777777" w:rsidR="00EF0DE3" w:rsidRPr="00D62DF0" w:rsidRDefault="00EF0DE3" w:rsidP="00EF0DE3">
      <w:pPr>
        <w:pStyle w:val="ListParagraph"/>
        <w:ind w:left="1440"/>
        <w:contextualSpacing w:val="0"/>
        <w:rPr>
          <w:b/>
        </w:rPr>
      </w:pPr>
    </w:p>
    <w:p w14:paraId="58825B2C" w14:textId="77777777" w:rsidR="00F10663" w:rsidRPr="00EF0DE3" w:rsidRDefault="00F10663" w:rsidP="00EF0DE3">
      <w:pPr>
        <w:pStyle w:val="ListParagraph"/>
        <w:numPr>
          <w:ilvl w:val="0"/>
          <w:numId w:val="13"/>
        </w:numPr>
        <w:ind w:hanging="447"/>
        <w:contextualSpacing w:val="0"/>
        <w:rPr>
          <w:b/>
        </w:rPr>
      </w:pPr>
      <w:r>
        <w:t>исключение НПО, аккредитованных в качестве наблюдателей, которые не подтвердили свое желание сохранить соответствующий статус, прямо заявив об этом или не ответив на опросник.</w:t>
      </w:r>
    </w:p>
    <w:p w14:paraId="1BF08E3D" w14:textId="77777777" w:rsidR="00EF0DE3" w:rsidRPr="00EF0DE3" w:rsidRDefault="00EF0DE3" w:rsidP="00EF0DE3">
      <w:pPr>
        <w:rPr>
          <w:b/>
        </w:rPr>
      </w:pPr>
    </w:p>
    <w:p w14:paraId="768D792C" w14:textId="11308F2C" w:rsidR="00F10663" w:rsidRDefault="00F10663" w:rsidP="00EF0DE3">
      <w:pPr>
        <w:pStyle w:val="ListParagraph"/>
        <w:numPr>
          <w:ilvl w:val="0"/>
          <w:numId w:val="12"/>
        </w:numPr>
        <w:ind w:left="993" w:hanging="426"/>
        <w:contextualSpacing w:val="0"/>
      </w:pPr>
      <w:r>
        <w:lastRenderedPageBreak/>
        <w:t>представление на сорок седьмой сессии МКГР отчета о результатах обновления, т.е. результатах опроса и изменениях, внесенных</w:t>
      </w:r>
      <w:r w:rsidR="00147D6D">
        <w:t xml:space="preserve"> в список наблюдателей ad hoc.</w:t>
      </w:r>
    </w:p>
    <w:p w14:paraId="2C6E83F9" w14:textId="77777777" w:rsidR="00EF0DE3" w:rsidRDefault="00EF0DE3" w:rsidP="00EF0DE3"/>
    <w:p w14:paraId="26C9AC05" w14:textId="77777777" w:rsidR="00F10663" w:rsidRDefault="00F10663" w:rsidP="00EF0DE3">
      <w:pPr>
        <w:pStyle w:val="ListParagraph"/>
        <w:numPr>
          <w:ilvl w:val="0"/>
          <w:numId w:val="12"/>
        </w:numPr>
        <w:ind w:left="993" w:hanging="426"/>
        <w:contextualSpacing w:val="0"/>
      </w:pPr>
      <w:r>
        <w:t>процедура, описанная в подпунктах (a)–(c), будет осуществляться каждые пять лет по мере необходимости.</w:t>
      </w:r>
    </w:p>
    <w:p w14:paraId="21D8F703" w14:textId="77777777" w:rsidR="00EF0DE3" w:rsidRDefault="00EF0DE3" w:rsidP="00EF0DE3"/>
    <w:p w14:paraId="1B88F49A" w14:textId="0D0F18D2" w:rsidR="00F10663" w:rsidRDefault="00F10663" w:rsidP="00EF0DE3">
      <w:pPr>
        <w:pStyle w:val="Endofdocument-Annex"/>
        <w:ind w:left="5387"/>
      </w:pPr>
      <w:r w:rsidRPr="00D62DF0">
        <w:rPr>
          <w:i/>
        </w:rPr>
        <w:fldChar w:fldCharType="begin"/>
      </w:r>
      <w:r w:rsidRPr="00D62DF0">
        <w:rPr>
          <w:i/>
        </w:rPr>
        <w:instrText xml:space="preserve"> AUTONUM  </w:instrText>
      </w:r>
      <w:r w:rsidRPr="00D62DF0">
        <w:rPr>
          <w:i/>
        </w:rPr>
        <w:fldChar w:fldCharType="end"/>
      </w:r>
      <w:r>
        <w:rPr>
          <w:i/>
        </w:rPr>
        <w:tab/>
      </w:r>
      <w:r w:rsidRPr="00147D6D">
        <w:rPr>
          <w:i/>
        </w:rPr>
        <w:t>МКГР предлагается принять к сведению нас</w:t>
      </w:r>
      <w:bookmarkStart w:id="3" w:name="_GoBack"/>
      <w:bookmarkEnd w:id="3"/>
      <w:r w:rsidRPr="00147D6D">
        <w:rPr>
          <w:i/>
        </w:rPr>
        <w:t>тоящий документ и сформулировать любые замечания в отношении предлагаемой процедуры.</w:t>
      </w:r>
    </w:p>
    <w:p w14:paraId="701C687F" w14:textId="77777777" w:rsidR="00EF0DE3" w:rsidRDefault="00EF0DE3" w:rsidP="00EF0DE3">
      <w:pPr>
        <w:pStyle w:val="Endofdocument-Annex"/>
        <w:ind w:left="5530"/>
      </w:pPr>
    </w:p>
    <w:p w14:paraId="0CE1C4F4" w14:textId="77777777" w:rsidR="00EF0DE3" w:rsidRDefault="00EF0DE3" w:rsidP="00EF0DE3">
      <w:pPr>
        <w:pStyle w:val="Endofdocument-Annex"/>
        <w:ind w:left="5530"/>
      </w:pPr>
    </w:p>
    <w:p w14:paraId="4C4D7F02" w14:textId="77777777" w:rsidR="002928D3" w:rsidRDefault="00AE6473" w:rsidP="00165EE1">
      <w:pPr>
        <w:pStyle w:val="Endofdocument"/>
        <w:ind w:left="5387"/>
        <w:jc w:val="left"/>
      </w:pPr>
      <w:r>
        <w:rPr>
          <w:sz w:val="22"/>
        </w:rPr>
        <w:t>[Конец документа]</w:t>
      </w:r>
    </w:p>
    <w:sectPr w:rsidR="002928D3" w:rsidSect="00AC14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989D5" w14:textId="77777777" w:rsidR="00AC14FD" w:rsidRDefault="00AC14FD">
      <w:r>
        <w:separator/>
      </w:r>
    </w:p>
  </w:endnote>
  <w:endnote w:type="continuationSeparator" w:id="0">
    <w:p w14:paraId="3F6CBD94" w14:textId="77777777" w:rsidR="00AC14FD" w:rsidRDefault="00AC14FD" w:rsidP="003B38C1">
      <w:r>
        <w:separator/>
      </w:r>
    </w:p>
    <w:p w14:paraId="49B1A18B" w14:textId="77777777" w:rsidR="00AC14FD" w:rsidRPr="00147D6D" w:rsidRDefault="00AC14FD" w:rsidP="003B38C1">
      <w:pPr>
        <w:spacing w:after="60"/>
        <w:rPr>
          <w:sz w:val="17"/>
          <w:lang w:val="en-US"/>
        </w:rPr>
      </w:pPr>
      <w:r w:rsidRPr="00147D6D">
        <w:rPr>
          <w:sz w:val="17"/>
          <w:lang w:val="en-US"/>
        </w:rPr>
        <w:t>[Endnote continued from previous page]</w:t>
      </w:r>
    </w:p>
  </w:endnote>
  <w:endnote w:type="continuationNotice" w:id="1">
    <w:p w14:paraId="1716818D" w14:textId="77777777" w:rsidR="00AC14FD" w:rsidRPr="00147D6D" w:rsidRDefault="00AC14FD" w:rsidP="003B38C1">
      <w:pPr>
        <w:spacing w:before="60"/>
        <w:jc w:val="right"/>
        <w:rPr>
          <w:sz w:val="17"/>
          <w:szCs w:val="17"/>
          <w:lang w:val="en-US"/>
        </w:rPr>
      </w:pPr>
      <w:r w:rsidRPr="00147D6D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6BEC8" w14:textId="77777777" w:rsidR="00AE1F6C" w:rsidRDefault="00AE1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054DC" w14:textId="77777777" w:rsidR="00AE1F6C" w:rsidRDefault="00AE1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FD2EE" w14:textId="77777777" w:rsidR="00AE1F6C" w:rsidRDefault="00AE1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C1E6E" w14:textId="77777777" w:rsidR="00AC14FD" w:rsidRDefault="00AC14FD">
      <w:r>
        <w:separator/>
      </w:r>
    </w:p>
  </w:footnote>
  <w:footnote w:type="continuationSeparator" w:id="0">
    <w:p w14:paraId="42A962E7" w14:textId="77777777" w:rsidR="00AC14FD" w:rsidRDefault="00AC14FD" w:rsidP="008B60B2">
      <w:r>
        <w:separator/>
      </w:r>
    </w:p>
    <w:p w14:paraId="7743FF06" w14:textId="77777777" w:rsidR="00AC14FD" w:rsidRPr="00147D6D" w:rsidRDefault="00AC14FD" w:rsidP="008B60B2">
      <w:pPr>
        <w:spacing w:after="60"/>
        <w:rPr>
          <w:sz w:val="17"/>
          <w:szCs w:val="17"/>
          <w:lang w:val="en-US"/>
        </w:rPr>
      </w:pPr>
      <w:r w:rsidRPr="00147D6D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45D4F88" w14:textId="77777777" w:rsidR="00AC14FD" w:rsidRPr="00147D6D" w:rsidRDefault="00AC14FD" w:rsidP="008B60B2">
      <w:pPr>
        <w:spacing w:before="60"/>
        <w:jc w:val="right"/>
        <w:rPr>
          <w:sz w:val="17"/>
          <w:szCs w:val="17"/>
          <w:lang w:val="en-US"/>
        </w:rPr>
      </w:pPr>
      <w:r w:rsidRPr="00147D6D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AC112" w14:textId="77777777" w:rsidR="00AE1F6C" w:rsidRDefault="00AE1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75869" w14:textId="77777777" w:rsidR="00EC4E49" w:rsidRDefault="00AC14FD" w:rsidP="00477D6B">
    <w:pPr>
      <w:jc w:val="right"/>
    </w:pPr>
    <w:bookmarkStart w:id="4" w:name="Code2"/>
    <w:bookmarkEnd w:id="4"/>
    <w:r>
      <w:t>WIPO/GRTKF/IC/45/2</w:t>
    </w:r>
  </w:p>
  <w:p w14:paraId="6C379972" w14:textId="1DBBE3F8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147D6D">
      <w:rPr>
        <w:noProof/>
      </w:rPr>
      <w:t>3</w:t>
    </w:r>
    <w:r>
      <w:fldChar w:fldCharType="end"/>
    </w:r>
  </w:p>
  <w:p w14:paraId="2C069A6F" w14:textId="77777777" w:rsidR="00EC4E49" w:rsidRDefault="00EC4E49" w:rsidP="00477D6B">
    <w:pPr>
      <w:jc w:val="right"/>
    </w:pPr>
  </w:p>
  <w:p w14:paraId="145F5D15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C721" w14:textId="77777777" w:rsidR="00AE1F6C" w:rsidRDefault="00AE1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0C054B"/>
    <w:multiLevelType w:val="hybridMultilevel"/>
    <w:tmpl w:val="BADAD44E"/>
    <w:lvl w:ilvl="0" w:tplc="74FEBBDA">
      <w:start w:val="1"/>
      <w:numFmt w:val="lowerRoman"/>
      <w:lvlText w:val="(%1)"/>
      <w:lvlJc w:val="left"/>
      <w:pPr>
        <w:ind w:left="1440" w:hanging="360"/>
      </w:pPr>
      <w:rPr>
        <w:rFonts w:ascii="Arial" w:eastAsia="SimSu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9" w15:restartNumberingAfterBreak="0">
    <w:nsid w:val="559917AD"/>
    <w:multiLevelType w:val="hybridMultilevel"/>
    <w:tmpl w:val="77DEEA7C"/>
    <w:lvl w:ilvl="0" w:tplc="9C90CB64">
      <w:start w:val="2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44A12"/>
    <w:multiLevelType w:val="hybridMultilevel"/>
    <w:tmpl w:val="1638B716"/>
    <w:lvl w:ilvl="0" w:tplc="5C2C7CDA">
      <w:start w:val="1"/>
      <w:numFmt w:val="lowerLetter"/>
      <w:lvlText w:val="(%1)"/>
      <w:lvlJc w:val="left"/>
      <w:pPr>
        <w:ind w:left="1070" w:hanging="360"/>
      </w:pPr>
      <w:rPr>
        <w:rFonts w:ascii="Arial" w:eastAsia="SimSun" w:hAnsi="Arial" w:cs="Arial"/>
        <w:b w:val="0"/>
      </w:rPr>
    </w:lvl>
    <w:lvl w:ilvl="1" w:tplc="97EE1944">
      <w:start w:val="1"/>
      <w:numFmt w:val="lowerRoman"/>
      <w:lvlText w:val="%2."/>
      <w:lvlJc w:val="righ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96AEA"/>
    <w:multiLevelType w:val="hybridMultilevel"/>
    <w:tmpl w:val="E3CC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B2A7988"/>
    <w:multiLevelType w:val="hybridMultilevel"/>
    <w:tmpl w:val="4BC09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14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10"/>
  </w:num>
  <w:num w:numId="13">
    <w:abstractNumId w:val="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FD"/>
    <w:rsid w:val="0001647B"/>
    <w:rsid w:val="00043CAA"/>
    <w:rsid w:val="00075432"/>
    <w:rsid w:val="000968ED"/>
    <w:rsid w:val="000F5E56"/>
    <w:rsid w:val="001024FE"/>
    <w:rsid w:val="001362EE"/>
    <w:rsid w:val="00142868"/>
    <w:rsid w:val="00147D6D"/>
    <w:rsid w:val="00165EE1"/>
    <w:rsid w:val="001832A6"/>
    <w:rsid w:val="001C6808"/>
    <w:rsid w:val="002121FA"/>
    <w:rsid w:val="002634C4"/>
    <w:rsid w:val="002928D3"/>
    <w:rsid w:val="002D3427"/>
    <w:rsid w:val="002F1FE6"/>
    <w:rsid w:val="002F4E68"/>
    <w:rsid w:val="003011B3"/>
    <w:rsid w:val="00312F7F"/>
    <w:rsid w:val="003228B7"/>
    <w:rsid w:val="003508A3"/>
    <w:rsid w:val="003673CF"/>
    <w:rsid w:val="00375609"/>
    <w:rsid w:val="003845C1"/>
    <w:rsid w:val="00396346"/>
    <w:rsid w:val="003A6F89"/>
    <w:rsid w:val="003B38C1"/>
    <w:rsid w:val="003D352A"/>
    <w:rsid w:val="00423E3E"/>
    <w:rsid w:val="00427AF4"/>
    <w:rsid w:val="004400E2"/>
    <w:rsid w:val="00461632"/>
    <w:rsid w:val="004647DA"/>
    <w:rsid w:val="00474062"/>
    <w:rsid w:val="00477D6B"/>
    <w:rsid w:val="004D39C4"/>
    <w:rsid w:val="004E2E6E"/>
    <w:rsid w:val="0053057A"/>
    <w:rsid w:val="00560A29"/>
    <w:rsid w:val="005909D1"/>
    <w:rsid w:val="00594D27"/>
    <w:rsid w:val="00601760"/>
    <w:rsid w:val="00605827"/>
    <w:rsid w:val="00605896"/>
    <w:rsid w:val="00646050"/>
    <w:rsid w:val="00657795"/>
    <w:rsid w:val="006713CA"/>
    <w:rsid w:val="00676C5C"/>
    <w:rsid w:val="00695558"/>
    <w:rsid w:val="006D5E0F"/>
    <w:rsid w:val="007058FB"/>
    <w:rsid w:val="007935C2"/>
    <w:rsid w:val="007B6A58"/>
    <w:rsid w:val="007B7299"/>
    <w:rsid w:val="007D1613"/>
    <w:rsid w:val="007D605D"/>
    <w:rsid w:val="00873EE5"/>
    <w:rsid w:val="00897B0D"/>
    <w:rsid w:val="008B2CC1"/>
    <w:rsid w:val="008B4B5E"/>
    <w:rsid w:val="008B60B2"/>
    <w:rsid w:val="0090731E"/>
    <w:rsid w:val="00916EE2"/>
    <w:rsid w:val="00953DD1"/>
    <w:rsid w:val="00966A22"/>
    <w:rsid w:val="0096722F"/>
    <w:rsid w:val="00980843"/>
    <w:rsid w:val="009A6DD0"/>
    <w:rsid w:val="009E2791"/>
    <w:rsid w:val="009E3F6F"/>
    <w:rsid w:val="009F3BF9"/>
    <w:rsid w:val="009F499F"/>
    <w:rsid w:val="00A42DAF"/>
    <w:rsid w:val="00A45BD8"/>
    <w:rsid w:val="00A46A0D"/>
    <w:rsid w:val="00A778BF"/>
    <w:rsid w:val="00A85B8E"/>
    <w:rsid w:val="00AB413B"/>
    <w:rsid w:val="00AC14FD"/>
    <w:rsid w:val="00AC205C"/>
    <w:rsid w:val="00AC421E"/>
    <w:rsid w:val="00AE1F6C"/>
    <w:rsid w:val="00AE6473"/>
    <w:rsid w:val="00AF0E73"/>
    <w:rsid w:val="00AF3489"/>
    <w:rsid w:val="00AF5C73"/>
    <w:rsid w:val="00B05A69"/>
    <w:rsid w:val="00B40598"/>
    <w:rsid w:val="00B50B99"/>
    <w:rsid w:val="00B62CD9"/>
    <w:rsid w:val="00B9734B"/>
    <w:rsid w:val="00C11BFE"/>
    <w:rsid w:val="00C94629"/>
    <w:rsid w:val="00CE65D4"/>
    <w:rsid w:val="00D45252"/>
    <w:rsid w:val="00D7151D"/>
    <w:rsid w:val="00D71B4D"/>
    <w:rsid w:val="00D93D55"/>
    <w:rsid w:val="00DB41BB"/>
    <w:rsid w:val="00E161A2"/>
    <w:rsid w:val="00E335FE"/>
    <w:rsid w:val="00E5021F"/>
    <w:rsid w:val="00E671A6"/>
    <w:rsid w:val="00E72EAB"/>
    <w:rsid w:val="00EC4E49"/>
    <w:rsid w:val="00ED77FB"/>
    <w:rsid w:val="00EF0DE3"/>
    <w:rsid w:val="00F021A6"/>
    <w:rsid w:val="00F10663"/>
    <w:rsid w:val="00F11D94"/>
    <w:rsid w:val="00F61A95"/>
    <w:rsid w:val="00F66152"/>
    <w:rsid w:val="00F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AEAB7F2"/>
  <w15:docId w15:val="{D07D7733-DC71-493C-A034-359978BF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AE6473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AE6473"/>
    <w:rPr>
      <w:rFonts w:ascii="Arial" w:eastAsia="SimSun" w:hAnsi="Arial" w:cs="Arial"/>
      <w:sz w:val="22"/>
      <w:lang w:val="ru-RU" w:eastAsia="zh-CN"/>
    </w:rPr>
  </w:style>
  <w:style w:type="character" w:styleId="FootnoteReference">
    <w:name w:val="footnote reference"/>
    <w:basedOn w:val="DefaultParagraphFont"/>
    <w:rsid w:val="00F10663"/>
    <w:rPr>
      <w:vertAlign w:val="superscript"/>
    </w:rPr>
  </w:style>
  <w:style w:type="paragraph" w:styleId="ListParagraph">
    <w:name w:val="List Paragraph"/>
    <w:basedOn w:val="Normal"/>
    <w:uiPriority w:val="34"/>
    <w:qFormat/>
    <w:rsid w:val="00F10663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AB41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72EA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0589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589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5896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05896"/>
    <w:rPr>
      <w:rFonts w:ascii="Arial" w:eastAsia="SimSun" w:hAnsi="Arial" w:cs="Arial"/>
      <w:b/>
      <w:bCs/>
      <w:sz w:val="18"/>
      <w:lang w:val="ru-RU" w:eastAsia="zh-CN"/>
    </w:rPr>
  </w:style>
  <w:style w:type="paragraph" w:styleId="BalloonText">
    <w:name w:val="Balloon Text"/>
    <w:basedOn w:val="Normal"/>
    <w:link w:val="BalloonTextChar"/>
    <w:semiHidden/>
    <w:unhideWhenUsed/>
    <w:rsid w:val="006058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05896"/>
    <w:rPr>
      <w:rFonts w:ascii="Segoe UI" w:eastAsia="SimSu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tk/en/igc/docs/igc_observers.pdf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2C3FD-440A-4A1E-AAC5-DCE3CF9A8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44 (E)</Template>
  <TotalTime>0</TotalTime>
  <Pages>3</Pages>
  <Words>572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WIPO/GRTKF/IC/45/</vt:lpstr>
    </vt:vector>
  </TitlesOfParts>
  <Company>WIPO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WIPO/GRTKF/IC/45/</dc:title>
  <dc:creator>MORENO PALESTINI Maria del Pilar</dc:creator>
  <cp:keywords>FOR OFFICIAL USE ONLY</cp:keywords>
  <cp:lastModifiedBy>-</cp:lastModifiedBy>
  <cp:revision>2</cp:revision>
  <cp:lastPrinted>2011-02-15T11:56:00Z</cp:lastPrinted>
  <dcterms:created xsi:type="dcterms:W3CDTF">2022-11-23T09:08:00Z</dcterms:created>
  <dcterms:modified xsi:type="dcterms:W3CDTF">2022-11-23T09:08:00Z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f3b29c87-6f41-484c-95b0-8b11b42681f0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