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02338" w:rsidRPr="008B2CC1" w:rsidTr="0025415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02338" w:rsidRPr="008B2CC1" w:rsidRDefault="007C7BE0" w:rsidP="00254151"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211294" w:rsidP="00254151">
            <w:r>
              <w:rPr>
                <w:noProof/>
                <w:lang w:val="en-US" w:eastAsia="en-US" w:bidi="ar-SA"/>
              </w:rPr>
              <w:drawing>
                <wp:inline distT="0" distB="0" distL="0" distR="0" wp14:anchorId="42C53F12" wp14:editId="24117214">
                  <wp:extent cx="1677670" cy="1256030"/>
                  <wp:effectExtent l="0" t="0" r="0" b="1270"/>
                  <wp:docPr id="4" name="Picture 4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25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02338" w:rsidRPr="008B2CC1" w:rsidRDefault="00302338" w:rsidP="00254151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302338" w:rsidRPr="001832A6" w:rsidTr="0025415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02338" w:rsidRPr="0090731E" w:rsidRDefault="00302338" w:rsidP="00C17D04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WIPO/GRTKF/IC/32/5</w:t>
            </w:r>
          </w:p>
        </w:tc>
      </w:tr>
      <w:tr w:rsidR="00302338" w:rsidRPr="001832A6" w:rsidTr="0025415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02338" w:rsidRPr="0090731E" w:rsidRDefault="00302338" w:rsidP="0025415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ОРИГИНАЛ: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</w:rPr>
              <w:t>английский</w:t>
            </w:r>
          </w:p>
        </w:tc>
      </w:tr>
      <w:tr w:rsidR="00302338" w:rsidRPr="001832A6" w:rsidTr="0025415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02338" w:rsidRPr="0090731E" w:rsidRDefault="00302338" w:rsidP="000568D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ДАТА: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 3 октября 2016 г.</w:t>
            </w:r>
          </w:p>
        </w:tc>
      </w:tr>
    </w:tbl>
    <w:p w:rsidR="00302338" w:rsidRPr="008B2CC1" w:rsidRDefault="00302338" w:rsidP="00302338"/>
    <w:p w:rsidR="00302338" w:rsidRPr="008B2CC1" w:rsidRDefault="00302338" w:rsidP="00302338"/>
    <w:p w:rsidR="00302338" w:rsidRPr="008B2CC1" w:rsidRDefault="00302338" w:rsidP="00302338"/>
    <w:p w:rsidR="00302338" w:rsidRPr="008B2CC1" w:rsidRDefault="00302338" w:rsidP="00302338"/>
    <w:p w:rsidR="00302338" w:rsidRDefault="00302338" w:rsidP="00302338"/>
    <w:p w:rsidR="00302338" w:rsidRPr="00A85B8E" w:rsidRDefault="00302338" w:rsidP="00302338">
      <w:pPr>
        <w:rPr>
          <w:b/>
          <w:sz w:val="28"/>
          <w:szCs w:val="28"/>
        </w:rPr>
      </w:pPr>
      <w:r>
        <w:rPr>
          <w:b/>
          <w:sz w:val="28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302338" w:rsidRDefault="00302338" w:rsidP="00302338"/>
    <w:p w:rsidR="00302338" w:rsidRDefault="00302338" w:rsidP="00302338"/>
    <w:p w:rsidR="00302338" w:rsidRPr="003845C1" w:rsidRDefault="000568DF" w:rsidP="00302338">
      <w:pPr>
        <w:rPr>
          <w:b/>
          <w:sz w:val="24"/>
          <w:szCs w:val="24"/>
        </w:rPr>
      </w:pPr>
      <w:r>
        <w:rPr>
          <w:b/>
          <w:sz w:val="24"/>
        </w:rPr>
        <w:t>Тридцать вторая сессия</w:t>
      </w:r>
    </w:p>
    <w:p w:rsidR="00302338" w:rsidRPr="003845C1" w:rsidRDefault="00302338" w:rsidP="00302338">
      <w:pPr>
        <w:rPr>
          <w:b/>
          <w:sz w:val="24"/>
          <w:szCs w:val="24"/>
        </w:rPr>
      </w:pPr>
      <w:r>
        <w:rPr>
          <w:b/>
          <w:sz w:val="24"/>
        </w:rPr>
        <w:t>Женева, 28 ноября – 2 декабря 2016 г.</w:t>
      </w:r>
    </w:p>
    <w:p w:rsidR="00302338" w:rsidRPr="008B2CC1" w:rsidRDefault="00302338" w:rsidP="00302338"/>
    <w:p w:rsidR="00302338" w:rsidRPr="008B2CC1" w:rsidRDefault="00302338" w:rsidP="00302338"/>
    <w:p w:rsidR="00302338" w:rsidRPr="008B2CC1" w:rsidRDefault="00302338" w:rsidP="00302338"/>
    <w:p w:rsidR="00302338" w:rsidRPr="003845C1" w:rsidRDefault="00015B1E" w:rsidP="00302338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 xml:space="preserve">ОРИЕНТИРОВОЧНЫЙ ПЕРЕЧЕНЬ НЕРЕШЕННЫХ/ОТЛОЖЕННЫХ ВОПРОСОВ ДЛЯ РАССМОТРЕНИЯ/УРЕГУЛИРОВАНИЯ </w:t>
      </w:r>
    </w:p>
    <w:p w:rsidR="00302338" w:rsidRPr="008B2CC1" w:rsidRDefault="00302338" w:rsidP="00302338"/>
    <w:p w:rsidR="00302338" w:rsidRDefault="00012DA6" w:rsidP="00302338">
      <w:pPr>
        <w:rPr>
          <w:i/>
        </w:rPr>
      </w:pPr>
      <w:bookmarkStart w:id="4" w:name="Prepared"/>
      <w:bookmarkStart w:id="5" w:name="_GoBack"/>
      <w:bookmarkEnd w:id="4"/>
      <w:r>
        <w:rPr>
          <w:i/>
        </w:rPr>
        <w:t>Документ подготовлен Секретариатом</w:t>
      </w:r>
    </w:p>
    <w:bookmarkEnd w:id="5"/>
    <w:p w:rsidR="00302338" w:rsidRDefault="00302338" w:rsidP="00302338">
      <w:pPr>
        <w:rPr>
          <w:i/>
        </w:rPr>
      </w:pPr>
    </w:p>
    <w:p w:rsidR="00302338" w:rsidRDefault="00302338" w:rsidP="00302338">
      <w:pPr>
        <w:rPr>
          <w:i/>
        </w:rPr>
      </w:pPr>
    </w:p>
    <w:p w:rsidR="00302338" w:rsidRDefault="00302338" w:rsidP="00302338">
      <w:pPr>
        <w:rPr>
          <w:i/>
        </w:rPr>
      </w:pPr>
    </w:p>
    <w:p w:rsidR="00302338" w:rsidRPr="00C64FAD" w:rsidRDefault="00302338" w:rsidP="00C64FAD">
      <w:pPr>
        <w:tabs>
          <w:tab w:val="left" w:pos="1710"/>
        </w:tabs>
        <w:rPr>
          <w:i/>
          <w:szCs w:val="22"/>
        </w:rPr>
      </w:pPr>
    </w:p>
    <w:p w:rsidR="00B37CF9" w:rsidRDefault="00012DA6" w:rsidP="00012DA6">
      <w:pPr>
        <w:pStyle w:val="ONUME"/>
        <w:rPr>
          <w:szCs w:val="22"/>
        </w:rPr>
      </w:pPr>
      <w:r>
        <w:t>На своей тридцать первой сессии, состоявшейся 19–23 сентября 2016 г., Межправительственный комитет ВОИС по интеллектуальной собственности, генетическим ресурсам, традиционным знаниям и фолькл</w:t>
      </w:r>
      <w:r w:rsidR="007605A7">
        <w:t>о</w:t>
      </w:r>
      <w:r w:rsidR="005E5EB2">
        <w:t>ру («Комитет») принял решение передать</w:t>
      </w:r>
      <w:r>
        <w:t xml:space="preserve"> на рассмотрение своей тридцать второй сессии «Ориентировочный перечень нерешенных/отложенных вопросов для рассмотрения/урегулирования на следующей сессии» («Перечень»), который был приложен к решениям тридцать первой сессии Комитета. </w:t>
      </w:r>
    </w:p>
    <w:p w:rsidR="00012DA6" w:rsidRDefault="00012DA6" w:rsidP="00012DA6">
      <w:pPr>
        <w:pStyle w:val="ONUME"/>
        <w:rPr>
          <w:szCs w:val="22"/>
        </w:rPr>
      </w:pPr>
      <w:r>
        <w:t>Во исполнение указанного выше решения этот Перечень прилагается к настоящему документу.</w:t>
      </w:r>
    </w:p>
    <w:p w:rsidR="00012DA6" w:rsidRPr="00196D1F" w:rsidRDefault="00012DA6" w:rsidP="00012DA6">
      <w:pPr>
        <w:pStyle w:val="ONUME"/>
        <w:ind w:left="5533"/>
        <w:rPr>
          <w:szCs w:val="22"/>
        </w:rPr>
      </w:pPr>
      <w:r>
        <w:rPr>
          <w:i/>
        </w:rPr>
        <w:t xml:space="preserve">Комитету предлагается принять к сведению перечень, представленный в приложении. </w:t>
      </w:r>
    </w:p>
    <w:p w:rsidR="00196D1F" w:rsidRPr="00C64FAD" w:rsidRDefault="00196D1F" w:rsidP="00196D1F">
      <w:pPr>
        <w:pStyle w:val="ONUME"/>
        <w:numPr>
          <w:ilvl w:val="0"/>
          <w:numId w:val="0"/>
        </w:numPr>
        <w:ind w:left="5533"/>
        <w:rPr>
          <w:szCs w:val="22"/>
        </w:rPr>
      </w:pPr>
    </w:p>
    <w:p w:rsidR="00302338" w:rsidRPr="00C64FAD" w:rsidRDefault="007A26B9" w:rsidP="00012DA6">
      <w:pPr>
        <w:pStyle w:val="ONUME"/>
        <w:numPr>
          <w:ilvl w:val="0"/>
          <w:numId w:val="0"/>
        </w:numPr>
        <w:tabs>
          <w:tab w:val="left" w:pos="1710"/>
        </w:tabs>
        <w:ind w:left="5533"/>
        <w:rPr>
          <w:color w:val="000000"/>
          <w:szCs w:val="22"/>
        </w:rPr>
      </w:pPr>
      <w:r>
        <w:t>[Приложение следует]</w:t>
      </w:r>
    </w:p>
    <w:p w:rsidR="00BD75DB" w:rsidRPr="00C64FAD" w:rsidRDefault="00BD75DB" w:rsidP="00C64FAD">
      <w:pPr>
        <w:tabs>
          <w:tab w:val="left" w:pos="1710"/>
        </w:tabs>
        <w:rPr>
          <w:color w:val="000000"/>
          <w:szCs w:val="22"/>
        </w:rPr>
        <w:sectPr w:rsidR="00BD75DB" w:rsidRPr="00C64FAD" w:rsidSect="00652E28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81C72" w:rsidRDefault="00681C72" w:rsidP="00FE6C6B">
      <w:pPr>
        <w:tabs>
          <w:tab w:val="left" w:pos="1710"/>
        </w:tabs>
        <w:jc w:val="center"/>
        <w:rPr>
          <w:b/>
          <w:color w:val="000000"/>
          <w:szCs w:val="22"/>
        </w:rPr>
      </w:pPr>
    </w:p>
    <w:p w:rsidR="00302338" w:rsidRDefault="00FE6C6B" w:rsidP="00FE6C6B">
      <w:pPr>
        <w:tabs>
          <w:tab w:val="left" w:pos="1710"/>
        </w:tabs>
        <w:jc w:val="center"/>
        <w:rPr>
          <w:b/>
          <w:color w:val="000000"/>
          <w:szCs w:val="22"/>
        </w:rPr>
      </w:pPr>
      <w:r>
        <w:rPr>
          <w:b/>
          <w:color w:val="000000"/>
        </w:rPr>
        <w:t>ПРИЛОЖЕНИЕ</w:t>
      </w:r>
    </w:p>
    <w:p w:rsidR="00FE6C6B" w:rsidRPr="00FE6C6B" w:rsidRDefault="00FE6C6B" w:rsidP="00FE6C6B">
      <w:pPr>
        <w:tabs>
          <w:tab w:val="left" w:pos="1710"/>
        </w:tabs>
        <w:jc w:val="center"/>
        <w:rPr>
          <w:b/>
          <w:color w:val="000000"/>
          <w:szCs w:val="22"/>
        </w:rPr>
      </w:pPr>
    </w:p>
    <w:p w:rsidR="00BD75DB" w:rsidRPr="00FE6C6B" w:rsidRDefault="00FE6C6B" w:rsidP="00FE6C6B">
      <w:pPr>
        <w:tabs>
          <w:tab w:val="left" w:pos="1710"/>
        </w:tabs>
        <w:jc w:val="center"/>
        <w:rPr>
          <w:b/>
          <w:color w:val="000000"/>
          <w:szCs w:val="22"/>
        </w:rPr>
      </w:pPr>
      <w:r>
        <w:rPr>
          <w:b/>
          <w:color w:val="000000"/>
        </w:rPr>
        <w:t>Ориентировочный перечень нерешенных/отложенных вопросов для рассмотрения/урегулирования</w:t>
      </w:r>
    </w:p>
    <w:p w:rsidR="00BD75DB" w:rsidRDefault="00BD75DB" w:rsidP="00C64FAD">
      <w:pPr>
        <w:tabs>
          <w:tab w:val="left" w:pos="1710"/>
        </w:tabs>
        <w:rPr>
          <w:color w:val="000000"/>
          <w:szCs w:val="22"/>
        </w:rPr>
      </w:pPr>
    </w:p>
    <w:p w:rsidR="00681C72" w:rsidRPr="00C64FAD" w:rsidRDefault="00681C72" w:rsidP="00C64FAD">
      <w:pPr>
        <w:tabs>
          <w:tab w:val="left" w:pos="1710"/>
        </w:tabs>
        <w:rPr>
          <w:color w:val="000000"/>
          <w:szCs w:val="22"/>
        </w:rPr>
      </w:pPr>
    </w:p>
    <w:p w:rsidR="00A81A22" w:rsidRPr="00F610C8" w:rsidRDefault="00A81A22" w:rsidP="00A81A22">
      <w:pPr>
        <w:tabs>
          <w:tab w:val="left" w:pos="2238"/>
        </w:tabs>
        <w:rPr>
          <w:rFonts w:eastAsia="Calibri"/>
          <w:szCs w:val="22"/>
        </w:rPr>
      </w:pPr>
    </w:p>
    <w:p w:rsidR="00A81A22" w:rsidRPr="00F610C8" w:rsidRDefault="00A81A22" w:rsidP="00A81A22">
      <w:pPr>
        <w:rPr>
          <w:rFonts w:eastAsia="Calibri"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 w:rsidR="009A5457">
        <w:rPr>
          <w:rFonts w:eastAsia="Calibri"/>
          <w:b/>
          <w:szCs w:val="22"/>
        </w:rPr>
        <w:tab/>
      </w:r>
      <w:r>
        <w:t>Использование некоторых терминов и понятий и их смысловое наполнение</w:t>
      </w:r>
      <w:r>
        <w:rPr>
          <w:rFonts w:eastAsia="Calibri"/>
          <w:b/>
          <w:szCs w:val="22"/>
        </w:rPr>
        <w:br/>
      </w:r>
    </w:p>
    <w:p w:rsidR="00A81A22" w:rsidRPr="00F610C8" w:rsidRDefault="00A81A22" w:rsidP="00A81A22">
      <w:pPr>
        <w:rPr>
          <w:rFonts w:eastAsia="Calibri"/>
          <w:szCs w:val="22"/>
        </w:rPr>
      </w:pPr>
      <w:r>
        <w:t>Ссылка на «охрану» традиционных знаний и «охраняемые» традиционные знания и взаимосвязь с критериями охраноспособности/объемом охраны.</w:t>
      </w:r>
    </w:p>
    <w:p w:rsidR="00A81A22" w:rsidRPr="00F610C8" w:rsidRDefault="00A81A22" w:rsidP="00A81A22">
      <w:pPr>
        <w:rPr>
          <w:rFonts w:eastAsia="Calibri"/>
          <w:szCs w:val="22"/>
        </w:rPr>
      </w:pPr>
    </w:p>
    <w:p w:rsidR="00A81A22" w:rsidRPr="00F610C8" w:rsidRDefault="00A81A22" w:rsidP="00A81A22">
      <w:pPr>
        <w:rPr>
          <w:rFonts w:eastAsia="Calibri"/>
          <w:szCs w:val="22"/>
        </w:rPr>
      </w:pPr>
      <w:r>
        <w:t>Ссылка на «инновации» и «традиционное творчество и инновации».</w:t>
      </w:r>
      <w:r>
        <w:br/>
      </w:r>
    </w:p>
    <w:p w:rsidR="00A81A22" w:rsidRPr="00F610C8" w:rsidRDefault="00A81A22" w:rsidP="00A81A22">
      <w:pPr>
        <w:rPr>
          <w:rFonts w:eastAsia="Calibri"/>
          <w:szCs w:val="22"/>
        </w:rPr>
      </w:pPr>
      <w:r>
        <w:t xml:space="preserve">Термины, используемые для обозначения характера ущерба, от которого может быть испрошена охрана, в частности «незаконное присвоение», «неправомерное использование», «несанкционированное использование», «запрещенное присвоение» и «неразрешенное присвоение». </w:t>
      </w:r>
      <w:r>
        <w:br/>
      </w:r>
    </w:p>
    <w:p w:rsidR="00A81A22" w:rsidRPr="00F610C8" w:rsidRDefault="00A81A22" w:rsidP="00A81A22">
      <w:pPr>
        <w:rPr>
          <w:rFonts w:eastAsia="Calibri"/>
          <w:szCs w:val="22"/>
        </w:rPr>
      </w:pPr>
      <w:r>
        <w:t>Термины, характеризующие или имеющие отношение к степени распространения традиционных знаний, в частности «общественное достояние», «публично доступный», «сохраняемый в тайне», «священный», «ограниченного распространения» и «широко распространенный».</w:t>
      </w:r>
      <w:r>
        <w:br/>
      </w:r>
    </w:p>
    <w:p w:rsidR="00A81A22" w:rsidRPr="00F610C8" w:rsidRDefault="00A81A22" w:rsidP="00A81A22">
      <w:pPr>
        <w:rPr>
          <w:rFonts w:eastAsia="Calibri"/>
          <w:szCs w:val="22"/>
        </w:rPr>
      </w:pPr>
      <w:r>
        <w:t xml:space="preserve">Термины, относящиеся к категории бенефициаров, в частности «[коренные [народы]]». </w:t>
      </w:r>
      <w:r>
        <w:br/>
      </w: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 w:rsidR="009A5457">
        <w:rPr>
          <w:rFonts w:eastAsia="Calibri"/>
          <w:b/>
          <w:szCs w:val="22"/>
        </w:rPr>
        <w:tab/>
      </w:r>
      <w:r>
        <w:rPr>
          <w:b/>
        </w:rPr>
        <w:t>Объект соглашения</w:t>
      </w:r>
    </w:p>
    <w:p w:rsidR="00A81A22" w:rsidRPr="00F610C8" w:rsidRDefault="00A81A22" w:rsidP="00A81A22">
      <w:pPr>
        <w:rPr>
          <w:rFonts w:eastAsia="Calibri"/>
          <w:szCs w:val="22"/>
        </w:rPr>
      </w:pPr>
    </w:p>
    <w:p w:rsidR="00A81A22" w:rsidRPr="00F610C8" w:rsidRDefault="00A81A22" w:rsidP="00A81A22">
      <w:pPr>
        <w:rPr>
          <w:rFonts w:eastAsia="Calibri"/>
          <w:szCs w:val="22"/>
        </w:rPr>
      </w:pPr>
      <w:r>
        <w:t>В какую часть и в каком виде целесообразно включить критерии охраноспособности.</w:t>
      </w:r>
      <w:r>
        <w:br/>
      </w:r>
    </w:p>
    <w:p w:rsidR="00A81A22" w:rsidRPr="00F610C8" w:rsidRDefault="00A81A22" w:rsidP="00A81A22">
      <w:pPr>
        <w:rPr>
          <w:rFonts w:eastAsia="Calibri"/>
          <w:szCs w:val="22"/>
        </w:rPr>
      </w:pPr>
      <w:r>
        <w:t>Целесообразно ли указывать примеры или «области» традиционных знаний и, если да, то какие именно.</w:t>
      </w:r>
    </w:p>
    <w:p w:rsidR="00A81A22" w:rsidRPr="00F610C8" w:rsidRDefault="00A81A22" w:rsidP="00A81A22">
      <w:pPr>
        <w:rPr>
          <w:rFonts w:eastAsia="Calibri"/>
          <w:szCs w:val="22"/>
        </w:rPr>
      </w:pP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 w:rsidR="009A5457">
        <w:rPr>
          <w:rFonts w:eastAsia="Calibri"/>
          <w:b/>
          <w:szCs w:val="22"/>
        </w:rPr>
        <w:tab/>
      </w:r>
      <w:r>
        <w:rPr>
          <w:b/>
        </w:rPr>
        <w:t xml:space="preserve">Бенефициары </w:t>
      </w:r>
      <w:r>
        <w:rPr>
          <w:rFonts w:eastAsia="Calibri"/>
          <w:b/>
          <w:szCs w:val="22"/>
        </w:rPr>
        <w:br/>
      </w:r>
    </w:p>
    <w:p w:rsidR="00A81A22" w:rsidRPr="00F610C8" w:rsidRDefault="00A81A22" w:rsidP="00A81A22">
      <w:pPr>
        <w:rPr>
          <w:rFonts w:eastAsia="Calibri"/>
          <w:szCs w:val="22"/>
        </w:rPr>
      </w:pPr>
      <w:r>
        <w:t>Целесообразно ли включить термины «нации» и/или «государства».</w:t>
      </w:r>
      <w:r>
        <w:br/>
      </w:r>
    </w:p>
    <w:p w:rsidR="00A81A22" w:rsidRPr="00F610C8" w:rsidRDefault="00A81A22" w:rsidP="00A81A22">
      <w:pPr>
        <w:rPr>
          <w:rFonts w:eastAsia="Calibri"/>
          <w:szCs w:val="22"/>
        </w:rPr>
      </w:pPr>
      <w:r>
        <w:t xml:space="preserve">Роль и специфика «компетентного органа», выполняющего функции бенефициара, если такой предусмотрен. </w:t>
      </w:r>
    </w:p>
    <w:p w:rsidR="00A81A22" w:rsidRPr="00F610C8" w:rsidRDefault="00A81A22" w:rsidP="00A81A22">
      <w:pPr>
        <w:contextualSpacing/>
        <w:rPr>
          <w:rFonts w:eastAsia="Calibri"/>
          <w:b/>
          <w:szCs w:val="22"/>
        </w:rPr>
      </w:pP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Объем охраны</w:t>
      </w:r>
    </w:p>
    <w:p w:rsidR="00A81A22" w:rsidRPr="00F610C8" w:rsidRDefault="00A81A22" w:rsidP="00A81A22">
      <w:pPr>
        <w:rPr>
          <w:rFonts w:eastAsia="Calibri"/>
          <w:b/>
          <w:szCs w:val="22"/>
        </w:rPr>
      </w:pPr>
    </w:p>
    <w:p w:rsidR="00A81A22" w:rsidRPr="00F610C8" w:rsidRDefault="00A81A22" w:rsidP="00A81A22">
      <w:pPr>
        <w:rPr>
          <w:rFonts w:eastAsia="Calibri"/>
          <w:szCs w:val="22"/>
        </w:rPr>
      </w:pPr>
      <w:r>
        <w:t>Подход «на основе осуществления прав» и/или подход, «основанный на применении мер».</w:t>
      </w:r>
    </w:p>
    <w:p w:rsidR="00A81A22" w:rsidRPr="00F610C8" w:rsidRDefault="00A81A22" w:rsidP="00A81A22">
      <w:pPr>
        <w:rPr>
          <w:rFonts w:eastAsia="Calibri"/>
          <w:szCs w:val="22"/>
        </w:rPr>
      </w:pPr>
    </w:p>
    <w:p w:rsidR="00A81A22" w:rsidRPr="00F610C8" w:rsidRDefault="00A81A22" w:rsidP="00A81A22">
      <w:pPr>
        <w:rPr>
          <w:rFonts w:eastAsia="Calibri"/>
          <w:szCs w:val="22"/>
        </w:rPr>
      </w:pPr>
      <w:r>
        <w:t>Реалистичен ли «многоуровневый подход» и, если да, то в каком виде он будет сформулирован.</w:t>
      </w:r>
    </w:p>
    <w:p w:rsidR="00A81A22" w:rsidRPr="00F610C8" w:rsidRDefault="00A81A22" w:rsidP="00A81A22">
      <w:pPr>
        <w:rPr>
          <w:rFonts w:eastAsia="Calibri"/>
          <w:szCs w:val="22"/>
        </w:rPr>
      </w:pPr>
    </w:p>
    <w:p w:rsidR="00A81A22" w:rsidRPr="00F610C8" w:rsidRDefault="00A81A22" w:rsidP="00A81A22">
      <w:pPr>
        <w:rPr>
          <w:rFonts w:eastAsia="Calibri"/>
          <w:szCs w:val="22"/>
        </w:rPr>
      </w:pPr>
      <w:r>
        <w:t>Экономические и/или неимущественные права.</w:t>
      </w:r>
      <w:r>
        <w:br/>
      </w:r>
    </w:p>
    <w:p w:rsidR="00A81A22" w:rsidRPr="00F610C8" w:rsidRDefault="00A81A22" w:rsidP="00A81A22">
      <w:pPr>
        <w:rPr>
          <w:rFonts w:eastAsia="Calibri"/>
          <w:szCs w:val="22"/>
        </w:rPr>
      </w:pPr>
      <w:r>
        <w:t>Функции, специфика и модель «дополнительных мер», включая базы данных, если такие предусмотрены.</w:t>
      </w:r>
    </w:p>
    <w:p w:rsidR="00A81A22" w:rsidRPr="00F610C8" w:rsidRDefault="00A81A22" w:rsidP="00A81A22">
      <w:pPr>
        <w:rPr>
          <w:rFonts w:eastAsia="Calibri"/>
          <w:szCs w:val="22"/>
        </w:rPr>
      </w:pPr>
    </w:p>
    <w:p w:rsidR="00A81A22" w:rsidRPr="00F610C8" w:rsidRDefault="00A81A22" w:rsidP="00A81A22">
      <w:pPr>
        <w:rPr>
          <w:rFonts w:eastAsia="Calibri"/>
          <w:szCs w:val="22"/>
        </w:rPr>
      </w:pPr>
      <w:r>
        <w:lastRenderedPageBreak/>
        <w:t>Требование о раскрытии и возможность связи с текстом о генетических ресурсах.</w:t>
      </w:r>
    </w:p>
    <w:p w:rsidR="00A81A22" w:rsidRPr="00F610C8" w:rsidRDefault="00A81A22" w:rsidP="00A81A22">
      <w:pPr>
        <w:rPr>
          <w:rFonts w:eastAsia="Calibri"/>
          <w:b/>
          <w:szCs w:val="22"/>
        </w:rPr>
      </w:pP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Исключения и ограничения</w:t>
      </w:r>
      <w:r>
        <w:rPr>
          <w:b/>
          <w:vertAlign w:val="superscript"/>
        </w:rPr>
        <w:footnoteReference w:id="1"/>
      </w:r>
    </w:p>
    <w:p w:rsidR="00A81A22" w:rsidRPr="00F610C8" w:rsidRDefault="00A81A22" w:rsidP="00A81A22">
      <w:pPr>
        <w:ind w:left="360"/>
        <w:contextualSpacing/>
        <w:rPr>
          <w:rFonts w:eastAsia="Calibri"/>
          <w:b/>
          <w:szCs w:val="22"/>
        </w:rPr>
      </w:pP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Санкции, средства правовой защиты и осуществление прав/применение</w:t>
      </w:r>
    </w:p>
    <w:p w:rsidR="00A81A22" w:rsidRDefault="00A81A22" w:rsidP="00A81A22">
      <w:pPr>
        <w:rPr>
          <w:rFonts w:eastAsia="Calibri"/>
          <w:b/>
          <w:szCs w:val="22"/>
        </w:rPr>
      </w:pPr>
    </w:p>
    <w:p w:rsidR="00A81A22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Управление правами/интересами</w:t>
      </w:r>
    </w:p>
    <w:p w:rsidR="00681C72" w:rsidRDefault="00681C72" w:rsidP="00A81A22">
      <w:pPr>
        <w:rPr>
          <w:rFonts w:eastAsia="Calibri"/>
          <w:b/>
          <w:szCs w:val="22"/>
        </w:rPr>
      </w:pPr>
    </w:p>
    <w:p w:rsidR="00A81A22" w:rsidRPr="00F610C8" w:rsidRDefault="00A81A22" w:rsidP="00AF5FCC">
      <w:pPr>
        <w:contextualSpacing/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Срок охраны/ защиты</w:t>
      </w:r>
    </w:p>
    <w:p w:rsidR="00A81A22" w:rsidRPr="00F610C8" w:rsidRDefault="00A81A22" w:rsidP="00A81A22">
      <w:pPr>
        <w:ind w:left="360"/>
        <w:contextualSpacing/>
        <w:rPr>
          <w:rFonts w:eastAsia="Calibri"/>
          <w:b/>
          <w:szCs w:val="22"/>
        </w:rPr>
      </w:pP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Формальности</w:t>
      </w:r>
    </w:p>
    <w:p w:rsidR="00A81A22" w:rsidRPr="00F610C8" w:rsidRDefault="00A81A22" w:rsidP="00A81A22">
      <w:pPr>
        <w:ind w:left="360"/>
        <w:contextualSpacing/>
        <w:rPr>
          <w:rFonts w:eastAsia="Calibri"/>
          <w:b/>
          <w:szCs w:val="22"/>
        </w:rPr>
      </w:pP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Переходные меры</w:t>
      </w:r>
    </w:p>
    <w:p w:rsidR="00A81A22" w:rsidRPr="00F610C8" w:rsidRDefault="00A81A22" w:rsidP="00A81A22">
      <w:pPr>
        <w:ind w:left="360"/>
        <w:contextualSpacing/>
        <w:rPr>
          <w:rFonts w:eastAsia="Calibri"/>
          <w:b/>
          <w:szCs w:val="22"/>
        </w:rPr>
      </w:pP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Связь с другими международными соглашениями</w:t>
      </w:r>
    </w:p>
    <w:p w:rsidR="00A81A22" w:rsidRPr="00F610C8" w:rsidRDefault="00A81A22" w:rsidP="00A81A22">
      <w:pPr>
        <w:ind w:left="360"/>
        <w:contextualSpacing/>
        <w:rPr>
          <w:rFonts w:eastAsia="Calibri"/>
          <w:b/>
          <w:szCs w:val="22"/>
        </w:rPr>
      </w:pP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Национальный режим</w:t>
      </w:r>
    </w:p>
    <w:p w:rsidR="00A81A22" w:rsidRPr="00F610C8" w:rsidRDefault="00A81A22" w:rsidP="00A81A22">
      <w:pPr>
        <w:ind w:left="360"/>
        <w:contextualSpacing/>
        <w:rPr>
          <w:rFonts w:eastAsia="Calibri"/>
          <w:b/>
          <w:szCs w:val="22"/>
        </w:rPr>
      </w:pPr>
    </w:p>
    <w:p w:rsidR="00A81A22" w:rsidRPr="00F610C8" w:rsidRDefault="00A81A22" w:rsidP="00A81A22">
      <w:pPr>
        <w:rPr>
          <w:rFonts w:eastAsia="Calibri"/>
          <w:b/>
          <w:szCs w:val="22"/>
        </w:rPr>
      </w:pPr>
      <w:r w:rsidRPr="00F610C8">
        <w:rPr>
          <w:rFonts w:eastAsia="Calibri"/>
          <w:b/>
          <w:szCs w:val="22"/>
        </w:rPr>
        <w:fldChar w:fldCharType="begin"/>
      </w:r>
      <w:r w:rsidRPr="00F610C8">
        <w:rPr>
          <w:rFonts w:eastAsia="Calibri"/>
          <w:b/>
          <w:szCs w:val="22"/>
        </w:rPr>
        <w:instrText xml:space="preserve"> AUTONUM  </w:instrText>
      </w:r>
      <w:r w:rsidRPr="00F610C8">
        <w:rPr>
          <w:rFonts w:eastAsia="Calibri"/>
          <w:b/>
          <w:szCs w:val="22"/>
        </w:rPr>
        <w:fldChar w:fldCharType="end"/>
      </w:r>
      <w:r>
        <w:rPr>
          <w:b/>
        </w:rPr>
        <w:t>Трансграничное сотрудничество</w:t>
      </w:r>
    </w:p>
    <w:p w:rsidR="00FE6C6B" w:rsidRDefault="00FE6C6B" w:rsidP="00FE6C6B">
      <w:pPr>
        <w:spacing w:after="120" w:line="260" w:lineRule="atLeast"/>
        <w:rPr>
          <w:iCs/>
          <w:szCs w:val="22"/>
        </w:rPr>
      </w:pPr>
    </w:p>
    <w:p w:rsidR="00EE2057" w:rsidRPr="00B87FAD" w:rsidRDefault="00EE2057" w:rsidP="00FE6C6B">
      <w:pPr>
        <w:spacing w:after="120" w:line="260" w:lineRule="atLeast"/>
        <w:rPr>
          <w:iCs/>
          <w:szCs w:val="22"/>
        </w:rPr>
      </w:pPr>
    </w:p>
    <w:p w:rsidR="00FE6C6B" w:rsidRPr="004F6DF5" w:rsidRDefault="00FE6C6B" w:rsidP="00FE6C6B">
      <w:pPr>
        <w:spacing w:after="120" w:line="260" w:lineRule="atLeast"/>
        <w:ind w:left="5610"/>
        <w:jc w:val="both"/>
        <w:rPr>
          <w:iCs/>
          <w:szCs w:val="22"/>
        </w:rPr>
      </w:pPr>
      <w:r>
        <w:t>[Конец приложения и документа]</w:t>
      </w:r>
    </w:p>
    <w:p w:rsidR="00BD75DB" w:rsidRPr="00C64FAD" w:rsidRDefault="00BD75DB" w:rsidP="00C64FAD">
      <w:pPr>
        <w:tabs>
          <w:tab w:val="left" w:pos="1710"/>
        </w:tabs>
        <w:rPr>
          <w:color w:val="000000"/>
          <w:szCs w:val="22"/>
        </w:rPr>
      </w:pPr>
    </w:p>
    <w:sectPr w:rsidR="00BD75DB" w:rsidRPr="00C64FAD" w:rsidSect="00254456">
      <w:headerReference w:type="default" r:id="rId11"/>
      <w:headerReference w:type="first" r:id="rId12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3F5" w:rsidRDefault="00CA03F5">
      <w:r>
        <w:separator/>
      </w:r>
    </w:p>
  </w:endnote>
  <w:endnote w:type="continuationSeparator" w:id="0">
    <w:p w:rsidR="00CA03F5" w:rsidRDefault="00CA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3F5" w:rsidRDefault="00CA03F5">
      <w:r>
        <w:separator/>
      </w:r>
    </w:p>
  </w:footnote>
  <w:footnote w:type="continuationSeparator" w:id="0">
    <w:p w:rsidR="00CA03F5" w:rsidRDefault="00CA03F5">
      <w:r>
        <w:continuationSeparator/>
      </w:r>
    </w:p>
  </w:footnote>
  <w:footnote w:id="1">
    <w:p w:rsidR="00A81A22" w:rsidRDefault="00A81A22" w:rsidP="00A81A22">
      <w:pPr>
        <w:pStyle w:val="FootnoteText"/>
      </w:pPr>
      <w:r>
        <w:rPr>
          <w:rStyle w:val="FootnoteReference"/>
        </w:rPr>
        <w:footnoteRef/>
      </w:r>
      <w:r>
        <w:t xml:space="preserve"> Вопросы 5-13 на 31-й сессии не рассматривались.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4CF" w:rsidRDefault="00B554CF" w:rsidP="00254151">
    <w:pPr>
      <w:jc w:val="right"/>
    </w:pPr>
    <w:r>
      <w:t>WIPO/GRTKF/IC/30/INF/10</w:t>
    </w:r>
  </w:p>
  <w:p w:rsidR="00B554CF" w:rsidRDefault="00B554CF" w:rsidP="00254151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0179DF">
      <w:rPr>
        <w:noProof/>
      </w:rPr>
      <w:t>2</w:t>
    </w:r>
    <w:r>
      <w:fldChar w:fldCharType="end"/>
    </w:r>
  </w:p>
  <w:p w:rsidR="00B554CF" w:rsidRDefault="00B554CF" w:rsidP="00254151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456" w:rsidRDefault="00254456" w:rsidP="00254151">
    <w:pPr>
      <w:jc w:val="right"/>
    </w:pPr>
    <w:r>
      <w:t>WIPO/GRTKF/IC/32/5</w:t>
    </w:r>
  </w:p>
  <w:p w:rsidR="00254456" w:rsidRDefault="002F5442" w:rsidP="00254151">
    <w:pPr>
      <w:jc w:val="right"/>
    </w:pPr>
    <w:r>
      <w:t>Приложение, стр.</w:t>
    </w:r>
    <w:r w:rsidR="00254456">
      <w:fldChar w:fldCharType="begin"/>
    </w:r>
    <w:r w:rsidR="00254456">
      <w:instrText xml:space="preserve"> PAGE  \* MERGEFORMAT </w:instrText>
    </w:r>
    <w:r w:rsidR="00254456">
      <w:fldChar w:fldCharType="separate"/>
    </w:r>
    <w:r w:rsidR="001775FA">
      <w:rPr>
        <w:noProof/>
      </w:rPr>
      <w:t>2</w:t>
    </w:r>
    <w:r w:rsidR="00254456">
      <w:fldChar w:fldCharType="end"/>
    </w:r>
  </w:p>
  <w:p w:rsidR="00254456" w:rsidRDefault="00254456" w:rsidP="00254151">
    <w:pPr>
      <w:jc w:val="right"/>
    </w:pPr>
  </w:p>
  <w:p w:rsidR="007A006C" w:rsidRDefault="007A006C" w:rsidP="00254151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DB" w:rsidRDefault="00BD75DB">
    <w:pPr>
      <w:pStyle w:val="Header"/>
    </w:pPr>
  </w:p>
  <w:p w:rsidR="00BD75DB" w:rsidRDefault="00C85400" w:rsidP="00BD75DB">
    <w:pPr>
      <w:pStyle w:val="Header"/>
      <w:jc w:val="right"/>
    </w:pPr>
    <w:r>
      <w:t>WIPO/GRTKF/IC/32/5</w:t>
    </w:r>
  </w:p>
  <w:p w:rsidR="00BD75DB" w:rsidRDefault="00254456" w:rsidP="00BD75DB">
    <w:pPr>
      <w:pStyle w:val="Header"/>
      <w:jc w:val="right"/>
    </w:pPr>
    <w:r>
      <w:t>ПРИЛОЖЕНИЕ</w:t>
    </w:r>
  </w:p>
  <w:p w:rsidR="00BD75DB" w:rsidRDefault="00BD75DB" w:rsidP="00BD75D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EECD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14680C34"/>
    <w:multiLevelType w:val="hybridMultilevel"/>
    <w:tmpl w:val="A8682CF8"/>
    <w:lvl w:ilvl="0" w:tplc="B9CEA8A4">
      <w:start w:val="1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8F3A89"/>
    <w:multiLevelType w:val="hybridMultilevel"/>
    <w:tmpl w:val="DFAC6B5E"/>
    <w:lvl w:ilvl="0" w:tplc="B9CEA8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B559ED"/>
    <w:multiLevelType w:val="hybridMultilevel"/>
    <w:tmpl w:val="3E468B0E"/>
    <w:lvl w:ilvl="0" w:tplc="5A8C0F0A">
      <w:start w:val="1"/>
      <w:numFmt w:val="bullet"/>
      <w:lvlText w:val="-"/>
      <w:lvlJc w:val="left"/>
      <w:pPr>
        <w:ind w:left="810" w:hanging="360"/>
      </w:pPr>
      <w:rPr>
        <w:rFonts w:ascii="Arial" w:eastAsia="Cambria" w:hAnsi="Arial" w:cs="Aria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FF4B91"/>
    <w:multiLevelType w:val="multilevel"/>
    <w:tmpl w:val="AA5E6B8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0" w:firstLine="567"/>
      </w:pPr>
    </w:lvl>
    <w:lvl w:ilvl="2">
      <w:start w:val="1"/>
      <w:numFmt w:val="lowerRoman"/>
      <w:lvlText w:val="(%3)"/>
      <w:lvlJc w:val="right"/>
      <w:pPr>
        <w:tabs>
          <w:tab w:val="num" w:pos="2694"/>
        </w:tabs>
        <w:ind w:left="993" w:firstLine="1134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</w:lvl>
  </w:abstractNum>
  <w:abstractNum w:abstractNumId="11">
    <w:nsid w:val="75D11C28"/>
    <w:multiLevelType w:val="multilevel"/>
    <w:tmpl w:val="CCEAE01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338"/>
    <w:rsid w:val="00012DA6"/>
    <w:rsid w:val="00014859"/>
    <w:rsid w:val="00015131"/>
    <w:rsid w:val="00015B1E"/>
    <w:rsid w:val="000179DF"/>
    <w:rsid w:val="00021326"/>
    <w:rsid w:val="00035147"/>
    <w:rsid w:val="000568DF"/>
    <w:rsid w:val="00067BE6"/>
    <w:rsid w:val="000751E6"/>
    <w:rsid w:val="00082CE5"/>
    <w:rsid w:val="00094BED"/>
    <w:rsid w:val="00094DB0"/>
    <w:rsid w:val="000A7863"/>
    <w:rsid w:val="000F5E56"/>
    <w:rsid w:val="00122DF0"/>
    <w:rsid w:val="00144226"/>
    <w:rsid w:val="001775FA"/>
    <w:rsid w:val="00177630"/>
    <w:rsid w:val="00181F91"/>
    <w:rsid w:val="00194282"/>
    <w:rsid w:val="00196D1F"/>
    <w:rsid w:val="001D4831"/>
    <w:rsid w:val="001D6B66"/>
    <w:rsid w:val="001E6B0C"/>
    <w:rsid w:val="001E71FA"/>
    <w:rsid w:val="00211294"/>
    <w:rsid w:val="00221E27"/>
    <w:rsid w:val="00227F28"/>
    <w:rsid w:val="00237730"/>
    <w:rsid w:val="00254151"/>
    <w:rsid w:val="00254456"/>
    <w:rsid w:val="0027424D"/>
    <w:rsid w:val="00286A5B"/>
    <w:rsid w:val="0029132D"/>
    <w:rsid w:val="002C2E20"/>
    <w:rsid w:val="002D7D9B"/>
    <w:rsid w:val="002E5A9C"/>
    <w:rsid w:val="002E6FFB"/>
    <w:rsid w:val="002F0D78"/>
    <w:rsid w:val="002F36EE"/>
    <w:rsid w:val="002F5442"/>
    <w:rsid w:val="00300E66"/>
    <w:rsid w:val="00302338"/>
    <w:rsid w:val="00321D0C"/>
    <w:rsid w:val="00322EBF"/>
    <w:rsid w:val="00337B8D"/>
    <w:rsid w:val="0035399E"/>
    <w:rsid w:val="00353B44"/>
    <w:rsid w:val="00360FC1"/>
    <w:rsid w:val="003701F0"/>
    <w:rsid w:val="00383EE4"/>
    <w:rsid w:val="00395756"/>
    <w:rsid w:val="003A7431"/>
    <w:rsid w:val="003B1E1C"/>
    <w:rsid w:val="003C631D"/>
    <w:rsid w:val="003D778B"/>
    <w:rsid w:val="00420E89"/>
    <w:rsid w:val="00431118"/>
    <w:rsid w:val="00432381"/>
    <w:rsid w:val="004406CC"/>
    <w:rsid w:val="0044605A"/>
    <w:rsid w:val="0045393A"/>
    <w:rsid w:val="00461BBE"/>
    <w:rsid w:val="00472D56"/>
    <w:rsid w:val="0049441F"/>
    <w:rsid w:val="004C2E5C"/>
    <w:rsid w:val="004D1E94"/>
    <w:rsid w:val="004D66C5"/>
    <w:rsid w:val="004F1EE8"/>
    <w:rsid w:val="00501A0D"/>
    <w:rsid w:val="0050773F"/>
    <w:rsid w:val="00523B06"/>
    <w:rsid w:val="00535AF3"/>
    <w:rsid w:val="00544CAE"/>
    <w:rsid w:val="00551AA3"/>
    <w:rsid w:val="005540A9"/>
    <w:rsid w:val="0059616E"/>
    <w:rsid w:val="005A24B5"/>
    <w:rsid w:val="005C16F6"/>
    <w:rsid w:val="005C6173"/>
    <w:rsid w:val="005D0BEE"/>
    <w:rsid w:val="005D51DD"/>
    <w:rsid w:val="005D6E66"/>
    <w:rsid w:val="005E5EB2"/>
    <w:rsid w:val="00602B74"/>
    <w:rsid w:val="00606FE3"/>
    <w:rsid w:val="00627A7D"/>
    <w:rsid w:val="00637896"/>
    <w:rsid w:val="00644A2F"/>
    <w:rsid w:val="00651EE9"/>
    <w:rsid w:val="006521AF"/>
    <w:rsid w:val="00652E28"/>
    <w:rsid w:val="00665431"/>
    <w:rsid w:val="00674331"/>
    <w:rsid w:val="00675CC0"/>
    <w:rsid w:val="006775E8"/>
    <w:rsid w:val="00680C65"/>
    <w:rsid w:val="00681C72"/>
    <w:rsid w:val="0068489B"/>
    <w:rsid w:val="00687A88"/>
    <w:rsid w:val="00690E41"/>
    <w:rsid w:val="00691CBB"/>
    <w:rsid w:val="006A53DC"/>
    <w:rsid w:val="006B5198"/>
    <w:rsid w:val="006B7E9D"/>
    <w:rsid w:val="006D0308"/>
    <w:rsid w:val="006E1AAE"/>
    <w:rsid w:val="006F44BF"/>
    <w:rsid w:val="00704A79"/>
    <w:rsid w:val="00731B4E"/>
    <w:rsid w:val="0073419F"/>
    <w:rsid w:val="00735934"/>
    <w:rsid w:val="007605A7"/>
    <w:rsid w:val="007779AD"/>
    <w:rsid w:val="007A006C"/>
    <w:rsid w:val="007A1008"/>
    <w:rsid w:val="007A1EDB"/>
    <w:rsid w:val="007A26B9"/>
    <w:rsid w:val="007A4D7F"/>
    <w:rsid w:val="007A6B90"/>
    <w:rsid w:val="007A6BEC"/>
    <w:rsid w:val="007B1607"/>
    <w:rsid w:val="007B240C"/>
    <w:rsid w:val="007C6CF3"/>
    <w:rsid w:val="007C7BE0"/>
    <w:rsid w:val="007D469D"/>
    <w:rsid w:val="007D53C7"/>
    <w:rsid w:val="007D7E3E"/>
    <w:rsid w:val="007F51EE"/>
    <w:rsid w:val="00801B37"/>
    <w:rsid w:val="00804DB7"/>
    <w:rsid w:val="00807DFC"/>
    <w:rsid w:val="008246AA"/>
    <w:rsid w:val="00850506"/>
    <w:rsid w:val="008718D4"/>
    <w:rsid w:val="00876D50"/>
    <w:rsid w:val="00887CEB"/>
    <w:rsid w:val="00890CB5"/>
    <w:rsid w:val="008933E6"/>
    <w:rsid w:val="008965F9"/>
    <w:rsid w:val="008A3699"/>
    <w:rsid w:val="008A5CE8"/>
    <w:rsid w:val="008D515A"/>
    <w:rsid w:val="008D7485"/>
    <w:rsid w:val="008D7EE2"/>
    <w:rsid w:val="008F341D"/>
    <w:rsid w:val="008F4C33"/>
    <w:rsid w:val="009002B7"/>
    <w:rsid w:val="009054A3"/>
    <w:rsid w:val="00907722"/>
    <w:rsid w:val="009108E7"/>
    <w:rsid w:val="00924653"/>
    <w:rsid w:val="009277F7"/>
    <w:rsid w:val="00962DE6"/>
    <w:rsid w:val="00966839"/>
    <w:rsid w:val="0098646B"/>
    <w:rsid w:val="0098770C"/>
    <w:rsid w:val="009A16D0"/>
    <w:rsid w:val="009A5457"/>
    <w:rsid w:val="009B3676"/>
    <w:rsid w:val="009D3475"/>
    <w:rsid w:val="009D7A5F"/>
    <w:rsid w:val="009E2349"/>
    <w:rsid w:val="009E4902"/>
    <w:rsid w:val="009F197B"/>
    <w:rsid w:val="00A13056"/>
    <w:rsid w:val="00A23D3F"/>
    <w:rsid w:val="00A25B71"/>
    <w:rsid w:val="00A261A7"/>
    <w:rsid w:val="00A272CE"/>
    <w:rsid w:val="00A45A0C"/>
    <w:rsid w:val="00A54040"/>
    <w:rsid w:val="00A654D7"/>
    <w:rsid w:val="00A81A22"/>
    <w:rsid w:val="00A81D35"/>
    <w:rsid w:val="00A9758A"/>
    <w:rsid w:val="00AA064C"/>
    <w:rsid w:val="00AC0982"/>
    <w:rsid w:val="00AD1D1E"/>
    <w:rsid w:val="00AE75AA"/>
    <w:rsid w:val="00AF518D"/>
    <w:rsid w:val="00AF5FCC"/>
    <w:rsid w:val="00AF7FAF"/>
    <w:rsid w:val="00B04B82"/>
    <w:rsid w:val="00B129A0"/>
    <w:rsid w:val="00B32AD0"/>
    <w:rsid w:val="00B37CF9"/>
    <w:rsid w:val="00B41C4B"/>
    <w:rsid w:val="00B42DC6"/>
    <w:rsid w:val="00B47038"/>
    <w:rsid w:val="00B554CF"/>
    <w:rsid w:val="00B55F29"/>
    <w:rsid w:val="00B7641F"/>
    <w:rsid w:val="00B7724D"/>
    <w:rsid w:val="00B824E7"/>
    <w:rsid w:val="00B827E5"/>
    <w:rsid w:val="00B84566"/>
    <w:rsid w:val="00B86E49"/>
    <w:rsid w:val="00BD75DB"/>
    <w:rsid w:val="00BE28F9"/>
    <w:rsid w:val="00BF0477"/>
    <w:rsid w:val="00BF31D2"/>
    <w:rsid w:val="00C0622C"/>
    <w:rsid w:val="00C10995"/>
    <w:rsid w:val="00C17D04"/>
    <w:rsid w:val="00C17FD0"/>
    <w:rsid w:val="00C20F26"/>
    <w:rsid w:val="00C451E7"/>
    <w:rsid w:val="00C47A5D"/>
    <w:rsid w:val="00C52F14"/>
    <w:rsid w:val="00C64FAD"/>
    <w:rsid w:val="00C85400"/>
    <w:rsid w:val="00C948E4"/>
    <w:rsid w:val="00CA03F5"/>
    <w:rsid w:val="00CB185B"/>
    <w:rsid w:val="00CD51CE"/>
    <w:rsid w:val="00CD65AB"/>
    <w:rsid w:val="00CE5669"/>
    <w:rsid w:val="00CE5A88"/>
    <w:rsid w:val="00D21685"/>
    <w:rsid w:val="00D21781"/>
    <w:rsid w:val="00D319B9"/>
    <w:rsid w:val="00D34CBD"/>
    <w:rsid w:val="00D37D1F"/>
    <w:rsid w:val="00D43A36"/>
    <w:rsid w:val="00D542B1"/>
    <w:rsid w:val="00D61B5C"/>
    <w:rsid w:val="00D62EC4"/>
    <w:rsid w:val="00D734A0"/>
    <w:rsid w:val="00D740C6"/>
    <w:rsid w:val="00DA0FAF"/>
    <w:rsid w:val="00DB3C04"/>
    <w:rsid w:val="00DC5988"/>
    <w:rsid w:val="00DC741C"/>
    <w:rsid w:val="00DD4D2C"/>
    <w:rsid w:val="00DF0DC2"/>
    <w:rsid w:val="00DF404E"/>
    <w:rsid w:val="00E0131E"/>
    <w:rsid w:val="00E060D5"/>
    <w:rsid w:val="00E84318"/>
    <w:rsid w:val="00EB480A"/>
    <w:rsid w:val="00EC26DF"/>
    <w:rsid w:val="00EE2057"/>
    <w:rsid w:val="00EE41CA"/>
    <w:rsid w:val="00EE50ED"/>
    <w:rsid w:val="00F03CD6"/>
    <w:rsid w:val="00F214E8"/>
    <w:rsid w:val="00F27D33"/>
    <w:rsid w:val="00F34D18"/>
    <w:rsid w:val="00F53F8E"/>
    <w:rsid w:val="00F61124"/>
    <w:rsid w:val="00F86F78"/>
    <w:rsid w:val="00F9799A"/>
    <w:rsid w:val="00FA0180"/>
    <w:rsid w:val="00FB1136"/>
    <w:rsid w:val="00FB3CD2"/>
    <w:rsid w:val="00FD3923"/>
    <w:rsid w:val="00FE3275"/>
    <w:rsid w:val="00FE6C6B"/>
    <w:rsid w:val="00FF41E2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ru-RU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ru-RU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338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paragraph" w:customStyle="1" w:styleId="Endofdocument">
    <w:name w:val="End of document"/>
    <w:basedOn w:val="Normal"/>
    <w:rsid w:val="00302338"/>
    <w:pPr>
      <w:ind w:left="4536"/>
      <w:jc w:val="center"/>
    </w:pPr>
    <w:rPr>
      <w:rFonts w:ascii="Times New Roman" w:eastAsia="Times New Roman" w:hAnsi="Times New Roman" w:cs="Times New Roman"/>
      <w:sz w:val="24"/>
    </w:rPr>
  </w:style>
  <w:style w:type="paragraph" w:styleId="BodyTextIndent2">
    <w:name w:val="Body Text Indent 2"/>
    <w:basedOn w:val="Normal"/>
    <w:rsid w:val="0030233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uiPriority w:val="99"/>
    <w:qFormat/>
    <w:rsid w:val="00302338"/>
    <w:rPr>
      <w:vertAlign w:val="superscript"/>
    </w:rPr>
  </w:style>
  <w:style w:type="paragraph" w:customStyle="1" w:styleId="Char">
    <w:name w:val="Char 字元 字元"/>
    <w:basedOn w:val="Normal"/>
    <w:rsid w:val="00E060D5"/>
    <w:pPr>
      <w:spacing w:after="160" w:line="240" w:lineRule="exact"/>
    </w:pPr>
    <w:rPr>
      <w:rFonts w:ascii="Verdana" w:eastAsia="PMingLiU" w:hAnsi="Verdana" w:cs="Times New Roman"/>
      <w:sz w:val="20"/>
    </w:rPr>
  </w:style>
  <w:style w:type="paragraph" w:styleId="BalloonText">
    <w:name w:val="Balloon Text"/>
    <w:basedOn w:val="Normal"/>
    <w:semiHidden/>
    <w:rsid w:val="0066543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A5CE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A5CE8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A5CE8"/>
    <w:rPr>
      <w:rFonts w:ascii="Arial" w:eastAsia="SimSun" w:hAnsi="Arial" w:cs="Arial"/>
      <w:sz w:val="18"/>
      <w:lang w:eastAsia="ru-RU"/>
    </w:rPr>
  </w:style>
  <w:style w:type="character" w:customStyle="1" w:styleId="CommentSubjectChar">
    <w:name w:val="Comment Subject Char"/>
    <w:link w:val="CommentSubject"/>
    <w:rsid w:val="008A5CE8"/>
    <w:rPr>
      <w:rFonts w:ascii="Arial" w:eastAsia="SimSun" w:hAnsi="Arial" w:cs="Arial"/>
      <w:b/>
      <w:bCs/>
      <w:sz w:val="18"/>
      <w:lang w:eastAsia="ru-RU"/>
    </w:rPr>
  </w:style>
  <w:style w:type="character" w:customStyle="1" w:styleId="HeaderChar">
    <w:name w:val="Header Char"/>
    <w:link w:val="Header"/>
    <w:uiPriority w:val="99"/>
    <w:rsid w:val="00BD75DB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5EB7-1518-430A-8347-29FA871B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Legrand</dc:creator>
  <cp:lastModifiedBy>MORENO PALESTINI Maria Del Pilar</cp:lastModifiedBy>
  <cp:revision>8</cp:revision>
  <cp:lastPrinted>2016-10-11T09:46:00Z</cp:lastPrinted>
  <dcterms:created xsi:type="dcterms:W3CDTF">2016-10-11T07:58:00Z</dcterms:created>
  <dcterms:modified xsi:type="dcterms:W3CDTF">2016-10-11T09:46:00Z</dcterms:modified>
</cp:coreProperties>
</file>