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F1" w:rsidRDefault="0071035F" w:rsidP="00C2320B">
      <w:pPr>
        <w:spacing w:after="0"/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  <w:r w:rsidRPr="00AD348F">
        <w:rPr>
          <w:rFonts w:ascii="Arial" w:hAnsi="Arial" w:cs="Arial"/>
          <w:b/>
          <w:lang w:val="ru-RU"/>
        </w:rPr>
        <w:t xml:space="preserve">Двадцать </w:t>
      </w:r>
      <w:r>
        <w:rPr>
          <w:rFonts w:ascii="Arial" w:hAnsi="Arial" w:cs="Arial"/>
          <w:b/>
          <w:lang w:val="ru-RU"/>
        </w:rPr>
        <w:t>восьмая</w:t>
      </w:r>
      <w:r w:rsidRPr="00AD348F">
        <w:rPr>
          <w:rFonts w:ascii="Arial" w:hAnsi="Arial" w:cs="Arial"/>
          <w:b/>
          <w:lang w:val="ru-RU"/>
        </w:rPr>
        <w:t xml:space="preserve"> сессия МКГР</w:t>
      </w:r>
    </w:p>
    <w:p w:rsidR="00603BF1" w:rsidRDefault="00C2320B" w:rsidP="00C2320B">
      <w:pPr>
        <w:spacing w:after="0"/>
        <w:jc w:val="center"/>
        <w:rPr>
          <w:rFonts w:ascii="Arial" w:hAnsi="Arial" w:cs="Arial"/>
          <w:b/>
          <w:lang w:val="ru-RU"/>
        </w:rPr>
      </w:pPr>
      <w:r w:rsidRPr="00AD348F">
        <w:rPr>
          <w:rFonts w:ascii="Arial" w:hAnsi="Arial" w:cs="Arial"/>
          <w:b/>
          <w:lang w:val="ru-RU"/>
        </w:rPr>
        <w:t xml:space="preserve">7 </w:t>
      </w:r>
      <w:r w:rsidR="00AD348F">
        <w:rPr>
          <w:rFonts w:ascii="Arial" w:hAnsi="Arial" w:cs="Arial"/>
          <w:b/>
          <w:lang w:val="ru-RU"/>
        </w:rPr>
        <w:t xml:space="preserve">– </w:t>
      </w:r>
      <w:r w:rsidRPr="00AD348F">
        <w:rPr>
          <w:rFonts w:ascii="Arial" w:hAnsi="Arial" w:cs="Arial"/>
          <w:b/>
          <w:lang w:val="ru-RU"/>
        </w:rPr>
        <w:t>9</w:t>
      </w:r>
      <w:r w:rsidR="00AD348F">
        <w:rPr>
          <w:rFonts w:ascii="Arial" w:hAnsi="Arial" w:cs="Arial"/>
          <w:b/>
          <w:lang w:val="ru-RU"/>
        </w:rPr>
        <w:t xml:space="preserve"> июля </w:t>
      </w:r>
      <w:r w:rsidRPr="00AD348F">
        <w:rPr>
          <w:rFonts w:ascii="Arial" w:hAnsi="Arial" w:cs="Arial"/>
          <w:b/>
          <w:lang w:val="ru-RU"/>
        </w:rPr>
        <w:t>2014</w:t>
      </w:r>
      <w:r w:rsidR="00AD348F">
        <w:rPr>
          <w:rFonts w:ascii="Arial" w:hAnsi="Arial" w:cs="Arial"/>
          <w:b/>
          <w:lang w:val="ru-RU"/>
        </w:rPr>
        <w:t xml:space="preserve"> г.</w:t>
      </w:r>
    </w:p>
    <w:p w:rsidR="00603BF1" w:rsidRDefault="00603BF1" w:rsidP="00C2320B">
      <w:pPr>
        <w:spacing w:after="0"/>
        <w:jc w:val="center"/>
        <w:rPr>
          <w:rFonts w:ascii="Arial" w:hAnsi="Arial" w:cs="Arial"/>
          <w:b/>
          <w:lang w:val="ru-RU"/>
        </w:rPr>
      </w:pPr>
    </w:p>
    <w:p w:rsidR="00603BF1" w:rsidRDefault="00AD348F" w:rsidP="00C2320B">
      <w:pPr>
        <w:spacing w:after="0"/>
        <w:jc w:val="center"/>
        <w:rPr>
          <w:rFonts w:ascii="Arial" w:hAnsi="Arial" w:cs="Arial"/>
          <w:b/>
          <w:lang w:val="ru-RU"/>
        </w:rPr>
      </w:pPr>
      <w:r w:rsidRPr="00AD348F">
        <w:rPr>
          <w:rFonts w:ascii="Arial" w:hAnsi="Arial" w:cs="Arial"/>
          <w:b/>
          <w:lang w:val="ru-RU"/>
        </w:rPr>
        <w:t>Традиционные знания</w:t>
      </w:r>
      <w:r w:rsidR="00C2320B" w:rsidRPr="00AD348F">
        <w:rPr>
          <w:rFonts w:ascii="Arial" w:hAnsi="Arial" w:cs="Arial"/>
          <w:b/>
          <w:lang w:val="ru-RU"/>
        </w:rPr>
        <w:t xml:space="preserve">, </w:t>
      </w:r>
      <w:r w:rsidRPr="00AD348F">
        <w:rPr>
          <w:rFonts w:ascii="Arial" w:hAnsi="Arial" w:cs="Arial"/>
          <w:b/>
          <w:lang w:val="ru-RU"/>
        </w:rPr>
        <w:t xml:space="preserve">традиционные выражения культуры </w:t>
      </w:r>
      <w:r>
        <w:rPr>
          <w:rFonts w:ascii="Arial" w:hAnsi="Arial" w:cs="Arial"/>
          <w:b/>
          <w:lang w:val="ru-RU"/>
        </w:rPr>
        <w:t>и генетические ресурсы</w:t>
      </w:r>
      <w:r w:rsidR="00C2320B" w:rsidRPr="00AD348F">
        <w:rPr>
          <w:rFonts w:ascii="Arial" w:hAnsi="Arial" w:cs="Arial"/>
          <w:b/>
          <w:lang w:val="ru-RU"/>
        </w:rPr>
        <w:t>:</w:t>
      </w:r>
    </w:p>
    <w:p w:rsidR="00603BF1" w:rsidRDefault="00AD348F" w:rsidP="00AD2FF3">
      <w:pPr>
        <w:spacing w:after="0"/>
        <w:jc w:val="center"/>
        <w:rPr>
          <w:rFonts w:ascii="Arial" w:hAnsi="Arial" w:cs="Arial"/>
          <w:b/>
          <w:lang w:val="ru-RU"/>
        </w:rPr>
      </w:pPr>
      <w:r w:rsidRPr="00AD348F">
        <w:rPr>
          <w:rFonts w:ascii="Arial" w:hAnsi="Arial" w:cs="Arial"/>
          <w:b/>
          <w:lang w:val="ru-RU"/>
        </w:rPr>
        <w:t xml:space="preserve">некоторые предлагаемые </w:t>
      </w:r>
      <w:r w:rsidR="00901ECB">
        <w:rPr>
          <w:rFonts w:ascii="Arial" w:hAnsi="Arial" w:cs="Arial"/>
          <w:b/>
          <w:lang w:val="ru-RU"/>
        </w:rPr>
        <w:t>сквозные</w:t>
      </w:r>
      <w:r w:rsidR="00AD2FF3">
        <w:rPr>
          <w:rFonts w:ascii="Arial" w:hAnsi="Arial" w:cs="Arial"/>
          <w:b/>
          <w:lang w:val="ru-RU"/>
        </w:rPr>
        <w:t xml:space="preserve"> </w:t>
      </w:r>
      <w:r w:rsidRPr="00AD348F">
        <w:rPr>
          <w:rFonts w:ascii="Arial" w:hAnsi="Arial" w:cs="Arial"/>
          <w:b/>
          <w:lang w:val="ru-RU"/>
        </w:rPr>
        <w:t>вопросы</w:t>
      </w:r>
    </w:p>
    <w:p w:rsidR="00603BF1" w:rsidRDefault="00AD2FF3" w:rsidP="00AD2FF3">
      <w:pPr>
        <w:spacing w:after="0"/>
        <w:jc w:val="center"/>
        <w:rPr>
          <w:rFonts w:ascii="Arial" w:hAnsi="Arial" w:cs="Arial"/>
          <w:b/>
          <w:lang w:val="ru-RU"/>
        </w:rPr>
      </w:pPr>
      <w:r w:rsidRPr="00AD348F">
        <w:rPr>
          <w:rFonts w:ascii="Arial" w:hAnsi="Arial" w:cs="Arial"/>
          <w:b/>
          <w:lang w:val="ru-RU"/>
        </w:rPr>
        <w:t>Документ</w:t>
      </w:r>
      <w:r w:rsidR="00AD348F" w:rsidRPr="00AD348F">
        <w:rPr>
          <w:rFonts w:ascii="Arial" w:hAnsi="Arial" w:cs="Arial"/>
          <w:b/>
          <w:lang w:val="ru-RU"/>
        </w:rPr>
        <w:t xml:space="preserve"> подготовлен</w:t>
      </w:r>
      <w:r>
        <w:rPr>
          <w:rFonts w:ascii="Arial" w:hAnsi="Arial" w:cs="Arial"/>
          <w:b/>
          <w:lang w:val="ru-RU"/>
        </w:rPr>
        <w:t xml:space="preserve"> </w:t>
      </w:r>
      <w:r w:rsidR="00AD348F" w:rsidRPr="00AD348F">
        <w:rPr>
          <w:rFonts w:ascii="Arial" w:hAnsi="Arial" w:cs="Arial"/>
          <w:b/>
          <w:lang w:val="ru-RU"/>
        </w:rPr>
        <w:t>Председателем МКГР, Его Превосходительством послом Уэйном Маккуком</w:t>
      </w:r>
      <w:r>
        <w:rPr>
          <w:rFonts w:ascii="Arial" w:hAnsi="Arial" w:cs="Arial"/>
          <w:b/>
          <w:lang w:val="ru-RU"/>
        </w:rPr>
        <w:t xml:space="preserve"> </w:t>
      </w:r>
    </w:p>
    <w:p w:rsidR="00603BF1" w:rsidRDefault="00603BF1" w:rsidP="00C2320B">
      <w:pPr>
        <w:spacing w:after="0"/>
        <w:rPr>
          <w:rFonts w:ascii="Arial" w:hAnsi="Arial" w:cs="Arial"/>
          <w:lang w:val="ru-RU"/>
        </w:rPr>
      </w:pPr>
    </w:p>
    <w:p w:rsidR="00603BF1" w:rsidRDefault="00603BF1" w:rsidP="00C2320B">
      <w:pPr>
        <w:spacing w:after="0"/>
        <w:rPr>
          <w:rFonts w:ascii="Arial" w:hAnsi="Arial" w:cs="Arial"/>
          <w:lang w:val="ru-RU"/>
        </w:rPr>
      </w:pPr>
    </w:p>
    <w:p w:rsidR="00603BF1" w:rsidRDefault="00AD2FF3" w:rsidP="00C2320B">
      <w:pPr>
        <w:spacing w:after="0"/>
        <w:rPr>
          <w:rFonts w:ascii="Arial" w:hAnsi="Arial" w:cs="Arial"/>
          <w:b/>
          <w:lang w:val="ru-RU"/>
        </w:rPr>
      </w:pPr>
      <w:r w:rsidRPr="002F121B">
        <w:rPr>
          <w:rFonts w:ascii="Arial" w:hAnsi="Arial" w:cs="Arial"/>
          <w:b/>
          <w:lang w:val="ru-RU"/>
        </w:rPr>
        <w:t xml:space="preserve">ИСТОРИЯ ВОПРОСА </w:t>
      </w:r>
    </w:p>
    <w:p w:rsidR="00603BF1" w:rsidRDefault="00603BF1" w:rsidP="00704E08">
      <w:pPr>
        <w:spacing w:after="120" w:line="260" w:lineRule="atLeast"/>
        <w:rPr>
          <w:rFonts w:ascii="Arial" w:eastAsia="Times New Roman" w:hAnsi="Arial" w:cs="Tahoma"/>
          <w:color w:val="000000"/>
          <w:lang w:val="ru-RU" w:eastAsia="zh-CN"/>
        </w:rPr>
      </w:pPr>
    </w:p>
    <w:p w:rsidR="00603BF1" w:rsidRDefault="003070E6" w:rsidP="00AD2FF3">
      <w:pPr>
        <w:spacing w:after="120" w:line="260" w:lineRule="atLeast"/>
        <w:rPr>
          <w:rFonts w:ascii="Arial" w:eastAsia="Times New Roman" w:hAnsi="Arial" w:cs="Tahoma"/>
          <w:color w:val="000000"/>
          <w:lang w:val="ru-RU" w:eastAsia="zh-CN"/>
        </w:rPr>
      </w:pPr>
      <w:r>
        <w:rPr>
          <w:rFonts w:ascii="Arial" w:eastAsia="Times New Roman" w:hAnsi="Arial" w:cs="Tahoma"/>
          <w:color w:val="000000"/>
          <w:lang w:eastAsia="zh-CN"/>
        </w:rPr>
        <w:fldChar w:fldCharType="begin"/>
      </w:r>
      <w:r w:rsidR="006F7B54" w:rsidRPr="00AD2FF3">
        <w:rPr>
          <w:rFonts w:ascii="Arial" w:eastAsia="Times New Roman" w:hAnsi="Arial" w:cs="Tahoma"/>
          <w:color w:val="000000"/>
          <w:lang w:val="ru-RU" w:eastAsia="zh-CN"/>
        </w:rPr>
        <w:instrText xml:space="preserve"> </w:instrText>
      </w:r>
      <w:r w:rsidR="006F7B54">
        <w:rPr>
          <w:rFonts w:ascii="Arial" w:eastAsia="Times New Roman" w:hAnsi="Arial" w:cs="Tahoma"/>
          <w:color w:val="000000"/>
          <w:lang w:eastAsia="zh-CN"/>
        </w:rPr>
        <w:instrText>AUTONUM</w:instrText>
      </w:r>
      <w:r w:rsidR="006F7B54" w:rsidRPr="00AD2FF3">
        <w:rPr>
          <w:rFonts w:ascii="Arial" w:eastAsia="Times New Roman" w:hAnsi="Arial" w:cs="Tahoma"/>
          <w:color w:val="000000"/>
          <w:lang w:val="ru-RU" w:eastAsia="zh-CN"/>
        </w:rPr>
        <w:instrText xml:space="preserve">  </w:instrText>
      </w:r>
      <w:r>
        <w:rPr>
          <w:rFonts w:ascii="Arial" w:eastAsia="Times New Roman" w:hAnsi="Arial" w:cs="Tahoma"/>
          <w:color w:val="000000"/>
          <w:lang w:eastAsia="zh-CN"/>
        </w:rPr>
        <w:fldChar w:fldCharType="end"/>
      </w:r>
      <w:r w:rsidR="006F7B54" w:rsidRPr="00AD2FF3">
        <w:rPr>
          <w:rFonts w:ascii="Arial" w:eastAsia="Times New Roman" w:hAnsi="Arial" w:cs="Tahoma"/>
          <w:color w:val="000000"/>
          <w:lang w:val="ru-RU" w:eastAsia="zh-CN"/>
        </w:rPr>
        <w:tab/>
      </w:r>
      <w:r w:rsidR="00AD2FF3">
        <w:rPr>
          <w:rFonts w:ascii="Arial" w:eastAsia="Times New Roman" w:hAnsi="Arial" w:cs="Tahoma"/>
          <w:color w:val="000000"/>
          <w:lang w:val="ru-RU" w:eastAsia="zh-CN"/>
        </w:rPr>
        <w:t>В</w:t>
      </w:r>
      <w:r w:rsidR="00AD2FF3" w:rsidRPr="00AD2FF3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AD2FF3">
        <w:rPr>
          <w:rFonts w:ascii="Arial" w:eastAsia="Times New Roman" w:hAnsi="Arial" w:cs="Tahoma"/>
          <w:color w:val="000000"/>
          <w:lang w:val="ru-RU" w:eastAsia="zh-CN"/>
        </w:rPr>
        <w:t>октябре</w:t>
      </w:r>
      <w:r w:rsidR="00AD2FF3" w:rsidRPr="00AD2FF3">
        <w:rPr>
          <w:rFonts w:ascii="Arial" w:eastAsia="Times New Roman" w:hAnsi="Arial" w:cs="Tahoma"/>
          <w:color w:val="000000"/>
          <w:lang w:val="ru-RU" w:eastAsia="zh-CN"/>
        </w:rPr>
        <w:t xml:space="preserve"> 2013 </w:t>
      </w:r>
      <w:r w:rsidR="00AD2FF3">
        <w:rPr>
          <w:rFonts w:ascii="Arial" w:eastAsia="Times New Roman" w:hAnsi="Arial" w:cs="Tahoma"/>
          <w:color w:val="000000"/>
          <w:lang w:val="ru-RU" w:eastAsia="zh-CN"/>
        </w:rPr>
        <w:t>г</w:t>
      </w:r>
      <w:r w:rsidR="00AD2FF3" w:rsidRPr="00AD2FF3">
        <w:rPr>
          <w:rFonts w:ascii="Arial" w:eastAsia="Times New Roman" w:hAnsi="Arial" w:cs="Tahoma"/>
          <w:color w:val="000000"/>
          <w:lang w:val="ru-RU" w:eastAsia="zh-CN"/>
        </w:rPr>
        <w:t>. Генеральная Ассамблея</w:t>
      </w:r>
      <w:r w:rsidR="00AD2FF3">
        <w:rPr>
          <w:rFonts w:ascii="Arial" w:eastAsia="Times New Roman" w:hAnsi="Arial" w:cs="Tahoma"/>
          <w:color w:val="000000"/>
          <w:lang w:val="ru-RU" w:eastAsia="zh-CN"/>
        </w:rPr>
        <w:t xml:space="preserve"> ВОИС </w:t>
      </w:r>
      <w:r w:rsidR="00AD2FF3" w:rsidRPr="00AD2FF3">
        <w:rPr>
          <w:rFonts w:ascii="Arial" w:eastAsia="Times New Roman" w:hAnsi="Arial" w:cs="Tahoma"/>
          <w:color w:val="000000"/>
          <w:lang w:val="ru-RU" w:eastAsia="zh-CN"/>
        </w:rPr>
        <w:t xml:space="preserve">постановила, что МКГР должен «[…] и далее ускорять свою работу по проведению – при открытом и полном взаимодействии </w:t>
      </w:r>
      <w:r w:rsidR="00AD2FF3">
        <w:rPr>
          <w:rFonts w:ascii="Arial" w:eastAsia="Times New Roman" w:hAnsi="Arial" w:cs="Tahoma"/>
          <w:color w:val="000000"/>
          <w:lang w:val="ru-RU" w:eastAsia="zh-CN"/>
        </w:rPr>
        <w:t>–</w:t>
      </w:r>
      <w:r w:rsidR="00AD2FF3" w:rsidRPr="00AD2FF3">
        <w:rPr>
          <w:rFonts w:ascii="Arial" w:eastAsia="Times New Roman" w:hAnsi="Arial" w:cs="Tahoma"/>
          <w:color w:val="000000"/>
          <w:lang w:val="ru-RU" w:eastAsia="zh-CN"/>
        </w:rPr>
        <w:t xml:space="preserve"> переговоров на основе подготовленных текстов с целью достижения соглашения относительно текста (текстов) международно-правового документа (документов), который </w:t>
      </w:r>
      <w:r w:rsidR="00AD2FF3">
        <w:rPr>
          <w:rFonts w:ascii="Arial" w:eastAsia="Times New Roman" w:hAnsi="Arial" w:cs="Tahoma"/>
          <w:color w:val="000000"/>
          <w:lang w:val="ru-RU" w:eastAsia="zh-CN"/>
        </w:rPr>
        <w:t xml:space="preserve">(которые) </w:t>
      </w:r>
      <w:r w:rsidR="00AD2FF3" w:rsidRPr="00AD2FF3">
        <w:rPr>
          <w:rFonts w:ascii="Arial" w:eastAsia="Times New Roman" w:hAnsi="Arial" w:cs="Tahoma"/>
          <w:color w:val="000000"/>
          <w:lang w:val="ru-RU" w:eastAsia="zh-CN"/>
        </w:rPr>
        <w:t xml:space="preserve">обеспечит </w:t>
      </w:r>
      <w:r w:rsidR="00AD2FF3">
        <w:rPr>
          <w:rFonts w:ascii="Arial" w:eastAsia="Times New Roman" w:hAnsi="Arial" w:cs="Tahoma"/>
          <w:color w:val="000000"/>
          <w:lang w:val="ru-RU" w:eastAsia="zh-CN"/>
        </w:rPr>
        <w:t xml:space="preserve">(обеспечат) </w:t>
      </w:r>
      <w:r w:rsidR="00AD2FF3" w:rsidRPr="00AD2FF3">
        <w:rPr>
          <w:rFonts w:ascii="Arial" w:eastAsia="Times New Roman" w:hAnsi="Arial" w:cs="Tahoma"/>
          <w:color w:val="000000"/>
          <w:lang w:val="ru-RU" w:eastAsia="zh-CN"/>
        </w:rPr>
        <w:t>эффективную охрану ГР, ТЗ и ТВК».</w:t>
      </w:r>
      <w:r w:rsidR="00AD2FF3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</w:p>
    <w:p w:rsidR="00603BF1" w:rsidRDefault="003070E6" w:rsidP="00901ECB">
      <w:pPr>
        <w:spacing w:after="120" w:line="260" w:lineRule="atLeast"/>
        <w:rPr>
          <w:rFonts w:ascii="Arial" w:eastAsia="Times New Roman" w:hAnsi="Arial" w:cs="Tahoma"/>
          <w:color w:val="000000"/>
          <w:lang w:val="ru-RU" w:eastAsia="zh-CN"/>
        </w:rPr>
      </w:pPr>
      <w:r>
        <w:rPr>
          <w:rFonts w:ascii="Arial" w:eastAsia="Times New Roman" w:hAnsi="Arial" w:cs="Tahoma"/>
          <w:color w:val="000000"/>
          <w:lang w:eastAsia="zh-CN"/>
        </w:rPr>
        <w:fldChar w:fldCharType="begin"/>
      </w:r>
      <w:r w:rsidR="006F7B54" w:rsidRPr="00AD2FF3">
        <w:rPr>
          <w:rFonts w:ascii="Arial" w:eastAsia="Times New Roman" w:hAnsi="Arial" w:cs="Tahoma"/>
          <w:color w:val="000000"/>
          <w:lang w:val="ru-RU" w:eastAsia="zh-CN"/>
        </w:rPr>
        <w:instrText xml:space="preserve"> </w:instrText>
      </w:r>
      <w:r w:rsidR="006F7B54">
        <w:rPr>
          <w:rFonts w:ascii="Arial" w:eastAsia="Times New Roman" w:hAnsi="Arial" w:cs="Tahoma"/>
          <w:color w:val="000000"/>
          <w:lang w:eastAsia="zh-CN"/>
        </w:rPr>
        <w:instrText>AUTONUM</w:instrText>
      </w:r>
      <w:r w:rsidR="006F7B54" w:rsidRPr="00AD2FF3">
        <w:rPr>
          <w:rFonts w:ascii="Arial" w:eastAsia="Times New Roman" w:hAnsi="Arial" w:cs="Tahoma"/>
          <w:color w:val="000000"/>
          <w:lang w:val="ru-RU" w:eastAsia="zh-CN"/>
        </w:rPr>
        <w:instrText xml:space="preserve">  </w:instrText>
      </w:r>
      <w:r>
        <w:rPr>
          <w:rFonts w:ascii="Arial" w:eastAsia="Times New Roman" w:hAnsi="Arial" w:cs="Tahoma"/>
          <w:color w:val="000000"/>
          <w:lang w:eastAsia="zh-CN"/>
        </w:rPr>
        <w:fldChar w:fldCharType="end"/>
      </w:r>
      <w:r w:rsidR="006F7B54" w:rsidRPr="00AD2FF3">
        <w:rPr>
          <w:rFonts w:ascii="Arial" w:eastAsia="Times New Roman" w:hAnsi="Arial" w:cs="Tahoma"/>
          <w:color w:val="000000"/>
          <w:lang w:val="ru-RU" w:eastAsia="zh-CN"/>
        </w:rPr>
        <w:tab/>
      </w:r>
      <w:r w:rsidR="00AD2FF3">
        <w:rPr>
          <w:rFonts w:ascii="Arial" w:eastAsia="Times New Roman" w:hAnsi="Arial" w:cs="Tahoma"/>
          <w:color w:val="000000"/>
          <w:lang w:val="ru-RU" w:eastAsia="zh-CN"/>
        </w:rPr>
        <w:t xml:space="preserve">В соответствии с мандатом Комитета на </w:t>
      </w:r>
      <w:r w:rsidR="00AD2FF3" w:rsidRPr="00AD2FF3">
        <w:rPr>
          <w:rFonts w:ascii="Arial" w:eastAsia="Times New Roman" w:hAnsi="Arial" w:cs="Tahoma"/>
          <w:color w:val="000000"/>
          <w:lang w:val="ru-RU" w:eastAsia="zh-CN"/>
        </w:rPr>
        <w:t>2014–2015 гг.</w:t>
      </w:r>
      <w:r w:rsidR="00AD2FF3">
        <w:rPr>
          <w:rFonts w:ascii="Arial" w:eastAsia="Times New Roman" w:hAnsi="Arial" w:cs="Tahoma"/>
          <w:color w:val="000000"/>
          <w:lang w:val="ru-RU" w:eastAsia="zh-CN"/>
        </w:rPr>
        <w:t xml:space="preserve"> и его программой работы на 2014 г. МКГР на своих двадцать шестой и двадцать седьмой </w:t>
      </w:r>
      <w:r w:rsidR="001C168B">
        <w:rPr>
          <w:rFonts w:ascii="Arial" w:eastAsia="Times New Roman" w:hAnsi="Arial" w:cs="Tahoma"/>
          <w:color w:val="000000"/>
          <w:lang w:val="ru-RU" w:eastAsia="zh-CN"/>
        </w:rPr>
        <w:t>сессиях, состоявшихся в феврале и апреле 2014 г.</w:t>
      </w:r>
      <w:r w:rsidR="00E04522" w:rsidRPr="00E04522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E04522">
        <w:rPr>
          <w:rFonts w:ascii="Arial" w:eastAsia="Times New Roman" w:hAnsi="Arial" w:cs="Tahoma"/>
          <w:color w:val="000000"/>
          <w:lang w:val="ru-RU" w:eastAsia="zh-CN"/>
        </w:rPr>
        <w:t>соответственно</w:t>
      </w:r>
      <w:r w:rsidR="001C168B">
        <w:rPr>
          <w:rFonts w:ascii="Arial" w:eastAsia="Times New Roman" w:hAnsi="Arial" w:cs="Tahoma"/>
          <w:color w:val="000000"/>
          <w:lang w:val="ru-RU" w:eastAsia="zh-CN"/>
        </w:rPr>
        <w:t>, составил следующие тексты: «</w:t>
      </w:r>
      <w:r w:rsidR="001C168B" w:rsidRPr="001C168B">
        <w:rPr>
          <w:rFonts w:ascii="Arial" w:eastAsia="Times New Roman" w:hAnsi="Arial" w:cs="Tahoma"/>
          <w:color w:val="000000"/>
          <w:lang w:val="ru-RU" w:eastAsia="zh-CN"/>
        </w:rPr>
        <w:t>Сводный документ, касающийся интеллектуальной собствен</w:t>
      </w:r>
      <w:r w:rsidR="001C168B">
        <w:rPr>
          <w:rFonts w:ascii="Arial" w:eastAsia="Times New Roman" w:hAnsi="Arial" w:cs="Tahoma"/>
          <w:color w:val="000000"/>
          <w:lang w:val="ru-RU" w:eastAsia="zh-CN"/>
        </w:rPr>
        <w:t xml:space="preserve">ности и генетических ресурсов </w:t>
      </w:r>
      <w:r w:rsidR="001C168B" w:rsidRPr="001C168B">
        <w:rPr>
          <w:rFonts w:ascii="Arial" w:eastAsia="Times New Roman" w:hAnsi="Arial" w:cs="Tahoma"/>
          <w:color w:val="000000"/>
          <w:lang w:val="ru-RU" w:eastAsia="zh-CN"/>
        </w:rPr>
        <w:t>Rev. 2</w:t>
      </w:r>
      <w:r w:rsidR="001C168B">
        <w:rPr>
          <w:rFonts w:ascii="Arial" w:eastAsia="Times New Roman" w:hAnsi="Arial" w:cs="Tahoma"/>
          <w:color w:val="000000"/>
          <w:lang w:val="ru-RU" w:eastAsia="zh-CN"/>
        </w:rPr>
        <w:t xml:space="preserve">», </w:t>
      </w:r>
      <w:r w:rsidR="001C168B" w:rsidRPr="001C168B">
        <w:rPr>
          <w:rFonts w:ascii="Arial" w:eastAsia="Times New Roman" w:hAnsi="Arial" w:cs="Tahoma"/>
          <w:color w:val="000000"/>
          <w:lang w:val="ru-RU" w:eastAsia="zh-CN"/>
        </w:rPr>
        <w:t>«Охрана тр</w:t>
      </w:r>
      <w:r w:rsidR="00794349">
        <w:rPr>
          <w:rFonts w:ascii="Arial" w:eastAsia="Times New Roman" w:hAnsi="Arial" w:cs="Tahoma"/>
          <w:color w:val="000000"/>
          <w:lang w:val="ru-RU" w:eastAsia="zh-CN"/>
        </w:rPr>
        <w:t xml:space="preserve">адиционных знаний: </w:t>
      </w:r>
      <w:r w:rsidR="001C168B" w:rsidRPr="001C168B">
        <w:rPr>
          <w:rFonts w:ascii="Arial" w:eastAsia="Times New Roman" w:hAnsi="Arial" w:cs="Tahoma"/>
          <w:color w:val="000000"/>
          <w:lang w:val="ru-RU" w:eastAsia="zh-CN"/>
        </w:rPr>
        <w:t>проекты статей Rev. 2»</w:t>
      </w:r>
      <w:r w:rsidR="001C168B">
        <w:rPr>
          <w:rFonts w:ascii="Arial" w:eastAsia="Times New Roman" w:hAnsi="Arial" w:cs="Tahoma"/>
          <w:color w:val="000000"/>
          <w:lang w:val="ru-RU" w:eastAsia="zh-CN"/>
        </w:rPr>
        <w:t xml:space="preserve"> и </w:t>
      </w:r>
      <w:r w:rsidR="001C168B" w:rsidRPr="001C168B">
        <w:rPr>
          <w:rFonts w:ascii="Arial" w:eastAsia="Times New Roman" w:hAnsi="Arial" w:cs="Tahoma"/>
          <w:color w:val="000000"/>
          <w:lang w:val="ru-RU" w:eastAsia="zh-CN"/>
        </w:rPr>
        <w:t>«Охрана тр</w:t>
      </w:r>
      <w:r w:rsidR="001C168B">
        <w:rPr>
          <w:rFonts w:ascii="Arial" w:eastAsia="Times New Roman" w:hAnsi="Arial" w:cs="Tahoma"/>
          <w:color w:val="000000"/>
          <w:lang w:val="ru-RU" w:eastAsia="zh-CN"/>
        </w:rPr>
        <w:t xml:space="preserve">адиционных выражений культуры: </w:t>
      </w:r>
      <w:r w:rsidR="001C168B" w:rsidRPr="001C168B">
        <w:rPr>
          <w:rFonts w:ascii="Arial" w:eastAsia="Times New Roman" w:hAnsi="Arial" w:cs="Tahoma"/>
          <w:color w:val="000000"/>
          <w:lang w:val="ru-RU" w:eastAsia="zh-CN"/>
        </w:rPr>
        <w:t>проекты статей Rev. 2»</w:t>
      </w:r>
      <w:r w:rsidR="00D55811">
        <w:rPr>
          <w:rFonts w:ascii="Arial" w:eastAsia="Times New Roman" w:hAnsi="Arial" w:cs="Tahoma"/>
          <w:color w:val="000000"/>
          <w:lang w:val="ru-RU" w:eastAsia="zh-CN"/>
        </w:rPr>
        <w:t xml:space="preserve">.  </w:t>
      </w:r>
      <w:r w:rsidR="001C168B">
        <w:rPr>
          <w:rFonts w:ascii="Arial" w:eastAsia="Times New Roman" w:hAnsi="Arial" w:cs="Tahoma"/>
          <w:color w:val="000000"/>
          <w:lang w:val="ru-RU" w:eastAsia="zh-CN"/>
        </w:rPr>
        <w:t>Комитет постановил, что при закрытии двадцать шестой и двадцать седьмой сессий данные тексты «будут пред</w:t>
      </w:r>
      <w:r w:rsidR="00901ECB">
        <w:rPr>
          <w:rFonts w:ascii="Arial" w:eastAsia="Times New Roman" w:hAnsi="Arial" w:cs="Tahoma"/>
          <w:color w:val="000000"/>
          <w:lang w:val="ru-RU" w:eastAsia="zh-CN"/>
        </w:rPr>
        <w:t xml:space="preserve">ставлены на рассмотрение </w:t>
      </w:r>
      <w:r w:rsidR="001C168B" w:rsidRPr="001C168B">
        <w:rPr>
          <w:rFonts w:ascii="Arial" w:eastAsia="Times New Roman" w:hAnsi="Arial" w:cs="Tahoma"/>
          <w:color w:val="000000"/>
          <w:lang w:val="ru-RU" w:eastAsia="zh-CN"/>
        </w:rPr>
        <w:t>сессии Генеральной Ассамбл</w:t>
      </w:r>
      <w:r w:rsidR="006564A4">
        <w:rPr>
          <w:rFonts w:ascii="Arial" w:eastAsia="Times New Roman" w:hAnsi="Arial" w:cs="Tahoma"/>
          <w:color w:val="000000"/>
          <w:lang w:val="ru-RU" w:eastAsia="zh-CN"/>
        </w:rPr>
        <w:t xml:space="preserve">еи </w:t>
      </w:r>
      <w:r w:rsidR="001C168B" w:rsidRPr="001C168B">
        <w:rPr>
          <w:rFonts w:ascii="Arial" w:eastAsia="Times New Roman" w:hAnsi="Arial" w:cs="Tahoma"/>
          <w:color w:val="000000"/>
          <w:lang w:val="ru-RU" w:eastAsia="zh-CN"/>
        </w:rPr>
        <w:t>ВОИС, которая состоится в сентябре 2014 г., с любыми согласованными поправками или изменениями, внесенными по сквозным вопросам на двадцать восьмой сессии Комитета, которая состоится в июле 2014 г., в соответствии с</w:t>
      </w:r>
      <w:r w:rsidR="00E04522">
        <w:rPr>
          <w:rFonts w:ascii="Arial" w:eastAsia="Times New Roman" w:hAnsi="Arial" w:cs="Tahoma"/>
          <w:color w:val="000000"/>
          <w:lang w:val="ru-RU" w:eastAsia="zh-CN"/>
        </w:rPr>
        <w:t xml:space="preserve"> мандатом Комитета на 2014-2015</w:t>
      </w:r>
      <w:r w:rsidR="00E04522">
        <w:rPr>
          <w:rFonts w:ascii="Arial" w:eastAsia="Times New Roman" w:hAnsi="Arial" w:cs="Tahoma"/>
          <w:color w:val="000000"/>
          <w:lang w:eastAsia="zh-CN"/>
        </w:rPr>
        <w:t> </w:t>
      </w:r>
      <w:r w:rsidR="001C168B" w:rsidRPr="001C168B">
        <w:rPr>
          <w:rFonts w:ascii="Arial" w:eastAsia="Times New Roman" w:hAnsi="Arial" w:cs="Tahoma"/>
          <w:color w:val="000000"/>
          <w:lang w:val="ru-RU" w:eastAsia="zh-CN"/>
        </w:rPr>
        <w:t>гг. и его программой работы на 2014 г., содержащейся в документе</w:t>
      </w:r>
      <w:r w:rsidR="001C168B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704E08" w:rsidRPr="00704E08">
        <w:rPr>
          <w:rFonts w:ascii="Arial" w:eastAsia="Times New Roman" w:hAnsi="Arial" w:cs="Tahoma"/>
          <w:color w:val="000000"/>
          <w:lang w:eastAsia="zh-CN"/>
        </w:rPr>
        <w:t>WO</w:t>
      </w:r>
      <w:r w:rsidR="00704E08" w:rsidRPr="00901ECB">
        <w:rPr>
          <w:rFonts w:ascii="Arial" w:eastAsia="Times New Roman" w:hAnsi="Arial" w:cs="Tahoma"/>
          <w:color w:val="000000"/>
          <w:lang w:val="ru-RU" w:eastAsia="zh-CN"/>
        </w:rPr>
        <w:t>/</w:t>
      </w:r>
      <w:r w:rsidR="00704E08" w:rsidRPr="00704E08">
        <w:rPr>
          <w:rFonts w:ascii="Arial" w:eastAsia="Times New Roman" w:hAnsi="Arial" w:cs="Tahoma"/>
          <w:color w:val="000000"/>
          <w:lang w:eastAsia="zh-CN"/>
        </w:rPr>
        <w:t>GA</w:t>
      </w:r>
      <w:r w:rsidR="00704E08" w:rsidRPr="00901ECB">
        <w:rPr>
          <w:rFonts w:ascii="Arial" w:eastAsia="Times New Roman" w:hAnsi="Arial" w:cs="Tahoma"/>
          <w:color w:val="000000"/>
          <w:lang w:val="ru-RU" w:eastAsia="zh-CN"/>
        </w:rPr>
        <w:t>/43/22</w:t>
      </w:r>
      <w:r w:rsidR="00901ECB">
        <w:rPr>
          <w:rFonts w:ascii="Arial" w:eastAsia="Times New Roman" w:hAnsi="Arial" w:cs="Tahoma"/>
          <w:color w:val="000000"/>
          <w:lang w:val="ru-RU" w:eastAsia="zh-CN"/>
        </w:rPr>
        <w:t>»</w:t>
      </w:r>
      <w:r w:rsidR="00704E08" w:rsidRPr="00901ECB">
        <w:rPr>
          <w:rFonts w:ascii="Arial" w:eastAsia="Times New Roman" w:hAnsi="Arial" w:cs="Tahoma"/>
          <w:color w:val="000000"/>
          <w:lang w:val="ru-RU" w:eastAsia="zh-CN"/>
        </w:rPr>
        <w:t xml:space="preserve">. </w:t>
      </w:r>
    </w:p>
    <w:p w:rsidR="00603BF1" w:rsidRDefault="003070E6" w:rsidP="006564A4">
      <w:pPr>
        <w:spacing w:after="120" w:line="260" w:lineRule="atLeast"/>
        <w:rPr>
          <w:rFonts w:ascii="Arial" w:eastAsia="Times New Roman" w:hAnsi="Arial" w:cs="Tahoma"/>
          <w:color w:val="000000"/>
          <w:lang w:val="ru-RU" w:eastAsia="zh-CN"/>
        </w:rPr>
      </w:pPr>
      <w:r>
        <w:rPr>
          <w:rFonts w:ascii="Arial" w:eastAsia="Times New Roman" w:hAnsi="Arial" w:cs="Tahoma"/>
          <w:color w:val="000000"/>
          <w:lang w:eastAsia="zh-CN"/>
        </w:rPr>
        <w:fldChar w:fldCharType="begin"/>
      </w:r>
      <w:r w:rsidR="006F7B54" w:rsidRPr="00901ECB">
        <w:rPr>
          <w:rFonts w:ascii="Arial" w:eastAsia="Times New Roman" w:hAnsi="Arial" w:cs="Tahoma"/>
          <w:color w:val="000000"/>
          <w:lang w:val="ru-RU" w:eastAsia="zh-CN"/>
        </w:rPr>
        <w:instrText xml:space="preserve"> </w:instrText>
      </w:r>
      <w:r w:rsidR="006F7B54">
        <w:rPr>
          <w:rFonts w:ascii="Arial" w:eastAsia="Times New Roman" w:hAnsi="Arial" w:cs="Tahoma"/>
          <w:color w:val="000000"/>
          <w:lang w:eastAsia="zh-CN"/>
        </w:rPr>
        <w:instrText>AUTONUM</w:instrText>
      </w:r>
      <w:r w:rsidR="006F7B54" w:rsidRPr="00901ECB">
        <w:rPr>
          <w:rFonts w:ascii="Arial" w:eastAsia="Times New Roman" w:hAnsi="Arial" w:cs="Tahoma"/>
          <w:color w:val="000000"/>
          <w:lang w:val="ru-RU" w:eastAsia="zh-CN"/>
        </w:rPr>
        <w:instrText xml:space="preserve">  </w:instrText>
      </w:r>
      <w:r>
        <w:rPr>
          <w:rFonts w:ascii="Arial" w:eastAsia="Times New Roman" w:hAnsi="Arial" w:cs="Tahoma"/>
          <w:color w:val="000000"/>
          <w:lang w:eastAsia="zh-CN"/>
        </w:rPr>
        <w:fldChar w:fldCharType="end"/>
      </w:r>
      <w:r w:rsidR="006F7B54" w:rsidRPr="00901ECB">
        <w:rPr>
          <w:rFonts w:ascii="Arial" w:eastAsia="Times New Roman" w:hAnsi="Arial" w:cs="Tahoma"/>
          <w:color w:val="000000"/>
          <w:lang w:val="ru-RU" w:eastAsia="zh-CN"/>
        </w:rPr>
        <w:tab/>
      </w:r>
      <w:r w:rsidR="00901ECB">
        <w:rPr>
          <w:rFonts w:ascii="Arial" w:eastAsia="Times New Roman" w:hAnsi="Arial" w:cs="Tahoma"/>
          <w:color w:val="000000"/>
          <w:lang w:val="ru-RU" w:eastAsia="zh-CN"/>
        </w:rPr>
        <w:t>Двадцать</w:t>
      </w:r>
      <w:r w:rsidR="00901ECB" w:rsidRPr="00901ECB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901ECB">
        <w:rPr>
          <w:rFonts w:ascii="Arial" w:eastAsia="Times New Roman" w:hAnsi="Arial" w:cs="Tahoma"/>
          <w:color w:val="000000"/>
          <w:lang w:val="ru-RU" w:eastAsia="zh-CN"/>
        </w:rPr>
        <w:t>восьмая сессия МКГР состоится 7 – 9 июля 2014 г</w:t>
      </w:r>
      <w:r w:rsidR="00D55811">
        <w:rPr>
          <w:rFonts w:ascii="Arial" w:eastAsia="Times New Roman" w:hAnsi="Arial" w:cs="Tahoma"/>
          <w:color w:val="000000"/>
          <w:lang w:val="ru-RU" w:eastAsia="zh-CN"/>
        </w:rPr>
        <w:t xml:space="preserve">.  </w:t>
      </w:r>
      <w:r w:rsidR="00901ECB">
        <w:rPr>
          <w:rFonts w:ascii="Arial" w:eastAsia="Times New Roman" w:hAnsi="Arial" w:cs="Tahoma"/>
          <w:color w:val="000000"/>
          <w:lang w:val="ru-RU" w:eastAsia="zh-CN"/>
        </w:rPr>
        <w:t xml:space="preserve">Упомянутые выше тексты </w:t>
      </w:r>
      <w:r w:rsidR="004E7CEC">
        <w:rPr>
          <w:rFonts w:ascii="Arial" w:eastAsia="Times New Roman" w:hAnsi="Arial" w:cs="Tahoma"/>
          <w:color w:val="000000"/>
          <w:lang w:val="ru-RU" w:eastAsia="zh-CN"/>
        </w:rPr>
        <w:t xml:space="preserve">представляются на рассмотрение сессии как документы </w:t>
      </w:r>
      <w:r w:rsidR="004E7CEC">
        <w:rPr>
          <w:rFonts w:ascii="Arial" w:eastAsia="Times New Roman" w:hAnsi="Arial" w:cs="Tahoma"/>
          <w:color w:val="000000"/>
          <w:lang w:eastAsia="zh-CN"/>
        </w:rPr>
        <w:t>WIPO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>/</w:t>
      </w:r>
      <w:r w:rsidR="004E7CEC">
        <w:rPr>
          <w:rFonts w:ascii="Arial" w:eastAsia="Times New Roman" w:hAnsi="Arial" w:cs="Tahoma"/>
          <w:color w:val="000000"/>
          <w:lang w:eastAsia="zh-CN"/>
        </w:rPr>
        <w:t>GRTKF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>/</w:t>
      </w:r>
      <w:r w:rsidR="004E7CEC">
        <w:rPr>
          <w:rFonts w:ascii="Arial" w:eastAsia="Times New Roman" w:hAnsi="Arial" w:cs="Tahoma"/>
          <w:color w:val="000000"/>
          <w:lang w:eastAsia="zh-CN"/>
        </w:rPr>
        <w:t>IC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 xml:space="preserve">/28/4, </w:t>
      </w:r>
      <w:r w:rsidR="004E7CEC" w:rsidRPr="00443511">
        <w:rPr>
          <w:rFonts w:ascii="Arial" w:eastAsia="Times New Roman" w:hAnsi="Arial" w:cs="Tahoma"/>
          <w:color w:val="000000"/>
          <w:lang w:eastAsia="zh-CN"/>
        </w:rPr>
        <w:t>WIPO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>/</w:t>
      </w:r>
      <w:r w:rsidR="004E7CEC" w:rsidRPr="00443511">
        <w:rPr>
          <w:rFonts w:ascii="Arial" w:eastAsia="Times New Roman" w:hAnsi="Arial" w:cs="Tahoma"/>
          <w:color w:val="000000"/>
          <w:lang w:eastAsia="zh-CN"/>
        </w:rPr>
        <w:t>GRTKF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>/</w:t>
      </w:r>
      <w:r w:rsidR="004E7CEC" w:rsidRPr="00443511">
        <w:rPr>
          <w:rFonts w:ascii="Arial" w:eastAsia="Times New Roman" w:hAnsi="Arial" w:cs="Tahoma"/>
          <w:color w:val="000000"/>
          <w:lang w:eastAsia="zh-CN"/>
        </w:rPr>
        <w:t>IC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 xml:space="preserve">/28/5 </w:t>
      </w:r>
      <w:r w:rsidR="004E7CEC">
        <w:rPr>
          <w:rFonts w:ascii="Arial" w:eastAsia="Times New Roman" w:hAnsi="Arial" w:cs="Tahoma"/>
          <w:color w:val="000000"/>
          <w:lang w:val="ru-RU" w:eastAsia="zh-CN"/>
        </w:rPr>
        <w:t>и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4E7CEC" w:rsidRPr="00443511">
        <w:rPr>
          <w:rFonts w:ascii="Arial" w:eastAsia="Times New Roman" w:hAnsi="Arial" w:cs="Tahoma"/>
          <w:color w:val="000000"/>
          <w:lang w:eastAsia="zh-CN"/>
        </w:rPr>
        <w:t>WIPO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>/</w:t>
      </w:r>
      <w:r w:rsidR="004E7CEC" w:rsidRPr="00443511">
        <w:rPr>
          <w:rFonts w:ascii="Arial" w:eastAsia="Times New Roman" w:hAnsi="Arial" w:cs="Tahoma"/>
          <w:color w:val="000000"/>
          <w:lang w:eastAsia="zh-CN"/>
        </w:rPr>
        <w:t>GRTKF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>/</w:t>
      </w:r>
      <w:r w:rsidR="004E7CEC" w:rsidRPr="00443511">
        <w:rPr>
          <w:rFonts w:ascii="Arial" w:eastAsia="Times New Roman" w:hAnsi="Arial" w:cs="Tahoma"/>
          <w:color w:val="000000"/>
          <w:lang w:eastAsia="zh-CN"/>
        </w:rPr>
        <w:t>IC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>/28/6</w:t>
      </w:r>
      <w:r w:rsidR="00E04522" w:rsidRPr="00E04522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E04522">
        <w:rPr>
          <w:rFonts w:ascii="Arial" w:eastAsia="Times New Roman" w:hAnsi="Arial" w:cs="Tahoma"/>
          <w:color w:val="000000"/>
          <w:lang w:val="ru-RU" w:eastAsia="zh-CN"/>
        </w:rPr>
        <w:t>соответственно</w:t>
      </w:r>
      <w:r w:rsidR="00D55811">
        <w:rPr>
          <w:rFonts w:ascii="Arial" w:eastAsia="Times New Roman" w:hAnsi="Arial" w:cs="Tahoma"/>
          <w:color w:val="000000"/>
          <w:lang w:val="ru-RU" w:eastAsia="zh-CN"/>
        </w:rPr>
        <w:t xml:space="preserve">.  </w:t>
      </w:r>
      <w:r w:rsidR="004E7CEC">
        <w:rPr>
          <w:rFonts w:ascii="Arial" w:eastAsia="Times New Roman" w:hAnsi="Arial" w:cs="Tahoma"/>
          <w:color w:val="000000"/>
          <w:lang w:val="ru-RU" w:eastAsia="zh-CN"/>
        </w:rPr>
        <w:t>Согласно программе работы МКГР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4E7CEC">
        <w:rPr>
          <w:rFonts w:ascii="Arial" w:eastAsia="Times New Roman" w:hAnsi="Arial" w:cs="Tahoma"/>
          <w:color w:val="000000"/>
          <w:lang w:val="ru-RU" w:eastAsia="zh-CN"/>
        </w:rPr>
        <w:t>на 2014 г., двадцать</w:t>
      </w:r>
      <w:r w:rsidR="004E7CEC" w:rsidRPr="00901ECB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4E7CEC">
        <w:rPr>
          <w:rFonts w:ascii="Arial" w:eastAsia="Times New Roman" w:hAnsi="Arial" w:cs="Tahoma"/>
          <w:color w:val="000000"/>
          <w:lang w:val="ru-RU" w:eastAsia="zh-CN"/>
        </w:rPr>
        <w:t xml:space="preserve">восьмая сессия МКГР, которая состоится 7 – 9 июля 2014 г., проведет сквозной </w:t>
      </w:r>
      <w:r w:rsidR="004E7CEC" w:rsidRPr="004E7CEC">
        <w:rPr>
          <w:rFonts w:ascii="Arial" w:eastAsia="Times New Roman" w:hAnsi="Arial" w:cs="Tahoma"/>
          <w:color w:val="000000"/>
          <w:lang w:val="ru-RU" w:eastAsia="zh-CN"/>
        </w:rPr>
        <w:t xml:space="preserve">обзор </w:t>
      </w:r>
      <w:r w:rsidR="004E7CEC" w:rsidRPr="00AD2FF3">
        <w:rPr>
          <w:rFonts w:ascii="Arial" w:eastAsia="Times New Roman" w:hAnsi="Arial" w:cs="Tahoma"/>
          <w:color w:val="000000"/>
          <w:lang w:val="ru-RU" w:eastAsia="zh-CN"/>
        </w:rPr>
        <w:t>ГР, ТЗ и ТВК</w:t>
      </w:r>
      <w:r w:rsidR="00D55811">
        <w:rPr>
          <w:rFonts w:ascii="Arial" w:eastAsia="Times New Roman" w:hAnsi="Arial" w:cs="Tahoma"/>
          <w:color w:val="000000"/>
          <w:lang w:val="ru-RU" w:eastAsia="zh-CN"/>
        </w:rPr>
        <w:t xml:space="preserve">.  </w:t>
      </w:r>
      <w:r w:rsidR="004E7CEC">
        <w:rPr>
          <w:rFonts w:ascii="Arial" w:eastAsia="Times New Roman" w:hAnsi="Arial" w:cs="Tahoma"/>
          <w:color w:val="000000"/>
          <w:lang w:val="ru-RU" w:eastAsia="zh-CN"/>
        </w:rPr>
        <w:t>Результатом этого обзора могут стать согласованные корректировки и изменения, которые будут внесены по сквозным вопросам в тексты, подлежащие п</w:t>
      </w:r>
      <w:r w:rsidR="00361A93">
        <w:rPr>
          <w:rFonts w:ascii="Arial" w:eastAsia="Times New Roman" w:hAnsi="Arial" w:cs="Tahoma"/>
          <w:color w:val="000000"/>
          <w:lang w:val="ru-RU" w:eastAsia="zh-CN"/>
        </w:rPr>
        <w:t xml:space="preserve">редставлению </w:t>
      </w:r>
      <w:r w:rsidR="004E7CEC">
        <w:rPr>
          <w:rFonts w:ascii="Arial" w:eastAsia="Times New Roman" w:hAnsi="Arial" w:cs="Tahoma"/>
          <w:color w:val="000000"/>
          <w:lang w:val="ru-RU" w:eastAsia="zh-CN"/>
        </w:rPr>
        <w:t xml:space="preserve">на рассмотрение </w:t>
      </w:r>
      <w:r w:rsidR="006564A4">
        <w:rPr>
          <w:rFonts w:ascii="Arial" w:eastAsia="Times New Roman" w:hAnsi="Arial" w:cs="Tahoma"/>
          <w:color w:val="000000"/>
          <w:lang w:val="ru-RU" w:eastAsia="zh-CN"/>
        </w:rPr>
        <w:t xml:space="preserve">сессии </w:t>
      </w:r>
      <w:r w:rsidR="004E7CEC" w:rsidRPr="001C168B">
        <w:rPr>
          <w:rFonts w:ascii="Arial" w:eastAsia="Times New Roman" w:hAnsi="Arial" w:cs="Tahoma"/>
          <w:color w:val="000000"/>
          <w:lang w:val="ru-RU" w:eastAsia="zh-CN"/>
        </w:rPr>
        <w:t>Генеральной Ассамбле</w:t>
      </w:r>
      <w:r w:rsidR="006564A4">
        <w:rPr>
          <w:rFonts w:ascii="Arial" w:eastAsia="Times New Roman" w:hAnsi="Arial" w:cs="Tahoma"/>
          <w:color w:val="000000"/>
          <w:lang w:val="ru-RU" w:eastAsia="zh-CN"/>
        </w:rPr>
        <w:t>и</w:t>
      </w:r>
      <w:r w:rsidR="004E7CEC" w:rsidRPr="001C168B">
        <w:rPr>
          <w:rFonts w:ascii="Arial" w:eastAsia="Times New Roman" w:hAnsi="Arial" w:cs="Tahoma"/>
          <w:color w:val="000000"/>
          <w:lang w:val="ru-RU" w:eastAsia="zh-CN"/>
        </w:rPr>
        <w:t xml:space="preserve"> ВОИС, которая состоится в сент</w:t>
      </w:r>
      <w:r w:rsidR="004E7CEC">
        <w:rPr>
          <w:rFonts w:ascii="Arial" w:eastAsia="Times New Roman" w:hAnsi="Arial" w:cs="Tahoma"/>
          <w:color w:val="000000"/>
          <w:lang w:val="ru-RU" w:eastAsia="zh-CN"/>
        </w:rPr>
        <w:t>ябре 2014 г</w:t>
      </w:r>
      <w:r w:rsidR="00D55811">
        <w:rPr>
          <w:rFonts w:ascii="Arial" w:eastAsia="Times New Roman" w:hAnsi="Arial" w:cs="Tahoma"/>
          <w:color w:val="000000"/>
          <w:lang w:val="ru-RU" w:eastAsia="zh-CN"/>
        </w:rPr>
        <w:t xml:space="preserve">.  </w:t>
      </w:r>
      <w:r w:rsidR="00361A93">
        <w:rPr>
          <w:rFonts w:ascii="Arial" w:eastAsia="Times New Roman" w:hAnsi="Arial" w:cs="Tahoma"/>
          <w:color w:val="000000"/>
          <w:lang w:val="ru-RU" w:eastAsia="zh-CN"/>
        </w:rPr>
        <w:t xml:space="preserve">Другими словами, тексты, подлежащие представлению на рассмотрение </w:t>
      </w:r>
      <w:r w:rsidR="00361A93" w:rsidRPr="001C168B">
        <w:rPr>
          <w:rFonts w:ascii="Arial" w:eastAsia="Times New Roman" w:hAnsi="Arial" w:cs="Tahoma"/>
          <w:color w:val="000000"/>
          <w:lang w:val="ru-RU" w:eastAsia="zh-CN"/>
        </w:rPr>
        <w:t>Генеральной Ассамбле</w:t>
      </w:r>
      <w:r w:rsidR="006564A4">
        <w:rPr>
          <w:rFonts w:ascii="Arial" w:eastAsia="Times New Roman" w:hAnsi="Arial" w:cs="Tahoma"/>
          <w:color w:val="000000"/>
          <w:lang w:val="ru-RU" w:eastAsia="zh-CN"/>
        </w:rPr>
        <w:t>и</w:t>
      </w:r>
      <w:r w:rsidR="00361A93">
        <w:rPr>
          <w:rFonts w:ascii="Arial" w:eastAsia="Times New Roman" w:hAnsi="Arial" w:cs="Tahoma"/>
          <w:color w:val="000000"/>
          <w:lang w:val="ru-RU" w:eastAsia="zh-CN"/>
        </w:rPr>
        <w:t xml:space="preserve"> – это либо тексты, уже </w:t>
      </w:r>
      <w:r w:rsidR="006564A4">
        <w:rPr>
          <w:rFonts w:ascii="Arial" w:eastAsia="Times New Roman" w:hAnsi="Arial" w:cs="Tahoma"/>
          <w:color w:val="000000"/>
          <w:lang w:val="ru-RU" w:eastAsia="zh-CN"/>
        </w:rPr>
        <w:t xml:space="preserve">переданные на рассмотрение </w:t>
      </w:r>
      <w:r w:rsidR="006564A4" w:rsidRPr="001C168B">
        <w:rPr>
          <w:rFonts w:ascii="Arial" w:eastAsia="Times New Roman" w:hAnsi="Arial" w:cs="Tahoma"/>
          <w:color w:val="000000"/>
          <w:lang w:val="ru-RU" w:eastAsia="zh-CN"/>
        </w:rPr>
        <w:t>двадцать восьмой сессии</w:t>
      </w:r>
      <w:r w:rsidR="006564A4" w:rsidRPr="006564A4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6564A4">
        <w:rPr>
          <w:rFonts w:ascii="Arial" w:eastAsia="Times New Roman" w:hAnsi="Arial" w:cs="Tahoma"/>
          <w:color w:val="000000"/>
          <w:lang w:val="ru-RU" w:eastAsia="zh-CN"/>
        </w:rPr>
        <w:t xml:space="preserve">МКГР, либо новые версии одного или нескольких из этих текстов, которые будут исправлены на основе сквозного обзора на </w:t>
      </w:r>
      <w:r w:rsidR="006564A4" w:rsidRPr="001C168B">
        <w:rPr>
          <w:rFonts w:ascii="Arial" w:eastAsia="Times New Roman" w:hAnsi="Arial" w:cs="Tahoma"/>
          <w:color w:val="000000"/>
          <w:lang w:val="ru-RU" w:eastAsia="zh-CN"/>
        </w:rPr>
        <w:t>двадцать восьмой сессии</w:t>
      </w:r>
      <w:r w:rsidR="006564A4" w:rsidRPr="006564A4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6564A4">
        <w:rPr>
          <w:rFonts w:ascii="Arial" w:eastAsia="Times New Roman" w:hAnsi="Arial" w:cs="Tahoma"/>
          <w:color w:val="000000"/>
          <w:lang w:val="ru-RU" w:eastAsia="zh-CN"/>
        </w:rPr>
        <w:t>МКГР</w:t>
      </w:r>
      <w:r w:rsidR="00993523" w:rsidRPr="00D35ED2">
        <w:rPr>
          <w:rFonts w:ascii="Arial" w:eastAsia="Times New Roman" w:hAnsi="Arial" w:cs="Tahoma"/>
          <w:color w:val="000000"/>
          <w:lang w:val="ru-RU" w:eastAsia="zh-CN"/>
        </w:rPr>
        <w:t xml:space="preserve">. </w:t>
      </w:r>
    </w:p>
    <w:p w:rsidR="00603BF1" w:rsidRDefault="003070E6" w:rsidP="00D3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401"/>
        </w:tabs>
        <w:spacing w:after="120" w:line="260" w:lineRule="atLeast"/>
        <w:rPr>
          <w:rFonts w:ascii="Arial" w:eastAsia="Times New Roman" w:hAnsi="Arial" w:cs="Tahoma"/>
          <w:color w:val="000000"/>
          <w:lang w:val="ru-RU" w:eastAsia="zh-CN"/>
        </w:rPr>
      </w:pPr>
      <w:r w:rsidRPr="006F7B54">
        <w:rPr>
          <w:rFonts w:ascii="Arial" w:eastAsia="Times New Roman" w:hAnsi="Arial" w:cs="Tahoma"/>
          <w:color w:val="000000"/>
          <w:lang w:eastAsia="zh-CN"/>
        </w:rPr>
        <w:fldChar w:fldCharType="begin"/>
      </w:r>
      <w:r w:rsidR="006F7B54" w:rsidRPr="00D35ED2">
        <w:rPr>
          <w:rFonts w:ascii="Arial" w:eastAsia="Times New Roman" w:hAnsi="Arial" w:cs="Tahoma"/>
          <w:color w:val="000000"/>
          <w:lang w:val="ru-RU" w:eastAsia="zh-CN"/>
        </w:rPr>
        <w:instrText xml:space="preserve"> </w:instrText>
      </w:r>
      <w:r w:rsidR="006F7B54" w:rsidRPr="006F7B54">
        <w:rPr>
          <w:rFonts w:ascii="Arial" w:eastAsia="Times New Roman" w:hAnsi="Arial" w:cs="Tahoma"/>
          <w:color w:val="000000"/>
          <w:lang w:eastAsia="zh-CN"/>
        </w:rPr>
        <w:instrText>AUTONUM</w:instrText>
      </w:r>
      <w:r w:rsidR="006F7B54" w:rsidRPr="00D35ED2">
        <w:rPr>
          <w:rFonts w:ascii="Arial" w:eastAsia="Times New Roman" w:hAnsi="Arial" w:cs="Tahoma"/>
          <w:color w:val="000000"/>
          <w:lang w:val="ru-RU" w:eastAsia="zh-CN"/>
        </w:rPr>
        <w:instrText xml:space="preserve">  </w:instrText>
      </w:r>
      <w:r w:rsidRPr="006F7B54">
        <w:rPr>
          <w:rFonts w:ascii="Arial" w:eastAsia="Times New Roman" w:hAnsi="Arial" w:cs="Tahoma"/>
          <w:color w:val="000000"/>
          <w:lang w:eastAsia="zh-CN"/>
        </w:rPr>
        <w:fldChar w:fldCharType="end"/>
      </w:r>
      <w:r w:rsidR="006F7B54" w:rsidRPr="00D35ED2">
        <w:rPr>
          <w:rFonts w:ascii="Arial" w:eastAsia="Times New Roman" w:hAnsi="Arial" w:cs="Tahoma"/>
          <w:color w:val="000000"/>
          <w:lang w:val="ru-RU" w:eastAsia="zh-CN"/>
        </w:rPr>
        <w:tab/>
      </w:r>
      <w:r w:rsidR="00D35ED2">
        <w:rPr>
          <w:rFonts w:ascii="Arial" w:eastAsia="Times New Roman" w:hAnsi="Arial" w:cs="Tahoma"/>
          <w:color w:val="000000"/>
          <w:lang w:val="ru-RU" w:eastAsia="zh-CN"/>
        </w:rPr>
        <w:t xml:space="preserve">В порядке подготовки к </w:t>
      </w:r>
      <w:r w:rsidR="00D35ED2" w:rsidRPr="001C168B">
        <w:rPr>
          <w:rFonts w:ascii="Arial" w:eastAsia="Times New Roman" w:hAnsi="Arial" w:cs="Tahoma"/>
          <w:color w:val="000000"/>
          <w:lang w:val="ru-RU" w:eastAsia="zh-CN"/>
        </w:rPr>
        <w:t>двадцать восьмой сессии</w:t>
      </w:r>
      <w:r w:rsidR="00D35ED2" w:rsidRPr="006564A4">
        <w:rPr>
          <w:rFonts w:ascii="Arial" w:eastAsia="Times New Roman" w:hAnsi="Arial" w:cs="Tahoma"/>
          <w:color w:val="000000"/>
          <w:lang w:val="ru-RU" w:eastAsia="zh-CN"/>
        </w:rPr>
        <w:t xml:space="preserve"> </w:t>
      </w:r>
      <w:r w:rsidR="00D35ED2">
        <w:rPr>
          <w:rFonts w:ascii="Arial" w:eastAsia="Times New Roman" w:hAnsi="Arial" w:cs="Tahoma"/>
          <w:color w:val="000000"/>
          <w:lang w:val="ru-RU" w:eastAsia="zh-CN"/>
        </w:rPr>
        <w:t xml:space="preserve">МКГР в прилагаемой таблице были отражены </w:t>
      </w:r>
      <w:r w:rsidR="00D35ED2" w:rsidRPr="00D35ED2">
        <w:rPr>
          <w:rFonts w:ascii="Arial" w:eastAsia="Times New Roman" w:hAnsi="Arial" w:cs="Tahoma"/>
          <w:color w:val="000000"/>
          <w:lang w:val="ru-RU" w:eastAsia="zh-CN"/>
        </w:rPr>
        <w:t>мнения Председателя относительно некоторых из возможных сквозных вопросов</w:t>
      </w:r>
      <w:r w:rsidR="00D35ED2">
        <w:rPr>
          <w:rFonts w:ascii="Arial" w:eastAsia="Times New Roman" w:hAnsi="Arial" w:cs="Tahoma"/>
          <w:color w:val="000000"/>
          <w:lang w:val="ru-RU" w:eastAsia="zh-CN"/>
        </w:rPr>
        <w:t>, которые могут быть рассмотрены в данном контексте</w:t>
      </w:r>
      <w:r w:rsidR="00D55811">
        <w:rPr>
          <w:rFonts w:ascii="Arial" w:eastAsia="Times New Roman" w:hAnsi="Arial" w:cs="Tahoma"/>
          <w:color w:val="000000"/>
          <w:lang w:val="ru-RU" w:eastAsia="zh-CN"/>
        </w:rPr>
        <w:t xml:space="preserve">.  </w:t>
      </w:r>
      <w:r w:rsidR="00D35ED2">
        <w:rPr>
          <w:rFonts w:ascii="Arial" w:eastAsia="Times New Roman" w:hAnsi="Arial" w:cs="Tahoma"/>
          <w:color w:val="000000"/>
          <w:lang w:val="ru-RU" w:eastAsia="zh-CN"/>
        </w:rPr>
        <w:t xml:space="preserve">Эти мнения </w:t>
      </w:r>
      <w:r w:rsidR="00D35ED2" w:rsidRPr="00D35ED2">
        <w:rPr>
          <w:rFonts w:ascii="Arial" w:eastAsia="Times New Roman" w:hAnsi="Arial" w:cs="Tahoma"/>
          <w:color w:val="000000"/>
          <w:lang w:val="ru-RU" w:eastAsia="zh-CN"/>
        </w:rPr>
        <w:t>являются лишь отправной точкой</w:t>
      </w:r>
      <w:r w:rsidR="00D35ED2">
        <w:rPr>
          <w:rFonts w:ascii="Arial" w:eastAsia="Times New Roman" w:hAnsi="Arial" w:cs="Tahoma"/>
          <w:color w:val="000000"/>
          <w:lang w:val="ru-RU" w:eastAsia="zh-CN"/>
        </w:rPr>
        <w:t>, и Комитет может определить другие такие сквозные вопросы</w:t>
      </w:r>
      <w:r w:rsidR="00E74346" w:rsidRPr="00D35ED2">
        <w:rPr>
          <w:rFonts w:ascii="Arial" w:eastAsia="Times New Roman" w:hAnsi="Arial" w:cs="Tahoma"/>
          <w:color w:val="000000"/>
          <w:lang w:val="ru-RU" w:eastAsia="zh-CN"/>
        </w:rPr>
        <w:t xml:space="preserve">. </w:t>
      </w:r>
    </w:p>
    <w:p w:rsidR="00603BF1" w:rsidRDefault="00603BF1" w:rsidP="006F7B54">
      <w:pPr>
        <w:spacing w:after="120" w:line="260" w:lineRule="atLeast"/>
        <w:rPr>
          <w:rFonts w:ascii="Arial" w:eastAsia="Times New Roman" w:hAnsi="Arial" w:cs="Tahoma"/>
          <w:color w:val="000000"/>
          <w:lang w:val="ru-RU" w:eastAsia="zh-CN"/>
        </w:rPr>
      </w:pPr>
    </w:p>
    <w:p w:rsidR="001D6395" w:rsidRDefault="001D6395" w:rsidP="006F7B54">
      <w:pPr>
        <w:spacing w:after="120" w:line="260" w:lineRule="atLeast"/>
        <w:rPr>
          <w:rFonts w:ascii="Arial" w:eastAsia="Times New Roman" w:hAnsi="Arial" w:cs="Tahoma"/>
          <w:color w:val="000000"/>
          <w:lang w:val="ru-RU" w:eastAsia="zh-CN"/>
        </w:rPr>
        <w:sectPr w:rsidR="001D6395" w:rsidSect="001D6395">
          <w:footerReference w:type="default" r:id="rId9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603BF1" w:rsidRDefault="00603BF1" w:rsidP="006F7B54">
      <w:pPr>
        <w:spacing w:after="120" w:line="260" w:lineRule="atLeast"/>
        <w:rPr>
          <w:rFonts w:ascii="Arial" w:eastAsia="Times New Roman" w:hAnsi="Arial" w:cs="Tahoma"/>
          <w:color w:val="000000"/>
          <w:lang w:val="ru-RU" w:eastAsia="zh-CN"/>
        </w:rPr>
      </w:pPr>
    </w:p>
    <w:p w:rsidR="00603BF1" w:rsidRDefault="00D35ED2" w:rsidP="008E3CF0">
      <w:pPr>
        <w:spacing w:after="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ТАБЛИЦА</w:t>
      </w:r>
      <w:r w:rsidRPr="00D35ED2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ВОЗМОЖНЫХ</w:t>
      </w:r>
      <w:r w:rsidRPr="00D35ED2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СКВОЗНЫХ</w:t>
      </w:r>
      <w:r w:rsidRPr="00D35ED2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ВОПРОСОВ</w:t>
      </w:r>
      <w:r w:rsidR="00C2320B" w:rsidRPr="00D35ED2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 xml:space="preserve">ДЛЯ РАССМОТРЕНИЯ НА </w:t>
      </w:r>
      <w:r w:rsidRPr="00D35ED2">
        <w:rPr>
          <w:rFonts w:ascii="Arial" w:eastAsia="Times New Roman" w:hAnsi="Arial" w:cs="Tahoma"/>
          <w:b/>
          <w:color w:val="000000"/>
          <w:lang w:val="ru-RU" w:eastAsia="zh-CN"/>
        </w:rPr>
        <w:t>ДВАДЦАТЬ ВОСЬМОЙ СЕССИИ МКГР</w:t>
      </w:r>
      <w:r w:rsidRPr="00D35ED2">
        <w:rPr>
          <w:rFonts w:ascii="Arial" w:hAnsi="Arial" w:cs="Arial"/>
          <w:b/>
          <w:lang w:val="ru-RU"/>
        </w:rPr>
        <w:t xml:space="preserve"> </w:t>
      </w:r>
    </w:p>
    <w:p w:rsidR="00C2320B" w:rsidRPr="00D35ED2" w:rsidRDefault="00C2320B" w:rsidP="00C2320B">
      <w:pPr>
        <w:spacing w:after="0"/>
        <w:jc w:val="center"/>
        <w:rPr>
          <w:rFonts w:ascii="Arial" w:hAnsi="Arial" w:cs="Arial"/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75"/>
        <w:gridCol w:w="1879"/>
        <w:gridCol w:w="1880"/>
        <w:gridCol w:w="1880"/>
        <w:gridCol w:w="7961"/>
      </w:tblGrid>
      <w:tr w:rsidR="00146D28" w:rsidRPr="00C2320B" w:rsidTr="001D6395">
        <w:trPr>
          <w:tblHeader/>
        </w:trPr>
        <w:tc>
          <w:tcPr>
            <w:tcW w:w="20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146D28" w:rsidRPr="00E82F75" w:rsidRDefault="00E82F75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E82F75" w:rsidRDefault="00E82F75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Вопрос 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BF1" w:rsidRDefault="00E82F75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Тематика</w:t>
            </w:r>
          </w:p>
          <w:p w:rsidR="00146D28" w:rsidRPr="00146D28" w:rsidRDefault="00146D28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</w:tcPr>
          <w:p w:rsidR="00603BF1" w:rsidRDefault="00603BF1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BF1" w:rsidRDefault="00E82F75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Положения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603BF1" w:rsidRDefault="00E82F75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статьи </w:t>
            </w:r>
          </w:p>
          <w:p w:rsidR="00146D28" w:rsidRPr="00146D28" w:rsidRDefault="00146D28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E82F75" w:rsidRDefault="00E82F75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Комментарий </w:t>
            </w: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E82F75" w:rsidRDefault="00752E0A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Политические цели 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BF1" w:rsidRDefault="00F055E0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ТЗ</w:t>
            </w:r>
            <w:r w:rsidR="00146D28" w:rsidRPr="00064AF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ТВК</w:t>
            </w:r>
            <w:r w:rsidR="00146D28" w:rsidRPr="00064AF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ГР 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6D28" w:rsidRPr="00C2320B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</w:tcPr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E82F75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Преамбула</w:t>
            </w:r>
            <w:r w:rsidR="00146D28" w:rsidRPr="00064AF0">
              <w:rPr>
                <w:rFonts w:ascii="Arial" w:hAnsi="Arial" w:cs="Arial"/>
                <w:i/>
                <w:sz w:val="20"/>
                <w:szCs w:val="20"/>
              </w:rPr>
              <w:t>/</w:t>
            </w:r>
          </w:p>
          <w:p w:rsidR="00603BF1" w:rsidRDefault="00E82F75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Введение</w:t>
            </w:r>
            <w:r w:rsidR="00146D28" w:rsidRPr="00064AF0">
              <w:rPr>
                <w:rFonts w:ascii="Arial" w:hAnsi="Arial" w:cs="Arial"/>
                <w:i/>
                <w:sz w:val="20"/>
                <w:szCs w:val="20"/>
              </w:rPr>
              <w:t>/</w:t>
            </w:r>
          </w:p>
          <w:p w:rsidR="00603BF1" w:rsidRDefault="00E82F75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Принципы</w:t>
            </w:r>
            <w:r w:rsidR="00146D28" w:rsidRPr="00064AF0">
              <w:rPr>
                <w:rFonts w:ascii="Arial" w:hAnsi="Arial" w:cs="Arial"/>
                <w:i/>
                <w:sz w:val="20"/>
                <w:szCs w:val="20"/>
              </w:rPr>
              <w:t>/</w:t>
            </w:r>
          </w:p>
          <w:p w:rsidR="00603BF1" w:rsidRDefault="00E82F75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Цели</w:t>
            </w:r>
          </w:p>
          <w:p w:rsidR="00146D28" w:rsidRPr="00C2320B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E82F75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МКГР может рассмотреть вопрос о том, какие из </w:t>
            </w:r>
            <w:r w:rsidR="008F6BD3">
              <w:rPr>
                <w:rFonts w:ascii="Arial" w:hAnsi="Arial" w:cs="Arial"/>
                <w:sz w:val="20"/>
                <w:szCs w:val="20"/>
                <w:lang w:val="ru-RU"/>
              </w:rPr>
              <w:t xml:space="preserve">концепций, представленных в 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«Целях», «Принципах», «Введении» или «Преамбуле» </w:t>
            </w:r>
            <w:r w:rsidR="008F6BD3">
              <w:rPr>
                <w:rFonts w:ascii="Arial" w:hAnsi="Arial" w:cs="Arial"/>
                <w:sz w:val="20"/>
                <w:szCs w:val="20"/>
                <w:lang w:val="ru-RU"/>
              </w:rPr>
              <w:t xml:space="preserve">трех текстов, </w:t>
            </w:r>
            <w:r w:rsidR="00E04522">
              <w:rPr>
                <w:rFonts w:ascii="Arial" w:hAnsi="Arial" w:cs="Arial"/>
                <w:sz w:val="20"/>
                <w:szCs w:val="20"/>
                <w:lang w:val="ru-RU"/>
              </w:rPr>
              <w:t xml:space="preserve">в наибольшей степени напрямую </w:t>
            </w:r>
            <w:r w:rsidR="008F6BD3">
              <w:rPr>
                <w:rFonts w:ascii="Arial" w:hAnsi="Arial" w:cs="Arial"/>
                <w:sz w:val="20"/>
                <w:szCs w:val="20"/>
                <w:lang w:val="ru-RU"/>
              </w:rPr>
              <w:t>связаны с ИС, так как мандат МКГР</w:t>
            </w:r>
            <w:r w:rsidR="00F055E0">
              <w:rPr>
                <w:rFonts w:ascii="Arial" w:hAnsi="Arial" w:cs="Arial"/>
                <w:sz w:val="20"/>
                <w:szCs w:val="20"/>
                <w:lang w:val="ru-RU"/>
              </w:rPr>
              <w:t xml:space="preserve"> заключается в определении соответствующей(их) </w:t>
            </w:r>
            <w:r w:rsidR="00F055E0" w:rsidRPr="00F055E0">
              <w:rPr>
                <w:rFonts w:ascii="Arial" w:hAnsi="Arial" w:cs="Arial"/>
                <w:sz w:val="20"/>
                <w:szCs w:val="20"/>
                <w:lang w:val="ru-RU"/>
              </w:rPr>
              <w:t>имеющей</w:t>
            </w:r>
            <w:r w:rsidR="00F055E0">
              <w:rPr>
                <w:rFonts w:ascii="Arial" w:hAnsi="Arial" w:cs="Arial"/>
                <w:sz w:val="20"/>
                <w:szCs w:val="20"/>
                <w:lang w:val="ru-RU"/>
              </w:rPr>
              <w:t>(их)</w:t>
            </w:r>
            <w:r w:rsidR="00F055E0" w:rsidRPr="00F055E0">
              <w:rPr>
                <w:rFonts w:ascii="Arial" w:hAnsi="Arial" w:cs="Arial"/>
                <w:sz w:val="20"/>
                <w:szCs w:val="20"/>
                <w:lang w:val="ru-RU"/>
              </w:rPr>
              <w:t xml:space="preserve"> отношение к ИС договоренности</w:t>
            </w:r>
            <w:r w:rsidR="00F055E0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="00F055E0" w:rsidRPr="00F055E0">
              <w:rPr>
                <w:rFonts w:ascii="Arial" w:hAnsi="Arial" w:cs="Arial"/>
                <w:sz w:val="20"/>
                <w:szCs w:val="20"/>
                <w:lang w:val="ru-RU"/>
              </w:rPr>
              <w:t>ей</w:t>
            </w:r>
            <w:r w:rsidR="00F055E0">
              <w:rPr>
                <w:rFonts w:ascii="Arial" w:hAnsi="Arial" w:cs="Arial"/>
                <w:sz w:val="20"/>
                <w:szCs w:val="20"/>
                <w:lang w:val="ru-RU"/>
              </w:rPr>
              <w:t xml:space="preserve">) для </w:t>
            </w:r>
            <w:r w:rsidR="00F055E0" w:rsidRPr="00F055E0">
              <w:rPr>
                <w:rFonts w:ascii="Arial" w:hAnsi="Arial" w:cs="Arial"/>
                <w:sz w:val="20"/>
                <w:szCs w:val="20"/>
                <w:lang w:val="ru-RU"/>
              </w:rPr>
              <w:t>охраны ТВК и ТЗ на международном уровне, в ВОИС</w:t>
            </w:r>
            <w:r w:rsidR="00146D28" w:rsidRPr="00F055E0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603BF1" w:rsidRDefault="0092687B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2687B">
              <w:rPr>
                <w:rFonts w:ascii="Arial" w:hAnsi="Arial" w:cs="Arial"/>
                <w:b/>
                <w:sz w:val="20"/>
                <w:szCs w:val="20"/>
                <w:lang w:val="ru-RU"/>
              </w:rPr>
              <w:t>Цель данной части текстов состоит в том, чтобы кратко определить основополагающую концепцию, на которой будут строиться оперативные положения и которая будет задавать четкую направленность текстов.</w:t>
            </w:r>
          </w:p>
          <w:p w:rsidR="00603BF1" w:rsidRP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7C10ED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C10ED">
              <w:rPr>
                <w:rFonts w:ascii="Arial" w:hAnsi="Arial" w:cs="Arial"/>
                <w:sz w:val="20"/>
                <w:szCs w:val="20"/>
                <w:lang w:val="ru-RU"/>
              </w:rPr>
              <w:t>Таким образом, МКГР мо</w:t>
            </w:r>
            <w:r w:rsidR="00365B5E">
              <w:rPr>
                <w:rFonts w:ascii="Arial" w:hAnsi="Arial" w:cs="Arial"/>
                <w:sz w:val="20"/>
                <w:szCs w:val="20"/>
                <w:lang w:val="ru-RU"/>
              </w:rPr>
              <w:t xml:space="preserve">жет </w:t>
            </w:r>
            <w:r w:rsidRPr="007C10ED">
              <w:rPr>
                <w:rFonts w:ascii="Arial" w:hAnsi="Arial" w:cs="Arial"/>
                <w:sz w:val="20"/>
                <w:szCs w:val="20"/>
                <w:lang w:val="ru-RU"/>
              </w:rPr>
              <w:t>рассмотреть во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прос о </w:t>
            </w:r>
            <w:r w:rsidRPr="007C10ED">
              <w:rPr>
                <w:rFonts w:ascii="Arial" w:hAnsi="Arial" w:cs="Arial"/>
                <w:sz w:val="20"/>
                <w:szCs w:val="20"/>
                <w:lang w:val="ru-RU"/>
              </w:rPr>
              <w:t xml:space="preserve">рационализации и реорганизации текстов, </w:t>
            </w:r>
            <w:r w:rsidRPr="007D13E0">
              <w:rPr>
                <w:rFonts w:ascii="Arial" w:hAnsi="Arial" w:cs="Arial"/>
                <w:b/>
                <w:sz w:val="20"/>
                <w:szCs w:val="20"/>
                <w:lang w:val="ru-RU"/>
              </w:rPr>
              <w:t>с тем чтобы избежать включения избыточной или несущественной информации и сосредоточить внимание на общих и кратко сформулированных принципах и целях и</w:t>
            </w:r>
            <w:r w:rsidR="00365B5E">
              <w:rPr>
                <w:rFonts w:ascii="Arial" w:hAnsi="Arial" w:cs="Arial"/>
                <w:b/>
                <w:sz w:val="20"/>
                <w:szCs w:val="20"/>
                <w:lang w:val="ru-RU"/>
              </w:rPr>
              <w:t>нструмента, имеющих отношение к </w:t>
            </w:r>
            <w:r w:rsidRPr="007D13E0">
              <w:rPr>
                <w:rFonts w:ascii="Arial" w:hAnsi="Arial" w:cs="Arial"/>
                <w:b/>
                <w:sz w:val="20"/>
                <w:szCs w:val="20"/>
                <w:lang w:val="ru-RU"/>
              </w:rPr>
              <w:t>ИС</w:t>
            </w:r>
            <w:r w:rsidR="00D55811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.  </w:t>
            </w:r>
            <w:r w:rsidRPr="007C10ED">
              <w:rPr>
                <w:rFonts w:ascii="Arial" w:hAnsi="Arial" w:cs="Arial"/>
                <w:sz w:val="20"/>
                <w:szCs w:val="20"/>
                <w:lang w:val="ru-RU"/>
              </w:rPr>
              <w:t xml:space="preserve">Например, в тексте по ТВК некоторые формулировки приводятся как </w:t>
            </w:r>
            <w:r w:rsidR="00365B5E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7D13E0" w:rsidRPr="007C10ED">
              <w:rPr>
                <w:rFonts w:ascii="Arial" w:hAnsi="Arial" w:cs="Arial"/>
                <w:sz w:val="20"/>
                <w:szCs w:val="20"/>
                <w:lang w:val="ru-RU"/>
              </w:rPr>
              <w:t>Преамбуле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Pr="007C10ED">
              <w:rPr>
                <w:rFonts w:ascii="Arial" w:hAnsi="Arial" w:cs="Arial"/>
                <w:sz w:val="20"/>
                <w:szCs w:val="20"/>
                <w:lang w:val="ru-RU"/>
              </w:rPr>
              <w:t xml:space="preserve">, так и </w:t>
            </w:r>
            <w:r w:rsidR="00365B5E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7D13E0" w:rsidRPr="007C10ED">
              <w:rPr>
                <w:rFonts w:ascii="Arial" w:hAnsi="Arial" w:cs="Arial"/>
                <w:sz w:val="20"/>
                <w:szCs w:val="20"/>
                <w:lang w:val="ru-RU"/>
              </w:rPr>
              <w:t>Принципах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Pr="007C10ED">
              <w:rPr>
                <w:rFonts w:ascii="Arial" w:hAnsi="Arial" w:cs="Arial"/>
                <w:sz w:val="20"/>
                <w:szCs w:val="20"/>
                <w:lang w:val="ru-RU"/>
              </w:rPr>
              <w:t>Возможно, МКГР мог бы определить, в какую часть текста следует включ</w:t>
            </w:r>
            <w:r w:rsidR="00365B5E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7C10ED">
              <w:rPr>
                <w:rFonts w:ascii="Arial" w:hAnsi="Arial" w:cs="Arial"/>
                <w:sz w:val="20"/>
                <w:szCs w:val="20"/>
                <w:lang w:val="ru-RU"/>
              </w:rPr>
              <w:t>ть соответствующие формулировки, чтобы избежать повторов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066A53" w:rsidRPr="00066A53">
              <w:rPr>
                <w:rFonts w:ascii="Arial" w:hAnsi="Arial" w:cs="Arial"/>
                <w:sz w:val="20"/>
                <w:szCs w:val="20"/>
                <w:lang w:val="ru-RU"/>
              </w:rPr>
              <w:t xml:space="preserve">Это может привести к составлению простых, недвусмысленных и действенных текстов, что может </w:t>
            </w:r>
            <w:r w:rsidR="00365B5E">
              <w:rPr>
                <w:rFonts w:ascii="Arial" w:hAnsi="Arial" w:cs="Arial"/>
                <w:sz w:val="20"/>
                <w:szCs w:val="20"/>
                <w:lang w:val="ru-RU"/>
              </w:rPr>
              <w:t xml:space="preserve">обеспечить </w:t>
            </w:r>
            <w:r w:rsidR="00066A53" w:rsidRPr="00066A53">
              <w:rPr>
                <w:rFonts w:ascii="Arial" w:hAnsi="Arial" w:cs="Arial"/>
                <w:sz w:val="20"/>
                <w:szCs w:val="20"/>
                <w:lang w:val="ru-RU"/>
              </w:rPr>
              <w:t>ясность и облегчить дальнейш</w:t>
            </w:r>
            <w:r w:rsidR="00365B5E">
              <w:rPr>
                <w:rFonts w:ascii="Arial" w:hAnsi="Arial" w:cs="Arial"/>
                <w:sz w:val="20"/>
                <w:szCs w:val="20"/>
                <w:lang w:val="ru-RU"/>
              </w:rPr>
              <w:t>ий прогресс</w:t>
            </w:r>
            <w:r w:rsidR="00066A53" w:rsidRPr="00066A53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7D13E0" w:rsidRPr="00603BF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P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365B5E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66A53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широком</w:t>
            </w:r>
            <w:r w:rsidRPr="00066A53">
              <w:rPr>
                <w:rFonts w:ascii="Arial" w:hAnsi="Arial" w:cs="Arial"/>
                <w:sz w:val="20"/>
                <w:szCs w:val="20"/>
                <w:lang w:val="ru-RU"/>
              </w:rPr>
              <w:t xml:space="preserve"> плане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="00066A53" w:rsidRPr="00066A53">
              <w:rPr>
                <w:rFonts w:ascii="Arial" w:hAnsi="Arial" w:cs="Arial"/>
                <w:sz w:val="20"/>
                <w:szCs w:val="20"/>
                <w:lang w:val="ru-RU"/>
              </w:rPr>
              <w:t xml:space="preserve">римерами целей, которые сосредоточены на вопросах ИС, 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могут служить </w:t>
            </w:r>
            <w:r w:rsidR="00066A53" w:rsidRPr="00066A53">
              <w:rPr>
                <w:rFonts w:ascii="Arial" w:hAnsi="Arial" w:cs="Arial"/>
                <w:sz w:val="20"/>
                <w:szCs w:val="20"/>
                <w:lang w:val="ru-RU"/>
              </w:rPr>
              <w:t>предотвращение незаконного присвоения и неправомерного использования, содействие новаторству и творчеству и предотвращение ненадлежащего или ошибочного предоставления прав ИС.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603BF1" w:rsidRDefault="00066A53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66A53">
              <w:rPr>
                <w:rFonts w:ascii="Arial" w:hAnsi="Arial" w:cs="Arial"/>
                <w:sz w:val="20"/>
                <w:szCs w:val="20"/>
                <w:lang w:val="ru-RU"/>
              </w:rPr>
              <w:t>Кроме того, необходимо провести различие между оперативными положениями и целями, а также обеспечить прямую связь между целями охраны и оперативными/существенными положениями.</w:t>
            </w:r>
          </w:p>
          <w:p w:rsidR="00603BF1" w:rsidRP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A02EBD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02EBD">
              <w:rPr>
                <w:rFonts w:ascii="Arial" w:hAnsi="Arial" w:cs="Arial"/>
                <w:sz w:val="20"/>
                <w:szCs w:val="20"/>
                <w:lang w:val="ru-RU"/>
              </w:rPr>
              <w:t>Наконец, что касается некоторых концепций, которые, возможно, могли бы быть более четко сформулированы на национальном уровне, то МКГР следует рассмотреть во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прос о том, что </w:t>
            </w:r>
            <w:r w:rsidRPr="00A02EBD">
              <w:rPr>
                <w:rFonts w:ascii="Arial" w:hAnsi="Arial" w:cs="Arial"/>
                <w:sz w:val="20"/>
                <w:szCs w:val="20"/>
                <w:lang w:val="ru-RU"/>
              </w:rPr>
              <w:t xml:space="preserve">в международном инструменте будет определяться 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только </w:t>
            </w:r>
            <w:r w:rsidRPr="00A02EBD">
              <w:rPr>
                <w:rFonts w:ascii="Arial" w:hAnsi="Arial" w:cs="Arial"/>
                <w:sz w:val="20"/>
                <w:szCs w:val="20"/>
                <w:lang w:val="ru-RU"/>
              </w:rPr>
              <w:t>основа политики, а разработка более подробных положений будет передана на национальный уровень.</w:t>
            </w:r>
            <w:r w:rsidR="00146D28" w:rsidRP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146D28" w:rsidRPr="007D13E0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BF1" w:rsidRDefault="00A02EBD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EBD">
              <w:rPr>
                <w:rFonts w:ascii="Arial" w:hAnsi="Arial" w:cs="Arial"/>
                <w:b/>
                <w:sz w:val="20"/>
                <w:szCs w:val="20"/>
                <w:lang w:val="ru-RU"/>
              </w:rPr>
              <w:t>Определения/</w:t>
            </w:r>
          </w:p>
          <w:p w:rsidR="00603BF1" w:rsidRDefault="00A02EBD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EBD">
              <w:rPr>
                <w:rFonts w:ascii="Arial" w:hAnsi="Arial" w:cs="Arial"/>
                <w:b/>
                <w:sz w:val="20"/>
                <w:szCs w:val="20"/>
                <w:lang w:val="ru-RU"/>
              </w:rPr>
              <w:t>использование терминов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03BF1" w:rsidRDefault="00A02EBD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A02EBD">
              <w:rPr>
                <w:rFonts w:ascii="Arial" w:hAnsi="Arial" w:cs="Arial"/>
                <w:b/>
                <w:sz w:val="20"/>
                <w:szCs w:val="20"/>
                <w:lang w:val="ru-RU"/>
              </w:rPr>
              <w:t>ТЗ/ТВК/ГР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46D28" w:rsidRPr="00C2320B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</w:tcPr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A02EB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02EBD">
              <w:rPr>
                <w:rFonts w:ascii="Arial" w:hAnsi="Arial" w:cs="Arial"/>
                <w:i/>
                <w:sz w:val="20"/>
                <w:szCs w:val="20"/>
                <w:lang w:val="ru-RU"/>
              </w:rPr>
              <w:t>Принципы/</w:t>
            </w: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Цели/</w:t>
            </w: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Преамбула</w:t>
            </w: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и использование терминов, приводимых в текстах по ТЗ и ТВК</w:t>
            </w: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 3.3 текста по ТЗ</w:t>
            </w: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 3.3 и статья 3.2 варианта 2 текста по ТВК</w:t>
            </w: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 4.1 (d) текста по ГР</w:t>
            </w: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E41F04" w:rsidRDefault="00E41F04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Использование терминов</w:t>
            </w: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4F58EF">
              <w:rPr>
                <w:rFonts w:ascii="Arial" w:hAnsi="Arial" w:cs="Arial"/>
                <w:i/>
                <w:sz w:val="20"/>
                <w:szCs w:val="20"/>
                <w:lang w:val="ru-RU"/>
              </w:rPr>
              <w:t>Список терминов ГР</w:t>
            </w: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Использование терминов и </w:t>
            </w: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Статья 1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Список </w:t>
            </w: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lastRenderedPageBreak/>
              <w:t>терминов ГР</w:t>
            </w: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603BF1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Использование терминов ТЗ</w:t>
            </w:r>
          </w:p>
          <w:p w:rsidR="00603BF1" w:rsidRPr="00AD1B09" w:rsidRDefault="00BB4C8F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>Использование терминов ТВК</w:t>
            </w:r>
          </w:p>
          <w:p w:rsidR="00146D28" w:rsidRPr="00AD1B09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P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603BF1" w:rsidRDefault="00BB4C8F" w:rsidP="00812B3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BB4C8F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Общественное достояние</w:t>
            </w:r>
          </w:p>
          <w:p w:rsidR="00603BF1" w:rsidRP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E54113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>На двадцать седьмой сессии МКГР в тексты по ТЗ и ТВК бы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>ло введено определение термина «</w:t>
            </w: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>общественное достояние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 xml:space="preserve">Данная основополагающая концепция является неотъемлемой частью </w:t>
            </w:r>
            <w:r w:rsidR="00365B5E">
              <w:rPr>
                <w:rFonts w:ascii="Arial" w:hAnsi="Arial" w:cs="Arial"/>
                <w:sz w:val="20"/>
                <w:szCs w:val="20"/>
                <w:lang w:val="ru-RU"/>
              </w:rPr>
              <w:t xml:space="preserve">баланса </w:t>
            </w: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>систем</w:t>
            </w:r>
            <w:r w:rsidR="00365B5E">
              <w:rPr>
                <w:rFonts w:ascii="Arial" w:hAnsi="Arial" w:cs="Arial"/>
                <w:sz w:val="20"/>
                <w:szCs w:val="20"/>
                <w:lang w:val="ru-RU"/>
              </w:rPr>
              <w:t>ы</w:t>
            </w: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 xml:space="preserve"> ИС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>Исключительные права уравновешены интересами пользователей и широкой общественности с целью развивать, стимулировать и вознаграждать инновации и творчество.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E54113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>Некоторые доказывают, что общественно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 xml:space="preserve"> достояние крайне важно для генерирования дальнейшего творчества и что без богатого и активного общественного достояния творчество может задохнуться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Следовательно, </w:t>
            </w:r>
            <w:r w:rsidR="00A829AD">
              <w:rPr>
                <w:rFonts w:ascii="Arial" w:hAnsi="Arial" w:cs="Arial"/>
                <w:sz w:val="20"/>
                <w:szCs w:val="20"/>
                <w:lang w:val="ru-RU"/>
              </w:rPr>
              <w:t>объемы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 охраны </w:t>
            </w: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 xml:space="preserve">ТЗ и ТВК </w:t>
            </w:r>
            <w:r w:rsid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должны быть </w:t>
            </w: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 xml:space="preserve">ограничены, 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 xml:space="preserve">с тем чтобы их охрана </w:t>
            </w:r>
            <w:r w:rsidRPr="00E54113">
              <w:rPr>
                <w:rFonts w:ascii="Arial" w:hAnsi="Arial" w:cs="Arial"/>
                <w:sz w:val="20"/>
                <w:szCs w:val="20"/>
                <w:lang w:val="ru-RU"/>
              </w:rPr>
              <w:t>не слишком посягала на общественное достояние и не подрывала его.</w:t>
            </w:r>
            <w:r w:rsidR="00146D28" w:rsidRP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2E069B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E069B">
              <w:rPr>
                <w:rFonts w:ascii="Arial" w:hAnsi="Arial" w:cs="Arial"/>
                <w:sz w:val="20"/>
                <w:szCs w:val="20"/>
                <w:lang w:val="ru-RU"/>
              </w:rPr>
              <w:t xml:space="preserve">С другой стороны, некоторые утверждают, что 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>задачи охраны ТЗ/ТВК перевешиваю</w:t>
            </w:r>
            <w:r w:rsidRPr="002E069B">
              <w:rPr>
                <w:rFonts w:ascii="Arial" w:hAnsi="Arial" w:cs="Arial"/>
                <w:sz w:val="20"/>
                <w:szCs w:val="20"/>
                <w:lang w:val="ru-RU"/>
              </w:rPr>
              <w:t xml:space="preserve">т обеспокоенность 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 xml:space="preserve">в отношении </w:t>
            </w:r>
            <w:r w:rsidRPr="002E069B">
              <w:rPr>
                <w:rFonts w:ascii="Arial" w:hAnsi="Arial" w:cs="Arial"/>
                <w:sz w:val="20"/>
                <w:szCs w:val="20"/>
                <w:lang w:val="ru-RU"/>
              </w:rPr>
              <w:t>общественного достояния и что надежная охрана от незаконного присвоения и неправомерного использования существенно важна.</w:t>
            </w:r>
            <w:r w:rsidR="00146D28" w:rsidRPr="00995A3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603BF1" w:rsidRDefault="00995A39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 определении «</w:t>
            </w:r>
            <w:r w:rsidR="00B33B92" w:rsidRPr="00B33B92">
              <w:rPr>
                <w:rFonts w:ascii="Arial" w:hAnsi="Arial" w:cs="Arial"/>
                <w:sz w:val="20"/>
                <w:szCs w:val="20"/>
                <w:lang w:val="ru-RU"/>
              </w:rPr>
              <w:t>общественного достояния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B33B92" w:rsidRPr="00B33B92">
              <w:rPr>
                <w:rFonts w:ascii="Arial" w:hAnsi="Arial" w:cs="Arial"/>
                <w:sz w:val="20"/>
                <w:szCs w:val="20"/>
                <w:lang w:val="ru-RU"/>
              </w:rPr>
              <w:t xml:space="preserve"> в тексте по ТВК </w:t>
            </w:r>
            <w:r w:rsid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упоминаются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B33B92" w:rsidRPr="00B33B92">
              <w:rPr>
                <w:rFonts w:ascii="Arial" w:hAnsi="Arial" w:cs="Arial"/>
                <w:sz w:val="20"/>
                <w:szCs w:val="20"/>
                <w:lang w:val="ru-RU"/>
              </w:rPr>
              <w:t>материальные и нематериальные ценности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B33B92" w:rsidRPr="00B33B92">
              <w:rPr>
                <w:rFonts w:ascii="Arial" w:hAnsi="Arial" w:cs="Arial"/>
                <w:sz w:val="20"/>
                <w:szCs w:val="20"/>
                <w:lang w:val="ru-RU"/>
              </w:rPr>
              <w:t xml:space="preserve">, в то время как </w:t>
            </w:r>
            <w:r w:rsid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в </w:t>
            </w:r>
            <w:r w:rsidR="00B33B92" w:rsidRPr="00B33B92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 w:rsidR="00BA10B9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B33B92" w:rsidRPr="00B33B92">
              <w:rPr>
                <w:rFonts w:ascii="Arial" w:hAnsi="Arial" w:cs="Arial"/>
                <w:sz w:val="20"/>
                <w:szCs w:val="20"/>
                <w:lang w:val="ru-RU"/>
              </w:rPr>
              <w:t xml:space="preserve"> по ТЗ </w:t>
            </w:r>
            <w:r w:rsid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упоминаются </w:t>
            </w:r>
            <w:r w:rsidR="00B33B92" w:rsidRPr="00B33B92">
              <w:rPr>
                <w:rFonts w:ascii="Arial" w:hAnsi="Arial" w:cs="Arial"/>
                <w:sz w:val="20"/>
                <w:szCs w:val="20"/>
                <w:lang w:val="ru-RU"/>
              </w:rPr>
              <w:t>только нематериальные ценности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B33B92" w:rsidRPr="00B33B92">
              <w:rPr>
                <w:rFonts w:ascii="Arial" w:hAnsi="Arial" w:cs="Arial"/>
                <w:sz w:val="20"/>
                <w:szCs w:val="20"/>
                <w:lang w:val="ru-RU"/>
              </w:rPr>
              <w:t>МКГР мог бы рассмотреть вопрос о согласовании двух текстов.</w:t>
            </w:r>
            <w:r w:rsidR="00146D28" w:rsidRPr="00603BF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P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B33B9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33B92">
              <w:rPr>
                <w:rFonts w:ascii="Arial" w:hAnsi="Arial" w:cs="Arial"/>
                <w:sz w:val="20"/>
                <w:szCs w:val="20"/>
                <w:lang w:val="ru-RU"/>
              </w:rPr>
              <w:t xml:space="preserve">Эта концепция связана 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>с пониманием смежных концепций «</w:t>
            </w:r>
            <w:r w:rsidRPr="00B33B92">
              <w:rPr>
                <w:rFonts w:ascii="Arial" w:hAnsi="Arial" w:cs="Arial"/>
                <w:sz w:val="20"/>
                <w:szCs w:val="20"/>
                <w:lang w:val="ru-RU"/>
              </w:rPr>
              <w:t xml:space="preserve">публичной </w:t>
            </w:r>
            <w:r w:rsidR="00995A39" w:rsidRPr="00B33B92">
              <w:rPr>
                <w:rFonts w:ascii="Arial" w:hAnsi="Arial" w:cs="Arial"/>
                <w:sz w:val="20"/>
                <w:szCs w:val="20"/>
                <w:lang w:val="ru-RU"/>
              </w:rPr>
              <w:t>доступности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>» и «</w:t>
            </w:r>
            <w:r w:rsidRPr="00B33B92">
              <w:rPr>
                <w:rFonts w:ascii="Arial" w:hAnsi="Arial" w:cs="Arial"/>
                <w:sz w:val="20"/>
                <w:szCs w:val="20"/>
                <w:lang w:val="ru-RU"/>
              </w:rPr>
              <w:t>известного уровня техники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Pr="00B33B92">
              <w:rPr>
                <w:rFonts w:ascii="Arial" w:hAnsi="Arial" w:cs="Arial"/>
                <w:sz w:val="20"/>
                <w:szCs w:val="20"/>
                <w:lang w:val="ru-RU"/>
              </w:rPr>
              <w:t xml:space="preserve">, о чем идет речь, в частности, в </w:t>
            </w:r>
            <w:r w:rsidRPr="00B33B92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документе WIPO/GRTKF/IC/17/INF/8 (Записка о значении термина «общественное достояние» в системе интеллектуальной собственности со специальной ссылкой на охрану традиционных знаний и традиционных выражений культуры/выражений фольклора).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7D13E0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МКГР мог бы рассмотреть вопрос о том, насколько 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>актуально определение «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публичной </w:t>
            </w:r>
            <w:r w:rsidR="00995A39" w:rsidRPr="007D13E0">
              <w:rPr>
                <w:rFonts w:ascii="Arial" w:hAnsi="Arial" w:cs="Arial"/>
                <w:sz w:val="20"/>
                <w:szCs w:val="20"/>
                <w:lang w:val="ru-RU"/>
              </w:rPr>
              <w:t>доступности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 в контексте ТВК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>Следует отметить, что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 xml:space="preserve"> в определении этого термина в «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>Использовании терминов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>ссылку на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>традиционны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 xml:space="preserve">е 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>знани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>я</w:t>
            </w:r>
            <w:r w:rsid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» 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 xml:space="preserve">следует заменить 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 xml:space="preserve">ссылкой на 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 xml:space="preserve">традиционные выражения 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>культуры</w:t>
            </w:r>
            <w:r w:rsidR="00995A39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Pr="007D13E0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146D28" w:rsidRPr="00995A3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4F58EF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F58E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предлагается</w:t>
            </w:r>
            <w:r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более</w:t>
            </w:r>
            <w:r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внимательно</w:t>
            </w:r>
            <w:r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рассмотреть</w:t>
            </w:r>
            <w:r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данные</w:t>
            </w:r>
            <w:r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концепции</w:t>
            </w:r>
            <w:r w:rsidR="00146D28"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так как это непосредственно связано с </w:t>
            </w:r>
            <w:r w:rsidR="00596E89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596E89" w:rsidRPr="00596E89">
              <w:rPr>
                <w:rFonts w:ascii="Arial" w:hAnsi="Arial" w:cs="Arial"/>
                <w:sz w:val="20"/>
                <w:szCs w:val="20"/>
                <w:lang w:val="ru-RU"/>
              </w:rPr>
              <w:t>многоуровнев</w:t>
            </w:r>
            <w:r w:rsidR="00596E89">
              <w:rPr>
                <w:rFonts w:ascii="Arial" w:hAnsi="Arial" w:cs="Arial"/>
                <w:sz w:val="20"/>
                <w:szCs w:val="20"/>
                <w:lang w:val="ru-RU"/>
              </w:rPr>
              <w:t xml:space="preserve">ым </w:t>
            </w:r>
            <w:r w:rsidR="00596E89" w:rsidRPr="00596E89">
              <w:rPr>
                <w:rFonts w:ascii="Arial" w:hAnsi="Arial" w:cs="Arial"/>
                <w:sz w:val="20"/>
                <w:szCs w:val="20"/>
                <w:lang w:val="ru-RU"/>
              </w:rPr>
              <w:t>подход</w:t>
            </w:r>
            <w:r w:rsidR="00596E89">
              <w:rPr>
                <w:rFonts w:ascii="Arial" w:hAnsi="Arial" w:cs="Arial"/>
                <w:sz w:val="20"/>
                <w:szCs w:val="20"/>
                <w:lang w:val="ru-RU"/>
              </w:rPr>
              <w:t xml:space="preserve">ом», разработанным в статье </w:t>
            </w:r>
            <w:r w:rsidR="00146D28"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3 </w:t>
            </w:r>
            <w:r w:rsidR="00596E89"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текстов по </w:t>
            </w:r>
            <w:r w:rsidR="00596E89" w:rsidRPr="00596E89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96E89">
              <w:rPr>
                <w:rFonts w:ascii="Arial" w:hAnsi="Arial" w:cs="Arial"/>
                <w:sz w:val="20"/>
                <w:szCs w:val="20"/>
                <w:lang w:val="ru-RU"/>
              </w:rPr>
              <w:t xml:space="preserve">и </w:t>
            </w:r>
            <w:r w:rsidR="00596E89" w:rsidRPr="00596E89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146D28"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="00596E89">
              <w:rPr>
                <w:rFonts w:ascii="Arial" w:hAnsi="Arial" w:cs="Arial"/>
                <w:sz w:val="20"/>
                <w:szCs w:val="20"/>
                <w:lang w:val="ru-RU"/>
              </w:rPr>
              <w:t xml:space="preserve">см. ниже обсуждение </w:t>
            </w:r>
            <w:r w:rsidR="00794349">
              <w:rPr>
                <w:rFonts w:ascii="Arial" w:hAnsi="Arial" w:cs="Arial"/>
                <w:sz w:val="20"/>
                <w:szCs w:val="20"/>
                <w:lang w:val="ru-RU"/>
              </w:rPr>
              <w:t>по «Объему охраны»</w:t>
            </w:r>
            <w:r w:rsidR="00146D28" w:rsidRPr="004F58EF">
              <w:rPr>
                <w:rFonts w:ascii="Arial" w:hAnsi="Arial" w:cs="Arial"/>
                <w:sz w:val="20"/>
                <w:szCs w:val="20"/>
                <w:lang w:val="ru-RU"/>
              </w:rPr>
              <w:t xml:space="preserve">).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1971FA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Несмотря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то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что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концепция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«общественного достояния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DE74E4"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важна для понимания взаимосвязей между ИС, </w:t>
            </w:r>
            <w:r w:rsidR="00596E89" w:rsidRPr="001971FA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="00794349" w:rsidRPr="001971FA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DE74E4"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 для разработки сбалансированной системы охраны 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подобной системе охраны ИС, от </w:t>
            </w:r>
            <w:r w:rsidR="004F58EF" w:rsidRPr="001971FA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DE74E4"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требуется определение 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>этого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термина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практике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определение</w:t>
            </w:r>
            <w:r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«общественного достояния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F502A0"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представляет собой трудную задачу с важными и широкими последствиями для политики, которые выходят за рамки круга ведения </w:t>
            </w:r>
            <w:r w:rsidR="004F58EF" w:rsidRPr="001971FA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F502A0" w:rsidRPr="001971FA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BA10B9" w:rsidP="00812B3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BA10B9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Незаконное присвоение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BA10B9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Во всех трех текстах упоминается 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>концепция</w:t>
            </w:r>
            <w:r w:rsidR="00146D28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«незаконного присвоения»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Тексты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96E89" w:rsidRPr="00BA10B9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>ГР</w:t>
            </w:r>
            <w:r w:rsidR="00146D28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содержат предлагаемые определения незаконного присвоения в разделах «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>Использование терминов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»/«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>Список терминов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то время как в </w:t>
            </w:r>
            <w:r w:rsidR="00A829AD" w:rsidRPr="00BA10B9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A829AD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по ТВК</w:t>
            </w:r>
            <w:r w:rsidR="00146D28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22CC5">
              <w:rPr>
                <w:rFonts w:ascii="Arial" w:hAnsi="Arial" w:cs="Arial"/>
                <w:sz w:val="20"/>
                <w:szCs w:val="20"/>
                <w:lang w:val="ru-RU"/>
              </w:rPr>
              <w:t>такого определения нет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4F58EF" w:rsidRPr="00F22CC5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F22CC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22CC5" w:rsidRPr="00F22CC5">
              <w:rPr>
                <w:rFonts w:ascii="Arial" w:hAnsi="Arial" w:cs="Arial"/>
                <w:sz w:val="20"/>
                <w:szCs w:val="20"/>
                <w:lang w:val="ru-RU"/>
              </w:rPr>
              <w:t>мог бы рассмотреть возможность</w:t>
            </w:r>
            <w:r w:rsidR="00146D28" w:rsidRPr="00F22CC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22CC5">
              <w:rPr>
                <w:rFonts w:ascii="Arial" w:hAnsi="Arial" w:cs="Arial"/>
                <w:sz w:val="20"/>
                <w:szCs w:val="20"/>
                <w:lang w:val="ru-RU"/>
              </w:rPr>
              <w:t xml:space="preserve">выработки надлежащего </w:t>
            </w:r>
            <w:r w:rsidR="00F22CC5" w:rsidRPr="00F22CC5">
              <w:rPr>
                <w:rFonts w:ascii="Arial" w:hAnsi="Arial" w:cs="Arial"/>
                <w:sz w:val="20"/>
                <w:szCs w:val="20"/>
                <w:lang w:val="ru-RU"/>
              </w:rPr>
              <w:t>определени</w:t>
            </w:r>
            <w:r w:rsidR="00F22CC5">
              <w:rPr>
                <w:rFonts w:ascii="Arial" w:hAnsi="Arial" w:cs="Arial"/>
                <w:sz w:val="20"/>
                <w:szCs w:val="20"/>
                <w:lang w:val="ru-RU"/>
              </w:rPr>
              <w:t xml:space="preserve">я </w:t>
            </w:r>
            <w:r w:rsidR="00F22CC5" w:rsidRPr="00F22CC5">
              <w:rPr>
                <w:rFonts w:ascii="Arial" w:hAnsi="Arial" w:cs="Arial"/>
                <w:sz w:val="20"/>
                <w:szCs w:val="20"/>
                <w:lang w:val="ru-RU"/>
              </w:rPr>
              <w:t>незаконного присвоения</w:t>
            </w:r>
            <w:r w:rsidR="00146D28" w:rsidRPr="00F22CC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22CC5">
              <w:rPr>
                <w:rFonts w:ascii="Arial" w:hAnsi="Arial" w:cs="Arial"/>
                <w:sz w:val="20"/>
                <w:szCs w:val="20"/>
                <w:lang w:val="ru-RU"/>
              </w:rPr>
              <w:t xml:space="preserve">в контексте </w:t>
            </w:r>
            <w:r w:rsidR="00794349" w:rsidRPr="00F22CC5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146D28" w:rsidRPr="00F22CC5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22CC5">
              <w:rPr>
                <w:rFonts w:ascii="Arial" w:hAnsi="Arial" w:cs="Arial"/>
                <w:sz w:val="20"/>
                <w:szCs w:val="20"/>
                <w:lang w:val="ru-RU"/>
              </w:rPr>
              <w:t>в разделе «</w:t>
            </w:r>
            <w:r w:rsidR="00F22CC5" w:rsidRPr="00BA10B9">
              <w:rPr>
                <w:rFonts w:ascii="Arial" w:hAnsi="Arial" w:cs="Arial"/>
                <w:sz w:val="20"/>
                <w:szCs w:val="20"/>
                <w:lang w:val="ru-RU"/>
              </w:rPr>
              <w:t>Использование терминов</w:t>
            </w:r>
            <w:r w:rsidR="00F22CC5">
              <w:rPr>
                <w:rFonts w:ascii="Arial" w:hAnsi="Arial" w:cs="Arial"/>
                <w:sz w:val="20"/>
                <w:szCs w:val="20"/>
                <w:lang w:val="ru-RU"/>
              </w:rPr>
              <w:t xml:space="preserve">» в тексте </w:t>
            </w:r>
            <w:r w:rsidR="00A829AD" w:rsidRPr="00F22CC5">
              <w:rPr>
                <w:rFonts w:ascii="Arial" w:hAnsi="Arial" w:cs="Arial"/>
                <w:sz w:val="20"/>
                <w:szCs w:val="20"/>
                <w:lang w:val="ru-RU"/>
              </w:rPr>
              <w:t>по ТВК</w:t>
            </w:r>
            <w:r w:rsidR="00146D28" w:rsidRPr="00F22CC5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687FB8" w:rsidP="00812B3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 w:rsidRPr="00687FB8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Соответствующие традиционные знания</w:t>
            </w:r>
            <w:r w:rsidR="00146D28" w:rsidRPr="00687FB8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/</w:t>
            </w:r>
            <w:r w:rsidRPr="00687FB8">
              <w:rPr>
                <w:lang w:val="ru-RU"/>
              </w:rPr>
              <w:t xml:space="preserve"> </w:t>
            </w:r>
            <w:r w:rsidRPr="00687FB8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Традиционные знания, связанные с генетическими ресурсами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687FB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687FB8">
              <w:rPr>
                <w:rFonts w:ascii="Arial" w:hAnsi="Arial" w:cs="Arial"/>
                <w:sz w:val="20"/>
                <w:szCs w:val="20"/>
                <w:lang w:val="ru-RU"/>
              </w:rPr>
              <w:t>ГР</w:t>
            </w:r>
            <w:r w:rsidR="00146D28"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содержит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определения</w:t>
            </w:r>
            <w:r w:rsidR="00146D28"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>«соответствующи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традиционных 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>знани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й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» </w:t>
            </w:r>
            <w:r w:rsidR="00BA10B9" w:rsidRPr="00687FB8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>«традиционны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знаний, связанных 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>с генетическими ресурсами»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екст </w:t>
            </w:r>
            <w:r w:rsidR="00A829AD" w:rsidRPr="00687FB8">
              <w:rPr>
                <w:rFonts w:ascii="Arial" w:hAnsi="Arial" w:cs="Arial"/>
                <w:sz w:val="20"/>
                <w:szCs w:val="20"/>
                <w:lang w:val="ru-RU"/>
              </w:rPr>
              <w:t>по ТЗ</w:t>
            </w:r>
            <w:r w:rsidR="00146D28"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содержит в разделе «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>Использование терминов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» </w:t>
            </w:r>
            <w:r w:rsidR="00F22CC5" w:rsidRPr="00687FB8">
              <w:rPr>
                <w:rFonts w:ascii="Arial" w:hAnsi="Arial" w:cs="Arial"/>
                <w:sz w:val="20"/>
                <w:szCs w:val="20"/>
                <w:lang w:val="ru-RU"/>
              </w:rPr>
              <w:t>определение</w:t>
            </w:r>
            <w:r w:rsidR="00146D28"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>«традиционны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знаний», а также 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>в статье 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дополнительные элементы, привязанные к этому определению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Для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обеспечения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последовательности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ясности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F58EF" w:rsidRPr="00687FB8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предлагается изучить 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>определения</w:t>
            </w:r>
            <w:r w:rsidR="00146D28"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>традиционны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знаний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обоих текстах и сформулировать общее </w:t>
            </w:r>
            <w:r w:rsidR="00F22CC5" w:rsidRPr="00687FB8">
              <w:rPr>
                <w:rFonts w:ascii="Arial" w:hAnsi="Arial" w:cs="Arial"/>
                <w:sz w:val="20"/>
                <w:szCs w:val="20"/>
                <w:lang w:val="ru-RU"/>
              </w:rPr>
              <w:t>определение</w:t>
            </w:r>
            <w:r w:rsidR="00146D28"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87FB8">
              <w:rPr>
                <w:rFonts w:ascii="Arial" w:hAnsi="Arial" w:cs="Arial"/>
                <w:sz w:val="20"/>
                <w:szCs w:val="20"/>
                <w:lang w:val="ru-RU"/>
              </w:rPr>
              <w:t>традиционных знаний</w:t>
            </w:r>
            <w:r w:rsidR="00146D28" w:rsidRPr="00687FB8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890FC3" w:rsidP="00812B3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Использование</w:t>
            </w:r>
            <w:r w:rsidR="00146D28" w:rsidRPr="00890FC3"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ru-RU"/>
              </w:rPr>
              <w:t>применение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890FC3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тексте по </w:t>
            </w:r>
            <w:r w:rsidR="00BA10B9" w:rsidRPr="00890FC3">
              <w:rPr>
                <w:rFonts w:ascii="Arial" w:hAnsi="Arial" w:cs="Arial"/>
                <w:sz w:val="20"/>
                <w:szCs w:val="20"/>
                <w:lang w:val="ru-RU"/>
              </w:rPr>
              <w:t>ГР</w:t>
            </w:r>
            <w:r w:rsidR="00146D28"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содержится определение использования, в то время как в тексте </w:t>
            </w:r>
            <w:r w:rsidR="00A829AD" w:rsidRPr="00890FC3">
              <w:rPr>
                <w:rFonts w:ascii="Arial" w:hAnsi="Arial" w:cs="Arial"/>
                <w:sz w:val="20"/>
                <w:szCs w:val="20"/>
                <w:lang w:val="ru-RU"/>
              </w:rPr>
              <w:t>по ТЗ</w:t>
            </w:r>
            <w:r w:rsidR="00146D28"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– использования/применения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  <w:r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екст </w:t>
            </w:r>
            <w:r w:rsidR="00A829AD" w:rsidRPr="00890FC3">
              <w:rPr>
                <w:rFonts w:ascii="Arial" w:hAnsi="Arial" w:cs="Arial"/>
                <w:sz w:val="20"/>
                <w:szCs w:val="20"/>
                <w:lang w:val="ru-RU"/>
              </w:rPr>
              <w:t>по ТВК</w:t>
            </w:r>
            <w:r w:rsidR="00146D28"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включает</w:t>
            </w:r>
            <w:r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два</w:t>
            </w:r>
            <w:r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разных</w:t>
            </w:r>
            <w:r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687FB8" w:rsidRPr="00890FC3">
              <w:rPr>
                <w:rFonts w:ascii="Arial" w:hAnsi="Arial" w:cs="Arial"/>
                <w:sz w:val="20"/>
                <w:szCs w:val="20"/>
                <w:lang w:val="ru-RU"/>
              </w:rPr>
              <w:t>определения</w:t>
            </w:r>
            <w:r w:rsidR="00146D28"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термина</w:t>
            </w:r>
            <w:r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использование</w:t>
            </w:r>
            <w:r w:rsidRPr="00890FC3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146D28" w:rsidRPr="00890FC3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одно в разделе «</w:t>
            </w:r>
            <w:r w:rsidRPr="00BA10B9">
              <w:rPr>
                <w:rFonts w:ascii="Arial" w:hAnsi="Arial" w:cs="Arial"/>
                <w:sz w:val="20"/>
                <w:szCs w:val="20"/>
                <w:lang w:val="ru-RU"/>
              </w:rPr>
              <w:t>Использование терминов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» </w:t>
            </w:r>
            <w:r w:rsidR="00146D28" w:rsidRPr="00890FC3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="000711A4" w:rsidRPr="000711A4">
              <w:rPr>
                <w:rFonts w:ascii="Arial" w:hAnsi="Arial" w:cs="Arial"/>
                <w:sz w:val="20"/>
                <w:szCs w:val="20"/>
                <w:lang w:val="ru-RU"/>
              </w:rPr>
              <w:t>использование/применение</w:t>
            </w:r>
            <w:r w:rsidR="000711A4">
              <w:rPr>
                <w:rFonts w:ascii="Arial" w:hAnsi="Arial" w:cs="Arial"/>
                <w:sz w:val="20"/>
                <w:szCs w:val="20"/>
                <w:lang w:val="ru-RU"/>
              </w:rPr>
              <w:t xml:space="preserve">), а другое – в сноске </w:t>
            </w:r>
            <w:r w:rsidR="00146D28" w:rsidRPr="00890FC3">
              <w:rPr>
                <w:rFonts w:ascii="Arial" w:hAnsi="Arial" w:cs="Arial"/>
                <w:sz w:val="20"/>
                <w:szCs w:val="20"/>
                <w:lang w:val="ru-RU"/>
              </w:rPr>
              <w:t>5 (</w:t>
            </w:r>
            <w:r w:rsidR="000711A4" w:rsidRPr="000711A4">
              <w:rPr>
                <w:rFonts w:ascii="Arial" w:hAnsi="Arial" w:cs="Arial"/>
                <w:sz w:val="20"/>
                <w:szCs w:val="20"/>
                <w:lang w:val="ru-RU"/>
              </w:rPr>
              <w:t>использование</w:t>
            </w:r>
            <w:r w:rsidR="00146D28" w:rsidRPr="00890FC3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Default="000711A4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="00F22CC5" w:rsidRPr="000711A4">
              <w:rPr>
                <w:rFonts w:ascii="Arial" w:hAnsi="Arial" w:cs="Arial"/>
                <w:sz w:val="20"/>
                <w:szCs w:val="20"/>
                <w:lang w:val="ru-RU"/>
              </w:rPr>
              <w:t>пределение</w:t>
            </w:r>
            <w:r w:rsidR="00146D28" w:rsidRPr="000711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применения в тексте по </w:t>
            </w:r>
            <w:r w:rsidR="00BA10B9" w:rsidRPr="000711A4">
              <w:rPr>
                <w:rFonts w:ascii="Arial" w:hAnsi="Arial" w:cs="Arial"/>
                <w:sz w:val="20"/>
                <w:szCs w:val="20"/>
                <w:lang w:val="ru-RU"/>
              </w:rPr>
              <w:t>ГР</w:t>
            </w:r>
            <w:r w:rsidR="00146D28" w:rsidRPr="000711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достаточно сильно отличается от </w:t>
            </w:r>
            <w:r w:rsidR="00687FB8" w:rsidRPr="000711A4">
              <w:rPr>
                <w:rFonts w:ascii="Arial" w:hAnsi="Arial" w:cs="Arial"/>
                <w:sz w:val="20"/>
                <w:szCs w:val="20"/>
                <w:lang w:val="ru-RU"/>
              </w:rPr>
              <w:t>определения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, приводимого в </w:t>
            </w:r>
            <w:r w:rsidRPr="000711A4">
              <w:rPr>
                <w:rFonts w:ascii="Arial" w:hAnsi="Arial" w:cs="Arial"/>
                <w:sz w:val="20"/>
                <w:szCs w:val="20"/>
                <w:lang w:val="ru-RU"/>
              </w:rPr>
              <w:t>разделе «Использование терминов»</w:t>
            </w:r>
            <w:r w:rsidR="00146D28" w:rsidRPr="000711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41F04">
              <w:rPr>
                <w:rFonts w:ascii="Arial" w:hAnsi="Arial" w:cs="Arial"/>
                <w:sz w:val="20"/>
                <w:szCs w:val="20"/>
                <w:lang w:val="ru-RU"/>
              </w:rPr>
              <w:t xml:space="preserve">в текстах по </w:t>
            </w:r>
            <w:r w:rsidR="00596E89" w:rsidRPr="000711A4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0711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0711A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0711A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Default="00F8232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Определения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использования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применения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приводимые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данном разделе в других текстах, имеют некоторые общие элементы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Однако </w:t>
            </w:r>
            <w:r w:rsidR="00F22CC5" w:rsidRPr="00F82321">
              <w:rPr>
                <w:rFonts w:ascii="Arial" w:hAnsi="Arial" w:cs="Arial"/>
                <w:sz w:val="20"/>
                <w:szCs w:val="20"/>
                <w:lang w:val="ru-RU"/>
              </w:rPr>
              <w:t>определение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711A4" w:rsidRPr="00F82321">
              <w:rPr>
                <w:rFonts w:ascii="Arial" w:hAnsi="Arial" w:cs="Arial"/>
                <w:sz w:val="20"/>
                <w:szCs w:val="20"/>
                <w:lang w:val="ru-RU"/>
              </w:rPr>
              <w:t>в разделе «Использование терминов»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829AD" w:rsidRPr="00F82321">
              <w:rPr>
                <w:rFonts w:ascii="Arial" w:hAnsi="Arial" w:cs="Arial"/>
                <w:sz w:val="20"/>
                <w:szCs w:val="20"/>
                <w:lang w:val="ru-RU"/>
              </w:rPr>
              <w:t>текста по ТВК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было заимствовано из </w:t>
            </w:r>
            <w:r w:rsidR="00A829AD" w:rsidRPr="00F82321">
              <w:rPr>
                <w:rFonts w:ascii="Arial" w:hAnsi="Arial" w:cs="Arial"/>
                <w:sz w:val="20"/>
                <w:szCs w:val="20"/>
                <w:lang w:val="ru-RU"/>
              </w:rPr>
              <w:t>текста по ТЗ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F82321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как представляется, не ясно, применимо ли в действительности это </w:t>
            </w:r>
            <w:r w:rsidR="00F22CC5" w:rsidRPr="00F82321">
              <w:rPr>
                <w:rFonts w:ascii="Arial" w:hAnsi="Arial" w:cs="Arial"/>
                <w:sz w:val="20"/>
                <w:szCs w:val="20"/>
                <w:lang w:val="ru-RU"/>
              </w:rPr>
              <w:t>определение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 </w:t>
            </w:r>
            <w:r w:rsidR="00794349" w:rsidRPr="00F82321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Default="00F8232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>Определени</w:t>
            </w:r>
            <w:r w:rsidR="00827211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использования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сноске 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5 </w:t>
            </w:r>
            <w:r w:rsidR="00A829AD" w:rsidRPr="00F82321">
              <w:rPr>
                <w:rFonts w:ascii="Arial" w:hAnsi="Arial" w:cs="Arial"/>
                <w:sz w:val="20"/>
                <w:szCs w:val="20"/>
                <w:lang w:val="ru-RU"/>
              </w:rPr>
              <w:t>текста по ТВК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достаточно сильно отличается от других </w:t>
            </w:r>
            <w:r w:rsidRPr="000711A4">
              <w:rPr>
                <w:rFonts w:ascii="Arial" w:hAnsi="Arial" w:cs="Arial"/>
                <w:sz w:val="20"/>
                <w:szCs w:val="20"/>
                <w:lang w:val="ru-RU"/>
              </w:rPr>
              <w:t>определени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й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4F58EF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>может</w:t>
            </w:r>
            <w:r w:rsidR="00F82321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>пожелать</w:t>
            </w:r>
            <w:r w:rsidR="00F82321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>рассмотреть</w:t>
            </w:r>
            <w:r w:rsidR="00F82321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различные </w:t>
            </w:r>
            <w:r w:rsidR="00687FB8" w:rsidRPr="00F82321">
              <w:rPr>
                <w:rFonts w:ascii="Arial" w:hAnsi="Arial" w:cs="Arial"/>
                <w:sz w:val="20"/>
                <w:szCs w:val="20"/>
                <w:lang w:val="ru-RU"/>
              </w:rPr>
              <w:t>определения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, приводимые в тексте </w:t>
            </w:r>
            <w:r w:rsidR="00A829AD" w:rsidRPr="00F82321">
              <w:rPr>
                <w:rFonts w:ascii="Arial" w:hAnsi="Arial" w:cs="Arial"/>
                <w:sz w:val="20"/>
                <w:szCs w:val="20"/>
                <w:lang w:val="ru-RU"/>
              </w:rPr>
              <w:t>по ТВК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BA10B9" w:rsidRPr="00F82321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принять решение о том, какое из них наиболее применимо в контексте </w:t>
            </w:r>
            <w:r w:rsidR="00794349" w:rsidRPr="00F82321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F82321" w:rsidP="00812B35">
            <w:pPr>
              <w:rPr>
                <w:color w:val="00000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было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указано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одной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A45DF">
              <w:rPr>
                <w:rFonts w:ascii="Arial" w:hAnsi="Arial" w:cs="Arial"/>
                <w:sz w:val="20"/>
                <w:szCs w:val="20"/>
                <w:lang w:val="ru-RU"/>
              </w:rPr>
              <w:t xml:space="preserve">из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делегаци</w:t>
            </w:r>
            <w:r w:rsidR="00827211">
              <w:rPr>
                <w:rFonts w:ascii="Arial" w:hAnsi="Arial" w:cs="Arial"/>
                <w:sz w:val="20"/>
                <w:szCs w:val="20"/>
                <w:lang w:val="ru-RU"/>
              </w:rPr>
              <w:t xml:space="preserve">й </w:t>
            </w:r>
            <w:r w:rsidR="000A45DF">
              <w:rPr>
                <w:rFonts w:ascii="Arial" w:hAnsi="Arial" w:cs="Arial"/>
                <w:sz w:val="20"/>
                <w:szCs w:val="20"/>
                <w:lang w:val="ru-RU"/>
              </w:rPr>
              <w:t xml:space="preserve">на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двадцать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седьмой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сессии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F58EF" w:rsidRPr="00F82321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F22CC5" w:rsidRPr="00F82321">
              <w:rPr>
                <w:rFonts w:ascii="Arial" w:hAnsi="Arial" w:cs="Arial"/>
                <w:sz w:val="20"/>
                <w:szCs w:val="20"/>
                <w:lang w:val="ru-RU"/>
              </w:rPr>
              <w:t>определение</w:t>
            </w:r>
            <w:r w:rsidR="00146D28"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использования/применения</w:t>
            </w:r>
            <w:r w:rsidRPr="00F8232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касается видов использова</w:t>
            </w:r>
            <w:r w:rsidR="00827211">
              <w:rPr>
                <w:rFonts w:ascii="Arial" w:hAnsi="Arial" w:cs="Arial"/>
                <w:sz w:val="20"/>
                <w:szCs w:val="20"/>
                <w:lang w:val="ru-RU"/>
              </w:rPr>
              <w:t xml:space="preserve">ния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вне традиционного контекста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Однако</w:t>
            </w:r>
            <w:r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>слово</w:t>
            </w:r>
            <w:r w:rsidR="00CA24B7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 “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>используют</w:t>
            </w:r>
            <w:r w:rsidR="00CA24B7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»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="00CA24B7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829AD" w:rsidRPr="00CA24B7">
              <w:rPr>
                <w:rFonts w:ascii="Arial" w:hAnsi="Arial" w:cs="Arial"/>
                <w:sz w:val="20"/>
                <w:szCs w:val="20"/>
                <w:lang w:val="ru-RU"/>
              </w:rPr>
              <w:t>статье</w:t>
            </w:r>
            <w:r w:rsidR="00146D28" w:rsidRPr="00BD14F2">
              <w:rPr>
                <w:rFonts w:ascii="Arial" w:hAnsi="Arial" w:cs="Arial"/>
                <w:sz w:val="20"/>
                <w:szCs w:val="20"/>
              </w:rPr>
              <w:t> </w:t>
            </w:r>
            <w:r w:rsidR="00146D28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2.1 </w:t>
            </w:r>
            <w:r w:rsidR="00A829AD" w:rsidRPr="00CA24B7">
              <w:rPr>
                <w:rFonts w:ascii="Arial" w:hAnsi="Arial" w:cs="Arial"/>
                <w:sz w:val="20"/>
                <w:szCs w:val="20"/>
                <w:lang w:val="ru-RU"/>
              </w:rPr>
              <w:t>текста по ТВК</w:t>
            </w:r>
            <w:r w:rsidR="00146D28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касается использования </w:t>
            </w:r>
            <w:r w:rsidR="00CA24B7" w:rsidRPr="00CA24B7">
              <w:rPr>
                <w:rFonts w:ascii="Arial" w:hAnsi="Arial" w:cs="Arial"/>
                <w:sz w:val="20"/>
                <w:szCs w:val="20"/>
                <w:lang w:val="ru-RU"/>
              </w:rPr>
              <w:t>бенефициарами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>Более</w:t>
            </w:r>
            <w:r w:rsidR="00CA24B7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>того</w:t>
            </w:r>
            <w:r w:rsidR="00CA24B7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>статья </w:t>
            </w:r>
            <w:r w:rsidR="00146D28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2.1 </w:t>
            </w:r>
            <w:r w:rsidR="00A829AD" w:rsidRPr="00CA24B7">
              <w:rPr>
                <w:rFonts w:ascii="Arial" w:hAnsi="Arial" w:cs="Arial"/>
                <w:sz w:val="20"/>
                <w:szCs w:val="20"/>
                <w:lang w:val="ru-RU"/>
              </w:rPr>
              <w:t>текста по ТЗ</w:t>
            </w:r>
            <w:r w:rsidR="00146D28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также касается использования </w:t>
            </w:r>
            <w:r w:rsidR="00CA24B7" w:rsidRPr="00CA24B7">
              <w:rPr>
                <w:rFonts w:ascii="Arial" w:hAnsi="Arial" w:cs="Arial"/>
                <w:sz w:val="20"/>
                <w:szCs w:val="20"/>
                <w:lang w:val="ru-RU"/>
              </w:rPr>
              <w:t>бенефициарами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>Таким образом, в разных случаях одно и то же слово может не использоваться в одном и том же смысле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4F58EF" w:rsidRPr="00CA24B7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24B7" w:rsidRPr="00CA24B7">
              <w:rPr>
                <w:rFonts w:ascii="Arial" w:hAnsi="Arial" w:cs="Arial"/>
                <w:sz w:val="20"/>
                <w:szCs w:val="20"/>
                <w:lang w:val="ru-RU"/>
              </w:rPr>
              <w:t>может пожелать рассмотреть</w:t>
            </w:r>
            <w:r w:rsidR="00146D28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данный комментарий </w:t>
            </w:r>
            <w:r w:rsidR="00BA10B9" w:rsidRPr="00CA24B7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CA24B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24B7">
              <w:rPr>
                <w:rFonts w:ascii="Arial" w:hAnsi="Arial" w:cs="Arial"/>
                <w:sz w:val="20"/>
                <w:szCs w:val="20"/>
                <w:lang w:val="ru-RU"/>
              </w:rPr>
              <w:t>найти способ избежать путаницы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146D28" w:rsidRPr="00E17C83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A829AD" w:rsidRDefault="00A829AD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Критерии охрано-способности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ТЗ</w:t>
            </w:r>
            <w:r w:rsidR="00146D28" w:rsidRPr="00064AF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</w:rPr>
              <w:t>ТВК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3B6563" w:rsidRDefault="00146D28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3" w:type="pct"/>
          </w:tcPr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Статьи 1 и</w:t>
            </w:r>
            <w:r w:rsidR="00146D28"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3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146D28" w:rsidRPr="00A829AD" w:rsidRDefault="00A829AD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Статьи 1 и</w:t>
            </w:r>
            <w:r w:rsidR="00146D28"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3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</w:tc>
        <w:tc>
          <w:tcPr>
            <w:tcW w:w="2808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841D3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Статья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1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екст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по</w:t>
            </w:r>
            <w:r w:rsidR="00A829AD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включает 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критерии охраноспособности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Второй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Критерии охраноспособности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статьи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1 </w:t>
            </w:r>
            <w:r w:rsidR="00A829AD" w:rsidRPr="00841D32">
              <w:rPr>
                <w:rFonts w:ascii="Arial" w:hAnsi="Arial" w:cs="Arial"/>
                <w:sz w:val="20"/>
                <w:szCs w:val="20"/>
                <w:lang w:val="ru-RU"/>
              </w:rPr>
              <w:t>текста по ТЗ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повторяет большинство элементов, уже включенных в первый пункт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841D3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альтернативном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варианте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3.3 </w:t>
            </w:r>
            <w:r w:rsidR="00A829AD" w:rsidRPr="00841D32">
              <w:rPr>
                <w:rFonts w:ascii="Arial" w:hAnsi="Arial" w:cs="Arial"/>
                <w:sz w:val="20"/>
                <w:szCs w:val="20"/>
                <w:lang w:val="ru-RU"/>
              </w:rPr>
              <w:t>текста по ТЗ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указаны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96E89" w:rsidRPr="00841D32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которые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охраняются, и он также может быть актуален при рассмотрении 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критери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ев 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охраноспособности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841D3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Текст по</w:t>
            </w:r>
            <w:r w:rsidR="00A829AD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включает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большинство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элементов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приводимых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тексте по</w:t>
            </w:r>
            <w:r w:rsidR="00A829AD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 некоторыми отличиями в одном пункте</w:t>
            </w:r>
            <w:r w:rsidR="00827211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Default="00841D3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пункте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3.2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варианта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2 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по</w:t>
            </w:r>
            <w:r w:rsidR="00A829AD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упоминаются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94349" w:rsidRPr="00841D32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которые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охраняются, и он может быть </w:t>
            </w:r>
            <w:r w:rsidR="00827211">
              <w:rPr>
                <w:rFonts w:ascii="Arial" w:hAnsi="Arial" w:cs="Arial"/>
                <w:sz w:val="20"/>
                <w:szCs w:val="20"/>
                <w:lang w:val="ru-RU"/>
              </w:rPr>
              <w:t xml:space="preserve">также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актуален при рассмотрении 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критери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ев 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охраноспособности</w:t>
            </w:r>
            <w:r w:rsidR="00146D28" w:rsidRPr="00841D32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477556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представляется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можно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было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бы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обеспечить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</w:t>
            </w:r>
            <w:r w:rsidRPr="00827211">
              <w:rPr>
                <w:rFonts w:ascii="Arial" w:hAnsi="Arial" w:cs="Arial"/>
                <w:i/>
                <w:sz w:val="20"/>
                <w:szCs w:val="20"/>
                <w:lang w:val="ru-RU"/>
              </w:rPr>
              <w:t>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льшую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согласованность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текстов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отразив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все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критерии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охраноспособности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одном месте, вместо того, чтобы указывать одни критерии </w:t>
            </w:r>
            <w:r w:rsidR="00A829AD" w:rsidRPr="00477556">
              <w:rPr>
                <w:rFonts w:ascii="Arial" w:hAnsi="Arial" w:cs="Arial"/>
                <w:sz w:val="20"/>
                <w:szCs w:val="20"/>
                <w:lang w:val="ru-RU"/>
              </w:rPr>
              <w:t>в статье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1, а другие – в с</w:t>
            </w:r>
            <w:r w:rsidR="00A829AD" w:rsidRPr="00477556">
              <w:rPr>
                <w:rFonts w:ascii="Arial" w:hAnsi="Arial" w:cs="Arial"/>
                <w:sz w:val="20"/>
                <w:szCs w:val="20"/>
                <w:lang w:val="ru-RU"/>
              </w:rPr>
              <w:t>тать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A829AD"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3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4F58EF" w:rsidRPr="00477556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477556">
              <w:rPr>
                <w:rFonts w:ascii="Arial" w:hAnsi="Arial" w:cs="Arial"/>
                <w:sz w:val="20"/>
                <w:szCs w:val="20"/>
                <w:lang w:val="ru-RU"/>
              </w:rPr>
              <w:t>может пожелать рассмотреть вопрос о том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в каком месте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следует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отразить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критерии</w:t>
            </w:r>
            <w:r w:rsidR="00EB77A0"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 w:rsidRPr="00841D32">
              <w:rPr>
                <w:rFonts w:ascii="Arial" w:hAnsi="Arial" w:cs="Arial"/>
                <w:sz w:val="20"/>
                <w:szCs w:val="20"/>
                <w:lang w:val="ru-RU"/>
              </w:rPr>
              <w:t>охраноспособности</w:t>
            </w:r>
            <w:r w:rsidR="00EB77A0"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41D32" w:rsidRPr="00477556">
              <w:rPr>
                <w:rFonts w:ascii="Arial" w:hAnsi="Arial" w:cs="Arial"/>
                <w:sz w:val="20"/>
                <w:szCs w:val="20"/>
                <w:lang w:val="ru-RU"/>
              </w:rPr>
              <w:t>в тексте по</w:t>
            </w:r>
            <w:r w:rsidR="00A829AD"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477556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41D32" w:rsidRPr="00477556">
              <w:rPr>
                <w:rFonts w:ascii="Arial" w:hAnsi="Arial" w:cs="Arial"/>
                <w:sz w:val="20"/>
                <w:szCs w:val="20"/>
                <w:lang w:val="ru-RU"/>
              </w:rPr>
              <w:t>в тексте по</w:t>
            </w:r>
            <w:r w:rsidR="00A829AD" w:rsidRPr="00477556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и следует ли свести в один пункт все критерии </w:t>
            </w:r>
            <w:r w:rsidR="00EB77A0" w:rsidRPr="00841D32">
              <w:rPr>
                <w:rFonts w:ascii="Arial" w:hAnsi="Arial" w:cs="Arial"/>
                <w:sz w:val="20"/>
                <w:szCs w:val="20"/>
                <w:lang w:val="ru-RU"/>
              </w:rPr>
              <w:t>охраноспособности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Кроме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того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ведутся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споры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том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необходимы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ли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вообще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критерии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 w:rsidRPr="00841D32">
              <w:rPr>
                <w:rFonts w:ascii="Arial" w:hAnsi="Arial" w:cs="Arial"/>
                <w:sz w:val="20"/>
                <w:szCs w:val="20"/>
                <w:lang w:val="ru-RU"/>
              </w:rPr>
              <w:t>охраноспособности</w:t>
            </w:r>
            <w:r w:rsidR="00E43CBB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поскольку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мнению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некоторых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делегаций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 xml:space="preserve">конечный объект охраны при разработке прав можно было бы отразить в объеме охраны, а также исключениях </w:t>
            </w:r>
            <w:r w:rsidR="00EB77A0" w:rsidRPr="00EB77A0">
              <w:rPr>
                <w:rFonts w:ascii="Arial" w:hAnsi="Arial" w:cs="Arial"/>
                <w:sz w:val="20"/>
                <w:szCs w:val="20"/>
                <w:lang w:val="ru-RU"/>
              </w:rPr>
              <w:t>и ограничения</w:t>
            </w:r>
            <w:r w:rsidR="00EB77A0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="00E43CBB" w:rsidRPr="0091685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146D28" w:rsidRPr="00916858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397B7B" w:rsidTr="00827211">
        <w:tc>
          <w:tcPr>
            <w:tcW w:w="20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794349" w:rsidRDefault="00794349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Бенефициары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ТЗ</w:t>
            </w:r>
            <w:r w:rsidR="00146D28" w:rsidRPr="00064AF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</w:rPr>
              <w:t>ТВК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3B6563" w:rsidRDefault="00146D28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3" w:type="pct"/>
          </w:tcPr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Статьи 2 и</w:t>
            </w:r>
            <w:r w:rsidR="00146D28"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5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146D28" w:rsidRPr="00A829AD" w:rsidRDefault="00A829AD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Статьи 2 и</w:t>
            </w:r>
            <w:r w:rsid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4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A829A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</w:tc>
        <w:tc>
          <w:tcPr>
            <w:tcW w:w="2808" w:type="pct"/>
            <w:shd w:val="clear" w:color="auto" w:fill="auto"/>
          </w:tcPr>
          <w:p w:rsidR="00603BF1" w:rsidRP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91685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916858">
              <w:rPr>
                <w:rFonts w:ascii="Arial" w:hAnsi="Arial" w:cs="Arial"/>
                <w:sz w:val="20"/>
                <w:szCs w:val="20"/>
                <w:lang w:val="ru-RU"/>
              </w:rPr>
              <w:t>2.2 (</w:t>
            </w:r>
            <w:r w:rsidR="00146D28" w:rsidRPr="008A3622">
              <w:rPr>
                <w:rFonts w:ascii="Arial" w:hAnsi="Arial" w:cs="Arial"/>
                <w:sz w:val="20"/>
                <w:szCs w:val="20"/>
              </w:rPr>
              <w:t>d</w:t>
            </w:r>
            <w:r w:rsidR="00146D28"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41D32" w:rsidRPr="00916858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представляет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собой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повтор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выражения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которое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уже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приводится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вводной части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пункта</w:t>
            </w:r>
            <w:r w:rsidR="00146D28" w:rsidRPr="0091685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841D3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16858">
              <w:rPr>
                <w:rFonts w:ascii="Arial" w:hAnsi="Arial" w:cs="Arial"/>
                <w:sz w:val="20"/>
                <w:szCs w:val="20"/>
                <w:lang w:val="ru-RU"/>
              </w:rPr>
              <w:t>Текст по</w:t>
            </w:r>
            <w:r w:rsidR="00A829AD"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91685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16858">
              <w:rPr>
                <w:rFonts w:ascii="Arial" w:hAnsi="Arial" w:cs="Arial"/>
                <w:sz w:val="20"/>
                <w:szCs w:val="20"/>
                <w:lang w:val="ru-RU"/>
              </w:rPr>
              <w:t>не имеет такого повтора</w:t>
            </w:r>
            <w:r w:rsidR="00146D28" w:rsidRPr="00916858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752E0A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2.1 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41D32" w:rsidRPr="00752E0A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содержит элементы, которые отсутствуют в пункте 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2.1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752E0A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: «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Бенефициарами [охраны] являются 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>… […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>нации, являющиеся хранителями в интересах бенефициаров в порядке, предусмотренн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ом в пункте 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>3]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752E0A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>[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>как часть своей коллективной культурной или социальной идентичности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82721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>[…</w:t>
            </w:r>
            <w:r w:rsidR="00752E0A" w:rsidRPr="00752E0A">
              <w:rPr>
                <w:rFonts w:ascii="Arial" w:hAnsi="Arial" w:cs="Arial"/>
                <w:sz w:val="20"/>
                <w:szCs w:val="20"/>
                <w:lang w:val="ru-RU"/>
              </w:rPr>
              <w:t>или в порядке, установленном национальным законодательством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]»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752E0A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Данный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последний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дополнительный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элемент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который также содержится в альтернативном варианте 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2.1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752E0A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полностью отсутствует в </w:t>
            </w:r>
            <w:r w:rsidR="00841D32" w:rsidRPr="00752E0A">
              <w:rPr>
                <w:rFonts w:ascii="Arial" w:hAnsi="Arial" w:cs="Arial"/>
                <w:sz w:val="20"/>
                <w:szCs w:val="20"/>
                <w:lang w:val="ru-RU"/>
              </w:rPr>
              <w:t>тексте по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 </w:t>
            </w:r>
            <w:r w:rsidR="00A829AD" w:rsidRPr="00752E0A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 можно было бы рассмотреть возмож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>ность его включения в контексте </w:t>
            </w:r>
            <w:r w:rsidR="00596E89" w:rsidRPr="00752E0A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752E0A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2.2 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41D32" w:rsidRPr="00752E0A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 включен в текст </w:t>
            </w:r>
            <w:r w:rsidR="00841D32" w:rsidRPr="00752E0A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BA10B9" w:rsidRPr="00752E0A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752E0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можно было бы также рассмотреть возможность его включения в </w:t>
            </w:r>
            <w:r w:rsidR="00827211"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 по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Однако </w:t>
            </w:r>
            <w:r w:rsidR="004F58EF" w:rsidRPr="003048E4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A1362D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77556" w:rsidRPr="003048E4">
              <w:rPr>
                <w:rFonts w:ascii="Arial" w:hAnsi="Arial" w:cs="Arial"/>
                <w:sz w:val="20"/>
                <w:szCs w:val="20"/>
                <w:lang w:val="ru-RU"/>
              </w:rPr>
              <w:t>может пожелать рассмотреть вопрос о том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, насколько более </w:t>
            </w:r>
            <w:r w:rsidR="00567B7B">
              <w:rPr>
                <w:rFonts w:ascii="Arial" w:hAnsi="Arial" w:cs="Arial"/>
                <w:sz w:val="20"/>
                <w:szCs w:val="20"/>
                <w:lang w:val="ru-RU"/>
              </w:rPr>
              <w:t>уместно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привести этот пункт в </w:t>
            </w:r>
            <w:r w:rsidR="00A829AD" w:rsidRPr="003048E4">
              <w:rPr>
                <w:rFonts w:ascii="Arial" w:hAnsi="Arial" w:cs="Arial"/>
                <w:sz w:val="20"/>
                <w:szCs w:val="20"/>
                <w:lang w:val="ru-RU"/>
              </w:rPr>
              <w:t>статье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4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3048E4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которая касается управления 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>[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>правами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>]/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>[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>интересами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>]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4F58EF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048E4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A1362D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24B7" w:rsidRPr="003048E4">
              <w:rPr>
                <w:rFonts w:ascii="Arial" w:hAnsi="Arial" w:cs="Arial"/>
                <w:sz w:val="20"/>
                <w:szCs w:val="20"/>
                <w:lang w:val="ru-RU"/>
              </w:rPr>
              <w:t>может пожелать рассмотреть</w:t>
            </w:r>
            <w:r w:rsidR="00A1362D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048E4" w:rsidRPr="003048E4">
              <w:rPr>
                <w:rFonts w:ascii="Arial" w:hAnsi="Arial" w:cs="Arial"/>
                <w:sz w:val="20"/>
                <w:szCs w:val="20"/>
                <w:lang w:val="ru-RU"/>
              </w:rPr>
              <w:t>вопрос о том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, насколько более </w:t>
            </w:r>
            <w:r w:rsidR="00567B7B">
              <w:rPr>
                <w:rFonts w:ascii="Arial" w:hAnsi="Arial" w:cs="Arial"/>
                <w:sz w:val="20"/>
                <w:szCs w:val="20"/>
                <w:lang w:val="ru-RU"/>
              </w:rPr>
              <w:t>уместно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поместить пункты 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2.2 </w:t>
            </w:r>
            <w:r w:rsidR="00BA10B9" w:rsidRPr="003048E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2.3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3048E4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3048E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пункты 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2.3 </w:t>
            </w:r>
            <w:r w:rsidR="00BA10B9" w:rsidRPr="003048E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2.4 </w:t>
            </w:r>
            <w:r w:rsidR="00841D32" w:rsidRPr="003048E4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а </w:t>
            </w:r>
            <w:r w:rsidR="00841D32" w:rsidRPr="003048E4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829AD" w:rsidRPr="003048E4">
              <w:rPr>
                <w:rFonts w:ascii="Arial" w:hAnsi="Arial" w:cs="Arial"/>
                <w:sz w:val="20"/>
                <w:szCs w:val="20"/>
                <w:lang w:val="ru-RU"/>
              </w:rPr>
              <w:t>в стать</w:t>
            </w:r>
            <w:r w:rsidR="00827211">
              <w:rPr>
                <w:rFonts w:ascii="Arial" w:hAnsi="Arial" w:cs="Arial"/>
                <w:sz w:val="20"/>
                <w:szCs w:val="20"/>
                <w:lang w:val="ru-RU"/>
              </w:rPr>
              <w:t>ю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5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3048E4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которая касается управления </w:t>
            </w:r>
            <w:r w:rsidR="003048E4" w:rsidRPr="003048E4">
              <w:rPr>
                <w:rFonts w:ascii="Arial" w:hAnsi="Arial" w:cs="Arial"/>
                <w:sz w:val="20"/>
                <w:szCs w:val="20"/>
                <w:lang w:val="ru-RU"/>
              </w:rPr>
              <w:t>[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>правами</w:t>
            </w:r>
            <w:r w:rsidR="003048E4" w:rsidRPr="003048E4">
              <w:rPr>
                <w:rFonts w:ascii="Arial" w:hAnsi="Arial" w:cs="Arial"/>
                <w:sz w:val="20"/>
                <w:szCs w:val="20"/>
                <w:lang w:val="ru-RU"/>
              </w:rPr>
              <w:t>]/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048E4" w:rsidRPr="003048E4">
              <w:rPr>
                <w:rFonts w:ascii="Arial" w:hAnsi="Arial" w:cs="Arial"/>
                <w:sz w:val="20"/>
                <w:szCs w:val="20"/>
                <w:lang w:val="ru-RU"/>
              </w:rPr>
              <w:t>[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>интересами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] </w:t>
            </w:r>
            <w:r w:rsidR="00BA10B9" w:rsidRPr="003048E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829AD" w:rsidRPr="003048E4">
              <w:rPr>
                <w:rFonts w:ascii="Arial" w:hAnsi="Arial" w:cs="Arial"/>
                <w:sz w:val="20"/>
                <w:szCs w:val="20"/>
                <w:lang w:val="ru-RU"/>
              </w:rPr>
              <w:t>в стать</w:t>
            </w:r>
            <w:r w:rsidR="00827211">
              <w:rPr>
                <w:rFonts w:ascii="Arial" w:hAnsi="Arial" w:cs="Arial"/>
                <w:sz w:val="20"/>
                <w:szCs w:val="20"/>
                <w:lang w:val="ru-RU"/>
              </w:rPr>
              <w:t>ю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4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3048E4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3048E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3048E4">
              <w:rPr>
                <w:rFonts w:ascii="Arial" w:hAnsi="Arial" w:cs="Arial"/>
                <w:sz w:val="20"/>
                <w:szCs w:val="20"/>
                <w:lang w:val="ru-RU"/>
              </w:rPr>
              <w:t>соответственно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D3DCC" w:rsidRPr="00397B7B" w:rsidRDefault="000A45DF" w:rsidP="001D639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Некоторые из комментариев, приводимых в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неофициально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документ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, подготовленно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Председателем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к двадцать седьмой сессии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сохраняют свою актуальность, в частности пункт 35, который может быть принят во внимание при рассмотрении вопроса о том, в каком месте следует привести пункт </w:t>
            </w:r>
            <w:r w:rsidR="00146D28" w:rsidRPr="000A45DF">
              <w:rPr>
                <w:rFonts w:ascii="Arial" w:hAnsi="Arial" w:cs="Arial"/>
                <w:sz w:val="20"/>
                <w:szCs w:val="20"/>
                <w:lang w:val="ru-RU"/>
              </w:rPr>
              <w:t xml:space="preserve">2.2 </w:t>
            </w:r>
            <w:r w:rsidR="00841D32" w:rsidRPr="000A45DF">
              <w:rPr>
                <w:rFonts w:ascii="Arial" w:hAnsi="Arial" w:cs="Arial"/>
                <w:sz w:val="20"/>
                <w:szCs w:val="20"/>
                <w:lang w:val="ru-RU"/>
              </w:rPr>
              <w:t>в тексте по</w:t>
            </w:r>
            <w:r w:rsidR="00A829AD" w:rsidRPr="000A45DF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="00E43CBB" w:rsidRPr="00790D72">
              <w:rPr>
                <w:rFonts w:ascii="Arial" w:hAnsi="Arial" w:cs="Arial"/>
                <w:sz w:val="20"/>
                <w:szCs w:val="20"/>
                <w:lang w:val="ru-RU"/>
              </w:rPr>
              <w:t xml:space="preserve"> 35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гласит</w:t>
            </w:r>
            <w:r w:rsidRPr="00790D72">
              <w:rPr>
                <w:rFonts w:ascii="Arial" w:hAnsi="Arial" w:cs="Arial"/>
                <w:sz w:val="20"/>
                <w:szCs w:val="20"/>
                <w:lang w:val="ru-RU"/>
              </w:rPr>
              <w:t>: «</w:t>
            </w:r>
            <w:r w:rsidR="00790D72" w:rsidRPr="00790D72">
              <w:rPr>
                <w:rFonts w:ascii="Arial" w:hAnsi="Arial" w:cs="Arial"/>
                <w:sz w:val="20"/>
                <w:szCs w:val="20"/>
                <w:lang w:val="ru-RU"/>
              </w:rPr>
              <w:t xml:space="preserve">Это понятие отличается от концепции субъекта (такого как «компетентный орган»), которому в соответствии с национальным законодательством может быть поручено осуществлять права в случаях, когда невозможно определить бенефициаров (вероятно, </w:t>
            </w:r>
            <w:r w:rsidR="00567B7B">
              <w:rPr>
                <w:rFonts w:ascii="Arial" w:hAnsi="Arial" w:cs="Arial"/>
                <w:sz w:val="20"/>
                <w:szCs w:val="20"/>
                <w:lang w:val="ru-RU"/>
              </w:rPr>
              <w:t xml:space="preserve">их можно было бы назвать </w:t>
            </w:r>
            <w:r w:rsidR="00790D72" w:rsidRPr="00790D72">
              <w:rPr>
                <w:rFonts w:ascii="Arial" w:hAnsi="Arial" w:cs="Arial"/>
                <w:sz w:val="20"/>
                <w:szCs w:val="20"/>
                <w:lang w:val="ru-RU"/>
              </w:rPr>
              <w:t>ТЗ или ТВК, автор которых не известен)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="00790D72" w:rsidRPr="00790D72">
              <w:rPr>
                <w:rFonts w:ascii="Arial" w:hAnsi="Arial" w:cs="Arial"/>
                <w:sz w:val="20"/>
                <w:szCs w:val="20"/>
                <w:lang w:val="ru-RU"/>
              </w:rPr>
              <w:t xml:space="preserve"> Формулировки пункта 2.2 текста по ТЗ и пункта 2 варианта 1 текста по ТВК оставляют за национальным законодательством право называть бенефициаром национальный субъект, когда ТЗ или ТВК не могут быть конкретно отнесены или ограничены какой-то коренной или местной общиной и/или когда невозможно определить общину, их создавшую.  Национальный субъект может также сыграть определенную роль в случаях, когда бенефициары обращаются за помощью в вопросах управления и защиты своих прав.  С моей точки зрения, такие «национальные субъекты» сами по себе не являются бенефициарами и их роль не рассматривается в рамках статей текстов, посвященных управлению правами». </w:t>
            </w:r>
          </w:p>
          <w:p w:rsidR="001D6395" w:rsidRPr="00397B7B" w:rsidRDefault="001D6395" w:rsidP="001D639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064AF0" w:rsidRDefault="00794349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Объем охраны</w:t>
            </w:r>
            <w:r w:rsidR="00146D28" w:rsidRPr="00064A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  <w:lang w:val="fr-CH"/>
              </w:rPr>
              <w:t>ТВК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46D28" w:rsidRPr="00146D28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Pr="001B3C1D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 3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 3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  <w:p w:rsidR="00146D28" w:rsidRPr="001B3C1D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P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790D7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 </w:t>
            </w:r>
            <w:r w:rsidR="00567B7B">
              <w:rPr>
                <w:rFonts w:ascii="Arial" w:hAnsi="Arial" w:cs="Arial"/>
                <w:sz w:val="20"/>
                <w:szCs w:val="20"/>
                <w:lang w:val="ru-RU"/>
              </w:rPr>
              <w:t xml:space="preserve">обсуждение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двадцать седьмой сессии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был представлен многоуровневый подход, при котором правообладатели могут пользоваться различными видами или уровнями прав и мер, в зависимости от характера 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>и характеристик объекта, а также того, как, кем, почему и где он используется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>Что</w:t>
            </w:r>
            <w:r w:rsidR="00954344" w:rsidRP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>касается</w:t>
            </w:r>
            <w:r w:rsidR="00954344" w:rsidRP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>характера</w:t>
            </w:r>
            <w:r w:rsidR="00954344" w:rsidRP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96E89" w:rsidRPr="00954344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>то</w:t>
            </w:r>
            <w:r w:rsidR="00954344" w:rsidRP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>различные формы, в которых можно найти ТЗ, определяются в</w:t>
            </w:r>
            <w:r w:rsidR="00954344" w:rsidRP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>документе</w:t>
            </w:r>
            <w:r w:rsidR="00954344" w:rsidRP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081720">
              <w:rPr>
                <w:rFonts w:ascii="Arial" w:hAnsi="Arial" w:cs="Arial"/>
                <w:sz w:val="20"/>
                <w:szCs w:val="20"/>
              </w:rPr>
              <w:t>WIPO</w:t>
            </w:r>
            <w:r w:rsidR="00146D28" w:rsidRPr="00954344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146D28" w:rsidRPr="00081720">
              <w:rPr>
                <w:rFonts w:ascii="Arial" w:hAnsi="Arial" w:cs="Arial"/>
                <w:sz w:val="20"/>
                <w:szCs w:val="20"/>
              </w:rPr>
              <w:t>GRTKF</w:t>
            </w:r>
            <w:r w:rsidR="00146D28" w:rsidRPr="00954344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146D28" w:rsidRPr="00081720">
              <w:rPr>
                <w:rFonts w:ascii="Arial" w:hAnsi="Arial" w:cs="Arial"/>
                <w:sz w:val="20"/>
                <w:szCs w:val="20"/>
              </w:rPr>
              <w:t>IC</w:t>
            </w:r>
            <w:r w:rsidR="00146D28" w:rsidRPr="00954344">
              <w:rPr>
                <w:rFonts w:ascii="Arial" w:hAnsi="Arial" w:cs="Arial"/>
                <w:sz w:val="20"/>
                <w:szCs w:val="20"/>
                <w:lang w:val="ru-RU"/>
              </w:rPr>
              <w:t>/17/</w:t>
            </w:r>
            <w:r w:rsidR="00146D28" w:rsidRPr="00081720">
              <w:rPr>
                <w:rFonts w:ascii="Arial" w:hAnsi="Arial" w:cs="Arial"/>
                <w:sz w:val="20"/>
                <w:szCs w:val="20"/>
              </w:rPr>
              <w:t>INF</w:t>
            </w:r>
            <w:r w:rsidR="00146D28" w:rsidRPr="00954344">
              <w:rPr>
                <w:rFonts w:ascii="Arial" w:hAnsi="Arial" w:cs="Arial"/>
                <w:sz w:val="20"/>
                <w:szCs w:val="20"/>
                <w:lang w:val="ru-RU"/>
              </w:rPr>
              <w:t>/9 (</w:t>
            </w:r>
            <w:r w:rsidR="00954344" w:rsidRPr="00954344">
              <w:rPr>
                <w:rFonts w:ascii="Arial" w:hAnsi="Arial" w:cs="Arial"/>
                <w:sz w:val="20"/>
                <w:szCs w:val="20"/>
                <w:lang w:val="ru-RU"/>
              </w:rPr>
              <w:t>«Список и краткое техническое пояснение различных форм, в которых можно найти традиционные знания»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В определенной степени это также применимо к </w:t>
            </w:r>
            <w:r w:rsidR="00794349" w:rsidRPr="00954344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F91B56" w:rsidRP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="00567B7B">
              <w:rPr>
                <w:rFonts w:ascii="Arial" w:hAnsi="Arial" w:cs="Arial"/>
                <w:sz w:val="20"/>
                <w:szCs w:val="20"/>
                <w:lang w:val="ru-RU"/>
              </w:rPr>
              <w:t>однако см. </w:t>
            </w:r>
            <w:r w:rsidR="00954344">
              <w:rPr>
                <w:rFonts w:ascii="Arial" w:hAnsi="Arial" w:cs="Arial"/>
                <w:sz w:val="20"/>
                <w:szCs w:val="20"/>
                <w:lang w:val="ru-RU"/>
              </w:rPr>
              <w:t>комментарий ниже</w:t>
            </w:r>
            <w:r w:rsidR="00F91B56" w:rsidRPr="00954344">
              <w:rPr>
                <w:rFonts w:ascii="Arial" w:hAnsi="Arial" w:cs="Arial"/>
                <w:sz w:val="20"/>
                <w:szCs w:val="20"/>
                <w:lang w:val="ru-RU"/>
              </w:rPr>
              <w:t xml:space="preserve">).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954344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рамках многоуровневого подхода предлагается </w:t>
            </w:r>
            <w:r w:rsidRPr="00954344">
              <w:rPr>
                <w:rFonts w:ascii="Arial" w:hAnsi="Arial" w:cs="Arial"/>
                <w:sz w:val="20"/>
                <w:szCs w:val="20"/>
                <w:lang w:val="ru-RU"/>
              </w:rPr>
              <w:t>дифференцированная охрана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954344">
              <w:rPr>
                <w:rFonts w:ascii="Arial" w:hAnsi="Arial" w:cs="Arial"/>
                <w:sz w:val="20"/>
                <w:szCs w:val="20"/>
                <w:lang w:val="ru-RU"/>
              </w:rPr>
              <w:t>публично доступных ТЗ или ТВК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т.е. </w:t>
            </w:r>
            <w:r w:rsidRPr="00954344">
              <w:rPr>
                <w:rFonts w:ascii="Arial" w:hAnsi="Arial" w:cs="Arial"/>
                <w:sz w:val="20"/>
                <w:szCs w:val="20"/>
                <w:lang w:val="ru-RU"/>
              </w:rPr>
              <w:t>ТЗ или ТВК</w:t>
            </w:r>
            <w:r w:rsidR="00592D9F">
              <w:rPr>
                <w:rFonts w:ascii="Arial" w:hAnsi="Arial" w:cs="Arial"/>
                <w:sz w:val="20"/>
                <w:szCs w:val="20"/>
                <w:lang w:val="ru-RU"/>
              </w:rPr>
              <w:t xml:space="preserve">, которые, с одной стороны,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широко </w:t>
            </w:r>
            <w:r w:rsidR="00592D9F">
              <w:rPr>
                <w:rFonts w:ascii="Arial" w:hAnsi="Arial" w:cs="Arial"/>
                <w:sz w:val="20"/>
                <w:szCs w:val="20"/>
                <w:lang w:val="ru-RU"/>
              </w:rPr>
              <w:t xml:space="preserve">распространены, доступны, </w:t>
            </w:r>
            <w:r w:rsidR="00592D9F" w:rsidRPr="00592D9F">
              <w:rPr>
                <w:rFonts w:ascii="Arial" w:hAnsi="Arial" w:cs="Arial"/>
                <w:sz w:val="20"/>
                <w:szCs w:val="20"/>
                <w:lang w:val="ru-RU"/>
              </w:rPr>
              <w:t>без ограничений</w:t>
            </w:r>
            <w:r w:rsidR="00592D9F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592D9F" w:rsidRPr="00592D9F">
              <w:rPr>
                <w:rFonts w:ascii="Arial" w:hAnsi="Arial" w:cs="Arial"/>
                <w:sz w:val="20"/>
                <w:szCs w:val="20"/>
                <w:lang w:val="ru-RU"/>
              </w:rPr>
              <w:t>широкой публике</w:t>
            </w:r>
            <w:r w:rsidR="00592D9F">
              <w:rPr>
                <w:rFonts w:ascii="Arial" w:hAnsi="Arial" w:cs="Arial"/>
                <w:sz w:val="20"/>
                <w:szCs w:val="20"/>
                <w:lang w:val="ru-RU"/>
              </w:rPr>
              <w:t xml:space="preserve">, широко известны или используются </w:t>
            </w:r>
            <w:r w:rsidR="00592D9F" w:rsidRPr="00592D9F">
              <w:rPr>
                <w:rFonts w:ascii="Arial" w:hAnsi="Arial" w:cs="Arial"/>
                <w:sz w:val="20"/>
                <w:szCs w:val="20"/>
                <w:lang w:val="ru-RU"/>
              </w:rPr>
              <w:t>за пределами общины</w:t>
            </w:r>
            <w:r w:rsidR="00592D9F">
              <w:rPr>
                <w:rFonts w:ascii="Arial" w:hAnsi="Arial" w:cs="Arial"/>
                <w:sz w:val="20"/>
                <w:szCs w:val="20"/>
                <w:lang w:val="ru-RU"/>
              </w:rPr>
              <w:t xml:space="preserve">, а, с другой стороны, </w:t>
            </w:r>
            <w:r w:rsidR="0091753B" w:rsidRPr="0091753B">
              <w:rPr>
                <w:rFonts w:ascii="Arial" w:hAnsi="Arial" w:cs="Arial"/>
                <w:sz w:val="20"/>
                <w:szCs w:val="20"/>
                <w:lang w:val="ru-RU"/>
              </w:rPr>
              <w:t>хранятся в тайне/или имеют особое культурное или духовное значение</w:t>
            </w:r>
            <w:r w:rsidR="0091753B">
              <w:rPr>
                <w:rFonts w:ascii="Arial" w:hAnsi="Arial" w:cs="Arial"/>
                <w:sz w:val="20"/>
                <w:szCs w:val="20"/>
                <w:lang w:val="ru-RU"/>
              </w:rPr>
              <w:t xml:space="preserve">, либо представляют собой </w:t>
            </w:r>
            <w:r w:rsidR="0091753B" w:rsidRPr="0091753B">
              <w:rPr>
                <w:rFonts w:ascii="Arial" w:hAnsi="Arial" w:cs="Arial"/>
                <w:sz w:val="20"/>
                <w:szCs w:val="20"/>
                <w:lang w:val="ru-RU"/>
              </w:rPr>
              <w:t>ТЗ или ТВК с ограниченным доступом и использованием</w:t>
            </w:r>
            <w:r w:rsidR="00146D28" w:rsidRPr="0091753B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91753B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Данный подход предполагает, что для некоторых форм </w:t>
            </w:r>
            <w:r w:rsidRPr="0091753B">
              <w:rPr>
                <w:rFonts w:ascii="Arial" w:hAnsi="Arial" w:cs="Arial"/>
                <w:sz w:val="20"/>
                <w:szCs w:val="20"/>
                <w:lang w:val="ru-RU"/>
              </w:rPr>
              <w:t>ТЗ/ТВК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(например, для священных и сохраняемых в тайне </w:t>
            </w:r>
            <w:r w:rsidRPr="0091753B">
              <w:rPr>
                <w:rFonts w:ascii="Arial" w:hAnsi="Arial" w:cs="Arial"/>
                <w:sz w:val="20"/>
                <w:szCs w:val="20"/>
                <w:lang w:val="ru-RU"/>
              </w:rPr>
              <w:t xml:space="preserve">ТЗ/ТВК,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 также </w:t>
            </w:r>
            <w:r w:rsidRPr="0091753B">
              <w:rPr>
                <w:rFonts w:ascii="Arial" w:hAnsi="Arial" w:cs="Arial"/>
                <w:sz w:val="20"/>
                <w:szCs w:val="20"/>
                <w:lang w:val="ru-RU"/>
              </w:rPr>
              <w:t>ТЗ/ТВК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91753B">
              <w:rPr>
                <w:rFonts w:ascii="Arial" w:hAnsi="Arial" w:cs="Arial"/>
                <w:sz w:val="20"/>
                <w:szCs w:val="20"/>
                <w:lang w:val="ru-RU"/>
              </w:rPr>
              <w:t>однозначно относимых к конкретным коренным народам и местным общинам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) могут быть уместны исключительные экономические права, в то время как</w:t>
            </w:r>
            <w:r w:rsidR="006A26B6">
              <w:rPr>
                <w:rFonts w:ascii="Arial" w:hAnsi="Arial" w:cs="Arial"/>
                <w:sz w:val="20"/>
                <w:szCs w:val="20"/>
                <w:lang w:val="ru-RU"/>
              </w:rPr>
              <w:t xml:space="preserve">, например, для </w:t>
            </w:r>
            <w:r w:rsidR="006A26B6" w:rsidRPr="006A26B6">
              <w:rPr>
                <w:rFonts w:ascii="Arial" w:hAnsi="Arial" w:cs="Arial"/>
                <w:sz w:val="20"/>
                <w:szCs w:val="20"/>
                <w:lang w:val="ru-RU"/>
              </w:rPr>
              <w:t>ТЗ/ТВК</w:t>
            </w:r>
            <w:r w:rsidR="006A26B6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6A26B6" w:rsidRPr="006A26B6">
              <w:rPr>
                <w:rFonts w:ascii="Arial" w:hAnsi="Arial" w:cs="Arial"/>
                <w:sz w:val="20"/>
                <w:szCs w:val="20"/>
                <w:lang w:val="ru-RU"/>
              </w:rPr>
              <w:t>которые являются светскими</w:t>
            </w:r>
            <w:r w:rsidR="00567B7B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6A26B6" w:rsidRPr="006A26B6">
              <w:rPr>
                <w:rFonts w:ascii="Arial" w:hAnsi="Arial" w:cs="Arial"/>
                <w:sz w:val="20"/>
                <w:szCs w:val="20"/>
                <w:lang w:val="ru-RU"/>
              </w:rPr>
              <w:t>уже общедоступны</w:t>
            </w:r>
            <w:r w:rsidR="00567B7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6A26B6" w:rsidRPr="006A26B6">
              <w:rPr>
                <w:rFonts w:ascii="Arial" w:hAnsi="Arial" w:cs="Arial"/>
                <w:sz w:val="20"/>
                <w:szCs w:val="20"/>
                <w:lang w:val="ru-RU"/>
              </w:rPr>
              <w:t>или не являются относимыми к конкретным коренным народам и местным общинам</w:t>
            </w:r>
            <w:r w:rsidR="006A26B6">
              <w:rPr>
                <w:rFonts w:ascii="Arial" w:hAnsi="Arial" w:cs="Arial"/>
                <w:sz w:val="20"/>
                <w:szCs w:val="20"/>
                <w:lang w:val="ru-RU"/>
              </w:rPr>
              <w:t xml:space="preserve">, может быть уместна </w:t>
            </w:r>
            <w:r w:rsidR="006A26B6" w:rsidRPr="006A26B6">
              <w:rPr>
                <w:rFonts w:ascii="Arial" w:hAnsi="Arial" w:cs="Arial"/>
                <w:sz w:val="20"/>
                <w:szCs w:val="20"/>
                <w:lang w:val="ru-RU"/>
              </w:rPr>
              <w:t>модель, основанная на неимущественных правах</w:t>
            </w:r>
            <w:r w:rsidR="00146D28" w:rsidRPr="006A26B6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6A26B6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Этот вопрос </w:t>
            </w:r>
            <w:r w:rsidR="00567B7B">
              <w:rPr>
                <w:rFonts w:ascii="Arial" w:hAnsi="Arial" w:cs="Arial"/>
                <w:sz w:val="20"/>
                <w:szCs w:val="20"/>
                <w:lang w:val="ru-RU"/>
              </w:rPr>
              <w:t xml:space="preserve">будет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реш</w:t>
            </w:r>
            <w:r w:rsidR="00567B7B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ть </w:t>
            </w:r>
            <w:r w:rsidRPr="006A26B6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но </w:t>
            </w:r>
            <w:r w:rsidRPr="006A26B6">
              <w:rPr>
                <w:rFonts w:ascii="Arial" w:hAnsi="Arial" w:cs="Arial"/>
                <w:sz w:val="20"/>
                <w:szCs w:val="20"/>
                <w:lang w:val="ru-RU"/>
              </w:rPr>
              <w:t>я хотел бы обратить внимание на тот факт, что выбор вариантов может сказаться на балансе, на который ссылаются многие делегации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а также он связан с вопросами </w:t>
            </w:r>
            <w:r w:rsidRPr="006A26B6">
              <w:rPr>
                <w:rFonts w:ascii="Arial" w:hAnsi="Arial" w:cs="Arial"/>
                <w:sz w:val="20"/>
                <w:szCs w:val="20"/>
                <w:lang w:val="ru-RU"/>
              </w:rPr>
              <w:t>общественно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го достояния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(см. выше) </w:t>
            </w:r>
            <w:r w:rsidR="007876CD">
              <w:rPr>
                <w:rFonts w:ascii="Arial" w:hAnsi="Arial" w:cs="Arial"/>
                <w:sz w:val="20"/>
                <w:szCs w:val="20"/>
                <w:lang w:val="ru-RU"/>
              </w:rPr>
              <w:t xml:space="preserve">и прав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 интерес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ов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пользователей, которые </w:t>
            </w:r>
            <w:r w:rsidR="007876CD">
              <w:rPr>
                <w:rFonts w:ascii="Arial" w:hAnsi="Arial" w:cs="Arial"/>
                <w:sz w:val="20"/>
                <w:szCs w:val="20"/>
                <w:lang w:val="ru-RU"/>
              </w:rPr>
              <w:t xml:space="preserve">некоторые делегации определили на двадцать седьмой сессии </w:t>
            </w:r>
            <w:r w:rsidR="007876CD" w:rsidRPr="006A26B6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7876CD">
              <w:rPr>
                <w:rFonts w:ascii="Arial" w:hAnsi="Arial" w:cs="Arial"/>
                <w:sz w:val="20"/>
                <w:szCs w:val="20"/>
                <w:lang w:val="ru-RU"/>
              </w:rPr>
              <w:t xml:space="preserve"> как сквозные вопросы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58755B">
              <w:rPr>
                <w:rFonts w:ascii="Arial" w:hAnsi="Arial" w:cs="Arial"/>
                <w:sz w:val="20"/>
                <w:szCs w:val="20"/>
                <w:lang w:val="ru-RU"/>
              </w:rPr>
              <w:t>Он мо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жет </w:t>
            </w:r>
            <w:r w:rsidR="0058755B">
              <w:rPr>
                <w:rFonts w:ascii="Arial" w:hAnsi="Arial" w:cs="Arial"/>
                <w:sz w:val="20"/>
                <w:szCs w:val="20"/>
                <w:lang w:val="ru-RU"/>
              </w:rPr>
              <w:t xml:space="preserve">быть рассмотрен в контексте поиска баланса интересов или компромисса, которые позволили бы решить некоторые из наиболее </w:t>
            </w:r>
            <w:r w:rsidR="00F42ECF">
              <w:rPr>
                <w:rFonts w:ascii="Arial" w:hAnsi="Arial" w:cs="Arial"/>
                <w:sz w:val="20"/>
                <w:szCs w:val="20"/>
                <w:lang w:val="ru-RU"/>
              </w:rPr>
              <w:t xml:space="preserve">сложных вопросов, особенно касающихся характера заявленных </w:t>
            </w:r>
            <w:r w:rsidR="00F42ECF" w:rsidRPr="00F42ECF">
              <w:rPr>
                <w:rFonts w:ascii="Arial" w:hAnsi="Arial" w:cs="Arial"/>
                <w:sz w:val="20"/>
                <w:szCs w:val="20"/>
                <w:lang w:val="ru-RU"/>
              </w:rPr>
              <w:t>ТЗ/ТВК</w:t>
            </w:r>
            <w:r w:rsidR="00F42ECF">
              <w:rPr>
                <w:rFonts w:ascii="Arial" w:hAnsi="Arial" w:cs="Arial"/>
                <w:sz w:val="20"/>
                <w:szCs w:val="20"/>
                <w:lang w:val="ru-RU"/>
              </w:rPr>
              <w:t xml:space="preserve"> и текущего доступа к ним</w:t>
            </w:r>
            <w:r w:rsidR="009D59D3" w:rsidRPr="00F42ECF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403DFD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В обоих текстах уровни помечены в соответствии со степенью распространения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ТЗ/ТВК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Однако критерии распространения, которые могут быть уместны в области ТЗ, могут быть неприменимы в области ТВК, которые, возможно, могут быть классифицированы в соответствии с </w:t>
            </w:r>
            <w:r w:rsidR="00DB6A27">
              <w:rPr>
                <w:rFonts w:ascii="Arial" w:hAnsi="Arial" w:cs="Arial"/>
                <w:sz w:val="20"/>
                <w:szCs w:val="20"/>
                <w:lang w:val="ru-RU"/>
              </w:rPr>
              <w:t>иной системой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На практике же, в то время как этот подход может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служить</w:t>
            </w:r>
            <w:r w:rsid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нововведением в области ТЗ, многоуровневый подход применялся в предыдущих вариантах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текста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например</w:t>
            </w:r>
            <w:r w:rsid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в документе «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Охрана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традиционных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выражений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культуры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выражений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фольклора</w:t>
            </w:r>
            <w:r w:rsid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: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пересмотренные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цели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603BF1">
              <w:rPr>
                <w:rFonts w:ascii="Arial" w:hAnsi="Arial" w:cs="Arial"/>
                <w:sz w:val="20"/>
                <w:szCs w:val="20"/>
                <w:lang w:val="ru-RU"/>
              </w:rPr>
              <w:t>принципы</w:t>
            </w:r>
            <w:r w:rsidR="00DB6A27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Pr="00603BF1">
              <w:rPr>
                <w:rFonts w:ascii="Arial" w:hAnsi="Arial" w:cs="Arial"/>
                <w:sz w:val="20"/>
                <w:szCs w:val="20"/>
              </w:rPr>
              <w:t>WIPO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603BF1">
              <w:rPr>
                <w:rFonts w:ascii="Arial" w:hAnsi="Arial" w:cs="Arial"/>
                <w:sz w:val="20"/>
                <w:szCs w:val="20"/>
              </w:rPr>
              <w:t>GRTKF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603BF1">
              <w:rPr>
                <w:rFonts w:ascii="Arial" w:hAnsi="Arial" w:cs="Arial"/>
                <w:sz w:val="20"/>
                <w:szCs w:val="20"/>
              </w:rPr>
              <w:t>IC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/9/4), </w:t>
            </w:r>
            <w:r w:rsid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впервые выпущенном в </w:t>
            </w:r>
            <w:r w:rsidRPr="00DB6A27">
              <w:rPr>
                <w:rFonts w:ascii="Arial" w:hAnsi="Arial" w:cs="Arial"/>
                <w:sz w:val="20"/>
                <w:szCs w:val="20"/>
                <w:lang w:val="ru-RU"/>
              </w:rPr>
              <w:t>2006</w:t>
            </w:r>
            <w:r w:rsid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г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В этом документе были использованы следующие категории </w:t>
            </w:r>
            <w:r w:rsidR="00794349" w:rsidRPr="00DB6A27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146D28" w:rsidRPr="00DB6A27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r w:rsidR="00F91B56"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94349" w:rsidRPr="00DB6A27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403DFD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 w:rsidR="00146D28" w:rsidRPr="00DB6A2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E484F" w:rsidRPr="00BE484F">
              <w:rPr>
                <w:rFonts w:ascii="Arial" w:hAnsi="Arial" w:cs="Arial"/>
                <w:sz w:val="20"/>
                <w:szCs w:val="20"/>
                <w:lang w:val="ru-RU"/>
              </w:rPr>
              <w:t xml:space="preserve">имеющие особую </w:t>
            </w:r>
            <w:r w:rsidR="00BE484F">
              <w:rPr>
                <w:rFonts w:ascii="Arial" w:hAnsi="Arial" w:cs="Arial"/>
                <w:sz w:val="20"/>
                <w:szCs w:val="20"/>
                <w:lang w:val="ru-RU"/>
              </w:rPr>
              <w:t xml:space="preserve">духовную или культурную </w:t>
            </w:r>
            <w:r w:rsidR="00BE484F" w:rsidRPr="00BE484F">
              <w:rPr>
                <w:rFonts w:ascii="Arial" w:hAnsi="Arial" w:cs="Arial"/>
                <w:sz w:val="20"/>
                <w:szCs w:val="20"/>
                <w:lang w:val="ru-RU"/>
              </w:rPr>
              <w:t>ценност</w:t>
            </w:r>
            <w:r w:rsidR="00403DFD"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="00BE484F" w:rsidRPr="00BE484F">
              <w:rPr>
                <w:rFonts w:ascii="Arial" w:hAnsi="Arial" w:cs="Arial"/>
                <w:sz w:val="20"/>
                <w:szCs w:val="20"/>
                <w:lang w:val="ru-RU"/>
              </w:rPr>
              <w:t xml:space="preserve"> или значимость</w:t>
            </w:r>
            <w:r w:rsidR="00403DFD">
              <w:rPr>
                <w:rFonts w:ascii="Arial" w:hAnsi="Arial" w:cs="Arial"/>
                <w:sz w:val="20"/>
                <w:szCs w:val="20"/>
                <w:lang w:val="ru-RU"/>
              </w:rPr>
              <w:t>; другие ТВК (т.е. за исключением первой категории); и ТВК, которые хранятся в тайне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403DFD">
              <w:rPr>
                <w:rFonts w:ascii="Arial" w:hAnsi="Arial" w:cs="Arial"/>
                <w:sz w:val="20"/>
                <w:szCs w:val="20"/>
                <w:lang w:val="ru-RU"/>
              </w:rPr>
              <w:t xml:space="preserve">Другими словами, главный вопрос, который стоит перед </w:t>
            </w:r>
            <w:r w:rsidR="00403DFD" w:rsidRPr="00403DFD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 </w:t>
            </w:r>
            <w:r w:rsidR="00403DFD">
              <w:rPr>
                <w:rFonts w:ascii="Arial" w:hAnsi="Arial" w:cs="Arial"/>
                <w:sz w:val="20"/>
                <w:szCs w:val="20"/>
                <w:lang w:val="ru-RU"/>
              </w:rPr>
              <w:t>– применим ли к ТВК многоуровневый подход, а если применим, то могут ли в случае ТВК применяться те же категории, которые были использованы в документе по ТЗ</w:t>
            </w:r>
            <w:r w:rsidR="00146D28" w:rsidRPr="00403DFD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Pr="00403DFD" w:rsidRDefault="00603BF1" w:rsidP="00812B35">
            <w:pPr>
              <w:tabs>
                <w:tab w:val="left" w:pos="5998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403DFD" w:rsidRDefault="00403DFD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рамках неофициальных обсуждений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на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двадцать седьмой сессии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многоуровневый подход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был назван пирамидой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а затем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матрицей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и подобная визуализация может послужить ценным инструментом при доработке структуры обоих текстов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1B3C1D" w:rsidRDefault="00403DFD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Если данный многоуровневый подход будет утвержден в качестве более эффективного </w:t>
            </w:r>
            <w:r w:rsidR="00811526">
              <w:rPr>
                <w:rFonts w:ascii="Arial" w:hAnsi="Arial" w:cs="Arial"/>
                <w:sz w:val="20"/>
                <w:szCs w:val="20"/>
                <w:lang w:val="ru-RU"/>
              </w:rPr>
              <w:t xml:space="preserve">способа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обеспечения надлежащего </w:t>
            </w:r>
            <w:r w:rsidR="00811526">
              <w:rPr>
                <w:rFonts w:ascii="Arial" w:hAnsi="Arial" w:cs="Arial"/>
                <w:sz w:val="20"/>
                <w:szCs w:val="20"/>
                <w:lang w:val="ru-RU"/>
              </w:rPr>
              <w:t>баланса между охраной и доступом, МКГР необходимо будет оперативно заняться поиском ключевых общих элементов, определяющих каждый уровень</w:t>
            </w:r>
            <w:r w:rsidR="00864AB5" w:rsidRPr="001B3C1D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146D28" w:rsidRPr="00811526" w:rsidRDefault="00146D28" w:rsidP="00812B35">
            <w:pPr>
              <w:tabs>
                <w:tab w:val="left" w:pos="977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Pr="001B3C1D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Pr="001B3C1D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146D28" w:rsidRPr="001B3C1D" w:rsidRDefault="001B3C1D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Базы данных и информацион-ные системы </w:t>
            </w:r>
          </w:p>
        </w:tc>
        <w:tc>
          <w:tcPr>
            <w:tcW w:w="663" w:type="pct"/>
            <w:shd w:val="clear" w:color="auto" w:fill="auto"/>
          </w:tcPr>
          <w:p w:rsidR="00603BF1" w:rsidRPr="001B3C1D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BA10B9">
              <w:rPr>
                <w:rFonts w:ascii="Arial" w:hAnsi="Arial" w:cs="Arial"/>
                <w:b/>
                <w:sz w:val="20"/>
                <w:szCs w:val="20"/>
                <w:lang w:val="fr-CH"/>
              </w:rPr>
              <w:t>ГР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146D28" w:rsidRPr="00A4558E" w:rsidRDefault="00146D28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 3</w:t>
            </w:r>
            <w:r w:rsidR="00146D28">
              <w:rPr>
                <w:rFonts w:ascii="Arial" w:hAnsi="Arial" w:cs="Arial"/>
                <w:i/>
                <w:sz w:val="20"/>
                <w:szCs w:val="20"/>
                <w:lang w:val="fr-CH"/>
              </w:rPr>
              <w:t>BIS</w:t>
            </w:r>
            <w:r w:rsidR="00146D28"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603BF1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Статьи</w:t>
            </w:r>
            <w:r w:rsidR="00146D28"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8-9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BA10B9"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>ГР</w:t>
            </w:r>
          </w:p>
          <w:p w:rsidR="00146D28" w:rsidRPr="00BA10B9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Pr="00AD1B09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AB14AD" w:rsidRDefault="001B3C1D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Тексты</w:t>
            </w:r>
            <w:r w:rsidRPr="001B3C1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1B3C1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96E89" w:rsidRPr="001B3C1D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1B3C1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1B3C1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1B3C1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1B3C1D">
              <w:rPr>
                <w:rFonts w:ascii="Arial" w:hAnsi="Arial" w:cs="Arial"/>
                <w:sz w:val="20"/>
                <w:szCs w:val="20"/>
                <w:lang w:val="ru-RU"/>
              </w:rPr>
              <w:t>ГР</w:t>
            </w:r>
            <w:r w:rsidR="00146D28" w:rsidRPr="001B3C1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предусматривают</w:t>
            </w:r>
            <w:r w:rsidRPr="001B3C1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возможность</w:t>
            </w:r>
            <w:r w:rsidRPr="001B3C1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создания баз данных </w:t>
            </w:r>
            <w:r w:rsidRPr="001B3C1D">
              <w:rPr>
                <w:rFonts w:ascii="Arial" w:hAnsi="Arial" w:cs="Arial"/>
                <w:sz w:val="20"/>
                <w:szCs w:val="20"/>
                <w:lang w:val="ru-RU"/>
              </w:rPr>
              <w:t>ТЗ и 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/их </w:t>
            </w:r>
            <w:r w:rsidRPr="001B3C1D">
              <w:rPr>
                <w:rFonts w:ascii="Arial" w:hAnsi="Arial" w:cs="Arial"/>
                <w:sz w:val="20"/>
                <w:szCs w:val="20"/>
                <w:lang w:val="ru-RU"/>
              </w:rPr>
              <w:t>производных</w:t>
            </w:r>
            <w:r w:rsidR="006238D2">
              <w:rPr>
                <w:rFonts w:ascii="Arial" w:hAnsi="Arial" w:cs="Arial"/>
                <w:sz w:val="20"/>
                <w:szCs w:val="20"/>
                <w:lang w:val="ru-RU"/>
              </w:rPr>
              <w:t>/АТЗ</w:t>
            </w:r>
            <w:r w:rsidR="00AB14AD" w:rsidRPr="00AB14AD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AB14AD">
              <w:rPr>
                <w:rFonts w:ascii="Arial" w:hAnsi="Arial" w:cs="Arial"/>
                <w:sz w:val="20"/>
                <w:szCs w:val="20"/>
                <w:lang w:val="ru-RU"/>
              </w:rPr>
              <w:t>ТЗГР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AB14AD">
              <w:rPr>
                <w:rFonts w:ascii="Arial" w:hAnsi="Arial" w:cs="Arial"/>
                <w:sz w:val="20"/>
                <w:szCs w:val="20"/>
                <w:lang w:val="ru-RU"/>
              </w:rPr>
              <w:t>В т</w:t>
            </w:r>
            <w:r w:rsidR="00AB14AD" w:rsidRPr="00AB14AD">
              <w:rPr>
                <w:rFonts w:ascii="Arial" w:hAnsi="Arial" w:cs="Arial"/>
                <w:sz w:val="20"/>
                <w:szCs w:val="20"/>
                <w:lang w:val="ru-RU"/>
              </w:rPr>
              <w:t>екст</w:t>
            </w:r>
            <w:r w:rsidR="00AB14AD">
              <w:rPr>
                <w:rFonts w:ascii="Arial" w:hAnsi="Arial" w:cs="Arial"/>
                <w:sz w:val="20"/>
                <w:szCs w:val="20"/>
                <w:lang w:val="ru-RU"/>
              </w:rPr>
              <w:t xml:space="preserve">е </w:t>
            </w:r>
            <w:r w:rsidR="00AB14AD" w:rsidRPr="00AB14AD">
              <w:rPr>
                <w:rFonts w:ascii="Arial" w:hAnsi="Arial" w:cs="Arial"/>
                <w:sz w:val="20"/>
                <w:szCs w:val="20"/>
                <w:lang w:val="ru-RU"/>
              </w:rPr>
              <w:t>по ТЗ</w:t>
            </w:r>
            <w:r w:rsidR="00AB14AD">
              <w:rPr>
                <w:rFonts w:ascii="Arial" w:hAnsi="Arial" w:cs="Arial"/>
                <w:sz w:val="20"/>
                <w:szCs w:val="20"/>
                <w:lang w:val="ru-RU"/>
              </w:rPr>
              <w:t xml:space="preserve"> также упоминаются базы данных генетических ресурсов и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ТЗГР</w:t>
            </w:r>
            <w:r w:rsidR="00146D28" w:rsidRPr="00AB14AD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Pr="00AB14AD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812B35" w:rsidRPr="007C50DC" w:rsidRDefault="004F58EF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C50DC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7C50D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C50DC">
              <w:rPr>
                <w:rFonts w:ascii="Arial" w:hAnsi="Arial" w:cs="Arial"/>
                <w:sz w:val="20"/>
                <w:szCs w:val="20"/>
                <w:lang w:val="ru-RU"/>
              </w:rPr>
              <w:t>предлагается продолжить рассмотрение целей/задач таких баз данных, а также условий их работы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7C50DC"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="007C50DC" w:rsidRPr="007C50D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C50DC">
              <w:rPr>
                <w:rFonts w:ascii="Arial" w:hAnsi="Arial" w:cs="Arial"/>
                <w:sz w:val="20"/>
                <w:szCs w:val="20"/>
                <w:lang w:val="ru-RU"/>
              </w:rPr>
              <w:t>частности</w:t>
            </w:r>
            <w:r w:rsidR="007C50DC" w:rsidRPr="007C50DC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7C50DC">
              <w:rPr>
                <w:rFonts w:ascii="Arial" w:hAnsi="Arial" w:cs="Arial"/>
                <w:sz w:val="20"/>
                <w:szCs w:val="20"/>
                <w:lang w:val="ru-RU"/>
              </w:rPr>
              <w:t xml:space="preserve">какую роль будут играть базы данных с учетом требования о раскрытии информации (например, должны или они использоваться для дополнения и/или применения требования о раскрытии </w:t>
            </w:r>
            <w:r w:rsidR="007C50DC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информации)? Кто должен отвечать за составление и ведение таких баз данных? </w:t>
            </w:r>
            <w:r w:rsidR="00FD3F79">
              <w:rPr>
                <w:rFonts w:ascii="Arial" w:hAnsi="Arial" w:cs="Arial"/>
                <w:sz w:val="20"/>
                <w:szCs w:val="20"/>
                <w:lang w:val="ru-RU"/>
              </w:rPr>
              <w:t xml:space="preserve">Каковы будут минимальные стандарты </w:t>
            </w:r>
            <w:r w:rsidR="00FD3F79" w:rsidRPr="00FD3F79">
              <w:rPr>
                <w:rFonts w:ascii="Arial" w:hAnsi="Arial" w:cs="Arial"/>
                <w:sz w:val="20"/>
                <w:szCs w:val="20"/>
                <w:lang w:val="ru-RU"/>
              </w:rPr>
              <w:t>гармонизации структуры и содержания баз данных</w:t>
            </w:r>
            <w:r w:rsidR="00FD3F79">
              <w:rPr>
                <w:rFonts w:ascii="Arial" w:hAnsi="Arial" w:cs="Arial"/>
                <w:sz w:val="20"/>
                <w:szCs w:val="20"/>
                <w:lang w:val="ru-RU"/>
              </w:rPr>
              <w:t>? Кто должен иметь доступ к базам данных? Как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им </w:t>
            </w:r>
            <w:r w:rsidR="00FD3F79"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должно быть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содержание </w:t>
            </w:r>
            <w:r w:rsidR="00FD3F79" w:rsidRPr="00FD3F79">
              <w:rPr>
                <w:rFonts w:ascii="Arial" w:hAnsi="Arial" w:cs="Arial"/>
                <w:sz w:val="20"/>
                <w:szCs w:val="20"/>
                <w:lang w:val="ru-RU"/>
              </w:rPr>
              <w:t>баз данных</w:t>
            </w:r>
            <w:r w:rsidR="00FD3F79">
              <w:rPr>
                <w:rFonts w:ascii="Arial" w:hAnsi="Arial" w:cs="Arial"/>
                <w:sz w:val="20"/>
                <w:szCs w:val="20"/>
                <w:lang w:val="ru-RU"/>
              </w:rPr>
              <w:t xml:space="preserve">? Какой должна быть форма содержания </w:t>
            </w:r>
            <w:r w:rsidR="00722C55" w:rsidRPr="00FD3F79">
              <w:rPr>
                <w:rFonts w:ascii="Arial" w:hAnsi="Arial" w:cs="Arial"/>
                <w:sz w:val="20"/>
                <w:szCs w:val="20"/>
                <w:lang w:val="ru-RU"/>
              </w:rPr>
              <w:t>баз данных</w:t>
            </w:r>
            <w:r w:rsidR="00722C55">
              <w:rPr>
                <w:rFonts w:ascii="Arial" w:hAnsi="Arial" w:cs="Arial"/>
                <w:sz w:val="20"/>
                <w:szCs w:val="20"/>
                <w:lang w:val="ru-RU"/>
              </w:rPr>
              <w:t xml:space="preserve">? </w:t>
            </w:r>
            <w:r w:rsidR="00722C55" w:rsidRPr="00722C55">
              <w:rPr>
                <w:rFonts w:ascii="Arial" w:hAnsi="Arial" w:cs="Arial"/>
                <w:sz w:val="20"/>
                <w:szCs w:val="20"/>
                <w:lang w:val="ru-RU"/>
              </w:rPr>
              <w:t xml:space="preserve">Должны ли быть </w:t>
            </w:r>
            <w:r w:rsidR="00722C55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приняты </w:t>
            </w:r>
            <w:r w:rsidR="00722C55" w:rsidRPr="00722C55">
              <w:rPr>
                <w:rFonts w:ascii="Arial" w:hAnsi="Arial" w:cs="Arial"/>
                <w:sz w:val="20"/>
                <w:szCs w:val="20"/>
                <w:lang w:val="ru-RU"/>
              </w:rPr>
              <w:t>сопровождающие руководящие принципы</w:t>
            </w:r>
            <w:r w:rsidR="00722C55">
              <w:rPr>
                <w:rFonts w:ascii="Arial" w:hAnsi="Arial" w:cs="Arial"/>
                <w:sz w:val="20"/>
                <w:szCs w:val="20"/>
                <w:lang w:val="ru-RU"/>
              </w:rPr>
              <w:t xml:space="preserve">? </w:t>
            </w:r>
          </w:p>
          <w:p w:rsidR="00812B35" w:rsidRPr="007C50DC" w:rsidRDefault="00812B35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722C55" w:rsidRDefault="00722C55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Эти вопросы важны и касаются обоих наборов баз данных, и МКГР предлагается рассмотреть их в совокупности</w:t>
            </w:r>
            <w:r w:rsidR="00146D28" w:rsidRPr="00722C55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146D28" w:rsidRPr="00722C55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7567E" w:rsidTr="00827211">
        <w:tc>
          <w:tcPr>
            <w:tcW w:w="203" w:type="pct"/>
            <w:shd w:val="clear" w:color="auto" w:fill="auto"/>
          </w:tcPr>
          <w:p w:rsidR="00603BF1" w:rsidRPr="00722C55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Pr="00AD1B09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722C55" w:rsidRPr="00AD1B09" w:rsidRDefault="00722C55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AD1B09">
              <w:rPr>
                <w:rFonts w:ascii="Arial" w:hAnsi="Arial" w:cs="Arial"/>
                <w:b/>
                <w:sz w:val="20"/>
                <w:szCs w:val="20"/>
                <w:lang w:val="ru-RU"/>
              </w:rPr>
              <w:t>Санкции, средства правовой защиты и осуществление прав</w:t>
            </w:r>
          </w:p>
          <w:p w:rsidR="00146D28" w:rsidRPr="00AD1B09" w:rsidRDefault="00146D28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Pr="00AD1B09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3B6563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  <w:lang w:val="fr-CH"/>
              </w:rPr>
              <w:t>ТВК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46D28" w:rsidRPr="003B6563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Pr="001B3C1D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4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8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  <w:p w:rsidR="00146D28" w:rsidRPr="001B3C1D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22C55" w:rsidRDefault="00722C55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Многие делегации, считавшие необходимым сделать особый упор на вопросах защиты и уважения прав, на двадцать седьмой сессии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определили данный вопрос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 качестве важного сквозного вопроса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722C55" w:rsidRDefault="00722C55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93236E" w:rsidRDefault="0093236E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Тексты по ТЗ и ТВК содержат несколько разных концепций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Они также содержат схожие концепции, которые весьма по-разному сформулированы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Поскольку данное процедурное положение, вероятно, будет применяться в контексте как ТЗ, так и ТВК, МКГР мог бы повторно рассмотреть оба варианта, упростить их и определить случаи, в которых возможно параллельное использование формулировок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 тем чтобы улучшить оба текста</w:t>
            </w:r>
            <w:r w:rsidR="00146D28" w:rsidRPr="0093236E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Default="00603BF1" w:rsidP="0093236E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1A7BD5" w:rsidRDefault="0066134E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 целях упрощения текстов данная статья, возможно, могла бы</w:t>
            </w:r>
            <w:r w:rsidR="00AD1B09" w:rsidRPr="00AD1B0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D1B09">
              <w:rPr>
                <w:rFonts w:ascii="Arial" w:hAnsi="Arial" w:cs="Arial"/>
                <w:sz w:val="20"/>
                <w:szCs w:val="20"/>
                <w:lang w:val="ru-RU"/>
              </w:rPr>
              <w:t xml:space="preserve">определять общие рамки на международном уровне, в то время как подробные положения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могли бы быть приняты в </w:t>
            </w:r>
            <w:r w:rsidR="00AD1B09">
              <w:rPr>
                <w:rFonts w:ascii="Arial" w:hAnsi="Arial" w:cs="Arial"/>
                <w:sz w:val="20"/>
                <w:szCs w:val="20"/>
                <w:lang w:val="ru-RU"/>
              </w:rPr>
              <w:t>национальном законодательстве</w:t>
            </w:r>
            <w:r w:rsidR="00D55811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AD1B09">
              <w:rPr>
                <w:rFonts w:ascii="Arial" w:hAnsi="Arial" w:cs="Arial"/>
                <w:sz w:val="20"/>
                <w:szCs w:val="20"/>
                <w:lang w:val="ru-RU"/>
              </w:rPr>
              <w:t>В этой связи ряд делегаций предложили принять на международном уровне некоторые общие или согласованные принципы в отношении санкций и средств правовой защиты, что будет на пользу ключевы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м заинтересованным </w:t>
            </w:r>
            <w:r w:rsidR="00AD1B09">
              <w:rPr>
                <w:rFonts w:ascii="Arial" w:hAnsi="Arial" w:cs="Arial"/>
                <w:sz w:val="20"/>
                <w:szCs w:val="20"/>
                <w:lang w:val="ru-RU"/>
              </w:rPr>
              <w:t>сторон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ам</w:t>
            </w:r>
            <w:r w:rsidR="0050744A">
              <w:rPr>
                <w:rFonts w:ascii="Arial" w:hAnsi="Arial" w:cs="Arial"/>
                <w:sz w:val="20"/>
                <w:szCs w:val="20"/>
                <w:lang w:val="ru-RU"/>
              </w:rPr>
              <w:t xml:space="preserve">;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но, </w:t>
            </w:r>
            <w:r w:rsidR="0050744A">
              <w:rPr>
                <w:rFonts w:ascii="Arial" w:hAnsi="Arial" w:cs="Arial"/>
                <w:sz w:val="20"/>
                <w:szCs w:val="20"/>
                <w:lang w:val="ru-RU"/>
              </w:rPr>
              <w:t xml:space="preserve">с другой стороны, некоторые делегации сочли, что </w:t>
            </w:r>
            <w:r w:rsidR="00A21EED">
              <w:rPr>
                <w:rFonts w:ascii="Arial" w:hAnsi="Arial" w:cs="Arial"/>
                <w:sz w:val="20"/>
                <w:szCs w:val="20"/>
                <w:lang w:val="ru-RU"/>
              </w:rPr>
              <w:t xml:space="preserve">ограничение санкций может </w:t>
            </w:r>
            <w:r w:rsidR="00EA6895">
              <w:rPr>
                <w:rFonts w:ascii="Arial" w:hAnsi="Arial" w:cs="Arial"/>
                <w:sz w:val="20"/>
                <w:szCs w:val="20"/>
                <w:lang w:val="ru-RU"/>
              </w:rPr>
              <w:t xml:space="preserve">подорвать эффект сдерживания злоупотреблений, </w:t>
            </w:r>
            <w:r w:rsidR="001A7BD5">
              <w:rPr>
                <w:rFonts w:ascii="Arial" w:hAnsi="Arial" w:cs="Arial"/>
                <w:sz w:val="20"/>
                <w:szCs w:val="20"/>
                <w:lang w:val="ru-RU"/>
              </w:rPr>
              <w:t>в то время как они хотели бы, чтобы данный инструмент усиливал его</w:t>
            </w:r>
            <w:r w:rsidR="009D59D3" w:rsidRPr="001A7BD5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46D28" w:rsidRPr="001D6395" w:rsidRDefault="00226382" w:rsidP="00812B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Возможно целесообразно попытаться </w:t>
            </w:r>
            <w:r w:rsidRPr="00226382">
              <w:rPr>
                <w:rFonts w:ascii="Arial" w:hAnsi="Arial" w:cs="Arial"/>
                <w:sz w:val="20"/>
                <w:szCs w:val="20"/>
                <w:lang w:val="ru-RU"/>
              </w:rPr>
              <w:t xml:space="preserve">достичь договоренности о том, должны ли государства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нести</w:t>
            </w:r>
            <w:r w:rsidRPr="00226382">
              <w:rPr>
                <w:rFonts w:ascii="Arial" w:hAnsi="Arial" w:cs="Arial"/>
                <w:sz w:val="20"/>
                <w:szCs w:val="20"/>
                <w:lang w:val="ru-RU"/>
              </w:rPr>
              <w:t xml:space="preserve"> обязан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ность </w:t>
            </w:r>
            <w:r w:rsidRPr="00226382">
              <w:rPr>
                <w:rFonts w:ascii="Arial" w:hAnsi="Arial" w:cs="Arial"/>
                <w:sz w:val="20"/>
                <w:szCs w:val="20"/>
                <w:lang w:val="ru-RU"/>
              </w:rPr>
              <w:t>предоставлять сторонам в споре возможность использования механизмов альтернативного урегулирования споров</w:t>
            </w:r>
            <w:r w:rsidR="00146D28" w:rsidRPr="00226382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="00812C87" w:rsidRPr="00226382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Это положение могло бы быть уточнено и 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согласовано</w:t>
            </w:r>
            <w:r w:rsidR="00146D28" w:rsidRPr="00226382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Pr="00226382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Default="00EC6B0C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EC6B0C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  <w:proofErr w:type="spellEnd"/>
            <w:r w:rsidRPr="00EC6B0C">
              <w:rPr>
                <w:rFonts w:ascii="Arial" w:hAnsi="Arial" w:cs="Arial"/>
                <w:b/>
                <w:sz w:val="20"/>
                <w:szCs w:val="20"/>
              </w:rPr>
              <w:t xml:space="preserve"> о </w:t>
            </w:r>
            <w:proofErr w:type="spellStart"/>
            <w:r w:rsidRPr="00EC6B0C">
              <w:rPr>
                <w:rFonts w:ascii="Arial" w:hAnsi="Arial" w:cs="Arial"/>
                <w:b/>
                <w:sz w:val="20"/>
                <w:szCs w:val="20"/>
              </w:rPr>
              <w:t>раскрытии</w:t>
            </w:r>
            <w:proofErr w:type="spellEnd"/>
            <w:r w:rsidRPr="00064A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A6895" w:rsidRPr="00EA6895" w:rsidRDefault="00EA6895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3B6563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BA10B9">
              <w:rPr>
                <w:rFonts w:ascii="Arial" w:hAnsi="Arial" w:cs="Arial"/>
                <w:b/>
                <w:sz w:val="20"/>
                <w:szCs w:val="20"/>
                <w:lang w:val="fr-CH"/>
              </w:rPr>
              <w:t>ГР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46D28" w:rsidRPr="00A4558E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4</w:t>
            </w:r>
            <w:r w:rsidR="00146D28">
              <w:rPr>
                <w:rFonts w:ascii="Arial" w:hAnsi="Arial" w:cs="Arial"/>
                <w:i/>
                <w:sz w:val="20"/>
                <w:szCs w:val="20"/>
                <w:lang w:val="fr-CH"/>
              </w:rPr>
              <w:t>BIS</w:t>
            </w:r>
            <w:r w:rsidR="00146D28"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603BF1" w:rsidRDefault="00A829AD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Статьи</w:t>
            </w:r>
            <w:r w:rsidR="00146D28"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3-7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BA10B9" w:rsidRPr="00BA10B9">
              <w:rPr>
                <w:rFonts w:ascii="Arial" w:hAnsi="Arial" w:cs="Arial"/>
                <w:i/>
                <w:sz w:val="20"/>
                <w:szCs w:val="20"/>
                <w:lang w:val="ru-RU"/>
              </w:rPr>
              <w:t>ГР</w:t>
            </w:r>
          </w:p>
          <w:p w:rsidR="00146D28" w:rsidRPr="00BA10B9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Pr="001B3C1D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EC6B0C" w:rsidRDefault="00EC6B0C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>ах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96E89" w:rsidRPr="00EC6B0C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так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EC6B0C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EC6B0C">
              <w:rPr>
                <w:rFonts w:ascii="Arial" w:hAnsi="Arial" w:cs="Arial"/>
                <w:sz w:val="20"/>
                <w:szCs w:val="20"/>
                <w:lang w:val="ru-RU"/>
              </w:rPr>
              <w:t>ГР</w:t>
            </w:r>
            <w:r w:rsidR="00146D28"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предлагается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разработать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требования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раскрытии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положения, которые будут требовать, чтобы в патентных заявлениях </w:t>
            </w:r>
            <w:r w:rsidR="00146D28" w:rsidRPr="00EC6B0C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="00BA10B9" w:rsidRPr="00EC6B0C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возможно, других</w:t>
            </w:r>
            <w:r w:rsidR="00146D28"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документах по ИС</w:t>
            </w:r>
            <w:r w:rsidR="00146D28"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предоставлялась информация, касающаяся соответственно </w:t>
            </w:r>
            <w:r w:rsidR="00596E89" w:rsidRPr="00EC6B0C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EC6B0C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EC6B0C">
              <w:rPr>
                <w:rFonts w:ascii="Arial" w:hAnsi="Arial" w:cs="Arial"/>
                <w:sz w:val="20"/>
                <w:szCs w:val="20"/>
                <w:lang w:val="ru-RU"/>
              </w:rPr>
              <w:t>ГР</w:t>
            </w:r>
            <w:r w:rsidR="00146D28" w:rsidRPr="00EC6B0C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Pr="00EC6B0C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235434" w:rsidRDefault="004F58EF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предлагается продолжить рассмотрение </w:t>
            </w:r>
            <w:r w:rsidR="00EC6B0C" w:rsidRPr="00EC6B0C">
              <w:rPr>
                <w:rFonts w:ascii="Arial" w:hAnsi="Arial" w:cs="Arial"/>
                <w:sz w:val="20"/>
                <w:szCs w:val="20"/>
                <w:lang w:val="ru-RU"/>
              </w:rPr>
              <w:t>способов применения требования о раскрытии</w:t>
            </w:r>
            <w:r w:rsid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 в текстах по </w:t>
            </w:r>
            <w:r w:rsidR="00EC6B0C" w:rsidRPr="00EC6B0C">
              <w:rPr>
                <w:rFonts w:ascii="Arial" w:hAnsi="Arial" w:cs="Arial"/>
                <w:sz w:val="20"/>
                <w:szCs w:val="20"/>
                <w:lang w:val="ru-RU"/>
              </w:rPr>
              <w:t>ТЗ и ГР</w:t>
            </w:r>
            <w:r w:rsidR="00EC6B0C">
              <w:rPr>
                <w:rFonts w:ascii="Arial" w:hAnsi="Arial" w:cs="Arial"/>
                <w:sz w:val="20"/>
                <w:szCs w:val="20"/>
                <w:lang w:val="ru-RU"/>
              </w:rPr>
              <w:t>, включая, в частности, характер</w:t>
            </w:r>
            <w:r w:rsidR="00235434">
              <w:rPr>
                <w:rFonts w:ascii="Arial" w:hAnsi="Arial" w:cs="Arial"/>
                <w:sz w:val="20"/>
                <w:szCs w:val="20"/>
                <w:lang w:val="ru-RU"/>
              </w:rPr>
              <w:t xml:space="preserve"> и содержание раскрытия, условия </w:t>
            </w:r>
            <w:r w:rsidR="00235434" w:rsidRPr="00235434">
              <w:rPr>
                <w:rFonts w:ascii="Arial" w:hAnsi="Arial" w:cs="Arial"/>
                <w:sz w:val="20"/>
                <w:szCs w:val="20"/>
                <w:lang w:val="ru-RU"/>
              </w:rPr>
              <w:t xml:space="preserve">применения требования </w:t>
            </w:r>
            <w:r w:rsidR="00235434">
              <w:rPr>
                <w:rFonts w:ascii="Arial" w:hAnsi="Arial" w:cs="Arial"/>
                <w:sz w:val="20"/>
                <w:szCs w:val="20"/>
                <w:lang w:val="ru-RU"/>
              </w:rPr>
              <w:t xml:space="preserve">о раскрытии </w:t>
            </w:r>
            <w:r w:rsidR="00235434" w:rsidRPr="00235434">
              <w:rPr>
                <w:rFonts w:ascii="Arial" w:hAnsi="Arial" w:cs="Arial"/>
                <w:sz w:val="20"/>
                <w:szCs w:val="20"/>
                <w:lang w:val="ru-RU"/>
              </w:rPr>
              <w:t>информации</w:t>
            </w:r>
            <w:r w:rsidR="00235434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235434" w:rsidRPr="00235434">
              <w:rPr>
                <w:rFonts w:ascii="Arial" w:hAnsi="Arial" w:cs="Arial"/>
                <w:sz w:val="20"/>
                <w:szCs w:val="20"/>
                <w:lang w:val="ru-RU"/>
              </w:rPr>
              <w:t>меры для борьбы со случаями несоблюдения</w:t>
            </w:r>
            <w:r w:rsidR="00235434">
              <w:rPr>
                <w:rFonts w:ascii="Arial" w:hAnsi="Arial" w:cs="Arial"/>
                <w:sz w:val="20"/>
                <w:szCs w:val="20"/>
                <w:lang w:val="ru-RU"/>
              </w:rPr>
              <w:t xml:space="preserve"> и любые исключения и ограничения</w:t>
            </w:r>
            <w:r w:rsidR="00146D28" w:rsidRPr="00235434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Pr="00235434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235434" w:rsidRDefault="00235434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Эти вопросы являются актуальными и важными для требований о раскрытии в текс</w:t>
            </w:r>
            <w:r w:rsidR="0017567E">
              <w:rPr>
                <w:rFonts w:ascii="Arial" w:hAnsi="Arial" w:cs="Arial"/>
                <w:sz w:val="20"/>
                <w:szCs w:val="20"/>
                <w:lang w:val="ru-RU"/>
              </w:rPr>
              <w:t xml:space="preserve">тах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как по ТЗ, так и ГР, и </w:t>
            </w:r>
            <w:r w:rsidRPr="00EC6B0C">
              <w:rPr>
                <w:rFonts w:ascii="Arial" w:hAnsi="Arial" w:cs="Arial"/>
                <w:sz w:val="20"/>
                <w:szCs w:val="20"/>
                <w:lang w:val="ru-RU"/>
              </w:rPr>
              <w:t xml:space="preserve">МКГР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предлагается рассмотреть их в совокупности</w:t>
            </w:r>
            <w:r w:rsidR="00146D28" w:rsidRPr="0023543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146D28" w:rsidRPr="00235434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Pr="00235434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Pr="00235434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146D28" w:rsidRPr="00235434" w:rsidRDefault="00235434" w:rsidP="00235434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235434">
              <w:rPr>
                <w:rFonts w:ascii="Arial" w:hAnsi="Arial" w:cs="Arial"/>
                <w:b/>
                <w:sz w:val="20"/>
                <w:szCs w:val="20"/>
              </w:rPr>
              <w:t>Исключения</w:t>
            </w:r>
            <w:proofErr w:type="spellEnd"/>
            <w:r w:rsidRPr="00235434">
              <w:rPr>
                <w:rFonts w:ascii="Arial" w:hAnsi="Arial" w:cs="Arial"/>
                <w:b/>
                <w:sz w:val="20"/>
                <w:szCs w:val="20"/>
              </w:rPr>
              <w:t xml:space="preserve"> и </w:t>
            </w:r>
            <w:proofErr w:type="spellStart"/>
            <w:r w:rsidRPr="00235434">
              <w:rPr>
                <w:rFonts w:ascii="Arial" w:hAnsi="Arial" w:cs="Arial"/>
                <w:b/>
                <w:sz w:val="20"/>
                <w:szCs w:val="20"/>
              </w:rPr>
              <w:t>ограничения</w:t>
            </w:r>
            <w:proofErr w:type="spellEnd"/>
            <w:r w:rsidRPr="00235434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3" w:type="pct"/>
            <w:shd w:val="clear" w:color="auto" w:fill="auto"/>
          </w:tcPr>
          <w:p w:rsidR="00603BF1" w:rsidRPr="00235434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  <w:lang w:val="fr-CH"/>
              </w:rPr>
              <w:t>ТВК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46D28" w:rsidRPr="00146D28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Pr="001B3C1D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6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5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  <w:p w:rsidR="00146D28" w:rsidRPr="001B3C1D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Pr="001B3C1D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235434" w:rsidRDefault="00235434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 обоих текстах это положение поделено на общие и специальные исключения</w:t>
            </w:r>
            <w:r w:rsidR="00146D28" w:rsidRPr="0023543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Pr="00235434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7C65C7" w:rsidRDefault="00235434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случае общих исключений в текстах по сути излагается тест (условия, которые должны быть выполнены), который применяется на национальном уровне при разработке исключений и ограничений (пункты </w:t>
            </w:r>
            <w:r w:rsidR="00146D28" w:rsidRPr="00235434">
              <w:rPr>
                <w:rFonts w:ascii="Arial" w:hAnsi="Arial" w:cs="Arial"/>
                <w:sz w:val="20"/>
                <w:szCs w:val="20"/>
                <w:lang w:val="ru-RU"/>
              </w:rPr>
              <w:t xml:space="preserve">6.1 </w:t>
            </w:r>
            <w:r w:rsidR="00BA10B9" w:rsidRPr="0023543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235434">
              <w:rPr>
                <w:rFonts w:ascii="Arial" w:hAnsi="Arial" w:cs="Arial"/>
                <w:sz w:val="20"/>
                <w:szCs w:val="20"/>
                <w:lang w:val="ru-RU"/>
              </w:rPr>
              <w:t xml:space="preserve"> 5.1). 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представляется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существует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понимание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того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что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тест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может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включать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элементы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«классического» трехэтапного теста и компоненты, 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>основанны</w:t>
            </w:r>
            <w:r w:rsidR="000C0510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0C0510" w:rsidRPr="000C0510">
              <w:rPr>
                <w:rFonts w:ascii="Arial" w:hAnsi="Arial" w:cs="Arial"/>
                <w:sz w:val="20"/>
                <w:szCs w:val="20"/>
                <w:lang w:val="ru-RU"/>
              </w:rPr>
              <w:t xml:space="preserve"> на неимущественных правах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(концепция </w:t>
            </w:r>
            <w:r w:rsidR="007C65C7" w:rsidRPr="007C65C7">
              <w:rPr>
                <w:rFonts w:ascii="Arial" w:hAnsi="Arial" w:cs="Arial"/>
                <w:sz w:val="20"/>
                <w:szCs w:val="20"/>
                <w:lang w:val="ru-RU"/>
              </w:rPr>
              <w:t>признания бенефициаров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, концепция того, что </w:t>
            </w:r>
            <w:r w:rsidR="007C65C7" w:rsidRPr="007C65C7">
              <w:rPr>
                <w:rFonts w:ascii="Arial" w:hAnsi="Arial" w:cs="Arial"/>
                <w:sz w:val="20"/>
                <w:szCs w:val="20"/>
                <w:lang w:val="ru-RU"/>
              </w:rPr>
              <w:t>использование не должно быть оскорбительным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, и концепция того, что </w:t>
            </w:r>
            <w:r w:rsidR="007C65C7" w:rsidRPr="007C65C7">
              <w:rPr>
                <w:rFonts w:ascii="Arial" w:hAnsi="Arial" w:cs="Arial"/>
                <w:sz w:val="20"/>
                <w:szCs w:val="20"/>
                <w:lang w:val="ru-RU"/>
              </w:rPr>
              <w:t>использование</w:t>
            </w:r>
            <w:r w:rsidR="007C65C7" w:rsidRPr="007C65C7">
              <w:rPr>
                <w:lang w:val="ru-RU"/>
              </w:rPr>
              <w:t xml:space="preserve"> </w:t>
            </w:r>
            <w:r w:rsidR="007C65C7" w:rsidRPr="007C65C7">
              <w:rPr>
                <w:rFonts w:ascii="Arial" w:hAnsi="Arial" w:cs="Arial"/>
                <w:sz w:val="20"/>
                <w:szCs w:val="20"/>
                <w:lang w:val="ru-RU"/>
              </w:rPr>
              <w:t>должно быть совместимым с добросовестной практикой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>).  Хотя</w:t>
            </w:r>
            <w:r w:rsidR="007C65C7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>пункты</w:t>
            </w:r>
            <w:r w:rsidR="007C65C7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6.1 </w:t>
            </w:r>
            <w:r w:rsidR="00BA10B9" w:rsidRPr="007C65C7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5.1 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>достаточно</w:t>
            </w:r>
            <w:r w:rsidR="007C65C7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>схожи</w:t>
            </w:r>
            <w:r w:rsidR="007C65C7" w:rsidRPr="007C65C7">
              <w:rPr>
                <w:rFonts w:ascii="Arial" w:hAnsi="Arial" w:cs="Arial"/>
                <w:sz w:val="20"/>
                <w:szCs w:val="20"/>
                <w:lang w:val="ru-RU"/>
              </w:rPr>
              <w:t>, текст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829AD" w:rsidRPr="007C65C7">
              <w:rPr>
                <w:rFonts w:ascii="Arial" w:hAnsi="Arial" w:cs="Arial"/>
                <w:sz w:val="20"/>
                <w:szCs w:val="20"/>
                <w:lang w:val="ru-RU"/>
              </w:rPr>
              <w:t>по ТВК</w:t>
            </w:r>
            <w:r w:rsidR="00146D28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>содержит альтернативный набор условий</w:t>
            </w:r>
            <w:r w:rsidR="00146D28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="00812C87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Может ли </w:t>
            </w:r>
            <w:r w:rsidR="004F58EF" w:rsidRPr="007C65C7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выбрать 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 xml:space="preserve">один из 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>дву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>х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альтернативны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 xml:space="preserve">х 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>набор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 xml:space="preserve">ов </w:t>
            </w:r>
            <w:r w:rsidR="00841D32" w:rsidRPr="007C65C7">
              <w:rPr>
                <w:rFonts w:ascii="Arial" w:hAnsi="Arial" w:cs="Arial"/>
                <w:sz w:val="20"/>
                <w:szCs w:val="20"/>
                <w:lang w:val="ru-RU"/>
              </w:rPr>
              <w:t>в тексте по</w:t>
            </w:r>
            <w:r w:rsidR="00A829AD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? </w:t>
            </w:r>
            <w:r w:rsidR="00812C87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 xml:space="preserve">Представляется уместным </w:t>
            </w:r>
            <w:r w:rsidR="007C65C7">
              <w:rPr>
                <w:rFonts w:ascii="Arial" w:hAnsi="Arial" w:cs="Arial"/>
                <w:sz w:val="20"/>
                <w:szCs w:val="20"/>
                <w:lang w:val="ru-RU"/>
              </w:rPr>
              <w:t>провести обсуждения, сосредоточенные на согласовании двух точек зрения</w:t>
            </w:r>
            <w:r w:rsidR="00146D28" w:rsidRPr="007C65C7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167C6D" w:rsidRDefault="006238D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Что касается раздела «</w:t>
            </w:r>
            <w:r w:rsidRPr="006238D2">
              <w:rPr>
                <w:rFonts w:ascii="Arial" w:hAnsi="Arial" w:cs="Arial"/>
                <w:sz w:val="20"/>
                <w:szCs w:val="20"/>
                <w:lang w:val="ru-RU"/>
              </w:rPr>
              <w:t xml:space="preserve">Специальные исключения”, то на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двадцать седьмой сессии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были приняты усилия с целью согласовать тексты по ТЗ и ТВК.  Это привело к некоторому дублированию положений в обоих текстах, например положение о </w:t>
            </w:r>
            <w:r w:rsidRPr="006238D2">
              <w:rPr>
                <w:rFonts w:ascii="Arial" w:hAnsi="Arial" w:cs="Arial"/>
                <w:sz w:val="20"/>
                <w:szCs w:val="20"/>
                <w:lang w:val="ru-RU"/>
              </w:rPr>
              <w:t>создани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6238D2">
              <w:rPr>
                <w:rFonts w:ascii="Arial" w:hAnsi="Arial" w:cs="Arial"/>
                <w:sz w:val="20"/>
                <w:szCs w:val="20"/>
                <w:lang w:val="ru-RU"/>
              </w:rPr>
              <w:t xml:space="preserve"> оригинального произведения, вдохновленного ТЗ/ТВК или основанного на мотивах, заимствованных из ТЗ/ТВК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приводится дважды, равно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как и упоминание </w:t>
            </w:r>
            <w:r w:rsidR="00167C6D">
              <w:rPr>
                <w:rFonts w:ascii="Arial" w:hAnsi="Arial" w:cs="Arial"/>
                <w:sz w:val="20"/>
                <w:szCs w:val="20"/>
                <w:lang w:val="ru-RU"/>
              </w:rPr>
              <w:t xml:space="preserve">функции культурных институтов по защите и сохранению.  </w:t>
            </w:r>
            <w:r w:rsidR="00167C6D"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67C6D">
              <w:rPr>
                <w:rFonts w:ascii="Arial" w:hAnsi="Arial" w:cs="Arial"/>
                <w:sz w:val="20"/>
                <w:szCs w:val="20"/>
                <w:lang w:val="ru-RU"/>
              </w:rPr>
              <w:t xml:space="preserve"> мог бы тщательно изучить пункты 6.3 </w:t>
            </w:r>
            <w:r w:rsidR="00167C6D" w:rsidRPr="00167C6D">
              <w:rPr>
                <w:rFonts w:ascii="Arial" w:hAnsi="Arial" w:cs="Arial"/>
                <w:sz w:val="20"/>
                <w:szCs w:val="20"/>
                <w:lang w:val="ru-RU"/>
              </w:rPr>
              <w:t>текста по ТЗ (</w:t>
            </w:r>
            <w:r w:rsidR="00167C6D">
              <w:rPr>
                <w:rFonts w:ascii="Arial" w:hAnsi="Arial" w:cs="Arial"/>
                <w:sz w:val="20"/>
                <w:szCs w:val="20"/>
                <w:lang w:val="ru-RU"/>
              </w:rPr>
              <w:t xml:space="preserve">в тексте по </w:t>
            </w:r>
            <w:r w:rsidR="00167C6D" w:rsidRPr="00167C6D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67C6D">
              <w:rPr>
                <w:rFonts w:ascii="Arial" w:hAnsi="Arial" w:cs="Arial"/>
                <w:sz w:val="20"/>
                <w:szCs w:val="20"/>
                <w:lang w:val="ru-RU"/>
              </w:rPr>
              <w:t xml:space="preserve"> приводится два пункта 6.3 – это альтернативные варианты?), а также 5</w:t>
            </w:r>
            <w:r w:rsidR="00167C6D" w:rsidRPr="00167C6D">
              <w:rPr>
                <w:rFonts w:ascii="Arial" w:hAnsi="Arial" w:cs="Arial"/>
                <w:sz w:val="20"/>
                <w:szCs w:val="20"/>
                <w:lang w:val="ru-RU"/>
              </w:rPr>
              <w:t>.3 и 5.4 текста по ТВК и</w:t>
            </w:r>
            <w:r w:rsidR="00167C6D">
              <w:rPr>
                <w:rFonts w:ascii="Arial" w:hAnsi="Arial" w:cs="Arial"/>
                <w:sz w:val="20"/>
                <w:szCs w:val="20"/>
                <w:lang w:val="ru-RU"/>
              </w:rPr>
              <w:t xml:space="preserve"> упорядочить их</w:t>
            </w:r>
            <w:r w:rsidR="00146D28" w:rsidRPr="00167C6D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Pr="00167C6D" w:rsidRDefault="00603BF1" w:rsidP="0081141E">
            <w:pPr>
              <w:tabs>
                <w:tab w:val="left" w:pos="4796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81141E" w:rsidRDefault="0081141E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Некоторые делегации задали вопрос в</w:t>
            </w:r>
            <w:r w:rsidR="00167C6D">
              <w:rPr>
                <w:rFonts w:ascii="Arial" w:hAnsi="Arial" w:cs="Arial"/>
                <w:sz w:val="20"/>
                <w:szCs w:val="20"/>
                <w:lang w:val="ru-RU"/>
              </w:rPr>
              <w:t xml:space="preserve"> отношении введенного на двадцать седьмой сессии </w:t>
            </w:r>
            <w:r w:rsidR="00167C6D"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67C6D">
              <w:rPr>
                <w:rFonts w:ascii="Arial" w:hAnsi="Arial" w:cs="Arial"/>
                <w:sz w:val="20"/>
                <w:szCs w:val="20"/>
                <w:lang w:val="ru-RU"/>
              </w:rPr>
              <w:t xml:space="preserve"> многоуровневого подхода к определению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объема охраны, который касался того, не должны ли положения об исключениях и ограничениях также соответствовать данному подходу, т.е. не должны ли различные степени исключенных актов отражать различные виды объектов и уровни применяемых к ним прав</w:t>
            </w:r>
            <w:r w:rsidR="00146D28" w:rsidRPr="0081141E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Pr="0081141E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BD378B" w:rsidRDefault="0081141E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Кроме того, на двадцать седьмой сессии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 </w:t>
            </w:r>
            <w:r w:rsid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части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 w:rsidR="00BD378B"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по ТВК</w:t>
            </w:r>
            <w:r w:rsid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 xml:space="preserve">которая </w:t>
            </w:r>
            <w:r w:rsidR="00BD378B">
              <w:rPr>
                <w:rFonts w:ascii="Arial" w:hAnsi="Arial" w:cs="Arial"/>
                <w:sz w:val="20"/>
                <w:szCs w:val="20"/>
                <w:lang w:val="ru-RU"/>
              </w:rPr>
              <w:t>каса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 xml:space="preserve">ется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санкци</w:t>
            </w:r>
            <w:r w:rsid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й,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была введена концепция </w:t>
            </w:r>
            <w:r w:rsidRPr="0081141E">
              <w:rPr>
                <w:rFonts w:ascii="Arial" w:hAnsi="Arial" w:cs="Arial"/>
                <w:sz w:val="20"/>
                <w:szCs w:val="20"/>
                <w:lang w:val="ru-RU"/>
              </w:rPr>
              <w:t>случа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йного использования.  Поскольку это может быть рассмотрено как часть исключени</w:t>
            </w:r>
            <w:r w:rsidR="00BD378B">
              <w:rPr>
                <w:rFonts w:ascii="Arial" w:hAnsi="Arial" w:cs="Arial"/>
                <w:sz w:val="20"/>
                <w:szCs w:val="20"/>
                <w:lang w:val="ru-RU"/>
              </w:rPr>
              <w:t>й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ограничени</w:t>
            </w:r>
            <w:r w:rsid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й, мог бы </w:t>
            </w:r>
            <w:r w:rsidR="00BD378B"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 рассмотреть возможность переноса этого положения в соответствующую статью, а также изучить, в каком случае тексты по ТЗ и ТВК могут выгадать от включения такой </w:t>
            </w:r>
            <w:r w:rsidR="00BA10B9" w:rsidRPr="00BD378B">
              <w:rPr>
                <w:rFonts w:ascii="Arial" w:hAnsi="Arial" w:cs="Arial"/>
                <w:sz w:val="20"/>
                <w:szCs w:val="20"/>
                <w:lang w:val="ru-RU"/>
              </w:rPr>
              <w:t>концепц</w:t>
            </w:r>
            <w:r w:rsidR="00BD378B" w:rsidRPr="00BD378B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BD378B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? </w:t>
            </w:r>
          </w:p>
          <w:p w:rsidR="00603BF1" w:rsidRPr="00BD378B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46D28" w:rsidRDefault="00BD378B" w:rsidP="0089669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Наконец, как уже упоминалось, одна из делегаций, будучи поддержанной другими делегациями, заявила на двадцать седьмой сессии </w:t>
            </w:r>
            <w:r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что права и интересы третьих сторон, включая пользователей, должны также считаться сквозным вопросом. Этот вопрос рассматривается в пункте </w:t>
            </w:r>
            <w:r w:rsidR="00146D28" w:rsidRP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6.3 </w:t>
            </w:r>
            <w:r w:rsidR="00A829AD" w:rsidRPr="00BD378B">
              <w:rPr>
                <w:rFonts w:ascii="Arial" w:hAnsi="Arial" w:cs="Arial"/>
                <w:sz w:val="20"/>
                <w:szCs w:val="20"/>
                <w:lang w:val="ru-RU"/>
              </w:rPr>
              <w:t>текста по ТЗ</w:t>
            </w:r>
            <w:r w:rsidR="00146D28" w:rsidRP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BD378B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пункте </w:t>
            </w:r>
            <w:r w:rsidR="00146D28" w:rsidRP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5.4 </w:t>
            </w:r>
            <w:r w:rsidR="00A829AD" w:rsidRPr="00BD378B">
              <w:rPr>
                <w:rFonts w:ascii="Arial" w:hAnsi="Arial" w:cs="Arial"/>
                <w:sz w:val="20"/>
                <w:szCs w:val="20"/>
                <w:lang w:val="ru-RU"/>
              </w:rPr>
              <w:t>текста по ТВК</w:t>
            </w:r>
            <w:r w:rsidR="00146D28" w:rsidRPr="00BD378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BD378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Содержание</w:t>
            </w:r>
            <w:r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двух</w:t>
            </w:r>
            <w:r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текстов</w:t>
            </w:r>
            <w:r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весьма</w:t>
            </w:r>
            <w:r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схоже</w:t>
            </w:r>
            <w:r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так</w:t>
            </w:r>
            <w:r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как</w:t>
            </w:r>
            <w:r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они лишь незначительно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различ</w:t>
            </w:r>
            <w:r w:rsid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аются.  </w:t>
            </w:r>
            <w:r w:rsidR="004F58EF" w:rsidRPr="00896693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96693">
              <w:rPr>
                <w:rFonts w:ascii="Arial" w:hAnsi="Arial" w:cs="Arial"/>
                <w:sz w:val="20"/>
                <w:szCs w:val="20"/>
                <w:lang w:val="ru-RU"/>
              </w:rPr>
              <w:t>мог</w:t>
            </w:r>
            <w:r w:rsidR="00896693"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96693">
              <w:rPr>
                <w:rFonts w:ascii="Arial" w:hAnsi="Arial" w:cs="Arial"/>
                <w:sz w:val="20"/>
                <w:szCs w:val="20"/>
                <w:lang w:val="ru-RU"/>
              </w:rPr>
              <w:t>бы</w:t>
            </w:r>
            <w:r w:rsidR="00896693"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96693">
              <w:rPr>
                <w:rFonts w:ascii="Arial" w:hAnsi="Arial" w:cs="Arial"/>
                <w:sz w:val="20"/>
                <w:szCs w:val="20"/>
                <w:lang w:val="ru-RU"/>
              </w:rPr>
              <w:t>рассмотреть</w:t>
            </w:r>
            <w:r w:rsidR="00896693"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96693">
              <w:rPr>
                <w:rFonts w:ascii="Arial" w:hAnsi="Arial" w:cs="Arial"/>
                <w:sz w:val="20"/>
                <w:szCs w:val="20"/>
                <w:lang w:val="ru-RU"/>
              </w:rPr>
              <w:t>формулировки этого положения и дать свое заключение по наиболее желательной из них</w:t>
            </w:r>
            <w:r w:rsidR="00146D28" w:rsidRPr="00896693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Pr="008966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BF2BDB" w:rsidRPr="00896693" w:rsidRDefault="00BF2BDB" w:rsidP="0089669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397B7B" w:rsidTr="00827211">
        <w:tc>
          <w:tcPr>
            <w:tcW w:w="203" w:type="pct"/>
            <w:shd w:val="clear" w:color="auto" w:fill="auto"/>
          </w:tcPr>
          <w:p w:rsidR="00603BF1" w:rsidRPr="00896693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064AF0" w:rsidRDefault="00EB62C7" w:rsidP="00EB62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Срок охраны</w:t>
            </w:r>
            <w:r w:rsidR="00146D28" w:rsidRPr="00064AF0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защиты 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  <w:lang w:val="fr-CH"/>
              </w:rPr>
              <w:t>ТВК</w:t>
            </w:r>
          </w:p>
          <w:p w:rsidR="00146D28" w:rsidRPr="00146D28" w:rsidRDefault="00146D28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Pr="001B3C1D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7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146D28" w:rsidRPr="001B3C1D" w:rsidRDefault="00A829AD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6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</w:tc>
        <w:tc>
          <w:tcPr>
            <w:tcW w:w="2808" w:type="pct"/>
            <w:shd w:val="clear" w:color="auto" w:fill="auto"/>
          </w:tcPr>
          <w:p w:rsidR="00603BF1" w:rsidRPr="001B3C1D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EB62C7" w:rsidRDefault="00EB62C7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Единственный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касающийся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этого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вопроса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текст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е </w:t>
            </w:r>
            <w:r w:rsidR="00A829AD" w:rsidRPr="00EB62C7">
              <w:rPr>
                <w:rFonts w:ascii="Arial" w:hAnsi="Arial" w:cs="Arial"/>
                <w:sz w:val="20"/>
                <w:szCs w:val="20"/>
                <w:lang w:val="ru-RU"/>
              </w:rPr>
              <w:t>по ТЗ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включает большинство элементов пункта 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6.1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EB62C7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Pr="00EB62C7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EB62C7" w:rsidRDefault="00EB62C7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6.2 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41D32" w:rsidRPr="00EB62C7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касается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срока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охраны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неимущественных прав, а вариант 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3 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="00BF2BDB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6.1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EB62C7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F2BDB">
              <w:rPr>
                <w:rFonts w:ascii="Arial" w:hAnsi="Arial" w:cs="Arial"/>
                <w:sz w:val="20"/>
                <w:szCs w:val="20"/>
                <w:lang w:val="ru-RU"/>
              </w:rPr>
              <w:t xml:space="preserve">– срока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охраны экономических прав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Как представляется, они отражают различные виды прав, включенных в с</w:t>
            </w:r>
            <w:r w:rsidR="00A829AD" w:rsidRPr="00EB62C7">
              <w:rPr>
                <w:rFonts w:ascii="Arial" w:hAnsi="Arial" w:cs="Arial"/>
                <w:sz w:val="20"/>
                <w:szCs w:val="20"/>
                <w:lang w:val="ru-RU"/>
              </w:rPr>
              <w:t>тать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ю</w:t>
            </w:r>
            <w:r w:rsidR="00A829AD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3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EB62C7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Pr="00EB62C7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EB62C7" w:rsidRDefault="004F58EF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CA24B7" w:rsidRPr="00EB62C7">
              <w:rPr>
                <w:rFonts w:ascii="Arial" w:hAnsi="Arial" w:cs="Arial"/>
                <w:sz w:val="20"/>
                <w:szCs w:val="20"/>
                <w:lang w:val="ru-RU"/>
              </w:rPr>
              <w:t>может пожелать рассмотреть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аналогичный подход в контексте </w:t>
            </w:r>
            <w:r w:rsidR="00596E89" w:rsidRPr="00EB62C7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Pr="00EB62C7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EB62C7" w:rsidRDefault="00EB62C7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Можно было бы пересмотреть вариант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2 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>–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6.1 </w:t>
            </w: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 </w:t>
            </w:r>
            <w:r w:rsidR="00841D32" w:rsidRPr="00EB62C7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который не был включен </w:t>
            </w:r>
            <w:r w:rsidR="00841D32" w:rsidRPr="00EB62C7">
              <w:rPr>
                <w:rFonts w:ascii="Arial" w:hAnsi="Arial" w:cs="Arial"/>
                <w:sz w:val="20"/>
                <w:szCs w:val="20"/>
                <w:lang w:val="ru-RU"/>
              </w:rPr>
              <w:t>в тексте по</w:t>
            </w:r>
            <w:r w:rsidR="00A829AD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137B3F">
              <w:rPr>
                <w:rFonts w:ascii="Arial" w:hAnsi="Arial" w:cs="Arial"/>
                <w:sz w:val="20"/>
                <w:szCs w:val="20"/>
                <w:lang w:val="ru-RU"/>
              </w:rPr>
              <w:t>с тем чтобы сделать его более ясным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146D28" w:rsidRPr="00EB62C7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Pr="00EB62C7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EB62C7" w:rsidRDefault="00EB62C7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Формальности 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  <w:lang w:val="fr-CH"/>
              </w:rPr>
              <w:t>ТВК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46D28" w:rsidRPr="00146D28" w:rsidRDefault="00146D28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Pr="001B3C1D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8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7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  <w:p w:rsidR="00603BF1" w:rsidRPr="001B3C1D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146D28" w:rsidRPr="001B3C1D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Pr="001B3C1D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137B3F" w:rsidRDefault="00841D3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37B3F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 w:rsidR="0097218A">
              <w:rPr>
                <w:rFonts w:ascii="Arial" w:hAnsi="Arial" w:cs="Arial"/>
                <w:sz w:val="20"/>
                <w:szCs w:val="20"/>
                <w:lang w:val="ru-RU"/>
              </w:rPr>
              <w:t>ы</w:t>
            </w:r>
            <w:r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по</w:t>
            </w:r>
            <w:r w:rsidR="00A829AD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137B3F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829AD" w:rsidRPr="00137B3F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7B3F">
              <w:rPr>
                <w:rFonts w:ascii="Arial" w:hAnsi="Arial" w:cs="Arial"/>
                <w:sz w:val="20"/>
                <w:szCs w:val="20"/>
                <w:lang w:val="ru-RU"/>
              </w:rPr>
              <w:t>имеют</w:t>
            </w:r>
            <w:r w:rsidR="00137B3F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7B3F">
              <w:rPr>
                <w:rFonts w:ascii="Arial" w:hAnsi="Arial" w:cs="Arial"/>
                <w:sz w:val="20"/>
                <w:szCs w:val="20"/>
                <w:lang w:val="ru-RU"/>
              </w:rPr>
              <w:t>несколько</w:t>
            </w:r>
            <w:r w:rsidR="00137B3F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7B3F">
              <w:rPr>
                <w:rFonts w:ascii="Arial" w:hAnsi="Arial" w:cs="Arial"/>
                <w:sz w:val="20"/>
                <w:szCs w:val="20"/>
                <w:lang w:val="ru-RU"/>
              </w:rPr>
              <w:t>общих</w:t>
            </w:r>
            <w:r w:rsidR="00137B3F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7B3F">
              <w:rPr>
                <w:rFonts w:ascii="Arial" w:hAnsi="Arial" w:cs="Arial"/>
                <w:sz w:val="20"/>
                <w:szCs w:val="20"/>
                <w:lang w:val="ru-RU"/>
              </w:rPr>
              <w:t>пунктов</w:t>
            </w:r>
            <w:r w:rsidR="00137B3F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137B3F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37B3F">
              <w:rPr>
                <w:rFonts w:ascii="Arial" w:hAnsi="Arial" w:cs="Arial"/>
                <w:sz w:val="20"/>
                <w:szCs w:val="20"/>
                <w:lang w:val="ru-RU"/>
              </w:rPr>
              <w:t>включают некоторые дополнительные элементы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Pr="00137B3F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137B3F" w:rsidRDefault="00137B3F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Альтернативный вариант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41D32" w:rsidRPr="00137B3F">
              <w:rPr>
                <w:rFonts w:ascii="Arial" w:hAnsi="Arial" w:cs="Arial"/>
                <w:sz w:val="20"/>
                <w:szCs w:val="20"/>
                <w:lang w:val="ru-RU"/>
              </w:rPr>
              <w:t>в тексте по</w:t>
            </w:r>
            <w:r w:rsidR="00A829AD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137B3F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пункт 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7.2 </w:t>
            </w:r>
            <w:r w:rsidR="00841D32" w:rsidRPr="00137B3F">
              <w:rPr>
                <w:rFonts w:ascii="Arial" w:hAnsi="Arial" w:cs="Arial"/>
                <w:sz w:val="20"/>
                <w:szCs w:val="20"/>
                <w:lang w:val="ru-RU"/>
              </w:rPr>
              <w:t>в тексте по</w:t>
            </w:r>
            <w:r w:rsidR="00A829AD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касаются непосредственно сохраняемых в тайне </w:t>
            </w:r>
            <w:r w:rsidR="00596E89" w:rsidRPr="00137B3F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137B3F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94349" w:rsidRPr="00137B3F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Pr="00137B3F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137B3F" w:rsidRDefault="00137B3F" w:rsidP="00137B3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При обсуждении формальностей </w:t>
            </w:r>
            <w:r w:rsidRPr="00137B3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мог бы рассмотреть возможность применения многоуровневого подхода, предусмотренного в с</w:t>
            </w:r>
            <w:r w:rsidR="00A829AD" w:rsidRPr="00137B3F">
              <w:rPr>
                <w:rFonts w:ascii="Arial" w:hAnsi="Arial" w:cs="Arial"/>
                <w:sz w:val="20"/>
                <w:szCs w:val="20"/>
                <w:lang w:val="ru-RU"/>
              </w:rPr>
              <w:t>тать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A829AD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3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137B3F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137B3F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статье </w:t>
            </w:r>
            <w:r w:rsidR="00A829AD" w:rsidRPr="00137B3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текста </w:t>
            </w:r>
            <w:r w:rsidR="00841D32" w:rsidRPr="00137B3F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A829AD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Можно</w:t>
            </w:r>
            <w:r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было бы не</w:t>
            </w:r>
            <w:r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устанавливать требований соблюдения формальностей для</w:t>
            </w:r>
            <w:r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некоторых</w:t>
            </w:r>
            <w:r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видов</w:t>
            </w:r>
            <w:r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96E89" w:rsidRPr="00137B3F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или </w:t>
            </w:r>
            <w:r w:rsidR="00794349" w:rsidRPr="00137B3F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137B3F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ввести требования соблюдения определенных формальностей для других видов </w:t>
            </w:r>
            <w:r w:rsidR="00596E89" w:rsidRPr="00137B3F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137B3F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794349" w:rsidRPr="00137B3F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Формальности могут также различаться в зависимости от вида предоставляемых прав</w:t>
            </w:r>
            <w:r w:rsidR="00146D28" w:rsidRPr="00137B3F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146D28" w:rsidRPr="00137B3F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Pr="00137B3F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137B3F" w:rsidRDefault="00137B3F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Переходные меры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  <w:lang w:val="fr-CH"/>
              </w:rPr>
              <w:t>ТВК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46D28" w:rsidRPr="00146D28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Pr="001B3C1D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9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146D28" w:rsidRPr="001B3C1D" w:rsidRDefault="00A829AD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9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</w:tc>
        <w:tc>
          <w:tcPr>
            <w:tcW w:w="2808" w:type="pct"/>
            <w:shd w:val="clear" w:color="auto" w:fill="auto"/>
          </w:tcPr>
          <w:p w:rsidR="00603BF1" w:rsidRPr="001B3C1D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8B4B14" w:rsidRDefault="00137B3F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Пункт 9.1 обоих текстов, как представляется, отражает консенсус о том, что инструмент должен применяться ко всем </w:t>
            </w:r>
            <w:r w:rsidRPr="00137B3F">
              <w:rPr>
                <w:rFonts w:ascii="Arial" w:hAnsi="Arial" w:cs="Arial"/>
                <w:sz w:val="20"/>
                <w:szCs w:val="20"/>
                <w:lang w:val="ru-RU"/>
              </w:rPr>
              <w:t>ТЗ/ТВК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которые на момент его вступления в силу </w:t>
            </w:r>
            <w:r w:rsidR="008B4B14" w:rsidRPr="008B4B14">
              <w:rPr>
                <w:rFonts w:ascii="Arial" w:hAnsi="Arial" w:cs="Arial"/>
                <w:sz w:val="20"/>
                <w:szCs w:val="20"/>
                <w:lang w:val="ru-RU"/>
              </w:rPr>
              <w:t>удовлетворяют критериям охран</w:t>
            </w:r>
            <w:r w:rsidR="008B4B14">
              <w:rPr>
                <w:rFonts w:ascii="Arial" w:hAnsi="Arial" w:cs="Arial"/>
                <w:sz w:val="20"/>
                <w:szCs w:val="20"/>
                <w:lang w:val="ru-RU"/>
              </w:rPr>
              <w:t>оспособности</w:t>
            </w:r>
            <w:r w:rsidR="008B4B14" w:rsidRPr="008B4B14">
              <w:rPr>
                <w:rFonts w:ascii="Arial" w:hAnsi="Arial" w:cs="Arial"/>
                <w:sz w:val="20"/>
                <w:szCs w:val="20"/>
                <w:lang w:val="ru-RU"/>
              </w:rPr>
              <w:t>. Формулировка этого пун</w:t>
            </w:r>
            <w:r w:rsid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кта не </w:t>
            </w:r>
            <w:r w:rsidR="0097218A">
              <w:rPr>
                <w:rFonts w:ascii="Arial" w:hAnsi="Arial" w:cs="Arial"/>
                <w:sz w:val="20"/>
                <w:szCs w:val="20"/>
                <w:lang w:val="ru-RU"/>
              </w:rPr>
              <w:t>одинакова</w:t>
            </w:r>
            <w:r w:rsid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в двух текстах; </w:t>
            </w:r>
            <w:r w:rsidR="008B4B14" w:rsidRPr="008B4B14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мог бы рассмотреть возможность более детального изучения формулировок и выбрать более четкое описание договоренности</w:t>
            </w:r>
            <w:r w:rsidR="00146D28"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Pr="008B4B14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8B4B14" w:rsidRDefault="008B4B14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Что касается вопроса о приобретенных правах третьих сторон, то пункт 9.2 представлен в трех вариантах в </w:t>
            </w:r>
            <w:r w:rsidR="00841D32" w:rsidRPr="008B4B14">
              <w:rPr>
                <w:rFonts w:ascii="Arial" w:hAnsi="Arial" w:cs="Arial"/>
                <w:sz w:val="20"/>
                <w:szCs w:val="20"/>
                <w:lang w:val="ru-RU"/>
              </w:rPr>
              <w:t>тексте по</w:t>
            </w:r>
            <w:r w:rsidR="00A829AD"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8B4B14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двух вариантах </w:t>
            </w:r>
            <w:r w:rsidR="00841D32" w:rsidRPr="008B4B14">
              <w:rPr>
                <w:rFonts w:ascii="Arial" w:hAnsi="Arial" w:cs="Arial"/>
                <w:sz w:val="20"/>
                <w:szCs w:val="20"/>
                <w:lang w:val="ru-RU"/>
              </w:rPr>
              <w:t>в тексте по</w:t>
            </w:r>
            <w:r w:rsidR="00A829AD"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ТВК</w:t>
            </w:r>
            <w:r w:rsidR="00146D28"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Для согласования различных точек зрения требуется продолжение обсуждений, и </w:t>
            </w:r>
            <w:r w:rsidR="0097218A">
              <w:rPr>
                <w:rFonts w:ascii="Arial" w:hAnsi="Arial" w:cs="Arial"/>
                <w:sz w:val="20"/>
                <w:szCs w:val="20"/>
                <w:lang w:val="ru-RU"/>
              </w:rPr>
              <w:t>единство мнений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может быть достигнуто путем редактирования текста с целью </w:t>
            </w:r>
            <w:r w:rsidR="0097218A">
              <w:rPr>
                <w:rFonts w:ascii="Arial" w:hAnsi="Arial" w:cs="Arial"/>
                <w:sz w:val="20"/>
                <w:szCs w:val="20"/>
                <w:lang w:val="ru-RU"/>
              </w:rPr>
              <w:t>получения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более четко</w:t>
            </w:r>
            <w:r w:rsidR="0097218A">
              <w:rPr>
                <w:rFonts w:ascii="Arial" w:hAnsi="Arial" w:cs="Arial"/>
                <w:sz w:val="20"/>
                <w:szCs w:val="20"/>
                <w:lang w:val="ru-RU"/>
              </w:rPr>
              <w:t xml:space="preserve">го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 ясно</w:t>
            </w:r>
            <w:r w:rsidR="0097218A">
              <w:rPr>
                <w:rFonts w:ascii="Arial" w:hAnsi="Arial" w:cs="Arial"/>
                <w:sz w:val="20"/>
                <w:szCs w:val="20"/>
                <w:lang w:val="ru-RU"/>
              </w:rPr>
              <w:t xml:space="preserve">го описания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этой важной концепции</w:t>
            </w:r>
            <w:r w:rsidR="00146D28"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 w:rsidR="004F58EF" w:rsidRPr="008B4B14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предлагается</w:t>
            </w:r>
            <w:r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сопоставить</w:t>
            </w:r>
            <w:r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7218A">
              <w:rPr>
                <w:rFonts w:ascii="Arial" w:hAnsi="Arial" w:cs="Arial"/>
                <w:sz w:val="20"/>
                <w:szCs w:val="20"/>
                <w:lang w:val="ru-RU"/>
              </w:rPr>
              <w:t>два</w:t>
            </w:r>
            <w:r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текста</w:t>
            </w:r>
            <w:r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внести</w:t>
            </w:r>
            <w:r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</w:t>
            </w:r>
            <w:r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них</w:t>
            </w:r>
            <w:r w:rsidRPr="008B4B14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изменения, которые будут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сочтены необходимыми</w:t>
            </w:r>
            <w:r w:rsidR="00146D28" w:rsidRPr="008B4B14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146D28" w:rsidRPr="008B4B14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Pr="008B4B14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Pr="00E04522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Pr="00406E13" w:rsidRDefault="00896693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966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Связь с другими соглашениями </w:t>
            </w:r>
            <w:r w:rsidR="00BA10B9" w:rsidRPr="00896693">
              <w:rPr>
                <w:rFonts w:ascii="Arial" w:hAnsi="Arial" w:cs="Arial"/>
                <w:b/>
                <w:sz w:val="20"/>
                <w:szCs w:val="20"/>
                <w:lang w:val="ru-RU"/>
              </w:rPr>
              <w:t>и</w:t>
            </w:r>
            <w:r w:rsidR="00146D28" w:rsidRPr="00896693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положение о неумалении </w:t>
            </w:r>
            <w:r w:rsidR="00406E13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</w:t>
            </w:r>
          </w:p>
          <w:p w:rsidR="00146D28" w:rsidRPr="00896693" w:rsidRDefault="00146D28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Pr="00896693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  <w:lang w:val="fr-CH"/>
              </w:rPr>
              <w:t>ТВК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BA10B9">
              <w:rPr>
                <w:rFonts w:ascii="Arial" w:hAnsi="Arial" w:cs="Arial"/>
                <w:b/>
                <w:sz w:val="20"/>
                <w:szCs w:val="20"/>
                <w:lang w:val="fr-CH"/>
              </w:rPr>
              <w:t>ГР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46D28" w:rsidRPr="003B6563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Pr="00AD1B09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10 </w:t>
            </w:r>
            <w:r w:rsidR="001B3C1D" w:rsidRPr="00BB4C8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603BF1" w:rsidRPr="001B3C1D" w:rsidRDefault="001B3C1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Пункт 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13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преамбулы 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10 </w:t>
            </w:r>
            <w:r w:rsid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  <w:p w:rsidR="00603BF1" w:rsidRPr="00AD1B09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AD1B09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AD1B09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10 </w:t>
            </w:r>
            <w:r w:rsid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BA10B9" w:rsidRPr="00AD1B09">
              <w:rPr>
                <w:rFonts w:ascii="Arial" w:hAnsi="Arial" w:cs="Arial"/>
                <w:i/>
                <w:sz w:val="20"/>
                <w:szCs w:val="20"/>
                <w:lang w:val="ru-RU"/>
              </w:rPr>
              <w:t>ГР</w:t>
            </w:r>
          </w:p>
          <w:p w:rsidR="00146D28" w:rsidRPr="00AD1B09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Pr="00AD1B09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8E024E" w:rsidRDefault="0097218A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</w:t>
            </w:r>
            <w:r w:rsidR="00406E13">
              <w:rPr>
                <w:rFonts w:ascii="Arial" w:hAnsi="Arial" w:cs="Arial"/>
                <w:sz w:val="20"/>
                <w:szCs w:val="20"/>
                <w:lang w:val="ru-RU"/>
              </w:rPr>
              <w:t xml:space="preserve">татья 10 всех трех текстов содержит первый пункт о том, что стороны должны применять документ таким образом, чтобы он действовал </w:t>
            </w:r>
            <w:r w:rsidR="00406E13" w:rsidRPr="00406E13">
              <w:rPr>
                <w:rFonts w:ascii="Arial" w:hAnsi="Arial" w:cs="Arial"/>
                <w:sz w:val="20"/>
                <w:szCs w:val="20"/>
                <w:lang w:val="ru-RU"/>
              </w:rPr>
              <w:t xml:space="preserve">взаимоподдерживающим образом с другими </w:t>
            </w:r>
            <w:r w:rsidR="00406E13">
              <w:rPr>
                <w:rFonts w:ascii="Arial" w:hAnsi="Arial" w:cs="Arial"/>
                <w:sz w:val="20"/>
                <w:szCs w:val="20"/>
                <w:lang w:val="ru-RU"/>
              </w:rPr>
              <w:t xml:space="preserve">международными соглашениями и договорами, </w:t>
            </w:r>
            <w:r w:rsidR="00D94D7C">
              <w:rPr>
                <w:rFonts w:ascii="Arial" w:hAnsi="Arial" w:cs="Arial"/>
                <w:sz w:val="20"/>
                <w:szCs w:val="20"/>
                <w:lang w:val="ru-RU"/>
              </w:rPr>
              <w:t xml:space="preserve">но </w:t>
            </w:r>
            <w:r w:rsidR="00406E13">
              <w:rPr>
                <w:rFonts w:ascii="Arial" w:hAnsi="Arial" w:cs="Arial"/>
                <w:sz w:val="20"/>
                <w:szCs w:val="20"/>
                <w:lang w:val="ru-RU"/>
              </w:rPr>
              <w:t xml:space="preserve">хотя этот пункт сформулирован по-разному, </w:t>
            </w:r>
            <w:r w:rsidR="00D94D7C">
              <w:rPr>
                <w:rFonts w:ascii="Arial" w:hAnsi="Arial" w:cs="Arial"/>
                <w:sz w:val="20"/>
                <w:szCs w:val="20"/>
                <w:lang w:val="ru-RU"/>
              </w:rPr>
              <w:t xml:space="preserve">а </w:t>
            </w:r>
            <w:r w:rsidR="00406E13"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 </w:t>
            </w:r>
            <w:r w:rsidR="00406E13" w:rsidRPr="00406E13">
              <w:rPr>
                <w:rFonts w:ascii="Arial" w:hAnsi="Arial" w:cs="Arial"/>
                <w:sz w:val="20"/>
                <w:szCs w:val="20"/>
                <w:lang w:val="ru-RU"/>
              </w:rPr>
              <w:t>по ТВК</w:t>
            </w:r>
            <w:r w:rsidR="00406E13">
              <w:rPr>
                <w:rFonts w:ascii="Arial" w:hAnsi="Arial" w:cs="Arial"/>
                <w:sz w:val="20"/>
                <w:szCs w:val="20"/>
                <w:lang w:val="ru-RU"/>
              </w:rPr>
              <w:t xml:space="preserve"> содержит второй пункт</w:t>
            </w:r>
            <w:r w:rsidR="00D94D7C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06E13">
              <w:rPr>
                <w:rFonts w:ascii="Arial" w:hAnsi="Arial" w:cs="Arial"/>
                <w:sz w:val="20"/>
                <w:szCs w:val="20"/>
                <w:lang w:val="ru-RU"/>
              </w:rPr>
              <w:t xml:space="preserve">о неумалении прав (следует отметить, что принцип неумаления прав также отражен в пункте 13 преамбулы к тексту </w:t>
            </w:r>
            <w:r w:rsidR="00A829AD" w:rsidRPr="00406E13">
              <w:rPr>
                <w:rFonts w:ascii="Arial" w:hAnsi="Arial" w:cs="Arial"/>
                <w:sz w:val="20"/>
                <w:szCs w:val="20"/>
                <w:lang w:val="ru-RU"/>
              </w:rPr>
              <w:t>по ТВК</w:t>
            </w:r>
            <w:r w:rsidR="00146D28" w:rsidRPr="00406E13">
              <w:rPr>
                <w:rFonts w:ascii="Arial" w:hAnsi="Arial" w:cs="Arial"/>
                <w:sz w:val="20"/>
                <w:szCs w:val="20"/>
                <w:lang w:val="ru-RU"/>
              </w:rPr>
              <w:t xml:space="preserve">). 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8E024E">
              <w:rPr>
                <w:rFonts w:ascii="Arial" w:hAnsi="Arial" w:cs="Arial"/>
                <w:sz w:val="20"/>
                <w:szCs w:val="20"/>
                <w:lang w:val="ru-RU"/>
              </w:rPr>
              <w:t>ГР</w:t>
            </w:r>
            <w:r w:rsidR="00146D28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также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содержит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второй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пункт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который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гласит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что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документ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E024E">
              <w:rPr>
                <w:rFonts w:ascii="Arial" w:hAnsi="Arial" w:cs="Arial"/>
                <w:sz w:val="20"/>
                <w:szCs w:val="20"/>
                <w:lang w:val="ru-RU"/>
              </w:rPr>
              <w:t>должен</w:t>
            </w:r>
            <w:r w:rsidR="008E024E" w:rsidRPr="008E024E">
              <w:rPr>
                <w:rFonts w:ascii="Arial" w:hAnsi="Arial" w:cs="Arial"/>
                <w:sz w:val="20"/>
                <w:szCs w:val="20"/>
                <w:lang w:val="ru-RU"/>
              </w:rPr>
              <w:t xml:space="preserve"> подкреплять, в частности, статью 31 Декларации ООН о правах коренных народов</w:t>
            </w:r>
            <w:r w:rsidR="00146D28" w:rsidRPr="008E024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A0265B" w:rsidRDefault="00D94D7C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Вопрос о неумалении прав был поднят 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 xml:space="preserve">на двадцать седьмой сессии </w:t>
            </w:r>
            <w:r w:rsidR="00A0265B" w:rsidRPr="000A45DF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0265B" w:rsidRPr="00A0265B">
              <w:rPr>
                <w:rFonts w:ascii="Arial" w:hAnsi="Arial" w:cs="Arial"/>
                <w:sz w:val="20"/>
                <w:szCs w:val="20"/>
                <w:lang w:val="ru-RU"/>
              </w:rPr>
              <w:t>Консультативны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>м</w:t>
            </w:r>
            <w:r w:rsidR="00A0265B" w:rsidRPr="00A0265B">
              <w:rPr>
                <w:rFonts w:ascii="Arial" w:hAnsi="Arial" w:cs="Arial"/>
                <w:sz w:val="20"/>
                <w:szCs w:val="20"/>
                <w:lang w:val="ru-RU"/>
              </w:rPr>
              <w:t xml:space="preserve"> форум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>ом</w:t>
            </w:r>
            <w:r w:rsidR="00A0265B" w:rsidRPr="00A0265B">
              <w:rPr>
                <w:rFonts w:ascii="Arial" w:hAnsi="Arial" w:cs="Arial"/>
                <w:sz w:val="20"/>
                <w:szCs w:val="20"/>
                <w:lang w:val="ru-RU"/>
              </w:rPr>
              <w:t xml:space="preserve"> коренных народов 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 xml:space="preserve">в качестве одного из сквозных вопросов.  В соответствии с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этим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 xml:space="preserve"> положением, если права коренных народов уже признаны и отражены в договорах, соглашениях и других </w:t>
            </w:r>
            <w:r w:rsidR="00A0265B" w:rsidRPr="00A0265B">
              <w:rPr>
                <w:rFonts w:ascii="Arial" w:hAnsi="Arial" w:cs="Arial"/>
                <w:sz w:val="20"/>
                <w:szCs w:val="20"/>
                <w:lang w:val="ru-RU"/>
              </w:rPr>
              <w:t>конструктивных договоренностях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 xml:space="preserve">, документы по </w:t>
            </w:r>
            <w:r w:rsidR="00A0265B" w:rsidRPr="00A0265B">
              <w:rPr>
                <w:rFonts w:ascii="Arial" w:hAnsi="Arial" w:cs="Arial"/>
                <w:sz w:val="20"/>
                <w:szCs w:val="20"/>
                <w:lang w:val="ru-RU"/>
              </w:rPr>
              <w:t>ТЗ, ТВК и ГР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 xml:space="preserve"> не должны умалять или отменять эти права</w:t>
            </w:r>
            <w:r w:rsidR="00146D28" w:rsidRPr="00A0265B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603BF1" w:rsidRPr="00A0265B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EB62C7" w:rsidRDefault="004F58EF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B62C7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>мог</w:t>
            </w:r>
            <w:r w:rsidR="00A0265B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>бы</w:t>
            </w:r>
            <w:r w:rsidR="00A0265B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>рассмотреть</w:t>
            </w:r>
            <w:r w:rsidR="00A0265B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>вопрос</w:t>
            </w:r>
            <w:r w:rsidR="00A0265B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0265B"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="00A0265B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EB62C7">
              <w:rPr>
                <w:rFonts w:ascii="Arial" w:hAnsi="Arial" w:cs="Arial"/>
                <w:sz w:val="20"/>
                <w:szCs w:val="20"/>
                <w:lang w:val="ru-RU"/>
              </w:rPr>
              <w:t>необходимости включения положения о неумалении прав во все три текста, а также о том, следует ли данное положение привести в Преамбуле или в статье о связи с другими соглашениями</w:t>
            </w:r>
            <w:r w:rsidR="00146D28" w:rsidRPr="00EB62C7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146D28" w:rsidRPr="00EB62C7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397B7B" w:rsidTr="00827211">
        <w:tc>
          <w:tcPr>
            <w:tcW w:w="203" w:type="pct"/>
            <w:shd w:val="clear" w:color="auto" w:fill="auto"/>
          </w:tcPr>
          <w:p w:rsidR="00603BF1" w:rsidRPr="00EB62C7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8B4B14" w:rsidRDefault="008B4B14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Национальный режим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146D28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  <w:lang w:val="fr-CH"/>
              </w:rPr>
              <w:t>ТВК</w:t>
            </w:r>
          </w:p>
          <w:p w:rsidR="00603BF1" w:rsidRDefault="00603BF1" w:rsidP="00812B35">
            <w:pPr>
              <w:tabs>
                <w:tab w:val="left" w:pos="288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146D28" w:rsidRPr="00146D28" w:rsidRDefault="00146D28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Pr="001B3C1D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11 </w:t>
            </w:r>
            <w:r w:rsid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596E8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ТЗ</w:t>
            </w:r>
          </w:p>
          <w:p w:rsidR="00146D28" w:rsidRPr="001B3C1D" w:rsidRDefault="00A829AD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11 </w:t>
            </w:r>
            <w:r w:rsid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</w:p>
        </w:tc>
        <w:tc>
          <w:tcPr>
            <w:tcW w:w="2808" w:type="pct"/>
            <w:shd w:val="clear" w:color="auto" w:fill="auto"/>
          </w:tcPr>
          <w:p w:rsidR="00603BF1" w:rsidRP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Default="00841D3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 w:rsidR="00D94D7C">
              <w:rPr>
                <w:rFonts w:ascii="Arial" w:hAnsi="Arial" w:cs="Arial"/>
                <w:sz w:val="20"/>
                <w:szCs w:val="20"/>
                <w:lang w:val="ru-RU"/>
              </w:rPr>
              <w:t>ы</w:t>
            </w:r>
            <w:r w:rsidRPr="00841D32">
              <w:rPr>
                <w:rFonts w:ascii="Arial" w:hAnsi="Arial" w:cs="Arial"/>
                <w:sz w:val="20"/>
                <w:szCs w:val="20"/>
                <w:lang w:val="ru-RU"/>
              </w:rPr>
              <w:t xml:space="preserve"> по</w:t>
            </w:r>
            <w:r w:rsidR="00A829AD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BA10B9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829AD" w:rsidRPr="00BA10B9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 w:rsidR="00146D28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8B4B14">
              <w:rPr>
                <w:rFonts w:ascii="Arial" w:hAnsi="Arial" w:cs="Arial"/>
                <w:sz w:val="20"/>
                <w:szCs w:val="20"/>
                <w:lang w:val="ru-RU"/>
              </w:rPr>
              <w:t>существенно различаются</w:t>
            </w:r>
            <w:r w:rsidR="00146D28" w:rsidRPr="00BA10B9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</w:p>
          <w:p w:rsidR="00603BF1" w:rsidRPr="00526993" w:rsidRDefault="00841D32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>Текст по</w:t>
            </w:r>
            <w:r w:rsidR="00A829AD"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 w:rsidR="00146D28"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26993">
              <w:rPr>
                <w:rFonts w:ascii="Arial" w:hAnsi="Arial" w:cs="Arial"/>
                <w:sz w:val="20"/>
                <w:szCs w:val="20"/>
                <w:lang w:val="ru-RU"/>
              </w:rPr>
              <w:t>включает</w:t>
            </w:r>
            <w:r w:rsidR="00526993"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26993">
              <w:rPr>
                <w:rFonts w:ascii="Arial" w:hAnsi="Arial" w:cs="Arial"/>
                <w:sz w:val="20"/>
                <w:szCs w:val="20"/>
                <w:lang w:val="ru-RU"/>
              </w:rPr>
              <w:t>два</w:t>
            </w:r>
            <w:r w:rsidR="00526993"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26993">
              <w:rPr>
                <w:rFonts w:ascii="Arial" w:hAnsi="Arial" w:cs="Arial"/>
                <w:sz w:val="20"/>
                <w:szCs w:val="20"/>
                <w:lang w:val="ru-RU"/>
              </w:rPr>
              <w:t>пункта</w:t>
            </w:r>
            <w:r w:rsidR="00526993"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146D28" w:rsidRPr="00526993"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="00526993">
              <w:rPr>
                <w:rFonts w:ascii="Arial" w:hAnsi="Arial" w:cs="Arial"/>
                <w:sz w:val="20"/>
                <w:szCs w:val="20"/>
                <w:lang w:val="ru-RU"/>
              </w:rPr>
              <w:t>первый и третий</w:t>
            </w:r>
            <w:r w:rsidR="00526993" w:rsidRPr="00526993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, формулировка которых отличается, но, как представляется, является близкой к формулировке в </w:t>
            </w:r>
            <w:r w:rsidR="00A829AD" w:rsidRPr="00526993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  <w:r w:rsidR="00526993"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A829AD"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по ТВК</w:t>
            </w:r>
            <w:r w:rsidR="00146D28" w:rsidRPr="00526993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603BF1" w:rsidRPr="00526993" w:rsidRDefault="00526993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Однако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текст </w:t>
            </w:r>
            <w:r w:rsidR="00A829AD" w:rsidRPr="00526993">
              <w:rPr>
                <w:rFonts w:ascii="Arial" w:hAnsi="Arial" w:cs="Arial"/>
                <w:sz w:val="20"/>
                <w:szCs w:val="20"/>
                <w:lang w:val="ru-RU"/>
              </w:rPr>
              <w:t>по ТЗ</w:t>
            </w:r>
            <w:r w:rsidR="00146D28"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также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включает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иной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вариант, согласно которому гражданам других государств-членов/Договаривающихся сторон будет предоставляется (только) охрана, эквивалентная 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>охране, обеспечение которой предполагается настоящим документом, в то время как граждане могут получать более широкую охрану</w:t>
            </w:r>
            <w:r w:rsidR="00146D28" w:rsidRPr="00526993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146D28" w:rsidRPr="00526993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Pr="00526993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064AF0" w:rsidRDefault="00526993" w:rsidP="00526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Трансграничное сотрудничество 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ТЗ</w:t>
            </w:r>
            <w:r w:rsidR="00146D28" w:rsidRPr="00A4558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</w:rPr>
              <w:t>ТВК</w:t>
            </w:r>
            <w:r w:rsidR="00146D28" w:rsidRPr="00A4558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A10B9">
              <w:rPr>
                <w:rFonts w:ascii="Arial" w:hAnsi="Arial" w:cs="Arial"/>
                <w:b/>
                <w:sz w:val="20"/>
                <w:szCs w:val="20"/>
              </w:rPr>
              <w:t>ГР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46D28" w:rsidRPr="00C2320B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</w:tcPr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46D28" w:rsidRDefault="00A829AD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Статья</w:t>
            </w:r>
            <w:proofErr w:type="spellEnd"/>
            <w:r w:rsidR="00146D28" w:rsidRPr="00A4558E">
              <w:rPr>
                <w:rFonts w:ascii="Arial" w:hAnsi="Arial" w:cs="Arial"/>
                <w:i/>
                <w:sz w:val="20"/>
                <w:szCs w:val="20"/>
              </w:rPr>
              <w:t xml:space="preserve"> 12</w:t>
            </w:r>
          </w:p>
        </w:tc>
        <w:tc>
          <w:tcPr>
            <w:tcW w:w="2808" w:type="pct"/>
            <w:shd w:val="clear" w:color="auto" w:fill="auto"/>
          </w:tcPr>
          <w:p w:rsidR="00603BF1" w:rsidRPr="00E04522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526993" w:rsidRDefault="00526993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Это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положение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касается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важного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вопроса</w:t>
            </w:r>
            <w:r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 </w:t>
            </w:r>
            <w:r w:rsidR="00596E89" w:rsidRPr="00526993">
              <w:rPr>
                <w:rFonts w:ascii="Arial" w:hAnsi="Arial" w:cs="Arial"/>
                <w:sz w:val="20"/>
                <w:szCs w:val="20"/>
                <w:lang w:val="ru-RU"/>
              </w:rPr>
              <w:t>ТЗ</w:t>
            </w:r>
            <w:r w:rsidR="00146D28" w:rsidRPr="00526993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="00794349" w:rsidRPr="00526993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которые принадлежат нескольким культурам и </w:t>
            </w:r>
            <w:r w:rsidR="0002503D">
              <w:rPr>
                <w:rFonts w:ascii="Arial" w:hAnsi="Arial" w:cs="Arial"/>
                <w:sz w:val="20"/>
                <w:szCs w:val="20"/>
                <w:lang w:val="ru-RU"/>
              </w:rPr>
              <w:t>находятся на территории нескольких государств</w:t>
            </w:r>
            <w:r w:rsidR="00146D28" w:rsidRPr="00526993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  <w:p w:rsidR="00603BF1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02503D" w:rsidRPr="00E04522" w:rsidRDefault="0002503D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Хотя</w:t>
            </w:r>
            <w:r w:rsidR="00D94D7C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 первый взгляд</w:t>
            </w:r>
            <w:r w:rsidR="00D94D7C">
              <w:rPr>
                <w:rFonts w:ascii="Arial" w:hAnsi="Arial" w:cs="Arial"/>
                <w:sz w:val="20"/>
                <w:szCs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формулировки более или менее схожи, существуют некоторые расхождения в терминологии, на которые 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может пожелать обратить пристальное внимание, с тем чтобы найти наиболее подходящую формулировку </w:t>
            </w:r>
            <w:r w:rsidRPr="00E04522">
              <w:rPr>
                <w:rFonts w:ascii="Arial" w:hAnsi="Arial" w:cs="Arial"/>
                <w:sz w:val="20"/>
                <w:szCs w:val="20"/>
                <w:lang w:val="ru-RU"/>
              </w:rPr>
              <w:t xml:space="preserve">для обоих текстов.  Следует также отметить, что в тексте по ГР упоминаются законы и протоколы из сферы обычного права, о которых не говорится в других текстах. </w:t>
            </w:r>
          </w:p>
          <w:p w:rsidR="00146D28" w:rsidRPr="00E04522" w:rsidRDefault="00146D28" w:rsidP="0002503D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Pr="00E04522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AF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6D28" w:rsidRPr="00526993" w:rsidRDefault="00526993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Наращивание потенциала </w:t>
            </w: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03BF1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ТЗ</w:t>
            </w:r>
            <w:r w:rsidR="00146D28" w:rsidRPr="00A4558E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  <w:lang w:val="fr-CH"/>
              </w:rPr>
              <w:t>ТВК</w:t>
            </w:r>
            <w:r w:rsidR="00146D28" w:rsidRPr="00A4558E">
              <w:rPr>
                <w:rFonts w:ascii="Arial" w:hAnsi="Arial" w:cs="Arial"/>
                <w:b/>
                <w:sz w:val="20"/>
                <w:szCs w:val="20"/>
                <w:lang w:val="fr-CH"/>
              </w:rPr>
              <w:t>/</w:t>
            </w:r>
            <w:r w:rsidR="00BA10B9">
              <w:rPr>
                <w:rFonts w:ascii="Arial" w:hAnsi="Arial" w:cs="Arial"/>
                <w:b/>
                <w:sz w:val="20"/>
                <w:szCs w:val="20"/>
                <w:lang w:val="fr-CH"/>
              </w:rPr>
              <w:t>ГР</w:t>
            </w:r>
          </w:p>
          <w:p w:rsidR="00603BF1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603BF1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fr-CH"/>
              </w:rPr>
            </w:pPr>
          </w:p>
          <w:p w:rsidR="00146D28" w:rsidRPr="00146D28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663" w:type="pct"/>
          </w:tcPr>
          <w:p w:rsidR="00603BF1" w:rsidRPr="001B3C1D" w:rsidRDefault="00603BF1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</w:p>
          <w:p w:rsidR="00603BF1" w:rsidRPr="001B3C1D" w:rsidRDefault="00A829AD" w:rsidP="00812B3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13 </w:t>
            </w:r>
            <w:r w:rsid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79434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ТВК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</w:t>
            </w:r>
            <w:r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Статья</w:t>
            </w:r>
            <w:r w:rsidR="00146D28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 13 </w:t>
            </w:r>
            <w:r w:rsid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текста по </w:t>
            </w:r>
            <w:r w:rsidR="00BA10B9" w:rsidRPr="001B3C1D">
              <w:rPr>
                <w:rFonts w:ascii="Arial" w:hAnsi="Arial" w:cs="Arial"/>
                <w:i/>
                <w:sz w:val="20"/>
                <w:szCs w:val="20"/>
                <w:lang w:val="ru-RU"/>
              </w:rPr>
              <w:t>ГР</w:t>
            </w:r>
          </w:p>
          <w:p w:rsidR="00146D28" w:rsidRPr="001B3C1D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Pr="001B3C1D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02503D" w:rsidRDefault="0002503D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Как текст по </w:t>
            </w:r>
            <w:r w:rsidR="00794349" w:rsidRPr="0002503D">
              <w:rPr>
                <w:rFonts w:ascii="Arial" w:hAnsi="Arial" w:cs="Arial"/>
                <w:sz w:val="20"/>
                <w:szCs w:val="20"/>
                <w:lang w:val="ru-RU"/>
              </w:rPr>
              <w:t>ТВК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, так </w:t>
            </w:r>
            <w:r w:rsidR="00BA10B9" w:rsidRPr="0002503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146D28"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текст по </w:t>
            </w:r>
            <w:r w:rsidR="00BA10B9" w:rsidRPr="0002503D">
              <w:rPr>
                <w:rFonts w:ascii="Arial" w:hAnsi="Arial" w:cs="Arial"/>
                <w:sz w:val="20"/>
                <w:szCs w:val="20"/>
                <w:lang w:val="ru-RU"/>
              </w:rPr>
              <w:t>ГР</w:t>
            </w:r>
            <w:r w:rsidR="00146D28"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содержат положения о «</w:t>
            </w:r>
            <w:r w:rsidR="00526993" w:rsidRPr="0002503D">
              <w:rPr>
                <w:rFonts w:ascii="Arial" w:hAnsi="Arial" w:cs="Arial"/>
                <w:sz w:val="20"/>
                <w:szCs w:val="20"/>
                <w:lang w:val="ru-RU"/>
              </w:rPr>
              <w:t>наращивани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526993"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потенциала и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повышении </w:t>
            </w:r>
            <w:r w:rsidR="00526993" w:rsidRPr="0002503D">
              <w:rPr>
                <w:rFonts w:ascii="Arial" w:hAnsi="Arial" w:cs="Arial"/>
                <w:sz w:val="20"/>
                <w:szCs w:val="20"/>
                <w:lang w:val="ru-RU"/>
              </w:rPr>
              <w:t>осведомленности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  <w:r w:rsidR="00146D28"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BA10B9" w:rsidRPr="0002503D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>техническ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ой 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>пом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ощи, сотрудничестве и укреплении 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>потенциала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 соответственно</w:t>
            </w:r>
            <w:r w:rsidR="00146D28"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.  </w:t>
            </w:r>
            <w:r w:rsidR="004F58EF" w:rsidRPr="0002503D">
              <w:rPr>
                <w:rFonts w:ascii="Arial" w:hAnsi="Arial" w:cs="Arial"/>
                <w:sz w:val="20"/>
                <w:szCs w:val="20"/>
                <w:lang w:val="ru-RU"/>
              </w:rPr>
              <w:t>МКГР</w:t>
            </w:r>
            <w:r w:rsidR="00146D28"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мог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бы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рассмотреть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возможность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включения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статьи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наращивани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потенциала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также </w:t>
            </w:r>
            <w:r w:rsidR="00841D32" w:rsidRPr="0002503D">
              <w:rPr>
                <w:rFonts w:ascii="Arial" w:hAnsi="Arial" w:cs="Arial"/>
                <w:sz w:val="20"/>
                <w:szCs w:val="20"/>
                <w:lang w:val="ru-RU"/>
              </w:rPr>
              <w:t>в текст по</w:t>
            </w:r>
            <w:r w:rsidR="00A829AD" w:rsidRPr="0002503D">
              <w:rPr>
                <w:rFonts w:ascii="Arial" w:hAnsi="Arial" w:cs="Arial"/>
                <w:sz w:val="20"/>
                <w:szCs w:val="20"/>
                <w:lang w:val="ru-RU"/>
              </w:rPr>
              <w:t xml:space="preserve"> ТЗ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или, по крайней мере, принять единый подход к этому вопросу</w:t>
            </w:r>
            <w:r w:rsidR="00146D28" w:rsidRPr="0002503D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146D28" w:rsidRPr="0002503D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46D28" w:rsidRPr="001D6395" w:rsidTr="00827211">
        <w:tc>
          <w:tcPr>
            <w:tcW w:w="203" w:type="pct"/>
            <w:shd w:val="clear" w:color="auto" w:fill="auto"/>
          </w:tcPr>
          <w:p w:rsidR="00603BF1" w:rsidRPr="0002503D" w:rsidRDefault="00603BF1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603BF1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146D28" w:rsidRPr="00064AF0" w:rsidRDefault="00146D28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Default="00603BF1" w:rsidP="00812B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3BF1" w:rsidRPr="0002503D" w:rsidRDefault="0002503D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Структура текста и названия статей </w:t>
            </w:r>
          </w:p>
          <w:p w:rsidR="00146D28" w:rsidRPr="0002503D" w:rsidRDefault="00146D28" w:rsidP="00812B35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663" w:type="pct"/>
            <w:shd w:val="clear" w:color="auto" w:fill="auto"/>
          </w:tcPr>
          <w:p w:rsidR="00603BF1" w:rsidRPr="0002503D" w:rsidRDefault="00603BF1" w:rsidP="00812B3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146D28" w:rsidRPr="00A4558E" w:rsidRDefault="00596E89" w:rsidP="00812B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ТЗ</w:t>
            </w:r>
            <w:r w:rsidR="00146D28" w:rsidRPr="00A4558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94349">
              <w:rPr>
                <w:rFonts w:ascii="Arial" w:hAnsi="Arial" w:cs="Arial"/>
                <w:b/>
                <w:sz w:val="20"/>
                <w:szCs w:val="20"/>
              </w:rPr>
              <w:t>ТВК</w:t>
            </w:r>
            <w:r w:rsidR="00146D28" w:rsidRPr="00A4558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A10B9">
              <w:rPr>
                <w:rFonts w:ascii="Arial" w:hAnsi="Arial" w:cs="Arial"/>
                <w:b/>
                <w:sz w:val="20"/>
                <w:szCs w:val="20"/>
              </w:rPr>
              <w:t>ГР</w:t>
            </w:r>
          </w:p>
        </w:tc>
        <w:tc>
          <w:tcPr>
            <w:tcW w:w="663" w:type="pct"/>
          </w:tcPr>
          <w:p w:rsidR="00146D28" w:rsidRPr="00C2320B" w:rsidRDefault="00146D28" w:rsidP="00812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pct"/>
            <w:shd w:val="clear" w:color="auto" w:fill="auto"/>
          </w:tcPr>
          <w:p w:rsidR="00603BF1" w:rsidRPr="00E04522" w:rsidRDefault="00603BF1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603BF1" w:rsidRPr="00704FFF" w:rsidRDefault="0002503D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 целях ясности и упрощения ссылок рекомендуется, чтобы структура текстов по </w:t>
            </w:r>
            <w:r w:rsidRPr="0002503D">
              <w:rPr>
                <w:rFonts w:ascii="Arial" w:hAnsi="Arial" w:cs="Arial"/>
                <w:sz w:val="20"/>
                <w:szCs w:val="20"/>
                <w:lang w:val="ru-RU"/>
              </w:rPr>
              <w:t>ТЗ, ТВК и ГР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была по возможности схожей, а названия статей были пересмотрены и унифицированы во всех трех текстах, насколько это целесообразно и возможно</w:t>
            </w:r>
            <w:r w:rsidR="00146D28" w:rsidRPr="00704FFF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  <w:r w:rsidR="00704FF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146D28" w:rsidRPr="00704FFF" w:rsidRDefault="00146D28" w:rsidP="00812B3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603BF1" w:rsidRPr="00704FFF" w:rsidRDefault="00603BF1" w:rsidP="005B40FF">
      <w:pPr>
        <w:rPr>
          <w:rFonts w:ascii="Arial" w:hAnsi="Arial" w:cs="Arial"/>
          <w:sz w:val="20"/>
          <w:szCs w:val="20"/>
          <w:lang w:val="ru-RU"/>
        </w:rPr>
      </w:pPr>
    </w:p>
    <w:sectPr w:rsidR="00603BF1" w:rsidRPr="00704FFF" w:rsidSect="006C034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FD" w:rsidRDefault="00CA27FD" w:rsidP="00A4558E">
      <w:pPr>
        <w:spacing w:after="0" w:line="240" w:lineRule="auto"/>
      </w:pPr>
      <w:r>
        <w:separator/>
      </w:r>
    </w:p>
  </w:endnote>
  <w:endnote w:type="continuationSeparator" w:id="0">
    <w:p w:rsidR="00CA27FD" w:rsidRDefault="00CA27FD" w:rsidP="00A4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868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38D2" w:rsidRDefault="006238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2B6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238D2" w:rsidRDefault="00623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FD" w:rsidRDefault="00CA27FD" w:rsidP="00A4558E">
      <w:pPr>
        <w:spacing w:after="0" w:line="240" w:lineRule="auto"/>
      </w:pPr>
      <w:r>
        <w:separator/>
      </w:r>
    </w:p>
  </w:footnote>
  <w:footnote w:type="continuationSeparator" w:id="0">
    <w:p w:rsidR="00CA27FD" w:rsidRDefault="00CA27FD" w:rsidP="00A45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21A2"/>
    <w:multiLevelType w:val="hybridMultilevel"/>
    <w:tmpl w:val="3C226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68AB"/>
    <w:multiLevelType w:val="hybridMultilevel"/>
    <w:tmpl w:val="06926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New|Test-WIPO|AT.WIPO|PreTradBeta|UPOV_Beta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Glossaries\EN-RU|Patents\Meetings|Patents\Other|Patents\Publications|IP in General\Academy|IP in General\Arbitration and Mediation|IP in General\Meetings|IP in General\Other|IP in General\Press Room|IP in General\Publications|Treaties\Model Laws|Treaties\Other Laws and Agreements|Treaties\WIPO-administered|Trademarks\Meetings|Trademarks\Other|Trademarks\Publications|UPOV\Meetings|UPOV\Other|UPOV\Publications|UPOV\Technical Guidelines"/>
    <w:docVar w:name="TextBaseURL" w:val="empty"/>
    <w:docVar w:name="UILng" w:val="en"/>
  </w:docVars>
  <w:rsids>
    <w:rsidRoot w:val="00AF6702"/>
    <w:rsid w:val="00004CCE"/>
    <w:rsid w:val="0002503D"/>
    <w:rsid w:val="000618BE"/>
    <w:rsid w:val="00064AF0"/>
    <w:rsid w:val="00066A53"/>
    <w:rsid w:val="000711A4"/>
    <w:rsid w:val="00081720"/>
    <w:rsid w:val="000A45DF"/>
    <w:rsid w:val="000B78FE"/>
    <w:rsid w:val="000C0510"/>
    <w:rsid w:val="000C28CD"/>
    <w:rsid w:val="000C3C32"/>
    <w:rsid w:val="000D35EC"/>
    <w:rsid w:val="000D7D84"/>
    <w:rsid w:val="00101872"/>
    <w:rsid w:val="00105A24"/>
    <w:rsid w:val="00120B59"/>
    <w:rsid w:val="001250A8"/>
    <w:rsid w:val="00125FAD"/>
    <w:rsid w:val="00137B3F"/>
    <w:rsid w:val="00146D28"/>
    <w:rsid w:val="001623F8"/>
    <w:rsid w:val="00167C6D"/>
    <w:rsid w:val="0017567E"/>
    <w:rsid w:val="0017712C"/>
    <w:rsid w:val="00191255"/>
    <w:rsid w:val="0019319A"/>
    <w:rsid w:val="00194EA4"/>
    <w:rsid w:val="001971FA"/>
    <w:rsid w:val="001A7BD5"/>
    <w:rsid w:val="001B3C1D"/>
    <w:rsid w:val="001B5DE3"/>
    <w:rsid w:val="001C168B"/>
    <w:rsid w:val="001C215E"/>
    <w:rsid w:val="001C63B6"/>
    <w:rsid w:val="001D6395"/>
    <w:rsid w:val="001E6FF5"/>
    <w:rsid w:val="0021429E"/>
    <w:rsid w:val="002145B4"/>
    <w:rsid w:val="00226382"/>
    <w:rsid w:val="00233D89"/>
    <w:rsid w:val="00235434"/>
    <w:rsid w:val="002444B3"/>
    <w:rsid w:val="0024784E"/>
    <w:rsid w:val="002650C2"/>
    <w:rsid w:val="002707A9"/>
    <w:rsid w:val="002960B5"/>
    <w:rsid w:val="002A5E21"/>
    <w:rsid w:val="002C34EF"/>
    <w:rsid w:val="002C6A7E"/>
    <w:rsid w:val="002D37D4"/>
    <w:rsid w:val="002E069B"/>
    <w:rsid w:val="002E37F7"/>
    <w:rsid w:val="002F121B"/>
    <w:rsid w:val="003048E4"/>
    <w:rsid w:val="003070E6"/>
    <w:rsid w:val="00311F0F"/>
    <w:rsid w:val="00322794"/>
    <w:rsid w:val="00355D24"/>
    <w:rsid w:val="00361A93"/>
    <w:rsid w:val="00365B5E"/>
    <w:rsid w:val="00375991"/>
    <w:rsid w:val="00377208"/>
    <w:rsid w:val="00380B23"/>
    <w:rsid w:val="00381B81"/>
    <w:rsid w:val="00391F33"/>
    <w:rsid w:val="00397B7B"/>
    <w:rsid w:val="003A77B2"/>
    <w:rsid w:val="003B3B69"/>
    <w:rsid w:val="003B6563"/>
    <w:rsid w:val="003D582F"/>
    <w:rsid w:val="003E2FDF"/>
    <w:rsid w:val="00403DFD"/>
    <w:rsid w:val="00406E13"/>
    <w:rsid w:val="00427B8D"/>
    <w:rsid w:val="00434B27"/>
    <w:rsid w:val="00437090"/>
    <w:rsid w:val="00443511"/>
    <w:rsid w:val="0045378F"/>
    <w:rsid w:val="004648D2"/>
    <w:rsid w:val="00477556"/>
    <w:rsid w:val="004902E9"/>
    <w:rsid w:val="004969DE"/>
    <w:rsid w:val="004A0628"/>
    <w:rsid w:val="004E7CEC"/>
    <w:rsid w:val="004F58EF"/>
    <w:rsid w:val="00503DA2"/>
    <w:rsid w:val="0050744A"/>
    <w:rsid w:val="00521C34"/>
    <w:rsid w:val="005257BA"/>
    <w:rsid w:val="00526993"/>
    <w:rsid w:val="00536535"/>
    <w:rsid w:val="005525BD"/>
    <w:rsid w:val="005576F1"/>
    <w:rsid w:val="005666AE"/>
    <w:rsid w:val="00567B7B"/>
    <w:rsid w:val="0058416C"/>
    <w:rsid w:val="0058755B"/>
    <w:rsid w:val="00590B18"/>
    <w:rsid w:val="0059140F"/>
    <w:rsid w:val="00592D9F"/>
    <w:rsid w:val="00592F8D"/>
    <w:rsid w:val="00596E89"/>
    <w:rsid w:val="005A1B77"/>
    <w:rsid w:val="005A1DAF"/>
    <w:rsid w:val="005B40FF"/>
    <w:rsid w:val="005C523B"/>
    <w:rsid w:val="005D6CAD"/>
    <w:rsid w:val="005E01C7"/>
    <w:rsid w:val="00603BF1"/>
    <w:rsid w:val="00606D3A"/>
    <w:rsid w:val="0062145C"/>
    <w:rsid w:val="00621DFB"/>
    <w:rsid w:val="006238D2"/>
    <w:rsid w:val="006564A4"/>
    <w:rsid w:val="0066134E"/>
    <w:rsid w:val="006614D1"/>
    <w:rsid w:val="00661920"/>
    <w:rsid w:val="006645C3"/>
    <w:rsid w:val="006755B8"/>
    <w:rsid w:val="006777CD"/>
    <w:rsid w:val="00680977"/>
    <w:rsid w:val="00687FB8"/>
    <w:rsid w:val="00693B0D"/>
    <w:rsid w:val="006A26B6"/>
    <w:rsid w:val="006A384B"/>
    <w:rsid w:val="006C0349"/>
    <w:rsid w:val="006C43E2"/>
    <w:rsid w:val="006D1B63"/>
    <w:rsid w:val="006D6B90"/>
    <w:rsid w:val="006F7B54"/>
    <w:rsid w:val="00704E08"/>
    <w:rsid w:val="00704FFF"/>
    <w:rsid w:val="0070722C"/>
    <w:rsid w:val="0071035F"/>
    <w:rsid w:val="00720CF4"/>
    <w:rsid w:val="00722C55"/>
    <w:rsid w:val="00752E0A"/>
    <w:rsid w:val="00761F1A"/>
    <w:rsid w:val="00773A3C"/>
    <w:rsid w:val="007876CD"/>
    <w:rsid w:val="00790D72"/>
    <w:rsid w:val="00794349"/>
    <w:rsid w:val="00797A1A"/>
    <w:rsid w:val="007A3137"/>
    <w:rsid w:val="007C10ED"/>
    <w:rsid w:val="007C50DC"/>
    <w:rsid w:val="007C65C7"/>
    <w:rsid w:val="007D13E0"/>
    <w:rsid w:val="007E2B60"/>
    <w:rsid w:val="007E4C6F"/>
    <w:rsid w:val="00801954"/>
    <w:rsid w:val="0081141E"/>
    <w:rsid w:val="00811526"/>
    <w:rsid w:val="00812B35"/>
    <w:rsid w:val="00812C87"/>
    <w:rsid w:val="00820158"/>
    <w:rsid w:val="0082166A"/>
    <w:rsid w:val="00827211"/>
    <w:rsid w:val="00831962"/>
    <w:rsid w:val="00834A80"/>
    <w:rsid w:val="00841D32"/>
    <w:rsid w:val="00862A02"/>
    <w:rsid w:val="00864AB5"/>
    <w:rsid w:val="00867E43"/>
    <w:rsid w:val="00885F53"/>
    <w:rsid w:val="00890FC3"/>
    <w:rsid w:val="00896693"/>
    <w:rsid w:val="008A16A2"/>
    <w:rsid w:val="008A3622"/>
    <w:rsid w:val="008B4B14"/>
    <w:rsid w:val="008E024E"/>
    <w:rsid w:val="008E3CF0"/>
    <w:rsid w:val="008E63F9"/>
    <w:rsid w:val="008F1C20"/>
    <w:rsid w:val="008F6BD3"/>
    <w:rsid w:val="00901ECB"/>
    <w:rsid w:val="0091236C"/>
    <w:rsid w:val="00916858"/>
    <w:rsid w:val="0091753B"/>
    <w:rsid w:val="009223A4"/>
    <w:rsid w:val="0092687B"/>
    <w:rsid w:val="00931CD8"/>
    <w:rsid w:val="0093236E"/>
    <w:rsid w:val="009367DF"/>
    <w:rsid w:val="009457EE"/>
    <w:rsid w:val="00953C2E"/>
    <w:rsid w:val="00954344"/>
    <w:rsid w:val="00954A95"/>
    <w:rsid w:val="009671EB"/>
    <w:rsid w:val="00971F0A"/>
    <w:rsid w:val="0097218A"/>
    <w:rsid w:val="009932ED"/>
    <w:rsid w:val="00993523"/>
    <w:rsid w:val="00995A39"/>
    <w:rsid w:val="009A2028"/>
    <w:rsid w:val="009B77BE"/>
    <w:rsid w:val="009C7FC2"/>
    <w:rsid w:val="009D59D3"/>
    <w:rsid w:val="00A0265B"/>
    <w:rsid w:val="00A02EBD"/>
    <w:rsid w:val="00A1362D"/>
    <w:rsid w:val="00A14095"/>
    <w:rsid w:val="00A21EED"/>
    <w:rsid w:val="00A255E2"/>
    <w:rsid w:val="00A4558E"/>
    <w:rsid w:val="00A70988"/>
    <w:rsid w:val="00A829AD"/>
    <w:rsid w:val="00A84DE1"/>
    <w:rsid w:val="00AA10FF"/>
    <w:rsid w:val="00AA3361"/>
    <w:rsid w:val="00AB14AD"/>
    <w:rsid w:val="00AB5B92"/>
    <w:rsid w:val="00AC4492"/>
    <w:rsid w:val="00AD07E1"/>
    <w:rsid w:val="00AD1691"/>
    <w:rsid w:val="00AD1B09"/>
    <w:rsid w:val="00AD2FF3"/>
    <w:rsid w:val="00AD348F"/>
    <w:rsid w:val="00AD514D"/>
    <w:rsid w:val="00AF6702"/>
    <w:rsid w:val="00B01B09"/>
    <w:rsid w:val="00B04018"/>
    <w:rsid w:val="00B31864"/>
    <w:rsid w:val="00B33B92"/>
    <w:rsid w:val="00B57844"/>
    <w:rsid w:val="00B76E66"/>
    <w:rsid w:val="00B9054C"/>
    <w:rsid w:val="00B95071"/>
    <w:rsid w:val="00B96D16"/>
    <w:rsid w:val="00B973E5"/>
    <w:rsid w:val="00BA10B9"/>
    <w:rsid w:val="00BB1C2C"/>
    <w:rsid w:val="00BB4C8F"/>
    <w:rsid w:val="00BB6808"/>
    <w:rsid w:val="00BC3C59"/>
    <w:rsid w:val="00BD378B"/>
    <w:rsid w:val="00BE484F"/>
    <w:rsid w:val="00BE6961"/>
    <w:rsid w:val="00BF1B50"/>
    <w:rsid w:val="00BF2BDB"/>
    <w:rsid w:val="00BF4705"/>
    <w:rsid w:val="00BF4DDA"/>
    <w:rsid w:val="00C2320B"/>
    <w:rsid w:val="00C521E7"/>
    <w:rsid w:val="00C53C07"/>
    <w:rsid w:val="00C74EE8"/>
    <w:rsid w:val="00C93A6D"/>
    <w:rsid w:val="00CA24B7"/>
    <w:rsid w:val="00CA27FD"/>
    <w:rsid w:val="00CA6E13"/>
    <w:rsid w:val="00CD1D88"/>
    <w:rsid w:val="00CD3DCC"/>
    <w:rsid w:val="00CE3AFE"/>
    <w:rsid w:val="00CF4107"/>
    <w:rsid w:val="00D3470E"/>
    <w:rsid w:val="00D34D1A"/>
    <w:rsid w:val="00D35ED2"/>
    <w:rsid w:val="00D55811"/>
    <w:rsid w:val="00D65D33"/>
    <w:rsid w:val="00D94D7C"/>
    <w:rsid w:val="00DB6A27"/>
    <w:rsid w:val="00DD0AD9"/>
    <w:rsid w:val="00DE06E9"/>
    <w:rsid w:val="00DE5DD9"/>
    <w:rsid w:val="00DE74E4"/>
    <w:rsid w:val="00DF1631"/>
    <w:rsid w:val="00E03ECC"/>
    <w:rsid w:val="00E04522"/>
    <w:rsid w:val="00E17C83"/>
    <w:rsid w:val="00E224FC"/>
    <w:rsid w:val="00E34CB9"/>
    <w:rsid w:val="00E41F04"/>
    <w:rsid w:val="00E43649"/>
    <w:rsid w:val="00E43CBB"/>
    <w:rsid w:val="00E54113"/>
    <w:rsid w:val="00E74346"/>
    <w:rsid w:val="00E77798"/>
    <w:rsid w:val="00E82F75"/>
    <w:rsid w:val="00E87F6E"/>
    <w:rsid w:val="00E93DD9"/>
    <w:rsid w:val="00EA58F3"/>
    <w:rsid w:val="00EA6895"/>
    <w:rsid w:val="00EB62C7"/>
    <w:rsid w:val="00EB77A0"/>
    <w:rsid w:val="00EC4981"/>
    <w:rsid w:val="00EC6740"/>
    <w:rsid w:val="00EC6B0C"/>
    <w:rsid w:val="00EE25FC"/>
    <w:rsid w:val="00F04CBF"/>
    <w:rsid w:val="00F055E0"/>
    <w:rsid w:val="00F064A7"/>
    <w:rsid w:val="00F07651"/>
    <w:rsid w:val="00F158FF"/>
    <w:rsid w:val="00F22CC5"/>
    <w:rsid w:val="00F35A6C"/>
    <w:rsid w:val="00F42ECF"/>
    <w:rsid w:val="00F502A0"/>
    <w:rsid w:val="00F50E99"/>
    <w:rsid w:val="00F55579"/>
    <w:rsid w:val="00F6768B"/>
    <w:rsid w:val="00F82321"/>
    <w:rsid w:val="00F91A6D"/>
    <w:rsid w:val="00F91B56"/>
    <w:rsid w:val="00FB5092"/>
    <w:rsid w:val="00FD272D"/>
    <w:rsid w:val="00FD3F79"/>
    <w:rsid w:val="00FE12BB"/>
    <w:rsid w:val="00FF3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8E"/>
  </w:style>
  <w:style w:type="paragraph" w:styleId="Footer">
    <w:name w:val="footer"/>
    <w:basedOn w:val="Normal"/>
    <w:link w:val="FooterChar"/>
    <w:uiPriority w:val="99"/>
    <w:unhideWhenUsed/>
    <w:rsid w:val="00A4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58E"/>
  </w:style>
  <w:style w:type="character" w:styleId="CommentReference">
    <w:name w:val="annotation reference"/>
    <w:basedOn w:val="DefaultParagraphFont"/>
    <w:uiPriority w:val="99"/>
    <w:semiHidden/>
    <w:unhideWhenUsed/>
    <w:rsid w:val="00DE0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1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58E"/>
  </w:style>
  <w:style w:type="paragraph" w:styleId="Footer">
    <w:name w:val="footer"/>
    <w:basedOn w:val="Normal"/>
    <w:link w:val="FooterChar"/>
    <w:uiPriority w:val="99"/>
    <w:unhideWhenUsed/>
    <w:rsid w:val="00A45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58E"/>
  </w:style>
  <w:style w:type="character" w:styleId="CommentReference">
    <w:name w:val="annotation reference"/>
    <w:basedOn w:val="DefaultParagraphFont"/>
    <w:uiPriority w:val="99"/>
    <w:semiHidden/>
    <w:unhideWhenUsed/>
    <w:rsid w:val="00DE0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6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4F24-E3D6-4980-9899-E053884D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4654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ZOGRAFOS JOHNSSON Daphne</dc:creator>
  <cp:lastModifiedBy>DOMBRE Nadia</cp:lastModifiedBy>
  <cp:revision>3</cp:revision>
  <cp:lastPrinted>2014-06-23T14:35:00Z</cp:lastPrinted>
  <dcterms:created xsi:type="dcterms:W3CDTF">2014-06-23T14:34:00Z</dcterms:created>
  <dcterms:modified xsi:type="dcterms:W3CDTF">2014-06-23T14:35:00Z</dcterms:modified>
</cp:coreProperties>
</file>