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83508" w14:textId="77777777" w:rsidR="00EF6F20" w:rsidRPr="00F159FE" w:rsidRDefault="00EF6F20" w:rsidP="00EF6F20">
      <w:pPr>
        <w:spacing w:after="120"/>
        <w:jc w:val="right"/>
      </w:pPr>
      <w:r w:rsidRPr="00F159FE">
        <w:rPr>
          <w:lang w:eastAsia="en-US"/>
        </w:rPr>
        <w:drawing>
          <wp:inline distT="0" distB="0" distL="0" distR="0" wp14:anchorId="50C91103" wp14:editId="4C9E7FB3">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45575371" w14:textId="53BA172D" w:rsidR="00EF6F20" w:rsidRPr="00F159FE" w:rsidRDefault="00EF6F20" w:rsidP="00EF6F20">
      <w:pPr>
        <w:jc w:val="right"/>
        <w:rPr>
          <w:rFonts w:ascii="Arial Black" w:hAnsi="Arial Black"/>
          <w:caps/>
          <w:sz w:val="15"/>
        </w:rPr>
      </w:pPr>
      <w:r w:rsidRPr="00F159FE">
        <w:rPr>
          <w:rFonts w:ascii="Arial Black" w:hAnsi="Arial Black"/>
          <w:caps/>
          <w:sz w:val="15"/>
        </w:rPr>
        <w:t>WIPO/IPTK</w:t>
      </w:r>
      <w:r w:rsidR="00426994" w:rsidRPr="00F159FE">
        <w:rPr>
          <w:rFonts w:ascii="Arial Black" w:hAnsi="Arial Black"/>
          <w:caps/>
          <w:sz w:val="15"/>
        </w:rPr>
        <w:t>-</w:t>
      </w:r>
      <w:r w:rsidR="00D41C53" w:rsidRPr="00F159FE">
        <w:rPr>
          <w:rFonts w:ascii="Arial Black" w:hAnsi="Arial Black"/>
          <w:caps/>
          <w:sz w:val="15"/>
        </w:rPr>
        <w:t>TCES</w:t>
      </w:r>
      <w:r w:rsidRPr="00F159FE">
        <w:rPr>
          <w:rFonts w:ascii="Arial Black" w:hAnsi="Arial Black"/>
          <w:caps/>
          <w:sz w:val="15"/>
        </w:rPr>
        <w:t>/GE/23/2</w:t>
      </w:r>
    </w:p>
    <w:p w14:paraId="4228EBB2" w14:textId="030D14E1" w:rsidR="00EF6F20" w:rsidRPr="00F159FE" w:rsidRDefault="00EF6F20" w:rsidP="00EF6F20">
      <w:pPr>
        <w:jc w:val="right"/>
        <w:rPr>
          <w:rFonts w:ascii="Arial Black" w:hAnsi="Arial Black"/>
          <w:sz w:val="15"/>
          <w:szCs w:val="15"/>
        </w:rPr>
      </w:pPr>
      <w:r w:rsidRPr="00F159FE">
        <w:rPr>
          <w:rFonts w:ascii="Arial Black" w:hAnsi="Arial Black"/>
          <w:caps/>
          <w:sz w:val="15"/>
          <w:szCs w:val="15"/>
        </w:rPr>
        <w:t>ORIGINAL</w:t>
      </w:r>
      <w:r w:rsidR="00426994" w:rsidRPr="00F159FE">
        <w:rPr>
          <w:rFonts w:ascii="Arial Black" w:hAnsi="Arial Black"/>
          <w:caps/>
          <w:sz w:val="15"/>
          <w:szCs w:val="15"/>
        </w:rPr>
        <w:t> :</w:t>
      </w:r>
      <w:r w:rsidRPr="00F159FE">
        <w:rPr>
          <w:rFonts w:ascii="Arial Black" w:hAnsi="Arial Black"/>
          <w:caps/>
          <w:sz w:val="15"/>
          <w:szCs w:val="15"/>
        </w:rPr>
        <w:t xml:space="preserve"> anglais</w:t>
      </w:r>
    </w:p>
    <w:p w14:paraId="36E6D6BE" w14:textId="58B15915" w:rsidR="00EF6F20" w:rsidRPr="00F159FE" w:rsidRDefault="00EF6F20" w:rsidP="00EF6F20">
      <w:pPr>
        <w:spacing w:after="1200"/>
        <w:jc w:val="right"/>
        <w:rPr>
          <w:rFonts w:ascii="Arial Black" w:hAnsi="Arial Black"/>
          <w:sz w:val="15"/>
          <w:szCs w:val="15"/>
        </w:rPr>
      </w:pPr>
      <w:r w:rsidRPr="00F159FE">
        <w:rPr>
          <w:rFonts w:ascii="Arial Black" w:hAnsi="Arial Black"/>
          <w:caps/>
          <w:sz w:val="15"/>
          <w:szCs w:val="15"/>
        </w:rPr>
        <w:t>DATE</w:t>
      </w:r>
      <w:r w:rsidR="00426994" w:rsidRPr="00F159FE">
        <w:rPr>
          <w:rFonts w:ascii="Arial Black" w:hAnsi="Arial Black"/>
          <w:caps/>
          <w:sz w:val="15"/>
          <w:szCs w:val="15"/>
        </w:rPr>
        <w:t> :</w:t>
      </w:r>
      <w:r w:rsidRPr="00F159FE">
        <w:rPr>
          <w:rFonts w:ascii="Arial Black" w:hAnsi="Arial Black"/>
          <w:caps/>
          <w:sz w:val="15"/>
          <w:szCs w:val="15"/>
        </w:rPr>
        <w:t xml:space="preserve"> 8 février 2023</w:t>
      </w:r>
    </w:p>
    <w:p w14:paraId="0CF9CE59" w14:textId="6EA44339" w:rsidR="000D4BD5" w:rsidRPr="00F159FE" w:rsidRDefault="000D4BD5" w:rsidP="00EF6F20">
      <w:pPr>
        <w:spacing w:after="480"/>
        <w:rPr>
          <w:b/>
          <w:sz w:val="28"/>
          <w:szCs w:val="28"/>
        </w:rPr>
      </w:pPr>
      <w:r w:rsidRPr="00F159FE">
        <w:rPr>
          <w:b/>
          <w:sz w:val="28"/>
        </w:rPr>
        <w:t>Groupe spécial d</w:t>
      </w:r>
      <w:r w:rsidR="00426994" w:rsidRPr="00F159FE">
        <w:rPr>
          <w:b/>
          <w:sz w:val="28"/>
        </w:rPr>
        <w:t>’</w:t>
      </w:r>
      <w:r w:rsidRPr="00F159FE">
        <w:rPr>
          <w:b/>
          <w:sz w:val="28"/>
        </w:rPr>
        <w:t>experts sur les savoirs traditionnels et les expressions culturelles traditionnelles</w:t>
      </w:r>
    </w:p>
    <w:p w14:paraId="6B1055F4" w14:textId="00D4D0B5" w:rsidR="000D4BD5" w:rsidRPr="00F159FE" w:rsidRDefault="000D4BD5" w:rsidP="00EF6F20">
      <w:pPr>
        <w:spacing w:after="720"/>
        <w:rPr>
          <w:b/>
          <w:sz w:val="24"/>
          <w:szCs w:val="24"/>
        </w:rPr>
      </w:pPr>
      <w:r w:rsidRPr="00F159FE">
        <w:rPr>
          <w:b/>
          <w:sz w:val="24"/>
        </w:rPr>
        <w:t>Genève, 2</w:t>
      </w:r>
      <w:r w:rsidR="00426994" w:rsidRPr="00F159FE">
        <w:rPr>
          <w:b/>
          <w:sz w:val="24"/>
        </w:rPr>
        <w:t>6 février 20</w:t>
      </w:r>
      <w:r w:rsidRPr="00F159FE">
        <w:rPr>
          <w:b/>
          <w:sz w:val="24"/>
        </w:rPr>
        <w:t>23</w:t>
      </w:r>
    </w:p>
    <w:p w14:paraId="49B6D64B" w14:textId="45AC5C4A" w:rsidR="000D4BD5" w:rsidRPr="00F159FE" w:rsidRDefault="00610789" w:rsidP="00EF6F20">
      <w:pPr>
        <w:spacing w:after="360"/>
        <w:rPr>
          <w:caps/>
          <w:sz w:val="24"/>
        </w:rPr>
      </w:pPr>
      <w:bookmarkStart w:id="0" w:name="TitleOfDoc"/>
      <w:bookmarkEnd w:id="0"/>
      <w:r w:rsidRPr="00F159FE">
        <w:rPr>
          <w:caps/>
          <w:sz w:val="24"/>
        </w:rPr>
        <w:t>Note d</w:t>
      </w:r>
      <w:r w:rsidR="00426994" w:rsidRPr="00F159FE">
        <w:rPr>
          <w:caps/>
          <w:sz w:val="24"/>
        </w:rPr>
        <w:t>’</w:t>
      </w:r>
      <w:r w:rsidRPr="00F159FE">
        <w:rPr>
          <w:caps/>
          <w:sz w:val="24"/>
        </w:rPr>
        <w:t>information sur les questions de fond</w:t>
      </w:r>
    </w:p>
    <w:p w14:paraId="0D05BBD3" w14:textId="1B5E787D" w:rsidR="000D4BD5" w:rsidRPr="00F159FE" w:rsidRDefault="000D4BD5" w:rsidP="000D4BD5">
      <w:pPr>
        <w:rPr>
          <w:i/>
        </w:rPr>
      </w:pPr>
      <w:bookmarkStart w:id="1" w:name="Prepared"/>
      <w:bookmarkEnd w:id="1"/>
      <w:proofErr w:type="gramStart"/>
      <w:r w:rsidRPr="00F159FE">
        <w:rPr>
          <w:i/>
        </w:rPr>
        <w:t>établie</w:t>
      </w:r>
      <w:proofErr w:type="gramEnd"/>
      <w:r w:rsidRPr="00F159FE">
        <w:rPr>
          <w:i/>
        </w:rPr>
        <w:t xml:space="preserve"> par le Bureau international de l</w:t>
      </w:r>
      <w:r w:rsidR="00426994" w:rsidRPr="00F159FE">
        <w:rPr>
          <w:i/>
        </w:rPr>
        <w:t>’</w:t>
      </w:r>
      <w:r w:rsidRPr="00F159FE">
        <w:rPr>
          <w:i/>
        </w:rPr>
        <w:t>OMPI</w:t>
      </w:r>
    </w:p>
    <w:p w14:paraId="762F3ACA" w14:textId="77777777" w:rsidR="000D4BD5" w:rsidRPr="00F159FE" w:rsidRDefault="000D4BD5">
      <w:r w:rsidRPr="00F159FE">
        <w:br w:type="page"/>
      </w:r>
    </w:p>
    <w:p w14:paraId="1D039748" w14:textId="04EBD5D8" w:rsidR="00426994" w:rsidRPr="00F159FE" w:rsidRDefault="000D4BD5" w:rsidP="00EF6F20">
      <w:pPr>
        <w:pStyle w:val="ONUMFS"/>
      </w:pPr>
      <w:bookmarkStart w:id="2" w:name="_GoBack"/>
      <w:bookmarkEnd w:id="2"/>
      <w:r w:rsidRPr="00F159FE">
        <w:lastRenderedPageBreak/>
        <w:t>Conformément au mandat du Comité intergouvernemental de la propriété intellectuelle relative aux ressources génétiques, aux savoirs traditionnels et au folklore (“IGC”) et aux décisions des trente</w:t>
      </w:r>
      <w:r w:rsidR="00426994" w:rsidRPr="00F159FE">
        <w:t>-</w:t>
      </w:r>
      <w:r w:rsidRPr="00F159FE">
        <w:t>septième et quarante</w:t>
      </w:r>
      <w:r w:rsidR="00426994" w:rsidRPr="00F159FE">
        <w:t>-</w:t>
      </w:r>
      <w:r w:rsidRPr="00F159FE">
        <w:t>cinqu</w:t>
      </w:r>
      <w:r w:rsidR="00426994" w:rsidRPr="00F159FE">
        <w:t>ième session</w:t>
      </w:r>
      <w:r w:rsidRPr="00F159FE">
        <w:t>s de l</w:t>
      </w:r>
      <w:r w:rsidR="00426994" w:rsidRPr="00F159FE">
        <w:t>’</w:t>
      </w:r>
      <w:r w:rsidRPr="00F159FE">
        <w:t>IGC, l</w:t>
      </w:r>
      <w:r w:rsidR="00426994" w:rsidRPr="00F159FE">
        <w:t>’</w:t>
      </w:r>
      <w:r w:rsidRPr="00F159FE">
        <w:t>objectif général du Groupe spécial d</w:t>
      </w:r>
      <w:r w:rsidR="00426994" w:rsidRPr="00F159FE">
        <w:t>’</w:t>
      </w:r>
      <w:r w:rsidRPr="00F159FE">
        <w:t>experts sur les savoirs traditionnels et les expressions culturelles traditionnelles est de traiter des questions précises d</w:t>
      </w:r>
      <w:r w:rsidR="00426994" w:rsidRPr="00F159FE">
        <w:t>’</w:t>
      </w:r>
      <w:r w:rsidRPr="00F159FE">
        <w:t>ordre juridique, politique ou techniq</w:t>
      </w:r>
      <w:r w:rsidR="00F159FE" w:rsidRPr="00F159FE">
        <w:t>ue.  Le</w:t>
      </w:r>
      <w:r w:rsidRPr="00F159FE">
        <w:t>s résultats de ces travaux feront l</w:t>
      </w:r>
      <w:r w:rsidR="00426994" w:rsidRPr="00F159FE">
        <w:t>’</w:t>
      </w:r>
      <w:r w:rsidRPr="00F159FE">
        <w:t>objet d</w:t>
      </w:r>
      <w:r w:rsidR="00426994" w:rsidRPr="00F159FE">
        <w:t>’</w:t>
      </w:r>
      <w:r w:rsidRPr="00F159FE">
        <w:t>un rapport et seront examinés par l</w:t>
      </w:r>
      <w:r w:rsidR="00426994" w:rsidRPr="00F159FE">
        <w:t>’</w:t>
      </w:r>
      <w:r w:rsidRPr="00F159FE">
        <w:t>IGC.</w:t>
      </w:r>
    </w:p>
    <w:p w14:paraId="1FF298D8" w14:textId="3F8CBC6B" w:rsidR="00EF6F20" w:rsidRPr="00F159FE" w:rsidRDefault="00610789" w:rsidP="00EF6F20">
      <w:pPr>
        <w:pStyle w:val="ONUMFS"/>
      </w:pPr>
      <w:r w:rsidRPr="00F159FE">
        <w:t>Le président et les vice</w:t>
      </w:r>
      <w:r w:rsidR="00426994" w:rsidRPr="00F159FE">
        <w:t>-</w:t>
      </w:r>
      <w:r w:rsidRPr="00F159FE">
        <w:t>présidents de l</w:t>
      </w:r>
      <w:r w:rsidR="00426994" w:rsidRPr="00F159FE">
        <w:t>’</w:t>
      </w:r>
      <w:r w:rsidRPr="00F159FE">
        <w:t>IGC ont dressé la liste des questions relatives aux savoirs traditionnels et aux expressions culturelles traditionnelles pour ce groupe spécial d</w:t>
      </w:r>
      <w:r w:rsidR="00426994" w:rsidRPr="00F159FE">
        <w:t>’</w:t>
      </w:r>
      <w:r w:rsidRPr="00F159FE">
        <w:t>experts en tenant compte des suggestions faites par les États membr</w:t>
      </w:r>
      <w:r w:rsidR="00F159FE" w:rsidRPr="00F159FE">
        <w:t>es.  Ce</w:t>
      </w:r>
      <w:r w:rsidRPr="00F159FE">
        <w:t>s questions sont</w:t>
      </w:r>
      <w:r w:rsidR="00426994" w:rsidRPr="00F159FE">
        <w:t> :</w:t>
      </w:r>
    </w:p>
    <w:p w14:paraId="19F1F95F" w14:textId="1CFB513A" w:rsidR="001662C2" w:rsidRPr="00F159FE" w:rsidRDefault="00D41C53" w:rsidP="00D41C53">
      <w:pPr>
        <w:pStyle w:val="ONUMFS"/>
        <w:numPr>
          <w:ilvl w:val="0"/>
          <w:numId w:val="39"/>
        </w:numPr>
        <w:tabs>
          <w:tab w:val="clear" w:pos="567"/>
          <w:tab w:val="num" w:pos="1134"/>
        </w:tabs>
        <w:ind w:left="567"/>
        <w:contextualSpacing/>
        <w:rPr>
          <w:rFonts w:eastAsia="DengXian"/>
          <w:szCs w:val="22"/>
        </w:rPr>
      </w:pPr>
      <w:proofErr w:type="gramStart"/>
      <w:r w:rsidRPr="00F159FE">
        <w:t>le</w:t>
      </w:r>
      <w:proofErr w:type="gramEnd"/>
      <w:r w:rsidRPr="00F159FE">
        <w:t xml:space="preserve"> droit coutumier;</w:t>
      </w:r>
    </w:p>
    <w:p w14:paraId="71553A18" w14:textId="48487AC1" w:rsidR="001662C2" w:rsidRPr="00F159FE" w:rsidRDefault="00D41C53" w:rsidP="00D41C53">
      <w:pPr>
        <w:pStyle w:val="ONUMFS"/>
        <w:numPr>
          <w:ilvl w:val="0"/>
          <w:numId w:val="39"/>
        </w:numPr>
        <w:tabs>
          <w:tab w:val="clear" w:pos="567"/>
          <w:tab w:val="num" w:pos="1134"/>
        </w:tabs>
        <w:ind w:left="567"/>
        <w:contextualSpacing/>
        <w:rPr>
          <w:rFonts w:eastAsia="DengXian"/>
          <w:szCs w:val="22"/>
        </w:rPr>
      </w:pPr>
      <w:proofErr w:type="gramStart"/>
      <w:r w:rsidRPr="00F159FE">
        <w:t>les</w:t>
      </w:r>
      <w:proofErr w:type="gramEnd"/>
      <w:r w:rsidRPr="00F159FE">
        <w:t xml:space="preserve"> formalités;</w:t>
      </w:r>
    </w:p>
    <w:p w14:paraId="7C28732E" w14:textId="5B3A6EBF" w:rsidR="001662C2" w:rsidRPr="00F159FE" w:rsidRDefault="001662C2" w:rsidP="00D41C53">
      <w:pPr>
        <w:pStyle w:val="ONUMFS"/>
        <w:numPr>
          <w:ilvl w:val="0"/>
          <w:numId w:val="39"/>
        </w:numPr>
        <w:tabs>
          <w:tab w:val="clear" w:pos="567"/>
          <w:tab w:val="num" w:pos="1134"/>
        </w:tabs>
        <w:ind w:left="567"/>
        <w:contextualSpacing/>
        <w:rPr>
          <w:rFonts w:eastAsia="DengXian"/>
          <w:szCs w:val="22"/>
        </w:rPr>
      </w:pPr>
      <w:proofErr w:type="gramStart"/>
      <w:r w:rsidRPr="00F159FE">
        <w:t>le</w:t>
      </w:r>
      <w:proofErr w:type="gramEnd"/>
      <w:r w:rsidRPr="00F159FE">
        <w:t xml:space="preserve"> traitement national</w:t>
      </w:r>
      <w:r w:rsidR="00D41C53" w:rsidRPr="00F159FE">
        <w:t xml:space="preserve">; </w:t>
      </w:r>
      <w:r w:rsidRPr="00F159FE">
        <w:t xml:space="preserve"> et</w:t>
      </w:r>
    </w:p>
    <w:p w14:paraId="44F261A0" w14:textId="77777777" w:rsidR="00EF6F20" w:rsidRPr="00F159FE" w:rsidRDefault="001662C2" w:rsidP="00D41C53">
      <w:pPr>
        <w:pStyle w:val="ONUMFS"/>
        <w:numPr>
          <w:ilvl w:val="0"/>
          <w:numId w:val="39"/>
        </w:numPr>
        <w:tabs>
          <w:tab w:val="clear" w:pos="567"/>
          <w:tab w:val="num" w:pos="1134"/>
        </w:tabs>
        <w:ind w:left="567"/>
        <w:rPr>
          <w:rFonts w:eastAsia="DengXian"/>
          <w:szCs w:val="22"/>
        </w:rPr>
      </w:pPr>
      <w:proofErr w:type="gramStart"/>
      <w:r w:rsidRPr="00F159FE">
        <w:t>la</w:t>
      </w:r>
      <w:proofErr w:type="gramEnd"/>
      <w:r w:rsidRPr="00F159FE">
        <w:t xml:space="preserve"> coopération transfrontière.</w:t>
      </w:r>
    </w:p>
    <w:p w14:paraId="7E34B9F1" w14:textId="21E51250" w:rsidR="00426994" w:rsidRPr="00F159FE" w:rsidRDefault="000E69A5" w:rsidP="00EF6F20">
      <w:pPr>
        <w:pStyle w:val="ONUMFS"/>
      </w:pPr>
      <w:r w:rsidRPr="00F159FE">
        <w:t>La présente note d</w:t>
      </w:r>
      <w:r w:rsidR="00426994" w:rsidRPr="00F159FE">
        <w:t>’</w:t>
      </w:r>
      <w:r w:rsidRPr="00F159FE">
        <w:t>information sur les questions de fond fournit des informations générales sur la liste susmentionnée des questions et propose au groupe spécial d</w:t>
      </w:r>
      <w:r w:rsidR="00426994" w:rsidRPr="00F159FE">
        <w:t>’</w:t>
      </w:r>
      <w:r w:rsidRPr="00F159FE">
        <w:t>experts quelques points et tâches à examin</w:t>
      </w:r>
      <w:r w:rsidR="00F159FE" w:rsidRPr="00F159FE">
        <w:t>er.  Le</w:t>
      </w:r>
      <w:r w:rsidRPr="00F159FE">
        <w:t>s coprésidents du groupe spécial d</w:t>
      </w:r>
      <w:r w:rsidR="00426994" w:rsidRPr="00F159FE">
        <w:t>’</w:t>
      </w:r>
      <w:r w:rsidRPr="00F159FE">
        <w:t>experts fourniront de plus amples indications sur la manière dont ces questions et ces points seront examinés au cours de la réunion.</w:t>
      </w:r>
    </w:p>
    <w:p w14:paraId="0B0892FE" w14:textId="0B9F6D67" w:rsidR="00EF6F20" w:rsidRPr="00F159FE" w:rsidRDefault="001662C2" w:rsidP="00D41C53">
      <w:pPr>
        <w:pStyle w:val="Heading3"/>
      </w:pPr>
      <w:r w:rsidRPr="00F159FE">
        <w:t>Droit coutumier</w:t>
      </w:r>
    </w:p>
    <w:p w14:paraId="07E10102" w14:textId="1947CD60" w:rsidR="00426994" w:rsidRPr="00F159FE" w:rsidRDefault="00CC0A33" w:rsidP="00EF6F20">
      <w:pPr>
        <w:pStyle w:val="ONUMFS"/>
      </w:pPr>
      <w:r w:rsidRPr="00F159FE">
        <w:t xml:space="preserve">Le </w:t>
      </w:r>
      <w:proofErr w:type="spellStart"/>
      <w:r w:rsidRPr="00F159FE">
        <w:t>Black</w:t>
      </w:r>
      <w:r w:rsidR="00426994" w:rsidRPr="00F159FE">
        <w:t>’</w:t>
      </w:r>
      <w:r w:rsidRPr="00F159FE">
        <w:t>s</w:t>
      </w:r>
      <w:proofErr w:type="spellEnd"/>
      <w:r w:rsidRPr="00F159FE">
        <w:t xml:space="preserve"> Law </w:t>
      </w:r>
      <w:proofErr w:type="spellStart"/>
      <w:r w:rsidRPr="00F159FE">
        <w:t>Dictionary</w:t>
      </w:r>
      <w:proofErr w:type="spellEnd"/>
      <w:r w:rsidRPr="00F159FE">
        <w:t xml:space="preserve"> définit le “droit coutumier” de la manière suivante</w:t>
      </w:r>
      <w:r w:rsidR="00426994" w:rsidRPr="00F159FE">
        <w:t> :</w:t>
      </w:r>
      <w:r w:rsidRPr="00F159FE">
        <w:t xml:space="preserve"> “[e]</w:t>
      </w:r>
      <w:proofErr w:type="spellStart"/>
      <w:r w:rsidRPr="00F159FE">
        <w:t>nsemble</w:t>
      </w:r>
      <w:proofErr w:type="spellEnd"/>
      <w:r w:rsidRPr="00F159FE">
        <w:t xml:space="preserve"> d</w:t>
      </w:r>
      <w:r w:rsidR="00426994" w:rsidRPr="00F159FE">
        <w:t>’</w:t>
      </w:r>
      <w:r w:rsidRPr="00F159FE">
        <w:t xml:space="preserve">usages acceptés comme des obligations légales ou des règles de conduite </w:t>
      </w:r>
      <w:proofErr w:type="gramStart"/>
      <w:r w:rsidRPr="00F159FE">
        <w:t>obligatoires;  pratiques</w:t>
      </w:r>
      <w:proofErr w:type="gramEnd"/>
      <w:r w:rsidRPr="00F159FE">
        <w:t xml:space="preserve"> et croyances qui sont vitales et font partie intégrante du système social et économique à tel point qu</w:t>
      </w:r>
      <w:r w:rsidR="00426994" w:rsidRPr="00F159FE">
        <w:t>’</w:t>
      </w:r>
      <w:r w:rsidRPr="00F159FE">
        <w:t>elles sont traitées comme des lois”.  Le droit coutumier a également été défini comme “des principes reconnus localement, et des normes ou des règles plus spécifiques, qui sont maintenus et transmis par voie orale, et appliqués par des institutions communautaires pour régir ou orienter au niveau interne tous les aspects de la vie”</w:t>
      </w:r>
      <w:r w:rsidR="007919DA" w:rsidRPr="00F159FE">
        <w:rPr>
          <w:szCs w:val="22"/>
          <w:vertAlign w:val="superscript"/>
        </w:rPr>
        <w:footnoteReference w:id="2"/>
      </w:r>
      <w:r w:rsidRPr="00F159FE">
        <w:t>.  Ces lois coutumières se présentent sous différentes form</w:t>
      </w:r>
      <w:r w:rsidR="00F159FE" w:rsidRPr="00F159FE">
        <w:t>es.  Pa</w:t>
      </w:r>
      <w:r w:rsidRPr="00F159FE">
        <w:t>r exemple, elles peuvent être codifiées, écrites ou orales, énoncées expressément dans des pratiques traditionnell</w:t>
      </w:r>
      <w:r w:rsidR="00F159FE" w:rsidRPr="00F159FE">
        <w:t>es.  Il</w:t>
      </w:r>
      <w:r w:rsidRPr="00F159FE">
        <w:t xml:space="preserve"> est également important de déterminer si ces lois sont reconnues “formellement” dans le cadre des systèmes juridiques nationaux du pays dans lequel réside une communauté ou si elles sont liées à ces systèm</w:t>
      </w:r>
      <w:r w:rsidR="00F159FE" w:rsidRPr="00F159FE">
        <w:t>es.  Un</w:t>
      </w:r>
      <w:r w:rsidRPr="00F159FE">
        <w:t xml:space="preserve"> facteur essentiel pour déterminer si certains usages ont un statut de loi consiste à vérifier s</w:t>
      </w:r>
      <w:r w:rsidR="00426994" w:rsidRPr="00F159FE">
        <w:t>’</w:t>
      </w:r>
      <w:r w:rsidRPr="00F159FE">
        <w:t>ils sont considérés par la communauté comme ayant un effet contraignant, ou s</w:t>
      </w:r>
      <w:r w:rsidR="00426994" w:rsidRPr="00F159FE">
        <w:t>’</w:t>
      </w:r>
      <w:r w:rsidRPr="00F159FE">
        <w:t>ils décrivent simplement des pratiques concrètes.</w:t>
      </w:r>
    </w:p>
    <w:p w14:paraId="69C41F18" w14:textId="1DB688AA" w:rsidR="00426994" w:rsidRPr="00F159FE" w:rsidRDefault="007919DA" w:rsidP="00D41C53">
      <w:pPr>
        <w:pStyle w:val="ONUMFS"/>
        <w:numPr>
          <w:ilvl w:val="0"/>
          <w:numId w:val="0"/>
        </w:numPr>
      </w:pPr>
      <w:r w:rsidRPr="00F159FE">
        <w:t>Les lois coutumières concernent de nombreux aspects de la vie des communaut</w:t>
      </w:r>
      <w:r w:rsidR="00F159FE" w:rsidRPr="00F159FE">
        <w:t>és.  El</w:t>
      </w:r>
      <w:r w:rsidRPr="00F159FE">
        <w:t>les définissent les droits et les responsabilités des membres sur des aspects importants de leur vie, de leur culture et de leur conception du mon</w:t>
      </w:r>
      <w:r w:rsidR="00F159FE" w:rsidRPr="00F159FE">
        <w:t>de.  Pa</w:t>
      </w:r>
      <w:r w:rsidRPr="00F159FE">
        <w:t>r exemple, le droit aux avantages et la répartition de ceux</w:t>
      </w:r>
      <w:r w:rsidR="00426994" w:rsidRPr="00F159FE">
        <w:t>-</w:t>
      </w:r>
      <w:r w:rsidRPr="00F159FE">
        <w:t>ci à l</w:t>
      </w:r>
      <w:r w:rsidR="00426994" w:rsidRPr="00F159FE">
        <w:t>’</w:t>
      </w:r>
      <w:r w:rsidRPr="00F159FE">
        <w:t>intérieur d</w:t>
      </w:r>
      <w:r w:rsidR="00426994" w:rsidRPr="00F159FE">
        <w:t>’</w:t>
      </w:r>
      <w:r w:rsidRPr="00F159FE">
        <w:t>une communauté (</w:t>
      </w:r>
      <w:r w:rsidR="00426994" w:rsidRPr="00F159FE">
        <w:t>y compris</w:t>
      </w:r>
      <w:r w:rsidRPr="00F159FE">
        <w:t xml:space="preserve"> la reconnaissance des droits des individus) peuvent être régis par le droit et les pratiques coutumiers observés par cette communau</w:t>
      </w:r>
      <w:r w:rsidR="00F159FE" w:rsidRPr="00F159FE">
        <w:t>té.  Il</w:t>
      </w:r>
      <w:r w:rsidRPr="00F159FE">
        <w:t xml:space="preserve"> s</w:t>
      </w:r>
      <w:r w:rsidR="00426994" w:rsidRPr="00F159FE">
        <w:t>’</w:t>
      </w:r>
      <w:r w:rsidRPr="00F159FE">
        <w:t>agit d</w:t>
      </w:r>
      <w:r w:rsidR="00426994" w:rsidRPr="00F159FE">
        <w:t>’</w:t>
      </w:r>
      <w:r w:rsidRPr="00F159FE">
        <w:t>un point essentiel alors que les mécanismes externes de protection des savoirs traditionnels peuvent être amenés à reconnaître et à respecter les lois, protocoles ou pratiques coutumiers.</w:t>
      </w:r>
    </w:p>
    <w:p w14:paraId="6ECF4A6A" w14:textId="78CF3015" w:rsidR="00EF6F20" w:rsidRPr="00F159FE" w:rsidRDefault="004E204E" w:rsidP="00D41C53">
      <w:pPr>
        <w:pStyle w:val="ONUMFS"/>
        <w:numPr>
          <w:ilvl w:val="0"/>
          <w:numId w:val="0"/>
        </w:numPr>
      </w:pPr>
      <w:r w:rsidRPr="00F159FE">
        <w:t>Il existe un fossé conceptuel et juridique quant à la manière dont les systèmes de croyances et les lois et pratiques coutumières des peuples autochtones d</w:t>
      </w:r>
      <w:r w:rsidR="00426994" w:rsidRPr="00F159FE">
        <w:t>’</w:t>
      </w:r>
      <w:r w:rsidRPr="00F159FE">
        <w:t>une part et les normes et lois culturelles occidentales d</w:t>
      </w:r>
      <w:r w:rsidR="00426994" w:rsidRPr="00F159FE">
        <w:t>’</w:t>
      </w:r>
      <w:r w:rsidRPr="00F159FE">
        <w:t>autre part s</w:t>
      </w:r>
      <w:r w:rsidR="00426994" w:rsidRPr="00F159FE">
        <w:t>’</w:t>
      </w:r>
      <w:r w:rsidRPr="00F159FE">
        <w:t>influencent mutuelleme</w:t>
      </w:r>
      <w:r w:rsidR="00F159FE" w:rsidRPr="00F159FE">
        <w:t>nt.  Se</w:t>
      </w:r>
      <w:r w:rsidRPr="00F159FE">
        <w:t xml:space="preserve">lon leur point de vue, la notion même de “titularité” prévalant dans le système de propriété intellectuelle conventionnel </w:t>
      </w:r>
      <w:r w:rsidRPr="00F159FE">
        <w:lastRenderedPageBreak/>
        <w:t>est incompatible avec la notion de responsabilité ainsi qu</w:t>
      </w:r>
      <w:r w:rsidR="00426994" w:rsidRPr="00F159FE">
        <w:t>’</w:t>
      </w:r>
      <w:r w:rsidRPr="00F159FE">
        <w:t>avec la qualité de dépositaire qui sous</w:t>
      </w:r>
      <w:r w:rsidR="00426994" w:rsidRPr="00F159FE">
        <w:t>-</w:t>
      </w:r>
      <w:r w:rsidRPr="00F159FE">
        <w:t>tendent les lois et systèmes coutumie</w:t>
      </w:r>
      <w:r w:rsidR="00F159FE" w:rsidRPr="00F159FE">
        <w:t>rs.  Ce</w:t>
      </w:r>
      <w:r w:rsidRPr="00F159FE">
        <w:t xml:space="preserve"> fossé conceptuel est particulièrement manifeste en ce qui concerne les expressions culturelles traditionnelles et le droit d</w:t>
      </w:r>
      <w:r w:rsidR="00426994" w:rsidRPr="00F159FE">
        <w:t>’</w:t>
      </w:r>
      <w:r w:rsidRPr="00F159FE">
        <w:t>auteur, ainsi qu</w:t>
      </w:r>
      <w:r w:rsidR="00426994" w:rsidRPr="00F159FE">
        <w:t>’</w:t>
      </w:r>
      <w:r w:rsidRPr="00F159FE">
        <w:t>il ressort de l</w:t>
      </w:r>
      <w:r w:rsidR="00426994" w:rsidRPr="00F159FE">
        <w:t>’</w:t>
      </w:r>
      <w:r w:rsidRPr="00F159FE">
        <w:t>analyse des lacunes en matière de protection des expressions culturelles traditionnelles de l</w:t>
      </w:r>
      <w:r w:rsidR="00426994" w:rsidRPr="00F159FE">
        <w:t>’</w:t>
      </w:r>
      <w:r w:rsidRPr="00F159FE">
        <w:t>OMPI, qui a été actualisée récemment (document WIPO/GRTKF/IC/46/7), en particulier quant au critère d</w:t>
      </w:r>
      <w:r w:rsidR="00426994" w:rsidRPr="00F159FE">
        <w:t>’</w:t>
      </w:r>
      <w:r w:rsidRPr="00F159FE">
        <w:t>originalité et à la protection des adaptations ou des œuvres dérivées.</w:t>
      </w:r>
    </w:p>
    <w:p w14:paraId="7C2B4797" w14:textId="09567897" w:rsidR="00EF6F20" w:rsidRPr="00F159FE" w:rsidRDefault="009B07AD" w:rsidP="00EF6F20">
      <w:pPr>
        <w:pStyle w:val="ONUMFS"/>
        <w:rPr>
          <w:szCs w:val="22"/>
        </w:rPr>
      </w:pPr>
      <w:r w:rsidRPr="00F159FE">
        <w:t>Le groupe spécial d</w:t>
      </w:r>
      <w:r w:rsidR="00426994" w:rsidRPr="00F159FE">
        <w:t>’</w:t>
      </w:r>
      <w:r w:rsidRPr="00F159FE">
        <w:t>experts est invité à examiner les questions ci</w:t>
      </w:r>
      <w:r w:rsidR="00426994" w:rsidRPr="00F159FE">
        <w:t>-</w:t>
      </w:r>
      <w:r w:rsidRPr="00F159FE">
        <w:t>après</w:t>
      </w:r>
      <w:r w:rsidR="00426994" w:rsidRPr="00F159FE">
        <w:t> :</w:t>
      </w:r>
    </w:p>
    <w:p w14:paraId="03692894" w14:textId="13D3D78D" w:rsidR="007919DA" w:rsidRPr="00F159FE" w:rsidRDefault="00682471" w:rsidP="00D41C53">
      <w:pPr>
        <w:pStyle w:val="ONUMFS"/>
        <w:numPr>
          <w:ilvl w:val="0"/>
          <w:numId w:val="39"/>
        </w:numPr>
        <w:tabs>
          <w:tab w:val="clear" w:pos="567"/>
          <w:tab w:val="num" w:pos="1134"/>
        </w:tabs>
        <w:ind w:left="1134" w:hanging="567"/>
        <w:contextualSpacing/>
      </w:pPr>
      <w:r w:rsidRPr="00F159FE">
        <w:t>Quels types le lien entre le droit coutumier et le droit de la propriété intellectuelle rencontre</w:t>
      </w:r>
      <w:r w:rsidR="00426994" w:rsidRPr="00F159FE">
        <w:t>-</w:t>
      </w:r>
      <w:r w:rsidRPr="00F159FE">
        <w:t>t</w:t>
      </w:r>
      <w:r w:rsidR="00426994" w:rsidRPr="00F159FE">
        <w:t>-</w:t>
      </w:r>
      <w:r w:rsidRPr="00F159FE">
        <w:t>on dans la pratique?  Quels modèles pourrait</w:t>
      </w:r>
      <w:r w:rsidR="00426994" w:rsidRPr="00F159FE">
        <w:t>-</w:t>
      </w:r>
      <w:r w:rsidRPr="00F159FE">
        <w:t>on explorer?</w:t>
      </w:r>
    </w:p>
    <w:p w14:paraId="2BC7E7B6" w14:textId="41E544F9" w:rsidR="00EF6F20" w:rsidRPr="00F159FE" w:rsidRDefault="00682471" w:rsidP="00D41C53">
      <w:pPr>
        <w:pStyle w:val="ONUMFS"/>
        <w:numPr>
          <w:ilvl w:val="0"/>
          <w:numId w:val="39"/>
        </w:numPr>
        <w:tabs>
          <w:tab w:val="clear" w:pos="567"/>
          <w:tab w:val="num" w:pos="1134"/>
        </w:tabs>
        <w:ind w:left="1134" w:hanging="567"/>
      </w:pPr>
      <w:r w:rsidRPr="00F159FE">
        <w:t xml:space="preserve">Dans quelle mesure les lois </w:t>
      </w:r>
      <w:r w:rsidRPr="00F159FE">
        <w:rPr>
          <w:i/>
        </w:rPr>
        <w:t>sui</w:t>
      </w:r>
      <w:r w:rsidR="00E315B1" w:rsidRPr="00F159FE">
        <w:rPr>
          <w:i/>
        </w:rPr>
        <w:t> </w:t>
      </w:r>
      <w:r w:rsidRPr="00F159FE">
        <w:rPr>
          <w:i/>
        </w:rPr>
        <w:t>generis</w:t>
      </w:r>
      <w:r w:rsidRPr="00F159FE">
        <w:t xml:space="preserve"> relatives à la protection des savoirs traditionnels et des expressions culturelles traditionnelles appliquent</w:t>
      </w:r>
      <w:r w:rsidR="00426994" w:rsidRPr="00F159FE">
        <w:t>-</w:t>
      </w:r>
      <w:r w:rsidRPr="00F159FE">
        <w:t>elles ou reconnaissent</w:t>
      </w:r>
      <w:r w:rsidR="00426994" w:rsidRPr="00F159FE">
        <w:t>-</w:t>
      </w:r>
      <w:r w:rsidRPr="00F159FE">
        <w:t>elles autrement le droit coutumier?</w:t>
      </w:r>
    </w:p>
    <w:p w14:paraId="3A545C65" w14:textId="77777777" w:rsidR="00EF6F20" w:rsidRPr="00F159FE" w:rsidRDefault="00682471" w:rsidP="00D41C53">
      <w:pPr>
        <w:pStyle w:val="Heading3"/>
      </w:pPr>
      <w:r w:rsidRPr="00F159FE">
        <w:t>Formalités</w:t>
      </w:r>
    </w:p>
    <w:p w14:paraId="51A86384" w14:textId="2AC3DB48" w:rsidR="00426994" w:rsidRPr="00F159FE" w:rsidRDefault="004C79D5" w:rsidP="00EF6F20">
      <w:pPr>
        <w:pStyle w:val="ONUMFS"/>
      </w:pPr>
      <w:r w:rsidRPr="00F159FE">
        <w:t>Il existe une variété d</w:t>
      </w:r>
      <w:r w:rsidR="00426994" w:rsidRPr="00F159FE">
        <w:t>’</w:t>
      </w:r>
      <w:r w:rsidRPr="00F159FE">
        <w:t xml:space="preserve">approches en ce qui concerne les formalités en tant que critère de la protection des savoirs traditionnels et des expressions culturelles traditionnelles dans les régimes </w:t>
      </w:r>
      <w:r w:rsidRPr="00F159FE">
        <w:rPr>
          <w:i/>
          <w:iCs/>
        </w:rPr>
        <w:t>sui</w:t>
      </w:r>
      <w:r w:rsidR="00E315B1" w:rsidRPr="00F159FE">
        <w:rPr>
          <w:i/>
          <w:iCs/>
        </w:rPr>
        <w:t> </w:t>
      </w:r>
      <w:r w:rsidRPr="00F159FE">
        <w:rPr>
          <w:i/>
          <w:iCs/>
        </w:rPr>
        <w:t>generis</w:t>
      </w:r>
      <w:r w:rsidR="00426994" w:rsidRPr="00F159FE">
        <w:t> :</w:t>
      </w:r>
      <w:r w:rsidRPr="00F159FE">
        <w:t xml:space="preserve"> ils peuvent prévoir expressément l</w:t>
      </w:r>
      <w:r w:rsidR="00426994" w:rsidRPr="00F159FE">
        <w:t>’</w:t>
      </w:r>
      <w:r w:rsidRPr="00F159FE">
        <w:t xml:space="preserve">enregistrement des savoirs traditionnels et des expressions culturelles traditionnelles comme condition de la protection; </w:t>
      </w:r>
      <w:r w:rsidR="00E315B1" w:rsidRPr="00F159FE">
        <w:t xml:space="preserve"> </w:t>
      </w:r>
      <w:r w:rsidRPr="00F159FE">
        <w:t>porter création de registres ou de bases de données, mais sans en faire une condition de l</w:t>
      </w:r>
      <w:r w:rsidR="00426994" w:rsidRPr="00F159FE">
        <w:t>’</w:t>
      </w:r>
      <w:r w:rsidRPr="00F159FE">
        <w:t xml:space="preserve">acquisition de droits; </w:t>
      </w:r>
      <w:r w:rsidR="00E315B1" w:rsidRPr="00F159FE">
        <w:t xml:space="preserve"> </w:t>
      </w:r>
      <w:r w:rsidRPr="00F159FE">
        <w:t>ou prévoir que la protection ne requiert aucune formalité.</w:t>
      </w:r>
    </w:p>
    <w:p w14:paraId="5B7357C1" w14:textId="53B358B8" w:rsidR="00426994" w:rsidRPr="00F159FE" w:rsidRDefault="000B1B39" w:rsidP="00EF6F20">
      <w:pPr>
        <w:pStyle w:val="ONUMFS"/>
      </w:pPr>
      <w:r w:rsidRPr="00F159FE">
        <w:t>Le groupe spécial d</w:t>
      </w:r>
      <w:r w:rsidR="00426994" w:rsidRPr="00F159FE">
        <w:t>’</w:t>
      </w:r>
      <w:r w:rsidRPr="00F159FE">
        <w:t>experts est invité à examiner l</w:t>
      </w:r>
      <w:r w:rsidR="00426994" w:rsidRPr="00F159FE">
        <w:t>’</w:t>
      </w:r>
      <w:r w:rsidRPr="00F159FE">
        <w:t>approche appropriée en ce qui concerne les formalités, au niveau international, pour la protection des savoirs traditionnels et des expressions culturelles traditionnelles.</w:t>
      </w:r>
    </w:p>
    <w:p w14:paraId="04D4240B" w14:textId="23E9CD3D" w:rsidR="00EF6F20" w:rsidRPr="00F159FE" w:rsidRDefault="000B1B39" w:rsidP="00D41C53">
      <w:pPr>
        <w:pStyle w:val="Heading3"/>
      </w:pPr>
      <w:r w:rsidRPr="00F159FE">
        <w:t>Traitement national</w:t>
      </w:r>
    </w:p>
    <w:p w14:paraId="0AA57F79" w14:textId="6EA6194F" w:rsidR="00426994" w:rsidRPr="00F159FE" w:rsidRDefault="004C79D5" w:rsidP="00EF6F20">
      <w:pPr>
        <w:pStyle w:val="ONUMFS"/>
      </w:pPr>
      <w:r w:rsidRPr="00F159FE">
        <w:t>Le “traitement national” est un principe en vertu duquel un pays hôte accorde aux détenteurs étrangers de savoirs traditionnels et d</w:t>
      </w:r>
      <w:r w:rsidR="00426994" w:rsidRPr="00F159FE">
        <w:t>’</w:t>
      </w:r>
      <w:r w:rsidRPr="00F159FE">
        <w:t>expressions culturelles traditionnelles un traitement au moins aussi favorable que celui qu</w:t>
      </w:r>
      <w:r w:rsidR="00426994" w:rsidRPr="00F159FE">
        <w:t>’</w:t>
      </w:r>
      <w:r w:rsidRPr="00F159FE">
        <w:t>il accorde aux détenteurs de savoirs traditionnels nationaux dans des circonstances similair</w:t>
      </w:r>
      <w:r w:rsidR="00F159FE" w:rsidRPr="00F159FE">
        <w:t>es.  Ai</w:t>
      </w:r>
      <w:r w:rsidRPr="00F159FE">
        <w:t>nsi, le traitement national vise à assurer l</w:t>
      </w:r>
      <w:r w:rsidR="00426994" w:rsidRPr="00F159FE">
        <w:t>’</w:t>
      </w:r>
      <w:r w:rsidRPr="00F159FE">
        <w:t>égalité juridique entre les détenteurs de savoirs traditionnels et d</w:t>
      </w:r>
      <w:r w:rsidR="00426994" w:rsidRPr="00F159FE">
        <w:t>’</w:t>
      </w:r>
      <w:r w:rsidRPr="00F159FE">
        <w:t>expressions culturelles traditionnelles, qu</w:t>
      </w:r>
      <w:r w:rsidR="00426994" w:rsidRPr="00F159FE">
        <w:t>’</w:t>
      </w:r>
      <w:r w:rsidRPr="00F159FE">
        <w:t>il s</w:t>
      </w:r>
      <w:r w:rsidR="00426994" w:rsidRPr="00F159FE">
        <w:t>’</w:t>
      </w:r>
      <w:r w:rsidRPr="00F159FE">
        <w:t>agisse de nationaux ou d</w:t>
      </w:r>
      <w:r w:rsidR="00426994" w:rsidRPr="00F159FE">
        <w:t>’</w:t>
      </w:r>
      <w:r w:rsidRPr="00F159FE">
        <w:t>étrange</w:t>
      </w:r>
      <w:r w:rsidR="00F159FE" w:rsidRPr="00F159FE">
        <w:t>rs.  Il</w:t>
      </w:r>
      <w:r w:rsidRPr="00F159FE">
        <w:t xml:space="preserve"> importe de noter que le traitement national est un principe relatif dont la teneur dépend du traitement réservé aux détenteurs nationaux de savoirs traditionnels et d</w:t>
      </w:r>
      <w:r w:rsidR="00426994" w:rsidRPr="00F159FE">
        <w:t>’</w:t>
      </w:r>
      <w:r w:rsidRPr="00F159FE">
        <w:t>expressions culturelles traditionnelles.</w:t>
      </w:r>
    </w:p>
    <w:p w14:paraId="527AA4D3" w14:textId="2DE41A0A" w:rsidR="00426994" w:rsidRPr="00F159FE" w:rsidRDefault="00D67C70" w:rsidP="00EF6F20">
      <w:pPr>
        <w:pStyle w:val="ONUMFS"/>
      </w:pPr>
      <w:r w:rsidRPr="00F159FE">
        <w:t>Le traitement national semble constituer, compte tenu de l</w:t>
      </w:r>
      <w:r w:rsidR="00426994" w:rsidRPr="00F159FE">
        <w:t>’</w:t>
      </w:r>
      <w:r w:rsidRPr="00F159FE">
        <w:t>expérience acquise dans le domaine de la propriété intellectuelle, un point de départ appropr</w:t>
      </w:r>
      <w:r w:rsidR="00F159FE" w:rsidRPr="00F159FE">
        <w:t>ié.  Ce</w:t>
      </w:r>
      <w:r w:rsidRPr="00F159FE">
        <w:t xml:space="preserve">pendant, la nature même des savoirs traditionnels et des expressions culturelles traditionnelles et les formes </w:t>
      </w:r>
      <w:r w:rsidRPr="00F159FE">
        <w:rPr>
          <w:i/>
          <w:iCs/>
        </w:rPr>
        <w:t>sui generis</w:t>
      </w:r>
      <w:r w:rsidRPr="00F159FE">
        <w:t xml:space="preserve"> de protection militent en faveur de l</w:t>
      </w:r>
      <w:r w:rsidR="00426994" w:rsidRPr="00F159FE">
        <w:t>’</w:t>
      </w:r>
      <w:r w:rsidRPr="00F159FE">
        <w:t>adoption en complément de certaines exceptions et limitations ou d</w:t>
      </w:r>
      <w:r w:rsidR="00426994" w:rsidRPr="00F159FE">
        <w:t>’</w:t>
      </w:r>
      <w:r w:rsidRPr="00F159FE">
        <w:t>autres principes tels que la reconnaissance mutuelle et la réciprocité.</w:t>
      </w:r>
    </w:p>
    <w:p w14:paraId="17CFE719" w14:textId="5BC68D07" w:rsidR="00EF6F20" w:rsidRPr="00F159FE" w:rsidRDefault="005B5FE0" w:rsidP="00EF6F20">
      <w:pPr>
        <w:pStyle w:val="ONUMFS"/>
      </w:pPr>
      <w:r w:rsidRPr="00F159FE">
        <w:t>La protection des titulaires de droits étrangers sur des savoirs traditionnels ou des expressions culturelles traditionnelles est une question comple</w:t>
      </w:r>
      <w:r w:rsidR="00F159FE" w:rsidRPr="00F159FE">
        <w:t>xe.  Co</w:t>
      </w:r>
      <w:r w:rsidRPr="00F159FE">
        <w:t>mpte tenu de cette complexité, le groupe spécial d</w:t>
      </w:r>
      <w:r w:rsidR="00426994" w:rsidRPr="00F159FE">
        <w:t>’</w:t>
      </w:r>
      <w:r w:rsidRPr="00F159FE">
        <w:t>experts est invité à donner à l</w:t>
      </w:r>
      <w:r w:rsidR="00426994" w:rsidRPr="00F159FE">
        <w:t>’</w:t>
      </w:r>
      <w:r w:rsidRPr="00F159FE">
        <w:t>IGC des indications spécifiques sur cette question technique.</w:t>
      </w:r>
    </w:p>
    <w:p w14:paraId="68C0D4C7" w14:textId="77777777" w:rsidR="00EF6F20" w:rsidRPr="00F159FE" w:rsidRDefault="005B5FE0" w:rsidP="00D41C53">
      <w:pPr>
        <w:pStyle w:val="Heading3"/>
      </w:pPr>
      <w:r w:rsidRPr="00F159FE">
        <w:lastRenderedPageBreak/>
        <w:t>Coopération transfrontière</w:t>
      </w:r>
    </w:p>
    <w:p w14:paraId="1BC4F810" w14:textId="2991D0FE" w:rsidR="00426994" w:rsidRPr="00F159FE" w:rsidRDefault="005859B5" w:rsidP="00EF6F20">
      <w:pPr>
        <w:pStyle w:val="ONUMFS"/>
      </w:pPr>
      <w:r w:rsidRPr="00F159FE">
        <w:t>La coopération transfrontière a trait à la question très importante des savoirs traditionnels et des expressions culturelles traditionnelles partagés de part et d</w:t>
      </w:r>
      <w:r w:rsidR="00426994" w:rsidRPr="00F159FE">
        <w:t>’</w:t>
      </w:r>
      <w:r w:rsidRPr="00F159FE">
        <w:t>autre de frontièr</w:t>
      </w:r>
      <w:r w:rsidR="00F159FE" w:rsidRPr="00F159FE">
        <w:t>es.  Il</w:t>
      </w:r>
      <w:r w:rsidRPr="00F159FE">
        <w:t xml:space="preserve"> semble exister un accord au sein de l</w:t>
      </w:r>
      <w:r w:rsidR="00426994" w:rsidRPr="00F159FE">
        <w:t>’</w:t>
      </w:r>
      <w:r w:rsidRPr="00F159FE">
        <w:t>IGC sur le fait que les pays concernés devraient coopérer pour traiter les questions découlant des savoirs traditionnels et des expressions culturelles traditionnelles partagés.</w:t>
      </w:r>
    </w:p>
    <w:p w14:paraId="7180ED97" w14:textId="0C7E80D6" w:rsidR="00426994" w:rsidRPr="00F159FE" w:rsidRDefault="00316F0D" w:rsidP="00EF6F20">
      <w:pPr>
        <w:pStyle w:val="ONUMFS"/>
      </w:pPr>
      <w:r w:rsidRPr="00F159FE">
        <w:t>Le groupe spécial d</w:t>
      </w:r>
      <w:r w:rsidR="00426994" w:rsidRPr="00F159FE">
        <w:t>’</w:t>
      </w:r>
      <w:r w:rsidRPr="00F159FE">
        <w:t>experts est invité à suggérer la formulation la plus appropriée pour les textes sur les savoirs traditionnels et les expressions culturelles traditionnelles, pour examen par l</w:t>
      </w:r>
      <w:r w:rsidR="00426994" w:rsidRPr="00F159FE">
        <w:t>’</w:t>
      </w:r>
      <w:r w:rsidRPr="00F159FE">
        <w:t>IGC.</w:t>
      </w:r>
    </w:p>
    <w:p w14:paraId="40FCA6D6" w14:textId="77777777" w:rsidR="00426994" w:rsidRPr="00F159FE" w:rsidRDefault="00E77050" w:rsidP="00D41C53">
      <w:pPr>
        <w:pStyle w:val="Heading3"/>
      </w:pPr>
      <w:r w:rsidRPr="00F159FE">
        <w:t>Ressources utiles</w:t>
      </w:r>
    </w:p>
    <w:p w14:paraId="7165D6E2" w14:textId="1FF2DD4A" w:rsidR="00EF6F20" w:rsidRPr="00F159FE" w:rsidRDefault="00E77050" w:rsidP="00EF6F20">
      <w:pPr>
        <w:pStyle w:val="ONUMFS"/>
      </w:pPr>
      <w:r w:rsidRPr="00F159FE">
        <w:t>Le site Web de l</w:t>
      </w:r>
      <w:r w:rsidR="00426994" w:rsidRPr="00F159FE">
        <w:t>’</w:t>
      </w:r>
      <w:r w:rsidRPr="00F159FE">
        <w:t>OMPI comporte des ressources utiles que le groupe spécial d</w:t>
      </w:r>
      <w:r w:rsidR="00426994" w:rsidRPr="00F159FE">
        <w:t>’</w:t>
      </w:r>
      <w:r w:rsidRPr="00F159FE">
        <w:t>experts pourrait utiliser comme documentation de référence, telles que</w:t>
      </w:r>
      <w:r w:rsidR="00426994" w:rsidRPr="00F159FE">
        <w:t> :</w:t>
      </w:r>
    </w:p>
    <w:p w14:paraId="5FEEB0A5" w14:textId="36C0328C" w:rsidR="00426994" w:rsidRPr="00F159FE" w:rsidRDefault="00DC20FA" w:rsidP="00232872">
      <w:pPr>
        <w:pStyle w:val="ONUMFS"/>
        <w:numPr>
          <w:ilvl w:val="0"/>
          <w:numId w:val="41"/>
        </w:numPr>
        <w:tabs>
          <w:tab w:val="clear" w:pos="567"/>
          <w:tab w:val="num" w:pos="1134"/>
        </w:tabs>
        <w:ind w:left="1134" w:hanging="567"/>
      </w:pPr>
      <w:r w:rsidRPr="00F159FE">
        <w:t>WIPO/GRTKF/IC/46/4, La protection des savoirs traditionnels</w:t>
      </w:r>
      <w:r w:rsidR="00426994" w:rsidRPr="00F159FE">
        <w:t> :</w:t>
      </w:r>
      <w:r w:rsidRPr="00F159FE">
        <w:t xml:space="preserve"> projets d</w:t>
      </w:r>
      <w:r w:rsidR="00426994" w:rsidRPr="00F159FE">
        <w:t>’</w:t>
      </w:r>
      <w:r w:rsidRPr="00F159FE">
        <w:t xml:space="preserve">articles, </w:t>
      </w:r>
      <w:hyperlink r:id="rId9" w:history="1">
        <w:r w:rsidRPr="00F159FE">
          <w:rPr>
            <w:rStyle w:val="Hyperlink"/>
          </w:rPr>
          <w:t>https://www.wipo.int/meetings/fr/doc_details.jsp?doc_id=595651</w:t>
        </w:r>
      </w:hyperlink>
      <w:r w:rsidRPr="00F159FE">
        <w:t>;</w:t>
      </w:r>
    </w:p>
    <w:p w14:paraId="67F54A91" w14:textId="065FF317" w:rsidR="00426994" w:rsidRPr="00F159FE" w:rsidRDefault="00DC20FA" w:rsidP="00232872">
      <w:pPr>
        <w:pStyle w:val="ONUMFS"/>
        <w:numPr>
          <w:ilvl w:val="0"/>
          <w:numId w:val="41"/>
        </w:numPr>
        <w:tabs>
          <w:tab w:val="clear" w:pos="567"/>
          <w:tab w:val="num" w:pos="1134"/>
        </w:tabs>
        <w:ind w:left="1134" w:hanging="567"/>
      </w:pPr>
      <w:r w:rsidRPr="00F159FE">
        <w:t>WIPO/GRTKF/IC/46/5, La protection des expressions culturelles traditionnelles</w:t>
      </w:r>
      <w:r w:rsidR="00426994" w:rsidRPr="00F159FE">
        <w:t> :</w:t>
      </w:r>
      <w:r w:rsidRPr="00F159FE">
        <w:t xml:space="preserve"> projets d</w:t>
      </w:r>
      <w:r w:rsidR="00426994" w:rsidRPr="00F159FE">
        <w:t>’</w:t>
      </w:r>
      <w:r w:rsidRPr="00F159FE">
        <w:t xml:space="preserve">articles, </w:t>
      </w:r>
      <w:hyperlink r:id="rId10" w:history="1">
        <w:r w:rsidRPr="00F159FE">
          <w:rPr>
            <w:rStyle w:val="Hyperlink"/>
          </w:rPr>
          <w:t>https://www.wipo.int/meetings/fr/doc_details.jsp?doc_id=595653</w:t>
        </w:r>
      </w:hyperlink>
      <w:r w:rsidRPr="00F159FE">
        <w:t>;</w:t>
      </w:r>
    </w:p>
    <w:p w14:paraId="065A3232" w14:textId="29FD5EBF" w:rsidR="00426994" w:rsidRPr="00F159FE" w:rsidRDefault="000F2E91" w:rsidP="00232872">
      <w:pPr>
        <w:pStyle w:val="ONUMFS"/>
        <w:numPr>
          <w:ilvl w:val="0"/>
          <w:numId w:val="41"/>
        </w:numPr>
        <w:tabs>
          <w:tab w:val="clear" w:pos="567"/>
          <w:tab w:val="num" w:pos="1134"/>
        </w:tabs>
        <w:ind w:left="1134" w:hanging="567"/>
      </w:pPr>
      <w:r w:rsidRPr="00F159FE">
        <w:t>WIPO/GRTKF/IC/46/6, La protection des savoirs traditionnels</w:t>
      </w:r>
      <w:r w:rsidR="00426994" w:rsidRPr="00F159FE">
        <w:t> :</w:t>
      </w:r>
      <w:r w:rsidRPr="00F159FE">
        <w:t xml:space="preserve"> projet actualisé d</w:t>
      </w:r>
      <w:r w:rsidR="00426994" w:rsidRPr="00F159FE">
        <w:t>’</w:t>
      </w:r>
      <w:r w:rsidRPr="00F159FE">
        <w:t xml:space="preserve">analyse des lacunes, </w:t>
      </w:r>
      <w:hyperlink r:id="rId11" w:history="1">
        <w:r w:rsidRPr="00F159FE">
          <w:rPr>
            <w:rStyle w:val="Hyperlink"/>
          </w:rPr>
          <w:t>https://www.wipo.int/meetings/fr/doc_details.jsp?doc_id=595573</w:t>
        </w:r>
      </w:hyperlink>
      <w:r w:rsidRPr="00F159FE">
        <w:t>;</w:t>
      </w:r>
    </w:p>
    <w:p w14:paraId="0DBE49BC" w14:textId="7828915C" w:rsidR="00426994" w:rsidRPr="00F159FE" w:rsidRDefault="00E132A1" w:rsidP="00232872">
      <w:pPr>
        <w:pStyle w:val="ONUMFS"/>
        <w:numPr>
          <w:ilvl w:val="0"/>
          <w:numId w:val="41"/>
        </w:numPr>
        <w:tabs>
          <w:tab w:val="clear" w:pos="567"/>
          <w:tab w:val="num" w:pos="1134"/>
        </w:tabs>
        <w:ind w:left="1134" w:hanging="567"/>
      </w:pPr>
      <w:r w:rsidRPr="00F159FE">
        <w:t>WIPO/GRTKF/IC/46/7, La protection des expressions culturelles traditionnelles</w:t>
      </w:r>
      <w:r w:rsidR="00426994" w:rsidRPr="00F159FE">
        <w:t> :</w:t>
      </w:r>
      <w:r w:rsidRPr="00F159FE">
        <w:t xml:space="preserve"> projet actualisé d</w:t>
      </w:r>
      <w:r w:rsidR="00426994" w:rsidRPr="00F159FE">
        <w:t>’</w:t>
      </w:r>
      <w:r w:rsidRPr="00F159FE">
        <w:t xml:space="preserve">analyse des lacunes, </w:t>
      </w:r>
      <w:hyperlink r:id="rId12" w:history="1">
        <w:r w:rsidRPr="00F159FE">
          <w:rPr>
            <w:rStyle w:val="Hyperlink"/>
          </w:rPr>
          <w:t>https://www.wipo.int/meetings/fr/doc_details.jsp?doc_id=595591</w:t>
        </w:r>
      </w:hyperlink>
      <w:r w:rsidRPr="00F159FE">
        <w:t xml:space="preserve">; </w:t>
      </w:r>
      <w:r w:rsidR="00E315B1" w:rsidRPr="00F159FE">
        <w:t xml:space="preserve"> </w:t>
      </w:r>
    </w:p>
    <w:p w14:paraId="46501E47" w14:textId="77777777" w:rsidR="00426994" w:rsidRPr="00F159FE" w:rsidRDefault="00E77050" w:rsidP="00232872">
      <w:pPr>
        <w:pStyle w:val="ONUMFS"/>
        <w:numPr>
          <w:ilvl w:val="0"/>
          <w:numId w:val="41"/>
        </w:numPr>
        <w:tabs>
          <w:tab w:val="clear" w:pos="567"/>
          <w:tab w:val="num" w:pos="1134"/>
        </w:tabs>
        <w:ind w:left="1134" w:hanging="567"/>
      </w:pPr>
      <w:r w:rsidRPr="00F159FE">
        <w:t xml:space="preserve">WIPO/GRTKF/IC/17/INF/8, Note sur les significations du terme “domaine public” dans le système de la propriété intellectuelle, traitant en particulier de la protection des savoirs traditionnels et des expressions culturelles traditionnelles ou expressions du folklore, </w:t>
      </w:r>
      <w:hyperlink r:id="rId13" w:history="1">
        <w:r w:rsidRPr="00F159FE">
          <w:rPr>
            <w:rStyle w:val="Hyperlink"/>
            <w:color w:val="0000FF"/>
          </w:rPr>
          <w:t>https://www.wipo.int/meetings/fr/doc_details.jsp?doc_id=149213</w:t>
        </w:r>
      </w:hyperlink>
      <w:r w:rsidRPr="00F159FE">
        <w:t>;</w:t>
      </w:r>
    </w:p>
    <w:p w14:paraId="29802F99" w14:textId="77777777" w:rsidR="00426994" w:rsidRPr="00F159FE" w:rsidRDefault="00E77050" w:rsidP="00232872">
      <w:pPr>
        <w:pStyle w:val="ONUMFS"/>
        <w:numPr>
          <w:ilvl w:val="0"/>
          <w:numId w:val="41"/>
        </w:numPr>
        <w:tabs>
          <w:tab w:val="clear" w:pos="567"/>
          <w:tab w:val="num" w:pos="1134"/>
        </w:tabs>
        <w:ind w:left="1134" w:hanging="567"/>
      </w:pPr>
      <w:r w:rsidRPr="00F159FE">
        <w:t xml:space="preserve">WIPO/GRTKF/IC/17/INF/9, Liste et explication technique succincte des différentes formes sous lesquelles les savoirs traditionnels peuvent se présenter, </w:t>
      </w:r>
      <w:hyperlink r:id="rId14" w:history="1">
        <w:r w:rsidRPr="00F159FE">
          <w:rPr>
            <w:rStyle w:val="Hyperlink"/>
            <w:color w:val="0000FF"/>
          </w:rPr>
          <w:t>https://www.wipo.int/meetings/fr/doc_details.jsp?doc_id=147152</w:t>
        </w:r>
      </w:hyperlink>
      <w:r w:rsidRPr="00F159FE">
        <w:t>;</w:t>
      </w:r>
    </w:p>
    <w:p w14:paraId="126AF87C" w14:textId="6F0B9325" w:rsidR="00EF6F20" w:rsidRPr="00F159FE" w:rsidRDefault="00E132A1" w:rsidP="002C26D5">
      <w:pPr>
        <w:pStyle w:val="ONUMFS"/>
        <w:numPr>
          <w:ilvl w:val="0"/>
          <w:numId w:val="41"/>
        </w:numPr>
        <w:tabs>
          <w:tab w:val="clear" w:pos="567"/>
          <w:tab w:val="num" w:pos="1134"/>
        </w:tabs>
        <w:ind w:left="1134" w:hanging="567"/>
      </w:pPr>
      <w:proofErr w:type="spellStart"/>
      <w:r w:rsidRPr="00F159FE">
        <w:t>Customary</w:t>
      </w:r>
      <w:proofErr w:type="spellEnd"/>
      <w:r w:rsidRPr="00F159FE">
        <w:t xml:space="preserve"> Law, </w:t>
      </w:r>
      <w:proofErr w:type="spellStart"/>
      <w:r w:rsidRPr="00F159FE">
        <w:t>Traditional</w:t>
      </w:r>
      <w:proofErr w:type="spellEnd"/>
      <w:r w:rsidRPr="00F159FE">
        <w:t xml:space="preserve"> </w:t>
      </w:r>
      <w:proofErr w:type="spellStart"/>
      <w:r w:rsidRPr="00F159FE">
        <w:t>Knowledge</w:t>
      </w:r>
      <w:proofErr w:type="spellEnd"/>
      <w:r w:rsidRPr="00F159FE">
        <w:t xml:space="preserve"> and </w:t>
      </w:r>
      <w:proofErr w:type="spellStart"/>
      <w:r w:rsidRPr="00F159FE">
        <w:t>Intellectual</w:t>
      </w:r>
      <w:proofErr w:type="spellEnd"/>
      <w:r w:rsidRPr="00F159FE">
        <w:t xml:space="preserve"> </w:t>
      </w:r>
      <w:proofErr w:type="spellStart"/>
      <w:r w:rsidRPr="00F159FE">
        <w:t>Property</w:t>
      </w:r>
      <w:proofErr w:type="spellEnd"/>
      <w:r w:rsidRPr="00F159FE">
        <w:t xml:space="preserve">: An </w:t>
      </w:r>
      <w:proofErr w:type="spellStart"/>
      <w:r w:rsidRPr="00F159FE">
        <w:t>Outline</w:t>
      </w:r>
      <w:proofErr w:type="spellEnd"/>
      <w:r w:rsidRPr="00F159FE">
        <w:t xml:space="preserve"> of the Issues (Droit coutumier, savoirs traditionnels et propriété intellectuelle</w:t>
      </w:r>
      <w:r w:rsidR="00426994" w:rsidRPr="00F159FE">
        <w:t> :</w:t>
      </w:r>
      <w:r w:rsidRPr="00F159FE">
        <w:t xml:space="preserve"> synthèse des questi</w:t>
      </w:r>
      <w:r w:rsidR="00232872" w:rsidRPr="00F159FE">
        <w:t xml:space="preserve">ons qui se posent) (en anglais) </w:t>
      </w:r>
      <w:hyperlink r:id="rId15" w:history="1">
        <w:r w:rsidR="00792A46" w:rsidRPr="00F159FE">
          <w:rPr>
            <w:rStyle w:val="Hyperlink"/>
          </w:rPr>
          <w:t>https://www.wipo.int/export/sites/www/tk/en/resources/pdf/overview_customary_law.pdf</w:t>
        </w:r>
      </w:hyperlink>
    </w:p>
    <w:p w14:paraId="0DDC0B7B" w14:textId="6D1918A9" w:rsidR="00426994" w:rsidRPr="00F159FE" w:rsidRDefault="00E77050" w:rsidP="00232872">
      <w:pPr>
        <w:pStyle w:val="ONUMFS"/>
        <w:numPr>
          <w:ilvl w:val="0"/>
          <w:numId w:val="41"/>
        </w:numPr>
        <w:tabs>
          <w:tab w:val="clear" w:pos="567"/>
          <w:tab w:val="num" w:pos="1134"/>
        </w:tabs>
        <w:ind w:left="1134" w:hanging="567"/>
      </w:pPr>
      <w:r w:rsidRPr="00F159FE">
        <w:t>Données d</w:t>
      </w:r>
      <w:r w:rsidR="00426994" w:rsidRPr="00F159FE">
        <w:t>’</w:t>
      </w:r>
      <w:r w:rsidRPr="00F159FE">
        <w:t xml:space="preserve">expérience régionales, nationales, locales et communautaires, </w:t>
      </w:r>
      <w:hyperlink r:id="rId16" w:history="1">
        <w:r w:rsidRPr="00F159FE">
          <w:rPr>
            <w:rStyle w:val="Hyperlink"/>
            <w:color w:val="0000FF"/>
          </w:rPr>
          <w:t>https://www.wipo.int/tk/fr/resources/tk_experiences.html</w:t>
        </w:r>
      </w:hyperlink>
      <w:r w:rsidRPr="00F159FE">
        <w:t>;</w:t>
      </w:r>
    </w:p>
    <w:p w14:paraId="219C5930" w14:textId="77777777" w:rsidR="00426994" w:rsidRPr="00F159FE" w:rsidRDefault="00E77050" w:rsidP="00232872">
      <w:pPr>
        <w:pStyle w:val="ONUMFS"/>
        <w:numPr>
          <w:ilvl w:val="0"/>
          <w:numId w:val="41"/>
        </w:numPr>
        <w:tabs>
          <w:tab w:val="clear" w:pos="567"/>
          <w:tab w:val="num" w:pos="1134"/>
        </w:tabs>
        <w:ind w:left="1134" w:hanging="567"/>
      </w:pPr>
      <w:r w:rsidRPr="00F159FE">
        <w:t xml:space="preserve">Conférences et exposés sur des thèmes choisis, </w:t>
      </w:r>
      <w:hyperlink r:id="rId17" w:anchor="4" w:history="1">
        <w:r w:rsidRPr="00F159FE">
          <w:rPr>
            <w:rStyle w:val="Hyperlink"/>
            <w:color w:val="0000FF"/>
          </w:rPr>
          <w:t>https://www.wipo.int/tk/fr/resources/tk_experiences.html#4</w:t>
        </w:r>
      </w:hyperlink>
      <w:r w:rsidRPr="00F159FE">
        <w:t>.</w:t>
      </w:r>
    </w:p>
    <w:p w14:paraId="5A699644" w14:textId="4DB13072" w:rsidR="000D4BD5" w:rsidRPr="00F159FE" w:rsidRDefault="000D4BD5" w:rsidP="00EF6F20">
      <w:pPr>
        <w:pStyle w:val="Endofdocument-Annex"/>
        <w:spacing w:before="720"/>
      </w:pPr>
      <w:r w:rsidRPr="00F159FE">
        <w:t>[Fin du document]</w:t>
      </w:r>
    </w:p>
    <w:sectPr w:rsidR="000D4BD5" w:rsidRPr="00F159FE" w:rsidSect="00EF6F20">
      <w:headerReference w:type="even" r:id="rId18"/>
      <w:headerReference w:type="default" r:id="rId19"/>
      <w:footerReference w:type="even" r:id="rId20"/>
      <w:footerReference w:type="default" r:id="rId21"/>
      <w:headerReference w:type="first" r:id="rId22"/>
      <w:footerReference w:type="first" r:id="rId23"/>
      <w:endnotePr>
        <w:numFmt w:val="decimal"/>
      </w:endnotePr>
      <w:pgSz w:w="11907" w:h="16840" w:code="9"/>
      <w:pgMar w:top="567" w:right="1134" w:bottom="1418" w:left="1418" w:header="510" w:footer="1021" w:gutter="0"/>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31791A" w16cid:durableId="2019030B"/>
  <w16cid:commentId w16cid:paraId="7690DF21" w16cid:durableId="201901A7"/>
  <w16cid:commentId w16cid:paraId="41603091" w16cid:durableId="2019034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F8042" w14:textId="77777777" w:rsidR="001A1782" w:rsidRDefault="001A1782">
      <w:r>
        <w:separator/>
      </w:r>
    </w:p>
  </w:endnote>
  <w:endnote w:type="continuationSeparator" w:id="0">
    <w:p w14:paraId="75777932" w14:textId="77777777" w:rsidR="001A1782" w:rsidRDefault="001A1782" w:rsidP="003B38C1">
      <w:r>
        <w:separator/>
      </w:r>
    </w:p>
    <w:p w14:paraId="03716E93" w14:textId="77777777" w:rsidR="001A1782" w:rsidRPr="003B38C1" w:rsidRDefault="001A1782" w:rsidP="003B38C1">
      <w:pPr>
        <w:spacing w:after="60"/>
        <w:rPr>
          <w:sz w:val="17"/>
        </w:rPr>
      </w:pPr>
      <w:r>
        <w:rPr>
          <w:sz w:val="17"/>
        </w:rPr>
        <w:t>[</w:t>
      </w:r>
      <w:proofErr w:type="spellStart"/>
      <w:r>
        <w:rPr>
          <w:sz w:val="17"/>
        </w:rPr>
        <w:t>Endnote</w:t>
      </w:r>
      <w:proofErr w:type="spellEnd"/>
      <w:r>
        <w:rPr>
          <w:sz w:val="17"/>
        </w:rPr>
        <w:t xml:space="preserve"> </w:t>
      </w:r>
      <w:proofErr w:type="spellStart"/>
      <w:r>
        <w:rPr>
          <w:sz w:val="17"/>
        </w:rPr>
        <w:t>continued</w:t>
      </w:r>
      <w:proofErr w:type="spellEnd"/>
      <w:r>
        <w:rPr>
          <w:sz w:val="17"/>
        </w:rPr>
        <w:t xml:space="preserve"> </w:t>
      </w:r>
      <w:proofErr w:type="spellStart"/>
      <w:r>
        <w:rPr>
          <w:sz w:val="17"/>
        </w:rPr>
        <w:t>from</w:t>
      </w:r>
      <w:proofErr w:type="spellEnd"/>
      <w:r>
        <w:rPr>
          <w:sz w:val="17"/>
        </w:rPr>
        <w:t xml:space="preserve"> </w:t>
      </w:r>
      <w:proofErr w:type="spellStart"/>
      <w:r>
        <w:rPr>
          <w:sz w:val="17"/>
        </w:rPr>
        <w:t>previous</w:t>
      </w:r>
      <w:proofErr w:type="spellEnd"/>
      <w:r>
        <w:rPr>
          <w:sz w:val="17"/>
        </w:rPr>
        <w:t xml:space="preserve"> page]</w:t>
      </w:r>
    </w:p>
  </w:endnote>
  <w:endnote w:type="continuationNotice" w:id="1">
    <w:p w14:paraId="239EEE8C" w14:textId="77777777" w:rsidR="001A1782" w:rsidRPr="003B38C1" w:rsidRDefault="001A1782" w:rsidP="003B38C1">
      <w:pPr>
        <w:spacing w:before="60"/>
        <w:jc w:val="right"/>
        <w:rPr>
          <w:sz w:val="17"/>
          <w:szCs w:val="17"/>
        </w:rPr>
      </w:pPr>
      <w:r w:rsidRPr="003B38C1">
        <w:rPr>
          <w:sz w:val="17"/>
          <w:szCs w:val="17"/>
        </w:rPr>
        <w:t>[</w:t>
      </w:r>
      <w:proofErr w:type="spellStart"/>
      <w:r w:rsidRPr="003B38C1">
        <w:rPr>
          <w:sz w:val="17"/>
          <w:szCs w:val="17"/>
        </w:rPr>
        <w:t>Endnote</w:t>
      </w:r>
      <w:proofErr w:type="spellEnd"/>
      <w:r w:rsidRPr="003B38C1">
        <w:rPr>
          <w:sz w:val="17"/>
          <w:szCs w:val="17"/>
        </w:rPr>
        <w:t xml:space="preserve"> </w:t>
      </w:r>
      <w:proofErr w:type="spellStart"/>
      <w:r w:rsidRPr="003B38C1">
        <w:rPr>
          <w:sz w:val="17"/>
          <w:szCs w:val="17"/>
        </w:rPr>
        <w:t>continued</w:t>
      </w:r>
      <w:proofErr w:type="spellEnd"/>
      <w:r w:rsidRPr="003B38C1">
        <w:rPr>
          <w:sz w:val="17"/>
          <w:szCs w:val="17"/>
        </w:rPr>
        <w:t xml:space="preserve"> on </w:t>
      </w:r>
      <w:proofErr w:type="spellStart"/>
      <w:r w:rsidRPr="003B38C1">
        <w:rPr>
          <w:sz w:val="17"/>
          <w:szCs w:val="17"/>
        </w:rPr>
        <w:t>next</w:t>
      </w:r>
      <w:proofErr w:type="spellEnd"/>
      <w:r w:rsidRPr="003B38C1">
        <w:rPr>
          <w:sz w:val="17"/>
          <w:szCs w:val="17"/>
        </w:rPr>
        <w:t xml:space="preserve">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DengXian">
    <w:altName w:val="等线"/>
    <w:panose1 w:val="02010600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5CA75" w14:textId="77777777" w:rsidR="00F159FE" w:rsidRDefault="00F159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34C67" w14:textId="77777777" w:rsidR="00F159FE" w:rsidRDefault="00F159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0FB6B" w14:textId="77777777" w:rsidR="00F159FE" w:rsidRDefault="00F159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9FDC2" w14:textId="77777777" w:rsidR="001A1782" w:rsidRDefault="001A1782">
      <w:r>
        <w:separator/>
      </w:r>
    </w:p>
  </w:footnote>
  <w:footnote w:type="continuationSeparator" w:id="0">
    <w:p w14:paraId="3AAD9B79" w14:textId="77777777" w:rsidR="001A1782" w:rsidRDefault="001A1782" w:rsidP="008B60B2">
      <w:r>
        <w:separator/>
      </w:r>
    </w:p>
    <w:p w14:paraId="31324C12" w14:textId="77777777" w:rsidR="001A1782" w:rsidRPr="00ED77FB" w:rsidRDefault="001A1782" w:rsidP="008B60B2">
      <w:pPr>
        <w:spacing w:after="60"/>
        <w:rPr>
          <w:sz w:val="17"/>
          <w:szCs w:val="17"/>
        </w:rPr>
      </w:pPr>
      <w:r w:rsidRPr="00ED77FB">
        <w:rPr>
          <w:sz w:val="17"/>
          <w:szCs w:val="17"/>
        </w:rPr>
        <w:t>[</w:t>
      </w:r>
      <w:proofErr w:type="spellStart"/>
      <w:r w:rsidRPr="00ED77FB">
        <w:rPr>
          <w:sz w:val="17"/>
          <w:szCs w:val="17"/>
        </w:rPr>
        <w:t>Footnote</w:t>
      </w:r>
      <w:proofErr w:type="spellEnd"/>
      <w:r w:rsidRPr="00ED77FB">
        <w:rPr>
          <w:sz w:val="17"/>
          <w:szCs w:val="17"/>
        </w:rPr>
        <w:t xml:space="preserve"> </w:t>
      </w:r>
      <w:proofErr w:type="spellStart"/>
      <w:r w:rsidRPr="00ED77FB">
        <w:rPr>
          <w:sz w:val="17"/>
          <w:szCs w:val="17"/>
        </w:rPr>
        <w:t>continued</w:t>
      </w:r>
      <w:proofErr w:type="spellEnd"/>
      <w:r w:rsidRPr="00ED77FB">
        <w:rPr>
          <w:sz w:val="17"/>
          <w:szCs w:val="17"/>
        </w:rPr>
        <w:t xml:space="preserve"> </w:t>
      </w:r>
      <w:proofErr w:type="spellStart"/>
      <w:r w:rsidRPr="00ED77FB">
        <w:rPr>
          <w:sz w:val="17"/>
          <w:szCs w:val="17"/>
        </w:rPr>
        <w:t>from</w:t>
      </w:r>
      <w:proofErr w:type="spellEnd"/>
      <w:r w:rsidRPr="00ED77FB">
        <w:rPr>
          <w:sz w:val="17"/>
          <w:szCs w:val="17"/>
        </w:rPr>
        <w:t xml:space="preserve"> </w:t>
      </w:r>
      <w:proofErr w:type="spellStart"/>
      <w:r w:rsidRPr="00ED77FB">
        <w:rPr>
          <w:sz w:val="17"/>
          <w:szCs w:val="17"/>
        </w:rPr>
        <w:t>previous</w:t>
      </w:r>
      <w:proofErr w:type="spellEnd"/>
      <w:r w:rsidRPr="00ED77FB">
        <w:rPr>
          <w:sz w:val="17"/>
          <w:szCs w:val="17"/>
        </w:rPr>
        <w:t xml:space="preserve"> page]</w:t>
      </w:r>
    </w:p>
  </w:footnote>
  <w:footnote w:type="continuationNotice" w:id="1">
    <w:p w14:paraId="346AEB30" w14:textId="77777777" w:rsidR="001A1782" w:rsidRPr="00ED77FB" w:rsidRDefault="001A1782" w:rsidP="008B60B2">
      <w:pPr>
        <w:spacing w:before="60"/>
        <w:jc w:val="right"/>
        <w:rPr>
          <w:sz w:val="17"/>
          <w:szCs w:val="17"/>
        </w:rPr>
      </w:pPr>
      <w:r w:rsidRPr="00ED77FB">
        <w:rPr>
          <w:sz w:val="17"/>
          <w:szCs w:val="17"/>
        </w:rPr>
        <w:t>[</w:t>
      </w:r>
      <w:proofErr w:type="spellStart"/>
      <w:r w:rsidRPr="00ED77FB">
        <w:rPr>
          <w:sz w:val="17"/>
          <w:szCs w:val="17"/>
        </w:rPr>
        <w:t>Footnote</w:t>
      </w:r>
      <w:proofErr w:type="spellEnd"/>
      <w:r w:rsidRPr="00ED77FB">
        <w:rPr>
          <w:sz w:val="17"/>
          <w:szCs w:val="17"/>
        </w:rPr>
        <w:t xml:space="preserve"> </w:t>
      </w:r>
      <w:proofErr w:type="spellStart"/>
      <w:r w:rsidRPr="00ED77FB">
        <w:rPr>
          <w:sz w:val="17"/>
          <w:szCs w:val="17"/>
        </w:rPr>
        <w:t>continued</w:t>
      </w:r>
      <w:proofErr w:type="spellEnd"/>
      <w:r w:rsidRPr="00ED77FB">
        <w:rPr>
          <w:sz w:val="17"/>
          <w:szCs w:val="17"/>
        </w:rPr>
        <w:t xml:space="preserve"> on </w:t>
      </w:r>
      <w:proofErr w:type="spellStart"/>
      <w:r w:rsidRPr="00ED77FB">
        <w:rPr>
          <w:sz w:val="17"/>
          <w:szCs w:val="17"/>
        </w:rPr>
        <w:t>next</w:t>
      </w:r>
      <w:proofErr w:type="spellEnd"/>
      <w:r w:rsidRPr="00ED77FB">
        <w:rPr>
          <w:sz w:val="17"/>
          <w:szCs w:val="17"/>
        </w:rPr>
        <w:t xml:space="preserve"> page]</w:t>
      </w:r>
    </w:p>
  </w:footnote>
  <w:footnote w:id="2">
    <w:p w14:paraId="3A4FF54C" w14:textId="2E10E2B7" w:rsidR="007919DA" w:rsidRPr="00C925E2" w:rsidRDefault="007919DA" w:rsidP="00D41C53">
      <w:pPr>
        <w:pStyle w:val="FootnoteText"/>
        <w:tabs>
          <w:tab w:val="left" w:pos="567"/>
        </w:tabs>
        <w:rPr>
          <w:szCs w:val="18"/>
        </w:rPr>
      </w:pPr>
      <w:r>
        <w:rPr>
          <w:rStyle w:val="FootnoteReference"/>
          <w:szCs w:val="18"/>
        </w:rPr>
        <w:footnoteRef/>
      </w:r>
      <w:r>
        <w:t xml:space="preserve"> </w:t>
      </w:r>
      <w:r>
        <w:tab/>
        <w:t xml:space="preserve">Protection </w:t>
      </w:r>
      <w:proofErr w:type="spellStart"/>
      <w:r>
        <w:t>Rights</w:t>
      </w:r>
      <w:proofErr w:type="spellEnd"/>
      <w:r>
        <w:t xml:space="preserve"> over </w:t>
      </w:r>
      <w:proofErr w:type="spellStart"/>
      <w:r>
        <w:t>Traditional</w:t>
      </w:r>
      <w:proofErr w:type="spellEnd"/>
      <w:r>
        <w:t xml:space="preserve"> </w:t>
      </w:r>
      <w:proofErr w:type="spellStart"/>
      <w:r>
        <w:t>Knowledge</w:t>
      </w:r>
      <w:proofErr w:type="spellEnd"/>
      <w:r>
        <w:t xml:space="preserve">: Implications of </w:t>
      </w:r>
      <w:proofErr w:type="spellStart"/>
      <w:r>
        <w:t>Customary</w:t>
      </w:r>
      <w:proofErr w:type="spellEnd"/>
      <w:r>
        <w:t xml:space="preserve"> </w:t>
      </w:r>
      <w:proofErr w:type="spellStart"/>
      <w:r>
        <w:t>Laws</w:t>
      </w:r>
      <w:proofErr w:type="spellEnd"/>
      <w:r>
        <w:t xml:space="preserve"> and Practices, </w:t>
      </w:r>
      <w:proofErr w:type="spellStart"/>
      <w:r>
        <w:t>Research</w:t>
      </w:r>
      <w:proofErr w:type="spellEnd"/>
      <w:r>
        <w:t xml:space="preserve"> Planning Workshop, Cuzco (Pérou), 20 – 2</w:t>
      </w:r>
      <w:r w:rsidR="0060063A">
        <w:t>5 mai 20</w:t>
      </w:r>
      <w:r>
        <w:t>05.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C3EA8" w14:textId="03F8B161" w:rsidR="00267117" w:rsidRPr="00750AD4" w:rsidRDefault="00267117" w:rsidP="00267117">
    <w:pPr>
      <w:jc w:val="right"/>
    </w:pPr>
    <w:r>
      <w:t>WIPO/IPTK-TCES/GE/23/2</w:t>
    </w:r>
  </w:p>
  <w:p w14:paraId="7F1C86CC" w14:textId="58792612" w:rsidR="00267117" w:rsidRPr="00750AD4" w:rsidRDefault="00267117" w:rsidP="00267117">
    <w:pPr>
      <w:jc w:val="right"/>
    </w:pPr>
    <w:r>
      <w:t xml:space="preserve">page </w:t>
    </w:r>
    <w:r>
      <w:fldChar w:fldCharType="begin"/>
    </w:r>
    <w:r w:rsidRPr="00750AD4">
      <w:instrText xml:space="preserve"> PAGE  \* MERGEFORMAT </w:instrText>
    </w:r>
    <w:r>
      <w:fldChar w:fldCharType="separate"/>
    </w:r>
    <w:r w:rsidR="00EF6F20">
      <w:rPr>
        <w:noProof/>
      </w:rPr>
      <w:t>2</w:t>
    </w:r>
    <w:r>
      <w:fldChar w:fldCharType="end"/>
    </w:r>
  </w:p>
  <w:p w14:paraId="046C432A" w14:textId="77777777" w:rsidR="00267117" w:rsidRPr="00750AD4" w:rsidRDefault="00267117" w:rsidP="00267117">
    <w:pPr>
      <w:jc w:val="right"/>
      <w:rPr>
        <w:lang w:val="fr-CH"/>
      </w:rPr>
    </w:pPr>
  </w:p>
  <w:p w14:paraId="485949E5" w14:textId="77777777" w:rsidR="00267117" w:rsidRPr="00750AD4" w:rsidRDefault="00267117" w:rsidP="00267117">
    <w:pPr>
      <w:jc w:val="right"/>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AAC97" w14:textId="785753C5" w:rsidR="00EC4E49" w:rsidRPr="00750AD4" w:rsidRDefault="000D4BD5" w:rsidP="00477D6B">
    <w:pPr>
      <w:jc w:val="right"/>
    </w:pPr>
    <w:r>
      <w:t>WIPO/IPTK-TCES/GE/2</w:t>
    </w:r>
    <w:r w:rsidR="00EF6F20">
      <w:t>3</w:t>
    </w:r>
    <w:r>
      <w:t>/2</w:t>
    </w:r>
  </w:p>
  <w:p w14:paraId="3E4F5040" w14:textId="65DBDBDC" w:rsidR="008A134B" w:rsidRPr="00750AD4" w:rsidRDefault="00EF6F20" w:rsidP="00EF6F20">
    <w:pPr>
      <w:spacing w:after="480"/>
      <w:jc w:val="right"/>
      <w:rPr>
        <w:lang w:val="fr-CH"/>
      </w:rPr>
    </w:pPr>
    <w:r>
      <w:t>p</w:t>
    </w:r>
    <w:r w:rsidR="00EC4E49">
      <w:t>age</w:t>
    </w:r>
    <w:r>
      <w:t> </w:t>
    </w:r>
    <w:r w:rsidR="00EC4E49">
      <w:fldChar w:fldCharType="begin"/>
    </w:r>
    <w:r w:rsidR="00EC4E49" w:rsidRPr="00750AD4">
      <w:instrText xml:space="preserve"> PAGE  \* MERGEFORMAT </w:instrText>
    </w:r>
    <w:r w:rsidR="00EC4E49">
      <w:fldChar w:fldCharType="separate"/>
    </w:r>
    <w:r w:rsidR="00FC5D0C">
      <w:rPr>
        <w:noProof/>
      </w:rPr>
      <w:t>4</w:t>
    </w:r>
    <w:r w:rsidR="00EC4E49">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06D5F" w14:textId="77777777" w:rsidR="00F159FE" w:rsidRDefault="00F159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30F0E9C"/>
    <w:multiLevelType w:val="hybridMultilevel"/>
    <w:tmpl w:val="34F4E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9430170"/>
    <w:multiLevelType w:val="hybridMultilevel"/>
    <w:tmpl w:val="CB680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044BF"/>
    <w:multiLevelType w:val="hybridMultilevel"/>
    <w:tmpl w:val="B59A5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55D78"/>
    <w:multiLevelType w:val="hybridMultilevel"/>
    <w:tmpl w:val="1BEEE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06F67"/>
    <w:multiLevelType w:val="hybridMultilevel"/>
    <w:tmpl w:val="273C9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2357071B"/>
    <w:multiLevelType w:val="hybridMultilevel"/>
    <w:tmpl w:val="B2FCE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A40A71"/>
    <w:multiLevelType w:val="hybridMultilevel"/>
    <w:tmpl w:val="8BC204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5404D3"/>
    <w:multiLevelType w:val="hybridMultilevel"/>
    <w:tmpl w:val="79BE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52BCA"/>
    <w:multiLevelType w:val="hybridMultilevel"/>
    <w:tmpl w:val="542EB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C47C86"/>
    <w:multiLevelType w:val="hybridMultilevel"/>
    <w:tmpl w:val="E46C7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465187"/>
    <w:multiLevelType w:val="hybridMultilevel"/>
    <w:tmpl w:val="C8668644"/>
    <w:lvl w:ilvl="0" w:tplc="9BE88280">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A730247"/>
    <w:multiLevelType w:val="hybridMultilevel"/>
    <w:tmpl w:val="10AE60BE"/>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6" w15:restartNumberingAfterBreak="0">
    <w:nsid w:val="3D8317F8"/>
    <w:multiLevelType w:val="hybridMultilevel"/>
    <w:tmpl w:val="97C04836"/>
    <w:lvl w:ilvl="0" w:tplc="94FE7FF0">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84410B"/>
    <w:multiLevelType w:val="hybridMultilevel"/>
    <w:tmpl w:val="1840C94C"/>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8" w15:restartNumberingAfterBreak="0">
    <w:nsid w:val="430D048F"/>
    <w:multiLevelType w:val="hybridMultilevel"/>
    <w:tmpl w:val="06568D42"/>
    <w:lvl w:ilvl="0" w:tplc="04090003">
      <w:start w:val="1"/>
      <w:numFmt w:val="bullet"/>
      <w:lvlText w:val="o"/>
      <w:lvlJc w:val="left"/>
      <w:pPr>
        <w:ind w:left="1494" w:hanging="360"/>
      </w:pPr>
      <w:rPr>
        <w:rFonts w:ascii="Courier New" w:hAnsi="Courier New" w:cs="Courier New"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9" w15:restartNumberingAfterBreak="0">
    <w:nsid w:val="4328111E"/>
    <w:multiLevelType w:val="hybridMultilevel"/>
    <w:tmpl w:val="CB6ECA54"/>
    <w:lvl w:ilvl="0" w:tplc="9BE88280">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40E0D81"/>
    <w:multiLevelType w:val="hybridMultilevel"/>
    <w:tmpl w:val="6B4E0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4512A0F"/>
    <w:multiLevelType w:val="hybridMultilevel"/>
    <w:tmpl w:val="5E705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7A39B1"/>
    <w:multiLevelType w:val="hybridMultilevel"/>
    <w:tmpl w:val="E32CB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591F7C"/>
    <w:multiLevelType w:val="hybridMultilevel"/>
    <w:tmpl w:val="02CCA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904638"/>
    <w:multiLevelType w:val="hybridMultilevel"/>
    <w:tmpl w:val="2CF07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D8B23B4"/>
    <w:multiLevelType w:val="multilevel"/>
    <w:tmpl w:val="E482DD0C"/>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8" w15:restartNumberingAfterBreak="0">
    <w:nsid w:val="4E235D38"/>
    <w:multiLevelType w:val="hybridMultilevel"/>
    <w:tmpl w:val="E26E4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A3491C"/>
    <w:multiLevelType w:val="hybridMultilevel"/>
    <w:tmpl w:val="D2103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13404D"/>
    <w:multiLevelType w:val="hybridMultilevel"/>
    <w:tmpl w:val="F738D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C127EF"/>
    <w:multiLevelType w:val="hybridMultilevel"/>
    <w:tmpl w:val="8280F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F32C52"/>
    <w:multiLevelType w:val="hybridMultilevel"/>
    <w:tmpl w:val="23C8386C"/>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3" w15:restartNumberingAfterBreak="0">
    <w:nsid w:val="66EC25B6"/>
    <w:multiLevelType w:val="hybridMultilevel"/>
    <w:tmpl w:val="D7463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7A5D86"/>
    <w:multiLevelType w:val="hybridMultilevel"/>
    <w:tmpl w:val="1E389E36"/>
    <w:lvl w:ilvl="0" w:tplc="DFD6BAF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437FAB"/>
    <w:multiLevelType w:val="multilevel"/>
    <w:tmpl w:val="22FECEEA"/>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6" w15:restartNumberingAfterBreak="0">
    <w:nsid w:val="714B187D"/>
    <w:multiLevelType w:val="hybridMultilevel"/>
    <w:tmpl w:val="5CF20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A71512"/>
    <w:multiLevelType w:val="hybridMultilevel"/>
    <w:tmpl w:val="295AB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9666A3"/>
    <w:multiLevelType w:val="hybridMultilevel"/>
    <w:tmpl w:val="BE9048EA"/>
    <w:lvl w:ilvl="0" w:tplc="DFD6BAF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E04EAA"/>
    <w:multiLevelType w:val="hybridMultilevel"/>
    <w:tmpl w:val="F49A5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21"/>
  </w:num>
  <w:num w:numId="3">
    <w:abstractNumId w:val="0"/>
  </w:num>
  <w:num w:numId="4">
    <w:abstractNumId w:val="26"/>
  </w:num>
  <w:num w:numId="5">
    <w:abstractNumId w:val="2"/>
  </w:num>
  <w:num w:numId="6">
    <w:abstractNumId w:val="8"/>
  </w:num>
  <w:num w:numId="7">
    <w:abstractNumId w:val="22"/>
  </w:num>
  <w:num w:numId="8">
    <w:abstractNumId w:val="16"/>
  </w:num>
  <w:num w:numId="9">
    <w:abstractNumId w:val="18"/>
  </w:num>
  <w:num w:numId="10">
    <w:abstractNumId w:val="19"/>
  </w:num>
  <w:num w:numId="11">
    <w:abstractNumId w:val="14"/>
  </w:num>
  <w:num w:numId="12">
    <w:abstractNumId w:val="24"/>
  </w:num>
  <w:num w:numId="13">
    <w:abstractNumId w:val="28"/>
  </w:num>
  <w:num w:numId="14">
    <w:abstractNumId w:val="30"/>
  </w:num>
  <w:num w:numId="15">
    <w:abstractNumId w:val="36"/>
  </w:num>
  <w:num w:numId="16">
    <w:abstractNumId w:val="13"/>
  </w:num>
  <w:num w:numId="17">
    <w:abstractNumId w:val="31"/>
  </w:num>
  <w:num w:numId="18">
    <w:abstractNumId w:val="17"/>
  </w:num>
  <w:num w:numId="19">
    <w:abstractNumId w:val="5"/>
  </w:num>
  <w:num w:numId="20">
    <w:abstractNumId w:val="11"/>
  </w:num>
  <w:num w:numId="21">
    <w:abstractNumId w:val="3"/>
  </w:num>
  <w:num w:numId="22">
    <w:abstractNumId w:val="9"/>
  </w:num>
  <w:num w:numId="23">
    <w:abstractNumId w:val="33"/>
  </w:num>
  <w:num w:numId="24">
    <w:abstractNumId w:val="20"/>
  </w:num>
  <w:num w:numId="25">
    <w:abstractNumId w:val="32"/>
    <w:lvlOverride w:ilvl="0">
      <w:startOverride w:val="1"/>
    </w:lvlOverride>
    <w:lvlOverride w:ilvl="1"/>
    <w:lvlOverride w:ilvl="2"/>
    <w:lvlOverride w:ilvl="3"/>
    <w:lvlOverride w:ilvl="4"/>
    <w:lvlOverride w:ilvl="5"/>
    <w:lvlOverride w:ilvl="6"/>
    <w:lvlOverride w:ilvl="7"/>
    <w:lvlOverride w:ilvl="8"/>
  </w:num>
  <w:num w:numId="26">
    <w:abstractNumId w:val="1"/>
  </w:num>
  <w:num w:numId="27">
    <w:abstractNumId w:val="25"/>
  </w:num>
  <w:num w:numId="28">
    <w:abstractNumId w:val="4"/>
  </w:num>
  <w:num w:numId="29">
    <w:abstractNumId w:val="23"/>
  </w:num>
  <w:num w:numId="30">
    <w:abstractNumId w:val="34"/>
  </w:num>
  <w:num w:numId="31">
    <w:abstractNumId w:val="15"/>
  </w:num>
  <w:num w:numId="32">
    <w:abstractNumId w:val="38"/>
  </w:num>
  <w:num w:numId="33">
    <w:abstractNumId w:val="39"/>
  </w:num>
  <w:num w:numId="34">
    <w:abstractNumId w:val="29"/>
  </w:num>
  <w:num w:numId="35">
    <w:abstractNumId w:val="6"/>
  </w:num>
  <w:num w:numId="36">
    <w:abstractNumId w:val="37"/>
  </w:num>
  <w:num w:numId="37">
    <w:abstractNumId w:val="10"/>
  </w:num>
  <w:num w:numId="38">
    <w:abstractNumId w:val="12"/>
  </w:num>
  <w:num w:numId="39">
    <w:abstractNumId w:val="35"/>
  </w:num>
  <w:num w:numId="40">
    <w:abstractNumId w:val="8"/>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comments="0"/>
  <w:defaultTabStop w:val="567"/>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BD5"/>
    <w:rsid w:val="00003BD6"/>
    <w:rsid w:val="00012180"/>
    <w:rsid w:val="0001278A"/>
    <w:rsid w:val="00024041"/>
    <w:rsid w:val="00031920"/>
    <w:rsid w:val="00033185"/>
    <w:rsid w:val="00036321"/>
    <w:rsid w:val="000411A6"/>
    <w:rsid w:val="00043CAA"/>
    <w:rsid w:val="000443E8"/>
    <w:rsid w:val="000611EE"/>
    <w:rsid w:val="0007215C"/>
    <w:rsid w:val="00075432"/>
    <w:rsid w:val="000807DB"/>
    <w:rsid w:val="000831C9"/>
    <w:rsid w:val="00084F25"/>
    <w:rsid w:val="00092261"/>
    <w:rsid w:val="000968ED"/>
    <w:rsid w:val="000A3302"/>
    <w:rsid w:val="000A6A46"/>
    <w:rsid w:val="000B1B39"/>
    <w:rsid w:val="000B290B"/>
    <w:rsid w:val="000D4BD5"/>
    <w:rsid w:val="000E2B93"/>
    <w:rsid w:val="000E69A5"/>
    <w:rsid w:val="000F2E91"/>
    <w:rsid w:val="000F33DB"/>
    <w:rsid w:val="000F5E56"/>
    <w:rsid w:val="001362EE"/>
    <w:rsid w:val="00150D56"/>
    <w:rsid w:val="001647D5"/>
    <w:rsid w:val="00165B76"/>
    <w:rsid w:val="001662C2"/>
    <w:rsid w:val="00166A92"/>
    <w:rsid w:val="0017042D"/>
    <w:rsid w:val="00181199"/>
    <w:rsid w:val="0018292F"/>
    <w:rsid w:val="001832A6"/>
    <w:rsid w:val="00187B07"/>
    <w:rsid w:val="00187F6C"/>
    <w:rsid w:val="00191D11"/>
    <w:rsid w:val="00194CA8"/>
    <w:rsid w:val="001A1782"/>
    <w:rsid w:val="001A233E"/>
    <w:rsid w:val="001D088E"/>
    <w:rsid w:val="001F084E"/>
    <w:rsid w:val="0021217E"/>
    <w:rsid w:val="00215CD5"/>
    <w:rsid w:val="00227C6C"/>
    <w:rsid w:val="00232872"/>
    <w:rsid w:val="00233C45"/>
    <w:rsid w:val="00256D87"/>
    <w:rsid w:val="002623D6"/>
    <w:rsid w:val="002634C4"/>
    <w:rsid w:val="00267117"/>
    <w:rsid w:val="00275B90"/>
    <w:rsid w:val="00276A9A"/>
    <w:rsid w:val="002921B8"/>
    <w:rsid w:val="002928D3"/>
    <w:rsid w:val="0029357E"/>
    <w:rsid w:val="002965AA"/>
    <w:rsid w:val="002B6D96"/>
    <w:rsid w:val="002C20A7"/>
    <w:rsid w:val="002C6856"/>
    <w:rsid w:val="002D4CCC"/>
    <w:rsid w:val="002E0D90"/>
    <w:rsid w:val="002E3707"/>
    <w:rsid w:val="002F1FE6"/>
    <w:rsid w:val="002F4E68"/>
    <w:rsid w:val="002F7062"/>
    <w:rsid w:val="003010B3"/>
    <w:rsid w:val="00303705"/>
    <w:rsid w:val="00312F7F"/>
    <w:rsid w:val="00313FBF"/>
    <w:rsid w:val="00316F0D"/>
    <w:rsid w:val="00321FF0"/>
    <w:rsid w:val="003321D2"/>
    <w:rsid w:val="00332D35"/>
    <w:rsid w:val="0033600D"/>
    <w:rsid w:val="00340AE9"/>
    <w:rsid w:val="00351AC7"/>
    <w:rsid w:val="003536F0"/>
    <w:rsid w:val="00361450"/>
    <w:rsid w:val="003673CF"/>
    <w:rsid w:val="0037092D"/>
    <w:rsid w:val="0037653F"/>
    <w:rsid w:val="003845C1"/>
    <w:rsid w:val="003A1EF3"/>
    <w:rsid w:val="003A6F89"/>
    <w:rsid w:val="003B1152"/>
    <w:rsid w:val="003B27D2"/>
    <w:rsid w:val="003B38C1"/>
    <w:rsid w:val="003C397C"/>
    <w:rsid w:val="003C63B9"/>
    <w:rsid w:val="003D12FC"/>
    <w:rsid w:val="003E1F8F"/>
    <w:rsid w:val="003E3795"/>
    <w:rsid w:val="003E5350"/>
    <w:rsid w:val="003F5634"/>
    <w:rsid w:val="004018A1"/>
    <w:rsid w:val="0040282C"/>
    <w:rsid w:val="00403511"/>
    <w:rsid w:val="00412E3A"/>
    <w:rsid w:val="00415138"/>
    <w:rsid w:val="004151EA"/>
    <w:rsid w:val="00415F38"/>
    <w:rsid w:val="00423E3E"/>
    <w:rsid w:val="00426994"/>
    <w:rsid w:val="00427AF4"/>
    <w:rsid w:val="0043177A"/>
    <w:rsid w:val="0043778A"/>
    <w:rsid w:val="00441DB4"/>
    <w:rsid w:val="004426F1"/>
    <w:rsid w:val="00442FEE"/>
    <w:rsid w:val="004563B8"/>
    <w:rsid w:val="0046251E"/>
    <w:rsid w:val="004647DA"/>
    <w:rsid w:val="00466271"/>
    <w:rsid w:val="004663FC"/>
    <w:rsid w:val="00474062"/>
    <w:rsid w:val="00477D6B"/>
    <w:rsid w:val="00486458"/>
    <w:rsid w:val="004B350D"/>
    <w:rsid w:val="004B3998"/>
    <w:rsid w:val="004B412D"/>
    <w:rsid w:val="004C073A"/>
    <w:rsid w:val="004C79D5"/>
    <w:rsid w:val="004D2A4A"/>
    <w:rsid w:val="004E204E"/>
    <w:rsid w:val="004E4EB2"/>
    <w:rsid w:val="004F668B"/>
    <w:rsid w:val="005019FF"/>
    <w:rsid w:val="00516C2D"/>
    <w:rsid w:val="00517798"/>
    <w:rsid w:val="00520061"/>
    <w:rsid w:val="00521E04"/>
    <w:rsid w:val="00527CDC"/>
    <w:rsid w:val="00530376"/>
    <w:rsid w:val="0053057A"/>
    <w:rsid w:val="005428E7"/>
    <w:rsid w:val="00554401"/>
    <w:rsid w:val="00560A29"/>
    <w:rsid w:val="00562D1E"/>
    <w:rsid w:val="0056607C"/>
    <w:rsid w:val="00572A09"/>
    <w:rsid w:val="005859B5"/>
    <w:rsid w:val="005B5FE0"/>
    <w:rsid w:val="005C0A74"/>
    <w:rsid w:val="005C4023"/>
    <w:rsid w:val="005C6649"/>
    <w:rsid w:val="005C7230"/>
    <w:rsid w:val="005D01E5"/>
    <w:rsid w:val="005E07C0"/>
    <w:rsid w:val="005E2472"/>
    <w:rsid w:val="005E4EC6"/>
    <w:rsid w:val="0060063A"/>
    <w:rsid w:val="00601A98"/>
    <w:rsid w:val="0060323A"/>
    <w:rsid w:val="00604D1B"/>
    <w:rsid w:val="00605827"/>
    <w:rsid w:val="006068B5"/>
    <w:rsid w:val="00610789"/>
    <w:rsid w:val="00616520"/>
    <w:rsid w:val="0062027D"/>
    <w:rsid w:val="00622107"/>
    <w:rsid w:val="00623AE8"/>
    <w:rsid w:val="00646050"/>
    <w:rsid w:val="00654696"/>
    <w:rsid w:val="006713CA"/>
    <w:rsid w:val="00676C5C"/>
    <w:rsid w:val="00680D49"/>
    <w:rsid w:val="0068164E"/>
    <w:rsid w:val="00682471"/>
    <w:rsid w:val="00683816"/>
    <w:rsid w:val="00685F65"/>
    <w:rsid w:val="006A37D7"/>
    <w:rsid w:val="006D3C9F"/>
    <w:rsid w:val="006E279F"/>
    <w:rsid w:val="006F4E56"/>
    <w:rsid w:val="00704117"/>
    <w:rsid w:val="007043EE"/>
    <w:rsid w:val="007111E2"/>
    <w:rsid w:val="007301FA"/>
    <w:rsid w:val="007322A0"/>
    <w:rsid w:val="007435C7"/>
    <w:rsid w:val="00750AD4"/>
    <w:rsid w:val="00774DAD"/>
    <w:rsid w:val="007767BE"/>
    <w:rsid w:val="0079184B"/>
    <w:rsid w:val="007919DA"/>
    <w:rsid w:val="00792A46"/>
    <w:rsid w:val="007A1575"/>
    <w:rsid w:val="007B2BB5"/>
    <w:rsid w:val="007B44F7"/>
    <w:rsid w:val="007C17CA"/>
    <w:rsid w:val="007C4728"/>
    <w:rsid w:val="007C48E8"/>
    <w:rsid w:val="007D1613"/>
    <w:rsid w:val="007E0693"/>
    <w:rsid w:val="007E46A9"/>
    <w:rsid w:val="007E4C0E"/>
    <w:rsid w:val="007E71EB"/>
    <w:rsid w:val="00816717"/>
    <w:rsid w:val="00816953"/>
    <w:rsid w:val="00830727"/>
    <w:rsid w:val="00834069"/>
    <w:rsid w:val="00844C5C"/>
    <w:rsid w:val="00846707"/>
    <w:rsid w:val="008467DB"/>
    <w:rsid w:val="00847939"/>
    <w:rsid w:val="0085040B"/>
    <w:rsid w:val="00853630"/>
    <w:rsid w:val="00856425"/>
    <w:rsid w:val="00870735"/>
    <w:rsid w:val="00881144"/>
    <w:rsid w:val="008864E4"/>
    <w:rsid w:val="00891976"/>
    <w:rsid w:val="008A134B"/>
    <w:rsid w:val="008A58D1"/>
    <w:rsid w:val="008B2CC1"/>
    <w:rsid w:val="008B4576"/>
    <w:rsid w:val="008B60B2"/>
    <w:rsid w:val="008B7F57"/>
    <w:rsid w:val="008C10CF"/>
    <w:rsid w:val="008D0D4B"/>
    <w:rsid w:val="008D4377"/>
    <w:rsid w:val="008F0024"/>
    <w:rsid w:val="008F6A04"/>
    <w:rsid w:val="0090731E"/>
    <w:rsid w:val="009153FF"/>
    <w:rsid w:val="00916EE2"/>
    <w:rsid w:val="0092213D"/>
    <w:rsid w:val="0092297F"/>
    <w:rsid w:val="00950A4C"/>
    <w:rsid w:val="00951AC5"/>
    <w:rsid w:val="00966A22"/>
    <w:rsid w:val="0096722F"/>
    <w:rsid w:val="00967756"/>
    <w:rsid w:val="009769BC"/>
    <w:rsid w:val="00980286"/>
    <w:rsid w:val="00980803"/>
    <w:rsid w:val="00980843"/>
    <w:rsid w:val="0099414F"/>
    <w:rsid w:val="009A0B04"/>
    <w:rsid w:val="009B07AD"/>
    <w:rsid w:val="009C2752"/>
    <w:rsid w:val="009C3880"/>
    <w:rsid w:val="009C3F61"/>
    <w:rsid w:val="009E2791"/>
    <w:rsid w:val="009E3F6F"/>
    <w:rsid w:val="009F499F"/>
    <w:rsid w:val="009F7789"/>
    <w:rsid w:val="00A05DB8"/>
    <w:rsid w:val="00A07739"/>
    <w:rsid w:val="00A22486"/>
    <w:rsid w:val="00A2390D"/>
    <w:rsid w:val="00A25932"/>
    <w:rsid w:val="00A34104"/>
    <w:rsid w:val="00A361CE"/>
    <w:rsid w:val="00A37342"/>
    <w:rsid w:val="00A42DAF"/>
    <w:rsid w:val="00A45BD8"/>
    <w:rsid w:val="00A67FE6"/>
    <w:rsid w:val="00A73D7E"/>
    <w:rsid w:val="00A74AE9"/>
    <w:rsid w:val="00A869B7"/>
    <w:rsid w:val="00AC205C"/>
    <w:rsid w:val="00AC22EB"/>
    <w:rsid w:val="00AC7B78"/>
    <w:rsid w:val="00AD0DB2"/>
    <w:rsid w:val="00AE5D78"/>
    <w:rsid w:val="00AF0A6B"/>
    <w:rsid w:val="00AF1ED6"/>
    <w:rsid w:val="00B05A69"/>
    <w:rsid w:val="00B112D7"/>
    <w:rsid w:val="00B314B5"/>
    <w:rsid w:val="00B727F0"/>
    <w:rsid w:val="00B77005"/>
    <w:rsid w:val="00B77DA3"/>
    <w:rsid w:val="00B9734B"/>
    <w:rsid w:val="00BA16E1"/>
    <w:rsid w:val="00BA30E2"/>
    <w:rsid w:val="00BB11BB"/>
    <w:rsid w:val="00BC1B79"/>
    <w:rsid w:val="00BC4A9E"/>
    <w:rsid w:val="00BC5E16"/>
    <w:rsid w:val="00BD16F8"/>
    <w:rsid w:val="00BD6FAC"/>
    <w:rsid w:val="00BE1072"/>
    <w:rsid w:val="00BE6183"/>
    <w:rsid w:val="00BF6A83"/>
    <w:rsid w:val="00C11090"/>
    <w:rsid w:val="00C11BFE"/>
    <w:rsid w:val="00C20B1E"/>
    <w:rsid w:val="00C23E36"/>
    <w:rsid w:val="00C278C5"/>
    <w:rsid w:val="00C40E7F"/>
    <w:rsid w:val="00C42861"/>
    <w:rsid w:val="00C5068F"/>
    <w:rsid w:val="00C57CEF"/>
    <w:rsid w:val="00C605A3"/>
    <w:rsid w:val="00C7190A"/>
    <w:rsid w:val="00C7365D"/>
    <w:rsid w:val="00C81E70"/>
    <w:rsid w:val="00C83170"/>
    <w:rsid w:val="00C838AA"/>
    <w:rsid w:val="00C86D74"/>
    <w:rsid w:val="00C94728"/>
    <w:rsid w:val="00C9666C"/>
    <w:rsid w:val="00CC0A33"/>
    <w:rsid w:val="00CC0C14"/>
    <w:rsid w:val="00CC5FF5"/>
    <w:rsid w:val="00CD04F1"/>
    <w:rsid w:val="00CD49DE"/>
    <w:rsid w:val="00CE1AD8"/>
    <w:rsid w:val="00CE66EF"/>
    <w:rsid w:val="00CF1E16"/>
    <w:rsid w:val="00D00F50"/>
    <w:rsid w:val="00D05554"/>
    <w:rsid w:val="00D1181D"/>
    <w:rsid w:val="00D32AD3"/>
    <w:rsid w:val="00D33CEC"/>
    <w:rsid w:val="00D34743"/>
    <w:rsid w:val="00D41C53"/>
    <w:rsid w:val="00D4330B"/>
    <w:rsid w:val="00D45252"/>
    <w:rsid w:val="00D53171"/>
    <w:rsid w:val="00D61185"/>
    <w:rsid w:val="00D62E7C"/>
    <w:rsid w:val="00D66B9B"/>
    <w:rsid w:val="00D67C70"/>
    <w:rsid w:val="00D715AE"/>
    <w:rsid w:val="00D71B4D"/>
    <w:rsid w:val="00D80FF7"/>
    <w:rsid w:val="00D93D55"/>
    <w:rsid w:val="00DA7396"/>
    <w:rsid w:val="00DC20FA"/>
    <w:rsid w:val="00DC5D23"/>
    <w:rsid w:val="00DE079F"/>
    <w:rsid w:val="00DE1A0A"/>
    <w:rsid w:val="00DE45DC"/>
    <w:rsid w:val="00DE4DCB"/>
    <w:rsid w:val="00DF7C36"/>
    <w:rsid w:val="00E02CE2"/>
    <w:rsid w:val="00E1184A"/>
    <w:rsid w:val="00E132A1"/>
    <w:rsid w:val="00E15015"/>
    <w:rsid w:val="00E163E8"/>
    <w:rsid w:val="00E16C10"/>
    <w:rsid w:val="00E21EA7"/>
    <w:rsid w:val="00E315B1"/>
    <w:rsid w:val="00E31B7A"/>
    <w:rsid w:val="00E335FE"/>
    <w:rsid w:val="00E408B2"/>
    <w:rsid w:val="00E50C3E"/>
    <w:rsid w:val="00E53211"/>
    <w:rsid w:val="00E57D3D"/>
    <w:rsid w:val="00E65079"/>
    <w:rsid w:val="00E651C9"/>
    <w:rsid w:val="00E723B6"/>
    <w:rsid w:val="00E759FB"/>
    <w:rsid w:val="00E75D08"/>
    <w:rsid w:val="00E77050"/>
    <w:rsid w:val="00E778A2"/>
    <w:rsid w:val="00E80817"/>
    <w:rsid w:val="00E82D9F"/>
    <w:rsid w:val="00E82F37"/>
    <w:rsid w:val="00E84D66"/>
    <w:rsid w:val="00E94608"/>
    <w:rsid w:val="00EA1198"/>
    <w:rsid w:val="00EA1441"/>
    <w:rsid w:val="00EA751D"/>
    <w:rsid w:val="00EA7D6E"/>
    <w:rsid w:val="00EC4815"/>
    <w:rsid w:val="00EC4E49"/>
    <w:rsid w:val="00EC7882"/>
    <w:rsid w:val="00ED77FB"/>
    <w:rsid w:val="00EE45FA"/>
    <w:rsid w:val="00EE4A26"/>
    <w:rsid w:val="00EF1964"/>
    <w:rsid w:val="00EF3A7A"/>
    <w:rsid w:val="00EF442A"/>
    <w:rsid w:val="00EF6F20"/>
    <w:rsid w:val="00F0685A"/>
    <w:rsid w:val="00F159FE"/>
    <w:rsid w:val="00F15FAA"/>
    <w:rsid w:val="00F23CBA"/>
    <w:rsid w:val="00F35FD5"/>
    <w:rsid w:val="00F54D37"/>
    <w:rsid w:val="00F66152"/>
    <w:rsid w:val="00F668D4"/>
    <w:rsid w:val="00F83C2E"/>
    <w:rsid w:val="00F96AB1"/>
    <w:rsid w:val="00FA6B85"/>
    <w:rsid w:val="00FC01F4"/>
    <w:rsid w:val="00FC4540"/>
    <w:rsid w:val="00FC5D0C"/>
    <w:rsid w:val="00FE22FF"/>
    <w:rsid w:val="00FE60B6"/>
    <w:rsid w:val="00FF38A8"/>
    <w:rsid w:val="00FF5291"/>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FF69E6A"/>
  <w15:docId w15:val="{4F2F2A6B-A54B-417B-B708-119D663DF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D41C53"/>
    <w:pPr>
      <w:keepNext/>
      <w:spacing w:before="240" w:after="240"/>
      <w:outlineLvl w:val="2"/>
    </w:pPr>
    <w:rPr>
      <w:b/>
      <w:bCs/>
      <w:szCs w:val="26"/>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aliases w:val="Footnote ak"/>
    <w:basedOn w:val="Normal"/>
    <w:link w:val="FootnoteTextChar"/>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0D4BD5"/>
    <w:pPr>
      <w:ind w:left="720"/>
      <w:contextualSpacing/>
    </w:pPr>
  </w:style>
  <w:style w:type="table" w:styleId="TableGrid">
    <w:name w:val="Table Grid"/>
    <w:basedOn w:val="TableNormal"/>
    <w:rsid w:val="000D4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847939"/>
    <w:rPr>
      <w:rFonts w:ascii="Segoe UI" w:hAnsi="Segoe UI" w:cs="Segoe UI"/>
      <w:sz w:val="18"/>
      <w:szCs w:val="18"/>
    </w:rPr>
  </w:style>
  <w:style w:type="character" w:customStyle="1" w:styleId="BalloonTextChar">
    <w:name w:val="Balloon Text Char"/>
    <w:basedOn w:val="DefaultParagraphFont"/>
    <w:link w:val="BalloonText"/>
    <w:semiHidden/>
    <w:rsid w:val="00847939"/>
    <w:rPr>
      <w:rFonts w:ascii="Segoe UI" w:eastAsia="SimSun" w:hAnsi="Segoe UI" w:cs="Segoe UI"/>
      <w:sz w:val="18"/>
      <w:szCs w:val="18"/>
      <w:lang w:val="fr-FR" w:eastAsia="zh-CN"/>
    </w:rPr>
  </w:style>
  <w:style w:type="character" w:styleId="Hyperlink">
    <w:name w:val="Hyperlink"/>
    <w:basedOn w:val="DefaultParagraphFont"/>
    <w:unhideWhenUsed/>
    <w:rsid w:val="00E77050"/>
    <w:rPr>
      <w:color w:val="0000FF" w:themeColor="hyperlink"/>
      <w:u w:val="single"/>
    </w:rPr>
  </w:style>
  <w:style w:type="character" w:customStyle="1" w:styleId="CommentTextChar">
    <w:name w:val="Comment Text Char"/>
    <w:basedOn w:val="DefaultParagraphFont"/>
    <w:link w:val="CommentText"/>
    <w:uiPriority w:val="99"/>
    <w:semiHidden/>
    <w:rsid w:val="0001278A"/>
    <w:rPr>
      <w:rFonts w:ascii="Arial" w:eastAsia="SimSun" w:hAnsi="Arial" w:cs="Arial"/>
      <w:sz w:val="18"/>
      <w:lang w:val="fr-FR" w:eastAsia="zh-CN"/>
    </w:rPr>
  </w:style>
  <w:style w:type="character" w:styleId="CommentReference">
    <w:name w:val="annotation reference"/>
    <w:basedOn w:val="DefaultParagraphFont"/>
    <w:semiHidden/>
    <w:unhideWhenUsed/>
    <w:rsid w:val="007111E2"/>
    <w:rPr>
      <w:sz w:val="16"/>
      <w:szCs w:val="16"/>
    </w:rPr>
  </w:style>
  <w:style w:type="paragraph" w:styleId="CommentSubject">
    <w:name w:val="annotation subject"/>
    <w:basedOn w:val="CommentText"/>
    <w:next w:val="CommentText"/>
    <w:link w:val="CommentSubjectChar"/>
    <w:semiHidden/>
    <w:unhideWhenUsed/>
    <w:rsid w:val="007111E2"/>
    <w:rPr>
      <w:b/>
      <w:bCs/>
      <w:sz w:val="20"/>
    </w:rPr>
  </w:style>
  <w:style w:type="character" w:customStyle="1" w:styleId="CommentSubjectChar">
    <w:name w:val="Comment Subject Char"/>
    <w:basedOn w:val="CommentTextChar"/>
    <w:link w:val="CommentSubject"/>
    <w:semiHidden/>
    <w:rsid w:val="007111E2"/>
    <w:rPr>
      <w:rFonts w:ascii="Arial" w:eastAsia="SimSun" w:hAnsi="Arial" w:cs="Arial"/>
      <w:b/>
      <w:bCs/>
      <w:sz w:val="18"/>
      <w:lang w:val="fr-FR" w:eastAsia="zh-CN"/>
    </w:rPr>
  </w:style>
  <w:style w:type="paragraph" w:styleId="Revision">
    <w:name w:val="Revision"/>
    <w:hidden/>
    <w:uiPriority w:val="99"/>
    <w:semiHidden/>
    <w:rsid w:val="0062027D"/>
    <w:rPr>
      <w:rFonts w:ascii="Arial" w:eastAsia="SimSun" w:hAnsi="Arial" w:cs="Arial"/>
      <w:sz w:val="22"/>
      <w:lang w:eastAsia="zh-CN"/>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basedOn w:val="DefaultParagraphFont"/>
    <w:unhideWhenUsed/>
    <w:qFormat/>
    <w:rsid w:val="00685F65"/>
    <w:rPr>
      <w:vertAlign w:val="superscript"/>
    </w:rPr>
  </w:style>
  <w:style w:type="character" w:customStyle="1" w:styleId="FootnoteTextChar">
    <w:name w:val="Footnote Text Char"/>
    <w:aliases w:val="Footnote ak Char1"/>
    <w:basedOn w:val="DefaultParagraphFont"/>
    <w:link w:val="FootnoteText"/>
    <w:rsid w:val="00227C6C"/>
    <w:rPr>
      <w:rFonts w:ascii="Arial" w:eastAsia="SimSun" w:hAnsi="Arial" w:cs="Arial"/>
      <w:sz w:val="18"/>
      <w:lang w:val="fr-FR" w:eastAsia="zh-CN"/>
    </w:rPr>
  </w:style>
  <w:style w:type="character" w:customStyle="1" w:styleId="FootnoteTextChar1">
    <w:name w:val="Footnote Text Char1"/>
    <w:aliases w:val="Footnote ak Char"/>
    <w:semiHidden/>
    <w:rsid w:val="007919DA"/>
    <w:rPr>
      <w:rFonts w:ascii="Arial" w:eastAsia="SimSun" w:hAnsi="Arial" w:cs="Arial"/>
      <w:sz w:val="18"/>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49060">
      <w:bodyDiv w:val="1"/>
      <w:marLeft w:val="0"/>
      <w:marRight w:val="0"/>
      <w:marTop w:val="0"/>
      <w:marBottom w:val="0"/>
      <w:divBdr>
        <w:top w:val="none" w:sz="0" w:space="0" w:color="auto"/>
        <w:left w:val="none" w:sz="0" w:space="0" w:color="auto"/>
        <w:bottom w:val="none" w:sz="0" w:space="0" w:color="auto"/>
        <w:right w:val="none" w:sz="0" w:space="0" w:color="auto"/>
      </w:divBdr>
    </w:div>
    <w:div w:id="1600530299">
      <w:bodyDiv w:val="1"/>
      <w:marLeft w:val="0"/>
      <w:marRight w:val="0"/>
      <w:marTop w:val="0"/>
      <w:marBottom w:val="0"/>
      <w:divBdr>
        <w:top w:val="none" w:sz="0" w:space="0" w:color="auto"/>
        <w:left w:val="none" w:sz="0" w:space="0" w:color="auto"/>
        <w:bottom w:val="none" w:sz="0" w:space="0" w:color="auto"/>
        <w:right w:val="none" w:sz="0" w:space="0" w:color="auto"/>
      </w:divBdr>
    </w:div>
    <w:div w:id="195528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meetings/fr/doc_details.jsp?doc_id=149213"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wipo.int/meetings/fr/doc_details.jsp?doc_id=595591" TargetMode="External"/><Relationship Id="rId17" Type="http://schemas.openxmlformats.org/officeDocument/2006/relationships/hyperlink" Target="https://www.wipo.int/tk/fr/resources/tk_experiences.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wipo.int/tk/fr/resources/tk_experiences.html" TargetMode="External"/><Relationship Id="rId20" Type="http://schemas.openxmlformats.org/officeDocument/2006/relationships/footer" Target="footer1.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fr/doc_details.jsp?doc_id=59557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wipo.int/export/sites/www/tk/en/resources/pdf/overview_customary_law.pdf" TargetMode="External"/><Relationship Id="rId23" Type="http://schemas.openxmlformats.org/officeDocument/2006/relationships/footer" Target="footer3.xml"/><Relationship Id="rId10" Type="http://schemas.openxmlformats.org/officeDocument/2006/relationships/hyperlink" Target="https://www.wipo.int/meetings/fr/doc_details.jsp?doc_id=595653"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wipo.int/meetings/fr/doc_details.jsp?doc_id=595651" TargetMode="External"/><Relationship Id="rId14" Type="http://schemas.openxmlformats.org/officeDocument/2006/relationships/hyperlink" Target="https://www.wipo.int/meetings/fr/doc_details.jsp?doc_id=147152"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BDB4B-6D0D-4248-9183-29CA0434F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1299</Words>
  <Characters>8498</Characters>
  <Application>Microsoft Office Word</Application>
  <DocSecurity>0</DocSecurity>
  <Lines>137</Lines>
  <Paragraphs>43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 Goss</dc:creator>
  <cp:keywords>FOR OFFICIAL USE ONLY</cp:keywords>
  <cp:lastModifiedBy>OLIVIÉ Karen</cp:lastModifiedBy>
  <cp:revision>11</cp:revision>
  <cp:lastPrinted>2023-02-09T09:55:00Z</cp:lastPrinted>
  <dcterms:created xsi:type="dcterms:W3CDTF">2023-02-09T15:48:00Z</dcterms:created>
  <dcterms:modified xsi:type="dcterms:W3CDTF">2023-02-20T13:26:00Z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1b5e0437-e0a3-427b-8ca7-2aa7193a2bce</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