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E4835" w14:textId="77777777" w:rsidR="0074539B" w:rsidRPr="0040540C" w:rsidRDefault="0074539B" w:rsidP="0074539B">
      <w:pPr>
        <w:pBdr>
          <w:bottom w:val="single" w:sz="4" w:space="1" w:color="auto"/>
        </w:pBdr>
        <w:spacing w:after="120" w:line="360" w:lineRule="auto"/>
        <w:jc w:val="right"/>
      </w:pPr>
      <w:bookmarkStart w:id="0" w:name="_GoBack"/>
      <w:bookmarkEnd w:id="0"/>
      <w:r>
        <w:rPr>
          <w:noProof/>
          <w:lang w:val="en-US" w:eastAsia="en-US"/>
        </w:rPr>
        <w:drawing>
          <wp:inline distT="0" distB="0" distL="0" distR="0" wp14:anchorId="2B566AAD" wp14:editId="2D474085">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2234DE57" w14:textId="19966B67" w:rsidR="0074539B" w:rsidRDefault="0074539B" w:rsidP="0074539B">
      <w:pPr>
        <w:jc w:val="right"/>
        <w:rPr>
          <w:rFonts w:ascii="Arial Black" w:hAnsi="Arial Black"/>
          <w:caps/>
          <w:sz w:val="15"/>
        </w:rPr>
      </w:pPr>
      <w:bookmarkStart w:id="1" w:name="Code"/>
      <w:bookmarkEnd w:id="1"/>
      <w:r>
        <w:rPr>
          <w:rFonts w:ascii="Arial Black" w:hAnsi="Arial Black"/>
          <w:caps/>
          <w:sz w:val="15"/>
        </w:rPr>
        <w:t>WIPO/IPTK</w:t>
      </w:r>
      <w:r w:rsidR="00A53571">
        <w:rPr>
          <w:rFonts w:ascii="Arial Black" w:hAnsi="Arial Black"/>
          <w:caps/>
          <w:sz w:val="15"/>
        </w:rPr>
        <w:noBreakHyphen/>
      </w:r>
      <w:r>
        <w:rPr>
          <w:rFonts w:ascii="Arial Black" w:hAnsi="Arial Black"/>
          <w:caps/>
          <w:sz w:val="15"/>
        </w:rPr>
        <w:t>TCES/GE/22/2</w:t>
      </w:r>
    </w:p>
    <w:p w14:paraId="61427536" w14:textId="1FDDB635" w:rsidR="0074539B" w:rsidRPr="0040540C" w:rsidRDefault="0074539B" w:rsidP="0074539B">
      <w:pPr>
        <w:jc w:val="right"/>
      </w:pPr>
      <w:r w:rsidRPr="0090731E">
        <w:rPr>
          <w:rFonts w:ascii="Arial Black" w:hAnsi="Arial Black"/>
          <w:caps/>
          <w:sz w:val="15"/>
        </w:rPr>
        <w:t>ORIGINAL</w:t>
      </w:r>
      <w:r>
        <w:rPr>
          <w:rFonts w:ascii="Arial Black" w:hAnsi="Arial Black"/>
          <w:caps/>
          <w:sz w:val="15"/>
        </w:rPr>
        <w:t xml:space="preserve"> : </w:t>
      </w:r>
      <w:bookmarkStart w:id="2" w:name="Original"/>
      <w:r>
        <w:rPr>
          <w:rFonts w:ascii="Arial Black" w:hAnsi="Arial Black"/>
          <w:caps/>
          <w:sz w:val="15"/>
        </w:rPr>
        <w:t>anglais</w:t>
      </w:r>
    </w:p>
    <w:bookmarkEnd w:id="2"/>
    <w:p w14:paraId="4D978F01" w14:textId="057FD76A" w:rsidR="0074539B" w:rsidRPr="0040540C" w:rsidRDefault="0074539B" w:rsidP="0074539B">
      <w:pPr>
        <w:spacing w:after="1200"/>
        <w:jc w:val="right"/>
      </w:pPr>
      <w:r w:rsidRPr="0090731E">
        <w:rPr>
          <w:rFonts w:ascii="Arial Black" w:hAnsi="Arial Black"/>
          <w:caps/>
          <w:sz w:val="15"/>
        </w:rPr>
        <w:t>DATE</w:t>
      </w:r>
      <w:r>
        <w:rPr>
          <w:rFonts w:ascii="Arial Black" w:hAnsi="Arial Black"/>
          <w:caps/>
          <w:sz w:val="15"/>
        </w:rPr>
        <w:t xml:space="preserve"> : </w:t>
      </w:r>
      <w:bookmarkStart w:id="3" w:name="Date"/>
      <w:r>
        <w:rPr>
          <w:rFonts w:ascii="Arial Black" w:hAnsi="Arial Black"/>
          <w:caps/>
          <w:sz w:val="15"/>
        </w:rPr>
        <w:t>8 novembre 2022</w:t>
      </w:r>
    </w:p>
    <w:bookmarkEnd w:id="3"/>
    <w:p w14:paraId="4A55F2E7" w14:textId="1E5DE5FB" w:rsidR="0074539B" w:rsidRPr="00151764" w:rsidRDefault="0074539B" w:rsidP="0074539B">
      <w:pPr>
        <w:pStyle w:val="Title"/>
      </w:pPr>
      <w:r w:rsidRPr="00151764">
        <w:t>G</w:t>
      </w:r>
      <w:r>
        <w:t>roupe spécial d’experts sur les savoirs traditionnels et les expressions culturelles traditionnelles</w:t>
      </w:r>
    </w:p>
    <w:p w14:paraId="5E546414" w14:textId="77777777" w:rsidR="0074539B" w:rsidRPr="003845C1" w:rsidRDefault="0074539B" w:rsidP="0074539B">
      <w:pPr>
        <w:spacing w:after="960"/>
        <w:outlineLvl w:val="1"/>
        <w:rPr>
          <w:b/>
          <w:sz w:val="24"/>
          <w:szCs w:val="24"/>
        </w:rPr>
      </w:pPr>
      <w:r>
        <w:rPr>
          <w:b/>
          <w:sz w:val="24"/>
          <w:szCs w:val="24"/>
        </w:rPr>
        <w:t>Genève, 4 décembre 2022</w:t>
      </w:r>
    </w:p>
    <w:p w14:paraId="66903D23" w14:textId="7DE26AD7" w:rsidR="0074539B" w:rsidRPr="003845C1" w:rsidRDefault="0074539B" w:rsidP="0074539B">
      <w:pPr>
        <w:spacing w:after="360"/>
        <w:rPr>
          <w:caps/>
          <w:sz w:val="24"/>
        </w:rPr>
      </w:pPr>
      <w:bookmarkStart w:id="4" w:name="TitleOfDoc"/>
      <w:r>
        <w:rPr>
          <w:caps/>
          <w:sz w:val="24"/>
        </w:rPr>
        <w:t>Note d’information sur les questions de fond</w:t>
      </w:r>
    </w:p>
    <w:p w14:paraId="46865ACE" w14:textId="468C927B" w:rsidR="0074539B" w:rsidRPr="008B2CC1" w:rsidRDefault="0074539B" w:rsidP="0074539B">
      <w:pPr>
        <w:spacing w:after="1040"/>
        <w:rPr>
          <w:i/>
        </w:rPr>
      </w:pPr>
      <w:bookmarkStart w:id="5" w:name="Prepared"/>
      <w:bookmarkEnd w:id="4"/>
      <w:bookmarkEnd w:id="5"/>
      <w:proofErr w:type="gramStart"/>
      <w:r>
        <w:rPr>
          <w:i/>
        </w:rPr>
        <w:t>établie</w:t>
      </w:r>
      <w:proofErr w:type="gramEnd"/>
      <w:r>
        <w:rPr>
          <w:i/>
        </w:rPr>
        <w:t xml:space="preserve"> par le Bureau international de l’OMPI</w:t>
      </w:r>
    </w:p>
    <w:p w14:paraId="762F3ACA" w14:textId="77777777" w:rsidR="000D4BD5" w:rsidRDefault="000D4BD5">
      <w:r>
        <w:br w:type="page"/>
      </w:r>
    </w:p>
    <w:p w14:paraId="4D796C6E" w14:textId="5383BF24" w:rsidR="0074539B" w:rsidRDefault="000D4BD5" w:rsidP="00A53571">
      <w:pPr>
        <w:pStyle w:val="ONUMFS"/>
      </w:pPr>
      <w:r>
        <w:lastRenderedPageBreak/>
        <w:t>Conformément au mandat du Comité intergouvernemental de la propriété intellectuelle relative aux ressources génétiques, aux savoirs traditionnels et au folklore (“IGC”) et aux décisions des trente</w:t>
      </w:r>
      <w:r w:rsidR="00A53571">
        <w:noBreakHyphen/>
      </w:r>
      <w:r>
        <w:t>septième et quarante</w:t>
      </w:r>
      <w:r w:rsidR="00A53571">
        <w:noBreakHyphen/>
      </w:r>
      <w:r>
        <w:t>quatr</w:t>
      </w:r>
      <w:r w:rsidR="0074539B">
        <w:t>ième session</w:t>
      </w:r>
      <w:r>
        <w:t>s de l</w:t>
      </w:r>
      <w:r w:rsidR="0074539B">
        <w:t>’</w:t>
      </w:r>
      <w:r>
        <w:t>IGC, l</w:t>
      </w:r>
      <w:r w:rsidR="0074539B">
        <w:t>’</w:t>
      </w:r>
      <w:r>
        <w:t>objectif général du Groupe spécial d</w:t>
      </w:r>
      <w:r w:rsidR="0074539B">
        <w:t>’</w:t>
      </w:r>
      <w:r>
        <w:t>experts sur les savoirs traditionnels et les expressions culturelles traditionnelles est de traiter des questions précises d</w:t>
      </w:r>
      <w:r w:rsidR="0074539B">
        <w:t>’</w:t>
      </w:r>
      <w:r>
        <w:t>ordre juridique, politique ou techniq</w:t>
      </w:r>
      <w:r w:rsidR="00A53571">
        <w:t>ue.  Le</w:t>
      </w:r>
      <w:r>
        <w:t>s résultats de ces travaux feront l</w:t>
      </w:r>
      <w:r w:rsidR="0074539B">
        <w:t>’</w:t>
      </w:r>
      <w:r>
        <w:t>objet d</w:t>
      </w:r>
      <w:r w:rsidR="0074539B">
        <w:t>’</w:t>
      </w:r>
      <w:r>
        <w:t>un rapport et seront examinés par l</w:t>
      </w:r>
      <w:r w:rsidR="0074539B">
        <w:t>’</w:t>
      </w:r>
      <w:r>
        <w:t>IGC.</w:t>
      </w:r>
    </w:p>
    <w:p w14:paraId="535B86EE" w14:textId="0E0915F9" w:rsidR="009769BC" w:rsidRDefault="00610789" w:rsidP="00A53571">
      <w:pPr>
        <w:pStyle w:val="ONUMFS"/>
      </w:pPr>
      <w:r>
        <w:t>Le président et les vice</w:t>
      </w:r>
      <w:r w:rsidR="00A53571">
        <w:noBreakHyphen/>
      </w:r>
      <w:r>
        <w:t>présidents de l</w:t>
      </w:r>
      <w:r w:rsidR="0074539B">
        <w:t>’</w:t>
      </w:r>
      <w:r>
        <w:t>IGC ont défini la liste des questions, en tenant compte des propositions faites par les États membr</w:t>
      </w:r>
      <w:r w:rsidR="00A53571">
        <w:t>es.  Le</w:t>
      </w:r>
      <w:r>
        <w:t xml:space="preserve"> groupe spécial d</w:t>
      </w:r>
      <w:r w:rsidR="0074539B">
        <w:t>’</w:t>
      </w:r>
      <w:r>
        <w:t>experts traitera par conséquent les questions ci</w:t>
      </w:r>
      <w:r w:rsidR="00A53571">
        <w:noBreakHyphen/>
      </w:r>
      <w:r>
        <w:t>après relatives aux savoirs traditionnels et aux expressions culturelles traditionnelles</w:t>
      </w:r>
      <w:r w:rsidR="0074539B">
        <w:t> :</w:t>
      </w:r>
    </w:p>
    <w:p w14:paraId="13BCA9FD" w14:textId="18AAC1D2" w:rsidR="009769BC" w:rsidRPr="009769BC" w:rsidRDefault="009769BC" w:rsidP="00A53571">
      <w:pPr>
        <w:pStyle w:val="ListParagraph"/>
        <w:numPr>
          <w:ilvl w:val="0"/>
          <w:numId w:val="34"/>
        </w:numPr>
        <w:ind w:left="1134" w:hanging="567"/>
        <w:rPr>
          <w:rFonts w:eastAsia="DengXian"/>
          <w:szCs w:val="22"/>
        </w:rPr>
      </w:pPr>
      <w:r>
        <w:t>Étendue de la protection;</w:t>
      </w:r>
    </w:p>
    <w:p w14:paraId="4412CE6C" w14:textId="77777777" w:rsidR="009769BC" w:rsidRPr="009769BC" w:rsidRDefault="009769BC" w:rsidP="00A53571">
      <w:pPr>
        <w:pStyle w:val="ListParagraph"/>
        <w:numPr>
          <w:ilvl w:val="0"/>
          <w:numId w:val="34"/>
        </w:numPr>
        <w:ind w:left="1134" w:hanging="567"/>
        <w:rPr>
          <w:rFonts w:eastAsia="DengXian"/>
          <w:szCs w:val="22"/>
        </w:rPr>
      </w:pPr>
      <w:r>
        <w:t xml:space="preserve">Exceptions et </w:t>
      </w:r>
      <w:proofErr w:type="gramStart"/>
      <w:r>
        <w:t>limitations;  et</w:t>
      </w:r>
      <w:proofErr w:type="gramEnd"/>
    </w:p>
    <w:p w14:paraId="5911C29E" w14:textId="154DD1D2" w:rsidR="009769BC" w:rsidRPr="009769BC" w:rsidRDefault="009769BC" w:rsidP="00A53571">
      <w:pPr>
        <w:pStyle w:val="ListParagraph"/>
        <w:numPr>
          <w:ilvl w:val="0"/>
          <w:numId w:val="34"/>
        </w:numPr>
        <w:spacing w:after="220"/>
        <w:ind w:left="1134" w:hanging="567"/>
        <w:contextualSpacing w:val="0"/>
        <w:rPr>
          <w:rFonts w:eastAsia="DengXian"/>
          <w:szCs w:val="22"/>
        </w:rPr>
      </w:pPr>
      <w:r>
        <w:t>Sanctions et moyens de recours.</w:t>
      </w:r>
    </w:p>
    <w:p w14:paraId="24062936" w14:textId="0C187E56" w:rsidR="0074539B" w:rsidRDefault="000E69A5" w:rsidP="00A53571">
      <w:pPr>
        <w:pStyle w:val="ONUMFS"/>
      </w:pPr>
      <w:r>
        <w:t>La présente note d</w:t>
      </w:r>
      <w:r w:rsidR="0074539B">
        <w:t>’</w:t>
      </w:r>
      <w:r>
        <w:t>information sur les questions de fond fournit des informations générales sur la liste susmentionnée des questions et propose au groupe spécial d</w:t>
      </w:r>
      <w:r w:rsidR="0074539B">
        <w:t>’</w:t>
      </w:r>
      <w:r>
        <w:t>experts quelques points et tâches à examin</w:t>
      </w:r>
      <w:r w:rsidR="00A53571">
        <w:t>er.  Le</w:t>
      </w:r>
      <w:r>
        <w:t>s coprésidents du groupe spécial d</w:t>
      </w:r>
      <w:r w:rsidR="0074539B">
        <w:t>’</w:t>
      </w:r>
      <w:r>
        <w:t>experts fourniront de plus amples indications sur la manière dont ces questions et ces points seront examinés au cours de la réunion.</w:t>
      </w:r>
    </w:p>
    <w:p w14:paraId="20A617DE" w14:textId="77777777" w:rsidR="00CE1AD8" w:rsidRPr="00A53571" w:rsidRDefault="00E778A2" w:rsidP="00A53571">
      <w:pPr>
        <w:pStyle w:val="Heading3"/>
      </w:pPr>
      <w:r w:rsidRPr="00A53571">
        <w:t>Étendue de la protection</w:t>
      </w:r>
    </w:p>
    <w:p w14:paraId="564B01A1" w14:textId="56039824" w:rsidR="0085040B" w:rsidRDefault="00CC0A33" w:rsidP="00A53571">
      <w:pPr>
        <w:pStyle w:val="ONUMFS"/>
      </w:pPr>
      <w:r>
        <w:t>L</w:t>
      </w:r>
      <w:r w:rsidR="0074539B">
        <w:t>’</w:t>
      </w:r>
      <w:r>
        <w:t xml:space="preserve">étendue de la protection a pour objet de définir les actes précis </w:t>
      </w:r>
      <w:r w:rsidR="0074539B">
        <w:t>à l’égard</w:t>
      </w:r>
      <w:r>
        <w:t xml:space="preserve"> des savoirs traditionnels ou des expressions culturelles traditionnelles qui devraient être interdits ou empêchés et les atteintes aux savoirs traditionnels ou aux expressions culturelles traditionnelles que des instruments similaires aux instruments de protection de la propriété intellectuelle devraient prendre en considération.</w:t>
      </w:r>
    </w:p>
    <w:p w14:paraId="07D17D29" w14:textId="77777777" w:rsidR="00A53571" w:rsidRPr="00A53571" w:rsidRDefault="009B07AD" w:rsidP="00A53571">
      <w:pPr>
        <w:pStyle w:val="ONUMFS"/>
        <w:rPr>
          <w:szCs w:val="22"/>
        </w:rPr>
      </w:pPr>
      <w:r>
        <w:t>Le groupe spécial d</w:t>
      </w:r>
      <w:r w:rsidR="0074539B">
        <w:t>’</w:t>
      </w:r>
      <w:r>
        <w:t>experts est invité à préciser</w:t>
      </w:r>
      <w:r w:rsidR="0074539B">
        <w:t> :</w:t>
      </w:r>
    </w:p>
    <w:p w14:paraId="389CE0A3" w14:textId="7710A3A1" w:rsidR="00CC0A33" w:rsidRPr="00A53571" w:rsidRDefault="00466271" w:rsidP="00A53571">
      <w:pPr>
        <w:pStyle w:val="ONUMFS"/>
        <w:numPr>
          <w:ilvl w:val="0"/>
          <w:numId w:val="22"/>
        </w:numPr>
        <w:ind w:left="1134" w:hanging="567"/>
        <w:rPr>
          <w:szCs w:val="22"/>
        </w:rPr>
      </w:pPr>
      <w:proofErr w:type="gramStart"/>
      <w:r>
        <w:t>quelle</w:t>
      </w:r>
      <w:proofErr w:type="gramEnd"/>
      <w:r>
        <w:t xml:space="preserve"> approche il conviendrait d</w:t>
      </w:r>
      <w:r w:rsidR="0074539B">
        <w:t>’</w:t>
      </w:r>
      <w:r>
        <w:t>adopter</w:t>
      </w:r>
      <w:r w:rsidR="0074539B">
        <w:t> :</w:t>
      </w:r>
      <w:r>
        <w:t xml:space="preserve"> une approche fondée sur les droits, une approche fondée sur les mesures et une combinaison de ces deux</w:t>
      </w:r>
      <w:r w:rsidR="00055744">
        <w:t> </w:t>
      </w:r>
      <w:r>
        <w:t>approches?  Dans le cas de l</w:t>
      </w:r>
      <w:r w:rsidR="0074539B">
        <w:t>’</w:t>
      </w:r>
      <w:r w:rsidRPr="00A53571">
        <w:rPr>
          <w:i/>
          <w:iCs/>
        </w:rPr>
        <w:t>approche fondée sur les droits</w:t>
      </w:r>
      <w:r>
        <w:t>, les bénéficiaires se voient accorder des droits qu</w:t>
      </w:r>
      <w:r w:rsidR="0074539B">
        <w:t>’</w:t>
      </w:r>
      <w:r>
        <w:t>ils peuvent directement gérer et faire appliquer et, dans celui de l</w:t>
      </w:r>
      <w:r w:rsidR="0074539B">
        <w:t>’</w:t>
      </w:r>
      <w:r w:rsidRPr="00A53571">
        <w:rPr>
          <w:i/>
          <w:iCs/>
        </w:rPr>
        <w:t>approche fondée sur des mesures</w:t>
      </w:r>
      <w:r>
        <w:t>, les États membres sont tenus de prendre des mesures pour protéger les savoirs traditionnels et les expressions culturelles traditionnell</w:t>
      </w:r>
      <w:r w:rsidR="00A53571">
        <w:t>es.  Le</w:t>
      </w:r>
      <w:r>
        <w:t>s deux</w:t>
      </w:r>
      <w:r w:rsidR="00055744">
        <w:t> </w:t>
      </w:r>
      <w:r>
        <w:t xml:space="preserve">approches sont prises en considération dans les instruments internationaux existants en matière de propriété </w:t>
      </w:r>
      <w:proofErr w:type="gramStart"/>
      <w:r>
        <w:t>intellectuelle;  et</w:t>
      </w:r>
      <w:proofErr w:type="gramEnd"/>
    </w:p>
    <w:p w14:paraId="7562973E" w14:textId="263F0ADC" w:rsidR="00CC0A33" w:rsidRPr="00A05DB8" w:rsidRDefault="00165B76" w:rsidP="00A53571">
      <w:pPr>
        <w:pStyle w:val="ListParagraph"/>
        <w:numPr>
          <w:ilvl w:val="0"/>
          <w:numId w:val="22"/>
        </w:numPr>
        <w:spacing w:after="220"/>
        <w:ind w:left="1134" w:hanging="567"/>
        <w:contextualSpacing w:val="0"/>
        <w:rPr>
          <w:szCs w:val="22"/>
        </w:rPr>
      </w:pPr>
      <w:proofErr w:type="gramStart"/>
      <w:r>
        <w:t>le</w:t>
      </w:r>
      <w:proofErr w:type="gramEnd"/>
      <w:r>
        <w:t xml:space="preserve"> niveau de détail qui devrait être celui de l</w:t>
      </w:r>
      <w:r w:rsidR="0074539B">
        <w:t>’</w:t>
      </w:r>
      <w:r>
        <w:t>instrument international et à quel stade la législation nationale devrait primer.</w:t>
      </w:r>
    </w:p>
    <w:p w14:paraId="781B7071" w14:textId="2D55718B" w:rsidR="0074539B" w:rsidRDefault="00CC0A33" w:rsidP="00A53571">
      <w:pPr>
        <w:pStyle w:val="ONUMFS"/>
      </w:pPr>
      <w:r>
        <w:t>L</w:t>
      </w:r>
      <w:r w:rsidR="0074539B">
        <w:t>’</w:t>
      </w:r>
      <w:r>
        <w:t>IGC examine depuis plusieurs années ce qu</w:t>
      </w:r>
      <w:r w:rsidR="0074539B">
        <w:t>’</w:t>
      </w:r>
      <w:r>
        <w:t>il est convenu d</w:t>
      </w:r>
      <w:r w:rsidR="0074539B">
        <w:t>’</w:t>
      </w:r>
      <w:r>
        <w:t>appeler l</w:t>
      </w:r>
      <w:r w:rsidR="0074539B">
        <w:t>’</w:t>
      </w:r>
      <w:r>
        <w:t>“approche à plusieurs niveaux”, selon laquelle les titulaires de droits bénéficieraient de différents types ou niveaux de droits ou de mesures en fonction de la nature et des caractéristiques de l</w:t>
      </w:r>
      <w:r w:rsidR="0074539B">
        <w:t>’</w:t>
      </w:r>
      <w:r>
        <w:t>objet, du niveau de contrôle que les bénéficiaires conservent sur ce dernier et de son degré de diffusion.</w:t>
      </w:r>
    </w:p>
    <w:p w14:paraId="1A7928EA" w14:textId="1DEA76EF" w:rsidR="00A361CE" w:rsidRDefault="00FC4540" w:rsidP="00A53571">
      <w:pPr>
        <w:pStyle w:val="ONUMFS"/>
      </w:pPr>
      <w:r>
        <w:t>À cet égard, le groupe spécial d</w:t>
      </w:r>
      <w:r w:rsidR="0074539B">
        <w:t>’</w:t>
      </w:r>
      <w:r>
        <w:t>experts est invité à élaborer un projet de cadre(s) qui refléterait une approche progressive des savoirs traditionnels et des expressions culturelles traditionnell</w:t>
      </w:r>
      <w:r w:rsidR="00A53571">
        <w:t>es.  Le</w:t>
      </w:r>
      <w:r>
        <w:t xml:space="preserve"> ou les cadres pourraient, par exemple, tenir compte des droits économiques, moraux ou des droits à rémunération et établir une distinction entre les différentes formes sous lesquelles les savoirs traditionnels et les expressions culturelles traditionnelles peuvent être trouv</w:t>
      </w:r>
      <w:r w:rsidR="00A53571">
        <w:t>és.  En</w:t>
      </w:r>
      <w:r>
        <w:t xml:space="preserve"> particulier, le groupe spécial d</w:t>
      </w:r>
      <w:r w:rsidR="0074539B">
        <w:t>’</w:t>
      </w:r>
      <w:r>
        <w:t xml:space="preserve">experts est invité à examiner quels critères sont </w:t>
      </w:r>
      <w:r>
        <w:lastRenderedPageBreak/>
        <w:t>appropriés et devraient être utilisés pour les savoirs traditionnels et pour les expressions culturelles traditionnelles, afin de définir les différents niveaux.</w:t>
      </w:r>
    </w:p>
    <w:p w14:paraId="5EBC5D89" w14:textId="77777777" w:rsidR="0074539B" w:rsidRDefault="004C79D5" w:rsidP="00A53571">
      <w:pPr>
        <w:pStyle w:val="Heading3"/>
      </w:pPr>
      <w:r>
        <w:t>Exceptions et limitations</w:t>
      </w:r>
    </w:p>
    <w:p w14:paraId="728D783C" w14:textId="467DB72F" w:rsidR="004C79D5" w:rsidRDefault="004C79D5" w:rsidP="00A53571">
      <w:pPr>
        <w:pStyle w:val="ONUMFS"/>
      </w:pPr>
      <w:r>
        <w:t>Le groupe spécial d</w:t>
      </w:r>
      <w:r w:rsidR="0074539B">
        <w:t>’</w:t>
      </w:r>
      <w:r>
        <w:t>experts est invité à examiner s</w:t>
      </w:r>
      <w:r w:rsidR="0074539B">
        <w:t>’</w:t>
      </w:r>
      <w:r>
        <w:t>il convient</w:t>
      </w:r>
      <w:r w:rsidR="0074539B">
        <w:t> :</w:t>
      </w:r>
    </w:p>
    <w:p w14:paraId="26434529" w14:textId="2C40204B" w:rsidR="004C79D5" w:rsidRDefault="004C79D5" w:rsidP="00A53571">
      <w:pPr>
        <w:pStyle w:val="ListParagraph"/>
        <w:numPr>
          <w:ilvl w:val="0"/>
          <w:numId w:val="35"/>
        </w:numPr>
        <w:ind w:left="1134" w:hanging="567"/>
      </w:pPr>
      <w:proofErr w:type="gramStart"/>
      <w:r>
        <w:t>de</w:t>
      </w:r>
      <w:proofErr w:type="gramEnd"/>
      <w:r>
        <w:t xml:space="preserve"> laisser une certaine souplesse au niveau national pour réglementer pleinement les exceptions et limitations;  ou</w:t>
      </w:r>
    </w:p>
    <w:p w14:paraId="54C08FAA" w14:textId="7B53D9B5" w:rsidR="004C79D5" w:rsidRDefault="004C79D5" w:rsidP="00A53571">
      <w:pPr>
        <w:pStyle w:val="ListParagraph"/>
        <w:numPr>
          <w:ilvl w:val="0"/>
          <w:numId w:val="35"/>
        </w:numPr>
        <w:spacing w:after="220"/>
        <w:ind w:left="1134" w:hanging="567"/>
        <w:contextualSpacing w:val="0"/>
      </w:pPr>
      <w:proofErr w:type="gramStart"/>
      <w:r>
        <w:t>de</w:t>
      </w:r>
      <w:proofErr w:type="gramEnd"/>
      <w:r>
        <w:t xml:space="preserve"> prévoir un cadre établissant des listes d</w:t>
      </w:r>
      <w:r w:rsidR="0074539B">
        <w:t>’</w:t>
      </w:r>
      <w:r>
        <w:t>exceptions générales et d</w:t>
      </w:r>
      <w:r w:rsidR="0074539B">
        <w:t>’</w:t>
      </w:r>
      <w:r>
        <w:t>exceptions particulières que les États membres réglementeraient au niveau nation</w:t>
      </w:r>
      <w:r w:rsidR="00A53571">
        <w:t>al.  Da</w:t>
      </w:r>
      <w:r>
        <w:t>ns ce cas, quelles devraient être les exceptions générales au niveau international?</w:t>
      </w:r>
    </w:p>
    <w:p w14:paraId="445A44C0" w14:textId="1D927993" w:rsidR="0074539B" w:rsidRDefault="004C79D5" w:rsidP="00A53571">
      <w:pPr>
        <w:pStyle w:val="ONUMFS"/>
      </w:pPr>
      <w:r>
        <w:t>Eu égard à l</w:t>
      </w:r>
      <w:r w:rsidR="0074539B">
        <w:t>’</w:t>
      </w:r>
      <w:r>
        <w:t>introduction éventuelle d</w:t>
      </w:r>
      <w:r w:rsidR="0074539B">
        <w:t>’</w:t>
      </w:r>
      <w:r>
        <w:t>une approche à plusieurs niveaux pour définir l</w:t>
      </w:r>
      <w:r w:rsidR="0074539B">
        <w:t>’</w:t>
      </w:r>
      <w:r>
        <w:t>étendue de la protection, le groupe spécial d</w:t>
      </w:r>
      <w:r w:rsidR="0074539B">
        <w:t>’</w:t>
      </w:r>
      <w:r>
        <w:t>experts est par ailleurs invité à se demander si les dispositions relatives aux exceptions et limitations devraient également suivre cette approche, ce qui signifierait que les différents actes faisant l</w:t>
      </w:r>
      <w:r w:rsidR="0074539B">
        <w:t>’</w:t>
      </w:r>
      <w:r>
        <w:t>objet d</w:t>
      </w:r>
      <w:r w:rsidR="0074539B">
        <w:t>’</w:t>
      </w:r>
      <w:r>
        <w:t>une exception seraient classés selon une gradation reflétant les différents types d</w:t>
      </w:r>
      <w:r w:rsidR="0074539B">
        <w:t>’</w:t>
      </w:r>
      <w:r>
        <w:t>objets de la protection et les différents droits qui leur sont appliqués.</w:t>
      </w:r>
    </w:p>
    <w:p w14:paraId="3495FB02" w14:textId="77777777" w:rsidR="0074539B" w:rsidRDefault="005D01E5" w:rsidP="00A53571">
      <w:pPr>
        <w:pStyle w:val="Heading3"/>
      </w:pPr>
      <w:r>
        <w:t>Sanctions et moyens de recours</w:t>
      </w:r>
    </w:p>
    <w:p w14:paraId="608FCCA6" w14:textId="2779AF96" w:rsidR="00D62E7C" w:rsidRDefault="004C79D5" w:rsidP="00A53571">
      <w:pPr>
        <w:pStyle w:val="ONUMFS"/>
      </w:pPr>
      <w:r>
        <w:t xml:space="preserve">La plupart des législations </w:t>
      </w:r>
      <w:r>
        <w:rPr>
          <w:i/>
          <w:iCs/>
        </w:rPr>
        <w:t>sui generis</w:t>
      </w:r>
      <w:r>
        <w:t xml:space="preserve"> prévoient que les actes contraires à la loi donneront lieu à des sanctions et à des moyens de recou</w:t>
      </w:r>
      <w:r w:rsidR="00A53571">
        <w:t>rs.  Le</w:t>
      </w:r>
      <w:r>
        <w:t xml:space="preserve"> groupe spécial d</w:t>
      </w:r>
      <w:r w:rsidR="0074539B">
        <w:t>’</w:t>
      </w:r>
      <w:r>
        <w:t>experts est invité à examiner s</w:t>
      </w:r>
      <w:r w:rsidR="0074539B">
        <w:t>’</w:t>
      </w:r>
      <w:r>
        <w:t>il convient de prévoir un cadre général concernant les sanctions et les moyens de recours au niveau international, et de laisser les détails à la législation nationale.</w:t>
      </w:r>
    </w:p>
    <w:p w14:paraId="2987C567" w14:textId="0F82EA0F" w:rsidR="0074539B" w:rsidRDefault="005859B5" w:rsidP="00A53571">
      <w:pPr>
        <w:pStyle w:val="ONUMFS"/>
      </w:pPr>
      <w:r>
        <w:t>Si le groupe spécial d</w:t>
      </w:r>
      <w:r w:rsidR="0074539B">
        <w:t>’</w:t>
      </w:r>
      <w:r>
        <w:t>experts estime qu</w:t>
      </w:r>
      <w:r w:rsidR="0074539B">
        <w:t>’</w:t>
      </w:r>
      <w:r>
        <w:t>un cadre détaillé de sanctions et de moyens de recours doit être prévu au niveau international, quels devraient être ces sanctions et moyens de recours?</w:t>
      </w:r>
    </w:p>
    <w:p w14:paraId="7A0FE9B7" w14:textId="77777777" w:rsidR="0074539B" w:rsidRDefault="00E77050" w:rsidP="00A53571">
      <w:pPr>
        <w:pStyle w:val="Heading3"/>
      </w:pPr>
      <w:r>
        <w:t>Ressources utiles</w:t>
      </w:r>
    </w:p>
    <w:p w14:paraId="2EEE05C1" w14:textId="5AEC8312" w:rsidR="00E77050" w:rsidRDefault="00E77050" w:rsidP="00A53571">
      <w:pPr>
        <w:pStyle w:val="ONUMFS"/>
      </w:pPr>
      <w:r>
        <w:t>Le site Web de l</w:t>
      </w:r>
      <w:r w:rsidR="0074539B">
        <w:t>’</w:t>
      </w:r>
      <w:r>
        <w:t>OMPI comporte des ressources utiles que le groupe spécial d</w:t>
      </w:r>
      <w:r w:rsidR="0074539B">
        <w:t>’</w:t>
      </w:r>
      <w:r>
        <w:t>experts pourrait utiliser comme documentation de référence, telles que</w:t>
      </w:r>
      <w:r w:rsidR="0074539B">
        <w:t> :</w:t>
      </w:r>
    </w:p>
    <w:p w14:paraId="63B20BB8" w14:textId="2DEB0BBE" w:rsidR="0074539B" w:rsidRDefault="00DC20FA" w:rsidP="00A53571">
      <w:pPr>
        <w:pStyle w:val="ListParagraph"/>
        <w:numPr>
          <w:ilvl w:val="0"/>
          <w:numId w:val="19"/>
        </w:numPr>
        <w:spacing w:after="220"/>
        <w:ind w:left="1134" w:hanging="567"/>
        <w:contextualSpacing w:val="0"/>
      </w:pPr>
      <w:r>
        <w:t>WIPO/GRTKF/IC/45/4, La protection des savoirs traditionnels</w:t>
      </w:r>
      <w:r w:rsidR="0074539B">
        <w:t> :</w:t>
      </w:r>
      <w:r>
        <w:t xml:space="preserve"> projets d</w:t>
      </w:r>
      <w:r w:rsidR="0074539B">
        <w:t>’</w:t>
      </w:r>
      <w:r>
        <w:t xml:space="preserve">articles, </w:t>
      </w:r>
      <w:hyperlink r:id="rId9" w:history="1">
        <w:r>
          <w:rPr>
            <w:rStyle w:val="Hyperlink"/>
          </w:rPr>
          <w:t>https://www.wipo.int/meetings/fr/doc_details.jsp?doc_id=585931</w:t>
        </w:r>
      </w:hyperlink>
      <w:r>
        <w:t>;</w:t>
      </w:r>
    </w:p>
    <w:p w14:paraId="6868B77E" w14:textId="64804309" w:rsidR="0074539B" w:rsidRDefault="00DC20FA" w:rsidP="00A53571">
      <w:pPr>
        <w:pStyle w:val="ListParagraph"/>
        <w:numPr>
          <w:ilvl w:val="0"/>
          <w:numId w:val="19"/>
        </w:numPr>
        <w:spacing w:after="220"/>
        <w:ind w:left="1134" w:hanging="567"/>
        <w:contextualSpacing w:val="0"/>
      </w:pPr>
      <w:r>
        <w:t>WIPO/GRTKF/IC/45/5, La protection des expressions culturelles traditionnelles</w:t>
      </w:r>
      <w:r w:rsidR="0074539B">
        <w:t> :</w:t>
      </w:r>
      <w:r>
        <w:t xml:space="preserve"> projets d</w:t>
      </w:r>
      <w:r w:rsidR="0074539B">
        <w:t>’</w:t>
      </w:r>
      <w:r>
        <w:t xml:space="preserve">articles, </w:t>
      </w:r>
      <w:hyperlink r:id="rId10" w:history="1">
        <w:r>
          <w:rPr>
            <w:rStyle w:val="Hyperlink"/>
          </w:rPr>
          <w:t>https://www.wipo.int/meetings/fr/doc_details.jsp?doc_id=585921</w:t>
        </w:r>
      </w:hyperlink>
      <w:r>
        <w:t>;</w:t>
      </w:r>
    </w:p>
    <w:p w14:paraId="001E7B6C" w14:textId="222DC363" w:rsidR="0074539B" w:rsidRDefault="000F2E91" w:rsidP="00A53571">
      <w:pPr>
        <w:pStyle w:val="ListParagraph"/>
        <w:numPr>
          <w:ilvl w:val="0"/>
          <w:numId w:val="19"/>
        </w:numPr>
        <w:spacing w:after="220"/>
        <w:ind w:left="1134" w:hanging="567"/>
        <w:contextualSpacing w:val="0"/>
      </w:pPr>
      <w:r>
        <w:t>WIPO/GRTKF/IC/45/6, La protection des savoirs traditionnels</w:t>
      </w:r>
      <w:r w:rsidR="0074539B">
        <w:t> :</w:t>
      </w:r>
      <w:r>
        <w:t xml:space="preserve"> projet actualisé d</w:t>
      </w:r>
      <w:r w:rsidR="0074539B">
        <w:t>’</w:t>
      </w:r>
      <w:r>
        <w:t xml:space="preserve">analyse des lacunes, </w:t>
      </w:r>
      <w:hyperlink r:id="rId11" w:history="1">
        <w:r>
          <w:rPr>
            <w:rStyle w:val="Hyperlink"/>
          </w:rPr>
          <w:t>https://www.wipo.int/meetings/fr/doc_details.jsp?doc_id=585974</w:t>
        </w:r>
      </w:hyperlink>
      <w:r>
        <w:t>;</w:t>
      </w:r>
    </w:p>
    <w:p w14:paraId="0353FD5E" w14:textId="2BCBC200" w:rsidR="0074539B" w:rsidRDefault="00DC20FA" w:rsidP="00A53571">
      <w:pPr>
        <w:pStyle w:val="ListParagraph"/>
        <w:numPr>
          <w:ilvl w:val="0"/>
          <w:numId w:val="19"/>
        </w:numPr>
        <w:spacing w:after="220"/>
        <w:ind w:left="1134" w:hanging="567"/>
        <w:contextualSpacing w:val="0"/>
      </w:pPr>
      <w:r>
        <w:t>WIPO/GRTKF/IC/45/7, La protection des expressions culturelles traditionnelles</w:t>
      </w:r>
      <w:r w:rsidR="0074539B">
        <w:t> :</w:t>
      </w:r>
      <w:r>
        <w:t xml:space="preserve"> projet actualisé d</w:t>
      </w:r>
      <w:r w:rsidR="0074539B">
        <w:t>’</w:t>
      </w:r>
      <w:r>
        <w:t xml:space="preserve">analyse des lacunes, </w:t>
      </w:r>
      <w:hyperlink r:id="rId12" w:history="1">
        <w:r>
          <w:rPr>
            <w:rStyle w:val="Hyperlink"/>
          </w:rPr>
          <w:t>https://www.wipo.int/meetings/fr/doc_details.jsp?doc_id=585975</w:t>
        </w:r>
      </w:hyperlink>
      <w:r>
        <w:t>;</w:t>
      </w:r>
    </w:p>
    <w:p w14:paraId="1DCA0F74" w14:textId="77777777" w:rsidR="0074539B" w:rsidRDefault="00E77050" w:rsidP="00A53571">
      <w:pPr>
        <w:pStyle w:val="ListParagraph"/>
        <w:numPr>
          <w:ilvl w:val="0"/>
          <w:numId w:val="19"/>
        </w:numPr>
        <w:spacing w:after="220"/>
        <w:ind w:left="1134" w:hanging="567"/>
        <w:contextualSpacing w:val="0"/>
      </w:pPr>
      <w:r>
        <w:t xml:space="preserve">WIPO/GRTKF/IC/17/INF/8, Note sur les significations du terme “domaine public” dans le système de la propriété intellectuelle, traitant en particulier de la protection des savoirs traditionnels et des expressions culturelles traditionnelles ou expressions du folklore, </w:t>
      </w:r>
      <w:hyperlink r:id="rId13" w:history="1">
        <w:r>
          <w:rPr>
            <w:rStyle w:val="Hyperlink"/>
            <w:color w:val="0000FF"/>
          </w:rPr>
          <w:t>https://www.wipo.int/meetings/fr/doc_details.jsp?doc_id=149213</w:t>
        </w:r>
      </w:hyperlink>
      <w:r>
        <w:t>;</w:t>
      </w:r>
    </w:p>
    <w:p w14:paraId="3194DCC8" w14:textId="77777777" w:rsidR="0074539B" w:rsidRDefault="00E77050" w:rsidP="00A53571">
      <w:pPr>
        <w:pStyle w:val="ListParagraph"/>
        <w:numPr>
          <w:ilvl w:val="0"/>
          <w:numId w:val="19"/>
        </w:numPr>
        <w:spacing w:after="220"/>
        <w:ind w:left="1134" w:hanging="567"/>
        <w:contextualSpacing w:val="0"/>
      </w:pPr>
      <w:r>
        <w:lastRenderedPageBreak/>
        <w:t xml:space="preserve">WIPO/GRTKF/IC/17/INF/9, Liste et explication technique succincte des différentes formes sous lesquelles les savoirs traditionnels peuvent se présenter, </w:t>
      </w:r>
      <w:hyperlink r:id="rId14" w:history="1">
        <w:r>
          <w:rPr>
            <w:rStyle w:val="Hyperlink"/>
            <w:color w:val="0000FF"/>
          </w:rPr>
          <w:t>https://www.wipo.int/meetings/fr/doc_details.jsp?doc_id=147152</w:t>
        </w:r>
      </w:hyperlink>
      <w:r>
        <w:t>;</w:t>
      </w:r>
    </w:p>
    <w:p w14:paraId="4C5DA8DC" w14:textId="659F5826" w:rsidR="0074539B" w:rsidRDefault="00E77050" w:rsidP="00A53571">
      <w:pPr>
        <w:pStyle w:val="ListParagraph"/>
        <w:numPr>
          <w:ilvl w:val="0"/>
          <w:numId w:val="19"/>
        </w:numPr>
        <w:spacing w:after="220"/>
        <w:ind w:left="1134" w:hanging="567"/>
        <w:contextualSpacing w:val="0"/>
      </w:pPr>
      <w:r>
        <w:t>Données d</w:t>
      </w:r>
      <w:r w:rsidR="0074539B">
        <w:t>’</w:t>
      </w:r>
      <w:r>
        <w:t xml:space="preserve">expérience régionales, nationales, locales et communautaires, </w:t>
      </w:r>
      <w:hyperlink r:id="rId15" w:history="1">
        <w:r>
          <w:rPr>
            <w:rStyle w:val="Hyperlink"/>
            <w:color w:val="0000FF"/>
          </w:rPr>
          <w:t>https://www.wipo.int/tk/fr/resources/tk_experiences.html</w:t>
        </w:r>
      </w:hyperlink>
      <w:r>
        <w:t>;</w:t>
      </w:r>
    </w:p>
    <w:p w14:paraId="3D513DE3" w14:textId="77777777" w:rsidR="0074539B" w:rsidRDefault="00E77050" w:rsidP="00A53571">
      <w:pPr>
        <w:pStyle w:val="ListParagraph"/>
        <w:numPr>
          <w:ilvl w:val="0"/>
          <w:numId w:val="19"/>
        </w:numPr>
        <w:spacing w:after="220"/>
        <w:ind w:left="1134" w:hanging="567"/>
        <w:contextualSpacing w:val="0"/>
      </w:pPr>
      <w:r>
        <w:t xml:space="preserve">Conférences et exposés sur des thèmes choisis, </w:t>
      </w:r>
      <w:hyperlink r:id="rId16" w:anchor="4" w:history="1">
        <w:r>
          <w:rPr>
            <w:rStyle w:val="Hyperlink"/>
            <w:color w:val="0000FF"/>
          </w:rPr>
          <w:t>https://www.wipo.int/tk/fr/resources/tk_experiences.html#4</w:t>
        </w:r>
      </w:hyperlink>
      <w:r>
        <w:t>.</w:t>
      </w:r>
    </w:p>
    <w:p w14:paraId="5A699644" w14:textId="77777777" w:rsidR="000D4BD5" w:rsidRDefault="000D4BD5" w:rsidP="00A53571">
      <w:pPr>
        <w:pStyle w:val="Endofdocument-Annex"/>
        <w:spacing w:before="720"/>
      </w:pPr>
      <w:r>
        <w:t>[Fin du document]</w:t>
      </w:r>
    </w:p>
    <w:sectPr w:rsidR="000D4BD5" w:rsidSect="00267117">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1418" w:left="1418" w:header="510" w:footer="1021"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31791A" w16cid:durableId="2019030B"/>
  <w16cid:commentId w16cid:paraId="7690DF21" w16cid:durableId="201901A7"/>
  <w16cid:commentId w16cid:paraId="41603091" w16cid:durableId="201903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F8042" w14:textId="77777777" w:rsidR="001A1782" w:rsidRDefault="001A1782">
      <w:r>
        <w:separator/>
      </w:r>
    </w:p>
  </w:endnote>
  <w:endnote w:type="continuationSeparator" w:id="0">
    <w:p w14:paraId="75777932" w14:textId="77777777" w:rsidR="001A1782" w:rsidRDefault="001A1782" w:rsidP="003B38C1">
      <w:r>
        <w:separator/>
      </w:r>
    </w:p>
    <w:p w14:paraId="03716E93" w14:textId="77777777" w:rsidR="001A1782" w:rsidRPr="0074539B" w:rsidRDefault="001A1782" w:rsidP="003B38C1">
      <w:pPr>
        <w:spacing w:after="60"/>
        <w:rPr>
          <w:sz w:val="17"/>
          <w:lang w:val="en-US"/>
        </w:rPr>
      </w:pPr>
      <w:r w:rsidRPr="0074539B">
        <w:rPr>
          <w:sz w:val="17"/>
          <w:lang w:val="en-US"/>
        </w:rPr>
        <w:t>[Endnote continued from previous page]</w:t>
      </w:r>
    </w:p>
  </w:endnote>
  <w:endnote w:type="continuationNotice" w:id="1">
    <w:p w14:paraId="239EEE8C" w14:textId="77777777" w:rsidR="001A1782" w:rsidRPr="0074539B" w:rsidRDefault="001A1782" w:rsidP="003B38C1">
      <w:pPr>
        <w:spacing w:before="60"/>
        <w:jc w:val="right"/>
        <w:rPr>
          <w:sz w:val="17"/>
          <w:szCs w:val="17"/>
          <w:lang w:val="en-US"/>
        </w:rPr>
      </w:pPr>
      <w:r w:rsidRPr="0074539B">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69EF7" w14:textId="77777777" w:rsidR="00A53571" w:rsidRDefault="00A53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1E67" w14:textId="77777777" w:rsidR="00A53571" w:rsidRDefault="00A535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4EA23" w14:textId="77777777" w:rsidR="00A53571" w:rsidRDefault="00A53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9FDC2" w14:textId="77777777" w:rsidR="001A1782" w:rsidRDefault="001A1782">
      <w:r>
        <w:separator/>
      </w:r>
    </w:p>
  </w:footnote>
  <w:footnote w:type="continuationSeparator" w:id="0">
    <w:p w14:paraId="3AAD9B79" w14:textId="77777777" w:rsidR="001A1782" w:rsidRDefault="001A1782" w:rsidP="008B60B2">
      <w:r>
        <w:separator/>
      </w:r>
    </w:p>
    <w:p w14:paraId="31324C12" w14:textId="77777777" w:rsidR="001A1782" w:rsidRPr="0074539B" w:rsidRDefault="001A1782" w:rsidP="008B60B2">
      <w:pPr>
        <w:spacing w:after="60"/>
        <w:rPr>
          <w:sz w:val="17"/>
          <w:szCs w:val="17"/>
          <w:lang w:val="en-US"/>
        </w:rPr>
      </w:pPr>
      <w:r w:rsidRPr="0074539B">
        <w:rPr>
          <w:sz w:val="17"/>
          <w:szCs w:val="17"/>
          <w:lang w:val="en-US"/>
        </w:rPr>
        <w:t>[Footnote continued from previous page]</w:t>
      </w:r>
    </w:p>
  </w:footnote>
  <w:footnote w:type="continuationNotice" w:id="1">
    <w:p w14:paraId="346AEB30" w14:textId="77777777" w:rsidR="001A1782" w:rsidRPr="0074539B" w:rsidRDefault="001A1782" w:rsidP="008B60B2">
      <w:pPr>
        <w:spacing w:before="60"/>
        <w:jc w:val="right"/>
        <w:rPr>
          <w:sz w:val="17"/>
          <w:szCs w:val="17"/>
          <w:lang w:val="en-US"/>
        </w:rPr>
      </w:pPr>
      <w:r w:rsidRPr="0074539B">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C3EA8" w14:textId="49C8193B" w:rsidR="00267117" w:rsidRPr="00750AD4" w:rsidRDefault="00267117" w:rsidP="00267117">
    <w:pPr>
      <w:jc w:val="right"/>
    </w:pPr>
    <w:r>
      <w:t>WIPO/IPTK-TCES/GE/22/2</w:t>
    </w:r>
  </w:p>
  <w:p w14:paraId="7F1C86CC" w14:textId="3C85B5CA" w:rsidR="00267117" w:rsidRPr="00750AD4" w:rsidRDefault="00267117" w:rsidP="00A53571">
    <w:pPr>
      <w:spacing w:after="480"/>
      <w:jc w:val="right"/>
    </w:pPr>
    <w:r>
      <w:t xml:space="preserve">page </w:t>
    </w:r>
    <w:r>
      <w:fldChar w:fldCharType="begin"/>
    </w:r>
    <w:r w:rsidRPr="00750AD4">
      <w:instrText xml:space="preserve"> PAGE  \* MERGEFORMAT </w:instrText>
    </w:r>
    <w:r>
      <w:fldChar w:fldCharType="separate"/>
    </w:r>
    <w:r w:rsidR="000300C8">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AAC97" w14:textId="7F830799" w:rsidR="00EC4E49" w:rsidRPr="00750AD4" w:rsidRDefault="000D4BD5" w:rsidP="00477D6B">
    <w:pPr>
      <w:jc w:val="right"/>
    </w:pPr>
    <w:r>
      <w:t>WIPO/IPTK-TCES/GE/22/2</w:t>
    </w:r>
  </w:p>
  <w:p w14:paraId="301BE683" w14:textId="41AAA77B" w:rsidR="00EC4E49" w:rsidRPr="00750AD4" w:rsidRDefault="00EC4E49" w:rsidP="00A53571">
    <w:pPr>
      <w:spacing w:after="480"/>
      <w:jc w:val="right"/>
    </w:pPr>
    <w:r>
      <w:t>page</w:t>
    </w:r>
    <w:r w:rsidR="00A53571">
      <w:t> </w:t>
    </w:r>
    <w:r>
      <w:fldChar w:fldCharType="begin"/>
    </w:r>
    <w:r w:rsidRPr="00750AD4">
      <w:instrText xml:space="preserve"> PAGE  \* MERGEFORMAT </w:instrText>
    </w:r>
    <w:r>
      <w:fldChar w:fldCharType="separate"/>
    </w:r>
    <w:r w:rsidR="000300C8">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D7D03" w14:textId="77777777" w:rsidR="00A53571" w:rsidRDefault="00A53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0F0E9C"/>
    <w:multiLevelType w:val="hybridMultilevel"/>
    <w:tmpl w:val="34F4E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430170"/>
    <w:multiLevelType w:val="hybridMultilevel"/>
    <w:tmpl w:val="CB680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044BF"/>
    <w:multiLevelType w:val="hybridMultilevel"/>
    <w:tmpl w:val="B59A5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55D78"/>
    <w:multiLevelType w:val="hybridMultilevel"/>
    <w:tmpl w:val="1BEE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06F67"/>
    <w:multiLevelType w:val="hybridMultilevel"/>
    <w:tmpl w:val="273C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357071B"/>
    <w:multiLevelType w:val="hybridMultilevel"/>
    <w:tmpl w:val="B2FC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404D3"/>
    <w:multiLevelType w:val="hybridMultilevel"/>
    <w:tmpl w:val="79BE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47C86"/>
    <w:multiLevelType w:val="hybridMultilevel"/>
    <w:tmpl w:val="E46C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65187"/>
    <w:multiLevelType w:val="hybridMultilevel"/>
    <w:tmpl w:val="C8668644"/>
    <w:lvl w:ilvl="0" w:tplc="9BE8828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730247"/>
    <w:multiLevelType w:val="hybridMultilevel"/>
    <w:tmpl w:val="10AE60B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15:restartNumberingAfterBreak="0">
    <w:nsid w:val="3D8317F8"/>
    <w:multiLevelType w:val="hybridMultilevel"/>
    <w:tmpl w:val="97C04836"/>
    <w:lvl w:ilvl="0" w:tplc="94FE7FF0">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4410B"/>
    <w:multiLevelType w:val="hybridMultilevel"/>
    <w:tmpl w:val="1840C94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6" w15:restartNumberingAfterBreak="0">
    <w:nsid w:val="430D048F"/>
    <w:multiLevelType w:val="hybridMultilevel"/>
    <w:tmpl w:val="06568D42"/>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7" w15:restartNumberingAfterBreak="0">
    <w:nsid w:val="4328111E"/>
    <w:multiLevelType w:val="hybridMultilevel"/>
    <w:tmpl w:val="CB6ECA54"/>
    <w:lvl w:ilvl="0" w:tplc="9BE8828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0E0D81"/>
    <w:multiLevelType w:val="hybridMultilevel"/>
    <w:tmpl w:val="6B4E0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512A0F"/>
    <w:multiLevelType w:val="hybridMultilevel"/>
    <w:tmpl w:val="5E70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A39B1"/>
    <w:multiLevelType w:val="hybridMultilevel"/>
    <w:tmpl w:val="E32C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91F7C"/>
    <w:multiLevelType w:val="hybridMultilevel"/>
    <w:tmpl w:val="02CC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04638"/>
    <w:multiLevelType w:val="hybridMultilevel"/>
    <w:tmpl w:val="2CF0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235D38"/>
    <w:multiLevelType w:val="hybridMultilevel"/>
    <w:tmpl w:val="E26E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3491C"/>
    <w:multiLevelType w:val="hybridMultilevel"/>
    <w:tmpl w:val="D210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3404D"/>
    <w:multiLevelType w:val="hybridMultilevel"/>
    <w:tmpl w:val="F738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127EF"/>
    <w:multiLevelType w:val="hybridMultilevel"/>
    <w:tmpl w:val="8280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32C52"/>
    <w:multiLevelType w:val="hybridMultilevel"/>
    <w:tmpl w:val="23C8386C"/>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6EC25B6"/>
    <w:multiLevelType w:val="hybridMultilevel"/>
    <w:tmpl w:val="D746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7A5D86"/>
    <w:multiLevelType w:val="hybridMultilevel"/>
    <w:tmpl w:val="1E389E36"/>
    <w:lvl w:ilvl="0" w:tplc="DFD6BAF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4B187D"/>
    <w:multiLevelType w:val="hybridMultilevel"/>
    <w:tmpl w:val="5CF2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A71512"/>
    <w:multiLevelType w:val="hybridMultilevel"/>
    <w:tmpl w:val="295A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9666A3"/>
    <w:multiLevelType w:val="hybridMultilevel"/>
    <w:tmpl w:val="BE9048EA"/>
    <w:lvl w:ilvl="0" w:tplc="DFD6BAF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E04EAA"/>
    <w:multiLevelType w:val="hybridMultilevel"/>
    <w:tmpl w:val="F49A5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9"/>
  </w:num>
  <w:num w:numId="3">
    <w:abstractNumId w:val="0"/>
  </w:num>
  <w:num w:numId="4">
    <w:abstractNumId w:val="24"/>
  </w:num>
  <w:num w:numId="5">
    <w:abstractNumId w:val="2"/>
  </w:num>
  <w:num w:numId="6">
    <w:abstractNumId w:val="8"/>
  </w:num>
  <w:num w:numId="7">
    <w:abstractNumId w:val="20"/>
  </w:num>
  <w:num w:numId="8">
    <w:abstractNumId w:val="14"/>
  </w:num>
  <w:num w:numId="9">
    <w:abstractNumId w:val="16"/>
  </w:num>
  <w:num w:numId="10">
    <w:abstractNumId w:val="17"/>
  </w:num>
  <w:num w:numId="11">
    <w:abstractNumId w:val="12"/>
  </w:num>
  <w:num w:numId="12">
    <w:abstractNumId w:val="22"/>
  </w:num>
  <w:num w:numId="13">
    <w:abstractNumId w:val="25"/>
  </w:num>
  <w:num w:numId="14">
    <w:abstractNumId w:val="27"/>
  </w:num>
  <w:num w:numId="15">
    <w:abstractNumId w:val="32"/>
  </w:num>
  <w:num w:numId="16">
    <w:abstractNumId w:val="11"/>
  </w:num>
  <w:num w:numId="17">
    <w:abstractNumId w:val="28"/>
  </w:num>
  <w:num w:numId="18">
    <w:abstractNumId w:val="15"/>
  </w:num>
  <w:num w:numId="19">
    <w:abstractNumId w:val="5"/>
  </w:num>
  <w:num w:numId="20">
    <w:abstractNumId w:val="10"/>
  </w:num>
  <w:num w:numId="21">
    <w:abstractNumId w:val="3"/>
  </w:num>
  <w:num w:numId="22">
    <w:abstractNumId w:val="9"/>
  </w:num>
  <w:num w:numId="23">
    <w:abstractNumId w:val="30"/>
  </w:num>
  <w:num w:numId="24">
    <w:abstractNumId w:val="18"/>
  </w:num>
  <w:num w:numId="25">
    <w:abstractNumId w:val="29"/>
    <w:lvlOverride w:ilvl="0">
      <w:startOverride w:val="1"/>
    </w:lvlOverride>
    <w:lvlOverride w:ilvl="1"/>
    <w:lvlOverride w:ilvl="2"/>
    <w:lvlOverride w:ilvl="3"/>
    <w:lvlOverride w:ilvl="4"/>
    <w:lvlOverride w:ilvl="5"/>
    <w:lvlOverride w:ilvl="6"/>
    <w:lvlOverride w:ilvl="7"/>
    <w:lvlOverride w:ilvl="8"/>
  </w:num>
  <w:num w:numId="26">
    <w:abstractNumId w:val="1"/>
  </w:num>
  <w:num w:numId="27">
    <w:abstractNumId w:val="23"/>
  </w:num>
  <w:num w:numId="28">
    <w:abstractNumId w:val="4"/>
  </w:num>
  <w:num w:numId="29">
    <w:abstractNumId w:val="21"/>
  </w:num>
  <w:num w:numId="30">
    <w:abstractNumId w:val="31"/>
  </w:num>
  <w:num w:numId="31">
    <w:abstractNumId w:val="13"/>
  </w:num>
  <w:num w:numId="32">
    <w:abstractNumId w:val="34"/>
  </w:num>
  <w:num w:numId="33">
    <w:abstractNumId w:val="35"/>
  </w:num>
  <w:num w:numId="34">
    <w:abstractNumId w:val="26"/>
  </w:num>
  <w:num w:numId="35">
    <w:abstractNumId w:val="6"/>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D5"/>
    <w:rsid w:val="00003BD6"/>
    <w:rsid w:val="00012180"/>
    <w:rsid w:val="0001278A"/>
    <w:rsid w:val="00024041"/>
    <w:rsid w:val="000300C8"/>
    <w:rsid w:val="00031920"/>
    <w:rsid w:val="00033185"/>
    <w:rsid w:val="00036321"/>
    <w:rsid w:val="000411A6"/>
    <w:rsid w:val="00043CAA"/>
    <w:rsid w:val="000443E8"/>
    <w:rsid w:val="00055744"/>
    <w:rsid w:val="000611EE"/>
    <w:rsid w:val="0007215C"/>
    <w:rsid w:val="00075432"/>
    <w:rsid w:val="000807DB"/>
    <w:rsid w:val="000831C9"/>
    <w:rsid w:val="00084F25"/>
    <w:rsid w:val="00092261"/>
    <w:rsid w:val="000968ED"/>
    <w:rsid w:val="000A3302"/>
    <w:rsid w:val="000A6A46"/>
    <w:rsid w:val="000B290B"/>
    <w:rsid w:val="000D4BD5"/>
    <w:rsid w:val="000E2B93"/>
    <w:rsid w:val="000E69A5"/>
    <w:rsid w:val="000F2E91"/>
    <w:rsid w:val="000F33DB"/>
    <w:rsid w:val="000F5E56"/>
    <w:rsid w:val="001362EE"/>
    <w:rsid w:val="00150D56"/>
    <w:rsid w:val="001647D5"/>
    <w:rsid w:val="00165B76"/>
    <w:rsid w:val="00166A92"/>
    <w:rsid w:val="0017042D"/>
    <w:rsid w:val="00181199"/>
    <w:rsid w:val="0018292F"/>
    <w:rsid w:val="001832A6"/>
    <w:rsid w:val="00187B07"/>
    <w:rsid w:val="00187F6C"/>
    <w:rsid w:val="00191D11"/>
    <w:rsid w:val="001A1782"/>
    <w:rsid w:val="001A233E"/>
    <w:rsid w:val="001D088E"/>
    <w:rsid w:val="001F084E"/>
    <w:rsid w:val="0021217E"/>
    <w:rsid w:val="00215CD5"/>
    <w:rsid w:val="00227C6C"/>
    <w:rsid w:val="00233C45"/>
    <w:rsid w:val="00256D87"/>
    <w:rsid w:val="002623D6"/>
    <w:rsid w:val="002634C4"/>
    <w:rsid w:val="00267117"/>
    <w:rsid w:val="00275B90"/>
    <w:rsid w:val="00276A9A"/>
    <w:rsid w:val="002921B8"/>
    <w:rsid w:val="002928D3"/>
    <w:rsid w:val="0029357E"/>
    <w:rsid w:val="002965AA"/>
    <w:rsid w:val="002B6D96"/>
    <w:rsid w:val="002C20A7"/>
    <w:rsid w:val="002C6856"/>
    <w:rsid w:val="002D4CCC"/>
    <w:rsid w:val="002E0D90"/>
    <w:rsid w:val="002E3707"/>
    <w:rsid w:val="002F1FE6"/>
    <w:rsid w:val="002F4E68"/>
    <w:rsid w:val="002F7062"/>
    <w:rsid w:val="003010B3"/>
    <w:rsid w:val="00303705"/>
    <w:rsid w:val="00312F7F"/>
    <w:rsid w:val="00313FBF"/>
    <w:rsid w:val="00321FF0"/>
    <w:rsid w:val="003321D2"/>
    <w:rsid w:val="00332D35"/>
    <w:rsid w:val="00340AE9"/>
    <w:rsid w:val="00351AC7"/>
    <w:rsid w:val="00361450"/>
    <w:rsid w:val="003673CF"/>
    <w:rsid w:val="0037092D"/>
    <w:rsid w:val="0037653F"/>
    <w:rsid w:val="003845C1"/>
    <w:rsid w:val="003A1EF3"/>
    <w:rsid w:val="003A6F89"/>
    <w:rsid w:val="003B1152"/>
    <w:rsid w:val="003B27D2"/>
    <w:rsid w:val="003B38C1"/>
    <w:rsid w:val="003C397C"/>
    <w:rsid w:val="003C63B9"/>
    <w:rsid w:val="003D12FC"/>
    <w:rsid w:val="003E1F8F"/>
    <w:rsid w:val="003E3795"/>
    <w:rsid w:val="003E5350"/>
    <w:rsid w:val="003F5634"/>
    <w:rsid w:val="004018A1"/>
    <w:rsid w:val="0040282C"/>
    <w:rsid w:val="00403511"/>
    <w:rsid w:val="00412E3A"/>
    <w:rsid w:val="00415138"/>
    <w:rsid w:val="004151EA"/>
    <w:rsid w:val="00415F38"/>
    <w:rsid w:val="00423E3E"/>
    <w:rsid w:val="00427AF4"/>
    <w:rsid w:val="0043177A"/>
    <w:rsid w:val="0043778A"/>
    <w:rsid w:val="00441DB4"/>
    <w:rsid w:val="004426F1"/>
    <w:rsid w:val="00442FEE"/>
    <w:rsid w:val="004563B8"/>
    <w:rsid w:val="0046251E"/>
    <w:rsid w:val="004647DA"/>
    <w:rsid w:val="00466271"/>
    <w:rsid w:val="004663FC"/>
    <w:rsid w:val="00474062"/>
    <w:rsid w:val="00477D6B"/>
    <w:rsid w:val="004B350D"/>
    <w:rsid w:val="004B3998"/>
    <w:rsid w:val="004C073A"/>
    <w:rsid w:val="004C79D5"/>
    <w:rsid w:val="004D2A4A"/>
    <w:rsid w:val="004F668B"/>
    <w:rsid w:val="005019FF"/>
    <w:rsid w:val="00516C2D"/>
    <w:rsid w:val="00517798"/>
    <w:rsid w:val="00520061"/>
    <w:rsid w:val="00521E04"/>
    <w:rsid w:val="00527CDC"/>
    <w:rsid w:val="00530376"/>
    <w:rsid w:val="0053057A"/>
    <w:rsid w:val="005428E7"/>
    <w:rsid w:val="00554401"/>
    <w:rsid w:val="00560A29"/>
    <w:rsid w:val="00562D1E"/>
    <w:rsid w:val="0056607C"/>
    <w:rsid w:val="00572A09"/>
    <w:rsid w:val="005859B5"/>
    <w:rsid w:val="005C0A74"/>
    <w:rsid w:val="005C4023"/>
    <w:rsid w:val="005C6649"/>
    <w:rsid w:val="005C7230"/>
    <w:rsid w:val="005D01E5"/>
    <w:rsid w:val="005E07C0"/>
    <w:rsid w:val="005E2472"/>
    <w:rsid w:val="005E4EC6"/>
    <w:rsid w:val="00601A98"/>
    <w:rsid w:val="0060323A"/>
    <w:rsid w:val="00604D1B"/>
    <w:rsid w:val="00605827"/>
    <w:rsid w:val="006068B5"/>
    <w:rsid w:val="00610789"/>
    <w:rsid w:val="00616520"/>
    <w:rsid w:val="0062027D"/>
    <w:rsid w:val="00623AE8"/>
    <w:rsid w:val="00646050"/>
    <w:rsid w:val="00654696"/>
    <w:rsid w:val="006713CA"/>
    <w:rsid w:val="00676C5C"/>
    <w:rsid w:val="00680D49"/>
    <w:rsid w:val="0068164E"/>
    <w:rsid w:val="00683816"/>
    <w:rsid w:val="00685F65"/>
    <w:rsid w:val="006D3C9F"/>
    <w:rsid w:val="006E279F"/>
    <w:rsid w:val="006F4E56"/>
    <w:rsid w:val="00704117"/>
    <w:rsid w:val="007043EE"/>
    <w:rsid w:val="007111E2"/>
    <w:rsid w:val="007301FA"/>
    <w:rsid w:val="007322A0"/>
    <w:rsid w:val="007435C7"/>
    <w:rsid w:val="0074539B"/>
    <w:rsid w:val="00750AD4"/>
    <w:rsid w:val="00774DAD"/>
    <w:rsid w:val="007767BE"/>
    <w:rsid w:val="0079184B"/>
    <w:rsid w:val="007A1575"/>
    <w:rsid w:val="007B2BB5"/>
    <w:rsid w:val="007B44F7"/>
    <w:rsid w:val="007C17CA"/>
    <w:rsid w:val="007C4728"/>
    <w:rsid w:val="007C48E8"/>
    <w:rsid w:val="007D1613"/>
    <w:rsid w:val="007E0693"/>
    <w:rsid w:val="007E46A9"/>
    <w:rsid w:val="007E4C0E"/>
    <w:rsid w:val="007E71EB"/>
    <w:rsid w:val="00816717"/>
    <w:rsid w:val="00816953"/>
    <w:rsid w:val="00830727"/>
    <w:rsid w:val="00834069"/>
    <w:rsid w:val="00844C5C"/>
    <w:rsid w:val="00846707"/>
    <w:rsid w:val="008467DB"/>
    <w:rsid w:val="00847939"/>
    <w:rsid w:val="0085040B"/>
    <w:rsid w:val="00853630"/>
    <w:rsid w:val="00856425"/>
    <w:rsid w:val="00870735"/>
    <w:rsid w:val="00881144"/>
    <w:rsid w:val="008864E4"/>
    <w:rsid w:val="00891976"/>
    <w:rsid w:val="008A134B"/>
    <w:rsid w:val="008A58D1"/>
    <w:rsid w:val="008B2CC1"/>
    <w:rsid w:val="008B4576"/>
    <w:rsid w:val="008B60B2"/>
    <w:rsid w:val="008B7F57"/>
    <w:rsid w:val="008C10CF"/>
    <w:rsid w:val="008D0D4B"/>
    <w:rsid w:val="008D4377"/>
    <w:rsid w:val="008F0024"/>
    <w:rsid w:val="008F6A04"/>
    <w:rsid w:val="0090731E"/>
    <w:rsid w:val="009153FF"/>
    <w:rsid w:val="00916EE2"/>
    <w:rsid w:val="0092213D"/>
    <w:rsid w:val="00950A4C"/>
    <w:rsid w:val="00951AC5"/>
    <w:rsid w:val="00966A22"/>
    <w:rsid w:val="0096722F"/>
    <w:rsid w:val="00967756"/>
    <w:rsid w:val="009769BC"/>
    <w:rsid w:val="00980286"/>
    <w:rsid w:val="00980803"/>
    <w:rsid w:val="00980843"/>
    <w:rsid w:val="0099414F"/>
    <w:rsid w:val="009A0B04"/>
    <w:rsid w:val="009B07AD"/>
    <w:rsid w:val="009C2752"/>
    <w:rsid w:val="009C3880"/>
    <w:rsid w:val="009C3F61"/>
    <w:rsid w:val="009E2791"/>
    <w:rsid w:val="009E3F6F"/>
    <w:rsid w:val="009F499F"/>
    <w:rsid w:val="009F7789"/>
    <w:rsid w:val="00A05DB8"/>
    <w:rsid w:val="00A07739"/>
    <w:rsid w:val="00A22486"/>
    <w:rsid w:val="00A2390D"/>
    <w:rsid w:val="00A25932"/>
    <w:rsid w:val="00A361CE"/>
    <w:rsid w:val="00A37342"/>
    <w:rsid w:val="00A42DAF"/>
    <w:rsid w:val="00A45BD8"/>
    <w:rsid w:val="00A53571"/>
    <w:rsid w:val="00A67FE6"/>
    <w:rsid w:val="00A73D7E"/>
    <w:rsid w:val="00A74AE9"/>
    <w:rsid w:val="00A869B7"/>
    <w:rsid w:val="00AC205C"/>
    <w:rsid w:val="00AC22EB"/>
    <w:rsid w:val="00AC7B78"/>
    <w:rsid w:val="00AD0DB2"/>
    <w:rsid w:val="00AE5D78"/>
    <w:rsid w:val="00AF0A6B"/>
    <w:rsid w:val="00AF1ED6"/>
    <w:rsid w:val="00B05A69"/>
    <w:rsid w:val="00B112D7"/>
    <w:rsid w:val="00B314B5"/>
    <w:rsid w:val="00B727F0"/>
    <w:rsid w:val="00B77005"/>
    <w:rsid w:val="00B77DA3"/>
    <w:rsid w:val="00B9734B"/>
    <w:rsid w:val="00BA16E1"/>
    <w:rsid w:val="00BA30E2"/>
    <w:rsid w:val="00BB11BB"/>
    <w:rsid w:val="00BC1B79"/>
    <w:rsid w:val="00BC4A9E"/>
    <w:rsid w:val="00BC5E16"/>
    <w:rsid w:val="00BD16F8"/>
    <w:rsid w:val="00BD6FAC"/>
    <w:rsid w:val="00BE1072"/>
    <w:rsid w:val="00BE6183"/>
    <w:rsid w:val="00BF6A83"/>
    <w:rsid w:val="00C11090"/>
    <w:rsid w:val="00C11BFE"/>
    <w:rsid w:val="00C20B1E"/>
    <w:rsid w:val="00C23E36"/>
    <w:rsid w:val="00C278C5"/>
    <w:rsid w:val="00C40E7F"/>
    <w:rsid w:val="00C42861"/>
    <w:rsid w:val="00C5068F"/>
    <w:rsid w:val="00C57CEF"/>
    <w:rsid w:val="00C605A3"/>
    <w:rsid w:val="00C7190A"/>
    <w:rsid w:val="00C7365D"/>
    <w:rsid w:val="00C81E70"/>
    <w:rsid w:val="00C83170"/>
    <w:rsid w:val="00C838AA"/>
    <w:rsid w:val="00C86D74"/>
    <w:rsid w:val="00C94728"/>
    <w:rsid w:val="00C9666C"/>
    <w:rsid w:val="00CC0A33"/>
    <w:rsid w:val="00CC0C14"/>
    <w:rsid w:val="00CC5FF5"/>
    <w:rsid w:val="00CD04F1"/>
    <w:rsid w:val="00CD49DE"/>
    <w:rsid w:val="00CE1AD8"/>
    <w:rsid w:val="00CE66EF"/>
    <w:rsid w:val="00CF1E16"/>
    <w:rsid w:val="00D00F50"/>
    <w:rsid w:val="00D05554"/>
    <w:rsid w:val="00D1181D"/>
    <w:rsid w:val="00D32AD3"/>
    <w:rsid w:val="00D33CEC"/>
    <w:rsid w:val="00D34743"/>
    <w:rsid w:val="00D4330B"/>
    <w:rsid w:val="00D45252"/>
    <w:rsid w:val="00D53171"/>
    <w:rsid w:val="00D61185"/>
    <w:rsid w:val="00D62E7C"/>
    <w:rsid w:val="00D66B9B"/>
    <w:rsid w:val="00D715AE"/>
    <w:rsid w:val="00D71B4D"/>
    <w:rsid w:val="00D80FF7"/>
    <w:rsid w:val="00D93D55"/>
    <w:rsid w:val="00DA7396"/>
    <w:rsid w:val="00DC20FA"/>
    <w:rsid w:val="00DC5D23"/>
    <w:rsid w:val="00DE079F"/>
    <w:rsid w:val="00DE1A0A"/>
    <w:rsid w:val="00DE45DC"/>
    <w:rsid w:val="00DE4DCB"/>
    <w:rsid w:val="00DF7C36"/>
    <w:rsid w:val="00E02CE2"/>
    <w:rsid w:val="00E1184A"/>
    <w:rsid w:val="00E15015"/>
    <w:rsid w:val="00E163E8"/>
    <w:rsid w:val="00E16C10"/>
    <w:rsid w:val="00E21EA7"/>
    <w:rsid w:val="00E31B7A"/>
    <w:rsid w:val="00E335FE"/>
    <w:rsid w:val="00E408B2"/>
    <w:rsid w:val="00E50C3E"/>
    <w:rsid w:val="00E53211"/>
    <w:rsid w:val="00E57D3D"/>
    <w:rsid w:val="00E65079"/>
    <w:rsid w:val="00E723B6"/>
    <w:rsid w:val="00E759FB"/>
    <w:rsid w:val="00E75D08"/>
    <w:rsid w:val="00E77050"/>
    <w:rsid w:val="00E778A2"/>
    <w:rsid w:val="00E80817"/>
    <w:rsid w:val="00E82D9F"/>
    <w:rsid w:val="00E82F37"/>
    <w:rsid w:val="00E84D66"/>
    <w:rsid w:val="00E94608"/>
    <w:rsid w:val="00EA1198"/>
    <w:rsid w:val="00EA1441"/>
    <w:rsid w:val="00EA751D"/>
    <w:rsid w:val="00EA7D6E"/>
    <w:rsid w:val="00EC4815"/>
    <w:rsid w:val="00EC4E49"/>
    <w:rsid w:val="00EC7882"/>
    <w:rsid w:val="00ED77FB"/>
    <w:rsid w:val="00EE45FA"/>
    <w:rsid w:val="00EE4A26"/>
    <w:rsid w:val="00EF1964"/>
    <w:rsid w:val="00EF3A7A"/>
    <w:rsid w:val="00EF442A"/>
    <w:rsid w:val="00F0685A"/>
    <w:rsid w:val="00F15FAA"/>
    <w:rsid w:val="00F23CBA"/>
    <w:rsid w:val="00F35FD5"/>
    <w:rsid w:val="00F54D37"/>
    <w:rsid w:val="00F66152"/>
    <w:rsid w:val="00F8319E"/>
    <w:rsid w:val="00F83C2E"/>
    <w:rsid w:val="00FA6B85"/>
    <w:rsid w:val="00FC01F4"/>
    <w:rsid w:val="00FC4540"/>
    <w:rsid w:val="00FE22FF"/>
    <w:rsid w:val="00FE60B6"/>
    <w:rsid w:val="00FF38A8"/>
    <w:rsid w:val="00FF529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FF69E6A"/>
  <w15:docId w15:val="{4F2F2A6B-A54B-417B-B708-119D663D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A53571"/>
    <w:pPr>
      <w:keepNext/>
      <w:spacing w:before="240" w:after="240"/>
      <w:outlineLvl w:val="2"/>
    </w:pPr>
    <w:rPr>
      <w:b/>
      <w:bCs/>
      <w:szCs w:val="26"/>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0D4BD5"/>
    <w:pPr>
      <w:ind w:left="720"/>
      <w:contextualSpacing/>
    </w:pPr>
  </w:style>
  <w:style w:type="table" w:styleId="TableGrid">
    <w:name w:val="Table Grid"/>
    <w:basedOn w:val="TableNormal"/>
    <w:rsid w:val="000D4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47939"/>
    <w:rPr>
      <w:rFonts w:ascii="Segoe UI" w:hAnsi="Segoe UI" w:cs="Segoe UI"/>
      <w:sz w:val="18"/>
      <w:szCs w:val="18"/>
    </w:rPr>
  </w:style>
  <w:style w:type="character" w:customStyle="1" w:styleId="BalloonTextChar">
    <w:name w:val="Balloon Text Char"/>
    <w:basedOn w:val="DefaultParagraphFont"/>
    <w:link w:val="BalloonText"/>
    <w:semiHidden/>
    <w:rsid w:val="00847939"/>
    <w:rPr>
      <w:rFonts w:ascii="Segoe UI" w:eastAsia="SimSun" w:hAnsi="Segoe UI" w:cs="Segoe UI"/>
      <w:sz w:val="18"/>
      <w:szCs w:val="18"/>
      <w:lang w:val="fr-FR" w:eastAsia="zh-CN"/>
    </w:rPr>
  </w:style>
  <w:style w:type="character" w:styleId="Hyperlink">
    <w:name w:val="Hyperlink"/>
    <w:basedOn w:val="DefaultParagraphFont"/>
    <w:unhideWhenUsed/>
    <w:rsid w:val="00E77050"/>
    <w:rPr>
      <w:color w:val="0000FF" w:themeColor="hyperlink"/>
      <w:u w:val="single"/>
    </w:rPr>
  </w:style>
  <w:style w:type="character" w:customStyle="1" w:styleId="CommentTextChar">
    <w:name w:val="Comment Text Char"/>
    <w:basedOn w:val="DefaultParagraphFont"/>
    <w:link w:val="CommentText"/>
    <w:uiPriority w:val="99"/>
    <w:semiHidden/>
    <w:rsid w:val="0001278A"/>
    <w:rPr>
      <w:rFonts w:ascii="Arial" w:eastAsia="SimSun" w:hAnsi="Arial" w:cs="Arial"/>
      <w:sz w:val="18"/>
      <w:lang w:val="fr-FR" w:eastAsia="zh-CN"/>
    </w:rPr>
  </w:style>
  <w:style w:type="character" w:styleId="CommentReference">
    <w:name w:val="annotation reference"/>
    <w:basedOn w:val="DefaultParagraphFont"/>
    <w:semiHidden/>
    <w:unhideWhenUsed/>
    <w:rsid w:val="007111E2"/>
    <w:rPr>
      <w:sz w:val="16"/>
      <w:szCs w:val="16"/>
    </w:rPr>
  </w:style>
  <w:style w:type="paragraph" w:styleId="CommentSubject">
    <w:name w:val="annotation subject"/>
    <w:basedOn w:val="CommentText"/>
    <w:next w:val="CommentText"/>
    <w:link w:val="CommentSubjectChar"/>
    <w:semiHidden/>
    <w:unhideWhenUsed/>
    <w:rsid w:val="007111E2"/>
    <w:rPr>
      <w:b/>
      <w:bCs/>
      <w:sz w:val="20"/>
    </w:rPr>
  </w:style>
  <w:style w:type="character" w:customStyle="1" w:styleId="CommentSubjectChar">
    <w:name w:val="Comment Subject Char"/>
    <w:basedOn w:val="CommentTextChar"/>
    <w:link w:val="CommentSubject"/>
    <w:semiHidden/>
    <w:rsid w:val="007111E2"/>
    <w:rPr>
      <w:rFonts w:ascii="Arial" w:eastAsia="SimSun" w:hAnsi="Arial" w:cs="Arial"/>
      <w:b/>
      <w:bCs/>
      <w:sz w:val="18"/>
      <w:lang w:val="fr-FR" w:eastAsia="zh-CN"/>
    </w:rPr>
  </w:style>
  <w:style w:type="paragraph" w:styleId="Revision">
    <w:name w:val="Revision"/>
    <w:hidden/>
    <w:uiPriority w:val="99"/>
    <w:semiHidden/>
    <w:rsid w:val="0062027D"/>
    <w:rPr>
      <w:rFonts w:ascii="Arial" w:eastAsia="SimSun" w:hAnsi="Arial" w:cs="Arial"/>
      <w:sz w:val="22"/>
      <w:lang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nhideWhenUsed/>
    <w:qFormat/>
    <w:rsid w:val="00685F65"/>
    <w:rPr>
      <w:vertAlign w:val="superscript"/>
    </w:rPr>
  </w:style>
  <w:style w:type="character" w:customStyle="1" w:styleId="FootnoteTextChar">
    <w:name w:val="Footnote Text Char"/>
    <w:basedOn w:val="DefaultParagraphFont"/>
    <w:link w:val="FootnoteText"/>
    <w:rsid w:val="00227C6C"/>
    <w:rPr>
      <w:rFonts w:ascii="Arial" w:eastAsia="SimSun" w:hAnsi="Arial" w:cs="Arial"/>
      <w:sz w:val="18"/>
      <w:lang w:val="fr-FR" w:eastAsia="zh-CN"/>
    </w:rPr>
  </w:style>
  <w:style w:type="paragraph" w:styleId="Title">
    <w:name w:val="Title"/>
    <w:basedOn w:val="Heading1"/>
    <w:next w:val="Normal"/>
    <w:link w:val="TitleChar"/>
    <w:qFormat/>
    <w:rsid w:val="0074539B"/>
    <w:pPr>
      <w:spacing w:before="0" w:after="480"/>
    </w:pPr>
    <w:rPr>
      <w:caps w:val="0"/>
      <w:sz w:val="28"/>
      <w:lang w:val="fr-CH"/>
    </w:rPr>
  </w:style>
  <w:style w:type="character" w:customStyle="1" w:styleId="TitleChar">
    <w:name w:val="Title Char"/>
    <w:basedOn w:val="DefaultParagraphFont"/>
    <w:link w:val="Title"/>
    <w:rsid w:val="0074539B"/>
    <w:rPr>
      <w:rFonts w:ascii="Arial" w:eastAsia="SimSun" w:hAnsi="Arial" w:cs="Arial"/>
      <w:b/>
      <w:bCs/>
      <w:kern w:val="32"/>
      <w:sz w:val="28"/>
      <w:szCs w:val="3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49060">
      <w:bodyDiv w:val="1"/>
      <w:marLeft w:val="0"/>
      <w:marRight w:val="0"/>
      <w:marTop w:val="0"/>
      <w:marBottom w:val="0"/>
      <w:divBdr>
        <w:top w:val="none" w:sz="0" w:space="0" w:color="auto"/>
        <w:left w:val="none" w:sz="0" w:space="0" w:color="auto"/>
        <w:bottom w:val="none" w:sz="0" w:space="0" w:color="auto"/>
        <w:right w:val="none" w:sz="0" w:space="0" w:color="auto"/>
      </w:divBdr>
    </w:div>
    <w:div w:id="1600530299">
      <w:bodyDiv w:val="1"/>
      <w:marLeft w:val="0"/>
      <w:marRight w:val="0"/>
      <w:marTop w:val="0"/>
      <w:marBottom w:val="0"/>
      <w:divBdr>
        <w:top w:val="none" w:sz="0" w:space="0" w:color="auto"/>
        <w:left w:val="none" w:sz="0" w:space="0" w:color="auto"/>
        <w:bottom w:val="none" w:sz="0" w:space="0" w:color="auto"/>
        <w:right w:val="none" w:sz="0" w:space="0" w:color="auto"/>
      </w:divBdr>
    </w:div>
    <w:div w:id="195528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meetings/fr/doc_details.jsp?doc_id=14921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wipo.int/meetings/fr/doc_details.jsp?doc_id=585975"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wipo.int/tk/fr/resources/tk_experience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fr/doc_details.jsp?doc_id=58597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po.int/tk/fr/resources/tk_experiences.html" TargetMode="External"/><Relationship Id="rId23" Type="http://schemas.openxmlformats.org/officeDocument/2006/relationships/fontTable" Target="fontTable.xml"/><Relationship Id="rId10" Type="http://schemas.openxmlformats.org/officeDocument/2006/relationships/hyperlink" Target="https://www.wipo.int/meetings/fr/doc_details.jsp?doc_id=58592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ipo.int/meetings/fr/doc_details.jsp?doc_id=585931" TargetMode="External"/><Relationship Id="rId14" Type="http://schemas.openxmlformats.org/officeDocument/2006/relationships/hyperlink" Target="https://www.wipo.int/meetings/fr/doc_details.jsp?doc_id=147152"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B9697-85CE-42F0-9513-F969C807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6226</Characters>
  <Application>Microsoft Office Word</Application>
  <DocSecurity>0</DocSecurity>
  <Lines>104</Lines>
  <Paragraphs>39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Goss</dc:creator>
  <cp:keywords>FOR OFFICIAL USE ONLY</cp:keywords>
  <cp:lastModifiedBy>MORENO PALESTINI Maria del Pilar</cp:lastModifiedBy>
  <cp:revision>2</cp:revision>
  <cp:lastPrinted>2019-02-19T08:47:00Z</cp:lastPrinted>
  <dcterms:created xsi:type="dcterms:W3CDTF">2022-11-17T11:36:00Z</dcterms:created>
  <dcterms:modified xsi:type="dcterms:W3CDTF">2022-11-17T11:36:00Z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a1b2eb05-b062-48d5-8dab-a1518ea0836f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