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Borders>
          <w:bottom w:val="single" w:sz="4" w:space="0" w:color="auto"/>
        </w:tblBorders>
        <w:tblLook w:val="01E0" w:firstRow="1" w:lastRow="1" w:firstColumn="1" w:lastColumn="1" w:noHBand="0" w:noVBand="0"/>
      </w:tblPr>
      <w:tblGrid>
        <w:gridCol w:w="5076"/>
        <w:gridCol w:w="4280"/>
      </w:tblGrid>
      <w:tr w:rsidR="00A953E1" w:rsidTr="00A953E1">
        <w:tc>
          <w:tcPr>
            <w:tcW w:w="4513" w:type="dxa"/>
            <w:tcMar>
              <w:left w:w="0" w:type="dxa"/>
              <w:right w:w="0" w:type="dxa"/>
            </w:tcMar>
          </w:tcPr>
          <w:p w:rsidR="00A953E1" w:rsidRDefault="00CF4675">
            <w:r>
              <w:rPr>
                <w:noProof/>
                <w:lang w:val="en-US" w:eastAsia="en-US"/>
              </w:rPr>
              <w:drawing>
                <wp:inline distT="0" distB="0" distL="0" distR="0">
                  <wp:extent cx="3223260" cy="1173480"/>
                  <wp:effectExtent l="0" t="0" r="0" b="7620"/>
                  <wp:docPr id="2" name="Grafik 1" descr="Logo_viezeiler_ganz_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_viezeiler_ganz_na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3260" cy="1173480"/>
                          </a:xfrm>
                          <a:prstGeom prst="rect">
                            <a:avLst/>
                          </a:prstGeom>
                          <a:noFill/>
                          <a:ln>
                            <a:noFill/>
                          </a:ln>
                        </pic:spPr>
                      </pic:pic>
                    </a:graphicData>
                  </a:graphic>
                </wp:inline>
              </w:drawing>
            </w:r>
          </w:p>
        </w:tc>
        <w:tc>
          <w:tcPr>
            <w:tcW w:w="0" w:type="auto"/>
            <w:tcMar>
              <w:left w:w="0" w:type="dxa"/>
              <w:bottom w:w="142" w:type="dxa"/>
              <w:right w:w="0" w:type="dxa"/>
            </w:tcMar>
          </w:tcPr>
          <w:p w:rsidR="00A953E1" w:rsidRDefault="00CF4675">
            <w:r>
              <w:rPr>
                <w:noProof/>
                <w:lang w:val="en-US" w:eastAsia="en-US"/>
              </w:rPr>
              <w:drawing>
                <wp:inline distT="0" distB="0" distL="0" distR="0">
                  <wp:extent cx="1859280" cy="1325880"/>
                  <wp:effectExtent l="0" t="0" r="7620" b="762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r>
    </w:tbl>
    <w:p w:rsidR="000F5E56" w:rsidRDefault="000F5E56"/>
    <w:p w:rsidR="00A953E1" w:rsidRDefault="00A953E1"/>
    <w:p w:rsidR="00CF4675" w:rsidRPr="000F700F" w:rsidRDefault="00CF4675" w:rsidP="00CF4675">
      <w:pPr>
        <w:rPr>
          <w:szCs w:val="22"/>
          <w:lang w:val="pt-BR"/>
        </w:rPr>
      </w:pPr>
    </w:p>
    <w:p w:rsidR="00CF4675" w:rsidRPr="000F700F" w:rsidRDefault="00CF4675" w:rsidP="00CF4675">
      <w:pPr>
        <w:pBdr>
          <w:top w:val="single" w:sz="18" w:space="1" w:color="800000"/>
          <w:left w:val="single" w:sz="18" w:space="4" w:color="800000"/>
          <w:bottom w:val="single" w:sz="18" w:space="1" w:color="800000"/>
          <w:right w:val="single" w:sz="18" w:space="4" w:color="800000"/>
        </w:pBdr>
        <w:rPr>
          <w:color w:val="800000"/>
          <w:szCs w:val="22"/>
        </w:rPr>
      </w:pPr>
    </w:p>
    <w:p w:rsidR="00CF4675" w:rsidRPr="000F700F" w:rsidRDefault="00CF4675" w:rsidP="00CF4675">
      <w:pPr>
        <w:pBdr>
          <w:top w:val="single" w:sz="18" w:space="1" w:color="800000"/>
          <w:left w:val="single" w:sz="18" w:space="4" w:color="800000"/>
          <w:bottom w:val="single" w:sz="18" w:space="1" w:color="800000"/>
          <w:right w:val="single" w:sz="18" w:space="4" w:color="800000"/>
        </w:pBdr>
        <w:jc w:val="center"/>
        <w:outlineLvl w:val="0"/>
        <w:rPr>
          <w:b/>
          <w:bCs/>
          <w:smallCaps/>
          <w:color w:val="800000"/>
          <w:szCs w:val="22"/>
          <w:lang w:val="fr-FR"/>
        </w:rPr>
      </w:pPr>
      <w:r w:rsidRPr="000F700F">
        <w:rPr>
          <w:b/>
          <w:bCs/>
          <w:smallCaps/>
          <w:color w:val="800000"/>
          <w:szCs w:val="22"/>
          <w:lang w:val="fr-FR"/>
        </w:rPr>
        <w:t>APPEL À MANIFESTATION D’INTÉRȆT</w:t>
      </w:r>
    </w:p>
    <w:p w:rsidR="00CF4675" w:rsidRPr="000F700F" w:rsidRDefault="00CF4675" w:rsidP="00CF4675">
      <w:pPr>
        <w:pBdr>
          <w:top w:val="single" w:sz="18" w:space="1" w:color="800000"/>
          <w:left w:val="single" w:sz="18" w:space="4" w:color="800000"/>
          <w:bottom w:val="single" w:sz="18" w:space="1" w:color="800000"/>
          <w:right w:val="single" w:sz="18" w:space="4" w:color="800000"/>
        </w:pBdr>
        <w:jc w:val="center"/>
        <w:outlineLvl w:val="0"/>
        <w:rPr>
          <w:b/>
          <w:bCs/>
          <w:smallCaps/>
          <w:color w:val="800000"/>
          <w:szCs w:val="22"/>
          <w:lang w:val="fr-FR"/>
        </w:rPr>
      </w:pPr>
    </w:p>
    <w:p w:rsidR="00CF4675" w:rsidRPr="000F700F" w:rsidRDefault="00CF4675" w:rsidP="00CF4675">
      <w:pPr>
        <w:pBdr>
          <w:top w:val="single" w:sz="18" w:space="1" w:color="800000"/>
          <w:left w:val="single" w:sz="18" w:space="4" w:color="800000"/>
          <w:bottom w:val="single" w:sz="18" w:space="1" w:color="800000"/>
          <w:right w:val="single" w:sz="18" w:space="4" w:color="800000"/>
        </w:pBdr>
        <w:jc w:val="center"/>
        <w:outlineLvl w:val="0"/>
        <w:rPr>
          <w:b/>
          <w:bCs/>
          <w:smallCaps/>
          <w:color w:val="800000"/>
          <w:szCs w:val="22"/>
          <w:lang w:val="fr-FR"/>
        </w:rPr>
      </w:pPr>
      <w:r w:rsidRPr="000F700F">
        <w:rPr>
          <w:b/>
          <w:bCs/>
          <w:smallCaps/>
          <w:color w:val="800000"/>
          <w:szCs w:val="22"/>
          <w:lang w:val="fr-FR"/>
        </w:rPr>
        <w:t xml:space="preserve">AIDE FINANCIÈRE ACCORDÉE POUR LA PARTICIPATION DE REPRÉSENTANTS </w:t>
      </w:r>
      <w:r w:rsidRPr="000F700F">
        <w:rPr>
          <w:b/>
          <w:bCs/>
          <w:smallCaps/>
          <w:color w:val="800000"/>
          <w:szCs w:val="22"/>
          <w:lang w:val="fr-FR"/>
        </w:rPr>
        <w:br/>
        <w:t>DES PEUPLES AUTOCHTONES ET DES COMMUNAUTÉS LOCALES</w:t>
      </w:r>
    </w:p>
    <w:p w:rsidR="00CF4675" w:rsidRPr="000F700F" w:rsidRDefault="00CF4675" w:rsidP="00CF4675">
      <w:pPr>
        <w:pBdr>
          <w:top w:val="single" w:sz="18" w:space="1" w:color="800000"/>
          <w:left w:val="single" w:sz="18" w:space="4" w:color="800000"/>
          <w:bottom w:val="single" w:sz="18" w:space="1" w:color="800000"/>
          <w:right w:val="single" w:sz="18" w:space="4" w:color="800000"/>
        </w:pBdr>
        <w:jc w:val="center"/>
        <w:rPr>
          <w:b/>
          <w:bCs/>
          <w:color w:val="800000"/>
          <w:szCs w:val="22"/>
          <w:lang w:val="fr-FR"/>
        </w:rPr>
      </w:pPr>
    </w:p>
    <w:p w:rsidR="00CF4675" w:rsidRPr="000F700F" w:rsidRDefault="00CF4675" w:rsidP="00CF4675">
      <w:pPr>
        <w:pBdr>
          <w:top w:val="single" w:sz="18" w:space="1" w:color="800000"/>
          <w:left w:val="single" w:sz="18" w:space="4" w:color="800000"/>
          <w:bottom w:val="single" w:sz="18" w:space="1" w:color="800000"/>
          <w:right w:val="single" w:sz="18" w:space="4" w:color="800000"/>
        </w:pBdr>
        <w:jc w:val="center"/>
        <w:rPr>
          <w:b/>
          <w:bCs/>
          <w:color w:val="800000"/>
          <w:szCs w:val="22"/>
          <w:lang w:val="fr-FR"/>
        </w:rPr>
      </w:pPr>
      <w:r w:rsidRPr="000F700F">
        <w:rPr>
          <w:b/>
          <w:bCs/>
          <w:color w:val="800000"/>
          <w:szCs w:val="22"/>
          <w:lang w:val="fr-FR"/>
        </w:rPr>
        <w:t>À UN SÉMINAIRE SUR LA PROPRIÉTÉ INTELLECTUELLE ET LES RESSOURCES GÉNÉTIQUES, LES SAVOIRS TRADITIONNELS ET LES EXPRESSIONS CULTURELLES TRADITIONNELLES : DIMENSIONS RÉGIONALES ET INTERNATIONALES</w:t>
      </w:r>
    </w:p>
    <w:p w:rsidR="00CF4675" w:rsidRPr="000F700F" w:rsidRDefault="00CF4675" w:rsidP="00CF4675">
      <w:pPr>
        <w:pBdr>
          <w:top w:val="single" w:sz="18" w:space="1" w:color="800000"/>
          <w:left w:val="single" w:sz="18" w:space="4" w:color="800000"/>
          <w:bottom w:val="single" w:sz="18" w:space="1" w:color="800000"/>
          <w:right w:val="single" w:sz="18" w:space="4" w:color="800000"/>
        </w:pBdr>
        <w:jc w:val="center"/>
        <w:rPr>
          <w:b/>
          <w:bCs/>
          <w:color w:val="800000"/>
          <w:szCs w:val="22"/>
          <w:lang w:val="fr-FR"/>
        </w:rPr>
      </w:pPr>
    </w:p>
    <w:p w:rsidR="00CF4675" w:rsidRPr="000F700F" w:rsidRDefault="00CF4675" w:rsidP="00CF4675">
      <w:pPr>
        <w:pBdr>
          <w:top w:val="single" w:sz="18" w:space="1" w:color="800000"/>
          <w:left w:val="single" w:sz="18" w:space="4" w:color="800000"/>
          <w:bottom w:val="single" w:sz="18" w:space="1" w:color="800000"/>
          <w:right w:val="single" w:sz="18" w:space="4" w:color="800000"/>
        </w:pBdr>
        <w:jc w:val="center"/>
        <w:outlineLvl w:val="0"/>
        <w:rPr>
          <w:b/>
          <w:bCs/>
          <w:color w:val="800000"/>
          <w:szCs w:val="22"/>
          <w:lang w:val="fr-FR"/>
        </w:rPr>
      </w:pPr>
    </w:p>
    <w:p w:rsidR="00CF4675" w:rsidRPr="000F700F" w:rsidRDefault="00CF4675" w:rsidP="00CF4675">
      <w:pPr>
        <w:pBdr>
          <w:top w:val="single" w:sz="18" w:space="1" w:color="800000"/>
          <w:left w:val="single" w:sz="18" w:space="4" w:color="800000"/>
          <w:bottom w:val="single" w:sz="18" w:space="1" w:color="800000"/>
          <w:right w:val="single" w:sz="18" w:space="4" w:color="800000"/>
        </w:pBdr>
        <w:jc w:val="center"/>
        <w:outlineLvl w:val="0"/>
        <w:rPr>
          <w:b/>
          <w:bCs/>
          <w:color w:val="800000"/>
          <w:szCs w:val="22"/>
          <w:lang w:val="fr-FR"/>
        </w:rPr>
      </w:pPr>
      <w:r w:rsidRPr="000F700F">
        <w:rPr>
          <w:b/>
          <w:bCs/>
          <w:color w:val="800000"/>
          <w:szCs w:val="22"/>
          <w:lang w:val="fr-FR"/>
        </w:rPr>
        <w:t>23–25 juin 2015</w:t>
      </w:r>
    </w:p>
    <w:p w:rsidR="00CF4675" w:rsidRPr="000F700F" w:rsidRDefault="00CF4675" w:rsidP="00CF4675">
      <w:pPr>
        <w:pBdr>
          <w:top w:val="single" w:sz="18" w:space="1" w:color="800000"/>
          <w:left w:val="single" w:sz="18" w:space="4" w:color="800000"/>
          <w:bottom w:val="single" w:sz="18" w:space="1" w:color="800000"/>
          <w:right w:val="single" w:sz="18" w:space="4" w:color="800000"/>
        </w:pBdr>
        <w:jc w:val="center"/>
        <w:outlineLvl w:val="0"/>
        <w:rPr>
          <w:b/>
          <w:bCs/>
          <w:color w:val="800000"/>
          <w:szCs w:val="22"/>
          <w:lang w:val="fr-FR"/>
        </w:rPr>
      </w:pPr>
      <w:r w:rsidRPr="000F700F">
        <w:rPr>
          <w:b/>
          <w:bCs/>
          <w:color w:val="800000"/>
          <w:szCs w:val="22"/>
          <w:lang w:val="fr-FR"/>
        </w:rPr>
        <w:t>Siège de l’OMPI, Genève</w:t>
      </w:r>
    </w:p>
    <w:p w:rsidR="00CF4675" w:rsidRPr="000F700F" w:rsidRDefault="00CF4675" w:rsidP="00CF4675">
      <w:pPr>
        <w:pBdr>
          <w:top w:val="single" w:sz="18" w:space="1" w:color="800000"/>
          <w:left w:val="single" w:sz="18" w:space="4" w:color="800000"/>
          <w:bottom w:val="single" w:sz="18" w:space="1" w:color="800000"/>
          <w:right w:val="single" w:sz="18" w:space="4" w:color="800000"/>
        </w:pBdr>
        <w:jc w:val="center"/>
        <w:outlineLvl w:val="0"/>
        <w:rPr>
          <w:b/>
          <w:bCs/>
          <w:color w:val="800000"/>
          <w:szCs w:val="22"/>
          <w:lang w:val="fr-FR"/>
        </w:rPr>
      </w:pPr>
    </w:p>
    <w:p w:rsidR="00CF4675" w:rsidRPr="000F700F" w:rsidRDefault="00CF4675" w:rsidP="00CF4675">
      <w:pPr>
        <w:pBdr>
          <w:top w:val="single" w:sz="18" w:space="1" w:color="800000"/>
          <w:left w:val="single" w:sz="18" w:space="4" w:color="800000"/>
          <w:bottom w:val="single" w:sz="18" w:space="1" w:color="800000"/>
          <w:right w:val="single" w:sz="18" w:space="4" w:color="800000"/>
        </w:pBdr>
        <w:rPr>
          <w:color w:val="800000"/>
          <w:szCs w:val="22"/>
          <w:lang w:val="fr-FR"/>
        </w:rPr>
      </w:pPr>
    </w:p>
    <w:p w:rsidR="00CF4675" w:rsidRPr="000F700F" w:rsidRDefault="00CF4675" w:rsidP="00CF4675">
      <w:pPr>
        <w:rPr>
          <w:szCs w:val="22"/>
          <w:lang w:val="fr-FR"/>
        </w:rPr>
      </w:pPr>
    </w:p>
    <w:p w:rsidR="000F700F" w:rsidRPr="000F700F" w:rsidRDefault="000F700F" w:rsidP="00CF4675">
      <w:pPr>
        <w:rPr>
          <w:szCs w:val="22"/>
          <w:lang w:val="fr-FR"/>
        </w:rPr>
      </w:pPr>
    </w:p>
    <w:p w:rsidR="000F700F" w:rsidRPr="000F700F" w:rsidRDefault="000F700F" w:rsidP="000F700F">
      <w:pPr>
        <w:outlineLvl w:val="0"/>
        <w:rPr>
          <w:b/>
          <w:bCs/>
          <w:smallCaps/>
          <w:szCs w:val="22"/>
          <w:lang w:val="fr-FR"/>
        </w:rPr>
      </w:pPr>
      <w:r w:rsidRPr="000F700F">
        <w:rPr>
          <w:b/>
          <w:bCs/>
          <w:smallCaps/>
          <w:szCs w:val="22"/>
          <w:lang w:val="fr-FR"/>
        </w:rPr>
        <w:t>GÉNÉRALITÉS</w:t>
      </w:r>
    </w:p>
    <w:p w:rsidR="000F700F" w:rsidRPr="000F700F" w:rsidRDefault="000F700F" w:rsidP="000F700F">
      <w:pPr>
        <w:rPr>
          <w:szCs w:val="22"/>
          <w:lang w:val="fr-FR"/>
        </w:rPr>
      </w:pPr>
    </w:p>
    <w:p w:rsidR="000F700F" w:rsidRPr="000F700F" w:rsidRDefault="000F700F" w:rsidP="000F700F">
      <w:pPr>
        <w:rPr>
          <w:szCs w:val="22"/>
          <w:lang w:val="fr-FR"/>
        </w:rPr>
      </w:pPr>
    </w:p>
    <w:p w:rsidR="000F700F" w:rsidRPr="000F700F" w:rsidRDefault="000F700F" w:rsidP="000F700F">
      <w:pPr>
        <w:rPr>
          <w:szCs w:val="22"/>
          <w:lang w:val="fr-FR"/>
        </w:rPr>
      </w:pPr>
    </w:p>
    <w:p w:rsidR="000F700F" w:rsidRPr="000F700F" w:rsidRDefault="000F700F" w:rsidP="000F700F">
      <w:pPr>
        <w:rPr>
          <w:szCs w:val="22"/>
          <w:lang w:val="fr-FR"/>
        </w:rPr>
      </w:pPr>
      <w:r w:rsidRPr="000F700F">
        <w:rPr>
          <w:szCs w:val="22"/>
          <w:lang w:val="fr-FR"/>
        </w:rPr>
        <w:t xml:space="preserve">L’Organisation Mondiale de la Propriété Intellectuelle (OMPI) organise à l’intention des États membres de l’OMPI et des observateurs accrédités un </w:t>
      </w:r>
      <w:r w:rsidRPr="000F700F">
        <w:rPr>
          <w:i/>
          <w:szCs w:val="22"/>
          <w:lang w:val="fr-FR"/>
        </w:rPr>
        <w:t>Séminaire sur la propriété intellectuelle et les ressources génétiques, les savoirs traditionnels et les expressions culturelles traditionnelles : dimensions régionales et internationales</w:t>
      </w:r>
      <w:r w:rsidRPr="000F700F">
        <w:rPr>
          <w:szCs w:val="22"/>
          <w:lang w:val="fr-FR"/>
        </w:rPr>
        <w:t xml:space="preserve"> qui se tiendra au siège de l’OMPI à Genève, du 23 au 25 juin 2015 et débutera à 14 heures le 23 juin.  L’expression “observateurs accrédités” désigne les organisations et autres entités qui bénéficient du statut d’observateur permanent auprès de l’OMPI ou sont déjà spécialement accréditées auprès du Comité intergouvernemental de la propriété intellectuelle relative aux ressources génétiques, aux savoirs traditionnels et au folklore de l’OMPI.</w:t>
      </w:r>
    </w:p>
    <w:p w:rsidR="000F700F" w:rsidRPr="000F700F" w:rsidRDefault="000F700F" w:rsidP="000F700F">
      <w:pPr>
        <w:rPr>
          <w:szCs w:val="22"/>
          <w:lang w:val="fr-FR"/>
        </w:rPr>
      </w:pPr>
    </w:p>
    <w:p w:rsidR="000F700F" w:rsidRPr="000F700F" w:rsidRDefault="000F700F" w:rsidP="000F700F">
      <w:pPr>
        <w:rPr>
          <w:szCs w:val="22"/>
          <w:lang w:val="fr-FR"/>
        </w:rPr>
      </w:pPr>
      <w:r w:rsidRPr="000F700F">
        <w:rPr>
          <w:szCs w:val="22"/>
          <w:lang w:val="fr-FR"/>
        </w:rPr>
        <w:t>L’OMPI a le plaisir de vous annoncer que l’Institut Fédéral Suisse de la Propriété Intellectuelle a versé une généreuse contribution pour financer et faciliter la participation de représentants des communautés autochtones et locales à ce séminaire.</w:t>
      </w:r>
    </w:p>
    <w:p w:rsidR="000F700F" w:rsidRPr="000F700F" w:rsidRDefault="000F700F" w:rsidP="000F700F">
      <w:pPr>
        <w:rPr>
          <w:szCs w:val="22"/>
          <w:lang w:val="fr-FR"/>
        </w:rPr>
      </w:pPr>
    </w:p>
    <w:p w:rsidR="000F700F" w:rsidRPr="000F700F" w:rsidRDefault="000F700F" w:rsidP="000F700F">
      <w:pPr>
        <w:rPr>
          <w:szCs w:val="22"/>
          <w:lang w:val="fr-FR"/>
        </w:rPr>
      </w:pPr>
      <w:r w:rsidRPr="000F700F">
        <w:rPr>
          <w:szCs w:val="22"/>
          <w:lang w:val="fr-FR"/>
        </w:rPr>
        <w:t>Cette contribution couvrira les frais de voyage par avion en classe économique du domicile du candidat retenu jusqu’à Genève conformément aux dispositions régissant les voyages à l’OMPI, le paiement d’une indemnité journalière de subsistance de 250 francs suisses ainsi que les faux frais au départ et à l’arrivée.</w:t>
      </w:r>
    </w:p>
    <w:p w:rsidR="000F700F" w:rsidRPr="000F700F" w:rsidRDefault="000F700F" w:rsidP="000F700F">
      <w:pPr>
        <w:rPr>
          <w:szCs w:val="22"/>
          <w:lang w:val="fr-FR"/>
        </w:rPr>
      </w:pPr>
    </w:p>
    <w:p w:rsidR="000F700F" w:rsidRPr="000F700F" w:rsidRDefault="000F700F" w:rsidP="000F700F">
      <w:pPr>
        <w:tabs>
          <w:tab w:val="left" w:pos="4076"/>
        </w:tabs>
        <w:rPr>
          <w:szCs w:val="22"/>
          <w:lang w:val="fr-FR"/>
        </w:rPr>
      </w:pPr>
      <w:r w:rsidRPr="000F700F">
        <w:rPr>
          <w:szCs w:val="22"/>
          <w:lang w:val="fr-FR"/>
        </w:rPr>
        <w:t>Ce séminaire sera axé sur la propriété intellectuelle et les ressources génétiques, les savoirs traditionnels et les expressions culturelles traditionnelles.  Il vise à mettre en commun des pratiques, des données d’expérience et des études de cas concernant la propriété intellectuelle et les trois domaines précités.</w:t>
      </w:r>
    </w:p>
    <w:p w:rsidR="000F700F" w:rsidRPr="000F700F" w:rsidRDefault="000F700F" w:rsidP="000F700F">
      <w:pPr>
        <w:tabs>
          <w:tab w:val="left" w:pos="4076"/>
        </w:tabs>
        <w:jc w:val="right"/>
        <w:rPr>
          <w:szCs w:val="22"/>
          <w:lang w:val="fr-FR"/>
        </w:rPr>
      </w:pPr>
      <w:r w:rsidRPr="000F700F">
        <w:rPr>
          <w:szCs w:val="22"/>
          <w:lang w:val="fr-FR"/>
        </w:rPr>
        <w:t>/...</w:t>
      </w:r>
    </w:p>
    <w:p w:rsidR="000F700F" w:rsidRPr="000F700F" w:rsidRDefault="000F700F" w:rsidP="000F700F">
      <w:pPr>
        <w:tabs>
          <w:tab w:val="left" w:pos="4076"/>
        </w:tabs>
        <w:jc w:val="right"/>
        <w:rPr>
          <w:szCs w:val="22"/>
          <w:lang w:val="fr-FR"/>
        </w:rPr>
      </w:pPr>
    </w:p>
    <w:p w:rsidR="000F700F" w:rsidRPr="000F700F" w:rsidRDefault="000F700F" w:rsidP="000F700F">
      <w:pPr>
        <w:rPr>
          <w:szCs w:val="22"/>
          <w:lang w:val="fr-FR"/>
        </w:rPr>
      </w:pPr>
      <w:r w:rsidRPr="000F700F">
        <w:rPr>
          <w:szCs w:val="22"/>
          <w:lang w:val="fr-FR"/>
        </w:rPr>
        <w:lastRenderedPageBreak/>
        <w:t xml:space="preserve">Les langues de travail du séminaire seront le français, l’anglais et l’espagnol, l’interprétation simultanée étant assurée dans ces langues.  Le programme peut être consulté sur le site Web de l’OMPI à l’adresse suivante : </w:t>
      </w:r>
      <w:hyperlink r:id="rId10" w:history="1">
        <w:r w:rsidRPr="000F700F">
          <w:rPr>
            <w:rStyle w:val="Hyperlink"/>
            <w:color w:val="auto"/>
            <w:szCs w:val="22"/>
            <w:u w:val="none"/>
            <w:lang w:val="fr-FR"/>
          </w:rPr>
          <w:t>http://www.wipo.int/meetings/en/details.jsp?meeting_id=36502</w:t>
        </w:r>
      </w:hyperlink>
    </w:p>
    <w:p w:rsidR="000F700F" w:rsidRPr="000F700F" w:rsidRDefault="000F700F" w:rsidP="000F700F">
      <w:pPr>
        <w:rPr>
          <w:szCs w:val="22"/>
          <w:lang w:val="fr-FR"/>
        </w:rPr>
      </w:pPr>
    </w:p>
    <w:p w:rsidR="000F700F" w:rsidRPr="000F700F" w:rsidRDefault="000F700F" w:rsidP="000F700F">
      <w:pPr>
        <w:rPr>
          <w:szCs w:val="22"/>
          <w:lang w:val="fr-FR"/>
        </w:rPr>
      </w:pPr>
      <w:r w:rsidRPr="000F700F">
        <w:rPr>
          <w:szCs w:val="22"/>
          <w:lang w:val="fr-FR"/>
        </w:rPr>
        <w:t>La participation des observateurs accrédités représentant les peuples autochtones et les communautés locales est fortement encouragée.  Ce séminaire sera pour les représentants des peuples autochtones et des communautés locales une excellente occasion de se procurer et d’échanger des informations sur les pratiques locales, régionales et nationales, des études de cas et des questions de politique générale concernant la propriété intellectuelle et les ressources génétiques, les savoirs traditionnels et les expressions culturelles traditionnelles.</w:t>
      </w:r>
    </w:p>
    <w:p w:rsidR="000F700F" w:rsidRPr="000F700F" w:rsidRDefault="000F700F" w:rsidP="000F700F">
      <w:pPr>
        <w:rPr>
          <w:szCs w:val="22"/>
          <w:lang w:val="fr-FR"/>
        </w:rPr>
      </w:pPr>
    </w:p>
    <w:p w:rsidR="000F700F" w:rsidRPr="000F700F" w:rsidRDefault="000F700F" w:rsidP="000F700F">
      <w:pPr>
        <w:rPr>
          <w:b/>
          <w:bCs/>
          <w:smallCaps/>
          <w:szCs w:val="22"/>
          <w:lang w:val="fr-FR"/>
        </w:rPr>
      </w:pPr>
      <w:r w:rsidRPr="000F700F">
        <w:rPr>
          <w:b/>
          <w:bCs/>
          <w:smallCaps/>
          <w:szCs w:val="22"/>
          <w:lang w:val="fr-FR"/>
        </w:rPr>
        <w:t>Critères : Quelles sont les qualifications requises?</w:t>
      </w:r>
    </w:p>
    <w:p w:rsidR="000F700F" w:rsidRPr="000F700F" w:rsidRDefault="000F700F" w:rsidP="000F700F">
      <w:pPr>
        <w:rPr>
          <w:szCs w:val="22"/>
          <w:lang w:val="fr-FR"/>
        </w:rPr>
      </w:pPr>
    </w:p>
    <w:p w:rsidR="000F700F" w:rsidRPr="000F700F" w:rsidRDefault="000F700F" w:rsidP="000F700F">
      <w:pPr>
        <w:rPr>
          <w:szCs w:val="22"/>
          <w:lang w:val="fr-FR"/>
        </w:rPr>
      </w:pPr>
      <w:r w:rsidRPr="000F700F">
        <w:rPr>
          <w:szCs w:val="22"/>
          <w:lang w:val="fr-FR"/>
        </w:rPr>
        <w:t>Les candidats à une aide financière doivent :</w:t>
      </w:r>
    </w:p>
    <w:p w:rsidR="000F700F" w:rsidRPr="000F700F" w:rsidRDefault="000F700F" w:rsidP="000F700F">
      <w:pPr>
        <w:rPr>
          <w:szCs w:val="22"/>
          <w:lang w:val="fr-FR"/>
        </w:rPr>
      </w:pPr>
    </w:p>
    <w:p w:rsidR="000F700F" w:rsidRPr="000F700F" w:rsidRDefault="000F700F" w:rsidP="000F700F">
      <w:pPr>
        <w:numPr>
          <w:ilvl w:val="0"/>
          <w:numId w:val="7"/>
        </w:numPr>
        <w:rPr>
          <w:szCs w:val="22"/>
          <w:lang w:val="fr-FR"/>
        </w:rPr>
      </w:pPr>
      <w:r w:rsidRPr="000F700F">
        <w:rPr>
          <w:szCs w:val="22"/>
          <w:lang w:val="fr-FR"/>
        </w:rPr>
        <w:t>être des personnes physiques membres des observateurs accrédités auprès de l’OMPI qui représentent des communautés autochtones ou locales;</w:t>
      </w:r>
    </w:p>
    <w:p w:rsidR="000F700F" w:rsidRPr="000F700F" w:rsidRDefault="000F700F" w:rsidP="000F700F">
      <w:pPr>
        <w:numPr>
          <w:ilvl w:val="0"/>
          <w:numId w:val="7"/>
        </w:numPr>
        <w:rPr>
          <w:szCs w:val="22"/>
          <w:lang w:val="fr-FR"/>
        </w:rPr>
      </w:pPr>
      <w:r w:rsidRPr="000F700F">
        <w:rPr>
          <w:szCs w:val="22"/>
          <w:lang w:val="fr-FR"/>
        </w:rPr>
        <w:t>pouvoir participer et contribuer activement et efficacement au séminaire en partageant leurs données d’expérience dans ce domaine et les préoccupations des communautés autochtones et locales;</w:t>
      </w:r>
    </w:p>
    <w:p w:rsidR="000F700F" w:rsidRPr="000F700F" w:rsidRDefault="000F700F" w:rsidP="000F700F">
      <w:pPr>
        <w:numPr>
          <w:ilvl w:val="0"/>
          <w:numId w:val="7"/>
        </w:numPr>
        <w:rPr>
          <w:szCs w:val="22"/>
          <w:lang w:val="fr-FR"/>
        </w:rPr>
      </w:pPr>
      <w:r w:rsidRPr="000F700F">
        <w:rPr>
          <w:szCs w:val="22"/>
          <w:lang w:val="fr-FR"/>
        </w:rPr>
        <w:t>avoir besoin de l’aide financière pour pouvoir participer au séminaire susmentionné;  et</w:t>
      </w:r>
    </w:p>
    <w:p w:rsidR="000F700F" w:rsidRPr="000F700F" w:rsidRDefault="000F700F" w:rsidP="000F700F">
      <w:pPr>
        <w:numPr>
          <w:ilvl w:val="0"/>
          <w:numId w:val="7"/>
        </w:numPr>
        <w:rPr>
          <w:szCs w:val="22"/>
          <w:lang w:val="fr-FR"/>
        </w:rPr>
      </w:pPr>
      <w:r w:rsidRPr="000F700F">
        <w:rPr>
          <w:szCs w:val="22"/>
          <w:lang w:val="fr-FR"/>
        </w:rPr>
        <w:t>parler et comprendre le français, l’anglais ou l’espagnol.</w:t>
      </w:r>
    </w:p>
    <w:p w:rsidR="000F700F" w:rsidRPr="000F700F" w:rsidRDefault="000F700F" w:rsidP="000F700F">
      <w:pPr>
        <w:ind w:left="720"/>
        <w:rPr>
          <w:szCs w:val="22"/>
          <w:lang w:val="fr-FR"/>
        </w:rPr>
      </w:pPr>
    </w:p>
    <w:p w:rsidR="000F700F" w:rsidRPr="000F700F" w:rsidRDefault="000F700F" w:rsidP="000F700F">
      <w:pPr>
        <w:rPr>
          <w:szCs w:val="22"/>
          <w:lang w:val="fr-FR"/>
        </w:rPr>
      </w:pPr>
      <w:r w:rsidRPr="000F700F">
        <w:rPr>
          <w:szCs w:val="22"/>
          <w:lang w:val="fr-FR"/>
        </w:rPr>
        <w:t>Par ailleurs, une attention particulière sera accordée à la répartition géographique et à la parité hommes femmes.</w:t>
      </w:r>
    </w:p>
    <w:p w:rsidR="000F700F" w:rsidRPr="000F700F" w:rsidRDefault="000F700F" w:rsidP="000F700F">
      <w:pPr>
        <w:rPr>
          <w:szCs w:val="22"/>
          <w:lang w:val="fr-FR"/>
        </w:rPr>
      </w:pPr>
    </w:p>
    <w:p w:rsidR="000F700F" w:rsidRPr="000F700F" w:rsidRDefault="000F700F" w:rsidP="000F700F">
      <w:pPr>
        <w:outlineLvl w:val="0"/>
        <w:rPr>
          <w:b/>
          <w:bCs/>
          <w:smallCaps/>
          <w:szCs w:val="22"/>
          <w:lang w:val="fr-FR"/>
        </w:rPr>
      </w:pPr>
      <w:r w:rsidRPr="000F700F">
        <w:rPr>
          <w:b/>
          <w:bCs/>
          <w:smallCaps/>
          <w:szCs w:val="22"/>
          <w:lang w:val="fr-FR"/>
        </w:rPr>
        <w:t>manifestations d’intérêt : comment déposer une demande d’aide financière?</w:t>
      </w:r>
    </w:p>
    <w:p w:rsidR="000F700F" w:rsidRPr="000F700F" w:rsidRDefault="000F700F" w:rsidP="000F700F">
      <w:pPr>
        <w:rPr>
          <w:szCs w:val="22"/>
          <w:lang w:val="fr-FR"/>
        </w:rPr>
      </w:pPr>
    </w:p>
    <w:p w:rsidR="000F700F" w:rsidRPr="000F700F" w:rsidRDefault="000F700F" w:rsidP="000F700F">
      <w:pPr>
        <w:rPr>
          <w:szCs w:val="22"/>
          <w:lang w:val="fr-FR"/>
        </w:rPr>
      </w:pPr>
      <w:r w:rsidRPr="000F700F">
        <w:rPr>
          <w:szCs w:val="22"/>
          <w:lang w:val="fr-FR"/>
        </w:rPr>
        <w:t>Les manifestations d’intérêt, accompagnées uniquement d’un curriculum vitae complet et d’une brève déclaration dans laquelle le candidat traite chacun des critères énoncés ci</w:t>
      </w:r>
      <w:r w:rsidRPr="000F700F">
        <w:rPr>
          <w:szCs w:val="22"/>
          <w:lang w:val="fr-FR"/>
        </w:rPr>
        <w:noBreakHyphen/>
        <w:t xml:space="preserve">dessus, </w:t>
      </w:r>
      <w:r w:rsidRPr="000F700F">
        <w:rPr>
          <w:szCs w:val="22"/>
          <w:u w:val="single"/>
          <w:lang w:val="fr-FR"/>
        </w:rPr>
        <w:t>précisant</w:t>
      </w:r>
      <w:r w:rsidRPr="000F700F">
        <w:rPr>
          <w:szCs w:val="22"/>
          <w:lang w:val="fr-FR"/>
        </w:rPr>
        <w:t xml:space="preserve"> le nom de l’observateur accrédité dont le candidat est membre, doivent être envoyées à l’adresse suivante :</w:t>
      </w:r>
    </w:p>
    <w:p w:rsidR="000F700F" w:rsidRPr="000F700F" w:rsidRDefault="000F700F" w:rsidP="000F700F">
      <w:pPr>
        <w:rPr>
          <w:szCs w:val="22"/>
          <w:lang w:val="fr-FR"/>
        </w:rPr>
      </w:pPr>
    </w:p>
    <w:p w:rsidR="000F700F" w:rsidRPr="000F700F" w:rsidRDefault="000F700F" w:rsidP="000F700F">
      <w:pPr>
        <w:ind w:left="539"/>
        <w:rPr>
          <w:szCs w:val="22"/>
          <w:lang w:val="fr-FR"/>
        </w:rPr>
      </w:pPr>
      <w:r w:rsidRPr="000F700F">
        <w:rPr>
          <w:szCs w:val="22"/>
          <w:lang w:val="fr-FR"/>
        </w:rPr>
        <w:t>Division des savoirs traditionnels</w:t>
      </w:r>
    </w:p>
    <w:p w:rsidR="000F700F" w:rsidRPr="000F700F" w:rsidRDefault="000F700F" w:rsidP="000F700F">
      <w:pPr>
        <w:ind w:left="539"/>
        <w:rPr>
          <w:szCs w:val="22"/>
          <w:lang w:val="fr-FR"/>
        </w:rPr>
      </w:pPr>
      <w:r w:rsidRPr="000F700F">
        <w:rPr>
          <w:szCs w:val="22"/>
          <w:lang w:val="fr-FR"/>
        </w:rPr>
        <w:t>Organisation Mondiale de la Propriété Intellectuelle</w:t>
      </w:r>
    </w:p>
    <w:p w:rsidR="000F700F" w:rsidRPr="000F700F" w:rsidRDefault="000F700F" w:rsidP="000F700F">
      <w:pPr>
        <w:ind w:left="539"/>
        <w:rPr>
          <w:szCs w:val="22"/>
          <w:lang w:val="fr-FR"/>
        </w:rPr>
      </w:pPr>
      <w:r w:rsidRPr="000F700F">
        <w:rPr>
          <w:szCs w:val="22"/>
          <w:lang w:val="fr-FR"/>
        </w:rPr>
        <w:t xml:space="preserve">34 chemin des </w:t>
      </w:r>
      <w:proofErr w:type="spellStart"/>
      <w:r w:rsidRPr="000F700F">
        <w:rPr>
          <w:szCs w:val="22"/>
          <w:lang w:val="fr-FR"/>
        </w:rPr>
        <w:t>Colombettes</w:t>
      </w:r>
      <w:proofErr w:type="spellEnd"/>
      <w:r w:rsidRPr="000F700F">
        <w:rPr>
          <w:szCs w:val="22"/>
          <w:lang w:val="fr-FR"/>
        </w:rPr>
        <w:t>,</w:t>
      </w:r>
    </w:p>
    <w:p w:rsidR="000F700F" w:rsidRPr="000F700F" w:rsidRDefault="000F700F" w:rsidP="000F700F">
      <w:pPr>
        <w:ind w:left="539"/>
        <w:rPr>
          <w:szCs w:val="22"/>
          <w:lang w:val="fr-FR"/>
        </w:rPr>
      </w:pPr>
      <w:r w:rsidRPr="000F700F">
        <w:rPr>
          <w:szCs w:val="22"/>
          <w:lang w:val="fr-FR"/>
        </w:rPr>
        <w:t>1211 Genève 20</w:t>
      </w:r>
    </w:p>
    <w:p w:rsidR="000F700F" w:rsidRPr="000F700F" w:rsidRDefault="000F700F" w:rsidP="000F700F">
      <w:pPr>
        <w:ind w:left="539"/>
        <w:rPr>
          <w:szCs w:val="22"/>
          <w:lang w:val="fr-FR"/>
        </w:rPr>
      </w:pPr>
      <w:r w:rsidRPr="000F700F">
        <w:rPr>
          <w:szCs w:val="22"/>
          <w:lang w:val="fr-FR"/>
        </w:rPr>
        <w:t>Suisse</w:t>
      </w:r>
    </w:p>
    <w:p w:rsidR="000F700F" w:rsidRPr="000F700F" w:rsidRDefault="000F700F" w:rsidP="000F700F">
      <w:pPr>
        <w:ind w:left="539"/>
        <w:rPr>
          <w:szCs w:val="22"/>
          <w:lang w:val="fr-FR"/>
        </w:rPr>
      </w:pPr>
    </w:p>
    <w:p w:rsidR="000F700F" w:rsidRPr="000F700F" w:rsidRDefault="000F700F" w:rsidP="000F700F">
      <w:pPr>
        <w:ind w:left="539"/>
        <w:rPr>
          <w:szCs w:val="22"/>
          <w:lang w:val="fr-FR"/>
        </w:rPr>
      </w:pPr>
      <w:proofErr w:type="gramStart"/>
      <w:r w:rsidRPr="000F700F">
        <w:rPr>
          <w:szCs w:val="22"/>
          <w:lang w:val="fr-FR"/>
        </w:rPr>
        <w:t>ou</w:t>
      </w:r>
      <w:proofErr w:type="gramEnd"/>
      <w:r w:rsidRPr="000F700F">
        <w:rPr>
          <w:szCs w:val="22"/>
          <w:lang w:val="fr-FR"/>
        </w:rPr>
        <w:t xml:space="preserve"> par courrier électronique (grtkf@wipo.int)</w:t>
      </w:r>
      <w:bookmarkStart w:id="0" w:name="_GoBack"/>
      <w:bookmarkEnd w:id="0"/>
    </w:p>
    <w:p w:rsidR="000F700F" w:rsidRPr="000F700F" w:rsidRDefault="000F700F" w:rsidP="000F700F">
      <w:pPr>
        <w:ind w:left="539"/>
        <w:rPr>
          <w:szCs w:val="22"/>
          <w:lang w:val="fr-FR"/>
        </w:rPr>
      </w:pPr>
    </w:p>
    <w:p w:rsidR="000F700F" w:rsidRPr="000F700F" w:rsidRDefault="000F700F" w:rsidP="000F700F">
      <w:pPr>
        <w:ind w:left="539"/>
        <w:rPr>
          <w:szCs w:val="22"/>
          <w:lang w:val="fr-FR"/>
        </w:rPr>
      </w:pPr>
      <w:proofErr w:type="gramStart"/>
      <w:r w:rsidRPr="000F700F">
        <w:rPr>
          <w:szCs w:val="22"/>
          <w:lang w:val="fr-FR"/>
        </w:rPr>
        <w:t>ou</w:t>
      </w:r>
      <w:proofErr w:type="gramEnd"/>
      <w:r w:rsidRPr="000F700F">
        <w:rPr>
          <w:szCs w:val="22"/>
          <w:lang w:val="fr-FR"/>
        </w:rPr>
        <w:t xml:space="preserve"> par télécopieur (+41 22 338 8120)</w:t>
      </w:r>
    </w:p>
    <w:p w:rsidR="000F700F" w:rsidRPr="000F700F" w:rsidRDefault="000F700F" w:rsidP="000F700F">
      <w:pPr>
        <w:rPr>
          <w:szCs w:val="22"/>
          <w:lang w:val="fr-FR"/>
        </w:rPr>
      </w:pPr>
    </w:p>
    <w:p w:rsidR="000F700F" w:rsidRPr="000F700F" w:rsidRDefault="000F700F" w:rsidP="000F700F">
      <w:pPr>
        <w:ind w:left="539"/>
        <w:rPr>
          <w:b/>
          <w:bCs/>
          <w:szCs w:val="22"/>
          <w:u w:val="single"/>
          <w:lang w:val="fr-FR"/>
        </w:rPr>
      </w:pPr>
      <w:proofErr w:type="gramStart"/>
      <w:r w:rsidRPr="000F700F">
        <w:rPr>
          <w:b/>
          <w:bCs/>
          <w:szCs w:val="22"/>
          <w:u w:val="single"/>
          <w:lang w:val="fr-FR"/>
        </w:rPr>
        <w:t>avant</w:t>
      </w:r>
      <w:proofErr w:type="gramEnd"/>
      <w:r w:rsidRPr="000F700F">
        <w:rPr>
          <w:b/>
          <w:bCs/>
          <w:szCs w:val="22"/>
          <w:u w:val="single"/>
          <w:lang w:val="fr-FR"/>
        </w:rPr>
        <w:t xml:space="preserve"> le 25 mai 2015</w:t>
      </w:r>
    </w:p>
    <w:p w:rsidR="000F700F" w:rsidRPr="000F700F" w:rsidRDefault="000F700F" w:rsidP="000F700F">
      <w:pPr>
        <w:rPr>
          <w:b/>
          <w:bCs/>
          <w:szCs w:val="22"/>
          <w:u w:val="single"/>
          <w:lang w:val="fr-FR"/>
        </w:rPr>
      </w:pPr>
    </w:p>
    <w:p w:rsidR="000F700F" w:rsidRPr="000F700F" w:rsidRDefault="000F700F" w:rsidP="000F700F">
      <w:pPr>
        <w:rPr>
          <w:b/>
          <w:bCs/>
          <w:szCs w:val="22"/>
          <w:u w:val="single"/>
          <w:lang w:val="fr-FR"/>
        </w:rPr>
      </w:pPr>
      <w:r w:rsidRPr="000F700F">
        <w:rPr>
          <w:b/>
          <w:bCs/>
          <w:szCs w:val="22"/>
          <w:u w:val="single"/>
          <w:lang w:val="fr-FR"/>
        </w:rPr>
        <w:t>Veuillez noter que les manifestations d’intérêt ne doivent pas comprendre d’autres annexes telles que copies de publications ou autres.</w:t>
      </w:r>
    </w:p>
    <w:p w:rsidR="00CF4675" w:rsidRPr="000F700F" w:rsidRDefault="00CF4675" w:rsidP="00CF4675">
      <w:pPr>
        <w:rPr>
          <w:color w:val="000080"/>
          <w:szCs w:val="22"/>
          <w:lang w:val="fr-FR"/>
        </w:rPr>
      </w:pPr>
    </w:p>
    <w:p w:rsidR="00CF4675" w:rsidRPr="000F700F" w:rsidRDefault="00CF4675" w:rsidP="00CF4675">
      <w:pPr>
        <w:rPr>
          <w:b/>
          <w:bCs/>
          <w:color w:val="000080"/>
          <w:szCs w:val="22"/>
          <w:u w:val="single"/>
          <w:lang w:val="fr-FR"/>
        </w:rPr>
      </w:pPr>
    </w:p>
    <w:p w:rsidR="00CF4675" w:rsidRPr="000F700F" w:rsidRDefault="00CF4675" w:rsidP="00CF4675">
      <w:pPr>
        <w:rPr>
          <w:szCs w:val="22"/>
          <w:lang w:val="pt-BR"/>
        </w:rPr>
      </w:pPr>
    </w:p>
    <w:p w:rsidR="0047153B" w:rsidRPr="000F700F" w:rsidRDefault="0047153B">
      <w:pPr>
        <w:rPr>
          <w:szCs w:val="22"/>
        </w:rPr>
      </w:pPr>
    </w:p>
    <w:sectPr w:rsidR="0047153B" w:rsidRPr="000F700F" w:rsidSect="00A953E1">
      <w:headerReference w:type="default" r:id="rId11"/>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675" w:rsidRDefault="00CF4675">
      <w:r>
        <w:separator/>
      </w:r>
    </w:p>
  </w:endnote>
  <w:endnote w:type="continuationSeparator" w:id="0">
    <w:p w:rsidR="00CF4675" w:rsidRDefault="00CF4675" w:rsidP="00A326CA">
      <w:r>
        <w:separator/>
      </w:r>
    </w:p>
    <w:p w:rsidR="00CF4675" w:rsidRPr="00874667" w:rsidRDefault="00CF4675" w:rsidP="00874667">
      <w:pPr>
        <w:spacing w:after="60"/>
        <w:rPr>
          <w:sz w:val="17"/>
          <w:szCs w:val="17"/>
        </w:rPr>
      </w:pPr>
      <w:r w:rsidRPr="009D30E6">
        <w:rPr>
          <w:sz w:val="17"/>
          <w:szCs w:val="17"/>
        </w:rPr>
        <w:t>[Suite de la note de la page précédente]</w:t>
      </w:r>
    </w:p>
  </w:endnote>
  <w:endnote w:type="continuationNotice" w:id="1">
    <w:p w:rsidR="00CF4675" w:rsidRPr="00874667" w:rsidRDefault="00CF4675" w:rsidP="00874667">
      <w:pPr>
        <w:spacing w:before="60"/>
        <w:jc w:val="right"/>
        <w:rPr>
          <w:sz w:val="17"/>
          <w:szCs w:val="17"/>
        </w:rPr>
      </w:pPr>
      <w:r w:rsidRPr="00874667">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675" w:rsidRDefault="00CF4675">
      <w:r>
        <w:separator/>
      </w:r>
    </w:p>
  </w:footnote>
  <w:footnote w:type="continuationSeparator" w:id="0">
    <w:p w:rsidR="00CF4675" w:rsidRDefault="00CF4675" w:rsidP="00A326CA">
      <w:r>
        <w:separator/>
      </w:r>
    </w:p>
    <w:p w:rsidR="00CF4675" w:rsidRPr="00874667" w:rsidRDefault="00CF4675" w:rsidP="00874667">
      <w:pPr>
        <w:spacing w:after="60"/>
        <w:rPr>
          <w:sz w:val="17"/>
          <w:szCs w:val="17"/>
        </w:rPr>
      </w:pPr>
      <w:r w:rsidRPr="009D30E6">
        <w:rPr>
          <w:sz w:val="17"/>
          <w:szCs w:val="17"/>
        </w:rPr>
        <w:t>[Suite de la note de la page précédente]</w:t>
      </w:r>
    </w:p>
  </w:footnote>
  <w:footnote w:type="continuationNotice" w:id="1">
    <w:p w:rsidR="00CF4675" w:rsidRPr="00874667" w:rsidRDefault="00CF4675" w:rsidP="00874667">
      <w:pPr>
        <w:spacing w:before="60"/>
        <w:jc w:val="right"/>
        <w:rPr>
          <w:sz w:val="17"/>
          <w:szCs w:val="17"/>
        </w:rPr>
      </w:pPr>
      <w:r w:rsidRPr="00874667">
        <w:rPr>
          <w:sz w:val="17"/>
          <w:szCs w:val="17"/>
        </w:rPr>
        <w:t>[Suite de la note page suivante]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53B" w:rsidRDefault="0047153B" w:rsidP="0047153B">
    <w:pPr>
      <w:pStyle w:val="Header"/>
      <w:jc w:val="right"/>
    </w:pPr>
  </w:p>
  <w:p w:rsidR="0047153B" w:rsidRDefault="0047153B" w:rsidP="0047153B">
    <w:pPr>
      <w:pStyle w:val="Header"/>
      <w:jc w:val="right"/>
    </w:pPr>
    <w:proofErr w:type="gramStart"/>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8F7281">
      <w:rPr>
        <w:rStyle w:val="PageNumber"/>
        <w:noProof/>
      </w:rPr>
      <w:t>2</w:t>
    </w:r>
    <w:r>
      <w:rPr>
        <w:rStyle w:val="PageNumber"/>
      </w:rPr>
      <w:fldChar w:fldCharType="end"/>
    </w:r>
  </w:p>
  <w:p w:rsidR="0047153B" w:rsidRDefault="0047153B" w:rsidP="0047153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124ECE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4510DFF"/>
    <w:multiLevelType w:val="hybridMultilevel"/>
    <w:tmpl w:val="377C0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675"/>
    <w:rsid w:val="000F5E56"/>
    <w:rsid w:val="000F700F"/>
    <w:rsid w:val="00107410"/>
    <w:rsid w:val="00157ADE"/>
    <w:rsid w:val="00226F62"/>
    <w:rsid w:val="00266E71"/>
    <w:rsid w:val="0047153B"/>
    <w:rsid w:val="005472CF"/>
    <w:rsid w:val="006121A3"/>
    <w:rsid w:val="006345D6"/>
    <w:rsid w:val="006A6729"/>
    <w:rsid w:val="007652EA"/>
    <w:rsid w:val="007B5CAC"/>
    <w:rsid w:val="00874667"/>
    <w:rsid w:val="008C25F9"/>
    <w:rsid w:val="008F7281"/>
    <w:rsid w:val="00A326CA"/>
    <w:rsid w:val="00A52AC8"/>
    <w:rsid w:val="00A953E1"/>
    <w:rsid w:val="00AA77B5"/>
    <w:rsid w:val="00AB3832"/>
    <w:rsid w:val="00B85041"/>
    <w:rsid w:val="00C11E02"/>
    <w:rsid w:val="00C120CE"/>
    <w:rsid w:val="00CF4675"/>
    <w:rsid w:val="00D8771E"/>
    <w:rsid w:val="00E26747"/>
    <w:rsid w:val="00E638AE"/>
    <w:rsid w:val="00E72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6729"/>
    <w:rPr>
      <w:rFonts w:ascii="Arial" w:eastAsia="SimSun" w:hAnsi="Arial" w:cs="Arial"/>
      <w:sz w:val="22"/>
      <w:lang w:val="fr-CH" w:eastAsia="zh-CN"/>
    </w:rPr>
  </w:style>
  <w:style w:type="paragraph" w:styleId="Heading1">
    <w:name w:val="heading 1"/>
    <w:basedOn w:val="Normal"/>
    <w:next w:val="Normal"/>
    <w:qFormat/>
    <w:rsid w:val="006A6729"/>
    <w:pPr>
      <w:keepNext/>
      <w:spacing w:before="240" w:after="60"/>
      <w:outlineLvl w:val="0"/>
    </w:pPr>
    <w:rPr>
      <w:b/>
      <w:bCs/>
      <w:caps/>
      <w:kern w:val="32"/>
      <w:szCs w:val="32"/>
    </w:rPr>
  </w:style>
  <w:style w:type="paragraph" w:styleId="Heading2">
    <w:name w:val="heading 2"/>
    <w:basedOn w:val="Normal"/>
    <w:next w:val="Normal"/>
    <w:qFormat/>
    <w:rsid w:val="006A6729"/>
    <w:pPr>
      <w:keepNext/>
      <w:spacing w:before="240" w:after="60"/>
      <w:outlineLvl w:val="1"/>
    </w:pPr>
    <w:rPr>
      <w:bCs/>
      <w:iCs/>
      <w:caps/>
      <w:szCs w:val="28"/>
    </w:rPr>
  </w:style>
  <w:style w:type="paragraph" w:styleId="Heading3">
    <w:name w:val="heading 3"/>
    <w:basedOn w:val="Normal"/>
    <w:next w:val="Normal"/>
    <w:qFormat/>
    <w:rsid w:val="006A6729"/>
    <w:pPr>
      <w:keepNext/>
      <w:spacing w:before="240" w:after="60"/>
      <w:outlineLvl w:val="2"/>
    </w:pPr>
    <w:rPr>
      <w:bCs/>
      <w:szCs w:val="26"/>
      <w:u w:val="single"/>
    </w:rPr>
  </w:style>
  <w:style w:type="paragraph" w:styleId="Heading4">
    <w:name w:val="heading 4"/>
    <w:basedOn w:val="Normal"/>
    <w:next w:val="Normal"/>
    <w:qFormat/>
    <w:rsid w:val="006A6729"/>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A6729"/>
    <w:pPr>
      <w:spacing w:after="220"/>
    </w:pPr>
  </w:style>
  <w:style w:type="paragraph" w:styleId="Caption">
    <w:name w:val="caption"/>
    <w:basedOn w:val="Normal"/>
    <w:next w:val="Normal"/>
    <w:qFormat/>
    <w:rsid w:val="006A6729"/>
    <w:rPr>
      <w:b/>
      <w:bCs/>
      <w:sz w:val="18"/>
    </w:rPr>
  </w:style>
  <w:style w:type="paragraph" w:styleId="CommentText">
    <w:name w:val="annotation text"/>
    <w:basedOn w:val="Normal"/>
    <w:semiHidden/>
    <w:rsid w:val="006A6729"/>
    <w:rPr>
      <w:sz w:val="18"/>
    </w:rPr>
  </w:style>
  <w:style w:type="paragraph" w:styleId="EndnoteText">
    <w:name w:val="endnote text"/>
    <w:basedOn w:val="Normal"/>
    <w:semiHidden/>
    <w:rsid w:val="006A6729"/>
    <w:rPr>
      <w:sz w:val="18"/>
    </w:rPr>
  </w:style>
  <w:style w:type="paragraph" w:styleId="Footer">
    <w:name w:val="footer"/>
    <w:basedOn w:val="Normal"/>
    <w:semiHidden/>
    <w:rsid w:val="006A6729"/>
    <w:pPr>
      <w:tabs>
        <w:tab w:val="center" w:pos="4320"/>
        <w:tab w:val="right" w:pos="8640"/>
      </w:tabs>
    </w:pPr>
  </w:style>
  <w:style w:type="paragraph" w:styleId="FootnoteText">
    <w:name w:val="footnote text"/>
    <w:basedOn w:val="Normal"/>
    <w:semiHidden/>
    <w:rsid w:val="006A6729"/>
    <w:rPr>
      <w:sz w:val="18"/>
    </w:rPr>
  </w:style>
  <w:style w:type="paragraph" w:styleId="Header">
    <w:name w:val="header"/>
    <w:basedOn w:val="Normal"/>
    <w:semiHidden/>
    <w:rsid w:val="006A6729"/>
    <w:pPr>
      <w:tabs>
        <w:tab w:val="center" w:pos="4536"/>
        <w:tab w:val="right" w:pos="9072"/>
      </w:tabs>
    </w:pPr>
  </w:style>
  <w:style w:type="paragraph" w:styleId="ListNumber">
    <w:name w:val="List Number"/>
    <w:basedOn w:val="Normal"/>
    <w:semiHidden/>
    <w:rsid w:val="006A6729"/>
    <w:pPr>
      <w:numPr>
        <w:numId w:val="4"/>
      </w:numPr>
    </w:pPr>
  </w:style>
  <w:style w:type="paragraph" w:customStyle="1" w:styleId="ONUME">
    <w:name w:val="ONUM E"/>
    <w:basedOn w:val="BodyText"/>
    <w:rsid w:val="006A6729"/>
    <w:pPr>
      <w:numPr>
        <w:numId w:val="5"/>
      </w:numPr>
    </w:pPr>
  </w:style>
  <w:style w:type="paragraph" w:customStyle="1" w:styleId="ONUMFS">
    <w:name w:val="ONUM FS"/>
    <w:basedOn w:val="BodyText"/>
    <w:rsid w:val="006A6729"/>
    <w:pPr>
      <w:numPr>
        <w:numId w:val="6"/>
      </w:numPr>
    </w:pPr>
  </w:style>
  <w:style w:type="paragraph" w:styleId="Salutation">
    <w:name w:val="Salutation"/>
    <w:basedOn w:val="Normal"/>
    <w:next w:val="Normal"/>
    <w:semiHidden/>
    <w:rsid w:val="006A6729"/>
  </w:style>
  <w:style w:type="paragraph" w:styleId="Signature">
    <w:name w:val="Signature"/>
    <w:basedOn w:val="Normal"/>
    <w:semiHidden/>
    <w:rsid w:val="006A6729"/>
    <w:pPr>
      <w:ind w:left="5250"/>
    </w:pPr>
  </w:style>
  <w:style w:type="character" w:styleId="PageNumber">
    <w:name w:val="page number"/>
    <w:basedOn w:val="DefaultParagraphFont"/>
    <w:rsid w:val="0047153B"/>
  </w:style>
  <w:style w:type="character" w:styleId="Hyperlink">
    <w:name w:val="Hyperlink"/>
    <w:rsid w:val="00CF4675"/>
    <w:rPr>
      <w:color w:val="0000FF"/>
      <w:u w:val="single"/>
    </w:rPr>
  </w:style>
  <w:style w:type="paragraph" w:styleId="BalloonText">
    <w:name w:val="Balloon Text"/>
    <w:basedOn w:val="Normal"/>
    <w:link w:val="BalloonTextChar"/>
    <w:rsid w:val="006121A3"/>
    <w:rPr>
      <w:rFonts w:ascii="Tahoma" w:hAnsi="Tahoma" w:cs="Tahoma"/>
      <w:sz w:val="16"/>
      <w:szCs w:val="16"/>
    </w:rPr>
  </w:style>
  <w:style w:type="character" w:customStyle="1" w:styleId="BalloonTextChar">
    <w:name w:val="Balloon Text Char"/>
    <w:basedOn w:val="DefaultParagraphFont"/>
    <w:link w:val="BalloonText"/>
    <w:rsid w:val="006121A3"/>
    <w:rPr>
      <w:rFonts w:ascii="Tahoma" w:eastAsia="SimSun" w:hAnsi="Tahoma" w:cs="Tahoma"/>
      <w:sz w:val="16"/>
      <w:szCs w:val="16"/>
      <w:lang w:val="fr-CH"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6729"/>
    <w:rPr>
      <w:rFonts w:ascii="Arial" w:eastAsia="SimSun" w:hAnsi="Arial" w:cs="Arial"/>
      <w:sz w:val="22"/>
      <w:lang w:val="fr-CH" w:eastAsia="zh-CN"/>
    </w:rPr>
  </w:style>
  <w:style w:type="paragraph" w:styleId="Heading1">
    <w:name w:val="heading 1"/>
    <w:basedOn w:val="Normal"/>
    <w:next w:val="Normal"/>
    <w:qFormat/>
    <w:rsid w:val="006A6729"/>
    <w:pPr>
      <w:keepNext/>
      <w:spacing w:before="240" w:after="60"/>
      <w:outlineLvl w:val="0"/>
    </w:pPr>
    <w:rPr>
      <w:b/>
      <w:bCs/>
      <w:caps/>
      <w:kern w:val="32"/>
      <w:szCs w:val="32"/>
    </w:rPr>
  </w:style>
  <w:style w:type="paragraph" w:styleId="Heading2">
    <w:name w:val="heading 2"/>
    <w:basedOn w:val="Normal"/>
    <w:next w:val="Normal"/>
    <w:qFormat/>
    <w:rsid w:val="006A6729"/>
    <w:pPr>
      <w:keepNext/>
      <w:spacing w:before="240" w:after="60"/>
      <w:outlineLvl w:val="1"/>
    </w:pPr>
    <w:rPr>
      <w:bCs/>
      <w:iCs/>
      <w:caps/>
      <w:szCs w:val="28"/>
    </w:rPr>
  </w:style>
  <w:style w:type="paragraph" w:styleId="Heading3">
    <w:name w:val="heading 3"/>
    <w:basedOn w:val="Normal"/>
    <w:next w:val="Normal"/>
    <w:qFormat/>
    <w:rsid w:val="006A6729"/>
    <w:pPr>
      <w:keepNext/>
      <w:spacing w:before="240" w:after="60"/>
      <w:outlineLvl w:val="2"/>
    </w:pPr>
    <w:rPr>
      <w:bCs/>
      <w:szCs w:val="26"/>
      <w:u w:val="single"/>
    </w:rPr>
  </w:style>
  <w:style w:type="paragraph" w:styleId="Heading4">
    <w:name w:val="heading 4"/>
    <w:basedOn w:val="Normal"/>
    <w:next w:val="Normal"/>
    <w:qFormat/>
    <w:rsid w:val="006A6729"/>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A6729"/>
    <w:pPr>
      <w:spacing w:after="220"/>
    </w:pPr>
  </w:style>
  <w:style w:type="paragraph" w:styleId="Caption">
    <w:name w:val="caption"/>
    <w:basedOn w:val="Normal"/>
    <w:next w:val="Normal"/>
    <w:qFormat/>
    <w:rsid w:val="006A6729"/>
    <w:rPr>
      <w:b/>
      <w:bCs/>
      <w:sz w:val="18"/>
    </w:rPr>
  </w:style>
  <w:style w:type="paragraph" w:styleId="CommentText">
    <w:name w:val="annotation text"/>
    <w:basedOn w:val="Normal"/>
    <w:semiHidden/>
    <w:rsid w:val="006A6729"/>
    <w:rPr>
      <w:sz w:val="18"/>
    </w:rPr>
  </w:style>
  <w:style w:type="paragraph" w:styleId="EndnoteText">
    <w:name w:val="endnote text"/>
    <w:basedOn w:val="Normal"/>
    <w:semiHidden/>
    <w:rsid w:val="006A6729"/>
    <w:rPr>
      <w:sz w:val="18"/>
    </w:rPr>
  </w:style>
  <w:style w:type="paragraph" w:styleId="Footer">
    <w:name w:val="footer"/>
    <w:basedOn w:val="Normal"/>
    <w:semiHidden/>
    <w:rsid w:val="006A6729"/>
    <w:pPr>
      <w:tabs>
        <w:tab w:val="center" w:pos="4320"/>
        <w:tab w:val="right" w:pos="8640"/>
      </w:tabs>
    </w:pPr>
  </w:style>
  <w:style w:type="paragraph" w:styleId="FootnoteText">
    <w:name w:val="footnote text"/>
    <w:basedOn w:val="Normal"/>
    <w:semiHidden/>
    <w:rsid w:val="006A6729"/>
    <w:rPr>
      <w:sz w:val="18"/>
    </w:rPr>
  </w:style>
  <w:style w:type="paragraph" w:styleId="Header">
    <w:name w:val="header"/>
    <w:basedOn w:val="Normal"/>
    <w:semiHidden/>
    <w:rsid w:val="006A6729"/>
    <w:pPr>
      <w:tabs>
        <w:tab w:val="center" w:pos="4536"/>
        <w:tab w:val="right" w:pos="9072"/>
      </w:tabs>
    </w:pPr>
  </w:style>
  <w:style w:type="paragraph" w:styleId="ListNumber">
    <w:name w:val="List Number"/>
    <w:basedOn w:val="Normal"/>
    <w:semiHidden/>
    <w:rsid w:val="006A6729"/>
    <w:pPr>
      <w:numPr>
        <w:numId w:val="4"/>
      </w:numPr>
    </w:pPr>
  </w:style>
  <w:style w:type="paragraph" w:customStyle="1" w:styleId="ONUME">
    <w:name w:val="ONUM E"/>
    <w:basedOn w:val="BodyText"/>
    <w:rsid w:val="006A6729"/>
    <w:pPr>
      <w:numPr>
        <w:numId w:val="5"/>
      </w:numPr>
    </w:pPr>
  </w:style>
  <w:style w:type="paragraph" w:customStyle="1" w:styleId="ONUMFS">
    <w:name w:val="ONUM FS"/>
    <w:basedOn w:val="BodyText"/>
    <w:rsid w:val="006A6729"/>
    <w:pPr>
      <w:numPr>
        <w:numId w:val="6"/>
      </w:numPr>
    </w:pPr>
  </w:style>
  <w:style w:type="paragraph" w:styleId="Salutation">
    <w:name w:val="Salutation"/>
    <w:basedOn w:val="Normal"/>
    <w:next w:val="Normal"/>
    <w:semiHidden/>
    <w:rsid w:val="006A6729"/>
  </w:style>
  <w:style w:type="paragraph" w:styleId="Signature">
    <w:name w:val="Signature"/>
    <w:basedOn w:val="Normal"/>
    <w:semiHidden/>
    <w:rsid w:val="006A6729"/>
    <w:pPr>
      <w:ind w:left="5250"/>
    </w:pPr>
  </w:style>
  <w:style w:type="character" w:styleId="PageNumber">
    <w:name w:val="page number"/>
    <w:basedOn w:val="DefaultParagraphFont"/>
    <w:rsid w:val="0047153B"/>
  </w:style>
  <w:style w:type="character" w:styleId="Hyperlink">
    <w:name w:val="Hyperlink"/>
    <w:rsid w:val="00CF4675"/>
    <w:rPr>
      <w:color w:val="0000FF"/>
      <w:u w:val="single"/>
    </w:rPr>
  </w:style>
  <w:style w:type="paragraph" w:styleId="BalloonText">
    <w:name w:val="Balloon Text"/>
    <w:basedOn w:val="Normal"/>
    <w:link w:val="BalloonTextChar"/>
    <w:rsid w:val="006121A3"/>
    <w:rPr>
      <w:rFonts w:ascii="Tahoma" w:hAnsi="Tahoma" w:cs="Tahoma"/>
      <w:sz w:val="16"/>
      <w:szCs w:val="16"/>
    </w:rPr>
  </w:style>
  <w:style w:type="character" w:customStyle="1" w:styleId="BalloonTextChar">
    <w:name w:val="Balloon Text Char"/>
    <w:basedOn w:val="DefaultParagraphFont"/>
    <w:link w:val="BalloonText"/>
    <w:rsid w:val="006121A3"/>
    <w:rPr>
      <w:rFonts w:ascii="Tahoma" w:eastAsia="SimSun" w:hAnsi="Tahoma" w:cs="Tahoma"/>
      <w:sz w:val="16"/>
      <w:szCs w:val="16"/>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ipo.int/meetings/en/details.jsp?meeting_id=36502" TargetMode="Externa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General_document%20(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General_document (F)</Template>
  <TotalTime>2</TotalTime>
  <Pages>2</Pages>
  <Words>596</Words>
  <Characters>3864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MORENO PALESTINI Maria Del Pilar</cp:lastModifiedBy>
  <cp:revision>6</cp:revision>
  <cp:lastPrinted>2015-05-08T12:51:00Z</cp:lastPrinted>
  <dcterms:created xsi:type="dcterms:W3CDTF">2015-05-07T15:14:00Z</dcterms:created>
  <dcterms:modified xsi:type="dcterms:W3CDTF">2015-05-08T12:51:00Z</dcterms:modified>
</cp:coreProperties>
</file>