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22" w:rsidRPr="0040540C" w:rsidRDefault="00455E22" w:rsidP="00455E22">
      <w:pPr>
        <w:spacing w:after="120"/>
        <w:jc w:val="right"/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E4B80" wp14:editId="38334BD6">
                <wp:simplePos x="0" y="0"/>
                <wp:positionH relativeFrom="column">
                  <wp:posOffset>17145</wp:posOffset>
                </wp:positionH>
                <wp:positionV relativeFrom="paragraph">
                  <wp:posOffset>1400175</wp:posOffset>
                </wp:positionV>
                <wp:extent cx="5915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F4D4F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10.25pt" to="467.1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" strokecolor="black [3040]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2F11E85" wp14:editId="172C9CA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22" w:rsidRPr="00455E22" w:rsidRDefault="00455E22" w:rsidP="00455E22">
      <w:pPr>
        <w:jc w:val="right"/>
        <w:rPr>
          <w:rFonts w:ascii="Arial Black" w:hAnsi="Arial Black"/>
          <w:caps/>
          <w:sz w:val="15"/>
          <w:lang w:val="fr-FR"/>
        </w:rPr>
      </w:pPr>
      <w:bookmarkStart w:id="0" w:name="Code"/>
      <w:bookmarkEnd w:id="0"/>
      <w:r w:rsidRPr="00455E22">
        <w:rPr>
          <w:rFonts w:ascii="Arial Black" w:hAnsi="Arial Black"/>
          <w:caps/>
          <w:sz w:val="15"/>
          <w:lang w:val="fr-FR"/>
        </w:rPr>
        <w:t>WIPO/IPTK/GE/22/2</w:t>
      </w:r>
    </w:p>
    <w:p w:rsidR="00455E22" w:rsidRPr="00455E22" w:rsidRDefault="00455E22" w:rsidP="00455E22">
      <w:pPr>
        <w:jc w:val="right"/>
        <w:rPr>
          <w:lang w:val="fr-FR"/>
        </w:rPr>
      </w:pPr>
      <w:r w:rsidRPr="00455E22">
        <w:rPr>
          <w:rFonts w:ascii="Arial Black" w:hAnsi="Arial Black"/>
          <w:caps/>
          <w:sz w:val="15"/>
          <w:lang w:val="fr-FR"/>
        </w:rPr>
        <w:t xml:space="preserve">ORIGINAL : </w:t>
      </w:r>
      <w:bookmarkStart w:id="1" w:name="Original"/>
      <w:r w:rsidRPr="00455E22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455E22" w:rsidRPr="00455E22" w:rsidRDefault="00455E22" w:rsidP="00455E22">
      <w:pPr>
        <w:spacing w:after="1200"/>
        <w:jc w:val="right"/>
        <w:rPr>
          <w:lang w:val="fr-FR"/>
        </w:rPr>
      </w:pPr>
      <w:r w:rsidRPr="00455E22">
        <w:rPr>
          <w:rFonts w:ascii="Arial Black" w:hAnsi="Arial Black"/>
          <w:caps/>
          <w:sz w:val="15"/>
          <w:lang w:val="fr-FR"/>
        </w:rPr>
        <w:t xml:space="preserve">DATE : </w:t>
      </w:r>
      <w:bookmarkStart w:id="2" w:name="Date"/>
      <w:r w:rsidRPr="00455E22">
        <w:rPr>
          <w:rFonts w:ascii="Arial Black" w:hAnsi="Arial Black"/>
          <w:caps/>
          <w:sz w:val="15"/>
          <w:lang w:val="fr-FR"/>
        </w:rPr>
        <w:t>19 mai 2022</w:t>
      </w:r>
    </w:p>
    <w:bookmarkEnd w:id="2"/>
    <w:p w:rsidR="00455E22" w:rsidRPr="00455E22" w:rsidRDefault="00455E22" w:rsidP="00455E22">
      <w:pPr>
        <w:pStyle w:val="Heading1"/>
        <w:spacing w:before="0" w:after="480"/>
        <w:rPr>
          <w:lang w:val="fr-FR"/>
        </w:rPr>
      </w:pPr>
      <w:r w:rsidRPr="00455E22">
        <w:rPr>
          <w:caps w:val="0"/>
          <w:sz w:val="28"/>
          <w:lang w:val="fr-FR"/>
        </w:rPr>
        <w:t>Groupe spécial d’experts sur les ressources génétiques</w:t>
      </w:r>
    </w:p>
    <w:p w:rsidR="00455E22" w:rsidRPr="00455E22" w:rsidRDefault="00455E22" w:rsidP="00455E22">
      <w:pPr>
        <w:spacing w:after="960"/>
        <w:outlineLvl w:val="1"/>
        <w:rPr>
          <w:b/>
          <w:sz w:val="24"/>
          <w:szCs w:val="24"/>
          <w:lang w:val="fr-FR"/>
        </w:rPr>
      </w:pPr>
      <w:r w:rsidRPr="00455E22">
        <w:rPr>
          <w:b/>
          <w:sz w:val="24"/>
          <w:szCs w:val="24"/>
          <w:lang w:val="fr-FR"/>
        </w:rPr>
        <w:t>Genève, 29 mai 2022</w:t>
      </w:r>
    </w:p>
    <w:p w:rsidR="00455E22" w:rsidRPr="00455E22" w:rsidRDefault="00455E22" w:rsidP="00455E22">
      <w:pPr>
        <w:spacing w:after="360"/>
        <w:rPr>
          <w:caps/>
          <w:sz w:val="24"/>
          <w:lang w:val="fr-FR"/>
        </w:rPr>
      </w:pPr>
      <w:bookmarkStart w:id="3" w:name="TitleOfDoc"/>
      <w:r w:rsidRPr="00455E22">
        <w:rPr>
          <w:caps/>
          <w:sz w:val="24"/>
          <w:lang w:val="fr-FR"/>
        </w:rPr>
        <w:t>Note d’infor</w:t>
      </w:r>
      <w:r w:rsidR="00C118EC">
        <w:rPr>
          <w:caps/>
          <w:sz w:val="24"/>
          <w:lang w:val="fr-FR"/>
        </w:rPr>
        <w:t>mation sur les questions d</w:t>
      </w:r>
      <w:bookmarkStart w:id="4" w:name="_GoBack"/>
      <w:bookmarkEnd w:id="4"/>
      <w:r w:rsidR="00C118EC">
        <w:rPr>
          <w:caps/>
          <w:sz w:val="24"/>
          <w:lang w:val="fr-FR"/>
        </w:rPr>
        <w:t>e fond</w:t>
      </w:r>
    </w:p>
    <w:p w:rsidR="00455E22" w:rsidRPr="00455E22" w:rsidRDefault="00455E22" w:rsidP="00455E22">
      <w:pPr>
        <w:spacing w:after="1040"/>
        <w:rPr>
          <w:i/>
          <w:lang w:val="fr-FR"/>
        </w:rPr>
      </w:pPr>
      <w:bookmarkStart w:id="5" w:name="Prepared"/>
      <w:bookmarkEnd w:id="3"/>
      <w:bookmarkEnd w:id="5"/>
      <w:proofErr w:type="gramStart"/>
      <w:r w:rsidRPr="00455E22">
        <w:rPr>
          <w:i/>
          <w:lang w:val="fr-FR"/>
        </w:rPr>
        <w:t>établie</w:t>
      </w:r>
      <w:proofErr w:type="gramEnd"/>
      <w:r w:rsidRPr="00455E22">
        <w:rPr>
          <w:i/>
          <w:lang w:val="fr-FR"/>
        </w:rPr>
        <w:t xml:space="preserve"> par le Bureau international de l’OMPI</w:t>
      </w:r>
    </w:p>
    <w:p w:rsidR="00D91C67" w:rsidRPr="00BD68C1" w:rsidRDefault="00EA2B1E">
      <w:pPr>
        <w:rPr>
          <w:lang w:val="fr-FR"/>
        </w:rPr>
      </w:pPr>
      <w:r w:rsidRPr="00BD68C1">
        <w:rPr>
          <w:lang w:val="fr-FR"/>
        </w:rPr>
        <w:br w:type="page"/>
      </w:r>
    </w:p>
    <w:p w:rsidR="004856A7" w:rsidRPr="00BD68C1" w:rsidRDefault="00D91C67" w:rsidP="00455E22">
      <w:pPr>
        <w:pStyle w:val="ONUMFS"/>
        <w:rPr>
          <w:szCs w:val="22"/>
          <w:lang w:val="fr-FR"/>
        </w:rPr>
      </w:pPr>
      <w:r w:rsidRPr="00BD68C1">
        <w:rPr>
          <w:lang w:val="fr-FR"/>
        </w:rPr>
        <w:lastRenderedPageBreak/>
        <w:t>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objectif général du groupe spécial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experts sur les ressources génétiques est, ainsi qu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 xml:space="preserve">il ressort du mandat du Comité intergouvernemental de la propriété intellectuelle relative aux ressources génétiques, aux savoirs traditionnels et au folklore (IGC) et des décisions prises à la </w:t>
      </w:r>
      <w:r w:rsidR="0073667F">
        <w:rPr>
          <w:lang w:val="fr-FR"/>
        </w:rPr>
        <w:t>quarante</w:t>
      </w:r>
      <w:r w:rsidR="002336AB">
        <w:rPr>
          <w:lang w:val="fr-FR"/>
        </w:rPr>
        <w:noBreakHyphen/>
      </w:r>
      <w:r w:rsidR="0073667F">
        <w:rPr>
          <w:lang w:val="fr-FR"/>
        </w:rPr>
        <w:t>troisième</w:t>
      </w:r>
      <w:r w:rsidR="004856A7" w:rsidRPr="00BD68C1">
        <w:rPr>
          <w:lang w:val="fr-FR"/>
        </w:rPr>
        <w:t> session</w:t>
      </w:r>
      <w:r w:rsidRPr="00BD68C1">
        <w:rPr>
          <w:lang w:val="fr-FR"/>
        </w:rPr>
        <w:t xml:space="preserve"> de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IGC de traiter de questions juridiques, politiques et techniques spécifiqu</w:t>
      </w:r>
      <w:r w:rsidR="00BD68C1" w:rsidRPr="00BD68C1">
        <w:rPr>
          <w:lang w:val="fr-FR"/>
        </w:rPr>
        <w:t xml:space="preserve">es.  </w:t>
      </w:r>
      <w:r w:rsidR="00BD68C1" w:rsidRPr="00BD68C1">
        <w:rPr>
          <w:szCs w:val="22"/>
          <w:lang w:val="fr-FR"/>
        </w:rPr>
        <w:t>Le</w:t>
      </w:r>
      <w:r w:rsidRPr="00BD68C1">
        <w:rPr>
          <w:szCs w:val="22"/>
          <w:lang w:val="fr-FR"/>
        </w:rPr>
        <w:t>s résultats de ces travaux feront l</w:t>
      </w:r>
      <w:r w:rsidR="004856A7" w:rsidRPr="00BD68C1">
        <w:rPr>
          <w:szCs w:val="22"/>
          <w:lang w:val="fr-FR"/>
        </w:rPr>
        <w:t>’</w:t>
      </w:r>
      <w:r w:rsidRPr="00BD68C1">
        <w:rPr>
          <w:szCs w:val="22"/>
          <w:lang w:val="fr-FR"/>
        </w:rPr>
        <w:t>objet d</w:t>
      </w:r>
      <w:r w:rsidR="004856A7" w:rsidRPr="00BD68C1">
        <w:rPr>
          <w:szCs w:val="22"/>
          <w:lang w:val="fr-FR"/>
        </w:rPr>
        <w:t>’</w:t>
      </w:r>
      <w:r w:rsidRPr="00BD68C1">
        <w:rPr>
          <w:szCs w:val="22"/>
          <w:lang w:val="fr-FR"/>
        </w:rPr>
        <w:t>un rapport et seront examinés par l</w:t>
      </w:r>
      <w:r w:rsidR="004856A7" w:rsidRPr="00BD68C1">
        <w:rPr>
          <w:szCs w:val="22"/>
          <w:lang w:val="fr-FR"/>
        </w:rPr>
        <w:t>’</w:t>
      </w:r>
      <w:r w:rsidRPr="00BD68C1">
        <w:rPr>
          <w:szCs w:val="22"/>
          <w:lang w:val="fr-FR"/>
        </w:rPr>
        <w:t>IGC.</w:t>
      </w:r>
    </w:p>
    <w:p w:rsidR="00D91C67" w:rsidRPr="00BD68C1" w:rsidRDefault="00D91C67" w:rsidP="00455E22">
      <w:pPr>
        <w:pStyle w:val="ONUMFS"/>
        <w:rPr>
          <w:lang w:val="fr-FR"/>
        </w:rPr>
      </w:pPr>
      <w:r w:rsidRPr="00BD68C1">
        <w:rPr>
          <w:lang w:val="fr-FR"/>
        </w:rPr>
        <w:t>Le président et les vice</w:t>
      </w:r>
      <w:r w:rsidR="002336AB">
        <w:rPr>
          <w:lang w:val="fr-FR"/>
        </w:rPr>
        <w:noBreakHyphen/>
      </w:r>
      <w:r w:rsidRPr="00BD68C1">
        <w:rPr>
          <w:lang w:val="fr-FR"/>
        </w:rPr>
        <w:t>présidents de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IGC ont défini la liste des questions, en tenant compte des suggestions faites par les États membr</w:t>
      </w:r>
      <w:r w:rsidR="00BD68C1" w:rsidRPr="00BD68C1">
        <w:rPr>
          <w:lang w:val="fr-FR"/>
        </w:rPr>
        <w:t>es.  Le</w:t>
      </w:r>
      <w:r w:rsidRPr="00BD68C1">
        <w:rPr>
          <w:lang w:val="fr-FR"/>
        </w:rPr>
        <w:t xml:space="preserve"> groupe spécial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experts traitera par conséquent les questions suivantes</w:t>
      </w:r>
      <w:r w:rsidR="004856A7" w:rsidRPr="00BD68C1">
        <w:rPr>
          <w:lang w:val="fr-FR"/>
        </w:rPr>
        <w:t> :</w:t>
      </w:r>
    </w:p>
    <w:p w:rsidR="00D91C67" w:rsidRPr="00BD68C1" w:rsidRDefault="00DB626E" w:rsidP="00455E22">
      <w:pPr>
        <w:numPr>
          <w:ilvl w:val="0"/>
          <w:numId w:val="8"/>
        </w:numPr>
        <w:ind w:left="1134" w:hanging="567"/>
        <w:rPr>
          <w:lang w:val="fr-FR"/>
        </w:rPr>
      </w:pPr>
      <w:r w:rsidRPr="00BD68C1">
        <w:rPr>
          <w:lang w:val="fr-FR"/>
        </w:rPr>
        <w:t>Systèmes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</w:t>
      </w:r>
    </w:p>
    <w:p w:rsidR="00D91C67" w:rsidRPr="00BD68C1" w:rsidRDefault="00D91C67" w:rsidP="00455E22">
      <w:pPr>
        <w:numPr>
          <w:ilvl w:val="0"/>
          <w:numId w:val="8"/>
        </w:numPr>
        <w:ind w:left="1134" w:hanging="567"/>
        <w:rPr>
          <w:lang w:val="fr-FR"/>
        </w:rPr>
      </w:pPr>
      <w:r w:rsidRPr="00BD68C1">
        <w:rPr>
          <w:lang w:val="fr-FR"/>
        </w:rPr>
        <w:t>Exigences de divulgation</w:t>
      </w:r>
      <w:r w:rsidR="004856A7" w:rsidRPr="00BD68C1">
        <w:rPr>
          <w:lang w:val="fr-FR"/>
        </w:rPr>
        <w:t> :</w:t>
      </w:r>
    </w:p>
    <w:p w:rsidR="004856A7" w:rsidRPr="00BD68C1" w:rsidRDefault="00D91C67" w:rsidP="00455E22">
      <w:pPr>
        <w:pStyle w:val="ListParagraph"/>
        <w:numPr>
          <w:ilvl w:val="0"/>
          <w:numId w:val="9"/>
        </w:numPr>
        <w:ind w:left="1701" w:hanging="567"/>
        <w:rPr>
          <w:lang w:val="fr-FR"/>
        </w:rPr>
      </w:pPr>
      <w:r w:rsidRPr="00BD68C1">
        <w:rPr>
          <w:lang w:val="fr-FR"/>
        </w:rPr>
        <w:t>Objet</w:t>
      </w:r>
    </w:p>
    <w:p w:rsidR="004856A7" w:rsidRPr="00BD68C1" w:rsidRDefault="00D91C67" w:rsidP="00455E22">
      <w:pPr>
        <w:pStyle w:val="ListParagraph"/>
        <w:numPr>
          <w:ilvl w:val="0"/>
          <w:numId w:val="9"/>
        </w:numPr>
        <w:ind w:left="1701" w:hanging="567"/>
        <w:rPr>
          <w:lang w:val="fr-FR"/>
        </w:rPr>
      </w:pPr>
      <w:r w:rsidRPr="00BD68C1">
        <w:rPr>
          <w:lang w:val="fr-FR"/>
        </w:rPr>
        <w:t>Élément déclencheur</w:t>
      </w:r>
    </w:p>
    <w:p w:rsidR="00D91C67" w:rsidRPr="00BD68C1" w:rsidRDefault="00EC6B81" w:rsidP="00455E22">
      <w:pPr>
        <w:pStyle w:val="ListParagraph"/>
        <w:numPr>
          <w:ilvl w:val="0"/>
          <w:numId w:val="9"/>
        </w:numPr>
        <w:ind w:left="1701" w:hanging="567"/>
        <w:rPr>
          <w:lang w:val="fr-FR"/>
        </w:rPr>
      </w:pPr>
      <w:r w:rsidRPr="00BD68C1">
        <w:rPr>
          <w:lang w:val="fr-FR"/>
        </w:rPr>
        <w:t>Teneur</w:t>
      </w:r>
    </w:p>
    <w:p w:rsidR="00D91C67" w:rsidRPr="00BD68C1" w:rsidRDefault="00D91C67" w:rsidP="00455E22">
      <w:pPr>
        <w:pStyle w:val="ListParagraph"/>
        <w:numPr>
          <w:ilvl w:val="0"/>
          <w:numId w:val="9"/>
        </w:numPr>
        <w:ind w:left="1701" w:hanging="567"/>
        <w:rPr>
          <w:lang w:val="fr-FR"/>
        </w:rPr>
      </w:pPr>
      <w:r w:rsidRPr="00BD68C1">
        <w:rPr>
          <w:lang w:val="fr-FR"/>
        </w:rPr>
        <w:t>Sanctions/moyens de recours;</w:t>
      </w:r>
    </w:p>
    <w:p w:rsidR="00D91C67" w:rsidRPr="00BD68C1" w:rsidRDefault="00D91C67" w:rsidP="00455E22">
      <w:pPr>
        <w:numPr>
          <w:ilvl w:val="0"/>
          <w:numId w:val="7"/>
        </w:numPr>
        <w:spacing w:after="220"/>
        <w:ind w:left="1134" w:hanging="567"/>
        <w:rPr>
          <w:lang w:val="fr-FR"/>
        </w:rPr>
      </w:pPr>
      <w:r w:rsidRPr="00BD68C1">
        <w:rPr>
          <w:lang w:val="fr-FR"/>
        </w:rPr>
        <w:t>Liens entre les systèmes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 et les exigences de divulgation.</w:t>
      </w:r>
    </w:p>
    <w:p w:rsidR="004856A7" w:rsidRPr="00BD68C1" w:rsidRDefault="00D91C67" w:rsidP="00455E22">
      <w:pPr>
        <w:pStyle w:val="ONUMFS"/>
        <w:rPr>
          <w:lang w:val="fr-FR"/>
        </w:rPr>
      </w:pPr>
      <w:r w:rsidRPr="00BD68C1">
        <w:rPr>
          <w:lang w:val="fr-FR"/>
        </w:rPr>
        <w:t xml:space="preserve">La présente note </w:t>
      </w:r>
      <w:r w:rsidR="00EC6B81" w:rsidRPr="00BD68C1">
        <w:rPr>
          <w:lang w:val="fr-FR"/>
        </w:rPr>
        <w:t>contient</w:t>
      </w:r>
      <w:r w:rsidRPr="00BD68C1">
        <w:rPr>
          <w:lang w:val="fr-FR"/>
        </w:rPr>
        <w:t xml:space="preserve"> des informations générales sur la liste des questions et </w:t>
      </w:r>
      <w:r w:rsidR="00EC6B81" w:rsidRPr="00BD68C1">
        <w:rPr>
          <w:lang w:val="fr-FR"/>
        </w:rPr>
        <w:t>un certain nombre de points soumis à l</w:t>
      </w:r>
      <w:r w:rsidR="004856A7" w:rsidRPr="00BD68C1">
        <w:rPr>
          <w:lang w:val="fr-FR"/>
        </w:rPr>
        <w:t>’</w:t>
      </w:r>
      <w:r w:rsidR="00EC6B81" w:rsidRPr="00BD68C1">
        <w:rPr>
          <w:lang w:val="fr-FR"/>
        </w:rPr>
        <w:t xml:space="preserve">examen du </w:t>
      </w:r>
      <w:r w:rsidRPr="00BD68C1">
        <w:rPr>
          <w:lang w:val="fr-FR"/>
        </w:rPr>
        <w:t>groupe spécial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experts.</w:t>
      </w:r>
    </w:p>
    <w:p w:rsidR="00D91C67" w:rsidRPr="00BD68C1" w:rsidRDefault="00EC6B81" w:rsidP="00455E22">
      <w:pPr>
        <w:spacing w:after="220"/>
        <w:rPr>
          <w:b/>
          <w:lang w:val="fr-FR"/>
        </w:rPr>
      </w:pPr>
      <w:r w:rsidRPr="00BD68C1">
        <w:rPr>
          <w:b/>
          <w:lang w:val="fr-FR"/>
        </w:rPr>
        <w:t>Systèmes d</w:t>
      </w:r>
      <w:r w:rsidR="004856A7" w:rsidRPr="00BD68C1">
        <w:rPr>
          <w:b/>
          <w:lang w:val="fr-FR"/>
        </w:rPr>
        <w:t>’</w:t>
      </w:r>
      <w:r w:rsidRPr="00BD68C1">
        <w:rPr>
          <w:b/>
          <w:lang w:val="fr-FR"/>
        </w:rPr>
        <w:t>information</w:t>
      </w:r>
    </w:p>
    <w:p w:rsidR="004856A7" w:rsidRPr="00BD68C1" w:rsidRDefault="00D91C67" w:rsidP="00455E22">
      <w:pPr>
        <w:pStyle w:val="ONUMFS"/>
        <w:rPr>
          <w:lang w:val="fr-FR"/>
        </w:rPr>
      </w:pPr>
      <w:r w:rsidRPr="00BD68C1">
        <w:rPr>
          <w:lang w:val="fr-FR"/>
        </w:rPr>
        <w:t>Les systèmes d</w:t>
      </w:r>
      <w:r w:rsidR="004856A7" w:rsidRPr="00BD68C1">
        <w:rPr>
          <w:lang w:val="fr-FR"/>
        </w:rPr>
        <w:t>’</w:t>
      </w:r>
      <w:r w:rsidR="007677D9">
        <w:rPr>
          <w:lang w:val="fr-FR"/>
        </w:rPr>
        <w:t>i</w:t>
      </w:r>
      <w:r w:rsidRPr="00BD68C1">
        <w:rPr>
          <w:lang w:val="fr-FR"/>
        </w:rPr>
        <w:t>nformation relatifs au</w:t>
      </w:r>
      <w:r w:rsidR="00EC6B81" w:rsidRPr="00BD68C1">
        <w:rPr>
          <w:lang w:val="fr-FR"/>
        </w:rPr>
        <w:t xml:space="preserve">x ressources génétiques </w:t>
      </w:r>
      <w:r w:rsidRPr="00BD68C1">
        <w:rPr>
          <w:lang w:val="fr-FR"/>
        </w:rPr>
        <w:t>sont souvent considérés comme fondamentaux pour aider les examinateurs de brevets à déterminer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 xml:space="preserve">état </w:t>
      </w:r>
      <w:proofErr w:type="gramStart"/>
      <w:r w:rsidRPr="00BD68C1">
        <w:rPr>
          <w:lang w:val="fr-FR"/>
        </w:rPr>
        <w:t>de la technique pertinent</w:t>
      </w:r>
      <w:proofErr w:type="gramEnd"/>
      <w:r w:rsidRPr="00BD68C1">
        <w:rPr>
          <w:lang w:val="fr-FR"/>
        </w:rPr>
        <w:t xml:space="preserve"> et à éviter que des brevets </w:t>
      </w:r>
      <w:r w:rsidR="00EC6B81" w:rsidRPr="00BD68C1">
        <w:rPr>
          <w:lang w:val="fr-FR"/>
        </w:rPr>
        <w:t xml:space="preserve">ne </w:t>
      </w:r>
      <w:r w:rsidRPr="00BD68C1">
        <w:rPr>
          <w:lang w:val="fr-FR"/>
        </w:rPr>
        <w:t>soient délivrés de manière indue.</w:t>
      </w:r>
    </w:p>
    <w:p w:rsidR="00D91C67" w:rsidRPr="00BD68C1" w:rsidRDefault="00D91C67" w:rsidP="00455E22">
      <w:pPr>
        <w:pStyle w:val="ONUMFS"/>
        <w:rPr>
          <w:lang w:val="fr-FR"/>
        </w:rPr>
      </w:pPr>
      <w:r w:rsidRPr="00BD68C1">
        <w:rPr>
          <w:lang w:val="fr-FR"/>
        </w:rPr>
        <w:t>Le groupe spécial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experts est invité à fournir des avis et une analyse sur les questions de politique générale suivantes relatives à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établissement et au fonctionnement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un système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</w:t>
      </w:r>
      <w:r w:rsidR="004856A7" w:rsidRPr="00BD68C1">
        <w:rPr>
          <w:lang w:val="fr-FR"/>
        </w:rPr>
        <w:t> :</w:t>
      </w:r>
    </w:p>
    <w:p w:rsidR="004856A7" w:rsidRPr="00BD68C1" w:rsidRDefault="00E82D16" w:rsidP="00455E22">
      <w:pPr>
        <w:pStyle w:val="ListParagraph"/>
        <w:numPr>
          <w:ilvl w:val="0"/>
          <w:numId w:val="19"/>
        </w:numPr>
        <w:ind w:left="1134" w:hanging="567"/>
        <w:rPr>
          <w:lang w:val="fr-FR"/>
        </w:rPr>
      </w:pPr>
      <w:proofErr w:type="gramStart"/>
      <w:r w:rsidRPr="00BD68C1">
        <w:rPr>
          <w:lang w:val="fr-FR"/>
        </w:rPr>
        <w:t>les</w:t>
      </w:r>
      <w:proofErr w:type="gramEnd"/>
      <w:r w:rsidRPr="00BD68C1">
        <w:rPr>
          <w:lang w:val="fr-FR"/>
        </w:rPr>
        <w:t xml:space="preserve"> normes minimales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interopérabilité et la structuration du contenu des systèmes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information, tel</w:t>
      </w:r>
      <w:r w:rsidR="00EC6B81" w:rsidRPr="00BD68C1">
        <w:rPr>
          <w:lang w:val="fr-FR"/>
        </w:rPr>
        <w:t>s</w:t>
      </w:r>
      <w:r w:rsidRPr="00BD68C1">
        <w:rPr>
          <w:lang w:val="fr-FR"/>
        </w:rPr>
        <w:t xml:space="preserve"> que périodiques, bibliothèques numériques, bases de données, répertoires et registres distribués relatifs aux ressources génétiques et aux savoirs traditionnels connexes;</w:t>
      </w:r>
    </w:p>
    <w:p w:rsidR="004856A7" w:rsidRPr="00BD68C1" w:rsidRDefault="00E82D16" w:rsidP="00455E22">
      <w:pPr>
        <w:pStyle w:val="ListParagraph"/>
        <w:numPr>
          <w:ilvl w:val="0"/>
          <w:numId w:val="19"/>
        </w:numPr>
        <w:ind w:left="1134" w:hanging="567"/>
        <w:rPr>
          <w:lang w:val="fr-FR"/>
        </w:rPr>
      </w:pPr>
      <w:proofErr w:type="gramStart"/>
      <w:r w:rsidRPr="00BD68C1">
        <w:rPr>
          <w:lang w:val="fr-FR"/>
        </w:rPr>
        <w:t>les</w:t>
      </w:r>
      <w:proofErr w:type="gramEnd"/>
      <w:r w:rsidRPr="00BD68C1">
        <w:rPr>
          <w:lang w:val="fr-FR"/>
        </w:rPr>
        <w:t xml:space="preserve"> différents types de systèmes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 qui existent déjà ou qui sont techniquement réalisables pour garantir la sécurité juridique en matière de propriété intellectuelle et de ressources génétiques;</w:t>
      </w:r>
    </w:p>
    <w:p w:rsidR="004856A7" w:rsidRPr="00BD68C1" w:rsidRDefault="00E82D16" w:rsidP="00455E22">
      <w:pPr>
        <w:pStyle w:val="ListParagraph"/>
        <w:numPr>
          <w:ilvl w:val="0"/>
          <w:numId w:val="19"/>
        </w:numPr>
        <w:ind w:left="1134" w:hanging="567"/>
        <w:rPr>
          <w:lang w:val="fr-FR"/>
        </w:rPr>
      </w:pPr>
      <w:proofErr w:type="gramStart"/>
      <w:r w:rsidRPr="00BD68C1">
        <w:rPr>
          <w:lang w:val="fr-FR"/>
        </w:rPr>
        <w:t>les</w:t>
      </w:r>
      <w:proofErr w:type="gramEnd"/>
      <w:r w:rsidRPr="00BD68C1">
        <w:rPr>
          <w:lang w:val="fr-FR"/>
        </w:rPr>
        <w:t xml:space="preserve"> principes et modalités </w:t>
      </w:r>
      <w:r w:rsidR="00BD68C1" w:rsidRPr="00BD68C1">
        <w:rPr>
          <w:lang w:val="fr-FR"/>
        </w:rPr>
        <w:t>affé</w:t>
      </w:r>
      <w:r w:rsidR="00EC6B81" w:rsidRPr="00BD68C1">
        <w:rPr>
          <w:lang w:val="fr-FR"/>
        </w:rPr>
        <w:t>rents</w:t>
      </w:r>
      <w:r w:rsidRPr="00BD68C1">
        <w:rPr>
          <w:lang w:val="fr-FR"/>
        </w:rPr>
        <w:t xml:space="preserve"> au partage de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 pertinente relative aux ressources génétiques et aux savoirs traditionnels connexes, tels que la détermination de la catégorie de personnes autorisées à accéder à différentes catégories de contenu des systèmes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information;</w:t>
      </w:r>
    </w:p>
    <w:p w:rsidR="00D91C67" w:rsidRPr="00BD68C1" w:rsidRDefault="00E82D16" w:rsidP="00455E22">
      <w:pPr>
        <w:pStyle w:val="ListParagraph"/>
        <w:numPr>
          <w:ilvl w:val="0"/>
          <w:numId w:val="19"/>
        </w:numPr>
        <w:ind w:left="1134" w:hanging="567"/>
        <w:rPr>
          <w:lang w:val="fr-FR"/>
        </w:rPr>
      </w:pPr>
      <w:proofErr w:type="gramStart"/>
      <w:r w:rsidRPr="00BD68C1">
        <w:rPr>
          <w:lang w:val="fr-FR"/>
        </w:rPr>
        <w:t>le</w:t>
      </w:r>
      <w:proofErr w:type="gramEnd"/>
      <w:r w:rsidRPr="00BD68C1">
        <w:rPr>
          <w:lang w:val="fr-FR"/>
        </w:rPr>
        <w:t xml:space="preserve"> lien entre ces systèmes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 et la documentation minimale</w:t>
      </w:r>
      <w:r w:rsidR="004856A7" w:rsidRPr="00BD68C1">
        <w:rPr>
          <w:lang w:val="fr-FR"/>
        </w:rPr>
        <w:t xml:space="preserve"> du PCT</w:t>
      </w:r>
      <w:r w:rsidRPr="00BD68C1">
        <w:rPr>
          <w:lang w:val="fr-FR"/>
        </w:rPr>
        <w:t xml:space="preserve"> ou les cadres de collaboration internationale existants en matière de bases de données;  et</w:t>
      </w:r>
    </w:p>
    <w:p w:rsidR="004856A7" w:rsidRPr="00BD68C1" w:rsidRDefault="00E82D16" w:rsidP="00455E22">
      <w:pPr>
        <w:pStyle w:val="ListParagraph"/>
        <w:numPr>
          <w:ilvl w:val="0"/>
          <w:numId w:val="19"/>
        </w:numPr>
        <w:spacing w:after="220"/>
        <w:ind w:left="1134" w:hanging="567"/>
        <w:rPr>
          <w:lang w:val="fr-FR"/>
        </w:rPr>
      </w:pPr>
      <w:proofErr w:type="gramStart"/>
      <w:r w:rsidRPr="00BD68C1">
        <w:rPr>
          <w:lang w:val="fr-FR"/>
        </w:rPr>
        <w:t>le</w:t>
      </w:r>
      <w:proofErr w:type="gramEnd"/>
      <w:r w:rsidRPr="00BD68C1">
        <w:rPr>
          <w:lang w:val="fr-FR"/>
        </w:rPr>
        <w:t xml:space="preserve"> type de protection juridique ou technique éventuelle accordée à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 contenue dans le système.</w:t>
      </w:r>
    </w:p>
    <w:p w:rsidR="004856A7" w:rsidRPr="00BD68C1" w:rsidRDefault="00E82D16" w:rsidP="00455E22">
      <w:pPr>
        <w:spacing w:after="220"/>
        <w:rPr>
          <w:bCs/>
          <w:szCs w:val="22"/>
          <w:lang w:val="fr-FR"/>
        </w:rPr>
      </w:pPr>
      <w:r w:rsidRPr="00BD68C1">
        <w:rPr>
          <w:bCs/>
          <w:szCs w:val="22"/>
          <w:lang w:val="fr-FR"/>
        </w:rPr>
        <w:t>Le groupe spécial d</w:t>
      </w:r>
      <w:r w:rsidR="004856A7" w:rsidRPr="00BD68C1">
        <w:rPr>
          <w:bCs/>
          <w:szCs w:val="22"/>
          <w:lang w:val="fr-FR"/>
        </w:rPr>
        <w:t>’</w:t>
      </w:r>
      <w:r w:rsidRPr="00BD68C1">
        <w:rPr>
          <w:bCs/>
          <w:szCs w:val="22"/>
          <w:lang w:val="fr-FR"/>
        </w:rPr>
        <w:t>experts est par ailleurs invité à examiner les questions pratiques qui devraient être traitées lors de l</w:t>
      </w:r>
      <w:r w:rsidR="004856A7" w:rsidRPr="00BD68C1">
        <w:rPr>
          <w:bCs/>
          <w:szCs w:val="22"/>
          <w:lang w:val="fr-FR"/>
        </w:rPr>
        <w:t>’</w:t>
      </w:r>
      <w:r w:rsidRPr="00BD68C1">
        <w:rPr>
          <w:bCs/>
          <w:szCs w:val="22"/>
          <w:lang w:val="fr-FR"/>
        </w:rPr>
        <w:t>examen de la création et du fonctionnement de ces systèmes d</w:t>
      </w:r>
      <w:r w:rsidR="004856A7" w:rsidRPr="00BD68C1">
        <w:rPr>
          <w:bCs/>
          <w:szCs w:val="22"/>
          <w:lang w:val="fr-FR"/>
        </w:rPr>
        <w:t>’</w:t>
      </w:r>
      <w:r w:rsidRPr="00BD68C1">
        <w:rPr>
          <w:bCs/>
          <w:szCs w:val="22"/>
          <w:lang w:val="fr-FR"/>
        </w:rPr>
        <w:t>information, notamment</w:t>
      </w:r>
      <w:r w:rsidR="004856A7" w:rsidRPr="00BD68C1">
        <w:rPr>
          <w:bCs/>
          <w:szCs w:val="22"/>
          <w:lang w:val="fr-FR"/>
        </w:rPr>
        <w:t> :</w:t>
      </w:r>
    </w:p>
    <w:p w:rsidR="00D91C67" w:rsidRPr="00BD68C1" w:rsidRDefault="00E82D16" w:rsidP="00455E22">
      <w:pPr>
        <w:pStyle w:val="ListParagraph"/>
        <w:widowControl w:val="0"/>
        <w:numPr>
          <w:ilvl w:val="0"/>
          <w:numId w:val="17"/>
        </w:numPr>
        <w:tabs>
          <w:tab w:val="left" w:pos="1134"/>
        </w:tabs>
        <w:overflowPunct w:val="0"/>
        <w:ind w:left="1134" w:hanging="567"/>
        <w:rPr>
          <w:szCs w:val="22"/>
          <w:lang w:val="fr-FR"/>
        </w:rPr>
      </w:pPr>
      <w:proofErr w:type="gramStart"/>
      <w:r w:rsidRPr="00BD68C1">
        <w:rPr>
          <w:szCs w:val="22"/>
          <w:lang w:val="fr-FR"/>
        </w:rPr>
        <w:t>la</w:t>
      </w:r>
      <w:proofErr w:type="gramEnd"/>
      <w:r w:rsidRPr="00BD68C1">
        <w:rPr>
          <w:szCs w:val="22"/>
          <w:lang w:val="fr-FR"/>
        </w:rPr>
        <w:t xml:space="preserve"> responsabilité de l</w:t>
      </w:r>
      <w:r w:rsidR="004856A7" w:rsidRPr="00BD68C1">
        <w:rPr>
          <w:szCs w:val="22"/>
          <w:lang w:val="fr-FR"/>
        </w:rPr>
        <w:t>’</w:t>
      </w:r>
      <w:r w:rsidRPr="00BD68C1">
        <w:rPr>
          <w:szCs w:val="22"/>
          <w:lang w:val="fr-FR"/>
        </w:rPr>
        <w:t>établissement et de la maintenance de ces systèmes d</w:t>
      </w:r>
      <w:r w:rsidR="004856A7" w:rsidRPr="00BD68C1">
        <w:rPr>
          <w:szCs w:val="22"/>
          <w:lang w:val="fr-FR"/>
        </w:rPr>
        <w:t>’</w:t>
      </w:r>
      <w:r w:rsidRPr="00BD68C1">
        <w:rPr>
          <w:szCs w:val="22"/>
          <w:lang w:val="fr-FR"/>
        </w:rPr>
        <w:t>information;</w:t>
      </w:r>
    </w:p>
    <w:p w:rsidR="004856A7" w:rsidRPr="00BD68C1" w:rsidRDefault="00E82D16" w:rsidP="00455E22">
      <w:pPr>
        <w:pStyle w:val="ListParagraph"/>
        <w:widowControl w:val="0"/>
        <w:numPr>
          <w:ilvl w:val="0"/>
          <w:numId w:val="17"/>
        </w:numPr>
        <w:tabs>
          <w:tab w:val="left" w:pos="1134"/>
        </w:tabs>
        <w:overflowPunct w:val="0"/>
        <w:ind w:left="1134" w:hanging="567"/>
        <w:rPr>
          <w:lang w:val="fr-FR"/>
        </w:rPr>
      </w:pPr>
      <w:proofErr w:type="gramStart"/>
      <w:r w:rsidRPr="00BD68C1">
        <w:rPr>
          <w:lang w:val="fr-FR"/>
        </w:rPr>
        <w:lastRenderedPageBreak/>
        <w:t>la</w:t>
      </w:r>
      <w:proofErr w:type="gramEnd"/>
      <w:r w:rsidRPr="00BD68C1">
        <w:rPr>
          <w:lang w:val="fr-FR"/>
        </w:rPr>
        <w:t xml:space="preserve"> participation des diverses parties prenantes à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établissement et à la mise à jour des systèmes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 relatifs aux ressources génétiques, notamment</w:t>
      </w:r>
      <w:r w:rsidR="004856A7" w:rsidRPr="00BD68C1">
        <w:rPr>
          <w:lang w:val="fr-FR"/>
        </w:rPr>
        <w:t> :</w:t>
      </w:r>
    </w:p>
    <w:p w:rsidR="00D91C67" w:rsidRPr="00BD68C1" w:rsidRDefault="00E82D16" w:rsidP="00455E22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overflowPunct w:val="0"/>
        <w:ind w:left="1701" w:hanging="567"/>
        <w:rPr>
          <w:szCs w:val="22"/>
          <w:lang w:val="fr-FR"/>
        </w:rPr>
      </w:pPr>
      <w:proofErr w:type="gramStart"/>
      <w:r w:rsidRPr="00BD68C1">
        <w:rPr>
          <w:szCs w:val="22"/>
          <w:lang w:val="fr-FR"/>
        </w:rPr>
        <w:t>systèmes</w:t>
      </w:r>
      <w:proofErr w:type="gramEnd"/>
      <w:r w:rsidRPr="00BD68C1">
        <w:rPr>
          <w:szCs w:val="22"/>
          <w:lang w:val="fr-FR"/>
        </w:rPr>
        <w:t xml:space="preserve"> centralisés ou distribués?</w:t>
      </w:r>
    </w:p>
    <w:p w:rsidR="00D91C67" w:rsidRPr="00BD68C1" w:rsidRDefault="00EC6B81" w:rsidP="00455E22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overflowPunct w:val="0"/>
        <w:ind w:left="1701" w:hanging="567"/>
        <w:rPr>
          <w:szCs w:val="22"/>
          <w:lang w:val="fr-FR"/>
        </w:rPr>
      </w:pPr>
      <w:proofErr w:type="gramStart"/>
      <w:r w:rsidRPr="00BD68C1">
        <w:rPr>
          <w:szCs w:val="22"/>
          <w:lang w:val="fr-FR"/>
        </w:rPr>
        <w:t>q</w:t>
      </w:r>
      <w:r w:rsidR="00E82D16" w:rsidRPr="00BD68C1">
        <w:rPr>
          <w:szCs w:val="22"/>
          <w:lang w:val="fr-FR"/>
        </w:rPr>
        <w:t>ui</w:t>
      </w:r>
      <w:proofErr w:type="gramEnd"/>
      <w:r w:rsidR="00E82D16" w:rsidRPr="00BD68C1">
        <w:rPr>
          <w:szCs w:val="22"/>
          <w:lang w:val="fr-FR"/>
        </w:rPr>
        <w:t xml:space="preserve"> </w:t>
      </w:r>
      <w:r w:rsidRPr="00BD68C1">
        <w:rPr>
          <w:szCs w:val="22"/>
          <w:lang w:val="fr-FR"/>
        </w:rPr>
        <w:t>dirige</w:t>
      </w:r>
      <w:r w:rsidR="00E82D16" w:rsidRPr="00BD68C1">
        <w:rPr>
          <w:szCs w:val="22"/>
          <w:lang w:val="fr-FR"/>
        </w:rPr>
        <w:t xml:space="preserve"> le processus?</w:t>
      </w:r>
    </w:p>
    <w:p w:rsidR="00D91C67" w:rsidRPr="00BD68C1" w:rsidRDefault="00D63FCE" w:rsidP="00455E22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overflowPunct w:val="0"/>
        <w:ind w:left="1701" w:hanging="567"/>
        <w:rPr>
          <w:szCs w:val="22"/>
          <w:lang w:val="fr-FR"/>
        </w:rPr>
      </w:pPr>
      <w:proofErr w:type="gramStart"/>
      <w:r w:rsidRPr="00BD68C1">
        <w:rPr>
          <w:szCs w:val="22"/>
          <w:lang w:val="fr-FR"/>
        </w:rPr>
        <w:t>qui</w:t>
      </w:r>
      <w:proofErr w:type="gramEnd"/>
      <w:r w:rsidRPr="00BD68C1">
        <w:rPr>
          <w:szCs w:val="22"/>
          <w:lang w:val="fr-FR"/>
        </w:rPr>
        <w:t xml:space="preserve"> sera chargé de la fixation des ressources génétiques?</w:t>
      </w:r>
    </w:p>
    <w:p w:rsidR="004856A7" w:rsidRPr="00BD68C1" w:rsidRDefault="00D63FCE" w:rsidP="00455E22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overflowPunct w:val="0"/>
        <w:ind w:left="1701" w:hanging="567"/>
        <w:rPr>
          <w:szCs w:val="22"/>
          <w:lang w:val="fr-FR"/>
        </w:rPr>
      </w:pPr>
      <w:proofErr w:type="gramStart"/>
      <w:r w:rsidRPr="00BD68C1">
        <w:rPr>
          <w:szCs w:val="22"/>
          <w:lang w:val="fr-FR"/>
        </w:rPr>
        <w:t>à</w:t>
      </w:r>
      <w:proofErr w:type="gramEnd"/>
      <w:r w:rsidRPr="00BD68C1">
        <w:rPr>
          <w:szCs w:val="22"/>
          <w:lang w:val="fr-FR"/>
        </w:rPr>
        <w:t xml:space="preserve"> qui les droits de propriété intellectuelle éventuels doivent</w:t>
      </w:r>
      <w:r w:rsidR="002336AB">
        <w:rPr>
          <w:szCs w:val="22"/>
          <w:lang w:val="fr-FR"/>
        </w:rPr>
        <w:noBreakHyphen/>
      </w:r>
      <w:r w:rsidRPr="00BD68C1">
        <w:rPr>
          <w:szCs w:val="22"/>
          <w:lang w:val="fr-FR"/>
        </w:rPr>
        <w:t>ils être dévolus?</w:t>
      </w:r>
    </w:p>
    <w:p w:rsidR="00D91C67" w:rsidRPr="00BD68C1" w:rsidRDefault="00D63FCE" w:rsidP="00455E22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overflowPunct w:val="0"/>
        <w:ind w:left="1701" w:hanging="567"/>
        <w:rPr>
          <w:szCs w:val="22"/>
          <w:lang w:val="fr-FR"/>
        </w:rPr>
      </w:pPr>
      <w:proofErr w:type="gramStart"/>
      <w:r w:rsidRPr="00BD68C1">
        <w:rPr>
          <w:szCs w:val="22"/>
          <w:lang w:val="fr-FR"/>
        </w:rPr>
        <w:t>y</w:t>
      </w:r>
      <w:proofErr w:type="gramEnd"/>
      <w:r w:rsidRPr="00BD68C1">
        <w:rPr>
          <w:szCs w:val="22"/>
          <w:lang w:val="fr-FR"/>
        </w:rPr>
        <w:t xml:space="preserve"> a</w:t>
      </w:r>
      <w:r w:rsidR="002336AB">
        <w:rPr>
          <w:szCs w:val="22"/>
          <w:lang w:val="fr-FR"/>
        </w:rPr>
        <w:noBreakHyphen/>
      </w:r>
      <w:r w:rsidRPr="00BD68C1">
        <w:rPr>
          <w:szCs w:val="22"/>
          <w:lang w:val="fr-FR"/>
        </w:rPr>
        <w:t>t</w:t>
      </w:r>
      <w:r w:rsidR="002336AB">
        <w:rPr>
          <w:szCs w:val="22"/>
          <w:lang w:val="fr-FR"/>
        </w:rPr>
        <w:noBreakHyphen/>
      </w:r>
      <w:r w:rsidRPr="00BD68C1">
        <w:rPr>
          <w:szCs w:val="22"/>
          <w:lang w:val="fr-FR"/>
        </w:rPr>
        <w:t>il lieu de consulter les peuples autochtones et les communautés locales?</w:t>
      </w:r>
    </w:p>
    <w:p w:rsidR="00D91C67" w:rsidRPr="00BD68C1" w:rsidRDefault="00D63FCE" w:rsidP="00455E22">
      <w:pPr>
        <w:pStyle w:val="ListParagraph"/>
        <w:widowControl w:val="0"/>
        <w:numPr>
          <w:ilvl w:val="0"/>
          <w:numId w:val="17"/>
        </w:numPr>
        <w:tabs>
          <w:tab w:val="left" w:pos="1134"/>
        </w:tabs>
        <w:overflowPunct w:val="0"/>
        <w:ind w:left="1134" w:hanging="567"/>
        <w:rPr>
          <w:szCs w:val="22"/>
          <w:lang w:val="fr-FR"/>
        </w:rPr>
      </w:pPr>
      <w:proofErr w:type="gramStart"/>
      <w:r w:rsidRPr="00BD68C1">
        <w:rPr>
          <w:szCs w:val="22"/>
          <w:lang w:val="fr-FR"/>
        </w:rPr>
        <w:t>la</w:t>
      </w:r>
      <w:proofErr w:type="gramEnd"/>
      <w:r w:rsidRPr="00BD68C1">
        <w:rPr>
          <w:szCs w:val="22"/>
          <w:lang w:val="fr-FR"/>
        </w:rPr>
        <w:t xml:space="preserve"> structure et le contenu des systèmes d</w:t>
      </w:r>
      <w:r w:rsidR="004856A7" w:rsidRPr="00BD68C1">
        <w:rPr>
          <w:szCs w:val="22"/>
          <w:lang w:val="fr-FR"/>
        </w:rPr>
        <w:t>’</w:t>
      </w:r>
      <w:r w:rsidRPr="00BD68C1">
        <w:rPr>
          <w:szCs w:val="22"/>
          <w:lang w:val="fr-FR"/>
        </w:rPr>
        <w:t>information;</w:t>
      </w:r>
    </w:p>
    <w:p w:rsidR="00D91C67" w:rsidRPr="00BD68C1" w:rsidRDefault="00D63FCE" w:rsidP="00455E22">
      <w:pPr>
        <w:pStyle w:val="ListParagraph"/>
        <w:widowControl w:val="0"/>
        <w:numPr>
          <w:ilvl w:val="0"/>
          <w:numId w:val="17"/>
        </w:numPr>
        <w:tabs>
          <w:tab w:val="left" w:pos="1134"/>
        </w:tabs>
        <w:overflowPunct w:val="0"/>
        <w:ind w:left="1134" w:hanging="567"/>
        <w:rPr>
          <w:szCs w:val="22"/>
          <w:lang w:val="fr-FR"/>
        </w:rPr>
      </w:pPr>
      <w:proofErr w:type="gramStart"/>
      <w:r w:rsidRPr="00BD68C1">
        <w:rPr>
          <w:szCs w:val="22"/>
          <w:lang w:val="fr-FR"/>
        </w:rPr>
        <w:t>la</w:t>
      </w:r>
      <w:proofErr w:type="gramEnd"/>
      <w:r w:rsidRPr="00BD68C1">
        <w:rPr>
          <w:szCs w:val="22"/>
          <w:lang w:val="fr-FR"/>
        </w:rPr>
        <w:t xml:space="preserve"> forme et les formats dans lesquels ce contenu serait exprimé, stocké et échangé;</w:t>
      </w:r>
    </w:p>
    <w:p w:rsidR="00D91C67" w:rsidRPr="00BD68C1" w:rsidRDefault="00D63FCE" w:rsidP="00455E22">
      <w:pPr>
        <w:pStyle w:val="ListParagraph"/>
        <w:widowControl w:val="0"/>
        <w:numPr>
          <w:ilvl w:val="0"/>
          <w:numId w:val="17"/>
        </w:numPr>
        <w:tabs>
          <w:tab w:val="left" w:pos="1134"/>
        </w:tabs>
        <w:overflowPunct w:val="0"/>
        <w:ind w:left="1134" w:hanging="567"/>
        <w:rPr>
          <w:szCs w:val="22"/>
          <w:lang w:val="fr-FR"/>
        </w:rPr>
      </w:pPr>
      <w:proofErr w:type="gramStart"/>
      <w:r w:rsidRPr="00BD68C1">
        <w:rPr>
          <w:szCs w:val="22"/>
          <w:lang w:val="fr-FR"/>
        </w:rPr>
        <w:t>son</w:t>
      </w:r>
      <w:proofErr w:type="gramEnd"/>
      <w:r w:rsidRPr="00BD68C1">
        <w:rPr>
          <w:szCs w:val="22"/>
          <w:lang w:val="fr-FR"/>
        </w:rPr>
        <w:t xml:space="preserve"> interopérabilité avec d</w:t>
      </w:r>
      <w:r w:rsidR="004856A7" w:rsidRPr="00BD68C1">
        <w:rPr>
          <w:szCs w:val="22"/>
          <w:lang w:val="fr-FR"/>
        </w:rPr>
        <w:t>’</w:t>
      </w:r>
      <w:r w:rsidRPr="00BD68C1">
        <w:rPr>
          <w:szCs w:val="22"/>
          <w:lang w:val="fr-FR"/>
        </w:rPr>
        <w:t>autres systèmes d</w:t>
      </w:r>
      <w:r w:rsidR="004856A7" w:rsidRPr="00BD68C1">
        <w:rPr>
          <w:szCs w:val="22"/>
          <w:lang w:val="fr-FR"/>
        </w:rPr>
        <w:t>’</w:t>
      </w:r>
      <w:r w:rsidRPr="00BD68C1">
        <w:rPr>
          <w:szCs w:val="22"/>
          <w:lang w:val="fr-FR"/>
        </w:rPr>
        <w:t xml:space="preserve">information aux échelons national et international; </w:t>
      </w:r>
      <w:r w:rsidRPr="00BD68C1">
        <w:rPr>
          <w:lang w:val="fr-FR"/>
        </w:rPr>
        <w:t xml:space="preserve"> </w:t>
      </w:r>
      <w:r w:rsidRPr="00BD68C1">
        <w:rPr>
          <w:szCs w:val="22"/>
          <w:lang w:val="fr-FR"/>
        </w:rPr>
        <w:t>et</w:t>
      </w:r>
    </w:p>
    <w:p w:rsidR="00D91C67" w:rsidRPr="00BD68C1" w:rsidRDefault="00D63FCE" w:rsidP="00455E22">
      <w:pPr>
        <w:pStyle w:val="ListParagraph"/>
        <w:widowControl w:val="0"/>
        <w:numPr>
          <w:ilvl w:val="0"/>
          <w:numId w:val="17"/>
        </w:numPr>
        <w:tabs>
          <w:tab w:val="left" w:pos="1134"/>
        </w:tabs>
        <w:overflowPunct w:val="0"/>
        <w:spacing w:after="220"/>
        <w:ind w:left="1134" w:hanging="567"/>
        <w:rPr>
          <w:szCs w:val="22"/>
          <w:lang w:val="fr-FR"/>
        </w:rPr>
      </w:pPr>
      <w:proofErr w:type="gramStart"/>
      <w:r w:rsidRPr="00BD68C1">
        <w:rPr>
          <w:szCs w:val="22"/>
          <w:lang w:val="fr-FR"/>
        </w:rPr>
        <w:t>la</w:t>
      </w:r>
      <w:proofErr w:type="gramEnd"/>
      <w:r w:rsidRPr="00BD68C1">
        <w:rPr>
          <w:szCs w:val="22"/>
          <w:lang w:val="fr-FR"/>
        </w:rPr>
        <w:t xml:space="preserve"> gestion des droits afférents aux systèmes d</w:t>
      </w:r>
      <w:r w:rsidR="004856A7" w:rsidRPr="00BD68C1">
        <w:rPr>
          <w:szCs w:val="22"/>
          <w:lang w:val="fr-FR"/>
        </w:rPr>
        <w:t>’</w:t>
      </w:r>
      <w:r w:rsidRPr="00BD68C1">
        <w:rPr>
          <w:szCs w:val="22"/>
          <w:lang w:val="fr-FR"/>
        </w:rPr>
        <w:t>information.</w:t>
      </w:r>
    </w:p>
    <w:p w:rsidR="00D91C67" w:rsidRPr="00BD68C1" w:rsidRDefault="00D63FCE" w:rsidP="00455E22">
      <w:pPr>
        <w:spacing w:after="220"/>
        <w:rPr>
          <w:b/>
          <w:lang w:val="fr-FR"/>
        </w:rPr>
      </w:pPr>
      <w:r w:rsidRPr="00BD68C1">
        <w:rPr>
          <w:b/>
          <w:lang w:val="fr-FR"/>
        </w:rPr>
        <w:t>Exigences de divulgation</w:t>
      </w:r>
    </w:p>
    <w:p w:rsidR="004856A7" w:rsidRPr="00BD68C1" w:rsidRDefault="00D63FCE" w:rsidP="00455E22">
      <w:pPr>
        <w:pStyle w:val="ONUMFS"/>
        <w:rPr>
          <w:bCs/>
          <w:szCs w:val="22"/>
          <w:lang w:val="fr-FR"/>
        </w:rPr>
      </w:pPr>
      <w:r w:rsidRPr="00BD68C1">
        <w:rPr>
          <w:lang w:val="fr-FR"/>
        </w:rPr>
        <w:t>Les exigences de divulgation sont des dispositions qui obligent les déposants de demandes de brevet/de titres de propriété intellectuelle à indiquer dans leur demande plusieurs éléments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 supplémentaires, comme la source ou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origine des ressources génétiques, ainsi que la preuve du consentement préalable en connaissance de cause et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un accord relatif au partage des avantag</w:t>
      </w:r>
      <w:r w:rsidR="00BD68C1" w:rsidRPr="00BD68C1">
        <w:rPr>
          <w:lang w:val="fr-FR"/>
        </w:rPr>
        <w:t>es.  Bi</w:t>
      </w:r>
      <w:r w:rsidRPr="00BD68C1">
        <w:rPr>
          <w:lang w:val="fr-FR"/>
        </w:rPr>
        <w:t>en que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IGC ait été chargé de déterminer, sur le principe, si une exigence de divulgation est nécessaire ou non au niveau international, le groupe spécial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experts est invité à examiner certaines questions subsidiaires liées aux exigences de divulgation.</w:t>
      </w:r>
    </w:p>
    <w:p w:rsidR="00D91C67" w:rsidRPr="00BD68C1" w:rsidRDefault="00D63FCE" w:rsidP="00455E22">
      <w:pPr>
        <w:spacing w:after="220"/>
        <w:ind w:left="567"/>
        <w:rPr>
          <w:bCs/>
          <w:i/>
          <w:szCs w:val="22"/>
          <w:u w:val="single"/>
          <w:lang w:val="fr-FR"/>
        </w:rPr>
      </w:pPr>
      <w:r w:rsidRPr="00BD68C1">
        <w:rPr>
          <w:bCs/>
          <w:i/>
          <w:szCs w:val="22"/>
          <w:u w:val="single"/>
          <w:lang w:val="fr-FR"/>
        </w:rPr>
        <w:t>Objet</w:t>
      </w:r>
      <w:r w:rsidR="00DB626E" w:rsidRPr="00BD68C1">
        <w:rPr>
          <w:bCs/>
          <w:i/>
          <w:szCs w:val="22"/>
          <w:u w:val="single"/>
          <w:lang w:val="fr-FR"/>
        </w:rPr>
        <w:t xml:space="preserve"> de la protection</w:t>
      </w:r>
    </w:p>
    <w:p w:rsidR="00D91C67" w:rsidRPr="00BD68C1" w:rsidRDefault="00D63FCE" w:rsidP="00455E22">
      <w:pPr>
        <w:pStyle w:val="ONUMFS"/>
        <w:rPr>
          <w:lang w:val="fr-FR"/>
        </w:rPr>
      </w:pPr>
      <w:r w:rsidRPr="00BD68C1">
        <w:rPr>
          <w:lang w:val="fr-FR"/>
        </w:rPr>
        <w:t>La détermination de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objet de la protection conférée par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instrument négocié par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IGC est une question importan</w:t>
      </w:r>
      <w:r w:rsidR="00BD68C1" w:rsidRPr="00BD68C1">
        <w:rPr>
          <w:lang w:val="fr-FR"/>
        </w:rPr>
        <w:t>te.  Le</w:t>
      </w:r>
      <w:r w:rsidRPr="00BD68C1">
        <w:rPr>
          <w:lang w:val="fr-FR"/>
        </w:rPr>
        <w:t>s deux</w:t>
      </w:r>
      <w:r w:rsidR="00507C28" w:rsidRPr="00BD68C1">
        <w:rPr>
          <w:lang w:val="fr-FR"/>
        </w:rPr>
        <w:t> </w:t>
      </w:r>
      <w:r w:rsidRPr="00BD68C1">
        <w:rPr>
          <w:lang w:val="fr-FR"/>
        </w:rPr>
        <w:t>points que le groupe spécial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experts est invité à examiner sont les suivants</w:t>
      </w:r>
      <w:r w:rsidR="004856A7" w:rsidRPr="00BD68C1">
        <w:rPr>
          <w:lang w:val="fr-FR"/>
        </w:rPr>
        <w:t> :</w:t>
      </w:r>
    </w:p>
    <w:p w:rsidR="004856A7" w:rsidRPr="00BD68C1" w:rsidRDefault="00D63FCE" w:rsidP="00455E22">
      <w:pPr>
        <w:pStyle w:val="ListParagraph"/>
        <w:numPr>
          <w:ilvl w:val="0"/>
          <w:numId w:val="13"/>
        </w:numPr>
        <w:ind w:left="1134" w:hanging="567"/>
        <w:rPr>
          <w:bCs/>
          <w:lang w:val="fr-FR"/>
        </w:rPr>
      </w:pPr>
      <w:r w:rsidRPr="00BD68C1">
        <w:rPr>
          <w:bCs/>
          <w:lang w:val="fr-FR"/>
        </w:rPr>
        <w:t>S</w:t>
      </w:r>
      <w:r w:rsidR="004856A7" w:rsidRPr="00BD68C1">
        <w:rPr>
          <w:bCs/>
          <w:lang w:val="fr-FR"/>
        </w:rPr>
        <w:t>’</w:t>
      </w:r>
      <w:r w:rsidRPr="00BD68C1">
        <w:rPr>
          <w:bCs/>
          <w:lang w:val="fr-FR"/>
        </w:rPr>
        <w:t>il existe un consensus sur le fait que l</w:t>
      </w:r>
      <w:r w:rsidR="004856A7" w:rsidRPr="00BD68C1">
        <w:rPr>
          <w:bCs/>
          <w:lang w:val="fr-FR"/>
        </w:rPr>
        <w:t>’</w:t>
      </w:r>
      <w:r w:rsidRPr="00BD68C1">
        <w:rPr>
          <w:bCs/>
          <w:lang w:val="fr-FR"/>
        </w:rPr>
        <w:t>instrument doit s</w:t>
      </w:r>
      <w:r w:rsidR="004856A7" w:rsidRPr="00BD68C1">
        <w:rPr>
          <w:bCs/>
          <w:lang w:val="fr-FR"/>
        </w:rPr>
        <w:t>’</w:t>
      </w:r>
      <w:r w:rsidRPr="00BD68C1">
        <w:rPr>
          <w:bCs/>
          <w:lang w:val="fr-FR"/>
        </w:rPr>
        <w:t>appliquer aux ressources génétiques, la question est de savoir s</w:t>
      </w:r>
      <w:r w:rsidR="004856A7" w:rsidRPr="00BD68C1">
        <w:rPr>
          <w:bCs/>
          <w:lang w:val="fr-FR"/>
        </w:rPr>
        <w:t>’</w:t>
      </w:r>
      <w:r w:rsidRPr="00BD68C1">
        <w:rPr>
          <w:bCs/>
          <w:lang w:val="fr-FR"/>
        </w:rPr>
        <w:t>il doit aussi s</w:t>
      </w:r>
      <w:r w:rsidR="004856A7" w:rsidRPr="00BD68C1">
        <w:rPr>
          <w:bCs/>
          <w:lang w:val="fr-FR"/>
        </w:rPr>
        <w:t>’</w:t>
      </w:r>
      <w:r w:rsidRPr="00BD68C1">
        <w:rPr>
          <w:bCs/>
          <w:lang w:val="fr-FR"/>
        </w:rPr>
        <w:t>appliquer aux savoirs traditionnels associés à des ressources génétiques, étant donné qu</w:t>
      </w:r>
      <w:r w:rsidR="004856A7" w:rsidRPr="00BD68C1">
        <w:rPr>
          <w:bCs/>
          <w:lang w:val="fr-FR"/>
        </w:rPr>
        <w:t>’</w:t>
      </w:r>
      <w:r w:rsidRPr="00BD68C1">
        <w:rPr>
          <w:bCs/>
          <w:lang w:val="fr-FR"/>
        </w:rPr>
        <w:t>un savoir traditionnel n</w:t>
      </w:r>
      <w:r w:rsidR="004856A7" w:rsidRPr="00BD68C1">
        <w:rPr>
          <w:bCs/>
          <w:lang w:val="fr-FR"/>
        </w:rPr>
        <w:t>’</w:t>
      </w:r>
      <w:r w:rsidRPr="00BD68C1">
        <w:rPr>
          <w:bCs/>
          <w:lang w:val="fr-FR"/>
        </w:rPr>
        <w:t>est pas toujours associé à une ressource génétiq</w:t>
      </w:r>
      <w:r w:rsidR="00BD68C1" w:rsidRPr="00BD68C1">
        <w:rPr>
          <w:bCs/>
          <w:lang w:val="fr-FR"/>
        </w:rPr>
        <w:t>ue.  En</w:t>
      </w:r>
      <w:r w:rsidRPr="00BD68C1">
        <w:rPr>
          <w:bCs/>
          <w:lang w:val="fr-FR"/>
        </w:rPr>
        <w:t xml:space="preserve"> outre, la question des savoirs traditionnels est traitée dans un projet de texte de l</w:t>
      </w:r>
      <w:r w:rsidR="004856A7" w:rsidRPr="00BD68C1">
        <w:rPr>
          <w:bCs/>
          <w:lang w:val="fr-FR"/>
        </w:rPr>
        <w:t>’</w:t>
      </w:r>
      <w:r w:rsidRPr="00BD68C1">
        <w:rPr>
          <w:bCs/>
          <w:lang w:val="fr-FR"/>
        </w:rPr>
        <w:t>IGC distinct qui prévoit notamment une exigence de divulgation proposée.</w:t>
      </w:r>
    </w:p>
    <w:p w:rsidR="00D91C67" w:rsidRPr="00BD68C1" w:rsidRDefault="00D63FCE" w:rsidP="00455E22">
      <w:pPr>
        <w:pStyle w:val="ListParagraph"/>
        <w:numPr>
          <w:ilvl w:val="0"/>
          <w:numId w:val="13"/>
        </w:numPr>
        <w:spacing w:after="220"/>
        <w:ind w:left="1134" w:hanging="567"/>
        <w:rPr>
          <w:lang w:val="fr-FR"/>
        </w:rPr>
      </w:pPr>
      <w:r w:rsidRPr="00BD68C1">
        <w:rPr>
          <w:lang w:val="fr-FR"/>
        </w:rPr>
        <w:t>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instrument devrait</w:t>
      </w:r>
      <w:r w:rsidR="002336AB">
        <w:rPr>
          <w:lang w:val="fr-FR"/>
        </w:rPr>
        <w:noBreakHyphen/>
      </w:r>
      <w:r w:rsidRPr="00BD68C1">
        <w:rPr>
          <w:lang w:val="fr-FR"/>
        </w:rPr>
        <w:t>il s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appliquer à tout droit de propriété intellectuelle ou aux droits de brevet uniquement?</w:t>
      </w:r>
    </w:p>
    <w:p w:rsidR="00D91C67" w:rsidRPr="00BD68C1" w:rsidRDefault="00D63FCE" w:rsidP="00455E22">
      <w:pPr>
        <w:pStyle w:val="ONUMFS"/>
        <w:rPr>
          <w:lang w:val="fr-FR"/>
        </w:rPr>
      </w:pPr>
      <w:r w:rsidRPr="00BD68C1">
        <w:rPr>
          <w:lang w:val="fr-FR"/>
        </w:rPr>
        <w:t>Pour ce qui est de cette question, le groupe spécial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experts doit examiner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utilisation de termes comme “ressources génétiques” (</w:t>
      </w:r>
      <w:r w:rsidR="004856A7" w:rsidRPr="00BD68C1">
        <w:rPr>
          <w:lang w:val="fr-FR"/>
        </w:rPr>
        <w:t>y compris</w:t>
      </w:r>
      <w:r w:rsidRPr="00BD68C1">
        <w:rPr>
          <w:lang w:val="fr-FR"/>
        </w:rPr>
        <w:t xml:space="preserve"> la question de savoir si les “dérivés” doivent figurer dans la définition des ressources génétiques).</w:t>
      </w:r>
    </w:p>
    <w:p w:rsidR="00D91C67" w:rsidRPr="00BD68C1" w:rsidRDefault="00D63FCE" w:rsidP="00455E22">
      <w:pPr>
        <w:spacing w:after="220"/>
        <w:ind w:left="567"/>
        <w:rPr>
          <w:bCs/>
          <w:i/>
          <w:szCs w:val="22"/>
          <w:u w:val="single"/>
          <w:lang w:val="fr-FR"/>
        </w:rPr>
      </w:pPr>
      <w:r w:rsidRPr="00BD68C1">
        <w:rPr>
          <w:bCs/>
          <w:i/>
          <w:szCs w:val="22"/>
          <w:u w:val="single"/>
          <w:lang w:val="fr-FR"/>
        </w:rPr>
        <w:t>Élément déclencheur</w:t>
      </w:r>
    </w:p>
    <w:p w:rsidR="004856A7" w:rsidRPr="00BD68C1" w:rsidRDefault="00D63FCE" w:rsidP="00455E22">
      <w:pPr>
        <w:pStyle w:val="ONUMFS"/>
        <w:rPr>
          <w:bCs/>
          <w:szCs w:val="22"/>
          <w:lang w:val="fr-FR"/>
        </w:rPr>
      </w:pPr>
      <w:r w:rsidRPr="00BD68C1">
        <w:rPr>
          <w:lang w:val="fr-FR"/>
        </w:rPr>
        <w:t>Le groupe spécial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experts est invité à examiner ce que doit être la relation ou le “lien” entre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objet de la divulgation (par exemple des ressources génétiques) et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invention revendiquée pour déclencher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 xml:space="preserve">obligation de divulgation dans les demandes de brevet/de titre de propriété </w:t>
      </w:r>
      <w:proofErr w:type="gramStart"/>
      <w:r w:rsidRPr="00BD68C1">
        <w:rPr>
          <w:lang w:val="fr-FR"/>
        </w:rPr>
        <w:t>intellectuelle;  par</w:t>
      </w:r>
      <w:proofErr w:type="gramEnd"/>
      <w:r w:rsidRPr="00BD68C1">
        <w:rPr>
          <w:lang w:val="fr-FR"/>
        </w:rPr>
        <w:t xml:space="preserve"> exemple “utilisation de”, “directement fondée sur” ou tout autre terme.</w:t>
      </w:r>
    </w:p>
    <w:p w:rsidR="00D91C67" w:rsidRPr="00BD68C1" w:rsidRDefault="00BE5E12" w:rsidP="00455E22">
      <w:pPr>
        <w:pStyle w:val="ONUMFS"/>
        <w:rPr>
          <w:szCs w:val="22"/>
          <w:lang w:val="fr-FR"/>
        </w:rPr>
      </w:pPr>
      <w:r w:rsidRPr="00BD68C1">
        <w:rPr>
          <w:lang w:val="fr-FR"/>
        </w:rPr>
        <w:t>Les définitions des termes utilisés pour définir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 xml:space="preserve">élément déclencheur, par exemple </w:t>
      </w:r>
      <w:r w:rsidR="004856A7" w:rsidRPr="00BD68C1">
        <w:rPr>
          <w:lang w:val="fr-FR"/>
        </w:rPr>
        <w:t>“u</w:t>
      </w:r>
      <w:r w:rsidRPr="00BD68C1">
        <w:rPr>
          <w:lang w:val="fr-FR"/>
        </w:rPr>
        <w:t>tilisation d</w:t>
      </w:r>
      <w:r w:rsidR="004856A7" w:rsidRPr="00BD68C1">
        <w:rPr>
          <w:lang w:val="fr-FR"/>
        </w:rPr>
        <w:t>e”</w:t>
      </w:r>
      <w:r w:rsidRPr="00BD68C1">
        <w:rPr>
          <w:lang w:val="fr-FR"/>
        </w:rPr>
        <w:t xml:space="preserve">, </w:t>
      </w:r>
      <w:r w:rsidR="004856A7" w:rsidRPr="00BD68C1">
        <w:rPr>
          <w:lang w:val="fr-FR"/>
        </w:rPr>
        <w:t>“d</w:t>
      </w:r>
      <w:r w:rsidRPr="00BD68C1">
        <w:rPr>
          <w:lang w:val="fr-FR"/>
        </w:rPr>
        <w:t>irectement fondée su</w:t>
      </w:r>
      <w:r w:rsidR="004856A7" w:rsidRPr="00BD68C1">
        <w:rPr>
          <w:lang w:val="fr-FR"/>
        </w:rPr>
        <w:t>r”</w:t>
      </w:r>
      <w:r w:rsidRPr="00BD68C1">
        <w:rPr>
          <w:lang w:val="fr-FR"/>
        </w:rPr>
        <w:t xml:space="preserve"> ou tout autre terme, constituent une question supplémentaire à examiner.</w:t>
      </w:r>
    </w:p>
    <w:p w:rsidR="00D91C67" w:rsidRPr="00BD68C1" w:rsidRDefault="00EC6B81" w:rsidP="00455E22">
      <w:pPr>
        <w:spacing w:after="220"/>
        <w:ind w:left="567"/>
        <w:rPr>
          <w:i/>
          <w:szCs w:val="22"/>
          <w:u w:val="single"/>
          <w:lang w:val="fr-FR"/>
        </w:rPr>
      </w:pPr>
      <w:r w:rsidRPr="00BD68C1">
        <w:rPr>
          <w:i/>
          <w:szCs w:val="22"/>
          <w:u w:val="single"/>
          <w:lang w:val="fr-FR"/>
        </w:rPr>
        <w:lastRenderedPageBreak/>
        <w:t>Teneur</w:t>
      </w:r>
    </w:p>
    <w:p w:rsidR="00D91C67" w:rsidRPr="00BD68C1" w:rsidRDefault="00BE5E12" w:rsidP="00455E22">
      <w:pPr>
        <w:pStyle w:val="ONUMFS"/>
        <w:rPr>
          <w:bCs/>
          <w:szCs w:val="22"/>
          <w:lang w:val="fr-FR"/>
        </w:rPr>
      </w:pPr>
      <w:r w:rsidRPr="00BD68C1">
        <w:rPr>
          <w:lang w:val="fr-FR"/>
        </w:rPr>
        <w:t>En ce qui concerne la teneur, le groupe spécial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experts est invité à examiner ce qui devrait être divulgué dans la demande de brevet/de titre de propriété intellectuel</w:t>
      </w:r>
      <w:r w:rsidR="00BD68C1" w:rsidRPr="00BD68C1">
        <w:rPr>
          <w:lang w:val="fr-FR"/>
        </w:rPr>
        <w:t xml:space="preserve">le.  </w:t>
      </w:r>
      <w:r w:rsidR="00BD68C1" w:rsidRPr="00BD68C1">
        <w:rPr>
          <w:bCs/>
          <w:szCs w:val="22"/>
          <w:lang w:val="fr-FR"/>
        </w:rPr>
        <w:t>Pa</w:t>
      </w:r>
      <w:r w:rsidRPr="00BD68C1">
        <w:rPr>
          <w:bCs/>
          <w:szCs w:val="22"/>
          <w:lang w:val="fr-FR"/>
        </w:rPr>
        <w:t>r exemple, s</w:t>
      </w:r>
      <w:r w:rsidR="004856A7" w:rsidRPr="00BD68C1">
        <w:rPr>
          <w:bCs/>
          <w:szCs w:val="22"/>
          <w:lang w:val="fr-FR"/>
        </w:rPr>
        <w:t>’</w:t>
      </w:r>
      <w:r w:rsidRPr="00BD68C1">
        <w:rPr>
          <w:bCs/>
          <w:szCs w:val="22"/>
          <w:lang w:val="fr-FR"/>
        </w:rPr>
        <w:t>agit</w:t>
      </w:r>
      <w:r w:rsidR="002336AB">
        <w:rPr>
          <w:bCs/>
          <w:szCs w:val="22"/>
          <w:lang w:val="fr-FR"/>
        </w:rPr>
        <w:noBreakHyphen/>
      </w:r>
      <w:r w:rsidRPr="00BD68C1">
        <w:rPr>
          <w:bCs/>
          <w:szCs w:val="22"/>
          <w:lang w:val="fr-FR"/>
        </w:rPr>
        <w:t xml:space="preserve">il de la source des ressources génétiques, du pays </w:t>
      </w:r>
      <w:r w:rsidR="00DB626E" w:rsidRPr="00BD68C1">
        <w:rPr>
          <w:bCs/>
          <w:szCs w:val="22"/>
          <w:lang w:val="fr-FR"/>
        </w:rPr>
        <w:t>fournisseur</w:t>
      </w:r>
      <w:r w:rsidRPr="00BD68C1">
        <w:rPr>
          <w:bCs/>
          <w:szCs w:val="22"/>
          <w:lang w:val="fr-FR"/>
        </w:rPr>
        <w:t>, de la preuve du consentement préalable donné en connaissance de cause ou de la preuve du partage des avantages selon des conditions convenues d</w:t>
      </w:r>
      <w:r w:rsidR="004856A7" w:rsidRPr="00BD68C1">
        <w:rPr>
          <w:bCs/>
          <w:szCs w:val="22"/>
          <w:lang w:val="fr-FR"/>
        </w:rPr>
        <w:t>’</w:t>
      </w:r>
      <w:r w:rsidRPr="00BD68C1">
        <w:rPr>
          <w:bCs/>
          <w:szCs w:val="22"/>
          <w:lang w:val="fr-FR"/>
        </w:rPr>
        <w:t>un commun accord?</w:t>
      </w:r>
    </w:p>
    <w:p w:rsidR="00D91C67" w:rsidRPr="00BD68C1" w:rsidRDefault="00BE5E12" w:rsidP="00455E22">
      <w:pPr>
        <w:pStyle w:val="ONUMFS"/>
        <w:rPr>
          <w:szCs w:val="22"/>
          <w:lang w:val="fr-FR"/>
        </w:rPr>
      </w:pPr>
      <w:r w:rsidRPr="00BD68C1">
        <w:rPr>
          <w:lang w:val="fr-FR"/>
        </w:rPr>
        <w:t>Pour ce qui est de cette question, le groupe spécial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experts est invité à fournir des conseils et des analyses sur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utilisation de termes comme “source”, “pays fournisseur” et “pays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origine”.</w:t>
      </w:r>
    </w:p>
    <w:p w:rsidR="00D91C67" w:rsidRPr="00BD68C1" w:rsidRDefault="00EC6B81" w:rsidP="00455E22">
      <w:pPr>
        <w:spacing w:after="220"/>
        <w:ind w:left="567"/>
        <w:rPr>
          <w:i/>
          <w:szCs w:val="22"/>
          <w:u w:val="single"/>
          <w:lang w:val="fr-FR"/>
        </w:rPr>
      </w:pPr>
      <w:r w:rsidRPr="00BD68C1">
        <w:rPr>
          <w:i/>
          <w:szCs w:val="22"/>
          <w:u w:val="single"/>
          <w:lang w:val="fr-FR"/>
        </w:rPr>
        <w:t>Sanctions et moyens de recours</w:t>
      </w:r>
    </w:p>
    <w:p w:rsidR="00D91C67" w:rsidRPr="00BD68C1" w:rsidRDefault="00766353" w:rsidP="00455E22">
      <w:pPr>
        <w:pStyle w:val="ONUMFS"/>
        <w:rPr>
          <w:lang w:val="fr-FR"/>
        </w:rPr>
      </w:pPr>
      <w:r w:rsidRPr="00BD68C1">
        <w:rPr>
          <w:lang w:val="fr-FR"/>
        </w:rPr>
        <w:t>Une question administrative et juridique concernant les exigences de divulgation est de déterminer la façon dont les situations de non</w:t>
      </w:r>
      <w:r w:rsidR="002336AB">
        <w:rPr>
          <w:lang w:val="fr-FR"/>
        </w:rPr>
        <w:noBreakHyphen/>
      </w:r>
      <w:r w:rsidRPr="00BD68C1">
        <w:rPr>
          <w:lang w:val="fr-FR"/>
        </w:rPr>
        <w:t>respect doivent être traité</w:t>
      </w:r>
      <w:r w:rsidR="00BD68C1" w:rsidRPr="00BD68C1">
        <w:rPr>
          <w:lang w:val="fr-FR"/>
        </w:rPr>
        <w:t>es.  Le</w:t>
      </w:r>
      <w:r w:rsidRPr="00BD68C1">
        <w:rPr>
          <w:lang w:val="fr-FR"/>
        </w:rPr>
        <w:t>s deux</w:t>
      </w:r>
      <w:r w:rsidR="00507C28" w:rsidRPr="00BD68C1">
        <w:rPr>
          <w:lang w:val="fr-FR"/>
        </w:rPr>
        <w:t> </w:t>
      </w:r>
      <w:r w:rsidRPr="00BD68C1">
        <w:rPr>
          <w:lang w:val="fr-FR"/>
        </w:rPr>
        <w:t>points que le groupe spécial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experts est invité à examiner sont les suivants</w:t>
      </w:r>
      <w:r w:rsidR="004856A7" w:rsidRPr="00BD68C1">
        <w:rPr>
          <w:lang w:val="fr-FR"/>
        </w:rPr>
        <w:t> :</w:t>
      </w:r>
    </w:p>
    <w:p w:rsidR="004856A7" w:rsidRPr="00BD68C1" w:rsidRDefault="00766353" w:rsidP="00455E22">
      <w:pPr>
        <w:pStyle w:val="ListParagraph"/>
        <w:numPr>
          <w:ilvl w:val="0"/>
          <w:numId w:val="14"/>
        </w:numPr>
        <w:ind w:left="1134" w:hanging="567"/>
        <w:rPr>
          <w:lang w:val="fr-FR"/>
        </w:rPr>
      </w:pPr>
      <w:r w:rsidRPr="00BD68C1">
        <w:rPr>
          <w:lang w:val="fr-FR"/>
        </w:rPr>
        <w:t>Quelles mesures juridiques et administratives doivent</w:t>
      </w:r>
      <w:r w:rsidR="002336AB">
        <w:rPr>
          <w:lang w:val="fr-FR"/>
        </w:rPr>
        <w:noBreakHyphen/>
      </w:r>
      <w:r w:rsidRPr="00BD68C1">
        <w:rPr>
          <w:lang w:val="fr-FR"/>
        </w:rPr>
        <w:t>elles être prises pour traiter les situations de non</w:t>
      </w:r>
      <w:r w:rsidR="002336AB">
        <w:rPr>
          <w:lang w:val="fr-FR"/>
        </w:rPr>
        <w:noBreakHyphen/>
      </w:r>
      <w:r w:rsidRPr="00BD68C1">
        <w:rPr>
          <w:lang w:val="fr-FR"/>
        </w:rPr>
        <w:t>respect?</w:t>
      </w:r>
    </w:p>
    <w:p w:rsidR="004856A7" w:rsidRPr="00BD68C1" w:rsidRDefault="00766353" w:rsidP="00455E22">
      <w:pPr>
        <w:pStyle w:val="ListParagraph"/>
        <w:numPr>
          <w:ilvl w:val="0"/>
          <w:numId w:val="14"/>
        </w:numPr>
        <w:spacing w:after="220"/>
        <w:ind w:left="1134" w:hanging="567"/>
        <w:rPr>
          <w:szCs w:val="22"/>
          <w:lang w:val="fr-FR"/>
        </w:rPr>
      </w:pPr>
      <w:r w:rsidRPr="00BD68C1">
        <w:rPr>
          <w:lang w:val="fr-FR"/>
        </w:rPr>
        <w:t>Faut</w:t>
      </w:r>
      <w:r w:rsidR="002336AB">
        <w:rPr>
          <w:lang w:val="fr-FR"/>
        </w:rPr>
        <w:noBreakHyphen/>
      </w:r>
      <w:r w:rsidRPr="00BD68C1">
        <w:rPr>
          <w:lang w:val="fr-FR"/>
        </w:rPr>
        <w:t>il permettre que ces mesures aient une incidence sur la validité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un brevet délivré?</w:t>
      </w:r>
      <w:r w:rsidR="00686125" w:rsidRPr="00BD68C1">
        <w:rPr>
          <w:lang w:val="fr-FR"/>
        </w:rPr>
        <w:t xml:space="preserve">  </w:t>
      </w:r>
      <w:r w:rsidRPr="00BD68C1">
        <w:rPr>
          <w:lang w:val="fr-FR"/>
        </w:rPr>
        <w:t>Dans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affirmative, quelle(s) serai(en)t la ou les condition(s) admissible(s) entraînant la révocation du brevet?</w:t>
      </w:r>
      <w:r w:rsidR="00346ACD" w:rsidRPr="00BD68C1">
        <w:rPr>
          <w:lang w:val="fr-FR"/>
        </w:rPr>
        <w:t xml:space="preserve">  </w:t>
      </w:r>
      <w:r w:rsidRPr="00BD68C1">
        <w:rPr>
          <w:szCs w:val="22"/>
          <w:lang w:val="fr-FR"/>
        </w:rPr>
        <w:t>Outre la révocation, quelles autres options sont prévues?</w:t>
      </w:r>
    </w:p>
    <w:p w:rsidR="00D91C67" w:rsidRPr="00BD68C1" w:rsidRDefault="00766353" w:rsidP="00455E22">
      <w:pPr>
        <w:spacing w:after="220"/>
        <w:rPr>
          <w:b/>
          <w:lang w:val="fr-FR"/>
        </w:rPr>
      </w:pPr>
      <w:r w:rsidRPr="00BD68C1">
        <w:rPr>
          <w:b/>
          <w:lang w:val="fr-FR"/>
        </w:rPr>
        <w:t>Liens entre les systèmes d</w:t>
      </w:r>
      <w:r w:rsidR="004856A7" w:rsidRPr="00BD68C1">
        <w:rPr>
          <w:b/>
          <w:lang w:val="fr-FR"/>
        </w:rPr>
        <w:t>’</w:t>
      </w:r>
      <w:r w:rsidRPr="00BD68C1">
        <w:rPr>
          <w:b/>
          <w:lang w:val="fr-FR"/>
        </w:rPr>
        <w:t>information et les exigences de divulgation</w:t>
      </w:r>
    </w:p>
    <w:p w:rsidR="004856A7" w:rsidRPr="00BD68C1" w:rsidRDefault="00766353" w:rsidP="00455E22">
      <w:pPr>
        <w:pStyle w:val="ONUMFS"/>
        <w:rPr>
          <w:lang w:val="fr-FR"/>
        </w:rPr>
      </w:pPr>
      <w:r w:rsidRPr="00BD68C1">
        <w:rPr>
          <w:lang w:val="fr-FR"/>
        </w:rPr>
        <w:t>Certains participants de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IGC sont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avis que les systèmes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 uniquement, sans exigence supplémentaire en matière de divulgation, constitueraient le meilleur moyen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atteindre les objectifs souhaités, tandis que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autres estiment que les systèmes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 ne feraient que compléter les exigences de divulgati</w:t>
      </w:r>
      <w:r w:rsidR="00BD68C1" w:rsidRPr="00BD68C1">
        <w:rPr>
          <w:lang w:val="fr-FR"/>
        </w:rPr>
        <w:t>on.  D’a</w:t>
      </w:r>
      <w:r w:rsidR="0059296F" w:rsidRPr="00BD68C1">
        <w:rPr>
          <w:lang w:val="fr-FR"/>
        </w:rPr>
        <w:t>utres participants encore sont d</w:t>
      </w:r>
      <w:r w:rsidR="004856A7" w:rsidRPr="00BD68C1">
        <w:rPr>
          <w:lang w:val="fr-FR"/>
        </w:rPr>
        <w:t>’</w:t>
      </w:r>
      <w:r w:rsidR="0059296F" w:rsidRPr="00BD68C1">
        <w:rPr>
          <w:lang w:val="fr-FR"/>
        </w:rPr>
        <w:t>avis que les systèmes d</w:t>
      </w:r>
      <w:r w:rsidR="004856A7" w:rsidRPr="00BD68C1">
        <w:rPr>
          <w:lang w:val="fr-FR"/>
        </w:rPr>
        <w:t>’</w:t>
      </w:r>
      <w:r w:rsidR="0059296F" w:rsidRPr="00BD68C1">
        <w:rPr>
          <w:lang w:val="fr-FR"/>
        </w:rPr>
        <w:t>information et les exigences de divulgation fonctionneront en parallèle et qu</w:t>
      </w:r>
      <w:r w:rsidR="004856A7" w:rsidRPr="00BD68C1">
        <w:rPr>
          <w:lang w:val="fr-FR"/>
        </w:rPr>
        <w:t>’</w:t>
      </w:r>
      <w:r w:rsidR="0059296F" w:rsidRPr="00BD68C1">
        <w:rPr>
          <w:lang w:val="fr-FR"/>
        </w:rPr>
        <w:t>il s</w:t>
      </w:r>
      <w:r w:rsidR="004856A7" w:rsidRPr="00BD68C1">
        <w:rPr>
          <w:lang w:val="fr-FR"/>
        </w:rPr>
        <w:t>’</w:t>
      </w:r>
      <w:r w:rsidR="0059296F" w:rsidRPr="00BD68C1">
        <w:rPr>
          <w:lang w:val="fr-FR"/>
        </w:rPr>
        <w:t>agit de mécanismes complémentaires pour assurer la sécurité juridique de la propriété intellectuelle relative aux ressources génétiques.</w:t>
      </w:r>
    </w:p>
    <w:p w:rsidR="004856A7" w:rsidRPr="00BD68C1" w:rsidRDefault="0059296F" w:rsidP="00455E22">
      <w:pPr>
        <w:pStyle w:val="ONUMFS"/>
        <w:rPr>
          <w:lang w:val="fr-FR"/>
        </w:rPr>
      </w:pPr>
      <w:r w:rsidRPr="00BD68C1">
        <w:rPr>
          <w:lang w:val="fr-FR"/>
        </w:rPr>
        <w:t>Le groupe spécial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experts est invité à examiner les liens entre les systèmes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information et les exigences de divulgation.</w:t>
      </w:r>
    </w:p>
    <w:p w:rsidR="00D91C67" w:rsidRPr="00BD68C1" w:rsidRDefault="0059296F" w:rsidP="00455E22">
      <w:pPr>
        <w:spacing w:after="220"/>
        <w:rPr>
          <w:b/>
          <w:lang w:val="fr-FR"/>
        </w:rPr>
      </w:pPr>
      <w:r w:rsidRPr="00BD68C1">
        <w:rPr>
          <w:b/>
          <w:lang w:val="fr-FR"/>
        </w:rPr>
        <w:t>Questions diverses</w:t>
      </w:r>
    </w:p>
    <w:p w:rsidR="004856A7" w:rsidRPr="00BD68C1" w:rsidRDefault="0059296F" w:rsidP="00455E22">
      <w:pPr>
        <w:pStyle w:val="ONUMFS"/>
        <w:rPr>
          <w:szCs w:val="22"/>
          <w:lang w:val="fr-FR"/>
        </w:rPr>
      </w:pPr>
      <w:r w:rsidRPr="00BD68C1">
        <w:rPr>
          <w:lang w:val="fr-FR"/>
        </w:rPr>
        <w:t>Le groupe spécial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experts est invité à mentionner toute autre question d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ordre juridique, politique ou technique que l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IGC pourrait avoir à traiter, et à fournir à celui</w:t>
      </w:r>
      <w:r w:rsidR="002336AB">
        <w:rPr>
          <w:lang w:val="fr-FR"/>
        </w:rPr>
        <w:noBreakHyphen/>
      </w:r>
      <w:r w:rsidRPr="00BD68C1">
        <w:rPr>
          <w:lang w:val="fr-FR"/>
        </w:rPr>
        <w:t>ci tout autre conseil ou toute autre analyse ou recommandation qu</w:t>
      </w:r>
      <w:r w:rsidR="004856A7" w:rsidRPr="00BD68C1">
        <w:rPr>
          <w:lang w:val="fr-FR"/>
        </w:rPr>
        <w:t>’</w:t>
      </w:r>
      <w:r w:rsidRPr="00BD68C1">
        <w:rPr>
          <w:lang w:val="fr-FR"/>
        </w:rPr>
        <w:t>il souhaiterait formuler.</w:t>
      </w:r>
    </w:p>
    <w:p w:rsidR="00D91C67" w:rsidRPr="00BD68C1" w:rsidRDefault="0059296F" w:rsidP="00455E22">
      <w:pPr>
        <w:pStyle w:val="Endofdocument-Annex"/>
        <w:spacing w:before="720"/>
        <w:rPr>
          <w:lang w:val="fr-FR"/>
        </w:rPr>
      </w:pPr>
      <w:r w:rsidRPr="00BD68C1">
        <w:rPr>
          <w:lang w:val="fr-FR"/>
        </w:rPr>
        <w:t>[Fin du document]</w:t>
      </w:r>
    </w:p>
    <w:sectPr w:rsidR="00D91C67" w:rsidRPr="00BD68C1" w:rsidSect="00665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3E" w:rsidRDefault="00D5213E">
      <w:r>
        <w:separator/>
      </w:r>
    </w:p>
  </w:endnote>
  <w:endnote w:type="continuationSeparator" w:id="0">
    <w:p w:rsidR="00D5213E" w:rsidRDefault="00D5213E" w:rsidP="003B38C1">
      <w:r>
        <w:separator/>
      </w:r>
    </w:p>
    <w:p w:rsidR="00D5213E" w:rsidRPr="003B38C1" w:rsidRDefault="00D5213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5213E" w:rsidRPr="003B38C1" w:rsidRDefault="00D5213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7F" w:rsidRDefault="00736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7F" w:rsidRDefault="00736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7F" w:rsidRDefault="00736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3E" w:rsidRDefault="00D5213E">
      <w:r>
        <w:separator/>
      </w:r>
    </w:p>
  </w:footnote>
  <w:footnote w:type="continuationSeparator" w:id="0">
    <w:p w:rsidR="00D5213E" w:rsidRDefault="00D5213E" w:rsidP="008B60B2">
      <w:r>
        <w:separator/>
      </w:r>
    </w:p>
    <w:p w:rsidR="00D5213E" w:rsidRPr="00ED77FB" w:rsidRDefault="00D5213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5213E" w:rsidRPr="00ED77FB" w:rsidRDefault="00D5213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3F" w:rsidRPr="00CC261B" w:rsidRDefault="0066523F" w:rsidP="0066523F">
    <w:pPr>
      <w:jc w:val="right"/>
      <w:rPr>
        <w:lang w:val="es-ES_tradnl"/>
      </w:rPr>
    </w:pPr>
    <w:r>
      <w:rPr>
        <w:lang w:val="es-ES_tradnl"/>
      </w:rPr>
      <w:t>WIPO/</w:t>
    </w:r>
    <w:r w:rsidR="00A3042F">
      <w:rPr>
        <w:lang w:val="es-ES_tradnl"/>
      </w:rPr>
      <w:t>IPTK</w:t>
    </w:r>
    <w:r>
      <w:rPr>
        <w:lang w:val="es-ES_tradnl"/>
      </w:rPr>
      <w:t>/GE/22/2</w:t>
    </w:r>
  </w:p>
  <w:p w:rsidR="0066523F" w:rsidRPr="00CC261B" w:rsidRDefault="0066523F" w:rsidP="00455E22">
    <w:pPr>
      <w:spacing w:after="480"/>
      <w:jc w:val="right"/>
      <w:rPr>
        <w:lang w:val="es-ES_tradnl"/>
      </w:rPr>
    </w:pPr>
    <w:r w:rsidRPr="00CC261B">
      <w:rPr>
        <w:lang w:val="es-ES_tradnl"/>
      </w:rPr>
      <w:t xml:space="preserve">page </w:t>
    </w:r>
    <w:r>
      <w:fldChar w:fldCharType="begin"/>
    </w:r>
    <w:r w:rsidRPr="00CC261B">
      <w:rPr>
        <w:lang w:val="es-ES_tradnl"/>
      </w:rPr>
      <w:instrText xml:space="preserve"> PAGE  \* MERGEFORMAT </w:instrText>
    </w:r>
    <w:r>
      <w:fldChar w:fldCharType="separate"/>
    </w:r>
    <w:r w:rsidR="00C118EC">
      <w:rPr>
        <w:noProof/>
        <w:lang w:val="es-ES_tradnl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CC261B" w:rsidRDefault="00620B8D" w:rsidP="00477D6B">
    <w:pPr>
      <w:jc w:val="right"/>
      <w:rPr>
        <w:lang w:val="es-ES_tradnl"/>
      </w:rPr>
    </w:pPr>
    <w:r>
      <w:rPr>
        <w:lang w:val="es-ES_tradnl"/>
      </w:rPr>
      <w:t>WIPO/EXP/GR/GE/22</w:t>
    </w:r>
    <w:r w:rsidR="00973CA7">
      <w:rPr>
        <w:lang w:val="es-ES_tradnl"/>
      </w:rPr>
      <w:t>/2</w:t>
    </w:r>
  </w:p>
  <w:p w:rsidR="00EC4E49" w:rsidRPr="00CC261B" w:rsidRDefault="00EC4E49" w:rsidP="00455E22">
    <w:pPr>
      <w:spacing w:after="480"/>
      <w:jc w:val="right"/>
      <w:rPr>
        <w:lang w:val="es-ES_tradnl"/>
      </w:rPr>
    </w:pPr>
    <w:r w:rsidRPr="00CC261B">
      <w:rPr>
        <w:lang w:val="es-ES_tradnl"/>
      </w:rPr>
      <w:t xml:space="preserve">page </w:t>
    </w:r>
    <w:r>
      <w:fldChar w:fldCharType="begin"/>
    </w:r>
    <w:r w:rsidRPr="00CC261B">
      <w:rPr>
        <w:lang w:val="es-ES_tradnl"/>
      </w:rPr>
      <w:instrText xml:space="preserve"> PAGE  \* MERGEFORMAT </w:instrText>
    </w:r>
    <w:r>
      <w:fldChar w:fldCharType="separate"/>
    </w:r>
    <w:r w:rsidR="00C118EC">
      <w:rPr>
        <w:noProof/>
        <w:lang w:val="es-ES_tradnl"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7F" w:rsidRDefault="00736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C1EEE"/>
    <w:multiLevelType w:val="hybridMultilevel"/>
    <w:tmpl w:val="A5D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0681EF0"/>
    <w:multiLevelType w:val="hybridMultilevel"/>
    <w:tmpl w:val="279E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DB07F8F"/>
    <w:multiLevelType w:val="hybridMultilevel"/>
    <w:tmpl w:val="CCA4449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EB323D"/>
    <w:multiLevelType w:val="hybridMultilevel"/>
    <w:tmpl w:val="1362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92A06"/>
    <w:multiLevelType w:val="hybridMultilevel"/>
    <w:tmpl w:val="D7C0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C6D29"/>
    <w:multiLevelType w:val="hybridMultilevel"/>
    <w:tmpl w:val="FC84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A5447"/>
    <w:multiLevelType w:val="hybridMultilevel"/>
    <w:tmpl w:val="C44E7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15"/>
  </w:num>
  <w:num w:numId="14">
    <w:abstractNumId w:val="16"/>
  </w:num>
  <w:num w:numId="15">
    <w:abstractNumId w:val="1"/>
  </w:num>
  <w:num w:numId="16">
    <w:abstractNumId w:val="3"/>
  </w:num>
  <w:num w:numId="17">
    <w:abstractNumId w:val="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Curia"/>
    <w:docVar w:name="TextBaseURL" w:val="empty"/>
    <w:docVar w:name="UILng" w:val="en"/>
  </w:docVars>
  <w:rsids>
    <w:rsidRoot w:val="002366C8"/>
    <w:rsid w:val="00001225"/>
    <w:rsid w:val="00001F27"/>
    <w:rsid w:val="0001564D"/>
    <w:rsid w:val="00032D27"/>
    <w:rsid w:val="00043CAA"/>
    <w:rsid w:val="000455C7"/>
    <w:rsid w:val="00047DAC"/>
    <w:rsid w:val="00064EE6"/>
    <w:rsid w:val="000728DF"/>
    <w:rsid w:val="00075432"/>
    <w:rsid w:val="000916CE"/>
    <w:rsid w:val="00096371"/>
    <w:rsid w:val="000968ED"/>
    <w:rsid w:val="000A4458"/>
    <w:rsid w:val="000A6F1D"/>
    <w:rsid w:val="000C57B7"/>
    <w:rsid w:val="000D6ABF"/>
    <w:rsid w:val="000F1EE2"/>
    <w:rsid w:val="000F467F"/>
    <w:rsid w:val="000F5E56"/>
    <w:rsid w:val="00106B2E"/>
    <w:rsid w:val="001203CF"/>
    <w:rsid w:val="001362EE"/>
    <w:rsid w:val="001425CF"/>
    <w:rsid w:val="00153FC0"/>
    <w:rsid w:val="001647D5"/>
    <w:rsid w:val="00164C87"/>
    <w:rsid w:val="001832A6"/>
    <w:rsid w:val="00187B85"/>
    <w:rsid w:val="00187BA8"/>
    <w:rsid w:val="001B1D8B"/>
    <w:rsid w:val="001E6380"/>
    <w:rsid w:val="001E64F6"/>
    <w:rsid w:val="001F0EEA"/>
    <w:rsid w:val="001F2ED3"/>
    <w:rsid w:val="0021217E"/>
    <w:rsid w:val="002336AB"/>
    <w:rsid w:val="002366C8"/>
    <w:rsid w:val="002401EA"/>
    <w:rsid w:val="002634C4"/>
    <w:rsid w:val="00271EB2"/>
    <w:rsid w:val="00285849"/>
    <w:rsid w:val="002928D3"/>
    <w:rsid w:val="002B3598"/>
    <w:rsid w:val="002F1FE6"/>
    <w:rsid w:val="002F28BB"/>
    <w:rsid w:val="002F4E68"/>
    <w:rsid w:val="00312F7F"/>
    <w:rsid w:val="00346ACD"/>
    <w:rsid w:val="00361450"/>
    <w:rsid w:val="0036238B"/>
    <w:rsid w:val="003673CF"/>
    <w:rsid w:val="003845C1"/>
    <w:rsid w:val="003A4209"/>
    <w:rsid w:val="003A6F89"/>
    <w:rsid w:val="003B38C1"/>
    <w:rsid w:val="003B3E63"/>
    <w:rsid w:val="003C606F"/>
    <w:rsid w:val="003D41D5"/>
    <w:rsid w:val="003E267E"/>
    <w:rsid w:val="003E7073"/>
    <w:rsid w:val="003F17A3"/>
    <w:rsid w:val="0041630A"/>
    <w:rsid w:val="00417FA1"/>
    <w:rsid w:val="00423E3E"/>
    <w:rsid w:val="00427AF4"/>
    <w:rsid w:val="004531A3"/>
    <w:rsid w:val="00455E22"/>
    <w:rsid w:val="00462776"/>
    <w:rsid w:val="004647DA"/>
    <w:rsid w:val="00473BBA"/>
    <w:rsid w:val="00474062"/>
    <w:rsid w:val="00476FE1"/>
    <w:rsid w:val="00477D6B"/>
    <w:rsid w:val="004856A7"/>
    <w:rsid w:val="004944BF"/>
    <w:rsid w:val="004C48BB"/>
    <w:rsid w:val="004C7E2F"/>
    <w:rsid w:val="004D35A7"/>
    <w:rsid w:val="005019FF"/>
    <w:rsid w:val="00507C28"/>
    <w:rsid w:val="0053057A"/>
    <w:rsid w:val="00534C71"/>
    <w:rsid w:val="005369CE"/>
    <w:rsid w:val="00540CC9"/>
    <w:rsid w:val="00560A29"/>
    <w:rsid w:val="00562265"/>
    <w:rsid w:val="005749CA"/>
    <w:rsid w:val="00576D54"/>
    <w:rsid w:val="00580A9D"/>
    <w:rsid w:val="005901EA"/>
    <w:rsid w:val="0059296F"/>
    <w:rsid w:val="00596D83"/>
    <w:rsid w:val="005C6649"/>
    <w:rsid w:val="005C7E40"/>
    <w:rsid w:val="00605827"/>
    <w:rsid w:val="00607FF1"/>
    <w:rsid w:val="00620B8D"/>
    <w:rsid w:val="00645DCE"/>
    <w:rsid w:val="00646050"/>
    <w:rsid w:val="00656524"/>
    <w:rsid w:val="0066523F"/>
    <w:rsid w:val="006713CA"/>
    <w:rsid w:val="00676C5C"/>
    <w:rsid w:val="00686125"/>
    <w:rsid w:val="00695AB4"/>
    <w:rsid w:val="006C0B93"/>
    <w:rsid w:val="006C6E4C"/>
    <w:rsid w:val="006C7753"/>
    <w:rsid w:val="00704D6F"/>
    <w:rsid w:val="007112E8"/>
    <w:rsid w:val="00734718"/>
    <w:rsid w:val="0073667F"/>
    <w:rsid w:val="0074282E"/>
    <w:rsid w:val="00763E8B"/>
    <w:rsid w:val="0076547F"/>
    <w:rsid w:val="00766353"/>
    <w:rsid w:val="007677D9"/>
    <w:rsid w:val="007A2A06"/>
    <w:rsid w:val="007D1613"/>
    <w:rsid w:val="007E0D7B"/>
    <w:rsid w:val="007E4C0E"/>
    <w:rsid w:val="007E6A37"/>
    <w:rsid w:val="007F1806"/>
    <w:rsid w:val="007F731E"/>
    <w:rsid w:val="0081083F"/>
    <w:rsid w:val="00842180"/>
    <w:rsid w:val="00885E30"/>
    <w:rsid w:val="008A134B"/>
    <w:rsid w:val="008B2CC1"/>
    <w:rsid w:val="008B60B2"/>
    <w:rsid w:val="008C46C2"/>
    <w:rsid w:val="00905240"/>
    <w:rsid w:val="0090731E"/>
    <w:rsid w:val="00916EE2"/>
    <w:rsid w:val="00924F46"/>
    <w:rsid w:val="0093186E"/>
    <w:rsid w:val="0093271A"/>
    <w:rsid w:val="00934356"/>
    <w:rsid w:val="0094105A"/>
    <w:rsid w:val="0094779F"/>
    <w:rsid w:val="009623C9"/>
    <w:rsid w:val="009658ED"/>
    <w:rsid w:val="00966A22"/>
    <w:rsid w:val="0096722F"/>
    <w:rsid w:val="00973CA7"/>
    <w:rsid w:val="0097472B"/>
    <w:rsid w:val="00980843"/>
    <w:rsid w:val="009D6D01"/>
    <w:rsid w:val="009E2791"/>
    <w:rsid w:val="009E3F6F"/>
    <w:rsid w:val="009F499F"/>
    <w:rsid w:val="00A23C65"/>
    <w:rsid w:val="00A3042F"/>
    <w:rsid w:val="00A35BC8"/>
    <w:rsid w:val="00A37342"/>
    <w:rsid w:val="00A41344"/>
    <w:rsid w:val="00A42DAF"/>
    <w:rsid w:val="00A45BD8"/>
    <w:rsid w:val="00A470AE"/>
    <w:rsid w:val="00A6248C"/>
    <w:rsid w:val="00A869B7"/>
    <w:rsid w:val="00A94AF4"/>
    <w:rsid w:val="00AA1E72"/>
    <w:rsid w:val="00AC205C"/>
    <w:rsid w:val="00AD3CB6"/>
    <w:rsid w:val="00AE1C35"/>
    <w:rsid w:val="00AF0A6B"/>
    <w:rsid w:val="00AF254D"/>
    <w:rsid w:val="00B04684"/>
    <w:rsid w:val="00B05A69"/>
    <w:rsid w:val="00B218B1"/>
    <w:rsid w:val="00B257FE"/>
    <w:rsid w:val="00B31BA5"/>
    <w:rsid w:val="00B50079"/>
    <w:rsid w:val="00B73C3F"/>
    <w:rsid w:val="00B9734B"/>
    <w:rsid w:val="00BA29C4"/>
    <w:rsid w:val="00BA30E2"/>
    <w:rsid w:val="00BA482C"/>
    <w:rsid w:val="00BA4EBE"/>
    <w:rsid w:val="00BB49F0"/>
    <w:rsid w:val="00BC7B93"/>
    <w:rsid w:val="00BD68C1"/>
    <w:rsid w:val="00BE0B0E"/>
    <w:rsid w:val="00BE1719"/>
    <w:rsid w:val="00BE5E12"/>
    <w:rsid w:val="00BF4858"/>
    <w:rsid w:val="00C118EC"/>
    <w:rsid w:val="00C11BFE"/>
    <w:rsid w:val="00C12B10"/>
    <w:rsid w:val="00C12CE9"/>
    <w:rsid w:val="00C5068F"/>
    <w:rsid w:val="00C52C67"/>
    <w:rsid w:val="00C562F3"/>
    <w:rsid w:val="00C77DF9"/>
    <w:rsid w:val="00C81FEB"/>
    <w:rsid w:val="00C86D74"/>
    <w:rsid w:val="00C9716D"/>
    <w:rsid w:val="00CB1329"/>
    <w:rsid w:val="00CB63A8"/>
    <w:rsid w:val="00CB6BCB"/>
    <w:rsid w:val="00CC261B"/>
    <w:rsid w:val="00CD04F1"/>
    <w:rsid w:val="00D33090"/>
    <w:rsid w:val="00D33D96"/>
    <w:rsid w:val="00D45252"/>
    <w:rsid w:val="00D5213E"/>
    <w:rsid w:val="00D63FCE"/>
    <w:rsid w:val="00D71B4D"/>
    <w:rsid w:val="00D91C67"/>
    <w:rsid w:val="00D93D55"/>
    <w:rsid w:val="00D94448"/>
    <w:rsid w:val="00DB626E"/>
    <w:rsid w:val="00E15015"/>
    <w:rsid w:val="00E335FE"/>
    <w:rsid w:val="00E50840"/>
    <w:rsid w:val="00E64710"/>
    <w:rsid w:val="00E65059"/>
    <w:rsid w:val="00E71C6B"/>
    <w:rsid w:val="00E82D16"/>
    <w:rsid w:val="00E840BC"/>
    <w:rsid w:val="00EA0D5F"/>
    <w:rsid w:val="00EA2B1E"/>
    <w:rsid w:val="00EA7D6E"/>
    <w:rsid w:val="00EB0626"/>
    <w:rsid w:val="00EC4E49"/>
    <w:rsid w:val="00EC6B81"/>
    <w:rsid w:val="00ED77FB"/>
    <w:rsid w:val="00EE45FA"/>
    <w:rsid w:val="00EE7EEB"/>
    <w:rsid w:val="00F43329"/>
    <w:rsid w:val="00F66152"/>
    <w:rsid w:val="00F67CF9"/>
    <w:rsid w:val="00F7509D"/>
    <w:rsid w:val="00F93974"/>
    <w:rsid w:val="00FD00D0"/>
    <w:rsid w:val="00FD60F4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810425"/>
  <w15:docId w15:val="{06C6436C-C133-4A3F-83C5-134C8DF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6C8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D3CB6"/>
    <w:pPr>
      <w:ind w:left="720"/>
      <w:contextualSpacing/>
    </w:pPr>
  </w:style>
  <w:style w:type="table" w:styleId="TableGrid">
    <w:name w:val="Table Grid"/>
    <w:basedOn w:val="TableNormal"/>
    <w:rsid w:val="007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728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8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8D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728DF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EE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iPriority w:val="99"/>
    <w:rsid w:val="001F0EEA"/>
    <w:rPr>
      <w:vertAlign w:val="superscript"/>
    </w:rPr>
  </w:style>
  <w:style w:type="character" w:styleId="Hyperlink">
    <w:name w:val="Hyperlink"/>
    <w:basedOn w:val="DefaultParagraphFont"/>
    <w:semiHidden/>
    <w:unhideWhenUsed/>
    <w:rsid w:val="00BD6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1247</Words>
  <Characters>7405</Characters>
  <Application>Microsoft Office Word</Application>
  <DocSecurity>0</DocSecurity>
  <Lines>134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JIAO Fei</dc:creator>
  <cp:keywords>FOR OFFICIAL USE ONLY</cp:keywords>
  <cp:lastModifiedBy>BERNARD Nadège</cp:lastModifiedBy>
  <cp:revision>11</cp:revision>
  <cp:lastPrinted>2018-06-15T12:07:00Z</cp:lastPrinted>
  <dcterms:created xsi:type="dcterms:W3CDTF">2022-05-25T14:16:00Z</dcterms:created>
  <dcterms:modified xsi:type="dcterms:W3CDTF">2022-05-25T15:04:00Z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c4b226d6-0497-466d-bd74-c025acdc5f21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