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8903F1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05F7B9B4" w:rsidR="00361597" w:rsidRPr="008903F1" w:rsidRDefault="008546C6" w:rsidP="00A3645C">
            <w:pPr>
              <w:jc w:val="right"/>
              <w:rPr>
                <w:b/>
                <w:sz w:val="40"/>
                <w:szCs w:val="40"/>
                <w:lang w:val="fr-FR"/>
              </w:rPr>
            </w:pPr>
            <w:r w:rsidRPr="008903F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361597" w:rsidRPr="008903F1" w14:paraId="531D1524" w14:textId="77777777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0D6A9453" w14:textId="73E691F4" w:rsidR="00872066" w:rsidRPr="008903F1" w:rsidRDefault="00872066" w:rsidP="00A3645C">
            <w:pPr>
              <w:rPr>
                <w:lang w:val="fr-FR"/>
              </w:rPr>
            </w:pP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4CC8EC46" w14:textId="42C0882C" w:rsidR="00361597" w:rsidRPr="008903F1" w:rsidRDefault="008546C6" w:rsidP="00A3645C">
            <w:pPr>
              <w:rPr>
                <w:lang w:val="fr-FR"/>
              </w:rPr>
            </w:pPr>
            <w:r w:rsidRPr="008903F1">
              <w:rPr>
                <w:noProof/>
                <w:lang w:eastAsia="en-US"/>
              </w:rPr>
              <w:drawing>
                <wp:inline distT="0" distB="0" distL="0" distR="0" wp14:anchorId="6F34CFEE" wp14:editId="5819D665">
                  <wp:extent cx="1857600" cy="1320500"/>
                  <wp:effectExtent l="0" t="0" r="0" b="0"/>
                  <wp:docPr id="3" name="Picture 3" descr="Les courbes en direction du ciel du logo de l’OMPI évoquent le progrès de l’humanité stimulé par l’innovation et la créativité." title="Logo de l'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600" cy="132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97" w:rsidRPr="008903F1" w14:paraId="1D1F5905" w14:textId="77777777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8903F1" w:rsidRDefault="00872066" w:rsidP="00A3645C">
            <w:pPr>
              <w:rPr>
                <w:caps/>
                <w:sz w:val="15"/>
                <w:lang w:val="fr-FR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Pr="008903F1" w:rsidRDefault="00361597" w:rsidP="00A3645C">
            <w:pPr>
              <w:rPr>
                <w:lang w:val="fr-FR"/>
              </w:rPr>
            </w:pPr>
          </w:p>
        </w:tc>
      </w:tr>
      <w:tr w:rsidR="00361597" w:rsidRPr="008903F1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319C347C" w:rsidR="00361597" w:rsidRPr="008903F1" w:rsidRDefault="00B37DA7" w:rsidP="00E47DD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Code"/>
            <w:bookmarkEnd w:id="0"/>
            <w:r w:rsidRPr="008903F1">
              <w:rPr>
                <w:rFonts w:ascii="Arial Black" w:hAnsi="Arial Black"/>
                <w:caps/>
                <w:sz w:val="15"/>
                <w:lang w:val="fr-FR"/>
              </w:rPr>
              <w:t>WIPO/IPTK/GE/21</w:t>
            </w:r>
            <w:r w:rsidR="00D2067D" w:rsidRPr="008903F1">
              <w:rPr>
                <w:rFonts w:ascii="Arial Black" w:hAnsi="Arial Black"/>
                <w:caps/>
                <w:sz w:val="15"/>
                <w:lang w:val="fr-FR"/>
              </w:rPr>
              <w:t>/1</w:t>
            </w:r>
            <w:r w:rsidRPr="008903F1">
              <w:rPr>
                <w:rFonts w:ascii="Arial Black" w:hAnsi="Arial Black"/>
                <w:caps/>
                <w:sz w:val="15"/>
                <w:highlight w:val="yellow"/>
                <w:lang w:val="fr-FR"/>
              </w:rPr>
              <w:t xml:space="preserve"> </w:t>
            </w:r>
          </w:p>
        </w:tc>
      </w:tr>
      <w:tr w:rsidR="00361597" w:rsidRPr="008903F1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7245013B" w:rsidR="00361597" w:rsidRPr="008903F1" w:rsidRDefault="00361597" w:rsidP="009B46E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903F1">
              <w:rPr>
                <w:rFonts w:ascii="Arial Black" w:hAnsi="Arial Black"/>
                <w:caps/>
                <w:sz w:val="15"/>
                <w:lang w:val="fr-FR"/>
              </w:rPr>
              <w:t>O</w:t>
            </w:r>
            <w:r w:rsidR="009B46E1">
              <w:rPr>
                <w:rFonts w:ascii="Arial Black" w:hAnsi="Arial Black"/>
                <w:caps/>
                <w:sz w:val="15"/>
                <w:lang w:val="fr-FR"/>
              </w:rPr>
              <w:t>riginal</w:t>
            </w:r>
            <w:r w:rsidR="009338AB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903F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8546C6" w:rsidRPr="008903F1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361597" w:rsidRPr="008903F1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5BB146CF" w:rsidR="00361597" w:rsidRPr="008903F1" w:rsidRDefault="00361597" w:rsidP="00BF424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903F1">
              <w:rPr>
                <w:rFonts w:ascii="Arial Black" w:hAnsi="Arial Black"/>
                <w:caps/>
                <w:sz w:val="15"/>
                <w:lang w:val="fr-FR"/>
              </w:rPr>
              <w:t>D</w:t>
            </w:r>
            <w:r w:rsidR="009B46E1">
              <w:rPr>
                <w:rFonts w:ascii="Arial Black" w:hAnsi="Arial Black"/>
                <w:caps/>
                <w:sz w:val="15"/>
                <w:lang w:val="fr-FR"/>
              </w:rPr>
              <w:t>ate</w:t>
            </w:r>
            <w:r w:rsidR="009338AB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bookmarkStart w:id="2" w:name="Date"/>
            <w:bookmarkEnd w:id="2"/>
            <w:r w:rsidR="0079596B" w:rsidRPr="008903F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E47DD3" w:rsidRPr="008903F1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BF4248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="00E47DD3" w:rsidRPr="008903F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8546C6" w:rsidRPr="008903F1">
              <w:rPr>
                <w:rFonts w:ascii="Arial Black" w:hAnsi="Arial Black"/>
                <w:caps/>
                <w:sz w:val="15"/>
                <w:lang w:val="fr-FR"/>
              </w:rPr>
              <w:t>janvier </w:t>
            </w:r>
            <w:r w:rsidR="001252F3" w:rsidRPr="008903F1">
              <w:rPr>
                <w:rFonts w:ascii="Arial Black" w:hAnsi="Arial Black"/>
                <w:caps/>
                <w:sz w:val="15"/>
                <w:lang w:val="fr-FR"/>
              </w:rPr>
              <w:t>2021</w:t>
            </w:r>
          </w:p>
        </w:tc>
      </w:tr>
    </w:tbl>
    <w:p w14:paraId="2CDF8801" w14:textId="2EF64989" w:rsidR="00361597" w:rsidRPr="008903F1" w:rsidRDefault="008546C6" w:rsidP="009B46E1">
      <w:pPr>
        <w:spacing w:before="1200" w:after="480"/>
        <w:rPr>
          <w:b/>
          <w:caps/>
          <w:sz w:val="24"/>
          <w:lang w:val="fr-FR"/>
        </w:rPr>
      </w:pPr>
      <w:r w:rsidRPr="008903F1">
        <w:rPr>
          <w:b/>
          <w:caps/>
          <w:sz w:val="24"/>
          <w:lang w:val="fr-FR"/>
        </w:rPr>
        <w:t>Séminaire sur la propriété intellectuelle et les ressources génétiques</w:t>
      </w:r>
    </w:p>
    <w:p w14:paraId="56BB0E98" w14:textId="15ECD450" w:rsidR="00361597" w:rsidRPr="008903F1" w:rsidRDefault="008903F1" w:rsidP="009B46E1">
      <w:pPr>
        <w:spacing w:after="480"/>
        <w:rPr>
          <w:lang w:val="fr-FR"/>
        </w:rPr>
      </w:pPr>
      <w:r>
        <w:rPr>
          <w:lang w:val="fr-FR"/>
        </w:rPr>
        <w:t>o</w:t>
      </w:r>
      <w:r w:rsidR="00361597" w:rsidRPr="008903F1">
        <w:rPr>
          <w:lang w:val="fr-FR"/>
        </w:rPr>
        <w:t>rgani</w:t>
      </w:r>
      <w:r w:rsidR="008546C6" w:rsidRPr="008903F1">
        <w:rPr>
          <w:lang w:val="fr-FR"/>
        </w:rPr>
        <w:t>sé par</w:t>
      </w:r>
      <w:r w:rsidR="00361597" w:rsidRPr="008903F1">
        <w:rPr>
          <w:lang w:val="fr-FR"/>
        </w:rPr>
        <w:t xml:space="preserve"> </w:t>
      </w:r>
      <w:r w:rsidR="00361597" w:rsidRPr="008903F1">
        <w:rPr>
          <w:lang w:val="fr-FR"/>
        </w:rPr>
        <w:br/>
      </w:r>
      <w:r w:rsidR="008546C6" w:rsidRPr="008903F1">
        <w:rPr>
          <w:lang w:val="fr-FR"/>
        </w:rPr>
        <w:t>l</w:t>
      </w:r>
      <w:r w:rsidR="009338AB">
        <w:rPr>
          <w:lang w:val="fr-FR"/>
        </w:rPr>
        <w:t>’</w:t>
      </w:r>
      <w:r w:rsidR="008546C6" w:rsidRPr="008903F1">
        <w:rPr>
          <w:lang w:val="fr-FR"/>
        </w:rPr>
        <w:t>Organisation Mondiale de la Propriété Intellectuelle (OMPI)</w:t>
      </w:r>
    </w:p>
    <w:p w14:paraId="2ED1DE23" w14:textId="0985CC7D" w:rsidR="00361597" w:rsidRPr="008903F1" w:rsidRDefault="00065F12" w:rsidP="009B46E1">
      <w:pPr>
        <w:tabs>
          <w:tab w:val="center" w:pos="4781"/>
        </w:tabs>
        <w:spacing w:after="720"/>
        <w:rPr>
          <w:b/>
          <w:sz w:val="24"/>
          <w:szCs w:val="24"/>
          <w:lang w:val="fr-FR"/>
        </w:rPr>
      </w:pPr>
      <w:r w:rsidRPr="008903F1">
        <w:rPr>
          <w:b/>
          <w:sz w:val="24"/>
          <w:szCs w:val="24"/>
          <w:lang w:val="fr-FR"/>
        </w:rPr>
        <w:t>Gen</w:t>
      </w:r>
      <w:r w:rsidR="008903F1">
        <w:rPr>
          <w:b/>
          <w:sz w:val="24"/>
          <w:szCs w:val="24"/>
          <w:lang w:val="fr-FR"/>
        </w:rPr>
        <w:t>ève</w:t>
      </w:r>
      <w:r w:rsidRPr="008903F1">
        <w:rPr>
          <w:b/>
          <w:sz w:val="24"/>
          <w:szCs w:val="24"/>
          <w:lang w:val="fr-FR"/>
        </w:rPr>
        <w:t xml:space="preserve"> (</w:t>
      </w:r>
      <w:r w:rsidR="008903F1">
        <w:rPr>
          <w:b/>
          <w:sz w:val="24"/>
          <w:szCs w:val="24"/>
          <w:lang w:val="fr-FR"/>
        </w:rPr>
        <w:t>réunion virtuelle</w:t>
      </w:r>
      <w:r w:rsidRPr="008903F1">
        <w:rPr>
          <w:b/>
          <w:sz w:val="24"/>
          <w:szCs w:val="24"/>
          <w:lang w:val="fr-FR"/>
        </w:rPr>
        <w:t>)</w:t>
      </w:r>
      <w:r w:rsidR="00361597" w:rsidRPr="008903F1">
        <w:rPr>
          <w:b/>
          <w:sz w:val="24"/>
          <w:szCs w:val="24"/>
          <w:lang w:val="fr-FR"/>
        </w:rPr>
        <w:t xml:space="preserve">, </w:t>
      </w:r>
      <w:r w:rsidR="002D6D7F" w:rsidRPr="008903F1">
        <w:rPr>
          <w:b/>
          <w:sz w:val="24"/>
          <w:szCs w:val="24"/>
          <w:lang w:val="fr-FR"/>
        </w:rPr>
        <w:t xml:space="preserve">20 </w:t>
      </w:r>
      <w:r w:rsidR="008903F1">
        <w:rPr>
          <w:b/>
          <w:sz w:val="24"/>
          <w:szCs w:val="24"/>
          <w:lang w:val="fr-FR"/>
        </w:rPr>
        <w:t>– 22 janvier </w:t>
      </w:r>
      <w:r w:rsidR="002D6D7F" w:rsidRPr="008903F1">
        <w:rPr>
          <w:b/>
          <w:sz w:val="24"/>
          <w:szCs w:val="24"/>
          <w:lang w:val="fr-FR"/>
        </w:rPr>
        <w:t>2021</w:t>
      </w:r>
    </w:p>
    <w:p w14:paraId="4B7C5C56" w14:textId="2CC4EB91" w:rsidR="00361597" w:rsidRPr="008903F1" w:rsidRDefault="002D6D7F" w:rsidP="009B46E1">
      <w:pPr>
        <w:spacing w:after="360"/>
        <w:rPr>
          <w:caps/>
          <w:sz w:val="24"/>
          <w:lang w:val="fr-FR"/>
        </w:rPr>
      </w:pPr>
      <w:bookmarkStart w:id="3" w:name="TitleOfDoc"/>
      <w:bookmarkEnd w:id="3"/>
      <w:r w:rsidRPr="008903F1">
        <w:rPr>
          <w:caps/>
          <w:sz w:val="24"/>
          <w:lang w:val="fr-FR"/>
        </w:rPr>
        <w:t>Pro</w:t>
      </w:r>
      <w:r w:rsidR="00BF4248">
        <w:rPr>
          <w:caps/>
          <w:sz w:val="24"/>
          <w:lang w:val="fr-FR"/>
        </w:rPr>
        <w:t>gramme</w:t>
      </w:r>
      <w:bookmarkStart w:id="4" w:name="_GoBack"/>
      <w:bookmarkEnd w:id="4"/>
    </w:p>
    <w:p w14:paraId="00D39C1A" w14:textId="57C14E8A" w:rsidR="00361597" w:rsidRPr="008903F1" w:rsidRDefault="008903F1" w:rsidP="009B46E1">
      <w:pPr>
        <w:spacing w:after="960"/>
        <w:rPr>
          <w:lang w:val="fr-FR"/>
        </w:rPr>
      </w:pPr>
      <w:bookmarkStart w:id="5" w:name="Prepared"/>
      <w:bookmarkEnd w:id="5"/>
      <w:r>
        <w:rPr>
          <w:i/>
          <w:lang w:val="fr-FR"/>
        </w:rPr>
        <w:t>établi par le Bureau international de l</w:t>
      </w:r>
      <w:r w:rsidR="009338AB">
        <w:rPr>
          <w:i/>
          <w:lang w:val="fr-FR"/>
        </w:rPr>
        <w:t>’</w:t>
      </w:r>
      <w:r>
        <w:rPr>
          <w:i/>
          <w:lang w:val="fr-FR"/>
        </w:rPr>
        <w:t>OMPI</w:t>
      </w:r>
    </w:p>
    <w:p w14:paraId="11FD6AEA" w14:textId="77777777" w:rsidR="00361597" w:rsidRPr="008903F1" w:rsidRDefault="00361597" w:rsidP="004A2604">
      <w:pPr>
        <w:rPr>
          <w:lang w:val="fr-FR"/>
        </w:rPr>
      </w:pPr>
      <w:r w:rsidRPr="008903F1">
        <w:rPr>
          <w:lang w:val="fr-FR"/>
        </w:rPr>
        <w:br w:type="page"/>
      </w:r>
    </w:p>
    <w:p w14:paraId="5A8A9905" w14:textId="77777777" w:rsidR="009B46E1" w:rsidRDefault="008903F1" w:rsidP="009B46E1">
      <w:pPr>
        <w:spacing w:after="220"/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lastRenderedPageBreak/>
        <w:t>Mercredi 20 janvier </w:t>
      </w:r>
      <w:r w:rsidR="002D6D7F" w:rsidRPr="008903F1">
        <w:rPr>
          <w:szCs w:val="22"/>
          <w:u w:val="single"/>
          <w:lang w:val="fr-FR"/>
        </w:rPr>
        <w:t>2021</w:t>
      </w:r>
    </w:p>
    <w:p w14:paraId="089306AB" w14:textId="77777777" w:rsidR="009B46E1" w:rsidRDefault="00646E9D" w:rsidP="009B46E1">
      <w:pPr>
        <w:spacing w:after="220"/>
        <w:ind w:left="2835" w:hanging="2835"/>
        <w:rPr>
          <w:b/>
          <w:szCs w:val="22"/>
          <w:lang w:val="fr-FR"/>
        </w:rPr>
      </w:pPr>
      <w:r w:rsidRPr="008903F1">
        <w:rPr>
          <w:szCs w:val="22"/>
          <w:lang w:val="fr-FR"/>
        </w:rPr>
        <w:t>1</w:t>
      </w:r>
      <w:r w:rsidR="002D6D7F" w:rsidRPr="008903F1">
        <w:rPr>
          <w:szCs w:val="22"/>
          <w:lang w:val="fr-FR"/>
        </w:rPr>
        <w:t>2</w:t>
      </w:r>
      <w:r w:rsidR="008903F1">
        <w:rPr>
          <w:szCs w:val="22"/>
          <w:lang w:val="fr-FR"/>
        </w:rPr>
        <w:t> h </w:t>
      </w:r>
      <w:r w:rsidR="002D6D7F" w:rsidRPr="008903F1">
        <w:rPr>
          <w:szCs w:val="22"/>
          <w:lang w:val="fr-FR"/>
        </w:rPr>
        <w:t>00</w:t>
      </w:r>
      <w:r w:rsidR="00640582" w:rsidRPr="008903F1">
        <w:rPr>
          <w:szCs w:val="22"/>
          <w:lang w:val="fr-FR"/>
        </w:rPr>
        <w:t xml:space="preserve"> – </w:t>
      </w:r>
      <w:r w:rsidRPr="008903F1">
        <w:rPr>
          <w:szCs w:val="22"/>
          <w:lang w:val="fr-FR"/>
        </w:rPr>
        <w:t>1</w:t>
      </w:r>
      <w:r w:rsidR="002D6D7F" w:rsidRPr="008903F1">
        <w:rPr>
          <w:szCs w:val="22"/>
          <w:lang w:val="fr-FR"/>
        </w:rPr>
        <w:t>2</w:t>
      </w:r>
      <w:r w:rsidR="008903F1">
        <w:rPr>
          <w:szCs w:val="22"/>
          <w:lang w:val="fr-FR"/>
        </w:rPr>
        <w:t> h </w:t>
      </w:r>
      <w:r w:rsidR="002D6D7F" w:rsidRPr="008903F1">
        <w:rPr>
          <w:szCs w:val="22"/>
          <w:lang w:val="fr-FR"/>
        </w:rPr>
        <w:t>2</w:t>
      </w:r>
      <w:r w:rsidR="007D62C2" w:rsidRPr="008903F1">
        <w:rPr>
          <w:szCs w:val="22"/>
          <w:lang w:val="fr-FR"/>
        </w:rPr>
        <w:t>0</w:t>
      </w:r>
      <w:r w:rsidR="00640582" w:rsidRPr="008903F1">
        <w:rPr>
          <w:b/>
          <w:szCs w:val="22"/>
          <w:lang w:val="fr-FR"/>
        </w:rPr>
        <w:tab/>
      </w:r>
      <w:r w:rsidR="008903F1" w:rsidRPr="008903F1">
        <w:rPr>
          <w:b/>
          <w:szCs w:val="22"/>
          <w:lang w:val="fr-FR"/>
        </w:rPr>
        <w:t>Séance d</w:t>
      </w:r>
      <w:r w:rsidR="009338AB">
        <w:rPr>
          <w:b/>
          <w:szCs w:val="22"/>
          <w:lang w:val="fr-FR"/>
        </w:rPr>
        <w:t>’</w:t>
      </w:r>
      <w:r w:rsidR="008903F1" w:rsidRPr="008903F1">
        <w:rPr>
          <w:b/>
          <w:szCs w:val="22"/>
          <w:lang w:val="fr-FR"/>
        </w:rPr>
        <w:t>ouverture</w:t>
      </w:r>
    </w:p>
    <w:p w14:paraId="67C9ED10" w14:textId="504860D7" w:rsidR="009B46E1" w:rsidRDefault="004456A2" w:rsidP="00811EA1">
      <w:pPr>
        <w:spacing w:after="220"/>
        <w:ind w:left="2835"/>
        <w:rPr>
          <w:szCs w:val="22"/>
          <w:lang w:val="fr-FR"/>
        </w:rPr>
      </w:pPr>
      <w:r w:rsidRPr="008903F1">
        <w:rPr>
          <w:szCs w:val="22"/>
          <w:lang w:val="fr-FR"/>
        </w:rPr>
        <w:t>M.</w:t>
      </w:r>
      <w:r w:rsidR="008903F1">
        <w:rPr>
          <w:szCs w:val="22"/>
          <w:lang w:val="fr-FR"/>
        </w:rPr>
        <w:t> </w:t>
      </w:r>
      <w:r w:rsidR="009338AB">
        <w:rPr>
          <w:szCs w:val="22"/>
          <w:lang w:val="fr-FR"/>
        </w:rPr>
        <w:t>Daren Tang</w:t>
      </w:r>
      <w:r w:rsidRPr="008903F1">
        <w:rPr>
          <w:szCs w:val="22"/>
          <w:lang w:val="fr-FR"/>
        </w:rPr>
        <w:t xml:space="preserve">, </w:t>
      </w:r>
      <w:r w:rsidR="00A109CF" w:rsidRPr="008903F1">
        <w:rPr>
          <w:szCs w:val="22"/>
          <w:lang w:val="fr-FR"/>
        </w:rPr>
        <w:t>Direct</w:t>
      </w:r>
      <w:r w:rsidR="008903F1">
        <w:rPr>
          <w:szCs w:val="22"/>
          <w:lang w:val="fr-FR"/>
        </w:rPr>
        <w:t>eur général de l</w:t>
      </w:r>
      <w:r w:rsidR="009338AB">
        <w:rPr>
          <w:szCs w:val="22"/>
          <w:lang w:val="fr-FR"/>
        </w:rPr>
        <w:t>’</w:t>
      </w:r>
      <w:r w:rsidR="008903F1">
        <w:rPr>
          <w:szCs w:val="22"/>
          <w:lang w:val="fr-FR"/>
        </w:rPr>
        <w:t xml:space="preserve">Organisation Mondiale de la </w:t>
      </w:r>
      <w:r w:rsidR="00C1171F">
        <w:rPr>
          <w:szCs w:val="22"/>
          <w:lang w:val="fr-FR"/>
        </w:rPr>
        <w:t>Propriété Intellectuelle (OMPI)</w:t>
      </w:r>
    </w:p>
    <w:p w14:paraId="6BB94E48" w14:textId="0B7377DC" w:rsidR="008B21E0" w:rsidRPr="008903F1" w:rsidRDefault="00646E9D" w:rsidP="00811EA1">
      <w:pPr>
        <w:spacing w:after="60"/>
        <w:ind w:left="2835" w:hanging="2835"/>
        <w:rPr>
          <w:b/>
          <w:szCs w:val="22"/>
          <w:lang w:val="fr-FR"/>
        </w:rPr>
      </w:pPr>
      <w:r w:rsidRPr="008903F1">
        <w:rPr>
          <w:szCs w:val="22"/>
          <w:lang w:val="fr-FR"/>
        </w:rPr>
        <w:t>1</w:t>
      </w:r>
      <w:r w:rsidR="002D6D7F" w:rsidRPr="008903F1">
        <w:rPr>
          <w:szCs w:val="22"/>
          <w:lang w:val="fr-FR"/>
        </w:rPr>
        <w:t>2</w:t>
      </w:r>
      <w:r w:rsidR="008903F1">
        <w:rPr>
          <w:szCs w:val="22"/>
          <w:lang w:val="fr-FR"/>
        </w:rPr>
        <w:t> h </w:t>
      </w:r>
      <w:r w:rsidR="002D6D7F" w:rsidRPr="008903F1">
        <w:rPr>
          <w:szCs w:val="22"/>
          <w:lang w:val="fr-FR"/>
        </w:rPr>
        <w:t>2</w:t>
      </w:r>
      <w:r w:rsidR="007D62C2" w:rsidRPr="008903F1">
        <w:rPr>
          <w:szCs w:val="22"/>
          <w:lang w:val="fr-FR"/>
        </w:rPr>
        <w:t>0</w:t>
      </w:r>
      <w:r w:rsidR="00173E56" w:rsidRPr="008903F1">
        <w:rPr>
          <w:szCs w:val="22"/>
          <w:lang w:val="fr-FR"/>
        </w:rPr>
        <w:t xml:space="preserve"> – </w:t>
      </w:r>
      <w:r w:rsidR="002D6D7F" w:rsidRPr="008903F1">
        <w:rPr>
          <w:szCs w:val="22"/>
          <w:lang w:val="fr-FR"/>
        </w:rPr>
        <w:t>14</w:t>
      </w:r>
      <w:r w:rsidR="008903F1">
        <w:rPr>
          <w:szCs w:val="22"/>
          <w:lang w:val="fr-FR"/>
        </w:rPr>
        <w:t> h </w:t>
      </w:r>
      <w:r w:rsidR="00E03A8C" w:rsidRPr="008903F1">
        <w:rPr>
          <w:szCs w:val="22"/>
          <w:lang w:val="fr-FR"/>
        </w:rPr>
        <w:t>3</w:t>
      </w:r>
      <w:r w:rsidR="003B2289" w:rsidRPr="008903F1">
        <w:rPr>
          <w:szCs w:val="22"/>
          <w:lang w:val="fr-FR"/>
        </w:rPr>
        <w:t>0</w:t>
      </w:r>
      <w:r w:rsidR="00865F25" w:rsidRPr="008903F1">
        <w:rPr>
          <w:szCs w:val="22"/>
          <w:lang w:val="fr-FR"/>
        </w:rPr>
        <w:tab/>
      </w:r>
      <w:r w:rsidR="00C1171F">
        <w:rPr>
          <w:b/>
          <w:szCs w:val="22"/>
          <w:lang w:val="fr-FR"/>
        </w:rPr>
        <w:t>Thè</w:t>
      </w:r>
      <w:r w:rsidR="008B21E0" w:rsidRPr="008903F1">
        <w:rPr>
          <w:b/>
          <w:szCs w:val="22"/>
          <w:lang w:val="fr-FR"/>
        </w:rPr>
        <w:t>me</w:t>
      </w:r>
      <w:r w:rsidR="00C1171F">
        <w:rPr>
          <w:b/>
          <w:szCs w:val="22"/>
          <w:lang w:val="fr-FR"/>
        </w:rPr>
        <w:t> </w:t>
      </w:r>
      <w:r w:rsidR="008B21E0" w:rsidRPr="008903F1">
        <w:rPr>
          <w:b/>
          <w:szCs w:val="22"/>
          <w:lang w:val="fr-FR"/>
        </w:rPr>
        <w:t>1</w:t>
      </w:r>
      <w:r w:rsidR="009338AB">
        <w:rPr>
          <w:b/>
          <w:szCs w:val="22"/>
          <w:lang w:val="fr-FR"/>
        </w:rPr>
        <w:t> :</w:t>
      </w:r>
      <w:r w:rsidR="008B21E0" w:rsidRPr="008903F1">
        <w:rPr>
          <w:b/>
          <w:szCs w:val="22"/>
          <w:lang w:val="fr-FR"/>
        </w:rPr>
        <w:t xml:space="preserve"> </w:t>
      </w:r>
      <w:r w:rsidR="00C87405">
        <w:rPr>
          <w:b/>
          <w:szCs w:val="22"/>
          <w:lang w:val="fr-FR"/>
        </w:rPr>
        <w:t>Exigence de divulgation en ce qui concerne</w:t>
      </w:r>
      <w:r w:rsidR="00C1171F">
        <w:rPr>
          <w:b/>
          <w:szCs w:val="22"/>
          <w:lang w:val="fr-FR"/>
        </w:rPr>
        <w:t xml:space="preserve"> les ressources génétiques et les savoir</w:t>
      </w:r>
      <w:r w:rsidR="008B21E0" w:rsidRPr="008903F1">
        <w:rPr>
          <w:b/>
          <w:szCs w:val="22"/>
          <w:lang w:val="fr-FR"/>
        </w:rPr>
        <w:t>s</w:t>
      </w:r>
      <w:r w:rsidR="00C1171F">
        <w:rPr>
          <w:b/>
          <w:szCs w:val="22"/>
          <w:lang w:val="fr-FR"/>
        </w:rPr>
        <w:t xml:space="preserve"> traditionnels </w:t>
      </w:r>
      <w:r w:rsidR="006D400A">
        <w:rPr>
          <w:b/>
          <w:szCs w:val="22"/>
          <w:lang w:val="fr-FR"/>
        </w:rPr>
        <w:t>connexes</w:t>
      </w:r>
    </w:p>
    <w:p w14:paraId="1D08913B" w14:textId="017AE2C1" w:rsidR="009B46E1" w:rsidRDefault="008B21E0" w:rsidP="00811EA1">
      <w:pPr>
        <w:spacing w:after="220"/>
        <w:ind w:left="2835"/>
        <w:rPr>
          <w:lang w:val="fr-FR"/>
        </w:rPr>
      </w:pPr>
      <w:r w:rsidRPr="008903F1">
        <w:rPr>
          <w:szCs w:val="22"/>
          <w:lang w:val="fr-FR"/>
        </w:rPr>
        <w:t>(</w:t>
      </w:r>
      <w:r w:rsidR="006D400A" w:rsidRPr="006D400A">
        <w:rPr>
          <w:lang w:val="fr-FR"/>
        </w:rPr>
        <w:t>L</w:t>
      </w:r>
      <w:r w:rsidR="009338AB">
        <w:rPr>
          <w:lang w:val="fr-FR"/>
        </w:rPr>
        <w:t>’</w:t>
      </w:r>
      <w:r w:rsidR="006D400A" w:rsidRPr="006D400A">
        <w:rPr>
          <w:lang w:val="fr-FR"/>
        </w:rPr>
        <w:t xml:space="preserve">exigence de divulgation a trait à des dispositions faisant obligation aux déposants de demandes de titres de propriété intellectuelle ou de brevets </w:t>
      </w:r>
      <w:r w:rsidR="00540D22">
        <w:rPr>
          <w:lang w:val="fr-FR"/>
        </w:rPr>
        <w:t>d</w:t>
      </w:r>
      <w:r w:rsidR="009338AB">
        <w:rPr>
          <w:lang w:val="fr-FR"/>
        </w:rPr>
        <w:t>’</w:t>
      </w:r>
      <w:r w:rsidR="006D400A" w:rsidRPr="006D400A">
        <w:rPr>
          <w:lang w:val="fr-FR"/>
        </w:rPr>
        <w:t>inclure dans leur demande plusieurs catégories supplémentaires d</w:t>
      </w:r>
      <w:r w:rsidR="009338AB">
        <w:rPr>
          <w:lang w:val="fr-FR"/>
        </w:rPr>
        <w:t>’</w:t>
      </w:r>
      <w:r w:rsidR="006D400A" w:rsidRPr="006D400A">
        <w:rPr>
          <w:lang w:val="fr-FR"/>
        </w:rPr>
        <w:t>informations, telles que la source ou l</w:t>
      </w:r>
      <w:r w:rsidR="009338AB">
        <w:rPr>
          <w:lang w:val="fr-FR"/>
        </w:rPr>
        <w:t>’</w:t>
      </w:r>
      <w:r w:rsidR="006D400A" w:rsidRPr="006D400A">
        <w:rPr>
          <w:lang w:val="fr-FR"/>
        </w:rPr>
        <w:t>origine des ressources génétiques, ainsi que la preuve d</w:t>
      </w:r>
      <w:r w:rsidR="009338AB">
        <w:rPr>
          <w:lang w:val="fr-FR"/>
        </w:rPr>
        <w:t>’</w:t>
      </w:r>
      <w:r w:rsidR="006D400A" w:rsidRPr="006D400A">
        <w:rPr>
          <w:lang w:val="fr-FR"/>
        </w:rPr>
        <w:t>un consentement préalable en connaissance de cause et d</w:t>
      </w:r>
      <w:r w:rsidR="009338AB">
        <w:rPr>
          <w:lang w:val="fr-FR"/>
        </w:rPr>
        <w:t>’</w:t>
      </w:r>
      <w:r w:rsidR="006D400A" w:rsidRPr="006D400A">
        <w:rPr>
          <w:lang w:val="fr-FR"/>
        </w:rPr>
        <w:t>un accord relatif au partage des avantag</w:t>
      </w:r>
      <w:r w:rsidR="009B46E1" w:rsidRPr="006D400A">
        <w:rPr>
          <w:lang w:val="fr-FR"/>
        </w:rPr>
        <w:t>es</w:t>
      </w:r>
      <w:r w:rsidR="009B46E1">
        <w:rPr>
          <w:lang w:val="fr-FR"/>
        </w:rPr>
        <w:t xml:space="preserve">.  </w:t>
      </w:r>
      <w:r w:rsidR="009B46E1" w:rsidRPr="006D400A">
        <w:rPr>
          <w:lang w:val="fr-FR"/>
        </w:rPr>
        <w:t>Le</w:t>
      </w:r>
      <w:r w:rsidR="006D400A" w:rsidRPr="006D400A">
        <w:rPr>
          <w:lang w:val="fr-FR"/>
        </w:rPr>
        <w:t xml:space="preserve">s </w:t>
      </w:r>
      <w:r w:rsidR="00784015">
        <w:rPr>
          <w:lang w:val="fr-FR"/>
        </w:rPr>
        <w:t>intervenants</w:t>
      </w:r>
      <w:r w:rsidR="006D400A" w:rsidRPr="006D400A">
        <w:rPr>
          <w:lang w:val="fr-FR"/>
        </w:rPr>
        <w:t xml:space="preserve"> ont été invités à présenter des enquêtes et des études récentes sur l</w:t>
      </w:r>
      <w:r w:rsidR="009338AB">
        <w:rPr>
          <w:lang w:val="fr-FR"/>
        </w:rPr>
        <w:t>’</w:t>
      </w:r>
      <w:r w:rsidR="006D400A" w:rsidRPr="006D400A">
        <w:rPr>
          <w:lang w:val="fr-FR"/>
        </w:rPr>
        <w:t>exigence de divulgation, et à partager des données d</w:t>
      </w:r>
      <w:r w:rsidR="009338AB">
        <w:rPr>
          <w:lang w:val="fr-FR"/>
        </w:rPr>
        <w:t>’</w:t>
      </w:r>
      <w:r w:rsidR="006D400A" w:rsidRPr="006D400A">
        <w:rPr>
          <w:lang w:val="fr-FR"/>
        </w:rPr>
        <w:t>expérience récentes concernant la mise en œuvre de l</w:t>
      </w:r>
      <w:r w:rsidR="009338AB">
        <w:rPr>
          <w:lang w:val="fr-FR"/>
        </w:rPr>
        <w:t>’</w:t>
      </w:r>
      <w:r w:rsidR="006D400A" w:rsidRPr="006D400A">
        <w:rPr>
          <w:lang w:val="fr-FR"/>
        </w:rPr>
        <w:t>exigence de divulgation aux niveaux régional et national</w:t>
      </w:r>
      <w:r w:rsidRPr="008903F1">
        <w:rPr>
          <w:lang w:val="fr-FR"/>
        </w:rPr>
        <w:t>.)</w:t>
      </w:r>
    </w:p>
    <w:p w14:paraId="758751CF" w14:textId="77777777" w:rsidR="009B46E1" w:rsidRDefault="00784015" w:rsidP="00811EA1">
      <w:pPr>
        <w:spacing w:after="220" w:line="260" w:lineRule="exact"/>
        <w:ind w:left="4536" w:hanging="1701"/>
        <w:rPr>
          <w:szCs w:val="22"/>
          <w:lang w:val="fr-FR"/>
        </w:rPr>
      </w:pPr>
      <w:r>
        <w:rPr>
          <w:szCs w:val="22"/>
          <w:lang w:val="fr-FR"/>
        </w:rPr>
        <w:t>Modérat</w:t>
      </w:r>
      <w:r w:rsidR="006D400A">
        <w:rPr>
          <w:szCs w:val="22"/>
          <w:lang w:val="fr-FR"/>
        </w:rPr>
        <w:t>rice</w:t>
      </w:r>
      <w:r w:rsidR="009338AB">
        <w:rPr>
          <w:szCs w:val="22"/>
          <w:lang w:val="fr-FR"/>
        </w:rPr>
        <w:t> :</w:t>
      </w:r>
      <w:r w:rsidR="008B21E0" w:rsidRPr="008903F1">
        <w:rPr>
          <w:szCs w:val="22"/>
          <w:lang w:val="fr-FR"/>
        </w:rPr>
        <w:t xml:space="preserve"> </w:t>
      </w:r>
      <w:r w:rsidR="001252F3" w:rsidRPr="008903F1">
        <w:rPr>
          <w:szCs w:val="22"/>
          <w:lang w:val="fr-FR"/>
        </w:rPr>
        <w:tab/>
      </w:r>
      <w:r w:rsidR="00816171" w:rsidRPr="008903F1">
        <w:rPr>
          <w:szCs w:val="22"/>
          <w:lang w:val="fr-FR"/>
        </w:rPr>
        <w:t>M</w:t>
      </w:r>
      <w:r w:rsidR="006D400A">
        <w:rPr>
          <w:szCs w:val="22"/>
          <w:lang w:val="fr-FR"/>
        </w:rPr>
        <w:t>me </w:t>
      </w:r>
      <w:r w:rsidR="00816171" w:rsidRPr="008903F1">
        <w:rPr>
          <w:szCs w:val="22"/>
          <w:lang w:val="fr-FR"/>
        </w:rPr>
        <w:t>Socorro</w:t>
      </w:r>
      <w:r w:rsidR="006D400A">
        <w:rPr>
          <w:szCs w:val="22"/>
          <w:lang w:val="fr-FR"/>
        </w:rPr>
        <w:t> </w:t>
      </w:r>
      <w:r w:rsidR="00816171" w:rsidRPr="008903F1">
        <w:rPr>
          <w:szCs w:val="22"/>
          <w:lang w:val="fr-FR"/>
        </w:rPr>
        <w:t>Flores</w:t>
      </w:r>
      <w:r w:rsidR="006D655C">
        <w:rPr>
          <w:szCs w:val="22"/>
          <w:lang w:val="fr-FR"/>
        </w:rPr>
        <w:t> </w:t>
      </w:r>
      <w:r w:rsidR="00816171" w:rsidRPr="008903F1">
        <w:rPr>
          <w:szCs w:val="22"/>
          <w:lang w:val="fr-FR"/>
        </w:rPr>
        <w:t xml:space="preserve">Liera, </w:t>
      </w:r>
      <w:r w:rsidR="006D655C">
        <w:rPr>
          <w:szCs w:val="22"/>
          <w:lang w:val="fr-FR"/>
        </w:rPr>
        <w:t>a</w:t>
      </w:r>
      <w:r w:rsidR="00816171" w:rsidRPr="008903F1">
        <w:rPr>
          <w:szCs w:val="22"/>
          <w:lang w:val="fr-FR"/>
        </w:rPr>
        <w:t>mbassad</w:t>
      </w:r>
      <w:r w:rsidR="006D655C">
        <w:rPr>
          <w:szCs w:val="22"/>
          <w:lang w:val="fr-FR"/>
        </w:rPr>
        <w:t>rice extraordinaire et plénipotent</w:t>
      </w:r>
      <w:r w:rsidR="00C87405">
        <w:rPr>
          <w:szCs w:val="22"/>
          <w:lang w:val="fr-FR"/>
        </w:rPr>
        <w:t>ia</w:t>
      </w:r>
      <w:r w:rsidR="006D655C">
        <w:rPr>
          <w:szCs w:val="22"/>
          <w:lang w:val="fr-FR"/>
        </w:rPr>
        <w:t>ire, représentante permanente, Mission permanente du Mexique auprès de l</w:t>
      </w:r>
      <w:r w:rsidR="009338AB">
        <w:rPr>
          <w:szCs w:val="22"/>
          <w:lang w:val="fr-FR"/>
        </w:rPr>
        <w:t>’</w:t>
      </w:r>
      <w:r w:rsidR="006D655C">
        <w:rPr>
          <w:szCs w:val="22"/>
          <w:lang w:val="fr-FR"/>
        </w:rPr>
        <w:t xml:space="preserve">Office des </w:t>
      </w:r>
      <w:r w:rsidR="009338AB">
        <w:rPr>
          <w:szCs w:val="22"/>
          <w:lang w:val="fr-FR"/>
        </w:rPr>
        <w:t>Nations Unies</w:t>
      </w:r>
      <w:r w:rsidR="006D655C">
        <w:rPr>
          <w:szCs w:val="22"/>
          <w:lang w:val="fr-FR"/>
        </w:rPr>
        <w:t xml:space="preserve"> et des autres organisations internationales à Genève</w:t>
      </w:r>
    </w:p>
    <w:p w14:paraId="1EF23608" w14:textId="2662173E" w:rsidR="009B46E1" w:rsidRDefault="006D655C" w:rsidP="00811EA1">
      <w:pPr>
        <w:spacing w:after="220"/>
        <w:ind w:left="4536" w:hanging="1701"/>
        <w:rPr>
          <w:szCs w:val="22"/>
          <w:lang w:val="fr-FR"/>
        </w:rPr>
      </w:pPr>
      <w:r>
        <w:rPr>
          <w:szCs w:val="22"/>
          <w:lang w:val="fr-FR"/>
        </w:rPr>
        <w:t>Conférenciers</w:t>
      </w:r>
      <w:r w:rsidR="009338AB">
        <w:rPr>
          <w:szCs w:val="22"/>
          <w:lang w:val="fr-FR"/>
        </w:rPr>
        <w:t> :</w:t>
      </w:r>
      <w:r w:rsidR="008B21E0" w:rsidRPr="008903F1">
        <w:rPr>
          <w:szCs w:val="22"/>
          <w:lang w:val="fr-FR"/>
        </w:rPr>
        <w:t xml:space="preserve"> </w:t>
      </w:r>
      <w:r>
        <w:rPr>
          <w:szCs w:val="22"/>
          <w:lang w:val="fr-FR"/>
        </w:rPr>
        <w:tab/>
      </w:r>
      <w:r w:rsidR="008B21E0" w:rsidRPr="008903F1">
        <w:rPr>
          <w:szCs w:val="22"/>
          <w:lang w:val="fr-FR"/>
        </w:rPr>
        <w:t>M.</w:t>
      </w:r>
      <w:r>
        <w:rPr>
          <w:szCs w:val="22"/>
          <w:lang w:val="fr-FR"/>
        </w:rPr>
        <w:t> </w:t>
      </w:r>
      <w:r w:rsidR="008B21E0" w:rsidRPr="008903F1">
        <w:rPr>
          <w:szCs w:val="22"/>
          <w:lang w:val="fr-FR"/>
        </w:rPr>
        <w:t>Pierre</w:t>
      </w:r>
      <w:r>
        <w:rPr>
          <w:szCs w:val="22"/>
          <w:lang w:val="fr-FR"/>
        </w:rPr>
        <w:t> </w:t>
      </w:r>
      <w:r w:rsidR="008B21E0" w:rsidRPr="008903F1">
        <w:rPr>
          <w:szCs w:val="22"/>
          <w:lang w:val="fr-FR"/>
        </w:rPr>
        <w:t>du</w:t>
      </w:r>
      <w:r>
        <w:rPr>
          <w:szCs w:val="22"/>
          <w:lang w:val="fr-FR"/>
        </w:rPr>
        <w:t> </w:t>
      </w:r>
      <w:r w:rsidR="008B21E0" w:rsidRPr="008903F1">
        <w:rPr>
          <w:szCs w:val="22"/>
          <w:lang w:val="fr-FR"/>
        </w:rPr>
        <w:t xml:space="preserve">Plessis, </w:t>
      </w:r>
      <w:r w:rsidR="00F50945">
        <w:rPr>
          <w:szCs w:val="22"/>
          <w:lang w:val="fr-FR"/>
        </w:rPr>
        <w:t>conseiller technique de négociateurs africains</w:t>
      </w:r>
    </w:p>
    <w:p w14:paraId="68730878" w14:textId="477DC95B" w:rsidR="009B46E1" w:rsidRDefault="008F3402" w:rsidP="00811EA1">
      <w:pPr>
        <w:spacing w:after="220"/>
        <w:ind w:left="4536"/>
        <w:rPr>
          <w:szCs w:val="22"/>
          <w:lang w:val="fr-FR"/>
        </w:rPr>
      </w:pPr>
      <w:r w:rsidRPr="008903F1">
        <w:rPr>
          <w:szCs w:val="22"/>
          <w:lang w:val="fr-FR"/>
        </w:rPr>
        <w:t>M.</w:t>
      </w:r>
      <w:r w:rsidR="006D655C">
        <w:rPr>
          <w:szCs w:val="22"/>
          <w:lang w:val="fr-FR"/>
        </w:rPr>
        <w:t> </w:t>
      </w:r>
      <w:r w:rsidRPr="008903F1">
        <w:rPr>
          <w:szCs w:val="22"/>
          <w:lang w:val="fr-FR"/>
        </w:rPr>
        <w:t>Marco</w:t>
      </w:r>
      <w:r w:rsidR="006D655C">
        <w:rPr>
          <w:szCs w:val="22"/>
          <w:lang w:val="fr-FR"/>
        </w:rPr>
        <w:t> </w:t>
      </w:r>
      <w:r w:rsidRPr="008903F1">
        <w:rPr>
          <w:szCs w:val="22"/>
          <w:lang w:val="fr-FR"/>
        </w:rPr>
        <w:t>d</w:t>
      </w:r>
      <w:r w:rsidR="009338AB">
        <w:rPr>
          <w:szCs w:val="22"/>
          <w:lang w:val="fr-FR"/>
        </w:rPr>
        <w:t>’</w:t>
      </w:r>
      <w:r w:rsidRPr="008903F1">
        <w:rPr>
          <w:szCs w:val="22"/>
          <w:lang w:val="fr-FR"/>
        </w:rPr>
        <w:t xml:space="preserve">Alessandro, </w:t>
      </w:r>
      <w:r w:rsidR="00A35710">
        <w:rPr>
          <w:szCs w:val="22"/>
          <w:lang w:val="fr-FR"/>
        </w:rPr>
        <w:t>c</w:t>
      </w:r>
      <w:r w:rsidR="00A35710" w:rsidRPr="00A35710">
        <w:rPr>
          <w:szCs w:val="22"/>
          <w:lang w:val="fr-FR"/>
        </w:rPr>
        <w:t>onseiller politique principal</w:t>
      </w:r>
      <w:r w:rsidR="00DC2E1D">
        <w:rPr>
          <w:szCs w:val="22"/>
          <w:lang w:val="fr-FR"/>
        </w:rPr>
        <w:t>, D</w:t>
      </w:r>
      <w:r w:rsidR="00A35710">
        <w:rPr>
          <w:szCs w:val="22"/>
          <w:lang w:val="fr-FR"/>
        </w:rPr>
        <w:t xml:space="preserve">éveloppement durable et coopération internationale, </w:t>
      </w:r>
      <w:r w:rsidR="00DC2E1D" w:rsidRPr="00DC2E1D">
        <w:rPr>
          <w:szCs w:val="22"/>
          <w:lang w:val="fr-FR"/>
        </w:rPr>
        <w:t>Institut fédéral de la propriété intellectuelle</w:t>
      </w:r>
      <w:r w:rsidR="00DC2E1D">
        <w:rPr>
          <w:szCs w:val="22"/>
          <w:lang w:val="fr-FR"/>
        </w:rPr>
        <w:t xml:space="preserve"> (</w:t>
      </w:r>
      <w:r w:rsidRPr="008903F1">
        <w:rPr>
          <w:szCs w:val="22"/>
          <w:lang w:val="fr-FR"/>
        </w:rPr>
        <w:t>S</w:t>
      </w:r>
      <w:r w:rsidR="005C5F67">
        <w:rPr>
          <w:szCs w:val="22"/>
          <w:lang w:val="fr-FR"/>
        </w:rPr>
        <w:t>uisse)</w:t>
      </w:r>
    </w:p>
    <w:p w14:paraId="3FA2796E" w14:textId="1E5628B1" w:rsidR="00F50945" w:rsidRDefault="00F50945" w:rsidP="00811EA1">
      <w:pPr>
        <w:spacing w:after="220"/>
        <w:ind w:left="4536"/>
        <w:rPr>
          <w:szCs w:val="22"/>
          <w:lang w:val="fr-FR"/>
        </w:rPr>
      </w:pPr>
      <w:r>
        <w:rPr>
          <w:szCs w:val="22"/>
          <w:lang w:val="fr-FR"/>
        </w:rPr>
        <w:t xml:space="preserve">M. Warren Hassett, conseiller principal, </w:t>
      </w:r>
      <w:r w:rsidR="00ED6B34">
        <w:rPr>
          <w:szCs w:val="22"/>
          <w:lang w:val="fr-FR"/>
        </w:rPr>
        <w:t>gestion d’entreprise et politique en matière de propriété intellectuelle, Ministère du commerce, de l’innovation et de l’emploi (Nouvelle</w:t>
      </w:r>
      <w:r w:rsidR="00ED6B34">
        <w:rPr>
          <w:szCs w:val="22"/>
          <w:lang w:val="fr-FR"/>
        </w:rPr>
        <w:noBreakHyphen/>
        <w:t>Zélande)</w:t>
      </w:r>
    </w:p>
    <w:p w14:paraId="6A63D482" w14:textId="1A795DB6" w:rsidR="00ED6B34" w:rsidRDefault="00ED6B34" w:rsidP="00811EA1">
      <w:pPr>
        <w:spacing w:after="220"/>
        <w:ind w:left="4536"/>
        <w:rPr>
          <w:szCs w:val="22"/>
          <w:lang w:val="fr-FR"/>
        </w:rPr>
      </w:pPr>
      <w:r>
        <w:rPr>
          <w:szCs w:val="22"/>
          <w:lang w:val="fr-FR"/>
        </w:rPr>
        <w:t>Mme Maria José Lamus, directrice déléguée de la propriété industrielle (Colombie)</w:t>
      </w:r>
    </w:p>
    <w:p w14:paraId="7BC8DD3C" w14:textId="77777777" w:rsidR="009B46E1" w:rsidRDefault="009C4BE1" w:rsidP="00811EA1">
      <w:pPr>
        <w:spacing w:after="220"/>
        <w:ind w:left="4536"/>
        <w:rPr>
          <w:szCs w:val="22"/>
          <w:lang w:val="fr-FR"/>
        </w:rPr>
      </w:pPr>
      <w:r w:rsidRPr="008903F1">
        <w:rPr>
          <w:szCs w:val="22"/>
          <w:lang w:val="fr-FR"/>
        </w:rPr>
        <w:t>M.</w:t>
      </w:r>
      <w:r w:rsidR="005C5F67">
        <w:rPr>
          <w:szCs w:val="22"/>
          <w:lang w:val="fr-FR"/>
        </w:rPr>
        <w:t> Dominic </w:t>
      </w:r>
      <w:r w:rsidRPr="008903F1">
        <w:rPr>
          <w:szCs w:val="22"/>
          <w:lang w:val="fr-FR"/>
        </w:rPr>
        <w:t xml:space="preserve">Muyldermans, </w:t>
      </w:r>
      <w:r w:rsidR="005C5F67" w:rsidRPr="005C5F67">
        <w:rPr>
          <w:szCs w:val="22"/>
          <w:lang w:val="fr-FR"/>
        </w:rPr>
        <w:t>conseiller juridique principal</w:t>
      </w:r>
      <w:r w:rsidRPr="008903F1">
        <w:rPr>
          <w:szCs w:val="22"/>
          <w:lang w:val="fr-FR"/>
        </w:rPr>
        <w:t>, CropLife International</w:t>
      </w:r>
    </w:p>
    <w:p w14:paraId="72306596" w14:textId="40579A57" w:rsidR="009B46E1" w:rsidRDefault="008B21E0" w:rsidP="00811EA1">
      <w:pPr>
        <w:spacing w:after="220"/>
        <w:ind w:left="4536"/>
        <w:rPr>
          <w:szCs w:val="22"/>
          <w:lang w:val="fr-FR"/>
        </w:rPr>
      </w:pPr>
      <w:r w:rsidRPr="008903F1">
        <w:rPr>
          <w:szCs w:val="22"/>
          <w:lang w:val="fr-FR"/>
        </w:rPr>
        <w:t>M</w:t>
      </w:r>
      <w:r w:rsidR="005C5F67">
        <w:rPr>
          <w:szCs w:val="22"/>
          <w:lang w:val="fr-FR"/>
        </w:rPr>
        <w:t>me </w:t>
      </w:r>
      <w:r w:rsidRPr="008903F1">
        <w:rPr>
          <w:szCs w:val="22"/>
          <w:lang w:val="fr-FR"/>
        </w:rPr>
        <w:t>Jennifer</w:t>
      </w:r>
      <w:r w:rsidR="005C5F67">
        <w:rPr>
          <w:szCs w:val="22"/>
          <w:lang w:val="fr-FR"/>
        </w:rPr>
        <w:t> </w:t>
      </w:r>
      <w:r w:rsidRPr="008903F1">
        <w:rPr>
          <w:szCs w:val="22"/>
          <w:lang w:val="fr-FR"/>
        </w:rPr>
        <w:t>Tauli</w:t>
      </w:r>
      <w:r w:rsidR="005C5F67">
        <w:rPr>
          <w:szCs w:val="22"/>
          <w:lang w:val="fr-FR"/>
        </w:rPr>
        <w:t> </w:t>
      </w:r>
      <w:r w:rsidRPr="008903F1">
        <w:rPr>
          <w:szCs w:val="22"/>
          <w:lang w:val="fr-FR"/>
        </w:rPr>
        <w:t xml:space="preserve">Corpuz, </w:t>
      </w:r>
      <w:r w:rsidR="005C5F67">
        <w:rPr>
          <w:szCs w:val="22"/>
          <w:lang w:val="fr-FR"/>
        </w:rPr>
        <w:t>conseillère politique</w:t>
      </w:r>
      <w:r w:rsidR="009F46FC" w:rsidRPr="008903F1">
        <w:rPr>
          <w:szCs w:val="22"/>
          <w:lang w:val="fr-FR"/>
        </w:rPr>
        <w:t xml:space="preserve">, </w:t>
      </w:r>
      <w:r w:rsidRPr="008903F1">
        <w:rPr>
          <w:szCs w:val="22"/>
          <w:lang w:val="fr-FR"/>
        </w:rPr>
        <w:t>Tebtebba Foundation</w:t>
      </w:r>
      <w:r w:rsidR="005C5F67">
        <w:rPr>
          <w:szCs w:val="22"/>
          <w:lang w:val="fr-FR"/>
        </w:rPr>
        <w:t xml:space="preserve"> (</w:t>
      </w:r>
      <w:r w:rsidRPr="008903F1">
        <w:rPr>
          <w:szCs w:val="22"/>
          <w:lang w:val="fr-FR"/>
        </w:rPr>
        <w:t>Philippines</w:t>
      </w:r>
      <w:r w:rsidR="005C5F67">
        <w:rPr>
          <w:szCs w:val="22"/>
          <w:lang w:val="fr-FR"/>
        </w:rPr>
        <w:t>)</w:t>
      </w:r>
    </w:p>
    <w:p w14:paraId="76195B9E" w14:textId="77777777" w:rsidR="009B46E1" w:rsidRDefault="003E0871" w:rsidP="00811EA1">
      <w:pPr>
        <w:spacing w:after="220"/>
        <w:ind w:left="2835"/>
        <w:rPr>
          <w:szCs w:val="22"/>
          <w:lang w:val="fr-FR"/>
        </w:rPr>
      </w:pPr>
      <w:r w:rsidRPr="008903F1">
        <w:rPr>
          <w:szCs w:val="22"/>
          <w:lang w:val="fr-FR"/>
        </w:rPr>
        <w:t>D</w:t>
      </w:r>
      <w:r w:rsidR="005C5F67">
        <w:rPr>
          <w:szCs w:val="22"/>
          <w:lang w:val="fr-FR"/>
        </w:rPr>
        <w:t>ébat</w:t>
      </w:r>
    </w:p>
    <w:p w14:paraId="3CACFAC4" w14:textId="77777777" w:rsidR="009B46E1" w:rsidRDefault="008903F1" w:rsidP="000D05FB">
      <w:pPr>
        <w:keepNext/>
        <w:spacing w:before="480" w:after="220"/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lastRenderedPageBreak/>
        <w:t>Jeudi 21 janvier </w:t>
      </w:r>
      <w:r w:rsidR="002D6D7F" w:rsidRPr="008903F1">
        <w:rPr>
          <w:szCs w:val="22"/>
          <w:u w:val="single"/>
          <w:lang w:val="fr-FR"/>
        </w:rPr>
        <w:t>2021</w:t>
      </w:r>
    </w:p>
    <w:p w14:paraId="3B51EC49" w14:textId="5190C0CB" w:rsidR="008B21E0" w:rsidRPr="008903F1" w:rsidRDefault="00E03A8C" w:rsidP="000D05FB">
      <w:pPr>
        <w:keepNext/>
        <w:spacing w:after="60"/>
        <w:ind w:left="2835" w:hanging="2835"/>
        <w:rPr>
          <w:b/>
          <w:szCs w:val="22"/>
          <w:lang w:val="fr-FR"/>
        </w:rPr>
      </w:pPr>
      <w:r w:rsidRPr="008903F1">
        <w:rPr>
          <w:szCs w:val="22"/>
          <w:lang w:val="fr-FR"/>
        </w:rPr>
        <w:t>12</w:t>
      </w:r>
      <w:r w:rsidR="008903F1">
        <w:rPr>
          <w:szCs w:val="22"/>
          <w:lang w:val="fr-FR"/>
        </w:rPr>
        <w:t> h </w:t>
      </w:r>
      <w:r w:rsidR="002D6D7F" w:rsidRPr="008903F1">
        <w:rPr>
          <w:szCs w:val="22"/>
          <w:lang w:val="fr-FR"/>
        </w:rPr>
        <w:t>00</w:t>
      </w:r>
      <w:r w:rsidR="00640582" w:rsidRPr="008903F1">
        <w:rPr>
          <w:szCs w:val="22"/>
          <w:lang w:val="fr-FR"/>
        </w:rPr>
        <w:t xml:space="preserve"> – </w:t>
      </w:r>
      <w:r w:rsidR="00656BDB" w:rsidRPr="008903F1">
        <w:rPr>
          <w:szCs w:val="22"/>
          <w:lang w:val="fr-FR"/>
        </w:rPr>
        <w:t>14</w:t>
      </w:r>
      <w:r w:rsidR="008903F1">
        <w:rPr>
          <w:szCs w:val="22"/>
          <w:lang w:val="fr-FR"/>
        </w:rPr>
        <w:t> h </w:t>
      </w:r>
      <w:r w:rsidRPr="008903F1">
        <w:rPr>
          <w:szCs w:val="22"/>
          <w:lang w:val="fr-FR"/>
        </w:rPr>
        <w:t>3</w:t>
      </w:r>
      <w:r w:rsidR="00656BDB" w:rsidRPr="008903F1">
        <w:rPr>
          <w:szCs w:val="22"/>
          <w:lang w:val="fr-FR"/>
        </w:rPr>
        <w:t>0</w:t>
      </w:r>
      <w:r w:rsidR="00640582" w:rsidRPr="008903F1">
        <w:rPr>
          <w:b/>
          <w:szCs w:val="22"/>
          <w:lang w:val="fr-FR"/>
        </w:rPr>
        <w:tab/>
      </w:r>
      <w:r w:rsidR="008B21E0" w:rsidRPr="008903F1">
        <w:rPr>
          <w:b/>
          <w:szCs w:val="22"/>
          <w:lang w:val="fr-FR"/>
        </w:rPr>
        <w:t>Th</w:t>
      </w:r>
      <w:r w:rsidR="005C5F67">
        <w:rPr>
          <w:b/>
          <w:szCs w:val="22"/>
          <w:lang w:val="fr-FR"/>
        </w:rPr>
        <w:t>è</w:t>
      </w:r>
      <w:r w:rsidR="008B21E0" w:rsidRPr="008903F1">
        <w:rPr>
          <w:b/>
          <w:szCs w:val="22"/>
          <w:lang w:val="fr-FR"/>
        </w:rPr>
        <w:t>me</w:t>
      </w:r>
      <w:r w:rsidR="005C5F67">
        <w:rPr>
          <w:b/>
          <w:szCs w:val="22"/>
          <w:lang w:val="fr-FR"/>
        </w:rPr>
        <w:t> </w:t>
      </w:r>
      <w:r w:rsidR="008B21E0" w:rsidRPr="008903F1">
        <w:rPr>
          <w:b/>
          <w:szCs w:val="22"/>
          <w:lang w:val="fr-FR"/>
        </w:rPr>
        <w:t>2</w:t>
      </w:r>
      <w:r w:rsidR="009338AB">
        <w:rPr>
          <w:b/>
          <w:szCs w:val="22"/>
          <w:lang w:val="fr-FR"/>
        </w:rPr>
        <w:t> :</w:t>
      </w:r>
      <w:r w:rsidR="008B21E0" w:rsidRPr="008903F1">
        <w:rPr>
          <w:b/>
          <w:szCs w:val="22"/>
          <w:lang w:val="fr-FR"/>
        </w:rPr>
        <w:t xml:space="preserve"> </w:t>
      </w:r>
      <w:r w:rsidR="005C5F67">
        <w:rPr>
          <w:b/>
          <w:szCs w:val="22"/>
          <w:lang w:val="fr-FR"/>
        </w:rPr>
        <w:t>Systèmes d</w:t>
      </w:r>
      <w:r w:rsidR="009338AB">
        <w:rPr>
          <w:b/>
          <w:szCs w:val="22"/>
          <w:lang w:val="fr-FR"/>
        </w:rPr>
        <w:t>’</w:t>
      </w:r>
      <w:r w:rsidR="005C5F67">
        <w:rPr>
          <w:b/>
          <w:szCs w:val="22"/>
          <w:lang w:val="fr-FR"/>
        </w:rPr>
        <w:t>i</w:t>
      </w:r>
      <w:r w:rsidR="008B21E0" w:rsidRPr="008903F1">
        <w:rPr>
          <w:b/>
          <w:szCs w:val="22"/>
          <w:lang w:val="fr-FR"/>
        </w:rPr>
        <w:t xml:space="preserve">nformation </w:t>
      </w:r>
      <w:r w:rsidR="00A636AD">
        <w:rPr>
          <w:b/>
          <w:szCs w:val="22"/>
          <w:lang w:val="fr-FR"/>
        </w:rPr>
        <w:t xml:space="preserve">et mécanismes de diligence requise </w:t>
      </w:r>
      <w:r w:rsidR="00784015">
        <w:rPr>
          <w:b/>
          <w:szCs w:val="22"/>
          <w:lang w:val="fr-FR"/>
        </w:rPr>
        <w:t>dans le domaine des</w:t>
      </w:r>
      <w:r w:rsidR="00A636AD">
        <w:rPr>
          <w:b/>
          <w:szCs w:val="22"/>
          <w:lang w:val="fr-FR"/>
        </w:rPr>
        <w:t xml:space="preserve"> ressources génétiques et </w:t>
      </w:r>
      <w:r w:rsidR="00784015">
        <w:rPr>
          <w:b/>
          <w:szCs w:val="22"/>
          <w:lang w:val="fr-FR"/>
        </w:rPr>
        <w:t>d</w:t>
      </w:r>
      <w:r w:rsidR="00A636AD">
        <w:rPr>
          <w:b/>
          <w:szCs w:val="22"/>
          <w:lang w:val="fr-FR"/>
        </w:rPr>
        <w:t>es savoirs traditionnels</w:t>
      </w:r>
      <w:r w:rsidR="00784015">
        <w:rPr>
          <w:b/>
          <w:szCs w:val="22"/>
          <w:lang w:val="fr-FR"/>
        </w:rPr>
        <w:t xml:space="preserve"> connexes</w:t>
      </w:r>
    </w:p>
    <w:p w14:paraId="18D0BE1D" w14:textId="77777777" w:rsidR="009B46E1" w:rsidRDefault="008B21E0" w:rsidP="00811EA1">
      <w:pPr>
        <w:spacing w:after="220"/>
        <w:ind w:left="2835"/>
        <w:rPr>
          <w:szCs w:val="22"/>
          <w:lang w:val="fr-FR"/>
        </w:rPr>
      </w:pPr>
      <w:r w:rsidRPr="008903F1">
        <w:rPr>
          <w:szCs w:val="22"/>
          <w:lang w:val="fr-FR"/>
        </w:rPr>
        <w:t>(</w:t>
      </w:r>
      <w:r w:rsidR="00784015" w:rsidRPr="00784015">
        <w:rPr>
          <w:szCs w:val="22"/>
          <w:lang w:val="fr-FR"/>
        </w:rPr>
        <w:t>Les systèmes d</w:t>
      </w:r>
      <w:r w:rsidR="009338AB">
        <w:rPr>
          <w:szCs w:val="22"/>
          <w:lang w:val="fr-FR"/>
        </w:rPr>
        <w:t>’</w:t>
      </w:r>
      <w:r w:rsidR="00784015" w:rsidRPr="00784015">
        <w:rPr>
          <w:szCs w:val="22"/>
          <w:lang w:val="fr-FR"/>
        </w:rPr>
        <w:t>information sont considérés comme ayant un rôle essentiel à jouer pour aider les examinateurs de brevets à établir l</w:t>
      </w:r>
      <w:r w:rsidR="009338AB">
        <w:rPr>
          <w:szCs w:val="22"/>
          <w:lang w:val="fr-FR"/>
        </w:rPr>
        <w:t>’</w:t>
      </w:r>
      <w:r w:rsidR="00784015" w:rsidRPr="00784015">
        <w:rPr>
          <w:szCs w:val="22"/>
          <w:lang w:val="fr-FR"/>
        </w:rPr>
        <w:t>état de la technique pertinent et à éviter la délivrance de brevets par erre</w:t>
      </w:r>
      <w:r w:rsidR="009B46E1" w:rsidRPr="00784015">
        <w:rPr>
          <w:szCs w:val="22"/>
          <w:lang w:val="fr-FR"/>
        </w:rPr>
        <w:t>ur</w:t>
      </w:r>
      <w:r w:rsidR="009B46E1">
        <w:rPr>
          <w:szCs w:val="22"/>
          <w:lang w:val="fr-FR"/>
        </w:rPr>
        <w:t xml:space="preserve">.  </w:t>
      </w:r>
      <w:r w:rsidR="009B46E1" w:rsidRPr="00784015">
        <w:rPr>
          <w:szCs w:val="22"/>
          <w:lang w:val="fr-FR"/>
        </w:rPr>
        <w:t>Le</w:t>
      </w:r>
      <w:r w:rsidR="00784015" w:rsidRPr="00784015">
        <w:rPr>
          <w:szCs w:val="22"/>
          <w:lang w:val="fr-FR"/>
        </w:rPr>
        <w:t>s mécanismes de diligence requise sont considérés comme ayant un rôle fondamental en ce qui concerne l</w:t>
      </w:r>
      <w:r w:rsidR="009338AB">
        <w:rPr>
          <w:szCs w:val="22"/>
          <w:lang w:val="fr-FR"/>
        </w:rPr>
        <w:t>’</w:t>
      </w:r>
      <w:r w:rsidR="00784015" w:rsidRPr="00784015">
        <w:rPr>
          <w:szCs w:val="22"/>
          <w:lang w:val="fr-FR"/>
        </w:rPr>
        <w:t>accès aux ressources génétiques, conformément aux systèmes nationaux et régionaux d</w:t>
      </w:r>
      <w:r w:rsidR="009338AB">
        <w:rPr>
          <w:szCs w:val="22"/>
          <w:lang w:val="fr-FR"/>
        </w:rPr>
        <w:t>’</w:t>
      </w:r>
      <w:r w:rsidR="00784015" w:rsidRPr="00784015">
        <w:rPr>
          <w:szCs w:val="22"/>
          <w:lang w:val="fr-FR"/>
        </w:rPr>
        <w:t>accès et de partage des avantag</w:t>
      </w:r>
      <w:r w:rsidR="009B46E1" w:rsidRPr="00784015">
        <w:rPr>
          <w:szCs w:val="22"/>
          <w:lang w:val="fr-FR"/>
        </w:rPr>
        <w:t>es</w:t>
      </w:r>
      <w:r w:rsidR="009B46E1">
        <w:rPr>
          <w:szCs w:val="22"/>
          <w:lang w:val="fr-FR"/>
        </w:rPr>
        <w:t xml:space="preserve">.  </w:t>
      </w:r>
      <w:r w:rsidR="009B46E1" w:rsidRPr="00784015">
        <w:rPr>
          <w:szCs w:val="22"/>
          <w:lang w:val="fr-FR"/>
        </w:rPr>
        <w:t>Le</w:t>
      </w:r>
      <w:r w:rsidR="00784015" w:rsidRPr="00784015">
        <w:rPr>
          <w:szCs w:val="22"/>
          <w:lang w:val="fr-FR"/>
        </w:rPr>
        <w:t>s intervenants ont été invités à faire part de leur expérience des systèmes d</w:t>
      </w:r>
      <w:r w:rsidR="009338AB">
        <w:rPr>
          <w:szCs w:val="22"/>
          <w:lang w:val="fr-FR"/>
        </w:rPr>
        <w:t>’</w:t>
      </w:r>
      <w:r w:rsidR="00784015" w:rsidRPr="00784015">
        <w:rPr>
          <w:szCs w:val="22"/>
          <w:lang w:val="fr-FR"/>
        </w:rPr>
        <w:t>information et des mécanismes de diligence requise dans le domaine des ressources génétiques et des savoirs traditionnels connexes.</w:t>
      </w:r>
      <w:r w:rsidRPr="008903F1">
        <w:rPr>
          <w:szCs w:val="22"/>
          <w:lang w:val="fr-FR"/>
        </w:rPr>
        <w:t>)</w:t>
      </w:r>
    </w:p>
    <w:p w14:paraId="56847CF8" w14:textId="0D599430" w:rsidR="009B46E1" w:rsidRDefault="00E57C61" w:rsidP="00811EA1">
      <w:pPr>
        <w:spacing w:after="220"/>
        <w:ind w:left="4536" w:hanging="1701"/>
        <w:rPr>
          <w:szCs w:val="22"/>
          <w:lang w:val="fr-FR"/>
        </w:rPr>
      </w:pPr>
      <w:r>
        <w:rPr>
          <w:szCs w:val="22"/>
          <w:lang w:val="fr-FR"/>
        </w:rPr>
        <w:t>Animat</w:t>
      </w:r>
      <w:r w:rsidR="004B2F24">
        <w:rPr>
          <w:szCs w:val="22"/>
          <w:lang w:val="fr-FR"/>
        </w:rPr>
        <w:t>rice</w:t>
      </w:r>
      <w:r w:rsidR="009338AB">
        <w:rPr>
          <w:szCs w:val="22"/>
          <w:lang w:val="fr-FR"/>
        </w:rPr>
        <w:t> :</w:t>
      </w:r>
      <w:r w:rsidR="008B21E0" w:rsidRPr="008903F1">
        <w:rPr>
          <w:szCs w:val="22"/>
          <w:lang w:val="fr-FR"/>
        </w:rPr>
        <w:t xml:space="preserve"> </w:t>
      </w:r>
      <w:r w:rsidR="008B21E0" w:rsidRPr="008903F1">
        <w:rPr>
          <w:szCs w:val="22"/>
          <w:lang w:val="fr-FR"/>
        </w:rPr>
        <w:tab/>
      </w:r>
      <w:r w:rsidR="004B2F24">
        <w:rPr>
          <w:szCs w:val="22"/>
          <w:lang w:val="fr-FR"/>
        </w:rPr>
        <w:t>Mme Hilda Al</w:t>
      </w:r>
      <w:r w:rsidR="004B2F24">
        <w:rPr>
          <w:szCs w:val="22"/>
          <w:lang w:val="fr-FR"/>
        </w:rPr>
        <w:noBreakHyphen/>
        <w:t>Hinai, représentante permanente adjointe du Sultanat d’Oman auprès de l’Organisation mondiale du commerce</w:t>
      </w:r>
    </w:p>
    <w:p w14:paraId="2DFF8BBA" w14:textId="77777777" w:rsidR="009B46E1" w:rsidRDefault="00E57C61" w:rsidP="00811EA1">
      <w:pPr>
        <w:spacing w:after="220"/>
        <w:ind w:left="4536" w:hanging="1701"/>
        <w:rPr>
          <w:szCs w:val="22"/>
          <w:lang w:val="fr-FR"/>
        </w:rPr>
      </w:pPr>
      <w:r>
        <w:rPr>
          <w:szCs w:val="22"/>
          <w:lang w:val="fr-FR"/>
        </w:rPr>
        <w:t>Conférenci</w:t>
      </w:r>
      <w:r w:rsidR="008B21E0" w:rsidRPr="008903F1">
        <w:rPr>
          <w:szCs w:val="22"/>
          <w:lang w:val="fr-FR"/>
        </w:rPr>
        <w:t>ers</w:t>
      </w:r>
      <w:r w:rsidR="009338AB">
        <w:rPr>
          <w:szCs w:val="22"/>
          <w:lang w:val="fr-FR"/>
        </w:rPr>
        <w:t> :</w:t>
      </w:r>
      <w:r w:rsidR="008E5742">
        <w:rPr>
          <w:szCs w:val="22"/>
          <w:lang w:val="fr-FR"/>
        </w:rPr>
        <w:t xml:space="preserve"> </w:t>
      </w:r>
      <w:r w:rsidR="008B21E0" w:rsidRPr="008903F1">
        <w:rPr>
          <w:szCs w:val="22"/>
          <w:lang w:val="fr-FR"/>
        </w:rPr>
        <w:tab/>
      </w:r>
      <w:r w:rsidR="00635C81" w:rsidRPr="008903F1">
        <w:rPr>
          <w:lang w:val="fr-FR"/>
        </w:rPr>
        <w:t>M.</w:t>
      </w:r>
      <w:r>
        <w:rPr>
          <w:lang w:val="fr-FR"/>
        </w:rPr>
        <w:t> </w:t>
      </w:r>
      <w:r w:rsidR="00635C81" w:rsidRPr="008903F1">
        <w:rPr>
          <w:lang w:val="fr-FR"/>
        </w:rPr>
        <w:t>Dominic</w:t>
      </w:r>
      <w:r>
        <w:rPr>
          <w:lang w:val="fr-FR"/>
        </w:rPr>
        <w:t> </w:t>
      </w:r>
      <w:r w:rsidR="00635C81" w:rsidRPr="008903F1">
        <w:rPr>
          <w:lang w:val="fr-FR"/>
        </w:rPr>
        <w:t xml:space="preserve">Keating, </w:t>
      </w:r>
      <w:r>
        <w:rPr>
          <w:lang w:val="fr-FR"/>
        </w:rPr>
        <w:t>directeur</w:t>
      </w:r>
      <w:r w:rsidR="00635C81" w:rsidRPr="008903F1">
        <w:rPr>
          <w:lang w:val="fr-FR"/>
        </w:rPr>
        <w:t xml:space="preserve">, </w:t>
      </w:r>
      <w:r w:rsidRPr="00E57C61">
        <w:rPr>
          <w:lang w:val="fr-FR"/>
        </w:rPr>
        <w:t>Programme d</w:t>
      </w:r>
      <w:r w:rsidR="009338AB">
        <w:rPr>
          <w:lang w:val="fr-FR"/>
        </w:rPr>
        <w:t>’</w:t>
      </w:r>
      <w:r w:rsidRPr="00E57C61">
        <w:rPr>
          <w:lang w:val="fr-FR"/>
        </w:rPr>
        <w:t>experts en propriété intellectuelle, Office des brevets et des marques des États</w:t>
      </w:r>
      <w:r w:rsidR="009B46E1">
        <w:rPr>
          <w:lang w:val="fr-FR"/>
        </w:rPr>
        <w:noBreakHyphen/>
      </w:r>
      <w:r w:rsidRPr="00E57C61">
        <w:rPr>
          <w:lang w:val="fr-FR"/>
        </w:rPr>
        <w:t>Unis d</w:t>
      </w:r>
      <w:r w:rsidR="009338AB">
        <w:rPr>
          <w:lang w:val="fr-FR"/>
        </w:rPr>
        <w:t>’</w:t>
      </w:r>
      <w:r w:rsidRPr="00E57C61">
        <w:rPr>
          <w:lang w:val="fr-FR"/>
        </w:rPr>
        <w:t>Amérique (États</w:t>
      </w:r>
      <w:r w:rsidR="009B46E1">
        <w:rPr>
          <w:lang w:val="fr-FR"/>
        </w:rPr>
        <w:noBreakHyphen/>
      </w:r>
      <w:r w:rsidRPr="00E57C61">
        <w:rPr>
          <w:lang w:val="fr-FR"/>
        </w:rPr>
        <w:t>Unis d</w:t>
      </w:r>
      <w:r w:rsidR="009338AB">
        <w:rPr>
          <w:lang w:val="fr-FR"/>
        </w:rPr>
        <w:t>’</w:t>
      </w:r>
      <w:r w:rsidRPr="00E57C61">
        <w:rPr>
          <w:lang w:val="fr-FR"/>
        </w:rPr>
        <w:t>Amérique</w:t>
      </w:r>
      <w:r>
        <w:rPr>
          <w:lang w:val="fr-FR"/>
        </w:rPr>
        <w:t>)</w:t>
      </w:r>
    </w:p>
    <w:p w14:paraId="7C8D74C2" w14:textId="5BE17AA0" w:rsidR="009B46E1" w:rsidRDefault="00C37DC3" w:rsidP="00811EA1">
      <w:pPr>
        <w:spacing w:after="220"/>
        <w:ind w:left="4536"/>
        <w:rPr>
          <w:szCs w:val="22"/>
          <w:lang w:val="fr-FR"/>
        </w:rPr>
      </w:pPr>
      <w:r w:rsidRPr="008903F1">
        <w:rPr>
          <w:szCs w:val="22"/>
          <w:lang w:val="fr-FR"/>
        </w:rPr>
        <w:t>M</w:t>
      </w:r>
      <w:r w:rsidR="00E57C61">
        <w:rPr>
          <w:szCs w:val="22"/>
          <w:lang w:val="fr-FR"/>
        </w:rPr>
        <w:t>me </w:t>
      </w:r>
      <w:r w:rsidRPr="008903F1">
        <w:rPr>
          <w:szCs w:val="22"/>
          <w:lang w:val="fr-FR"/>
        </w:rPr>
        <w:t>Dede</w:t>
      </w:r>
      <w:r w:rsidR="00E57C61">
        <w:rPr>
          <w:szCs w:val="22"/>
          <w:lang w:val="fr-FR"/>
        </w:rPr>
        <w:t> </w:t>
      </w:r>
      <w:r w:rsidRPr="008903F1">
        <w:rPr>
          <w:szCs w:val="22"/>
          <w:lang w:val="fr-FR"/>
        </w:rPr>
        <w:t>Mia</w:t>
      </w:r>
      <w:r w:rsidR="00E57C61">
        <w:rPr>
          <w:szCs w:val="22"/>
          <w:lang w:val="fr-FR"/>
        </w:rPr>
        <w:t> </w:t>
      </w:r>
      <w:r w:rsidRPr="008903F1">
        <w:rPr>
          <w:szCs w:val="22"/>
          <w:lang w:val="fr-FR"/>
        </w:rPr>
        <w:t xml:space="preserve">Yusanti, </w:t>
      </w:r>
      <w:r w:rsidR="00E57C61">
        <w:rPr>
          <w:szCs w:val="22"/>
          <w:lang w:val="fr-FR"/>
        </w:rPr>
        <w:t>directrice</w:t>
      </w:r>
      <w:r w:rsidR="00887460">
        <w:rPr>
          <w:szCs w:val="22"/>
          <w:lang w:val="fr-FR"/>
        </w:rPr>
        <w:t xml:space="preserve"> des brevets, </w:t>
      </w:r>
      <w:r w:rsidR="00887460" w:rsidRPr="00887460">
        <w:rPr>
          <w:szCs w:val="22"/>
          <w:lang w:val="fr-FR"/>
        </w:rPr>
        <w:t>schéma</w:t>
      </w:r>
      <w:r w:rsidR="00887460">
        <w:rPr>
          <w:szCs w:val="22"/>
          <w:lang w:val="fr-FR"/>
        </w:rPr>
        <w:t>s</w:t>
      </w:r>
      <w:r w:rsidR="00887460" w:rsidRPr="00887460">
        <w:rPr>
          <w:szCs w:val="22"/>
          <w:lang w:val="fr-FR"/>
        </w:rPr>
        <w:t xml:space="preserve"> de configuration d</w:t>
      </w:r>
      <w:r w:rsidR="00887460">
        <w:rPr>
          <w:szCs w:val="22"/>
          <w:lang w:val="fr-FR"/>
        </w:rPr>
        <w:t xml:space="preserve">es </w:t>
      </w:r>
      <w:r w:rsidR="00887460" w:rsidRPr="00887460">
        <w:rPr>
          <w:szCs w:val="22"/>
          <w:lang w:val="fr-FR"/>
        </w:rPr>
        <w:t>circuit</w:t>
      </w:r>
      <w:r w:rsidR="00887460">
        <w:rPr>
          <w:szCs w:val="22"/>
          <w:lang w:val="fr-FR"/>
        </w:rPr>
        <w:t>s</w:t>
      </w:r>
      <w:r w:rsidR="00887460" w:rsidRPr="00887460">
        <w:rPr>
          <w:szCs w:val="22"/>
          <w:lang w:val="fr-FR"/>
        </w:rPr>
        <w:t xml:space="preserve"> intégré</w:t>
      </w:r>
      <w:r w:rsidR="00887460">
        <w:rPr>
          <w:szCs w:val="22"/>
          <w:lang w:val="fr-FR"/>
        </w:rPr>
        <w:t>s et secrets d</w:t>
      </w:r>
      <w:r w:rsidR="009338AB">
        <w:rPr>
          <w:szCs w:val="22"/>
          <w:lang w:val="fr-FR"/>
        </w:rPr>
        <w:t>’</w:t>
      </w:r>
      <w:r w:rsidR="00887460">
        <w:rPr>
          <w:szCs w:val="22"/>
          <w:lang w:val="fr-FR"/>
        </w:rPr>
        <w:t>affaires</w:t>
      </w:r>
      <w:r w:rsidRPr="008903F1">
        <w:rPr>
          <w:szCs w:val="22"/>
          <w:lang w:val="fr-FR"/>
        </w:rPr>
        <w:t>, Minist</w:t>
      </w:r>
      <w:r w:rsidR="00887460">
        <w:rPr>
          <w:szCs w:val="22"/>
          <w:lang w:val="fr-FR"/>
        </w:rPr>
        <w:t xml:space="preserve">ère </w:t>
      </w:r>
      <w:r w:rsidR="00270701">
        <w:rPr>
          <w:szCs w:val="22"/>
          <w:lang w:val="fr-FR"/>
        </w:rPr>
        <w:t xml:space="preserve">de la justice et </w:t>
      </w:r>
      <w:r w:rsidR="00887460">
        <w:rPr>
          <w:szCs w:val="22"/>
          <w:lang w:val="fr-FR"/>
        </w:rPr>
        <w:t>des droits humains de la République d</w:t>
      </w:r>
      <w:r w:rsidR="009338AB">
        <w:rPr>
          <w:szCs w:val="22"/>
          <w:lang w:val="fr-FR"/>
        </w:rPr>
        <w:t>’</w:t>
      </w:r>
      <w:r w:rsidR="00887460">
        <w:rPr>
          <w:szCs w:val="22"/>
          <w:lang w:val="fr-FR"/>
        </w:rPr>
        <w:t>Indonésie (Indonésie)</w:t>
      </w:r>
    </w:p>
    <w:p w14:paraId="742A456E" w14:textId="658FF4AC" w:rsidR="004B2F24" w:rsidRDefault="004B2F24" w:rsidP="00811EA1">
      <w:pPr>
        <w:spacing w:after="220"/>
        <w:ind w:left="4536"/>
        <w:rPr>
          <w:szCs w:val="22"/>
          <w:lang w:val="fr-FR"/>
        </w:rPr>
      </w:pPr>
      <w:r>
        <w:rPr>
          <w:szCs w:val="22"/>
          <w:lang w:val="fr-FR"/>
        </w:rPr>
        <w:t>Mme Larisa Simonova, chercheur, Ins</w:t>
      </w:r>
      <w:r w:rsidR="00F16FCD">
        <w:rPr>
          <w:szCs w:val="22"/>
          <w:lang w:val="fr-FR"/>
        </w:rPr>
        <w:t>t</w:t>
      </w:r>
      <w:r>
        <w:rPr>
          <w:szCs w:val="22"/>
          <w:lang w:val="fr-FR"/>
        </w:rPr>
        <w:t>itut fédéral de la propriété industrielle, Service fédéral de la propriété intellectuelle (ROSPATENT) (Fédération de Russie)</w:t>
      </w:r>
    </w:p>
    <w:p w14:paraId="7DB5A431" w14:textId="6BCDDF63" w:rsidR="009B46E1" w:rsidRDefault="008B21E0" w:rsidP="00811EA1">
      <w:pPr>
        <w:spacing w:after="220"/>
        <w:ind w:left="4536"/>
        <w:rPr>
          <w:szCs w:val="22"/>
          <w:lang w:val="fr-FR"/>
        </w:rPr>
      </w:pPr>
      <w:r w:rsidRPr="008903F1">
        <w:rPr>
          <w:szCs w:val="22"/>
          <w:lang w:val="fr-FR"/>
        </w:rPr>
        <w:t>M.</w:t>
      </w:r>
      <w:r w:rsidR="00270701">
        <w:rPr>
          <w:szCs w:val="22"/>
          <w:lang w:val="fr-FR"/>
        </w:rPr>
        <w:t> </w:t>
      </w:r>
      <w:r w:rsidRPr="008903F1">
        <w:rPr>
          <w:szCs w:val="22"/>
          <w:lang w:val="fr-FR"/>
        </w:rPr>
        <w:t>Paul</w:t>
      </w:r>
      <w:r w:rsidR="00270701">
        <w:rPr>
          <w:szCs w:val="22"/>
          <w:lang w:val="fr-FR"/>
        </w:rPr>
        <w:t> </w:t>
      </w:r>
      <w:r w:rsidRPr="008903F1">
        <w:rPr>
          <w:szCs w:val="22"/>
          <w:lang w:val="fr-FR"/>
        </w:rPr>
        <w:t xml:space="preserve">Oldham, </w:t>
      </w:r>
      <w:r w:rsidR="00270701">
        <w:rPr>
          <w:szCs w:val="22"/>
          <w:lang w:val="fr-FR"/>
        </w:rPr>
        <w:t>directeur</w:t>
      </w:r>
      <w:r w:rsidR="00736E25" w:rsidRPr="008903F1">
        <w:rPr>
          <w:szCs w:val="22"/>
          <w:lang w:val="fr-FR"/>
        </w:rPr>
        <w:t xml:space="preserve">, </w:t>
      </w:r>
      <w:r w:rsidRPr="008903F1">
        <w:rPr>
          <w:szCs w:val="22"/>
          <w:lang w:val="fr-FR"/>
        </w:rPr>
        <w:t xml:space="preserve">One World Analytics </w:t>
      </w:r>
      <w:r w:rsidR="00270701">
        <w:rPr>
          <w:szCs w:val="22"/>
          <w:lang w:val="fr-FR"/>
        </w:rPr>
        <w:t>(Royaume</w:t>
      </w:r>
      <w:r w:rsidR="009B46E1">
        <w:rPr>
          <w:szCs w:val="22"/>
          <w:lang w:val="fr-FR"/>
        </w:rPr>
        <w:noBreakHyphen/>
      </w:r>
      <w:r w:rsidR="00270701">
        <w:rPr>
          <w:szCs w:val="22"/>
          <w:lang w:val="fr-FR"/>
        </w:rPr>
        <w:t>Uni)</w:t>
      </w:r>
    </w:p>
    <w:p w14:paraId="22073F1B" w14:textId="61B6F9DB" w:rsidR="009B46E1" w:rsidRDefault="008B21E0" w:rsidP="00811EA1">
      <w:pPr>
        <w:spacing w:after="220"/>
        <w:ind w:left="4536"/>
        <w:rPr>
          <w:szCs w:val="22"/>
          <w:lang w:val="fr-FR"/>
        </w:rPr>
      </w:pPr>
      <w:r w:rsidRPr="008903F1">
        <w:rPr>
          <w:szCs w:val="22"/>
          <w:lang w:val="fr-FR"/>
        </w:rPr>
        <w:t>M</w:t>
      </w:r>
      <w:r w:rsidR="00270701">
        <w:rPr>
          <w:szCs w:val="22"/>
          <w:lang w:val="fr-FR"/>
        </w:rPr>
        <w:t>me </w:t>
      </w:r>
      <w:r w:rsidRPr="008903F1">
        <w:rPr>
          <w:szCs w:val="22"/>
          <w:lang w:val="fr-FR"/>
        </w:rPr>
        <w:t>Sue</w:t>
      </w:r>
      <w:r w:rsidR="00270701">
        <w:rPr>
          <w:szCs w:val="22"/>
          <w:lang w:val="fr-FR"/>
        </w:rPr>
        <w:t> </w:t>
      </w:r>
      <w:r w:rsidRPr="008903F1">
        <w:rPr>
          <w:szCs w:val="22"/>
          <w:lang w:val="fr-FR"/>
        </w:rPr>
        <w:t xml:space="preserve">Noe, </w:t>
      </w:r>
      <w:r w:rsidR="00270701">
        <w:rPr>
          <w:szCs w:val="22"/>
          <w:lang w:val="fr-FR"/>
        </w:rPr>
        <w:t>avocate</w:t>
      </w:r>
      <w:r w:rsidR="004B2F24">
        <w:rPr>
          <w:szCs w:val="22"/>
          <w:lang w:val="fr-FR"/>
        </w:rPr>
        <w:t xml:space="preserve"> principale</w:t>
      </w:r>
      <w:r w:rsidRPr="008903F1">
        <w:rPr>
          <w:szCs w:val="22"/>
          <w:lang w:val="fr-FR"/>
        </w:rPr>
        <w:t>, Native American Rights Fund</w:t>
      </w:r>
      <w:r w:rsidR="00270701">
        <w:rPr>
          <w:szCs w:val="22"/>
          <w:lang w:val="fr-FR"/>
        </w:rPr>
        <w:t xml:space="preserve"> (États</w:t>
      </w:r>
      <w:r w:rsidR="009B46E1">
        <w:rPr>
          <w:szCs w:val="22"/>
          <w:lang w:val="fr-FR"/>
        </w:rPr>
        <w:noBreakHyphen/>
      </w:r>
      <w:r w:rsidRPr="008903F1">
        <w:rPr>
          <w:szCs w:val="22"/>
          <w:lang w:val="fr-FR"/>
        </w:rPr>
        <w:t>Uni</w:t>
      </w:r>
      <w:r w:rsidR="00270701">
        <w:rPr>
          <w:szCs w:val="22"/>
          <w:lang w:val="fr-FR"/>
        </w:rPr>
        <w:t>s</w:t>
      </w:r>
      <w:r w:rsidR="008E5742">
        <w:rPr>
          <w:szCs w:val="22"/>
          <w:lang w:val="fr-FR"/>
        </w:rPr>
        <w:t xml:space="preserve"> </w:t>
      </w:r>
      <w:r w:rsidR="00270701">
        <w:rPr>
          <w:szCs w:val="22"/>
          <w:lang w:val="fr-FR"/>
        </w:rPr>
        <w:t>d</w:t>
      </w:r>
      <w:r w:rsidR="009338AB">
        <w:rPr>
          <w:szCs w:val="22"/>
          <w:lang w:val="fr-FR"/>
        </w:rPr>
        <w:t>’</w:t>
      </w:r>
      <w:r w:rsidR="00270701">
        <w:rPr>
          <w:szCs w:val="22"/>
          <w:lang w:val="fr-FR"/>
        </w:rPr>
        <w:t>Amérique)</w:t>
      </w:r>
    </w:p>
    <w:p w14:paraId="03918475" w14:textId="77777777" w:rsidR="009B46E1" w:rsidRDefault="004F5076" w:rsidP="00811EA1">
      <w:pPr>
        <w:spacing w:after="220"/>
        <w:ind w:left="2835"/>
        <w:rPr>
          <w:szCs w:val="22"/>
          <w:lang w:val="fr-FR"/>
        </w:rPr>
      </w:pPr>
      <w:r w:rsidRPr="008903F1">
        <w:rPr>
          <w:szCs w:val="22"/>
          <w:lang w:val="fr-FR"/>
        </w:rPr>
        <w:t>D</w:t>
      </w:r>
      <w:r w:rsidR="00270701">
        <w:rPr>
          <w:szCs w:val="22"/>
          <w:lang w:val="fr-FR"/>
        </w:rPr>
        <w:t>ébat</w:t>
      </w:r>
    </w:p>
    <w:p w14:paraId="27DB766C" w14:textId="77777777" w:rsidR="009B46E1" w:rsidRDefault="008903F1" w:rsidP="000D05FB">
      <w:pPr>
        <w:keepNext/>
        <w:keepLines/>
        <w:spacing w:before="480" w:after="220"/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lastRenderedPageBreak/>
        <w:t>Vendredi 22 janvier </w:t>
      </w:r>
      <w:r w:rsidR="00656BDB" w:rsidRPr="008903F1">
        <w:rPr>
          <w:szCs w:val="22"/>
          <w:u w:val="single"/>
          <w:lang w:val="fr-FR"/>
        </w:rPr>
        <w:t>2021</w:t>
      </w:r>
    </w:p>
    <w:p w14:paraId="4485CD89" w14:textId="00932412" w:rsidR="008B21E0" w:rsidRPr="008903F1" w:rsidRDefault="00491459" w:rsidP="000D05FB">
      <w:pPr>
        <w:keepNext/>
        <w:keepLines/>
        <w:spacing w:after="60"/>
        <w:ind w:left="2835" w:hanging="2835"/>
        <w:rPr>
          <w:b/>
          <w:szCs w:val="22"/>
          <w:lang w:val="fr-FR"/>
        </w:rPr>
      </w:pPr>
      <w:r w:rsidRPr="008903F1">
        <w:rPr>
          <w:szCs w:val="22"/>
          <w:lang w:val="fr-FR"/>
        </w:rPr>
        <w:t>12</w:t>
      </w:r>
      <w:r w:rsidR="008903F1">
        <w:rPr>
          <w:szCs w:val="22"/>
          <w:lang w:val="fr-FR"/>
        </w:rPr>
        <w:t> h </w:t>
      </w:r>
      <w:r w:rsidRPr="008903F1">
        <w:rPr>
          <w:szCs w:val="22"/>
          <w:lang w:val="fr-FR"/>
        </w:rPr>
        <w:t>00</w:t>
      </w:r>
      <w:r w:rsidR="009B2911" w:rsidRPr="008903F1">
        <w:rPr>
          <w:szCs w:val="22"/>
          <w:lang w:val="fr-FR"/>
        </w:rPr>
        <w:t xml:space="preserve"> – </w:t>
      </w:r>
      <w:r w:rsidRPr="008903F1">
        <w:rPr>
          <w:szCs w:val="22"/>
          <w:lang w:val="fr-FR"/>
        </w:rPr>
        <w:t>14</w:t>
      </w:r>
      <w:r w:rsidR="008903F1">
        <w:rPr>
          <w:szCs w:val="22"/>
          <w:lang w:val="fr-FR"/>
        </w:rPr>
        <w:t> h </w:t>
      </w:r>
      <w:r w:rsidRPr="008903F1">
        <w:rPr>
          <w:szCs w:val="22"/>
          <w:lang w:val="fr-FR"/>
        </w:rPr>
        <w:t>20</w:t>
      </w:r>
      <w:r w:rsidR="009B2911" w:rsidRPr="008903F1">
        <w:rPr>
          <w:b/>
          <w:szCs w:val="22"/>
          <w:lang w:val="fr-FR"/>
        </w:rPr>
        <w:tab/>
      </w:r>
      <w:r w:rsidR="008B21E0" w:rsidRPr="008903F1">
        <w:rPr>
          <w:b/>
          <w:szCs w:val="22"/>
          <w:lang w:val="fr-FR"/>
        </w:rPr>
        <w:t>Th</w:t>
      </w:r>
      <w:r w:rsidR="00270701">
        <w:rPr>
          <w:b/>
          <w:szCs w:val="22"/>
          <w:lang w:val="fr-FR"/>
        </w:rPr>
        <w:t>è</w:t>
      </w:r>
      <w:r w:rsidR="008B21E0" w:rsidRPr="008903F1">
        <w:rPr>
          <w:b/>
          <w:szCs w:val="22"/>
          <w:lang w:val="fr-FR"/>
        </w:rPr>
        <w:t>me</w:t>
      </w:r>
      <w:r w:rsidR="00270701">
        <w:rPr>
          <w:b/>
          <w:szCs w:val="22"/>
          <w:lang w:val="fr-FR"/>
        </w:rPr>
        <w:t> </w:t>
      </w:r>
      <w:r w:rsidR="008B21E0" w:rsidRPr="008903F1">
        <w:rPr>
          <w:b/>
          <w:szCs w:val="22"/>
          <w:lang w:val="fr-FR"/>
        </w:rPr>
        <w:t>3</w:t>
      </w:r>
      <w:r w:rsidR="009338AB">
        <w:rPr>
          <w:b/>
          <w:szCs w:val="22"/>
          <w:lang w:val="fr-FR"/>
        </w:rPr>
        <w:t> :</w:t>
      </w:r>
      <w:r w:rsidR="008B21E0" w:rsidRPr="008903F1">
        <w:rPr>
          <w:b/>
          <w:szCs w:val="22"/>
          <w:lang w:val="fr-FR"/>
        </w:rPr>
        <w:t xml:space="preserve"> </w:t>
      </w:r>
      <w:r w:rsidR="00270701">
        <w:rPr>
          <w:b/>
          <w:szCs w:val="22"/>
          <w:lang w:val="fr-FR"/>
        </w:rPr>
        <w:t>Propriété i</w:t>
      </w:r>
      <w:r w:rsidR="008B21E0" w:rsidRPr="008903F1">
        <w:rPr>
          <w:b/>
          <w:szCs w:val="22"/>
          <w:lang w:val="fr-FR"/>
        </w:rPr>
        <w:t>ntellectu</w:t>
      </w:r>
      <w:r w:rsidR="00270701">
        <w:rPr>
          <w:b/>
          <w:szCs w:val="22"/>
          <w:lang w:val="fr-FR"/>
        </w:rPr>
        <w:t>elle et ressources génétiques</w:t>
      </w:r>
      <w:r w:rsidR="009338AB">
        <w:rPr>
          <w:b/>
          <w:szCs w:val="22"/>
          <w:lang w:val="fr-FR"/>
        </w:rPr>
        <w:t> :</w:t>
      </w:r>
      <w:r w:rsidR="00270701">
        <w:rPr>
          <w:b/>
          <w:szCs w:val="22"/>
          <w:lang w:val="fr-FR"/>
        </w:rPr>
        <w:t xml:space="preserve"> technologies nouvelles et émergentes</w:t>
      </w:r>
    </w:p>
    <w:p w14:paraId="1A047EC4" w14:textId="703F5AA4" w:rsidR="009B46E1" w:rsidRDefault="008B21E0" w:rsidP="000D05FB">
      <w:pPr>
        <w:keepNext/>
        <w:keepLines/>
        <w:spacing w:after="220"/>
        <w:ind w:left="2835"/>
        <w:rPr>
          <w:szCs w:val="22"/>
          <w:lang w:val="fr-FR"/>
        </w:rPr>
      </w:pPr>
      <w:r w:rsidRPr="008903F1">
        <w:rPr>
          <w:szCs w:val="22"/>
          <w:lang w:val="fr-FR"/>
        </w:rPr>
        <w:t>(</w:t>
      </w:r>
      <w:r w:rsidR="00881493" w:rsidRPr="00881493">
        <w:rPr>
          <w:lang w:val="fr-FR"/>
        </w:rPr>
        <w:t>Les technologies liées aux ressources génétiques et aux savoirs traditionnels connexes évoluent rapideme</w:t>
      </w:r>
      <w:r w:rsidR="009B46E1" w:rsidRPr="00881493">
        <w:rPr>
          <w:lang w:val="fr-FR"/>
        </w:rPr>
        <w:t>nt</w:t>
      </w:r>
      <w:r w:rsidR="009B46E1">
        <w:rPr>
          <w:lang w:val="fr-FR"/>
        </w:rPr>
        <w:t xml:space="preserve">.  </w:t>
      </w:r>
      <w:r w:rsidR="009B46E1" w:rsidRPr="00881493">
        <w:rPr>
          <w:lang w:val="fr-FR"/>
        </w:rPr>
        <w:t>Le</w:t>
      </w:r>
      <w:r w:rsidR="00881493" w:rsidRPr="00881493">
        <w:rPr>
          <w:lang w:val="fr-FR"/>
        </w:rPr>
        <w:t xml:space="preserve">s intervenants, qui </w:t>
      </w:r>
      <w:r w:rsidR="004B2F24">
        <w:rPr>
          <w:lang w:val="fr-FR"/>
        </w:rPr>
        <w:t>disposent</w:t>
      </w:r>
      <w:r w:rsidR="004B2F24" w:rsidRPr="00881493">
        <w:rPr>
          <w:lang w:val="fr-FR"/>
        </w:rPr>
        <w:t xml:space="preserve"> </w:t>
      </w:r>
      <w:r w:rsidR="004B2F24">
        <w:rPr>
          <w:lang w:val="fr-FR"/>
        </w:rPr>
        <w:t>d’</w:t>
      </w:r>
      <w:r w:rsidR="00881493" w:rsidRPr="00881493">
        <w:rPr>
          <w:lang w:val="fr-FR"/>
        </w:rPr>
        <w:t>une expertise technique et juridique appropriée et s</w:t>
      </w:r>
      <w:r w:rsidR="009338AB">
        <w:rPr>
          <w:lang w:val="fr-FR"/>
        </w:rPr>
        <w:t>’</w:t>
      </w:r>
      <w:r w:rsidR="00881493" w:rsidRPr="00881493">
        <w:rPr>
          <w:lang w:val="fr-FR"/>
        </w:rPr>
        <w:t xml:space="preserve">inscrivent dans des perspectives différentes, ont été invités à expliquer certaines de ces technologies nouvelles et émergentes présentant un intérêt et à réfléchir à </w:t>
      </w:r>
      <w:r w:rsidR="004B2F24">
        <w:rPr>
          <w:lang w:val="fr-FR"/>
        </w:rPr>
        <w:t>l’incidence</w:t>
      </w:r>
      <w:r w:rsidR="00881493" w:rsidRPr="00881493">
        <w:rPr>
          <w:lang w:val="fr-FR"/>
        </w:rPr>
        <w:t xml:space="preserve"> </w:t>
      </w:r>
      <w:r w:rsidR="00540D22">
        <w:rPr>
          <w:lang w:val="fr-FR"/>
        </w:rPr>
        <w:t>que pourraient avoir</w:t>
      </w:r>
      <w:r w:rsidR="00881493" w:rsidRPr="00881493">
        <w:rPr>
          <w:lang w:val="fr-FR"/>
        </w:rPr>
        <w:t xml:space="preserve"> ces technologies sur les négociations en cours au sein du Comité intergouvernemental de la propriété intellectuelle relative aux ressources génétiques, aux savoirs traditionnels et au folklore </w:t>
      </w:r>
      <w:r w:rsidR="00881493">
        <w:rPr>
          <w:lang w:val="fr-FR"/>
        </w:rPr>
        <w:t>(</w:t>
      </w:r>
      <w:r w:rsidRPr="008903F1">
        <w:rPr>
          <w:lang w:val="fr-FR"/>
        </w:rPr>
        <w:t>IGC))</w:t>
      </w:r>
      <w:r w:rsidRPr="008903F1">
        <w:rPr>
          <w:szCs w:val="22"/>
          <w:lang w:val="fr-FR"/>
        </w:rPr>
        <w:t>.</w:t>
      </w:r>
    </w:p>
    <w:p w14:paraId="7C2AA477" w14:textId="77777777" w:rsidR="009B46E1" w:rsidRDefault="00881493" w:rsidP="009B46E1">
      <w:pPr>
        <w:spacing w:after="220"/>
        <w:ind w:left="4500" w:hanging="1620"/>
        <w:rPr>
          <w:szCs w:val="22"/>
          <w:lang w:val="fr-FR"/>
        </w:rPr>
      </w:pPr>
      <w:r>
        <w:rPr>
          <w:szCs w:val="22"/>
          <w:lang w:val="fr-FR"/>
        </w:rPr>
        <w:t>Animatrice</w:t>
      </w:r>
      <w:r w:rsidR="009338AB">
        <w:rPr>
          <w:szCs w:val="22"/>
          <w:lang w:val="fr-FR"/>
        </w:rPr>
        <w:t> :</w:t>
      </w:r>
      <w:r w:rsidR="008B21E0" w:rsidRPr="008903F1">
        <w:rPr>
          <w:szCs w:val="22"/>
          <w:lang w:val="fr-FR"/>
        </w:rPr>
        <w:t xml:space="preserve"> </w:t>
      </w:r>
      <w:r w:rsidR="008B21E0" w:rsidRPr="008903F1">
        <w:rPr>
          <w:szCs w:val="22"/>
          <w:lang w:val="fr-FR"/>
        </w:rPr>
        <w:tab/>
      </w:r>
      <w:r>
        <w:rPr>
          <w:szCs w:val="22"/>
          <w:lang w:val="fr-FR"/>
        </w:rPr>
        <w:t>Mme </w:t>
      </w:r>
      <w:r w:rsidR="008B21E0" w:rsidRPr="008903F1">
        <w:rPr>
          <w:szCs w:val="22"/>
          <w:lang w:val="fr-FR"/>
        </w:rPr>
        <w:t xml:space="preserve">Margo Bagley, </w:t>
      </w:r>
      <w:r w:rsidR="00A613FC">
        <w:rPr>
          <w:szCs w:val="22"/>
          <w:lang w:val="fr-FR"/>
        </w:rPr>
        <w:t xml:space="preserve">professeur de droit titulaire de la chaire </w:t>
      </w:r>
      <w:r w:rsidR="00736E25" w:rsidRPr="008903F1">
        <w:rPr>
          <w:szCs w:val="22"/>
          <w:lang w:val="fr-FR"/>
        </w:rPr>
        <w:t xml:space="preserve">Asa Griggs Candler, </w:t>
      </w:r>
      <w:r w:rsidR="00A613FC">
        <w:rPr>
          <w:szCs w:val="22"/>
          <w:lang w:val="fr-FR"/>
        </w:rPr>
        <w:t>Faculté de droit de l</w:t>
      </w:r>
      <w:r w:rsidR="009338AB">
        <w:rPr>
          <w:szCs w:val="22"/>
          <w:lang w:val="fr-FR"/>
        </w:rPr>
        <w:t>’</w:t>
      </w:r>
      <w:r w:rsidR="00A613FC">
        <w:rPr>
          <w:szCs w:val="22"/>
          <w:lang w:val="fr-FR"/>
        </w:rPr>
        <w:t xml:space="preserve">Université </w:t>
      </w:r>
      <w:r w:rsidR="00736E25" w:rsidRPr="008903F1">
        <w:rPr>
          <w:szCs w:val="22"/>
          <w:lang w:val="fr-FR"/>
        </w:rPr>
        <w:t>Emory</w:t>
      </w:r>
      <w:r w:rsidR="00A613FC">
        <w:rPr>
          <w:szCs w:val="22"/>
          <w:lang w:val="fr-FR"/>
        </w:rPr>
        <w:t xml:space="preserve"> (</w:t>
      </w:r>
      <w:r w:rsidR="00A613FC" w:rsidRPr="00A613FC">
        <w:rPr>
          <w:szCs w:val="22"/>
          <w:lang w:val="fr-FR"/>
        </w:rPr>
        <w:t>États</w:t>
      </w:r>
      <w:r w:rsidR="009B46E1">
        <w:rPr>
          <w:szCs w:val="22"/>
          <w:lang w:val="fr-FR"/>
        </w:rPr>
        <w:noBreakHyphen/>
      </w:r>
      <w:r w:rsidR="00A613FC" w:rsidRPr="00A613FC">
        <w:rPr>
          <w:szCs w:val="22"/>
          <w:lang w:val="fr-FR"/>
        </w:rPr>
        <w:t>Unis</w:t>
      </w:r>
      <w:r w:rsidR="008E5742">
        <w:rPr>
          <w:szCs w:val="22"/>
          <w:lang w:val="fr-FR"/>
        </w:rPr>
        <w:t xml:space="preserve"> </w:t>
      </w:r>
      <w:r w:rsidR="00A613FC" w:rsidRPr="00A613FC">
        <w:rPr>
          <w:szCs w:val="22"/>
          <w:lang w:val="fr-FR"/>
        </w:rPr>
        <w:t>d</w:t>
      </w:r>
      <w:r w:rsidR="009338AB">
        <w:rPr>
          <w:szCs w:val="22"/>
          <w:lang w:val="fr-FR"/>
        </w:rPr>
        <w:t>’</w:t>
      </w:r>
      <w:r w:rsidR="00A613FC" w:rsidRPr="00A613FC">
        <w:rPr>
          <w:szCs w:val="22"/>
          <w:lang w:val="fr-FR"/>
        </w:rPr>
        <w:t>Amérique</w:t>
      </w:r>
      <w:r w:rsidR="00A613FC">
        <w:rPr>
          <w:szCs w:val="22"/>
          <w:lang w:val="fr-FR"/>
        </w:rPr>
        <w:t>)</w:t>
      </w:r>
    </w:p>
    <w:p w14:paraId="5D07BE72" w14:textId="288A64BE" w:rsidR="009B46E1" w:rsidRDefault="00A613FC" w:rsidP="009B46E1">
      <w:pPr>
        <w:spacing w:after="220"/>
        <w:ind w:left="4500" w:hanging="1620"/>
        <w:rPr>
          <w:szCs w:val="22"/>
          <w:lang w:val="fr-FR"/>
        </w:rPr>
      </w:pPr>
      <w:r>
        <w:rPr>
          <w:szCs w:val="22"/>
          <w:lang w:val="fr-FR"/>
        </w:rPr>
        <w:t>Conférencier</w:t>
      </w:r>
      <w:r w:rsidR="008B21E0" w:rsidRPr="008903F1">
        <w:rPr>
          <w:szCs w:val="22"/>
          <w:lang w:val="fr-FR"/>
        </w:rPr>
        <w:t>s</w:t>
      </w:r>
      <w:r w:rsidR="009338AB">
        <w:rPr>
          <w:szCs w:val="22"/>
          <w:lang w:val="fr-FR"/>
        </w:rPr>
        <w:t> :</w:t>
      </w:r>
      <w:r w:rsidR="008B21E0" w:rsidRPr="008903F1">
        <w:rPr>
          <w:szCs w:val="22"/>
          <w:lang w:val="fr-FR"/>
        </w:rPr>
        <w:t xml:space="preserve"> </w:t>
      </w:r>
      <w:r w:rsidR="008B21E0" w:rsidRPr="008903F1">
        <w:rPr>
          <w:szCs w:val="22"/>
          <w:lang w:val="fr-FR"/>
        </w:rPr>
        <w:tab/>
      </w:r>
      <w:r>
        <w:rPr>
          <w:szCs w:val="22"/>
          <w:lang w:val="fr-FR"/>
        </w:rPr>
        <w:t>M. </w:t>
      </w:r>
      <w:r w:rsidR="0021536A" w:rsidRPr="008903F1">
        <w:rPr>
          <w:szCs w:val="22"/>
          <w:lang w:val="fr-FR"/>
        </w:rPr>
        <w:t xml:space="preserve">Marcel Jaspars, </w:t>
      </w:r>
      <w:r w:rsidR="0083205F" w:rsidRPr="008903F1">
        <w:rPr>
          <w:szCs w:val="22"/>
          <w:lang w:val="fr-FR"/>
        </w:rPr>
        <w:t xml:space="preserve">Marine Biodiscovery Centre, </w:t>
      </w:r>
      <w:r w:rsidR="00F14A9D">
        <w:rPr>
          <w:szCs w:val="22"/>
          <w:lang w:val="fr-FR"/>
        </w:rPr>
        <w:t>Dé</w:t>
      </w:r>
      <w:r w:rsidR="0083205F" w:rsidRPr="008903F1">
        <w:rPr>
          <w:szCs w:val="22"/>
          <w:lang w:val="fr-FR"/>
        </w:rPr>
        <w:t>part</w:t>
      </w:r>
      <w:r w:rsidR="00F14A9D">
        <w:rPr>
          <w:szCs w:val="22"/>
          <w:lang w:val="fr-FR"/>
        </w:rPr>
        <w:t>e</w:t>
      </w:r>
      <w:r w:rsidR="0083205F" w:rsidRPr="008903F1">
        <w:rPr>
          <w:szCs w:val="22"/>
          <w:lang w:val="fr-FR"/>
        </w:rPr>
        <w:t xml:space="preserve">ment </w:t>
      </w:r>
      <w:r w:rsidR="00F14A9D">
        <w:rPr>
          <w:szCs w:val="22"/>
          <w:lang w:val="fr-FR"/>
        </w:rPr>
        <w:t>de chimie de l</w:t>
      </w:r>
      <w:r w:rsidR="009338AB">
        <w:rPr>
          <w:szCs w:val="22"/>
          <w:lang w:val="fr-FR"/>
        </w:rPr>
        <w:t>’</w:t>
      </w:r>
      <w:r w:rsidR="008F3402" w:rsidRPr="008903F1">
        <w:rPr>
          <w:szCs w:val="22"/>
          <w:lang w:val="fr-FR"/>
        </w:rPr>
        <w:t>Universit</w:t>
      </w:r>
      <w:r w:rsidR="00F14A9D">
        <w:rPr>
          <w:szCs w:val="22"/>
          <w:lang w:val="fr-FR"/>
        </w:rPr>
        <w:t>é d</w:t>
      </w:r>
      <w:r w:rsidR="009338AB">
        <w:rPr>
          <w:szCs w:val="22"/>
          <w:lang w:val="fr-FR"/>
        </w:rPr>
        <w:t>’</w:t>
      </w:r>
      <w:r w:rsidR="008F3402" w:rsidRPr="008903F1">
        <w:rPr>
          <w:szCs w:val="22"/>
          <w:lang w:val="fr-FR"/>
        </w:rPr>
        <w:t>Aberdeen</w:t>
      </w:r>
      <w:r w:rsidR="00F14A9D">
        <w:rPr>
          <w:szCs w:val="22"/>
          <w:lang w:val="fr-FR"/>
        </w:rPr>
        <w:t xml:space="preserve"> (Royaume</w:t>
      </w:r>
      <w:r w:rsidR="009B46E1">
        <w:rPr>
          <w:szCs w:val="22"/>
          <w:lang w:val="fr-FR"/>
        </w:rPr>
        <w:noBreakHyphen/>
      </w:r>
      <w:r w:rsidR="00F14A9D">
        <w:rPr>
          <w:szCs w:val="22"/>
          <w:lang w:val="fr-FR"/>
        </w:rPr>
        <w:t>Uni)</w:t>
      </w:r>
    </w:p>
    <w:p w14:paraId="60479D7F" w14:textId="208F69DD" w:rsidR="00822953" w:rsidRDefault="00822953" w:rsidP="00822953">
      <w:pPr>
        <w:spacing w:after="220"/>
        <w:ind w:left="4500"/>
        <w:rPr>
          <w:szCs w:val="22"/>
          <w:lang w:val="fr-FR"/>
        </w:rPr>
      </w:pPr>
      <w:r>
        <w:rPr>
          <w:szCs w:val="22"/>
          <w:lang w:val="fr-FR"/>
        </w:rPr>
        <w:t>Mme Lactitia Tshitwamulomoni, vice</w:t>
      </w:r>
      <w:r>
        <w:rPr>
          <w:szCs w:val="22"/>
          <w:lang w:val="fr-FR"/>
        </w:rPr>
        <w:noBreakHyphen/>
        <w:t>présidente du Groupe d’experts technique ad hoc sur les données sur les séquences numériques dans le domaine des ressources génétiques/directrice adjointe, Ministère de l’environnement, des forêts et de la pêche (Afrique du Sud)</w:t>
      </w:r>
    </w:p>
    <w:p w14:paraId="6F22FE3C" w14:textId="77777777" w:rsidR="009B46E1" w:rsidRDefault="002D43CD" w:rsidP="009B46E1">
      <w:pPr>
        <w:spacing w:after="220"/>
        <w:ind w:left="4500"/>
        <w:rPr>
          <w:szCs w:val="22"/>
          <w:lang w:val="fr-FR"/>
        </w:rPr>
      </w:pPr>
      <w:r w:rsidRPr="008903F1">
        <w:rPr>
          <w:lang w:val="fr-FR"/>
        </w:rPr>
        <w:t>M.</w:t>
      </w:r>
      <w:r w:rsidR="00F14A9D">
        <w:rPr>
          <w:lang w:val="fr-FR"/>
        </w:rPr>
        <w:t> </w:t>
      </w:r>
      <w:r w:rsidRPr="008903F1">
        <w:rPr>
          <w:lang w:val="fr-FR"/>
        </w:rPr>
        <w:t>Manuel</w:t>
      </w:r>
      <w:r w:rsidR="00F14A9D">
        <w:rPr>
          <w:lang w:val="fr-FR"/>
        </w:rPr>
        <w:t> Ruiz </w:t>
      </w:r>
      <w:r w:rsidRPr="008903F1">
        <w:rPr>
          <w:lang w:val="fr-FR"/>
        </w:rPr>
        <w:t xml:space="preserve">Muller, </w:t>
      </w:r>
      <w:r w:rsidR="00F14A9D">
        <w:rPr>
          <w:lang w:val="fr-FR"/>
        </w:rPr>
        <w:t>conseiller principal et chercheur</w:t>
      </w:r>
      <w:r w:rsidRPr="008903F1">
        <w:rPr>
          <w:lang w:val="fr-FR"/>
        </w:rPr>
        <w:t>, Soci</w:t>
      </w:r>
      <w:r w:rsidR="00F14A9D">
        <w:rPr>
          <w:lang w:val="fr-FR"/>
        </w:rPr>
        <w:t>été péruvienne de droit environnemental (Pérou)</w:t>
      </w:r>
    </w:p>
    <w:p w14:paraId="4C620C57" w14:textId="77777777" w:rsidR="009B46E1" w:rsidRDefault="007111EF" w:rsidP="00811EA1">
      <w:pPr>
        <w:spacing w:after="220"/>
        <w:ind w:left="2835"/>
        <w:rPr>
          <w:szCs w:val="22"/>
          <w:lang w:val="fr-FR"/>
        </w:rPr>
      </w:pPr>
      <w:r w:rsidRPr="008903F1">
        <w:rPr>
          <w:szCs w:val="22"/>
          <w:lang w:val="fr-FR"/>
        </w:rPr>
        <w:t>D</w:t>
      </w:r>
      <w:r w:rsidR="00F14A9D">
        <w:rPr>
          <w:szCs w:val="22"/>
          <w:lang w:val="fr-FR"/>
        </w:rPr>
        <w:t>ébat</w:t>
      </w:r>
    </w:p>
    <w:p w14:paraId="1BACE2FA" w14:textId="15753DC4" w:rsidR="009B46E1" w:rsidRDefault="00491459" w:rsidP="000D05FB">
      <w:pPr>
        <w:keepNext/>
        <w:spacing w:after="220"/>
        <w:ind w:left="2835" w:hanging="2835"/>
        <w:rPr>
          <w:b/>
          <w:szCs w:val="22"/>
          <w:lang w:val="fr-FR"/>
        </w:rPr>
      </w:pPr>
      <w:r w:rsidRPr="008903F1">
        <w:rPr>
          <w:szCs w:val="22"/>
          <w:lang w:val="fr-FR"/>
        </w:rPr>
        <w:t>14</w:t>
      </w:r>
      <w:r w:rsidR="008903F1">
        <w:rPr>
          <w:szCs w:val="22"/>
          <w:lang w:val="fr-FR"/>
        </w:rPr>
        <w:t> h </w:t>
      </w:r>
      <w:r w:rsidRPr="008903F1">
        <w:rPr>
          <w:szCs w:val="22"/>
          <w:lang w:val="fr-FR"/>
        </w:rPr>
        <w:t>2</w:t>
      </w:r>
      <w:r w:rsidR="00DF7A86" w:rsidRPr="008903F1">
        <w:rPr>
          <w:szCs w:val="22"/>
          <w:lang w:val="fr-FR"/>
        </w:rPr>
        <w:t>0</w:t>
      </w:r>
      <w:r w:rsidR="004B516E" w:rsidRPr="008903F1">
        <w:rPr>
          <w:szCs w:val="22"/>
          <w:lang w:val="fr-FR"/>
        </w:rPr>
        <w:t xml:space="preserve"> – </w:t>
      </w:r>
      <w:r w:rsidRPr="008903F1">
        <w:rPr>
          <w:szCs w:val="22"/>
          <w:lang w:val="fr-FR"/>
        </w:rPr>
        <w:t>14</w:t>
      </w:r>
      <w:r w:rsidR="009B46E1">
        <w:rPr>
          <w:szCs w:val="22"/>
          <w:lang w:val="fr-FR"/>
        </w:rPr>
        <w:t> h </w:t>
      </w:r>
      <w:r w:rsidR="0017351A" w:rsidRPr="008903F1">
        <w:rPr>
          <w:szCs w:val="22"/>
          <w:lang w:val="fr-FR"/>
        </w:rPr>
        <w:t>30</w:t>
      </w:r>
      <w:r w:rsidR="00F66946" w:rsidRPr="008903F1">
        <w:rPr>
          <w:szCs w:val="22"/>
          <w:lang w:val="fr-FR"/>
        </w:rPr>
        <w:tab/>
      </w:r>
      <w:r w:rsidR="00A14BF9" w:rsidRPr="008903F1">
        <w:rPr>
          <w:b/>
          <w:szCs w:val="22"/>
          <w:lang w:val="fr-FR"/>
        </w:rPr>
        <w:t>Conclu</w:t>
      </w:r>
      <w:r w:rsidR="00F14A9D">
        <w:rPr>
          <w:b/>
          <w:szCs w:val="22"/>
          <w:lang w:val="fr-FR"/>
        </w:rPr>
        <w:t>sions</w:t>
      </w:r>
    </w:p>
    <w:p w14:paraId="2B810A4F" w14:textId="68804390" w:rsidR="00A14BF9" w:rsidRPr="008903F1" w:rsidRDefault="00A14BF9" w:rsidP="00811EA1">
      <w:pPr>
        <w:spacing w:after="220"/>
        <w:ind w:left="2835"/>
        <w:rPr>
          <w:szCs w:val="22"/>
          <w:lang w:val="fr-FR"/>
        </w:rPr>
      </w:pPr>
      <w:r w:rsidRPr="008903F1">
        <w:rPr>
          <w:szCs w:val="22"/>
          <w:lang w:val="fr-FR"/>
        </w:rPr>
        <w:t>M.</w:t>
      </w:r>
      <w:r w:rsidR="00F14A9D">
        <w:rPr>
          <w:szCs w:val="22"/>
          <w:lang w:val="fr-FR"/>
        </w:rPr>
        <w:t> </w:t>
      </w:r>
      <w:r w:rsidR="00F21807" w:rsidRPr="008903F1">
        <w:rPr>
          <w:szCs w:val="22"/>
          <w:lang w:val="fr-FR"/>
        </w:rPr>
        <w:t>Wend</w:t>
      </w:r>
      <w:r w:rsidR="00F14A9D">
        <w:rPr>
          <w:szCs w:val="22"/>
          <w:lang w:val="fr-FR"/>
        </w:rPr>
        <w:t> </w:t>
      </w:r>
      <w:r w:rsidR="00F21807" w:rsidRPr="008903F1">
        <w:rPr>
          <w:szCs w:val="22"/>
          <w:lang w:val="fr-FR"/>
        </w:rPr>
        <w:t>Wendland</w:t>
      </w:r>
      <w:r w:rsidR="004C6AF8" w:rsidRPr="008903F1">
        <w:rPr>
          <w:szCs w:val="22"/>
          <w:lang w:val="fr-FR"/>
        </w:rPr>
        <w:t>,</w:t>
      </w:r>
      <w:r w:rsidR="00F21807" w:rsidRPr="008903F1">
        <w:rPr>
          <w:szCs w:val="22"/>
          <w:lang w:val="fr-FR"/>
        </w:rPr>
        <w:t xml:space="preserve"> </w:t>
      </w:r>
      <w:r w:rsidR="00F14A9D">
        <w:rPr>
          <w:szCs w:val="22"/>
          <w:lang w:val="fr-FR"/>
        </w:rPr>
        <w:t xml:space="preserve">directeur de la </w:t>
      </w:r>
      <w:r w:rsidR="00F21807" w:rsidRPr="008903F1">
        <w:rPr>
          <w:szCs w:val="22"/>
          <w:lang w:val="fr-FR"/>
        </w:rPr>
        <w:t>Di</w:t>
      </w:r>
      <w:r w:rsidR="00F14A9D">
        <w:rPr>
          <w:szCs w:val="22"/>
          <w:lang w:val="fr-FR"/>
        </w:rPr>
        <w:t>vision des savoirs traditionnels de l</w:t>
      </w:r>
      <w:r w:rsidR="009338AB">
        <w:rPr>
          <w:szCs w:val="22"/>
          <w:lang w:val="fr-FR"/>
        </w:rPr>
        <w:t>’</w:t>
      </w:r>
      <w:r w:rsidR="00F14A9D">
        <w:rPr>
          <w:szCs w:val="22"/>
          <w:lang w:val="fr-FR"/>
        </w:rPr>
        <w:t>OMPI</w:t>
      </w:r>
    </w:p>
    <w:p w14:paraId="11D59160" w14:textId="21AC0A0B" w:rsidR="00361597" w:rsidRPr="008903F1" w:rsidRDefault="00361597" w:rsidP="009B46E1">
      <w:pPr>
        <w:spacing w:before="660"/>
        <w:ind w:left="5533"/>
        <w:rPr>
          <w:lang w:val="fr-FR"/>
        </w:rPr>
      </w:pPr>
      <w:r w:rsidRPr="008903F1">
        <w:rPr>
          <w:lang w:val="fr-FR"/>
        </w:rPr>
        <w:t>[</w:t>
      </w:r>
      <w:r w:rsidR="00F14A9D">
        <w:rPr>
          <w:lang w:val="fr-FR"/>
        </w:rPr>
        <w:t xml:space="preserve">Fin du </w:t>
      </w:r>
      <w:r w:rsidRPr="008903F1">
        <w:rPr>
          <w:lang w:val="fr-FR"/>
        </w:rPr>
        <w:t>document]</w:t>
      </w:r>
    </w:p>
    <w:sectPr w:rsidR="00361597" w:rsidRPr="008903F1" w:rsidSect="009B46E1">
      <w:headerReference w:type="even" r:id="rId10"/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65D5B" w14:textId="77777777" w:rsidR="00032379" w:rsidRDefault="00032379">
      <w:r>
        <w:separator/>
      </w:r>
    </w:p>
  </w:endnote>
  <w:endnote w:type="continuationSeparator" w:id="0">
    <w:p w14:paraId="6E11B679" w14:textId="77777777" w:rsidR="00032379" w:rsidRDefault="00032379">
      <w:r>
        <w:continuationSeparator/>
      </w:r>
    </w:p>
  </w:endnote>
  <w:endnote w:type="continuationNotice" w:id="1">
    <w:p w14:paraId="5CFC3EEB" w14:textId="77777777" w:rsidR="00032379" w:rsidRDefault="00032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5318" w14:textId="77777777" w:rsidR="00032379" w:rsidRDefault="00032379">
      <w:r>
        <w:separator/>
      </w:r>
    </w:p>
  </w:footnote>
  <w:footnote w:type="continuationSeparator" w:id="0">
    <w:p w14:paraId="7CA87738" w14:textId="77777777" w:rsidR="00032379" w:rsidRDefault="00032379">
      <w:r>
        <w:continuationSeparator/>
      </w:r>
    </w:p>
  </w:footnote>
  <w:footnote w:type="continuationNotice" w:id="1">
    <w:p w14:paraId="29A89B1F" w14:textId="77777777" w:rsidR="00032379" w:rsidRDefault="00032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663B" w14:textId="583846CC" w:rsidR="002D6D7F" w:rsidRPr="009B46E1" w:rsidRDefault="002D6D7F" w:rsidP="002D6D7F">
    <w:pPr>
      <w:jc w:val="right"/>
      <w:rPr>
        <w:lang w:val="fr-CH"/>
      </w:rPr>
    </w:pPr>
    <w:r w:rsidRPr="009B46E1">
      <w:rPr>
        <w:lang w:val="fr-CH"/>
      </w:rPr>
      <w:t>WIPO/IPTK/GE/</w:t>
    </w:r>
    <w:r w:rsidR="00B37DA7" w:rsidRPr="009B46E1">
      <w:rPr>
        <w:lang w:val="fr-CH"/>
      </w:rPr>
      <w:t>21</w:t>
    </w:r>
    <w:r w:rsidR="00D2067D" w:rsidRPr="009B46E1">
      <w:rPr>
        <w:lang w:val="fr-CH"/>
      </w:rPr>
      <w:t>/INF/1</w:t>
    </w:r>
  </w:p>
  <w:p w14:paraId="7629C364" w14:textId="2304F863" w:rsidR="002D6D7F" w:rsidRPr="009B46E1" w:rsidRDefault="002D6D7F" w:rsidP="002D6D7F">
    <w:pPr>
      <w:jc w:val="right"/>
      <w:rPr>
        <w:lang w:val="fr-CH"/>
      </w:rPr>
    </w:pPr>
    <w:r w:rsidRPr="009B46E1">
      <w:rPr>
        <w:lang w:val="fr-CH"/>
      </w:rPr>
      <w:t xml:space="preserve">page </w:t>
    </w:r>
    <w:r>
      <w:fldChar w:fldCharType="begin"/>
    </w:r>
    <w:r w:rsidRPr="009B46E1">
      <w:rPr>
        <w:lang w:val="fr-CH"/>
      </w:rPr>
      <w:instrText xml:space="preserve"> PAGE  \* MERGEFORMAT </w:instrText>
    </w:r>
    <w:r>
      <w:fldChar w:fldCharType="separate"/>
    </w:r>
    <w:r w:rsidR="009B46E1">
      <w:rPr>
        <w:noProof/>
        <w:lang w:val="fr-CH"/>
      </w:rPr>
      <w:t>4</w:t>
    </w:r>
    <w:r>
      <w:rPr>
        <w:noProof/>
      </w:rPr>
      <w:fldChar w:fldCharType="end"/>
    </w:r>
  </w:p>
  <w:p w14:paraId="3B39CAFD" w14:textId="77777777" w:rsidR="002D6D7F" w:rsidRPr="009B46E1" w:rsidRDefault="002D6D7F" w:rsidP="002D6D7F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ED665" w14:textId="4985390B" w:rsidR="00B37DA7" w:rsidRDefault="00646E9D" w:rsidP="00A3645C">
    <w:pPr>
      <w:jc w:val="right"/>
      <w:rPr>
        <w:lang w:val="fr-FR"/>
      </w:rPr>
    </w:pPr>
    <w:r w:rsidRPr="00B37DA7">
      <w:rPr>
        <w:lang w:val="fr-FR"/>
      </w:rPr>
      <w:t>WIPO/IPTK/GE/</w:t>
    </w:r>
    <w:r w:rsidR="00B37DA7">
      <w:rPr>
        <w:lang w:val="fr-FR"/>
      </w:rPr>
      <w:t>21</w:t>
    </w:r>
    <w:r w:rsidR="00D2067D">
      <w:rPr>
        <w:lang w:val="fr-FR"/>
      </w:rPr>
      <w:t>/1</w:t>
    </w:r>
  </w:p>
  <w:p w14:paraId="57F0AE56" w14:textId="5E7C2A97" w:rsidR="00361597" w:rsidRPr="003D0B21" w:rsidRDefault="009B46E1" w:rsidP="009B46E1">
    <w:pPr>
      <w:spacing w:after="240"/>
      <w:jc w:val="right"/>
      <w:rPr>
        <w:lang w:val="fr-FR"/>
      </w:rPr>
    </w:pPr>
    <w:r>
      <w:rPr>
        <w:lang w:val="fr-FR"/>
      </w:rPr>
      <w:t>p</w:t>
    </w:r>
    <w:r w:rsidR="00361597" w:rsidRPr="003D0B21">
      <w:rPr>
        <w:lang w:val="fr-FR"/>
      </w:rPr>
      <w:t>age</w:t>
    </w:r>
    <w:r>
      <w:rPr>
        <w:lang w:val="fr-FR"/>
      </w:rPr>
      <w:t> 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BF4248">
      <w:rPr>
        <w:noProof/>
        <w:lang w:val="fr-FR"/>
      </w:rPr>
      <w:t>4</w:t>
    </w:r>
    <w:r w:rsidR="00E561F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04"/>
    <w:rsid w:val="00000F82"/>
    <w:rsid w:val="00000FB5"/>
    <w:rsid w:val="00001A7F"/>
    <w:rsid w:val="00001F6A"/>
    <w:rsid w:val="0000227F"/>
    <w:rsid w:val="00003D46"/>
    <w:rsid w:val="00004C71"/>
    <w:rsid w:val="00005044"/>
    <w:rsid w:val="000050EF"/>
    <w:rsid w:val="00026184"/>
    <w:rsid w:val="00027052"/>
    <w:rsid w:val="00032379"/>
    <w:rsid w:val="00033AC1"/>
    <w:rsid w:val="00035883"/>
    <w:rsid w:val="00037CB5"/>
    <w:rsid w:val="0004287D"/>
    <w:rsid w:val="0004324F"/>
    <w:rsid w:val="00046A5A"/>
    <w:rsid w:val="00050BB0"/>
    <w:rsid w:val="00054FAD"/>
    <w:rsid w:val="00062FD8"/>
    <w:rsid w:val="0006398E"/>
    <w:rsid w:val="00063B1E"/>
    <w:rsid w:val="00064FAD"/>
    <w:rsid w:val="000650A2"/>
    <w:rsid w:val="00065F12"/>
    <w:rsid w:val="00067A3A"/>
    <w:rsid w:val="000725BF"/>
    <w:rsid w:val="00073AF7"/>
    <w:rsid w:val="000775A8"/>
    <w:rsid w:val="00080D74"/>
    <w:rsid w:val="00085094"/>
    <w:rsid w:val="000879DE"/>
    <w:rsid w:val="000938B7"/>
    <w:rsid w:val="00093923"/>
    <w:rsid w:val="000939E0"/>
    <w:rsid w:val="00097034"/>
    <w:rsid w:val="000973BC"/>
    <w:rsid w:val="000A3BAC"/>
    <w:rsid w:val="000A46A9"/>
    <w:rsid w:val="000A4CCE"/>
    <w:rsid w:val="000A5698"/>
    <w:rsid w:val="000B01AB"/>
    <w:rsid w:val="000B2EDB"/>
    <w:rsid w:val="000C06D4"/>
    <w:rsid w:val="000C3D30"/>
    <w:rsid w:val="000D05FB"/>
    <w:rsid w:val="000E0529"/>
    <w:rsid w:val="000E170D"/>
    <w:rsid w:val="000E76D8"/>
    <w:rsid w:val="000E7D85"/>
    <w:rsid w:val="000F2249"/>
    <w:rsid w:val="000F2ED2"/>
    <w:rsid w:val="0010079F"/>
    <w:rsid w:val="0010166A"/>
    <w:rsid w:val="00103E18"/>
    <w:rsid w:val="00104622"/>
    <w:rsid w:val="001051D0"/>
    <w:rsid w:val="0010561B"/>
    <w:rsid w:val="00106249"/>
    <w:rsid w:val="00106DFC"/>
    <w:rsid w:val="001135A6"/>
    <w:rsid w:val="00117286"/>
    <w:rsid w:val="001172D3"/>
    <w:rsid w:val="001174A0"/>
    <w:rsid w:val="00120AEC"/>
    <w:rsid w:val="001211CA"/>
    <w:rsid w:val="0012459E"/>
    <w:rsid w:val="001252F3"/>
    <w:rsid w:val="0013309B"/>
    <w:rsid w:val="001333AA"/>
    <w:rsid w:val="00134F67"/>
    <w:rsid w:val="00144B0A"/>
    <w:rsid w:val="0015448A"/>
    <w:rsid w:val="00154635"/>
    <w:rsid w:val="001659EE"/>
    <w:rsid w:val="001703DE"/>
    <w:rsid w:val="001705F2"/>
    <w:rsid w:val="001732CF"/>
    <w:rsid w:val="0017351A"/>
    <w:rsid w:val="00173E56"/>
    <w:rsid w:val="00173E85"/>
    <w:rsid w:val="001740ED"/>
    <w:rsid w:val="00180FF4"/>
    <w:rsid w:val="001811FD"/>
    <w:rsid w:val="001832A6"/>
    <w:rsid w:val="001856CA"/>
    <w:rsid w:val="001907ED"/>
    <w:rsid w:val="001955DC"/>
    <w:rsid w:val="00196DC4"/>
    <w:rsid w:val="001970C3"/>
    <w:rsid w:val="001A098A"/>
    <w:rsid w:val="001A0C72"/>
    <w:rsid w:val="001A1C64"/>
    <w:rsid w:val="001A466F"/>
    <w:rsid w:val="001C090E"/>
    <w:rsid w:val="001D7430"/>
    <w:rsid w:val="001E019C"/>
    <w:rsid w:val="001E374C"/>
    <w:rsid w:val="001E3E5E"/>
    <w:rsid w:val="001E672F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119AD"/>
    <w:rsid w:val="0021536A"/>
    <w:rsid w:val="00221F14"/>
    <w:rsid w:val="002245E3"/>
    <w:rsid w:val="00233018"/>
    <w:rsid w:val="00233795"/>
    <w:rsid w:val="002339E9"/>
    <w:rsid w:val="002346C9"/>
    <w:rsid w:val="002363D0"/>
    <w:rsid w:val="00237122"/>
    <w:rsid w:val="0024303E"/>
    <w:rsid w:val="0024327E"/>
    <w:rsid w:val="00245189"/>
    <w:rsid w:val="0024558F"/>
    <w:rsid w:val="0024622D"/>
    <w:rsid w:val="00247F90"/>
    <w:rsid w:val="0026094F"/>
    <w:rsid w:val="002620E0"/>
    <w:rsid w:val="002621F4"/>
    <w:rsid w:val="002622FE"/>
    <w:rsid w:val="00267AF8"/>
    <w:rsid w:val="00270701"/>
    <w:rsid w:val="00271DDE"/>
    <w:rsid w:val="00277882"/>
    <w:rsid w:val="002809BF"/>
    <w:rsid w:val="002817A6"/>
    <w:rsid w:val="002844C9"/>
    <w:rsid w:val="002920C2"/>
    <w:rsid w:val="002A35B2"/>
    <w:rsid w:val="002A5B47"/>
    <w:rsid w:val="002A6631"/>
    <w:rsid w:val="002B155F"/>
    <w:rsid w:val="002C5502"/>
    <w:rsid w:val="002C5D64"/>
    <w:rsid w:val="002D2626"/>
    <w:rsid w:val="002D3187"/>
    <w:rsid w:val="002D43CD"/>
    <w:rsid w:val="002D5DD6"/>
    <w:rsid w:val="002D6D7F"/>
    <w:rsid w:val="002E03CC"/>
    <w:rsid w:val="002E1261"/>
    <w:rsid w:val="002E3E57"/>
    <w:rsid w:val="002E4C38"/>
    <w:rsid w:val="002E597E"/>
    <w:rsid w:val="002F6DE4"/>
    <w:rsid w:val="002F7954"/>
    <w:rsid w:val="002F7D8B"/>
    <w:rsid w:val="00300B60"/>
    <w:rsid w:val="003041B2"/>
    <w:rsid w:val="0030482D"/>
    <w:rsid w:val="00311155"/>
    <w:rsid w:val="00311EEB"/>
    <w:rsid w:val="0031462F"/>
    <w:rsid w:val="00316DE5"/>
    <w:rsid w:val="00317166"/>
    <w:rsid w:val="00320FF4"/>
    <w:rsid w:val="00324931"/>
    <w:rsid w:val="003275C6"/>
    <w:rsid w:val="00331B1B"/>
    <w:rsid w:val="00334344"/>
    <w:rsid w:val="00340DD7"/>
    <w:rsid w:val="0034745E"/>
    <w:rsid w:val="00352D55"/>
    <w:rsid w:val="00353883"/>
    <w:rsid w:val="00353970"/>
    <w:rsid w:val="00355B37"/>
    <w:rsid w:val="00360AA1"/>
    <w:rsid w:val="00361597"/>
    <w:rsid w:val="00365267"/>
    <w:rsid w:val="003665D0"/>
    <w:rsid w:val="003677BB"/>
    <w:rsid w:val="00371067"/>
    <w:rsid w:val="003845C1"/>
    <w:rsid w:val="003854BD"/>
    <w:rsid w:val="00385E69"/>
    <w:rsid w:val="0039230F"/>
    <w:rsid w:val="00393CAC"/>
    <w:rsid w:val="00393F77"/>
    <w:rsid w:val="003955D0"/>
    <w:rsid w:val="003A0046"/>
    <w:rsid w:val="003A6F72"/>
    <w:rsid w:val="003B1CAB"/>
    <w:rsid w:val="003B2289"/>
    <w:rsid w:val="003B7B9B"/>
    <w:rsid w:val="003C04CB"/>
    <w:rsid w:val="003C31C0"/>
    <w:rsid w:val="003C4BBD"/>
    <w:rsid w:val="003C4D99"/>
    <w:rsid w:val="003C554B"/>
    <w:rsid w:val="003D00F2"/>
    <w:rsid w:val="003D0B21"/>
    <w:rsid w:val="003D1977"/>
    <w:rsid w:val="003D1ED0"/>
    <w:rsid w:val="003E0871"/>
    <w:rsid w:val="003E5E1A"/>
    <w:rsid w:val="003F078D"/>
    <w:rsid w:val="003F0C41"/>
    <w:rsid w:val="003F2ED2"/>
    <w:rsid w:val="003F6152"/>
    <w:rsid w:val="003F6CC7"/>
    <w:rsid w:val="00401FC8"/>
    <w:rsid w:val="00402625"/>
    <w:rsid w:val="00403FCD"/>
    <w:rsid w:val="004101EE"/>
    <w:rsid w:val="004156FF"/>
    <w:rsid w:val="004170D4"/>
    <w:rsid w:val="004177A2"/>
    <w:rsid w:val="004208CC"/>
    <w:rsid w:val="004211BC"/>
    <w:rsid w:val="0042225F"/>
    <w:rsid w:val="00423886"/>
    <w:rsid w:val="00423FE9"/>
    <w:rsid w:val="004338C6"/>
    <w:rsid w:val="0043689F"/>
    <w:rsid w:val="00442728"/>
    <w:rsid w:val="004456A2"/>
    <w:rsid w:val="00445A6D"/>
    <w:rsid w:val="00445EAD"/>
    <w:rsid w:val="004472A7"/>
    <w:rsid w:val="00450960"/>
    <w:rsid w:val="00450B9B"/>
    <w:rsid w:val="004526E1"/>
    <w:rsid w:val="00454B17"/>
    <w:rsid w:val="00457B3D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74E4"/>
    <w:rsid w:val="004818FB"/>
    <w:rsid w:val="00485CE1"/>
    <w:rsid w:val="00490A20"/>
    <w:rsid w:val="00491092"/>
    <w:rsid w:val="00491459"/>
    <w:rsid w:val="00493A7C"/>
    <w:rsid w:val="004A2604"/>
    <w:rsid w:val="004B2B07"/>
    <w:rsid w:val="004B2F24"/>
    <w:rsid w:val="004B45AC"/>
    <w:rsid w:val="004B4DA6"/>
    <w:rsid w:val="004B516E"/>
    <w:rsid w:val="004B580B"/>
    <w:rsid w:val="004C0342"/>
    <w:rsid w:val="004C08C3"/>
    <w:rsid w:val="004C6AF8"/>
    <w:rsid w:val="004C6B22"/>
    <w:rsid w:val="004C6D0A"/>
    <w:rsid w:val="004D5351"/>
    <w:rsid w:val="004E0F5A"/>
    <w:rsid w:val="004E1F7B"/>
    <w:rsid w:val="004E52AB"/>
    <w:rsid w:val="004F0260"/>
    <w:rsid w:val="004F2059"/>
    <w:rsid w:val="004F20D1"/>
    <w:rsid w:val="004F3BBF"/>
    <w:rsid w:val="004F4D9B"/>
    <w:rsid w:val="004F5076"/>
    <w:rsid w:val="004F5567"/>
    <w:rsid w:val="005013DE"/>
    <w:rsid w:val="005027E5"/>
    <w:rsid w:val="00502D4D"/>
    <w:rsid w:val="00514C7A"/>
    <w:rsid w:val="00523A13"/>
    <w:rsid w:val="00523B75"/>
    <w:rsid w:val="00531598"/>
    <w:rsid w:val="0053307C"/>
    <w:rsid w:val="00533320"/>
    <w:rsid w:val="00535CD5"/>
    <w:rsid w:val="00540D22"/>
    <w:rsid w:val="0054355B"/>
    <w:rsid w:val="00543DA9"/>
    <w:rsid w:val="00556B34"/>
    <w:rsid w:val="005636B0"/>
    <w:rsid w:val="00564CFD"/>
    <w:rsid w:val="0056762E"/>
    <w:rsid w:val="005728B6"/>
    <w:rsid w:val="00572CD9"/>
    <w:rsid w:val="0057539F"/>
    <w:rsid w:val="005757F4"/>
    <w:rsid w:val="005763F2"/>
    <w:rsid w:val="0057717F"/>
    <w:rsid w:val="0058222C"/>
    <w:rsid w:val="005836FF"/>
    <w:rsid w:val="00592372"/>
    <w:rsid w:val="005931AF"/>
    <w:rsid w:val="00595DB8"/>
    <w:rsid w:val="00597DD1"/>
    <w:rsid w:val="005A2188"/>
    <w:rsid w:val="005A3977"/>
    <w:rsid w:val="005A48D8"/>
    <w:rsid w:val="005A6B8C"/>
    <w:rsid w:val="005B0714"/>
    <w:rsid w:val="005B0D53"/>
    <w:rsid w:val="005B3563"/>
    <w:rsid w:val="005B385D"/>
    <w:rsid w:val="005B4FAD"/>
    <w:rsid w:val="005B6D15"/>
    <w:rsid w:val="005C0EF1"/>
    <w:rsid w:val="005C5F67"/>
    <w:rsid w:val="005C7BB3"/>
    <w:rsid w:val="005D157F"/>
    <w:rsid w:val="005D3EB8"/>
    <w:rsid w:val="005D56D3"/>
    <w:rsid w:val="005E34AE"/>
    <w:rsid w:val="005E4408"/>
    <w:rsid w:val="005E4B4D"/>
    <w:rsid w:val="005E7812"/>
    <w:rsid w:val="005F5A6B"/>
    <w:rsid w:val="00605827"/>
    <w:rsid w:val="0060739B"/>
    <w:rsid w:val="00623CFA"/>
    <w:rsid w:val="006241A2"/>
    <w:rsid w:val="00624828"/>
    <w:rsid w:val="00624A82"/>
    <w:rsid w:val="00627785"/>
    <w:rsid w:val="006327F2"/>
    <w:rsid w:val="00634064"/>
    <w:rsid w:val="006348CD"/>
    <w:rsid w:val="00635C7D"/>
    <w:rsid w:val="00635C81"/>
    <w:rsid w:val="00636E3C"/>
    <w:rsid w:val="00640582"/>
    <w:rsid w:val="006469F0"/>
    <w:rsid w:val="00646E9D"/>
    <w:rsid w:val="0065046D"/>
    <w:rsid w:val="00652BE5"/>
    <w:rsid w:val="00656BDB"/>
    <w:rsid w:val="00657A11"/>
    <w:rsid w:val="006621E0"/>
    <w:rsid w:val="00663104"/>
    <w:rsid w:val="00663455"/>
    <w:rsid w:val="00667BAB"/>
    <w:rsid w:val="00672587"/>
    <w:rsid w:val="0067503A"/>
    <w:rsid w:val="00675D54"/>
    <w:rsid w:val="00675EE2"/>
    <w:rsid w:val="00675F71"/>
    <w:rsid w:val="006819C2"/>
    <w:rsid w:val="006849A7"/>
    <w:rsid w:val="00686676"/>
    <w:rsid w:val="00692FE8"/>
    <w:rsid w:val="006936F7"/>
    <w:rsid w:val="00696641"/>
    <w:rsid w:val="006A2719"/>
    <w:rsid w:val="006A35A7"/>
    <w:rsid w:val="006A67ED"/>
    <w:rsid w:val="006B0CD0"/>
    <w:rsid w:val="006B1F09"/>
    <w:rsid w:val="006B2213"/>
    <w:rsid w:val="006C1BE2"/>
    <w:rsid w:val="006C22BC"/>
    <w:rsid w:val="006C3692"/>
    <w:rsid w:val="006C5194"/>
    <w:rsid w:val="006C73E6"/>
    <w:rsid w:val="006D400A"/>
    <w:rsid w:val="006D655C"/>
    <w:rsid w:val="006D670B"/>
    <w:rsid w:val="006D6A7F"/>
    <w:rsid w:val="006D6AEE"/>
    <w:rsid w:val="006D77CD"/>
    <w:rsid w:val="006E292D"/>
    <w:rsid w:val="006E5E0E"/>
    <w:rsid w:val="006E625D"/>
    <w:rsid w:val="006F14E4"/>
    <w:rsid w:val="006F61F1"/>
    <w:rsid w:val="00704722"/>
    <w:rsid w:val="00705BB6"/>
    <w:rsid w:val="007111EF"/>
    <w:rsid w:val="00712956"/>
    <w:rsid w:val="00721245"/>
    <w:rsid w:val="00721708"/>
    <w:rsid w:val="00724E14"/>
    <w:rsid w:val="0072673F"/>
    <w:rsid w:val="007269E9"/>
    <w:rsid w:val="007272FC"/>
    <w:rsid w:val="00727C89"/>
    <w:rsid w:val="007307A7"/>
    <w:rsid w:val="00736A68"/>
    <w:rsid w:val="00736D87"/>
    <w:rsid w:val="00736E25"/>
    <w:rsid w:val="007405EC"/>
    <w:rsid w:val="00740861"/>
    <w:rsid w:val="00745A25"/>
    <w:rsid w:val="00745D73"/>
    <w:rsid w:val="00747AAB"/>
    <w:rsid w:val="00757E37"/>
    <w:rsid w:val="0076483F"/>
    <w:rsid w:val="00770793"/>
    <w:rsid w:val="00771A29"/>
    <w:rsid w:val="007766B3"/>
    <w:rsid w:val="0078155E"/>
    <w:rsid w:val="00781ADC"/>
    <w:rsid w:val="00784015"/>
    <w:rsid w:val="007877D7"/>
    <w:rsid w:val="00787C6F"/>
    <w:rsid w:val="00790E52"/>
    <w:rsid w:val="00791462"/>
    <w:rsid w:val="0079596B"/>
    <w:rsid w:val="00795EFA"/>
    <w:rsid w:val="0079750E"/>
    <w:rsid w:val="007A1DB9"/>
    <w:rsid w:val="007A2B46"/>
    <w:rsid w:val="007A5070"/>
    <w:rsid w:val="007B6E4A"/>
    <w:rsid w:val="007B7D72"/>
    <w:rsid w:val="007C06E3"/>
    <w:rsid w:val="007C26C9"/>
    <w:rsid w:val="007C3BEA"/>
    <w:rsid w:val="007C4B94"/>
    <w:rsid w:val="007C5E26"/>
    <w:rsid w:val="007D128F"/>
    <w:rsid w:val="007D3606"/>
    <w:rsid w:val="007D4933"/>
    <w:rsid w:val="007D62C2"/>
    <w:rsid w:val="007D6BB3"/>
    <w:rsid w:val="007E2F0D"/>
    <w:rsid w:val="007E4142"/>
    <w:rsid w:val="00800821"/>
    <w:rsid w:val="00802A13"/>
    <w:rsid w:val="00804B94"/>
    <w:rsid w:val="00805DA1"/>
    <w:rsid w:val="00810E47"/>
    <w:rsid w:val="00811EA1"/>
    <w:rsid w:val="00816171"/>
    <w:rsid w:val="008173AF"/>
    <w:rsid w:val="008225E7"/>
    <w:rsid w:val="00822928"/>
    <w:rsid w:val="00822953"/>
    <w:rsid w:val="008229A5"/>
    <w:rsid w:val="008261E0"/>
    <w:rsid w:val="0083205F"/>
    <w:rsid w:val="0083278B"/>
    <w:rsid w:val="00836AB9"/>
    <w:rsid w:val="00837DE5"/>
    <w:rsid w:val="008420FE"/>
    <w:rsid w:val="00842884"/>
    <w:rsid w:val="008435FA"/>
    <w:rsid w:val="00844944"/>
    <w:rsid w:val="008522B7"/>
    <w:rsid w:val="008546C6"/>
    <w:rsid w:val="00855D8B"/>
    <w:rsid w:val="00862213"/>
    <w:rsid w:val="00864CFF"/>
    <w:rsid w:val="00865F25"/>
    <w:rsid w:val="00871A87"/>
    <w:rsid w:val="00872066"/>
    <w:rsid w:val="00881493"/>
    <w:rsid w:val="00881E86"/>
    <w:rsid w:val="00885049"/>
    <w:rsid w:val="00887460"/>
    <w:rsid w:val="008903F1"/>
    <w:rsid w:val="00894958"/>
    <w:rsid w:val="008A0BB0"/>
    <w:rsid w:val="008A1BCF"/>
    <w:rsid w:val="008A29FD"/>
    <w:rsid w:val="008A6648"/>
    <w:rsid w:val="008A6E75"/>
    <w:rsid w:val="008B21E0"/>
    <w:rsid w:val="008B2CC1"/>
    <w:rsid w:val="008B6943"/>
    <w:rsid w:val="008C18EE"/>
    <w:rsid w:val="008C1A95"/>
    <w:rsid w:val="008C516A"/>
    <w:rsid w:val="008C7D40"/>
    <w:rsid w:val="008D0744"/>
    <w:rsid w:val="008D1CB7"/>
    <w:rsid w:val="008D5CD8"/>
    <w:rsid w:val="008E066A"/>
    <w:rsid w:val="008E119C"/>
    <w:rsid w:val="008E3626"/>
    <w:rsid w:val="008E4218"/>
    <w:rsid w:val="008E5620"/>
    <w:rsid w:val="008E5742"/>
    <w:rsid w:val="008F0F39"/>
    <w:rsid w:val="008F3402"/>
    <w:rsid w:val="008F39A4"/>
    <w:rsid w:val="008F3F62"/>
    <w:rsid w:val="008F7255"/>
    <w:rsid w:val="00906B72"/>
    <w:rsid w:val="0090731E"/>
    <w:rsid w:val="0091128C"/>
    <w:rsid w:val="00912951"/>
    <w:rsid w:val="00915749"/>
    <w:rsid w:val="009171CE"/>
    <w:rsid w:val="0092683E"/>
    <w:rsid w:val="009338AB"/>
    <w:rsid w:val="0094015B"/>
    <w:rsid w:val="0094447E"/>
    <w:rsid w:val="009461AE"/>
    <w:rsid w:val="00946D07"/>
    <w:rsid w:val="0095229A"/>
    <w:rsid w:val="0095452C"/>
    <w:rsid w:val="00957005"/>
    <w:rsid w:val="009709FC"/>
    <w:rsid w:val="00972B05"/>
    <w:rsid w:val="009750E6"/>
    <w:rsid w:val="00976EE7"/>
    <w:rsid w:val="00992A6E"/>
    <w:rsid w:val="00994B65"/>
    <w:rsid w:val="009951F2"/>
    <w:rsid w:val="00996B1E"/>
    <w:rsid w:val="009A0ED0"/>
    <w:rsid w:val="009A1193"/>
    <w:rsid w:val="009A2D87"/>
    <w:rsid w:val="009A45F3"/>
    <w:rsid w:val="009A5312"/>
    <w:rsid w:val="009B2799"/>
    <w:rsid w:val="009B2911"/>
    <w:rsid w:val="009B370D"/>
    <w:rsid w:val="009B46E1"/>
    <w:rsid w:val="009C4BE1"/>
    <w:rsid w:val="009C4E9C"/>
    <w:rsid w:val="009D0E6A"/>
    <w:rsid w:val="009D15AD"/>
    <w:rsid w:val="009D3F6A"/>
    <w:rsid w:val="009D57EB"/>
    <w:rsid w:val="009D7B2E"/>
    <w:rsid w:val="009E4252"/>
    <w:rsid w:val="009E6765"/>
    <w:rsid w:val="009E68C8"/>
    <w:rsid w:val="009E7793"/>
    <w:rsid w:val="009F46FC"/>
    <w:rsid w:val="009F68AA"/>
    <w:rsid w:val="00A033CD"/>
    <w:rsid w:val="00A039C6"/>
    <w:rsid w:val="00A04BF3"/>
    <w:rsid w:val="00A109CF"/>
    <w:rsid w:val="00A14BF9"/>
    <w:rsid w:val="00A14CFF"/>
    <w:rsid w:val="00A15D34"/>
    <w:rsid w:val="00A16176"/>
    <w:rsid w:val="00A16DD0"/>
    <w:rsid w:val="00A21D55"/>
    <w:rsid w:val="00A3118B"/>
    <w:rsid w:val="00A31AD7"/>
    <w:rsid w:val="00A31AD9"/>
    <w:rsid w:val="00A35710"/>
    <w:rsid w:val="00A3645C"/>
    <w:rsid w:val="00A437B0"/>
    <w:rsid w:val="00A45C8D"/>
    <w:rsid w:val="00A4615B"/>
    <w:rsid w:val="00A51DF0"/>
    <w:rsid w:val="00A52E3F"/>
    <w:rsid w:val="00A573E5"/>
    <w:rsid w:val="00A60F7A"/>
    <w:rsid w:val="00A613FC"/>
    <w:rsid w:val="00A636AD"/>
    <w:rsid w:val="00A722A2"/>
    <w:rsid w:val="00A75A05"/>
    <w:rsid w:val="00A75FCC"/>
    <w:rsid w:val="00A8195A"/>
    <w:rsid w:val="00A83DDC"/>
    <w:rsid w:val="00A83EA3"/>
    <w:rsid w:val="00A8559E"/>
    <w:rsid w:val="00A9165D"/>
    <w:rsid w:val="00A9420C"/>
    <w:rsid w:val="00AA17B6"/>
    <w:rsid w:val="00AA3D3E"/>
    <w:rsid w:val="00AA5952"/>
    <w:rsid w:val="00AB0D60"/>
    <w:rsid w:val="00AB1ECB"/>
    <w:rsid w:val="00AB39D4"/>
    <w:rsid w:val="00AB457A"/>
    <w:rsid w:val="00AB684D"/>
    <w:rsid w:val="00AC0C77"/>
    <w:rsid w:val="00AC1E95"/>
    <w:rsid w:val="00AC37E0"/>
    <w:rsid w:val="00AD0975"/>
    <w:rsid w:val="00AD3655"/>
    <w:rsid w:val="00AD61B2"/>
    <w:rsid w:val="00AD669E"/>
    <w:rsid w:val="00AE0D31"/>
    <w:rsid w:val="00AE423B"/>
    <w:rsid w:val="00AF0F5E"/>
    <w:rsid w:val="00AF4EC7"/>
    <w:rsid w:val="00AF6E5D"/>
    <w:rsid w:val="00B02571"/>
    <w:rsid w:val="00B0315A"/>
    <w:rsid w:val="00B03692"/>
    <w:rsid w:val="00B05D0F"/>
    <w:rsid w:val="00B06419"/>
    <w:rsid w:val="00B10D5F"/>
    <w:rsid w:val="00B11DA6"/>
    <w:rsid w:val="00B12109"/>
    <w:rsid w:val="00B128DE"/>
    <w:rsid w:val="00B13BE5"/>
    <w:rsid w:val="00B14A24"/>
    <w:rsid w:val="00B16E08"/>
    <w:rsid w:val="00B17C72"/>
    <w:rsid w:val="00B2053F"/>
    <w:rsid w:val="00B22AAF"/>
    <w:rsid w:val="00B23369"/>
    <w:rsid w:val="00B25E1B"/>
    <w:rsid w:val="00B361E2"/>
    <w:rsid w:val="00B37DA7"/>
    <w:rsid w:val="00B41E8D"/>
    <w:rsid w:val="00B41EA2"/>
    <w:rsid w:val="00B42779"/>
    <w:rsid w:val="00B45907"/>
    <w:rsid w:val="00B4689C"/>
    <w:rsid w:val="00B51DE6"/>
    <w:rsid w:val="00B53499"/>
    <w:rsid w:val="00B56612"/>
    <w:rsid w:val="00B621D1"/>
    <w:rsid w:val="00B63912"/>
    <w:rsid w:val="00B658BB"/>
    <w:rsid w:val="00B71214"/>
    <w:rsid w:val="00B776BC"/>
    <w:rsid w:val="00B82003"/>
    <w:rsid w:val="00B83AF6"/>
    <w:rsid w:val="00B87408"/>
    <w:rsid w:val="00B90D03"/>
    <w:rsid w:val="00B95EBA"/>
    <w:rsid w:val="00B97D96"/>
    <w:rsid w:val="00BA0DB9"/>
    <w:rsid w:val="00BA3B6A"/>
    <w:rsid w:val="00BA42EC"/>
    <w:rsid w:val="00BA54A9"/>
    <w:rsid w:val="00BB0B2F"/>
    <w:rsid w:val="00BB1EDA"/>
    <w:rsid w:val="00BB375A"/>
    <w:rsid w:val="00BB3A17"/>
    <w:rsid w:val="00BB77B3"/>
    <w:rsid w:val="00BC25F2"/>
    <w:rsid w:val="00BC5377"/>
    <w:rsid w:val="00BC5A1C"/>
    <w:rsid w:val="00BD107A"/>
    <w:rsid w:val="00BD1E9D"/>
    <w:rsid w:val="00BD1EC0"/>
    <w:rsid w:val="00BD3AAD"/>
    <w:rsid w:val="00BD5F03"/>
    <w:rsid w:val="00BD60C2"/>
    <w:rsid w:val="00BD6D7D"/>
    <w:rsid w:val="00BE281B"/>
    <w:rsid w:val="00BE4B83"/>
    <w:rsid w:val="00BE55CA"/>
    <w:rsid w:val="00BE7AD6"/>
    <w:rsid w:val="00BF1973"/>
    <w:rsid w:val="00BF2827"/>
    <w:rsid w:val="00BF2AC8"/>
    <w:rsid w:val="00BF4248"/>
    <w:rsid w:val="00BF43D9"/>
    <w:rsid w:val="00BF4F9C"/>
    <w:rsid w:val="00C03AE1"/>
    <w:rsid w:val="00C0757F"/>
    <w:rsid w:val="00C1171F"/>
    <w:rsid w:val="00C1307D"/>
    <w:rsid w:val="00C136C6"/>
    <w:rsid w:val="00C15339"/>
    <w:rsid w:val="00C158FB"/>
    <w:rsid w:val="00C17FC5"/>
    <w:rsid w:val="00C26466"/>
    <w:rsid w:val="00C2667F"/>
    <w:rsid w:val="00C27B72"/>
    <w:rsid w:val="00C314BE"/>
    <w:rsid w:val="00C31C7A"/>
    <w:rsid w:val="00C322D4"/>
    <w:rsid w:val="00C34C0F"/>
    <w:rsid w:val="00C36F96"/>
    <w:rsid w:val="00C37DC3"/>
    <w:rsid w:val="00C43D4D"/>
    <w:rsid w:val="00C44774"/>
    <w:rsid w:val="00C44AF0"/>
    <w:rsid w:val="00C44D5C"/>
    <w:rsid w:val="00C45FD5"/>
    <w:rsid w:val="00C50404"/>
    <w:rsid w:val="00C50504"/>
    <w:rsid w:val="00C51831"/>
    <w:rsid w:val="00C52355"/>
    <w:rsid w:val="00C567F1"/>
    <w:rsid w:val="00C60BBA"/>
    <w:rsid w:val="00C6217B"/>
    <w:rsid w:val="00C62ADC"/>
    <w:rsid w:val="00C63C23"/>
    <w:rsid w:val="00C63D55"/>
    <w:rsid w:val="00C6759B"/>
    <w:rsid w:val="00C67AD8"/>
    <w:rsid w:val="00C740CF"/>
    <w:rsid w:val="00C77DB2"/>
    <w:rsid w:val="00C87319"/>
    <w:rsid w:val="00C87405"/>
    <w:rsid w:val="00C912C2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6CD9"/>
    <w:rsid w:val="00CC0CFC"/>
    <w:rsid w:val="00CC24D7"/>
    <w:rsid w:val="00CC3126"/>
    <w:rsid w:val="00CC7236"/>
    <w:rsid w:val="00CC7AAB"/>
    <w:rsid w:val="00CE0999"/>
    <w:rsid w:val="00CE60B2"/>
    <w:rsid w:val="00CF123F"/>
    <w:rsid w:val="00CF16AC"/>
    <w:rsid w:val="00CF4113"/>
    <w:rsid w:val="00CF7A8B"/>
    <w:rsid w:val="00CF7F82"/>
    <w:rsid w:val="00D01980"/>
    <w:rsid w:val="00D020C1"/>
    <w:rsid w:val="00D10B00"/>
    <w:rsid w:val="00D20116"/>
    <w:rsid w:val="00D2067D"/>
    <w:rsid w:val="00D2117B"/>
    <w:rsid w:val="00D2124D"/>
    <w:rsid w:val="00D21C04"/>
    <w:rsid w:val="00D22759"/>
    <w:rsid w:val="00D23C31"/>
    <w:rsid w:val="00D252D3"/>
    <w:rsid w:val="00D32479"/>
    <w:rsid w:val="00D347BE"/>
    <w:rsid w:val="00D4600A"/>
    <w:rsid w:val="00D525F8"/>
    <w:rsid w:val="00D55A7F"/>
    <w:rsid w:val="00D55B4E"/>
    <w:rsid w:val="00D674E9"/>
    <w:rsid w:val="00D70B88"/>
    <w:rsid w:val="00D71BED"/>
    <w:rsid w:val="00D72187"/>
    <w:rsid w:val="00D735F1"/>
    <w:rsid w:val="00D735F5"/>
    <w:rsid w:val="00D76008"/>
    <w:rsid w:val="00D830F1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B5558"/>
    <w:rsid w:val="00DC0A5E"/>
    <w:rsid w:val="00DC0E3F"/>
    <w:rsid w:val="00DC1AA4"/>
    <w:rsid w:val="00DC2E1D"/>
    <w:rsid w:val="00DC47F0"/>
    <w:rsid w:val="00DC5373"/>
    <w:rsid w:val="00DD0AD9"/>
    <w:rsid w:val="00DE0BAB"/>
    <w:rsid w:val="00DE4D5F"/>
    <w:rsid w:val="00DE6AAD"/>
    <w:rsid w:val="00DF469B"/>
    <w:rsid w:val="00DF7A86"/>
    <w:rsid w:val="00E00D1D"/>
    <w:rsid w:val="00E01A47"/>
    <w:rsid w:val="00E03A8C"/>
    <w:rsid w:val="00E05F12"/>
    <w:rsid w:val="00E06979"/>
    <w:rsid w:val="00E069A3"/>
    <w:rsid w:val="00E121C9"/>
    <w:rsid w:val="00E12834"/>
    <w:rsid w:val="00E17C21"/>
    <w:rsid w:val="00E26F90"/>
    <w:rsid w:val="00E33329"/>
    <w:rsid w:val="00E35038"/>
    <w:rsid w:val="00E40DB0"/>
    <w:rsid w:val="00E430AE"/>
    <w:rsid w:val="00E43B80"/>
    <w:rsid w:val="00E4597E"/>
    <w:rsid w:val="00E47DD3"/>
    <w:rsid w:val="00E50504"/>
    <w:rsid w:val="00E51F87"/>
    <w:rsid w:val="00E561F5"/>
    <w:rsid w:val="00E56E51"/>
    <w:rsid w:val="00E57C61"/>
    <w:rsid w:val="00E6273B"/>
    <w:rsid w:val="00E627B7"/>
    <w:rsid w:val="00E63074"/>
    <w:rsid w:val="00E74D2E"/>
    <w:rsid w:val="00E962D9"/>
    <w:rsid w:val="00EA1A85"/>
    <w:rsid w:val="00EA566D"/>
    <w:rsid w:val="00EC08C2"/>
    <w:rsid w:val="00EC230F"/>
    <w:rsid w:val="00EC4BB0"/>
    <w:rsid w:val="00ED2D83"/>
    <w:rsid w:val="00ED3EFE"/>
    <w:rsid w:val="00ED643F"/>
    <w:rsid w:val="00ED6B34"/>
    <w:rsid w:val="00ED76C1"/>
    <w:rsid w:val="00ED783D"/>
    <w:rsid w:val="00ED7905"/>
    <w:rsid w:val="00ED7BE3"/>
    <w:rsid w:val="00EE02AF"/>
    <w:rsid w:val="00EE22F5"/>
    <w:rsid w:val="00EE3C01"/>
    <w:rsid w:val="00EE497C"/>
    <w:rsid w:val="00EE7D39"/>
    <w:rsid w:val="00EF0CFA"/>
    <w:rsid w:val="00EF16AE"/>
    <w:rsid w:val="00EF2615"/>
    <w:rsid w:val="00EF4EE4"/>
    <w:rsid w:val="00EF63A1"/>
    <w:rsid w:val="00F014DD"/>
    <w:rsid w:val="00F11955"/>
    <w:rsid w:val="00F14A9D"/>
    <w:rsid w:val="00F16FCD"/>
    <w:rsid w:val="00F20630"/>
    <w:rsid w:val="00F21807"/>
    <w:rsid w:val="00F228BB"/>
    <w:rsid w:val="00F33644"/>
    <w:rsid w:val="00F33668"/>
    <w:rsid w:val="00F346A7"/>
    <w:rsid w:val="00F358DC"/>
    <w:rsid w:val="00F3664B"/>
    <w:rsid w:val="00F40D79"/>
    <w:rsid w:val="00F4177E"/>
    <w:rsid w:val="00F418E0"/>
    <w:rsid w:val="00F42038"/>
    <w:rsid w:val="00F43266"/>
    <w:rsid w:val="00F44231"/>
    <w:rsid w:val="00F45ADC"/>
    <w:rsid w:val="00F460ED"/>
    <w:rsid w:val="00F50945"/>
    <w:rsid w:val="00F510C6"/>
    <w:rsid w:val="00F51517"/>
    <w:rsid w:val="00F51599"/>
    <w:rsid w:val="00F532F0"/>
    <w:rsid w:val="00F55349"/>
    <w:rsid w:val="00F5755F"/>
    <w:rsid w:val="00F61105"/>
    <w:rsid w:val="00F61319"/>
    <w:rsid w:val="00F618A1"/>
    <w:rsid w:val="00F6240B"/>
    <w:rsid w:val="00F6406E"/>
    <w:rsid w:val="00F653AF"/>
    <w:rsid w:val="00F66689"/>
    <w:rsid w:val="00F66946"/>
    <w:rsid w:val="00F77072"/>
    <w:rsid w:val="00F91405"/>
    <w:rsid w:val="00F91E22"/>
    <w:rsid w:val="00F926F8"/>
    <w:rsid w:val="00F93550"/>
    <w:rsid w:val="00F94489"/>
    <w:rsid w:val="00FA02C7"/>
    <w:rsid w:val="00FA2884"/>
    <w:rsid w:val="00FA2D79"/>
    <w:rsid w:val="00FA3C77"/>
    <w:rsid w:val="00FA597B"/>
    <w:rsid w:val="00FB1EBE"/>
    <w:rsid w:val="00FB2D87"/>
    <w:rsid w:val="00FC15A4"/>
    <w:rsid w:val="00FC253D"/>
    <w:rsid w:val="00FC3CE1"/>
    <w:rsid w:val="00FC560D"/>
    <w:rsid w:val="00FC7F4C"/>
    <w:rsid w:val="00FD0C95"/>
    <w:rsid w:val="00FD2037"/>
    <w:rsid w:val="00FD2F54"/>
    <w:rsid w:val="00FD39E3"/>
    <w:rsid w:val="00FD4418"/>
    <w:rsid w:val="00FE0066"/>
    <w:rsid w:val="00FE0972"/>
    <w:rsid w:val="00FE29E1"/>
    <w:rsid w:val="00FE4A75"/>
    <w:rsid w:val="00FE726D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46AB5D2E"/>
  <w15:docId w15:val="{E86CE023-C505-46C5-82F0-A2B802AA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B4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1A00-F80F-4B08-8390-915B2893D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B3AF4-CFFA-47E0-B1B6-7C3529F2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4640</Characters>
  <Application>Microsoft Office Word</Application>
  <DocSecurity>0</DocSecurity>
  <Lines>124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keywords>FOR OFFICIAL USE ONLY</cp:keywords>
  <cp:lastModifiedBy>MORENO PALESTINI Maria Del Pilar</cp:lastModifiedBy>
  <cp:revision>2</cp:revision>
  <cp:lastPrinted>2021-01-15T07:41:00Z</cp:lastPrinted>
  <dcterms:created xsi:type="dcterms:W3CDTF">2021-01-19T15:08:00Z</dcterms:created>
  <dcterms:modified xsi:type="dcterms:W3CDTF">2021-01-19T15:08:00Z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158c40e0-c19f-495f-9d3e-24b4e5e2351d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