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3"/>
        <w:gridCol w:w="4847"/>
      </w:tblGrid>
      <w:tr w:rsidR="00DB1AF3" w:rsidRPr="0053265C" w:rsidTr="00190770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:rsidR="00DB1AF3" w:rsidRPr="0053265C" w:rsidRDefault="00DB1AF3" w:rsidP="00190770">
            <w:pPr>
              <w:jc w:val="right"/>
              <w:rPr>
                <w:b/>
                <w:sz w:val="40"/>
                <w:szCs w:val="40"/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  <w:r w:rsidRPr="0053265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B1AF3" w:rsidRPr="0053265C" w:rsidTr="00190770">
        <w:trPr>
          <w:trHeight w:val="855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DB1AF3" w:rsidRPr="0053265C" w:rsidRDefault="00DB1AF3" w:rsidP="00190770">
            <w:pPr>
              <w:rPr>
                <w:lang w:val="fr-FR"/>
              </w:rPr>
            </w:pPr>
          </w:p>
        </w:tc>
        <w:tc>
          <w:tcPr>
            <w:tcW w:w="4847" w:type="dxa"/>
            <w:vMerge w:val="restart"/>
            <w:tcMar>
              <w:left w:w="0" w:type="dxa"/>
              <w:right w:w="0" w:type="dxa"/>
            </w:tcMar>
          </w:tcPr>
          <w:p w:rsidR="00DB1AF3" w:rsidRPr="0053265C" w:rsidRDefault="00DB1AF3" w:rsidP="00190770">
            <w:pPr>
              <w:rPr>
                <w:lang w:val="fr-FR"/>
              </w:rPr>
            </w:pPr>
            <w:r w:rsidRPr="0053265C">
              <w:rPr>
                <w:noProof/>
                <w:lang w:eastAsia="en-US"/>
              </w:rPr>
              <w:drawing>
                <wp:inline distT="0" distB="0" distL="0" distR="0" wp14:anchorId="06B80314" wp14:editId="5C5ABAAE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F3" w:rsidRPr="0053265C" w:rsidTr="00190770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DB1AF3" w:rsidRPr="0053265C" w:rsidRDefault="00DB1AF3" w:rsidP="00190770">
            <w:pPr>
              <w:rPr>
                <w:caps/>
                <w:sz w:val="15"/>
                <w:lang w:val="fr-FR"/>
              </w:rPr>
            </w:pPr>
          </w:p>
        </w:tc>
        <w:tc>
          <w:tcPr>
            <w:tcW w:w="4847" w:type="dxa"/>
            <w:vMerge/>
            <w:tcMar>
              <w:left w:w="0" w:type="dxa"/>
              <w:right w:w="0" w:type="dxa"/>
            </w:tcMar>
          </w:tcPr>
          <w:p w:rsidR="00DB1AF3" w:rsidRPr="0053265C" w:rsidRDefault="00DB1AF3" w:rsidP="00190770">
            <w:pPr>
              <w:rPr>
                <w:lang w:val="fr-FR"/>
              </w:rPr>
            </w:pPr>
          </w:p>
        </w:tc>
      </w:tr>
      <w:tr w:rsidR="00DB1AF3" w:rsidRPr="0053265C" w:rsidTr="00190770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B1AF3" w:rsidRPr="0053265C" w:rsidRDefault="00DB1AF3" w:rsidP="00DB1AF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2" w:name="Code"/>
            <w:bookmarkEnd w:id="2"/>
            <w:r w:rsidRPr="0053265C">
              <w:rPr>
                <w:rFonts w:ascii="Arial Black" w:hAnsi="Arial Black"/>
                <w:caps/>
                <w:sz w:val="15"/>
                <w:lang w:val="fr-FR"/>
              </w:rPr>
              <w:t>WIPO/IPTK/GE/17/INF/2</w:t>
            </w:r>
          </w:p>
        </w:tc>
      </w:tr>
      <w:tr w:rsidR="00DB1AF3" w:rsidRPr="0053265C" w:rsidTr="00190770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DB1AF3" w:rsidRPr="0053265C" w:rsidRDefault="00DB1AF3" w:rsidP="0019077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265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A06C0" w:rsidRPr="0053265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53265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53265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B1AF3" w:rsidRPr="0053265C" w:rsidTr="00190770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DB1AF3" w:rsidRPr="0053265C" w:rsidRDefault="00DB1AF3" w:rsidP="0019077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3265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A06C0" w:rsidRPr="0053265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4" w:name="Date"/>
            <w:bookmarkEnd w:id="4"/>
            <w:r w:rsidRPr="0053265C">
              <w:rPr>
                <w:rFonts w:ascii="Arial Black" w:hAnsi="Arial Black"/>
                <w:caps/>
                <w:sz w:val="15"/>
                <w:lang w:val="fr-FR"/>
              </w:rPr>
              <w:t xml:space="preserve"> 19 mai 2017</w:t>
            </w:r>
          </w:p>
        </w:tc>
      </w:tr>
    </w:tbl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b/>
          <w:caps/>
          <w:sz w:val="24"/>
          <w:lang w:val="fr-FR"/>
        </w:rPr>
      </w:pPr>
      <w:r w:rsidRPr="0053265C">
        <w:rPr>
          <w:b/>
          <w:caps/>
          <w:sz w:val="24"/>
          <w:lang w:val="fr-FR"/>
        </w:rPr>
        <w:t>Séminaire sur la propriété intellectuelle et les expressions culturelles traditionnelles</w:t>
      </w: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  <w:proofErr w:type="gramStart"/>
      <w:r w:rsidRPr="0053265C">
        <w:rPr>
          <w:lang w:val="fr-FR"/>
        </w:rPr>
        <w:t>organisé</w:t>
      </w:r>
      <w:proofErr w:type="gramEnd"/>
      <w:r w:rsidRPr="0053265C">
        <w:rPr>
          <w:lang w:val="fr-FR"/>
        </w:rPr>
        <w:t xml:space="preserve"> par l</w:t>
      </w:r>
      <w:r w:rsidR="004A06C0" w:rsidRPr="0053265C">
        <w:rPr>
          <w:lang w:val="fr-FR"/>
        </w:rPr>
        <w:t>’</w:t>
      </w:r>
      <w:r w:rsidRPr="0053265C">
        <w:rPr>
          <w:lang w:val="fr-FR"/>
        </w:rPr>
        <w:t>Organisation Mondiale de la Propriété Intellectuelle (OMPI)</w:t>
      </w: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b/>
          <w:szCs w:val="22"/>
          <w:lang w:val="fr-FR"/>
        </w:rPr>
      </w:pPr>
    </w:p>
    <w:p w:rsidR="00DB1AF3" w:rsidRPr="0053265C" w:rsidRDefault="00DB1AF3" w:rsidP="00DB1AF3">
      <w:pPr>
        <w:tabs>
          <w:tab w:val="center" w:pos="4781"/>
        </w:tabs>
        <w:rPr>
          <w:b/>
          <w:sz w:val="24"/>
          <w:szCs w:val="24"/>
          <w:lang w:val="fr-FR"/>
        </w:rPr>
      </w:pPr>
      <w:r w:rsidRPr="0053265C">
        <w:rPr>
          <w:b/>
          <w:sz w:val="24"/>
          <w:szCs w:val="24"/>
          <w:lang w:val="fr-FR"/>
        </w:rPr>
        <w:t>Genève, 8 et 9 juin 2017</w:t>
      </w:r>
    </w:p>
    <w:p w:rsidR="00DB1AF3" w:rsidRPr="0053265C" w:rsidRDefault="00DB1AF3" w:rsidP="00DB1AF3">
      <w:pPr>
        <w:tabs>
          <w:tab w:val="center" w:pos="4781"/>
        </w:tabs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DB1AF3" w:rsidRPr="0053265C" w:rsidRDefault="00DB1AF3" w:rsidP="00DB1AF3">
      <w:pPr>
        <w:rPr>
          <w:lang w:val="fr-FR"/>
        </w:rPr>
      </w:pPr>
    </w:p>
    <w:p w:rsidR="00FC10EA" w:rsidRPr="00140E69" w:rsidRDefault="00140E69" w:rsidP="00140E69">
      <w:pPr>
        <w:rPr>
          <w:caps/>
          <w:sz w:val="24"/>
          <w:lang w:val="fr-FR"/>
        </w:rPr>
      </w:pPr>
      <w:r w:rsidRPr="00140E69">
        <w:rPr>
          <w:caps/>
          <w:sz w:val="24"/>
          <w:lang w:val="fr-FR"/>
        </w:rPr>
        <w:t>Note d’information</w:t>
      </w:r>
    </w:p>
    <w:p w:rsidR="00FC10EA" w:rsidRPr="0053265C" w:rsidRDefault="00FC10EA" w:rsidP="008B2CC1">
      <w:pPr>
        <w:rPr>
          <w:lang w:val="fr-FR"/>
        </w:rPr>
      </w:pPr>
    </w:p>
    <w:p w:rsidR="00FC10EA" w:rsidRPr="0053265C" w:rsidRDefault="00FC10EA" w:rsidP="00FC10EA">
      <w:pPr>
        <w:rPr>
          <w:i/>
          <w:lang w:val="fr-FR"/>
        </w:rPr>
      </w:pPr>
      <w:bookmarkStart w:id="5" w:name="Prepared"/>
      <w:bookmarkEnd w:id="5"/>
      <w:proofErr w:type="gramStart"/>
      <w:r w:rsidRPr="0053265C">
        <w:rPr>
          <w:i/>
          <w:lang w:val="fr-FR"/>
        </w:rPr>
        <w:t>établi</w:t>
      </w:r>
      <w:r w:rsidR="00A40EB4" w:rsidRPr="0053265C">
        <w:rPr>
          <w:i/>
          <w:lang w:val="fr-FR"/>
        </w:rPr>
        <w:t>e</w:t>
      </w:r>
      <w:proofErr w:type="gramEnd"/>
      <w:r w:rsidRPr="0053265C">
        <w:rPr>
          <w:i/>
          <w:lang w:val="fr-FR"/>
        </w:rPr>
        <w:t xml:space="preserve"> par le Bureau international de l</w:t>
      </w:r>
      <w:r w:rsidR="004A06C0" w:rsidRPr="0053265C">
        <w:rPr>
          <w:i/>
          <w:lang w:val="fr-FR"/>
        </w:rPr>
        <w:t>’</w:t>
      </w:r>
      <w:r w:rsidRPr="0053265C">
        <w:rPr>
          <w:i/>
          <w:lang w:val="fr-FR"/>
        </w:rPr>
        <w:t>OMPI</w:t>
      </w:r>
    </w:p>
    <w:p w:rsidR="00FC10EA" w:rsidRPr="0053265C" w:rsidRDefault="00FC10EA">
      <w:pPr>
        <w:rPr>
          <w:lang w:val="fr-FR"/>
        </w:rPr>
      </w:pPr>
    </w:p>
    <w:p w:rsidR="00FC10EA" w:rsidRPr="0053265C" w:rsidRDefault="00FC10EA">
      <w:pPr>
        <w:rPr>
          <w:lang w:val="fr-FR"/>
        </w:rPr>
      </w:pPr>
    </w:p>
    <w:p w:rsidR="00DB1AF3" w:rsidRPr="0053265C" w:rsidRDefault="00DB1AF3">
      <w:pPr>
        <w:rPr>
          <w:lang w:val="fr-FR"/>
        </w:rPr>
      </w:pPr>
    </w:p>
    <w:p w:rsidR="00FC10EA" w:rsidRPr="0053265C" w:rsidRDefault="00FC10EA">
      <w:pPr>
        <w:rPr>
          <w:lang w:val="fr-FR"/>
        </w:rPr>
      </w:pPr>
    </w:p>
    <w:p w:rsidR="00DB1AF3" w:rsidRPr="0053265C" w:rsidRDefault="00DB1AF3">
      <w:pPr>
        <w:rPr>
          <w:lang w:val="fr-FR"/>
        </w:rPr>
      </w:pPr>
      <w:r w:rsidRPr="0053265C">
        <w:rPr>
          <w:lang w:val="fr-FR"/>
        </w:rPr>
        <w:br w:type="page"/>
      </w:r>
    </w:p>
    <w:p w:rsidR="004A06C0" w:rsidRPr="0053265C" w:rsidRDefault="00FC10EA" w:rsidP="00DB1AF3">
      <w:pPr>
        <w:pStyle w:val="ONUMFS"/>
        <w:rPr>
          <w:szCs w:val="22"/>
          <w:lang w:val="fr-FR"/>
        </w:rPr>
      </w:pPr>
      <w:r w:rsidRPr="0053265C">
        <w:rPr>
          <w:lang w:val="fr-FR"/>
        </w:rPr>
        <w:lastRenderedPageBreak/>
        <w:t>L</w:t>
      </w:r>
      <w:r w:rsidR="004A06C0" w:rsidRPr="0053265C">
        <w:rPr>
          <w:lang w:val="fr-FR"/>
        </w:rPr>
        <w:t>’</w:t>
      </w:r>
      <w:r w:rsidRPr="0053265C">
        <w:rPr>
          <w:lang w:val="fr-FR"/>
        </w:rPr>
        <w:t>objectif global du Séminaire sur la propriété intellectuelle et les expressions culturelles traditionnelles (ci</w:t>
      </w:r>
      <w:r w:rsidR="00140E69">
        <w:rPr>
          <w:lang w:val="fr-FR"/>
        </w:rPr>
        <w:noBreakHyphen/>
      </w:r>
      <w:r w:rsidRPr="0053265C">
        <w:rPr>
          <w:lang w:val="fr-FR"/>
        </w:rPr>
        <w:t xml:space="preserve">après dénommé “séminaire”) est, comme indiqué dans le mandat du Comité intergouvernemental de la propriété intellectuelle relative aux ressources génétiques, aux savoirs traditionnels et au folklore (IGC), de contribuer à renforcer “les connaissances et le consensus aux niveaux régional et interrégional” sur [les questions en rapport avec la propriété intellectuelle et les </w:t>
      </w:r>
      <w:r w:rsidR="002E056C" w:rsidRPr="0053265C">
        <w:rPr>
          <w:lang w:val="fr-FR"/>
        </w:rPr>
        <w:t>expressions culturelles</w:t>
      </w:r>
      <w:r w:rsidRPr="0053265C">
        <w:rPr>
          <w:lang w:val="fr-FR"/>
        </w:rPr>
        <w:t xml:space="preserve"> traditionnel</w:t>
      </w:r>
      <w:r w:rsidR="002E056C" w:rsidRPr="0053265C">
        <w:rPr>
          <w:lang w:val="fr-FR"/>
        </w:rPr>
        <w:t>le</w:t>
      </w:r>
      <w:r w:rsidRPr="0053265C">
        <w:rPr>
          <w:lang w:val="fr-FR"/>
        </w:rPr>
        <w:t>s] “en mettant l</w:t>
      </w:r>
      <w:r w:rsidR="004A06C0" w:rsidRPr="0053265C">
        <w:rPr>
          <w:lang w:val="fr-FR"/>
        </w:rPr>
        <w:t>’</w:t>
      </w:r>
      <w:r w:rsidRPr="0053265C">
        <w:rPr>
          <w:lang w:val="fr-FR"/>
        </w:rPr>
        <w:t>accent sur les questions non résolues”.</w:t>
      </w:r>
    </w:p>
    <w:p w:rsidR="00DB1AF3" w:rsidRPr="0053265C" w:rsidRDefault="008D185A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>La présente note d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 xml:space="preserve">information fournit des informations générales sur chaque table ronde organisée durant le séminaire </w:t>
      </w:r>
      <w:r w:rsidR="00745565" w:rsidRPr="0053265C">
        <w:rPr>
          <w:szCs w:val="22"/>
          <w:lang w:val="fr-FR"/>
        </w:rPr>
        <w:t>ainsi que</w:t>
      </w:r>
      <w:r w:rsidRPr="0053265C">
        <w:rPr>
          <w:szCs w:val="22"/>
          <w:lang w:val="fr-FR"/>
        </w:rPr>
        <w:t xml:space="preserve"> sur les discours liminaire et de clôture.</w:t>
      </w:r>
    </w:p>
    <w:p w:rsidR="00DB1AF3" w:rsidRPr="0053265C" w:rsidRDefault="008D185A" w:rsidP="00140E69">
      <w:pPr>
        <w:spacing w:before="60"/>
        <w:rPr>
          <w:b/>
          <w:lang w:val="fr-FR"/>
        </w:rPr>
      </w:pPr>
      <w:r w:rsidRPr="0053265C">
        <w:rPr>
          <w:b/>
          <w:lang w:val="fr-FR"/>
        </w:rPr>
        <w:t>Discours liminaire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instruments internationaux existants en matière de propriété intellectuelle et expressions culturelles traditionnelles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quelles sont les lacunes et, le cas échéant,</w:t>
      </w:r>
      <w:r w:rsidR="0048019E" w:rsidRPr="0053265C">
        <w:rPr>
          <w:b/>
          <w:lang w:val="fr-FR"/>
        </w:rPr>
        <w:t xml:space="preserve"> lesquelles</w:t>
      </w:r>
      <w:r w:rsidRPr="0053265C">
        <w:rPr>
          <w:b/>
          <w:lang w:val="fr-FR"/>
        </w:rPr>
        <w:t xml:space="preserve"> doit</w:t>
      </w:r>
      <w:r w:rsidR="00140E69">
        <w:rPr>
          <w:b/>
          <w:lang w:val="fr-FR"/>
        </w:rPr>
        <w:noBreakHyphen/>
      </w:r>
      <w:r w:rsidRPr="0053265C">
        <w:rPr>
          <w:b/>
          <w:lang w:val="fr-FR"/>
        </w:rPr>
        <w:t>on combler?</w:t>
      </w:r>
    </w:p>
    <w:p w:rsidR="00DB1AF3" w:rsidRPr="0053265C" w:rsidRDefault="00DB1AF3" w:rsidP="00DB1AF3">
      <w:pPr>
        <w:rPr>
          <w:b/>
          <w:lang w:val="fr-FR"/>
        </w:rPr>
      </w:pPr>
    </w:p>
    <w:p w:rsidR="00DB1AF3" w:rsidRPr="0053265C" w:rsidRDefault="00FD749F" w:rsidP="00DB1AF3">
      <w:pPr>
        <w:pStyle w:val="ONUMFS"/>
        <w:rPr>
          <w:rFonts w:eastAsia="Calibri"/>
          <w:lang w:val="fr-FR" w:eastAsia="en-US"/>
        </w:rPr>
      </w:pPr>
      <w:r w:rsidRPr="0053265C">
        <w:rPr>
          <w:rFonts w:eastAsia="Calibri"/>
          <w:lang w:val="fr-FR" w:eastAsia="en-US"/>
        </w:rPr>
        <w:t xml:space="preserve">Le </w:t>
      </w:r>
      <w:r w:rsidR="0062482E" w:rsidRPr="0053265C">
        <w:rPr>
          <w:rFonts w:eastAsia="Calibri"/>
          <w:lang w:val="fr-FR" w:eastAsia="en-US"/>
        </w:rPr>
        <w:t>discours liminaire</w:t>
      </w:r>
      <w:r w:rsidRPr="0053265C">
        <w:rPr>
          <w:rFonts w:eastAsia="Calibri"/>
          <w:lang w:val="fr-FR" w:eastAsia="en-US"/>
        </w:rPr>
        <w:t xml:space="preserve"> devrait</w:t>
      </w:r>
      <w:r w:rsidR="008D018B" w:rsidRPr="0053265C">
        <w:rPr>
          <w:rFonts w:eastAsia="Calibri"/>
          <w:lang w:val="fr-FR" w:eastAsia="en-US"/>
        </w:rPr>
        <w:t xml:space="preserve"> </w:t>
      </w:r>
      <w:r w:rsidRPr="0053265C">
        <w:rPr>
          <w:rFonts w:eastAsia="Calibri"/>
          <w:lang w:val="fr-FR" w:eastAsia="en-US"/>
        </w:rPr>
        <w:t xml:space="preserve">présenter dans les grandes lignes </w:t>
      </w:r>
      <w:r w:rsidR="0062482E" w:rsidRPr="0053265C">
        <w:rPr>
          <w:rFonts w:eastAsia="Calibri"/>
          <w:lang w:val="fr-FR" w:eastAsia="en-US"/>
        </w:rPr>
        <w:t>les dispositions et possibilités déjà existantes au niveau international en vue de protéger les expressions culturelles traditionnell</w:t>
      </w:r>
      <w:r w:rsidR="0053265C" w:rsidRPr="0053265C">
        <w:rPr>
          <w:rFonts w:eastAsia="Calibri"/>
          <w:lang w:val="fr-FR" w:eastAsia="en-US"/>
        </w:rPr>
        <w:t>es.  Il</w:t>
      </w:r>
      <w:r w:rsidR="0011319A" w:rsidRPr="0053265C">
        <w:rPr>
          <w:rFonts w:eastAsia="Calibri"/>
          <w:lang w:val="fr-FR" w:eastAsia="en-US"/>
        </w:rPr>
        <w:t xml:space="preserve"> exposera</w:t>
      </w:r>
      <w:r w:rsidR="00960698" w:rsidRPr="0053265C">
        <w:rPr>
          <w:rFonts w:eastAsia="Calibri"/>
          <w:lang w:val="fr-FR" w:eastAsia="en-US"/>
        </w:rPr>
        <w:t xml:space="preserve"> </w:t>
      </w:r>
      <w:r w:rsidR="0011319A" w:rsidRPr="0053265C">
        <w:rPr>
          <w:rFonts w:eastAsia="Calibri"/>
          <w:lang w:val="fr-FR" w:eastAsia="en-US"/>
        </w:rPr>
        <w:t xml:space="preserve">les </w:t>
      </w:r>
      <w:r w:rsidR="00960698" w:rsidRPr="0053265C">
        <w:rPr>
          <w:rFonts w:eastAsia="Calibri"/>
          <w:lang w:val="fr-FR" w:eastAsia="en-US"/>
        </w:rPr>
        <w:t>lacunes exist</w:t>
      </w:r>
      <w:r w:rsidR="00AF1A99" w:rsidRPr="0053265C">
        <w:rPr>
          <w:rFonts w:eastAsia="Calibri"/>
          <w:lang w:val="fr-FR" w:eastAsia="en-US"/>
        </w:rPr>
        <w:t>a</w:t>
      </w:r>
      <w:r w:rsidR="00960698" w:rsidRPr="0053265C">
        <w:rPr>
          <w:rFonts w:eastAsia="Calibri"/>
          <w:lang w:val="fr-FR" w:eastAsia="en-US"/>
        </w:rPr>
        <w:t>nt</w:t>
      </w:r>
      <w:r w:rsidR="00AF1A99" w:rsidRPr="0053265C">
        <w:rPr>
          <w:rFonts w:eastAsia="Calibri"/>
          <w:lang w:val="fr-FR" w:eastAsia="en-US"/>
        </w:rPr>
        <w:t>es</w:t>
      </w:r>
      <w:r w:rsidR="00960698" w:rsidRPr="0053265C">
        <w:rPr>
          <w:rFonts w:eastAsia="Calibri"/>
          <w:lang w:val="fr-FR" w:eastAsia="en-US"/>
        </w:rPr>
        <w:t xml:space="preserve"> </w:t>
      </w:r>
      <w:r w:rsidR="0011319A" w:rsidRPr="0053265C">
        <w:rPr>
          <w:rFonts w:eastAsia="Calibri"/>
          <w:lang w:val="fr-FR" w:eastAsia="en-US"/>
        </w:rPr>
        <w:t>et examinera</w:t>
      </w:r>
      <w:r w:rsidR="00960698" w:rsidRPr="0053265C">
        <w:rPr>
          <w:rFonts w:eastAsia="Calibri"/>
          <w:lang w:val="fr-FR" w:eastAsia="en-US"/>
        </w:rPr>
        <w:t xml:space="preserve"> la question de savoir, le cas échéant, lesquelles de ces lacunes devraient être comblé</w:t>
      </w:r>
      <w:r w:rsidR="0053265C" w:rsidRPr="0053265C">
        <w:rPr>
          <w:rFonts w:eastAsia="Calibri"/>
          <w:lang w:val="fr-FR" w:eastAsia="en-US"/>
        </w:rPr>
        <w:t>es.  Le</w:t>
      </w:r>
      <w:r w:rsidR="006547BC" w:rsidRPr="0053265C">
        <w:rPr>
          <w:rFonts w:eastAsia="Calibri"/>
          <w:lang w:val="fr-FR" w:eastAsia="en-US"/>
        </w:rPr>
        <w:t xml:space="preserve"> discours liminaire devrait faire référence au document WIPO/GRTKF/IC/13/4(b)</w:t>
      </w:r>
      <w:r w:rsidR="00FE48BB" w:rsidRPr="0053265C">
        <w:rPr>
          <w:rFonts w:eastAsia="Calibri"/>
          <w:lang w:val="fr-FR" w:eastAsia="en-US"/>
        </w:rPr>
        <w:t> </w:t>
      </w:r>
      <w:proofErr w:type="spellStart"/>
      <w:r w:rsidR="006547BC" w:rsidRPr="0053265C">
        <w:rPr>
          <w:rFonts w:eastAsia="Calibri"/>
          <w:lang w:val="fr-FR" w:eastAsia="en-US"/>
        </w:rPr>
        <w:t>Rev</w:t>
      </w:r>
      <w:proofErr w:type="spellEnd"/>
      <w:r w:rsidR="006547BC" w:rsidRPr="0053265C">
        <w:rPr>
          <w:rFonts w:eastAsia="Calibri"/>
          <w:lang w:val="fr-FR" w:eastAsia="en-US"/>
        </w:rPr>
        <w:t xml:space="preserve">. intitulé </w:t>
      </w:r>
      <w:r w:rsidR="00FE48BB" w:rsidRPr="0053265C">
        <w:rPr>
          <w:rFonts w:eastAsia="Calibri"/>
          <w:lang w:val="fr-FR" w:eastAsia="en-US"/>
        </w:rPr>
        <w:t>“</w:t>
      </w:r>
      <w:r w:rsidR="006547BC" w:rsidRPr="0053265C">
        <w:rPr>
          <w:rFonts w:eastAsia="Calibri"/>
          <w:lang w:val="fr-FR" w:eastAsia="en-US"/>
        </w:rPr>
        <w:t>Projet d</w:t>
      </w:r>
      <w:r w:rsidR="004A06C0" w:rsidRPr="0053265C">
        <w:rPr>
          <w:rFonts w:eastAsia="Calibri"/>
          <w:lang w:val="fr-FR" w:eastAsia="en-US"/>
        </w:rPr>
        <w:t>’</w:t>
      </w:r>
      <w:r w:rsidR="006547BC" w:rsidRPr="0053265C">
        <w:rPr>
          <w:rFonts w:eastAsia="Calibri"/>
          <w:lang w:val="fr-FR" w:eastAsia="en-US"/>
        </w:rPr>
        <w:t>analyse des lacunes en matière de protection des expressions culturelles traditionnelles</w:t>
      </w:r>
      <w:r w:rsidR="00FE48BB" w:rsidRPr="0053265C">
        <w:rPr>
          <w:rFonts w:eastAsia="Calibri"/>
          <w:lang w:val="fr-FR" w:eastAsia="en-US"/>
        </w:rPr>
        <w:t>”</w:t>
      </w:r>
      <w:r w:rsidR="006547BC" w:rsidRPr="0053265C">
        <w:rPr>
          <w:rFonts w:eastAsia="Calibri"/>
          <w:lang w:val="fr-FR" w:eastAsia="en-US"/>
        </w:rPr>
        <w:t>, publié en vue de la treiz</w:t>
      </w:r>
      <w:r w:rsidR="004A06C0" w:rsidRPr="0053265C">
        <w:rPr>
          <w:rFonts w:eastAsia="Calibri"/>
          <w:lang w:val="fr-FR" w:eastAsia="en-US"/>
        </w:rPr>
        <w:t>ième session</w:t>
      </w:r>
      <w:r w:rsidR="006547BC" w:rsidRPr="0053265C">
        <w:rPr>
          <w:rFonts w:eastAsia="Calibri"/>
          <w:lang w:val="fr-FR" w:eastAsia="en-US"/>
        </w:rPr>
        <w:t xml:space="preserve"> de l</w:t>
      </w:r>
      <w:r w:rsidR="004A06C0" w:rsidRPr="0053265C">
        <w:rPr>
          <w:rFonts w:eastAsia="Calibri"/>
          <w:lang w:val="fr-FR" w:eastAsia="en-US"/>
        </w:rPr>
        <w:t>’</w:t>
      </w:r>
      <w:r w:rsidR="006547BC" w:rsidRPr="0053265C">
        <w:rPr>
          <w:rFonts w:eastAsia="Calibri"/>
          <w:lang w:val="fr-FR" w:eastAsia="en-US"/>
        </w:rPr>
        <w:t xml:space="preserve">IGC tenue </w:t>
      </w:r>
      <w:r w:rsidR="004A06C0" w:rsidRPr="0053265C">
        <w:rPr>
          <w:rFonts w:eastAsia="Calibri"/>
          <w:lang w:val="fr-FR" w:eastAsia="en-US"/>
        </w:rPr>
        <w:t>en 2009</w:t>
      </w:r>
      <w:r w:rsidR="006547BC" w:rsidRPr="0053265C">
        <w:rPr>
          <w:rFonts w:eastAsia="Calibri"/>
          <w:lang w:val="fr-FR" w:eastAsia="en-US"/>
        </w:rPr>
        <w:t>.</w:t>
      </w:r>
    </w:p>
    <w:p w:rsidR="00DB1AF3" w:rsidRPr="0053265C" w:rsidRDefault="00532B50" w:rsidP="00DB1AF3">
      <w:pPr>
        <w:pStyle w:val="ONUMFS"/>
        <w:rPr>
          <w:rFonts w:eastAsia="Calibri"/>
          <w:lang w:val="fr-FR" w:eastAsia="en-US"/>
        </w:rPr>
      </w:pPr>
      <w:r w:rsidRPr="0053265C">
        <w:rPr>
          <w:rFonts w:eastAsia="Calibri"/>
          <w:lang w:val="fr-FR" w:eastAsia="en-US"/>
        </w:rPr>
        <w:t xml:space="preserve">Dans ce cadre, la notion de </w:t>
      </w:r>
      <w:r w:rsidR="00FE48BB" w:rsidRPr="0053265C">
        <w:rPr>
          <w:rFonts w:eastAsia="Calibri"/>
          <w:lang w:val="fr-FR" w:eastAsia="en-US"/>
        </w:rPr>
        <w:t>“</w:t>
      </w:r>
      <w:r w:rsidRPr="0053265C">
        <w:rPr>
          <w:rFonts w:eastAsia="Calibri"/>
          <w:lang w:val="fr-FR" w:eastAsia="en-US"/>
        </w:rPr>
        <w:t>lacune</w:t>
      </w:r>
      <w:r w:rsidR="00FE48BB" w:rsidRPr="0053265C">
        <w:rPr>
          <w:rFonts w:eastAsia="Calibri"/>
          <w:lang w:val="fr-FR" w:eastAsia="en-US"/>
        </w:rPr>
        <w:t>”</w:t>
      </w:r>
      <w:r w:rsidRPr="0053265C">
        <w:rPr>
          <w:rFonts w:eastAsia="Calibri"/>
          <w:lang w:val="fr-FR" w:eastAsia="en-US"/>
        </w:rPr>
        <w:t xml:space="preserve"> désigne un besoin économique, culturel ou social non satisfa</w:t>
      </w:r>
      <w:r w:rsidR="0053265C" w:rsidRPr="0053265C">
        <w:rPr>
          <w:rFonts w:eastAsia="Calibri"/>
          <w:lang w:val="fr-FR" w:eastAsia="en-US"/>
        </w:rPr>
        <w:t>it.  Le</w:t>
      </w:r>
      <w:r w:rsidR="00F0286F" w:rsidRPr="0053265C">
        <w:rPr>
          <w:rFonts w:eastAsia="Calibri"/>
          <w:lang w:val="fr-FR" w:eastAsia="en-US"/>
        </w:rPr>
        <w:t xml:space="preserve">s différentes parties prenantes aux </w:t>
      </w:r>
      <w:r w:rsidR="005E3B4D" w:rsidRPr="0053265C">
        <w:rPr>
          <w:rFonts w:eastAsia="Calibri"/>
          <w:lang w:val="fr-FR" w:eastAsia="en-US"/>
        </w:rPr>
        <w:t>négociations</w:t>
      </w:r>
      <w:r w:rsidR="00F0286F" w:rsidRPr="0053265C">
        <w:rPr>
          <w:rFonts w:eastAsia="Calibri"/>
          <w:lang w:val="fr-FR" w:eastAsia="en-US"/>
        </w:rPr>
        <w:t xml:space="preserve"> de l</w:t>
      </w:r>
      <w:r w:rsidR="004A06C0" w:rsidRPr="0053265C">
        <w:rPr>
          <w:rFonts w:eastAsia="Calibri"/>
          <w:lang w:val="fr-FR" w:eastAsia="en-US"/>
        </w:rPr>
        <w:t>’</w:t>
      </w:r>
      <w:r w:rsidR="00F0286F" w:rsidRPr="0053265C">
        <w:rPr>
          <w:rFonts w:eastAsia="Calibri"/>
          <w:lang w:val="fr-FR" w:eastAsia="en-US"/>
        </w:rPr>
        <w:t xml:space="preserve">IGC peuvent avoir </w:t>
      </w:r>
      <w:r w:rsidR="00F770B0" w:rsidRPr="0053265C">
        <w:rPr>
          <w:rFonts w:eastAsia="Calibri"/>
          <w:lang w:val="fr-FR" w:eastAsia="en-US"/>
        </w:rPr>
        <w:t>une conception différente</w:t>
      </w:r>
      <w:r w:rsidR="00F0286F" w:rsidRPr="0053265C">
        <w:rPr>
          <w:rFonts w:eastAsia="Calibri"/>
          <w:lang w:val="fr-FR" w:eastAsia="en-US"/>
        </w:rPr>
        <w:t xml:space="preserve"> de ce que recouvre la notion de lacu</w:t>
      </w:r>
      <w:r w:rsidR="0053265C" w:rsidRPr="0053265C">
        <w:rPr>
          <w:rFonts w:eastAsia="Calibri"/>
          <w:lang w:val="fr-FR" w:eastAsia="en-US"/>
        </w:rPr>
        <w:t>ne.  Il</w:t>
      </w:r>
      <w:r w:rsidR="00FA0F0B" w:rsidRPr="0053265C">
        <w:rPr>
          <w:rFonts w:eastAsia="Calibri"/>
          <w:lang w:val="fr-FR" w:eastAsia="en-US"/>
        </w:rPr>
        <w:t xml:space="preserve"> revient en dernier lieu aux États membres de déterminer quel besoin insatisfait constitue une lacune et de </w:t>
      </w:r>
      <w:r w:rsidR="0071293B" w:rsidRPr="0053265C">
        <w:rPr>
          <w:rFonts w:eastAsia="Calibri"/>
          <w:lang w:val="fr-FR" w:eastAsia="en-US"/>
        </w:rPr>
        <w:t>décider</w:t>
      </w:r>
      <w:r w:rsidR="00FA0F0B" w:rsidRPr="0053265C">
        <w:rPr>
          <w:rFonts w:eastAsia="Calibri"/>
          <w:lang w:val="fr-FR" w:eastAsia="en-US"/>
        </w:rPr>
        <w:t xml:space="preserve"> si ce</w:t>
      </w:r>
      <w:r w:rsidR="001D09BB" w:rsidRPr="0053265C">
        <w:rPr>
          <w:rFonts w:eastAsia="Calibri"/>
          <w:lang w:val="fr-FR" w:eastAsia="en-US"/>
        </w:rPr>
        <w:t>tte</w:t>
      </w:r>
      <w:r w:rsidR="00FA0F0B" w:rsidRPr="0053265C">
        <w:rPr>
          <w:rFonts w:eastAsia="Calibri"/>
          <w:lang w:val="fr-FR" w:eastAsia="en-US"/>
        </w:rPr>
        <w:t xml:space="preserve"> derni</w:t>
      </w:r>
      <w:r w:rsidR="001D09BB" w:rsidRPr="0053265C">
        <w:rPr>
          <w:rFonts w:eastAsia="Calibri"/>
          <w:lang w:val="fr-FR" w:eastAsia="en-US"/>
        </w:rPr>
        <w:t>ère</w:t>
      </w:r>
      <w:r w:rsidR="00FA0F0B" w:rsidRPr="0053265C">
        <w:rPr>
          <w:rFonts w:eastAsia="Calibri"/>
          <w:lang w:val="fr-FR" w:eastAsia="en-US"/>
        </w:rPr>
        <w:t xml:space="preserve"> doit ou non être combl</w:t>
      </w:r>
      <w:r w:rsidR="0053265C" w:rsidRPr="0053265C">
        <w:rPr>
          <w:rFonts w:eastAsia="Calibri"/>
          <w:lang w:val="fr-FR" w:eastAsia="en-US"/>
        </w:rPr>
        <w:t>ée.  Ce</w:t>
      </w:r>
      <w:r w:rsidR="00FA0F0B" w:rsidRPr="0053265C">
        <w:rPr>
          <w:rFonts w:eastAsia="Calibri"/>
          <w:lang w:val="fr-FR" w:eastAsia="en-US"/>
        </w:rPr>
        <w:t xml:space="preserve">la signifie en outre que toutes les lacunes </w:t>
      </w:r>
      <w:r w:rsidR="004D4723" w:rsidRPr="0053265C">
        <w:rPr>
          <w:rFonts w:eastAsia="Calibri"/>
          <w:lang w:val="fr-FR" w:eastAsia="en-US"/>
        </w:rPr>
        <w:t>recensées</w:t>
      </w:r>
      <w:r w:rsidR="00FA0F0B" w:rsidRPr="0053265C">
        <w:rPr>
          <w:rFonts w:eastAsia="Calibri"/>
          <w:lang w:val="fr-FR" w:eastAsia="en-US"/>
        </w:rPr>
        <w:t xml:space="preserve"> ne devront pas nécessairement être comblées car certaines peuvent avoir des </w:t>
      </w:r>
      <w:r w:rsidR="00092391" w:rsidRPr="0053265C">
        <w:rPr>
          <w:rFonts w:eastAsia="Calibri"/>
          <w:lang w:val="fr-FR" w:eastAsia="en-US"/>
        </w:rPr>
        <w:t>raisons d</w:t>
      </w:r>
      <w:r w:rsidR="004A06C0" w:rsidRPr="0053265C">
        <w:rPr>
          <w:rFonts w:eastAsia="Calibri"/>
          <w:lang w:val="fr-FR" w:eastAsia="en-US"/>
        </w:rPr>
        <w:t>’</w:t>
      </w:r>
      <w:r w:rsidR="00092391" w:rsidRPr="0053265C">
        <w:rPr>
          <w:rFonts w:eastAsia="Calibri"/>
          <w:lang w:val="fr-FR" w:eastAsia="en-US"/>
        </w:rPr>
        <w:t>être</w:t>
      </w:r>
      <w:r w:rsidR="00FA0F0B" w:rsidRPr="0053265C">
        <w:rPr>
          <w:rFonts w:eastAsia="Calibri"/>
          <w:lang w:val="fr-FR" w:eastAsia="en-US"/>
        </w:rPr>
        <w:t xml:space="preserve"> </w:t>
      </w:r>
      <w:r w:rsidR="00AE5F63" w:rsidRPr="0053265C">
        <w:rPr>
          <w:rFonts w:eastAsia="Calibri"/>
          <w:lang w:val="fr-FR" w:eastAsia="en-US"/>
        </w:rPr>
        <w:t xml:space="preserve">légitimes </w:t>
      </w:r>
      <w:r w:rsidR="00F31453" w:rsidRPr="0053265C">
        <w:rPr>
          <w:rFonts w:eastAsia="Calibri"/>
          <w:lang w:val="fr-FR" w:eastAsia="en-US"/>
        </w:rPr>
        <w:t>de</w:t>
      </w:r>
      <w:r w:rsidR="00FA0F0B" w:rsidRPr="0053265C">
        <w:rPr>
          <w:rFonts w:eastAsia="Calibri"/>
          <w:lang w:val="fr-FR" w:eastAsia="en-US"/>
        </w:rPr>
        <w:t xml:space="preserve"> politique</w:t>
      </w:r>
      <w:r w:rsidR="00F31453" w:rsidRPr="0053265C">
        <w:rPr>
          <w:rFonts w:eastAsia="Calibri"/>
          <w:lang w:val="fr-FR" w:eastAsia="en-US"/>
        </w:rPr>
        <w:t xml:space="preserve"> générale</w:t>
      </w:r>
      <w:r w:rsidR="00FA0F0B" w:rsidRPr="0053265C">
        <w:rPr>
          <w:rFonts w:eastAsia="Calibri"/>
          <w:lang w:val="fr-FR" w:eastAsia="en-US"/>
        </w:rPr>
        <w:t>.</w:t>
      </w:r>
    </w:p>
    <w:p w:rsidR="00DB1AF3" w:rsidRPr="0053265C" w:rsidRDefault="00FA0F0B" w:rsidP="00140E69">
      <w:pPr>
        <w:spacing w:before="60"/>
        <w:rPr>
          <w:b/>
          <w:lang w:val="fr-FR"/>
        </w:rPr>
      </w:pPr>
      <w:r w:rsidRPr="0053265C">
        <w:rPr>
          <w:b/>
          <w:lang w:val="fr-FR"/>
        </w:rPr>
        <w:t>Table ronde n°</w:t>
      </w:r>
      <w:r w:rsidR="00FE48BB" w:rsidRPr="0053265C">
        <w:rPr>
          <w:b/>
          <w:lang w:val="fr-FR"/>
        </w:rPr>
        <w:t> </w:t>
      </w:r>
      <w:r w:rsidRPr="0053265C">
        <w:rPr>
          <w:b/>
          <w:lang w:val="fr-FR"/>
        </w:rPr>
        <w:t>1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Principales questions de politique générale concernant la propriété intellectuelle et les expressions culturelles traditionnelles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première session</w:t>
      </w:r>
    </w:p>
    <w:p w:rsidR="00DB1AF3" w:rsidRPr="0053265C" w:rsidRDefault="00DB1AF3" w:rsidP="00DB1AF3">
      <w:pPr>
        <w:rPr>
          <w:b/>
          <w:lang w:val="fr-FR"/>
        </w:rPr>
      </w:pPr>
    </w:p>
    <w:p w:rsidR="00DB1AF3" w:rsidRPr="0053265C" w:rsidRDefault="00F90B96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>C</w:t>
      </w:r>
      <w:r w:rsidR="00EC5D36" w:rsidRPr="0053265C">
        <w:rPr>
          <w:szCs w:val="22"/>
          <w:lang w:val="fr-FR"/>
        </w:rPr>
        <w:t>ette table ronde</w:t>
      </w:r>
      <w:r w:rsidRPr="0053265C">
        <w:rPr>
          <w:szCs w:val="22"/>
          <w:lang w:val="fr-FR"/>
        </w:rPr>
        <w:t xml:space="preserve"> permettra aux</w:t>
      </w:r>
      <w:r w:rsidR="00EC5D36" w:rsidRPr="0053265C">
        <w:rPr>
          <w:szCs w:val="22"/>
          <w:lang w:val="fr-FR"/>
        </w:rPr>
        <w:t xml:space="preserve"> </w:t>
      </w:r>
      <w:r w:rsidR="00BD0ECF" w:rsidRPr="0053265C">
        <w:rPr>
          <w:szCs w:val="22"/>
          <w:lang w:val="fr-FR"/>
        </w:rPr>
        <w:t>conférencier</w:t>
      </w:r>
      <w:r w:rsidR="00EC5D36" w:rsidRPr="0053265C">
        <w:rPr>
          <w:szCs w:val="22"/>
          <w:lang w:val="fr-FR"/>
        </w:rPr>
        <w:t xml:space="preserve">s </w:t>
      </w:r>
      <w:r w:rsidRPr="0053265C">
        <w:rPr>
          <w:szCs w:val="22"/>
          <w:lang w:val="fr-FR"/>
        </w:rPr>
        <w:t>de</w:t>
      </w:r>
      <w:r w:rsidR="00EC5D36" w:rsidRPr="0053265C">
        <w:rPr>
          <w:szCs w:val="22"/>
          <w:lang w:val="fr-FR"/>
        </w:rPr>
        <w:t xml:space="preserve"> définir et </w:t>
      </w:r>
      <w:r w:rsidRPr="0053265C">
        <w:rPr>
          <w:szCs w:val="22"/>
          <w:lang w:val="fr-FR"/>
        </w:rPr>
        <w:t>d</w:t>
      </w:r>
      <w:r w:rsidR="004A06C0" w:rsidRPr="0053265C">
        <w:rPr>
          <w:szCs w:val="22"/>
          <w:lang w:val="fr-FR"/>
        </w:rPr>
        <w:t>’</w:t>
      </w:r>
      <w:r w:rsidR="00825C80" w:rsidRPr="0053265C">
        <w:rPr>
          <w:szCs w:val="22"/>
          <w:lang w:val="fr-FR"/>
        </w:rPr>
        <w:t>examiner</w:t>
      </w:r>
      <w:r w:rsidR="00EC5D36" w:rsidRPr="0053265C">
        <w:rPr>
          <w:szCs w:val="22"/>
          <w:lang w:val="fr-FR"/>
        </w:rPr>
        <w:t xml:space="preserve"> les questions de politique générale liées à la protection des expressions culturelles traditionnelles au titre de la propriété intellectuelle qu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 xml:space="preserve">ils considèrent </w:t>
      </w:r>
      <w:r w:rsidR="00F1126A" w:rsidRPr="0053265C">
        <w:rPr>
          <w:szCs w:val="22"/>
          <w:lang w:val="fr-FR"/>
        </w:rPr>
        <w:t>comme essentiell</w:t>
      </w:r>
      <w:r w:rsidR="0053265C" w:rsidRPr="0053265C">
        <w:rPr>
          <w:szCs w:val="22"/>
          <w:lang w:val="fr-FR"/>
        </w:rPr>
        <w:t>es.  Ju</w:t>
      </w:r>
      <w:r w:rsidR="00EC5D36" w:rsidRPr="0053265C">
        <w:rPr>
          <w:szCs w:val="22"/>
          <w:lang w:val="fr-FR"/>
        </w:rPr>
        <w:t>squ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>à présent, l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 xml:space="preserve">IGC a axé ses négociations sur certains articles essentiels et, dernièrement, sur certaines questions fondamentales, lesquelles, comme </w:t>
      </w:r>
      <w:r w:rsidR="00E70DDC" w:rsidRPr="0053265C">
        <w:rPr>
          <w:szCs w:val="22"/>
          <w:lang w:val="fr-FR"/>
        </w:rPr>
        <w:t>il ressort de</w:t>
      </w:r>
      <w:r w:rsidR="00EC5D36" w:rsidRPr="0053265C">
        <w:rPr>
          <w:szCs w:val="22"/>
          <w:lang w:val="fr-FR"/>
        </w:rPr>
        <w:t xml:space="preserve"> l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>actuel mandat de l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>IGC, englobe</w:t>
      </w:r>
      <w:r w:rsidR="00312C63" w:rsidRPr="0053265C">
        <w:rPr>
          <w:szCs w:val="22"/>
          <w:lang w:val="fr-FR"/>
        </w:rPr>
        <w:t>nt</w:t>
      </w:r>
      <w:r w:rsidR="00EC5D36" w:rsidRPr="0053265C">
        <w:rPr>
          <w:szCs w:val="22"/>
          <w:lang w:val="fr-FR"/>
        </w:rPr>
        <w:t xml:space="preserve"> “la définition de l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>appropriation illicite, les bénéficiaires, l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>objet de la protection, les objectifs, et le point de savoir quels objets relevant des savoirs traditionnels ou des expressions culturelles traditionnelles peuvent bénéficier d</w:t>
      </w:r>
      <w:r w:rsidR="004A06C0" w:rsidRPr="0053265C">
        <w:rPr>
          <w:szCs w:val="22"/>
          <w:lang w:val="fr-FR"/>
        </w:rPr>
        <w:t>’</w:t>
      </w:r>
      <w:r w:rsidR="00EC5D36" w:rsidRPr="0053265C">
        <w:rPr>
          <w:szCs w:val="22"/>
          <w:lang w:val="fr-FR"/>
        </w:rPr>
        <w:t xml:space="preserve">une protection au niveau international, </w:t>
      </w:r>
      <w:r w:rsidR="004A06C0" w:rsidRPr="0053265C">
        <w:rPr>
          <w:szCs w:val="22"/>
          <w:lang w:val="fr-FR"/>
        </w:rPr>
        <w:t>y compris</w:t>
      </w:r>
      <w:r w:rsidR="00EC5D36" w:rsidRPr="0053265C">
        <w:rPr>
          <w:szCs w:val="22"/>
          <w:lang w:val="fr-FR"/>
        </w:rPr>
        <w:t xml:space="preserve"> la prise en considération des exceptions et limitations et des rapports avec le domaine public”.</w:t>
      </w:r>
      <w:r w:rsidR="00FD7D90" w:rsidRPr="0053265C">
        <w:rPr>
          <w:szCs w:val="22"/>
          <w:lang w:val="fr-FR"/>
        </w:rPr>
        <w:t xml:space="preserve">  </w:t>
      </w:r>
      <w:r w:rsidR="00C40B5C" w:rsidRPr="0053265C">
        <w:rPr>
          <w:szCs w:val="22"/>
          <w:lang w:val="fr-FR"/>
        </w:rPr>
        <w:t>Parmi les autres questions de politique générale figurent par exemple les suivantes</w:t>
      </w:r>
      <w:r w:rsidR="00FE48BB" w:rsidRPr="0053265C">
        <w:rPr>
          <w:szCs w:val="22"/>
          <w:lang w:val="fr-FR"/>
        </w:rPr>
        <w:t> </w:t>
      </w:r>
      <w:r w:rsidR="00C40B5C" w:rsidRPr="0053265C">
        <w:rPr>
          <w:szCs w:val="22"/>
          <w:lang w:val="fr-FR"/>
        </w:rPr>
        <w:t>: sanctions et moyens de recours, gestion des droits, durée de la protection, formalités, mesures transitoires, lien avec d</w:t>
      </w:r>
      <w:r w:rsidR="004A06C0" w:rsidRPr="0053265C">
        <w:rPr>
          <w:szCs w:val="22"/>
          <w:lang w:val="fr-FR"/>
        </w:rPr>
        <w:t>’</w:t>
      </w:r>
      <w:r w:rsidR="00C40B5C" w:rsidRPr="0053265C">
        <w:rPr>
          <w:szCs w:val="22"/>
          <w:lang w:val="fr-FR"/>
        </w:rPr>
        <w:t xml:space="preserve">autres </w:t>
      </w:r>
      <w:r w:rsidR="00D43D6D" w:rsidRPr="0053265C">
        <w:rPr>
          <w:szCs w:val="22"/>
          <w:lang w:val="fr-FR"/>
        </w:rPr>
        <w:t>accords</w:t>
      </w:r>
      <w:r w:rsidR="00C40B5C" w:rsidRPr="0053265C">
        <w:rPr>
          <w:szCs w:val="22"/>
          <w:lang w:val="fr-FR"/>
        </w:rPr>
        <w:t xml:space="preserve"> internationaux, traitement national et coopération transfrontière.</w:t>
      </w:r>
    </w:p>
    <w:p w:rsidR="004A06C0" w:rsidRPr="0053265C" w:rsidRDefault="00C40B5C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>Il est rappelé que, à sa trente</w:t>
      </w:r>
      <w:r w:rsidR="00140E69">
        <w:rPr>
          <w:szCs w:val="22"/>
          <w:lang w:val="fr-FR"/>
        </w:rPr>
        <w:noBreakHyphen/>
      </w:r>
      <w:r w:rsidRPr="0053265C">
        <w:rPr>
          <w:szCs w:val="22"/>
          <w:lang w:val="fr-FR"/>
        </w:rPr>
        <w:t>trois</w:t>
      </w:r>
      <w:r w:rsidR="004A06C0" w:rsidRPr="0053265C">
        <w:rPr>
          <w:szCs w:val="22"/>
          <w:lang w:val="fr-FR"/>
        </w:rPr>
        <w:t>ième session</w:t>
      </w:r>
      <w:r w:rsidRPr="0053265C">
        <w:rPr>
          <w:szCs w:val="22"/>
          <w:lang w:val="fr-FR"/>
        </w:rPr>
        <w:t>, tenue du 2</w:t>
      </w:r>
      <w:r w:rsidR="004A06C0" w:rsidRPr="0053265C">
        <w:rPr>
          <w:szCs w:val="22"/>
          <w:lang w:val="fr-FR"/>
        </w:rPr>
        <w:t>7 février</w:t>
      </w:r>
      <w:r w:rsidRPr="0053265C">
        <w:rPr>
          <w:szCs w:val="22"/>
          <w:lang w:val="fr-FR"/>
        </w:rPr>
        <w:t xml:space="preserve"> au </w:t>
      </w:r>
      <w:r w:rsidR="004A06C0" w:rsidRPr="0053265C">
        <w:rPr>
          <w:szCs w:val="22"/>
          <w:lang w:val="fr-FR"/>
        </w:rPr>
        <w:t>3 mars 20</w:t>
      </w:r>
      <w:r w:rsidRPr="0053265C">
        <w:rPr>
          <w:szCs w:val="22"/>
          <w:lang w:val="fr-FR"/>
        </w:rPr>
        <w:t>17, l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IGC a décidé de transmettre à sa trente</w:t>
      </w:r>
      <w:r w:rsidR="00140E69">
        <w:rPr>
          <w:szCs w:val="22"/>
          <w:lang w:val="fr-FR"/>
        </w:rPr>
        <w:noBreakHyphen/>
      </w:r>
      <w:r w:rsidRPr="0053265C">
        <w:rPr>
          <w:szCs w:val="22"/>
          <w:lang w:val="fr-FR"/>
        </w:rPr>
        <w:t>quatr</w:t>
      </w:r>
      <w:r w:rsidR="004A06C0" w:rsidRPr="0053265C">
        <w:rPr>
          <w:szCs w:val="22"/>
          <w:lang w:val="fr-FR"/>
        </w:rPr>
        <w:t>ième session</w:t>
      </w:r>
      <w:r w:rsidRPr="0053265C">
        <w:rPr>
          <w:szCs w:val="22"/>
          <w:lang w:val="fr-FR"/>
        </w:rPr>
        <w:t xml:space="preserve"> une “Liste indicative des questions non résolues ou en suspens à traiter ou à régler à la prochaine session”</w:t>
      </w:r>
      <w:r w:rsidRPr="0053265C">
        <w:rPr>
          <w:rStyle w:val="FootnoteReference"/>
          <w:szCs w:val="22"/>
          <w:lang w:val="fr-FR"/>
        </w:rPr>
        <w:footnoteReference w:id="2"/>
      </w:r>
      <w:r w:rsidRPr="0053265C">
        <w:rPr>
          <w:szCs w:val="22"/>
          <w:lang w:val="fr-FR"/>
        </w:rPr>
        <w:t>.</w:t>
      </w:r>
    </w:p>
    <w:p w:rsidR="00DB1AF3" w:rsidRPr="0053265C" w:rsidRDefault="00C40B5C" w:rsidP="00140E69">
      <w:pPr>
        <w:keepNext/>
        <w:keepLines/>
        <w:spacing w:before="60"/>
        <w:rPr>
          <w:b/>
          <w:lang w:val="fr-FR"/>
        </w:rPr>
      </w:pPr>
      <w:r w:rsidRPr="0053265C">
        <w:rPr>
          <w:b/>
          <w:lang w:val="fr-FR"/>
        </w:rPr>
        <w:lastRenderedPageBreak/>
        <w:t>Table ronde n°</w:t>
      </w:r>
      <w:r w:rsidR="00FE48BB" w:rsidRPr="0053265C">
        <w:rPr>
          <w:b/>
          <w:lang w:val="fr-FR"/>
        </w:rPr>
        <w:t> </w:t>
      </w:r>
      <w:r w:rsidRPr="0053265C">
        <w:rPr>
          <w:b/>
          <w:lang w:val="fr-FR"/>
        </w:rPr>
        <w:t>2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Protection des expressions culturelles traditionnelles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expérience</w:t>
      </w:r>
      <w:r w:rsidR="00F5435B" w:rsidRPr="0053265C">
        <w:rPr>
          <w:b/>
          <w:lang w:val="fr-FR"/>
        </w:rPr>
        <w:t>s</w:t>
      </w:r>
      <w:r w:rsidRPr="0053265C">
        <w:rPr>
          <w:b/>
          <w:lang w:val="fr-FR"/>
        </w:rPr>
        <w:t xml:space="preserve"> pratique</w:t>
      </w:r>
      <w:r w:rsidR="00F5435B" w:rsidRPr="0053265C">
        <w:rPr>
          <w:b/>
          <w:lang w:val="fr-FR"/>
        </w:rPr>
        <w:t>s</w:t>
      </w:r>
      <w:r w:rsidRPr="0053265C">
        <w:rPr>
          <w:b/>
          <w:lang w:val="fr-FR"/>
        </w:rPr>
        <w:t>, initiatives et projets</w:t>
      </w:r>
    </w:p>
    <w:p w:rsidR="00DB1AF3" w:rsidRPr="0053265C" w:rsidRDefault="00DB1AF3" w:rsidP="00DB1AF3">
      <w:pPr>
        <w:keepNext/>
        <w:keepLines/>
        <w:rPr>
          <w:b/>
          <w:lang w:val="fr-FR"/>
        </w:rPr>
      </w:pPr>
    </w:p>
    <w:p w:rsidR="004A06C0" w:rsidRPr="0053265C" w:rsidRDefault="00CF0210" w:rsidP="00DB1AF3">
      <w:pPr>
        <w:pStyle w:val="ONUMFS"/>
        <w:keepNext/>
        <w:keepLines/>
        <w:rPr>
          <w:szCs w:val="22"/>
          <w:lang w:val="fr-FR"/>
        </w:rPr>
      </w:pPr>
      <w:r w:rsidRPr="0053265C">
        <w:rPr>
          <w:szCs w:val="22"/>
          <w:lang w:val="fr-FR"/>
        </w:rPr>
        <w:t>Dans le cadre de cette table ronde, les conférenciers pourront</w:t>
      </w:r>
      <w:r w:rsidR="00EF5D40" w:rsidRPr="0053265C">
        <w:rPr>
          <w:szCs w:val="22"/>
          <w:lang w:val="fr-FR"/>
        </w:rPr>
        <w:t xml:space="preserve"> partager des expériences et des enseignements tirés de </w:t>
      </w:r>
      <w:r w:rsidR="009C4D07" w:rsidRPr="0053265C">
        <w:rPr>
          <w:szCs w:val="22"/>
          <w:lang w:val="fr-FR"/>
        </w:rPr>
        <w:t xml:space="preserve">la mise en œuvre </w:t>
      </w:r>
      <w:r w:rsidR="00EF5D40" w:rsidRPr="0053265C">
        <w:rPr>
          <w:szCs w:val="22"/>
          <w:lang w:val="fr-FR"/>
        </w:rPr>
        <w:t>d</w:t>
      </w:r>
      <w:r w:rsidR="004A06C0" w:rsidRPr="0053265C">
        <w:rPr>
          <w:szCs w:val="22"/>
          <w:lang w:val="fr-FR"/>
        </w:rPr>
        <w:t>’</w:t>
      </w:r>
      <w:r w:rsidR="00EF5D40" w:rsidRPr="0053265C">
        <w:rPr>
          <w:szCs w:val="22"/>
          <w:lang w:val="fr-FR"/>
        </w:rPr>
        <w:t>outils, d</w:t>
      </w:r>
      <w:r w:rsidR="004A06C0" w:rsidRPr="0053265C">
        <w:rPr>
          <w:szCs w:val="22"/>
          <w:lang w:val="fr-FR"/>
        </w:rPr>
        <w:t>’</w:t>
      </w:r>
      <w:r w:rsidR="00EF5D40" w:rsidRPr="0053265C">
        <w:rPr>
          <w:szCs w:val="22"/>
          <w:lang w:val="fr-FR"/>
        </w:rPr>
        <w:t>initiatives et de projets concrets en faveur de la protection des expressions culturelles traditionnelles, principalement dans le cadre des systèmes classiques de propriété intellectuel</w:t>
      </w:r>
      <w:r w:rsidR="0053265C" w:rsidRPr="0053265C">
        <w:rPr>
          <w:szCs w:val="22"/>
          <w:lang w:val="fr-FR"/>
        </w:rPr>
        <w:t>le.  Se</w:t>
      </w:r>
      <w:r w:rsidR="00D615E3" w:rsidRPr="0053265C">
        <w:rPr>
          <w:szCs w:val="22"/>
          <w:lang w:val="fr-FR"/>
        </w:rPr>
        <w:t>lon les différentes parties prenantes, ces outils, initiatives et projets peuvent remplacer ou venir compléter l</w:t>
      </w:r>
      <w:r w:rsidR="004A06C0" w:rsidRPr="0053265C">
        <w:rPr>
          <w:szCs w:val="22"/>
          <w:lang w:val="fr-FR"/>
        </w:rPr>
        <w:t>’</w:t>
      </w:r>
      <w:r w:rsidR="00D615E3" w:rsidRPr="0053265C">
        <w:rPr>
          <w:szCs w:val="22"/>
          <w:lang w:val="fr-FR"/>
        </w:rPr>
        <w:t xml:space="preserve">élaboration et la mise en </w:t>
      </w:r>
      <w:r w:rsidR="00AB424D" w:rsidRPr="0053265C">
        <w:rPr>
          <w:szCs w:val="22"/>
          <w:lang w:val="fr-FR"/>
        </w:rPr>
        <w:t>application</w:t>
      </w:r>
      <w:r w:rsidR="00D615E3" w:rsidRPr="0053265C">
        <w:rPr>
          <w:szCs w:val="22"/>
          <w:lang w:val="fr-FR"/>
        </w:rPr>
        <w:t xml:space="preserve"> de nouvelles mesures politiques et juridiques.</w:t>
      </w:r>
    </w:p>
    <w:p w:rsidR="00DB1AF3" w:rsidRPr="0053265C" w:rsidRDefault="00055D36" w:rsidP="00DB1AF3">
      <w:pPr>
        <w:pStyle w:val="ONUMFS"/>
        <w:numPr>
          <w:ilvl w:val="0"/>
          <w:numId w:val="0"/>
        </w:numPr>
        <w:rPr>
          <w:szCs w:val="22"/>
          <w:lang w:val="fr-FR"/>
        </w:rPr>
      </w:pPr>
      <w:r w:rsidRPr="0053265C">
        <w:rPr>
          <w:szCs w:val="22"/>
          <w:lang w:val="fr-FR"/>
        </w:rPr>
        <w:t>Il peut s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agir, entre autres, d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inventaires et de catalogues, de contrats, de plateformes pour l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octroi de labels ou la concession de licences, d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activités de renforcement des capacités et de sensibilisation, de consultations au niveau des communautés/locales, ainsi que de l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utilisation des droits de propriété intellectuelle existants.</w:t>
      </w:r>
    </w:p>
    <w:p w:rsidR="00DB1AF3" w:rsidRPr="0053265C" w:rsidRDefault="00065220" w:rsidP="00140E69">
      <w:pPr>
        <w:spacing w:before="60"/>
        <w:rPr>
          <w:b/>
          <w:lang w:val="fr-FR"/>
        </w:rPr>
      </w:pPr>
      <w:r w:rsidRPr="0053265C">
        <w:rPr>
          <w:b/>
          <w:lang w:val="fr-FR"/>
        </w:rPr>
        <w:t>Table ronde n°</w:t>
      </w:r>
      <w:r w:rsidR="00FE48BB" w:rsidRPr="0053265C">
        <w:rPr>
          <w:b/>
          <w:lang w:val="fr-FR"/>
        </w:rPr>
        <w:t> </w:t>
      </w:r>
      <w:r w:rsidRPr="0053265C">
        <w:rPr>
          <w:b/>
          <w:lang w:val="fr-FR"/>
        </w:rPr>
        <w:t>3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Principales questions de politique générale concernant la propriété intellectuelle et les expressions culturelles traditionnelles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deux</w:t>
      </w:r>
      <w:r w:rsidR="004A06C0" w:rsidRPr="0053265C">
        <w:rPr>
          <w:b/>
          <w:lang w:val="fr-FR"/>
        </w:rPr>
        <w:t>ième session</w:t>
      </w:r>
    </w:p>
    <w:p w:rsidR="00DB1AF3" w:rsidRPr="0053265C" w:rsidRDefault="00DB1AF3" w:rsidP="00DB1AF3">
      <w:pPr>
        <w:rPr>
          <w:b/>
          <w:lang w:val="fr-FR"/>
        </w:rPr>
      </w:pPr>
    </w:p>
    <w:p w:rsidR="004A06C0" w:rsidRPr="0053265C" w:rsidRDefault="00065220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 xml:space="preserve">Cette table ronde constitue la deuxième partie de la </w:t>
      </w:r>
      <w:r w:rsidR="00FE48BB" w:rsidRPr="0053265C">
        <w:rPr>
          <w:szCs w:val="22"/>
          <w:lang w:val="fr-FR"/>
        </w:rPr>
        <w:t>“</w:t>
      </w:r>
      <w:r w:rsidRPr="0053265C">
        <w:rPr>
          <w:szCs w:val="22"/>
          <w:lang w:val="fr-FR"/>
        </w:rPr>
        <w:t>Table ronde n°</w:t>
      </w:r>
      <w:r w:rsidR="00FE48BB" w:rsidRPr="0053265C">
        <w:rPr>
          <w:szCs w:val="22"/>
          <w:lang w:val="fr-FR"/>
        </w:rPr>
        <w:t> </w:t>
      </w:r>
      <w:r w:rsidRPr="0053265C">
        <w:rPr>
          <w:szCs w:val="22"/>
          <w:lang w:val="fr-FR"/>
        </w:rPr>
        <w:t>1</w:t>
      </w:r>
      <w:r w:rsidR="004A06C0" w:rsidRPr="0053265C">
        <w:rPr>
          <w:szCs w:val="22"/>
          <w:lang w:val="fr-FR"/>
        </w:rPr>
        <w:t> :</w:t>
      </w:r>
      <w:r w:rsidRPr="0053265C">
        <w:rPr>
          <w:szCs w:val="22"/>
          <w:lang w:val="fr-FR"/>
        </w:rPr>
        <w:t xml:space="preserve"> Principales questions de politique générale concernant la propriété intellectuelle et les expressions culturelles traditionnelles</w:t>
      </w:r>
      <w:r w:rsidR="004A06C0" w:rsidRPr="0053265C">
        <w:rPr>
          <w:szCs w:val="22"/>
          <w:lang w:val="fr-FR"/>
        </w:rPr>
        <w:t> :</w:t>
      </w:r>
      <w:r w:rsidRPr="0053265C">
        <w:rPr>
          <w:szCs w:val="22"/>
          <w:lang w:val="fr-FR"/>
        </w:rPr>
        <w:t xml:space="preserve"> première session</w:t>
      </w:r>
      <w:r w:rsidR="00FE48BB" w:rsidRPr="0053265C">
        <w:rPr>
          <w:szCs w:val="22"/>
          <w:lang w:val="fr-FR"/>
        </w:rPr>
        <w:t>”.</w:t>
      </w:r>
      <w:r w:rsidR="006C35DD" w:rsidRPr="0053265C">
        <w:rPr>
          <w:szCs w:val="22"/>
          <w:lang w:val="fr-FR"/>
        </w:rPr>
        <w:t xml:space="preserve">  </w:t>
      </w:r>
      <w:r w:rsidRPr="0053265C">
        <w:rPr>
          <w:szCs w:val="22"/>
          <w:lang w:val="fr-FR"/>
        </w:rPr>
        <w:t>Comme pour la table ronde n°</w:t>
      </w:r>
      <w:r w:rsidR="00FE48BB" w:rsidRPr="0053265C">
        <w:rPr>
          <w:szCs w:val="22"/>
          <w:lang w:val="fr-FR"/>
        </w:rPr>
        <w:t> </w:t>
      </w:r>
      <w:r w:rsidRPr="0053265C">
        <w:rPr>
          <w:szCs w:val="22"/>
          <w:lang w:val="fr-FR"/>
        </w:rPr>
        <w:t xml:space="preserve">1, les </w:t>
      </w:r>
      <w:r w:rsidR="00BD0ECF" w:rsidRPr="0053265C">
        <w:rPr>
          <w:szCs w:val="22"/>
          <w:lang w:val="fr-FR"/>
        </w:rPr>
        <w:t>conférencier</w:t>
      </w:r>
      <w:r w:rsidRPr="0053265C">
        <w:rPr>
          <w:szCs w:val="22"/>
          <w:lang w:val="fr-FR"/>
        </w:rPr>
        <w:t xml:space="preserve">s </w:t>
      </w:r>
      <w:r w:rsidR="00B65E19" w:rsidRPr="0053265C">
        <w:rPr>
          <w:szCs w:val="22"/>
          <w:lang w:val="fr-FR"/>
        </w:rPr>
        <w:t>seront invités à</w:t>
      </w:r>
      <w:r w:rsidRPr="0053265C">
        <w:rPr>
          <w:szCs w:val="22"/>
          <w:lang w:val="fr-FR"/>
        </w:rPr>
        <w:t xml:space="preserve"> définir et</w:t>
      </w:r>
      <w:r w:rsidR="00AF0973" w:rsidRPr="0053265C">
        <w:rPr>
          <w:szCs w:val="22"/>
          <w:lang w:val="fr-FR"/>
        </w:rPr>
        <w:t xml:space="preserve"> à</w:t>
      </w:r>
      <w:r w:rsidRPr="0053265C">
        <w:rPr>
          <w:szCs w:val="22"/>
          <w:lang w:val="fr-FR"/>
        </w:rPr>
        <w:t xml:space="preserve"> </w:t>
      </w:r>
      <w:r w:rsidR="00F44D75" w:rsidRPr="0053265C">
        <w:rPr>
          <w:szCs w:val="22"/>
          <w:lang w:val="fr-FR"/>
        </w:rPr>
        <w:t>examiner</w:t>
      </w:r>
      <w:r w:rsidRPr="0053265C">
        <w:rPr>
          <w:szCs w:val="22"/>
          <w:lang w:val="fr-FR"/>
        </w:rPr>
        <w:t xml:space="preserve"> les questions de politique générale qu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 xml:space="preserve">ils considèrent </w:t>
      </w:r>
      <w:r w:rsidR="00382750" w:rsidRPr="0053265C">
        <w:rPr>
          <w:szCs w:val="22"/>
          <w:lang w:val="fr-FR"/>
        </w:rPr>
        <w:t>c</w:t>
      </w:r>
      <w:r w:rsidR="00A36498" w:rsidRPr="0053265C">
        <w:rPr>
          <w:szCs w:val="22"/>
          <w:lang w:val="fr-FR"/>
        </w:rPr>
        <w:t>omme essentielles.</w:t>
      </w:r>
    </w:p>
    <w:p w:rsidR="00DB1AF3" w:rsidRPr="0053265C" w:rsidRDefault="00065220" w:rsidP="00140E69">
      <w:pPr>
        <w:spacing w:before="60"/>
        <w:rPr>
          <w:b/>
          <w:lang w:val="fr-FR"/>
        </w:rPr>
      </w:pPr>
      <w:r w:rsidRPr="0053265C">
        <w:rPr>
          <w:b/>
          <w:lang w:val="fr-FR"/>
        </w:rPr>
        <w:t>Table ronde n°</w:t>
      </w:r>
      <w:r w:rsidR="00FE48BB" w:rsidRPr="0053265C">
        <w:rPr>
          <w:b/>
          <w:lang w:val="fr-FR"/>
        </w:rPr>
        <w:t> </w:t>
      </w:r>
      <w:r w:rsidRPr="0053265C">
        <w:rPr>
          <w:b/>
          <w:lang w:val="fr-FR"/>
        </w:rPr>
        <w:t>4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Évolution des normes internationales en matière de p</w:t>
      </w:r>
      <w:r w:rsidR="00354F38" w:rsidRPr="0053265C">
        <w:rPr>
          <w:b/>
          <w:lang w:val="fr-FR"/>
        </w:rPr>
        <w:t>ropriété intellectuelle</w:t>
      </w:r>
      <w:r w:rsidR="004A06C0" w:rsidRPr="0053265C">
        <w:rPr>
          <w:b/>
          <w:lang w:val="fr-FR"/>
        </w:rPr>
        <w:t> :</w:t>
      </w:r>
      <w:r w:rsidR="00354F38" w:rsidRPr="0053265C">
        <w:rPr>
          <w:b/>
          <w:lang w:val="fr-FR"/>
        </w:rPr>
        <w:t xml:space="preserve"> quel</w:t>
      </w:r>
      <w:r w:rsidRPr="0053265C">
        <w:rPr>
          <w:b/>
          <w:lang w:val="fr-FR"/>
        </w:rPr>
        <w:t xml:space="preserve">s </w:t>
      </w:r>
      <w:r w:rsidR="00777BD2" w:rsidRPr="0053265C">
        <w:rPr>
          <w:b/>
          <w:lang w:val="fr-FR"/>
        </w:rPr>
        <w:t>enseignements</w:t>
      </w:r>
      <w:r w:rsidRPr="0053265C">
        <w:rPr>
          <w:b/>
          <w:lang w:val="fr-FR"/>
        </w:rPr>
        <w:t xml:space="preserve"> pour la négociation d</w:t>
      </w:r>
      <w:r w:rsidR="004A06C0" w:rsidRPr="0053265C">
        <w:rPr>
          <w:b/>
          <w:lang w:val="fr-FR"/>
        </w:rPr>
        <w:t>’</w:t>
      </w:r>
      <w:r w:rsidRPr="0053265C">
        <w:rPr>
          <w:b/>
          <w:lang w:val="fr-FR"/>
        </w:rPr>
        <w:t>un instrument international relatif aux expressions culturelles traditionnelles?</w:t>
      </w:r>
    </w:p>
    <w:p w:rsidR="00DB1AF3" w:rsidRPr="0053265C" w:rsidRDefault="00DB1AF3" w:rsidP="00DB1AF3">
      <w:pPr>
        <w:rPr>
          <w:b/>
          <w:lang w:val="fr-FR"/>
        </w:rPr>
      </w:pPr>
    </w:p>
    <w:p w:rsidR="00DB1AF3" w:rsidRPr="0053265C" w:rsidRDefault="00A44178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>Un certain nombre d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instances internationales, l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 xml:space="preserve">OMPI </w:t>
      </w:r>
      <w:r w:rsidR="004A06C0" w:rsidRPr="0053265C">
        <w:rPr>
          <w:szCs w:val="22"/>
          <w:lang w:val="fr-FR"/>
        </w:rPr>
        <w:t>y compris</w:t>
      </w:r>
      <w:r w:rsidRPr="0053265C">
        <w:rPr>
          <w:szCs w:val="22"/>
          <w:lang w:val="fr-FR"/>
        </w:rPr>
        <w:t>, ont adopté des instruments juridiques ou ont mené des travaux normatifs en lien avec la propriété intellectuelle ou avec les ressources génétiques, les savoirs traditionnels et les expressions culturelles traditionnelles.</w:t>
      </w:r>
    </w:p>
    <w:p w:rsidR="004A06C0" w:rsidRPr="0053265C" w:rsidRDefault="00A44178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 xml:space="preserve">Lors de cette table ronde, les </w:t>
      </w:r>
      <w:r w:rsidR="00BD0ECF" w:rsidRPr="0053265C">
        <w:rPr>
          <w:szCs w:val="22"/>
          <w:lang w:val="fr-FR"/>
        </w:rPr>
        <w:t>conférencier</w:t>
      </w:r>
      <w:r w:rsidRPr="0053265C">
        <w:rPr>
          <w:szCs w:val="22"/>
          <w:lang w:val="fr-FR"/>
        </w:rPr>
        <w:t xml:space="preserve">s pourront </w:t>
      </w:r>
      <w:r w:rsidR="00CB0BEA" w:rsidRPr="0053265C">
        <w:rPr>
          <w:szCs w:val="22"/>
          <w:lang w:val="fr-FR"/>
        </w:rPr>
        <w:t>présenter</w:t>
      </w:r>
      <w:r w:rsidRPr="0053265C">
        <w:rPr>
          <w:szCs w:val="22"/>
          <w:lang w:val="fr-FR"/>
        </w:rPr>
        <w:t xml:space="preserve"> certains processus qui</w:t>
      </w:r>
      <w:r w:rsidR="00D74BBC" w:rsidRPr="0053265C">
        <w:rPr>
          <w:szCs w:val="22"/>
          <w:lang w:val="fr-FR"/>
        </w:rPr>
        <w:t xml:space="preserve"> ont débouché sur l</w:t>
      </w:r>
      <w:r w:rsidR="004A06C0" w:rsidRPr="0053265C">
        <w:rPr>
          <w:szCs w:val="22"/>
          <w:lang w:val="fr-FR"/>
        </w:rPr>
        <w:t>’</w:t>
      </w:r>
      <w:r w:rsidR="00D74BBC" w:rsidRPr="0053265C">
        <w:rPr>
          <w:szCs w:val="22"/>
          <w:lang w:val="fr-FR"/>
        </w:rPr>
        <w:t>adoption d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instruments juridiqu</w:t>
      </w:r>
      <w:r w:rsidR="0053265C" w:rsidRPr="0053265C">
        <w:rPr>
          <w:szCs w:val="22"/>
          <w:lang w:val="fr-FR"/>
        </w:rPr>
        <w:t>es.  Il</w:t>
      </w:r>
      <w:r w:rsidR="008C2015" w:rsidRPr="0053265C">
        <w:rPr>
          <w:szCs w:val="22"/>
          <w:lang w:val="fr-FR"/>
        </w:rPr>
        <w:t>s</w:t>
      </w:r>
      <w:r w:rsidRPr="0053265C">
        <w:rPr>
          <w:szCs w:val="22"/>
          <w:lang w:val="fr-FR"/>
        </w:rPr>
        <w:t xml:space="preserve"> seront invités à partager les enseignements tirés des négociations des instruments juridiques internationaux adoptés par le passé qui pourraient être utiles dans le cadre des négociations en cours au sein de l</w:t>
      </w:r>
      <w:r w:rsidR="004A06C0" w:rsidRPr="0053265C">
        <w:rPr>
          <w:szCs w:val="22"/>
          <w:lang w:val="fr-FR"/>
        </w:rPr>
        <w:t>’</w:t>
      </w:r>
      <w:r w:rsidRPr="0053265C">
        <w:rPr>
          <w:szCs w:val="22"/>
          <w:lang w:val="fr-FR"/>
        </w:rPr>
        <w:t>IGC.</w:t>
      </w:r>
    </w:p>
    <w:p w:rsidR="00DB1AF3" w:rsidRPr="0053265C" w:rsidRDefault="00A44178" w:rsidP="00140E69">
      <w:pPr>
        <w:spacing w:before="60"/>
        <w:rPr>
          <w:b/>
          <w:lang w:val="fr-FR"/>
        </w:rPr>
      </w:pPr>
      <w:r w:rsidRPr="0053265C">
        <w:rPr>
          <w:b/>
          <w:lang w:val="fr-FR"/>
        </w:rPr>
        <w:t>Discours de clôture</w:t>
      </w:r>
      <w:r w:rsidR="004A06C0" w:rsidRPr="0053265C">
        <w:rPr>
          <w:b/>
          <w:lang w:val="fr-FR"/>
        </w:rPr>
        <w:t> :</w:t>
      </w:r>
      <w:r w:rsidRPr="0053265C">
        <w:rPr>
          <w:b/>
          <w:lang w:val="fr-FR"/>
        </w:rPr>
        <w:t xml:space="preserve"> Réflexions sur la marche à suivre</w:t>
      </w:r>
    </w:p>
    <w:p w:rsidR="00DB1AF3" w:rsidRPr="0053265C" w:rsidRDefault="00DB1AF3" w:rsidP="00DB1AF3">
      <w:pPr>
        <w:rPr>
          <w:b/>
          <w:lang w:val="fr-FR"/>
        </w:rPr>
      </w:pPr>
    </w:p>
    <w:p w:rsidR="004A06C0" w:rsidRPr="0053265C" w:rsidRDefault="00A56992" w:rsidP="00DB1AF3">
      <w:pPr>
        <w:pStyle w:val="ONUMFS"/>
        <w:rPr>
          <w:szCs w:val="22"/>
          <w:lang w:val="fr-FR"/>
        </w:rPr>
      </w:pPr>
      <w:r w:rsidRPr="0053265C">
        <w:rPr>
          <w:szCs w:val="22"/>
          <w:lang w:val="fr-FR"/>
        </w:rPr>
        <w:t>Étant donné</w:t>
      </w:r>
      <w:r w:rsidR="0023244F" w:rsidRPr="0053265C">
        <w:rPr>
          <w:szCs w:val="22"/>
          <w:lang w:val="fr-FR"/>
        </w:rPr>
        <w:t xml:space="preserve"> que le mandat de l</w:t>
      </w:r>
      <w:r w:rsidR="004A06C0" w:rsidRPr="0053265C">
        <w:rPr>
          <w:szCs w:val="22"/>
          <w:lang w:val="fr-FR"/>
        </w:rPr>
        <w:t>’</w:t>
      </w:r>
      <w:r w:rsidR="0023244F" w:rsidRPr="0053265C">
        <w:rPr>
          <w:szCs w:val="22"/>
          <w:lang w:val="fr-FR"/>
        </w:rPr>
        <w:t>IGC pour l</w:t>
      </w:r>
      <w:r w:rsidR="004A06C0" w:rsidRPr="0053265C">
        <w:rPr>
          <w:szCs w:val="22"/>
          <w:lang w:val="fr-FR"/>
        </w:rPr>
        <w:t>’</w:t>
      </w:r>
      <w:r w:rsidR="0023244F" w:rsidRPr="0053265C">
        <w:rPr>
          <w:szCs w:val="22"/>
          <w:lang w:val="fr-FR"/>
        </w:rPr>
        <w:t xml:space="preserve">exercice </w:t>
      </w:r>
      <w:r w:rsidR="004A06C0" w:rsidRPr="0053265C">
        <w:rPr>
          <w:szCs w:val="22"/>
          <w:lang w:val="fr-FR"/>
        </w:rPr>
        <w:t>biennal 2016</w:t>
      </w:r>
      <w:r w:rsidR="00140E69">
        <w:rPr>
          <w:szCs w:val="22"/>
          <w:lang w:val="fr-FR"/>
        </w:rPr>
        <w:noBreakHyphen/>
      </w:r>
      <w:r w:rsidR="0023244F" w:rsidRPr="0053265C">
        <w:rPr>
          <w:szCs w:val="22"/>
          <w:lang w:val="fr-FR"/>
        </w:rPr>
        <w:t xml:space="preserve">2017 touche à sa fin, le discours de clôture reviendra sur certains des domaines clés </w:t>
      </w:r>
      <w:r w:rsidR="00066C5E" w:rsidRPr="0053265C">
        <w:rPr>
          <w:szCs w:val="22"/>
          <w:lang w:val="fr-FR"/>
        </w:rPr>
        <w:t>dans</w:t>
      </w:r>
      <w:r w:rsidR="0023244F" w:rsidRPr="0053265C">
        <w:rPr>
          <w:szCs w:val="22"/>
          <w:lang w:val="fr-FR"/>
        </w:rPr>
        <w:t xml:space="preserve"> lesquels des progrès ont été accomplis par l</w:t>
      </w:r>
      <w:r w:rsidR="004A06C0" w:rsidRPr="0053265C">
        <w:rPr>
          <w:szCs w:val="22"/>
          <w:lang w:val="fr-FR"/>
        </w:rPr>
        <w:t>’</w:t>
      </w:r>
      <w:r w:rsidR="0023244F" w:rsidRPr="0053265C">
        <w:rPr>
          <w:szCs w:val="22"/>
          <w:lang w:val="fr-FR"/>
        </w:rPr>
        <w:t xml:space="preserve">IGC </w:t>
      </w:r>
      <w:r w:rsidR="005E3B4D" w:rsidRPr="0053265C">
        <w:rPr>
          <w:szCs w:val="22"/>
          <w:lang w:val="fr-FR"/>
        </w:rPr>
        <w:t>depuis</w:t>
      </w:r>
      <w:r w:rsidR="002B1EE9" w:rsidRPr="0053265C">
        <w:rPr>
          <w:szCs w:val="22"/>
          <w:lang w:val="fr-FR"/>
        </w:rPr>
        <w:t xml:space="preserve"> sa création et pendant l</w:t>
      </w:r>
      <w:r w:rsidR="004A06C0" w:rsidRPr="0053265C">
        <w:rPr>
          <w:szCs w:val="22"/>
          <w:lang w:val="fr-FR"/>
        </w:rPr>
        <w:t>’</w:t>
      </w:r>
      <w:r w:rsidR="0023244F" w:rsidRPr="0053265C">
        <w:rPr>
          <w:szCs w:val="22"/>
          <w:lang w:val="fr-FR"/>
        </w:rPr>
        <w:t>exercice biennal en</w:t>
      </w:r>
      <w:r w:rsidR="002B1EE9" w:rsidRPr="0053265C">
        <w:rPr>
          <w:szCs w:val="22"/>
          <w:lang w:val="fr-FR"/>
        </w:rPr>
        <w:t xml:space="preserve"> cours</w:t>
      </w:r>
      <w:r w:rsidR="0023244F" w:rsidRPr="0053265C">
        <w:rPr>
          <w:szCs w:val="22"/>
          <w:lang w:val="fr-FR"/>
        </w:rPr>
        <w:t xml:space="preserve"> particuli</w:t>
      </w:r>
      <w:r w:rsidR="00554997" w:rsidRPr="0053265C">
        <w:rPr>
          <w:szCs w:val="22"/>
          <w:lang w:val="fr-FR"/>
        </w:rPr>
        <w:t>è</w:t>
      </w:r>
      <w:r w:rsidR="0023244F" w:rsidRPr="0053265C">
        <w:rPr>
          <w:szCs w:val="22"/>
          <w:lang w:val="fr-FR"/>
        </w:rPr>
        <w:t>r</w:t>
      </w:r>
      <w:r w:rsidR="00554997" w:rsidRPr="0053265C">
        <w:rPr>
          <w:szCs w:val="22"/>
          <w:lang w:val="fr-FR"/>
        </w:rPr>
        <w:t>eme</w:t>
      </w:r>
      <w:r w:rsidR="0053265C" w:rsidRPr="0053265C">
        <w:rPr>
          <w:szCs w:val="22"/>
          <w:lang w:val="fr-FR"/>
        </w:rPr>
        <w:t>nt.  Le</w:t>
      </w:r>
      <w:r w:rsidR="00796A7B" w:rsidRPr="0053265C">
        <w:rPr>
          <w:szCs w:val="22"/>
          <w:lang w:val="fr-FR"/>
        </w:rPr>
        <w:t xml:space="preserve"> </w:t>
      </w:r>
      <w:r w:rsidR="00BD0ECF" w:rsidRPr="0053265C">
        <w:rPr>
          <w:szCs w:val="22"/>
          <w:lang w:val="fr-FR"/>
        </w:rPr>
        <w:t>conférencier</w:t>
      </w:r>
      <w:r w:rsidR="0023244F" w:rsidRPr="0053265C">
        <w:rPr>
          <w:szCs w:val="22"/>
          <w:lang w:val="fr-FR"/>
        </w:rPr>
        <w:t xml:space="preserve"> fera part de certaines réflexions personnelles sur les perspectives d</w:t>
      </w:r>
      <w:r w:rsidR="004A06C0" w:rsidRPr="0053265C">
        <w:rPr>
          <w:szCs w:val="22"/>
          <w:lang w:val="fr-FR"/>
        </w:rPr>
        <w:t>’</w:t>
      </w:r>
      <w:r w:rsidR="0023244F" w:rsidRPr="0053265C">
        <w:rPr>
          <w:szCs w:val="22"/>
          <w:lang w:val="fr-FR"/>
        </w:rPr>
        <w:t xml:space="preserve">avenir et présentera certaines options ou </w:t>
      </w:r>
      <w:r w:rsidR="007E7AB6" w:rsidRPr="0053265C">
        <w:rPr>
          <w:szCs w:val="22"/>
          <w:lang w:val="fr-FR"/>
        </w:rPr>
        <w:t>certains</w:t>
      </w:r>
      <w:r w:rsidR="00C1243A" w:rsidRPr="0053265C">
        <w:rPr>
          <w:szCs w:val="22"/>
          <w:lang w:val="fr-FR"/>
        </w:rPr>
        <w:t xml:space="preserve"> </w:t>
      </w:r>
      <w:r w:rsidR="003F40AE" w:rsidRPr="0053265C">
        <w:rPr>
          <w:szCs w:val="22"/>
          <w:lang w:val="fr-FR"/>
        </w:rPr>
        <w:t>cas de figure</w:t>
      </w:r>
      <w:r w:rsidR="0023244F" w:rsidRPr="0053265C">
        <w:rPr>
          <w:szCs w:val="22"/>
          <w:lang w:val="fr-FR"/>
        </w:rPr>
        <w:t xml:space="preserve"> qui pourraient être </w:t>
      </w:r>
      <w:r w:rsidR="00365754" w:rsidRPr="0053265C">
        <w:rPr>
          <w:szCs w:val="22"/>
          <w:lang w:val="fr-FR"/>
        </w:rPr>
        <w:t>étudiés</w:t>
      </w:r>
      <w:r w:rsidR="0023244F" w:rsidRPr="0053265C">
        <w:rPr>
          <w:szCs w:val="22"/>
          <w:lang w:val="fr-FR"/>
        </w:rPr>
        <w:t xml:space="preserve"> par les États membres.</w:t>
      </w:r>
    </w:p>
    <w:p w:rsidR="00FC10EA" w:rsidRPr="0053265C" w:rsidRDefault="00FC10EA" w:rsidP="00F10D5C">
      <w:pPr>
        <w:rPr>
          <w:szCs w:val="22"/>
          <w:lang w:val="fr-FR"/>
        </w:rPr>
      </w:pPr>
    </w:p>
    <w:p w:rsidR="00FC10EA" w:rsidRPr="0053265C" w:rsidRDefault="00FC10EA" w:rsidP="00F10D5C">
      <w:pPr>
        <w:rPr>
          <w:szCs w:val="22"/>
          <w:lang w:val="fr-FR"/>
        </w:rPr>
      </w:pPr>
    </w:p>
    <w:p w:rsidR="00F10D5C" w:rsidRPr="0053265C" w:rsidRDefault="0023244F" w:rsidP="00DB1AF3">
      <w:pPr>
        <w:pStyle w:val="Endofdocument-Annex"/>
        <w:rPr>
          <w:lang w:val="fr-FR"/>
        </w:rPr>
      </w:pPr>
      <w:r w:rsidRPr="0053265C">
        <w:rPr>
          <w:lang w:val="fr-FR"/>
        </w:rPr>
        <w:t>[Fin du document]</w:t>
      </w:r>
    </w:p>
    <w:sectPr w:rsidR="00F10D5C" w:rsidRPr="0053265C" w:rsidSect="00DB1AF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01" w:rsidRDefault="000E1801">
      <w:r>
        <w:separator/>
      </w:r>
    </w:p>
  </w:endnote>
  <w:endnote w:type="continuationSeparator" w:id="0">
    <w:p w:rsidR="000E1801" w:rsidRDefault="000E1801" w:rsidP="000C7343">
      <w:r>
        <w:separator/>
      </w:r>
    </w:p>
    <w:p w:rsidR="000E1801" w:rsidRPr="000C7343" w:rsidRDefault="000E1801" w:rsidP="000C7343">
      <w:r>
        <w:rPr>
          <w:sz w:val="17"/>
        </w:rPr>
        <w:t>[Endnote continued from previous page]</w:t>
      </w:r>
    </w:p>
  </w:endnote>
  <w:endnote w:type="continuationNotice" w:id="1">
    <w:p w:rsidR="000E1801" w:rsidRPr="000C7343" w:rsidRDefault="000E180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01" w:rsidRDefault="000E1801">
      <w:r>
        <w:separator/>
      </w:r>
    </w:p>
  </w:footnote>
  <w:footnote w:type="continuationSeparator" w:id="0">
    <w:p w:rsidR="000E1801" w:rsidRDefault="000E1801" w:rsidP="000C7343">
      <w:r>
        <w:separator/>
      </w:r>
    </w:p>
    <w:p w:rsidR="000E1801" w:rsidRPr="000C7343" w:rsidRDefault="000E1801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E1801" w:rsidRPr="000C7343" w:rsidRDefault="000E180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  <w:footnote w:id="2">
    <w:p w:rsidR="00C40B5C" w:rsidRPr="00DB1AF3" w:rsidRDefault="00C40B5C" w:rsidP="00C40B5C">
      <w:pPr>
        <w:pStyle w:val="FootnoteText"/>
        <w:rPr>
          <w:spacing w:val="-4"/>
          <w:lang w:val="fr-CH"/>
        </w:rPr>
      </w:pPr>
      <w:r w:rsidRPr="00DB1AF3">
        <w:rPr>
          <w:rStyle w:val="FootnoteReference"/>
          <w:spacing w:val="-4"/>
        </w:rPr>
        <w:footnoteRef/>
      </w:r>
      <w:r w:rsidR="00DB1AF3" w:rsidRPr="00DB1AF3">
        <w:rPr>
          <w:spacing w:val="-4"/>
          <w:lang w:val="fr-CH"/>
        </w:rPr>
        <w:t xml:space="preserve"> </w:t>
      </w:r>
      <w:r w:rsidR="00DB1AF3" w:rsidRPr="00DB1AF3">
        <w:rPr>
          <w:spacing w:val="-4"/>
          <w:lang w:val="fr-CH"/>
        </w:rPr>
        <w:tab/>
      </w:r>
      <w:r w:rsidRPr="00DB1AF3">
        <w:rPr>
          <w:spacing w:val="-4"/>
          <w:lang w:val="fr-CH"/>
        </w:rPr>
        <w:t>Voir le document WIPO/GRTKF/IC/34/7 disponible à l</w:t>
      </w:r>
      <w:r w:rsidR="00356609">
        <w:rPr>
          <w:spacing w:val="-4"/>
          <w:lang w:val="fr-CH"/>
        </w:rPr>
        <w:t>’</w:t>
      </w:r>
      <w:r w:rsidRPr="00DB1AF3">
        <w:rPr>
          <w:spacing w:val="-4"/>
          <w:lang w:val="fr-CH"/>
        </w:rPr>
        <w:t>adresse http://www.wipo.int/tk/fr/igc/preparation/index.html.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Pr="00FD749F" w:rsidRDefault="00F10D5C" w:rsidP="00477D6B">
    <w:pPr>
      <w:jc w:val="right"/>
      <w:rPr>
        <w:lang w:val="fr-CH"/>
      </w:rPr>
    </w:pPr>
    <w:bookmarkStart w:id="6" w:name="Code2"/>
    <w:bookmarkEnd w:id="6"/>
    <w:r w:rsidRPr="00FD749F">
      <w:rPr>
        <w:lang w:val="fr-CH"/>
      </w:rPr>
      <w:t>WIPO/IPTK/GE/17/INF/2</w:t>
    </w:r>
  </w:p>
  <w:p w:rsidR="004F4D9B" w:rsidRPr="00FD749F" w:rsidRDefault="00DB1AF3" w:rsidP="00477D6B">
    <w:pPr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> </w:t>
    </w:r>
    <w:r w:rsidR="004F4D9B">
      <w:fldChar w:fldCharType="begin"/>
    </w:r>
    <w:r w:rsidR="004F4D9B" w:rsidRPr="00FD749F">
      <w:rPr>
        <w:lang w:val="fr-CH"/>
      </w:rPr>
      <w:instrText xml:space="preserve"> PAGE  \* MERGEFORMAT </w:instrText>
    </w:r>
    <w:r w:rsidR="004F4D9B">
      <w:fldChar w:fldCharType="separate"/>
    </w:r>
    <w:r w:rsidR="00366C8B">
      <w:rPr>
        <w:noProof/>
        <w:lang w:val="fr-CH"/>
      </w:rPr>
      <w:t>3</w:t>
    </w:r>
    <w:r w:rsidR="004F4D9B">
      <w:fldChar w:fldCharType="end"/>
    </w:r>
  </w:p>
  <w:p w:rsidR="004F4D9B" w:rsidRPr="00FD749F" w:rsidRDefault="004F4D9B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F1FF2"/>
    <w:multiLevelType w:val="hybridMultilevel"/>
    <w:tmpl w:val="85AA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am Server TMs\Defaul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10D5C"/>
    <w:rsid w:val="0000618D"/>
    <w:rsid w:val="00007CFD"/>
    <w:rsid w:val="00026990"/>
    <w:rsid w:val="00040CE9"/>
    <w:rsid w:val="00055D36"/>
    <w:rsid w:val="00065220"/>
    <w:rsid w:val="00066C5E"/>
    <w:rsid w:val="00077E5C"/>
    <w:rsid w:val="00092391"/>
    <w:rsid w:val="000A46A9"/>
    <w:rsid w:val="000C7343"/>
    <w:rsid w:val="000E08DB"/>
    <w:rsid w:val="000E1801"/>
    <w:rsid w:val="000E7585"/>
    <w:rsid w:val="000F5E56"/>
    <w:rsid w:val="0011319A"/>
    <w:rsid w:val="001362EE"/>
    <w:rsid w:val="00140E69"/>
    <w:rsid w:val="0016068D"/>
    <w:rsid w:val="001832A6"/>
    <w:rsid w:val="001B3C6A"/>
    <w:rsid w:val="001D09BB"/>
    <w:rsid w:val="001D7119"/>
    <w:rsid w:val="001F4393"/>
    <w:rsid w:val="002224B8"/>
    <w:rsid w:val="0023244F"/>
    <w:rsid w:val="002456E6"/>
    <w:rsid w:val="00247489"/>
    <w:rsid w:val="0025728F"/>
    <w:rsid w:val="002634C4"/>
    <w:rsid w:val="0028381B"/>
    <w:rsid w:val="00295494"/>
    <w:rsid w:val="002B1EE9"/>
    <w:rsid w:val="002E056C"/>
    <w:rsid w:val="002F4E68"/>
    <w:rsid w:val="00312C63"/>
    <w:rsid w:val="00344827"/>
    <w:rsid w:val="003460E9"/>
    <w:rsid w:val="00354F38"/>
    <w:rsid w:val="00356609"/>
    <w:rsid w:val="00365754"/>
    <w:rsid w:val="00366C8B"/>
    <w:rsid w:val="00382750"/>
    <w:rsid w:val="003845C1"/>
    <w:rsid w:val="003C0AD6"/>
    <w:rsid w:val="003D4C23"/>
    <w:rsid w:val="003F1476"/>
    <w:rsid w:val="003F1689"/>
    <w:rsid w:val="003F40AE"/>
    <w:rsid w:val="00423E3E"/>
    <w:rsid w:val="00427AF4"/>
    <w:rsid w:val="00447539"/>
    <w:rsid w:val="00447B7C"/>
    <w:rsid w:val="004647DA"/>
    <w:rsid w:val="00471042"/>
    <w:rsid w:val="004742E3"/>
    <w:rsid w:val="00477D6B"/>
    <w:rsid w:val="0048019E"/>
    <w:rsid w:val="0049039C"/>
    <w:rsid w:val="00496D0B"/>
    <w:rsid w:val="00496D81"/>
    <w:rsid w:val="00497725"/>
    <w:rsid w:val="004A06C0"/>
    <w:rsid w:val="004D4723"/>
    <w:rsid w:val="004F005A"/>
    <w:rsid w:val="004F4D9B"/>
    <w:rsid w:val="00502B57"/>
    <w:rsid w:val="0053265C"/>
    <w:rsid w:val="00532B50"/>
    <w:rsid w:val="00536D1D"/>
    <w:rsid w:val="00551C20"/>
    <w:rsid w:val="00554997"/>
    <w:rsid w:val="00574F08"/>
    <w:rsid w:val="005914B5"/>
    <w:rsid w:val="005C3E20"/>
    <w:rsid w:val="005E3B4D"/>
    <w:rsid w:val="005F652F"/>
    <w:rsid w:val="00605827"/>
    <w:rsid w:val="0062482E"/>
    <w:rsid w:val="00633FFB"/>
    <w:rsid w:val="006364DA"/>
    <w:rsid w:val="006506BE"/>
    <w:rsid w:val="006547BC"/>
    <w:rsid w:val="006953F3"/>
    <w:rsid w:val="006C35DD"/>
    <w:rsid w:val="006E6A9F"/>
    <w:rsid w:val="00711F49"/>
    <w:rsid w:val="0071293B"/>
    <w:rsid w:val="00715A6B"/>
    <w:rsid w:val="00717F7E"/>
    <w:rsid w:val="00745565"/>
    <w:rsid w:val="0075040B"/>
    <w:rsid w:val="00777BD2"/>
    <w:rsid w:val="00796A7B"/>
    <w:rsid w:val="007B63B3"/>
    <w:rsid w:val="007C0247"/>
    <w:rsid w:val="007C2CA3"/>
    <w:rsid w:val="007C4991"/>
    <w:rsid w:val="007D7F0A"/>
    <w:rsid w:val="007E7AB6"/>
    <w:rsid w:val="00814239"/>
    <w:rsid w:val="00821A32"/>
    <w:rsid w:val="00821C8D"/>
    <w:rsid w:val="00825C80"/>
    <w:rsid w:val="008353D2"/>
    <w:rsid w:val="00843B39"/>
    <w:rsid w:val="008773B8"/>
    <w:rsid w:val="0089487E"/>
    <w:rsid w:val="008A3809"/>
    <w:rsid w:val="008B2CC1"/>
    <w:rsid w:val="008C2015"/>
    <w:rsid w:val="008D018B"/>
    <w:rsid w:val="008D185A"/>
    <w:rsid w:val="0090731E"/>
    <w:rsid w:val="00931B0F"/>
    <w:rsid w:val="009442FF"/>
    <w:rsid w:val="00960698"/>
    <w:rsid w:val="00966A22"/>
    <w:rsid w:val="00992F50"/>
    <w:rsid w:val="00997081"/>
    <w:rsid w:val="009C40F8"/>
    <w:rsid w:val="009C4D07"/>
    <w:rsid w:val="009E61BF"/>
    <w:rsid w:val="009F5C3C"/>
    <w:rsid w:val="00A179E6"/>
    <w:rsid w:val="00A20367"/>
    <w:rsid w:val="00A25FDE"/>
    <w:rsid w:val="00A36498"/>
    <w:rsid w:val="00A40EB4"/>
    <w:rsid w:val="00A44178"/>
    <w:rsid w:val="00A5013F"/>
    <w:rsid w:val="00A56992"/>
    <w:rsid w:val="00A7423C"/>
    <w:rsid w:val="00A8701F"/>
    <w:rsid w:val="00A93C87"/>
    <w:rsid w:val="00A94F2C"/>
    <w:rsid w:val="00AB3919"/>
    <w:rsid w:val="00AB424D"/>
    <w:rsid w:val="00AD7408"/>
    <w:rsid w:val="00AD7C29"/>
    <w:rsid w:val="00AE191D"/>
    <w:rsid w:val="00AE5F63"/>
    <w:rsid w:val="00AF0973"/>
    <w:rsid w:val="00AF1A99"/>
    <w:rsid w:val="00B129E6"/>
    <w:rsid w:val="00B42422"/>
    <w:rsid w:val="00B4440A"/>
    <w:rsid w:val="00B64112"/>
    <w:rsid w:val="00B65E19"/>
    <w:rsid w:val="00B76CEE"/>
    <w:rsid w:val="00BA5986"/>
    <w:rsid w:val="00BD0ECF"/>
    <w:rsid w:val="00BE7367"/>
    <w:rsid w:val="00BF275E"/>
    <w:rsid w:val="00BF358F"/>
    <w:rsid w:val="00C00EFA"/>
    <w:rsid w:val="00C016C1"/>
    <w:rsid w:val="00C02055"/>
    <w:rsid w:val="00C071DF"/>
    <w:rsid w:val="00C07E5E"/>
    <w:rsid w:val="00C1243A"/>
    <w:rsid w:val="00C17225"/>
    <w:rsid w:val="00C40B5C"/>
    <w:rsid w:val="00C453CE"/>
    <w:rsid w:val="00C647B3"/>
    <w:rsid w:val="00C87CB5"/>
    <w:rsid w:val="00C92D88"/>
    <w:rsid w:val="00CB0BEA"/>
    <w:rsid w:val="00CE00C0"/>
    <w:rsid w:val="00CF0210"/>
    <w:rsid w:val="00D0710D"/>
    <w:rsid w:val="00D43D6D"/>
    <w:rsid w:val="00D615E3"/>
    <w:rsid w:val="00D70D78"/>
    <w:rsid w:val="00D71B4D"/>
    <w:rsid w:val="00D74BBC"/>
    <w:rsid w:val="00D93D55"/>
    <w:rsid w:val="00DA588D"/>
    <w:rsid w:val="00DB1AF3"/>
    <w:rsid w:val="00DC3978"/>
    <w:rsid w:val="00DC7551"/>
    <w:rsid w:val="00DE6DF2"/>
    <w:rsid w:val="00E141AF"/>
    <w:rsid w:val="00E310D1"/>
    <w:rsid w:val="00E3160D"/>
    <w:rsid w:val="00E70DDC"/>
    <w:rsid w:val="00E8463D"/>
    <w:rsid w:val="00E90B07"/>
    <w:rsid w:val="00E91EEF"/>
    <w:rsid w:val="00E954EB"/>
    <w:rsid w:val="00EB0B37"/>
    <w:rsid w:val="00EC55DB"/>
    <w:rsid w:val="00EC5D36"/>
    <w:rsid w:val="00EE3E5A"/>
    <w:rsid w:val="00EF5D40"/>
    <w:rsid w:val="00F0286F"/>
    <w:rsid w:val="00F06445"/>
    <w:rsid w:val="00F07E83"/>
    <w:rsid w:val="00F10D5C"/>
    <w:rsid w:val="00F1126A"/>
    <w:rsid w:val="00F17EFC"/>
    <w:rsid w:val="00F22DF3"/>
    <w:rsid w:val="00F23348"/>
    <w:rsid w:val="00F31453"/>
    <w:rsid w:val="00F35134"/>
    <w:rsid w:val="00F44D75"/>
    <w:rsid w:val="00F5435B"/>
    <w:rsid w:val="00F66152"/>
    <w:rsid w:val="00F770B0"/>
    <w:rsid w:val="00F90B96"/>
    <w:rsid w:val="00FA0F0B"/>
    <w:rsid w:val="00FC10EA"/>
    <w:rsid w:val="00FD749F"/>
    <w:rsid w:val="00FD7D90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F10D5C"/>
    <w:pPr>
      <w:ind w:left="720"/>
      <w:contextualSpacing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character" w:customStyle="1" w:styleId="FootnoteTextChar">
    <w:name w:val="Footnote Text Char"/>
    <w:link w:val="FootnoteText"/>
    <w:uiPriority w:val="99"/>
    <w:semiHidden/>
    <w:rsid w:val="00F10D5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F10D5C"/>
    <w:rPr>
      <w:vertAlign w:val="superscript"/>
    </w:rPr>
  </w:style>
  <w:style w:type="character" w:styleId="Hyperlink">
    <w:name w:val="Hyperlink"/>
    <w:uiPriority w:val="99"/>
    <w:unhideWhenUsed/>
    <w:rsid w:val="00F10D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0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AD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7C49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49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49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C4991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F10D5C"/>
    <w:pPr>
      <w:ind w:left="720"/>
      <w:contextualSpacing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character" w:customStyle="1" w:styleId="FootnoteTextChar">
    <w:name w:val="Footnote Text Char"/>
    <w:link w:val="FootnoteText"/>
    <w:uiPriority w:val="99"/>
    <w:semiHidden/>
    <w:rsid w:val="00F10D5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F10D5C"/>
    <w:rPr>
      <w:vertAlign w:val="superscript"/>
    </w:rPr>
  </w:style>
  <w:style w:type="character" w:styleId="Hyperlink">
    <w:name w:val="Hyperlink"/>
    <w:uiPriority w:val="99"/>
    <w:unhideWhenUsed/>
    <w:rsid w:val="00F10D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0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AD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7C49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49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49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C499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990</Words>
  <Characters>6061</Characters>
  <Application>Microsoft Office Word</Application>
  <DocSecurity>0</DocSecurity>
  <Lines>275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keywords>NR/ko</cp:keywords>
  <cp:lastModifiedBy>MORENO PALESTINI Maria Del Pilar</cp:lastModifiedBy>
  <cp:revision>8</cp:revision>
  <cp:lastPrinted>2017-06-07T09:37:00Z</cp:lastPrinted>
  <dcterms:created xsi:type="dcterms:W3CDTF">2017-06-07T08:56:00Z</dcterms:created>
  <dcterms:modified xsi:type="dcterms:W3CDTF">2017-06-07T09:37:00Z</dcterms:modified>
</cp:coreProperties>
</file>