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2242" w14:textId="77777777" w:rsidR="008B2CC1" w:rsidRPr="00001641" w:rsidRDefault="00DB0349" w:rsidP="009C3452">
      <w:pPr>
        <w:spacing w:after="120"/>
        <w:jc w:val="right"/>
        <w:rPr>
          <w:lang w:val="fr-FR"/>
        </w:rPr>
      </w:pPr>
      <w:r w:rsidRPr="00001641">
        <w:rPr>
          <w:noProof/>
          <w:lang w:val="fr-FR" w:eastAsia="en-US"/>
        </w:rPr>
        <w:drawing>
          <wp:inline distT="0" distB="0" distL="0" distR="0" wp14:anchorId="3CF81DF8" wp14:editId="15A27B41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001641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155F1D05" wp14:editId="7CE9095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2E895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C0A3BB4" w14:textId="4DCD84B9" w:rsidR="008B2CC1" w:rsidRPr="00001641" w:rsidRDefault="009571E5" w:rsidP="009C3452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001641">
        <w:rPr>
          <w:rFonts w:ascii="Arial Black" w:hAnsi="Arial Black"/>
          <w:caps/>
          <w:sz w:val="15"/>
          <w:szCs w:val="15"/>
          <w:lang w:val="fr-FR"/>
        </w:rPr>
        <w:t>WIPO/GRTKF/IC/</w:t>
      </w:r>
      <w:r w:rsidR="008E42AF" w:rsidRPr="00001641">
        <w:rPr>
          <w:rFonts w:ascii="Arial Black" w:hAnsi="Arial Black"/>
          <w:caps/>
          <w:sz w:val="15"/>
          <w:szCs w:val="15"/>
          <w:lang w:val="fr-FR"/>
        </w:rPr>
        <w:t>52</w:t>
      </w:r>
      <w:r w:rsidRPr="00001641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4B762D" w:rsidRPr="00001641">
        <w:rPr>
          <w:rFonts w:ascii="Arial Black" w:hAnsi="Arial Black"/>
          <w:caps/>
          <w:sz w:val="15"/>
          <w:szCs w:val="15"/>
          <w:lang w:val="fr-FR"/>
        </w:rPr>
        <w:t>INF/8</w:t>
      </w:r>
    </w:p>
    <w:bookmarkEnd w:id="0"/>
    <w:p w14:paraId="2FA160CD" w14:textId="357DEBA3" w:rsidR="008B2CC1" w:rsidRPr="00001641" w:rsidRDefault="00DB0349" w:rsidP="009C3452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001641">
        <w:rPr>
          <w:rFonts w:ascii="Arial Black" w:hAnsi="Arial Black"/>
          <w:caps/>
          <w:sz w:val="15"/>
          <w:szCs w:val="15"/>
          <w:lang w:val="fr-FR"/>
        </w:rPr>
        <w:t>Original</w:t>
      </w:r>
      <w:r w:rsidR="009C3452" w:rsidRPr="00001641">
        <w:rPr>
          <w:rFonts w:ascii="Arial Black" w:hAnsi="Arial Black"/>
          <w:caps/>
          <w:sz w:val="15"/>
          <w:szCs w:val="15"/>
          <w:lang w:val="fr-FR"/>
        </w:rPr>
        <w:t> :</w:t>
      </w:r>
      <w:r w:rsidRPr="0000164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4B762D" w:rsidRPr="00001641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5D0B6E6A" w14:textId="47F3E1A0" w:rsidR="008B2CC1" w:rsidRPr="00001641" w:rsidRDefault="00DB0349" w:rsidP="009C3452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001641">
        <w:rPr>
          <w:rFonts w:ascii="Arial Black" w:hAnsi="Arial Black"/>
          <w:caps/>
          <w:sz w:val="15"/>
          <w:szCs w:val="15"/>
          <w:lang w:val="fr-FR"/>
        </w:rPr>
        <w:t>date</w:t>
      </w:r>
      <w:r w:rsidR="009C3452" w:rsidRPr="00001641">
        <w:rPr>
          <w:rFonts w:ascii="Arial Black" w:hAnsi="Arial Black"/>
          <w:caps/>
          <w:sz w:val="15"/>
          <w:szCs w:val="15"/>
          <w:lang w:val="fr-FR"/>
        </w:rPr>
        <w:t> :</w:t>
      </w:r>
      <w:r w:rsidRPr="0000164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4B762D" w:rsidRPr="00001641">
        <w:rPr>
          <w:rFonts w:ascii="Arial Black" w:hAnsi="Arial Black"/>
          <w:caps/>
          <w:sz w:val="15"/>
          <w:szCs w:val="15"/>
          <w:lang w:val="fr-FR"/>
        </w:rPr>
        <w:t>8 janvier 2026</w:t>
      </w:r>
    </w:p>
    <w:bookmarkEnd w:id="2"/>
    <w:p w14:paraId="1A97BF76" w14:textId="42D43C92" w:rsidR="00C40E15" w:rsidRPr="00001641" w:rsidRDefault="008E4813" w:rsidP="009C3452">
      <w:pPr>
        <w:spacing w:after="480"/>
        <w:rPr>
          <w:b/>
          <w:sz w:val="28"/>
          <w:szCs w:val="28"/>
          <w:lang w:val="fr-FR"/>
        </w:rPr>
      </w:pPr>
      <w:r w:rsidRPr="00001641">
        <w:rPr>
          <w:b/>
          <w:sz w:val="28"/>
          <w:szCs w:val="28"/>
          <w:lang w:val="fr-FR"/>
        </w:rPr>
        <w:t>Comité intergouvernemental de la propriété intellectuelle relative aux</w:t>
      </w:r>
      <w:r w:rsidR="008E42AF" w:rsidRPr="00001641">
        <w:rPr>
          <w:b/>
          <w:sz w:val="28"/>
          <w:szCs w:val="28"/>
          <w:lang w:val="fr-FR"/>
        </w:rPr>
        <w:t> </w:t>
      </w:r>
      <w:r w:rsidRPr="00001641">
        <w:rPr>
          <w:b/>
          <w:sz w:val="28"/>
          <w:szCs w:val="28"/>
          <w:lang w:val="fr-FR"/>
        </w:rPr>
        <w:t>ressources génétiques, aux savoirs traditionnels et au folklore</w:t>
      </w:r>
    </w:p>
    <w:p w14:paraId="4A98DB5F" w14:textId="12257857" w:rsidR="008B2CC1" w:rsidRPr="00001641" w:rsidRDefault="008E42AF" w:rsidP="009C3452">
      <w:pPr>
        <w:rPr>
          <w:b/>
          <w:sz w:val="24"/>
          <w:szCs w:val="24"/>
          <w:lang w:val="fr-FR"/>
        </w:rPr>
      </w:pPr>
      <w:r w:rsidRPr="00001641">
        <w:rPr>
          <w:b/>
          <w:sz w:val="24"/>
          <w:szCs w:val="24"/>
          <w:lang w:val="fr-FR"/>
        </w:rPr>
        <w:t>Cinquante</w:t>
      </w:r>
      <w:r w:rsidR="00001641">
        <w:rPr>
          <w:b/>
          <w:sz w:val="24"/>
          <w:szCs w:val="24"/>
          <w:lang w:val="fr-FR"/>
        </w:rPr>
        <w:noBreakHyphen/>
      </w:r>
      <w:r w:rsidRPr="00001641">
        <w:rPr>
          <w:b/>
          <w:sz w:val="24"/>
          <w:szCs w:val="24"/>
          <w:lang w:val="fr-FR"/>
        </w:rPr>
        <w:t>deux</w:t>
      </w:r>
      <w:r w:rsidR="009C3452" w:rsidRPr="00001641">
        <w:rPr>
          <w:b/>
          <w:sz w:val="24"/>
          <w:szCs w:val="24"/>
          <w:lang w:val="fr-FR"/>
        </w:rPr>
        <w:t>ième session</w:t>
      </w:r>
    </w:p>
    <w:p w14:paraId="6524AC9E" w14:textId="0598799F" w:rsidR="008B2CC1" w:rsidRPr="00001641" w:rsidRDefault="008E4813" w:rsidP="009C3452">
      <w:pPr>
        <w:spacing w:after="720"/>
        <w:rPr>
          <w:b/>
          <w:sz w:val="24"/>
          <w:szCs w:val="24"/>
          <w:lang w:val="fr-FR"/>
        </w:rPr>
      </w:pPr>
      <w:r w:rsidRPr="00001641">
        <w:rPr>
          <w:b/>
          <w:sz w:val="24"/>
          <w:szCs w:val="24"/>
          <w:lang w:val="fr-FR"/>
        </w:rPr>
        <w:t xml:space="preserve">Genève, </w:t>
      </w:r>
      <w:r w:rsidR="008E42AF" w:rsidRPr="00001641">
        <w:rPr>
          <w:b/>
          <w:sz w:val="24"/>
          <w:szCs w:val="24"/>
          <w:lang w:val="fr-FR"/>
        </w:rPr>
        <w:t>4</w:t>
      </w:r>
      <w:r w:rsidRPr="00001641">
        <w:rPr>
          <w:b/>
          <w:sz w:val="24"/>
          <w:szCs w:val="24"/>
          <w:lang w:val="fr-FR"/>
        </w:rPr>
        <w:t xml:space="preserve"> – </w:t>
      </w:r>
      <w:r w:rsidR="008E42AF" w:rsidRPr="00001641">
        <w:rPr>
          <w:b/>
          <w:sz w:val="24"/>
          <w:szCs w:val="24"/>
          <w:lang w:val="fr-FR"/>
        </w:rPr>
        <w:t>1</w:t>
      </w:r>
      <w:r w:rsidR="009C3452" w:rsidRPr="00001641">
        <w:rPr>
          <w:b/>
          <w:sz w:val="24"/>
          <w:szCs w:val="24"/>
          <w:lang w:val="fr-FR"/>
        </w:rPr>
        <w:t>3 mars 20</w:t>
      </w:r>
      <w:r w:rsidRPr="00001641">
        <w:rPr>
          <w:b/>
          <w:sz w:val="24"/>
          <w:szCs w:val="24"/>
          <w:lang w:val="fr-FR"/>
        </w:rPr>
        <w:t>2</w:t>
      </w:r>
      <w:r w:rsidR="008E42AF" w:rsidRPr="00001641">
        <w:rPr>
          <w:b/>
          <w:sz w:val="24"/>
          <w:szCs w:val="24"/>
          <w:lang w:val="fr-FR"/>
        </w:rPr>
        <w:t>6</w:t>
      </w:r>
    </w:p>
    <w:p w14:paraId="57499EED" w14:textId="72355F8F" w:rsidR="004B762D" w:rsidRPr="00001641" w:rsidRDefault="00B64FAF" w:rsidP="009C3452">
      <w:pPr>
        <w:spacing w:after="360"/>
        <w:rPr>
          <w:caps/>
          <w:sz w:val="24"/>
          <w:lang w:val="fr-FR"/>
        </w:rPr>
      </w:pPr>
      <w:r w:rsidRPr="00001641">
        <w:rPr>
          <w:caps/>
          <w:sz w:val="24"/>
          <w:lang w:val="fr-FR"/>
        </w:rPr>
        <w:t>R</w:t>
      </w:r>
      <w:r w:rsidR="004B762D" w:rsidRPr="00001641">
        <w:rPr>
          <w:caps/>
          <w:sz w:val="24"/>
          <w:lang w:val="fr-FR"/>
        </w:rPr>
        <w:t>essources disponibles sur le site</w:t>
      </w:r>
      <w:r w:rsidRPr="00001641">
        <w:rPr>
          <w:caps/>
          <w:sz w:val="24"/>
          <w:lang w:val="fr-FR"/>
        </w:rPr>
        <w:t> </w:t>
      </w:r>
      <w:r w:rsidR="004B762D" w:rsidRPr="00001641">
        <w:rPr>
          <w:caps/>
          <w:sz w:val="24"/>
          <w:lang w:val="fr-FR"/>
        </w:rPr>
        <w:t>Web de l</w:t>
      </w:r>
      <w:r w:rsidR="009C3452" w:rsidRPr="00001641">
        <w:rPr>
          <w:caps/>
          <w:sz w:val="24"/>
          <w:lang w:val="fr-FR"/>
        </w:rPr>
        <w:t>’</w:t>
      </w:r>
      <w:r w:rsidR="004B762D" w:rsidRPr="00001641">
        <w:rPr>
          <w:caps/>
          <w:sz w:val="24"/>
          <w:lang w:val="fr-FR"/>
        </w:rPr>
        <w:t>OMPI consacré aux</w:t>
      </w:r>
      <w:r w:rsidR="00FC04DC" w:rsidRPr="00001641">
        <w:rPr>
          <w:caps/>
          <w:sz w:val="24"/>
          <w:lang w:val="fr-FR"/>
        </w:rPr>
        <w:t> </w:t>
      </w:r>
      <w:r w:rsidR="004B762D" w:rsidRPr="00001641">
        <w:rPr>
          <w:caps/>
          <w:sz w:val="24"/>
          <w:lang w:val="fr-FR"/>
        </w:rPr>
        <w:t>savoirs traditionnels, aux expressions culturelles traditionnelles et aux ressources génétiques</w:t>
      </w:r>
    </w:p>
    <w:p w14:paraId="6F3CF1C3" w14:textId="77777777" w:rsidR="004B762D" w:rsidRPr="00001641" w:rsidRDefault="004B762D" w:rsidP="009C3452">
      <w:pPr>
        <w:spacing w:after="960"/>
        <w:rPr>
          <w:i/>
          <w:lang w:val="fr-FR"/>
        </w:rPr>
      </w:pPr>
      <w:bookmarkStart w:id="3" w:name="Prepared"/>
      <w:bookmarkEnd w:id="3"/>
      <w:r w:rsidRPr="00001641">
        <w:rPr>
          <w:i/>
          <w:lang w:val="fr-FR"/>
        </w:rPr>
        <w:t>Document établi par le Secrétariat</w:t>
      </w:r>
    </w:p>
    <w:p w14:paraId="514D1A40" w14:textId="37DF4844" w:rsidR="009C3452" w:rsidRPr="00001641" w:rsidRDefault="004B762D" w:rsidP="009C3452">
      <w:pPr>
        <w:pStyle w:val="ONUMFS"/>
        <w:rPr>
          <w:lang w:val="fr-FR"/>
        </w:rPr>
      </w:pPr>
      <w:r w:rsidRPr="00001641">
        <w:rPr>
          <w:lang w:val="fr-FR"/>
        </w:rPr>
        <w:t>À sa vingt</w:t>
      </w:r>
      <w:r w:rsidR="009C3452" w:rsidRPr="00001641">
        <w:rPr>
          <w:lang w:val="fr-FR"/>
        </w:rPr>
        <w:t>ième session</w:t>
      </w:r>
      <w:r w:rsidRPr="00001641">
        <w:rPr>
          <w:lang w:val="fr-FR"/>
        </w:rPr>
        <w:t xml:space="preserve"> tenue du 14 au 22 </w:t>
      </w:r>
      <w:r w:rsidR="009C3452" w:rsidRPr="00001641">
        <w:rPr>
          <w:lang w:val="fr-FR"/>
        </w:rPr>
        <w:t>février 20</w:t>
      </w:r>
      <w:r w:rsidRPr="00001641">
        <w:rPr>
          <w:lang w:val="fr-FR"/>
        </w:rPr>
        <w:t>12, le Comité intergouvernemental de la propriété intellectuelle relative aux ressources génétiques, aux savoirs traditionnels et au folklore (IGC) a invité le Secrétariat à établir un document d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information décrivant brièvement les ressources disponibles sur le site</w:t>
      </w:r>
      <w:r w:rsidR="00E46BD3" w:rsidRPr="00001641">
        <w:rPr>
          <w:lang w:val="fr-FR"/>
        </w:rPr>
        <w:t> </w:t>
      </w:r>
      <w:r w:rsidRPr="00001641">
        <w:rPr>
          <w:lang w:val="fr-FR"/>
        </w:rPr>
        <w:t>Web consacré aux savoirs traditionnels, aux expressions culturelles traditionnelles et aux ressources génétiques (ci</w:t>
      </w:r>
      <w:r w:rsidR="00001641">
        <w:rPr>
          <w:lang w:val="fr-FR"/>
        </w:rPr>
        <w:noBreakHyphen/>
      </w:r>
      <w:r w:rsidRPr="00001641">
        <w:rPr>
          <w:lang w:val="fr-FR"/>
        </w:rPr>
        <w:t>après dénommé “site</w:t>
      </w:r>
      <w:r w:rsidR="00E46BD3" w:rsidRPr="00001641">
        <w:rPr>
          <w:lang w:val="fr-FR"/>
        </w:rPr>
        <w:t> </w:t>
      </w:r>
      <w:r w:rsidRPr="00001641">
        <w:rPr>
          <w:lang w:val="fr-FR"/>
        </w:rPr>
        <w:t>Web de l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OMPI sur les savoirs traditionnels”)</w:t>
      </w:r>
      <w:r w:rsidRPr="00001641">
        <w:rPr>
          <w:rStyle w:val="FootnoteReference"/>
          <w:szCs w:val="22"/>
          <w:lang w:val="fr-FR"/>
        </w:rPr>
        <w:footnoteReference w:id="2"/>
      </w:r>
      <w:r w:rsidRPr="00001641">
        <w:rPr>
          <w:lang w:val="fr-FR"/>
        </w:rPr>
        <w:t>.</w:t>
      </w:r>
    </w:p>
    <w:p w14:paraId="7217143A" w14:textId="7A4E92BC" w:rsidR="009C3452" w:rsidRPr="00001641" w:rsidRDefault="004B762D" w:rsidP="009C3452">
      <w:pPr>
        <w:pStyle w:val="ONUMFS"/>
        <w:rPr>
          <w:lang w:val="fr-FR"/>
        </w:rPr>
      </w:pPr>
      <w:r w:rsidRPr="00001641">
        <w:rPr>
          <w:lang w:val="fr-FR"/>
        </w:rPr>
        <w:t>Conformément à cette décision, un descriptif détaillé des ressources disponibles sur le site</w:t>
      </w:r>
      <w:r w:rsidR="00E46BD3" w:rsidRPr="00001641">
        <w:rPr>
          <w:lang w:val="fr-FR"/>
        </w:rPr>
        <w:t> </w:t>
      </w:r>
      <w:r w:rsidRPr="00001641">
        <w:rPr>
          <w:lang w:val="fr-FR"/>
        </w:rPr>
        <w:t>Web de l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OMPI sur les savoirs traditionnels (https://www.wipo.int/fr/web/igc) a été élaboré en vue des sessions ultérieures de l</w:t>
      </w:r>
      <w:r w:rsidR="009C3452" w:rsidRPr="00001641">
        <w:rPr>
          <w:lang w:val="fr-FR"/>
        </w:rPr>
        <w:t>’</w:t>
      </w:r>
      <w:r w:rsidR="00001641" w:rsidRPr="00001641">
        <w:rPr>
          <w:lang w:val="fr-FR"/>
        </w:rPr>
        <w:t>IGC.  La</w:t>
      </w:r>
      <w:r w:rsidRPr="00001641">
        <w:rPr>
          <w:lang w:val="fr-FR"/>
        </w:rPr>
        <w:t xml:space="preserve"> version la plus récente dudit descriptif figure dans le </w:t>
      </w:r>
      <w:r w:rsidR="009C3452" w:rsidRPr="00001641">
        <w:rPr>
          <w:lang w:val="fr-FR"/>
        </w:rPr>
        <w:t>document</w:t>
      </w:r>
      <w:r w:rsidR="00001641">
        <w:rPr>
          <w:lang w:val="fr-FR"/>
        </w:rPr>
        <w:t> </w:t>
      </w:r>
      <w:r w:rsidR="009C3452" w:rsidRPr="00001641">
        <w:rPr>
          <w:lang w:val="fr-FR"/>
        </w:rPr>
        <w:t>WI</w:t>
      </w:r>
      <w:r w:rsidRPr="00001641">
        <w:rPr>
          <w:lang w:val="fr-FR"/>
        </w:rPr>
        <w:t>PO/GRTKF/IC/42/INF/10.</w:t>
      </w:r>
    </w:p>
    <w:p w14:paraId="32C29FF5" w14:textId="7DD1D7B8" w:rsidR="009C3452" w:rsidRPr="00001641" w:rsidRDefault="004B762D" w:rsidP="009C3452">
      <w:pPr>
        <w:pStyle w:val="ONUMFS"/>
        <w:rPr>
          <w:lang w:val="fr-FR"/>
        </w:rPr>
      </w:pPr>
      <w:r w:rsidRPr="00001641">
        <w:rPr>
          <w:lang w:val="fr-FR"/>
        </w:rPr>
        <w:t xml:space="preserve">Comme indiqué dans le </w:t>
      </w:r>
      <w:r w:rsidR="009C3452" w:rsidRPr="00001641">
        <w:rPr>
          <w:lang w:val="fr-FR"/>
        </w:rPr>
        <w:t>document</w:t>
      </w:r>
      <w:r w:rsidR="00001641">
        <w:rPr>
          <w:lang w:val="fr-FR"/>
        </w:rPr>
        <w:t> </w:t>
      </w:r>
      <w:r w:rsidR="009C3452" w:rsidRPr="00001641">
        <w:rPr>
          <w:lang w:val="fr-FR"/>
        </w:rPr>
        <w:t>WI</w:t>
      </w:r>
      <w:r w:rsidRPr="00001641">
        <w:rPr>
          <w:lang w:val="fr-FR"/>
        </w:rPr>
        <w:t>PO/GRTKF/IC/30/INF/8 établi pour la trent</w:t>
      </w:r>
      <w:r w:rsidR="009C3452" w:rsidRPr="00001641">
        <w:rPr>
          <w:lang w:val="fr-FR"/>
        </w:rPr>
        <w:t>ième session</w:t>
      </w:r>
      <w:r w:rsidRPr="00001641">
        <w:rPr>
          <w:lang w:val="fr-FR"/>
        </w:rPr>
        <w:t xml:space="preserve"> de l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IGC, ce document d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information sera uniquement publié une fois par an, ou en cas de modifications importantes apportées au site</w:t>
      </w:r>
      <w:r w:rsidR="00E46BD3" w:rsidRPr="00001641">
        <w:rPr>
          <w:lang w:val="fr-FR"/>
        </w:rPr>
        <w:t> </w:t>
      </w:r>
      <w:r w:rsidRPr="00001641">
        <w:rPr>
          <w:lang w:val="fr-FR"/>
        </w:rPr>
        <w:t>Web.</w:t>
      </w:r>
    </w:p>
    <w:p w14:paraId="15BE1B32" w14:textId="1F989512" w:rsidR="009C3452" w:rsidRPr="00001641" w:rsidRDefault="004B762D" w:rsidP="00001641">
      <w:pPr>
        <w:pStyle w:val="ONUMFS"/>
        <w:keepNext/>
        <w:keepLines/>
        <w:rPr>
          <w:lang w:val="fr-FR"/>
        </w:rPr>
      </w:pPr>
      <w:r w:rsidRPr="00001641">
        <w:rPr>
          <w:lang w:val="fr-FR"/>
        </w:rPr>
        <w:lastRenderedPageBreak/>
        <w:t>L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annexe du présent document comprend une liste synthétique des principales rubriques du site</w:t>
      </w:r>
      <w:r w:rsidR="00E46BD3" w:rsidRPr="00001641">
        <w:rPr>
          <w:lang w:val="fr-FR"/>
        </w:rPr>
        <w:t> </w:t>
      </w:r>
      <w:r w:rsidRPr="00001641">
        <w:rPr>
          <w:lang w:val="fr-FR"/>
        </w:rPr>
        <w:t>Web de l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 xml:space="preserve">OMPI sur les savoirs traditionnels et une mise à jour des ressources disponibles sur le site depuis </w:t>
      </w:r>
      <w:r w:rsidR="009C3452" w:rsidRPr="00001641">
        <w:rPr>
          <w:lang w:val="fr-FR"/>
        </w:rPr>
        <w:t>janvier 20</w:t>
      </w:r>
      <w:r w:rsidRPr="00001641">
        <w:rPr>
          <w:lang w:val="fr-FR"/>
        </w:rPr>
        <w:t>22, date à laquelle le précédent document d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information a été établi.</w:t>
      </w:r>
    </w:p>
    <w:p w14:paraId="1686973E" w14:textId="063A5622" w:rsidR="004B762D" w:rsidRPr="00001641" w:rsidRDefault="004B762D" w:rsidP="009C3452">
      <w:pPr>
        <w:pStyle w:val="ONUMFS"/>
        <w:ind w:left="5533"/>
        <w:rPr>
          <w:i/>
          <w:szCs w:val="22"/>
          <w:lang w:val="fr-FR"/>
        </w:rPr>
      </w:pPr>
      <w:r w:rsidRPr="00001641">
        <w:rPr>
          <w:i/>
          <w:lang w:val="fr-FR"/>
        </w:rPr>
        <w:t>L</w:t>
      </w:r>
      <w:r w:rsidR="009C3452" w:rsidRPr="00001641">
        <w:rPr>
          <w:i/>
          <w:lang w:val="fr-FR"/>
        </w:rPr>
        <w:t>’</w:t>
      </w:r>
      <w:r w:rsidRPr="00001641">
        <w:rPr>
          <w:i/>
          <w:lang w:val="fr-FR"/>
        </w:rPr>
        <w:t>IGC est invité à prendre note du présent document et de son annexe.</w:t>
      </w:r>
    </w:p>
    <w:p w14:paraId="6D0239DE" w14:textId="32D789C9" w:rsidR="004B762D" w:rsidRPr="00001641" w:rsidRDefault="004B762D" w:rsidP="009C3452">
      <w:pPr>
        <w:pStyle w:val="Endofdocument-Annex"/>
        <w:rPr>
          <w:szCs w:val="22"/>
        </w:rPr>
      </w:pPr>
      <w:r w:rsidRPr="00001641">
        <w:t>[L</w:t>
      </w:r>
      <w:r w:rsidR="009C3452" w:rsidRPr="00001641">
        <w:t>’</w:t>
      </w:r>
      <w:r w:rsidRPr="00001641">
        <w:t>annexe suit]</w:t>
      </w:r>
    </w:p>
    <w:p w14:paraId="0972E10E" w14:textId="77777777" w:rsidR="004B762D" w:rsidRPr="00001641" w:rsidRDefault="004B762D" w:rsidP="009C3452">
      <w:pPr>
        <w:pStyle w:val="Endofdocument"/>
        <w:spacing w:after="0"/>
        <w:ind w:left="0"/>
        <w:sectPr w:rsidR="004B762D" w:rsidRPr="00001641" w:rsidSect="009C3452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04C204EC" w14:textId="0CC721DF" w:rsidR="009C3452" w:rsidRPr="00001641" w:rsidRDefault="004B762D" w:rsidP="009C3452">
      <w:pPr>
        <w:spacing w:after="480" w:line="260" w:lineRule="atLeast"/>
        <w:rPr>
          <w:caps/>
          <w:sz w:val="24"/>
          <w:lang w:val="fr-FR"/>
        </w:rPr>
      </w:pPr>
      <w:r w:rsidRPr="00001641">
        <w:rPr>
          <w:caps/>
          <w:sz w:val="24"/>
          <w:lang w:val="fr-FR"/>
        </w:rPr>
        <w:lastRenderedPageBreak/>
        <w:t>Ressources disponibles sur le site</w:t>
      </w:r>
      <w:r w:rsidR="00E46BD3" w:rsidRPr="00001641">
        <w:rPr>
          <w:caps/>
          <w:sz w:val="24"/>
          <w:lang w:val="fr-FR"/>
        </w:rPr>
        <w:t> </w:t>
      </w:r>
      <w:r w:rsidRPr="00001641">
        <w:rPr>
          <w:caps/>
          <w:sz w:val="24"/>
          <w:lang w:val="fr-FR"/>
        </w:rPr>
        <w:t>Web de l</w:t>
      </w:r>
      <w:r w:rsidR="009C3452" w:rsidRPr="00001641">
        <w:rPr>
          <w:caps/>
          <w:sz w:val="24"/>
          <w:lang w:val="fr-FR"/>
        </w:rPr>
        <w:t>’</w:t>
      </w:r>
      <w:r w:rsidRPr="00001641">
        <w:rPr>
          <w:caps/>
          <w:sz w:val="24"/>
          <w:lang w:val="fr-FR"/>
        </w:rPr>
        <w:t>OMPI consacré aux</w:t>
      </w:r>
      <w:r w:rsidR="002F0FBB">
        <w:rPr>
          <w:caps/>
          <w:sz w:val="24"/>
          <w:lang w:val="fr-FR"/>
        </w:rPr>
        <w:t> </w:t>
      </w:r>
      <w:r w:rsidRPr="00001641">
        <w:rPr>
          <w:caps/>
          <w:sz w:val="24"/>
          <w:lang w:val="fr-FR"/>
        </w:rPr>
        <w:t>savoirs traditionnels, aux expressions culturelles traditionnelles et aux ressources génétiques</w:t>
      </w:r>
    </w:p>
    <w:p w14:paraId="7E98C6FD" w14:textId="6B4F5F23" w:rsidR="009C3452" w:rsidRPr="00001641" w:rsidRDefault="004B762D" w:rsidP="009C3452">
      <w:pPr>
        <w:pStyle w:val="ListParagraph"/>
        <w:numPr>
          <w:ilvl w:val="0"/>
          <w:numId w:val="9"/>
        </w:numPr>
        <w:spacing w:after="220"/>
        <w:ind w:left="0" w:firstLine="0"/>
        <w:contextualSpacing w:val="0"/>
      </w:pPr>
      <w:r w:rsidRPr="00001641">
        <w:t>La présente annexe comprend une liste des principales rubriques du site</w:t>
      </w:r>
      <w:r w:rsidR="00E46BD3" w:rsidRPr="00001641">
        <w:t> </w:t>
      </w:r>
      <w:r w:rsidRPr="00001641">
        <w:t>Web de l</w:t>
      </w:r>
      <w:r w:rsidR="009C3452" w:rsidRPr="00001641">
        <w:t>’</w:t>
      </w:r>
      <w:r w:rsidRPr="00001641">
        <w:t>OMPI sur les savoirs traditionnels (https://www.wipo.int/</w:t>
      </w:r>
      <w:proofErr w:type="spellStart"/>
      <w:r w:rsidRPr="00001641">
        <w:t>fr</w:t>
      </w:r>
      <w:proofErr w:type="spellEnd"/>
      <w:r w:rsidRPr="00001641">
        <w:t>/web/</w:t>
      </w:r>
      <w:proofErr w:type="spellStart"/>
      <w:r w:rsidRPr="00001641">
        <w:t>traditional</w:t>
      </w:r>
      <w:r w:rsidR="00001641">
        <w:noBreakHyphen/>
      </w:r>
      <w:r w:rsidRPr="00001641">
        <w:t>knowledge</w:t>
      </w:r>
      <w:proofErr w:type="spellEnd"/>
      <w:r w:rsidRPr="00001641">
        <w:t xml:space="preserve">) et une mise à jour des ressources disponibles sur le site depuis </w:t>
      </w:r>
      <w:r w:rsidR="009C3452" w:rsidRPr="00001641">
        <w:t>janvier 20</w:t>
      </w:r>
      <w:r w:rsidRPr="00001641">
        <w:t>22.</w:t>
      </w:r>
    </w:p>
    <w:p w14:paraId="46C7C75E" w14:textId="046E5A4E" w:rsidR="009C3452" w:rsidRPr="00001641" w:rsidRDefault="004B762D" w:rsidP="009C3452">
      <w:pPr>
        <w:pStyle w:val="ListParagraph"/>
        <w:numPr>
          <w:ilvl w:val="0"/>
          <w:numId w:val="9"/>
        </w:numPr>
        <w:spacing w:after="220"/>
        <w:ind w:left="0" w:firstLine="0"/>
        <w:contextualSpacing w:val="0"/>
        <w:rPr>
          <w:szCs w:val="22"/>
        </w:rPr>
      </w:pPr>
      <w:r w:rsidRPr="00001641">
        <w:t>Le site</w:t>
      </w:r>
      <w:r w:rsidR="00E46BD3" w:rsidRPr="00001641">
        <w:t> </w:t>
      </w:r>
      <w:r w:rsidRPr="00001641">
        <w:t>Web de l</w:t>
      </w:r>
      <w:r w:rsidR="009C3452" w:rsidRPr="00001641">
        <w:t>’</w:t>
      </w:r>
      <w:r w:rsidRPr="00001641">
        <w:t>OMPI sur les savoirs traditionnels a été remanié pour mieux présenter les services fournis par la Division des savoirs traditionne</w:t>
      </w:r>
      <w:r w:rsidR="00001641" w:rsidRPr="00001641">
        <w:t>ls.  Ac</w:t>
      </w:r>
      <w:r w:rsidRPr="00001641">
        <w:t>tuellement, il y a huit</w:t>
      </w:r>
      <w:r w:rsidR="00E46BD3" w:rsidRPr="00001641">
        <w:t> </w:t>
      </w:r>
      <w:r w:rsidRPr="00001641">
        <w:t>entrées principales sur le site</w:t>
      </w:r>
      <w:r w:rsidR="00E46BD3" w:rsidRPr="00001641">
        <w:t> </w:t>
      </w:r>
      <w:r w:rsidRPr="00001641">
        <w:t>Web</w:t>
      </w:r>
      <w:r w:rsidR="009C3452" w:rsidRPr="00001641">
        <w:t> :</w:t>
      </w:r>
    </w:p>
    <w:p w14:paraId="7AFA0793" w14:textId="411E2936" w:rsidR="009C3452" w:rsidRPr="00001641" w:rsidRDefault="004B762D" w:rsidP="009C3452">
      <w:pPr>
        <w:numPr>
          <w:ilvl w:val="0"/>
          <w:numId w:val="7"/>
        </w:numPr>
        <w:spacing w:after="220"/>
        <w:ind w:left="1134" w:hanging="567"/>
        <w:rPr>
          <w:szCs w:val="22"/>
          <w:lang w:val="fr-FR"/>
        </w:rPr>
      </w:pPr>
      <w:r w:rsidRPr="00001641">
        <w:rPr>
          <w:lang w:val="fr-FR"/>
        </w:rPr>
        <w:t xml:space="preserve">Facilitation des négociations internationales </w:t>
      </w:r>
      <w:hyperlink r:id="rId9" w:history="1">
        <w:r w:rsidRPr="00001641">
          <w:rPr>
            <w:rStyle w:val="Hyperlink"/>
            <w:lang w:val="fr-FR"/>
          </w:rPr>
          <w:t>https://www.wipo.int/fr/web/igc</w:t>
        </w:r>
      </w:hyperlink>
      <w:r w:rsidRPr="00001641">
        <w:rPr>
          <w:lang w:val="fr-FR"/>
        </w:rPr>
        <w:t xml:space="preserve">.  Cette </w:t>
      </w:r>
      <w:r w:rsidR="009C3452" w:rsidRPr="00001641">
        <w:rPr>
          <w:lang w:val="fr-FR"/>
        </w:rPr>
        <w:t>page W</w:t>
      </w:r>
      <w:r w:rsidRPr="00001641">
        <w:rPr>
          <w:lang w:val="fr-FR"/>
        </w:rPr>
        <w:t>eb constitue le plus important portail de renseignements détaillés destiné aux participants des sessions de l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IGC.</w:t>
      </w:r>
    </w:p>
    <w:p w14:paraId="141DB17F" w14:textId="0A0B7153" w:rsidR="009C3452" w:rsidRPr="00001641" w:rsidRDefault="004B762D" w:rsidP="009C3452">
      <w:pPr>
        <w:numPr>
          <w:ilvl w:val="0"/>
          <w:numId w:val="7"/>
        </w:numPr>
        <w:spacing w:after="220"/>
        <w:ind w:left="1134" w:hanging="567"/>
        <w:rPr>
          <w:lang w:val="fr-FR"/>
        </w:rPr>
      </w:pPr>
      <w:r w:rsidRPr="00001641">
        <w:rPr>
          <w:lang w:val="fr-FR"/>
        </w:rPr>
        <w:t>Centre de ressources sur le Traité GRATK de l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 xml:space="preserve">OMPI </w:t>
      </w:r>
      <w:hyperlink r:id="rId10" w:history="1">
        <w:r w:rsidR="002F0FBB" w:rsidRPr="008465D6">
          <w:rPr>
            <w:rStyle w:val="Hyperlink"/>
            <w:lang w:val="fr-FR"/>
          </w:rPr>
          <w:t>https://www.wipo.int/fr/web/traditional-knowledge/wipo-treaty-on-ip-gr-and-associated</w:t>
        </w:r>
        <w:r w:rsidR="002F0FBB" w:rsidRPr="008465D6">
          <w:rPr>
            <w:rStyle w:val="Hyperlink"/>
            <w:lang w:val="fr-FR"/>
          </w:rPr>
          <w:noBreakHyphen/>
          <w:t>tk</w:t>
        </w:r>
      </w:hyperlink>
      <w:r w:rsidR="002F0FBB">
        <w:rPr>
          <w:lang w:val="fr-FR"/>
        </w:rPr>
        <w:t xml:space="preserve">.  </w:t>
      </w:r>
      <w:r w:rsidRPr="00001641">
        <w:rPr>
          <w:lang w:val="fr-FR"/>
        </w:rPr>
        <w:t xml:space="preserve">Cette </w:t>
      </w:r>
      <w:r w:rsidR="009C3452" w:rsidRPr="00001641">
        <w:rPr>
          <w:lang w:val="fr-FR"/>
        </w:rPr>
        <w:t>page W</w:t>
      </w:r>
      <w:r w:rsidRPr="00001641">
        <w:rPr>
          <w:lang w:val="fr-FR"/>
        </w:rPr>
        <w:t>eb offre des ressources concernant le Traité de l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OMPI sur la propriété intellectuelle, les ressources génétiques et les savoirs traditionnels associés, contient des informations sur ce traité historique et permet d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 xml:space="preserve">accéder à des documents de référence, au texte du traité et à des documents connexes reflétant les négociations et les objectifs du traité, </w:t>
      </w:r>
      <w:r w:rsidR="009C3452" w:rsidRPr="00001641">
        <w:rPr>
          <w:lang w:val="fr-FR"/>
        </w:rPr>
        <w:t>y compris</w:t>
      </w:r>
      <w:r w:rsidRPr="00001641">
        <w:rPr>
          <w:lang w:val="fr-FR"/>
        </w:rPr>
        <w:t xml:space="preserve"> sa pertinence pour les peuples autochtones et les communautés locales.</w:t>
      </w:r>
    </w:p>
    <w:p w14:paraId="4FFA8F20" w14:textId="54936EA2" w:rsidR="009C3452" w:rsidRPr="00001641" w:rsidRDefault="004B762D" w:rsidP="009C3452">
      <w:pPr>
        <w:numPr>
          <w:ilvl w:val="0"/>
          <w:numId w:val="7"/>
        </w:numPr>
        <w:spacing w:after="220"/>
        <w:ind w:left="1134" w:hanging="567"/>
        <w:rPr>
          <w:szCs w:val="22"/>
          <w:lang w:val="fr-FR"/>
        </w:rPr>
      </w:pPr>
      <w:r w:rsidRPr="00001641">
        <w:rPr>
          <w:lang w:val="fr-FR"/>
        </w:rPr>
        <w:t>Collaboration avec les peuples autochtones et les communautés locales</w:t>
      </w:r>
      <w:r w:rsidR="009C3452" w:rsidRPr="00001641">
        <w:rPr>
          <w:lang w:val="fr-FR"/>
        </w:rPr>
        <w:t> :</w:t>
      </w:r>
      <w:r w:rsidRPr="00001641">
        <w:rPr>
          <w:lang w:val="fr-FR"/>
        </w:rPr>
        <w:t xml:space="preserve"> </w:t>
      </w:r>
      <w:hyperlink r:id="rId11" w:history="1">
        <w:r w:rsidR="002F0FBB" w:rsidRPr="008465D6">
          <w:rPr>
            <w:rStyle w:val="Hyperlink"/>
            <w:lang w:val="fr-FR"/>
          </w:rPr>
          <w:t>https://www.wipo.int/fr/web/traditional-knowledge/engagement</w:t>
        </w:r>
      </w:hyperlink>
      <w:r w:rsidRPr="00001641">
        <w:rPr>
          <w:lang w:val="fr-FR"/>
        </w:rPr>
        <w:t>.  Elle s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inscrit dans le cadre des efforts déployés par le Secrétariat de l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OMPI pour améliorer l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accès des peuples autochtones et des communautés locales aux informations disponibles qui les intéressent particulièreme</w:t>
      </w:r>
      <w:r w:rsidR="00001641" w:rsidRPr="00001641">
        <w:rPr>
          <w:lang w:val="fr-FR"/>
        </w:rPr>
        <w:t>nt.  Le</w:t>
      </w:r>
      <w:r w:rsidRPr="00001641">
        <w:rPr>
          <w:lang w:val="fr-FR"/>
        </w:rPr>
        <w:t xml:space="preserve"> portail contient des liens vers les ressources pertinentes de l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OMPI et des informations sur la procédure d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accréditation auprès de l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IGC et la participation aux sessions du comité, et permet d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accéder aux liens extérieurs présentant un intérêt pour les peuples autochtones et les communautés locales.</w:t>
      </w:r>
    </w:p>
    <w:p w14:paraId="08F96BE5" w14:textId="4B08253C" w:rsidR="009C3452" w:rsidRPr="00001641" w:rsidRDefault="004B762D" w:rsidP="009C3452">
      <w:pPr>
        <w:numPr>
          <w:ilvl w:val="0"/>
          <w:numId w:val="7"/>
        </w:numPr>
        <w:spacing w:after="220"/>
        <w:ind w:left="1134" w:hanging="567"/>
        <w:rPr>
          <w:szCs w:val="22"/>
          <w:lang w:val="fr-FR"/>
        </w:rPr>
      </w:pPr>
      <w:r w:rsidRPr="00001641">
        <w:rPr>
          <w:lang w:val="fr-FR"/>
        </w:rPr>
        <w:t>Entrepreneuriat au sein des communautés autochtones et locales</w:t>
      </w:r>
      <w:r w:rsidR="009C3452" w:rsidRPr="00001641">
        <w:rPr>
          <w:lang w:val="fr-FR"/>
        </w:rPr>
        <w:t> :</w:t>
      </w:r>
      <w:r w:rsidRPr="00001641">
        <w:rPr>
          <w:lang w:val="fr-FR"/>
        </w:rPr>
        <w:t xml:space="preserve"> </w:t>
      </w:r>
      <w:hyperlink r:id="rId12" w:history="1">
        <w:r w:rsidR="002F0FBB" w:rsidRPr="008465D6">
          <w:rPr>
            <w:rStyle w:val="Hyperlink"/>
            <w:lang w:val="fr-FR"/>
          </w:rPr>
          <w:t>https://www.wipo.int/fr/web/traditional-knowledge/entrepreneurship/index</w:t>
        </w:r>
      </w:hyperlink>
      <w:r w:rsidRPr="00001641">
        <w:rPr>
          <w:lang w:val="fr-FR"/>
        </w:rPr>
        <w:t xml:space="preserve">.  Cette </w:t>
      </w:r>
      <w:r w:rsidR="009C3452" w:rsidRPr="00001641">
        <w:rPr>
          <w:lang w:val="fr-FR"/>
        </w:rPr>
        <w:t>page W</w:t>
      </w:r>
      <w:r w:rsidRPr="00001641">
        <w:rPr>
          <w:lang w:val="fr-FR"/>
        </w:rPr>
        <w:t>eb contient des informations sur les ateliers pratiques et les ressources pertinentes de l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OMPI conçues pour aider les peuples autochtones et les communautés locales à utiliser de manière stratégique et efficace les droits de propriété intellectuelle à l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appui de leurs entreprises.</w:t>
      </w:r>
    </w:p>
    <w:p w14:paraId="7BC93BBA" w14:textId="35C5FD22" w:rsidR="009C3452" w:rsidRPr="00001641" w:rsidRDefault="004B762D" w:rsidP="009C3452">
      <w:pPr>
        <w:numPr>
          <w:ilvl w:val="0"/>
          <w:numId w:val="7"/>
        </w:numPr>
        <w:spacing w:after="220"/>
        <w:ind w:left="1134" w:hanging="567"/>
        <w:rPr>
          <w:szCs w:val="22"/>
          <w:lang w:val="fr-FR"/>
        </w:rPr>
      </w:pPr>
      <w:r w:rsidRPr="00001641">
        <w:rPr>
          <w:lang w:val="fr-FR"/>
        </w:rPr>
        <w:t xml:space="preserve">Fixation des savoirs traditionnels et des expressions culturelles traditionnelles </w:t>
      </w:r>
      <w:hyperlink r:id="rId13" w:history="1">
        <w:r w:rsidR="002F0FBB" w:rsidRPr="008465D6">
          <w:rPr>
            <w:rStyle w:val="Hyperlink"/>
            <w:lang w:val="fr-FR"/>
          </w:rPr>
          <w:t>https://www.wipo.int/fr/web/traditional-knowledge/resources/tk-and-tces</w:t>
        </w:r>
      </w:hyperlink>
      <w:r w:rsidRPr="00001641">
        <w:rPr>
          <w:lang w:val="fr-FR"/>
        </w:rPr>
        <w:t xml:space="preserve">.  Cette </w:t>
      </w:r>
      <w:r w:rsidR="009C3452" w:rsidRPr="00001641">
        <w:rPr>
          <w:lang w:val="fr-FR"/>
        </w:rPr>
        <w:t>page W</w:t>
      </w:r>
      <w:r w:rsidRPr="00001641">
        <w:rPr>
          <w:lang w:val="fr-FR"/>
        </w:rPr>
        <w:t>eb rassemble des informations, des outils pratiques et des services d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assistance technique fournis par la Division des savoirs traditionnels de l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OMPI en ce qui concerne la fixation des savoirs traditionnels et des expressions culturelles traditionnelles.</w:t>
      </w:r>
    </w:p>
    <w:p w14:paraId="5177EA92" w14:textId="3EAE1BE9" w:rsidR="009C3452" w:rsidRPr="00001641" w:rsidRDefault="004B762D" w:rsidP="009C3452">
      <w:pPr>
        <w:numPr>
          <w:ilvl w:val="0"/>
          <w:numId w:val="7"/>
        </w:numPr>
        <w:spacing w:after="220"/>
        <w:ind w:left="1134" w:hanging="567"/>
        <w:rPr>
          <w:szCs w:val="22"/>
          <w:lang w:val="fr-FR"/>
        </w:rPr>
      </w:pPr>
      <w:r w:rsidRPr="00001641">
        <w:rPr>
          <w:lang w:val="fr-FR"/>
        </w:rPr>
        <w:t>Gestion des droits de propriété intellectuelle sur les ressources et les données génétiques</w:t>
      </w:r>
      <w:r w:rsidR="009C3452" w:rsidRPr="00001641">
        <w:rPr>
          <w:lang w:val="fr-FR"/>
        </w:rPr>
        <w:t> :</w:t>
      </w:r>
      <w:r w:rsidRPr="00001641">
        <w:rPr>
          <w:lang w:val="fr-FR"/>
        </w:rPr>
        <w:t xml:space="preserve"> </w:t>
      </w:r>
      <w:hyperlink r:id="rId14" w:history="1">
        <w:r w:rsidR="002F0FBB" w:rsidRPr="008465D6">
          <w:rPr>
            <w:rStyle w:val="Hyperlink"/>
            <w:lang w:val="fr-FR"/>
          </w:rPr>
          <w:t>https://www.wipo.int/fr/web/traditional-knowledge/ip-rights-management</w:t>
        </w:r>
      </w:hyperlink>
      <w:r w:rsidRPr="00001641">
        <w:rPr>
          <w:lang w:val="fr-FR"/>
        </w:rPr>
        <w:t xml:space="preserve">.  Cette </w:t>
      </w:r>
      <w:r w:rsidR="009C3452" w:rsidRPr="00001641">
        <w:rPr>
          <w:lang w:val="fr-FR"/>
        </w:rPr>
        <w:t>page W</w:t>
      </w:r>
      <w:r w:rsidRPr="00001641">
        <w:rPr>
          <w:lang w:val="fr-FR"/>
        </w:rPr>
        <w:t>eb comprend un descriptif concis des services d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assistance technique fournis par la Division des savoirs traditionnels de l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 xml:space="preserve">OMPI en ce qui concerne la gestion de la propriété intellectuelle relative aux ressources, </w:t>
      </w:r>
      <w:r w:rsidRPr="00001641">
        <w:rPr>
          <w:lang w:val="fr-FR"/>
        </w:rPr>
        <w:lastRenderedPageBreak/>
        <w:t>informations et données génétiqu</w:t>
      </w:r>
      <w:r w:rsidR="00001641" w:rsidRPr="00001641">
        <w:rPr>
          <w:lang w:val="fr-FR"/>
        </w:rPr>
        <w:t>es.  Ce</w:t>
      </w:r>
      <w:r w:rsidRPr="00001641">
        <w:rPr>
          <w:lang w:val="fr-FR"/>
        </w:rPr>
        <w:t xml:space="preserve">tte </w:t>
      </w:r>
      <w:r w:rsidR="009C3452" w:rsidRPr="00001641">
        <w:rPr>
          <w:lang w:val="fr-FR"/>
        </w:rPr>
        <w:t>page W</w:t>
      </w:r>
      <w:r w:rsidRPr="00001641">
        <w:rPr>
          <w:lang w:val="fr-FR"/>
        </w:rPr>
        <w:t>eb contient également des liens vers des ressources utiles.</w:t>
      </w:r>
    </w:p>
    <w:p w14:paraId="75585371" w14:textId="74E0F3FF" w:rsidR="009C3452" w:rsidRPr="00001641" w:rsidRDefault="004B762D" w:rsidP="009C3452">
      <w:pPr>
        <w:numPr>
          <w:ilvl w:val="0"/>
          <w:numId w:val="7"/>
        </w:numPr>
        <w:spacing w:after="220"/>
        <w:ind w:left="1134" w:hanging="567"/>
        <w:rPr>
          <w:lang w:val="fr-FR"/>
        </w:rPr>
      </w:pPr>
      <w:r w:rsidRPr="00001641">
        <w:rPr>
          <w:lang w:val="fr-FR"/>
        </w:rPr>
        <w:t>Témoignages de personnes issues de peuples autochtones et de communautés locales</w:t>
      </w:r>
      <w:r w:rsidR="009C3452" w:rsidRPr="00001641">
        <w:rPr>
          <w:lang w:val="fr-FR"/>
        </w:rPr>
        <w:t> :</w:t>
      </w:r>
      <w:r w:rsidRPr="00001641">
        <w:rPr>
          <w:lang w:val="fr-FR"/>
        </w:rPr>
        <w:t xml:space="preserve"> </w:t>
      </w:r>
      <w:hyperlink r:id="rId15" w:history="1">
        <w:r w:rsidR="002F0FBB" w:rsidRPr="008465D6">
          <w:rPr>
            <w:rStyle w:val="Hyperlink"/>
            <w:lang w:val="fr-FR"/>
          </w:rPr>
          <w:t>https://www.wipo.int/fr/web/ip-advantage/indigenous-peoples-stories</w:t>
        </w:r>
      </w:hyperlink>
      <w:r w:rsidRPr="00001641">
        <w:rPr>
          <w:lang w:val="fr-FR"/>
        </w:rPr>
        <w:t xml:space="preserve">.  Cette </w:t>
      </w:r>
      <w:r w:rsidR="009C3452" w:rsidRPr="00001641">
        <w:rPr>
          <w:lang w:val="fr-FR"/>
        </w:rPr>
        <w:t>page W</w:t>
      </w:r>
      <w:r w:rsidRPr="00001641">
        <w:rPr>
          <w:lang w:val="fr-FR"/>
        </w:rPr>
        <w:t>eb comprend les témoignages de personnes issues de peuples autochtones et de communautés locales, qui illustrent la manière dont ceux</w:t>
      </w:r>
      <w:r w:rsidR="00001641">
        <w:rPr>
          <w:lang w:val="fr-FR"/>
        </w:rPr>
        <w:noBreakHyphen/>
      </w:r>
      <w:r w:rsidRPr="00001641">
        <w:rPr>
          <w:lang w:val="fr-FR"/>
        </w:rPr>
        <w:t>ci promeuvent et protègent leurs savoirs traditionnels, leurs expressions culturelles traditionnelles et leurs ressources génétiques.</w:t>
      </w:r>
    </w:p>
    <w:p w14:paraId="73E6B3DE" w14:textId="3A954114" w:rsidR="009C3452" w:rsidRPr="00001641" w:rsidRDefault="004B762D" w:rsidP="009C3452">
      <w:pPr>
        <w:numPr>
          <w:ilvl w:val="0"/>
          <w:numId w:val="7"/>
        </w:numPr>
        <w:spacing w:after="220"/>
        <w:ind w:left="1134" w:hanging="567"/>
        <w:rPr>
          <w:lang w:val="fr-FR"/>
        </w:rPr>
      </w:pPr>
      <w:r w:rsidRPr="00001641">
        <w:rPr>
          <w:lang w:val="fr-FR"/>
        </w:rPr>
        <w:t>Référence mondiale sur la propriété intellectuelle relative aux ressources génétiques, aux savoirs traditionnels et aux expressions culturelles traditionnelles</w:t>
      </w:r>
      <w:r w:rsidR="009C3452" w:rsidRPr="00001641">
        <w:rPr>
          <w:lang w:val="fr-FR"/>
        </w:rPr>
        <w:t> :</w:t>
      </w:r>
      <w:r w:rsidRPr="00001641">
        <w:rPr>
          <w:lang w:val="fr-FR"/>
        </w:rPr>
        <w:t xml:space="preserve"> </w:t>
      </w:r>
      <w:hyperlink r:id="rId16" w:history="1">
        <w:r w:rsidR="002F0FBB" w:rsidRPr="008465D6">
          <w:rPr>
            <w:rStyle w:val="Hyperlink"/>
            <w:lang w:val="fr-FR"/>
          </w:rPr>
          <w:t>https://www.wipo.int/fr/web/traditional-knowledge/global-reference</w:t>
        </w:r>
      </w:hyperlink>
      <w:r w:rsidRPr="00001641">
        <w:rPr>
          <w:lang w:val="fr-FR"/>
        </w:rPr>
        <w:t xml:space="preserve">.  Cette </w:t>
      </w:r>
      <w:r w:rsidR="009C3452" w:rsidRPr="00001641">
        <w:rPr>
          <w:lang w:val="fr-FR"/>
        </w:rPr>
        <w:t>page W</w:t>
      </w:r>
      <w:r w:rsidRPr="00001641">
        <w:rPr>
          <w:lang w:val="fr-FR"/>
        </w:rPr>
        <w:t>eb comprend diverses sources d</w:t>
      </w:r>
      <w:r w:rsidR="009C3452" w:rsidRPr="00001641">
        <w:rPr>
          <w:lang w:val="fr-FR"/>
        </w:rPr>
        <w:t>’</w:t>
      </w:r>
      <w:r w:rsidRPr="00001641">
        <w:rPr>
          <w:lang w:val="fr-FR"/>
        </w:rPr>
        <w:t>information sur la propriété intellectuelle relative aux ressources génétiques, aux savoirs traditionnels et aux expressions culturelles traditionnelles.</w:t>
      </w:r>
    </w:p>
    <w:p w14:paraId="1FD1648F" w14:textId="78BC4FAF" w:rsidR="009C3452" w:rsidRPr="00001641" w:rsidRDefault="004B762D" w:rsidP="009C3452">
      <w:pPr>
        <w:pStyle w:val="ListParagraph"/>
        <w:numPr>
          <w:ilvl w:val="0"/>
          <w:numId w:val="9"/>
        </w:numPr>
        <w:spacing w:after="220"/>
        <w:ind w:left="0" w:firstLine="0"/>
        <w:contextualSpacing w:val="0"/>
        <w:rPr>
          <w:szCs w:val="22"/>
        </w:rPr>
      </w:pPr>
      <w:r w:rsidRPr="00001641">
        <w:t xml:space="preserve">Les principales mises à jour effectuées depuis </w:t>
      </w:r>
      <w:r w:rsidR="009C3452" w:rsidRPr="00001641">
        <w:t>janvier 20</w:t>
      </w:r>
      <w:r w:rsidRPr="00001641">
        <w:t>22 figurent ci</w:t>
      </w:r>
      <w:r w:rsidR="00001641">
        <w:noBreakHyphen/>
      </w:r>
      <w:r w:rsidRPr="00001641">
        <w:t>dessous.</w:t>
      </w:r>
    </w:p>
    <w:p w14:paraId="3753D4DF" w14:textId="3D41ECC1" w:rsidR="009C3452" w:rsidRPr="00001641" w:rsidRDefault="004B762D" w:rsidP="009C3452">
      <w:pPr>
        <w:spacing w:after="220"/>
        <w:rPr>
          <w:b/>
          <w:szCs w:val="22"/>
          <w:lang w:val="fr-FR"/>
        </w:rPr>
      </w:pPr>
      <w:r w:rsidRPr="00001641">
        <w:rPr>
          <w:b/>
          <w:lang w:val="fr-FR"/>
        </w:rPr>
        <w:t>L</w:t>
      </w:r>
      <w:r w:rsidR="009C3452" w:rsidRPr="00001641">
        <w:rPr>
          <w:b/>
          <w:lang w:val="fr-FR"/>
        </w:rPr>
        <w:t>’</w:t>
      </w:r>
      <w:r w:rsidRPr="00001641">
        <w:rPr>
          <w:b/>
          <w:lang w:val="fr-FR"/>
        </w:rPr>
        <w:t>IGC</w:t>
      </w:r>
    </w:p>
    <w:p w14:paraId="3718EAA2" w14:textId="79247C41" w:rsidR="009C3452" w:rsidRPr="00001641" w:rsidRDefault="004B762D" w:rsidP="009C3452">
      <w:pPr>
        <w:pStyle w:val="ListParagraph"/>
        <w:numPr>
          <w:ilvl w:val="0"/>
          <w:numId w:val="9"/>
        </w:numPr>
        <w:spacing w:after="220"/>
        <w:ind w:left="0" w:firstLine="0"/>
        <w:contextualSpacing w:val="0"/>
      </w:pPr>
      <w:r w:rsidRPr="00001641">
        <w:t xml:space="preserve">La </w:t>
      </w:r>
      <w:r w:rsidR="009C3452" w:rsidRPr="00001641">
        <w:t>page W</w:t>
      </w:r>
      <w:r w:rsidRPr="00001641">
        <w:t>eb de l</w:t>
      </w:r>
      <w:r w:rsidR="009C3452" w:rsidRPr="00001641">
        <w:t>’</w:t>
      </w:r>
      <w:r w:rsidRPr="00001641">
        <w:t>IGC contient un lien direct vers, notamment, le mandat renouvelé de l</w:t>
      </w:r>
      <w:r w:rsidR="009C3452" w:rsidRPr="00001641">
        <w:t>’</w:t>
      </w:r>
      <w:r w:rsidRPr="00001641">
        <w:t xml:space="preserve">IGC </w:t>
      </w:r>
      <w:r w:rsidR="009C3452" w:rsidRPr="00001641">
        <w:t>pour 2026</w:t>
      </w:r>
      <w:r w:rsidR="00001641">
        <w:noBreakHyphen/>
      </w:r>
      <w:r w:rsidRPr="00001641">
        <w:t>2027</w:t>
      </w:r>
      <w:r w:rsidR="009C3452" w:rsidRPr="00001641">
        <w:t> :</w:t>
      </w:r>
      <w:r w:rsidRPr="00001641">
        <w:t xml:space="preserve"> </w:t>
      </w:r>
      <w:hyperlink r:id="rId17" w:history="1">
        <w:r w:rsidR="002F0FBB" w:rsidRPr="008465D6">
          <w:rPr>
            <w:rStyle w:val="Hyperlink"/>
          </w:rPr>
          <w:t>https://www.wipo.int/documents/d/igc/docs-fr-igc-mandate-2026-2027.pdf</w:t>
        </w:r>
      </w:hyperlink>
      <w:r w:rsidRPr="00001641">
        <w:t>.</w:t>
      </w:r>
    </w:p>
    <w:p w14:paraId="278FB5B6" w14:textId="6191C0FC" w:rsidR="009C3452" w:rsidRPr="00001641" w:rsidRDefault="004B762D" w:rsidP="009C3452">
      <w:pPr>
        <w:pStyle w:val="ListParagraph"/>
        <w:numPr>
          <w:ilvl w:val="0"/>
          <w:numId w:val="9"/>
        </w:numPr>
        <w:spacing w:after="220"/>
        <w:ind w:left="0" w:firstLine="0"/>
        <w:contextualSpacing w:val="0"/>
      </w:pPr>
      <w:r w:rsidRPr="00001641">
        <w:t>La liste complète des documents de l</w:t>
      </w:r>
      <w:r w:rsidR="009C3452" w:rsidRPr="00001641">
        <w:t>’</w:t>
      </w:r>
      <w:r w:rsidRPr="00001641">
        <w:t>IGC relatifs à la cinquante</w:t>
      </w:r>
      <w:r w:rsidR="00001641">
        <w:noBreakHyphen/>
      </w:r>
      <w:r w:rsidRPr="00001641">
        <w:t>deux</w:t>
      </w:r>
      <w:r w:rsidR="009C3452" w:rsidRPr="00001641">
        <w:t>ième session</w:t>
      </w:r>
      <w:r w:rsidRPr="00001641">
        <w:t xml:space="preserve"> de l</w:t>
      </w:r>
      <w:r w:rsidR="009C3452" w:rsidRPr="00001641">
        <w:t>’</w:t>
      </w:r>
      <w:r w:rsidRPr="00001641">
        <w:t>IGC est disponible à l</w:t>
      </w:r>
      <w:r w:rsidR="009C3452" w:rsidRPr="00001641">
        <w:t>’</w:t>
      </w:r>
      <w:r w:rsidRPr="00001641">
        <w:t>adresse</w:t>
      </w:r>
      <w:r w:rsidR="002F0FBB">
        <w:t xml:space="preserve"> </w:t>
      </w:r>
      <w:hyperlink r:id="rId18" w:history="1">
        <w:r w:rsidRPr="00001641">
          <w:rPr>
            <w:rStyle w:val="Hyperlink"/>
          </w:rPr>
          <w:t>https://www.wipo.int/meetings/fr/details.jsp?meeting_id=89810</w:t>
        </w:r>
      </w:hyperlink>
      <w:r w:rsidRPr="00001641">
        <w:t>.</w:t>
      </w:r>
    </w:p>
    <w:p w14:paraId="35CCC4D0" w14:textId="5885FEE0" w:rsidR="009C3452" w:rsidRPr="00001641" w:rsidRDefault="004B762D" w:rsidP="009C3452">
      <w:pPr>
        <w:pStyle w:val="ListParagraph"/>
        <w:spacing w:after="220"/>
        <w:ind w:left="0"/>
        <w:contextualSpacing w:val="0"/>
        <w:rPr>
          <w:szCs w:val="22"/>
        </w:rPr>
      </w:pPr>
      <w:r w:rsidRPr="00001641">
        <w:rPr>
          <w:b/>
        </w:rPr>
        <w:t>Programme de formation, de mentorat et de mise en relation sur la propriété intellectuelle et les savoirs médicaux traditionnels</w:t>
      </w:r>
    </w:p>
    <w:p w14:paraId="34CA5399" w14:textId="7815F873" w:rsidR="009C3452" w:rsidRPr="00001641" w:rsidRDefault="004B762D" w:rsidP="009C3452">
      <w:pPr>
        <w:pStyle w:val="ListParagraph"/>
        <w:numPr>
          <w:ilvl w:val="0"/>
          <w:numId w:val="9"/>
        </w:numPr>
        <w:spacing w:after="220"/>
        <w:ind w:left="0" w:firstLine="0"/>
        <w:contextualSpacing w:val="0"/>
      </w:pPr>
      <w:r w:rsidRPr="00001641">
        <w:t>Le Secrétariat de l</w:t>
      </w:r>
      <w:r w:rsidR="009C3452" w:rsidRPr="00001641">
        <w:t>’</w:t>
      </w:r>
      <w:r w:rsidRPr="00001641">
        <w:t>OMPI a lancé le Programme de formation, de mentorat et de mise en relation de l</w:t>
      </w:r>
      <w:r w:rsidR="009C3452" w:rsidRPr="00001641">
        <w:t>’</w:t>
      </w:r>
      <w:r w:rsidRPr="00001641">
        <w:t xml:space="preserve">OMPI sur la propriété intellectuelle et les savoirs médicaux traditionnels </w:t>
      </w:r>
      <w:r w:rsidR="009C3452" w:rsidRPr="00001641">
        <w:t>en 2023</w:t>
      </w:r>
      <w:r w:rsidRPr="00001641">
        <w:t>, afin de mettre en place et de soutenir un écosystème de l</w:t>
      </w:r>
      <w:r w:rsidR="009C3452" w:rsidRPr="00001641">
        <w:t>’</w:t>
      </w:r>
      <w:r w:rsidRPr="00001641">
        <w:t>innovation fondé sur les savoirs médicaux traditionne</w:t>
      </w:r>
      <w:r w:rsidR="00001641" w:rsidRPr="00001641">
        <w:t>ls.  Le</w:t>
      </w:r>
      <w:r w:rsidRPr="00001641">
        <w:t xml:space="preserve"> programme permet aux participants d</w:t>
      </w:r>
      <w:r w:rsidR="009C3452" w:rsidRPr="00001641">
        <w:t>’</w:t>
      </w:r>
      <w:r w:rsidRPr="00001641">
        <w:t xml:space="preserve">acquérir des connaissances sur les politiques et la législation relatives à la protection des savoirs médicaux traditionnels par la propriété intellectuelle; </w:t>
      </w:r>
      <w:r w:rsidR="00E46BD3" w:rsidRPr="00001641">
        <w:t xml:space="preserve"> </w:t>
      </w:r>
      <w:r w:rsidRPr="00001641">
        <w:t>de bénéficier du soutien d</w:t>
      </w:r>
      <w:r w:rsidR="009C3452" w:rsidRPr="00001641">
        <w:t>’</w:t>
      </w:r>
      <w:r w:rsidRPr="00001641">
        <w:t xml:space="preserve">un mentor et de recevoir des formations sur mesure sur la propriété intellectuelle et son lien avec les savoirs médicaux traditionnels; </w:t>
      </w:r>
      <w:r w:rsidR="00E46BD3" w:rsidRPr="00001641">
        <w:t xml:space="preserve"> </w:t>
      </w:r>
      <w:r w:rsidRPr="00001641">
        <w:t xml:space="preserve">de participer à la mise en relation avec des collaborateurs, des partenaires et des investisseurs potentiels; </w:t>
      </w:r>
      <w:r w:rsidR="00E46BD3" w:rsidRPr="00001641">
        <w:t xml:space="preserve"> </w:t>
      </w:r>
      <w:r w:rsidRPr="00001641">
        <w:t>et de renforcer leur capacité d</w:t>
      </w:r>
      <w:r w:rsidR="009C3452" w:rsidRPr="00001641">
        <w:t>’</w:t>
      </w:r>
      <w:r w:rsidRPr="00001641">
        <w:t>utiliser efficacement le système de la propriété intellectuelle.  Des informations sur ce programme sont disponibles à l</w:t>
      </w:r>
      <w:r w:rsidR="009C3452" w:rsidRPr="00001641">
        <w:t>’</w:t>
      </w:r>
      <w:r w:rsidRPr="00001641">
        <w:t xml:space="preserve">adresse </w:t>
      </w:r>
      <w:hyperlink r:id="rId19" w:history="1">
        <w:r w:rsidR="002F0FBB" w:rsidRPr="008465D6">
          <w:rPr>
            <w:rStyle w:val="Hyperlink"/>
          </w:rPr>
          <w:t>https://www.wipo.int/fr/web/traditional-knowledge/entrepreneurship/tk-medical-knowledge-program</w:t>
        </w:r>
      </w:hyperlink>
      <w:r w:rsidRPr="00001641">
        <w:t>.</w:t>
      </w:r>
    </w:p>
    <w:p w14:paraId="3C2038B2" w14:textId="51EE0F35" w:rsidR="009C3452" w:rsidRPr="00001641" w:rsidRDefault="004B762D" w:rsidP="009C3452">
      <w:pPr>
        <w:spacing w:after="220"/>
        <w:rPr>
          <w:b/>
          <w:szCs w:val="22"/>
          <w:lang w:val="fr-FR"/>
        </w:rPr>
      </w:pPr>
      <w:r w:rsidRPr="00001641">
        <w:rPr>
          <w:b/>
          <w:lang w:val="fr-FR"/>
        </w:rPr>
        <w:t>Les expressions culturelles traditionnelles et la mode</w:t>
      </w:r>
    </w:p>
    <w:p w14:paraId="1F061D80" w14:textId="7AB4FC73" w:rsidR="009C3452" w:rsidRPr="00001641" w:rsidRDefault="004B762D" w:rsidP="009C3452">
      <w:pPr>
        <w:pStyle w:val="ListParagraph"/>
        <w:numPr>
          <w:ilvl w:val="0"/>
          <w:numId w:val="9"/>
        </w:numPr>
        <w:spacing w:after="220"/>
        <w:ind w:left="0" w:firstLine="0"/>
        <w:contextualSpacing w:val="0"/>
      </w:pPr>
      <w:r w:rsidRPr="002F0FBB">
        <w:rPr>
          <w:spacing w:val="-2"/>
        </w:rPr>
        <w:t>Le Secrétariat de l</w:t>
      </w:r>
      <w:r w:rsidR="009C3452" w:rsidRPr="002F0FBB">
        <w:rPr>
          <w:spacing w:val="-2"/>
        </w:rPr>
        <w:t>’</w:t>
      </w:r>
      <w:r w:rsidRPr="002F0FBB">
        <w:rPr>
          <w:spacing w:val="-2"/>
        </w:rPr>
        <w:t>OMPI propose des orientations pour soutenir l</w:t>
      </w:r>
      <w:r w:rsidR="009C3452" w:rsidRPr="002F0FBB">
        <w:rPr>
          <w:spacing w:val="-2"/>
        </w:rPr>
        <w:t>’</w:t>
      </w:r>
      <w:r w:rsidRPr="002F0FBB">
        <w:rPr>
          <w:spacing w:val="-2"/>
        </w:rPr>
        <w:t>utilisation respectueuse et équitable des expressions culturelles traditionnelles des peuples autochtones dans l</w:t>
      </w:r>
      <w:r w:rsidR="009C3452" w:rsidRPr="002F0FBB">
        <w:rPr>
          <w:spacing w:val="-2"/>
        </w:rPr>
        <w:t>’</w:t>
      </w:r>
      <w:r w:rsidRPr="002F0FBB">
        <w:rPr>
          <w:spacing w:val="-2"/>
        </w:rPr>
        <w:t>industrie de la mode.  L</w:t>
      </w:r>
      <w:r w:rsidR="009C3452" w:rsidRPr="002F0FBB">
        <w:rPr>
          <w:spacing w:val="-2"/>
        </w:rPr>
        <w:t>’</w:t>
      </w:r>
      <w:r w:rsidRPr="002F0FBB">
        <w:rPr>
          <w:spacing w:val="-2"/>
        </w:rPr>
        <w:t>OMPI facilite le dialogue entre les peuples autochtones et les entreprises du secteur de la mode, comme en témoigne le premier Dialogue de haut niveau de l</w:t>
      </w:r>
      <w:r w:rsidR="009C3452" w:rsidRPr="002F0FBB">
        <w:rPr>
          <w:spacing w:val="-2"/>
        </w:rPr>
        <w:t>’</w:t>
      </w:r>
      <w:r w:rsidRPr="002F0FBB">
        <w:rPr>
          <w:spacing w:val="-2"/>
        </w:rPr>
        <w:t xml:space="preserve">OMPI sur les peuples autochtones, les expressions culturelles traditionnelles et la mode, tenu en </w:t>
      </w:r>
      <w:r w:rsidR="009C3452" w:rsidRPr="002F0FBB">
        <w:rPr>
          <w:spacing w:val="-2"/>
        </w:rPr>
        <w:t>novembre 20</w:t>
      </w:r>
      <w:r w:rsidRPr="002F0FBB">
        <w:rPr>
          <w:spacing w:val="-2"/>
        </w:rPr>
        <w:t>23.  Pour encourager un engagement éthique, le Secrétariat de l</w:t>
      </w:r>
      <w:r w:rsidR="009C3452" w:rsidRPr="002F0FBB">
        <w:rPr>
          <w:spacing w:val="-2"/>
        </w:rPr>
        <w:t>’</w:t>
      </w:r>
      <w:r w:rsidRPr="002F0FBB">
        <w:rPr>
          <w:spacing w:val="-2"/>
        </w:rPr>
        <w:t>OMPI a également présenté les premières étapes d</w:t>
      </w:r>
      <w:r w:rsidR="009C3452" w:rsidRPr="002F0FBB">
        <w:rPr>
          <w:spacing w:val="-2"/>
        </w:rPr>
        <w:t>’</w:t>
      </w:r>
      <w:r w:rsidRPr="002F0FBB">
        <w:rPr>
          <w:spacing w:val="-2"/>
        </w:rPr>
        <w:t>une réflexion sur l</w:t>
      </w:r>
      <w:r w:rsidR="009C3452" w:rsidRPr="002F0FBB">
        <w:rPr>
          <w:spacing w:val="-2"/>
        </w:rPr>
        <w:t>’</w:t>
      </w:r>
      <w:r w:rsidRPr="002F0FBB">
        <w:rPr>
          <w:spacing w:val="-2"/>
        </w:rPr>
        <w:t>utilisation d</w:t>
      </w:r>
      <w:r w:rsidR="009C3452" w:rsidRPr="002F0FBB">
        <w:rPr>
          <w:spacing w:val="-2"/>
        </w:rPr>
        <w:t>’</w:t>
      </w:r>
      <w:r w:rsidRPr="002F0FBB">
        <w:rPr>
          <w:spacing w:val="-2"/>
        </w:rPr>
        <w:t>éléments d</w:t>
      </w:r>
      <w:r w:rsidR="009C3452" w:rsidRPr="002F0FBB">
        <w:rPr>
          <w:spacing w:val="-2"/>
        </w:rPr>
        <w:t>’</w:t>
      </w:r>
      <w:r w:rsidRPr="002F0FBB">
        <w:rPr>
          <w:spacing w:val="-2"/>
        </w:rPr>
        <w:t>expressions culturelles traditionnelles dans la mode, sous la forme d</w:t>
      </w:r>
      <w:r w:rsidR="009C3452" w:rsidRPr="002F0FBB">
        <w:rPr>
          <w:spacing w:val="-2"/>
        </w:rPr>
        <w:t>’</w:t>
      </w:r>
      <w:r w:rsidRPr="002F0FBB">
        <w:rPr>
          <w:spacing w:val="-2"/>
        </w:rPr>
        <w:t xml:space="preserve">un document élaboré en consultation avec des peuples autochtones, des entreprises du secteur de la mode et des experts en matière de propriété intellectuelle, de </w:t>
      </w:r>
      <w:r w:rsidRPr="002F0FBB">
        <w:rPr>
          <w:spacing w:val="-2"/>
        </w:rPr>
        <w:lastRenderedPageBreak/>
        <w:t>patrimoine culturel et de mo</w:t>
      </w:r>
      <w:r w:rsidR="00001641" w:rsidRPr="002F0FBB">
        <w:rPr>
          <w:spacing w:val="-2"/>
        </w:rPr>
        <w:t>de.  De</w:t>
      </w:r>
      <w:r w:rsidRPr="002F0FBB">
        <w:rPr>
          <w:spacing w:val="-2"/>
        </w:rPr>
        <w:t>s informations à cet égard sont disponibles à l</w:t>
      </w:r>
      <w:r w:rsidR="009C3452" w:rsidRPr="002F0FBB">
        <w:rPr>
          <w:spacing w:val="-2"/>
        </w:rPr>
        <w:t>’</w:t>
      </w:r>
      <w:r w:rsidRPr="002F0FBB">
        <w:rPr>
          <w:spacing w:val="-2"/>
        </w:rPr>
        <w:t xml:space="preserve">adresse </w:t>
      </w:r>
      <w:hyperlink r:id="rId20" w:history="1">
        <w:r w:rsidR="002F0FBB" w:rsidRPr="002F0FBB">
          <w:rPr>
            <w:rStyle w:val="Hyperlink"/>
            <w:spacing w:val="-2"/>
          </w:rPr>
          <w:t xml:space="preserve">https://www.wipo.int/fr/web/traditional </w:t>
        </w:r>
        <w:proofErr w:type="spellStart"/>
        <w:r w:rsidR="002F0FBB" w:rsidRPr="002F0FBB">
          <w:rPr>
            <w:rStyle w:val="Hyperlink"/>
            <w:spacing w:val="-2"/>
          </w:rPr>
          <w:t>knowledge</w:t>
        </w:r>
        <w:proofErr w:type="spellEnd"/>
        <w:r w:rsidR="002F0FBB" w:rsidRPr="002F0FBB">
          <w:rPr>
            <w:rStyle w:val="Hyperlink"/>
            <w:spacing w:val="-2"/>
          </w:rPr>
          <w:t>/fashion</w:t>
        </w:r>
      </w:hyperlink>
      <w:r w:rsidRPr="00001641">
        <w:t>.</w:t>
      </w:r>
    </w:p>
    <w:p w14:paraId="67B4EF8C" w14:textId="4F3AD4E4" w:rsidR="009C3452" w:rsidRPr="00001641" w:rsidRDefault="004B762D" w:rsidP="009C3452">
      <w:pPr>
        <w:spacing w:after="220"/>
        <w:rPr>
          <w:b/>
          <w:szCs w:val="22"/>
          <w:lang w:val="fr-FR"/>
        </w:rPr>
      </w:pPr>
      <w:r w:rsidRPr="00001641">
        <w:rPr>
          <w:b/>
          <w:lang w:val="fr-FR"/>
        </w:rPr>
        <w:t>Nouvelles ressources</w:t>
      </w:r>
    </w:p>
    <w:p w14:paraId="350397BE" w14:textId="6907DD1B" w:rsidR="009C3452" w:rsidRPr="00001641" w:rsidRDefault="004B762D" w:rsidP="009C3452">
      <w:pPr>
        <w:pStyle w:val="ListParagraph"/>
        <w:numPr>
          <w:ilvl w:val="0"/>
          <w:numId w:val="9"/>
        </w:numPr>
        <w:spacing w:after="220"/>
        <w:ind w:left="0" w:firstLine="0"/>
        <w:contextualSpacing w:val="0"/>
      </w:pPr>
      <w:r w:rsidRPr="00001641">
        <w:t>Le Secrétariat de l</w:t>
      </w:r>
      <w:r w:rsidR="009C3452" w:rsidRPr="00001641">
        <w:t>’</w:t>
      </w:r>
      <w:r w:rsidRPr="00001641">
        <w:t>OMPI a élaboré un guide et des conseils pour aider les entrepreneurs issus de peuples autochtones et de communautés locales à s</w:t>
      </w:r>
      <w:r w:rsidR="009C3452" w:rsidRPr="00001641">
        <w:t>’</w:t>
      </w:r>
      <w:r w:rsidRPr="00001641">
        <w:t>orienter dans le système de la propriété intellectuelle et à protéger les produits et services traditionnels</w:t>
      </w:r>
      <w:r w:rsidR="009C3452" w:rsidRPr="00001641">
        <w:t> :</w:t>
      </w:r>
      <w:r w:rsidRPr="00001641">
        <w:t xml:space="preserve"> </w:t>
      </w:r>
      <w:hyperlink r:id="rId21" w:history="1">
        <w:r w:rsidR="002F0FBB" w:rsidRPr="008465D6">
          <w:rPr>
            <w:rStyle w:val="Hyperlink"/>
          </w:rPr>
          <w:t>https://www.wipo.int/fr/web/traditional-knowledge/entrepreneurship/top-tips</w:t>
        </w:r>
      </w:hyperlink>
      <w:r w:rsidRPr="00001641">
        <w:t>.</w:t>
      </w:r>
    </w:p>
    <w:p w14:paraId="054FBC58" w14:textId="1CD86E3E" w:rsidR="009C3452" w:rsidRPr="00001641" w:rsidRDefault="004B762D" w:rsidP="009C3452">
      <w:pPr>
        <w:pStyle w:val="ListParagraph"/>
        <w:numPr>
          <w:ilvl w:val="0"/>
          <w:numId w:val="9"/>
        </w:numPr>
        <w:spacing w:after="220"/>
        <w:ind w:left="0" w:firstLine="0"/>
        <w:contextualSpacing w:val="0"/>
      </w:pPr>
      <w:r w:rsidRPr="00001641">
        <w:t>Le Secrétariat de l</w:t>
      </w:r>
      <w:r w:rsidR="009C3452" w:rsidRPr="00001641">
        <w:t>’</w:t>
      </w:r>
      <w:r w:rsidRPr="00001641">
        <w:t xml:space="preserve">OMPI </w:t>
      </w:r>
      <w:proofErr w:type="gramStart"/>
      <w:r w:rsidRPr="00001641">
        <w:t>donne</w:t>
      </w:r>
      <w:proofErr w:type="gramEnd"/>
      <w:r w:rsidRPr="00001641">
        <w:t xml:space="preserve"> des conseils pratiques aux entrepreneurs issus de peuples autochtones et de communautés locales souhaitant lancer une activité fondée sur les savoirs traditionnels en lig</w:t>
      </w:r>
      <w:r w:rsidR="00001641" w:rsidRPr="00001641">
        <w:t>ne.  Il</w:t>
      </w:r>
      <w:r w:rsidRPr="00001641">
        <w:t xml:space="preserve"> s</w:t>
      </w:r>
      <w:r w:rsidR="009C3452" w:rsidRPr="00001641">
        <w:t>’</w:t>
      </w:r>
      <w:r w:rsidRPr="00001641">
        <w:t>agit de conseils pratiques visant à mettre en ligne des activités fondées sur les savoirs traditionnels, qui indiquent notamment où les entrepreneurs issus de peuples autochtones et de communautés locales peuvent obtenir une aide supplémentaire</w:t>
      </w:r>
      <w:r w:rsidR="009C3452" w:rsidRPr="00001641">
        <w:t> :</w:t>
      </w:r>
      <w:r w:rsidRPr="00001641">
        <w:t xml:space="preserve"> </w:t>
      </w:r>
      <w:hyperlink r:id="rId22" w:history="1">
        <w:r w:rsidRPr="00001641">
          <w:rPr>
            <w:rStyle w:val="Hyperlink"/>
          </w:rPr>
          <w:t>https://www.wipo.int/fr/web/traditional</w:t>
        </w:r>
        <w:r w:rsidR="00001641">
          <w:rPr>
            <w:rStyle w:val="Hyperlink"/>
          </w:rPr>
          <w:noBreakHyphen/>
        </w:r>
        <w:r w:rsidRPr="00001641">
          <w:rPr>
            <w:rStyle w:val="Hyperlink"/>
          </w:rPr>
          <w:t>knowledge/entrepreneurship/digital</w:t>
        </w:r>
        <w:r w:rsidR="002F0FBB">
          <w:rPr>
            <w:rStyle w:val="Hyperlink"/>
          </w:rPr>
          <w:t>-</w:t>
        </w:r>
        <w:r w:rsidRPr="00001641">
          <w:rPr>
            <w:rStyle w:val="Hyperlink"/>
          </w:rPr>
          <w:t>economy</w:t>
        </w:r>
        <w:r w:rsidR="002F0FBB">
          <w:rPr>
            <w:rStyle w:val="Hyperlink"/>
          </w:rPr>
          <w:t>-</w:t>
        </w:r>
        <w:r w:rsidRPr="00001641">
          <w:rPr>
            <w:rStyle w:val="Hyperlink"/>
          </w:rPr>
          <w:t>tips</w:t>
        </w:r>
      </w:hyperlink>
      <w:r w:rsidRPr="00001641">
        <w:t>.</w:t>
      </w:r>
    </w:p>
    <w:p w14:paraId="07480FE3" w14:textId="3A690D10" w:rsidR="009C3452" w:rsidRPr="00001641" w:rsidRDefault="004B762D" w:rsidP="009C3452">
      <w:pPr>
        <w:pStyle w:val="ListParagraph"/>
        <w:numPr>
          <w:ilvl w:val="0"/>
          <w:numId w:val="9"/>
        </w:numPr>
        <w:spacing w:after="220"/>
        <w:ind w:left="0" w:firstLine="0"/>
      </w:pPr>
      <w:r w:rsidRPr="00001641">
        <w:t>L</w:t>
      </w:r>
      <w:r w:rsidR="009C3452" w:rsidRPr="00001641">
        <w:t>’</w:t>
      </w:r>
      <w:r w:rsidRPr="00001641">
        <w:t>OMPI et l</w:t>
      </w:r>
      <w:r w:rsidR="009C3452" w:rsidRPr="00001641">
        <w:t>’</w:t>
      </w:r>
      <w:r w:rsidRPr="00001641">
        <w:t>Administration nationale du droit d</w:t>
      </w:r>
      <w:r w:rsidR="009C3452" w:rsidRPr="00001641">
        <w:t>’</w:t>
      </w:r>
      <w:r w:rsidRPr="00001641">
        <w:t>auteur de Chine ont organisé conjointement un Colloque international sur la propriété intellectuelle et les expressions culturelles traditionnelles du 25 au 27 </w:t>
      </w:r>
      <w:r w:rsidR="009C3452" w:rsidRPr="00001641">
        <w:t>novembre 20</w:t>
      </w:r>
      <w:r w:rsidRPr="00001641">
        <w:t>25.  Les exposés sont disponibles à l</w:t>
      </w:r>
      <w:r w:rsidR="009C3452" w:rsidRPr="00001641">
        <w:t>’</w:t>
      </w:r>
      <w:r w:rsidRPr="00001641">
        <w:t>adresse</w:t>
      </w:r>
      <w:r w:rsidR="00001641">
        <w:t xml:space="preserve"> </w:t>
      </w:r>
      <w:hyperlink r:id="rId23" w:history="1">
        <w:r w:rsidR="00FC04DC" w:rsidRPr="00001641">
          <w:rPr>
            <w:rStyle w:val="Hyperlink"/>
          </w:rPr>
          <w:t>https://www.wipo.int/meetings/fr/details.jsp?meeting_id=90468</w:t>
        </w:r>
      </w:hyperlink>
      <w:r w:rsidRPr="00001641">
        <w:t>.</w:t>
      </w:r>
    </w:p>
    <w:p w14:paraId="322B2A07" w14:textId="40664CB5" w:rsidR="000F5E56" w:rsidRPr="00001641" w:rsidRDefault="004B762D" w:rsidP="009C3452">
      <w:pPr>
        <w:pStyle w:val="Endofdocument-Annex"/>
      </w:pPr>
      <w:r w:rsidRPr="00001641">
        <w:t>[Fin de l</w:t>
      </w:r>
      <w:r w:rsidR="009C3452" w:rsidRPr="00001641">
        <w:t>’</w:t>
      </w:r>
      <w:r w:rsidRPr="00001641">
        <w:t>annexe et du document]</w:t>
      </w:r>
    </w:p>
    <w:sectPr w:rsidR="000F5E56" w:rsidRPr="00001641" w:rsidSect="009C3452">
      <w:headerReference w:type="default" r:id="rId24"/>
      <w:headerReference w:type="first" r:id="rId2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31A2" w14:textId="77777777" w:rsidR="00FF094F" w:rsidRDefault="00FF094F">
      <w:r>
        <w:separator/>
      </w:r>
    </w:p>
  </w:endnote>
  <w:endnote w:type="continuationSeparator" w:id="0">
    <w:p w14:paraId="2CFA9FA5" w14:textId="77777777" w:rsidR="00FF094F" w:rsidRPr="009D30E6" w:rsidRDefault="00FF094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5CB4733" w14:textId="77777777" w:rsidR="00FF094F" w:rsidRPr="009D30E6" w:rsidRDefault="00FF094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F8F4EA6" w14:textId="77777777" w:rsidR="00FF094F" w:rsidRPr="009D30E6" w:rsidRDefault="00FF094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2D5F" w14:textId="77777777" w:rsidR="00FF094F" w:rsidRDefault="00FF094F">
      <w:r>
        <w:separator/>
      </w:r>
    </w:p>
  </w:footnote>
  <w:footnote w:type="continuationSeparator" w:id="0">
    <w:p w14:paraId="13539E53" w14:textId="77777777" w:rsidR="00FF094F" w:rsidRDefault="00FF094F" w:rsidP="007461F1">
      <w:r>
        <w:separator/>
      </w:r>
    </w:p>
    <w:p w14:paraId="09ED84E9" w14:textId="77777777" w:rsidR="00FF094F" w:rsidRPr="009D30E6" w:rsidRDefault="00FF094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0BC6A2C" w14:textId="77777777" w:rsidR="00FF094F" w:rsidRPr="009D30E6" w:rsidRDefault="00FF094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6295141A" w14:textId="542BFB47" w:rsidR="004B762D" w:rsidRPr="00B64FAF" w:rsidRDefault="004B762D" w:rsidP="00B64FAF">
      <w:pPr>
        <w:pStyle w:val="FootnoteText"/>
        <w:tabs>
          <w:tab w:val="left" w:pos="567"/>
        </w:tabs>
        <w:rPr>
          <w:szCs w:val="18"/>
        </w:rPr>
      </w:pPr>
      <w:r w:rsidRPr="00B64FAF">
        <w:rPr>
          <w:rStyle w:val="FootnoteReference"/>
          <w:szCs w:val="18"/>
        </w:rPr>
        <w:footnoteRef/>
      </w:r>
      <w:r w:rsidRPr="00B64FAF">
        <w:rPr>
          <w:szCs w:val="18"/>
        </w:rPr>
        <w:t xml:space="preserve"> </w:t>
      </w:r>
      <w:r w:rsidR="00B64FAF">
        <w:rPr>
          <w:szCs w:val="18"/>
        </w:rPr>
        <w:tab/>
      </w:r>
      <w:r w:rsidRPr="00B64FAF">
        <w:rPr>
          <w:szCs w:val="18"/>
        </w:rPr>
        <w:t>Voir le paragraphe 801.f) du rapport de la vingt</w:t>
      </w:r>
      <w:r w:rsidR="00DC2DB9">
        <w:rPr>
          <w:szCs w:val="18"/>
        </w:rPr>
        <w:t>ième session</w:t>
      </w:r>
      <w:r w:rsidRPr="00B64FAF">
        <w:rPr>
          <w:szCs w:val="18"/>
        </w:rPr>
        <w:t xml:space="preserve"> (WIPO/GRTKF/IC/20/10).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D7DD" w14:textId="77777777" w:rsidR="004B762D" w:rsidRDefault="004B762D" w:rsidP="004B762D">
    <w:pPr>
      <w:pStyle w:val="Header"/>
      <w:tabs>
        <w:tab w:val="clear" w:pos="4536"/>
        <w:tab w:val="clear" w:pos="9072"/>
      </w:tabs>
      <w:jc w:val="right"/>
    </w:pPr>
    <w:r>
      <w:t>WIPO/GRTKF/IC/52/INF/8</w:t>
    </w:r>
  </w:p>
  <w:p w14:paraId="69A71213" w14:textId="77777777" w:rsidR="004B762D" w:rsidRDefault="004B762D" w:rsidP="004B762D">
    <w:pPr>
      <w:pStyle w:val="Header"/>
      <w:tabs>
        <w:tab w:val="clear" w:pos="4536"/>
        <w:tab w:val="clear" w:pos="9072"/>
      </w:tabs>
      <w:spacing w:after="480"/>
      <w:jc w:val="right"/>
    </w:pPr>
    <w:proofErr w:type="gramStart"/>
    <w:r>
      <w:t>page</w:t>
    </w:r>
    <w:proofErr w:type="gramEnd"/>
    <w:r>
      <w:t> 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5C69" w14:textId="07BDA883" w:rsidR="00F16975" w:rsidRDefault="004B762D" w:rsidP="00477D6B">
    <w:pPr>
      <w:jc w:val="right"/>
    </w:pPr>
    <w:bookmarkStart w:id="4" w:name="Code2"/>
    <w:bookmarkEnd w:id="4"/>
    <w:r>
      <w:t>WIPO/GRTKF/IC/52/INF/8</w:t>
    </w:r>
  </w:p>
  <w:p w14:paraId="764A1C06" w14:textId="1186272A" w:rsidR="004F4E31" w:rsidRDefault="004B762D" w:rsidP="004B762D">
    <w:pPr>
      <w:spacing w:after="480"/>
      <w:jc w:val="right"/>
    </w:pPr>
    <w:r>
      <w:t xml:space="preserve">Annexe, </w:t>
    </w:r>
    <w:r w:rsidR="00F16975">
      <w:t>page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4F4E31">
      <w:rPr>
        <w:noProof/>
      </w:rPr>
      <w:t>2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02CB" w14:textId="77777777" w:rsidR="004B762D" w:rsidRDefault="004B762D" w:rsidP="004B762D">
    <w:pPr>
      <w:pStyle w:val="Header"/>
      <w:tabs>
        <w:tab w:val="clear" w:pos="4536"/>
        <w:tab w:val="clear" w:pos="9072"/>
      </w:tabs>
      <w:jc w:val="right"/>
    </w:pPr>
    <w:r>
      <w:t>WIPO/GRTKF/IC/52/INF/8</w:t>
    </w:r>
  </w:p>
  <w:p w14:paraId="3FAD07E7" w14:textId="392EE597" w:rsidR="004B762D" w:rsidRDefault="004B762D" w:rsidP="004B762D">
    <w:pPr>
      <w:pStyle w:val="Header"/>
      <w:tabs>
        <w:tab w:val="clear" w:pos="4536"/>
        <w:tab w:val="clear" w:pos="9072"/>
      </w:tabs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6F70C3"/>
    <w:multiLevelType w:val="hybridMultilevel"/>
    <w:tmpl w:val="8AB02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7E1039"/>
    <w:multiLevelType w:val="hybridMultilevel"/>
    <w:tmpl w:val="011ABDCA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EFE050F"/>
    <w:multiLevelType w:val="hybridMultilevel"/>
    <w:tmpl w:val="FB4E6760"/>
    <w:lvl w:ilvl="0" w:tplc="6C50979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3691099">
    <w:abstractNumId w:val="3"/>
  </w:num>
  <w:num w:numId="2" w16cid:durableId="336272609">
    <w:abstractNumId w:val="7"/>
  </w:num>
  <w:num w:numId="3" w16cid:durableId="1211527854">
    <w:abstractNumId w:val="0"/>
  </w:num>
  <w:num w:numId="4" w16cid:durableId="1364356255">
    <w:abstractNumId w:val="8"/>
  </w:num>
  <w:num w:numId="5" w16cid:durableId="2006779852">
    <w:abstractNumId w:val="1"/>
  </w:num>
  <w:num w:numId="6" w16cid:durableId="1938249482">
    <w:abstractNumId w:val="5"/>
  </w:num>
  <w:num w:numId="7" w16cid:durableId="125247628">
    <w:abstractNumId w:val="4"/>
  </w:num>
  <w:num w:numId="8" w16cid:durableId="58290494">
    <w:abstractNumId w:val="6"/>
  </w:num>
  <w:num w:numId="9" w16cid:durableId="815100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2D"/>
    <w:rsid w:val="00001641"/>
    <w:rsid w:val="00011B7D"/>
    <w:rsid w:val="00075432"/>
    <w:rsid w:val="000F5E56"/>
    <w:rsid w:val="001362EE"/>
    <w:rsid w:val="001832A6"/>
    <w:rsid w:val="00195C6E"/>
    <w:rsid w:val="001B266A"/>
    <w:rsid w:val="001D3D56"/>
    <w:rsid w:val="00240654"/>
    <w:rsid w:val="002634C4"/>
    <w:rsid w:val="00293563"/>
    <w:rsid w:val="002D4918"/>
    <w:rsid w:val="002E4D1A"/>
    <w:rsid w:val="002F0FBB"/>
    <w:rsid w:val="002F16BC"/>
    <w:rsid w:val="002F4E68"/>
    <w:rsid w:val="00315FCA"/>
    <w:rsid w:val="00336D75"/>
    <w:rsid w:val="003845C1"/>
    <w:rsid w:val="003A1BCD"/>
    <w:rsid w:val="004008A2"/>
    <w:rsid w:val="004025DF"/>
    <w:rsid w:val="00423E3E"/>
    <w:rsid w:val="00427AF4"/>
    <w:rsid w:val="004647DA"/>
    <w:rsid w:val="00477D6B"/>
    <w:rsid w:val="004B762D"/>
    <w:rsid w:val="004D6471"/>
    <w:rsid w:val="004F4E31"/>
    <w:rsid w:val="00525B63"/>
    <w:rsid w:val="00537766"/>
    <w:rsid w:val="00547476"/>
    <w:rsid w:val="00561DB8"/>
    <w:rsid w:val="005679A2"/>
    <w:rsid w:val="00567A4C"/>
    <w:rsid w:val="00595CD3"/>
    <w:rsid w:val="005D49F1"/>
    <w:rsid w:val="005E6516"/>
    <w:rsid w:val="00605827"/>
    <w:rsid w:val="00676936"/>
    <w:rsid w:val="006B0DB5"/>
    <w:rsid w:val="006E4243"/>
    <w:rsid w:val="007461F1"/>
    <w:rsid w:val="007D6961"/>
    <w:rsid w:val="007F07CB"/>
    <w:rsid w:val="00810CEF"/>
    <w:rsid w:val="0081208D"/>
    <w:rsid w:val="00842A13"/>
    <w:rsid w:val="008B2CC1"/>
    <w:rsid w:val="008E42AF"/>
    <w:rsid w:val="008E4813"/>
    <w:rsid w:val="008E7930"/>
    <w:rsid w:val="0090731E"/>
    <w:rsid w:val="009571E5"/>
    <w:rsid w:val="00966A22"/>
    <w:rsid w:val="00974CD6"/>
    <w:rsid w:val="009C3452"/>
    <w:rsid w:val="009D30E6"/>
    <w:rsid w:val="009E3F6F"/>
    <w:rsid w:val="009F499F"/>
    <w:rsid w:val="00A02BD3"/>
    <w:rsid w:val="00AA1F20"/>
    <w:rsid w:val="00AC0AE4"/>
    <w:rsid w:val="00AD61DB"/>
    <w:rsid w:val="00B64FAF"/>
    <w:rsid w:val="00B87BCF"/>
    <w:rsid w:val="00BA62D4"/>
    <w:rsid w:val="00BD1266"/>
    <w:rsid w:val="00C40E15"/>
    <w:rsid w:val="00C664C8"/>
    <w:rsid w:val="00C76A79"/>
    <w:rsid w:val="00C925B8"/>
    <w:rsid w:val="00CA15F5"/>
    <w:rsid w:val="00CF0460"/>
    <w:rsid w:val="00D45252"/>
    <w:rsid w:val="00D71B4D"/>
    <w:rsid w:val="00D75C1E"/>
    <w:rsid w:val="00D93D55"/>
    <w:rsid w:val="00DB0349"/>
    <w:rsid w:val="00DC2DB9"/>
    <w:rsid w:val="00DD6A16"/>
    <w:rsid w:val="00E0091A"/>
    <w:rsid w:val="00E203AA"/>
    <w:rsid w:val="00E46BD3"/>
    <w:rsid w:val="00E527A5"/>
    <w:rsid w:val="00E76456"/>
    <w:rsid w:val="00EE71CB"/>
    <w:rsid w:val="00F16975"/>
    <w:rsid w:val="00F66152"/>
    <w:rsid w:val="00FC04DC"/>
    <w:rsid w:val="00FF094F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4D51A9"/>
  <w15:docId w15:val="{B7D54701-CE17-470C-9307-2BF9FD74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4B762D"/>
    <w:pPr>
      <w:spacing w:before="720"/>
      <w:ind w:left="5534"/>
    </w:pPr>
    <w:rPr>
      <w:lang w:val="fr-FR"/>
    </w:rPr>
  </w:style>
  <w:style w:type="paragraph" w:styleId="Header">
    <w:name w:val="header"/>
    <w:aliases w:val="Heading"/>
    <w:basedOn w:val="Normal"/>
    <w:link w:val="HeaderChar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4B762D"/>
    <w:pPr>
      <w:ind w:left="720"/>
      <w:contextualSpacing/>
    </w:pPr>
    <w:rPr>
      <w:lang w:val="fr-FR"/>
    </w:rPr>
  </w:style>
  <w:style w:type="character" w:customStyle="1" w:styleId="FootnoteTextChar">
    <w:name w:val="Footnote Text Char"/>
    <w:aliases w:val="Footnote ak Char"/>
    <w:basedOn w:val="DefaultParagraphFont"/>
    <w:link w:val="FootnoteText"/>
    <w:semiHidden/>
    <w:rsid w:val="004B762D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aliases w:val="Heading Char"/>
    <w:basedOn w:val="DefaultParagraphFont"/>
    <w:link w:val="Header"/>
    <w:semiHidden/>
    <w:rsid w:val="004B762D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semiHidden/>
    <w:rsid w:val="004B762D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val="fr-FR" w:eastAsia="en-US"/>
    </w:rPr>
  </w:style>
  <w:style w:type="character" w:styleId="FootnoteReference">
    <w:name w:val="footnote reference"/>
    <w:semiHidden/>
    <w:rsid w:val="004B762D"/>
    <w:rPr>
      <w:vertAlign w:val="superscript"/>
    </w:rPr>
  </w:style>
  <w:style w:type="character" w:styleId="PageNumber">
    <w:name w:val="page number"/>
    <w:basedOn w:val="DefaultParagraphFont"/>
    <w:rsid w:val="004B762D"/>
  </w:style>
  <w:style w:type="character" w:styleId="Hyperlink">
    <w:name w:val="Hyperlink"/>
    <w:unhideWhenUsed/>
    <w:rsid w:val="004B762D"/>
    <w:rPr>
      <w:color w:val="0000FF"/>
      <w:u w:val="single"/>
    </w:rPr>
  </w:style>
  <w:style w:type="paragraph" w:customStyle="1" w:styleId="DecisionInvitingPara">
    <w:name w:val="Decision Inviting Para."/>
    <w:basedOn w:val="Normal"/>
    <w:rsid w:val="004B762D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wipo.int/fr/web/traditional-knowledge/resources/tk-and-tces" TargetMode="External"/><Relationship Id="rId18" Type="http://schemas.openxmlformats.org/officeDocument/2006/relationships/hyperlink" Target="https://www.wipo.int/meetings/fr/details.jsp?meeting_id=898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wipo.int/fr/web/traditional-knowledge/entrepreneurship/top-tip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wipo.int/fr/web/traditional-knowledge/entrepreneurship/index" TargetMode="External"/><Relationship Id="rId17" Type="http://schemas.openxmlformats.org/officeDocument/2006/relationships/hyperlink" Target="https://www.wipo.int/documents/d/igc/docs-fr-igc-mandate-2026-2027.pdf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wipo.int/fr/web/traditional-knowledge/global-reference" TargetMode="External"/><Relationship Id="rId20" Type="http://schemas.openxmlformats.org/officeDocument/2006/relationships/hyperlink" Target="https://www.wipo.int/fr/web/traditional%20knowledge/fash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fr/web/traditional-knowledge/engagement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wipo.int/fr/web/ip-advantage/indigenous-peoples-stories" TargetMode="External"/><Relationship Id="rId23" Type="http://schemas.openxmlformats.org/officeDocument/2006/relationships/hyperlink" Target="https://www.wipo.int/meetings/fr/details.jsp?meeting_id=90468" TargetMode="External"/><Relationship Id="rId10" Type="http://schemas.openxmlformats.org/officeDocument/2006/relationships/hyperlink" Target="https://www.wipo.int/fr/web/traditional-knowledge/wipo-treaty-on-ip-gr-and-associatedtk" TargetMode="External"/><Relationship Id="rId19" Type="http://schemas.openxmlformats.org/officeDocument/2006/relationships/hyperlink" Target="https://www.wipo.int/fr/web/traditional-knowledge/entrepreneurship/tk-medical-knowledge-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frn/web/igc" TargetMode="External"/><Relationship Id="rId14" Type="http://schemas.openxmlformats.org/officeDocument/2006/relationships/hyperlink" Target="https://www.wipo.int/fr/web/traditional-knowledge/ip-rights-management" TargetMode="External"/><Relationship Id="rId22" Type="http://schemas.openxmlformats.org/officeDocument/2006/relationships/hyperlink" Target="https://www.wipo.int/fr/web/traditional-knowledge/entrepreneurship/digital-economy-tips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WIPO_GRTKF_IC_52 (F)</Template>
  <TotalTime>39</TotalTime>
  <Pages>5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WIPO/GRTKF/IC/52/INF/8</vt:lpstr>
    </vt:vector>
  </TitlesOfParts>
  <Company>WIPO</Company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WIPO/GRTKF/IC/52/INF/8</dc:title>
  <dc:creator>OLIVIÉ Karen</dc:creator>
  <cp:keywords>FOR OFFICIAL USE ONLY</cp:keywords>
  <cp:lastModifiedBy>MORENO PALESTINI Maria del Pilar</cp:lastModifiedBy>
  <cp:revision>6</cp:revision>
  <cp:lastPrinted>2011-05-19T12:37:00Z</cp:lastPrinted>
  <dcterms:created xsi:type="dcterms:W3CDTF">2026-01-16T10:46:00Z</dcterms:created>
  <dcterms:modified xsi:type="dcterms:W3CDTF">2026-01-26T14:35:00Z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2025-10-01T06:02:38Z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edd37320-0d01-42c9-a20d-7383e5541934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