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50159" w14:textId="77777777" w:rsidR="008B2CC1" w:rsidRPr="00D76A98" w:rsidRDefault="00DB0349" w:rsidP="00DB0349">
      <w:pPr>
        <w:spacing w:after="120"/>
        <w:jc w:val="right"/>
        <w:rPr>
          <w:lang w:val="fr-FR"/>
        </w:rPr>
      </w:pPr>
      <w:r w:rsidRPr="00D76A98">
        <w:rPr>
          <w:lang w:val="fr-FR" w:eastAsia="en-US"/>
        </w:rPr>
        <w:drawing>
          <wp:inline distT="0" distB="0" distL="0" distR="0" wp14:anchorId="505984B0" wp14:editId="15442516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D76A98">
        <w:rPr>
          <w:rFonts w:ascii="Arial Black" w:hAnsi="Arial Black"/>
          <w:caps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724F8BF7" wp14:editId="70B96DC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CDE3B51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250196FD" w14:textId="7F3787FA" w:rsidR="008B2CC1" w:rsidRPr="00D76A98" w:rsidRDefault="009571E5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76A98">
        <w:rPr>
          <w:rFonts w:ascii="Arial Black" w:hAnsi="Arial Black"/>
          <w:caps/>
          <w:sz w:val="15"/>
          <w:szCs w:val="15"/>
          <w:lang w:val="fr-FR"/>
        </w:rPr>
        <w:t>WIPO/GRTKF/IC/</w:t>
      </w:r>
      <w:r w:rsidR="008E42AF" w:rsidRPr="00D76A98">
        <w:rPr>
          <w:rFonts w:ascii="Arial Black" w:hAnsi="Arial Black"/>
          <w:caps/>
          <w:sz w:val="15"/>
          <w:szCs w:val="15"/>
          <w:lang w:val="fr-FR"/>
        </w:rPr>
        <w:t>52</w:t>
      </w:r>
      <w:r w:rsidRPr="00D76A98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="008E1525" w:rsidRPr="00D76A98">
        <w:rPr>
          <w:rFonts w:ascii="Arial Black" w:hAnsi="Arial Black"/>
          <w:caps/>
          <w:sz w:val="15"/>
          <w:szCs w:val="15"/>
          <w:lang w:val="fr-FR"/>
        </w:rPr>
        <w:t>6</w:t>
      </w:r>
    </w:p>
    <w:bookmarkEnd w:id="0"/>
    <w:p w14:paraId="490A31DD" w14:textId="024962E3" w:rsidR="008B2CC1" w:rsidRPr="00D76A98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76A98">
        <w:rPr>
          <w:rFonts w:ascii="Arial Black" w:hAnsi="Arial Black"/>
          <w:caps/>
          <w:sz w:val="15"/>
          <w:szCs w:val="15"/>
          <w:lang w:val="fr-FR"/>
        </w:rPr>
        <w:t>Original</w:t>
      </w:r>
      <w:r w:rsidR="00010AA0" w:rsidRPr="00D76A98">
        <w:rPr>
          <w:rFonts w:ascii="Arial Black" w:hAnsi="Arial Black"/>
          <w:caps/>
          <w:sz w:val="15"/>
          <w:szCs w:val="15"/>
          <w:lang w:val="fr-FR"/>
        </w:rPr>
        <w:t> :</w:t>
      </w:r>
      <w:r w:rsidRPr="00D76A9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8E1525" w:rsidRPr="00D76A98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2727CFD7" w14:textId="00656693" w:rsidR="008B2CC1" w:rsidRPr="00D76A98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D76A98">
        <w:rPr>
          <w:rFonts w:ascii="Arial Black" w:hAnsi="Arial Black"/>
          <w:caps/>
          <w:sz w:val="15"/>
          <w:szCs w:val="15"/>
          <w:lang w:val="fr-FR"/>
        </w:rPr>
        <w:t>date</w:t>
      </w:r>
      <w:r w:rsidR="00010AA0" w:rsidRPr="00D76A98">
        <w:rPr>
          <w:rFonts w:ascii="Arial Black" w:hAnsi="Arial Black"/>
          <w:caps/>
          <w:sz w:val="15"/>
          <w:szCs w:val="15"/>
          <w:lang w:val="fr-FR"/>
        </w:rPr>
        <w:t> :</w:t>
      </w:r>
      <w:r w:rsidRPr="00D76A98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8E1525" w:rsidRPr="00D76A98">
        <w:rPr>
          <w:rFonts w:ascii="Arial Black" w:hAnsi="Arial Black"/>
          <w:caps/>
          <w:sz w:val="15"/>
          <w:szCs w:val="15"/>
          <w:lang w:val="fr-FR"/>
        </w:rPr>
        <w:t>10 février 2026</w:t>
      </w:r>
    </w:p>
    <w:bookmarkEnd w:id="2"/>
    <w:p w14:paraId="3D5D3BCE" w14:textId="5179B502" w:rsidR="00C40E15" w:rsidRPr="00D76A98" w:rsidRDefault="008E4813" w:rsidP="008E42AF">
      <w:pPr>
        <w:spacing w:after="480"/>
        <w:rPr>
          <w:b/>
          <w:sz w:val="28"/>
          <w:szCs w:val="28"/>
          <w:lang w:val="fr-FR"/>
        </w:rPr>
      </w:pPr>
      <w:r w:rsidRPr="00D76A98">
        <w:rPr>
          <w:b/>
          <w:sz w:val="28"/>
          <w:szCs w:val="28"/>
          <w:lang w:val="fr-FR"/>
        </w:rPr>
        <w:t xml:space="preserve">Comité </w:t>
      </w:r>
      <w:proofErr w:type="spellStart"/>
      <w:r w:rsidRPr="00D76A98">
        <w:rPr>
          <w:b/>
          <w:sz w:val="28"/>
          <w:szCs w:val="28"/>
          <w:lang w:val="fr-FR"/>
        </w:rPr>
        <w:t>intergouvernemental</w:t>
      </w:r>
      <w:proofErr w:type="spellEnd"/>
      <w:r w:rsidRPr="00D76A98">
        <w:rPr>
          <w:b/>
          <w:sz w:val="28"/>
          <w:szCs w:val="28"/>
          <w:lang w:val="fr-FR"/>
        </w:rPr>
        <w:t xml:space="preserve"> de la propriété intellectuelle relative aux</w:t>
      </w:r>
      <w:r w:rsidR="008E42AF" w:rsidRPr="00D76A98">
        <w:rPr>
          <w:b/>
          <w:sz w:val="28"/>
          <w:szCs w:val="28"/>
          <w:lang w:val="fr-FR"/>
        </w:rPr>
        <w:t> </w:t>
      </w:r>
      <w:r w:rsidRPr="00D76A98">
        <w:rPr>
          <w:b/>
          <w:sz w:val="28"/>
          <w:szCs w:val="28"/>
          <w:lang w:val="fr-FR"/>
        </w:rPr>
        <w:t>ressources génétiques, aux savoirs traditionnels et au folklore</w:t>
      </w:r>
    </w:p>
    <w:p w14:paraId="3CCC195D" w14:textId="3D635751" w:rsidR="008B2CC1" w:rsidRPr="00D76A98" w:rsidRDefault="008E42AF" w:rsidP="008B2CC1">
      <w:pPr>
        <w:rPr>
          <w:b/>
          <w:sz w:val="24"/>
          <w:szCs w:val="24"/>
          <w:lang w:val="fr-FR"/>
        </w:rPr>
      </w:pPr>
      <w:r w:rsidRPr="00D76A98">
        <w:rPr>
          <w:b/>
          <w:sz w:val="24"/>
          <w:szCs w:val="24"/>
          <w:lang w:val="fr-FR"/>
        </w:rPr>
        <w:t>Cinquante</w:t>
      </w:r>
      <w:r w:rsidR="00D76A98">
        <w:rPr>
          <w:b/>
          <w:sz w:val="24"/>
          <w:szCs w:val="24"/>
          <w:lang w:val="fr-FR"/>
        </w:rPr>
        <w:noBreakHyphen/>
      </w:r>
      <w:r w:rsidRPr="00D76A98">
        <w:rPr>
          <w:b/>
          <w:sz w:val="24"/>
          <w:szCs w:val="24"/>
          <w:lang w:val="fr-FR"/>
        </w:rPr>
        <w:t>deux</w:t>
      </w:r>
      <w:r w:rsidR="00010AA0" w:rsidRPr="00D76A98">
        <w:rPr>
          <w:b/>
          <w:sz w:val="24"/>
          <w:szCs w:val="24"/>
          <w:lang w:val="fr-FR"/>
        </w:rPr>
        <w:t>ième session</w:t>
      </w:r>
    </w:p>
    <w:p w14:paraId="7CF5E238" w14:textId="351CF46F" w:rsidR="008B2CC1" w:rsidRPr="00D76A98" w:rsidRDefault="008E4813" w:rsidP="00DB0349">
      <w:pPr>
        <w:spacing w:after="720"/>
        <w:rPr>
          <w:b/>
          <w:sz w:val="24"/>
          <w:szCs w:val="24"/>
          <w:lang w:val="fr-FR"/>
        </w:rPr>
      </w:pPr>
      <w:r w:rsidRPr="00D76A98">
        <w:rPr>
          <w:b/>
          <w:sz w:val="24"/>
          <w:szCs w:val="24"/>
          <w:lang w:val="fr-FR"/>
        </w:rPr>
        <w:t xml:space="preserve">Genève, </w:t>
      </w:r>
      <w:r w:rsidR="008E42AF" w:rsidRPr="00D76A98">
        <w:rPr>
          <w:b/>
          <w:sz w:val="24"/>
          <w:szCs w:val="24"/>
          <w:lang w:val="fr-FR"/>
        </w:rPr>
        <w:t>4</w:t>
      </w:r>
      <w:r w:rsidRPr="00D76A98">
        <w:rPr>
          <w:b/>
          <w:sz w:val="24"/>
          <w:szCs w:val="24"/>
          <w:lang w:val="fr-FR"/>
        </w:rPr>
        <w:t xml:space="preserve"> – </w:t>
      </w:r>
      <w:r w:rsidR="008E42AF" w:rsidRPr="00D76A98">
        <w:rPr>
          <w:b/>
          <w:sz w:val="24"/>
          <w:szCs w:val="24"/>
          <w:lang w:val="fr-FR"/>
        </w:rPr>
        <w:t>1</w:t>
      </w:r>
      <w:r w:rsidR="00010AA0" w:rsidRPr="00D76A98">
        <w:rPr>
          <w:b/>
          <w:sz w:val="24"/>
          <w:szCs w:val="24"/>
          <w:lang w:val="fr-FR"/>
        </w:rPr>
        <w:t>3 mars 20</w:t>
      </w:r>
      <w:r w:rsidRPr="00D76A98">
        <w:rPr>
          <w:b/>
          <w:sz w:val="24"/>
          <w:szCs w:val="24"/>
          <w:lang w:val="fr-FR"/>
        </w:rPr>
        <w:t>2</w:t>
      </w:r>
      <w:r w:rsidR="008E42AF" w:rsidRPr="00D76A98">
        <w:rPr>
          <w:b/>
          <w:sz w:val="24"/>
          <w:szCs w:val="24"/>
          <w:lang w:val="fr-FR"/>
        </w:rPr>
        <w:t>6</w:t>
      </w:r>
    </w:p>
    <w:p w14:paraId="673303C8" w14:textId="56232F8C" w:rsidR="008E1525" w:rsidRPr="00D76A98" w:rsidRDefault="00D76A98" w:rsidP="00D76A98">
      <w:pPr>
        <w:spacing w:after="360"/>
        <w:rPr>
          <w:caps/>
          <w:sz w:val="24"/>
          <w:lang w:val="fr-FR"/>
        </w:rPr>
      </w:pPr>
      <w:bookmarkStart w:id="3" w:name="TitleOfDoc"/>
      <w:r w:rsidRPr="00D76A98">
        <w:rPr>
          <w:caps/>
          <w:sz w:val="24"/>
          <w:lang w:val="fr-FR"/>
        </w:rPr>
        <w:t>Proposition de la délégation des États</w:t>
      </w:r>
      <w:r w:rsidRPr="00D76A98">
        <w:rPr>
          <w:caps/>
          <w:sz w:val="24"/>
          <w:lang w:val="fr-FR"/>
        </w:rPr>
        <w:noBreakHyphen/>
        <w:t xml:space="preserve">Unis d’Amérique relative à un questionnaire sur l’utilisation d’une protection </w:t>
      </w:r>
      <w:r w:rsidRPr="00D76A98">
        <w:rPr>
          <w:i/>
          <w:caps/>
          <w:sz w:val="24"/>
          <w:lang w:val="fr-FR"/>
        </w:rPr>
        <w:t xml:space="preserve">sui generis </w:t>
      </w:r>
      <w:r w:rsidRPr="00D76A98">
        <w:rPr>
          <w:caps/>
          <w:sz w:val="24"/>
          <w:lang w:val="fr-FR"/>
        </w:rPr>
        <w:t>pour les savoirs traditionnels et les expressions culturelles traditionnelles, rapport de synthèse des réponses reçues et présentation des résultats</w:t>
      </w:r>
    </w:p>
    <w:p w14:paraId="2B24F303" w14:textId="77777777" w:rsidR="008E1525" w:rsidRPr="00D76A98" w:rsidRDefault="008E1525" w:rsidP="008E1525">
      <w:pPr>
        <w:spacing w:after="1040"/>
        <w:rPr>
          <w:i/>
          <w:lang w:val="fr-FR"/>
        </w:rPr>
      </w:pPr>
      <w:bookmarkStart w:id="4" w:name="Prepared"/>
      <w:bookmarkEnd w:id="3"/>
      <w:bookmarkEnd w:id="4"/>
      <w:r w:rsidRPr="00D76A98">
        <w:rPr>
          <w:i/>
          <w:lang w:val="fr-FR"/>
        </w:rPr>
        <w:t>Document établi par le Secrétariat</w:t>
      </w:r>
    </w:p>
    <w:p w14:paraId="438B8E62" w14:textId="652087E8" w:rsidR="008E1525" w:rsidRPr="00D76A98" w:rsidRDefault="008E1525" w:rsidP="00D76A98">
      <w:pPr>
        <w:pStyle w:val="ONUMFS"/>
        <w:rPr>
          <w:lang w:val="fr-FR"/>
        </w:rPr>
      </w:pPr>
      <w:r w:rsidRPr="00D76A98">
        <w:rPr>
          <w:lang w:val="fr-FR"/>
        </w:rPr>
        <w:t>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annexe du présent document contient une proposition soumise par la délégation des États</w:t>
      </w:r>
      <w:r w:rsidR="00D76A98">
        <w:rPr>
          <w:lang w:val="fr-FR"/>
        </w:rPr>
        <w:noBreakHyphen/>
      </w:r>
      <w:r w:rsidRPr="00D76A98">
        <w:rPr>
          <w:lang w:val="fr-FR"/>
        </w:rPr>
        <w:t>Unis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Amérique relative à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élaboration et à la diffusion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un questionnaire sur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utilisation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 xml:space="preserve">une protection </w:t>
      </w:r>
      <w:r w:rsidRPr="00D76A98">
        <w:rPr>
          <w:i/>
          <w:lang w:val="fr-FR"/>
        </w:rPr>
        <w:t>sui</w:t>
      </w:r>
      <w:r w:rsidR="00244107" w:rsidRPr="00D76A98">
        <w:rPr>
          <w:i/>
          <w:lang w:val="fr-FR"/>
        </w:rPr>
        <w:t> </w:t>
      </w:r>
      <w:r w:rsidRPr="00D76A98">
        <w:rPr>
          <w:i/>
          <w:lang w:val="fr-FR"/>
        </w:rPr>
        <w:t xml:space="preserve">generis </w:t>
      </w:r>
      <w:r w:rsidRPr="00D76A98">
        <w:rPr>
          <w:lang w:val="fr-FR"/>
        </w:rPr>
        <w:t>pour les savoirs traditionnels et les expressions culturelles traditionnelles, à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établissement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un rapport de synthèse des réponses reçues et à la présentation des résultats de celui</w:t>
      </w:r>
      <w:r w:rsidR="00D76A98">
        <w:rPr>
          <w:lang w:val="fr-FR"/>
        </w:rPr>
        <w:noBreakHyphen/>
      </w:r>
      <w:r w:rsidRPr="00D76A98">
        <w:rPr>
          <w:lang w:val="fr-FR"/>
        </w:rPr>
        <w:t>ci.</w:t>
      </w:r>
    </w:p>
    <w:p w14:paraId="0ED9CCD6" w14:textId="69CB04BC" w:rsidR="008E1525" w:rsidRPr="00D76A98" w:rsidRDefault="008E1525" w:rsidP="00D76A98">
      <w:pPr>
        <w:pStyle w:val="ONUMFS"/>
        <w:ind w:left="5533"/>
        <w:rPr>
          <w:i/>
        </w:rPr>
      </w:pPr>
      <w:r w:rsidRPr="00D76A98">
        <w:rPr>
          <w:i/>
        </w:rPr>
        <w:t>Le comité est invité à examiner la proposition faisant l</w:t>
      </w:r>
      <w:r w:rsidR="00010AA0" w:rsidRPr="00D76A98">
        <w:rPr>
          <w:i/>
        </w:rPr>
        <w:t>’</w:t>
      </w:r>
      <w:r w:rsidRPr="00D76A98">
        <w:rPr>
          <w:i/>
        </w:rPr>
        <w:t>objet de l</w:t>
      </w:r>
      <w:r w:rsidR="00010AA0" w:rsidRPr="00D76A98">
        <w:rPr>
          <w:i/>
        </w:rPr>
        <w:t>’</w:t>
      </w:r>
      <w:r w:rsidRPr="00D76A98">
        <w:rPr>
          <w:i/>
        </w:rPr>
        <w:t>annexe du présent document.</w:t>
      </w:r>
    </w:p>
    <w:p w14:paraId="5493E03E" w14:textId="465AB5A6" w:rsidR="008E1525" w:rsidRPr="00D76A98" w:rsidRDefault="008E1525" w:rsidP="00D76A98">
      <w:pPr>
        <w:pStyle w:val="Endofdocument-Annex"/>
        <w:sectPr w:rsidR="008E1525" w:rsidRPr="00D76A98" w:rsidSect="008E1525">
          <w:headerReference w:type="even" r:id="rId8"/>
          <w:headerReference w:type="firs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docGrid w:linePitch="299"/>
        </w:sectPr>
      </w:pPr>
      <w:r w:rsidRPr="00D76A98">
        <w:t>[L</w:t>
      </w:r>
      <w:r w:rsidR="00010AA0" w:rsidRPr="00D76A98">
        <w:t>’</w:t>
      </w:r>
      <w:r w:rsidRPr="00D76A98">
        <w:t>annexe suit]</w:t>
      </w:r>
    </w:p>
    <w:p w14:paraId="1159F295" w14:textId="77777777" w:rsidR="00D76A98" w:rsidRDefault="008E1525" w:rsidP="00D76A98">
      <w:pPr>
        <w:widowControl w:val="0"/>
        <w:autoSpaceDE w:val="0"/>
        <w:autoSpaceDN w:val="0"/>
        <w:spacing w:after="220"/>
        <w:ind w:right="500"/>
        <w:jc w:val="center"/>
        <w:rPr>
          <w:rFonts w:eastAsia="Times New Roman"/>
          <w:bCs/>
          <w:color w:val="2A2D2F"/>
          <w:szCs w:val="22"/>
          <w:lang w:val="fr-FR"/>
        </w:rPr>
      </w:pPr>
      <w:r w:rsidRPr="00D76A98">
        <w:rPr>
          <w:color w:val="2A2D2F"/>
          <w:lang w:val="fr-FR"/>
        </w:rPr>
        <w:lastRenderedPageBreak/>
        <w:t>RÉSUMÉ DE LA PROPOSITION</w:t>
      </w:r>
    </w:p>
    <w:p w14:paraId="3DA10AF5" w14:textId="77777777" w:rsidR="00D76A98" w:rsidRPr="00D76A98" w:rsidRDefault="008E1525" w:rsidP="00D76A98">
      <w:pPr>
        <w:spacing w:after="220"/>
        <w:rPr>
          <w:spacing w:val="-2"/>
          <w:lang w:val="fr-FR"/>
        </w:rPr>
      </w:pPr>
      <w:r w:rsidRPr="00D76A98">
        <w:rPr>
          <w:spacing w:val="-2"/>
          <w:lang w:val="fr-FR"/>
        </w:rPr>
        <w:fldChar w:fldCharType="begin"/>
      </w:r>
      <w:r w:rsidRPr="00D76A98">
        <w:rPr>
          <w:spacing w:val="-2"/>
          <w:lang w:val="fr-FR"/>
        </w:rPr>
        <w:instrText xml:space="preserve"> AUTONUM  </w:instrText>
      </w:r>
      <w:r w:rsidRPr="00D76A98">
        <w:rPr>
          <w:spacing w:val="-2"/>
          <w:lang w:val="fr-FR"/>
        </w:rPr>
        <w:fldChar w:fldCharType="end"/>
      </w:r>
      <w:r w:rsidRPr="00D76A98">
        <w:rPr>
          <w:spacing w:val="-2"/>
          <w:lang w:val="fr-FR"/>
        </w:rPr>
        <w:tab/>
        <w:t>Les États</w:t>
      </w:r>
      <w:r w:rsidR="00D76A98" w:rsidRPr="00D76A98">
        <w:rPr>
          <w:spacing w:val="-2"/>
          <w:lang w:val="fr-FR"/>
        </w:rPr>
        <w:noBreakHyphen/>
      </w:r>
      <w:r w:rsidRPr="00D76A98">
        <w:rPr>
          <w:spacing w:val="-2"/>
          <w:lang w:val="fr-FR"/>
        </w:rPr>
        <w:t>Unis d</w:t>
      </w:r>
      <w:r w:rsidR="00010AA0" w:rsidRPr="00D76A98">
        <w:rPr>
          <w:spacing w:val="-2"/>
          <w:lang w:val="fr-FR"/>
        </w:rPr>
        <w:t>’</w:t>
      </w:r>
      <w:r w:rsidRPr="00D76A98">
        <w:rPr>
          <w:spacing w:val="-2"/>
          <w:lang w:val="fr-FR"/>
        </w:rPr>
        <w:t>Amérique proposent que le Secrétariat de l</w:t>
      </w:r>
      <w:r w:rsidR="00010AA0" w:rsidRPr="00D76A98">
        <w:rPr>
          <w:spacing w:val="-2"/>
          <w:lang w:val="fr-FR"/>
        </w:rPr>
        <w:t>’</w:t>
      </w:r>
      <w:r w:rsidRPr="00D76A98">
        <w:rPr>
          <w:spacing w:val="-2"/>
          <w:lang w:val="fr-FR"/>
        </w:rPr>
        <w:t>OMPI établisse et diffuse un questionnaire destiné aux États membres de l</w:t>
      </w:r>
      <w:r w:rsidR="00010AA0" w:rsidRPr="00D76A98">
        <w:rPr>
          <w:spacing w:val="-2"/>
          <w:lang w:val="fr-FR"/>
        </w:rPr>
        <w:t>’</w:t>
      </w:r>
      <w:r w:rsidRPr="00D76A98">
        <w:rPr>
          <w:spacing w:val="-2"/>
          <w:lang w:val="fr-FR"/>
        </w:rPr>
        <w:t>OMPI afin d</w:t>
      </w:r>
      <w:r w:rsidR="00010AA0" w:rsidRPr="00D76A98">
        <w:rPr>
          <w:spacing w:val="-2"/>
          <w:lang w:val="fr-FR"/>
        </w:rPr>
        <w:t>’</w:t>
      </w:r>
      <w:r w:rsidRPr="00D76A98">
        <w:rPr>
          <w:spacing w:val="-2"/>
          <w:lang w:val="fr-FR"/>
        </w:rPr>
        <w:t>évaluer l</w:t>
      </w:r>
      <w:r w:rsidR="00010AA0" w:rsidRPr="00D76A98">
        <w:rPr>
          <w:spacing w:val="-2"/>
          <w:lang w:val="fr-FR"/>
        </w:rPr>
        <w:t>’</w:t>
      </w:r>
      <w:r w:rsidRPr="00D76A98">
        <w:rPr>
          <w:spacing w:val="-2"/>
          <w:lang w:val="fr-FR"/>
        </w:rPr>
        <w:t>utilisation d</w:t>
      </w:r>
      <w:r w:rsidR="00010AA0" w:rsidRPr="00D76A98">
        <w:rPr>
          <w:spacing w:val="-2"/>
          <w:lang w:val="fr-FR"/>
        </w:rPr>
        <w:t>’</w:t>
      </w:r>
      <w:r w:rsidRPr="00D76A98">
        <w:rPr>
          <w:spacing w:val="-2"/>
          <w:lang w:val="fr-FR"/>
        </w:rPr>
        <w:t xml:space="preserve">une protection </w:t>
      </w:r>
      <w:r w:rsidRPr="00D76A98">
        <w:rPr>
          <w:i/>
          <w:spacing w:val="-2"/>
          <w:lang w:val="fr-FR"/>
        </w:rPr>
        <w:t>sui</w:t>
      </w:r>
      <w:r w:rsidR="00244107" w:rsidRPr="00D76A98">
        <w:rPr>
          <w:i/>
          <w:spacing w:val="-2"/>
          <w:lang w:val="fr-FR"/>
        </w:rPr>
        <w:t> </w:t>
      </w:r>
      <w:r w:rsidRPr="00D76A98">
        <w:rPr>
          <w:i/>
          <w:spacing w:val="-2"/>
          <w:lang w:val="fr-FR"/>
        </w:rPr>
        <w:t>generis</w:t>
      </w:r>
      <w:r w:rsidRPr="00D76A98">
        <w:rPr>
          <w:spacing w:val="-2"/>
          <w:lang w:val="fr-FR"/>
        </w:rPr>
        <w:t xml:space="preserve"> disponible au niveau national en ce qui concerne les savoirs traditionnels et les expressions culturelles traditionnell</w:t>
      </w:r>
      <w:r w:rsidR="00D76A98" w:rsidRPr="00D76A98">
        <w:rPr>
          <w:spacing w:val="-2"/>
          <w:lang w:val="fr-FR"/>
        </w:rPr>
        <w:t>es.  La</w:t>
      </w:r>
      <w:r w:rsidRPr="00D76A98">
        <w:rPr>
          <w:spacing w:val="-2"/>
          <w:lang w:val="fr-FR"/>
        </w:rPr>
        <w:t xml:space="preserve"> proposition tend également à demander au Secrétariat de l</w:t>
      </w:r>
      <w:r w:rsidR="00010AA0" w:rsidRPr="00D76A98">
        <w:rPr>
          <w:spacing w:val="-2"/>
          <w:lang w:val="fr-FR"/>
        </w:rPr>
        <w:t>’</w:t>
      </w:r>
      <w:r w:rsidRPr="00D76A98">
        <w:rPr>
          <w:spacing w:val="-2"/>
          <w:lang w:val="fr-FR"/>
        </w:rPr>
        <w:t>OMPI d</w:t>
      </w:r>
      <w:r w:rsidR="00010AA0" w:rsidRPr="00D76A98">
        <w:rPr>
          <w:spacing w:val="-2"/>
          <w:lang w:val="fr-FR"/>
        </w:rPr>
        <w:t>’</w:t>
      </w:r>
      <w:r w:rsidRPr="00D76A98">
        <w:rPr>
          <w:spacing w:val="-2"/>
          <w:lang w:val="fr-FR"/>
        </w:rPr>
        <w:t>établir un rapport de synthèse des réponses au questionnaire et de présenter les résultats du questionnaire lors d</w:t>
      </w:r>
      <w:r w:rsidR="00010AA0" w:rsidRPr="00D76A98">
        <w:rPr>
          <w:spacing w:val="-2"/>
          <w:lang w:val="fr-FR"/>
        </w:rPr>
        <w:t>’</w:t>
      </w:r>
      <w:r w:rsidRPr="00D76A98">
        <w:rPr>
          <w:spacing w:val="-2"/>
          <w:lang w:val="fr-FR"/>
        </w:rPr>
        <w:t>une réunion du comi</w:t>
      </w:r>
      <w:r w:rsidR="00D76A98" w:rsidRPr="00D76A98">
        <w:rPr>
          <w:spacing w:val="-2"/>
          <w:lang w:val="fr-FR"/>
        </w:rPr>
        <w:t>té.  Le</w:t>
      </w:r>
      <w:r w:rsidRPr="00D76A98">
        <w:rPr>
          <w:spacing w:val="-2"/>
          <w:lang w:val="fr-FR"/>
        </w:rPr>
        <w:t xml:space="preserve"> rapport et la présentation permettront d</w:t>
      </w:r>
      <w:r w:rsidR="00010AA0" w:rsidRPr="00D76A98">
        <w:rPr>
          <w:spacing w:val="-2"/>
          <w:lang w:val="fr-FR"/>
        </w:rPr>
        <w:t>’</w:t>
      </w:r>
      <w:r w:rsidRPr="00D76A98">
        <w:rPr>
          <w:spacing w:val="-2"/>
          <w:lang w:val="fr-FR"/>
        </w:rPr>
        <w:t xml:space="preserve">établir une synthèse de la manière dont ces systèmes </w:t>
      </w:r>
      <w:r w:rsidRPr="00D76A98">
        <w:rPr>
          <w:i/>
          <w:spacing w:val="-2"/>
          <w:lang w:val="fr-FR"/>
        </w:rPr>
        <w:t>sui</w:t>
      </w:r>
      <w:r w:rsidR="00244107" w:rsidRPr="00D76A98">
        <w:rPr>
          <w:i/>
          <w:spacing w:val="-2"/>
          <w:lang w:val="fr-FR"/>
        </w:rPr>
        <w:t> </w:t>
      </w:r>
      <w:r w:rsidRPr="00D76A98">
        <w:rPr>
          <w:i/>
          <w:spacing w:val="-2"/>
          <w:lang w:val="fr-FR"/>
        </w:rPr>
        <w:t>generis</w:t>
      </w:r>
      <w:r w:rsidRPr="00D76A98">
        <w:rPr>
          <w:spacing w:val="-2"/>
          <w:lang w:val="fr-FR"/>
        </w:rPr>
        <w:t xml:space="preserve"> fonctionnent dans la pratique.</w:t>
      </w:r>
    </w:p>
    <w:p w14:paraId="14EB7F72" w14:textId="77777777" w:rsidR="00D76A98" w:rsidRDefault="008E1525" w:rsidP="00D76A98">
      <w:pPr>
        <w:spacing w:after="220" w:line="268" w:lineRule="auto"/>
        <w:rPr>
          <w:rFonts w:eastAsia="Times New Roman"/>
          <w:bCs/>
          <w:u w:val="single"/>
          <w:lang w:val="fr-FR"/>
        </w:rPr>
      </w:pPr>
      <w:r w:rsidRPr="00D76A98">
        <w:rPr>
          <w:u w:val="single"/>
          <w:lang w:val="fr-FR"/>
        </w:rPr>
        <w:t>Contexte</w:t>
      </w:r>
    </w:p>
    <w:p w14:paraId="6D9C2181" w14:textId="77777777" w:rsidR="00D76A98" w:rsidRDefault="008E1525" w:rsidP="00D76A98">
      <w:pPr>
        <w:spacing w:after="220"/>
        <w:rPr>
          <w:lang w:val="fr-FR"/>
        </w:rPr>
      </w:pPr>
      <w:r w:rsidRPr="00D76A98">
        <w:rPr>
          <w:lang w:val="fr-FR"/>
        </w:rPr>
        <w:fldChar w:fldCharType="begin"/>
      </w:r>
      <w:r w:rsidRPr="00D76A98">
        <w:rPr>
          <w:lang w:val="fr-FR"/>
        </w:rPr>
        <w:instrText xml:space="preserve"> AUTONUM  </w:instrText>
      </w:r>
      <w:r w:rsidRPr="00D76A98">
        <w:rPr>
          <w:lang w:val="fr-FR"/>
        </w:rPr>
        <w:fldChar w:fldCharType="end"/>
      </w:r>
      <w:r w:rsidRPr="00D76A98">
        <w:rPr>
          <w:lang w:val="fr-FR"/>
        </w:rPr>
        <w:tab/>
        <w:t>Dans le cadre des travaux de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IGC,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OMPI n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a jamais accordé une attention particulière à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 xml:space="preserve">utilisation effective des systèmes </w:t>
      </w:r>
      <w:r w:rsidRPr="00D76A98">
        <w:rPr>
          <w:i/>
          <w:lang w:val="fr-FR"/>
        </w:rPr>
        <w:t>sui</w:t>
      </w:r>
      <w:r w:rsidR="00244107" w:rsidRPr="00D76A98">
        <w:rPr>
          <w:i/>
          <w:lang w:val="fr-FR"/>
        </w:rPr>
        <w:t> </w:t>
      </w:r>
      <w:r w:rsidRPr="00D76A98">
        <w:rPr>
          <w:i/>
          <w:lang w:val="fr-FR"/>
        </w:rPr>
        <w:t>generis</w:t>
      </w:r>
      <w:r w:rsidRPr="00D76A98">
        <w:rPr>
          <w:lang w:val="fr-FR"/>
        </w:rPr>
        <w:t xml:space="preserve"> pour la protection des savoirs traditionnels et des expressions culturelles traditionnelles et, plus précisément, à la manière dont ces systèmes fonctionnent dans la pratique lorsqu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un détenteur de savoirs traditionnels ou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expressions culturelles traditionnelles cherche à les utilis</w:t>
      </w:r>
      <w:r w:rsidR="00D76A98" w:rsidRPr="00D76A98">
        <w:rPr>
          <w:lang w:val="fr-FR"/>
        </w:rPr>
        <w:t>er.  Ce</w:t>
      </w:r>
      <w:r w:rsidRPr="00D76A98">
        <w:rPr>
          <w:lang w:val="fr-FR"/>
        </w:rPr>
        <w:t>tte omission constitue un élément de première importance faisant défaut lors de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évaluation des propositions de politique générale au sein du comi</w:t>
      </w:r>
      <w:r w:rsidR="00D76A98" w:rsidRPr="00D76A98">
        <w:rPr>
          <w:lang w:val="fr-FR"/>
        </w:rPr>
        <w:t>té.  Le</w:t>
      </w:r>
      <w:r w:rsidRPr="00D76A98">
        <w:rPr>
          <w:lang w:val="fr-FR"/>
        </w:rPr>
        <w:t xml:space="preserve"> questionnaire proposé, le rapport de synthèse et la présentation aideront à remédier à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absence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informations et permettront également de satisfaire à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exigence figurant dans le mandat de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IGC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entreprendre des travaux suivant “une approche fondée sur des données factuelles, avec des exemples réels, notamment des données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expérience nationales ou régionales” et “en réalisant ou en actualisant des études couvrant notamment des exemples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expériences nationales”.</w:t>
      </w:r>
    </w:p>
    <w:p w14:paraId="31E6EFF6" w14:textId="77777777" w:rsidR="00D76A98" w:rsidRDefault="008E1525" w:rsidP="00D76A98">
      <w:pPr>
        <w:spacing w:after="220" w:line="268" w:lineRule="auto"/>
        <w:rPr>
          <w:rFonts w:eastAsia="Times New Roman"/>
          <w:bCs/>
          <w:u w:val="single"/>
          <w:lang w:val="fr-FR"/>
        </w:rPr>
      </w:pPr>
      <w:r w:rsidRPr="00D76A98">
        <w:rPr>
          <w:u w:val="single"/>
          <w:lang w:val="fr-FR"/>
        </w:rPr>
        <w:t>Questionnaire suivi d</w:t>
      </w:r>
      <w:r w:rsidR="00010AA0" w:rsidRPr="00D76A98">
        <w:rPr>
          <w:u w:val="single"/>
          <w:lang w:val="fr-FR"/>
        </w:rPr>
        <w:t>’</w:t>
      </w:r>
      <w:r w:rsidRPr="00D76A98">
        <w:rPr>
          <w:u w:val="single"/>
          <w:lang w:val="fr-FR"/>
        </w:rPr>
        <w:t>un rapport de synthèse et d</w:t>
      </w:r>
      <w:r w:rsidR="00010AA0" w:rsidRPr="00D76A98">
        <w:rPr>
          <w:u w:val="single"/>
          <w:lang w:val="fr-FR"/>
        </w:rPr>
        <w:t>’</w:t>
      </w:r>
      <w:r w:rsidRPr="00D76A98">
        <w:rPr>
          <w:u w:val="single"/>
          <w:lang w:val="fr-FR"/>
        </w:rPr>
        <w:t>une présentation</w:t>
      </w:r>
    </w:p>
    <w:p w14:paraId="5875230F" w14:textId="77777777" w:rsidR="00D76A98" w:rsidRDefault="008E1525" w:rsidP="00D76A98">
      <w:pPr>
        <w:spacing w:after="220"/>
        <w:rPr>
          <w:lang w:val="fr-FR"/>
        </w:rPr>
      </w:pPr>
      <w:r w:rsidRPr="00D76A98">
        <w:rPr>
          <w:lang w:val="fr-FR"/>
        </w:rPr>
        <w:fldChar w:fldCharType="begin"/>
      </w:r>
      <w:r w:rsidRPr="00D76A98">
        <w:rPr>
          <w:lang w:val="fr-FR"/>
        </w:rPr>
        <w:instrText xml:space="preserve"> AUTONUM  </w:instrText>
      </w:r>
      <w:r w:rsidRPr="00D76A98">
        <w:rPr>
          <w:lang w:val="fr-FR"/>
        </w:rPr>
        <w:fldChar w:fldCharType="end"/>
      </w:r>
      <w:r w:rsidRPr="00D76A98">
        <w:rPr>
          <w:lang w:val="fr-FR"/>
        </w:rPr>
        <w:tab/>
        <w:t>La proposition prévoit un questionnaire concis visant à déterminer les aspects opérationnels des systèmes</w:t>
      </w:r>
      <w:r w:rsidRPr="00D76A98">
        <w:rPr>
          <w:rFonts w:eastAsia="Times New Roman"/>
          <w:vertAlign w:val="superscript"/>
          <w:lang w:val="fr-FR"/>
        </w:rPr>
        <w:footnoteReference w:id="2"/>
      </w:r>
      <w:r w:rsidRPr="00D76A98">
        <w:rPr>
          <w:lang w:val="fr-FR"/>
        </w:rPr>
        <w:t xml:space="preserve"> </w:t>
      </w:r>
      <w:r w:rsidRPr="00D76A98">
        <w:rPr>
          <w:i/>
          <w:lang w:val="fr-FR"/>
        </w:rPr>
        <w:t>sui</w:t>
      </w:r>
      <w:r w:rsidR="00244107" w:rsidRPr="00D76A98">
        <w:rPr>
          <w:i/>
          <w:lang w:val="fr-FR"/>
        </w:rPr>
        <w:t> </w:t>
      </w:r>
      <w:r w:rsidRPr="00D76A98">
        <w:rPr>
          <w:i/>
          <w:lang w:val="fr-FR"/>
        </w:rPr>
        <w:t>generis</w:t>
      </w:r>
      <w:r w:rsidRPr="00D76A98">
        <w:rPr>
          <w:lang w:val="fr-FR"/>
        </w:rPr>
        <w:t xml:space="preserve"> existants pour la protection des savoirs traditionnels et des expressions culturelles traditionnell</w:t>
      </w:r>
      <w:r w:rsidR="00D76A98" w:rsidRPr="00D76A98">
        <w:rPr>
          <w:lang w:val="fr-FR"/>
        </w:rPr>
        <w:t>es.  Ce</w:t>
      </w:r>
      <w:r w:rsidRPr="00D76A98">
        <w:rPr>
          <w:lang w:val="fr-FR"/>
        </w:rPr>
        <w:t>s aspects comprennent les cas de conformité aux exigences de ces systèmes (par exemple,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enregistrement des savoirs traditionnels et des expressions culturelles traditionnelles,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enregistrement des accords, les autorisations gouvernementales), des informations sur le nombre et les éléments des décisions judiciaires ou les résultats en matière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application ou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autres formes de règlement des litiges dans le cadre de ces systèmes, les résultats concrets obtenus grâce aux systèmes (pour les détenteurs de savoirs traditionnels et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expressions culturelles traditionnelles, les gouvernements, les tiers intéressés et la société dans son ensemble (</w:t>
      </w:r>
      <w:r w:rsidR="00010AA0" w:rsidRPr="00D76A98">
        <w:rPr>
          <w:lang w:val="fr-FR"/>
        </w:rPr>
        <w:t>y compris</w:t>
      </w:r>
      <w:r w:rsidRPr="00D76A98">
        <w:rPr>
          <w:lang w:val="fr-FR"/>
        </w:rPr>
        <w:t xml:space="preserve"> la commercialisation des savoirs traditionnels ou des expressions culturelles traditionnelles)), et la viabilité financière (</w:t>
      </w:r>
      <w:r w:rsidR="00010AA0" w:rsidRPr="00D76A98">
        <w:rPr>
          <w:lang w:val="fr-FR"/>
        </w:rPr>
        <w:t>y compris</w:t>
      </w:r>
      <w:r w:rsidRPr="00D76A98">
        <w:rPr>
          <w:lang w:val="fr-FR"/>
        </w:rPr>
        <w:t xml:space="preserve"> les coûts d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administration des systèmes au regard des avantages économiques en découlant (par exemple, les redevances)).</w:t>
      </w:r>
    </w:p>
    <w:p w14:paraId="67A8B44B" w14:textId="039078C0" w:rsidR="00010AA0" w:rsidRPr="00D76A98" w:rsidRDefault="008E1525" w:rsidP="00D76A98">
      <w:pPr>
        <w:spacing w:after="120"/>
        <w:rPr>
          <w:lang w:val="fr-FR"/>
        </w:rPr>
      </w:pPr>
      <w:r w:rsidRPr="00D76A98">
        <w:rPr>
          <w:lang w:val="fr-FR"/>
        </w:rPr>
        <w:t>Il est demandé au Secrétariat de prendre les mesures suivantes</w:t>
      </w:r>
      <w:r w:rsidR="00010AA0" w:rsidRPr="00D76A98">
        <w:rPr>
          <w:lang w:val="fr-FR"/>
        </w:rPr>
        <w:t> :</w:t>
      </w:r>
    </w:p>
    <w:p w14:paraId="457C4B2B" w14:textId="77777777" w:rsidR="00010AA0" w:rsidRPr="00D76A98" w:rsidRDefault="008E1525" w:rsidP="00D76A98">
      <w:pPr>
        <w:numPr>
          <w:ilvl w:val="0"/>
          <w:numId w:val="8"/>
        </w:numPr>
        <w:spacing w:after="120" w:line="269" w:lineRule="auto"/>
        <w:ind w:left="1134" w:hanging="567"/>
        <w:rPr>
          <w:lang w:val="fr-FR"/>
        </w:rPr>
      </w:pPr>
      <w:proofErr w:type="gramStart"/>
      <w:r w:rsidRPr="00D76A98">
        <w:rPr>
          <w:lang w:val="fr-FR"/>
        </w:rPr>
        <w:t>établir</w:t>
      </w:r>
      <w:proofErr w:type="gramEnd"/>
      <w:r w:rsidRPr="00D76A98">
        <w:rPr>
          <w:lang w:val="fr-FR"/>
        </w:rPr>
        <w:t xml:space="preserve"> et publier une circulaire invitant les États membres à remplir le </w:t>
      </w:r>
      <w:proofErr w:type="gramStart"/>
      <w:r w:rsidRPr="00D76A98">
        <w:rPr>
          <w:lang w:val="fr-FR"/>
        </w:rPr>
        <w:t>questionnaire;</w:t>
      </w:r>
      <w:proofErr w:type="gramEnd"/>
    </w:p>
    <w:p w14:paraId="162CF78D" w14:textId="229FE0AC" w:rsidR="00010AA0" w:rsidRPr="00D76A98" w:rsidRDefault="008E1525" w:rsidP="00D76A98">
      <w:pPr>
        <w:numPr>
          <w:ilvl w:val="0"/>
          <w:numId w:val="8"/>
        </w:numPr>
        <w:spacing w:after="120" w:line="269" w:lineRule="auto"/>
        <w:ind w:left="1134" w:hanging="567"/>
        <w:rPr>
          <w:lang w:val="fr-FR"/>
        </w:rPr>
      </w:pPr>
      <w:proofErr w:type="gramStart"/>
      <w:r w:rsidRPr="00D76A98">
        <w:rPr>
          <w:lang w:val="fr-FR"/>
        </w:rPr>
        <w:t>établir</w:t>
      </w:r>
      <w:proofErr w:type="gramEnd"/>
      <w:r w:rsidRPr="00D76A98">
        <w:rPr>
          <w:lang w:val="fr-FR"/>
        </w:rPr>
        <w:t xml:space="preserve"> un rapport résumant les réponses </w:t>
      </w:r>
      <w:proofErr w:type="gramStart"/>
      <w:r w:rsidRPr="00D76A98">
        <w:rPr>
          <w:lang w:val="fr-FR"/>
        </w:rPr>
        <w:t xml:space="preserve">reçues; </w:t>
      </w:r>
      <w:r w:rsidR="00244107" w:rsidRPr="00D76A98">
        <w:rPr>
          <w:lang w:val="fr-FR"/>
        </w:rPr>
        <w:t xml:space="preserve"> </w:t>
      </w:r>
      <w:r w:rsidRPr="00D76A98">
        <w:rPr>
          <w:lang w:val="fr-FR"/>
        </w:rPr>
        <w:t>et</w:t>
      </w:r>
      <w:proofErr w:type="gramEnd"/>
    </w:p>
    <w:p w14:paraId="5FC0C123" w14:textId="468DE74F" w:rsidR="00010AA0" w:rsidRPr="00D76A98" w:rsidRDefault="008E1525" w:rsidP="00D76A98">
      <w:pPr>
        <w:numPr>
          <w:ilvl w:val="0"/>
          <w:numId w:val="8"/>
        </w:numPr>
        <w:spacing w:after="220" w:line="269" w:lineRule="auto"/>
        <w:ind w:left="1134" w:hanging="567"/>
        <w:rPr>
          <w:lang w:val="fr-FR"/>
        </w:rPr>
      </w:pPr>
      <w:proofErr w:type="gramStart"/>
      <w:r w:rsidRPr="00D76A98">
        <w:rPr>
          <w:lang w:val="fr-FR"/>
        </w:rPr>
        <w:t>présenter</w:t>
      </w:r>
      <w:proofErr w:type="gramEnd"/>
      <w:r w:rsidRPr="00D76A98">
        <w:rPr>
          <w:lang w:val="fr-FR"/>
        </w:rPr>
        <w:t xml:space="preserve"> les résultats du questionnaire pour examen par l</w:t>
      </w:r>
      <w:r w:rsidR="00010AA0" w:rsidRPr="00D76A98">
        <w:rPr>
          <w:lang w:val="fr-FR"/>
        </w:rPr>
        <w:t>’</w:t>
      </w:r>
      <w:r w:rsidRPr="00D76A98">
        <w:rPr>
          <w:lang w:val="fr-FR"/>
        </w:rPr>
        <w:t>IGC à sa cinquante</w:t>
      </w:r>
      <w:r w:rsidR="00D76A98">
        <w:rPr>
          <w:lang w:val="fr-FR"/>
        </w:rPr>
        <w:noBreakHyphen/>
      </w:r>
      <w:r w:rsidRPr="00D76A98">
        <w:rPr>
          <w:lang w:val="fr-FR"/>
        </w:rPr>
        <w:t>trois</w:t>
      </w:r>
      <w:r w:rsidR="00010AA0" w:rsidRPr="00D76A98">
        <w:rPr>
          <w:lang w:val="fr-FR"/>
        </w:rPr>
        <w:t>ième session</w:t>
      </w:r>
      <w:r w:rsidRPr="00D76A98">
        <w:rPr>
          <w:lang w:val="fr-FR"/>
        </w:rPr>
        <w:t>.</w:t>
      </w:r>
    </w:p>
    <w:p w14:paraId="791C5E45" w14:textId="627F4E8B" w:rsidR="000F5E56" w:rsidRPr="00D76A98" w:rsidRDefault="008E1525" w:rsidP="00D76A98">
      <w:pPr>
        <w:pStyle w:val="Endofdocument-Annex"/>
        <w:spacing w:before="480"/>
      </w:pPr>
      <w:r w:rsidRPr="00D76A98">
        <w:t>[Fin de l</w:t>
      </w:r>
      <w:r w:rsidR="00010AA0" w:rsidRPr="00D76A98">
        <w:t>’</w:t>
      </w:r>
      <w:r w:rsidRPr="00D76A98">
        <w:t>annexe et du document]</w:t>
      </w:r>
    </w:p>
    <w:sectPr w:rsidR="000F5E56" w:rsidRPr="00D76A98" w:rsidSect="00D76A98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E9EC" w14:textId="77777777" w:rsidR="008E1525" w:rsidRDefault="008E1525">
      <w:r>
        <w:separator/>
      </w:r>
    </w:p>
  </w:endnote>
  <w:endnote w:type="continuationSeparator" w:id="0">
    <w:p w14:paraId="409F7646" w14:textId="77777777" w:rsidR="008E1525" w:rsidRPr="009D30E6" w:rsidRDefault="008E1525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0893FD5" w14:textId="77777777" w:rsidR="008E1525" w:rsidRPr="009D30E6" w:rsidRDefault="008E1525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226A3A3" w14:textId="77777777" w:rsidR="008E1525" w:rsidRPr="009D30E6" w:rsidRDefault="008E1525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A084E" w14:textId="77777777" w:rsidR="008E1525" w:rsidRDefault="008E1525">
      <w:r>
        <w:separator/>
      </w:r>
    </w:p>
  </w:footnote>
  <w:footnote w:type="continuationSeparator" w:id="0">
    <w:p w14:paraId="2D3BD8DB" w14:textId="77777777" w:rsidR="008E1525" w:rsidRDefault="008E1525" w:rsidP="007461F1">
      <w:r>
        <w:separator/>
      </w:r>
    </w:p>
    <w:p w14:paraId="6BFB2438" w14:textId="77777777" w:rsidR="008E1525" w:rsidRPr="009D30E6" w:rsidRDefault="008E1525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2B4632D5" w14:textId="77777777" w:rsidR="008E1525" w:rsidRPr="009D30E6" w:rsidRDefault="008E1525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295845D0" w14:textId="6D53BB63" w:rsidR="008E1525" w:rsidRPr="00D76A98" w:rsidRDefault="008E1525" w:rsidP="008E1525">
      <w:pPr>
        <w:pStyle w:val="footnotedescription"/>
        <w:rPr>
          <w:rFonts w:ascii="Arial" w:hAnsi="Arial" w:cs="Arial"/>
          <w:sz w:val="18"/>
          <w:szCs w:val="18"/>
        </w:rPr>
      </w:pPr>
      <w:r w:rsidRPr="00D76A98">
        <w:rPr>
          <w:rStyle w:val="footnotemark"/>
          <w:rFonts w:ascii="Arial" w:hAnsi="Arial" w:cs="Arial"/>
          <w:sz w:val="18"/>
          <w:szCs w:val="18"/>
        </w:rPr>
        <w:footnoteRef/>
      </w:r>
      <w:r w:rsidRPr="00D76A98">
        <w:rPr>
          <w:rFonts w:ascii="Arial" w:hAnsi="Arial" w:cs="Arial"/>
          <w:sz w:val="18"/>
          <w:szCs w:val="18"/>
        </w:rPr>
        <w:tab/>
        <w:t>Compte tenu des compilations déjà établies par l</w:t>
      </w:r>
      <w:r w:rsidR="00330C01" w:rsidRPr="00D76A98">
        <w:rPr>
          <w:rFonts w:ascii="Arial" w:hAnsi="Arial" w:cs="Arial"/>
          <w:sz w:val="18"/>
          <w:szCs w:val="18"/>
        </w:rPr>
        <w:t>’</w:t>
      </w:r>
      <w:r w:rsidRPr="00D76A98">
        <w:rPr>
          <w:rFonts w:ascii="Arial" w:hAnsi="Arial" w:cs="Arial"/>
          <w:sz w:val="18"/>
          <w:szCs w:val="18"/>
        </w:rPr>
        <w:t xml:space="preserve">OMPI de lois relatives à la protection </w:t>
      </w:r>
      <w:r w:rsidRPr="00D76A98">
        <w:rPr>
          <w:rFonts w:ascii="Arial" w:hAnsi="Arial" w:cs="Arial"/>
          <w:i/>
          <w:sz w:val="18"/>
          <w:szCs w:val="18"/>
        </w:rPr>
        <w:t>sui</w:t>
      </w:r>
      <w:r w:rsidR="00244107" w:rsidRPr="00D76A98">
        <w:rPr>
          <w:rFonts w:ascii="Arial" w:hAnsi="Arial" w:cs="Arial"/>
          <w:i/>
          <w:sz w:val="18"/>
          <w:szCs w:val="18"/>
        </w:rPr>
        <w:t> </w:t>
      </w:r>
      <w:r w:rsidRPr="00D76A98">
        <w:rPr>
          <w:rFonts w:ascii="Arial" w:hAnsi="Arial" w:cs="Arial"/>
          <w:i/>
          <w:sz w:val="18"/>
          <w:szCs w:val="18"/>
        </w:rPr>
        <w:t>generis</w:t>
      </w:r>
      <w:r w:rsidRPr="00D76A98">
        <w:rPr>
          <w:rFonts w:ascii="Arial" w:hAnsi="Arial" w:cs="Arial"/>
          <w:sz w:val="18"/>
          <w:szCs w:val="18"/>
        </w:rPr>
        <w:t xml:space="preserve"> des savoirs traditionnels et des expressions culturelles traditionnelles, les questions devraient porter principalement sur des exemples illustrant la manière dont ces lois ont été appliquées dans la pratique.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1355" w14:textId="77777777" w:rsidR="008E1525" w:rsidRDefault="008E1525">
    <w:pPr>
      <w:jc w:val="right"/>
    </w:pPr>
  </w:p>
  <w:p w14:paraId="1EA16465" w14:textId="77777777" w:rsidR="008E1525" w:rsidRDefault="008E1525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  <w:p w14:paraId="3095393B" w14:textId="77777777" w:rsidR="008E1525" w:rsidRDefault="008E1525">
    <w:pPr>
      <w:jc w:val="right"/>
    </w:pPr>
  </w:p>
  <w:p w14:paraId="67C14B4C" w14:textId="77777777" w:rsidR="008E1525" w:rsidRDefault="008E152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9F33" w14:textId="77777777" w:rsidR="008E1525" w:rsidRDefault="008E1525" w:rsidP="000434D6">
    <w:pPr>
      <w:pStyle w:val="Header"/>
      <w:jc w:val="right"/>
    </w:pPr>
    <w:r>
      <w:t>WIPO/GRTKF/IC/52/6</w:t>
    </w:r>
  </w:p>
  <w:p w14:paraId="653C220B" w14:textId="77777777" w:rsidR="008E1525" w:rsidRDefault="008E1525" w:rsidP="000434D6">
    <w:pPr>
      <w:pStyle w:val="Header"/>
      <w:jc w:val="right"/>
    </w:pPr>
    <w:r>
      <w:t>ANNEXE</w:t>
    </w:r>
  </w:p>
  <w:p w14:paraId="4EF2FAE1" w14:textId="77777777" w:rsidR="008E1525" w:rsidRDefault="008E1525" w:rsidP="000434D6">
    <w:pPr>
      <w:pStyle w:val="Header"/>
      <w:jc w:val="right"/>
      <w:rPr>
        <w:lang w:val="es-ES"/>
      </w:rPr>
    </w:pPr>
  </w:p>
  <w:p w14:paraId="5A8F5F61" w14:textId="77777777" w:rsidR="008E1525" w:rsidRDefault="008E15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C23E" w14:textId="6B74F8FF" w:rsidR="00F16975" w:rsidRDefault="008E1525" w:rsidP="00477D6B">
    <w:pPr>
      <w:jc w:val="right"/>
    </w:pPr>
    <w:bookmarkStart w:id="5" w:name="Code2"/>
    <w:bookmarkEnd w:id="5"/>
    <w:r>
      <w:t>WIPO/GRTKF/IC/52/6</w:t>
    </w:r>
  </w:p>
  <w:p w14:paraId="7CFABEE9" w14:textId="46A4433E" w:rsidR="004F4E31" w:rsidRDefault="00D76A98" w:rsidP="00010AA0">
    <w:pPr>
      <w:spacing w:after="480"/>
      <w:jc w:val="right"/>
    </w:pPr>
    <w:r>
      <w:t xml:space="preserve">Annexe, </w:t>
    </w:r>
    <w:r w:rsidR="00F16975">
      <w:t>page</w:t>
    </w:r>
    <w:r w:rsidR="00010AA0">
      <w:t> </w:t>
    </w:r>
    <w:r w:rsidR="00F16975">
      <w:fldChar w:fldCharType="begin"/>
    </w:r>
    <w:r w:rsidR="00F16975">
      <w:instrText xml:space="preserve"> PAGE  \* MERGEFORMAT </w:instrText>
    </w:r>
    <w:r w:rsidR="00F16975">
      <w:fldChar w:fldCharType="separate"/>
    </w:r>
    <w:r w:rsidR="004F4E31">
      <w:rPr>
        <w:noProof/>
      </w:rPr>
      <w:t>2</w:t>
    </w:r>
    <w:r w:rsidR="00F16975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77391" w14:textId="77777777" w:rsidR="00D76A98" w:rsidRDefault="00D76A98" w:rsidP="000434D6">
    <w:pPr>
      <w:pStyle w:val="Header"/>
      <w:jc w:val="right"/>
    </w:pPr>
    <w:r>
      <w:t>WIPO/GRTKF/IC/52/6</w:t>
    </w:r>
  </w:p>
  <w:p w14:paraId="2D6B9937" w14:textId="78786B16" w:rsidR="00D76A98" w:rsidRDefault="00D76A98" w:rsidP="00D76A98">
    <w:pPr>
      <w:pStyle w:val="Header"/>
      <w:spacing w:after="480"/>
      <w:jc w:val="right"/>
    </w:pPr>
    <w:r>
      <w:t>ANNEXE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256D72"/>
    <w:multiLevelType w:val="hybridMultilevel"/>
    <w:tmpl w:val="07BE4008"/>
    <w:lvl w:ilvl="0" w:tplc="E44E018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A58D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EF56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9017C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0497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6CC2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0A1B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8C20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E3BB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A52EA1"/>
    <w:multiLevelType w:val="hybridMultilevel"/>
    <w:tmpl w:val="3DFC6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691099">
    <w:abstractNumId w:val="3"/>
  </w:num>
  <w:num w:numId="2" w16cid:durableId="336272609">
    <w:abstractNumId w:val="5"/>
  </w:num>
  <w:num w:numId="3" w16cid:durableId="1211527854">
    <w:abstractNumId w:val="0"/>
  </w:num>
  <w:num w:numId="4" w16cid:durableId="1364356255">
    <w:abstractNumId w:val="7"/>
  </w:num>
  <w:num w:numId="5" w16cid:durableId="2006779852">
    <w:abstractNumId w:val="2"/>
  </w:num>
  <w:num w:numId="6" w16cid:durableId="1938249482">
    <w:abstractNumId w:val="4"/>
  </w:num>
  <w:num w:numId="7" w16cid:durableId="678432747">
    <w:abstractNumId w:val="6"/>
  </w:num>
  <w:num w:numId="8" w16cid:durableId="129283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25"/>
    <w:rsid w:val="00010AA0"/>
    <w:rsid w:val="00011B7D"/>
    <w:rsid w:val="00075432"/>
    <w:rsid w:val="000F5E56"/>
    <w:rsid w:val="001362EE"/>
    <w:rsid w:val="001832A6"/>
    <w:rsid w:val="00195C6E"/>
    <w:rsid w:val="001B266A"/>
    <w:rsid w:val="001D3D56"/>
    <w:rsid w:val="00240654"/>
    <w:rsid w:val="00244107"/>
    <w:rsid w:val="002634C4"/>
    <w:rsid w:val="00293563"/>
    <w:rsid w:val="002D4918"/>
    <w:rsid w:val="002E4D1A"/>
    <w:rsid w:val="002F16BC"/>
    <w:rsid w:val="002F4E68"/>
    <w:rsid w:val="00315FCA"/>
    <w:rsid w:val="00330C01"/>
    <w:rsid w:val="003845C1"/>
    <w:rsid w:val="003A1BCD"/>
    <w:rsid w:val="004008A2"/>
    <w:rsid w:val="004025DF"/>
    <w:rsid w:val="00423E3E"/>
    <w:rsid w:val="00427AF4"/>
    <w:rsid w:val="004647DA"/>
    <w:rsid w:val="00477D6B"/>
    <w:rsid w:val="004D6471"/>
    <w:rsid w:val="004F4E31"/>
    <w:rsid w:val="00525B63"/>
    <w:rsid w:val="00547476"/>
    <w:rsid w:val="00561DB8"/>
    <w:rsid w:val="005679A2"/>
    <w:rsid w:val="00567A4C"/>
    <w:rsid w:val="005E6516"/>
    <w:rsid w:val="00605827"/>
    <w:rsid w:val="00676936"/>
    <w:rsid w:val="006B0DB5"/>
    <w:rsid w:val="006E4243"/>
    <w:rsid w:val="007461F1"/>
    <w:rsid w:val="007D6961"/>
    <w:rsid w:val="007F07CB"/>
    <w:rsid w:val="00810CEF"/>
    <w:rsid w:val="0081208D"/>
    <w:rsid w:val="00842A13"/>
    <w:rsid w:val="00852F63"/>
    <w:rsid w:val="008B2CC1"/>
    <w:rsid w:val="008E1525"/>
    <w:rsid w:val="008E42AF"/>
    <w:rsid w:val="008E4813"/>
    <w:rsid w:val="008E7930"/>
    <w:rsid w:val="0090731E"/>
    <w:rsid w:val="009571E5"/>
    <w:rsid w:val="00966A22"/>
    <w:rsid w:val="00974CD6"/>
    <w:rsid w:val="009D30E6"/>
    <w:rsid w:val="009E3F6F"/>
    <w:rsid w:val="009F499F"/>
    <w:rsid w:val="00A02BD3"/>
    <w:rsid w:val="00AA1F20"/>
    <w:rsid w:val="00AC0AE4"/>
    <w:rsid w:val="00AD61DB"/>
    <w:rsid w:val="00B87BCF"/>
    <w:rsid w:val="00BA62D4"/>
    <w:rsid w:val="00C40E15"/>
    <w:rsid w:val="00C664C8"/>
    <w:rsid w:val="00C76A79"/>
    <w:rsid w:val="00C925B8"/>
    <w:rsid w:val="00CA15F5"/>
    <w:rsid w:val="00CF0460"/>
    <w:rsid w:val="00D45252"/>
    <w:rsid w:val="00D71B4D"/>
    <w:rsid w:val="00D75C1E"/>
    <w:rsid w:val="00D76A98"/>
    <w:rsid w:val="00D93D55"/>
    <w:rsid w:val="00DB0349"/>
    <w:rsid w:val="00DD6A16"/>
    <w:rsid w:val="00E0091A"/>
    <w:rsid w:val="00E203AA"/>
    <w:rsid w:val="00E278CA"/>
    <w:rsid w:val="00E527A5"/>
    <w:rsid w:val="00E76456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C6245E"/>
  <w15:docId w15:val="{116C32F5-74E4-477C-AEA3-DF86B6DF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D76A98"/>
    <w:pPr>
      <w:spacing w:before="720"/>
      <w:ind w:left="5534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erChar">
    <w:name w:val="Header Char"/>
    <w:basedOn w:val="DefaultParagraphFont"/>
    <w:link w:val="Header"/>
    <w:uiPriority w:val="99"/>
    <w:rsid w:val="008E1525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8E1525"/>
    <w:pPr>
      <w:ind w:left="720"/>
      <w:contextualSpacing/>
    </w:pPr>
    <w:rPr>
      <w:lang w:val="fr-FR"/>
    </w:rPr>
  </w:style>
  <w:style w:type="paragraph" w:customStyle="1" w:styleId="footnotedescription">
    <w:name w:val="footnote description"/>
    <w:next w:val="Normal"/>
    <w:link w:val="footnotedescriptionChar"/>
    <w:hidden/>
    <w:rsid w:val="008E1525"/>
    <w:pPr>
      <w:spacing w:after="122" w:line="245" w:lineRule="auto"/>
    </w:pPr>
    <w:rPr>
      <w:color w:val="000000"/>
      <w:kern w:val="2"/>
      <w:sz w:val="24"/>
      <w:szCs w:val="24"/>
      <w:lang w:val="fr-FR" w:eastAsia="en-US"/>
      <w14:ligatures w14:val="standardContextual"/>
    </w:rPr>
  </w:style>
  <w:style w:type="character" w:customStyle="1" w:styleId="footnotedescriptionChar">
    <w:name w:val="footnote description Char"/>
    <w:link w:val="footnotedescription"/>
    <w:rsid w:val="008E1525"/>
    <w:rPr>
      <w:color w:val="000000"/>
      <w:kern w:val="2"/>
      <w:sz w:val="24"/>
      <w:szCs w:val="24"/>
      <w:lang w:val="fr-FR" w:eastAsia="en-US"/>
      <w14:ligatures w14:val="standardContextual"/>
    </w:rPr>
  </w:style>
  <w:style w:type="character" w:customStyle="1" w:styleId="footnotemark">
    <w:name w:val="footnote mark"/>
    <w:hidden/>
    <w:rsid w:val="008E1525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character" w:styleId="Hyperlink">
    <w:name w:val="Hyperlink"/>
    <w:basedOn w:val="DefaultParagraphFont"/>
    <w:semiHidden/>
    <w:unhideWhenUsed/>
    <w:rsid w:val="00D76A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2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WIPO_GRTKF_IC_52 (F).dotm</Template>
  <TotalTime>10</TotalTime>
  <Pages>2</Pages>
  <Words>604</Words>
  <Characters>3824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WIPO/GRTKF/IC/52/</vt:lpstr>
    </vt:vector>
  </TitlesOfParts>
  <Company>WIPO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WIPO/GRTKF/IC/52/6</dc:title>
  <dc:creator>OLIVIÉ Karen</dc:creator>
  <cp:keywords>FOR OFFICIAL USE ONLY</cp:keywords>
  <cp:lastModifiedBy>OLIVIÉ Karen</cp:lastModifiedBy>
  <cp:revision>4</cp:revision>
  <cp:lastPrinted>2011-05-19T12:37:00Z</cp:lastPrinted>
  <dcterms:created xsi:type="dcterms:W3CDTF">2026-02-18T10:14:00Z</dcterms:created>
  <dcterms:modified xsi:type="dcterms:W3CDTF">2026-02-18T10:25:00Z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2025-10-01T06:02:38Z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edd37320-0d01-42c9-a20d-7383e5541934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