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CD" w:rsidRPr="008B2CC1" w:rsidRDefault="00D71DCD" w:rsidP="00E104D3">
      <w:pPr>
        <w:spacing w:after="120"/>
        <w:jc w:val="right"/>
      </w:pPr>
      <w:r>
        <w:rPr>
          <w:noProof/>
          <w:lang w:val="en-US" w:eastAsia="en-US"/>
        </w:rPr>
        <w:drawing>
          <wp:inline distT="0" distB="0" distL="0" distR="0" wp14:anchorId="1A29841C" wp14:editId="45BDD65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1ED50CAB" wp14:editId="6E53CB0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9602F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D71DCD" w:rsidRPr="0005368B" w:rsidRDefault="00D4602B" w:rsidP="00E104D3">
      <w:pPr>
        <w:jc w:val="right"/>
        <w:rPr>
          <w:rFonts w:ascii="Arial Black" w:hAnsi="Arial Black"/>
          <w:caps/>
          <w:sz w:val="15"/>
          <w:szCs w:val="15"/>
        </w:rPr>
      </w:pPr>
      <w:r>
        <w:rPr>
          <w:rFonts w:ascii="Arial Black" w:hAnsi="Arial Black"/>
          <w:caps/>
          <w:sz w:val="15"/>
          <w:szCs w:val="15"/>
        </w:rPr>
        <w:t>WIPO/GRTKF/IC/4</w:t>
      </w:r>
      <w:r w:rsidR="00A35E46">
        <w:rPr>
          <w:rFonts w:ascii="Arial Black" w:hAnsi="Arial Black"/>
          <w:caps/>
          <w:sz w:val="15"/>
          <w:szCs w:val="15"/>
        </w:rPr>
        <w:t>7</w:t>
      </w:r>
      <w:r w:rsidR="00D71DCD" w:rsidRPr="0005368B">
        <w:rPr>
          <w:rFonts w:ascii="Arial Black" w:hAnsi="Arial Black"/>
          <w:caps/>
          <w:sz w:val="15"/>
          <w:szCs w:val="15"/>
        </w:rPr>
        <w:t>/INF/7</w:t>
      </w:r>
    </w:p>
    <w:p w:rsidR="00D71DCD" w:rsidRPr="0005368B" w:rsidRDefault="00D71DCD" w:rsidP="00E104D3">
      <w:pPr>
        <w:jc w:val="right"/>
        <w:rPr>
          <w:rFonts w:ascii="Arial Black" w:hAnsi="Arial Black"/>
          <w:caps/>
          <w:sz w:val="15"/>
          <w:szCs w:val="15"/>
        </w:rPr>
      </w:pPr>
      <w:r w:rsidRPr="0005368B">
        <w:rPr>
          <w:rFonts w:ascii="Arial Black" w:hAnsi="Arial Black"/>
          <w:caps/>
          <w:sz w:val="15"/>
          <w:szCs w:val="15"/>
        </w:rPr>
        <w:t>Original</w:t>
      </w:r>
      <w:r w:rsidR="00D91476">
        <w:rPr>
          <w:rFonts w:ascii="Arial Black" w:hAnsi="Arial Black"/>
          <w:caps/>
          <w:sz w:val="15"/>
          <w:szCs w:val="15"/>
        </w:rPr>
        <w:t> :</w:t>
      </w:r>
      <w:r w:rsidRPr="0005368B">
        <w:rPr>
          <w:rFonts w:ascii="Arial Black" w:hAnsi="Arial Black"/>
          <w:caps/>
          <w:sz w:val="15"/>
          <w:szCs w:val="15"/>
        </w:rPr>
        <w:t xml:space="preserve"> anglais</w:t>
      </w:r>
    </w:p>
    <w:p w:rsidR="00D71DCD" w:rsidRPr="0005368B" w:rsidRDefault="00D71DCD" w:rsidP="00E104D3">
      <w:pPr>
        <w:spacing w:after="1200"/>
        <w:jc w:val="right"/>
        <w:rPr>
          <w:rFonts w:ascii="Arial Black" w:hAnsi="Arial Black"/>
          <w:caps/>
          <w:sz w:val="15"/>
          <w:szCs w:val="15"/>
        </w:rPr>
      </w:pPr>
      <w:r w:rsidRPr="0005368B">
        <w:rPr>
          <w:rFonts w:ascii="Arial Black" w:hAnsi="Arial Black"/>
          <w:caps/>
          <w:sz w:val="15"/>
          <w:szCs w:val="15"/>
        </w:rPr>
        <w:t>date</w:t>
      </w:r>
      <w:r w:rsidR="00D91476">
        <w:rPr>
          <w:rFonts w:ascii="Arial Black" w:hAnsi="Arial Black"/>
          <w:caps/>
          <w:sz w:val="15"/>
          <w:szCs w:val="15"/>
        </w:rPr>
        <w:t> :</w:t>
      </w:r>
      <w:r w:rsidRPr="0005368B">
        <w:rPr>
          <w:rFonts w:ascii="Arial Black" w:hAnsi="Arial Black"/>
          <w:caps/>
          <w:sz w:val="15"/>
          <w:szCs w:val="15"/>
        </w:rPr>
        <w:t xml:space="preserve"> </w:t>
      </w:r>
      <w:r w:rsidR="00A35E46">
        <w:rPr>
          <w:rFonts w:ascii="Arial Black" w:hAnsi="Arial Black"/>
          <w:caps/>
          <w:sz w:val="15"/>
          <w:szCs w:val="15"/>
        </w:rPr>
        <w:t>2</w:t>
      </w:r>
      <w:r w:rsidR="00BF29B4">
        <w:rPr>
          <w:rFonts w:ascii="Arial Black" w:hAnsi="Arial Black"/>
          <w:caps/>
          <w:sz w:val="15"/>
          <w:szCs w:val="15"/>
        </w:rPr>
        <w:t>1 </w:t>
      </w:r>
      <w:r w:rsidR="00A35E46">
        <w:rPr>
          <w:rFonts w:ascii="Arial Black" w:hAnsi="Arial Black"/>
          <w:caps/>
          <w:sz w:val="15"/>
          <w:szCs w:val="15"/>
        </w:rPr>
        <w:t>mars</w:t>
      </w:r>
      <w:r w:rsidR="00D91476">
        <w:rPr>
          <w:rFonts w:ascii="Arial Black" w:hAnsi="Arial Black"/>
          <w:caps/>
          <w:sz w:val="15"/>
          <w:szCs w:val="15"/>
        </w:rPr>
        <w:t> </w:t>
      </w:r>
      <w:r w:rsidR="00D91476" w:rsidRPr="0005368B">
        <w:rPr>
          <w:rFonts w:ascii="Arial Black" w:hAnsi="Arial Black"/>
          <w:caps/>
          <w:sz w:val="15"/>
          <w:szCs w:val="15"/>
        </w:rPr>
        <w:t>20</w:t>
      </w:r>
      <w:r w:rsidRPr="0005368B">
        <w:rPr>
          <w:rFonts w:ascii="Arial Black" w:hAnsi="Arial Black"/>
          <w:caps/>
          <w:sz w:val="15"/>
          <w:szCs w:val="15"/>
        </w:rPr>
        <w:t>2</w:t>
      </w:r>
      <w:r w:rsidR="00A35E46">
        <w:rPr>
          <w:rFonts w:ascii="Arial Black" w:hAnsi="Arial Black"/>
          <w:caps/>
          <w:sz w:val="15"/>
          <w:szCs w:val="15"/>
        </w:rPr>
        <w:t>3</w:t>
      </w:r>
    </w:p>
    <w:p w:rsidR="00D71DCD" w:rsidRPr="00DB0349" w:rsidRDefault="00D71DCD" w:rsidP="00E104D3">
      <w:pPr>
        <w:spacing w:after="600"/>
        <w:rPr>
          <w:b/>
          <w:sz w:val="28"/>
          <w:szCs w:val="28"/>
        </w:rPr>
      </w:pPr>
      <w:r w:rsidRPr="008E4813">
        <w:rPr>
          <w:b/>
          <w:sz w:val="28"/>
          <w:szCs w:val="28"/>
        </w:rPr>
        <w:t>Comité intergouvernemental de la propriété intellectuelle relative aux ressources génétiques, aux savoirs traditionnels et au folklore</w:t>
      </w:r>
    </w:p>
    <w:p w:rsidR="00D71DCD" w:rsidRPr="003845C1" w:rsidRDefault="00D71DCD" w:rsidP="00E104D3">
      <w:pPr>
        <w:rPr>
          <w:b/>
          <w:sz w:val="24"/>
          <w:szCs w:val="24"/>
        </w:rPr>
      </w:pPr>
      <w:r>
        <w:rPr>
          <w:b/>
          <w:sz w:val="24"/>
          <w:szCs w:val="24"/>
        </w:rPr>
        <w:t>Quarante</w:t>
      </w:r>
      <w:r w:rsidR="00400337">
        <w:rPr>
          <w:b/>
          <w:sz w:val="24"/>
          <w:szCs w:val="24"/>
        </w:rPr>
        <w:noBreakHyphen/>
      </w:r>
      <w:r w:rsidR="00BF29B4">
        <w:rPr>
          <w:b/>
          <w:sz w:val="24"/>
          <w:szCs w:val="24"/>
        </w:rPr>
        <w:t>s</w:t>
      </w:r>
      <w:r w:rsidR="00A35E46">
        <w:rPr>
          <w:b/>
          <w:sz w:val="24"/>
          <w:szCs w:val="24"/>
        </w:rPr>
        <w:t>epti</w:t>
      </w:r>
      <w:r w:rsidR="00D91476">
        <w:rPr>
          <w:b/>
          <w:sz w:val="24"/>
          <w:szCs w:val="24"/>
        </w:rPr>
        <w:t>ème session</w:t>
      </w:r>
    </w:p>
    <w:p w:rsidR="00D71DCD" w:rsidRPr="003845C1" w:rsidRDefault="00D71DCD" w:rsidP="00E104D3">
      <w:pPr>
        <w:spacing w:after="720"/>
        <w:rPr>
          <w:b/>
          <w:sz w:val="24"/>
          <w:szCs w:val="24"/>
        </w:rPr>
      </w:pPr>
      <w:r w:rsidRPr="008E4813">
        <w:rPr>
          <w:b/>
          <w:sz w:val="24"/>
          <w:szCs w:val="24"/>
        </w:rPr>
        <w:t xml:space="preserve">Genève, </w:t>
      </w:r>
      <w:r w:rsidR="00A35E46">
        <w:rPr>
          <w:b/>
          <w:sz w:val="24"/>
          <w:szCs w:val="24"/>
        </w:rPr>
        <w:t>5</w:t>
      </w:r>
      <w:r w:rsidRPr="008E4813">
        <w:rPr>
          <w:b/>
          <w:sz w:val="24"/>
          <w:szCs w:val="24"/>
        </w:rPr>
        <w:t xml:space="preserve"> – </w:t>
      </w:r>
      <w:r w:rsidR="00A35E46">
        <w:rPr>
          <w:b/>
          <w:sz w:val="24"/>
          <w:szCs w:val="24"/>
        </w:rPr>
        <w:t>9</w:t>
      </w:r>
      <w:r w:rsidR="00BF29B4">
        <w:rPr>
          <w:b/>
          <w:sz w:val="24"/>
          <w:szCs w:val="24"/>
        </w:rPr>
        <w:t> </w:t>
      </w:r>
      <w:r w:rsidR="00A35E46">
        <w:rPr>
          <w:b/>
          <w:sz w:val="24"/>
          <w:szCs w:val="24"/>
        </w:rPr>
        <w:t>juin</w:t>
      </w:r>
      <w:r w:rsidR="00BF29B4">
        <w:rPr>
          <w:b/>
          <w:sz w:val="24"/>
          <w:szCs w:val="24"/>
        </w:rPr>
        <w:t> 2023</w:t>
      </w:r>
    </w:p>
    <w:p w:rsidR="00D71DCD" w:rsidRPr="00842A13" w:rsidRDefault="00D71DCD" w:rsidP="00E104D3">
      <w:pPr>
        <w:spacing w:after="360"/>
        <w:rPr>
          <w:caps/>
          <w:sz w:val="24"/>
        </w:rPr>
      </w:pPr>
      <w:r>
        <w:rPr>
          <w:caps/>
          <w:sz w:val="24"/>
        </w:rPr>
        <w:t>Glossaire des principaux termes relatifs à la propriété intellectuelle et aux ressources génétiques, aux savoirs traditionnels et aux expressions culturelles traditionnelles</w:t>
      </w:r>
    </w:p>
    <w:p w:rsidR="00D71DCD" w:rsidRPr="00842A13" w:rsidRDefault="00D71DCD" w:rsidP="00E104D3">
      <w:pPr>
        <w:spacing w:after="960"/>
      </w:pPr>
      <w:r>
        <w:rPr>
          <w:i/>
        </w:rPr>
        <w:t>Document établi par le Secrétariat</w:t>
      </w:r>
    </w:p>
    <w:p w:rsidR="00D05100" w:rsidRPr="00D71DCD" w:rsidRDefault="0051068B" w:rsidP="00E104D3">
      <w:pPr>
        <w:pStyle w:val="Heading1"/>
        <w:spacing w:after="220"/>
      </w:pPr>
      <w:r w:rsidRPr="00D71DCD">
        <w:t>Introduction</w:t>
      </w:r>
    </w:p>
    <w:p w:rsidR="00D05100" w:rsidRPr="00E8642C" w:rsidRDefault="00AF32FD" w:rsidP="00E104D3">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400337">
        <w:noBreakHyphen/>
      </w:r>
      <w:r w:rsidRPr="00E8642C">
        <w:t>sept</w:t>
      </w:r>
      <w:r w:rsidR="00D91476">
        <w:t>ième session</w:t>
      </w:r>
      <w:r w:rsidRPr="00E8642C">
        <w:t>s, tenues du 3 au 7 mai 2010 et du 6 au 10 décembre 2010 respectivement, le Comité intergouvernemental de la propriété intellectuelle relative aux ressources génétiques, aux savoirs traditionnels et au folklore (ci</w:t>
      </w:r>
      <w:r w:rsidR="00400337">
        <w:noBreakHyphen/>
      </w:r>
      <w:r w:rsidRPr="00E8642C">
        <w:t>après dénommé “IGC”) a demandé au Secrétariat d</w:t>
      </w:r>
      <w:r w:rsidR="00D91476">
        <w:t>’</w:t>
      </w:r>
      <w:r w:rsidRPr="00E8642C">
        <w:t xml:space="preserve">élaborer, en tant que </w:t>
      </w:r>
      <w:r w:rsidRPr="00E8642C">
        <w:rPr>
          <w:lang w:eastAsia="en-US" w:bidi="th-TH"/>
        </w:rPr>
        <w:t>documents d</w:t>
      </w:r>
      <w:r w:rsidR="00D91476">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D91476">
        <w:t>’</w:t>
      </w:r>
      <w:r w:rsidRPr="00E8642C">
        <w:t>IGC.</w:t>
      </w:r>
    </w:p>
    <w:p w:rsidR="00D05100" w:rsidRPr="00E8642C" w:rsidRDefault="007019FF" w:rsidP="00E104D3">
      <w:pPr>
        <w:pStyle w:val="ONUMFS"/>
        <w:rPr>
          <w:szCs w:val="22"/>
          <w:lang w:eastAsia="en-US"/>
        </w:rPr>
      </w:pPr>
      <w:r w:rsidRPr="00E8642C">
        <w:t>À sa dix</w:t>
      </w:r>
      <w:r w:rsidR="00400337">
        <w:noBreakHyphen/>
      </w:r>
      <w:r w:rsidRPr="00E8642C">
        <w:t>neuv</w:t>
      </w:r>
      <w:r w:rsidR="00D91476">
        <w:t>ième session</w:t>
      </w:r>
      <w:r w:rsidR="00C72D25" w:rsidRPr="00E8642C">
        <w:t>,</w:t>
      </w:r>
      <w:r w:rsidRPr="00E8642C">
        <w:t xml:space="preserve"> tenue du 18 au 22 juillet </w:t>
      </w:r>
      <w:r w:rsidR="00C72D25" w:rsidRPr="00E8642C">
        <w:t>2011, l</w:t>
      </w:r>
      <w:r w:rsidR="00D91476">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WIPO/GRTKF/IC/19/INF/9 (intitulé “Glossaire des principaux termes relatifs à la propriété intellectuelle et aux ressources génétiques”), à les regrouper dans un seul document et à publi</w:t>
      </w:r>
      <w:r w:rsidRPr="00E8642C">
        <w:rPr>
          <w:szCs w:val="22"/>
          <w:lang w:eastAsia="en-US"/>
        </w:rPr>
        <w:t>er ce glossaire sous la forme d</w:t>
      </w:r>
      <w:r w:rsidR="00D91476">
        <w:rPr>
          <w:szCs w:val="22"/>
          <w:lang w:eastAsia="en-US"/>
        </w:rPr>
        <w:t>’</w:t>
      </w:r>
      <w:r w:rsidRPr="00E8642C">
        <w:rPr>
          <w:szCs w:val="22"/>
          <w:lang w:eastAsia="en-US"/>
        </w:rPr>
        <w:t>un document d</w:t>
      </w:r>
      <w:r w:rsidR="00D91476">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104D3">
      <w:pPr>
        <w:pStyle w:val="ONUMFS"/>
        <w:rPr>
          <w:lang w:eastAsia="en-US"/>
        </w:rPr>
      </w:pPr>
      <w:r w:rsidRPr="00E8642C">
        <w:lastRenderedPageBreak/>
        <w:t>À la suite de cette décision, et co</w:t>
      </w:r>
      <w:r w:rsidR="00AF32FD" w:rsidRPr="00E8642C">
        <w:t xml:space="preserve">mpte tenu du fait que certains termes contenus dans </w:t>
      </w:r>
      <w:bookmarkStart w:id="5" w:name="_GoBack"/>
      <w:bookmarkEnd w:id="5"/>
      <w:r w:rsidR="00AF32FD" w:rsidRPr="00E8642C">
        <w:t>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1F3AEE" w:rsidRPr="00E8642C">
        <w:t>nt</w:t>
      </w:r>
      <w:r w:rsidR="001F3AEE">
        <w:t xml:space="preserve">.  </w:t>
      </w:r>
      <w:r w:rsidR="001F3AEE"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D91476">
        <w:t>’</w:t>
      </w:r>
      <w:r w:rsidR="00FC3D53" w:rsidRPr="00E8642C">
        <w:t>information aux</w:t>
      </w:r>
      <w:r w:rsidRPr="00E8642C">
        <w:t xml:space="preserve"> précédentes</w:t>
      </w:r>
      <w:r w:rsidR="00FC3D53" w:rsidRPr="00E8642C">
        <w:t xml:space="preserve"> sessions de l</w:t>
      </w:r>
      <w:r w:rsidR="00D91476">
        <w:t>’</w:t>
      </w:r>
      <w:r w:rsidR="001F3AEE" w:rsidRPr="00E8642C">
        <w:t>IGC</w:t>
      </w:r>
      <w:r w:rsidR="001F3AEE">
        <w:t>.  Il</w:t>
      </w:r>
      <w:r w:rsidR="00AF32FD" w:rsidRPr="00E8642C">
        <w:t xml:space="preserve"> fait l</w:t>
      </w:r>
      <w:r w:rsidR="00D91476">
        <w:t>’</w:t>
      </w:r>
      <w:r w:rsidR="00AF32FD" w:rsidRPr="00E8642C">
        <w:t>objet de l</w:t>
      </w:r>
      <w:r w:rsidR="00D91476">
        <w:t>’</w:t>
      </w:r>
      <w:r w:rsidR="00AF32FD" w:rsidRPr="00E8642C">
        <w:t>annexe du présent docume</w:t>
      </w:r>
      <w:r w:rsidR="001F3AEE" w:rsidRPr="00E8642C">
        <w:t>nt</w:t>
      </w:r>
      <w:r w:rsidR="001F3AEE">
        <w:t>.  Un</w:t>
      </w:r>
      <w:r w:rsidR="00750750">
        <w:t xml:space="preserve"> index est inclus pour plus de commodité.</w:t>
      </w:r>
    </w:p>
    <w:p w:rsidR="00D05100" w:rsidRPr="00E8642C" w:rsidRDefault="00AF32FD" w:rsidP="00E104D3">
      <w:pPr>
        <w:pStyle w:val="ONUMFS"/>
      </w:pPr>
      <w:r w:rsidRPr="00E8642C">
        <w:t>Le glossaire s</w:t>
      </w:r>
      <w:r w:rsidR="00D91476">
        <w:t>’</w:t>
      </w:r>
      <w:r w:rsidRPr="00E8642C">
        <w:t>inspire autant que possible des précédents glossaires établis par l</w:t>
      </w:r>
      <w:r w:rsidR="00D91476">
        <w:t>’</w:t>
      </w:r>
      <w:r w:rsidRPr="00E8642C">
        <w:t xml:space="preserve">IGC et des instruments existants des </w:t>
      </w:r>
      <w:r w:rsidR="00D91476">
        <w:t>Nations Unies</w:t>
      </w:r>
      <w:r w:rsidRPr="00E8642C">
        <w:t xml:space="preserve"> et d</w:t>
      </w:r>
      <w:r w:rsidR="00D91476">
        <w:t>’</w:t>
      </w:r>
      <w:r w:rsidRPr="00E8642C">
        <w:t>autres instruments internationa</w:t>
      </w:r>
      <w:r w:rsidR="001F3AEE" w:rsidRPr="00E8642C">
        <w:t>ux</w:t>
      </w:r>
      <w:r w:rsidR="001F3AEE">
        <w:t xml:space="preserve">.  </w:t>
      </w:r>
      <w:r w:rsidR="001F3AEE" w:rsidRPr="00E8642C">
        <w:t>Il</w:t>
      </w:r>
      <w:r w:rsidRPr="00E8642C">
        <w:t xml:space="preserve"> tient également compte des définitions et des glossaires que l</w:t>
      </w:r>
      <w:r w:rsidR="00D91476">
        <w:t>’</w:t>
      </w:r>
      <w:r w:rsidRPr="00E8642C">
        <w:t>on peut trouver dans les lois et projets de lois nationales et régionales, les instruments multilatéraux, dans les autres organisations et processus ainsi que dans les dictionnair</w:t>
      </w:r>
      <w:r w:rsidR="001F3AEE" w:rsidRPr="00E8642C">
        <w:t>es</w:t>
      </w:r>
      <w:r w:rsidR="001F3AEE">
        <w:t xml:space="preserve">.  </w:t>
      </w:r>
      <w:r w:rsidR="001F3AEE" w:rsidRPr="00E8642C">
        <w:t>Pa</w:t>
      </w:r>
      <w:r w:rsidRPr="00E8642C">
        <w:t>r ailleurs, les définitions sont fondées sur les documents de travail de l</w:t>
      </w:r>
      <w:r w:rsidR="00D91476">
        <w:t>’</w:t>
      </w:r>
      <w:r w:rsidRPr="00E8642C">
        <w:t>IGC, sur d</w:t>
      </w:r>
      <w:r w:rsidR="00D91476">
        <w:t>’</w:t>
      </w:r>
      <w:r w:rsidRPr="00E8642C">
        <w:t>autres documents de l</w:t>
      </w:r>
      <w:r w:rsidR="00D91476">
        <w:t>’</w:t>
      </w:r>
      <w:r w:rsidRPr="00E8642C">
        <w:t>OMPI et sur les documents établis au titre d</w:t>
      </w:r>
      <w:r w:rsidR="00D91476">
        <w:t>’</w:t>
      </w:r>
      <w:r w:rsidRPr="00E8642C">
        <w:t>autres programmes de travail de l</w:t>
      </w:r>
      <w:r w:rsidR="00D91476">
        <w:t>’</w:t>
      </w:r>
      <w:r w:rsidRPr="00E8642C">
        <w:t>O</w:t>
      </w:r>
      <w:r w:rsidR="001F3AEE" w:rsidRPr="00E8642C">
        <w:t>MPI</w:t>
      </w:r>
      <w:r w:rsidR="001F3AEE">
        <w:t xml:space="preserve">.  </w:t>
      </w:r>
      <w:r w:rsidR="001F3AEE" w:rsidRPr="00E8642C">
        <w:t>Ce</w:t>
      </w:r>
      <w:r w:rsidRPr="00E8642C">
        <w:t>la étant, les définitions proposées ne sont pas exhaustiv</w:t>
      </w:r>
      <w:r w:rsidR="001F3AEE" w:rsidRPr="00E8642C">
        <w:t>es</w:t>
      </w:r>
      <w:r w:rsidR="001F3AEE">
        <w:t xml:space="preserve">.  </w:t>
      </w:r>
      <w:r w:rsidR="001F3AEE" w:rsidRPr="00E8642C">
        <w:t>D</w:t>
      </w:r>
      <w:r w:rsidR="001F3AEE">
        <w:t>’</w:t>
      </w:r>
      <w:r w:rsidR="001F3AEE"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D91476">
        <w:t>’</w:t>
      </w:r>
      <w:r w:rsidRPr="00E8642C">
        <w:t>autres manières.</w:t>
      </w:r>
    </w:p>
    <w:p w:rsidR="00D05100" w:rsidRPr="00E8642C" w:rsidRDefault="00AF32FD" w:rsidP="00E104D3">
      <w:pPr>
        <w:pStyle w:val="ONUMFS"/>
      </w:pPr>
      <w:r w:rsidRPr="00E8642C">
        <w:t xml:space="preserve">Les termes retenus dans ce glossaire sont ceux qui sont le plus fréquemment utilisés dans les projets </w:t>
      </w:r>
      <w:r w:rsidR="00BE7E0E" w:rsidRPr="00E8642C">
        <w:t>de textes de l</w:t>
      </w:r>
      <w:r w:rsidR="00D91476">
        <w:t>’</w:t>
      </w:r>
      <w:r w:rsidR="00BE7E0E" w:rsidRPr="00E8642C">
        <w:t>IGC</w:t>
      </w:r>
      <w:r w:rsidRPr="00E8642C">
        <w:t xml:space="preserve"> et d</w:t>
      </w:r>
      <w:r w:rsidR="00D91476">
        <w:t>’</w:t>
      </w:r>
      <w:r w:rsidRPr="00E8642C">
        <w:t>autres documents connex</w:t>
      </w:r>
      <w:r w:rsidR="001F3AEE" w:rsidRPr="00E8642C">
        <w:t>es</w:t>
      </w:r>
      <w:r w:rsidR="001F3AEE">
        <w:t xml:space="preserve">.  </w:t>
      </w:r>
      <w:r w:rsidR="001F3AEE" w:rsidRPr="00E8642C">
        <w:t>Le</w:t>
      </w:r>
      <w:r w:rsidRPr="00E8642C">
        <w:t xml:space="preserve"> choix et la définition des termes indiqués dans l</w:t>
      </w:r>
      <w:r w:rsidR="00D91476">
        <w:t>’</w:t>
      </w:r>
      <w:r w:rsidRPr="00E8642C">
        <w:t>annexe sont sans préjudice de tout autre glossaire ou définition figurant dans de précédents documents de l</w:t>
      </w:r>
      <w:r w:rsidR="00D91476">
        <w:t>’</w:t>
      </w:r>
      <w:r w:rsidRPr="00E8642C">
        <w:t>IGC ou provenant de tout autre instrument ou organisme international, régional ou nation</w:t>
      </w:r>
      <w:r w:rsidR="001F3AEE" w:rsidRPr="00E8642C">
        <w:t>al</w:t>
      </w:r>
      <w:r w:rsidR="001F3AEE">
        <w:t xml:space="preserve">.  </w:t>
      </w:r>
      <w:r w:rsidR="001F3AEE" w:rsidRPr="00E8642C">
        <w:t>Il</w:t>
      </w:r>
      <w:r w:rsidRPr="00E8642C">
        <w:t>s ne doivent pas être interprétés comme étant nécessairement approuvés par les participants de l</w:t>
      </w:r>
      <w:r w:rsidR="00D91476">
        <w:t>’</w:t>
      </w:r>
      <w:r w:rsidR="001F3AEE" w:rsidRPr="00E8642C">
        <w:t>IGC</w:t>
      </w:r>
      <w:r w:rsidR="001F3AEE">
        <w:t xml:space="preserve">.  </w:t>
      </w:r>
      <w:r w:rsidR="001F3AEE" w:rsidRPr="00E8642C">
        <w:t>Il</w:t>
      </w:r>
      <w:r w:rsidRPr="00E8642C">
        <w:t xml:space="preserve"> s</w:t>
      </w:r>
      <w:r w:rsidR="00D91476">
        <w:t>’</w:t>
      </w:r>
      <w:r w:rsidRPr="00E8642C">
        <w:t>agit d</w:t>
      </w:r>
      <w:r w:rsidR="00D91476">
        <w:t>’</w:t>
      </w:r>
      <w:r w:rsidRPr="00E8642C">
        <w:t>un document d</w:t>
      </w:r>
      <w:r w:rsidR="00D91476">
        <w:t>’</w:t>
      </w:r>
      <w:r w:rsidRPr="00E8642C">
        <w:t>information et l</w:t>
      </w:r>
      <w:r w:rsidR="00D91476">
        <w:t>’</w:t>
      </w:r>
      <w:r w:rsidRPr="00E8642C">
        <w:t>IGC n</w:t>
      </w:r>
      <w:r w:rsidR="00D91476">
        <w:t>’</w:t>
      </w:r>
      <w:r w:rsidRPr="00E8642C">
        <w:t>est invité ni à approuver ni à adopter le choix des termes ni les définitions proposées.</w:t>
      </w:r>
    </w:p>
    <w:p w:rsidR="00D05100" w:rsidRPr="00E8642C" w:rsidRDefault="00AF32FD" w:rsidP="00E104D3">
      <w:pPr>
        <w:pStyle w:val="ONUMFS"/>
        <w:ind w:left="5533"/>
        <w:rPr>
          <w:i/>
        </w:rPr>
      </w:pPr>
      <w:r w:rsidRPr="00E8642C">
        <w:rPr>
          <w:i/>
          <w:iCs/>
        </w:rPr>
        <w:t>L</w:t>
      </w:r>
      <w:r w:rsidR="00D91476">
        <w:rPr>
          <w:i/>
          <w:iCs/>
        </w:rPr>
        <w:t>’</w:t>
      </w:r>
      <w:r w:rsidRPr="00E8642C">
        <w:rPr>
          <w:i/>
          <w:iCs/>
        </w:rPr>
        <w:t>IGC est invité à prendre note du présent document et de son annexe</w:t>
      </w:r>
      <w:r w:rsidRPr="00E8642C">
        <w:rPr>
          <w:i/>
        </w:rPr>
        <w:t>.</w:t>
      </w:r>
    </w:p>
    <w:p w:rsidR="00AF32FD" w:rsidRPr="00E8642C" w:rsidRDefault="00AF32FD" w:rsidP="00E104D3">
      <w:pPr>
        <w:pStyle w:val="Endofdocument"/>
        <w:spacing w:before="720" w:after="0" w:line="240" w:lineRule="auto"/>
        <w:ind w:left="5533"/>
        <w:rPr>
          <w:rFonts w:cs="Arial"/>
          <w:szCs w:val="22"/>
        </w:rPr>
        <w:sectPr w:rsidR="00AF32FD" w:rsidRPr="00E8642C" w:rsidSect="00D23D81">
          <w:headerReference w:type="even" r:id="rId9"/>
          <w:headerReference w:type="default" r:id="rId10"/>
          <w:footnotePr>
            <w:numRestart w:val="eachSect"/>
          </w:footnotePr>
          <w:pgSz w:w="11907" w:h="16840" w:code="9"/>
          <w:pgMar w:top="567" w:right="1134" w:bottom="1418" w:left="1418" w:header="510" w:footer="1021" w:gutter="0"/>
          <w:pgNumType w:start="1"/>
          <w:cols w:space="720"/>
          <w:titlePg/>
          <w:docGrid w:linePitch="299"/>
        </w:sectPr>
      </w:pPr>
      <w:r w:rsidRPr="00E8642C">
        <w:rPr>
          <w:szCs w:val="22"/>
        </w:rPr>
        <w:t>[L</w:t>
      </w:r>
      <w:r w:rsidR="00D91476">
        <w:rPr>
          <w:szCs w:val="22"/>
        </w:rPr>
        <w:t>’</w:t>
      </w:r>
      <w:r w:rsidRPr="00E8642C">
        <w:rPr>
          <w:szCs w:val="22"/>
        </w:rPr>
        <w:t>annexe suit]</w:t>
      </w:r>
    </w:p>
    <w:p w:rsidR="00E506BC" w:rsidRPr="00D23D81" w:rsidRDefault="00D71DCD" w:rsidP="00E104D3">
      <w:pPr>
        <w:pStyle w:val="Heading1"/>
        <w:spacing w:after="480"/>
        <w:rPr>
          <w:rFonts w:cs="Arial"/>
          <w:b w:val="0"/>
          <w:szCs w:val="22"/>
        </w:rPr>
      </w:pPr>
      <w:r w:rsidRPr="00D23D81">
        <w:rPr>
          <w:b w:val="0"/>
        </w:rPr>
        <w:lastRenderedPageBreak/>
        <w:t>Glossaire des principaux termes relatifs à la propriété intellectuelle et aux ressources génétiques, aux savoirs traditionnels et aux expressions culturelles traditionnelles</w:t>
      </w:r>
    </w:p>
    <w:p w:rsidR="00C67D83" w:rsidRDefault="00D55594" w:rsidP="00E104D3">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C67D83">
        <w:rPr>
          <w:noProof/>
        </w:rPr>
        <w:t>5</w:t>
      </w:r>
      <w:r w:rsidR="00C67D83">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Pr>
          <w:noProof/>
        </w:rPr>
        <w:t>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Pr>
          <w:noProof/>
        </w:rPr>
        <w:t>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Pr>
          <w:noProof/>
        </w:rPr>
        <w:t>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Pr>
          <w:noProof/>
        </w:rPr>
        <w:t>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Pr>
          <w:noProof/>
        </w:rPr>
        <w:t>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Pr>
          <w:noProof/>
        </w:rPr>
        <w:t>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Pr>
          <w:noProof/>
        </w:rPr>
        <w:t>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w:t>
      </w:r>
      <w:r w:rsidR="00D91476">
        <w:rPr>
          <w:noProof/>
        </w:rPr>
        <w:t>’</w:t>
      </w:r>
      <w:r>
        <w:rPr>
          <w:noProof/>
        </w:rPr>
        <w:t>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Pr>
          <w:noProof/>
        </w:rPr>
        <w:t>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Pr>
          <w:noProof/>
        </w:rPr>
        <w:t>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Pr>
          <w:noProof/>
        </w:rPr>
        <w:t>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Pr>
          <w:noProof/>
        </w:rPr>
        <w:t>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Pr>
          <w:noProof/>
        </w:rPr>
        <w:t>10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Pr>
          <w:noProof/>
        </w:rPr>
        <w:t>10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Pr>
          <w:noProof/>
        </w:rPr>
        <w:t>11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Pr>
          <w:noProof/>
        </w:rPr>
        <w:t>11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Pr>
          <w:noProof/>
        </w:rPr>
        <w:t>11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Pr>
          <w:noProof/>
        </w:rPr>
        <w:t>12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Pr>
          <w:noProof/>
        </w:rPr>
        <w:t>13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Conditions convenues d</w:t>
      </w:r>
      <w:r w:rsidR="00D91476">
        <w:rPr>
          <w:noProof/>
        </w:rPr>
        <w:t>’</w:t>
      </w:r>
      <w:r>
        <w:rPr>
          <w:noProof/>
        </w:rPr>
        <w:t>un commun accord</w:t>
      </w:r>
      <w:r>
        <w:rPr>
          <w:noProof/>
        </w:rPr>
        <w:tab/>
      </w:r>
      <w:r>
        <w:rPr>
          <w:noProof/>
        </w:rPr>
        <w:fldChar w:fldCharType="begin"/>
      </w:r>
      <w:r>
        <w:rPr>
          <w:noProof/>
        </w:rPr>
        <w:instrText xml:space="preserve"> PAGEREF _Toc7772504 \h </w:instrText>
      </w:r>
      <w:r>
        <w:rPr>
          <w:noProof/>
        </w:rPr>
      </w:r>
      <w:r>
        <w:rPr>
          <w:noProof/>
        </w:rPr>
        <w:fldChar w:fldCharType="separate"/>
      </w:r>
      <w:r>
        <w:rPr>
          <w:noProof/>
        </w:rPr>
        <w:t>13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Pr>
          <w:noProof/>
        </w:rPr>
        <w:t>14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Pr>
          <w:noProof/>
        </w:rPr>
        <w:t>14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Pr>
          <w:noProof/>
        </w:rPr>
        <w:t>14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Pr>
          <w:noProof/>
        </w:rPr>
        <w:t>16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Pr>
          <w:noProof/>
        </w:rPr>
        <w:t>16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Pr>
          <w:noProof/>
        </w:rPr>
        <w:t>16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Pr>
          <w:noProof/>
        </w:rPr>
        <w:t>16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Pr>
          <w:noProof/>
        </w:rPr>
        <w:t>17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concernant les mesures à prendre pour interdire et empêcher l</w:t>
      </w:r>
      <w:r w:rsidR="00D91476">
        <w:rPr>
          <w:noProof/>
        </w:rPr>
        <w:t>’</w:t>
      </w:r>
      <w:r>
        <w:rPr>
          <w:noProof/>
        </w:rPr>
        <w:t>importation, l</w:t>
      </w:r>
      <w:r w:rsidR="00D91476">
        <w:rPr>
          <w:noProof/>
        </w:rPr>
        <w:t>’</w:t>
      </w:r>
      <w:r>
        <w:rPr>
          <w:noProof/>
        </w:rPr>
        <w:t>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Pr>
          <w:noProof/>
        </w:rPr>
        <w:t>17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Pr>
          <w:noProof/>
        </w:rPr>
        <w:t>18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Pr>
          <w:noProof/>
        </w:rPr>
        <w:t>18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Pr>
          <w:noProof/>
        </w:rPr>
        <w:t>18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Pr>
          <w:noProof/>
        </w:rPr>
        <w:t>18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Pr>
          <w:noProof/>
        </w:rPr>
        <w:t>19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lastRenderedPageBreak/>
        <w:t xml:space="preserve">Déclaration des </w:t>
      </w:r>
      <w:r w:rsidR="00D91476">
        <w:rPr>
          <w:noProof/>
        </w:rPr>
        <w:t>Nations Unies</w:t>
      </w:r>
      <w:r>
        <w:rPr>
          <w:noProof/>
        </w:rPr>
        <w:t xml:space="preserve">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Pr>
          <w:noProof/>
        </w:rPr>
        <w:t>19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Déclaration universelle des droits de l</w:t>
      </w:r>
      <w:r w:rsidR="00D91476">
        <w:rPr>
          <w:noProof/>
        </w:rPr>
        <w:t>’</w:t>
      </w:r>
      <w:r>
        <w:rPr>
          <w:noProof/>
        </w:rPr>
        <w:t>homme</w:t>
      </w:r>
      <w:r>
        <w:rPr>
          <w:noProof/>
        </w:rPr>
        <w:tab/>
      </w:r>
      <w:r>
        <w:rPr>
          <w:noProof/>
        </w:rPr>
        <w:fldChar w:fldCharType="begin"/>
      </w:r>
      <w:r>
        <w:rPr>
          <w:noProof/>
        </w:rPr>
        <w:instrText xml:space="preserve"> PAGEREF _Toc7772520 \h </w:instrText>
      </w:r>
      <w:r>
        <w:rPr>
          <w:noProof/>
        </w:rPr>
      </w:r>
      <w:r>
        <w:rPr>
          <w:noProof/>
        </w:rPr>
        <w:fldChar w:fldCharType="separate"/>
      </w:r>
      <w:r>
        <w:rPr>
          <w:noProof/>
        </w:rPr>
        <w:t>20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Pr>
          <w:noProof/>
        </w:rPr>
        <w:t>20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Pr>
          <w:noProof/>
        </w:rPr>
        <w:t>20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Pr>
          <w:noProof/>
        </w:rPr>
        <w:t>20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Pr>
          <w:noProof/>
        </w:rPr>
        <w:t>21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sidR="00400337">
        <w:rPr>
          <w:noProof/>
        </w:rPr>
        <w:noBreakHyphen/>
      </w:r>
      <w:r>
        <w:rPr>
          <w:noProof/>
        </w:rPr>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Pr>
          <w:noProof/>
        </w:rPr>
        <w:t>21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Pr>
          <w:noProof/>
        </w:rPr>
        <w:t>21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Pr>
          <w:noProof/>
        </w:rPr>
        <w:t>21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Pr>
          <w:noProof/>
        </w:rPr>
        <w:t>22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Pr>
          <w:noProof/>
        </w:rPr>
        <w:t>22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Pr>
          <w:noProof/>
        </w:rPr>
        <w:t>23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Pr>
          <w:noProof/>
        </w:rPr>
        <w:t>23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Pr>
          <w:noProof/>
        </w:rPr>
        <w:t>24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Pr>
          <w:noProof/>
        </w:rPr>
        <w:t>25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Pr>
          <w:noProof/>
        </w:rPr>
        <w:t>26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Pr>
          <w:noProof/>
        </w:rPr>
        <w:t>26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Expression par l</w:t>
      </w:r>
      <w:r w:rsidR="00D91476">
        <w:rPr>
          <w:noProof/>
        </w:rPr>
        <w:t>’</w:t>
      </w:r>
      <w:r>
        <w:rPr>
          <w:noProof/>
        </w:rPr>
        <w:t>action</w:t>
      </w:r>
      <w:r>
        <w:rPr>
          <w:noProof/>
        </w:rPr>
        <w:tab/>
      </w:r>
      <w:r>
        <w:rPr>
          <w:noProof/>
        </w:rPr>
        <w:fldChar w:fldCharType="begin"/>
      </w:r>
      <w:r>
        <w:rPr>
          <w:noProof/>
        </w:rPr>
        <w:instrText xml:space="preserve"> PAGEREF _Toc7772536 \h </w:instrText>
      </w:r>
      <w:r>
        <w:rPr>
          <w:noProof/>
        </w:rPr>
      </w:r>
      <w:r>
        <w:rPr>
          <w:noProof/>
        </w:rPr>
        <w:fldChar w:fldCharType="separate"/>
      </w:r>
      <w:r>
        <w:rPr>
          <w:noProof/>
        </w:rPr>
        <w:t>27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Pr>
          <w:noProof/>
        </w:rPr>
        <w:t>27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Pr>
          <w:noProof/>
        </w:rPr>
        <w:t>27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Pr>
          <w:noProof/>
        </w:rPr>
        <w:t>28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Pr>
          <w:noProof/>
        </w:rPr>
        <w:t>28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Pr>
          <w:noProof/>
        </w:rPr>
        <w:t>29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Pr>
          <w:noProof/>
        </w:rPr>
        <w:t>29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Pr>
          <w:noProof/>
        </w:rPr>
        <w:t>29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Pr>
          <w:noProof/>
        </w:rPr>
        <w:t>30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Pr>
          <w:noProof/>
        </w:rPr>
        <w:t>31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Pr>
          <w:noProof/>
        </w:rPr>
        <w:t>31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Instrument de l</w:t>
      </w:r>
      <w:r w:rsidR="00D91476">
        <w:rPr>
          <w:noProof/>
        </w:rPr>
        <w:t>’</w:t>
      </w:r>
      <w:r>
        <w:rPr>
          <w:noProof/>
        </w:rPr>
        <w:t>OMPI sur la fixation des savoirs traditionnels (Instrument d</w:t>
      </w:r>
      <w:r w:rsidR="00D91476">
        <w:rPr>
          <w:noProof/>
        </w:rPr>
        <w:t>’</w:t>
      </w:r>
      <w:r>
        <w:rPr>
          <w:noProof/>
        </w:rPr>
        <w:t>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Pr>
          <w:noProof/>
        </w:rPr>
        <w:t>31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Pr>
          <w:noProof/>
        </w:rPr>
        <w:t>32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Pr>
          <w:noProof/>
        </w:rPr>
        <w:t>32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w:t>
      </w:r>
      <w:r w:rsidR="00D91476">
        <w:rPr>
          <w:noProof/>
        </w:rPr>
        <w:t>’</w:t>
      </w:r>
      <w:r>
        <w:rPr>
          <w:noProof/>
        </w:rPr>
        <w:t>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Pr>
          <w:noProof/>
        </w:rPr>
        <w:t>32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Pr>
          <w:noProof/>
        </w:rPr>
        <w:t>32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Pr>
          <w:noProof/>
        </w:rPr>
        <w:t>33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Mécanisme d</w:t>
      </w:r>
      <w:r w:rsidR="00D91476">
        <w:rPr>
          <w:noProof/>
        </w:rPr>
        <w:t>’</w:t>
      </w:r>
      <w:r>
        <w:rPr>
          <w:noProof/>
        </w:rPr>
        <w:t>échange d</w:t>
      </w:r>
      <w:r w:rsidR="00D91476">
        <w:rPr>
          <w:noProof/>
        </w:rPr>
        <w:t>’</w:t>
      </w:r>
      <w:r>
        <w:rPr>
          <w:noProof/>
        </w:rPr>
        <w:t>information</w:t>
      </w:r>
      <w:r>
        <w:rPr>
          <w:noProof/>
        </w:rPr>
        <w:tab/>
      </w:r>
      <w:r>
        <w:rPr>
          <w:noProof/>
        </w:rPr>
        <w:fldChar w:fldCharType="begin"/>
      </w:r>
      <w:r>
        <w:rPr>
          <w:noProof/>
        </w:rPr>
        <w:instrText xml:space="preserve"> PAGEREF _Toc7772553 \h </w:instrText>
      </w:r>
      <w:r>
        <w:rPr>
          <w:noProof/>
        </w:rPr>
      </w:r>
      <w:r>
        <w:rPr>
          <w:noProof/>
        </w:rPr>
        <w:fldChar w:fldCharType="separate"/>
      </w:r>
      <w:r>
        <w:rPr>
          <w:noProof/>
        </w:rPr>
        <w:t>33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Pr>
          <w:noProof/>
        </w:rPr>
        <w:t>33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Pr>
          <w:noProof/>
        </w:rPr>
        <w:t>34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lastRenderedPageBreak/>
        <w:t>Modification</w:t>
      </w:r>
      <w:r>
        <w:rPr>
          <w:noProof/>
        </w:rPr>
        <w:tab/>
      </w:r>
      <w:r>
        <w:rPr>
          <w:noProof/>
        </w:rPr>
        <w:fldChar w:fldCharType="begin"/>
      </w:r>
      <w:r>
        <w:rPr>
          <w:noProof/>
        </w:rPr>
        <w:instrText xml:space="preserve"> PAGEREF _Toc7772556 \h </w:instrText>
      </w:r>
      <w:r>
        <w:rPr>
          <w:noProof/>
        </w:rPr>
      </w:r>
      <w:r>
        <w:rPr>
          <w:noProof/>
        </w:rPr>
        <w:fldChar w:fldCharType="separate"/>
      </w:r>
      <w:r>
        <w:rPr>
          <w:noProof/>
        </w:rPr>
        <w:t>34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Mutilation</w:t>
      </w:r>
      <w:r>
        <w:rPr>
          <w:noProof/>
        </w:rPr>
        <w:tab/>
      </w:r>
      <w:r>
        <w:rPr>
          <w:noProof/>
        </w:rPr>
        <w:fldChar w:fldCharType="begin"/>
      </w:r>
      <w:r>
        <w:rPr>
          <w:noProof/>
        </w:rPr>
        <w:instrText xml:space="preserve"> PAGEREF _Toc7772557 \h </w:instrText>
      </w:r>
      <w:r>
        <w:rPr>
          <w:noProof/>
        </w:rPr>
      </w:r>
      <w:r>
        <w:rPr>
          <w:noProof/>
        </w:rPr>
        <w:fldChar w:fldCharType="separate"/>
      </w:r>
      <w:r>
        <w:rPr>
          <w:noProof/>
        </w:rPr>
        <w:t>34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Pr>
          <w:noProof/>
        </w:rPr>
        <w:t>35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Pr>
          <w:noProof/>
        </w:rPr>
        <w:t>35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Pr>
          <w:noProof/>
        </w:rPr>
        <w:t>36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Pr>
          <w:noProof/>
        </w:rPr>
        <w:t>36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Pr>
          <w:noProof/>
        </w:rPr>
        <w:t>37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Pr>
          <w:noProof/>
        </w:rPr>
        <w:t>37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Pr>
          <w:noProof/>
        </w:rPr>
        <w:t>38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Pays d</w:t>
      </w:r>
      <w:r w:rsidR="00D91476">
        <w:rPr>
          <w:noProof/>
        </w:rPr>
        <w:t>’</w:t>
      </w:r>
      <w:r>
        <w:rPr>
          <w:noProof/>
        </w:rPr>
        <w:t>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Pr>
          <w:noProof/>
        </w:rPr>
        <w:t>38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Pr>
          <w:noProof/>
        </w:rPr>
        <w:t>38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Pr>
          <w:noProof/>
        </w:rPr>
        <w:t>39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Pr>
          <w:noProof/>
        </w:rPr>
        <w:t>42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Pr>
          <w:noProof/>
        </w:rPr>
        <w:t>42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w:t>
      </w:r>
      <w:r w:rsidR="00D91476">
        <w:rPr>
          <w:noProof/>
        </w:rPr>
        <w:t>’</w:t>
      </w:r>
      <w:r>
        <w:rPr>
          <w:noProof/>
        </w:rPr>
        <w:t>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Pr>
          <w:noProof/>
        </w:rPr>
        <w:t>42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Pr>
          <w:noProof/>
        </w:rPr>
        <w:t>43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Pr>
          <w:noProof/>
        </w:rPr>
        <w:t>44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Pr>
          <w:noProof/>
        </w:rPr>
        <w:t>44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Protocole de Nagoya sur l</w:t>
      </w:r>
      <w:r w:rsidR="00D91476">
        <w:rPr>
          <w:noProof/>
        </w:rPr>
        <w:t>’</w:t>
      </w:r>
      <w:r>
        <w:rPr>
          <w:noProof/>
        </w:rPr>
        <w:t>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Pr>
          <w:noProof/>
        </w:rPr>
        <w:t>45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Pr>
          <w:noProof/>
        </w:rPr>
        <w:t>45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Pr>
          <w:noProof/>
        </w:rPr>
        <w:t>45</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Pr>
          <w:noProof/>
        </w:rPr>
        <w:t>46</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Pr>
          <w:noProof/>
        </w:rPr>
        <w:t>47</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Pr>
          <w:noProof/>
        </w:rPr>
        <w:t>48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Pr>
          <w:noProof/>
        </w:rPr>
        <w:t>48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Pr>
          <w:noProof/>
        </w:rPr>
        <w:t>48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Pr>
          <w:noProof/>
        </w:rPr>
        <w:t>48</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Pr>
          <w:noProof/>
        </w:rPr>
        <w:t>49</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Pr>
          <w:noProof/>
        </w:rPr>
        <w:t>50</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Pr>
          <w:noProof/>
        </w:rPr>
        <w:t>51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Pr>
          <w:noProof/>
        </w:rPr>
        <w:t>51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Pr>
          <w:noProof/>
        </w:rPr>
        <w:t>51</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Pr>
          <w:noProof/>
        </w:rPr>
        <w:t>52</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Pr>
          <w:noProof/>
        </w:rPr>
        <w:t>53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Pr>
          <w:noProof/>
        </w:rPr>
        <w:t>53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Pr>
          <w:noProof/>
        </w:rPr>
        <w:t>53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sidRPr="002810B8">
        <w:rPr>
          <w:i/>
          <w:noProof/>
        </w:rPr>
        <w:lastRenderedPageBreak/>
        <w:t>Sui generis</w:t>
      </w:r>
      <w:r>
        <w:rPr>
          <w:noProof/>
        </w:rPr>
        <w:tab/>
      </w:r>
      <w:r>
        <w:rPr>
          <w:noProof/>
        </w:rPr>
        <w:fldChar w:fldCharType="begin"/>
      </w:r>
      <w:r>
        <w:rPr>
          <w:noProof/>
        </w:rPr>
        <w:instrText xml:space="preserve"> PAGEREF _Toc7772592 \h </w:instrText>
      </w:r>
      <w:r>
        <w:rPr>
          <w:noProof/>
        </w:rPr>
      </w:r>
      <w:r>
        <w:rPr>
          <w:noProof/>
        </w:rPr>
        <w:fldChar w:fldCharType="separate"/>
      </w:r>
      <w:r>
        <w:rPr>
          <w:noProof/>
        </w:rPr>
        <w:t>53</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Traité international sur les ressources phytogénétiques pour l</w:t>
      </w:r>
      <w:r w:rsidR="00D91476">
        <w:rPr>
          <w:noProof/>
        </w:rPr>
        <w:t>’</w:t>
      </w:r>
      <w:r>
        <w:rPr>
          <w:noProof/>
        </w:rPr>
        <w:t>alimentation et l</w:t>
      </w:r>
      <w:r w:rsidR="00D91476">
        <w:rPr>
          <w:noProof/>
        </w:rPr>
        <w:t>’</w:t>
      </w:r>
      <w:r>
        <w:rPr>
          <w:noProof/>
        </w:rPr>
        <w:t>agriculture</w:t>
      </w:r>
      <w:r>
        <w:rPr>
          <w:noProof/>
        </w:rPr>
        <w:tab/>
      </w:r>
      <w:r>
        <w:rPr>
          <w:noProof/>
        </w:rPr>
        <w:fldChar w:fldCharType="begin"/>
      </w:r>
      <w:r>
        <w:rPr>
          <w:noProof/>
        </w:rPr>
        <w:instrText xml:space="preserve"> PAGEREF _Toc7772593 \h </w:instrText>
      </w:r>
      <w:r>
        <w:rPr>
          <w:noProof/>
        </w:rPr>
      </w:r>
      <w:r>
        <w:rPr>
          <w:noProof/>
        </w:rPr>
        <w:fldChar w:fldCharType="separate"/>
      </w:r>
      <w:r>
        <w:rPr>
          <w:noProof/>
        </w:rPr>
        <w:t>54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Pr>
          <w:noProof/>
        </w:rPr>
        <w:t>54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Pr>
          <w:noProof/>
        </w:rPr>
        <w:t>54</w:t>
      </w:r>
      <w:r>
        <w:rPr>
          <w:noProof/>
        </w:rPr>
        <w:fldChar w:fldCharType="end"/>
      </w:r>
    </w:p>
    <w:p w:rsidR="00C67D83" w:rsidRDefault="00C67D83" w:rsidP="00E104D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Pr>
          <w:noProof/>
        </w:rPr>
        <w:t>56</w:t>
      </w:r>
      <w:r>
        <w:rPr>
          <w:noProof/>
        </w:rPr>
        <w:fldChar w:fldCharType="end"/>
      </w:r>
    </w:p>
    <w:p w:rsidR="00F9045F" w:rsidRDefault="00D55594" w:rsidP="00E104D3">
      <w:r>
        <w:fldChar w:fldCharType="end"/>
      </w:r>
    </w:p>
    <w:p w:rsidR="00D55594" w:rsidRDefault="00D55594" w:rsidP="00E104D3">
      <w:r>
        <w:br w:type="page"/>
      </w:r>
    </w:p>
    <w:p w:rsidR="00D23D81" w:rsidRDefault="00DD607D" w:rsidP="00E104D3">
      <w:pPr>
        <w:pStyle w:val="Heading2"/>
        <w:spacing w:after="220"/>
      </w:pPr>
      <w:bookmarkStart w:id="6" w:name="_Toc7772485"/>
      <w:r w:rsidRPr="00E8642C">
        <w:lastRenderedPageBreak/>
        <w:t>Accès et partage des avantages</w:t>
      </w:r>
      <w:bookmarkEnd w:id="6"/>
    </w:p>
    <w:p w:rsidR="00D23D81" w:rsidRDefault="00DD607D" w:rsidP="00E104D3">
      <w:pPr>
        <w:pStyle w:val="CommentText"/>
        <w:spacing w:after="220"/>
        <w:rPr>
          <w:rFonts w:cs="Arial"/>
          <w:snapToGrid w:val="0"/>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D91476">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23D81" w:rsidRDefault="00DD607D" w:rsidP="00E104D3">
      <w:pPr>
        <w:spacing w:after="220"/>
        <w:rPr>
          <w:rFonts w:cs="Arial"/>
          <w:szCs w:val="22"/>
          <w:lang w:eastAsia="zh-CN"/>
        </w:rPr>
      </w:pPr>
      <w:r w:rsidRPr="00E8642C">
        <w:rPr>
          <w:rFonts w:cs="Arial"/>
          <w:szCs w:val="22"/>
          <w:lang w:eastAsia="zh-CN"/>
        </w:rPr>
        <w:t>L</w:t>
      </w:r>
      <w:r w:rsidR="00D91476">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D91476">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91476">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D91476">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D91476">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D91476">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23D81" w:rsidRDefault="00DD607D" w:rsidP="00E104D3">
      <w:pPr>
        <w:spacing w:after="220"/>
        <w:rPr>
          <w:rFonts w:cs="Arial"/>
          <w:szCs w:val="22"/>
        </w:rPr>
      </w:pPr>
      <w:r w:rsidRPr="00E8642C">
        <w:rPr>
          <w:rFonts w:cs="Arial"/>
          <w:szCs w:val="22"/>
        </w:rPr>
        <w:t xml:space="preserve">En ce qui concerne les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91476">
        <w:rPr>
          <w:rFonts w:cs="Arial"/>
          <w:szCs w:val="22"/>
        </w:rPr>
        <w:t>’</w:t>
      </w:r>
      <w:r w:rsidRPr="00E8642C">
        <w:rPr>
          <w:rFonts w:cs="Arial"/>
          <w:szCs w:val="22"/>
        </w:rPr>
        <w:t>“accès” comme “</w:t>
      </w:r>
      <w:r w:rsidRPr="00E8642C">
        <w:rPr>
          <w:rFonts w:cs="Arial"/>
          <w:iCs/>
          <w:szCs w:val="22"/>
        </w:rPr>
        <w:t>l</w:t>
      </w:r>
      <w:r w:rsidR="00D91476">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D91476">
        <w:rPr>
          <w:rFonts w:cs="Arial"/>
          <w:iCs/>
          <w:szCs w:val="22"/>
        </w:rPr>
        <w:t>’</w:t>
      </w:r>
      <w:r w:rsidRPr="00E8642C">
        <w:rPr>
          <w:rFonts w:cs="Arial"/>
          <w:iCs/>
          <w:szCs w:val="22"/>
        </w:rPr>
        <w:t>application industrielle et commerciale</w:t>
      </w:r>
      <w:r w:rsidRPr="00E8642C">
        <w:rPr>
          <w:rFonts w:cs="Arial"/>
          <w:szCs w:val="22"/>
        </w:rPr>
        <w:t>”.</w:t>
      </w:r>
    </w:p>
    <w:p w:rsidR="00D23D81" w:rsidRDefault="00DD607D" w:rsidP="00E104D3">
      <w:pPr>
        <w:pStyle w:val="CommentText"/>
        <w:spacing w:after="220"/>
        <w:rPr>
          <w:rFonts w:cs="Arial"/>
          <w:szCs w:val="22"/>
        </w:rPr>
      </w:pPr>
      <w:r w:rsidRPr="00E8642C">
        <w:rPr>
          <w:rFonts w:cs="Arial"/>
          <w:szCs w:val="22"/>
        </w:rPr>
        <w:t>Les avantages peuvent inclure mais ne sont pas limités aux avantages monétaires et non monétaires énumérés à l</w:t>
      </w:r>
      <w:r w:rsidR="00D91476">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D91476">
        <w:rPr>
          <w:rFonts w:cs="Arial"/>
          <w:szCs w:val="22"/>
        </w:rPr>
        <w:t>’</w:t>
      </w:r>
      <w:r w:rsidRPr="00E8642C">
        <w:rPr>
          <w:rFonts w:cs="Arial"/>
          <w:szCs w:val="22"/>
        </w:rPr>
        <w:t>obtention de l</w:t>
      </w:r>
      <w:r w:rsidR="00D91476">
        <w:rPr>
          <w:rFonts w:cs="Arial"/>
          <w:szCs w:val="22"/>
        </w:rPr>
        <w:t>’</w:t>
      </w:r>
      <w:r w:rsidRPr="00E8642C">
        <w:rPr>
          <w:rFonts w:cs="Arial"/>
          <w:szCs w:val="22"/>
        </w:rPr>
        <w:t>accès aux ressources génétiques et du partage des avantages peuvent comprendre des activités antérieures à l</w:t>
      </w:r>
      <w:r w:rsidR="00D91476">
        <w:rPr>
          <w:rFonts w:cs="Arial"/>
          <w:szCs w:val="22"/>
        </w:rPr>
        <w:t>’</w:t>
      </w:r>
      <w:r w:rsidRPr="00E8642C">
        <w:rPr>
          <w:rFonts w:cs="Arial"/>
          <w:szCs w:val="22"/>
        </w:rPr>
        <w:t>accès, des travaux de recherche et de mise en valeur sur les ressources génétiques ainsi que la commercialisation et d</w:t>
      </w:r>
      <w:r w:rsidR="00D91476">
        <w:rPr>
          <w:rFonts w:cs="Arial"/>
          <w:szCs w:val="22"/>
        </w:rPr>
        <w:t>’</w:t>
      </w:r>
      <w:r w:rsidRPr="00E8642C">
        <w:rPr>
          <w:rFonts w:cs="Arial"/>
          <w:szCs w:val="22"/>
        </w:rPr>
        <w:t>autres utilisations de celles</w:t>
      </w:r>
      <w:r w:rsidR="00400337">
        <w:rPr>
          <w:rFonts w:cs="Arial"/>
          <w:szCs w:val="22"/>
        </w:rPr>
        <w:noBreakHyphen/>
      </w:r>
      <w:r w:rsidRPr="00E8642C">
        <w:rPr>
          <w:rFonts w:cs="Arial"/>
          <w:szCs w:val="22"/>
        </w:rPr>
        <w:t xml:space="preserve">ci, </w:t>
      </w:r>
      <w:r w:rsidR="00D91476">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23D81" w:rsidRDefault="00DD607D" w:rsidP="00E104D3">
      <w:pPr>
        <w:pStyle w:val="Heading2"/>
        <w:spacing w:after="220" w:line="240" w:lineRule="auto"/>
      </w:pPr>
      <w:bookmarkStart w:id="7" w:name="_Toc7772486"/>
      <w:r w:rsidRPr="00E8642C">
        <w:t>Accord de transfert de matériel</w:t>
      </w:r>
      <w:bookmarkEnd w:id="7"/>
    </w:p>
    <w:p w:rsidR="00DD607D" w:rsidRPr="00E8642C" w:rsidRDefault="00DD607D" w:rsidP="00E104D3">
      <w:pPr>
        <w:spacing w:after="220"/>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400337">
        <w:rPr>
          <w:rFonts w:cs="Arial"/>
          <w:iCs/>
          <w:szCs w:val="22"/>
        </w:rPr>
        <w:noBreakHyphen/>
      </w:r>
      <w:r w:rsidRPr="00E8642C">
        <w:rPr>
          <w:rFonts w:cs="Arial"/>
          <w:iCs/>
          <w:szCs w:val="22"/>
        </w:rPr>
        <w:t>organismes et cultures cellulaires, entre le fournisseur et le bénéficiaire et fixant les conditions d</w:t>
      </w:r>
      <w:r w:rsidR="00D91476">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D91476">
        <w:rPr>
          <w:rFonts w:cs="Arial"/>
          <w:szCs w:val="22"/>
        </w:rPr>
        <w:t>’</w:t>
      </w:r>
      <w:r w:rsidRPr="00E8642C">
        <w:rPr>
          <w:rFonts w:cs="Arial"/>
          <w:szCs w:val="22"/>
        </w:rPr>
        <w:t>OMPI a élaboré la base de données des accords d</w:t>
      </w:r>
      <w:r w:rsidR="00D91476">
        <w:rPr>
          <w:rFonts w:cs="Arial"/>
          <w:szCs w:val="22"/>
        </w:rPr>
        <w:t>’</w:t>
      </w:r>
      <w:r w:rsidRPr="00E8642C">
        <w:rPr>
          <w:rFonts w:cs="Arial"/>
          <w:szCs w:val="22"/>
        </w:rPr>
        <w:t>accès et de partage des avantages en matière de biodiversité contenant les clauses contractuelles relatives au transfert et à l</w:t>
      </w:r>
      <w:r w:rsidR="00D91476">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D91476">
        <w:rPr>
          <w:rFonts w:cs="Arial"/>
          <w:szCs w:val="22"/>
        </w:rPr>
        <w:t>’</w:t>
      </w:r>
      <w:r w:rsidRPr="00E8642C">
        <w:rPr>
          <w:rFonts w:cs="Arial"/>
          <w:szCs w:val="22"/>
        </w:rPr>
        <w:t xml:space="preserve">Organisation des </w:t>
      </w:r>
      <w:r w:rsidR="00D91476">
        <w:rPr>
          <w:rFonts w:cs="Arial"/>
          <w:szCs w:val="22"/>
        </w:rPr>
        <w:lastRenderedPageBreak/>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a élaboré et adopté en 2006 un Accord type de transfert de matériel dans le cadre de la mise en œuvre du Traité international sur les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D91476">
        <w:rPr>
          <w:rFonts w:cs="Arial"/>
          <w:bCs/>
          <w:szCs w:val="22"/>
        </w:rPr>
        <w:t>’</w:t>
      </w:r>
      <w:r w:rsidRPr="00E8642C">
        <w:rPr>
          <w:rFonts w:cs="Arial"/>
          <w:bCs/>
          <w:szCs w:val="22"/>
        </w:rPr>
        <w:t xml:space="preserve">appendice I des </w:t>
      </w:r>
      <w:r w:rsidRPr="00E8642C">
        <w:rPr>
          <w:rFonts w:cs="Arial"/>
          <w:bCs/>
          <w:i/>
          <w:szCs w:val="22"/>
        </w:rPr>
        <w:t>Lignes directrices de Bonn sur l</w:t>
      </w:r>
      <w:r w:rsidR="00D91476">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23D81" w:rsidRDefault="00DD607D" w:rsidP="00E104D3">
      <w:pPr>
        <w:pStyle w:val="Heading2"/>
        <w:spacing w:after="220" w:line="240" w:lineRule="auto"/>
      </w:pPr>
      <w:bookmarkStart w:id="8" w:name="_Toc7772487"/>
      <w:r w:rsidRPr="00E8642C">
        <w:t>Accord et participation</w:t>
      </w:r>
      <w:bookmarkEnd w:id="8"/>
    </w:p>
    <w:p w:rsidR="00D23D81" w:rsidRDefault="00DD607D" w:rsidP="00E104D3">
      <w:pPr>
        <w:spacing w:after="220"/>
        <w:rPr>
          <w:rFonts w:cs="Arial"/>
          <w:szCs w:val="22"/>
        </w:rPr>
      </w:pPr>
      <w:r w:rsidRPr="00E8642C">
        <w:rPr>
          <w:rFonts w:cs="Arial"/>
          <w:szCs w:val="22"/>
        </w:rPr>
        <w:t>Il n</w:t>
      </w:r>
      <w:r w:rsidR="00D91476">
        <w:rPr>
          <w:rFonts w:cs="Arial"/>
          <w:szCs w:val="22"/>
        </w:rPr>
        <w:t>’</w:t>
      </w:r>
      <w:r w:rsidRPr="00E8642C">
        <w:rPr>
          <w:rFonts w:cs="Arial"/>
          <w:szCs w:val="22"/>
        </w:rPr>
        <w:t>existe pas de définition universellement acceptée de cette expressi</w:t>
      </w:r>
      <w:r w:rsidR="001F3AEE" w:rsidRPr="00E8642C">
        <w:rPr>
          <w:rFonts w:cs="Arial"/>
          <w:szCs w:val="22"/>
        </w:rPr>
        <w:t>on</w:t>
      </w:r>
      <w:r w:rsidR="001F3AEE">
        <w:rPr>
          <w:rFonts w:cs="Arial"/>
          <w:szCs w:val="22"/>
        </w:rPr>
        <w:t xml:space="preserve">.  </w:t>
      </w:r>
      <w:r w:rsidR="001F3AEE" w:rsidRPr="00E8642C">
        <w:rPr>
          <w:rFonts w:cs="Arial"/>
          <w:szCs w:val="22"/>
        </w:rPr>
        <w:t>Il</w:t>
      </w:r>
      <w:r w:rsidRPr="00E8642C">
        <w:rPr>
          <w:rFonts w:cs="Arial"/>
          <w:szCs w:val="22"/>
        </w:rPr>
        <w:t xml:space="preserve"> a été suggéré dans un contexte que, bien que l</w:t>
      </w:r>
      <w:r w:rsidR="00D91476">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D91476">
        <w:rPr>
          <w:rFonts w:cs="Arial"/>
          <w:szCs w:val="22"/>
        </w:rPr>
        <w:t>’</w:t>
      </w:r>
      <w:r w:rsidRPr="00E8642C">
        <w:rPr>
          <w:rFonts w:cs="Arial"/>
          <w:szCs w:val="22"/>
        </w:rPr>
        <w:t>expression “accord et participation”, plusieurs décisions fondées sur l</w:t>
      </w:r>
      <w:r w:rsidR="00D91476">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23D81" w:rsidRDefault="00DD607D" w:rsidP="00E104D3">
      <w:pPr>
        <w:pStyle w:val="Heading2"/>
        <w:spacing w:after="220" w:line="240" w:lineRule="auto"/>
      </w:pPr>
      <w:bookmarkStart w:id="9" w:name="_Toc7772488"/>
      <w:r w:rsidRPr="00E8642C">
        <w:t>Activité inventive</w:t>
      </w:r>
      <w:bookmarkEnd w:id="9"/>
    </w:p>
    <w:p w:rsidR="00D23D81" w:rsidRDefault="00DD607D" w:rsidP="00E104D3">
      <w:pPr>
        <w:autoSpaceDE w:val="0"/>
        <w:autoSpaceDN w:val="0"/>
        <w:adjustRightInd w:val="0"/>
        <w:spacing w:after="220"/>
        <w:rPr>
          <w:rFonts w:cs="Arial"/>
          <w:bCs/>
          <w:szCs w:val="22"/>
        </w:rPr>
      </w:pPr>
      <w:r w:rsidRPr="00E8642C">
        <w:rPr>
          <w:rFonts w:cs="Arial"/>
          <w:bCs/>
          <w:szCs w:val="22"/>
        </w:rPr>
        <w:t>L</w:t>
      </w:r>
      <w:r w:rsidR="00D91476">
        <w:rPr>
          <w:rFonts w:cs="Arial"/>
          <w:bCs/>
          <w:szCs w:val="22"/>
        </w:rPr>
        <w:t>’</w:t>
      </w:r>
      <w:r w:rsidRPr="00E8642C">
        <w:rPr>
          <w:rFonts w:cs="Arial"/>
          <w:bCs/>
          <w:szCs w:val="22"/>
        </w:rPr>
        <w:t>activité inventive (également dénommée “non</w:t>
      </w:r>
      <w:r w:rsidR="00400337">
        <w:rPr>
          <w:rFonts w:cs="Arial"/>
          <w:bCs/>
          <w:szCs w:val="22"/>
        </w:rPr>
        <w:noBreakHyphen/>
      </w:r>
      <w:r w:rsidRPr="00E8642C">
        <w:rPr>
          <w:rFonts w:cs="Arial"/>
          <w:bCs/>
          <w:szCs w:val="22"/>
        </w:rPr>
        <w:t>évidence”) est l</w:t>
      </w:r>
      <w:r w:rsidR="00D91476">
        <w:rPr>
          <w:rFonts w:cs="Arial"/>
          <w:bCs/>
          <w:szCs w:val="22"/>
        </w:rPr>
        <w:t>’</w:t>
      </w:r>
      <w:r w:rsidRPr="00E8642C">
        <w:rPr>
          <w:rFonts w:cs="Arial"/>
          <w:bCs/>
          <w:szCs w:val="22"/>
        </w:rPr>
        <w:t>un des critères de brevetabilité et se rapporte à la question de savoir si l</w:t>
      </w:r>
      <w:r w:rsidR="00D91476">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23D81" w:rsidRDefault="00DD607D" w:rsidP="00E104D3">
      <w:pPr>
        <w:autoSpaceDE w:val="0"/>
        <w:autoSpaceDN w:val="0"/>
        <w:adjustRightInd w:val="0"/>
        <w:spacing w:after="220"/>
        <w:rPr>
          <w:rFonts w:cs="Arial"/>
          <w:bCs/>
          <w:szCs w:val="22"/>
        </w:rPr>
      </w:pPr>
      <w:r w:rsidRPr="00E8642C">
        <w:rPr>
          <w:rFonts w:cs="Arial"/>
          <w:bCs/>
          <w:szCs w:val="22"/>
        </w:rPr>
        <w:t>Aux termes de l</w:t>
      </w:r>
      <w:r w:rsidR="00D91476">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D91476">
        <w:rPr>
          <w:rFonts w:cs="Arial"/>
          <w:bCs/>
          <w:iCs/>
          <w:szCs w:val="22"/>
        </w:rPr>
        <w:t>’</w:t>
      </w:r>
      <w:r w:rsidRPr="00E8642C">
        <w:rPr>
          <w:rFonts w:cs="Arial"/>
          <w:bCs/>
          <w:iCs/>
          <w:szCs w:val="22"/>
        </w:rPr>
        <w:t>état de la technique tel qu</w:t>
      </w:r>
      <w:r w:rsidR="00D91476">
        <w:rPr>
          <w:rFonts w:cs="Arial"/>
          <w:bCs/>
          <w:iCs/>
          <w:szCs w:val="22"/>
        </w:rPr>
        <w:t>’</w:t>
      </w:r>
      <w:r w:rsidRPr="00E8642C">
        <w:rPr>
          <w:rFonts w:cs="Arial"/>
          <w:bCs/>
          <w:iCs/>
          <w:szCs w:val="22"/>
        </w:rPr>
        <w:t>il est défini dans le règlement d</w:t>
      </w:r>
      <w:r w:rsidR="00D91476">
        <w:rPr>
          <w:rFonts w:cs="Arial"/>
          <w:bCs/>
          <w:iCs/>
          <w:szCs w:val="22"/>
        </w:rPr>
        <w:t>’</w:t>
      </w:r>
      <w:r w:rsidRPr="00E8642C">
        <w:rPr>
          <w:rFonts w:cs="Arial"/>
          <w:bCs/>
          <w:iCs/>
          <w:szCs w:val="22"/>
        </w:rPr>
        <w:t>exécution, elle n</w:t>
      </w:r>
      <w:r w:rsidR="00D91476">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23D81" w:rsidRDefault="00DD607D" w:rsidP="00E104D3">
      <w:pPr>
        <w:autoSpaceDE w:val="0"/>
        <w:autoSpaceDN w:val="0"/>
        <w:adjustRightInd w:val="0"/>
        <w:spacing w:after="220"/>
        <w:rPr>
          <w:rFonts w:cs="Arial"/>
          <w:bCs/>
          <w:szCs w:val="22"/>
        </w:rPr>
      </w:pPr>
      <w:r w:rsidRPr="00E8642C">
        <w:rPr>
          <w:rFonts w:cs="Arial"/>
          <w:bCs/>
          <w:szCs w:val="22"/>
        </w:rPr>
        <w:t>L</w:t>
      </w:r>
      <w:r w:rsidR="00D91476">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D91476">
        <w:rPr>
          <w:rFonts w:cs="Arial"/>
          <w:bCs/>
          <w:szCs w:val="22"/>
        </w:rPr>
        <w:t>’</w:t>
      </w:r>
      <w:r w:rsidRPr="00E8642C">
        <w:rPr>
          <w:rFonts w:cs="Arial"/>
          <w:bCs/>
          <w:szCs w:val="22"/>
        </w:rPr>
        <w:t>article 103 du titre 35 du Code des États</w:t>
      </w:r>
      <w:r w:rsidR="00400337">
        <w:rPr>
          <w:rFonts w:cs="Arial"/>
          <w:bCs/>
          <w:szCs w:val="22"/>
        </w:rPr>
        <w:noBreakHyphen/>
      </w:r>
      <w:r w:rsidRPr="00E8642C">
        <w:rPr>
          <w:rFonts w:cs="Arial"/>
          <w:bCs/>
          <w:szCs w:val="22"/>
        </w:rPr>
        <w:t>Unis d</w:t>
      </w:r>
      <w:r w:rsidR="00D91476">
        <w:rPr>
          <w:rFonts w:cs="Arial"/>
          <w:bCs/>
          <w:szCs w:val="22"/>
        </w:rPr>
        <w:t>’</w:t>
      </w:r>
      <w:r w:rsidRPr="00E8642C">
        <w:rPr>
          <w:rFonts w:cs="Arial"/>
          <w:bCs/>
          <w:szCs w:val="22"/>
        </w:rPr>
        <w:t>Amérique contiennent des définitions similair</w:t>
      </w:r>
      <w:r w:rsidR="001F3AEE" w:rsidRPr="00E8642C">
        <w:rPr>
          <w:rFonts w:cs="Arial"/>
          <w:bCs/>
          <w:szCs w:val="22"/>
        </w:rPr>
        <w:t>es</w:t>
      </w:r>
      <w:r w:rsidR="001F3AEE">
        <w:rPr>
          <w:rFonts w:cs="Arial"/>
          <w:bCs/>
          <w:szCs w:val="22"/>
        </w:rPr>
        <w:t xml:space="preserve">.  </w:t>
      </w:r>
      <w:r w:rsidR="001F3AEE" w:rsidRPr="00E8642C">
        <w:rPr>
          <w:rFonts w:cs="Arial"/>
          <w:bCs/>
          <w:szCs w:val="22"/>
        </w:rPr>
        <w:t>L</w:t>
      </w:r>
      <w:r w:rsidR="001F3AEE">
        <w:rPr>
          <w:rFonts w:cs="Arial"/>
          <w:bCs/>
          <w:szCs w:val="22"/>
        </w:rPr>
        <w:t>’</w:t>
      </w:r>
      <w:r w:rsidR="001F3AEE" w:rsidRPr="00E8642C">
        <w:rPr>
          <w:rFonts w:cs="Arial"/>
          <w:bCs/>
          <w:szCs w:val="22"/>
        </w:rPr>
        <w:t>a</w:t>
      </w:r>
      <w:r w:rsidRPr="00E8642C">
        <w:rPr>
          <w:rFonts w:cs="Arial"/>
          <w:bCs/>
          <w:szCs w:val="22"/>
        </w:rPr>
        <w:t>rticle 103 du titre 35 du Code des États</w:t>
      </w:r>
      <w:r w:rsidR="00400337">
        <w:rPr>
          <w:rFonts w:cs="Arial"/>
          <w:bCs/>
          <w:szCs w:val="22"/>
        </w:rPr>
        <w:noBreakHyphen/>
      </w:r>
      <w:r w:rsidRPr="00E8642C">
        <w:rPr>
          <w:rFonts w:cs="Arial"/>
          <w:bCs/>
          <w:szCs w:val="22"/>
        </w:rPr>
        <w:t>Unis d</w:t>
      </w:r>
      <w:r w:rsidR="00D91476">
        <w:rPr>
          <w:rFonts w:cs="Arial"/>
          <w:bCs/>
          <w:szCs w:val="22"/>
        </w:rPr>
        <w:t>’</w:t>
      </w:r>
      <w:r w:rsidRPr="00E8642C">
        <w:rPr>
          <w:rFonts w:cs="Arial"/>
          <w:bCs/>
          <w:szCs w:val="22"/>
        </w:rPr>
        <w:t>Amérique utilise le terme équivalent de “non</w:t>
      </w:r>
      <w:r w:rsidR="00400337">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23D81" w:rsidRDefault="00DD607D" w:rsidP="00E104D3">
      <w:pPr>
        <w:pStyle w:val="Heading2"/>
        <w:spacing w:after="220" w:line="240" w:lineRule="auto"/>
      </w:pPr>
      <w:bookmarkStart w:id="10" w:name="_Toc7772489"/>
      <w:r w:rsidRPr="00E8642C">
        <w:t>Adaptation</w:t>
      </w:r>
      <w:bookmarkEnd w:id="10"/>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adaptation est l</w:t>
      </w:r>
      <w:r w:rsidR="00D91476">
        <w:rPr>
          <w:rFonts w:cs="Arial"/>
          <w:szCs w:val="22"/>
        </w:rPr>
        <w:t>’</w:t>
      </w:r>
      <w:r w:rsidRPr="00E8642C">
        <w:rPr>
          <w:rFonts w:cs="Arial"/>
          <w:szCs w:val="22"/>
        </w:rPr>
        <w:t>action de modifier une œuvre préexistante (protégée ou tombée dans le domaine public) ou une expression culturelle traditionnelle pour qu</w:t>
      </w:r>
      <w:r w:rsidR="00D91476">
        <w:rPr>
          <w:rFonts w:cs="Arial"/>
          <w:szCs w:val="22"/>
        </w:rPr>
        <w:t>’</w:t>
      </w:r>
      <w:r w:rsidRPr="00E8642C">
        <w:rPr>
          <w:rFonts w:cs="Arial"/>
          <w:szCs w:val="22"/>
        </w:rPr>
        <w:t>elle serve à des fins autres que celles qu</w:t>
      </w:r>
      <w:r w:rsidR="00D91476">
        <w:rPr>
          <w:rFonts w:cs="Arial"/>
          <w:szCs w:val="22"/>
        </w:rPr>
        <w:t>’</w:t>
      </w:r>
      <w:r w:rsidRPr="00E8642C">
        <w:rPr>
          <w:rFonts w:cs="Arial"/>
          <w:szCs w:val="22"/>
        </w:rPr>
        <w:t>elle avait à l</w:t>
      </w:r>
      <w:r w:rsidR="00D91476">
        <w:rPr>
          <w:rFonts w:cs="Arial"/>
          <w:szCs w:val="22"/>
        </w:rPr>
        <w:t>’</w:t>
      </w:r>
      <w:r w:rsidRPr="00E8642C">
        <w:rPr>
          <w:rFonts w:cs="Arial"/>
          <w:szCs w:val="22"/>
        </w:rPr>
        <w:t>origine et de manière à réaliser une œuvre nouvelle fusionnant les éléments de l</w:t>
      </w:r>
      <w:r w:rsidR="00D91476">
        <w:rPr>
          <w:rFonts w:cs="Arial"/>
          <w:szCs w:val="22"/>
        </w:rPr>
        <w:t>’</w:t>
      </w:r>
      <w:r w:rsidRPr="00E8642C">
        <w:rPr>
          <w:rFonts w:cs="Arial"/>
          <w:szCs w:val="22"/>
        </w:rPr>
        <w:t>œuvre première et les nouveaux – ceux qui sont ajoutés du fait de la modification</w:t>
      </w:r>
      <w:bookmarkStart w:id="11" w:name="_Ref289433821"/>
      <w:r w:rsidRPr="00E8642C">
        <w:rPr>
          <w:rStyle w:val="FootnoteReference"/>
          <w:rFonts w:cs="Arial"/>
          <w:szCs w:val="22"/>
        </w:rPr>
        <w:footnoteReference w:id="12"/>
      </w:r>
      <w:bookmarkEnd w:id="11"/>
      <w:r w:rsidRPr="00E8642C">
        <w:rPr>
          <w:rFonts w:cs="Arial"/>
          <w:szCs w:val="22"/>
        </w:rPr>
        <w:t>.  L</w:t>
      </w:r>
      <w:r w:rsidR="00D91476">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D91476">
        <w:rPr>
          <w:rFonts w:cs="Arial"/>
          <w:szCs w:val="22"/>
        </w:rPr>
        <w:t>’</w:t>
      </w:r>
      <w:r w:rsidRPr="00E8642C">
        <w:rPr>
          <w:rFonts w:cs="Arial"/>
          <w:szCs w:val="22"/>
        </w:rPr>
        <w:t>œuvres littéraires ou artistiques jouissent du droit exclusif d</w:t>
      </w:r>
      <w:r w:rsidR="00D91476">
        <w:rPr>
          <w:rFonts w:cs="Arial"/>
          <w:szCs w:val="22"/>
        </w:rPr>
        <w:t>’</w:t>
      </w:r>
      <w:r w:rsidRPr="00E8642C">
        <w:rPr>
          <w:rFonts w:cs="Arial"/>
          <w:szCs w:val="22"/>
        </w:rPr>
        <w:t>autoriser les adaptations, arrangements et autres transformations de leurs œuvr</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D91476">
        <w:rPr>
          <w:rFonts w:cs="Arial"/>
          <w:szCs w:val="22"/>
        </w:rPr>
        <w:t>’</w:t>
      </w:r>
      <w:r w:rsidRPr="00E8642C">
        <w:rPr>
          <w:rFonts w:cs="Arial"/>
          <w:szCs w:val="22"/>
        </w:rPr>
        <w:t>auteur ont des droits exclusifs sur les œuvres dérivées ou les adaptations de l</w:t>
      </w:r>
      <w:r w:rsidR="00D91476">
        <w:rPr>
          <w:rFonts w:cs="Arial"/>
          <w:szCs w:val="22"/>
        </w:rPr>
        <w:t>’</w:t>
      </w:r>
      <w:r w:rsidRPr="00E8642C">
        <w:rPr>
          <w:rFonts w:cs="Arial"/>
          <w:szCs w:val="22"/>
        </w:rPr>
        <w:t>œuvre protégée.</w:t>
      </w:r>
    </w:p>
    <w:p w:rsidR="00D23D81" w:rsidRDefault="00DD607D" w:rsidP="00E104D3">
      <w:pPr>
        <w:pStyle w:val="Heading2"/>
        <w:spacing w:after="220" w:line="240" w:lineRule="auto"/>
      </w:pPr>
      <w:bookmarkStart w:id="12" w:name="_Toc7772490"/>
      <w:r w:rsidRPr="00E8642C">
        <w:t>Appropriation illicite</w:t>
      </w:r>
      <w:bookmarkEnd w:id="12"/>
    </w:p>
    <w:p w:rsidR="00D23D81" w:rsidRDefault="00DD607D" w:rsidP="00E104D3">
      <w:pPr>
        <w:autoSpaceDE w:val="0"/>
        <w:autoSpaceDN w:val="0"/>
        <w:adjustRightInd w:val="0"/>
        <w:spacing w:after="22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D91476">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D91476">
        <w:rPr>
          <w:rFonts w:cs="Arial"/>
          <w:szCs w:val="22"/>
        </w:rPr>
        <w:t>’</w:t>
      </w:r>
      <w:r w:rsidRPr="00E8642C">
        <w:rPr>
          <w:rFonts w:cs="Arial"/>
          <w:szCs w:val="22"/>
        </w:rPr>
        <w:t>auteur, qu</w:t>
      </w:r>
      <w:r w:rsidR="00D91476">
        <w:rPr>
          <w:rFonts w:cs="Arial"/>
          <w:szCs w:val="22"/>
        </w:rPr>
        <w:t>’</w:t>
      </w:r>
      <w:r w:rsidRPr="00E8642C">
        <w:rPr>
          <w:rFonts w:cs="Arial"/>
          <w:szCs w:val="22"/>
        </w:rPr>
        <w:t xml:space="preserve">une </w:t>
      </w:r>
      <w:r w:rsidRPr="00E8642C">
        <w:rPr>
          <w:rFonts w:cs="Arial"/>
          <w:szCs w:val="22"/>
        </w:rPr>
        <w:lastRenderedPageBreak/>
        <w:t>organisation collecte ou diffuse pour en tirer un avantage, pour concurrencer cette organisation de manière déloyale, ou à copier une œuvre sur laquelle le créateur n</w:t>
      </w:r>
      <w:r w:rsidR="00D91476">
        <w:rPr>
          <w:rFonts w:cs="Arial"/>
          <w:szCs w:val="22"/>
        </w:rPr>
        <w:t>’</w:t>
      </w:r>
      <w:r w:rsidRPr="00E8642C">
        <w:rPr>
          <w:rFonts w:cs="Arial"/>
          <w:szCs w:val="22"/>
        </w:rPr>
        <w:t>a pas encore revendiqué de droits ou des droits exclusifs n</w:t>
      </w:r>
      <w:r w:rsidR="00D91476">
        <w:rPr>
          <w:rFonts w:cs="Arial"/>
          <w:szCs w:val="22"/>
        </w:rPr>
        <w:t>’</w:t>
      </w:r>
      <w:r w:rsidRPr="00E8642C">
        <w:rPr>
          <w:rFonts w:cs="Arial"/>
          <w:szCs w:val="22"/>
        </w:rPr>
        <w:t>ont pas encore été octroyés.  […] Les éléments de l</w:t>
      </w:r>
      <w:r w:rsidR="00D91476">
        <w:rPr>
          <w:rFonts w:cs="Arial"/>
          <w:szCs w:val="22"/>
        </w:rPr>
        <w:t>’</w:t>
      </w:r>
      <w:r w:rsidRPr="00E8642C">
        <w:rPr>
          <w:rFonts w:cs="Arial"/>
          <w:szCs w:val="22"/>
        </w:rPr>
        <w:t>appropriation illicite sont les suivants</w:t>
      </w:r>
      <w:r w:rsidR="00D91476">
        <w:rPr>
          <w:rFonts w:cs="Arial"/>
          <w:szCs w:val="22"/>
        </w:rPr>
        <w:t> :</w:t>
      </w:r>
      <w:r w:rsidRPr="00E8642C">
        <w:rPr>
          <w:rFonts w:cs="Arial"/>
          <w:szCs w:val="22"/>
        </w:rPr>
        <w:t xml:space="preserve"> 1) le demandeur doit avoir investi du temps, de l</w:t>
      </w:r>
      <w:r w:rsidR="00D91476">
        <w:rPr>
          <w:rFonts w:cs="Arial"/>
          <w:szCs w:val="22"/>
        </w:rPr>
        <w:t>’</w:t>
      </w:r>
      <w:r w:rsidRPr="00E8642C">
        <w:rPr>
          <w:rFonts w:cs="Arial"/>
          <w:szCs w:val="22"/>
        </w:rPr>
        <w:t>argent ou des efforts pour extraire les informations, 2) le défendeur doit s</w:t>
      </w:r>
      <w:r w:rsidR="00D91476">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23D81" w:rsidRDefault="00DD607D" w:rsidP="00E104D3">
      <w:pPr>
        <w:autoSpaceDE w:val="0"/>
        <w:autoSpaceDN w:val="0"/>
        <w:adjustRightInd w:val="0"/>
        <w:spacing w:after="220"/>
        <w:rPr>
          <w:rFonts w:cs="Arial"/>
          <w:szCs w:val="22"/>
        </w:rPr>
      </w:pPr>
      <w:r w:rsidRPr="00E8642C">
        <w:rPr>
          <w:rFonts w:cs="Arial"/>
          <w:szCs w:val="22"/>
        </w:rPr>
        <w:t>Le délit d</w:t>
      </w:r>
      <w:r w:rsidR="00D91476">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1F3AEE" w:rsidRPr="00007531">
        <w:rPr>
          <w:i/>
        </w:rPr>
        <w:t>aw</w:t>
      </w:r>
      <w:proofErr w:type="spellEnd"/>
      <w:r w:rsidR="001F3AEE">
        <w:rPr>
          <w:i/>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ppropriation illicite comprend ainsi l</w:t>
      </w:r>
      <w:r w:rsidR="00D91476">
        <w:rPr>
          <w:rFonts w:cs="Arial"/>
          <w:szCs w:val="22"/>
        </w:rPr>
        <w:t>’</w:t>
      </w:r>
      <w:r w:rsidRPr="00E8642C">
        <w:rPr>
          <w:rFonts w:cs="Arial"/>
          <w:szCs w:val="22"/>
        </w:rPr>
        <w:t>utilisation ou l</w:t>
      </w:r>
      <w:r w:rsidR="00D91476">
        <w:rPr>
          <w:rFonts w:cs="Arial"/>
          <w:szCs w:val="22"/>
        </w:rPr>
        <w:t>’</w:t>
      </w:r>
      <w:r w:rsidRPr="00E8642C">
        <w:rPr>
          <w:rFonts w:cs="Arial"/>
          <w:szCs w:val="22"/>
        </w:rPr>
        <w:t>appropriation illicite ou abusive de la propriété d</w:t>
      </w:r>
      <w:r w:rsidR="00D91476">
        <w:rPr>
          <w:rFonts w:cs="Arial"/>
          <w:szCs w:val="22"/>
        </w:rPr>
        <w:t>’</w:t>
      </w:r>
      <w:r w:rsidRPr="00E8642C">
        <w:rPr>
          <w:rFonts w:cs="Arial"/>
          <w:szCs w:val="22"/>
        </w:rPr>
        <w:t>une personne, et est souvent utilisée pour fonder une action dans des cas où aucune atteinte n</w:t>
      </w:r>
      <w:r w:rsidR="00D91476">
        <w:rPr>
          <w:rFonts w:cs="Arial"/>
          <w:szCs w:val="22"/>
        </w:rPr>
        <w:t>’</w:t>
      </w:r>
      <w:r w:rsidRPr="00E8642C">
        <w:rPr>
          <w:rFonts w:cs="Arial"/>
          <w:szCs w:val="22"/>
        </w:rPr>
        <w:t>a été portée à un droit de propriété à proprement parl</w:t>
      </w:r>
      <w:r w:rsidR="001F3AEE" w:rsidRPr="00E8642C">
        <w:rPr>
          <w:rFonts w:cs="Arial"/>
          <w:szCs w:val="22"/>
        </w:rPr>
        <w:t>er</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ppropriation illicite peut renvoyer à un emprunt illicite ou à l</w:t>
      </w:r>
      <w:r w:rsidR="00D91476">
        <w:rPr>
          <w:rFonts w:cs="Arial"/>
          <w:szCs w:val="22"/>
        </w:rPr>
        <w:t>’</w:t>
      </w:r>
      <w:r w:rsidRPr="00E8642C">
        <w:rPr>
          <w:rFonts w:cs="Arial"/>
          <w:szCs w:val="22"/>
        </w:rPr>
        <w:t>appropriation frauduleuse de fonds ou de propriété confiés à la garde d</w:t>
      </w:r>
      <w:r w:rsidR="00D91476">
        <w:rPr>
          <w:rFonts w:cs="Arial"/>
          <w:szCs w:val="22"/>
        </w:rPr>
        <w:t>’</w:t>
      </w:r>
      <w:r w:rsidRPr="00E8642C">
        <w:rPr>
          <w:rFonts w:cs="Arial"/>
          <w:szCs w:val="22"/>
        </w:rPr>
        <w:t>une personne mais détenus dans les faits par une autre personne.</w:t>
      </w:r>
    </w:p>
    <w:p w:rsidR="00D23D81" w:rsidRDefault="00DD607D" w:rsidP="00E104D3">
      <w:pPr>
        <w:autoSpaceDE w:val="0"/>
        <w:autoSpaceDN w:val="0"/>
        <w:adjustRightInd w:val="0"/>
        <w:spacing w:after="220"/>
        <w:rPr>
          <w:rFonts w:cs="Arial"/>
          <w:szCs w:val="22"/>
        </w:rPr>
      </w:pPr>
      <w:r w:rsidRPr="00E8642C">
        <w:rPr>
          <w:rFonts w:cs="Arial"/>
          <w:szCs w:val="22"/>
        </w:rPr>
        <w:t>L</w:t>
      </w:r>
      <w:r w:rsidR="00D91476">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D91476">
        <w:rPr>
          <w:rFonts w:cs="Arial"/>
          <w:szCs w:val="22"/>
        </w:rPr>
        <w:t> :</w:t>
      </w:r>
      <w:r w:rsidRPr="00E8642C">
        <w:rPr>
          <w:rFonts w:cs="Arial"/>
          <w:szCs w:val="22"/>
        </w:rPr>
        <w:t xml:space="preserve"> “i) l</w:t>
      </w:r>
      <w:r w:rsidR="00D91476">
        <w:rPr>
          <w:rFonts w:cs="Arial"/>
          <w:szCs w:val="22"/>
        </w:rPr>
        <w:t>’</w:t>
      </w:r>
      <w:r w:rsidRPr="00E8642C">
        <w:rPr>
          <w:rFonts w:cs="Arial"/>
          <w:szCs w:val="22"/>
        </w:rPr>
        <w:t>acquisition, l</w:t>
      </w:r>
      <w:r w:rsidR="00D91476">
        <w:rPr>
          <w:rFonts w:cs="Arial"/>
          <w:szCs w:val="22"/>
        </w:rPr>
        <w:t>’</w:t>
      </w:r>
      <w:r w:rsidRPr="00E8642C">
        <w:rPr>
          <w:rFonts w:cs="Arial"/>
          <w:szCs w:val="22"/>
        </w:rPr>
        <w:t>appropriation ou l</w:t>
      </w:r>
      <w:r w:rsidR="00D91476">
        <w:rPr>
          <w:rFonts w:cs="Arial"/>
          <w:szCs w:val="22"/>
        </w:rPr>
        <w:t>’</w:t>
      </w:r>
      <w:r w:rsidRPr="00E8642C">
        <w:rPr>
          <w:rFonts w:cs="Arial"/>
          <w:szCs w:val="22"/>
        </w:rPr>
        <w:t>utilisation de savoirs traditionnels en violation des dispositions du présent acte, ii) le fait de tirer des avantages de l</w:t>
      </w:r>
      <w:r w:rsidR="00D91476">
        <w:rPr>
          <w:rFonts w:cs="Arial"/>
          <w:szCs w:val="22"/>
        </w:rPr>
        <w:t>’</w:t>
      </w:r>
      <w:r w:rsidRPr="00E8642C">
        <w:rPr>
          <w:rFonts w:cs="Arial"/>
          <w:szCs w:val="22"/>
        </w:rPr>
        <w:t>acquisition, de l</w:t>
      </w:r>
      <w:r w:rsidR="00D91476">
        <w:rPr>
          <w:rFonts w:cs="Arial"/>
          <w:szCs w:val="22"/>
        </w:rPr>
        <w:t>’</w:t>
      </w:r>
      <w:r w:rsidRPr="00E8642C">
        <w:rPr>
          <w:rFonts w:cs="Arial"/>
          <w:szCs w:val="22"/>
        </w:rPr>
        <w:t>appropriation ou de l</w:t>
      </w:r>
      <w:r w:rsidR="00D91476">
        <w:rPr>
          <w:rFonts w:cs="Arial"/>
          <w:szCs w:val="22"/>
        </w:rPr>
        <w:t>’</w:t>
      </w:r>
      <w:r w:rsidRPr="00E8642C">
        <w:rPr>
          <w:rFonts w:cs="Arial"/>
          <w:szCs w:val="22"/>
        </w:rPr>
        <w:t>utilisation de savoirs traditionnels lorsque la personne qui acquiert, qui s</w:t>
      </w:r>
      <w:r w:rsidR="00D91476">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23D81" w:rsidRDefault="00DD607D" w:rsidP="00E104D3">
      <w:pPr>
        <w:pStyle w:val="Heading2"/>
        <w:spacing w:after="220" w:line="240" w:lineRule="auto"/>
      </w:pPr>
      <w:bookmarkStart w:id="13" w:name="_Toc7772491"/>
      <w:r w:rsidRPr="00E8642C">
        <w:t>Atteinte (“</w:t>
      </w:r>
      <w:proofErr w:type="spellStart"/>
      <w:r w:rsidRPr="00E8642C">
        <w:t>derogatory</w:t>
      </w:r>
      <w:proofErr w:type="spellEnd"/>
      <w:r w:rsidRPr="00E8642C">
        <w:t xml:space="preserve"> action” en anglais)</w:t>
      </w:r>
      <w:bookmarkEnd w:id="13"/>
    </w:p>
    <w:p w:rsidR="00D23D81" w:rsidRDefault="00DD607D" w:rsidP="00E104D3">
      <w:pPr>
        <w:pStyle w:val="CommentText"/>
        <w:spacing w:after="220"/>
        <w:rPr>
          <w:szCs w:val="22"/>
        </w:rPr>
      </w:pPr>
      <w:r w:rsidRPr="00E8642C">
        <w:rPr>
          <w:szCs w:val="22"/>
        </w:rPr>
        <w:t>Le terme “atteinte” renvoie à une atteinte à l</w:t>
      </w:r>
      <w:r w:rsidR="00D91476">
        <w:rPr>
          <w:szCs w:val="22"/>
        </w:rPr>
        <w:t>’</w:t>
      </w:r>
      <w:r w:rsidRPr="00E8642C">
        <w:rPr>
          <w:szCs w:val="22"/>
        </w:rPr>
        <w:t>honneur ou à la réputation conformément à l</w:t>
      </w:r>
      <w:r w:rsidR="00D91476">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D91476">
        <w:rPr>
          <w:szCs w:val="22"/>
        </w:rPr>
        <w:t>’</w:t>
      </w:r>
      <w:r w:rsidRPr="00E8642C">
        <w:rPr>
          <w:szCs w:val="22"/>
        </w:rPr>
        <w:t>une modification effective ou d</w:t>
      </w:r>
      <w:r w:rsidR="00D91476">
        <w:rPr>
          <w:szCs w:val="22"/>
        </w:rPr>
        <w:t>’</w:t>
      </w:r>
      <w:r w:rsidRPr="00E8642C">
        <w:rPr>
          <w:szCs w:val="22"/>
        </w:rPr>
        <w:t>une interférence avec l</w:t>
      </w:r>
      <w:r w:rsidR="00D91476">
        <w:rPr>
          <w:szCs w:val="22"/>
        </w:rPr>
        <w:t>’</w:t>
      </w:r>
      <w:r w:rsidRPr="00E8642C">
        <w:rPr>
          <w:szCs w:val="22"/>
        </w:rPr>
        <w:t>œuvre elle</w:t>
      </w:r>
      <w:r w:rsidR="00400337">
        <w:rPr>
          <w:szCs w:val="22"/>
        </w:rPr>
        <w:noBreakHyphen/>
      </w:r>
      <w:r w:rsidRPr="00E8642C">
        <w:rPr>
          <w:szCs w:val="22"/>
        </w:rPr>
        <w:t>mê</w:t>
      </w:r>
      <w:r w:rsidR="001F3AEE" w:rsidRPr="00E8642C">
        <w:rPr>
          <w:szCs w:val="22"/>
        </w:rPr>
        <w:t>me</w:t>
      </w:r>
      <w:r w:rsidR="001F3AEE">
        <w:rPr>
          <w:szCs w:val="22"/>
        </w:rPr>
        <w:t xml:space="preserve">.  </w:t>
      </w:r>
      <w:r w:rsidR="001F3AEE" w:rsidRPr="00E8642C">
        <w:rPr>
          <w:szCs w:val="22"/>
        </w:rPr>
        <w:t>Il</w:t>
      </w:r>
      <w:r w:rsidRPr="00E8642C">
        <w:rPr>
          <w:szCs w:val="22"/>
        </w:rPr>
        <w:t xml:space="preserve"> s</w:t>
      </w:r>
      <w:r w:rsidR="00D91476">
        <w:rPr>
          <w:szCs w:val="22"/>
        </w:rPr>
        <w:t>’</w:t>
      </w:r>
      <w:r w:rsidRPr="00E8642C">
        <w:rPr>
          <w:szCs w:val="22"/>
        </w:rPr>
        <w:t>agit d</w:t>
      </w:r>
      <w:r w:rsidR="00D91476">
        <w:rPr>
          <w:szCs w:val="22"/>
        </w:rPr>
        <w:t>’</w:t>
      </w:r>
      <w:r w:rsidRPr="00E8642C">
        <w:rPr>
          <w:szCs w:val="22"/>
        </w:rPr>
        <w:t>un acte “en rapport avec” l</w:t>
      </w:r>
      <w:r w:rsidR="00D91476">
        <w:rPr>
          <w:szCs w:val="22"/>
        </w:rPr>
        <w:t>’</w:t>
      </w:r>
      <w:r w:rsidRPr="00E8642C">
        <w:rPr>
          <w:szCs w:val="22"/>
        </w:rPr>
        <w:t>œuv</w:t>
      </w:r>
      <w:r w:rsidR="001F3AEE" w:rsidRPr="00E8642C">
        <w:rPr>
          <w:szCs w:val="22"/>
        </w:rPr>
        <w:t>re</w:t>
      </w:r>
      <w:r w:rsidR="001F3AEE">
        <w:rPr>
          <w:szCs w:val="22"/>
        </w:rPr>
        <w:t xml:space="preserve">.  </w:t>
      </w:r>
      <w:r w:rsidR="001F3AEE" w:rsidRPr="00E8642C">
        <w:rPr>
          <w:szCs w:val="22"/>
        </w:rPr>
        <w:t>Ce</w:t>
      </w:r>
      <w:r w:rsidRPr="00E8642C">
        <w:rPr>
          <w:szCs w:val="22"/>
        </w:rPr>
        <w:t xml:space="preserve"> terme a été incorporé dans la Convention de Berne à la suite de la révision ayant eu lieu à Bruxelles afin d</w:t>
      </w:r>
      <w:r w:rsidR="00D91476">
        <w:rPr>
          <w:szCs w:val="22"/>
        </w:rPr>
        <w:t>’</w:t>
      </w:r>
      <w:r w:rsidRPr="00E8642C">
        <w:rPr>
          <w:szCs w:val="22"/>
        </w:rPr>
        <w:t>englober les utilisations de l</w:t>
      </w:r>
      <w:r w:rsidR="00D91476">
        <w:rPr>
          <w:szCs w:val="22"/>
        </w:rPr>
        <w:t>’</w:t>
      </w:r>
      <w:r w:rsidRPr="00E8642C">
        <w:rPr>
          <w:szCs w:val="22"/>
        </w:rPr>
        <w:t>œuvre préjudiciables à l</w:t>
      </w:r>
      <w:r w:rsidR="00D91476">
        <w:rPr>
          <w:szCs w:val="22"/>
        </w:rPr>
        <w:t>’</w:t>
      </w:r>
      <w:r w:rsidRPr="00E8642C">
        <w:rPr>
          <w:szCs w:val="22"/>
        </w:rPr>
        <w:t>aute</w:t>
      </w:r>
      <w:r w:rsidR="001F3AEE" w:rsidRPr="00E8642C">
        <w:rPr>
          <w:szCs w:val="22"/>
        </w:rPr>
        <w:t>ur</w:t>
      </w:r>
      <w:r w:rsidR="001F3AEE">
        <w:rPr>
          <w:szCs w:val="22"/>
        </w:rPr>
        <w:t xml:space="preserve">.  </w:t>
      </w:r>
      <w:r w:rsidR="001F3AEE" w:rsidRPr="00E8642C">
        <w:rPr>
          <w:szCs w:val="22"/>
        </w:rPr>
        <w:t>Il</w:t>
      </w:r>
      <w:r w:rsidRPr="00E8642C">
        <w:rPr>
          <w:szCs w:val="22"/>
        </w:rPr>
        <w:t xml:space="preserve"> renvoie à des situations où la communication d</w:t>
      </w:r>
      <w:r w:rsidR="00D91476">
        <w:rPr>
          <w:szCs w:val="22"/>
        </w:rPr>
        <w:t>’</w:t>
      </w:r>
      <w:r w:rsidRPr="00E8642C">
        <w:rPr>
          <w:szCs w:val="22"/>
        </w:rPr>
        <w:t>une œuvre s</w:t>
      </w:r>
      <w:r w:rsidR="00D91476">
        <w:rPr>
          <w:szCs w:val="22"/>
        </w:rPr>
        <w:t>’</w:t>
      </w:r>
      <w:r w:rsidRPr="00E8642C">
        <w:rPr>
          <w:szCs w:val="22"/>
        </w:rPr>
        <w:t>effectue de manière à porter préjudice à l</w:t>
      </w:r>
      <w:r w:rsidR="00D91476">
        <w:rPr>
          <w:szCs w:val="22"/>
        </w:rPr>
        <w:t>’</w:t>
      </w:r>
      <w:r w:rsidRPr="00E8642C">
        <w:rPr>
          <w:szCs w:val="22"/>
        </w:rPr>
        <w:t>auteur</w:t>
      </w:r>
      <w:r w:rsidRPr="00E8642C">
        <w:rPr>
          <w:rStyle w:val="FootnoteReference"/>
          <w:szCs w:val="22"/>
        </w:rPr>
        <w:footnoteReference w:id="15"/>
      </w:r>
      <w:r w:rsidRPr="00E8642C">
        <w:rPr>
          <w:szCs w:val="22"/>
        </w:rPr>
        <w:t>.</w:t>
      </w:r>
    </w:p>
    <w:p w:rsidR="00D23D81" w:rsidRDefault="00DD607D" w:rsidP="00E104D3">
      <w:pPr>
        <w:pStyle w:val="Heading2"/>
        <w:spacing w:after="220" w:line="240" w:lineRule="auto"/>
      </w:pPr>
      <w:bookmarkStart w:id="14" w:name="_Toc7772492"/>
      <w:r w:rsidRPr="00E8642C">
        <w:t>Atteinte (“</w:t>
      </w:r>
      <w:proofErr w:type="spellStart"/>
      <w:r w:rsidRPr="00E8642C">
        <w:t>infringement</w:t>
      </w:r>
      <w:proofErr w:type="spellEnd"/>
      <w:r w:rsidRPr="00E8642C">
        <w:t>” en anglais)</w:t>
      </w:r>
      <w:bookmarkEnd w:id="14"/>
    </w:p>
    <w:p w:rsidR="00D23D81" w:rsidRDefault="00DD607D" w:rsidP="00E104D3">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D91476">
        <w:rPr>
          <w:rFonts w:cs="Arial"/>
          <w:szCs w:val="22"/>
        </w:rPr>
        <w:t>à l’égard</w:t>
      </w:r>
      <w:r w:rsidRPr="00E8642C">
        <w:rPr>
          <w:rFonts w:cs="Arial"/>
          <w:szCs w:val="22"/>
        </w:rPr>
        <w:t xml:space="preserve">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auteur ou d</w:t>
      </w:r>
      <w:r w:rsidR="00D91476">
        <w:rPr>
          <w:rFonts w:cs="Arial"/>
          <w:szCs w:val="22"/>
        </w:rPr>
        <w:t>’</w:t>
      </w:r>
      <w:r w:rsidRPr="00E8642C">
        <w:rPr>
          <w:rFonts w:cs="Arial"/>
          <w:szCs w:val="22"/>
        </w:rPr>
        <w:t>un objet de droits connexes sans l</w:t>
      </w:r>
      <w:r w:rsidR="00D91476">
        <w:rPr>
          <w:rFonts w:cs="Arial"/>
          <w:szCs w:val="22"/>
        </w:rPr>
        <w:t>’</w:t>
      </w:r>
      <w:r w:rsidRPr="00E8642C">
        <w:rPr>
          <w:rFonts w:cs="Arial"/>
          <w:szCs w:val="22"/>
        </w:rPr>
        <w:t>autorisation du titulaire du droit d</w:t>
      </w:r>
      <w:r w:rsidR="00D91476">
        <w:rPr>
          <w:rFonts w:cs="Arial"/>
          <w:szCs w:val="22"/>
        </w:rPr>
        <w:t>’</w:t>
      </w:r>
      <w:r w:rsidRPr="00E8642C">
        <w:rPr>
          <w:rFonts w:cs="Arial"/>
          <w:szCs w:val="22"/>
        </w:rPr>
        <w:t>auteur ou des droits connexes sur l</w:t>
      </w:r>
      <w:r w:rsidR="00D91476">
        <w:rPr>
          <w:rFonts w:cs="Arial"/>
          <w:szCs w:val="22"/>
        </w:rPr>
        <w:t>’</w:t>
      </w:r>
      <w:r w:rsidRPr="00E8642C">
        <w:rPr>
          <w:rFonts w:cs="Arial"/>
          <w:szCs w:val="22"/>
        </w:rPr>
        <w:t>œuvre ou l</w:t>
      </w:r>
      <w:r w:rsidR="00D91476">
        <w:rPr>
          <w:rFonts w:cs="Arial"/>
          <w:szCs w:val="22"/>
        </w:rPr>
        <w:t>’</w:t>
      </w:r>
      <w:r w:rsidRPr="00E8642C">
        <w:rPr>
          <w:rFonts w:cs="Arial"/>
          <w:szCs w:val="22"/>
        </w:rPr>
        <w:t>objet en question, lorsque cette autorisation est requi</w:t>
      </w:r>
      <w:r w:rsidR="001F3AEE" w:rsidRPr="00E8642C">
        <w:rPr>
          <w:rFonts w:cs="Arial"/>
          <w:szCs w:val="22"/>
        </w:rPr>
        <w:t>se</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uteur de l</w:t>
      </w:r>
      <w:r w:rsidR="00D91476">
        <w:rPr>
          <w:rFonts w:cs="Arial"/>
          <w:szCs w:val="22"/>
        </w:rPr>
        <w:t>’</w:t>
      </w:r>
      <w:r w:rsidRPr="00E8642C">
        <w:rPr>
          <w:rFonts w:cs="Arial"/>
          <w:szCs w:val="22"/>
        </w:rPr>
        <w:t>atteinte peut voir sa responsabilité engagée non seulement de façon directe (en raison de l</w:t>
      </w:r>
      <w:r w:rsidR="00D91476">
        <w:rPr>
          <w:rFonts w:cs="Arial"/>
          <w:szCs w:val="22"/>
        </w:rPr>
        <w:t>’</w:t>
      </w:r>
      <w:r w:rsidRPr="00E8642C">
        <w:rPr>
          <w:rFonts w:cs="Arial"/>
          <w:szCs w:val="22"/>
        </w:rPr>
        <w:t>accomplissement de l</w:t>
      </w:r>
      <w:r w:rsidR="00D91476">
        <w:rPr>
          <w:rFonts w:cs="Arial"/>
          <w:szCs w:val="22"/>
        </w:rPr>
        <w:t>’</w:t>
      </w:r>
      <w:r w:rsidRPr="00E8642C">
        <w:rPr>
          <w:rFonts w:cs="Arial"/>
          <w:szCs w:val="22"/>
        </w:rPr>
        <w:t>acte illicite lui</w:t>
      </w:r>
      <w:r w:rsidR="00400337">
        <w:rPr>
          <w:rFonts w:cs="Arial"/>
          <w:szCs w:val="22"/>
        </w:rPr>
        <w:noBreakHyphen/>
      </w:r>
      <w:r w:rsidRPr="00E8642C">
        <w:rPr>
          <w:rFonts w:cs="Arial"/>
          <w:szCs w:val="22"/>
        </w:rPr>
        <w:t>même), mais aussi au titre de la “responsabilité indirecte” ou de la “responsabilité du fait d</w:t>
      </w:r>
      <w:r w:rsidR="00D91476">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23D81" w:rsidRDefault="00DD607D" w:rsidP="00E104D3">
      <w:pPr>
        <w:pStyle w:val="Heading2"/>
        <w:spacing w:after="220" w:line="240" w:lineRule="auto"/>
      </w:pPr>
      <w:bookmarkStart w:id="15" w:name="_Toc7772493"/>
      <w:r w:rsidRPr="00E8642C">
        <w:lastRenderedPageBreak/>
        <w:t>Base de données des accords d</w:t>
      </w:r>
      <w:r w:rsidR="00D91476">
        <w:t>’</w:t>
      </w:r>
      <w:r w:rsidRPr="00E8642C">
        <w:t>accès et de partage des avantages en matière de biodiversité</w:t>
      </w:r>
      <w:bookmarkEnd w:id="15"/>
    </w:p>
    <w:p w:rsidR="00D23D81" w:rsidRDefault="00DD607D" w:rsidP="00E104D3">
      <w:pPr>
        <w:pStyle w:val="BodyText"/>
        <w:spacing w:after="220"/>
        <w:rPr>
          <w:rFonts w:cs="Arial"/>
          <w:szCs w:val="22"/>
        </w:rPr>
      </w:pPr>
      <w:r w:rsidRPr="00E8642C">
        <w:rPr>
          <w:rFonts w:cs="Arial"/>
          <w:szCs w:val="22"/>
        </w:rPr>
        <w:t>La Base de données des accords d</w:t>
      </w:r>
      <w:r w:rsidR="00D91476">
        <w:rPr>
          <w:rFonts w:cs="Arial"/>
          <w:szCs w:val="22"/>
        </w:rPr>
        <w:t>’</w:t>
      </w:r>
      <w:r w:rsidRPr="00E8642C">
        <w:rPr>
          <w:rFonts w:cs="Arial"/>
          <w:szCs w:val="22"/>
        </w:rPr>
        <w:t>accès et de partage des avantages en matière de biodiversité de l</w:t>
      </w:r>
      <w:r w:rsidR="00D91476">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D91476">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D91476">
        <w:rPr>
          <w:rFonts w:cs="Arial"/>
          <w:szCs w:val="22"/>
        </w:rPr>
        <w:t>’</w:t>
      </w:r>
      <w:r w:rsidRPr="00E8642C">
        <w:rPr>
          <w:rFonts w:cs="Arial"/>
          <w:szCs w:val="22"/>
        </w:rPr>
        <w:t>outil de renforcement des capacités, elle vise à mettre ces sources d</w:t>
      </w:r>
      <w:r w:rsidR="00D91476">
        <w:rPr>
          <w:rFonts w:cs="Arial"/>
          <w:szCs w:val="22"/>
        </w:rPr>
        <w:t>’</w:t>
      </w:r>
      <w:r w:rsidRPr="00E8642C">
        <w:rPr>
          <w:rFonts w:cs="Arial"/>
          <w:szCs w:val="22"/>
        </w:rPr>
        <w:t>information à la disposition de personnes qui cherchent des renseignements sur les pratiques actuelles en matière de propriété intellectuelle, d</w:t>
      </w:r>
      <w:r w:rsidR="00D91476">
        <w:rPr>
          <w:rFonts w:cs="Arial"/>
          <w:szCs w:val="22"/>
        </w:rPr>
        <w:t>’</w:t>
      </w:r>
      <w:r w:rsidRPr="00E8642C">
        <w:rPr>
          <w:rFonts w:cs="Arial"/>
          <w:szCs w:val="22"/>
        </w:rPr>
        <w:t>accès, de partage des avantages et de ressources génétiques et, sur une base empirique, elle vise à contribuer à l</w:t>
      </w:r>
      <w:r w:rsidR="00D91476">
        <w:rPr>
          <w:rFonts w:cs="Arial"/>
          <w:szCs w:val="22"/>
        </w:rPr>
        <w:t>’</w:t>
      </w:r>
      <w:r w:rsidRPr="00E8642C">
        <w:rPr>
          <w:rFonts w:cs="Arial"/>
          <w:szCs w:val="22"/>
        </w:rPr>
        <w:t>élaboration par l</w:t>
      </w:r>
      <w:r w:rsidR="00D91476">
        <w:rPr>
          <w:rFonts w:cs="Arial"/>
          <w:szCs w:val="22"/>
        </w:rPr>
        <w:t>’</w:t>
      </w:r>
      <w:r w:rsidRPr="00E8642C">
        <w:rPr>
          <w:rFonts w:cs="Arial"/>
          <w:szCs w:val="22"/>
        </w:rPr>
        <w:t>OMPI de principes directeurs sur l</w:t>
      </w:r>
      <w:r w:rsidR="00D91476">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23D81" w:rsidRDefault="00DD607D" w:rsidP="00E104D3">
      <w:pPr>
        <w:pStyle w:val="Heading2"/>
        <w:spacing w:after="220" w:line="240" w:lineRule="auto"/>
      </w:pPr>
      <w:bookmarkStart w:id="16" w:name="_Toc7772494"/>
      <w:r w:rsidRPr="00E8642C">
        <w:t>Bénéficiaires</w:t>
      </w:r>
      <w:bookmarkEnd w:id="16"/>
    </w:p>
    <w:p w:rsidR="00D23D81" w:rsidRDefault="00DD607D" w:rsidP="00E104D3">
      <w:pPr>
        <w:spacing w:after="220"/>
      </w:pPr>
      <w:r w:rsidRPr="00E8642C">
        <w:t>Il n</w:t>
      </w:r>
      <w:r w:rsidR="00D91476">
        <w:t>’</w:t>
      </w:r>
      <w:r w:rsidRPr="00E8642C">
        <w:t>existe pas de définition universellement acceptée de cette expressi</w:t>
      </w:r>
      <w:r w:rsidR="001F3AEE" w:rsidRPr="00E8642C">
        <w:t>on</w:t>
      </w:r>
      <w:r w:rsidR="001F3AEE">
        <w:t xml:space="preserve">.  </w:t>
      </w:r>
      <w:r w:rsidR="001F3AEE"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D91476">
        <w:t>’</w:t>
      </w:r>
      <w:r w:rsidRPr="00E8642C">
        <w:t>aux individ</w:t>
      </w:r>
      <w:r w:rsidR="001F3AEE" w:rsidRPr="00E8642C">
        <w:t>us</w:t>
      </w:r>
      <w:r w:rsidR="001F3AEE">
        <w:t xml:space="preserve">.  </w:t>
      </w:r>
      <w:r w:rsidR="001F3AEE" w:rsidRPr="00E8642C">
        <w:t>Da</w:t>
      </w:r>
      <w:r w:rsidRPr="00E8642C">
        <w:t>ns certains cas, cependant, certains individus, tels que les guérisseurs traditionnels, peuvent être considérés comme les détenteurs de savoirs traditionnels ou d</w:t>
      </w:r>
      <w:r w:rsidR="00D91476">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23D81" w:rsidRDefault="00DD607D" w:rsidP="00E104D3">
      <w:pPr>
        <w:spacing w:after="220"/>
      </w:pPr>
      <w:r w:rsidRPr="00E8642C">
        <w:t>Certaines législations nationales ou régionales de protection des savoirs traditionnels et des expressions culturelles traditionnelles confèrent des droits directement aux peuples et communautés concern</w:t>
      </w:r>
      <w:r w:rsidR="001F3AEE" w:rsidRPr="00E8642C">
        <w:t>és</w:t>
      </w:r>
      <w:r w:rsidR="001F3AEE">
        <w:t xml:space="preserve">.  </w:t>
      </w:r>
      <w:r w:rsidR="001F3AEE" w:rsidRPr="00E8642C">
        <w:t>En</w:t>
      </w:r>
      <w:r w:rsidRPr="00E8642C">
        <w:t> revanche, de nombreuses autres confèrent plutôt ces droits à une autorité gouvernementale et prévoient souvent que les bénéfices de l</w:t>
      </w:r>
      <w:r w:rsidR="00D91476">
        <w:t>’</w:t>
      </w:r>
      <w:r w:rsidRPr="00E8642C">
        <w:t>octroi des droits d</w:t>
      </w:r>
      <w:r w:rsidR="00D91476">
        <w:t>’</w:t>
      </w:r>
      <w:r w:rsidRPr="00E8642C">
        <w:t>utilisation des savoirs traditionnels ou des expressions culturelles traditionnelles doivent être versés à des programmes nationaux d</w:t>
      </w:r>
      <w:r w:rsidR="00D91476">
        <w:t>’</w:t>
      </w:r>
      <w:r w:rsidRPr="00E8642C">
        <w:t>éducation, de développement durable, de préservation du patrimoine et autres programmes sociaux et culturels.</w:t>
      </w:r>
    </w:p>
    <w:p w:rsidR="00D23D81" w:rsidRDefault="00DD607D" w:rsidP="00E104D3">
      <w:pPr>
        <w:spacing w:after="220"/>
      </w:pPr>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23D81" w:rsidRDefault="00DD607D" w:rsidP="00E104D3">
      <w:pPr>
        <w:pStyle w:val="Heading2"/>
        <w:keepLines/>
        <w:spacing w:after="220" w:line="240" w:lineRule="auto"/>
      </w:pPr>
      <w:bookmarkStart w:id="17" w:name="_Toc7772495"/>
      <w:r w:rsidRPr="00E8642C">
        <w:t>Bibliothèque numérique des savoirs traditionnels</w:t>
      </w:r>
      <w:bookmarkEnd w:id="17"/>
    </w:p>
    <w:p w:rsidR="00D23D81" w:rsidRDefault="00DD607D" w:rsidP="00E104D3">
      <w:pPr>
        <w:spacing w:after="220"/>
        <w:rPr>
          <w:rFonts w:cs="Arial"/>
          <w:szCs w:val="22"/>
        </w:rPr>
      </w:pPr>
      <w:r w:rsidRPr="00E8642C">
        <w:rPr>
          <w:rFonts w:cs="Arial"/>
          <w:szCs w:val="22"/>
        </w:rPr>
        <w:t>La Bibliothèque numérique des savoirs traditionnels est une initiative novatrice de l</w:t>
      </w:r>
      <w:r w:rsidR="00D91476">
        <w:rPr>
          <w:rFonts w:cs="Arial"/>
          <w:szCs w:val="22"/>
        </w:rPr>
        <w:t>’</w:t>
      </w:r>
      <w:r w:rsidRPr="00E8642C">
        <w:rPr>
          <w:rFonts w:cs="Arial"/>
          <w:szCs w:val="22"/>
        </w:rPr>
        <w:t>Inde visant à empêcher l</w:t>
      </w:r>
      <w:r w:rsidR="00D91476">
        <w:rPr>
          <w:rFonts w:cs="Arial"/>
          <w:szCs w:val="22"/>
        </w:rPr>
        <w:t>’</w:t>
      </w:r>
      <w:r w:rsidRPr="00E8642C">
        <w:rPr>
          <w:rFonts w:cs="Arial"/>
          <w:szCs w:val="22"/>
        </w:rPr>
        <w:t>appropriation illicite des connaissances du pays en matière de médecine traditionnel</w:t>
      </w:r>
      <w:r w:rsidR="001F3AEE" w:rsidRPr="00E8642C">
        <w:rPr>
          <w:rFonts w:cs="Arial"/>
          <w:szCs w:val="22"/>
        </w:rPr>
        <w:t>le</w:t>
      </w:r>
      <w:r w:rsidR="001F3AEE">
        <w:rPr>
          <w:rFonts w:cs="Arial"/>
          <w:szCs w:val="22"/>
        </w:rPr>
        <w:t xml:space="preserve">.  </w:t>
      </w:r>
      <w:r w:rsidR="001F3AEE" w:rsidRPr="00E8642C">
        <w:rPr>
          <w:rFonts w:cs="Arial"/>
          <w:szCs w:val="22"/>
        </w:rPr>
        <w:t>Un</w:t>
      </w:r>
      <w:r w:rsidRPr="00E8642C">
        <w:rPr>
          <w:rFonts w:cs="Arial"/>
          <w:szCs w:val="22"/>
        </w:rPr>
        <w:t>e équipe interdisciplinaire d</w:t>
      </w:r>
      <w:r w:rsidR="00D91476">
        <w:rPr>
          <w:rFonts w:cs="Arial"/>
          <w:szCs w:val="22"/>
        </w:rPr>
        <w:t>’</w:t>
      </w:r>
      <w:r w:rsidRPr="00E8642C">
        <w:rPr>
          <w:rFonts w:cs="Arial"/>
          <w:szCs w:val="22"/>
        </w:rPr>
        <w:t>experts en médecine traditionnelle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d</w:t>
      </w:r>
      <w:r w:rsidR="00D91476">
        <w:rPr>
          <w:rFonts w:cs="Arial"/>
          <w:szCs w:val="22"/>
        </w:rPr>
        <w:t>’</w:t>
      </w:r>
      <w:r w:rsidRPr="00E8642C">
        <w:rPr>
          <w:rFonts w:cs="Arial"/>
          <w:szCs w:val="22"/>
        </w:rPr>
        <w:t>examinateurs de brevets, d</w:t>
      </w:r>
      <w:r w:rsidR="00D91476">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1F3AEE" w:rsidRPr="00E8642C">
        <w:rPr>
          <w:rFonts w:cs="Arial"/>
          <w:szCs w:val="22"/>
        </w:rPr>
        <w:t>ne</w:t>
      </w:r>
      <w:r w:rsidR="001F3AEE">
        <w:rPr>
          <w:rFonts w:cs="Arial"/>
          <w:szCs w:val="22"/>
        </w:rPr>
        <w:t xml:space="preserve">.  </w:t>
      </w:r>
      <w:r w:rsidR="001F3AEE"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D91476">
        <w:rPr>
          <w:rFonts w:cs="Arial"/>
          <w:szCs w:val="22"/>
        </w:rPr>
        <w:t>’</w:t>
      </w:r>
      <w:proofErr w:type="spellStart"/>
      <w:r w:rsidRPr="00E8642C">
        <w:rPr>
          <w:rFonts w:cs="Arial"/>
          <w:szCs w:val="22"/>
        </w:rPr>
        <w:t>Ayurveda</w:t>
      </w:r>
      <w:proofErr w:type="spellEnd"/>
      <w:r w:rsidRPr="00E8642C">
        <w:rPr>
          <w:rFonts w:cs="Arial"/>
          <w:szCs w:val="22"/>
        </w:rPr>
        <w:t>, l</w:t>
      </w:r>
      <w:r w:rsidR="00D91476">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w:t>
      </w:r>
      <w:r w:rsidRPr="00E8642C">
        <w:rPr>
          <w:rFonts w:cs="Arial"/>
          <w:szCs w:val="22"/>
        </w:rPr>
        <w:lastRenderedPageBreak/>
        <w:t>dans cinq langues internationales qui sont l</w:t>
      </w:r>
      <w:r w:rsidR="00D91476">
        <w:rPr>
          <w:rFonts w:cs="Arial"/>
          <w:szCs w:val="22"/>
        </w:rPr>
        <w:t>’</w:t>
      </w:r>
      <w:r w:rsidRPr="00E8642C">
        <w:rPr>
          <w:rFonts w:cs="Arial"/>
          <w:szCs w:val="22"/>
        </w:rPr>
        <w:t>anglais, l</w:t>
      </w:r>
      <w:r w:rsidR="00D91476">
        <w:rPr>
          <w:rFonts w:cs="Arial"/>
          <w:szCs w:val="22"/>
        </w:rPr>
        <w:t>’</w:t>
      </w:r>
      <w:r w:rsidRPr="00E8642C">
        <w:rPr>
          <w:rFonts w:cs="Arial"/>
          <w:szCs w:val="22"/>
        </w:rPr>
        <w:t>allemand, le français, le japonais et l</w:t>
      </w:r>
      <w:r w:rsidR="00D91476">
        <w:rPr>
          <w:rFonts w:cs="Arial"/>
          <w:szCs w:val="22"/>
        </w:rPr>
        <w:t>’</w:t>
      </w:r>
      <w:r w:rsidRPr="00E8642C">
        <w:rPr>
          <w:rFonts w:cs="Arial"/>
          <w:szCs w:val="22"/>
        </w:rPr>
        <w:t>espagnol.</w:t>
      </w:r>
    </w:p>
    <w:p w:rsidR="00D23D81" w:rsidRDefault="00DD607D" w:rsidP="00E104D3">
      <w:pPr>
        <w:spacing w:after="220"/>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D91476">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23D81" w:rsidRDefault="00DD607D" w:rsidP="00E104D3">
      <w:pPr>
        <w:spacing w:after="220"/>
        <w:rPr>
          <w:rFonts w:cs="Arial"/>
          <w:szCs w:val="22"/>
        </w:rPr>
      </w:pPr>
      <w:r w:rsidRPr="00E8642C">
        <w:rPr>
          <w:rFonts w:cs="Arial"/>
          <w:szCs w:val="22"/>
        </w:rPr>
        <w:t xml:space="preserve">La bibliothèque numérique sur les savoirs traditionnels </w:t>
      </w:r>
      <w:proofErr w:type="gramStart"/>
      <w:r w:rsidRPr="00E8642C">
        <w:rPr>
          <w:rFonts w:cs="Arial"/>
          <w:szCs w:val="22"/>
        </w:rPr>
        <w:t>a</w:t>
      </w:r>
      <w:proofErr w:type="gramEnd"/>
      <w:r w:rsidRPr="00E8642C">
        <w:rPr>
          <w:rFonts w:cs="Arial"/>
          <w:szCs w:val="22"/>
        </w:rPr>
        <w:t xml:space="preserve"> un double object</w:t>
      </w:r>
      <w:r w:rsidR="001F3AEE" w:rsidRPr="00E8642C">
        <w:rPr>
          <w:rFonts w:cs="Arial"/>
          <w:szCs w:val="22"/>
        </w:rPr>
        <w:t>if</w:t>
      </w:r>
      <w:r w:rsidR="001F3AEE">
        <w:rPr>
          <w:rFonts w:cs="Arial"/>
          <w:szCs w:val="22"/>
        </w:rPr>
        <w:t xml:space="preserve">.  </w:t>
      </w:r>
      <w:r w:rsidR="001F3AEE"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1F3AEE" w:rsidRPr="00E8642C">
        <w:rPr>
          <w:rFonts w:cs="Arial"/>
          <w:szCs w:val="22"/>
        </w:rPr>
        <w:t>le</w:t>
      </w:r>
      <w:r w:rsidR="001F3AEE">
        <w:rPr>
          <w:rFonts w:cs="Arial"/>
          <w:szCs w:val="22"/>
        </w:rPr>
        <w:t xml:space="preserve">.  </w:t>
      </w:r>
      <w:r w:rsidR="001F3AEE"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D91476">
        <w:rPr>
          <w:rFonts w:cs="Arial"/>
          <w:szCs w:val="22"/>
        </w:rPr>
        <w:t>’</w:t>
      </w:r>
      <w:r w:rsidRPr="00E8642C">
        <w:rPr>
          <w:rFonts w:cs="Arial"/>
          <w:szCs w:val="22"/>
        </w:rPr>
        <w:t>appuient sur des informations fondées sur des savoirs traditionnels pour développer de nouveaux médicamen</w:t>
      </w:r>
      <w:r w:rsidR="001F3AEE" w:rsidRPr="00E8642C">
        <w:rPr>
          <w:rFonts w:cs="Arial"/>
          <w:szCs w:val="22"/>
        </w:rPr>
        <w:t>ts</w:t>
      </w:r>
      <w:r w:rsidR="001F3AEE">
        <w:rPr>
          <w:rFonts w:cs="Arial"/>
          <w:szCs w:val="22"/>
        </w:rPr>
        <w:t xml:space="preserve">.  </w:t>
      </w:r>
      <w:r w:rsidR="001F3AEE"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D91476">
        <w:rPr>
          <w:rFonts w:cs="Arial"/>
          <w:szCs w:val="22"/>
        </w:rPr>
        <w:t>’</w:t>
      </w:r>
      <w:r w:rsidRPr="00E8642C">
        <w:rPr>
          <w:rFonts w:cs="Arial"/>
          <w:szCs w:val="22"/>
        </w:rPr>
        <w:t xml:space="preserve">échelle mondiale, car cette base de données fournira des informations sur des noms modernes et également locaux dans une langue et dans </w:t>
      </w:r>
      <w:proofErr w:type="gramStart"/>
      <w:r w:rsidRPr="00E8642C">
        <w:rPr>
          <w:rFonts w:cs="Arial"/>
          <w:szCs w:val="22"/>
        </w:rPr>
        <w:t>un format compréhensibles</w:t>
      </w:r>
      <w:proofErr w:type="gramEnd"/>
      <w:r w:rsidRPr="00E8642C">
        <w:rPr>
          <w:rFonts w:cs="Arial"/>
          <w:szCs w:val="22"/>
        </w:rPr>
        <w:t xml:space="preserve"> par les examinateurs de breve</w:t>
      </w:r>
      <w:r w:rsidR="001F3AEE" w:rsidRPr="00E8642C">
        <w:rPr>
          <w:rFonts w:cs="Arial"/>
          <w:szCs w:val="22"/>
        </w:rPr>
        <w:t>ts</w:t>
      </w:r>
      <w:r w:rsidR="001F3AEE">
        <w:rPr>
          <w:rFonts w:cs="Arial"/>
          <w:szCs w:val="22"/>
        </w:rPr>
        <w:t xml:space="preserve">.  </w:t>
      </w:r>
      <w:r w:rsidR="001F3AEE" w:rsidRPr="00E8642C">
        <w:rPr>
          <w:rFonts w:cs="Arial"/>
          <w:szCs w:val="22"/>
        </w:rPr>
        <w:t>Ce</w:t>
      </w:r>
      <w:r w:rsidRPr="00E8642C">
        <w:rPr>
          <w:rFonts w:cs="Arial"/>
          <w:szCs w:val="22"/>
        </w:rPr>
        <w:t>tte base de données devrait permettre de réduire le fossé en ce qui concerne le manque de connaissances sur l</w:t>
      </w:r>
      <w:r w:rsidR="00D91476">
        <w:rPr>
          <w:rFonts w:cs="Arial"/>
          <w:szCs w:val="22"/>
        </w:rPr>
        <w:t>’</w:t>
      </w:r>
      <w:r w:rsidRPr="00E8642C">
        <w:rPr>
          <w:rFonts w:cs="Arial"/>
          <w:szCs w:val="22"/>
        </w:rPr>
        <w:t>état de la techniq</w:t>
      </w:r>
      <w:r w:rsidR="001F3AEE" w:rsidRPr="00E8642C">
        <w:rPr>
          <w:rFonts w:cs="Arial"/>
          <w:szCs w:val="22"/>
        </w:rPr>
        <w:t>ue</w:t>
      </w:r>
      <w:r w:rsidR="001F3AEE">
        <w:rPr>
          <w:rFonts w:cs="Arial"/>
          <w:szCs w:val="22"/>
        </w:rPr>
        <w:t xml:space="preserve">.  </w:t>
      </w:r>
      <w:r w:rsidR="001F3AEE"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23D81" w:rsidRDefault="000D5705" w:rsidP="00E104D3">
      <w:pPr>
        <w:pStyle w:val="Heading2"/>
        <w:keepLines/>
        <w:spacing w:after="220" w:line="240" w:lineRule="auto"/>
        <w:rPr>
          <w:bCs w:val="0"/>
        </w:rPr>
      </w:pPr>
      <w:bookmarkStart w:id="18" w:name="_Toc7772496"/>
      <w:r w:rsidRPr="00E8642C">
        <w:rPr>
          <w:bCs w:val="0"/>
        </w:rPr>
        <w:t>B</w:t>
      </w:r>
      <w:r w:rsidR="006B600F">
        <w:rPr>
          <w:bCs w:val="0"/>
        </w:rPr>
        <w:t>iotechnologie</w:t>
      </w:r>
      <w:bookmarkEnd w:id="18"/>
    </w:p>
    <w:p w:rsidR="00D23D81" w:rsidRDefault="00DD607D" w:rsidP="00E104D3">
      <w:pPr>
        <w:spacing w:after="220"/>
        <w:rPr>
          <w:rStyle w:val="Emphasis"/>
          <w:rFonts w:cs="Arial"/>
          <w:i w:val="0"/>
          <w:szCs w:val="22"/>
        </w:rPr>
      </w:pPr>
      <w:r w:rsidRPr="00E8642C">
        <w:rPr>
          <w:rFonts w:cs="Arial"/>
          <w:szCs w:val="22"/>
        </w:rPr>
        <w:t>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400337">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Protocole de Nagoya sur l</w:t>
      </w:r>
      <w:r w:rsidR="00D91476">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23D81" w:rsidRDefault="00DD607D" w:rsidP="00E104D3">
      <w:pPr>
        <w:autoSpaceDE w:val="0"/>
        <w:autoSpaceDN w:val="0"/>
        <w:adjustRightInd w:val="0"/>
        <w:spacing w:after="220"/>
        <w:rPr>
          <w:rFonts w:cs="Arial"/>
          <w:snapToGrid w:val="0"/>
          <w:szCs w:val="22"/>
        </w:rPr>
      </w:pPr>
      <w:r w:rsidRPr="00E8642C">
        <w:rPr>
          <w:rFonts w:cs="Arial"/>
          <w:szCs w:val="22"/>
        </w:rPr>
        <w:t>Selon la Déclaration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D91476">
        <w:rPr>
          <w:rFonts w:cs="Arial"/>
          <w:iCs/>
          <w:szCs w:val="22"/>
        </w:rPr>
        <w:t>’</w:t>
      </w:r>
      <w:r w:rsidRPr="00E8642C">
        <w:rPr>
          <w:rFonts w:cs="Arial"/>
          <w:iCs/>
          <w:szCs w:val="22"/>
        </w:rPr>
        <w:t>usage courant dans le secteur agroalimentai</w:t>
      </w:r>
      <w:r w:rsidR="001F3AEE" w:rsidRPr="00E8642C">
        <w:rPr>
          <w:rFonts w:cs="Arial"/>
          <w:iCs/>
          <w:szCs w:val="22"/>
        </w:rPr>
        <w:t>re</w:t>
      </w:r>
      <w:r w:rsidR="001F3AEE">
        <w:rPr>
          <w:rFonts w:cs="Arial"/>
          <w:iCs/>
          <w:szCs w:val="22"/>
        </w:rPr>
        <w:t xml:space="preserve">.  </w:t>
      </w:r>
      <w:r w:rsidR="001F3AEE"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D91476">
        <w:rPr>
          <w:rFonts w:cs="Arial"/>
          <w:iCs/>
          <w:szCs w:val="22"/>
        </w:rPr>
        <w:t>’</w:t>
      </w:r>
      <w:r w:rsidRPr="00E8642C">
        <w:rPr>
          <w:rFonts w:cs="Arial"/>
          <w:iCs/>
          <w:szCs w:val="22"/>
        </w:rPr>
        <w:t>ADN, la biologie moléculaire et les applications génétiques, la définition couvre diverses technologies telles que la manipulation et le transfert de gènes, le typage de l</w:t>
      </w:r>
      <w:r w:rsidR="00D91476">
        <w:rPr>
          <w:rFonts w:cs="Arial"/>
          <w:iCs/>
          <w:szCs w:val="22"/>
        </w:rPr>
        <w:t>’</w:t>
      </w:r>
      <w:r w:rsidRPr="00E8642C">
        <w:rPr>
          <w:rFonts w:cs="Arial"/>
          <w:iCs/>
          <w:szCs w:val="22"/>
        </w:rPr>
        <w:t>ADN et le clonage de végétaux et d</w:t>
      </w:r>
      <w:r w:rsidR="00D91476">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23D81" w:rsidRDefault="00DD607D" w:rsidP="00E104D3">
      <w:pPr>
        <w:autoSpaceDE w:val="0"/>
        <w:autoSpaceDN w:val="0"/>
        <w:adjustRightInd w:val="0"/>
        <w:spacing w:after="220"/>
        <w:rPr>
          <w:rFonts w:cs="Arial"/>
          <w:snapToGrid w:val="0"/>
          <w:szCs w:val="22"/>
        </w:rPr>
      </w:pPr>
      <w:r w:rsidRPr="00E8642C">
        <w:rPr>
          <w:rFonts w:cs="Arial"/>
          <w:snapToGrid w:val="0"/>
          <w:szCs w:val="22"/>
        </w:rPr>
        <w:t>Aux termes de l</w:t>
      </w:r>
      <w:r w:rsidR="00D91476">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D91476">
        <w:rPr>
          <w:rFonts w:cs="Arial"/>
          <w:snapToGrid w:val="0"/>
          <w:szCs w:val="22"/>
        </w:rPr>
        <w:t>’</w:t>
      </w:r>
      <w:r w:rsidRPr="00E8642C">
        <w:rPr>
          <w:rFonts w:cs="Arial"/>
          <w:snapToGrid w:val="0"/>
          <w:szCs w:val="22"/>
        </w:rPr>
        <w:t>entend</w:t>
      </w:r>
      <w:r w:rsidR="00D91476">
        <w:rPr>
          <w:rFonts w:cs="Arial"/>
          <w:snapToGrid w:val="0"/>
          <w:szCs w:val="22"/>
        </w:rPr>
        <w:t> :</w:t>
      </w:r>
      <w:r w:rsidRPr="00E8642C">
        <w:rPr>
          <w:rFonts w:cs="Arial"/>
          <w:iCs/>
          <w:snapToGrid w:val="0"/>
          <w:szCs w:val="22"/>
        </w:rPr>
        <w:t xml:space="preserve"> “a) de l</w:t>
      </w:r>
      <w:r w:rsidR="00D91476">
        <w:rPr>
          <w:rFonts w:cs="Arial"/>
          <w:iCs/>
          <w:snapToGrid w:val="0"/>
          <w:szCs w:val="22"/>
        </w:rPr>
        <w:t>’</w:t>
      </w:r>
      <w:r w:rsidRPr="00E8642C">
        <w:rPr>
          <w:rFonts w:cs="Arial"/>
          <w:iCs/>
          <w:snapToGrid w:val="0"/>
          <w:szCs w:val="22"/>
        </w:rPr>
        <w:t xml:space="preserve">application de techniques in vitro aux acides nucléiques, </w:t>
      </w:r>
      <w:r w:rsidR="00D91476">
        <w:rPr>
          <w:rFonts w:cs="Arial"/>
          <w:iCs/>
          <w:snapToGrid w:val="0"/>
          <w:szCs w:val="22"/>
        </w:rPr>
        <w:t>y compris</w:t>
      </w:r>
      <w:r w:rsidRPr="00E8642C">
        <w:rPr>
          <w:rFonts w:cs="Arial"/>
          <w:iCs/>
          <w:snapToGrid w:val="0"/>
          <w:szCs w:val="22"/>
        </w:rPr>
        <w:t xml:space="preserve"> la recombinaison de l</w:t>
      </w:r>
      <w:r w:rsidR="00D91476">
        <w:rPr>
          <w:rFonts w:cs="Arial"/>
          <w:iCs/>
          <w:snapToGrid w:val="0"/>
          <w:szCs w:val="22"/>
        </w:rPr>
        <w:t>’</w:t>
      </w:r>
      <w:r w:rsidRPr="00E8642C">
        <w:rPr>
          <w:rFonts w:cs="Arial"/>
          <w:iCs/>
          <w:snapToGrid w:val="0"/>
          <w:szCs w:val="22"/>
        </w:rPr>
        <w:t>acide désoxyribonucléique (ADN) et l</w:t>
      </w:r>
      <w:r w:rsidR="00D91476">
        <w:rPr>
          <w:rFonts w:cs="Arial"/>
          <w:iCs/>
          <w:snapToGrid w:val="0"/>
          <w:szCs w:val="22"/>
        </w:rPr>
        <w:t>’</w:t>
      </w:r>
      <w:r w:rsidRPr="00E8642C">
        <w:rPr>
          <w:rFonts w:cs="Arial"/>
          <w:iCs/>
          <w:snapToGrid w:val="0"/>
          <w:szCs w:val="22"/>
        </w:rPr>
        <w:t>introduction directe d</w:t>
      </w:r>
      <w:r w:rsidR="00D91476">
        <w:rPr>
          <w:rFonts w:cs="Arial"/>
          <w:iCs/>
          <w:snapToGrid w:val="0"/>
          <w:szCs w:val="22"/>
        </w:rPr>
        <w:t>’</w:t>
      </w:r>
      <w:r w:rsidRPr="00E8642C">
        <w:rPr>
          <w:rFonts w:cs="Arial"/>
          <w:iCs/>
          <w:snapToGrid w:val="0"/>
          <w:szCs w:val="22"/>
        </w:rPr>
        <w:t>acides nucléiques dans des cellules ou organites;  et b) de la fusion cellulaire d</w:t>
      </w:r>
      <w:r w:rsidR="00D91476">
        <w:rPr>
          <w:rFonts w:cs="Arial"/>
          <w:iCs/>
          <w:snapToGrid w:val="0"/>
          <w:szCs w:val="22"/>
        </w:rPr>
        <w:t>’</w:t>
      </w:r>
      <w:r w:rsidRPr="00E8642C">
        <w:rPr>
          <w:rFonts w:cs="Arial"/>
          <w:iCs/>
          <w:snapToGrid w:val="0"/>
          <w:szCs w:val="22"/>
        </w:rPr>
        <w:t>organismes n</w:t>
      </w:r>
      <w:r w:rsidR="00D91476">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23D81" w:rsidRDefault="00DD607D" w:rsidP="00E104D3">
      <w:pPr>
        <w:tabs>
          <w:tab w:val="left" w:pos="1000"/>
        </w:tabs>
        <w:spacing w:after="220"/>
        <w:rPr>
          <w:rFonts w:cs="Arial"/>
          <w:iCs/>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Organisation de coopération et de développement économiques (OCDE) utilise une définition délibérément large, couvrant toute la biotechnologie moderne mais également de nombreuses </w:t>
      </w:r>
      <w:r w:rsidRPr="00E8642C">
        <w:rPr>
          <w:rFonts w:cs="Arial"/>
          <w:snapToGrid w:val="0"/>
          <w:szCs w:val="22"/>
        </w:rPr>
        <w:lastRenderedPageBreak/>
        <w:t>activités traditionnelles ou intermédiair</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D91476">
        <w:rPr>
          <w:rFonts w:cs="Arial"/>
          <w:iCs/>
          <w:snapToGrid w:val="0"/>
          <w:szCs w:val="22"/>
        </w:rPr>
        <w:t>’</w:t>
      </w:r>
      <w:r w:rsidRPr="00E8642C">
        <w:rPr>
          <w:rFonts w:cs="Arial"/>
          <w:iCs/>
          <w:snapToGrid w:val="0"/>
          <w:szCs w:val="22"/>
        </w:rPr>
        <w:t>application des sciences et des techniques à des organismes vivants ainsi qu</w:t>
      </w:r>
      <w:r w:rsidR="00D91476">
        <w:rPr>
          <w:rFonts w:cs="Arial"/>
          <w:iCs/>
          <w:snapToGrid w:val="0"/>
          <w:szCs w:val="22"/>
        </w:rPr>
        <w:t>’</w:t>
      </w:r>
      <w:r w:rsidRPr="00E8642C">
        <w:rPr>
          <w:rFonts w:cs="Arial"/>
          <w:iCs/>
          <w:snapToGrid w:val="0"/>
          <w:szCs w:val="22"/>
        </w:rPr>
        <w:t>à des parties, à des produits ou à des types d</w:t>
      </w:r>
      <w:r w:rsidR="00D91476">
        <w:rPr>
          <w:rFonts w:cs="Arial"/>
          <w:iCs/>
          <w:snapToGrid w:val="0"/>
          <w:szCs w:val="22"/>
        </w:rPr>
        <w:t>’</w:t>
      </w:r>
      <w:r w:rsidRPr="00E8642C">
        <w:rPr>
          <w:rFonts w:cs="Arial"/>
          <w:iCs/>
          <w:snapToGrid w:val="0"/>
          <w:szCs w:val="22"/>
        </w:rPr>
        <w:t>organismes vivants en vue de modifier le matériel vivant ou non aux fins de la production d</w:t>
      </w:r>
      <w:r w:rsidR="00D91476">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400337">
        <w:rPr>
          <w:rFonts w:cs="Arial"/>
          <w:b/>
          <w:bCs/>
          <w:iCs/>
          <w:snapToGrid w:val="0"/>
          <w:szCs w:val="22"/>
        </w:rPr>
        <w:noBreakHyphen/>
      </w:r>
      <w:r w:rsidRPr="00C27F71">
        <w:rPr>
          <w:rFonts w:cs="Arial"/>
          <w:b/>
          <w:bCs/>
          <w:iCs/>
          <w:snapToGrid w:val="0"/>
          <w:szCs w:val="22"/>
        </w:rPr>
        <w:t>informatique” et “</w:t>
      </w:r>
      <w:proofErr w:type="spellStart"/>
      <w:r w:rsidRPr="00C27F71">
        <w:rPr>
          <w:rFonts w:cs="Arial"/>
          <w:b/>
          <w:bCs/>
          <w:iCs/>
          <w:snapToGrid w:val="0"/>
          <w:szCs w:val="22"/>
        </w:rPr>
        <w:t>nanobiotechnologie</w:t>
      </w:r>
      <w:proofErr w:type="spellEnd"/>
      <w:r w:rsidRPr="00C27F71">
        <w:rPr>
          <w:rFonts w:cs="Arial"/>
          <w:b/>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23D81" w:rsidRDefault="00DD607D" w:rsidP="00E104D3">
      <w:pPr>
        <w:pStyle w:val="Heading2"/>
        <w:spacing w:after="220" w:line="240" w:lineRule="auto"/>
      </w:pPr>
      <w:bookmarkStart w:id="19" w:name="_Toc7772497"/>
      <w:r w:rsidRPr="00E8642C">
        <w:t>Bons usages</w:t>
      </w:r>
      <w:bookmarkEnd w:id="19"/>
    </w:p>
    <w:p w:rsidR="00D23D81" w:rsidRDefault="00DD607D" w:rsidP="00E104D3">
      <w:pPr>
        <w:spacing w:after="220"/>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D91476">
        <w:rPr>
          <w:rFonts w:cs="Arial"/>
          <w:szCs w:val="22"/>
        </w:rPr>
        <w:t>’</w:t>
      </w:r>
      <w:r w:rsidRPr="00E8642C">
        <w:rPr>
          <w:rFonts w:cs="Arial"/>
          <w:szCs w:val="22"/>
        </w:rPr>
        <w:t>expression “bons usages” dans certaines dispositions sur les exceptions à la protection du droit d</w:t>
      </w:r>
      <w:r w:rsidR="00D91476">
        <w:rPr>
          <w:rFonts w:cs="Arial"/>
          <w:szCs w:val="22"/>
        </w:rPr>
        <w:t>’</w:t>
      </w:r>
      <w:r w:rsidRPr="00E8642C">
        <w:rPr>
          <w:rFonts w:cs="Arial"/>
          <w:szCs w:val="22"/>
        </w:rPr>
        <w:t>auteur (voir l</w:t>
      </w:r>
      <w:r w:rsidR="00D91476">
        <w:rPr>
          <w:rFonts w:cs="Arial"/>
          <w:szCs w:val="22"/>
        </w:rPr>
        <w:t>’</w:t>
      </w:r>
      <w:r w:rsidRPr="00E8642C">
        <w:rPr>
          <w:rFonts w:cs="Arial"/>
          <w:szCs w:val="22"/>
        </w:rPr>
        <w:t>article 10.1) sur les citations et l</w:t>
      </w:r>
      <w:r w:rsidR="00D91476">
        <w:rPr>
          <w:rFonts w:cs="Arial"/>
          <w:szCs w:val="22"/>
        </w:rPr>
        <w:t>’</w:t>
      </w:r>
      <w:r w:rsidRPr="00E8642C">
        <w:rPr>
          <w:rFonts w:cs="Arial"/>
          <w:szCs w:val="22"/>
        </w:rPr>
        <w:t>article 10.2) sur la libre utilisation des œuvres – dans la mesure justifiée par le but à atteindre – à titre d</w:t>
      </w:r>
      <w:r w:rsidR="00D91476">
        <w:rPr>
          <w:rFonts w:cs="Arial"/>
          <w:szCs w:val="22"/>
        </w:rPr>
        <w:t>’</w:t>
      </w:r>
      <w:r w:rsidRPr="00E8642C">
        <w:rPr>
          <w:rFonts w:cs="Arial"/>
          <w:szCs w:val="22"/>
        </w:rPr>
        <w:t>illustration de l</w:t>
      </w:r>
      <w:r w:rsidR="00D91476">
        <w:rPr>
          <w:rFonts w:cs="Arial"/>
          <w:szCs w:val="22"/>
        </w:rPr>
        <w:t>’</w:t>
      </w:r>
      <w:r w:rsidRPr="00E8642C">
        <w:rPr>
          <w:rFonts w:cs="Arial"/>
          <w:szCs w:val="22"/>
        </w:rPr>
        <w:t>enseigneme</w:t>
      </w:r>
      <w:r w:rsidR="001F3AEE" w:rsidRPr="00E8642C">
        <w:rPr>
          <w:rFonts w:cs="Arial"/>
          <w:szCs w:val="22"/>
        </w:rPr>
        <w:t>nt)</w:t>
      </w:r>
      <w:r w:rsidR="001F3AEE">
        <w:rPr>
          <w:rFonts w:cs="Arial"/>
          <w:szCs w:val="22"/>
        </w:rPr>
        <w:t xml:space="preserve">.  </w:t>
      </w:r>
      <w:r w:rsidR="001F3AEE" w:rsidRPr="00E8642C">
        <w:rPr>
          <w:rFonts w:cs="Arial"/>
          <w:szCs w:val="22"/>
        </w:rPr>
        <w:t>Le</w:t>
      </w:r>
      <w:r w:rsidRPr="00E8642C">
        <w:rPr>
          <w:rFonts w:cs="Arial"/>
          <w:szCs w:val="22"/>
        </w:rPr>
        <w:t>s conditions du “triple critère” doivent être prises en considération dans l</w:t>
      </w:r>
      <w:r w:rsidR="00D91476">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D23D81" w:rsidRDefault="00DD607D" w:rsidP="00E104D3">
      <w:pPr>
        <w:pStyle w:val="Heading2"/>
        <w:spacing w:after="220" w:line="240" w:lineRule="auto"/>
      </w:pPr>
      <w:bookmarkStart w:id="20" w:name="_Toc7772498"/>
      <w:r w:rsidRPr="00E8642C">
        <w:t>Brevet</w:t>
      </w:r>
      <w:bookmarkEnd w:id="20"/>
    </w:p>
    <w:p w:rsidR="00D23D81" w:rsidRDefault="00DD607D" w:rsidP="00E104D3">
      <w:pPr>
        <w:spacing w:after="220"/>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D91476">
        <w:rPr>
          <w:rFonts w:cs="Arial"/>
          <w:iCs/>
          <w:szCs w:val="22"/>
        </w:rPr>
        <w:t>’</w:t>
      </w:r>
      <w:r w:rsidRPr="00E8642C">
        <w:rPr>
          <w:rFonts w:cs="Arial"/>
          <w:iCs/>
          <w:szCs w:val="22"/>
        </w:rPr>
        <w:t>autorisation du titulaire du brev</w:t>
      </w:r>
      <w:r w:rsidR="001F3AEE" w:rsidRPr="00E8642C">
        <w:rPr>
          <w:rFonts w:cs="Arial"/>
          <w:iCs/>
          <w:szCs w:val="22"/>
        </w:rPr>
        <w:t>et</w:t>
      </w:r>
      <w:r w:rsidR="001F3AEE">
        <w:rPr>
          <w:rFonts w:cs="Arial"/>
          <w:iCs/>
          <w:szCs w:val="22"/>
        </w:rPr>
        <w:t xml:space="preserve">.  </w:t>
      </w:r>
      <w:r w:rsidR="001F3AEE" w:rsidRPr="00E8642C">
        <w:rPr>
          <w:rFonts w:cs="Arial"/>
          <w:iCs/>
          <w:szCs w:val="22"/>
        </w:rPr>
        <w:t>Un</w:t>
      </w:r>
      <w:r w:rsidRPr="00E8642C">
        <w:rPr>
          <w:rFonts w:cs="Arial"/>
          <w:iCs/>
          <w:szCs w:val="22"/>
        </w:rPr>
        <w:t>e invention est une solution apportée à un problème technique préc</w:t>
      </w:r>
      <w:r w:rsidR="001F3AEE" w:rsidRPr="00E8642C">
        <w:rPr>
          <w:rFonts w:cs="Arial"/>
          <w:iCs/>
          <w:szCs w:val="22"/>
        </w:rPr>
        <w:t>is</w:t>
      </w:r>
      <w:r w:rsidR="001F3AEE">
        <w:rPr>
          <w:rFonts w:cs="Arial"/>
          <w:iCs/>
          <w:szCs w:val="22"/>
        </w:rPr>
        <w:t xml:space="preserve">.  </w:t>
      </w:r>
      <w:r w:rsidR="001F3AEE"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D91476">
        <w:rPr>
          <w:rFonts w:cs="Arial"/>
          <w:iCs/>
          <w:szCs w:val="22"/>
        </w:rPr>
        <w:t>’</w:t>
      </w:r>
      <w:r w:rsidRPr="00E8642C">
        <w:rPr>
          <w:rFonts w:cs="Arial"/>
          <w:iCs/>
          <w:szCs w:val="22"/>
        </w:rPr>
        <w:t>invention, ainsi que des renseignements bibliographiques tels que le nom du déposa</w:t>
      </w:r>
      <w:r w:rsidR="001F3AEE" w:rsidRPr="00E8642C">
        <w:rPr>
          <w:rFonts w:cs="Arial"/>
          <w:iCs/>
          <w:szCs w:val="22"/>
        </w:rPr>
        <w:t>nt</w:t>
      </w:r>
      <w:r w:rsidR="001F3AEE">
        <w:rPr>
          <w:rFonts w:cs="Arial"/>
          <w:iCs/>
          <w:szCs w:val="22"/>
        </w:rPr>
        <w:t xml:space="preserve">.  </w:t>
      </w:r>
      <w:r w:rsidR="001F3AEE"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1F3AEE" w:rsidRPr="00E8642C">
        <w:rPr>
          <w:rFonts w:cs="Arial"/>
          <w:iCs/>
          <w:szCs w:val="22"/>
        </w:rPr>
        <w:t>re)</w:t>
      </w:r>
      <w:r w:rsidR="001F3AEE">
        <w:rPr>
          <w:rFonts w:cs="Arial"/>
          <w:iCs/>
          <w:szCs w:val="22"/>
        </w:rPr>
        <w:t xml:space="preserve">.  </w:t>
      </w:r>
      <w:r w:rsidR="001F3AEE" w:rsidRPr="00E8642C">
        <w:rPr>
          <w:rFonts w:cs="Arial"/>
          <w:iCs/>
          <w:szCs w:val="22"/>
        </w:rPr>
        <w:t>El</w:t>
      </w:r>
      <w:r w:rsidRPr="00E8642C">
        <w:rPr>
          <w:rFonts w:cs="Arial"/>
          <w:iCs/>
          <w:szCs w:val="22"/>
        </w:rPr>
        <w:t>le est aussi limitée au territoire du ou des pays intéress</w:t>
      </w:r>
      <w:r w:rsidR="001F3AEE" w:rsidRPr="00E8642C">
        <w:rPr>
          <w:rFonts w:cs="Arial"/>
          <w:iCs/>
          <w:szCs w:val="22"/>
        </w:rPr>
        <w:t>és</w:t>
      </w:r>
      <w:r w:rsidR="001F3AEE">
        <w:rPr>
          <w:rFonts w:cs="Arial"/>
          <w:iCs/>
          <w:szCs w:val="22"/>
        </w:rPr>
        <w:t xml:space="preserve">.  </w:t>
      </w:r>
      <w:r w:rsidR="001F3AEE" w:rsidRPr="00E8642C">
        <w:rPr>
          <w:rFonts w:cs="Arial"/>
          <w:iCs/>
          <w:szCs w:val="22"/>
        </w:rPr>
        <w:t>Un</w:t>
      </w:r>
      <w:r w:rsidRPr="00E8642C">
        <w:rPr>
          <w:rFonts w:cs="Arial"/>
          <w:iCs/>
          <w:szCs w:val="22"/>
        </w:rPr>
        <w:t xml:space="preserve"> brevet est un accord conclu entre un inventeur et un pa</w:t>
      </w:r>
      <w:r w:rsidR="001F3AEE" w:rsidRPr="00E8642C">
        <w:rPr>
          <w:rFonts w:cs="Arial"/>
          <w:iCs/>
          <w:szCs w:val="22"/>
        </w:rPr>
        <w:t>ys</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a</w:t>
      </w:r>
      <w:r w:rsidRPr="00E8642C">
        <w:rPr>
          <w:rFonts w:cs="Arial"/>
          <w:iCs/>
          <w:szCs w:val="22"/>
        </w:rPr>
        <w:t>ccord permet au titulaire du brevet d</w:t>
      </w:r>
      <w:r w:rsidR="00D91476">
        <w:rPr>
          <w:rFonts w:cs="Arial"/>
          <w:iCs/>
          <w:szCs w:val="22"/>
        </w:rPr>
        <w:t>’</w:t>
      </w:r>
      <w:r w:rsidRPr="00E8642C">
        <w:rPr>
          <w:rFonts w:cs="Arial"/>
          <w:iCs/>
          <w:szCs w:val="22"/>
        </w:rPr>
        <w:t>empêcher des tiers de fabriquer, d</w:t>
      </w:r>
      <w:r w:rsidR="00D91476">
        <w:rPr>
          <w:rFonts w:cs="Arial"/>
          <w:iCs/>
          <w:szCs w:val="22"/>
        </w:rPr>
        <w:t>’</w:t>
      </w:r>
      <w:r w:rsidRPr="00E8642C">
        <w:rPr>
          <w:rFonts w:cs="Arial"/>
          <w:iCs/>
          <w:szCs w:val="22"/>
        </w:rPr>
        <w:t>utiliser ou de vendre l</w:t>
      </w:r>
      <w:r w:rsidR="00D91476">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23D81" w:rsidRDefault="00DD607D" w:rsidP="00E104D3">
      <w:pPr>
        <w:spacing w:after="220"/>
        <w:rPr>
          <w:rFonts w:cs="Arial"/>
          <w:iCs/>
          <w:szCs w:val="22"/>
        </w:rPr>
      </w:pPr>
      <w:r w:rsidRPr="00E8642C">
        <w:rPr>
          <w:rFonts w:cs="Arial"/>
          <w:szCs w:val="22"/>
        </w:rPr>
        <w:t>L</w:t>
      </w:r>
      <w:r w:rsidR="00D91476">
        <w:rPr>
          <w:rFonts w:cs="Arial"/>
          <w:szCs w:val="22"/>
        </w:rPr>
        <w:t>’</w:t>
      </w:r>
      <w:r w:rsidRPr="00E8642C">
        <w:rPr>
          <w:rFonts w:cs="Arial"/>
          <w:szCs w:val="22"/>
        </w:rPr>
        <w:t>article 27.1 de l</w:t>
      </w:r>
      <w:r w:rsidR="00D91476">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D91476">
        <w:rPr>
          <w:rFonts w:cs="Arial"/>
          <w:szCs w:val="22"/>
        </w:rPr>
        <w:t>’</w:t>
      </w:r>
      <w:r w:rsidRPr="00E8642C">
        <w:rPr>
          <w:rFonts w:cs="Arial"/>
          <w:szCs w:val="22"/>
        </w:rPr>
        <w:t xml:space="preserve">Organisation mondiale du commerce (OMC) stipule que </w:t>
      </w:r>
      <w:proofErr w:type="gramStart"/>
      <w:r w:rsidRPr="00E8642C">
        <w:rPr>
          <w:rFonts w:cs="Arial"/>
          <w:iCs/>
          <w:szCs w:val="22"/>
        </w:rPr>
        <w:t>“[</w:t>
      </w:r>
      <w:proofErr w:type="gramEnd"/>
      <w:r w:rsidRPr="00E8642C">
        <w:rPr>
          <w:rFonts w:cs="Arial"/>
          <w:iCs/>
          <w:szCs w:val="22"/>
        </w:rPr>
        <w:t>…] un brevet pourra être obtenu pour toute invention, de produit ou de procédé, dans tous les domaines technologiques, à condition qu</w:t>
      </w:r>
      <w:r w:rsidR="00D91476">
        <w:rPr>
          <w:rFonts w:cs="Arial"/>
          <w:iCs/>
          <w:szCs w:val="22"/>
        </w:rPr>
        <w:t>’</w:t>
      </w:r>
      <w:r w:rsidRPr="00E8642C">
        <w:rPr>
          <w:rFonts w:cs="Arial"/>
          <w:iCs/>
          <w:szCs w:val="22"/>
        </w:rPr>
        <w:t>elle soit nouvelle, qu</w:t>
      </w:r>
      <w:r w:rsidR="00D91476">
        <w:rPr>
          <w:rFonts w:cs="Arial"/>
          <w:iCs/>
          <w:szCs w:val="22"/>
        </w:rPr>
        <w:t>’</w:t>
      </w:r>
      <w:r w:rsidRPr="00E8642C">
        <w:rPr>
          <w:rFonts w:cs="Arial"/>
          <w:iCs/>
          <w:szCs w:val="22"/>
        </w:rPr>
        <w:t>elle implique une activité inventive et qu</w:t>
      </w:r>
      <w:r w:rsidR="00D91476">
        <w:rPr>
          <w:rFonts w:cs="Arial"/>
          <w:iCs/>
          <w:szCs w:val="22"/>
        </w:rPr>
        <w:t>’</w:t>
      </w:r>
      <w:r w:rsidRPr="00E8642C">
        <w:rPr>
          <w:rFonts w:cs="Arial"/>
          <w:iCs/>
          <w:szCs w:val="22"/>
        </w:rPr>
        <w:t>elle soit susceptible d</w:t>
      </w:r>
      <w:r w:rsidR="00D91476">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D91476">
        <w:rPr>
          <w:rFonts w:cs="Arial"/>
          <w:iCs/>
          <w:szCs w:val="22"/>
        </w:rPr>
        <w:t>’</w:t>
      </w:r>
      <w:r w:rsidRPr="00E8642C">
        <w:rPr>
          <w:rFonts w:cs="Arial"/>
          <w:iCs/>
          <w:szCs w:val="22"/>
        </w:rPr>
        <w:t>origine de l</w:t>
      </w:r>
      <w:r w:rsidR="00D91476">
        <w:rPr>
          <w:rFonts w:cs="Arial"/>
          <w:iCs/>
          <w:szCs w:val="22"/>
        </w:rPr>
        <w:t>’</w:t>
      </w:r>
      <w:r w:rsidRPr="00E8642C">
        <w:rPr>
          <w:rFonts w:cs="Arial"/>
          <w:iCs/>
          <w:szCs w:val="22"/>
        </w:rPr>
        <w:t>invention, au domaine technologique et au fait que les produits sont importés ou sont d</w:t>
      </w:r>
      <w:r w:rsidR="00D91476">
        <w:rPr>
          <w:rFonts w:cs="Arial"/>
          <w:iCs/>
          <w:szCs w:val="22"/>
        </w:rPr>
        <w:t>’</w:t>
      </w:r>
      <w:r w:rsidRPr="00E8642C">
        <w:rPr>
          <w:rFonts w:cs="Arial"/>
          <w:iCs/>
          <w:szCs w:val="22"/>
        </w:rPr>
        <w:t>origine nationale”.</w:t>
      </w:r>
    </w:p>
    <w:p w:rsidR="00D23D81" w:rsidRDefault="00DD607D" w:rsidP="00E104D3">
      <w:pPr>
        <w:pStyle w:val="Heading2"/>
        <w:spacing w:after="220" w:line="240" w:lineRule="auto"/>
      </w:pPr>
      <w:bookmarkStart w:id="21" w:name="_Toc7772499"/>
      <w:r w:rsidRPr="00E8642C">
        <w:t>Classification des ressources en savoirs traditionnels</w:t>
      </w:r>
      <w:bookmarkEnd w:id="21"/>
    </w:p>
    <w:p w:rsidR="00D23D81" w:rsidRDefault="00DD607D" w:rsidP="00E104D3">
      <w:pPr>
        <w:spacing w:after="220"/>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D91476">
        <w:rPr>
          <w:rFonts w:cs="Arial"/>
          <w:szCs w:val="22"/>
        </w:rPr>
        <w:t>’</w:t>
      </w:r>
      <w:r w:rsidRPr="00E8642C">
        <w:rPr>
          <w:rFonts w:cs="Arial"/>
          <w:szCs w:val="22"/>
        </w:rPr>
        <w:t>extraction des données, comprenant quelque 5000 sous</w:t>
      </w:r>
      <w:r w:rsidR="00400337">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w:t>
      </w:r>
      <w:r w:rsidR="001F3AEE" w:rsidRPr="00E8642C">
        <w:rPr>
          <w:rFonts w:cs="Arial"/>
          <w:szCs w:val="22"/>
        </w:rPr>
        <w:t>ga)</w:t>
      </w:r>
      <w:r w:rsidR="001F3AEE">
        <w:rPr>
          <w:rFonts w:cs="Arial"/>
          <w:szCs w:val="22"/>
        </w:rPr>
        <w:t xml:space="preserve">.  </w:t>
      </w:r>
      <w:r w:rsidR="001F3AEE"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D91476">
        <w:rPr>
          <w:rFonts w:cs="Arial"/>
          <w:szCs w:val="22"/>
        </w:rPr>
        <w:t>’</w:t>
      </w:r>
      <w:r w:rsidRPr="00E8642C">
        <w:rPr>
          <w:rFonts w:cs="Arial"/>
          <w:szCs w:val="22"/>
        </w:rPr>
        <w:t>appuyant sur les systèmes modernes de diffusion,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 xml:space="preserve">dire les moyens </w:t>
      </w:r>
      <w:r w:rsidRPr="00E8642C">
        <w:rPr>
          <w:rFonts w:cs="Arial"/>
          <w:szCs w:val="22"/>
        </w:rPr>
        <w:lastRenderedPageBreak/>
        <w:t>informatiques, en particulier l</w:t>
      </w:r>
      <w:r w:rsidR="00D91476">
        <w:rPr>
          <w:rFonts w:cs="Arial"/>
          <w:szCs w:val="22"/>
        </w:rPr>
        <w:t>’</w:t>
      </w:r>
      <w:r w:rsidRPr="00E8642C">
        <w:rPr>
          <w:rFonts w:cs="Arial"/>
          <w:szCs w:val="22"/>
        </w:rPr>
        <w:t>Internet et les technologies fondées sur le W</w:t>
      </w:r>
      <w:r w:rsidR="001F3AEE" w:rsidRPr="00E8642C">
        <w:rPr>
          <w:rFonts w:cs="Arial"/>
          <w:szCs w:val="22"/>
        </w:rPr>
        <w:t>eb</w:t>
      </w:r>
      <w:r w:rsidR="001F3AEE">
        <w:rPr>
          <w:rFonts w:cs="Arial"/>
          <w:szCs w:val="22"/>
        </w:rPr>
        <w:t xml:space="preserve">.  </w:t>
      </w:r>
      <w:r w:rsidR="001F3AEE"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D91476">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23D81" w:rsidRDefault="00DD607D" w:rsidP="00E104D3">
      <w:pPr>
        <w:pStyle w:val="Heading2"/>
        <w:spacing w:after="220" w:line="240" w:lineRule="auto"/>
      </w:pPr>
      <w:bookmarkStart w:id="22" w:name="_Toc7772500"/>
      <w:r w:rsidRPr="00E8642C">
        <w:t>Classification internationale des brevets</w:t>
      </w:r>
      <w:bookmarkEnd w:id="22"/>
    </w:p>
    <w:p w:rsidR="00D23D81" w:rsidRDefault="00DD607D" w:rsidP="00E104D3">
      <w:pPr>
        <w:spacing w:after="220"/>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D91476">
        <w:rPr>
          <w:rFonts w:cs="Arial"/>
          <w:iCs/>
          <w:szCs w:val="22"/>
        </w:rPr>
        <w:t>’</w:t>
      </w:r>
      <w:r w:rsidRPr="00E8642C">
        <w:rPr>
          <w:rFonts w:cs="Arial"/>
          <w:iCs/>
          <w:szCs w:val="22"/>
        </w:rPr>
        <w:t>ensemble de la technologie est subdivisé en une série de sections, classes, sous</w:t>
      </w:r>
      <w:r w:rsidR="00400337">
        <w:rPr>
          <w:rFonts w:cs="Arial"/>
          <w:iCs/>
          <w:szCs w:val="22"/>
        </w:rPr>
        <w:noBreakHyphen/>
      </w:r>
      <w:r w:rsidRPr="00E8642C">
        <w:rPr>
          <w:rFonts w:cs="Arial"/>
          <w:iCs/>
          <w:szCs w:val="22"/>
        </w:rPr>
        <w:t>classes et group</w:t>
      </w:r>
      <w:r w:rsidR="001F3AEE" w:rsidRPr="00E8642C">
        <w:rPr>
          <w:rFonts w:cs="Arial"/>
          <w:iCs/>
          <w:szCs w:val="22"/>
        </w:rPr>
        <w:t>es</w:t>
      </w:r>
      <w:r w:rsidR="001F3AEE">
        <w:rPr>
          <w:rFonts w:cs="Arial"/>
          <w:iCs/>
          <w:szCs w:val="22"/>
        </w:rPr>
        <w:t xml:space="preserve">.  </w:t>
      </w:r>
      <w:r w:rsidR="001F3AEE"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D91476">
        <w:rPr>
          <w:rFonts w:cs="Arial"/>
          <w:iCs/>
          <w:szCs w:val="22"/>
        </w:rPr>
        <w:t>‘</w:t>
      </w:r>
      <w:r w:rsidRPr="00E8642C">
        <w:rPr>
          <w:rFonts w:cs="Arial"/>
          <w:iCs/>
          <w:szCs w:val="22"/>
        </w:rPr>
        <w:t>l</w:t>
      </w:r>
      <w:r w:rsidR="00D91476">
        <w:rPr>
          <w:rFonts w:cs="Arial"/>
          <w:iCs/>
          <w:szCs w:val="22"/>
        </w:rPr>
        <w:t>’</w:t>
      </w:r>
      <w:r w:rsidRPr="00E8642C">
        <w:rPr>
          <w:rFonts w:cs="Arial"/>
          <w:iCs/>
          <w:szCs w:val="22"/>
        </w:rPr>
        <w:t>état de la technique</w:t>
      </w:r>
      <w:r w:rsidR="00D91476">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23D81" w:rsidRDefault="00DD607D" w:rsidP="00E104D3">
      <w:pPr>
        <w:spacing w:after="220"/>
        <w:rPr>
          <w:rFonts w:cs="Arial"/>
          <w:szCs w:val="22"/>
        </w:rPr>
      </w:pPr>
      <w:r w:rsidRPr="00E8642C">
        <w:rPr>
          <w:rFonts w:cs="Arial"/>
          <w:szCs w:val="22"/>
        </w:rPr>
        <w:t>La CIB a été établie par l</w:t>
      </w:r>
      <w:r w:rsidR="00D91476">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D91476">
        <w:rPr>
          <w:rFonts w:cs="Arial"/>
          <w:szCs w:val="22"/>
        </w:rPr>
        <w:t>’</w:t>
      </w:r>
      <w:r w:rsidRPr="00E8642C">
        <w:rPr>
          <w:rFonts w:cs="Arial"/>
          <w:szCs w:val="22"/>
        </w:rPr>
        <w:t xml:space="preserve">article 2.1), </w:t>
      </w:r>
      <w:r w:rsidRPr="00E8642C">
        <w:rPr>
          <w:rFonts w:cs="Arial"/>
          <w:iCs/>
          <w:szCs w:val="22"/>
        </w:rPr>
        <w:t>“[l]a classification est constituée par</w:t>
      </w:r>
      <w:r w:rsidR="00D91476">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D91476">
        <w:rPr>
          <w:rFonts w:cs="Arial"/>
          <w:iCs/>
          <w:szCs w:val="22"/>
        </w:rPr>
        <w:t>’</w:t>
      </w:r>
      <w:r w:rsidRPr="00E8642C">
        <w:rPr>
          <w:rFonts w:cs="Arial"/>
          <w:iCs/>
          <w:szCs w:val="22"/>
        </w:rPr>
        <w:t>invention, du 19 décembre 1954 (dénommée ci</w:t>
      </w:r>
      <w:r w:rsidR="00400337">
        <w:rPr>
          <w:rFonts w:cs="Arial"/>
          <w:iCs/>
          <w:szCs w:val="22"/>
        </w:rPr>
        <w:noBreakHyphen/>
      </w:r>
      <w:r w:rsidRPr="00E8642C">
        <w:rPr>
          <w:rFonts w:cs="Arial"/>
          <w:iCs/>
          <w:szCs w:val="22"/>
        </w:rPr>
        <w:t xml:space="preserve">après </w:t>
      </w:r>
      <w:r w:rsidR="00D91476">
        <w:rPr>
          <w:rFonts w:cs="Arial"/>
          <w:iCs/>
          <w:szCs w:val="22"/>
        </w:rPr>
        <w:t>‘</w:t>
      </w:r>
      <w:r w:rsidRPr="00E8642C">
        <w:rPr>
          <w:rFonts w:cs="Arial"/>
          <w:iCs/>
          <w:szCs w:val="22"/>
        </w:rPr>
        <w:t>Convention européenne</w:t>
      </w:r>
      <w:r w:rsidR="00D91476">
        <w:rPr>
          <w:rFonts w:cs="Arial"/>
          <w:iCs/>
          <w:szCs w:val="22"/>
        </w:rPr>
        <w:t>’</w:t>
      </w:r>
      <w:r w:rsidRPr="00E8642C">
        <w:rPr>
          <w:rFonts w:cs="Arial"/>
          <w:iCs/>
          <w:szCs w:val="22"/>
        </w:rPr>
        <w:t>), et qui est entré en vigueur et a été publié par le Secrétaire général du Conseil de l</w:t>
      </w:r>
      <w:r w:rsidR="00D91476">
        <w:rPr>
          <w:rFonts w:cs="Arial"/>
          <w:iCs/>
          <w:szCs w:val="22"/>
        </w:rPr>
        <w:t>’</w:t>
      </w:r>
      <w:r w:rsidRPr="00E8642C">
        <w:rPr>
          <w:rFonts w:cs="Arial"/>
          <w:iCs/>
          <w:szCs w:val="22"/>
        </w:rPr>
        <w:t>Europe le</w:t>
      </w:r>
      <w:r w:rsidR="00D91476">
        <w:rPr>
          <w:rFonts w:cs="Arial"/>
          <w:iCs/>
          <w:szCs w:val="22"/>
        </w:rPr>
        <w:t xml:space="preserve"> 1</w:t>
      </w:r>
      <w:r w:rsidR="00D91476" w:rsidRPr="00D91476">
        <w:rPr>
          <w:rFonts w:cs="Arial"/>
          <w:iCs/>
          <w:szCs w:val="22"/>
          <w:vertAlign w:val="superscript"/>
        </w:rPr>
        <w:t>er</w:t>
      </w:r>
      <w:r w:rsidR="00D91476">
        <w:rPr>
          <w:rFonts w:cs="Arial"/>
          <w:iCs/>
          <w:szCs w:val="22"/>
        </w:rPr>
        <w:t> </w:t>
      </w:r>
      <w:r w:rsidRPr="00E8642C">
        <w:rPr>
          <w:rFonts w:cs="Arial"/>
          <w:iCs/>
          <w:szCs w:val="22"/>
        </w:rPr>
        <w:t>septembre 1968;  ii) les modifications qui sont entrées en vigueur en vertu de l</w:t>
      </w:r>
      <w:r w:rsidR="00D91476">
        <w:rPr>
          <w:rFonts w:cs="Arial"/>
          <w:iCs/>
          <w:szCs w:val="22"/>
        </w:rPr>
        <w:t>’</w:t>
      </w:r>
      <w:r w:rsidRPr="00E8642C">
        <w:rPr>
          <w:rFonts w:cs="Arial"/>
          <w:iCs/>
          <w:szCs w:val="22"/>
        </w:rPr>
        <w:t>article 2.2) de la Convention européenne avant l</w:t>
      </w:r>
      <w:r w:rsidR="00D91476">
        <w:rPr>
          <w:rFonts w:cs="Arial"/>
          <w:iCs/>
          <w:szCs w:val="22"/>
        </w:rPr>
        <w:t>’</w:t>
      </w:r>
      <w:r w:rsidRPr="00E8642C">
        <w:rPr>
          <w:rFonts w:cs="Arial"/>
          <w:iCs/>
          <w:szCs w:val="22"/>
        </w:rPr>
        <w:t>entrée en vigueur du présent arrangement;  iii) les modifications apportées par la suite en vertu de l</w:t>
      </w:r>
      <w:r w:rsidR="00D91476">
        <w:rPr>
          <w:rFonts w:cs="Arial"/>
          <w:iCs/>
          <w:szCs w:val="22"/>
        </w:rPr>
        <w:t>’</w:t>
      </w:r>
      <w:r w:rsidRPr="00E8642C">
        <w:rPr>
          <w:rFonts w:cs="Arial"/>
          <w:iCs/>
          <w:szCs w:val="22"/>
        </w:rPr>
        <w:t>article 5 et qui entrent en vigueur conformément à l</w:t>
      </w:r>
      <w:r w:rsidR="00D91476">
        <w:rPr>
          <w:rFonts w:cs="Arial"/>
          <w:iCs/>
          <w:szCs w:val="22"/>
        </w:rPr>
        <w:t>’</w:t>
      </w:r>
      <w:r w:rsidRPr="00E8642C">
        <w:rPr>
          <w:rFonts w:cs="Arial"/>
          <w:iCs/>
          <w:szCs w:val="22"/>
        </w:rPr>
        <w:t>article 6”.</w:t>
      </w:r>
    </w:p>
    <w:p w:rsidR="00D23D81" w:rsidRDefault="00DD607D" w:rsidP="00E104D3">
      <w:pPr>
        <w:pStyle w:val="Heading2"/>
        <w:spacing w:after="220" w:line="240" w:lineRule="auto"/>
      </w:pPr>
      <w:bookmarkStart w:id="23" w:name="_Toc7772501"/>
      <w:r w:rsidRPr="00E8642C">
        <w:t>Communauté culturelle</w:t>
      </w:r>
      <w:bookmarkEnd w:id="23"/>
    </w:p>
    <w:p w:rsidR="00D23D81" w:rsidRDefault="00DD607D" w:rsidP="00E104D3">
      <w:pPr>
        <w:pStyle w:val="FootnoteText"/>
        <w:spacing w:after="220"/>
        <w:ind w:left="0" w:firstLine="0"/>
        <w:rPr>
          <w:rFonts w:cs="Arial"/>
          <w:szCs w:val="22"/>
        </w:rPr>
      </w:pPr>
      <w:r w:rsidRPr="00E8642C">
        <w:rPr>
          <w:rFonts w:cs="Arial"/>
          <w:szCs w:val="22"/>
        </w:rPr>
        <w:t>La communauté culturelle a été définie comme un groupe social fortement soudé dont les membres éprouvent un sentiment d</w:t>
      </w:r>
      <w:r w:rsidR="00D91476">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23D81" w:rsidRDefault="00DD607D" w:rsidP="00E104D3">
      <w:pPr>
        <w:pStyle w:val="Heading2"/>
        <w:spacing w:after="220" w:line="240" w:lineRule="auto"/>
      </w:pPr>
      <w:bookmarkStart w:id="25" w:name="_Toc7772502"/>
      <w:r w:rsidRPr="00E8642C">
        <w:t>Communautés autochtones et locales</w:t>
      </w:r>
      <w:bookmarkEnd w:id="25"/>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expression “communautés autochtones et locales” a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 nombre considérable de discussions et d</w:t>
      </w:r>
      <w:r w:rsidR="00D91476">
        <w:rPr>
          <w:rFonts w:cs="Arial"/>
          <w:szCs w:val="22"/>
        </w:rPr>
        <w:t>’</w:t>
      </w:r>
      <w:r w:rsidRPr="00E8642C">
        <w:rPr>
          <w:rFonts w:cs="Arial"/>
          <w:szCs w:val="22"/>
        </w:rPr>
        <w:t>études et il n</w:t>
      </w:r>
      <w:r w:rsidR="00D91476">
        <w:rPr>
          <w:rFonts w:cs="Arial"/>
          <w:szCs w:val="22"/>
        </w:rPr>
        <w:t>’</w:t>
      </w:r>
      <w:r w:rsidRPr="00E8642C">
        <w:rPr>
          <w:rFonts w:cs="Arial"/>
          <w:szCs w:val="22"/>
        </w:rPr>
        <w:t>existe pour l</w:t>
      </w:r>
      <w:r w:rsidR="00D91476">
        <w:rPr>
          <w:rFonts w:cs="Arial"/>
          <w:szCs w:val="22"/>
        </w:rPr>
        <w:t>’</w:t>
      </w:r>
      <w:r w:rsidRPr="00E8642C">
        <w:rPr>
          <w:rFonts w:cs="Arial"/>
          <w:szCs w:val="22"/>
        </w:rPr>
        <w:t>heure aucune définition universelle standard pour celle</w:t>
      </w:r>
      <w:r w:rsidR="00400337">
        <w:rPr>
          <w:rFonts w:cs="Arial"/>
          <w:szCs w:val="22"/>
        </w:rPr>
        <w:noBreakHyphen/>
      </w:r>
      <w:r w:rsidR="001F3AEE" w:rsidRPr="00E8642C">
        <w:rPr>
          <w:rFonts w:cs="Arial"/>
          <w:szCs w:val="22"/>
        </w:rPr>
        <w:t>ci</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D91476">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D91476">
        <w:rPr>
          <w:rFonts w:cs="Arial"/>
          <w:szCs w:val="22"/>
        </w:rPr>
        <w:t>’</w:t>
      </w:r>
      <w:r w:rsidRPr="00E8642C">
        <w:rPr>
          <w:rFonts w:cs="Arial"/>
          <w:szCs w:val="22"/>
        </w:rPr>
        <w:t>il conviendra</w:t>
      </w:r>
      <w:r w:rsidR="00D91476">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91476">
        <w:rPr>
          <w:rFonts w:cs="Arial"/>
          <w:szCs w:val="22"/>
        </w:rPr>
        <w:t>’</w:t>
      </w:r>
      <w:r w:rsidRPr="00E8642C">
        <w:rPr>
          <w:rFonts w:cs="Arial"/>
          <w:szCs w:val="22"/>
        </w:rPr>
        <w:t>utilisation durable de la diversité biologique et en favorise l</w:t>
      </w:r>
      <w:r w:rsidR="00D91476">
        <w:rPr>
          <w:rFonts w:cs="Arial"/>
          <w:szCs w:val="22"/>
        </w:rPr>
        <w:t>’</w:t>
      </w:r>
      <w:r w:rsidRPr="00E8642C">
        <w:rPr>
          <w:rFonts w:cs="Arial"/>
          <w:szCs w:val="22"/>
        </w:rPr>
        <w:t>application sur une plus grande échelle, avec l</w:t>
      </w:r>
      <w:r w:rsidR="00D91476">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1F3AEE">
        <w:rPr>
          <w:i/>
        </w:rPr>
        <w:t xml:space="preserve">”  </w:t>
      </w:r>
      <w:r w:rsidRPr="00E8642C">
        <w:rPr>
          <w:rFonts w:cs="Arial"/>
          <w:szCs w:val="22"/>
        </w:rPr>
        <w:t>La même expression est utilisée dans le </w:t>
      </w:r>
      <w:r w:rsidRPr="00E8642C">
        <w:rPr>
          <w:rFonts w:cs="Arial"/>
          <w:i/>
          <w:szCs w:val="22"/>
        </w:rPr>
        <w:t>Protocole de Nagoya sur l</w:t>
      </w:r>
      <w:r w:rsidR="00D91476">
        <w:rPr>
          <w:rFonts w:cs="Arial"/>
          <w:i/>
          <w:szCs w:val="22"/>
        </w:rPr>
        <w:t>’</w:t>
      </w:r>
      <w:r w:rsidRPr="00E8642C">
        <w:rPr>
          <w:rFonts w:cs="Arial"/>
          <w:i/>
          <w:szCs w:val="22"/>
        </w:rPr>
        <w:t xml:space="preserve">accès aux ressources génétiques et le partage juste et équitable des avantages résultant de </w:t>
      </w:r>
      <w:proofErr w:type="gramStart"/>
      <w:r w:rsidRPr="00E8642C">
        <w:rPr>
          <w:rFonts w:cs="Arial"/>
          <w:i/>
          <w:szCs w:val="22"/>
        </w:rPr>
        <w:t>leur utilisation relatif</w:t>
      </w:r>
      <w:proofErr w:type="gramEnd"/>
      <w:r w:rsidRPr="00E8642C">
        <w:rPr>
          <w:rFonts w:cs="Arial"/>
          <w:i/>
          <w:szCs w:val="22"/>
        </w:rPr>
        <w:t xml:space="preserve"> à la Convention sur la diversité biologique</w:t>
      </w:r>
      <w:r w:rsidRPr="00E8642C">
        <w:rPr>
          <w:rFonts w:cs="Arial"/>
          <w:szCs w:val="22"/>
        </w:rPr>
        <w:t xml:space="preserve"> (2010).</w:t>
      </w:r>
    </w:p>
    <w:p w:rsidR="00D23D81" w:rsidRDefault="00DD607D" w:rsidP="00E104D3">
      <w:pPr>
        <w:spacing w:after="220"/>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D91476">
        <w:rPr>
          <w:rFonts w:cs="Arial"/>
          <w:szCs w:val="22"/>
        </w:rPr>
        <w:t>’</w:t>
      </w:r>
      <w:r w:rsidRPr="00E8642C">
        <w:rPr>
          <w:rFonts w:cs="Arial"/>
          <w:szCs w:val="22"/>
        </w:rPr>
        <w:t xml:space="preserve">expression “communautés autochtones et locales” eu égard aux communautés ayant un lien ancestral avec les terres et les eaux sur </w:t>
      </w:r>
      <w:r w:rsidRPr="00E8642C">
        <w:rPr>
          <w:rFonts w:cs="Arial"/>
          <w:szCs w:val="22"/>
        </w:rPr>
        <w:lastRenderedPageBreak/>
        <w:t>lesquelles elles ont traditionnellement vécu ou qu</w:t>
      </w:r>
      <w:r w:rsidR="00D91476">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D91476">
        <w:rPr>
          <w:rFonts w:cs="Arial"/>
          <w:szCs w:val="22"/>
        </w:rPr>
        <w:t>’</w:t>
      </w:r>
      <w:r w:rsidRPr="00E8642C">
        <w:rPr>
          <w:rFonts w:cs="Arial"/>
          <w:szCs w:val="22"/>
        </w:rPr>
        <w:t>une zone écologique distincte qui dépend directement de sa biodiversité et de ses produits et services de l</w:t>
      </w:r>
      <w:r w:rsidR="00D91476">
        <w:rPr>
          <w:rFonts w:cs="Arial"/>
          <w:szCs w:val="22"/>
        </w:rPr>
        <w:t>’</w:t>
      </w:r>
      <w:r w:rsidRPr="00E8642C">
        <w:rPr>
          <w:rFonts w:cs="Arial"/>
          <w:szCs w:val="22"/>
        </w:rPr>
        <w:t>écosystème pour l</w:t>
      </w:r>
      <w:r w:rsidR="00D91476">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D91476">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23D81" w:rsidRDefault="00DD607D" w:rsidP="00E104D3">
      <w:pPr>
        <w:spacing w:after="220"/>
        <w:rPr>
          <w:rFonts w:cs="Arial"/>
          <w:szCs w:val="22"/>
        </w:rPr>
      </w:pPr>
      <w:r w:rsidRPr="00E8642C">
        <w:rPr>
          <w:rFonts w:cs="Arial"/>
          <w:szCs w:val="22"/>
        </w:rPr>
        <w:t xml:space="preserve">Cette expression est également utilisée dans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L</w:t>
      </w:r>
      <w:r w:rsidR="00D91476">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s</w:t>
      </w:r>
      <w:r w:rsidR="00D91476">
        <w:rPr>
          <w:rFonts w:cs="Arial"/>
          <w:szCs w:val="22"/>
        </w:rPr>
        <w:t>’</w:t>
      </w:r>
      <w:r w:rsidRPr="00E8642C">
        <w:rPr>
          <w:rFonts w:cs="Arial"/>
          <w:szCs w:val="22"/>
        </w:rPr>
        <w:t>emploie en particulier, selon qu</w:t>
      </w:r>
      <w:r w:rsidR="00D91476">
        <w:rPr>
          <w:rFonts w:cs="Arial"/>
          <w:szCs w:val="22"/>
        </w:rPr>
        <w:t>’</w:t>
      </w:r>
      <w:r w:rsidRPr="00E8642C">
        <w:rPr>
          <w:rFonts w:cs="Arial"/>
          <w:szCs w:val="22"/>
        </w:rPr>
        <w:t>il convient, à</w:t>
      </w:r>
      <w:r w:rsidR="00D91476">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D91476">
        <w:rPr>
          <w:rFonts w:cs="Arial"/>
          <w:szCs w:val="22"/>
        </w:rPr>
        <w:t>y compris</w:t>
      </w:r>
      <w:r w:rsidRPr="00E8642C">
        <w:rPr>
          <w:rFonts w:cs="Arial"/>
          <w:szCs w:val="22"/>
        </w:rPr>
        <w:t xml:space="preserve"> dans les zones protégées, en appuyant, notamment, les efforts des communautés locales et autochtones …”.  L</w:t>
      </w:r>
      <w:r w:rsidR="00D91476">
        <w:rPr>
          <w:rFonts w:cs="Arial"/>
          <w:szCs w:val="22"/>
        </w:rPr>
        <w:t>’</w:t>
      </w:r>
      <w:r w:rsidRPr="00E8642C">
        <w:rPr>
          <w:rFonts w:cs="Arial"/>
          <w:szCs w:val="22"/>
        </w:rPr>
        <w:t>expression “communautés locales et autochtones” est utilisée à l</w:t>
      </w:r>
      <w:r w:rsidR="00D91476">
        <w:rPr>
          <w:rFonts w:cs="Arial"/>
          <w:szCs w:val="22"/>
        </w:rPr>
        <w:t>’</w:t>
      </w:r>
      <w:r w:rsidRPr="00E8642C">
        <w:rPr>
          <w:rFonts w:cs="Arial"/>
          <w:szCs w:val="22"/>
        </w:rPr>
        <w:t>article 9.1</w:t>
      </w:r>
      <w:r w:rsidR="00D91476">
        <w:rPr>
          <w:rFonts w:cs="Arial"/>
          <w:szCs w:val="22"/>
        </w:rPr>
        <w:t> :</w:t>
      </w:r>
      <w:r w:rsidRPr="00E8642C">
        <w:rPr>
          <w:rFonts w:cs="Arial"/>
          <w:szCs w:val="22"/>
        </w:rPr>
        <w:t xml:space="preserve"> “[l]es Parties contractantes reconnaissent l</w:t>
      </w:r>
      <w:r w:rsidR="00D91476">
        <w:rPr>
          <w:rFonts w:cs="Arial"/>
          <w:szCs w:val="22"/>
        </w:rPr>
        <w:t>’</w:t>
      </w:r>
      <w:r w:rsidRPr="00E8642C">
        <w:rPr>
          <w:rFonts w:cs="Arial"/>
          <w:szCs w:val="22"/>
        </w:rPr>
        <w:t>énorme contribution que les communautés locales et autochtones, ainsi que les agriculteurs de toutes les régions du monde …”.  L</w:t>
      </w:r>
      <w:r w:rsidR="00D91476">
        <w:rPr>
          <w:rFonts w:cs="Arial"/>
          <w:szCs w:val="22"/>
        </w:rPr>
        <w:t>’</w:t>
      </w:r>
      <w:r w:rsidRPr="00E8642C">
        <w:rPr>
          <w:rFonts w:cs="Arial"/>
          <w:szCs w:val="22"/>
        </w:rPr>
        <w:t>expression “communautés locales” est utilisée à l</w:t>
      </w:r>
      <w:r w:rsidR="00D91476">
        <w:rPr>
          <w:rFonts w:cs="Arial"/>
          <w:szCs w:val="22"/>
        </w:rPr>
        <w:t>’</w:t>
      </w:r>
      <w:r w:rsidRPr="00E8642C">
        <w:rPr>
          <w:rFonts w:cs="Arial"/>
          <w:szCs w:val="22"/>
        </w:rPr>
        <w:t>article 5.1</w:t>
      </w:r>
      <w:r w:rsidR="00D91476">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D91476">
        <w:rPr>
          <w:rFonts w:cs="Arial"/>
          <w:szCs w:val="22"/>
        </w:rPr>
        <w:t>’</w:t>
      </w:r>
      <w:r w:rsidRPr="00E8642C">
        <w:rPr>
          <w:rFonts w:cs="Arial"/>
          <w:szCs w:val="22"/>
        </w:rPr>
        <w:t>emploie en particulier, selon qu</w:t>
      </w:r>
      <w:r w:rsidR="00D91476">
        <w:rPr>
          <w:rFonts w:cs="Arial"/>
          <w:szCs w:val="22"/>
        </w:rPr>
        <w:t>’</w:t>
      </w:r>
      <w:r w:rsidRPr="00E8642C">
        <w:rPr>
          <w:rFonts w:cs="Arial"/>
          <w:szCs w:val="22"/>
        </w:rPr>
        <w:t>il convient, à</w:t>
      </w:r>
      <w:r w:rsidR="00D91476">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D91476">
        <w:rPr>
          <w:rFonts w:cs="Arial"/>
          <w:szCs w:val="22"/>
        </w:rPr>
        <w:t>’</w:t>
      </w:r>
      <w:r w:rsidRPr="00E8642C">
        <w:rPr>
          <w:rFonts w:cs="Arial"/>
          <w:szCs w:val="22"/>
        </w:rPr>
        <w:t xml:space="preserve">il convient, les efforts des agriculteurs et des communautés locales pour gérer et conserver à la ferme leurs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23D81" w:rsidRDefault="00DD607D" w:rsidP="00E104D3">
      <w:pPr>
        <w:spacing w:after="220"/>
        <w:rPr>
          <w:rFonts w:cs="Arial"/>
          <w:szCs w:val="22"/>
        </w:rPr>
      </w:pPr>
      <w:r w:rsidRPr="00E8642C">
        <w:rPr>
          <w:rFonts w:cs="Arial"/>
          <w:szCs w:val="22"/>
        </w:rPr>
        <w:t>D</w:t>
      </w:r>
      <w:r w:rsidR="00D91476">
        <w:rPr>
          <w:rFonts w:cs="Arial"/>
          <w:szCs w:val="22"/>
        </w:rPr>
        <w:t>’</w:t>
      </w:r>
      <w:r w:rsidRPr="00E8642C">
        <w:rPr>
          <w:rFonts w:cs="Arial"/>
          <w:szCs w:val="22"/>
        </w:rPr>
        <w:t>autres instruments juridiques utilisent des expressions différentes</w:t>
      </w:r>
      <w:r w:rsidR="00D91476">
        <w:rPr>
          <w:rFonts w:cs="Arial"/>
          <w:szCs w:val="22"/>
        </w:rPr>
        <w:t> :</w:t>
      </w:r>
      <w:r w:rsidRPr="00E8642C">
        <w:rPr>
          <w:rFonts w:cs="Arial"/>
          <w:szCs w:val="22"/>
        </w:rPr>
        <w:t xml:space="preserve"> l</w:t>
      </w:r>
      <w:r w:rsidR="00D91476">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D91476">
        <w:rPr>
          <w:rFonts w:cs="Arial"/>
          <w:szCs w:val="22"/>
        </w:rPr>
        <w:t>’</w:t>
      </w:r>
      <w:r w:rsidRPr="00E8642C">
        <w:rPr>
          <w:rFonts w:cs="Arial"/>
          <w:szCs w:val="22"/>
        </w:rPr>
        <w:t>Organisation régionale africaine de la propriété intellectuelle (ARIPO).  L</w:t>
      </w:r>
      <w:r w:rsidR="00D91476">
        <w:rPr>
          <w:rFonts w:cs="Arial"/>
          <w:szCs w:val="22"/>
        </w:rPr>
        <w:t>’</w:t>
      </w:r>
      <w:r w:rsidRPr="00E8642C">
        <w:rPr>
          <w:rFonts w:cs="Arial"/>
          <w:szCs w:val="22"/>
        </w:rPr>
        <w:t>article 2.1) indique que “</w:t>
      </w:r>
      <w:r w:rsidRPr="00E8642C">
        <w:rPr>
          <w:rFonts w:cs="Arial"/>
          <w:iCs/>
          <w:szCs w:val="22"/>
        </w:rPr>
        <w:t xml:space="preserve">le terme </w:t>
      </w:r>
      <w:r w:rsidR="00D91476">
        <w:rPr>
          <w:rFonts w:cs="Arial"/>
          <w:iCs/>
          <w:szCs w:val="22"/>
        </w:rPr>
        <w:t>‘</w:t>
      </w:r>
      <w:r w:rsidRPr="00E8642C">
        <w:rPr>
          <w:rFonts w:cs="Arial"/>
          <w:iCs/>
          <w:szCs w:val="22"/>
        </w:rPr>
        <w:t>communauté</w:t>
      </w:r>
      <w:r w:rsidR="00D91476">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91476">
        <w:rPr>
          <w:rFonts w:cs="Arial"/>
          <w:szCs w:val="22"/>
        </w:rPr>
        <w:t>’</w:t>
      </w:r>
      <w:r w:rsidRPr="00E8642C">
        <w:rPr>
          <w:rFonts w:cs="Arial"/>
          <w:szCs w:val="22"/>
        </w:rPr>
        <w:t>expression “communauté autochtone, afro</w:t>
      </w:r>
      <w:r w:rsidR="00400337">
        <w:rPr>
          <w:rFonts w:cs="Arial"/>
          <w:szCs w:val="22"/>
        </w:rPr>
        <w:noBreakHyphen/>
      </w:r>
      <w:r w:rsidRPr="00E8642C">
        <w:rPr>
          <w:rFonts w:cs="Arial"/>
          <w:szCs w:val="22"/>
        </w:rPr>
        <w:t>américaine ou locale” de la manière suivante</w:t>
      </w:r>
      <w:r w:rsidR="00D91476">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400337">
        <w:rPr>
          <w:rFonts w:cs="Arial"/>
          <w:iCs/>
          <w:szCs w:val="22"/>
        </w:rPr>
        <w:noBreakHyphen/>
      </w:r>
      <w:r w:rsidRPr="00E8642C">
        <w:rPr>
          <w:rFonts w:cs="Arial"/>
          <w:iCs/>
          <w:szCs w:val="22"/>
        </w:rPr>
        <w:t>ci</w:t>
      </w:r>
      <w:r w:rsidRPr="00E8642C">
        <w:rPr>
          <w:rFonts w:cs="Arial"/>
          <w:szCs w:val="22"/>
        </w:rPr>
        <w:t>”.</w:t>
      </w:r>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article 7.III de la loi brésilienne provisoire n° 2,186</w:t>
      </w:r>
      <w:r w:rsidR="00400337">
        <w:rPr>
          <w:rFonts w:cs="Arial"/>
          <w:szCs w:val="22"/>
        </w:rPr>
        <w:noBreakHyphen/>
      </w:r>
      <w:r w:rsidRPr="00E8642C">
        <w:rPr>
          <w:rFonts w:cs="Arial"/>
          <w:szCs w:val="22"/>
        </w:rPr>
        <w:t>16, du 23 août 2001, définit l</w:t>
      </w:r>
      <w:r w:rsidR="00D91476">
        <w:rPr>
          <w:rFonts w:cs="Arial"/>
          <w:szCs w:val="22"/>
        </w:rPr>
        <w:t>’</w:t>
      </w:r>
      <w:r w:rsidRPr="00E8642C">
        <w:rPr>
          <w:rFonts w:cs="Arial"/>
          <w:szCs w:val="22"/>
        </w:rPr>
        <w:t>expression “communauté locale” de la manière suivante</w:t>
      </w:r>
      <w:r w:rsidR="00D91476">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D91476">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23D81" w:rsidRDefault="00DD607D" w:rsidP="00E104D3">
      <w:pPr>
        <w:pStyle w:val="Heading2"/>
        <w:spacing w:after="220" w:line="240" w:lineRule="auto"/>
      </w:pPr>
      <w:bookmarkStart w:id="26" w:name="_Toc7772503"/>
      <w:r w:rsidRPr="00E8642C">
        <w:t>Concurrence déloyale</w:t>
      </w:r>
      <w:bookmarkEnd w:id="26"/>
    </w:p>
    <w:p w:rsidR="00D23D81" w:rsidRDefault="00DD607D" w:rsidP="00E104D3">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w:t>
      </w:r>
      <w:proofErr w:type="gramStart"/>
      <w:r w:rsidRPr="00E8642C">
        <w:rPr>
          <w:rFonts w:cs="Arial"/>
          <w:szCs w:val="22"/>
        </w:rPr>
        <w:t>commerce;  spécialement</w:t>
      </w:r>
      <w:proofErr w:type="gramEnd"/>
      <w:r w:rsidRPr="00E8642C">
        <w:rPr>
          <w:rFonts w:cs="Arial"/>
          <w:szCs w:val="22"/>
        </w:rPr>
        <w:t xml:space="preserve"> toute pratique visant à faire passer ses biens ou produits pour ceux d</w:t>
      </w:r>
      <w:r w:rsidR="00D91476">
        <w:rPr>
          <w:rFonts w:cs="Arial"/>
          <w:szCs w:val="22"/>
        </w:rPr>
        <w:t>’</w:t>
      </w:r>
      <w:r w:rsidRPr="00E8642C">
        <w:rPr>
          <w:rFonts w:cs="Arial"/>
          <w:szCs w:val="22"/>
        </w:rPr>
        <w:t>un autre sur le marché en imitant ou en contrefaisant le nom, la marque, la taille, la forme ou d</w:t>
      </w:r>
      <w:r w:rsidR="00D91476">
        <w:rPr>
          <w:rFonts w:cs="Arial"/>
          <w:szCs w:val="22"/>
        </w:rPr>
        <w:t>’</w:t>
      </w:r>
      <w:r w:rsidRPr="00E8642C">
        <w:rPr>
          <w:rFonts w:cs="Arial"/>
          <w:szCs w:val="22"/>
        </w:rPr>
        <w:t>autres éléments distinctifs de l</w:t>
      </w:r>
      <w:r w:rsidR="00D91476">
        <w:rPr>
          <w:rFonts w:cs="Arial"/>
          <w:szCs w:val="22"/>
        </w:rPr>
        <w:t>’</w:t>
      </w:r>
      <w:r w:rsidRPr="00E8642C">
        <w:rPr>
          <w:rFonts w:cs="Arial"/>
          <w:szCs w:val="22"/>
        </w:rPr>
        <w:t>article ou de son emballage”.</w:t>
      </w:r>
    </w:p>
    <w:p w:rsidR="00D23D81" w:rsidRDefault="00DD607D" w:rsidP="00E104D3">
      <w:pPr>
        <w:spacing w:after="220"/>
        <w:rPr>
          <w:rFonts w:cs="Arial"/>
          <w:szCs w:val="22"/>
        </w:rPr>
      </w:pPr>
      <w:r w:rsidRPr="00E8642C">
        <w:rPr>
          <w:rFonts w:cs="Arial"/>
          <w:szCs w:val="22"/>
        </w:rPr>
        <w:lastRenderedPageBreak/>
        <w:t>L</w:t>
      </w:r>
      <w:r w:rsidR="00D91476">
        <w:rPr>
          <w:rFonts w:cs="Arial"/>
          <w:szCs w:val="22"/>
        </w:rPr>
        <w:t>’</w:t>
      </w:r>
      <w:r w:rsidRPr="00E8642C">
        <w:rPr>
          <w:rFonts w:cs="Arial"/>
          <w:szCs w:val="22"/>
        </w:rPr>
        <w:t>alinéa 2 de l</w:t>
      </w:r>
      <w:r w:rsidR="00D91476">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D91476">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D91476">
        <w:rPr>
          <w:rFonts w:cs="Arial"/>
          <w:szCs w:val="22"/>
        </w:rPr>
        <w:t>’</w:t>
      </w:r>
      <w:r w:rsidRPr="00E8642C">
        <w:rPr>
          <w:rFonts w:cs="Arial"/>
          <w:szCs w:val="22"/>
        </w:rPr>
        <w:t>alinéa 3 de l</w:t>
      </w:r>
      <w:r w:rsidR="00D91476">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D91476">
        <w:rPr>
          <w:rFonts w:cs="Arial"/>
          <w:szCs w:val="22"/>
        </w:rPr>
        <w:t> :</w:t>
      </w:r>
      <w:r w:rsidRPr="00E8642C">
        <w:rPr>
          <w:rFonts w:cs="Arial"/>
          <w:szCs w:val="22"/>
        </w:rPr>
        <w:t xml:space="preserve"> i) tous faits quelconques de nature à créer une confusion par n</w:t>
      </w:r>
      <w:r w:rsidR="00D91476">
        <w:rPr>
          <w:rFonts w:cs="Arial"/>
          <w:szCs w:val="22"/>
        </w:rPr>
        <w:t>’</w:t>
      </w:r>
      <w:r w:rsidRPr="00E8642C">
        <w:rPr>
          <w:rFonts w:cs="Arial"/>
          <w:szCs w:val="22"/>
        </w:rPr>
        <w:t>importe quel moyen avec l</w:t>
      </w:r>
      <w:r w:rsidR="00D91476">
        <w:rPr>
          <w:rFonts w:cs="Arial"/>
          <w:szCs w:val="22"/>
        </w:rPr>
        <w:t>’</w:t>
      </w:r>
      <w:r w:rsidRPr="00E8642C">
        <w:rPr>
          <w:rFonts w:cs="Arial"/>
          <w:szCs w:val="22"/>
        </w:rPr>
        <w:t>établissement, les produits ou l</w:t>
      </w:r>
      <w:r w:rsidR="00D91476">
        <w:rPr>
          <w:rFonts w:cs="Arial"/>
          <w:szCs w:val="22"/>
        </w:rPr>
        <w:t>’</w:t>
      </w:r>
      <w:r w:rsidRPr="00E8642C">
        <w:rPr>
          <w:rFonts w:cs="Arial"/>
          <w:szCs w:val="22"/>
        </w:rPr>
        <w:t>activité industrielle ou commerciale d</w:t>
      </w:r>
      <w:r w:rsidR="00D91476">
        <w:rPr>
          <w:rFonts w:cs="Arial"/>
          <w:szCs w:val="22"/>
        </w:rPr>
        <w:t>’</w:t>
      </w:r>
      <w:r w:rsidRPr="00E8642C">
        <w:rPr>
          <w:rFonts w:cs="Arial"/>
          <w:szCs w:val="22"/>
        </w:rPr>
        <w:t>un concurrent;  ii) les allégations fausses, dans l</w:t>
      </w:r>
      <w:r w:rsidR="00D91476">
        <w:rPr>
          <w:rFonts w:cs="Arial"/>
          <w:szCs w:val="22"/>
        </w:rPr>
        <w:t>’</w:t>
      </w:r>
      <w:r w:rsidRPr="00E8642C">
        <w:rPr>
          <w:rFonts w:cs="Arial"/>
          <w:szCs w:val="22"/>
        </w:rPr>
        <w:t>exercice du commerce, de nature à discréditer l</w:t>
      </w:r>
      <w:r w:rsidR="00D91476">
        <w:rPr>
          <w:rFonts w:cs="Arial"/>
          <w:szCs w:val="22"/>
        </w:rPr>
        <w:t>’</w:t>
      </w:r>
      <w:r w:rsidRPr="00E8642C">
        <w:rPr>
          <w:rFonts w:cs="Arial"/>
          <w:szCs w:val="22"/>
        </w:rPr>
        <w:t>établissement, les produits ou l</w:t>
      </w:r>
      <w:r w:rsidR="00D91476">
        <w:rPr>
          <w:rFonts w:cs="Arial"/>
          <w:szCs w:val="22"/>
        </w:rPr>
        <w:t>’</w:t>
      </w:r>
      <w:r w:rsidRPr="00E8642C">
        <w:rPr>
          <w:rFonts w:cs="Arial"/>
          <w:szCs w:val="22"/>
        </w:rPr>
        <w:t>activité industrielle ou commerciale d</w:t>
      </w:r>
      <w:r w:rsidR="00D91476">
        <w:rPr>
          <w:rFonts w:cs="Arial"/>
          <w:szCs w:val="22"/>
        </w:rPr>
        <w:t>’</w:t>
      </w:r>
      <w:r w:rsidRPr="00E8642C">
        <w:rPr>
          <w:rFonts w:cs="Arial"/>
          <w:szCs w:val="22"/>
        </w:rPr>
        <w:t>un concurrent;  iii) les indications ou allégations dont l</w:t>
      </w:r>
      <w:r w:rsidR="00D91476">
        <w:rPr>
          <w:rFonts w:cs="Arial"/>
          <w:szCs w:val="22"/>
        </w:rPr>
        <w:t>’</w:t>
      </w:r>
      <w:r w:rsidRPr="00E8642C">
        <w:rPr>
          <w:rFonts w:cs="Arial"/>
          <w:szCs w:val="22"/>
        </w:rPr>
        <w:t>usage, dans l</w:t>
      </w:r>
      <w:r w:rsidR="00D91476">
        <w:rPr>
          <w:rFonts w:cs="Arial"/>
          <w:szCs w:val="22"/>
        </w:rPr>
        <w:t>’</w:t>
      </w:r>
      <w:r w:rsidRPr="00E8642C">
        <w:rPr>
          <w:rFonts w:cs="Arial"/>
          <w:szCs w:val="22"/>
        </w:rPr>
        <w:t>exercice du commerce, est susceptible d</w:t>
      </w:r>
      <w:r w:rsidR="00D91476">
        <w:rPr>
          <w:rFonts w:cs="Arial"/>
          <w:szCs w:val="22"/>
        </w:rPr>
        <w:t>’</w:t>
      </w:r>
      <w:r w:rsidRPr="00E8642C">
        <w:rPr>
          <w:rFonts w:cs="Arial"/>
          <w:szCs w:val="22"/>
        </w:rPr>
        <w:t>induire le public en erreur sur la nature, le mode de fabrication, les caractéristiques, l</w:t>
      </w:r>
      <w:r w:rsidR="00D91476">
        <w:rPr>
          <w:rFonts w:cs="Arial"/>
          <w:szCs w:val="22"/>
        </w:rPr>
        <w:t>’</w:t>
      </w:r>
      <w:r w:rsidRPr="00E8642C">
        <w:rPr>
          <w:rFonts w:cs="Arial"/>
          <w:szCs w:val="22"/>
        </w:rPr>
        <w:t>aptitude à l</w:t>
      </w:r>
      <w:r w:rsidR="00D91476">
        <w:rPr>
          <w:rFonts w:cs="Arial"/>
          <w:szCs w:val="22"/>
        </w:rPr>
        <w:t>’</w:t>
      </w:r>
      <w:r w:rsidRPr="00E8642C">
        <w:rPr>
          <w:rFonts w:cs="Arial"/>
          <w:szCs w:val="22"/>
        </w:rPr>
        <w:t>emploi ou la quantité des marchandises”.</w:t>
      </w:r>
    </w:p>
    <w:p w:rsidR="00D23D81" w:rsidRDefault="00DD607D" w:rsidP="00E104D3">
      <w:pPr>
        <w:pStyle w:val="Heading2"/>
        <w:spacing w:after="220" w:line="240" w:lineRule="auto"/>
      </w:pPr>
      <w:bookmarkStart w:id="27" w:name="_Toc7772504"/>
      <w:r w:rsidRPr="00E8642C">
        <w:t>Conditions convenues d</w:t>
      </w:r>
      <w:r w:rsidR="00D91476">
        <w:t>’</w:t>
      </w:r>
      <w:r w:rsidRPr="00E8642C">
        <w:t>un commun accord</w:t>
      </w:r>
      <w:bookmarkEnd w:id="27"/>
    </w:p>
    <w:p w:rsidR="00D23D81" w:rsidRDefault="00DD607D" w:rsidP="00E104D3">
      <w:pPr>
        <w:pStyle w:val="Header"/>
        <w:spacing w:after="220"/>
        <w:rPr>
          <w:rFonts w:cs="Arial"/>
          <w:szCs w:val="22"/>
        </w:rPr>
      </w:pPr>
      <w:r w:rsidRPr="00E8642C">
        <w:rPr>
          <w:rFonts w:cs="Arial"/>
          <w:szCs w:val="22"/>
        </w:rPr>
        <w:t>Tout en reconnaissant le pouvoir des gouvernements nationaux de régir l</w:t>
      </w:r>
      <w:r w:rsidR="00D91476">
        <w:rPr>
          <w:rFonts w:cs="Arial"/>
          <w:szCs w:val="22"/>
        </w:rPr>
        <w:t>’</w:t>
      </w:r>
      <w:r w:rsidRPr="00E8642C">
        <w:rPr>
          <w:rFonts w:cs="Arial"/>
          <w:szCs w:val="22"/>
        </w:rPr>
        <w:t>accès aux ressources génétiques, l</w:t>
      </w:r>
      <w:r w:rsidR="00D91476">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D91476">
        <w:rPr>
          <w:rFonts w:cs="Arial"/>
          <w:iCs/>
          <w:szCs w:val="22"/>
        </w:rPr>
        <w:t>’</w:t>
      </w:r>
      <w:r w:rsidRPr="00E8642C">
        <w:rPr>
          <w:rFonts w:cs="Arial"/>
          <w:iCs/>
          <w:szCs w:val="22"/>
        </w:rPr>
        <w:t>accès, lorsqu</w:t>
      </w:r>
      <w:r w:rsidR="00D91476">
        <w:rPr>
          <w:rFonts w:cs="Arial"/>
          <w:iCs/>
          <w:szCs w:val="22"/>
        </w:rPr>
        <w:t>’</w:t>
      </w:r>
      <w:r w:rsidRPr="00E8642C">
        <w:rPr>
          <w:rFonts w:cs="Arial"/>
          <w:iCs/>
          <w:szCs w:val="22"/>
        </w:rPr>
        <w:t>il est accordé, est régi par des conditions convenues d</w:t>
      </w:r>
      <w:r w:rsidR="00D91476">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D91476">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D91476">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D91476">
        <w:rPr>
          <w:rFonts w:cs="Arial"/>
          <w:szCs w:val="22"/>
        </w:rPr>
        <w:t>’</w:t>
      </w:r>
      <w:r w:rsidRPr="00E8642C">
        <w:rPr>
          <w:rFonts w:cs="Arial"/>
          <w:szCs w:val="22"/>
        </w:rPr>
        <w:t>un commun accord.</w:t>
      </w:r>
    </w:p>
    <w:p w:rsidR="00D23D81" w:rsidRDefault="00DD607D" w:rsidP="00E104D3">
      <w:pPr>
        <w:spacing w:after="220"/>
      </w:pPr>
      <w:r w:rsidRPr="00E8642C">
        <w:t>L</w:t>
      </w:r>
      <w:r w:rsidR="00D91476">
        <w:t>’</w:t>
      </w:r>
      <w:r w:rsidRPr="00E8642C">
        <w:t>article 18 du Protocole de Nagoya sur l</w:t>
      </w:r>
      <w:r w:rsidR="00D91476">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 traite spécifiquement de la conformité aux conditions convenues d</w:t>
      </w:r>
      <w:r w:rsidR="00D91476">
        <w:t>’</w:t>
      </w:r>
      <w:r w:rsidRPr="00E8642C">
        <w:t>un commun accord et indique à cet égard</w:t>
      </w:r>
      <w:r w:rsidR="00D91476">
        <w:t> :</w:t>
      </w:r>
      <w:r w:rsidRPr="00E8642C">
        <w:t xml:space="preserve"> </w:t>
      </w:r>
      <w:r w:rsidRPr="00E8642C">
        <w:rPr>
          <w:iCs/>
        </w:rPr>
        <w:t>“1.  En appliquant le paragraphe 3.g)i) de l</w:t>
      </w:r>
      <w:r w:rsidR="00D91476">
        <w:rPr>
          <w:iCs/>
        </w:rPr>
        <w:t>’</w:t>
      </w:r>
      <w:r w:rsidRPr="00E8642C">
        <w:rPr>
          <w:iCs/>
        </w:rPr>
        <w:t>article 6 et l</w:t>
      </w:r>
      <w:r w:rsidR="00D91476">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D91476">
        <w:rPr>
          <w:iCs/>
        </w:rPr>
        <w:t>’</w:t>
      </w:r>
      <w:r w:rsidRPr="00E8642C">
        <w:rPr>
          <w:iCs/>
        </w:rPr>
        <w:t>un commun accord des dispositions pour couvrir, le cas échéant, le règlement des différends, notamment</w:t>
      </w:r>
      <w:r w:rsidR="00D91476">
        <w:rPr>
          <w:iCs/>
        </w:rPr>
        <w:t> :</w:t>
      </w:r>
      <w:r w:rsidRPr="00E8642C">
        <w:rPr>
          <w:iCs/>
        </w:rPr>
        <w:t xml:space="preserve"> a) la juridiction à laquelle elles soumettront les procédures de règlement des différends;  b) la loi applicable;  et/ou c) les possibilités de règlement extrajudiciaire des différends, telles que la médiation et l</w:t>
      </w:r>
      <w:r w:rsidR="00D91476">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D91476">
        <w:rPr>
          <w:iCs/>
        </w:rPr>
        <w:t>’</w:t>
      </w:r>
      <w:r w:rsidRPr="00E8642C">
        <w:rPr>
          <w:iCs/>
        </w:rPr>
        <w:t>un commun accord.  3.  Chaque Partie prend les mesures efficaces nécessaires concernant</w:t>
      </w:r>
      <w:r w:rsidR="00D91476">
        <w:rPr>
          <w:iCs/>
        </w:rPr>
        <w:t> :</w:t>
      </w:r>
      <w:r w:rsidRPr="00E8642C">
        <w:rPr>
          <w:iCs/>
        </w:rPr>
        <w:t xml:space="preserve"> a) l</w:t>
      </w:r>
      <w:r w:rsidR="00D91476">
        <w:rPr>
          <w:iCs/>
        </w:rPr>
        <w:t>’</w:t>
      </w:r>
      <w:r w:rsidRPr="00E8642C">
        <w:rPr>
          <w:iCs/>
        </w:rPr>
        <w:t xml:space="preserve">accès à la </w:t>
      </w:r>
      <w:proofErr w:type="gramStart"/>
      <w:r w:rsidRPr="00E8642C">
        <w:rPr>
          <w:iCs/>
        </w:rPr>
        <w:t>justice;  et</w:t>
      </w:r>
      <w:proofErr w:type="gramEnd"/>
      <w:r w:rsidRPr="00E8642C">
        <w:rPr>
          <w:iCs/>
        </w:rPr>
        <w:t xml:space="preserve"> b) l</w:t>
      </w:r>
      <w:r w:rsidR="00D91476">
        <w:rPr>
          <w:iCs/>
        </w:rPr>
        <w:t>’</w:t>
      </w:r>
      <w:r w:rsidRPr="00E8642C">
        <w:rPr>
          <w:iCs/>
        </w:rPr>
        <w:t>utilisation de mécanismes de reconnaissance mutuelle et d</w:t>
      </w:r>
      <w:r w:rsidR="00D91476">
        <w:rPr>
          <w:iCs/>
        </w:rPr>
        <w:t>’</w:t>
      </w:r>
      <w:r w:rsidRPr="00E8642C">
        <w:rPr>
          <w:iCs/>
        </w:rPr>
        <w:t>application des décisions arbitrales et des jugements étrangers.  4.  La Conférence des Parties siégeant en tant que réunion des Parties au Protocole évalue l</w:t>
      </w:r>
      <w:r w:rsidR="00D91476">
        <w:rPr>
          <w:iCs/>
        </w:rPr>
        <w:t>’</w:t>
      </w:r>
      <w:r w:rsidRPr="00E8642C">
        <w:rPr>
          <w:iCs/>
        </w:rPr>
        <w:t>efficacité de cet article, conformément à l</w:t>
      </w:r>
      <w:r w:rsidR="00D91476">
        <w:rPr>
          <w:iCs/>
        </w:rPr>
        <w:t>’</w:t>
      </w:r>
      <w:r w:rsidRPr="00E8642C">
        <w:rPr>
          <w:iCs/>
        </w:rPr>
        <w:t>article 31 du présent Protocole</w:t>
      </w:r>
      <w:r w:rsidRPr="00E8642C">
        <w:t>”.</w:t>
      </w:r>
    </w:p>
    <w:p w:rsidR="00D23D81" w:rsidRDefault="00DD607D" w:rsidP="00E104D3">
      <w:pPr>
        <w:pStyle w:val="Heading2"/>
        <w:keepLines/>
        <w:spacing w:after="220" w:line="240" w:lineRule="auto"/>
        <w:rPr>
          <w:i/>
        </w:rPr>
      </w:pPr>
      <w:bookmarkStart w:id="28" w:name="_Toc7772505"/>
      <w:r w:rsidRPr="00E8642C">
        <w:t>Conditions</w:t>
      </w:r>
      <w:r w:rsidRPr="00E8642C">
        <w:rPr>
          <w:i/>
        </w:rPr>
        <w:t xml:space="preserve"> in situ</w:t>
      </w:r>
      <w:bookmarkEnd w:id="28"/>
    </w:p>
    <w:p w:rsidR="00D23D81" w:rsidRDefault="00DD607D" w:rsidP="00E104D3">
      <w:pPr>
        <w:keepNext/>
        <w:keepLines/>
        <w:spacing w:after="220"/>
        <w:rPr>
          <w:rFonts w:cs="Arial"/>
          <w:bCs/>
          <w:snapToGrid w:val="0"/>
          <w:szCs w:val="22"/>
        </w:rPr>
      </w:pPr>
      <w:r w:rsidRPr="00E8642C">
        <w:rPr>
          <w:rFonts w:cs="Arial"/>
          <w:bCs/>
          <w:snapToGrid w:val="0"/>
          <w:szCs w:val="22"/>
        </w:rPr>
        <w:t>Aux termes de l</w:t>
      </w:r>
      <w:r w:rsidR="00D91476">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D91476">
        <w:rPr>
          <w:rFonts w:cs="Arial"/>
          <w:bCs/>
          <w:iCs/>
          <w:snapToGrid w:val="0"/>
          <w:szCs w:val="22"/>
        </w:rPr>
        <w:t>’</w:t>
      </w:r>
      <w:r w:rsidRPr="00E8642C">
        <w:rPr>
          <w:rFonts w:cs="Arial"/>
          <w:bCs/>
          <w:iCs/>
          <w:snapToGrid w:val="0"/>
          <w:szCs w:val="22"/>
        </w:rPr>
        <w:t>existence de ressources génétiques au sein d</w:t>
      </w:r>
      <w:r w:rsidR="00D91476">
        <w:rPr>
          <w:rFonts w:cs="Arial"/>
          <w:bCs/>
          <w:iCs/>
          <w:snapToGrid w:val="0"/>
          <w:szCs w:val="22"/>
        </w:rPr>
        <w:t>’</w:t>
      </w:r>
      <w:r w:rsidRPr="00E8642C">
        <w:rPr>
          <w:rFonts w:cs="Arial"/>
          <w:bCs/>
          <w:iCs/>
          <w:snapToGrid w:val="0"/>
          <w:szCs w:val="22"/>
        </w:rPr>
        <w:t>écosystèmes et d</w:t>
      </w:r>
      <w:r w:rsidR="00D91476">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23D81" w:rsidRDefault="00DD607D" w:rsidP="00E104D3">
      <w:pPr>
        <w:pStyle w:val="Heading2"/>
        <w:spacing w:after="220" w:line="240" w:lineRule="auto"/>
      </w:pPr>
      <w:bookmarkStart w:id="29" w:name="_Toc7772506"/>
      <w:r w:rsidRPr="00E8642C">
        <w:t>Connaissances écologiques traditionnelles/connaissances environnementales traditionnelles</w:t>
      </w:r>
      <w:bookmarkEnd w:id="29"/>
    </w:p>
    <w:p w:rsidR="00D23D81" w:rsidRDefault="00DD607D" w:rsidP="00E104D3">
      <w:pPr>
        <w:spacing w:after="220"/>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1F3AEE" w:rsidRPr="00E8642C">
        <w:rPr>
          <w:rFonts w:cs="Arial"/>
          <w:iCs/>
          <w:szCs w:val="22"/>
        </w:rPr>
        <w:t>le</w:t>
      </w:r>
      <w:r w:rsidR="001F3AEE">
        <w:rPr>
          <w:rFonts w:cs="Arial"/>
          <w:iCs/>
          <w:szCs w:val="22"/>
        </w:rPr>
        <w:t xml:space="preserve">.  </w:t>
      </w:r>
      <w:r w:rsidR="001F3AEE" w:rsidRPr="00E8642C">
        <w:rPr>
          <w:rFonts w:cs="Arial"/>
          <w:iCs/>
          <w:szCs w:val="22"/>
        </w:rPr>
        <w:t>El</w:t>
      </w:r>
      <w:r w:rsidRPr="00E8642C">
        <w:rPr>
          <w:rFonts w:cs="Arial"/>
          <w:iCs/>
          <w:szCs w:val="22"/>
        </w:rPr>
        <w:t>les comprennent un système de classification, un ensemble d</w:t>
      </w:r>
      <w:r w:rsidR="00D91476">
        <w:rPr>
          <w:rFonts w:cs="Arial"/>
          <w:iCs/>
          <w:szCs w:val="22"/>
        </w:rPr>
        <w:t>’</w:t>
      </w:r>
      <w:r w:rsidRPr="00E8642C">
        <w:rPr>
          <w:rFonts w:cs="Arial"/>
          <w:iCs/>
          <w:szCs w:val="22"/>
        </w:rPr>
        <w:t xml:space="preserve">observations empiriques sur </w:t>
      </w:r>
      <w:r w:rsidRPr="00E8642C">
        <w:rPr>
          <w:rFonts w:cs="Arial"/>
          <w:iCs/>
          <w:szCs w:val="22"/>
        </w:rPr>
        <w:lastRenderedPageBreak/>
        <w:t>l</w:t>
      </w:r>
      <w:r w:rsidR="00D91476">
        <w:rPr>
          <w:rFonts w:cs="Arial"/>
          <w:iCs/>
          <w:szCs w:val="22"/>
        </w:rPr>
        <w:t>’</w:t>
      </w:r>
      <w:r w:rsidRPr="00E8642C">
        <w:rPr>
          <w:rFonts w:cs="Arial"/>
          <w:iCs/>
          <w:szCs w:val="22"/>
        </w:rPr>
        <w:t>environnement local et un système d</w:t>
      </w:r>
      <w:r w:rsidR="00D91476">
        <w:rPr>
          <w:rFonts w:cs="Arial"/>
          <w:iCs/>
          <w:szCs w:val="22"/>
        </w:rPr>
        <w:t>’</w:t>
      </w:r>
      <w:r w:rsidRPr="00E8642C">
        <w:rPr>
          <w:rFonts w:cs="Arial"/>
          <w:iCs/>
          <w:szCs w:val="22"/>
        </w:rPr>
        <w:t>autogestion qui régit l</w:t>
      </w:r>
      <w:r w:rsidR="00D91476">
        <w:rPr>
          <w:rFonts w:cs="Arial"/>
          <w:iCs/>
          <w:szCs w:val="22"/>
        </w:rPr>
        <w:t>’</w:t>
      </w:r>
      <w:r w:rsidRPr="00E8642C">
        <w:rPr>
          <w:rFonts w:cs="Arial"/>
          <w:iCs/>
          <w:szCs w:val="22"/>
        </w:rPr>
        <w:t>utilisation des ressourc</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s aspects écologiques sont étroitement liés aux aspects sociaux et spirituels du système de connaissanc</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ur quantité et leur qualité varient d</w:t>
      </w:r>
      <w:r w:rsidR="00D91476">
        <w:rPr>
          <w:rFonts w:cs="Arial"/>
          <w:iCs/>
          <w:szCs w:val="22"/>
        </w:rPr>
        <w:t>’</w:t>
      </w:r>
      <w:r w:rsidRPr="00E8642C">
        <w:rPr>
          <w:rFonts w:cs="Arial"/>
          <w:iCs/>
          <w:szCs w:val="22"/>
        </w:rPr>
        <w:t>un membre de la communauté à l</w:t>
      </w:r>
      <w:r w:rsidR="00D91476">
        <w:rPr>
          <w:rFonts w:cs="Arial"/>
          <w:iCs/>
          <w:szCs w:val="22"/>
        </w:rPr>
        <w:t>’</w:t>
      </w:r>
      <w:r w:rsidRPr="00E8642C">
        <w:rPr>
          <w:rFonts w:cs="Arial"/>
          <w:iCs/>
          <w:szCs w:val="22"/>
        </w:rPr>
        <w:t>autre, en fonction du sexe, de l</w:t>
      </w:r>
      <w:r w:rsidR="00D91476">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D91476">
        <w:rPr>
          <w:rFonts w:cs="Arial"/>
          <w:iCs/>
          <w:szCs w:val="22"/>
        </w:rPr>
        <w:t>’</w:t>
      </w:r>
      <w:r w:rsidRPr="00E8642C">
        <w:rPr>
          <w:rFonts w:cs="Arial"/>
          <w:iCs/>
          <w:szCs w:val="22"/>
        </w:rPr>
        <w:t>elles s</w:t>
      </w:r>
      <w:r w:rsidR="00D91476">
        <w:rPr>
          <w:rFonts w:cs="Arial"/>
          <w:iCs/>
          <w:szCs w:val="22"/>
        </w:rPr>
        <w:t>’</w:t>
      </w:r>
      <w:r w:rsidRPr="00E8642C">
        <w:rPr>
          <w:rFonts w:cs="Arial"/>
          <w:iCs/>
          <w:szCs w:val="22"/>
        </w:rPr>
        <w:t>appuient sur l</w:t>
      </w:r>
      <w:r w:rsidR="00D91476">
        <w:rPr>
          <w:rFonts w:cs="Arial"/>
          <w:iCs/>
          <w:szCs w:val="22"/>
        </w:rPr>
        <w:t>’</w:t>
      </w:r>
      <w:r w:rsidRPr="00E8642C">
        <w:rPr>
          <w:rFonts w:cs="Arial"/>
          <w:iCs/>
          <w:szCs w:val="22"/>
        </w:rPr>
        <w:t>expérience des générations précédentes et s</w:t>
      </w:r>
      <w:r w:rsidR="00D91476">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23D81" w:rsidRDefault="00DD607D" w:rsidP="00E104D3">
      <w:pPr>
        <w:spacing w:after="220"/>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D91476">
        <w:rPr>
          <w:rFonts w:cs="Arial"/>
          <w:iCs/>
          <w:szCs w:val="22"/>
        </w:rPr>
        <w:t>’</w:t>
      </w:r>
      <w:r w:rsidRPr="00E8642C">
        <w:rPr>
          <w:rFonts w:cs="Arial"/>
          <w:iCs/>
          <w:szCs w:val="22"/>
        </w:rPr>
        <w:t>une génération à l</w:t>
      </w:r>
      <w:r w:rsidR="00D91476">
        <w:rPr>
          <w:rFonts w:cs="Arial"/>
          <w:iCs/>
          <w:szCs w:val="22"/>
        </w:rPr>
        <w:t>’</w:t>
      </w:r>
      <w:r w:rsidRPr="00E8642C">
        <w:rPr>
          <w:rFonts w:cs="Arial"/>
          <w:iCs/>
          <w:szCs w:val="22"/>
        </w:rPr>
        <w:t>autre par transmission culturelle, concernant la relation entre les êtres vivants (</w:t>
      </w:r>
      <w:r w:rsidR="00D91476">
        <w:rPr>
          <w:rFonts w:cs="Arial"/>
          <w:iCs/>
          <w:szCs w:val="22"/>
        </w:rPr>
        <w:t>y compris</w:t>
      </w:r>
      <w:r w:rsidRPr="00E8642C">
        <w:rPr>
          <w:rFonts w:cs="Arial"/>
          <w:iCs/>
          <w:szCs w:val="22"/>
        </w:rPr>
        <w:t xml:space="preserve"> les êtres humains) et entre les êtres vivants et leur environneme</w:t>
      </w:r>
      <w:r w:rsidR="001F3AEE" w:rsidRPr="00E8642C">
        <w:rPr>
          <w:rFonts w:cs="Arial"/>
          <w:iCs/>
          <w:szCs w:val="22"/>
        </w:rPr>
        <w:t>nt</w:t>
      </w:r>
      <w:r w:rsidR="001F3AEE">
        <w:rPr>
          <w:rFonts w:cs="Arial"/>
          <w:iCs/>
          <w:szCs w:val="22"/>
        </w:rPr>
        <w:t xml:space="preserve">.  </w:t>
      </w:r>
      <w:r w:rsidR="001F3AEE" w:rsidRPr="00E8642C">
        <w:rPr>
          <w:rFonts w:cs="Arial"/>
          <w:iCs/>
          <w:szCs w:val="22"/>
        </w:rPr>
        <w:t>En</w:t>
      </w:r>
      <w:r w:rsidRPr="00E8642C">
        <w:rPr>
          <w:rFonts w:cs="Arial"/>
          <w:iCs/>
          <w:szCs w:val="22"/>
        </w:rPr>
        <w:t xml:space="preserve"> outre, ces connaissances sont un attribut des sociétés qui jouissent d</w:t>
      </w:r>
      <w:r w:rsidR="00D91476">
        <w:rPr>
          <w:rFonts w:cs="Arial"/>
          <w:iCs/>
          <w:szCs w:val="22"/>
        </w:rPr>
        <w:t>’</w:t>
      </w:r>
      <w:r w:rsidRPr="00E8642C">
        <w:rPr>
          <w:rFonts w:cs="Arial"/>
          <w:iCs/>
          <w:szCs w:val="22"/>
        </w:rPr>
        <w:t>une continuité historique en ce qui concerne les pratiques d</w:t>
      </w:r>
      <w:r w:rsidR="00D91476">
        <w:rPr>
          <w:rFonts w:cs="Arial"/>
          <w:iCs/>
          <w:szCs w:val="22"/>
        </w:rPr>
        <w:t>’</w:t>
      </w:r>
      <w:r w:rsidRPr="00E8642C">
        <w:rPr>
          <w:rFonts w:cs="Arial"/>
          <w:iCs/>
          <w:szCs w:val="22"/>
        </w:rPr>
        <w:t>utilisation des ressources;  dans l</w:t>
      </w:r>
      <w:r w:rsidR="00D91476">
        <w:rPr>
          <w:rFonts w:cs="Arial"/>
          <w:iCs/>
          <w:szCs w:val="22"/>
        </w:rPr>
        <w:t>’</w:t>
      </w:r>
      <w:r w:rsidRPr="00E8642C">
        <w:rPr>
          <w:rFonts w:cs="Arial"/>
          <w:iCs/>
          <w:szCs w:val="22"/>
        </w:rPr>
        <w:t>ensemble, ces sociétés ne sont pas industrialisées ou sont moins avancées sur le plan technique, la plupart d</w:t>
      </w:r>
      <w:r w:rsidR="00D91476">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23D81" w:rsidRDefault="00DD607D" w:rsidP="00E104D3">
      <w:pPr>
        <w:pStyle w:val="Heading2"/>
        <w:spacing w:after="220" w:line="240" w:lineRule="auto"/>
      </w:pPr>
      <w:bookmarkStart w:id="30" w:name="_Toc7772507"/>
      <w:r w:rsidRPr="00E8642C">
        <w:t>Consentement préalable en connaissance de cause</w:t>
      </w:r>
      <w:bookmarkEnd w:id="30"/>
    </w:p>
    <w:p w:rsidR="00D23D81" w:rsidRDefault="00DD607D" w:rsidP="00E104D3">
      <w:pPr>
        <w:autoSpaceDE w:val="0"/>
        <w:autoSpaceDN w:val="0"/>
        <w:adjustRightInd w:val="0"/>
        <w:spacing w:after="22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400337">
        <w:rPr>
          <w:rFonts w:cs="Arial"/>
          <w:szCs w:val="22"/>
        </w:rPr>
        <w:noBreakHyphen/>
      </w:r>
      <w:r w:rsidRPr="00E8642C">
        <w:rPr>
          <w:rFonts w:cs="Arial"/>
          <w:szCs w:val="22"/>
        </w:rPr>
        <w:t>entendu dans plusieurs instruments internationaux, notamment dans le domaine environnemental, par exemple à l</w:t>
      </w:r>
      <w:r w:rsidR="00D91476">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23D81" w:rsidRDefault="00DD607D" w:rsidP="00E104D3">
      <w:pPr>
        <w:spacing w:after="220"/>
        <w:rPr>
          <w:rFonts w:cs="Arial"/>
          <w:bCs/>
          <w:szCs w:val="22"/>
        </w:rPr>
      </w:pPr>
      <w:r w:rsidRPr="00E8642C">
        <w:rPr>
          <w:rFonts w:cs="Arial"/>
          <w:bCs/>
          <w:szCs w:val="22"/>
        </w:rPr>
        <w:t>En ce qui concerne l</w:t>
      </w:r>
      <w:r w:rsidR="00D91476">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D91476">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23D81" w:rsidRDefault="00DD607D" w:rsidP="00E104D3">
      <w:pPr>
        <w:spacing w:after="220"/>
      </w:pPr>
      <w:r w:rsidRPr="00E8642C">
        <w:t>L</w:t>
      </w:r>
      <w:r w:rsidR="00D91476">
        <w:t>’</w:t>
      </w:r>
      <w:r w:rsidRPr="00E8642C">
        <w:t>article 16.1) du Protocole de Nagoya sur l</w:t>
      </w:r>
      <w:r w:rsidR="00D91476">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D91476">
        <w:rPr>
          <w:iCs/>
        </w:rPr>
        <w:t>’</w:t>
      </w:r>
      <w:r w:rsidRPr="00E8642C">
        <w:rPr>
          <w:iCs/>
        </w:rPr>
        <w:t>accès aux connaissances traditionnelles associées aux ressources génétiques exploitées dans leur juridiction a été soumis au consentement préalable donné en connaissance de cause ou à l</w:t>
      </w:r>
      <w:r w:rsidR="00D91476">
        <w:rPr>
          <w:iCs/>
        </w:rPr>
        <w:t>’</w:t>
      </w:r>
      <w:r w:rsidRPr="00E8642C">
        <w:rPr>
          <w:iCs/>
        </w:rPr>
        <w:t>accord et à la participation des communautés autochtones et locales et que des conditions convenues d</w:t>
      </w:r>
      <w:r w:rsidR="00D91476">
        <w:rPr>
          <w:iCs/>
        </w:rPr>
        <w:t>’</w:t>
      </w:r>
      <w:r w:rsidRPr="00E8642C">
        <w:rPr>
          <w:iCs/>
        </w:rPr>
        <w:t>un commun accord ont été établies, conformément à la législation ou aux exigences internes relatives à l</w:t>
      </w:r>
      <w:r w:rsidR="00D91476">
        <w:rPr>
          <w:iCs/>
        </w:rPr>
        <w:t>’</w:t>
      </w:r>
      <w:r w:rsidRPr="00E8642C">
        <w:rPr>
          <w:iCs/>
        </w:rPr>
        <w:t>accès et au partage des avantages de l</w:t>
      </w:r>
      <w:r w:rsidR="00D91476">
        <w:rPr>
          <w:iCs/>
        </w:rPr>
        <w:t>’</w:t>
      </w:r>
      <w:r w:rsidRPr="00E8642C">
        <w:rPr>
          <w:iCs/>
        </w:rPr>
        <w:t>autre Partie où ces communautés autochtones et locales sont situées</w:t>
      </w:r>
      <w:r w:rsidRPr="00E8642C">
        <w:t>”.</w:t>
      </w:r>
    </w:p>
    <w:p w:rsidR="00D23D81" w:rsidRDefault="00DD607D" w:rsidP="00E104D3">
      <w:pPr>
        <w:spacing w:after="220"/>
        <w:rPr>
          <w:rFonts w:cs="Arial"/>
          <w:szCs w:val="22"/>
        </w:rPr>
      </w:pPr>
      <w:r w:rsidRPr="00E8642C">
        <w:rPr>
          <w:rFonts w:cs="Arial"/>
          <w:szCs w:val="22"/>
        </w:rPr>
        <w:t>Cette notion est tirée à l</w:t>
      </w:r>
      <w:r w:rsidR="00D91476">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1F3AEE" w:rsidRPr="00E8642C">
        <w:rPr>
          <w:rFonts w:cs="Arial"/>
          <w:szCs w:val="22"/>
        </w:rPr>
        <w:t>nt</w:t>
      </w:r>
      <w:r w:rsidR="001F3AEE">
        <w:rPr>
          <w:rFonts w:cs="Arial"/>
          <w:szCs w:val="22"/>
        </w:rPr>
        <w:t xml:space="preserve">.  </w:t>
      </w:r>
      <w:r w:rsidR="001F3AEE"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D91476">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D91476">
        <w:rPr>
          <w:rFonts w:cs="Arial"/>
          <w:szCs w:val="22"/>
        </w:rPr>
        <w:t>’</w:t>
      </w:r>
      <w:r w:rsidRPr="00E8642C">
        <w:rPr>
          <w:rFonts w:cs="Arial"/>
          <w:szCs w:val="22"/>
        </w:rPr>
        <w:t>un individu ne peut être effectué qu</w:t>
      </w:r>
      <w:r w:rsidR="00D91476">
        <w:rPr>
          <w:rFonts w:cs="Arial"/>
          <w:szCs w:val="22"/>
        </w:rPr>
        <w:t>’</w:t>
      </w:r>
      <w:r w:rsidRPr="00E8642C">
        <w:rPr>
          <w:rFonts w:cs="Arial"/>
          <w:szCs w:val="22"/>
        </w:rPr>
        <w:t>après une évaluation des risques et avantages potentiels fondée sur “le consentement préalable, libre et éclairé de l</w:t>
      </w:r>
      <w:r w:rsidR="00D91476">
        <w:rPr>
          <w:rFonts w:cs="Arial"/>
          <w:szCs w:val="22"/>
        </w:rPr>
        <w:t>’</w:t>
      </w:r>
      <w:r w:rsidRPr="00E8642C">
        <w:rPr>
          <w:rFonts w:cs="Arial"/>
          <w:szCs w:val="22"/>
        </w:rPr>
        <w:t>intéressé”.  L</w:t>
      </w:r>
      <w:r w:rsidR="00D91476">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D91476">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 xml:space="preserve">éducation, la science et la </w:t>
      </w:r>
      <w:r w:rsidRPr="00E8642C">
        <w:rPr>
          <w:rFonts w:cs="Arial"/>
          <w:iCs/>
          <w:szCs w:val="22"/>
        </w:rPr>
        <w:lastRenderedPageBreak/>
        <w:t>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23D81" w:rsidRDefault="00DD607D" w:rsidP="00E104D3">
      <w:pPr>
        <w:spacing w:after="220"/>
        <w:rPr>
          <w:rFonts w:cs="Arial"/>
          <w:szCs w:val="22"/>
        </w:rPr>
      </w:pPr>
      <w:r w:rsidRPr="00E8642C">
        <w:rPr>
          <w:rFonts w:cs="Arial"/>
          <w:szCs w:val="22"/>
        </w:rPr>
        <w:t>Ce terme est tiré de l</w:t>
      </w:r>
      <w:r w:rsidR="00D91476">
        <w:rPr>
          <w:rFonts w:cs="Arial"/>
          <w:szCs w:val="22"/>
        </w:rPr>
        <w:t>’</w:t>
      </w:r>
      <w:r w:rsidRPr="00E8642C">
        <w:rPr>
          <w:rFonts w:cs="Arial"/>
          <w:szCs w:val="22"/>
        </w:rPr>
        <w:t>application du principe général de la participation des peuples autochtones à la prise de décision, à l</w:t>
      </w:r>
      <w:r w:rsidR="00D91476">
        <w:rPr>
          <w:rFonts w:cs="Arial"/>
          <w:szCs w:val="22"/>
        </w:rPr>
        <w:t>’</w:t>
      </w:r>
      <w:r w:rsidRPr="00E8642C">
        <w:rPr>
          <w:rFonts w:cs="Arial"/>
          <w:szCs w:val="22"/>
        </w:rPr>
        <w:t>élaboration, à la mise en œuvre et à l</w:t>
      </w:r>
      <w:r w:rsidR="00D91476">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utilisation de l</w:t>
      </w:r>
      <w:r w:rsidR="00D91476">
        <w:rPr>
          <w:rFonts w:cs="Arial"/>
          <w:szCs w:val="22"/>
        </w:rPr>
        <w:t>’</w:t>
      </w:r>
      <w:r w:rsidRPr="00E8642C">
        <w:rPr>
          <w:rFonts w:cs="Arial"/>
          <w:szCs w:val="22"/>
        </w:rPr>
        <w:t>adjectif “libre” vise à garantir qu</w:t>
      </w:r>
      <w:r w:rsidR="00D91476">
        <w:rPr>
          <w:rFonts w:cs="Arial"/>
          <w:szCs w:val="22"/>
        </w:rPr>
        <w:t>’</w:t>
      </w:r>
      <w:r w:rsidRPr="00E8642C">
        <w:rPr>
          <w:rFonts w:cs="Arial"/>
          <w:szCs w:val="22"/>
        </w:rPr>
        <w:t>aucune contrainte ni aucune manipulation n</w:t>
      </w:r>
      <w:r w:rsidR="00D91476">
        <w:rPr>
          <w:rFonts w:cs="Arial"/>
          <w:szCs w:val="22"/>
        </w:rPr>
        <w:t>’</w:t>
      </w:r>
      <w:r w:rsidRPr="00E8642C">
        <w:rPr>
          <w:rFonts w:cs="Arial"/>
          <w:szCs w:val="22"/>
        </w:rPr>
        <w:t>est exercée dans le cadre des négociations, tandis que le terme “préalable” marque la prise en considération de l</w:t>
      </w:r>
      <w:r w:rsidR="00D91476">
        <w:rPr>
          <w:rFonts w:cs="Arial"/>
          <w:szCs w:val="22"/>
        </w:rPr>
        <w:t>’</w:t>
      </w:r>
      <w:r w:rsidRPr="00E8642C">
        <w:rPr>
          <w:rFonts w:cs="Arial"/>
          <w:szCs w:val="22"/>
        </w:rPr>
        <w:t>importance qu</w:t>
      </w:r>
      <w:r w:rsidR="00D91476">
        <w:rPr>
          <w:rFonts w:cs="Arial"/>
          <w:szCs w:val="22"/>
        </w:rPr>
        <w:t>’</w:t>
      </w:r>
      <w:r w:rsidRPr="00E8642C">
        <w:rPr>
          <w:rFonts w:cs="Arial"/>
          <w:szCs w:val="22"/>
        </w:rPr>
        <w:t>il y a à accorder du temps aux peuples autochtones pour leur permettre d</w:t>
      </w:r>
      <w:r w:rsidR="00D91476">
        <w:rPr>
          <w:rFonts w:cs="Arial"/>
          <w:szCs w:val="22"/>
        </w:rPr>
        <w:t>’</w:t>
      </w:r>
      <w:r w:rsidRPr="00E8642C">
        <w:rPr>
          <w:rFonts w:cs="Arial"/>
          <w:szCs w:val="22"/>
        </w:rPr>
        <w:t>examiner pleinement les propositions dans les délais fixés pour parvenir à un consens</w:t>
      </w:r>
      <w:r w:rsidR="001F3AEE" w:rsidRPr="00E8642C">
        <w:rPr>
          <w:rFonts w:cs="Arial"/>
          <w:szCs w:val="22"/>
        </w:rPr>
        <w:t>us</w:t>
      </w:r>
      <w:r w:rsidR="001F3AEE">
        <w:rPr>
          <w:rFonts w:cs="Arial"/>
          <w:szCs w:val="22"/>
        </w:rPr>
        <w:t xml:space="preserve">.  </w:t>
      </w:r>
      <w:r w:rsidR="001F3AEE"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D91476">
        <w:rPr>
          <w:rFonts w:cs="Arial"/>
          <w:szCs w:val="22"/>
        </w:rPr>
        <w:t>’</w:t>
      </w:r>
      <w:r w:rsidRPr="00E8642C">
        <w:rPr>
          <w:rFonts w:cs="Arial"/>
          <w:szCs w:val="22"/>
        </w:rPr>
        <w:t>avance avec les peuples autochton</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notion de consentement “éclairé” illustre le fait qu</w:t>
      </w:r>
      <w:r w:rsidR="00D91476">
        <w:rPr>
          <w:rFonts w:cs="Arial"/>
          <w:szCs w:val="22"/>
        </w:rPr>
        <w:t>’</w:t>
      </w:r>
      <w:r w:rsidRPr="00E8642C">
        <w:rPr>
          <w:rFonts w:cs="Arial"/>
          <w:szCs w:val="22"/>
        </w:rPr>
        <w:t>il est de plus en plus largement admis que l</w:t>
      </w:r>
      <w:r w:rsidR="00D91476">
        <w:rPr>
          <w:rFonts w:cs="Arial"/>
          <w:szCs w:val="22"/>
        </w:rPr>
        <w:t>’</w:t>
      </w:r>
      <w:r w:rsidRPr="00E8642C">
        <w:rPr>
          <w:rFonts w:cs="Arial"/>
          <w:szCs w:val="22"/>
        </w:rPr>
        <w:t>évaluation de l</w:t>
      </w:r>
      <w:r w:rsidR="00D91476">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23D81" w:rsidRDefault="00DD607D" w:rsidP="00E104D3">
      <w:pPr>
        <w:spacing w:after="220"/>
        <w:rPr>
          <w:rFonts w:cs="Arial"/>
          <w:szCs w:val="22"/>
        </w:rPr>
      </w:pPr>
      <w:r w:rsidRPr="00E8642C">
        <w:rPr>
          <w:rFonts w:cs="Arial"/>
          <w:szCs w:val="22"/>
        </w:rPr>
        <w:t>Le “consentement” est un processus d</w:t>
      </w:r>
      <w:r w:rsidR="00D91476">
        <w:rPr>
          <w:rFonts w:cs="Arial"/>
          <w:szCs w:val="22"/>
        </w:rPr>
        <w:t>’</w:t>
      </w:r>
      <w:r w:rsidRPr="00E8642C">
        <w:rPr>
          <w:rFonts w:cs="Arial"/>
          <w:szCs w:val="22"/>
        </w:rPr>
        <w:t>autorisation fondé sur la relation entre les parties ou la confian</w:t>
      </w:r>
      <w:r w:rsidR="001F3AEE" w:rsidRPr="00E8642C">
        <w:rPr>
          <w:rFonts w:cs="Arial"/>
          <w:szCs w:val="22"/>
        </w:rPr>
        <w:t>ce</w:t>
      </w:r>
      <w:r w:rsidR="001F3AEE">
        <w:rPr>
          <w:rFonts w:cs="Arial"/>
          <w:szCs w:val="22"/>
        </w:rPr>
        <w:t xml:space="preserve">.  </w:t>
      </w:r>
      <w:r w:rsidR="001F3AEE" w:rsidRPr="00E8642C">
        <w:rPr>
          <w:rFonts w:cs="Arial"/>
          <w:szCs w:val="22"/>
        </w:rPr>
        <w:t>Le</w:t>
      </w:r>
      <w:r w:rsidRPr="00E8642C">
        <w:rPr>
          <w:rFonts w:cs="Arial"/>
          <w:szCs w:val="22"/>
        </w:rPr>
        <w:t xml:space="preserve"> consentement éclairé signifie que des explications claires sont fournies, accompagnées d</w:t>
      </w:r>
      <w:r w:rsidR="00D91476">
        <w:rPr>
          <w:rFonts w:cs="Arial"/>
          <w:szCs w:val="22"/>
        </w:rPr>
        <w:t>’</w:t>
      </w:r>
      <w:r w:rsidRPr="00E8642C">
        <w:rPr>
          <w:rFonts w:cs="Arial"/>
          <w:szCs w:val="22"/>
        </w:rPr>
        <w:t>informations détaillées sur le contrat, les avantages éventuels, les incidences et les utilisations futur</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23D81" w:rsidRDefault="00DD607D" w:rsidP="00E104D3">
      <w:pPr>
        <w:pStyle w:val="Heading2"/>
        <w:keepLines/>
        <w:spacing w:after="220" w:line="240" w:lineRule="auto"/>
        <w:rPr>
          <w:i/>
        </w:rPr>
      </w:pPr>
      <w:bookmarkStart w:id="31" w:name="_Toc7772508"/>
      <w:r w:rsidRPr="00E8642C">
        <w:t>Conservation</w:t>
      </w:r>
      <w:r w:rsidRPr="00E8642C">
        <w:rPr>
          <w:i/>
        </w:rPr>
        <w:t xml:space="preserve"> ex situ</w:t>
      </w:r>
      <w:bookmarkEnd w:id="31"/>
    </w:p>
    <w:p w:rsidR="00D23D81" w:rsidRDefault="00DD607D" w:rsidP="00E104D3">
      <w:pPr>
        <w:keepNext/>
        <w:keepLines/>
        <w:spacing w:after="220"/>
        <w:rPr>
          <w:rFonts w:cs="Arial"/>
          <w:bCs/>
          <w:szCs w:val="22"/>
        </w:rPr>
      </w:pPr>
      <w:r w:rsidRPr="00E8642C">
        <w:rPr>
          <w:rFonts w:cs="Arial"/>
          <w:bCs/>
          <w:szCs w:val="22"/>
        </w:rPr>
        <w:t>Il peut être déduit de la définition de l</w:t>
      </w:r>
      <w:r w:rsidR="00D91476">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D91476">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104D3">
      <w:pPr>
        <w:pStyle w:val="Heading2"/>
        <w:spacing w:after="220" w:line="240" w:lineRule="auto"/>
      </w:pPr>
      <w:bookmarkStart w:id="32" w:name="_Toc7772509"/>
      <w:r w:rsidRPr="00E8642C">
        <w:t>Consultation</w:t>
      </w:r>
      <w:bookmarkEnd w:id="32"/>
    </w:p>
    <w:p w:rsidR="00D23D81" w:rsidRDefault="00DD607D" w:rsidP="00E104D3">
      <w:pPr>
        <w:pStyle w:val="FootnoteText"/>
        <w:spacing w:after="220"/>
        <w:ind w:left="0" w:firstLine="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D91476">
        <w:rPr>
          <w:rFonts w:cs="Arial"/>
          <w:szCs w:val="22"/>
        </w:rPr>
        <w:t>’</w:t>
      </w:r>
      <w:r w:rsidRPr="00E8642C">
        <w:rPr>
          <w:rFonts w:cs="Arial"/>
          <w:szCs w:val="22"/>
        </w:rPr>
        <w:t>acte consistant à demander l</w:t>
      </w:r>
      <w:r w:rsidR="00D91476">
        <w:rPr>
          <w:rFonts w:cs="Arial"/>
          <w:szCs w:val="22"/>
        </w:rPr>
        <w:t>’</w:t>
      </w:r>
      <w:r w:rsidRPr="00E8642C">
        <w:rPr>
          <w:rFonts w:cs="Arial"/>
          <w:szCs w:val="22"/>
        </w:rPr>
        <w:t>avis ou l</w:t>
      </w:r>
      <w:r w:rsidR="00D91476">
        <w:rPr>
          <w:rFonts w:cs="Arial"/>
          <w:szCs w:val="22"/>
        </w:rPr>
        <w:t>’</w:t>
      </w:r>
      <w:r w:rsidRPr="00E8642C">
        <w:rPr>
          <w:rFonts w:cs="Arial"/>
          <w:szCs w:val="22"/>
        </w:rPr>
        <w:t>opinion de quelqu</w:t>
      </w:r>
      <w:r w:rsidR="00D91476">
        <w:rPr>
          <w:rFonts w:cs="Arial"/>
          <w:szCs w:val="22"/>
        </w:rPr>
        <w:t>’</w:t>
      </w:r>
      <w:r w:rsidRPr="00E8642C">
        <w:rPr>
          <w:rFonts w:cs="Arial"/>
          <w:szCs w:val="22"/>
        </w:rPr>
        <w:t>un (par exemple, un juriste).</w:t>
      </w:r>
    </w:p>
    <w:p w:rsidR="00D23D81" w:rsidRDefault="00DD607D" w:rsidP="00E104D3">
      <w:pPr>
        <w:pStyle w:val="FootnoteText"/>
        <w:spacing w:after="220"/>
        <w:ind w:left="0" w:firstLine="0"/>
        <w:rPr>
          <w:rFonts w:cs="Arial"/>
          <w:szCs w:val="22"/>
        </w:rPr>
      </w:pPr>
      <w:r w:rsidRPr="00E8642C">
        <w:rPr>
          <w:rFonts w:cs="Arial"/>
          <w:szCs w:val="22"/>
        </w:rPr>
        <w:t>Une source indique que la consultation renvoie au processus selon lequel les gens échangent des vues et des informatio</w:t>
      </w:r>
      <w:r w:rsidR="001F3AEE" w:rsidRPr="00E8642C">
        <w:rPr>
          <w:rFonts w:cs="Arial"/>
          <w:szCs w:val="22"/>
        </w:rPr>
        <w:t>ns</w:t>
      </w:r>
      <w:r w:rsidR="001F3AEE">
        <w:rPr>
          <w:rFonts w:cs="Arial"/>
          <w:szCs w:val="22"/>
        </w:rPr>
        <w:t xml:space="preserve">.  </w:t>
      </w:r>
      <w:r w:rsidR="001F3AEE" w:rsidRPr="00E8642C">
        <w:rPr>
          <w:rFonts w:cs="Arial"/>
          <w:szCs w:val="22"/>
        </w:rPr>
        <w:t>Il</w:t>
      </w:r>
      <w:r w:rsidRPr="00E8642C">
        <w:rPr>
          <w:rFonts w:cs="Arial"/>
          <w:szCs w:val="22"/>
        </w:rPr>
        <w:t xml:space="preserve"> ne s</w:t>
      </w:r>
      <w:r w:rsidR="00D91476">
        <w:rPr>
          <w:rFonts w:cs="Arial"/>
          <w:szCs w:val="22"/>
        </w:rPr>
        <w:t>’</w:t>
      </w:r>
      <w:r w:rsidRPr="00E8642C">
        <w:rPr>
          <w:rFonts w:cs="Arial"/>
          <w:szCs w:val="22"/>
        </w:rPr>
        <w:t>agit pas d</w:t>
      </w:r>
      <w:r w:rsidR="00D91476">
        <w:rPr>
          <w:rFonts w:cs="Arial"/>
          <w:szCs w:val="22"/>
        </w:rPr>
        <w:t>’</w:t>
      </w:r>
      <w:r w:rsidRPr="00E8642C">
        <w:rPr>
          <w:rFonts w:cs="Arial"/>
          <w:szCs w:val="22"/>
        </w:rPr>
        <w:t>un processus à sens unique mais d</w:t>
      </w:r>
      <w:r w:rsidR="00D91476">
        <w:rPr>
          <w:rFonts w:cs="Arial"/>
          <w:szCs w:val="22"/>
        </w:rPr>
        <w:t>’</w:t>
      </w:r>
      <w:r w:rsidRPr="00E8642C">
        <w:rPr>
          <w:rFonts w:cs="Arial"/>
          <w:szCs w:val="22"/>
        </w:rPr>
        <w:t>un processus de partage des savoirs et des opinio</w:t>
      </w:r>
      <w:r w:rsidR="001F3AEE" w:rsidRPr="00E8642C">
        <w:rPr>
          <w:rFonts w:cs="Arial"/>
          <w:szCs w:val="22"/>
        </w:rPr>
        <w:t>ns</w:t>
      </w:r>
      <w:r w:rsidR="001F3AEE">
        <w:rPr>
          <w:rFonts w:cs="Arial"/>
          <w:szCs w:val="22"/>
        </w:rPr>
        <w:t xml:space="preserve">.  </w:t>
      </w:r>
      <w:r w:rsidR="001F3AEE" w:rsidRPr="00E8642C">
        <w:rPr>
          <w:rFonts w:cs="Arial"/>
          <w:szCs w:val="22"/>
        </w:rPr>
        <w:t>La</w:t>
      </w:r>
      <w:r w:rsidRPr="00E8642C">
        <w:rPr>
          <w:rFonts w:cs="Arial"/>
          <w:szCs w:val="22"/>
        </w:rPr>
        <w:t xml:space="preserve"> consultation signifie travailler ensemble, écouter ce que l</w:t>
      </w:r>
      <w:r w:rsidR="00D91476">
        <w:rPr>
          <w:rFonts w:cs="Arial"/>
          <w:szCs w:val="22"/>
        </w:rPr>
        <w:t>’</w:t>
      </w:r>
      <w:r w:rsidRPr="00E8642C">
        <w:rPr>
          <w:rFonts w:cs="Arial"/>
          <w:szCs w:val="22"/>
        </w:rPr>
        <w:t>autre partie a à dire et réagir en fonction de ce qui a été d</w:t>
      </w:r>
      <w:r w:rsidR="001F3AEE" w:rsidRPr="00E8642C">
        <w:rPr>
          <w:rFonts w:cs="Arial"/>
          <w:szCs w:val="22"/>
        </w:rPr>
        <w:t>it</w:t>
      </w:r>
      <w:r w:rsidR="001F3AEE">
        <w:rPr>
          <w:rFonts w:cs="Arial"/>
          <w:szCs w:val="22"/>
        </w:rPr>
        <w:t xml:space="preserve">.  </w:t>
      </w:r>
      <w:bookmarkStart w:id="33" w:name="_Ref292464692"/>
      <w:r w:rsidR="001F3AEE" w:rsidRPr="00E8642C">
        <w:rPr>
          <w:rFonts w:cs="Arial"/>
          <w:szCs w:val="22"/>
        </w:rPr>
        <w:t>Se</w:t>
      </w:r>
      <w:r w:rsidRPr="00E8642C">
        <w:rPr>
          <w:rFonts w:cs="Arial"/>
          <w:szCs w:val="22"/>
        </w:rPr>
        <w:t>lon certains, la consultation et le consentement des communautés autochtones sont li</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23D81" w:rsidRDefault="00DD607D" w:rsidP="00E104D3">
      <w:pPr>
        <w:pStyle w:val="FootnoteText"/>
        <w:spacing w:after="220"/>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w:t>
      </w:r>
      <w:r w:rsidRPr="00E8642C">
        <w:rPr>
          <w:rFonts w:cs="Arial"/>
          <w:snapToGrid w:val="0"/>
          <w:szCs w:val="22"/>
        </w:rPr>
        <w:lastRenderedPageBreak/>
        <w:t>menées “de bonne foi et sous une forme appropriée aux circonstances, en vue de parvenir à un accord ou d</w:t>
      </w:r>
      <w:r w:rsidR="00D91476">
        <w:rPr>
          <w:rFonts w:cs="Arial"/>
          <w:snapToGrid w:val="0"/>
          <w:szCs w:val="22"/>
        </w:rPr>
        <w:t>’</w:t>
      </w:r>
      <w:r w:rsidRPr="00E8642C">
        <w:rPr>
          <w:rFonts w:cs="Arial"/>
          <w:snapToGrid w:val="0"/>
          <w:szCs w:val="22"/>
        </w:rPr>
        <w:t>obtenir un consentement au sujet des mesures envisagées” (article 6.2)).</w:t>
      </w:r>
    </w:p>
    <w:p w:rsidR="00D23D81" w:rsidRDefault="00DD607D" w:rsidP="00E104D3">
      <w:pPr>
        <w:pStyle w:val="Heading2"/>
        <w:spacing w:after="220" w:line="240" w:lineRule="auto"/>
      </w:pPr>
      <w:bookmarkStart w:id="34" w:name="_Toc7772510"/>
      <w:r w:rsidRPr="00E8642C">
        <w:t>Contexte coutumier</w:t>
      </w:r>
      <w:bookmarkEnd w:id="34"/>
    </w:p>
    <w:p w:rsidR="00D23D81" w:rsidRDefault="00DD607D" w:rsidP="00E104D3">
      <w:pPr>
        <w:pStyle w:val="FootnoteText"/>
        <w:keepNext/>
        <w:spacing w:after="220"/>
        <w:ind w:left="0" w:firstLine="0"/>
        <w:rPr>
          <w:rFonts w:cs="Arial"/>
          <w:szCs w:val="22"/>
        </w:rPr>
      </w:pPr>
      <w:r w:rsidRPr="00E8642C">
        <w:rPr>
          <w:rFonts w:cs="Arial"/>
          <w:szCs w:val="22"/>
        </w:rPr>
        <w:t>Par “contexte coutumier”, il faut entendre la façon d</w:t>
      </w:r>
      <w:r w:rsidR="00D91476">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D91476">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23D81" w:rsidRDefault="00DD607D" w:rsidP="00E104D3">
      <w:pPr>
        <w:pStyle w:val="Heading2"/>
        <w:spacing w:after="220" w:line="240" w:lineRule="auto"/>
      </w:pPr>
      <w:bookmarkStart w:id="35" w:name="_Toc7772511"/>
      <w:r w:rsidRPr="00E8642C">
        <w:t>Contexte traditionnel</w:t>
      </w:r>
      <w:bookmarkEnd w:id="35"/>
    </w:p>
    <w:p w:rsidR="00D23D81" w:rsidRDefault="00DD607D" w:rsidP="00E104D3">
      <w:pPr>
        <w:spacing w:after="220"/>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D91476">
        <w:rPr>
          <w:rFonts w:cs="Arial"/>
          <w:szCs w:val="22"/>
        </w:rPr>
        <w:t>’</w:t>
      </w:r>
      <w:r w:rsidRPr="00E8642C">
        <w:rPr>
          <w:rFonts w:cs="Arial"/>
          <w:szCs w:val="22"/>
        </w:rPr>
        <w:t>une certaine communauté, et non pas qu</w:t>
      </w:r>
      <w:r w:rsidR="00D91476">
        <w:rPr>
          <w:rFonts w:cs="Arial"/>
          <w:szCs w:val="22"/>
        </w:rPr>
        <w:t>’</w:t>
      </w:r>
      <w:r w:rsidRPr="00E8642C">
        <w:rPr>
          <w:rFonts w:cs="Arial"/>
          <w:szCs w:val="22"/>
        </w:rPr>
        <w:t>ils sont ancie</w:t>
      </w:r>
      <w:r w:rsidR="001F3AEE" w:rsidRPr="00E8642C">
        <w:rPr>
          <w:rFonts w:cs="Arial"/>
          <w:szCs w:val="22"/>
        </w:rPr>
        <w:t>ns</w:t>
      </w:r>
      <w:r w:rsidR="001F3AEE">
        <w:rPr>
          <w:rFonts w:cs="Arial"/>
          <w:szCs w:val="22"/>
        </w:rPr>
        <w:t xml:space="preserve">.  </w:t>
      </w:r>
      <w:r w:rsidR="001F3AEE" w:rsidRPr="00E8642C">
        <w:rPr>
          <w:rFonts w:cs="Arial"/>
          <w:szCs w:val="22"/>
        </w:rPr>
        <w:t>En</w:t>
      </w:r>
      <w:r w:rsidRPr="00E8642C">
        <w:rPr>
          <w:rFonts w:cs="Arial"/>
          <w:szCs w:val="22"/>
        </w:rPr>
        <w:t> d</w:t>
      </w:r>
      <w:r w:rsidR="00D91476">
        <w:rPr>
          <w:rFonts w:cs="Arial"/>
          <w:szCs w:val="22"/>
        </w:rPr>
        <w:t>’</w:t>
      </w:r>
      <w:r w:rsidRPr="00E8642C">
        <w:rPr>
          <w:rFonts w:cs="Arial"/>
          <w:szCs w:val="22"/>
        </w:rPr>
        <w:t>autres termes, l</w:t>
      </w:r>
      <w:r w:rsidR="00D91476">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D91476">
        <w:rPr>
          <w:rFonts w:cs="Arial"/>
          <w:szCs w:val="22"/>
        </w:rPr>
        <w:t>’</w:t>
      </w:r>
      <w:r w:rsidRPr="00E8642C">
        <w:rPr>
          <w:rFonts w:cs="Arial"/>
          <w:szCs w:val="22"/>
        </w:rPr>
        <w:t>utiliser des savoirs traditionnels ou expressions culturelles traditionnelles dans leur cadre artistique normal, conformément à l</w:t>
      </w:r>
      <w:r w:rsidR="00D91476">
        <w:rPr>
          <w:rFonts w:cs="Arial"/>
          <w:szCs w:val="22"/>
        </w:rPr>
        <w:t>’</w:t>
      </w:r>
      <w:r w:rsidRPr="00E8642C">
        <w:rPr>
          <w:rFonts w:cs="Arial"/>
          <w:szCs w:val="22"/>
        </w:rPr>
        <w:t>usage constant de la communau</w:t>
      </w:r>
      <w:r w:rsidR="001F3AEE" w:rsidRPr="00E8642C">
        <w:rPr>
          <w:rFonts w:cs="Arial"/>
          <w:szCs w:val="22"/>
        </w:rPr>
        <w:t>té</w:t>
      </w:r>
      <w:r w:rsidR="001F3AEE">
        <w:rPr>
          <w:rFonts w:cs="Arial"/>
          <w:szCs w:val="22"/>
        </w:rPr>
        <w:t xml:space="preserve">.  </w:t>
      </w:r>
      <w:r w:rsidR="001F3AEE" w:rsidRPr="00E8642C">
        <w:rPr>
          <w:rFonts w:cs="Arial"/>
          <w:szCs w:val="22"/>
        </w:rPr>
        <w:t>On</w:t>
      </w:r>
      <w:r w:rsidRPr="00E8642C">
        <w:rPr>
          <w:rFonts w:cs="Arial"/>
          <w:szCs w:val="22"/>
        </w:rPr>
        <w:t xml:space="preserve"> pourrait donner comme exemple l</w:t>
      </w:r>
      <w:r w:rsidR="00D91476">
        <w:rPr>
          <w:rFonts w:cs="Arial"/>
          <w:szCs w:val="22"/>
        </w:rPr>
        <w:t>’</w:t>
      </w:r>
      <w:r w:rsidRPr="00E8642C">
        <w:rPr>
          <w:rFonts w:cs="Arial"/>
          <w:szCs w:val="22"/>
        </w:rPr>
        <w:t>exécution d</w:t>
      </w:r>
      <w:r w:rsidR="00D91476">
        <w:rPr>
          <w:rFonts w:cs="Arial"/>
          <w:szCs w:val="22"/>
        </w:rPr>
        <w:t>’</w:t>
      </w:r>
      <w:r w:rsidRPr="00E8642C">
        <w:rPr>
          <w:rFonts w:cs="Arial"/>
          <w:szCs w:val="22"/>
        </w:rPr>
        <w:t>une danse rituelle dans son contexte traditionnel,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son exécution dans le cadre réel de l</w:t>
      </w:r>
      <w:r w:rsidR="00D91476">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23D81" w:rsidRDefault="00DD607D" w:rsidP="00E104D3">
      <w:pPr>
        <w:spacing w:after="220"/>
        <w:rPr>
          <w:rFonts w:cs="Arial"/>
          <w:szCs w:val="22"/>
        </w:rPr>
      </w:pPr>
      <w:r w:rsidRPr="00E8642C">
        <w:rPr>
          <w:rFonts w:cs="Arial"/>
          <w:szCs w:val="22"/>
        </w:rPr>
        <w:t>Comme il est indiqué dans le document intitulé “Éléments constitutifs d</w:t>
      </w:r>
      <w:r w:rsidR="00D91476">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D91476">
        <w:rPr>
          <w:rFonts w:cs="Arial"/>
          <w:szCs w:val="22"/>
        </w:rPr>
        <w:t>’</w:t>
      </w:r>
      <w:r w:rsidRPr="00E8642C">
        <w:rPr>
          <w:rFonts w:cs="Arial"/>
          <w:szCs w:val="22"/>
        </w:rPr>
        <w:t>expression des traditions des communaut</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23D81" w:rsidRDefault="00DD607D" w:rsidP="00E104D3">
      <w:pPr>
        <w:pStyle w:val="Heading2"/>
        <w:spacing w:after="220" w:line="240" w:lineRule="auto"/>
      </w:pPr>
      <w:bookmarkStart w:id="36" w:name="_Toc7772512"/>
      <w:r w:rsidRPr="00E8642C">
        <w:t>Contrats de licence</w:t>
      </w:r>
      <w:bookmarkEnd w:id="36"/>
    </w:p>
    <w:p w:rsidR="00D23D81" w:rsidRDefault="00DD607D" w:rsidP="00E104D3">
      <w:pPr>
        <w:pStyle w:val="BodyText"/>
        <w:tabs>
          <w:tab w:val="left" w:pos="567"/>
        </w:tabs>
        <w:spacing w:after="220"/>
        <w:rPr>
          <w:rFonts w:cs="Arial"/>
          <w:szCs w:val="22"/>
        </w:rPr>
      </w:pPr>
      <w:r w:rsidRPr="00E8642C">
        <w:rPr>
          <w:rFonts w:cs="Arial"/>
          <w:iCs/>
          <w:szCs w:val="22"/>
        </w:rPr>
        <w:t>Les contrats de licence sont décrits comme des accords définissant l</w:t>
      </w:r>
      <w:r w:rsidR="00D91476">
        <w:rPr>
          <w:rFonts w:cs="Arial"/>
          <w:iCs/>
          <w:szCs w:val="22"/>
        </w:rPr>
        <w:t>’</w:t>
      </w:r>
      <w:r w:rsidRPr="00E8642C">
        <w:rPr>
          <w:rFonts w:cs="Arial"/>
          <w:iCs/>
          <w:szCs w:val="22"/>
        </w:rPr>
        <w:t>utilisation qui peut être faite du matériel ou les droits que le fournisseur peut concéder concernant par exemple l</w:t>
      </w:r>
      <w:r w:rsidR="00D91476">
        <w:rPr>
          <w:rFonts w:cs="Arial"/>
          <w:iCs/>
          <w:szCs w:val="22"/>
        </w:rPr>
        <w:t>’</w:t>
      </w:r>
      <w:r w:rsidRPr="00E8642C">
        <w:rPr>
          <w:rFonts w:cs="Arial"/>
          <w:iCs/>
          <w:szCs w:val="22"/>
        </w:rPr>
        <w:t>utilisation des ressources génétiques en tant qu</w:t>
      </w:r>
      <w:r w:rsidR="00D91476">
        <w:rPr>
          <w:rFonts w:cs="Arial"/>
          <w:iCs/>
          <w:szCs w:val="22"/>
        </w:rPr>
        <w:t>’</w:t>
      </w:r>
      <w:r w:rsidRPr="00E8642C">
        <w:rPr>
          <w:rFonts w:cs="Arial"/>
          <w:iCs/>
          <w:szCs w:val="22"/>
        </w:rPr>
        <w:t>outils de recherche, l</w:t>
      </w:r>
      <w:r w:rsidR="00D91476">
        <w:rPr>
          <w:rFonts w:cs="Arial"/>
          <w:iCs/>
          <w:szCs w:val="22"/>
        </w:rPr>
        <w:t>’</w:t>
      </w:r>
      <w:r w:rsidRPr="00E8642C">
        <w:rPr>
          <w:rFonts w:cs="Arial"/>
          <w:iCs/>
          <w:szCs w:val="22"/>
        </w:rPr>
        <w:t>utilisation des savoirs traditionnels associés ou d</w:t>
      </w:r>
      <w:r w:rsidR="00D91476">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23D81" w:rsidRDefault="00DD607D" w:rsidP="00E104D3">
      <w:pPr>
        <w:pStyle w:val="Heading2"/>
        <w:spacing w:after="220" w:line="240" w:lineRule="auto"/>
      </w:pPr>
      <w:bookmarkStart w:id="37" w:name="_Toc7772513"/>
      <w:r w:rsidRPr="00E8642C">
        <w:t>Convention de l</w:t>
      </w:r>
      <w:r w:rsidR="00D91476">
        <w:t>’</w:t>
      </w:r>
      <w:r w:rsidRPr="00E8642C">
        <w:t>UNESCO concernant les mesures à prendre pour interdire et empêcher l</w:t>
      </w:r>
      <w:r w:rsidR="00D91476">
        <w:t>’</w:t>
      </w:r>
      <w:r w:rsidRPr="00E8642C">
        <w:t>importation, l</w:t>
      </w:r>
      <w:r w:rsidR="00D91476">
        <w:t>’</w:t>
      </w:r>
      <w:r w:rsidRPr="00E8642C">
        <w:t>exportation et le transfert de propriété illicites des biens culturels</w:t>
      </w:r>
      <w:bookmarkEnd w:id="37"/>
    </w:p>
    <w:p w:rsidR="00D23D81" w:rsidRDefault="00DD607D" w:rsidP="00E104D3">
      <w:pPr>
        <w:spacing w:after="220"/>
        <w:rPr>
          <w:rFonts w:cs="Arial"/>
          <w:b/>
          <w:szCs w:val="22"/>
        </w:rPr>
      </w:pPr>
      <w:r w:rsidRPr="00E8642C">
        <w:rPr>
          <w:rFonts w:cs="Arial"/>
          <w:szCs w:val="22"/>
        </w:rPr>
        <w:t>La convention a été adoptée par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 xml:space="preserve">pour protéger les biens culturels sur les territoires des États </w:t>
      </w:r>
      <w:r w:rsidRPr="00E8642C">
        <w:rPr>
          <w:rFonts w:cs="Arial"/>
          <w:szCs w:val="22"/>
        </w:rPr>
        <w:lastRenderedPageBreak/>
        <w:t>contre les risques de vol, de fouilles clandestines et d</w:t>
      </w:r>
      <w:r w:rsidR="00D91476">
        <w:rPr>
          <w:rFonts w:cs="Arial"/>
          <w:szCs w:val="22"/>
        </w:rPr>
        <w:t>’</w:t>
      </w:r>
      <w:r w:rsidRPr="00E8642C">
        <w:rPr>
          <w:rFonts w:cs="Arial"/>
          <w:szCs w:val="22"/>
        </w:rPr>
        <w:t>exportation illici</w:t>
      </w:r>
      <w:r w:rsidR="001F3AEE" w:rsidRPr="00E8642C">
        <w:rPr>
          <w:rFonts w:cs="Arial"/>
          <w:szCs w:val="22"/>
        </w:rPr>
        <w:t>te</w:t>
      </w:r>
      <w:r w:rsidR="001F3AEE">
        <w:rPr>
          <w:rFonts w:cs="Arial"/>
          <w:szCs w:val="22"/>
        </w:rPr>
        <w:t xml:space="preserve">.  </w:t>
      </w:r>
      <w:r w:rsidR="001F3AEE" w:rsidRPr="00E8642C">
        <w:rPr>
          <w:rFonts w:cs="Arial"/>
          <w:szCs w:val="22"/>
        </w:rPr>
        <w:t>El</w:t>
      </w:r>
      <w:r w:rsidRPr="00E8642C">
        <w:rPr>
          <w:rFonts w:cs="Arial"/>
          <w:szCs w:val="22"/>
        </w:rPr>
        <w:t>le est entrée en vigueur en 1972.</w:t>
      </w:r>
    </w:p>
    <w:p w:rsidR="00D23D81" w:rsidRDefault="00DD607D" w:rsidP="00E104D3">
      <w:pPr>
        <w:spacing w:after="220"/>
        <w:rPr>
          <w:rFonts w:cs="Arial"/>
          <w:szCs w:val="22"/>
        </w:rPr>
      </w:pPr>
      <w:r w:rsidRPr="00E8642C">
        <w:rPr>
          <w:rFonts w:cs="Arial"/>
          <w:szCs w:val="22"/>
        </w:rPr>
        <w:t>La convention exige des États parties qu</w:t>
      </w:r>
      <w:r w:rsidR="00D91476">
        <w:rPr>
          <w:rFonts w:cs="Arial"/>
          <w:szCs w:val="22"/>
        </w:rPr>
        <w:t>’</w:t>
      </w:r>
      <w:r w:rsidRPr="00E8642C">
        <w:rPr>
          <w:rFonts w:cs="Arial"/>
          <w:szCs w:val="22"/>
        </w:rPr>
        <w:t>ils prennent des mesures dans les trois principaux domaines d</w:t>
      </w:r>
      <w:r w:rsidR="00D91476">
        <w:rPr>
          <w:rFonts w:cs="Arial"/>
          <w:szCs w:val="22"/>
        </w:rPr>
        <w:t>’</w:t>
      </w:r>
      <w:r w:rsidRPr="00E8642C">
        <w:rPr>
          <w:rFonts w:cs="Arial"/>
          <w:szCs w:val="22"/>
        </w:rPr>
        <w:t>action ci</w:t>
      </w:r>
      <w:r w:rsidR="00400337">
        <w:rPr>
          <w:rFonts w:cs="Arial"/>
          <w:szCs w:val="22"/>
        </w:rPr>
        <w:noBreakHyphen/>
      </w:r>
      <w:r w:rsidRPr="00E8642C">
        <w:rPr>
          <w:rFonts w:cs="Arial"/>
          <w:szCs w:val="22"/>
        </w:rPr>
        <w:t>après.</w:t>
      </w:r>
    </w:p>
    <w:p w:rsidR="00D23D81" w:rsidRDefault="00DD607D" w:rsidP="00E104D3">
      <w:pPr>
        <w:spacing w:after="220"/>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D91476">
        <w:rPr>
          <w:rFonts w:cs="Arial"/>
          <w:szCs w:val="22"/>
        </w:rPr>
        <w:t> :</w:t>
      </w:r>
      <w:r w:rsidRPr="00E8642C">
        <w:rPr>
          <w:rFonts w:cs="Arial"/>
          <w:szCs w:val="22"/>
        </w:rPr>
        <w:t xml:space="preserve"> inventaires, certificats d</w:t>
      </w:r>
      <w:r w:rsidR="00D91476">
        <w:rPr>
          <w:rFonts w:cs="Arial"/>
          <w:szCs w:val="22"/>
        </w:rPr>
        <w:t>’</w:t>
      </w:r>
      <w:r w:rsidRPr="00E8642C">
        <w:rPr>
          <w:rFonts w:cs="Arial"/>
          <w:szCs w:val="22"/>
        </w:rPr>
        <w:t>exportation, contrôle des échanges commerciaux, application de sanctions pénales ou administratives, campagnes d</w:t>
      </w:r>
      <w:r w:rsidR="00D91476">
        <w:rPr>
          <w:rFonts w:cs="Arial"/>
          <w:szCs w:val="22"/>
        </w:rPr>
        <w:t>’</w:t>
      </w:r>
      <w:r w:rsidRPr="00E8642C">
        <w:rPr>
          <w:rFonts w:cs="Arial"/>
          <w:szCs w:val="22"/>
        </w:rPr>
        <w:t>éducation, etc.</w:t>
      </w:r>
    </w:p>
    <w:p w:rsidR="00D23D81" w:rsidRDefault="00DD607D" w:rsidP="00E104D3">
      <w:pPr>
        <w:spacing w:after="220"/>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D91476">
        <w:rPr>
          <w:rFonts w:cs="Arial"/>
          <w:szCs w:val="22"/>
        </w:rPr>
        <w:t> :</w:t>
      </w:r>
      <w:r w:rsidRPr="00E8642C">
        <w:rPr>
          <w:rFonts w:cs="Arial"/>
          <w:szCs w:val="22"/>
        </w:rPr>
        <w:t xml:space="preserve"> en vertu de l</w:t>
      </w:r>
      <w:r w:rsidR="00D91476">
        <w:rPr>
          <w:rFonts w:cs="Arial"/>
          <w:szCs w:val="22"/>
        </w:rPr>
        <w:t>’</w:t>
      </w:r>
      <w:r w:rsidRPr="00E8642C">
        <w:rPr>
          <w:rFonts w:cs="Arial"/>
          <w:szCs w:val="22"/>
        </w:rPr>
        <w:t>article 7.b).ii) de la convention, les États parties s</w:t>
      </w:r>
      <w:r w:rsidR="00D91476">
        <w:rPr>
          <w:rFonts w:cs="Arial"/>
          <w:szCs w:val="22"/>
        </w:rPr>
        <w:t>’</w:t>
      </w:r>
      <w:r w:rsidRPr="00E8642C">
        <w:rPr>
          <w:rFonts w:cs="Arial"/>
          <w:szCs w:val="22"/>
        </w:rPr>
        <w:t>engagent à prendre des mesures appropriées pour saisir et restituer à la requête de l</w:t>
      </w:r>
      <w:r w:rsidR="00D91476">
        <w:rPr>
          <w:rFonts w:cs="Arial"/>
          <w:szCs w:val="22"/>
        </w:rPr>
        <w:t>’</w:t>
      </w:r>
      <w:r w:rsidRPr="00E8642C">
        <w:rPr>
          <w:rFonts w:cs="Arial"/>
          <w:szCs w:val="22"/>
        </w:rPr>
        <w:t>État d</w:t>
      </w:r>
      <w:r w:rsidR="00D91476">
        <w:rPr>
          <w:rFonts w:cs="Arial"/>
          <w:szCs w:val="22"/>
        </w:rPr>
        <w:t>’</w:t>
      </w:r>
      <w:r w:rsidRPr="00E8642C">
        <w:rPr>
          <w:rFonts w:cs="Arial"/>
          <w:szCs w:val="22"/>
        </w:rPr>
        <w:t>origine partie à la convention tout bien culturel ainsi volé et importé après l</w:t>
      </w:r>
      <w:r w:rsidR="00D91476">
        <w:rPr>
          <w:rFonts w:cs="Arial"/>
          <w:szCs w:val="22"/>
        </w:rPr>
        <w:t>’</w:t>
      </w:r>
      <w:r w:rsidRPr="00E8642C">
        <w:rPr>
          <w:rFonts w:cs="Arial"/>
          <w:szCs w:val="22"/>
        </w:rPr>
        <w:t xml:space="preserve">entrée en vigueur de la convention </w:t>
      </w:r>
      <w:r w:rsidR="00D91476">
        <w:rPr>
          <w:rFonts w:cs="Arial"/>
          <w:szCs w:val="22"/>
        </w:rPr>
        <w:t>à l’égard</w:t>
      </w:r>
      <w:r w:rsidRPr="00E8642C">
        <w:rPr>
          <w:rFonts w:cs="Arial"/>
          <w:szCs w:val="22"/>
        </w:rPr>
        <w:t xml:space="preserve"> des deux États concernés, à condition que l</w:t>
      </w:r>
      <w:r w:rsidR="00D91476">
        <w:rPr>
          <w:rFonts w:cs="Arial"/>
          <w:szCs w:val="22"/>
        </w:rPr>
        <w:t>’</w:t>
      </w:r>
      <w:r w:rsidRPr="00E8642C">
        <w:rPr>
          <w:rFonts w:cs="Arial"/>
          <w:szCs w:val="22"/>
        </w:rPr>
        <w:t>État le requérant verse une indemnité équitable à la personne qui est acquéreur de bonne foi ou qui détient légalement la propriété de ce bi</w:t>
      </w:r>
      <w:r w:rsidR="001F3AEE" w:rsidRPr="00E8642C">
        <w:rPr>
          <w:rFonts w:cs="Arial"/>
          <w:szCs w:val="22"/>
        </w:rPr>
        <w:t>en</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rticle 13 de la convention contient aussi des dispositions sur la restitution et la coopération.</w:t>
      </w:r>
    </w:p>
    <w:p w:rsidR="00D23D81" w:rsidRDefault="00DD607D" w:rsidP="00E104D3">
      <w:pPr>
        <w:spacing w:after="220"/>
        <w:ind w:left="567"/>
        <w:rPr>
          <w:rFonts w:cs="Arial"/>
          <w:szCs w:val="22"/>
        </w:rPr>
      </w:pPr>
      <w:r w:rsidRPr="00E8642C">
        <w:rPr>
          <w:rFonts w:cs="Arial"/>
          <w:szCs w:val="22"/>
        </w:rPr>
        <w:t>3</w:t>
      </w:r>
      <w:r w:rsidR="00D050A0">
        <w:rPr>
          <w:rFonts w:cs="Arial"/>
          <w:szCs w:val="22"/>
        </w:rPr>
        <w:t>–</w:t>
      </w:r>
      <w:r w:rsidRPr="00E8642C">
        <w:rPr>
          <w:rFonts w:cs="Arial"/>
          <w:szCs w:val="22"/>
        </w:rPr>
        <w:t xml:space="preserve"> Cadre de coopération international</w:t>
      </w:r>
      <w:r w:rsidR="00D91476">
        <w:rPr>
          <w:rFonts w:cs="Arial"/>
          <w:szCs w:val="22"/>
        </w:rPr>
        <w:t> :</w:t>
      </w:r>
      <w:r w:rsidRPr="00E8642C">
        <w:rPr>
          <w:rFonts w:cs="Arial"/>
          <w:szCs w:val="22"/>
        </w:rPr>
        <w:t xml:space="preserve"> l</w:t>
      </w:r>
      <w:r w:rsidR="00D91476">
        <w:rPr>
          <w:rFonts w:cs="Arial"/>
          <w:szCs w:val="22"/>
        </w:rPr>
        <w:t>’</w:t>
      </w:r>
      <w:r w:rsidRPr="00E8642C">
        <w:rPr>
          <w:rFonts w:cs="Arial"/>
          <w:szCs w:val="22"/>
        </w:rPr>
        <w:t>idée de renforcer la coopération entre les États parties est présente tout au long de la conventi</w:t>
      </w:r>
      <w:r w:rsidR="001F3AEE" w:rsidRPr="00E8642C">
        <w:rPr>
          <w:rFonts w:cs="Arial"/>
          <w:szCs w:val="22"/>
        </w:rPr>
        <w:t>on</w:t>
      </w:r>
      <w:r w:rsidR="001F3AEE">
        <w:rPr>
          <w:rFonts w:cs="Arial"/>
          <w:szCs w:val="22"/>
        </w:rPr>
        <w:t xml:space="preserve">.  </w:t>
      </w:r>
      <w:r w:rsidR="001F3AEE" w:rsidRPr="00E8642C">
        <w:rPr>
          <w:rFonts w:cs="Arial"/>
          <w:szCs w:val="22"/>
        </w:rPr>
        <w:t>Lo</w:t>
      </w:r>
      <w:r w:rsidRPr="00E8642C">
        <w:rPr>
          <w:rFonts w:cs="Arial"/>
          <w:szCs w:val="22"/>
        </w:rPr>
        <w:t>rsque le patrimoine culturel est mis en danger par des pillages, l</w:t>
      </w:r>
      <w:r w:rsidR="00D91476">
        <w:rPr>
          <w:rFonts w:cs="Arial"/>
          <w:szCs w:val="22"/>
        </w:rPr>
        <w:t>’</w:t>
      </w:r>
      <w:r w:rsidRPr="00E8642C">
        <w:rPr>
          <w:rFonts w:cs="Arial"/>
          <w:szCs w:val="22"/>
        </w:rPr>
        <w:t>article 9 ouvre la voie à des mesures plus spécifiques telles que l</w:t>
      </w:r>
      <w:r w:rsidR="00D91476">
        <w:rPr>
          <w:rFonts w:cs="Arial"/>
          <w:szCs w:val="22"/>
        </w:rPr>
        <w:t>’</w:t>
      </w:r>
      <w:r w:rsidRPr="00E8642C">
        <w:rPr>
          <w:rFonts w:cs="Arial"/>
          <w:szCs w:val="22"/>
        </w:rPr>
        <w:t>appel au contrôle de l</w:t>
      </w:r>
      <w:r w:rsidR="00D91476">
        <w:rPr>
          <w:rFonts w:cs="Arial"/>
          <w:szCs w:val="22"/>
        </w:rPr>
        <w:t>’</w:t>
      </w:r>
      <w:r w:rsidRPr="00E8642C">
        <w:rPr>
          <w:rFonts w:cs="Arial"/>
          <w:szCs w:val="22"/>
        </w:rPr>
        <w:t>importation et de l</w:t>
      </w:r>
      <w:r w:rsidR="00D91476">
        <w:rPr>
          <w:rFonts w:cs="Arial"/>
          <w:szCs w:val="22"/>
        </w:rPr>
        <w:t>’</w:t>
      </w:r>
      <w:r w:rsidRPr="00E8642C">
        <w:rPr>
          <w:rFonts w:cs="Arial"/>
          <w:szCs w:val="22"/>
        </w:rPr>
        <w:t>exportation.</w:t>
      </w:r>
    </w:p>
    <w:p w:rsidR="00D23D81" w:rsidRDefault="00DD607D" w:rsidP="00E104D3">
      <w:pPr>
        <w:pStyle w:val="Heading2"/>
        <w:spacing w:after="220" w:line="240" w:lineRule="auto"/>
      </w:pPr>
      <w:bookmarkStart w:id="38" w:name="_Toc7772514"/>
      <w:r w:rsidRPr="00E8642C">
        <w:t>Convention de l</w:t>
      </w:r>
      <w:r w:rsidR="00D91476">
        <w:t>’</w:t>
      </w:r>
      <w:r w:rsidRPr="00E8642C">
        <w:t>UNESCO pour la sauvegarde du patrimoine culturel immatériel</w:t>
      </w:r>
      <w:bookmarkEnd w:id="38"/>
    </w:p>
    <w:p w:rsidR="00D23D81" w:rsidRDefault="00DD607D" w:rsidP="00E104D3">
      <w:pPr>
        <w:spacing w:after="220"/>
        <w:rPr>
          <w:rFonts w:cs="Arial"/>
          <w:szCs w:val="22"/>
        </w:rPr>
      </w:pPr>
      <w:r w:rsidRPr="00E8642C">
        <w:rPr>
          <w:rFonts w:cs="Arial"/>
          <w:szCs w:val="22"/>
        </w:rPr>
        <w:t>La convention a été adoptée par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D91476">
        <w:rPr>
          <w:rFonts w:cs="Arial"/>
          <w:szCs w:val="22"/>
        </w:rPr>
        <w:t>’</w:t>
      </w:r>
      <w:r w:rsidRPr="00E8642C">
        <w:rPr>
          <w:rFonts w:cs="Arial"/>
          <w:szCs w:val="22"/>
        </w:rPr>
        <w:t>importance du patrimoine culturel immatériel et à son appréciation mutuelle, et à fournir une coopération et une assistance internationales.</w:t>
      </w:r>
    </w:p>
    <w:p w:rsidR="00D23D81" w:rsidRDefault="00DD607D" w:rsidP="00E104D3">
      <w:pPr>
        <w:pStyle w:val="Heading2"/>
        <w:spacing w:after="220" w:line="240" w:lineRule="auto"/>
      </w:pPr>
      <w:bookmarkStart w:id="39" w:name="_Toc7772515"/>
      <w:r w:rsidRPr="00E8642C">
        <w:t>Convention de l</w:t>
      </w:r>
      <w:r w:rsidR="00D91476">
        <w:t>’</w:t>
      </w:r>
      <w:r w:rsidRPr="00E8642C">
        <w:t>UNESCO sur la protection et la promotion de la diversité des expressions culturelles</w:t>
      </w:r>
      <w:bookmarkEnd w:id="39"/>
    </w:p>
    <w:p w:rsidR="00D23D81" w:rsidRDefault="00DD607D" w:rsidP="00E104D3">
      <w:pPr>
        <w:spacing w:after="220"/>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est une convention internationale qui a été adoptée par l</w:t>
      </w:r>
      <w:r w:rsidR="00D91476">
        <w:rPr>
          <w:rFonts w:cs="Arial"/>
          <w:szCs w:val="22"/>
        </w:rPr>
        <w:t>’</w:t>
      </w:r>
      <w:r w:rsidRPr="00E8642C">
        <w:rPr>
          <w:rFonts w:cs="Arial"/>
          <w:szCs w:val="22"/>
        </w:rPr>
        <w:t>UNESCO en 2005.  Elle est entrée en vigueur le 18 mars 2007.</w:t>
      </w:r>
    </w:p>
    <w:p w:rsidR="00D23D81" w:rsidRDefault="00DD607D" w:rsidP="00E104D3">
      <w:pPr>
        <w:spacing w:after="220"/>
        <w:rPr>
          <w:rFonts w:cs="Arial"/>
          <w:szCs w:val="22"/>
        </w:rPr>
      </w:pPr>
      <w:r w:rsidRPr="00E8642C">
        <w:rPr>
          <w:rFonts w:cs="Arial"/>
          <w:szCs w:val="22"/>
        </w:rPr>
        <w:t xml:space="preserve">La Convention établit plusieurs objectifs, qui sont définis dans son article premier, </w:t>
      </w:r>
      <w:r w:rsidR="00D91476">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D91476">
        <w:rPr>
          <w:rFonts w:cs="Arial"/>
          <w:szCs w:val="22"/>
        </w:rPr>
        <w:t>’</w:t>
      </w:r>
      <w:r w:rsidRPr="00E8642C">
        <w:rPr>
          <w:rFonts w:cs="Arial"/>
          <w:szCs w:val="22"/>
        </w:rPr>
        <w:t>épanouir et interagir librement de manière à s</w:t>
      </w:r>
      <w:r w:rsidR="00D91476">
        <w:rPr>
          <w:rFonts w:cs="Arial"/>
          <w:szCs w:val="22"/>
        </w:rPr>
        <w:t>’</w:t>
      </w:r>
      <w:r w:rsidRPr="00E8642C">
        <w:rPr>
          <w:rFonts w:cs="Arial"/>
          <w:szCs w:val="22"/>
        </w:rPr>
        <w:t>enrichir mutuellement;  c) d</w:t>
      </w:r>
      <w:r w:rsidR="00D91476">
        <w:rPr>
          <w:rFonts w:cs="Arial"/>
          <w:szCs w:val="22"/>
        </w:rPr>
        <w:t>’</w:t>
      </w:r>
      <w:r w:rsidRPr="00E8642C">
        <w:rPr>
          <w:rFonts w:cs="Arial"/>
          <w:szCs w:val="22"/>
        </w:rPr>
        <w:t>encourager le dialogue entre les cultures afin d</w:t>
      </w:r>
      <w:r w:rsidR="00D91476">
        <w:rPr>
          <w:rFonts w:cs="Arial"/>
          <w:szCs w:val="22"/>
        </w:rPr>
        <w:t>’</w:t>
      </w:r>
      <w:r w:rsidRPr="00E8642C">
        <w:rPr>
          <w:rFonts w:cs="Arial"/>
          <w:szCs w:val="22"/>
        </w:rPr>
        <w:t>assurer des échanges culturels plus intenses et équilibrés dans le monde en faveur du respect interculturel et d</w:t>
      </w:r>
      <w:r w:rsidR="00D91476">
        <w:rPr>
          <w:rFonts w:cs="Arial"/>
          <w:szCs w:val="22"/>
        </w:rPr>
        <w:t>’</w:t>
      </w:r>
      <w:r w:rsidRPr="00E8642C">
        <w:rPr>
          <w:rFonts w:cs="Arial"/>
          <w:szCs w:val="22"/>
        </w:rPr>
        <w:t>une culture de la paix;  d) de stimuler l</w:t>
      </w:r>
      <w:r w:rsidR="00D91476">
        <w:rPr>
          <w:rFonts w:cs="Arial"/>
          <w:szCs w:val="22"/>
        </w:rPr>
        <w:t>’</w:t>
      </w:r>
      <w:r w:rsidRPr="00E8642C">
        <w:rPr>
          <w:rFonts w:cs="Arial"/>
          <w:szCs w:val="22"/>
        </w:rPr>
        <w:t>interculturalité afin de développer l</w:t>
      </w:r>
      <w:r w:rsidR="00D91476">
        <w:rPr>
          <w:rFonts w:cs="Arial"/>
          <w:szCs w:val="22"/>
        </w:rPr>
        <w:t>’</w:t>
      </w:r>
      <w:r w:rsidRPr="00E8642C">
        <w:rPr>
          <w:rFonts w:cs="Arial"/>
          <w:szCs w:val="22"/>
        </w:rPr>
        <w:t>interaction culturelle dans l</w:t>
      </w:r>
      <w:r w:rsidR="00D91476">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D91476">
        <w:rPr>
          <w:rFonts w:cs="Arial"/>
          <w:szCs w:val="22"/>
        </w:rPr>
        <w:t>’</w:t>
      </w:r>
      <w:r w:rsidRPr="00E8642C">
        <w:rPr>
          <w:rFonts w:cs="Arial"/>
          <w:szCs w:val="22"/>
        </w:rPr>
        <w:t>importance du lien entre culture et développement pour tous les pays, en particulier les pays en développement, et d</w:t>
      </w:r>
      <w:r w:rsidR="00D91476">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D91476">
        <w:rPr>
          <w:rFonts w:cs="Arial"/>
          <w:szCs w:val="22"/>
        </w:rPr>
        <w:t>’</w:t>
      </w:r>
      <w:r w:rsidRPr="00E8642C">
        <w:rPr>
          <w:rFonts w:cs="Arial"/>
          <w:szCs w:val="22"/>
        </w:rPr>
        <w:t>identité, de valeurs et de sens;  h) de réaffirmer le droit souverain des États de conserver, d</w:t>
      </w:r>
      <w:r w:rsidR="00D91476">
        <w:rPr>
          <w:rFonts w:cs="Arial"/>
          <w:szCs w:val="22"/>
        </w:rPr>
        <w:t>’</w:t>
      </w:r>
      <w:r w:rsidRPr="00E8642C">
        <w:rPr>
          <w:rFonts w:cs="Arial"/>
          <w:szCs w:val="22"/>
        </w:rPr>
        <w:t>adopter et de mettre en œuvre les politiques et mesures qu</w:t>
      </w:r>
      <w:r w:rsidR="00D91476">
        <w:rPr>
          <w:rFonts w:cs="Arial"/>
          <w:szCs w:val="22"/>
        </w:rPr>
        <w:t>’</w:t>
      </w:r>
      <w:r w:rsidRPr="00E8642C">
        <w:rPr>
          <w:rFonts w:cs="Arial"/>
          <w:szCs w:val="22"/>
        </w:rPr>
        <w:t xml:space="preserve">ils jugent appropriées pour la protection et la promotion de la diversité des expressions culturelles sur leur territoire;  i) de renforcer la coopération et la solidarité internationales dans un esprit de partenariat afin, notamment, </w:t>
      </w:r>
      <w:r w:rsidRPr="00E8642C">
        <w:rPr>
          <w:rFonts w:cs="Arial"/>
          <w:szCs w:val="22"/>
        </w:rPr>
        <w:lastRenderedPageBreak/>
        <w:t>d</w:t>
      </w:r>
      <w:r w:rsidR="00D91476">
        <w:rPr>
          <w:rFonts w:cs="Arial"/>
          <w:szCs w:val="22"/>
        </w:rPr>
        <w:t>’</w:t>
      </w:r>
      <w:r w:rsidRPr="00E8642C">
        <w:rPr>
          <w:rFonts w:cs="Arial"/>
          <w:szCs w:val="22"/>
        </w:rPr>
        <w:t>accroître les capacités des pays en développement de protéger et promouvoir la diversité des expressions culturelles.</w:t>
      </w:r>
    </w:p>
    <w:p w:rsidR="00D23D81" w:rsidRDefault="00DD607D" w:rsidP="00E104D3">
      <w:pPr>
        <w:pStyle w:val="Heading2"/>
        <w:spacing w:after="220" w:line="240" w:lineRule="auto"/>
      </w:pPr>
      <w:bookmarkStart w:id="40" w:name="_Toc7772516"/>
      <w:r w:rsidRPr="00E8642C">
        <w:t>Convention sur la diversité biologique</w:t>
      </w:r>
      <w:bookmarkEnd w:id="40"/>
    </w:p>
    <w:p w:rsidR="00D23D81" w:rsidRDefault="00DD607D" w:rsidP="00E104D3">
      <w:pPr>
        <w:spacing w:after="220"/>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D91476">
        <w:rPr>
          <w:rFonts w:cs="Arial"/>
          <w:szCs w:val="22"/>
        </w:rPr>
        <w:t>Nations Unies</w:t>
      </w:r>
      <w:r w:rsidRPr="00E8642C">
        <w:rPr>
          <w:rFonts w:cs="Arial"/>
          <w:szCs w:val="22"/>
        </w:rPr>
        <w:t xml:space="preserve"> sur l</w:t>
      </w:r>
      <w:r w:rsidR="00D91476">
        <w:rPr>
          <w:rFonts w:cs="Arial"/>
          <w:szCs w:val="22"/>
        </w:rPr>
        <w:t>’</w:t>
      </w:r>
      <w:r w:rsidRPr="00E8642C">
        <w:rPr>
          <w:rFonts w:cs="Arial"/>
          <w:szCs w:val="22"/>
        </w:rPr>
        <w:t>environnement et le développement tenue à Rio de Janeiro (Brés</w:t>
      </w:r>
      <w:r w:rsidR="001F3AEE" w:rsidRPr="00E8642C">
        <w:rPr>
          <w:rFonts w:cs="Arial"/>
          <w:szCs w:val="22"/>
        </w:rPr>
        <w:t>il)</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D91476">
        <w:rPr>
          <w:rFonts w:cs="Arial"/>
          <w:iCs/>
          <w:szCs w:val="22"/>
        </w:rPr>
        <w:t>’</w:t>
      </w:r>
      <w:r w:rsidRPr="00E8642C">
        <w:rPr>
          <w:rFonts w:cs="Arial"/>
          <w:iCs/>
          <w:szCs w:val="22"/>
        </w:rPr>
        <w:t>utilisation durable de ses éléments et le partage juste et équitable des avantages découlant de l</w:t>
      </w:r>
      <w:r w:rsidR="00D91476">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23D81" w:rsidRDefault="00DD607D" w:rsidP="00E104D3">
      <w:pPr>
        <w:pStyle w:val="Heading2"/>
        <w:spacing w:after="220" w:line="240" w:lineRule="auto"/>
      </w:pPr>
      <w:bookmarkStart w:id="41" w:name="_Toc7772517"/>
      <w:r w:rsidRPr="00E8642C">
        <w:t>Créations et innovations fondées sur les traditions</w:t>
      </w:r>
      <w:bookmarkEnd w:id="41"/>
    </w:p>
    <w:p w:rsidR="00D23D81" w:rsidRDefault="00DD607D" w:rsidP="00E104D3">
      <w:pPr>
        <w:spacing w:after="220"/>
        <w:rPr>
          <w:rFonts w:cs="Arial"/>
          <w:szCs w:val="22"/>
        </w:rPr>
      </w:pPr>
      <w:r w:rsidRPr="00E8642C">
        <w:rPr>
          <w:rFonts w:cs="Arial"/>
          <w:szCs w:val="22"/>
        </w:rPr>
        <w:t>Les traditions sont constituées d</w:t>
      </w:r>
      <w:r w:rsidR="00D91476">
        <w:rPr>
          <w:rFonts w:cs="Arial"/>
          <w:szCs w:val="22"/>
        </w:rPr>
        <w:t>’</w:t>
      </w:r>
      <w:r w:rsidRPr="00E8642C">
        <w:rPr>
          <w:rFonts w:cs="Arial"/>
          <w:szCs w:val="22"/>
        </w:rPr>
        <w:t>une série de pratiques culturelles et d</w:t>
      </w:r>
      <w:r w:rsidR="00D91476">
        <w:rPr>
          <w:rFonts w:cs="Arial"/>
          <w:szCs w:val="22"/>
        </w:rPr>
        <w:t>’</w:t>
      </w:r>
      <w:r w:rsidRPr="00E8642C">
        <w:rPr>
          <w:rFonts w:cs="Arial"/>
          <w:szCs w:val="22"/>
        </w:rPr>
        <w:t>idées, qui sont considérées comme appartenant au passé et qui se voient reconnaître un certain stat</w:t>
      </w:r>
      <w:r w:rsidR="001F3AEE" w:rsidRPr="00E8642C">
        <w:rPr>
          <w:rFonts w:cs="Arial"/>
          <w:szCs w:val="22"/>
        </w:rPr>
        <w:t>ut</w:t>
      </w:r>
      <w:r w:rsidR="001F3AEE">
        <w:rPr>
          <w:rFonts w:cs="Arial"/>
          <w:szCs w:val="22"/>
        </w:rPr>
        <w:t xml:space="preserve">.  </w:t>
      </w:r>
      <w:r w:rsidR="001F3AEE"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D91476">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D91476">
        <w:rPr>
          <w:rFonts w:cs="Arial"/>
          <w:szCs w:val="22"/>
        </w:rPr>
        <w:t>’</w:t>
      </w:r>
      <w:r w:rsidRPr="00E8642C">
        <w:rPr>
          <w:rFonts w:cs="Arial"/>
          <w:szCs w:val="22"/>
        </w:rPr>
        <w:t>innovation fondée sur les traditions vise le cas où les traditions constituent une source d</w:t>
      </w:r>
      <w:r w:rsidR="00D91476">
        <w:rPr>
          <w:rFonts w:cs="Arial"/>
          <w:szCs w:val="22"/>
        </w:rPr>
        <w:t>’</w:t>
      </w:r>
      <w:r w:rsidRPr="00E8642C">
        <w:rPr>
          <w:rFonts w:cs="Arial"/>
          <w:szCs w:val="22"/>
        </w:rPr>
        <w:t>innovation pour les membres d</w:t>
      </w:r>
      <w:r w:rsidR="00D91476">
        <w:rPr>
          <w:rFonts w:cs="Arial"/>
          <w:szCs w:val="22"/>
        </w:rPr>
        <w:t>’</w:t>
      </w:r>
      <w:r w:rsidRPr="00E8642C">
        <w:rPr>
          <w:rFonts w:cs="Arial"/>
          <w:szCs w:val="22"/>
        </w:rPr>
        <w:t>une communauté culturelle donnée ou pour des personnes étrangères à cette communauté, et peut également mettre en évidence d</w:t>
      </w:r>
      <w:r w:rsidR="00D91476">
        <w:rPr>
          <w:rFonts w:cs="Arial"/>
          <w:szCs w:val="22"/>
        </w:rPr>
        <w:t>’</w:t>
      </w:r>
      <w:r w:rsidRPr="00E8642C">
        <w:rPr>
          <w:rFonts w:cs="Arial"/>
          <w:szCs w:val="22"/>
        </w:rPr>
        <w:t>autres utilisations des traditions qui sont pertinentes dans le cadre d</w:t>
      </w:r>
      <w:r w:rsidR="00D91476">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23D81" w:rsidRDefault="00DD607D" w:rsidP="00E104D3">
      <w:pPr>
        <w:pStyle w:val="Heading2"/>
        <w:spacing w:after="220" w:line="240" w:lineRule="auto"/>
      </w:pPr>
      <w:bookmarkStart w:id="42" w:name="_Toc7772518"/>
      <w:r w:rsidRPr="00E8642C">
        <w:t>Cultures traditionnelles</w:t>
      </w:r>
      <w:bookmarkEnd w:id="42"/>
    </w:p>
    <w:p w:rsidR="00D23D81" w:rsidRDefault="00DD607D" w:rsidP="00E104D3">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1F3AEE" w:rsidRPr="00E8642C">
        <w:rPr>
          <w:rFonts w:cs="Arial"/>
          <w:szCs w:val="22"/>
        </w:rPr>
        <w:t>ls</w:t>
      </w:r>
      <w:r w:rsidR="001F3AEE">
        <w:rPr>
          <w:rFonts w:cs="Arial"/>
          <w:szCs w:val="22"/>
        </w:rPr>
        <w:t xml:space="preserve">.  </w:t>
      </w:r>
      <w:r w:rsidR="001F3AEE"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D91476">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23D81" w:rsidRDefault="00DD607D" w:rsidP="00E104D3">
      <w:pPr>
        <w:pStyle w:val="Heading2"/>
        <w:spacing w:after="220" w:line="240" w:lineRule="auto"/>
      </w:pPr>
      <w:bookmarkStart w:id="43" w:name="_Toc7772519"/>
      <w:r w:rsidRPr="00E8642C">
        <w:lastRenderedPageBreak/>
        <w:t xml:space="preserve">Déclaration des </w:t>
      </w:r>
      <w:r w:rsidR="00D91476">
        <w:t>Nations Unies</w:t>
      </w:r>
      <w:r w:rsidRPr="00E8642C">
        <w:t xml:space="preserve"> sur les droits des peuples autochtones</w:t>
      </w:r>
      <w:bookmarkEnd w:id="43"/>
    </w:p>
    <w:p w:rsidR="00DD607D" w:rsidRPr="00E8642C"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Assemblée générale des </w:t>
      </w:r>
      <w:r w:rsidR="00D91476">
        <w:rPr>
          <w:rFonts w:cs="Arial"/>
          <w:szCs w:val="22"/>
        </w:rPr>
        <w:t>Nations Unies</w:t>
      </w:r>
      <w:r w:rsidRPr="00E8642C">
        <w:rPr>
          <w:rFonts w:cs="Arial"/>
          <w:szCs w:val="22"/>
        </w:rPr>
        <w:t xml:space="preserve"> a adopté la Déclaration </w:t>
      </w:r>
      <w:r w:rsidRPr="00E8642C">
        <w:rPr>
          <w:rFonts w:cs="Arial"/>
          <w:i/>
          <w:szCs w:val="22"/>
        </w:rPr>
        <w:t xml:space="preserve">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23D81" w:rsidRDefault="00DD607D" w:rsidP="00E104D3">
      <w:pPr>
        <w:spacing w:after="220"/>
        <w:rPr>
          <w:rFonts w:cs="Arial"/>
          <w:szCs w:val="22"/>
        </w:rPr>
      </w:pPr>
      <w:r w:rsidRPr="00E8642C">
        <w:rPr>
          <w:rFonts w:cs="Arial"/>
          <w:bCs/>
          <w:szCs w:val="22"/>
        </w:rPr>
        <w:t>En ce qui concerne les savoirs traditionnels, les expressions culturelles traditionnelles et les ressources génétiques, l</w:t>
      </w:r>
      <w:r w:rsidR="00D91476">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D91476">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1F3AEE" w:rsidRPr="00E8642C">
        <w:rPr>
          <w:rFonts w:cs="Arial"/>
          <w:iCs/>
          <w:szCs w:val="22"/>
        </w:rPr>
        <w:t>le</w:t>
      </w:r>
      <w:r w:rsidR="001F3AEE">
        <w:rPr>
          <w:rFonts w:cs="Arial"/>
          <w:iCs/>
          <w:szCs w:val="22"/>
        </w:rPr>
        <w:t xml:space="preserve">.  </w:t>
      </w:r>
      <w:r w:rsidR="001F3AEE"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D91476">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D91476">
        <w:rPr>
          <w:rFonts w:cs="Arial"/>
          <w:iCs/>
          <w:szCs w:val="22"/>
        </w:rPr>
        <w:t>’</w:t>
      </w:r>
      <w:r w:rsidRPr="00E8642C">
        <w:rPr>
          <w:rFonts w:cs="Arial"/>
          <w:iCs/>
          <w:szCs w:val="22"/>
        </w:rPr>
        <w:t>exercice</w:t>
      </w:r>
      <w:r w:rsidRPr="00E8642C">
        <w:rPr>
          <w:rFonts w:cs="Arial"/>
          <w:szCs w:val="22"/>
        </w:rPr>
        <w:t>”.  En ce qui concerne la médecine traditionnelle, l</w:t>
      </w:r>
      <w:r w:rsidR="00D91476">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D91476">
        <w:rPr>
          <w:rFonts w:cs="Arial"/>
          <w:iCs/>
          <w:szCs w:val="22"/>
        </w:rPr>
        <w:t>’</w:t>
      </w:r>
      <w:r w:rsidRPr="00E8642C">
        <w:rPr>
          <w:rFonts w:cs="Arial"/>
          <w:iCs/>
          <w:szCs w:val="22"/>
        </w:rPr>
        <w:t>intérêt vital”</w:t>
      </w:r>
      <w:r w:rsidRPr="00E8642C">
        <w:rPr>
          <w:rFonts w:cs="Arial"/>
          <w:szCs w:val="22"/>
        </w:rPr>
        <w:t>.</w:t>
      </w:r>
    </w:p>
    <w:p w:rsidR="00D23D81" w:rsidRDefault="00DD607D" w:rsidP="00E104D3">
      <w:pPr>
        <w:pStyle w:val="Heading2"/>
        <w:spacing w:after="220"/>
      </w:pPr>
      <w:bookmarkStart w:id="44" w:name="_Toc7772520"/>
      <w:r w:rsidRPr="00E8642C">
        <w:t>Déclaration universelle des droits de l</w:t>
      </w:r>
      <w:r w:rsidR="00D91476">
        <w:t>’</w:t>
      </w:r>
      <w:r w:rsidRPr="00E8642C">
        <w:t>homme</w:t>
      </w:r>
      <w:bookmarkEnd w:id="44"/>
    </w:p>
    <w:p w:rsidR="00D23D81" w:rsidRDefault="00DD607D" w:rsidP="00E104D3">
      <w:pPr>
        <w:spacing w:after="220"/>
      </w:pPr>
      <w:r w:rsidRPr="00E8642C">
        <w:t>La Déclaration universelle des droits de l</w:t>
      </w:r>
      <w:r w:rsidR="00D91476">
        <w:t>’</w:t>
      </w:r>
      <w:r w:rsidRPr="00E8642C">
        <w:t>homme est un document majeur dans l</w:t>
      </w:r>
      <w:r w:rsidR="00D91476">
        <w:t>’</w:t>
      </w:r>
      <w:r w:rsidRPr="00E8642C">
        <w:t>histoire des droits de l</w:t>
      </w:r>
      <w:r w:rsidR="00D91476">
        <w:t>’</w:t>
      </w:r>
      <w:r w:rsidRPr="00E8642C">
        <w:t>hom</w:t>
      </w:r>
      <w:r w:rsidR="001F3AEE" w:rsidRPr="00E8642C">
        <w:t>me</w:t>
      </w:r>
      <w:r w:rsidR="001F3AEE">
        <w:t xml:space="preserve">.  </w:t>
      </w:r>
      <w:r w:rsidR="001F3AEE" w:rsidRPr="00E8642C">
        <w:t>Ré</w:t>
      </w:r>
      <w:r w:rsidRPr="00E8642C">
        <w:t>digée par des représentants ayant une formation juridique et une culture différentes, de toutes les régions du monde, la déclaration a été proclamée par l</w:t>
      </w:r>
      <w:r w:rsidR="00D91476">
        <w:t>’</w:t>
      </w:r>
      <w:r w:rsidRPr="00E8642C">
        <w:t xml:space="preserve">Assemblée générale des </w:t>
      </w:r>
      <w:r w:rsidR="00D91476">
        <w:t>Nations Unies</w:t>
      </w:r>
      <w:r w:rsidRPr="00E8642C">
        <w:t xml:space="preserve"> à Paris le 10 décembre 1948 comme l</w:t>
      </w:r>
      <w:r w:rsidR="00D91476">
        <w:t>’</w:t>
      </w:r>
      <w:r w:rsidRPr="00E8642C">
        <w:t>idéal commun à atteindre par tous les peuples et toutes les natio</w:t>
      </w:r>
      <w:r w:rsidR="001F3AEE" w:rsidRPr="00E8642C">
        <w:t>ns</w:t>
      </w:r>
      <w:r w:rsidR="001F3AEE">
        <w:t xml:space="preserve">.  </w:t>
      </w:r>
      <w:r w:rsidR="001F3AEE" w:rsidRPr="00E8642C">
        <w:t>El</w:t>
      </w:r>
      <w:r w:rsidRPr="00E8642C">
        <w:t>le énonce pour la première fois les droits fondamentaux de l</w:t>
      </w:r>
      <w:r w:rsidR="00D91476">
        <w:t>’</w:t>
      </w:r>
      <w:r w:rsidRPr="00E8642C">
        <w:t>homme à protéger universellement</w:t>
      </w:r>
      <w:r w:rsidRPr="00E8642C">
        <w:rPr>
          <w:rStyle w:val="FootnoteReference"/>
          <w:szCs w:val="22"/>
        </w:rPr>
        <w:footnoteReference w:id="49"/>
      </w:r>
      <w:r w:rsidRPr="00E8642C">
        <w:t>.</w:t>
      </w:r>
    </w:p>
    <w:p w:rsidR="00D23D81" w:rsidRDefault="00DD607D" w:rsidP="00E104D3">
      <w:pPr>
        <w:pStyle w:val="Heading2"/>
        <w:spacing w:after="220" w:line="240" w:lineRule="auto"/>
      </w:pPr>
      <w:bookmarkStart w:id="45" w:name="_Toc7772521"/>
      <w:r w:rsidRPr="00E8642C">
        <w:t>Dépositaire</w:t>
      </w:r>
      <w:bookmarkEnd w:id="45"/>
    </w:p>
    <w:p w:rsidR="00D23D81" w:rsidRDefault="00DD607D" w:rsidP="00E104D3">
      <w:pPr>
        <w:pStyle w:val="FootnoteText"/>
        <w:spacing w:after="220"/>
        <w:ind w:left="0" w:firstLine="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91476">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D91476">
        <w:rPr>
          <w:rFonts w:cs="Arial"/>
          <w:szCs w:val="22"/>
        </w:rPr>
        <w:t>’</w:t>
      </w:r>
      <w:r w:rsidRPr="00E8642C">
        <w:rPr>
          <w:rFonts w:cs="Arial"/>
          <w:szCs w:val="22"/>
        </w:rPr>
        <w:t>une chose ou d</w:t>
      </w:r>
      <w:r w:rsidR="00D91476">
        <w:rPr>
          <w:rFonts w:cs="Arial"/>
          <w:szCs w:val="22"/>
        </w:rPr>
        <w:t>’</w:t>
      </w:r>
      <w:r w:rsidRPr="00E8642C">
        <w:rPr>
          <w:rFonts w:cs="Arial"/>
          <w:szCs w:val="22"/>
        </w:rPr>
        <w:t>une personne à des fins d</w:t>
      </w:r>
      <w:r w:rsidR="00D91476">
        <w:rPr>
          <w:rFonts w:cs="Arial"/>
          <w:szCs w:val="22"/>
        </w:rPr>
        <w:t>’</w:t>
      </w:r>
      <w:r w:rsidRPr="00E8642C">
        <w:rPr>
          <w:rFonts w:cs="Arial"/>
          <w:szCs w:val="22"/>
        </w:rPr>
        <w:t>inspection, de préservation ou de sécuri</w:t>
      </w:r>
      <w:r w:rsidR="001F3AEE" w:rsidRPr="00E8642C">
        <w:rPr>
          <w:rFonts w:cs="Arial"/>
          <w:szCs w:val="22"/>
        </w:rPr>
        <w:t>té</w:t>
      </w:r>
      <w:r w:rsidR="001F3AEE">
        <w:rPr>
          <w:rFonts w:cs="Arial"/>
          <w:szCs w:val="22"/>
        </w:rPr>
        <w:t xml:space="preserve">.  </w:t>
      </w:r>
      <w:r w:rsidR="001F3AEE"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91476">
        <w:rPr>
          <w:rFonts w:cs="Arial"/>
          <w:szCs w:val="22"/>
        </w:rPr>
        <w:t> :</w:t>
      </w:r>
      <w:r w:rsidRPr="00E8642C">
        <w:rPr>
          <w:rFonts w:cs="Arial"/>
          <w:szCs w:val="22"/>
        </w:rPr>
        <w:t xml:space="preserve"> “toute personne ou organisation ayant la garde ou la responsabilité d</w:t>
      </w:r>
      <w:r w:rsidR="00D91476">
        <w:rPr>
          <w:rFonts w:cs="Arial"/>
          <w:szCs w:val="22"/>
        </w:rPr>
        <w:t>’</w:t>
      </w:r>
      <w:r w:rsidRPr="00E8642C">
        <w:rPr>
          <w:rFonts w:cs="Arial"/>
          <w:szCs w:val="22"/>
        </w:rPr>
        <w:t>une chose ou d</w:t>
      </w:r>
      <w:r w:rsidR="00D91476">
        <w:rPr>
          <w:rFonts w:cs="Arial"/>
          <w:szCs w:val="22"/>
        </w:rPr>
        <w:t>’</w:t>
      </w:r>
      <w:r w:rsidRPr="00E8642C">
        <w:rPr>
          <w:rFonts w:cs="Arial"/>
          <w:szCs w:val="22"/>
        </w:rPr>
        <w:t xml:space="preserve">une </w:t>
      </w:r>
      <w:proofErr w:type="gramStart"/>
      <w:r w:rsidRPr="00E8642C">
        <w:rPr>
          <w:rFonts w:cs="Arial"/>
          <w:szCs w:val="22"/>
        </w:rPr>
        <w:t>personne;  un</w:t>
      </w:r>
      <w:proofErr w:type="gramEnd"/>
      <w:r w:rsidRPr="00E8642C">
        <w:rPr>
          <w:rFonts w:cs="Arial"/>
          <w:szCs w:val="22"/>
        </w:rPr>
        <w:t xml:space="preserve"> gardien”.  Le </w:t>
      </w:r>
      <w:proofErr w:type="spellStart"/>
      <w:r w:rsidRPr="00E8642C">
        <w:rPr>
          <w:rFonts w:cs="Arial"/>
          <w:szCs w:val="22"/>
        </w:rPr>
        <w:t>Merriam</w:t>
      </w:r>
      <w:proofErr w:type="spellEnd"/>
      <w:r w:rsidR="00400337">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D91476">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1F3AEE" w:rsidRPr="00E8642C">
        <w:rPr>
          <w:rFonts w:cs="Arial"/>
          <w:szCs w:val="22"/>
        </w:rPr>
        <w:t>ls</w:t>
      </w:r>
      <w:r w:rsidR="001F3AEE">
        <w:rPr>
          <w:rFonts w:cs="Arial"/>
          <w:szCs w:val="22"/>
        </w:rPr>
        <w:t xml:space="preserve">.  </w:t>
      </w:r>
      <w:r w:rsidR="001F3AEE"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23D81" w:rsidRDefault="00DD607D" w:rsidP="00E104D3">
      <w:pPr>
        <w:pStyle w:val="Heading2"/>
        <w:spacing w:after="220" w:line="240" w:lineRule="auto"/>
      </w:pPr>
      <w:bookmarkStart w:id="46" w:name="_Toc7772522"/>
      <w:r w:rsidRPr="00E8642C">
        <w:t>Dérivé</w:t>
      </w:r>
      <w:bookmarkEnd w:id="46"/>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D91476">
        <w:rPr>
          <w:rFonts w:cs="Arial"/>
          <w:szCs w:val="22"/>
          <w:lang w:eastAsia="zh-CN"/>
        </w:rPr>
        <w:t> :</w:t>
      </w:r>
      <w:r w:rsidRPr="00E8642C">
        <w:rPr>
          <w:rFonts w:cs="Arial"/>
          <w:szCs w:val="22"/>
        </w:rPr>
        <w:t xml:space="preserve"> “tout composé biochimique qui existe à l</w:t>
      </w:r>
      <w:r w:rsidR="00D91476">
        <w:rPr>
          <w:rFonts w:cs="Arial"/>
          <w:szCs w:val="22"/>
        </w:rPr>
        <w:t>’</w:t>
      </w:r>
      <w:r w:rsidRPr="00E8642C">
        <w:rPr>
          <w:rFonts w:cs="Arial"/>
          <w:szCs w:val="22"/>
        </w:rPr>
        <w:t>état naturel résultant de l</w:t>
      </w:r>
      <w:r w:rsidR="00D91476">
        <w:rPr>
          <w:rFonts w:cs="Arial"/>
          <w:szCs w:val="22"/>
        </w:rPr>
        <w:t>’</w:t>
      </w:r>
      <w:r w:rsidRPr="00E8642C">
        <w:rPr>
          <w:rFonts w:cs="Arial"/>
          <w:szCs w:val="22"/>
        </w:rPr>
        <w:t xml:space="preserve">expression génétique ou du </w:t>
      </w:r>
      <w:r w:rsidRPr="00E8642C">
        <w:rPr>
          <w:rFonts w:cs="Arial"/>
          <w:szCs w:val="22"/>
        </w:rPr>
        <w:lastRenderedPageBreak/>
        <w:t>métabolisme de ressources biologiques ou génétiques, même s</w:t>
      </w:r>
      <w:r w:rsidR="00D91476">
        <w:rPr>
          <w:rFonts w:cs="Arial"/>
          <w:szCs w:val="22"/>
        </w:rPr>
        <w:t>’</w:t>
      </w:r>
      <w:r w:rsidRPr="00E8642C">
        <w:rPr>
          <w:rFonts w:cs="Arial"/>
          <w:szCs w:val="22"/>
        </w:rPr>
        <w:t>il ne contient pas d</w:t>
      </w:r>
      <w:r w:rsidR="00D91476">
        <w:rPr>
          <w:rFonts w:cs="Arial"/>
          <w:szCs w:val="22"/>
        </w:rPr>
        <w:t>’</w:t>
      </w:r>
      <w:r w:rsidRPr="00E8642C">
        <w:rPr>
          <w:rFonts w:cs="Arial"/>
          <w:szCs w:val="22"/>
        </w:rPr>
        <w:t>unités fonctionnelles d</w:t>
      </w:r>
      <w:r w:rsidR="00D91476">
        <w:rPr>
          <w:rFonts w:cs="Arial"/>
          <w:szCs w:val="22"/>
        </w:rPr>
        <w:t>’</w:t>
      </w:r>
      <w:r w:rsidRPr="00E8642C">
        <w:rPr>
          <w:rFonts w:cs="Arial"/>
          <w:szCs w:val="22"/>
        </w:rPr>
        <w:t>hérédité”.</w:t>
      </w:r>
    </w:p>
    <w:p w:rsidR="00D23D81" w:rsidRDefault="00DD607D" w:rsidP="00E104D3">
      <w:pPr>
        <w:pStyle w:val="Heading2"/>
        <w:spacing w:after="220" w:line="240" w:lineRule="auto"/>
      </w:pPr>
      <w:bookmarkStart w:id="47" w:name="_Toc7772523"/>
      <w:r w:rsidRPr="00E8642C">
        <w:t>Détenteur</w:t>
      </w:r>
      <w:bookmarkEnd w:id="47"/>
    </w:p>
    <w:p w:rsidR="00D23D81" w:rsidRDefault="00DD607D" w:rsidP="00E104D3">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D91476">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D91476">
        <w:rPr>
          <w:rFonts w:cs="Arial"/>
          <w:iCs/>
          <w:szCs w:val="22"/>
        </w:rPr>
        <w:t>’</w:t>
      </w:r>
      <w:r w:rsidRPr="00E8642C">
        <w:rPr>
          <w:rFonts w:cs="Arial"/>
          <w:iCs/>
          <w:szCs w:val="22"/>
        </w:rPr>
        <w:t>être rémunérée en échange de son utilisation</w:t>
      </w:r>
      <w:r w:rsidRPr="00E8642C">
        <w:rPr>
          <w:rFonts w:cs="Arial"/>
          <w:szCs w:val="22"/>
        </w:rPr>
        <w:t>”.  L</w:t>
      </w:r>
      <w:r w:rsidR="00D91476">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D91476">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23D81" w:rsidRDefault="00DD607D" w:rsidP="00E104D3">
      <w:pPr>
        <w:spacing w:after="220"/>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D91476">
        <w:rPr>
          <w:rFonts w:cs="Arial"/>
          <w:szCs w:val="22"/>
        </w:rPr>
        <w:t>’</w:t>
      </w:r>
      <w:r w:rsidRPr="00E8642C">
        <w:rPr>
          <w:rFonts w:cs="Arial"/>
          <w:szCs w:val="22"/>
        </w:rPr>
        <w:t>une communauté, tel qu</w:t>
      </w:r>
      <w:r w:rsidR="00D91476">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23D81" w:rsidRDefault="00DD607D" w:rsidP="00E104D3">
      <w:pPr>
        <w:pStyle w:val="Heading2"/>
        <w:spacing w:after="220" w:line="240" w:lineRule="auto"/>
      </w:pPr>
      <w:bookmarkStart w:id="48" w:name="_Toc7772524"/>
      <w:r w:rsidRPr="00E8642C">
        <w:t>Diligence requise</w:t>
      </w:r>
      <w:bookmarkEnd w:id="48"/>
    </w:p>
    <w:p w:rsidR="00D23D81" w:rsidRDefault="00DD607D" w:rsidP="00E104D3">
      <w:pPr>
        <w:spacing w:after="220"/>
      </w:pPr>
      <w:r w:rsidRPr="00E8642C">
        <w:rPr>
          <w:color w:val="000000"/>
        </w:rPr>
        <w:t xml:space="preserve">Le </w:t>
      </w:r>
      <w:proofErr w:type="spellStart"/>
      <w:r w:rsidRPr="00E8642C">
        <w:rPr>
          <w:color w:val="000000"/>
        </w:rPr>
        <w:t>Black</w:t>
      </w:r>
      <w:r w:rsidR="00D91476">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D91476">
        <w:rPr>
          <w:color w:val="000000"/>
        </w:rPr>
        <w:t>’</w:t>
      </w:r>
      <w:r w:rsidRPr="00E8642C">
        <w:rPr>
          <w:color w:val="000000"/>
        </w:rPr>
        <w:t>une personne souhaitant respecter une exigence légale ou s</w:t>
      </w:r>
      <w:r w:rsidR="00D91476">
        <w:rPr>
          <w:color w:val="000000"/>
        </w:rPr>
        <w:t>’</w:t>
      </w:r>
      <w:r w:rsidRPr="00E8642C">
        <w:rPr>
          <w:color w:val="000000"/>
        </w:rPr>
        <w:t>acquitter d</w:t>
      </w:r>
      <w:r w:rsidR="00D91476">
        <w:rPr>
          <w:color w:val="000000"/>
        </w:rPr>
        <w:t>’</w:t>
      </w:r>
      <w:r w:rsidRPr="00E8642C">
        <w:rPr>
          <w:color w:val="000000"/>
        </w:rPr>
        <w:t>une obligation, ou la diligence habituellement exercée par une telle personne.</w:t>
      </w:r>
    </w:p>
    <w:p w:rsidR="00D23D81" w:rsidRDefault="00DD607D" w:rsidP="00E104D3">
      <w:pPr>
        <w:pStyle w:val="Heading2"/>
        <w:spacing w:after="220" w:line="240" w:lineRule="auto"/>
      </w:pPr>
      <w:bookmarkStart w:id="49" w:name="_Toc7772525"/>
      <w:r w:rsidRPr="00E8642C">
        <w:t>Dispositions types OMPI</w:t>
      </w:r>
      <w:r w:rsidR="00400337">
        <w:noBreakHyphen/>
      </w:r>
      <w:r w:rsidRPr="00E8642C">
        <w:t>UNESCO de législation nationale sur la protection des expressions du folklore contre leur exploitation illicite et autres actions dommageables</w:t>
      </w:r>
      <w:bookmarkEnd w:id="49"/>
    </w:p>
    <w:p w:rsidR="00D23D81" w:rsidRDefault="00DD607D" w:rsidP="00E104D3">
      <w:pPr>
        <w:spacing w:after="220"/>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D91476">
        <w:rPr>
          <w:rFonts w:cs="Arial"/>
          <w:snapToGrid w:val="0"/>
          <w:szCs w:val="22"/>
        </w:rPr>
        <w:t>’</w:t>
      </w:r>
      <w:r w:rsidRPr="00E8642C">
        <w:rPr>
          <w:rFonts w:cs="Arial"/>
          <w:snapToGrid w:val="0"/>
          <w:szCs w:val="22"/>
        </w:rPr>
        <w:t>experts gouvernementaux, réuni à l</w:t>
      </w:r>
      <w:r w:rsidR="00D91476">
        <w:rPr>
          <w:rFonts w:cs="Arial"/>
          <w:snapToGrid w:val="0"/>
          <w:szCs w:val="22"/>
        </w:rPr>
        <w:t>’</w:t>
      </w:r>
      <w:r w:rsidRPr="00E8642C">
        <w:rPr>
          <w:rFonts w:cs="Arial"/>
          <w:snapToGrid w:val="0"/>
          <w:szCs w:val="22"/>
        </w:rPr>
        <w:t>initiative commune de l</w:t>
      </w:r>
      <w:r w:rsidR="00D91476">
        <w:rPr>
          <w:rFonts w:cs="Arial"/>
          <w:snapToGrid w:val="0"/>
          <w:szCs w:val="22"/>
        </w:rPr>
        <w:t>’</w:t>
      </w:r>
      <w:r w:rsidRPr="00E8642C">
        <w:rPr>
          <w:rFonts w:cs="Arial"/>
          <w:snapToGrid w:val="0"/>
          <w:szCs w:val="22"/>
        </w:rPr>
        <w:t>OMPI et de l</w:t>
      </w:r>
      <w:r w:rsidR="00D91476">
        <w:rPr>
          <w:rFonts w:cs="Arial"/>
          <w:snapToGrid w:val="0"/>
          <w:szCs w:val="22"/>
        </w:rPr>
        <w:t>’</w:t>
      </w:r>
      <w:r w:rsidRPr="00E8642C">
        <w:rPr>
          <w:rFonts w:cs="Arial"/>
          <w:snapToGrid w:val="0"/>
          <w:szCs w:val="22"/>
        </w:rPr>
        <w:t xml:space="preserve">Organisation des </w:t>
      </w:r>
      <w:r w:rsidR="00D91476">
        <w:rPr>
          <w:rFonts w:cs="Arial"/>
          <w:snapToGrid w:val="0"/>
          <w:szCs w:val="22"/>
        </w:rPr>
        <w:t>Nations Unies</w:t>
      </w:r>
      <w:r w:rsidRPr="00E8642C">
        <w:rPr>
          <w:rFonts w:cs="Arial"/>
          <w:snapToGrid w:val="0"/>
          <w:szCs w:val="22"/>
        </w:rPr>
        <w:t xml:space="preserve"> pour l</w:t>
      </w:r>
      <w:r w:rsidR="00D91476">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D91476">
        <w:rPr>
          <w:rFonts w:cs="Arial"/>
          <w:snapToGrid w:val="0"/>
          <w:szCs w:val="22"/>
        </w:rPr>
        <w:t>’</w:t>
      </w:r>
      <w:r w:rsidRPr="00E8642C">
        <w:rPr>
          <w:rFonts w:cs="Arial"/>
          <w:snapToGrid w:val="0"/>
          <w:szCs w:val="22"/>
        </w:rPr>
        <w:t>OMPI.</w:t>
      </w:r>
    </w:p>
    <w:p w:rsidR="00D23D81" w:rsidRDefault="00DD607D" w:rsidP="00E104D3">
      <w:pPr>
        <w:spacing w:after="220"/>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D91476">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D91476">
        <w:rPr>
          <w:rFonts w:cs="Arial"/>
          <w:snapToGrid w:val="0"/>
          <w:szCs w:val="22"/>
        </w:rPr>
        <w:t>’</w:t>
      </w:r>
      <w:r w:rsidRPr="00E8642C">
        <w:rPr>
          <w:rFonts w:cs="Arial"/>
          <w:snapToGrid w:val="0"/>
          <w:szCs w:val="22"/>
        </w:rPr>
        <w:t>autre pa</w:t>
      </w:r>
      <w:r w:rsidR="001F3AEE" w:rsidRPr="00E8642C">
        <w:rPr>
          <w:rFonts w:cs="Arial"/>
          <w:snapToGrid w:val="0"/>
          <w:szCs w:val="22"/>
        </w:rPr>
        <w:t>rt</w:t>
      </w:r>
      <w:r w:rsidR="001F3AEE">
        <w:rPr>
          <w:rFonts w:cs="Arial"/>
          <w:snapToGrid w:val="0"/>
          <w:szCs w:val="22"/>
        </w:rPr>
        <w:t xml:space="preserve">.  </w:t>
      </w:r>
      <w:r w:rsidR="001F3AEE"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D91476">
        <w:rPr>
          <w:rFonts w:cs="Arial"/>
          <w:snapToGrid w:val="0"/>
          <w:szCs w:val="22"/>
        </w:rPr>
        <w:t>’</w:t>
      </w:r>
      <w:r w:rsidRPr="00E8642C">
        <w:rPr>
          <w:rFonts w:cs="Arial"/>
          <w:snapToGrid w:val="0"/>
          <w:szCs w:val="22"/>
        </w:rPr>
        <w:t>il ne faut pas étouffer par une protection trop rigide.</w:t>
      </w:r>
    </w:p>
    <w:p w:rsidR="00D23D81" w:rsidRDefault="00DD607D" w:rsidP="00E104D3">
      <w:pPr>
        <w:spacing w:after="220"/>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D91476">
        <w:rPr>
          <w:rFonts w:cs="Arial"/>
          <w:snapToGrid w:val="0"/>
          <w:szCs w:val="22"/>
        </w:rPr>
        <w:t>’</w:t>
      </w:r>
      <w:r w:rsidRPr="00E8642C">
        <w:rPr>
          <w:rFonts w:cs="Arial"/>
          <w:snapToGrid w:val="0"/>
          <w:szCs w:val="22"/>
        </w:rPr>
        <w:t>exploitation illicite et autres actions dommageables”.  En 2000 et 2001, l</w:t>
      </w:r>
      <w:r w:rsidR="00D91476">
        <w:rPr>
          <w:rFonts w:cs="Arial"/>
          <w:snapToGrid w:val="0"/>
          <w:szCs w:val="22"/>
        </w:rPr>
        <w:t>’</w:t>
      </w:r>
      <w:r w:rsidRPr="00E8642C">
        <w:rPr>
          <w:rFonts w:cs="Arial"/>
          <w:snapToGrid w:val="0"/>
          <w:szCs w:val="22"/>
        </w:rPr>
        <w:t>OMPI a mené une enquête sur l</w:t>
      </w:r>
      <w:r w:rsidR="00D91476">
        <w:rPr>
          <w:rFonts w:cs="Arial"/>
          <w:snapToGrid w:val="0"/>
          <w:szCs w:val="22"/>
        </w:rPr>
        <w:t>’</w:t>
      </w:r>
      <w:r w:rsidRPr="00E8642C">
        <w:rPr>
          <w:rFonts w:cs="Arial"/>
          <w:snapToGrid w:val="0"/>
          <w:szCs w:val="22"/>
        </w:rPr>
        <w:t>expérience acquise par les États concernant l</w:t>
      </w:r>
      <w:r w:rsidR="00D91476">
        <w:rPr>
          <w:rFonts w:cs="Arial"/>
          <w:snapToGrid w:val="0"/>
          <w:szCs w:val="22"/>
        </w:rPr>
        <w:t>’</w:t>
      </w:r>
      <w:r w:rsidRPr="00E8642C">
        <w:rPr>
          <w:rFonts w:cs="Arial"/>
          <w:snapToGrid w:val="0"/>
          <w:szCs w:val="22"/>
        </w:rPr>
        <w:t>utilisation et la mise en œuvre des dispositions typ</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23D81" w:rsidRDefault="000D5705" w:rsidP="00E104D3">
      <w:pPr>
        <w:pStyle w:val="Heading2"/>
        <w:spacing w:after="220" w:line="240" w:lineRule="auto"/>
      </w:pPr>
      <w:bookmarkStart w:id="50" w:name="_Toc7772526"/>
      <w:r w:rsidRPr="00E8642C">
        <w:lastRenderedPageBreak/>
        <w:t>D</w:t>
      </w:r>
      <w:r w:rsidR="006B600F">
        <w:t>iversité biologique</w:t>
      </w:r>
      <w:bookmarkEnd w:id="50"/>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D91476">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D91476">
        <w:rPr>
          <w:rFonts w:cs="Arial"/>
          <w:iCs/>
          <w:szCs w:val="22"/>
        </w:rPr>
        <w:t>y compris</w:t>
      </w:r>
      <w:r w:rsidRPr="00E8642C">
        <w:rPr>
          <w:rFonts w:cs="Arial"/>
          <w:iCs/>
          <w:szCs w:val="22"/>
        </w:rPr>
        <w:t xml:space="preserve">, entre autres, les écosystèmes terrestres, marins et autres écosystèmes aquatiques et les complexes écologiques dont ils font </w:t>
      </w:r>
      <w:proofErr w:type="gramStart"/>
      <w:r w:rsidRPr="00E8642C">
        <w:rPr>
          <w:rFonts w:cs="Arial"/>
          <w:iCs/>
          <w:szCs w:val="22"/>
        </w:rPr>
        <w:t>partie;  cela</w:t>
      </w:r>
      <w:proofErr w:type="gramEnd"/>
      <w:r w:rsidRPr="00E8642C">
        <w:rPr>
          <w:rFonts w:cs="Arial"/>
          <w:iCs/>
          <w:szCs w:val="22"/>
        </w:rPr>
        <w:t xml:space="preserve"> comprend la diversité au sein des espèces et entre espèces ainsi que celle des écosystèmes”.</w:t>
      </w:r>
    </w:p>
    <w:p w:rsidR="00D23D81" w:rsidRDefault="00DD607D" w:rsidP="00E104D3">
      <w:pPr>
        <w:pStyle w:val="Heading2"/>
        <w:spacing w:after="220" w:line="240" w:lineRule="auto"/>
      </w:pPr>
      <w:bookmarkStart w:id="51" w:name="_Toc7772527"/>
      <w:r w:rsidRPr="00E8642C">
        <w:t>Diversité culturelle</w:t>
      </w:r>
      <w:bookmarkEnd w:id="51"/>
    </w:p>
    <w:p w:rsidR="00D23D81" w:rsidRDefault="00DD607D" w:rsidP="00E104D3">
      <w:pPr>
        <w:pStyle w:val="FootnoteText"/>
        <w:spacing w:after="220"/>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1F3AEE" w:rsidRPr="00E8642C">
        <w:rPr>
          <w:rFonts w:cs="Arial"/>
          <w:szCs w:val="22"/>
        </w:rPr>
        <w:t>on</w:t>
      </w:r>
      <w:r w:rsidR="001F3AEE">
        <w:rPr>
          <w:rFonts w:cs="Arial"/>
          <w:szCs w:val="22"/>
        </w:rPr>
        <w:t xml:space="preserve">.  </w:t>
      </w:r>
      <w:r w:rsidR="001F3AEE" w:rsidRPr="00E8642C">
        <w:rPr>
          <w:rFonts w:cs="Arial"/>
          <w:szCs w:val="22"/>
        </w:rPr>
        <w:t>Ce</w:t>
      </w:r>
      <w:r w:rsidRPr="00E8642C">
        <w:rPr>
          <w:rFonts w:cs="Arial"/>
          <w:szCs w:val="22"/>
        </w:rPr>
        <w:t>s expressions se transmettent au sein des groupes et des sociétés et d</w:t>
      </w:r>
      <w:r w:rsidR="00D91476">
        <w:rPr>
          <w:rFonts w:cs="Arial"/>
          <w:szCs w:val="22"/>
        </w:rPr>
        <w:t>’</w:t>
      </w:r>
      <w:r w:rsidRPr="00E8642C">
        <w:rPr>
          <w:rFonts w:cs="Arial"/>
          <w:szCs w:val="22"/>
        </w:rPr>
        <w:t>un groupe ou d</w:t>
      </w:r>
      <w:r w:rsidR="00D91476">
        <w:rPr>
          <w:rFonts w:cs="Arial"/>
          <w:szCs w:val="22"/>
        </w:rPr>
        <w:t>’</w:t>
      </w:r>
      <w:r w:rsidRPr="00E8642C">
        <w:rPr>
          <w:rFonts w:cs="Arial"/>
          <w:szCs w:val="22"/>
        </w:rPr>
        <w:t>une société à l</w:t>
      </w:r>
      <w:r w:rsidR="00D91476">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23D81" w:rsidRDefault="00DD607D" w:rsidP="00E104D3">
      <w:pPr>
        <w:pStyle w:val="Heading2"/>
        <w:spacing w:after="220" w:line="240" w:lineRule="auto"/>
      </w:pPr>
      <w:bookmarkStart w:id="52" w:name="_Toc7772528"/>
      <w:r w:rsidRPr="00E8642C">
        <w:t>Divulgation</w:t>
      </w:r>
      <w:bookmarkEnd w:id="52"/>
    </w:p>
    <w:p w:rsidR="00D23D81" w:rsidRDefault="00DD607D" w:rsidP="00E104D3">
      <w:pPr>
        <w:pStyle w:val="CommentText"/>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1F3AEE" w:rsidRPr="00E8642C">
        <w:rPr>
          <w:rFonts w:cs="Arial"/>
          <w:szCs w:val="22"/>
        </w:rPr>
        <w:t>nu</w:t>
      </w:r>
      <w:r w:rsidR="001F3AEE">
        <w:rPr>
          <w:rFonts w:cs="Arial"/>
          <w:szCs w:val="22"/>
        </w:rPr>
        <w:t xml:space="preserve">.  </w:t>
      </w:r>
      <w:r w:rsidR="001F3AEE" w:rsidRPr="00E8642C">
        <w:rPr>
          <w:rFonts w:cs="Arial"/>
          <w:szCs w:val="22"/>
        </w:rPr>
        <w:t>Da</w:t>
      </w:r>
      <w:r w:rsidRPr="00E8642C">
        <w:rPr>
          <w:rFonts w:cs="Arial"/>
          <w:szCs w:val="22"/>
        </w:rPr>
        <w:t>ns le domaine du droit d</w:t>
      </w:r>
      <w:r w:rsidR="00D91476">
        <w:rPr>
          <w:rFonts w:cs="Arial"/>
          <w:szCs w:val="22"/>
        </w:rPr>
        <w:t>’</w:t>
      </w:r>
      <w:r w:rsidRPr="00E8642C">
        <w:rPr>
          <w:rFonts w:cs="Arial"/>
          <w:szCs w:val="22"/>
        </w:rPr>
        <w:t>auteur, la “divulgation” peut s</w:t>
      </w:r>
      <w:r w:rsidR="00D91476">
        <w:rPr>
          <w:rFonts w:cs="Arial"/>
          <w:szCs w:val="22"/>
        </w:rPr>
        <w:t>’</w:t>
      </w:r>
      <w:r w:rsidRPr="00E8642C">
        <w:rPr>
          <w:rFonts w:cs="Arial"/>
          <w:szCs w:val="22"/>
        </w:rPr>
        <w:t>entendre du fait de mettre une œuvre à la disposition du public pour la première fo</w:t>
      </w:r>
      <w:r w:rsidR="001F3AEE" w:rsidRPr="00E8642C">
        <w:rPr>
          <w:rFonts w:cs="Arial"/>
          <w:szCs w:val="22"/>
        </w:rPr>
        <w:t>is</w:t>
      </w:r>
      <w:r w:rsidR="001F3AEE">
        <w:rPr>
          <w:rFonts w:cs="Arial"/>
          <w:szCs w:val="22"/>
        </w:rPr>
        <w:t xml:space="preserve">.  </w:t>
      </w:r>
      <w:r w:rsidR="001F3AEE" w:rsidRPr="00E8642C">
        <w:rPr>
          <w:rFonts w:cs="Arial"/>
          <w:szCs w:val="22"/>
        </w:rPr>
        <w:t>La</w:t>
      </w:r>
      <w:r w:rsidRPr="00E8642C">
        <w:rPr>
          <w:rFonts w:cs="Arial"/>
          <w:szCs w:val="22"/>
        </w:rPr>
        <w:t xml:space="preserve"> première publication d</w:t>
      </w:r>
      <w:r w:rsidR="00D91476">
        <w:rPr>
          <w:rFonts w:cs="Arial"/>
          <w:szCs w:val="22"/>
        </w:rPr>
        <w:t>’</w:t>
      </w:r>
      <w:r w:rsidRPr="00E8642C">
        <w:rPr>
          <w:rFonts w:cs="Arial"/>
          <w:szCs w:val="22"/>
        </w:rPr>
        <w:t>une œuvre est l</w:t>
      </w:r>
      <w:r w:rsidR="00D91476">
        <w:rPr>
          <w:rFonts w:cs="Arial"/>
          <w:szCs w:val="22"/>
        </w:rPr>
        <w:t>’</w:t>
      </w:r>
      <w:r w:rsidRPr="00E8642C">
        <w:rPr>
          <w:rFonts w:cs="Arial"/>
          <w:szCs w:val="22"/>
        </w:rPr>
        <w:t>une – mais pas la seule – forme possible de divulgation puisque les œuvres peuvent aussi être divulguées par l</w:t>
      </w:r>
      <w:r w:rsidR="00D91476">
        <w:rPr>
          <w:rFonts w:cs="Arial"/>
          <w:szCs w:val="22"/>
        </w:rPr>
        <w:t>’</w:t>
      </w:r>
      <w:r w:rsidRPr="00E8642C">
        <w:rPr>
          <w:rFonts w:cs="Arial"/>
          <w:szCs w:val="22"/>
        </w:rPr>
        <w:t>intermédiaire d</w:t>
      </w:r>
      <w:r w:rsidR="00D91476">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D91476">
        <w:rPr>
          <w:rFonts w:cs="Arial"/>
          <w:szCs w:val="22"/>
        </w:rPr>
        <w:t>’</w:t>
      </w:r>
      <w:r w:rsidRPr="00E8642C">
        <w:rPr>
          <w:rFonts w:cs="Arial"/>
          <w:szCs w:val="22"/>
        </w:rPr>
        <w:t>un tel droit ne constitue pas une obligation en vertu des normes internationales sur le droit d</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œuvres publiquement divulguées dans le cadre d</w:t>
      </w:r>
      <w:r w:rsidR="00D91476">
        <w:rPr>
          <w:rFonts w:cs="Arial"/>
          <w:szCs w:val="22"/>
        </w:rPr>
        <w:t>’</w:t>
      </w:r>
      <w:r w:rsidRPr="00E8642C">
        <w:rPr>
          <w:rFonts w:cs="Arial"/>
          <w:szCs w:val="22"/>
        </w:rPr>
        <w:t>exceptio</w:t>
      </w:r>
      <w:r w:rsidR="001F3AEE" w:rsidRPr="00E8642C">
        <w:rPr>
          <w:rFonts w:cs="Arial"/>
          <w:szCs w:val="22"/>
        </w:rPr>
        <w:t>ns</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23D81" w:rsidRDefault="00DD607D" w:rsidP="00E104D3">
      <w:pPr>
        <w:pStyle w:val="Heading2"/>
        <w:spacing w:after="220" w:line="240" w:lineRule="auto"/>
      </w:pPr>
      <w:bookmarkStart w:id="53" w:name="_Toc7772529"/>
      <w:r w:rsidRPr="00E8642C">
        <w:t>Documentation minimale du PCT</w:t>
      </w:r>
      <w:bookmarkEnd w:id="53"/>
    </w:p>
    <w:p w:rsidR="00D23D81" w:rsidRDefault="00DD607D" w:rsidP="00E104D3">
      <w:pPr>
        <w:autoSpaceDE w:val="0"/>
        <w:autoSpaceDN w:val="0"/>
        <w:adjustRightInd w:val="0"/>
        <w:spacing w:after="220"/>
        <w:rPr>
          <w:rFonts w:cs="Arial"/>
          <w:szCs w:val="22"/>
          <w:lang w:eastAsia="en-US" w:bidi="th-TH"/>
        </w:rPr>
      </w:pPr>
      <w:r w:rsidRPr="00E8642C">
        <w:rPr>
          <w:rFonts w:cs="Arial"/>
          <w:szCs w:val="22"/>
          <w:lang w:eastAsia="en-US" w:bidi="th-TH"/>
        </w:rPr>
        <w:t>Selon le glossaire du PCT établi par l</w:t>
      </w:r>
      <w:r w:rsidR="00D91476">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D91476">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D91476">
        <w:rPr>
          <w:rFonts w:cs="Arial"/>
          <w:iCs/>
          <w:szCs w:val="22"/>
          <w:lang w:eastAsia="en-US" w:bidi="th-TH"/>
        </w:rPr>
        <w:t>’</w:t>
      </w:r>
      <w:r w:rsidRPr="00E8642C">
        <w:rPr>
          <w:rFonts w:cs="Arial"/>
          <w:iCs/>
          <w:szCs w:val="22"/>
          <w:lang w:eastAsia="en-US" w:bidi="th-TH"/>
        </w:rPr>
        <w:t>état de la technique pertinent”.  Cette documentation s</w:t>
      </w:r>
      <w:r w:rsidR="00D91476">
        <w:rPr>
          <w:rFonts w:cs="Arial"/>
          <w:iCs/>
          <w:szCs w:val="22"/>
          <w:lang w:eastAsia="en-US" w:bidi="th-TH"/>
        </w:rPr>
        <w:t>’</w:t>
      </w:r>
      <w:r w:rsidRPr="00E8642C">
        <w:rPr>
          <w:rFonts w:cs="Arial"/>
          <w:iCs/>
          <w:szCs w:val="22"/>
          <w:lang w:eastAsia="en-US" w:bidi="th-TH"/>
        </w:rPr>
        <w:t>applique également aux administrations chargées de l</w:t>
      </w:r>
      <w:r w:rsidR="00D91476">
        <w:rPr>
          <w:rFonts w:cs="Arial"/>
          <w:iCs/>
          <w:szCs w:val="22"/>
          <w:lang w:eastAsia="en-US" w:bidi="th-TH"/>
        </w:rPr>
        <w:t>’</w:t>
      </w:r>
      <w:r w:rsidRPr="00E8642C">
        <w:rPr>
          <w:rFonts w:cs="Arial"/>
          <w:iCs/>
          <w:szCs w:val="22"/>
          <w:lang w:eastAsia="en-US" w:bidi="th-TH"/>
        </w:rPr>
        <w:t>examen préliminaire international aux fins de l</w:t>
      </w:r>
      <w:r w:rsidR="00D91476">
        <w:rPr>
          <w:rFonts w:cs="Arial"/>
          <w:iCs/>
          <w:szCs w:val="22"/>
          <w:lang w:eastAsia="en-US" w:bidi="th-TH"/>
        </w:rPr>
        <w:t>’</w:t>
      </w:r>
      <w:r w:rsidRPr="00E8642C">
        <w:rPr>
          <w:rFonts w:cs="Arial"/>
          <w:iCs/>
          <w:szCs w:val="22"/>
          <w:lang w:eastAsia="en-US" w:bidi="th-TH"/>
        </w:rPr>
        <w:t>exam</w:t>
      </w:r>
      <w:r w:rsidR="001F3AEE" w:rsidRPr="00E8642C">
        <w:rPr>
          <w:rFonts w:cs="Arial"/>
          <w:iCs/>
          <w:szCs w:val="22"/>
          <w:lang w:eastAsia="en-US" w:bidi="th-TH"/>
        </w:rPr>
        <w:t>en</w:t>
      </w:r>
      <w:r w:rsidR="001F3AEE">
        <w:rPr>
          <w:rFonts w:cs="Arial"/>
          <w:iCs/>
          <w:szCs w:val="22"/>
          <w:lang w:eastAsia="en-US" w:bidi="th-TH"/>
        </w:rPr>
        <w:t xml:space="preserve">.  </w:t>
      </w:r>
      <w:r w:rsidR="001F3AEE"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1F3AEE" w:rsidRPr="00E8642C">
        <w:rPr>
          <w:rFonts w:cs="Arial"/>
          <w:iCs/>
          <w:szCs w:val="22"/>
          <w:lang w:eastAsia="en-US" w:bidi="th-TH"/>
        </w:rPr>
        <w:t>al</w:t>
      </w:r>
      <w:r w:rsidR="001F3AEE">
        <w:rPr>
          <w:rFonts w:cs="Arial"/>
          <w:iCs/>
          <w:szCs w:val="22"/>
          <w:lang w:eastAsia="en-US" w:bidi="th-TH"/>
        </w:rPr>
        <w:t xml:space="preserve">.  </w:t>
      </w:r>
      <w:r w:rsidR="001F3AEE"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D91476">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23D81" w:rsidRDefault="00DD607D" w:rsidP="00E104D3">
      <w:pPr>
        <w:autoSpaceDE w:val="0"/>
        <w:autoSpaceDN w:val="0"/>
        <w:adjustRightInd w:val="0"/>
        <w:spacing w:after="22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D91476">
        <w:rPr>
          <w:rFonts w:cs="Arial"/>
          <w:iCs/>
          <w:szCs w:val="22"/>
        </w:rPr>
        <w:t>’</w:t>
      </w:r>
      <w:r w:rsidRPr="00E8642C">
        <w:rPr>
          <w:rFonts w:cs="Arial"/>
          <w:iCs/>
          <w:szCs w:val="22"/>
        </w:rPr>
        <w:t>une autre manière) aux fins de la recherche selon leur conte</w:t>
      </w:r>
      <w:r w:rsidR="001F3AEE" w:rsidRPr="00E8642C">
        <w:rPr>
          <w:rFonts w:cs="Arial"/>
          <w:iCs/>
          <w:szCs w:val="22"/>
        </w:rPr>
        <w:t>nu</w:t>
      </w:r>
      <w:r w:rsidR="001F3AEE">
        <w:rPr>
          <w:rFonts w:cs="Arial"/>
          <w:iCs/>
          <w:szCs w:val="22"/>
        </w:rPr>
        <w:t xml:space="preserve">.  </w:t>
      </w:r>
      <w:r w:rsidR="001F3AEE" w:rsidRPr="00E8642C">
        <w:rPr>
          <w:rFonts w:cs="Arial"/>
          <w:iCs/>
          <w:szCs w:val="22"/>
        </w:rPr>
        <w:t>Ce</w:t>
      </w:r>
      <w:r w:rsidRPr="00E8642C">
        <w:rPr>
          <w:rFonts w:cs="Arial"/>
          <w:iCs/>
          <w:szCs w:val="22"/>
        </w:rPr>
        <w:t>s documents sont, pour l</w:t>
      </w:r>
      <w:r w:rsidR="00D91476">
        <w:rPr>
          <w:rFonts w:cs="Arial"/>
          <w:iCs/>
          <w:szCs w:val="22"/>
        </w:rPr>
        <w:t>’</w:t>
      </w:r>
      <w:r w:rsidRPr="00E8642C">
        <w:rPr>
          <w:rFonts w:cs="Arial"/>
          <w:iCs/>
          <w:szCs w:val="22"/>
        </w:rPr>
        <w:t xml:space="preserve">essentiel, </w:t>
      </w:r>
      <w:r w:rsidRPr="00E8642C">
        <w:rPr>
          <w:rFonts w:cs="Arial"/>
          <w:iCs/>
          <w:szCs w:val="22"/>
        </w:rPr>
        <w:lastRenderedPageBreak/>
        <w:t>des documents de brevet de différents pays, complétés par des articles extraits de revues et d</w:t>
      </w:r>
      <w:r w:rsidR="00D91476">
        <w:rPr>
          <w:rFonts w:cs="Arial"/>
          <w:iCs/>
          <w:szCs w:val="22"/>
        </w:rPr>
        <w:t>’</w:t>
      </w:r>
      <w:r w:rsidRPr="00E8642C">
        <w:rPr>
          <w:rFonts w:cs="Arial"/>
          <w:iCs/>
          <w:szCs w:val="22"/>
        </w:rPr>
        <w:t>autres éléments de la littérature non</w:t>
      </w:r>
      <w:r w:rsidR="00400337">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23D81" w:rsidRDefault="00DD607D" w:rsidP="00E104D3">
      <w:pPr>
        <w:autoSpaceDE w:val="0"/>
        <w:autoSpaceDN w:val="0"/>
        <w:adjustRightInd w:val="0"/>
        <w:spacing w:after="22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400337">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r w:rsidR="00D91476">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i/>
          <w:iCs/>
          <w:szCs w:val="22"/>
          <w:lang w:eastAsia="zh-CN"/>
        </w:rPr>
        <w:t xml:space="preserv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szCs w:val="22"/>
          <w:lang w:eastAsia="zh-CN"/>
        </w:rPr>
        <w:t xml:space="preserve"> sont indiqués comme de la littérature non</w:t>
      </w:r>
      <w:r w:rsidR="00400337">
        <w:rPr>
          <w:rFonts w:cs="Arial"/>
          <w:szCs w:val="22"/>
          <w:lang w:eastAsia="zh-CN"/>
        </w:rPr>
        <w:noBreakHyphen/>
      </w:r>
      <w:r w:rsidRPr="00E8642C">
        <w:rPr>
          <w:rFonts w:cs="Arial"/>
          <w:szCs w:val="22"/>
          <w:lang w:eastAsia="zh-CN"/>
        </w:rPr>
        <w:t>brevet dans la liste de périodiques à utiliser pour la recherche et l</w:t>
      </w:r>
      <w:r w:rsidR="00D91476">
        <w:rPr>
          <w:rFonts w:cs="Arial"/>
          <w:szCs w:val="22"/>
          <w:lang w:eastAsia="zh-CN"/>
        </w:rPr>
        <w:t>’</w:t>
      </w:r>
      <w:r w:rsidRPr="00E8642C">
        <w:rPr>
          <w:rFonts w:cs="Arial"/>
          <w:szCs w:val="22"/>
          <w:lang w:eastAsia="zh-CN"/>
        </w:rPr>
        <w:t>examen de la documentation minimale du PCT.</w:t>
      </w:r>
    </w:p>
    <w:p w:rsidR="00D23D81" w:rsidRDefault="00DD607D" w:rsidP="00E104D3">
      <w:pPr>
        <w:pStyle w:val="Heading2"/>
        <w:spacing w:after="220" w:line="240" w:lineRule="auto"/>
      </w:pPr>
      <w:bookmarkStart w:id="54" w:name="_Toc7772530"/>
      <w:r w:rsidRPr="00E8642C">
        <w:t>Domaine public</w:t>
      </w:r>
      <w:bookmarkEnd w:id="54"/>
    </w:p>
    <w:p w:rsidR="00D23D81" w:rsidRDefault="00DD607D" w:rsidP="00E104D3">
      <w:pPr>
        <w:spacing w:after="220"/>
        <w:rPr>
          <w:rFonts w:cs="Arial"/>
          <w:szCs w:val="22"/>
        </w:rPr>
      </w:pPr>
      <w:r w:rsidRPr="00E8642C">
        <w:rPr>
          <w:rFonts w:cs="Arial"/>
          <w:szCs w:val="22"/>
        </w:rPr>
        <w:t>En règle générale, une œuvre est considérée comme faisant partie du domaine public s</w:t>
      </w:r>
      <w:r w:rsidR="00D91476">
        <w:rPr>
          <w:rFonts w:cs="Arial"/>
          <w:szCs w:val="22"/>
        </w:rPr>
        <w:t>’</w:t>
      </w:r>
      <w:r w:rsidRPr="00E8642C">
        <w:rPr>
          <w:rFonts w:cs="Arial"/>
          <w:szCs w:val="22"/>
        </w:rPr>
        <w:t>il n</w:t>
      </w:r>
      <w:r w:rsidR="00D91476">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23D81" w:rsidRDefault="00DD607D" w:rsidP="00E104D3">
      <w:pPr>
        <w:autoSpaceDE w:val="0"/>
        <w:autoSpaceDN w:val="0"/>
        <w:adjustRightInd w:val="0"/>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D91476">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1F3AEE" w:rsidRPr="00E8642C">
        <w:rPr>
          <w:rFonts w:cs="Arial"/>
          <w:iCs/>
          <w:szCs w:val="22"/>
        </w:rPr>
        <w:t>ue</w:t>
      </w:r>
      <w:r w:rsidR="001F3AEE">
        <w:rPr>
          <w:rFonts w:cs="Arial"/>
          <w:iCs/>
          <w:szCs w:val="22"/>
        </w:rPr>
        <w:t xml:space="preserve">.  </w:t>
      </w:r>
      <w:r w:rsidR="001F3AEE" w:rsidRPr="00E8642C">
        <w:rPr>
          <w:rFonts w:cs="Arial"/>
          <w:iCs/>
          <w:szCs w:val="22"/>
        </w:rPr>
        <w:t xml:space="preserve">À </w:t>
      </w:r>
      <w:r w:rsidRPr="00E8642C">
        <w:rPr>
          <w:rFonts w:cs="Arial"/>
          <w:iCs/>
          <w:szCs w:val="22"/>
        </w:rPr>
        <w:t>l</w:t>
      </w:r>
      <w:r w:rsidR="00D91476">
        <w:rPr>
          <w:rFonts w:cs="Arial"/>
          <w:iCs/>
          <w:szCs w:val="22"/>
        </w:rPr>
        <w:t>’</w:t>
      </w:r>
      <w:r w:rsidRPr="00E8642C">
        <w:rPr>
          <w:rFonts w:cs="Arial"/>
          <w:iCs/>
          <w:szCs w:val="22"/>
        </w:rPr>
        <w:t>expiration ou à la déchéance du droit d</w:t>
      </w:r>
      <w:r w:rsidR="00D91476">
        <w:rPr>
          <w:rFonts w:cs="Arial"/>
          <w:iCs/>
          <w:szCs w:val="22"/>
        </w:rPr>
        <w:t>’</w:t>
      </w:r>
      <w:r w:rsidRPr="00E8642C">
        <w:rPr>
          <w:rFonts w:cs="Arial"/>
          <w:iCs/>
          <w:szCs w:val="22"/>
        </w:rPr>
        <w:t>auteur, du droit sur les marques, du droit de brevet ou du secret commercial, les objets de propriété intellectuelle qu</w:t>
      </w:r>
      <w:r w:rsidR="00D91476">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23D81" w:rsidRDefault="00DD607D" w:rsidP="00E104D3">
      <w:pPr>
        <w:spacing w:after="220"/>
        <w:rPr>
          <w:rFonts w:cs="Arial"/>
          <w:szCs w:val="22"/>
        </w:rPr>
      </w:pPr>
      <w:r w:rsidRPr="00E8642C">
        <w:rPr>
          <w:rFonts w:cs="Arial"/>
          <w:szCs w:val="22"/>
        </w:rPr>
        <w:t>Dans la sphère du droit d</w:t>
      </w:r>
      <w:r w:rsidR="00D91476">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D91476">
        <w:rPr>
          <w:rFonts w:cs="Arial"/>
          <w:iCs/>
          <w:szCs w:val="22"/>
        </w:rPr>
        <w:t>’</w:t>
      </w:r>
      <w:r w:rsidRPr="00E8642C">
        <w:rPr>
          <w:rFonts w:cs="Arial"/>
          <w:iCs/>
          <w:szCs w:val="22"/>
        </w:rPr>
        <w:t>agit n</w:t>
      </w:r>
      <w:r w:rsidR="00D91476">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D91476">
        <w:rPr>
          <w:rFonts w:cs="Arial"/>
          <w:iCs/>
          <w:szCs w:val="22"/>
        </w:rPr>
        <w:t>’</w:t>
      </w:r>
      <w:r w:rsidRPr="00E8642C">
        <w:rPr>
          <w:rFonts w:cs="Arial"/>
          <w:iCs/>
          <w:szCs w:val="22"/>
        </w:rPr>
        <w:t>auteur et des droits connexes concernés et sans qu</w:t>
      </w:r>
      <w:r w:rsidR="00D91476">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23D81" w:rsidRDefault="00DD607D" w:rsidP="00E104D3">
      <w:pPr>
        <w:spacing w:after="220"/>
        <w:rPr>
          <w:rFonts w:cs="Arial"/>
          <w:szCs w:val="22"/>
        </w:rPr>
      </w:pPr>
      <w:r w:rsidRPr="00E8642C">
        <w:rPr>
          <w:rFonts w:cs="Arial"/>
          <w:szCs w:val="22"/>
        </w:rPr>
        <w:t>D</w:t>
      </w:r>
      <w:r w:rsidR="00D91476">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D91476">
        <w:rPr>
          <w:rFonts w:cs="Arial"/>
          <w:szCs w:val="22"/>
        </w:rPr>
        <w:t>’</w:t>
      </w:r>
      <w:r w:rsidRPr="00E8642C">
        <w:rPr>
          <w:rFonts w:cs="Arial"/>
          <w:szCs w:val="22"/>
        </w:rPr>
        <w:t>a de droit de proprié</w:t>
      </w:r>
      <w:r w:rsidR="001F3AEE" w:rsidRPr="00E8642C">
        <w:rPr>
          <w:rFonts w:cs="Arial"/>
          <w:szCs w:val="22"/>
        </w:rPr>
        <w:t>té</w:t>
      </w:r>
      <w:r w:rsidR="001F3AEE">
        <w:rPr>
          <w:rFonts w:cs="Arial"/>
          <w:szCs w:val="22"/>
        </w:rPr>
        <w:t xml:space="preserve">.  </w:t>
      </w:r>
      <w:r w:rsidR="001F3AEE" w:rsidRPr="00E8642C">
        <w:rPr>
          <w:rFonts w:cs="Arial"/>
          <w:szCs w:val="22"/>
        </w:rPr>
        <w:t>Le</w:t>
      </w:r>
      <w:r w:rsidRPr="00E8642C">
        <w:rPr>
          <w:rFonts w:cs="Arial"/>
          <w:szCs w:val="22"/>
        </w:rPr>
        <w:t>s connaissances, les idées et les innovations sont dans le domaine public dès lors qu</w:t>
      </w:r>
      <w:r w:rsidR="00D91476">
        <w:rPr>
          <w:rFonts w:cs="Arial"/>
          <w:szCs w:val="22"/>
        </w:rPr>
        <w:t>’</w:t>
      </w:r>
      <w:r w:rsidRPr="00E8642C">
        <w:rPr>
          <w:rFonts w:cs="Arial"/>
          <w:szCs w:val="22"/>
        </w:rPr>
        <w:t>elles ne font l</w:t>
      </w:r>
      <w:r w:rsidR="00D91476">
        <w:rPr>
          <w:rFonts w:cs="Arial"/>
          <w:szCs w:val="22"/>
        </w:rPr>
        <w:t>’</w:t>
      </w:r>
      <w:r w:rsidRPr="00E8642C">
        <w:rPr>
          <w:rFonts w:cs="Arial"/>
          <w:szCs w:val="22"/>
        </w:rPr>
        <w:t>objet d</w:t>
      </w:r>
      <w:r w:rsidR="00D91476">
        <w:rPr>
          <w:rFonts w:cs="Arial"/>
          <w:szCs w:val="22"/>
        </w:rPr>
        <w:t>’</w:t>
      </w:r>
      <w:r w:rsidRPr="00E8642C">
        <w:rPr>
          <w:rFonts w:cs="Arial"/>
          <w:szCs w:val="22"/>
        </w:rPr>
        <w:t>aucune restriction d</w:t>
      </w:r>
      <w:r w:rsidR="00D91476">
        <w:rPr>
          <w:rFonts w:cs="Arial"/>
          <w:szCs w:val="22"/>
        </w:rPr>
        <w:t>’</w:t>
      </w:r>
      <w:r w:rsidRPr="00E8642C">
        <w:rPr>
          <w:rFonts w:cs="Arial"/>
          <w:szCs w:val="22"/>
        </w:rPr>
        <w:t>utilisation légale (à cet égard, les législations varient, donnant naissance à des domaines publics différents), à l</w:t>
      </w:r>
      <w:r w:rsidR="00D91476">
        <w:rPr>
          <w:rFonts w:cs="Arial"/>
          <w:szCs w:val="22"/>
        </w:rPr>
        <w:t>’</w:t>
      </w:r>
      <w:r w:rsidRPr="00E8642C">
        <w:rPr>
          <w:rFonts w:cs="Arial"/>
          <w:szCs w:val="22"/>
        </w:rPr>
        <w:t>expiration des brevets (généralement, après une période de 20 ans), par suite d</w:t>
      </w:r>
      <w:r w:rsidR="00D91476">
        <w:rPr>
          <w:rFonts w:cs="Arial"/>
          <w:szCs w:val="22"/>
        </w:rPr>
        <w:t>’</w:t>
      </w:r>
      <w:r w:rsidRPr="00E8642C">
        <w:rPr>
          <w:rFonts w:cs="Arial"/>
          <w:szCs w:val="22"/>
        </w:rPr>
        <w:t>un non</w:t>
      </w:r>
      <w:r w:rsidR="00400337">
        <w:rPr>
          <w:rFonts w:cs="Arial"/>
          <w:szCs w:val="22"/>
        </w:rPr>
        <w:noBreakHyphen/>
      </w:r>
      <w:r w:rsidRPr="00E8642C">
        <w:rPr>
          <w:rFonts w:cs="Arial"/>
          <w:szCs w:val="22"/>
        </w:rPr>
        <w:t>renouvellement, d</w:t>
      </w:r>
      <w:r w:rsidR="00D91476">
        <w:rPr>
          <w:rFonts w:cs="Arial"/>
          <w:szCs w:val="22"/>
        </w:rPr>
        <w:t>’</w:t>
      </w:r>
      <w:r w:rsidRPr="00E8642C">
        <w:rPr>
          <w:rFonts w:cs="Arial"/>
          <w:szCs w:val="22"/>
        </w:rPr>
        <w:t>une révocation ou d</w:t>
      </w:r>
      <w:r w:rsidR="00D91476">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23D81" w:rsidRDefault="00DD607D" w:rsidP="00E104D3">
      <w:pPr>
        <w:spacing w:after="220"/>
        <w:rPr>
          <w:rFonts w:cs="Arial"/>
          <w:szCs w:val="22"/>
        </w:rPr>
      </w:pPr>
      <w:r w:rsidRPr="00E8642C">
        <w:rPr>
          <w:rFonts w:cs="Arial"/>
          <w:szCs w:val="22"/>
        </w:rPr>
        <w:t>Le rôle, le cadre et les limites du “domaine public” font l</w:t>
      </w:r>
      <w:r w:rsidR="00D91476">
        <w:rPr>
          <w:rFonts w:cs="Arial"/>
          <w:szCs w:val="22"/>
        </w:rPr>
        <w:t>’</w:t>
      </w:r>
      <w:r w:rsidRPr="00E8642C">
        <w:rPr>
          <w:rFonts w:cs="Arial"/>
          <w:szCs w:val="22"/>
        </w:rPr>
        <w:t>objet de discussions intensives au sein de plusieurs instances, en particulier à l</w:t>
      </w:r>
      <w:r w:rsidR="00D91476">
        <w:rPr>
          <w:rFonts w:cs="Arial"/>
          <w:szCs w:val="22"/>
        </w:rPr>
        <w:t>’</w:t>
      </w:r>
      <w:r w:rsidRPr="00E8642C">
        <w:rPr>
          <w:rFonts w:cs="Arial"/>
          <w:szCs w:val="22"/>
        </w:rPr>
        <w:t>OMPI dans le cadre de l</w:t>
      </w:r>
      <w:r w:rsidR="00D91476">
        <w:rPr>
          <w:rFonts w:cs="Arial"/>
          <w:szCs w:val="22"/>
        </w:rPr>
        <w:t>’</w:t>
      </w:r>
      <w:r w:rsidR="001F3AEE" w:rsidRPr="00E8642C">
        <w:rPr>
          <w:rFonts w:cs="Arial"/>
          <w:szCs w:val="22"/>
        </w:rPr>
        <w:t>IGC</w:t>
      </w:r>
      <w:r w:rsidR="001F3AEE">
        <w:rPr>
          <w:rFonts w:cs="Arial"/>
          <w:szCs w:val="22"/>
        </w:rPr>
        <w:t xml:space="preserve">.  </w:t>
      </w:r>
      <w:r w:rsidR="001F3AEE" w:rsidRPr="00E8642C">
        <w:rPr>
          <w:rFonts w:cs="Arial"/>
          <w:szCs w:val="22"/>
        </w:rPr>
        <w:t>Le</w:t>
      </w:r>
      <w:r w:rsidRPr="00E8642C">
        <w:rPr>
          <w:rFonts w:cs="Arial"/>
          <w:szCs w:val="22"/>
        </w:rPr>
        <w:t xml:space="preserve"> document intitulé “Note sur les significations du terme </w:t>
      </w:r>
      <w:r w:rsidR="00D91476">
        <w:rPr>
          <w:rFonts w:cs="Arial"/>
          <w:szCs w:val="22"/>
        </w:rPr>
        <w:t>‘</w:t>
      </w:r>
      <w:r w:rsidRPr="00E8642C">
        <w:rPr>
          <w:rFonts w:cs="Arial"/>
          <w:szCs w:val="22"/>
        </w:rPr>
        <w:t>domaine public</w:t>
      </w:r>
      <w:r w:rsidR="00D91476">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23D81" w:rsidRDefault="00DD607D" w:rsidP="00E104D3">
      <w:pPr>
        <w:pStyle w:val="Heading2"/>
        <w:spacing w:after="220" w:line="240" w:lineRule="auto"/>
      </w:pPr>
      <w:bookmarkStart w:id="55" w:name="_Toc7772531"/>
      <w:r w:rsidRPr="00E8642C">
        <w:lastRenderedPageBreak/>
        <w:t>Droit et protocoles coutumiers</w:t>
      </w:r>
      <w:bookmarkEnd w:id="55"/>
    </w:p>
    <w:p w:rsidR="00D23D81" w:rsidRDefault="00DD607D" w:rsidP="00E104D3">
      <w:pPr>
        <w:pStyle w:val="FootnoteText"/>
        <w:spacing w:after="220"/>
        <w:ind w:left="0" w:firstLine="0"/>
        <w:rPr>
          <w:rFonts w:cs="Arial"/>
          <w:szCs w:val="22"/>
        </w:rPr>
      </w:pPr>
      <w:r w:rsidRPr="00E8642C">
        <w:rPr>
          <w:rFonts w:cs="Arial"/>
        </w:rPr>
        <w:t xml:space="preserve">Le </w:t>
      </w:r>
      <w:proofErr w:type="spellStart"/>
      <w:r w:rsidRPr="00E8642C">
        <w:rPr>
          <w:rFonts w:cs="Arial"/>
        </w:rPr>
        <w:t>Black</w:t>
      </w:r>
      <w:r w:rsidR="00D91476">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D91476">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D91476">
        <w:rPr>
          <w:rFonts w:cs="Arial"/>
        </w:rPr>
        <w:t>’</w:t>
      </w:r>
      <w:r w:rsidRPr="00E8642C">
        <w:rPr>
          <w:rFonts w:cs="Arial"/>
        </w:rPr>
        <w:t xml:space="preserve">usages acceptés comme des obligations légales ou des règles de conduite </w:t>
      </w:r>
      <w:proofErr w:type="gramStart"/>
      <w:r w:rsidRPr="00E8642C">
        <w:rPr>
          <w:rFonts w:cs="Arial"/>
        </w:rPr>
        <w:t>obligatoires;  pratiques</w:t>
      </w:r>
      <w:proofErr w:type="gramEnd"/>
      <w:r w:rsidRPr="00E8642C">
        <w:rPr>
          <w:rFonts w:cs="Arial"/>
        </w:rPr>
        <w:t xml:space="preserve"> et croyances qui sont vitales et font partie intégrante du système social et économique à tel point qu</w:t>
      </w:r>
      <w:r w:rsidR="00D91476">
        <w:rPr>
          <w:rFonts w:cs="Arial"/>
        </w:rPr>
        <w:t>’</w:t>
      </w:r>
      <w:r w:rsidRPr="00E8642C">
        <w:rPr>
          <w:rFonts w:cs="Arial"/>
        </w:rPr>
        <w:t xml:space="preserve">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1F3AEE" w:rsidRPr="00E8642C">
        <w:rPr>
          <w:rFonts w:cs="Arial"/>
          <w:szCs w:val="22"/>
        </w:rPr>
        <w:t>es</w:t>
      </w:r>
      <w:r w:rsidR="001F3AEE">
        <w:rPr>
          <w:rFonts w:cs="Arial"/>
          <w:szCs w:val="22"/>
        </w:rPr>
        <w:t xml:space="preserve">.  </w:t>
      </w:r>
      <w:r w:rsidR="001F3AEE" w:rsidRPr="00E8642C">
        <w:rPr>
          <w:rFonts w:cs="Arial"/>
          <w:szCs w:val="22"/>
        </w:rPr>
        <w:t>Pa</w:t>
      </w:r>
      <w:r w:rsidRPr="00E8642C">
        <w:rPr>
          <w:rFonts w:cs="Arial"/>
          <w:szCs w:val="22"/>
        </w:rPr>
        <w:t>r exemple, ces lois peuvent être codifiées, écrites ou orales, énoncées expressément dans des pratiques traditionnell</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1F3AEE" w:rsidRPr="00E8642C">
        <w:rPr>
          <w:rFonts w:cs="Arial"/>
          <w:szCs w:val="22"/>
        </w:rPr>
        <w:t>es</w:t>
      </w:r>
      <w:r w:rsidR="001F3AEE">
        <w:rPr>
          <w:rFonts w:cs="Arial"/>
          <w:szCs w:val="22"/>
        </w:rPr>
        <w:t xml:space="preserve">.  </w:t>
      </w:r>
      <w:r w:rsidR="001F3AEE" w:rsidRPr="00E8642C">
        <w:rPr>
          <w:rFonts w:cs="Arial"/>
          <w:szCs w:val="22"/>
        </w:rPr>
        <w:t>Un</w:t>
      </w:r>
      <w:r w:rsidRPr="00E8642C">
        <w:rPr>
          <w:rFonts w:cs="Arial"/>
          <w:szCs w:val="22"/>
        </w:rPr>
        <w:t xml:space="preserve"> facteur essentiel pour déterminer si certains usages ont un statut de loi consiste à vérifier s</w:t>
      </w:r>
      <w:r w:rsidR="00D91476">
        <w:rPr>
          <w:rFonts w:cs="Arial"/>
          <w:szCs w:val="22"/>
        </w:rPr>
        <w:t>’</w:t>
      </w:r>
      <w:r w:rsidRPr="00E8642C">
        <w:rPr>
          <w:rFonts w:cs="Arial"/>
          <w:szCs w:val="22"/>
        </w:rPr>
        <w:t>ils sont considérés par la communauté comme ayant un effet contraignant, ou s</w:t>
      </w:r>
      <w:r w:rsidR="00D91476">
        <w:rPr>
          <w:rFonts w:cs="Arial"/>
          <w:szCs w:val="22"/>
        </w:rPr>
        <w:t>’</w:t>
      </w:r>
      <w:r w:rsidRPr="00E8642C">
        <w:rPr>
          <w:rFonts w:cs="Arial"/>
          <w:szCs w:val="22"/>
        </w:rPr>
        <w:t>ils décrivent simplement des pratiques concrètes.</w:t>
      </w:r>
    </w:p>
    <w:p w:rsidR="00D23D81" w:rsidRDefault="00DD607D" w:rsidP="00E104D3">
      <w:pPr>
        <w:pStyle w:val="FootnoteText"/>
        <w:spacing w:after="220"/>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D91476">
        <w:rPr>
          <w:rFonts w:cs="Arial"/>
          <w:szCs w:val="22"/>
        </w:rPr>
        <w:t> :</w:t>
      </w:r>
      <w:r w:rsidRPr="00E8642C">
        <w:rPr>
          <w:rFonts w:cs="Arial"/>
          <w:szCs w:val="22"/>
        </w:rPr>
        <w:t xml:space="preserve"> utilisation des ressources naturelles et accès à celles</w:t>
      </w:r>
      <w:r w:rsidR="00400337">
        <w:rPr>
          <w:rFonts w:cs="Arial"/>
          <w:szCs w:val="22"/>
        </w:rPr>
        <w:noBreakHyphen/>
      </w:r>
      <w:r w:rsidRPr="00E8642C">
        <w:rPr>
          <w:rFonts w:cs="Arial"/>
          <w:szCs w:val="22"/>
        </w:rPr>
        <w:t>ci;  droits et obligations en matière foncière, d</w:t>
      </w:r>
      <w:r w:rsidR="00D91476">
        <w:rPr>
          <w:rFonts w:cs="Arial"/>
          <w:szCs w:val="22"/>
        </w:rPr>
        <w:t>’</w:t>
      </w:r>
      <w:r w:rsidRPr="00E8642C">
        <w:rPr>
          <w:rFonts w:cs="Arial"/>
          <w:szCs w:val="22"/>
        </w:rPr>
        <w:t>héritage et de propriété;  conduite de la vie spirituelle;  entretien du patrimoine culturel et des systèmes de connaissances;  et bien d</w:t>
      </w:r>
      <w:r w:rsidR="00D91476">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1F3AEE" w:rsidRPr="00E8642C">
        <w:rPr>
          <w:rFonts w:cs="Arial"/>
          <w:szCs w:val="22"/>
        </w:rPr>
        <w:t>on</w:t>
      </w:r>
      <w:r w:rsidR="001F3AEE">
        <w:rPr>
          <w:rFonts w:cs="Arial"/>
          <w:szCs w:val="22"/>
        </w:rPr>
        <w:t xml:space="preserve">.  </w:t>
      </w:r>
      <w:r w:rsidR="001F3AEE" w:rsidRPr="00E8642C">
        <w:rPr>
          <w:rFonts w:cs="Arial"/>
          <w:szCs w:val="22"/>
        </w:rPr>
        <w:t>La</w:t>
      </w:r>
      <w:r w:rsidRPr="00E8642C">
        <w:rPr>
          <w:rFonts w:cs="Arial"/>
          <w:szCs w:val="22"/>
        </w:rPr>
        <w:t xml:space="preserve"> plupart des règles de droit coutumier ne sont pas écrites et ne sont pas homogènes entre groupes ethniqu</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différences de droit coutumier constatées d</w:t>
      </w:r>
      <w:r w:rsidR="00D91476">
        <w:rPr>
          <w:rFonts w:cs="Arial"/>
          <w:szCs w:val="22"/>
        </w:rPr>
        <w:t>’</w:t>
      </w:r>
      <w:r w:rsidRPr="00E8642C">
        <w:rPr>
          <w:rFonts w:cs="Arial"/>
          <w:szCs w:val="22"/>
        </w:rPr>
        <w:t>un groupe ethnique à l</w:t>
      </w:r>
      <w:r w:rsidR="00D91476">
        <w:rPr>
          <w:rFonts w:cs="Arial"/>
          <w:szCs w:val="22"/>
        </w:rPr>
        <w:t>’</w:t>
      </w:r>
      <w:r w:rsidRPr="00E8642C">
        <w:rPr>
          <w:rFonts w:cs="Arial"/>
          <w:szCs w:val="22"/>
        </w:rPr>
        <w:t>autre s</w:t>
      </w:r>
      <w:r w:rsidR="00D91476">
        <w:rPr>
          <w:rFonts w:cs="Arial"/>
          <w:szCs w:val="22"/>
        </w:rPr>
        <w:t>’</w:t>
      </w:r>
      <w:r w:rsidRPr="00E8642C">
        <w:rPr>
          <w:rFonts w:cs="Arial"/>
          <w:szCs w:val="22"/>
        </w:rPr>
        <w:t>expliquent par différents facteurs tels que la langue, la proximité, l</w:t>
      </w:r>
      <w:r w:rsidR="00D91476">
        <w:rPr>
          <w:rFonts w:cs="Arial"/>
          <w:szCs w:val="22"/>
        </w:rPr>
        <w:t>’</w:t>
      </w:r>
      <w:r w:rsidRPr="00E8642C">
        <w:rPr>
          <w:rFonts w:cs="Arial"/>
          <w:szCs w:val="22"/>
        </w:rPr>
        <w:t>origine, l</w:t>
      </w:r>
      <w:r w:rsidR="00D91476">
        <w:rPr>
          <w:rFonts w:cs="Arial"/>
          <w:szCs w:val="22"/>
        </w:rPr>
        <w:t>’</w:t>
      </w:r>
      <w:r w:rsidRPr="00E8642C">
        <w:rPr>
          <w:rFonts w:cs="Arial"/>
          <w:szCs w:val="22"/>
        </w:rPr>
        <w:t>histoire, la structure sociale et l</w:t>
      </w:r>
      <w:r w:rsidR="00D91476">
        <w:rPr>
          <w:rFonts w:cs="Arial"/>
          <w:szCs w:val="22"/>
        </w:rPr>
        <w:t>’</w:t>
      </w:r>
      <w:r w:rsidRPr="00E8642C">
        <w:rPr>
          <w:rFonts w:cs="Arial"/>
          <w:szCs w:val="22"/>
        </w:rPr>
        <w:t>économ</w:t>
      </w:r>
      <w:r w:rsidR="001F3AEE" w:rsidRPr="00E8642C">
        <w:rPr>
          <w:rFonts w:cs="Arial"/>
          <w:szCs w:val="22"/>
        </w:rPr>
        <w:t>ie</w:t>
      </w:r>
      <w:r w:rsidR="001F3AEE">
        <w:rPr>
          <w:rFonts w:cs="Arial"/>
          <w:szCs w:val="22"/>
        </w:rPr>
        <w:t xml:space="preserve">.  </w:t>
      </w:r>
      <w:r w:rsidR="001F3AEE" w:rsidRPr="00E8642C">
        <w:rPr>
          <w:rFonts w:cs="Arial"/>
          <w:szCs w:val="22"/>
        </w:rPr>
        <w:t>Le</w:t>
      </w:r>
      <w:r w:rsidRPr="00E8642C">
        <w:rPr>
          <w:rFonts w:cs="Arial"/>
          <w:szCs w:val="22"/>
        </w:rPr>
        <w:t xml:space="preserve"> droit coutumier n</w:t>
      </w:r>
      <w:r w:rsidR="00D91476">
        <w:rPr>
          <w:rFonts w:cs="Arial"/>
          <w:szCs w:val="22"/>
        </w:rPr>
        <w:t>’</w:t>
      </w:r>
      <w:r w:rsidRPr="00E8642C">
        <w:rPr>
          <w:rFonts w:cs="Arial"/>
          <w:szCs w:val="22"/>
        </w:rPr>
        <w:t>est pas statique mais dynamique;  ses règles changent de temps à autre pour tenir compte de l</w:t>
      </w:r>
      <w:r w:rsidR="00D91476">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23D81" w:rsidRPr="00EF47F4" w:rsidRDefault="00DD607D" w:rsidP="00E104D3">
      <w:pPr>
        <w:pStyle w:val="FootnoteText"/>
        <w:spacing w:after="220"/>
        <w:ind w:left="0" w:firstLine="0"/>
        <w:rPr>
          <w:rFonts w:cs="Arial"/>
          <w:spacing w:val="-4"/>
          <w:szCs w:val="22"/>
        </w:rPr>
      </w:pPr>
      <w:r w:rsidRPr="00EF47F4">
        <w:rPr>
          <w:rFonts w:cs="Arial"/>
          <w:spacing w:val="-4"/>
          <w:szCs w:val="22"/>
        </w:rPr>
        <w:t>Certains des documents de travail de l</w:t>
      </w:r>
      <w:r w:rsidR="00D91476" w:rsidRPr="00EF47F4">
        <w:rPr>
          <w:rFonts w:cs="Arial"/>
          <w:spacing w:val="-4"/>
          <w:szCs w:val="22"/>
        </w:rPr>
        <w:t>’</w:t>
      </w:r>
      <w:r w:rsidRPr="00EF47F4">
        <w:rPr>
          <w:rFonts w:cs="Arial"/>
          <w:spacing w:val="-4"/>
          <w:szCs w:val="22"/>
        </w:rPr>
        <w:t>IGC renvoient au droit et aux protocoles coutumiers et certains indiquent que ceux</w:t>
      </w:r>
      <w:r w:rsidR="00400337" w:rsidRPr="00EF47F4">
        <w:rPr>
          <w:rFonts w:cs="Arial"/>
          <w:spacing w:val="-4"/>
          <w:szCs w:val="22"/>
        </w:rPr>
        <w:noBreakHyphen/>
      </w:r>
      <w:r w:rsidRPr="00EF47F4">
        <w:rPr>
          <w:rFonts w:cs="Arial"/>
          <w:spacing w:val="-4"/>
          <w:szCs w:val="22"/>
        </w:rPr>
        <w:t>ci devraient être pris en considération dans l</w:t>
      </w:r>
      <w:r w:rsidR="00D91476" w:rsidRPr="00EF47F4">
        <w:rPr>
          <w:rFonts w:cs="Arial"/>
          <w:spacing w:val="-4"/>
          <w:szCs w:val="22"/>
        </w:rPr>
        <w:t>’</w:t>
      </w:r>
      <w:r w:rsidRPr="00EF47F4">
        <w:rPr>
          <w:rFonts w:cs="Arial"/>
          <w:spacing w:val="-4"/>
          <w:szCs w:val="22"/>
        </w:rPr>
        <w:t>élaboration d</w:t>
      </w:r>
      <w:r w:rsidR="00D91476" w:rsidRPr="00EF47F4">
        <w:rPr>
          <w:rFonts w:cs="Arial"/>
          <w:spacing w:val="-4"/>
          <w:szCs w:val="22"/>
        </w:rPr>
        <w:t>’</w:t>
      </w:r>
      <w:r w:rsidRPr="00EF47F4">
        <w:rPr>
          <w:rFonts w:cs="Arial"/>
          <w:spacing w:val="-4"/>
          <w:szCs w:val="22"/>
        </w:rPr>
        <w:t>un nouveau système pour la protection des savoirs traditionnels ou des expressions culturelles traditionnelles.</w:t>
      </w:r>
    </w:p>
    <w:p w:rsidR="00D23D81" w:rsidRDefault="00DD607D" w:rsidP="00E104D3">
      <w:pPr>
        <w:pStyle w:val="Heading2"/>
        <w:keepLines/>
        <w:spacing w:after="220" w:line="240" w:lineRule="auto"/>
      </w:pPr>
      <w:bookmarkStart w:id="56" w:name="_Toc7772532"/>
      <w:r w:rsidRPr="00E8642C">
        <w:t>Droits des agriculteurs</w:t>
      </w:r>
      <w:bookmarkEnd w:id="56"/>
    </w:p>
    <w:p w:rsidR="00D23D81" w:rsidRPr="00EF47F4" w:rsidRDefault="00DD607D" w:rsidP="00E104D3">
      <w:pPr>
        <w:spacing w:after="220"/>
        <w:rPr>
          <w:rFonts w:cs="Arial"/>
          <w:spacing w:val="-2"/>
          <w:szCs w:val="22"/>
        </w:rPr>
      </w:pPr>
      <w:r w:rsidRPr="00EF47F4">
        <w:rPr>
          <w:rFonts w:cs="Arial"/>
          <w:spacing w:val="-2"/>
          <w:szCs w:val="22"/>
        </w:rPr>
        <w:t>L</w:t>
      </w:r>
      <w:r w:rsidR="00D91476" w:rsidRPr="00EF47F4">
        <w:rPr>
          <w:rFonts w:cs="Arial"/>
          <w:spacing w:val="-2"/>
          <w:szCs w:val="22"/>
        </w:rPr>
        <w:t>’</w:t>
      </w:r>
      <w:r w:rsidRPr="00EF47F4">
        <w:rPr>
          <w:rFonts w:cs="Arial"/>
          <w:spacing w:val="-2"/>
          <w:szCs w:val="22"/>
        </w:rPr>
        <w:t xml:space="preserve">article 9.1 du </w:t>
      </w:r>
      <w:r w:rsidRPr="00EF47F4">
        <w:rPr>
          <w:rFonts w:cs="Arial"/>
          <w:i/>
          <w:spacing w:val="-2"/>
          <w:szCs w:val="22"/>
        </w:rPr>
        <w:t xml:space="preserve">Traité international sur les ressources </w:t>
      </w:r>
      <w:proofErr w:type="spellStart"/>
      <w:r w:rsidRPr="00EF47F4">
        <w:rPr>
          <w:rFonts w:cs="Arial"/>
          <w:i/>
          <w:spacing w:val="-2"/>
          <w:szCs w:val="22"/>
        </w:rPr>
        <w:t>phytogénétiques</w:t>
      </w:r>
      <w:proofErr w:type="spellEnd"/>
      <w:r w:rsidRPr="00EF47F4">
        <w:rPr>
          <w:rFonts w:cs="Arial"/>
          <w:i/>
          <w:spacing w:val="-2"/>
          <w:szCs w:val="22"/>
        </w:rPr>
        <w:t xml:space="preserve"> pour l</w:t>
      </w:r>
      <w:r w:rsidR="00D91476" w:rsidRPr="00EF47F4">
        <w:rPr>
          <w:rFonts w:cs="Arial"/>
          <w:i/>
          <w:spacing w:val="-2"/>
          <w:szCs w:val="22"/>
        </w:rPr>
        <w:t>’</w:t>
      </w:r>
      <w:r w:rsidRPr="00EF47F4">
        <w:rPr>
          <w:rFonts w:cs="Arial"/>
          <w:i/>
          <w:spacing w:val="-2"/>
          <w:szCs w:val="22"/>
        </w:rPr>
        <w:t>alimentation et l</w:t>
      </w:r>
      <w:r w:rsidR="00D91476" w:rsidRPr="00EF47F4">
        <w:rPr>
          <w:rFonts w:cs="Arial"/>
          <w:i/>
          <w:spacing w:val="-2"/>
          <w:szCs w:val="22"/>
        </w:rPr>
        <w:t>’</w:t>
      </w:r>
      <w:r w:rsidRPr="00EF47F4">
        <w:rPr>
          <w:rFonts w:cs="Arial"/>
          <w:i/>
          <w:spacing w:val="-2"/>
          <w:szCs w:val="22"/>
        </w:rPr>
        <w:t>agriculture</w:t>
      </w:r>
      <w:r w:rsidRPr="00EF47F4">
        <w:rPr>
          <w:rFonts w:cs="Arial"/>
          <w:spacing w:val="-2"/>
          <w:szCs w:val="22"/>
        </w:rPr>
        <w:t xml:space="preserve"> de l</w:t>
      </w:r>
      <w:r w:rsidR="00D91476" w:rsidRPr="00EF47F4">
        <w:rPr>
          <w:rFonts w:cs="Arial"/>
          <w:spacing w:val="-2"/>
          <w:szCs w:val="22"/>
        </w:rPr>
        <w:t>’</w:t>
      </w:r>
      <w:r w:rsidRPr="00EF47F4">
        <w:rPr>
          <w:rFonts w:cs="Arial"/>
          <w:spacing w:val="-2"/>
          <w:szCs w:val="22"/>
        </w:rPr>
        <w:t xml:space="preserve">Organisation des </w:t>
      </w:r>
      <w:r w:rsidR="00D91476" w:rsidRPr="00EF47F4">
        <w:rPr>
          <w:rFonts w:cs="Arial"/>
          <w:spacing w:val="-2"/>
          <w:szCs w:val="22"/>
        </w:rPr>
        <w:t>Nations Unies</w:t>
      </w:r>
      <w:r w:rsidRPr="00EF47F4">
        <w:rPr>
          <w:rFonts w:cs="Arial"/>
          <w:spacing w:val="-2"/>
          <w:szCs w:val="22"/>
        </w:rPr>
        <w:t xml:space="preserve"> pour l</w:t>
      </w:r>
      <w:r w:rsidR="00D91476" w:rsidRPr="00EF47F4">
        <w:rPr>
          <w:rFonts w:cs="Arial"/>
          <w:spacing w:val="-2"/>
          <w:szCs w:val="22"/>
        </w:rPr>
        <w:t>’</w:t>
      </w:r>
      <w:r w:rsidRPr="00EF47F4">
        <w:rPr>
          <w:rFonts w:cs="Arial"/>
          <w:spacing w:val="-2"/>
          <w:szCs w:val="22"/>
        </w:rPr>
        <w:t>alimentation et l</w:t>
      </w:r>
      <w:r w:rsidR="00D91476" w:rsidRPr="00EF47F4">
        <w:rPr>
          <w:rFonts w:cs="Arial"/>
          <w:spacing w:val="-2"/>
          <w:szCs w:val="22"/>
        </w:rPr>
        <w:t>’</w:t>
      </w:r>
      <w:r w:rsidRPr="00EF47F4">
        <w:rPr>
          <w:rFonts w:cs="Arial"/>
          <w:spacing w:val="-2"/>
          <w:szCs w:val="22"/>
        </w:rPr>
        <w:t xml:space="preserve">agriculture (FAO) indique que les Parties contractantes reconnaissent </w:t>
      </w:r>
      <w:r w:rsidRPr="00EF47F4">
        <w:rPr>
          <w:rFonts w:cs="Arial"/>
          <w:iCs/>
          <w:spacing w:val="-2"/>
          <w:szCs w:val="22"/>
        </w:rPr>
        <w:t>“l</w:t>
      </w:r>
      <w:r w:rsidR="00D91476" w:rsidRPr="00EF47F4">
        <w:rPr>
          <w:rFonts w:cs="Arial"/>
          <w:iCs/>
          <w:spacing w:val="-2"/>
          <w:szCs w:val="22"/>
        </w:rPr>
        <w:t>’</w:t>
      </w:r>
      <w:r w:rsidRPr="00EF47F4">
        <w:rPr>
          <w:rFonts w:cs="Arial"/>
          <w:iCs/>
          <w:spacing w:val="-2"/>
          <w:szCs w:val="22"/>
        </w:rPr>
        <w:t>énorme contribution que les communautés locales et autochtones ainsi que les agriculteurs de toutes les régions du monde, et spécialement ceux des centres d</w:t>
      </w:r>
      <w:r w:rsidR="00D91476" w:rsidRPr="00EF47F4">
        <w:rPr>
          <w:rFonts w:cs="Arial"/>
          <w:iCs/>
          <w:spacing w:val="-2"/>
          <w:szCs w:val="22"/>
        </w:rPr>
        <w:t>’</w:t>
      </w:r>
      <w:r w:rsidRPr="00EF47F4">
        <w:rPr>
          <w:rFonts w:cs="Arial"/>
          <w:iCs/>
          <w:spacing w:val="-2"/>
          <w:szCs w:val="22"/>
        </w:rPr>
        <w:t>origine et de diversité des plantes cultivées, ont apportée et continueront d</w:t>
      </w:r>
      <w:r w:rsidR="00D91476" w:rsidRPr="00EF47F4">
        <w:rPr>
          <w:rFonts w:cs="Arial"/>
          <w:iCs/>
          <w:spacing w:val="-2"/>
          <w:szCs w:val="22"/>
        </w:rPr>
        <w:t>’</w:t>
      </w:r>
      <w:r w:rsidRPr="00EF47F4">
        <w:rPr>
          <w:rFonts w:cs="Arial"/>
          <w:iCs/>
          <w:spacing w:val="-2"/>
          <w:szCs w:val="22"/>
        </w:rPr>
        <w:t xml:space="preserve">apporter à la conservation et à la mise en valeur des ressources </w:t>
      </w:r>
      <w:proofErr w:type="spellStart"/>
      <w:r w:rsidRPr="00EF47F4">
        <w:rPr>
          <w:rFonts w:cs="Arial"/>
          <w:iCs/>
          <w:spacing w:val="-2"/>
          <w:szCs w:val="22"/>
        </w:rPr>
        <w:t>phytogénétiques</w:t>
      </w:r>
      <w:proofErr w:type="spellEnd"/>
      <w:r w:rsidRPr="00EF47F4">
        <w:rPr>
          <w:rFonts w:cs="Arial"/>
          <w:iCs/>
          <w:spacing w:val="-2"/>
          <w:szCs w:val="22"/>
        </w:rPr>
        <w:t xml:space="preserve"> qui constituent la base de la production alimentaire et agricole dans le monde entier</w:t>
      </w:r>
      <w:r w:rsidRPr="00EF47F4">
        <w:rPr>
          <w:rFonts w:cs="Arial"/>
          <w:spacing w:val="-2"/>
          <w:szCs w:val="22"/>
        </w:rPr>
        <w:t>”.  L</w:t>
      </w:r>
      <w:r w:rsidR="00D91476" w:rsidRPr="00EF47F4">
        <w:rPr>
          <w:rFonts w:cs="Arial"/>
          <w:spacing w:val="-2"/>
          <w:szCs w:val="22"/>
        </w:rPr>
        <w:t>’</w:t>
      </w:r>
      <w:r w:rsidRPr="00EF47F4">
        <w:rPr>
          <w:rFonts w:cs="Arial"/>
          <w:spacing w:val="-2"/>
          <w:szCs w:val="22"/>
        </w:rPr>
        <w:t>article 9.2 définit les “droits des agriculteurs” de la manière suivante</w:t>
      </w:r>
      <w:r w:rsidR="00D91476" w:rsidRPr="00EF47F4">
        <w:rPr>
          <w:rFonts w:cs="Arial"/>
          <w:spacing w:val="-2"/>
          <w:szCs w:val="22"/>
        </w:rPr>
        <w:t> :</w:t>
      </w:r>
      <w:r w:rsidRPr="00EF47F4">
        <w:rPr>
          <w:rFonts w:cs="Arial"/>
          <w:spacing w:val="-2"/>
          <w:szCs w:val="22"/>
        </w:rPr>
        <w:t xml:space="preserve"> “</w:t>
      </w:r>
      <w:r w:rsidRPr="00EF47F4">
        <w:rPr>
          <w:rFonts w:cs="Arial"/>
          <w:iCs/>
          <w:spacing w:val="-2"/>
          <w:szCs w:val="22"/>
        </w:rPr>
        <w:t xml:space="preserve">a) la protection des connaissances traditionnelles présentant un intérêt pour les ressources </w:t>
      </w:r>
      <w:proofErr w:type="spellStart"/>
      <w:r w:rsidRPr="00EF47F4">
        <w:rPr>
          <w:rFonts w:cs="Arial"/>
          <w:iCs/>
          <w:spacing w:val="-2"/>
          <w:szCs w:val="22"/>
        </w:rPr>
        <w:t>phytogénétiques</w:t>
      </w:r>
      <w:proofErr w:type="spellEnd"/>
      <w:r w:rsidRPr="00EF47F4">
        <w:rPr>
          <w:rFonts w:cs="Arial"/>
          <w:iCs/>
          <w:spacing w:val="-2"/>
          <w:szCs w:val="22"/>
        </w:rPr>
        <w:t xml:space="preserve"> pour l</w:t>
      </w:r>
      <w:r w:rsidR="00D91476" w:rsidRPr="00EF47F4">
        <w:rPr>
          <w:rFonts w:cs="Arial"/>
          <w:iCs/>
          <w:spacing w:val="-2"/>
          <w:szCs w:val="22"/>
        </w:rPr>
        <w:t>’</w:t>
      </w:r>
      <w:r w:rsidRPr="00EF47F4">
        <w:rPr>
          <w:rFonts w:cs="Arial"/>
          <w:iCs/>
          <w:spacing w:val="-2"/>
          <w:szCs w:val="22"/>
        </w:rPr>
        <w:t>alimentation et l</w:t>
      </w:r>
      <w:r w:rsidR="00D91476" w:rsidRPr="00EF47F4">
        <w:rPr>
          <w:rFonts w:cs="Arial"/>
          <w:iCs/>
          <w:spacing w:val="-2"/>
          <w:szCs w:val="22"/>
        </w:rPr>
        <w:t>’</w:t>
      </w:r>
      <w:r w:rsidRPr="00EF47F4">
        <w:rPr>
          <w:rFonts w:cs="Arial"/>
          <w:iCs/>
          <w:spacing w:val="-2"/>
          <w:szCs w:val="22"/>
        </w:rPr>
        <w:t>agriculture;  b) le droit de participer équitablement au partage des avantages découlant de l</w:t>
      </w:r>
      <w:r w:rsidR="00D91476" w:rsidRPr="00EF47F4">
        <w:rPr>
          <w:rFonts w:cs="Arial"/>
          <w:iCs/>
          <w:spacing w:val="-2"/>
          <w:szCs w:val="22"/>
        </w:rPr>
        <w:t>’</w:t>
      </w:r>
      <w:r w:rsidRPr="00EF47F4">
        <w:rPr>
          <w:rFonts w:cs="Arial"/>
          <w:iCs/>
          <w:spacing w:val="-2"/>
          <w:szCs w:val="22"/>
        </w:rPr>
        <w:t xml:space="preserve">utilisation des ressources </w:t>
      </w:r>
      <w:proofErr w:type="spellStart"/>
      <w:r w:rsidRPr="00EF47F4">
        <w:rPr>
          <w:rFonts w:cs="Arial"/>
          <w:iCs/>
          <w:spacing w:val="-2"/>
          <w:szCs w:val="22"/>
        </w:rPr>
        <w:t>phytogénétiques</w:t>
      </w:r>
      <w:proofErr w:type="spellEnd"/>
      <w:r w:rsidRPr="00EF47F4">
        <w:rPr>
          <w:rFonts w:cs="Arial"/>
          <w:iCs/>
          <w:spacing w:val="-2"/>
          <w:szCs w:val="22"/>
        </w:rPr>
        <w:t xml:space="preserve"> pour l</w:t>
      </w:r>
      <w:r w:rsidR="00D91476" w:rsidRPr="00EF47F4">
        <w:rPr>
          <w:rFonts w:cs="Arial"/>
          <w:iCs/>
          <w:spacing w:val="-2"/>
          <w:szCs w:val="22"/>
        </w:rPr>
        <w:t>’</w:t>
      </w:r>
      <w:r w:rsidRPr="00EF47F4">
        <w:rPr>
          <w:rFonts w:cs="Arial"/>
          <w:iCs/>
          <w:spacing w:val="-2"/>
          <w:szCs w:val="22"/>
        </w:rPr>
        <w:t>alimentation et l</w:t>
      </w:r>
      <w:r w:rsidR="00D91476" w:rsidRPr="00EF47F4">
        <w:rPr>
          <w:rFonts w:cs="Arial"/>
          <w:iCs/>
          <w:spacing w:val="-2"/>
          <w:szCs w:val="22"/>
        </w:rPr>
        <w:t>’</w:t>
      </w:r>
      <w:r w:rsidRPr="00EF47F4">
        <w:rPr>
          <w:rFonts w:cs="Arial"/>
          <w:iCs/>
          <w:spacing w:val="-2"/>
          <w:szCs w:val="22"/>
        </w:rPr>
        <w:t>agriculture;  c) le droit de participer à la prise de décisions, au niveau national, sur les questions relatives à la conservation et à l</w:t>
      </w:r>
      <w:r w:rsidR="00D91476" w:rsidRPr="00EF47F4">
        <w:rPr>
          <w:rFonts w:cs="Arial"/>
          <w:iCs/>
          <w:spacing w:val="-2"/>
          <w:szCs w:val="22"/>
        </w:rPr>
        <w:t>’</w:t>
      </w:r>
      <w:r w:rsidRPr="00EF47F4">
        <w:rPr>
          <w:rFonts w:cs="Arial"/>
          <w:iCs/>
          <w:spacing w:val="-2"/>
          <w:szCs w:val="22"/>
        </w:rPr>
        <w:t xml:space="preserve">utilisation </w:t>
      </w:r>
      <w:r w:rsidRPr="00EF47F4">
        <w:rPr>
          <w:rFonts w:cs="Arial"/>
          <w:iCs/>
          <w:spacing w:val="-2"/>
          <w:szCs w:val="22"/>
        </w:rPr>
        <w:lastRenderedPageBreak/>
        <w:t xml:space="preserve">durable des ressources </w:t>
      </w:r>
      <w:proofErr w:type="spellStart"/>
      <w:r w:rsidRPr="00EF47F4">
        <w:rPr>
          <w:rFonts w:cs="Arial"/>
          <w:iCs/>
          <w:spacing w:val="-2"/>
          <w:szCs w:val="22"/>
        </w:rPr>
        <w:t>phytogénétiques</w:t>
      </w:r>
      <w:proofErr w:type="spellEnd"/>
      <w:r w:rsidRPr="00EF47F4">
        <w:rPr>
          <w:rFonts w:cs="Arial"/>
          <w:iCs/>
          <w:spacing w:val="-2"/>
          <w:szCs w:val="22"/>
        </w:rPr>
        <w:t xml:space="preserve"> pour l</w:t>
      </w:r>
      <w:r w:rsidR="00D91476" w:rsidRPr="00EF47F4">
        <w:rPr>
          <w:rFonts w:cs="Arial"/>
          <w:iCs/>
          <w:spacing w:val="-2"/>
          <w:szCs w:val="22"/>
        </w:rPr>
        <w:t>’</w:t>
      </w:r>
      <w:r w:rsidRPr="00EF47F4">
        <w:rPr>
          <w:rFonts w:cs="Arial"/>
          <w:iCs/>
          <w:spacing w:val="-2"/>
          <w:szCs w:val="22"/>
        </w:rPr>
        <w:t>alimentation et l</w:t>
      </w:r>
      <w:r w:rsidR="00D91476" w:rsidRPr="00EF47F4">
        <w:rPr>
          <w:rFonts w:cs="Arial"/>
          <w:iCs/>
          <w:spacing w:val="-2"/>
          <w:szCs w:val="22"/>
        </w:rPr>
        <w:t>’</w:t>
      </w:r>
      <w:r w:rsidRPr="00EF47F4">
        <w:rPr>
          <w:rFonts w:cs="Arial"/>
          <w:iCs/>
          <w:spacing w:val="-2"/>
          <w:szCs w:val="22"/>
        </w:rPr>
        <w:t>agriculture</w:t>
      </w:r>
      <w:r w:rsidRPr="00EF47F4">
        <w:rPr>
          <w:rFonts w:cs="Arial"/>
          <w:spacing w:val="-2"/>
          <w:szCs w:val="22"/>
        </w:rPr>
        <w:t>”.  L</w:t>
      </w:r>
      <w:r w:rsidR="00D91476" w:rsidRPr="00EF47F4">
        <w:rPr>
          <w:rFonts w:cs="Arial"/>
          <w:spacing w:val="-2"/>
          <w:szCs w:val="22"/>
        </w:rPr>
        <w:t>’</w:t>
      </w:r>
      <w:r w:rsidRPr="00EF47F4">
        <w:rPr>
          <w:rFonts w:cs="Arial"/>
          <w:spacing w:val="-2"/>
          <w:szCs w:val="22"/>
        </w:rPr>
        <w:t xml:space="preserve">article 2 du </w:t>
      </w:r>
      <w:r w:rsidRPr="00EF47F4">
        <w:rPr>
          <w:rFonts w:cs="Arial"/>
          <w:i/>
          <w:spacing w:val="-2"/>
          <w:szCs w:val="22"/>
        </w:rPr>
        <w:t xml:space="preserve">Code international de conduite pour la collecte et le transfert de matériel </w:t>
      </w:r>
      <w:proofErr w:type="spellStart"/>
      <w:r w:rsidRPr="00EF47F4">
        <w:rPr>
          <w:rFonts w:cs="Arial"/>
          <w:i/>
          <w:spacing w:val="-2"/>
          <w:szCs w:val="22"/>
        </w:rPr>
        <w:t>phytogénétique</w:t>
      </w:r>
      <w:proofErr w:type="spellEnd"/>
      <w:r w:rsidRPr="00EF47F4">
        <w:rPr>
          <w:rFonts w:cs="Arial"/>
          <w:spacing w:val="-2"/>
          <w:szCs w:val="22"/>
        </w:rPr>
        <w:t xml:space="preserve"> de l</w:t>
      </w:r>
      <w:r w:rsidR="00D91476" w:rsidRPr="00EF47F4">
        <w:rPr>
          <w:rFonts w:cs="Arial"/>
          <w:spacing w:val="-2"/>
          <w:szCs w:val="22"/>
        </w:rPr>
        <w:t>’</w:t>
      </w:r>
      <w:r w:rsidRPr="00EF47F4">
        <w:rPr>
          <w:rFonts w:cs="Arial"/>
          <w:spacing w:val="-2"/>
          <w:szCs w:val="22"/>
        </w:rPr>
        <w:t xml:space="preserve">Organisation des </w:t>
      </w:r>
      <w:r w:rsidR="00D91476" w:rsidRPr="00EF47F4">
        <w:rPr>
          <w:rFonts w:cs="Arial"/>
          <w:spacing w:val="-2"/>
          <w:szCs w:val="22"/>
        </w:rPr>
        <w:t>Nations Unies</w:t>
      </w:r>
      <w:r w:rsidRPr="00EF47F4">
        <w:rPr>
          <w:rFonts w:cs="Arial"/>
          <w:spacing w:val="-2"/>
          <w:szCs w:val="22"/>
        </w:rPr>
        <w:t xml:space="preserve"> pour l</w:t>
      </w:r>
      <w:r w:rsidR="00D91476" w:rsidRPr="00EF47F4">
        <w:rPr>
          <w:rFonts w:cs="Arial"/>
          <w:spacing w:val="-2"/>
          <w:szCs w:val="22"/>
        </w:rPr>
        <w:t>’</w:t>
      </w:r>
      <w:r w:rsidRPr="00EF47F4">
        <w:rPr>
          <w:rFonts w:cs="Arial"/>
          <w:spacing w:val="-2"/>
          <w:szCs w:val="22"/>
        </w:rPr>
        <w:t>alimentation et l</w:t>
      </w:r>
      <w:r w:rsidR="00D91476" w:rsidRPr="00EF47F4">
        <w:rPr>
          <w:rFonts w:cs="Arial"/>
          <w:spacing w:val="-2"/>
          <w:szCs w:val="22"/>
        </w:rPr>
        <w:t>’</w:t>
      </w:r>
      <w:r w:rsidRPr="00EF47F4">
        <w:rPr>
          <w:rFonts w:cs="Arial"/>
          <w:spacing w:val="-2"/>
          <w:szCs w:val="22"/>
        </w:rPr>
        <w:t>agriculture (FAO) définit ce terme de la manière suivante</w:t>
      </w:r>
      <w:r w:rsidR="00D91476" w:rsidRPr="00EF47F4">
        <w:rPr>
          <w:rFonts w:cs="Arial"/>
          <w:spacing w:val="-2"/>
          <w:szCs w:val="22"/>
        </w:rPr>
        <w:t> :</w:t>
      </w:r>
      <w:r w:rsidRPr="00EF47F4">
        <w:rPr>
          <w:rFonts w:cs="Arial"/>
          <w:spacing w:val="-2"/>
          <w:szCs w:val="22"/>
        </w:rPr>
        <w:t xml:space="preserve"> “</w:t>
      </w:r>
      <w:r w:rsidRPr="00EF47F4">
        <w:rPr>
          <w:rFonts w:cs="Arial"/>
          <w:iCs/>
          <w:spacing w:val="-2"/>
          <w:szCs w:val="22"/>
        </w:rPr>
        <w:t>droits que confèrent aux agriculteurs, et particulièrement à ceux des centres d</w:t>
      </w:r>
      <w:r w:rsidR="00D91476" w:rsidRPr="00EF47F4">
        <w:rPr>
          <w:rFonts w:cs="Arial"/>
          <w:iCs/>
          <w:spacing w:val="-2"/>
          <w:szCs w:val="22"/>
        </w:rPr>
        <w:t>’</w:t>
      </w:r>
      <w:r w:rsidRPr="00EF47F4">
        <w:rPr>
          <w:rFonts w:cs="Arial"/>
          <w:iCs/>
          <w:spacing w:val="-2"/>
          <w:szCs w:val="22"/>
        </w:rPr>
        <w:t>origine et de diversité des ressources génétiques, leurs contributions passées, présentes et futures à la conservation, à l</w:t>
      </w:r>
      <w:r w:rsidR="00D91476" w:rsidRPr="00EF47F4">
        <w:rPr>
          <w:rFonts w:cs="Arial"/>
          <w:iCs/>
          <w:spacing w:val="-2"/>
          <w:szCs w:val="22"/>
        </w:rPr>
        <w:t>’</w:t>
      </w:r>
      <w:r w:rsidRPr="00EF47F4">
        <w:rPr>
          <w:rFonts w:cs="Arial"/>
          <w:iCs/>
          <w:spacing w:val="-2"/>
          <w:szCs w:val="22"/>
        </w:rPr>
        <w:t>amélioration et à la disponibilité de ces ressourc</w:t>
      </w:r>
      <w:r w:rsidR="001F3AEE" w:rsidRPr="00EF47F4">
        <w:rPr>
          <w:rFonts w:cs="Arial"/>
          <w:iCs/>
          <w:spacing w:val="-2"/>
          <w:szCs w:val="22"/>
        </w:rPr>
        <w:t>es.  Ce</w:t>
      </w:r>
      <w:r w:rsidRPr="00EF47F4">
        <w:rPr>
          <w:rFonts w:cs="Arial"/>
          <w:iCs/>
          <w:spacing w:val="-2"/>
          <w:szCs w:val="22"/>
        </w:rPr>
        <w:t>s droits sont dévolus à la communauté internationale qui, en tant que dépositaire pour les générations présentes et futures d</w:t>
      </w:r>
      <w:r w:rsidR="00D91476" w:rsidRPr="00EF47F4">
        <w:rPr>
          <w:rFonts w:cs="Arial"/>
          <w:iCs/>
          <w:spacing w:val="-2"/>
          <w:szCs w:val="22"/>
        </w:rPr>
        <w:t>’</w:t>
      </w:r>
      <w:r w:rsidRPr="00EF47F4">
        <w:rPr>
          <w:rFonts w:cs="Arial"/>
          <w:iCs/>
          <w:spacing w:val="-2"/>
          <w:szCs w:val="22"/>
        </w:rPr>
        <w:t>agriculteurs, doit assurer à ces derniers tous les bénéfices qui leur reviennent, les aider à poursuivre leur action et appuyer la réalisation des objectifs globaux de l</w:t>
      </w:r>
      <w:r w:rsidR="00D91476" w:rsidRPr="00EF47F4">
        <w:rPr>
          <w:rFonts w:cs="Arial"/>
          <w:iCs/>
          <w:spacing w:val="-2"/>
          <w:szCs w:val="22"/>
        </w:rPr>
        <w:t>’</w:t>
      </w:r>
      <w:r w:rsidRPr="00EF47F4">
        <w:rPr>
          <w:rFonts w:cs="Arial"/>
          <w:iCs/>
          <w:spacing w:val="-2"/>
          <w:szCs w:val="22"/>
        </w:rPr>
        <w:t>Engagement international</w:t>
      </w:r>
      <w:r w:rsidRPr="00EF47F4">
        <w:rPr>
          <w:rFonts w:cs="Arial"/>
          <w:spacing w:val="-2"/>
          <w:szCs w:val="22"/>
        </w:rPr>
        <w:t>”.</w:t>
      </w:r>
    </w:p>
    <w:p w:rsidR="00D23D81" w:rsidRDefault="00DD607D" w:rsidP="00E104D3">
      <w:pPr>
        <w:pStyle w:val="Heading2"/>
        <w:spacing w:after="220" w:line="240" w:lineRule="auto"/>
      </w:pPr>
      <w:bookmarkStart w:id="57" w:name="_Toc7772533"/>
      <w:r w:rsidRPr="00E8642C">
        <w:t>État de la technique</w:t>
      </w:r>
      <w:bookmarkEnd w:id="57"/>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état de la technique désigne, en général, toutes les connaissances qui existaient avant la date de dépôt ou de priorité pertinente d</w:t>
      </w:r>
      <w:r w:rsidR="00D91476">
        <w:rPr>
          <w:rFonts w:cs="Arial"/>
          <w:szCs w:val="22"/>
        </w:rPr>
        <w:t>’</w:t>
      </w:r>
      <w:r w:rsidRPr="00E8642C">
        <w:rPr>
          <w:rFonts w:cs="Arial"/>
          <w:szCs w:val="22"/>
        </w:rPr>
        <w:t>une demande de brevet, qu</w:t>
      </w:r>
      <w:r w:rsidR="00D91476">
        <w:rPr>
          <w:rFonts w:cs="Arial"/>
          <w:szCs w:val="22"/>
        </w:rPr>
        <w:t>’</w:t>
      </w:r>
      <w:r w:rsidRPr="00E8642C">
        <w:rPr>
          <w:rFonts w:cs="Arial"/>
          <w:szCs w:val="22"/>
        </w:rPr>
        <w:t>elles aient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une divulgation écrite ou ora</w:t>
      </w:r>
      <w:r w:rsidR="001F3AEE" w:rsidRPr="00E8642C">
        <w:rPr>
          <w:rFonts w:cs="Arial"/>
          <w:szCs w:val="22"/>
        </w:rPr>
        <w:t>le</w:t>
      </w:r>
      <w:r w:rsidR="001F3AEE">
        <w:rPr>
          <w:rFonts w:cs="Arial"/>
          <w:szCs w:val="22"/>
        </w:rPr>
        <w:t xml:space="preserve">.  </w:t>
      </w:r>
      <w:r w:rsidR="001F3AEE"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D91476">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23D81" w:rsidRDefault="00DD607D" w:rsidP="00E104D3">
      <w:pPr>
        <w:spacing w:after="220"/>
        <w:rPr>
          <w:rFonts w:cs="Arial"/>
          <w:szCs w:val="22"/>
        </w:rPr>
      </w:pPr>
      <w:r w:rsidRPr="00E8642C">
        <w:rPr>
          <w:rFonts w:cs="Arial"/>
          <w:szCs w:val="22"/>
        </w:rPr>
        <w:t>Aux fins du PCT, la règle 33.1 du règlement d</w:t>
      </w:r>
      <w:r w:rsidR="00D91476">
        <w:rPr>
          <w:rFonts w:cs="Arial"/>
          <w:szCs w:val="22"/>
        </w:rPr>
        <w:t>’</w:t>
      </w:r>
      <w:r w:rsidRPr="00E8642C">
        <w:rPr>
          <w:rFonts w:cs="Arial"/>
          <w:szCs w:val="22"/>
        </w:rPr>
        <w:t>exécution du PCT définit l</w:t>
      </w:r>
      <w:r w:rsidR="00D91476">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D91476">
        <w:rPr>
          <w:rFonts w:cs="Arial"/>
          <w:iCs/>
          <w:szCs w:val="22"/>
        </w:rPr>
        <w:t>y compris</w:t>
      </w:r>
      <w:r w:rsidRPr="00E8642C">
        <w:rPr>
          <w:rFonts w:cs="Arial"/>
          <w:iCs/>
          <w:szCs w:val="22"/>
        </w:rPr>
        <w:t xml:space="preserve"> des dessins et autres illustrations) et qui est susceptible d</w:t>
      </w:r>
      <w:r w:rsidR="00D91476">
        <w:rPr>
          <w:rFonts w:cs="Arial"/>
          <w:iCs/>
          <w:szCs w:val="22"/>
        </w:rPr>
        <w:t>’</w:t>
      </w:r>
      <w:r w:rsidRPr="00E8642C">
        <w:rPr>
          <w:rFonts w:cs="Arial"/>
          <w:iCs/>
          <w:szCs w:val="22"/>
        </w:rPr>
        <w:t>aider à déterminer si l</w:t>
      </w:r>
      <w:r w:rsidR="00D91476">
        <w:rPr>
          <w:rFonts w:cs="Arial"/>
          <w:iCs/>
          <w:szCs w:val="22"/>
        </w:rPr>
        <w:t>’</w:t>
      </w:r>
      <w:r w:rsidRPr="00E8642C">
        <w:rPr>
          <w:rFonts w:cs="Arial"/>
          <w:iCs/>
          <w:szCs w:val="22"/>
        </w:rPr>
        <w:t>invention dont la protection est demandée est nouvelle ou non et si elle implique ou non une activité inventive (c</w:t>
      </w:r>
      <w:r w:rsidR="00D91476">
        <w:rPr>
          <w:rFonts w:cs="Arial"/>
          <w:iCs/>
          <w:szCs w:val="22"/>
        </w:rPr>
        <w:t>’</w:t>
      </w:r>
      <w:r w:rsidRPr="00E8642C">
        <w:rPr>
          <w:rFonts w:cs="Arial"/>
          <w:iCs/>
          <w:szCs w:val="22"/>
        </w:rPr>
        <w:t>est</w:t>
      </w:r>
      <w:r w:rsidR="00400337">
        <w:rPr>
          <w:rFonts w:cs="Arial"/>
          <w:iCs/>
          <w:szCs w:val="22"/>
        </w:rPr>
        <w:noBreakHyphen/>
      </w:r>
      <w:r w:rsidRPr="00E8642C">
        <w:rPr>
          <w:rFonts w:cs="Arial"/>
          <w:iCs/>
          <w:szCs w:val="22"/>
        </w:rPr>
        <w:t>à</w:t>
      </w:r>
      <w:r w:rsidR="00400337">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23D81" w:rsidRDefault="00DD607D" w:rsidP="00E104D3">
      <w:pPr>
        <w:autoSpaceDE w:val="0"/>
        <w:autoSpaceDN w:val="0"/>
        <w:adjustRightInd w:val="0"/>
        <w:spacing w:after="220"/>
        <w:rPr>
          <w:rFonts w:cs="Arial"/>
          <w:szCs w:val="22"/>
        </w:rPr>
      </w:pPr>
      <w:r w:rsidRPr="00E8642C">
        <w:rPr>
          <w:rFonts w:cs="Arial"/>
          <w:szCs w:val="22"/>
          <w:lang w:eastAsia="en-US" w:bidi="th-TH"/>
        </w:rPr>
        <w:t>En Europe, l</w:t>
      </w:r>
      <w:r w:rsidR="00D91476">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D91476">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D91476">
        <w:rPr>
          <w:rFonts w:cs="Arial"/>
          <w:i/>
          <w:szCs w:val="22"/>
          <w:lang w:eastAsia="en-US" w:bidi="th-TH"/>
        </w:rPr>
        <w:t>’</w:t>
      </w:r>
      <w:r w:rsidRPr="00E8642C">
        <w:rPr>
          <w:rFonts w:cs="Arial"/>
          <w:i/>
          <w:szCs w:val="22"/>
          <w:lang w:eastAsia="en-US" w:bidi="th-TH"/>
        </w:rPr>
        <w:t>examen à l</w:t>
      </w:r>
      <w:r w:rsidR="00D91476">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D91476">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D91476">
        <w:rPr>
          <w:rFonts w:cs="Arial"/>
          <w:iCs/>
          <w:szCs w:val="22"/>
          <w:lang w:eastAsia="en-US" w:bidi="th-TH"/>
        </w:rPr>
        <w:t>’</w:t>
      </w:r>
      <w:r w:rsidRPr="00E8642C">
        <w:rPr>
          <w:rFonts w:cs="Arial"/>
          <w:iCs/>
          <w:szCs w:val="22"/>
          <w:lang w:eastAsia="en-US" w:bidi="th-TH"/>
        </w:rPr>
        <w:t>aucune restriction n</w:t>
      </w:r>
      <w:r w:rsidR="00D91476">
        <w:rPr>
          <w:rFonts w:cs="Arial"/>
          <w:iCs/>
          <w:szCs w:val="22"/>
          <w:lang w:eastAsia="en-US" w:bidi="th-TH"/>
        </w:rPr>
        <w:t>’</w:t>
      </w:r>
      <w:r w:rsidRPr="00E8642C">
        <w:rPr>
          <w:rFonts w:cs="Arial"/>
          <w:iCs/>
          <w:szCs w:val="22"/>
          <w:lang w:eastAsia="en-US" w:bidi="th-TH"/>
        </w:rPr>
        <w:t>a été prévue en ce qui concerne le lieu géographique où l</w:t>
      </w:r>
      <w:r w:rsidR="00D91476">
        <w:rPr>
          <w:rFonts w:cs="Arial"/>
          <w:iCs/>
          <w:szCs w:val="22"/>
          <w:lang w:eastAsia="en-US" w:bidi="th-TH"/>
        </w:rPr>
        <w:t>’</w:t>
      </w:r>
      <w:r w:rsidRPr="00E8642C">
        <w:rPr>
          <w:rFonts w:cs="Arial"/>
          <w:iCs/>
          <w:szCs w:val="22"/>
          <w:lang w:eastAsia="en-US" w:bidi="th-TH"/>
        </w:rPr>
        <w:t>état de la technique a été rendu accessible au public, la façon dont il l</w:t>
      </w:r>
      <w:r w:rsidR="00D91476">
        <w:rPr>
          <w:rFonts w:cs="Arial"/>
          <w:iCs/>
          <w:szCs w:val="22"/>
          <w:lang w:eastAsia="en-US" w:bidi="th-TH"/>
        </w:rPr>
        <w:t>’</w:t>
      </w:r>
      <w:r w:rsidRPr="00E8642C">
        <w:rPr>
          <w:rFonts w:cs="Arial"/>
          <w:iCs/>
          <w:szCs w:val="22"/>
          <w:lang w:eastAsia="en-US" w:bidi="th-TH"/>
        </w:rPr>
        <w:t>a été et la langue dans laquelle il l</w:t>
      </w:r>
      <w:r w:rsidR="00D91476">
        <w:rPr>
          <w:rFonts w:cs="Arial"/>
          <w:iCs/>
          <w:szCs w:val="22"/>
          <w:lang w:eastAsia="en-US" w:bidi="th-TH"/>
        </w:rPr>
        <w:t>’</w:t>
      </w:r>
      <w:r w:rsidRPr="00E8642C">
        <w:rPr>
          <w:rFonts w:cs="Arial"/>
          <w:iCs/>
          <w:szCs w:val="22"/>
          <w:lang w:eastAsia="en-US" w:bidi="th-TH"/>
        </w:rPr>
        <w:t xml:space="preserve">a </w:t>
      </w:r>
      <w:proofErr w:type="gramStart"/>
      <w:r w:rsidRPr="00E8642C">
        <w:rPr>
          <w:rFonts w:cs="Arial"/>
          <w:iCs/>
          <w:szCs w:val="22"/>
          <w:lang w:eastAsia="en-US" w:bidi="th-TH"/>
        </w:rPr>
        <w:t>été;  par</w:t>
      </w:r>
      <w:proofErr w:type="gramEnd"/>
      <w:r w:rsidRPr="00E8642C">
        <w:rPr>
          <w:rFonts w:cs="Arial"/>
          <w:iCs/>
          <w:szCs w:val="22"/>
          <w:lang w:eastAsia="en-US" w:bidi="th-TH"/>
        </w:rPr>
        <w:t xml:space="preserve"> ailleurs, aucune limite d</w:t>
      </w:r>
      <w:r w:rsidR="00D91476">
        <w:rPr>
          <w:rFonts w:cs="Arial"/>
          <w:iCs/>
          <w:szCs w:val="22"/>
          <w:lang w:eastAsia="en-US" w:bidi="th-TH"/>
        </w:rPr>
        <w:t>’</w:t>
      </w:r>
      <w:r w:rsidRPr="00E8642C">
        <w:rPr>
          <w:rFonts w:cs="Arial"/>
          <w:iCs/>
          <w:szCs w:val="22"/>
          <w:lang w:eastAsia="en-US" w:bidi="th-TH"/>
        </w:rPr>
        <w:t>ancienneté n</w:t>
      </w:r>
      <w:r w:rsidR="00D91476">
        <w:rPr>
          <w:rFonts w:cs="Arial"/>
          <w:iCs/>
          <w:szCs w:val="22"/>
          <w:lang w:eastAsia="en-US" w:bidi="th-TH"/>
        </w:rPr>
        <w:t>’</w:t>
      </w:r>
      <w:r w:rsidRPr="00E8642C">
        <w:rPr>
          <w:rFonts w:cs="Arial"/>
          <w:iCs/>
          <w:szCs w:val="22"/>
          <w:lang w:eastAsia="en-US" w:bidi="th-TH"/>
        </w:rPr>
        <w:t>a été fixée en ce qui concerne les documents constituant l</w:t>
      </w:r>
      <w:r w:rsidR="00D91476">
        <w:rPr>
          <w:rFonts w:cs="Arial"/>
          <w:iCs/>
          <w:szCs w:val="22"/>
          <w:lang w:eastAsia="en-US" w:bidi="th-TH"/>
        </w:rPr>
        <w:t>’</w:t>
      </w:r>
      <w:r w:rsidRPr="00E8642C">
        <w:rPr>
          <w:rFonts w:cs="Arial"/>
          <w:iCs/>
          <w:szCs w:val="22"/>
          <w:lang w:eastAsia="en-US" w:bidi="th-TH"/>
        </w:rPr>
        <w:t>état de la techniq</w:t>
      </w:r>
      <w:r w:rsidR="001F3AEE" w:rsidRPr="00E8642C">
        <w:rPr>
          <w:rFonts w:cs="Arial"/>
          <w:iCs/>
          <w:szCs w:val="22"/>
          <w:lang w:eastAsia="en-US" w:bidi="th-TH"/>
        </w:rPr>
        <w:t>ue</w:t>
      </w:r>
      <w:r w:rsidR="001F3AEE">
        <w:rPr>
          <w:rFonts w:cs="Arial"/>
          <w:iCs/>
          <w:szCs w:val="22"/>
          <w:lang w:eastAsia="en-US" w:bidi="th-TH"/>
        </w:rPr>
        <w:t xml:space="preserve">.  </w:t>
      </w:r>
      <w:r w:rsidR="001F3AEE" w:rsidRPr="00E8642C">
        <w:rPr>
          <w:rFonts w:cs="Arial"/>
          <w:iCs/>
          <w:szCs w:val="22"/>
          <w:lang w:eastAsia="en-US" w:bidi="th-TH"/>
        </w:rPr>
        <w:t>Il</w:t>
      </w:r>
      <w:r w:rsidRPr="00E8642C">
        <w:rPr>
          <w:rFonts w:cs="Arial"/>
          <w:iCs/>
          <w:szCs w:val="22"/>
          <w:lang w:eastAsia="en-US" w:bidi="th-TH"/>
        </w:rPr>
        <w:t xml:space="preserve"> existe toutefois certaines restrictions particulières (cf. G – V)</w:t>
      </w:r>
      <w:r w:rsidRPr="00E8642C">
        <w:rPr>
          <w:rFonts w:cs="Arial"/>
          <w:szCs w:val="22"/>
        </w:rPr>
        <w:t>.</w:t>
      </w:r>
    </w:p>
    <w:p w:rsidR="00D23D81" w:rsidRDefault="00DD607D" w:rsidP="00E104D3">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article 102 du titre 35 du Code des États</w:t>
      </w:r>
      <w:r w:rsidR="00400337">
        <w:rPr>
          <w:rFonts w:cs="Arial"/>
          <w:szCs w:val="22"/>
          <w:lang w:eastAsia="en-US" w:bidi="th-TH"/>
        </w:rPr>
        <w:noBreakHyphen/>
      </w:r>
      <w:r w:rsidRPr="00E8642C">
        <w:rPr>
          <w:rFonts w:cs="Arial"/>
          <w:szCs w:val="22"/>
          <w:lang w:eastAsia="en-US" w:bidi="th-TH"/>
        </w:rPr>
        <w:t>Unis d</w:t>
      </w:r>
      <w:r w:rsidR="00D91476">
        <w:rPr>
          <w:rFonts w:cs="Arial"/>
          <w:szCs w:val="22"/>
          <w:lang w:eastAsia="en-US" w:bidi="th-TH"/>
        </w:rPr>
        <w:t>’</w:t>
      </w:r>
      <w:r w:rsidRPr="00E8642C">
        <w:rPr>
          <w:rFonts w:cs="Arial"/>
          <w:szCs w:val="22"/>
          <w:lang w:eastAsia="en-US" w:bidi="th-TH"/>
        </w:rPr>
        <w:t>Amérique définit l</w:t>
      </w:r>
      <w:r w:rsidR="00D91476">
        <w:rPr>
          <w:rFonts w:cs="Arial"/>
          <w:szCs w:val="22"/>
          <w:lang w:eastAsia="en-US" w:bidi="th-TH"/>
        </w:rPr>
        <w:t>’</w:t>
      </w:r>
      <w:r w:rsidRPr="00E8642C">
        <w:rPr>
          <w:rFonts w:cs="Arial"/>
          <w:szCs w:val="22"/>
          <w:lang w:eastAsia="en-US" w:bidi="th-TH"/>
        </w:rPr>
        <w:t>état de la technique indirectement par l</w:t>
      </w:r>
      <w:r w:rsidR="00D91476">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D91476">
        <w:t>’</w:t>
      </w:r>
      <w:r w:rsidRPr="00E8642C">
        <w:t>objet d</w:t>
      </w:r>
      <w:r w:rsidR="00D91476">
        <w:t>’</w:t>
      </w:r>
      <w:r w:rsidRPr="00E8642C">
        <w:t xml:space="preserve">un usage </w:t>
      </w:r>
      <w:r w:rsidRPr="00E8642C">
        <w:rPr>
          <w:rFonts w:cs="Arial"/>
          <w:iCs/>
          <w:szCs w:val="22"/>
          <w:lang w:eastAsia="en-US" w:bidi="th-TH"/>
        </w:rPr>
        <w:t>public, en vente ou mise à la disposition du public d</w:t>
      </w:r>
      <w:r w:rsidR="00D91476">
        <w:rPr>
          <w:rFonts w:cs="Arial"/>
          <w:iCs/>
          <w:szCs w:val="22"/>
          <w:lang w:eastAsia="en-US" w:bidi="th-TH"/>
        </w:rPr>
        <w:t>’</w:t>
      </w:r>
      <w:r w:rsidRPr="00E8642C">
        <w:rPr>
          <w:rFonts w:cs="Arial"/>
          <w:iCs/>
          <w:szCs w:val="22"/>
          <w:lang w:eastAsia="en-US" w:bidi="th-TH"/>
        </w:rPr>
        <w:t>une autre manière avant la date de dépôt effective de l</w:t>
      </w:r>
      <w:r w:rsidR="00D91476">
        <w:rPr>
          <w:rFonts w:cs="Arial"/>
          <w:iCs/>
          <w:szCs w:val="22"/>
          <w:lang w:eastAsia="en-US" w:bidi="th-TH"/>
        </w:rPr>
        <w:t>’</w:t>
      </w:r>
      <w:r w:rsidRPr="00E8642C">
        <w:rPr>
          <w:rFonts w:cs="Arial"/>
          <w:iCs/>
          <w:szCs w:val="22"/>
          <w:lang w:eastAsia="en-US" w:bidi="th-TH"/>
        </w:rPr>
        <w:t>invention revendiquée;  ou comme 2) l</w:t>
      </w:r>
      <w:r w:rsidR="00D91476">
        <w:rPr>
          <w:rFonts w:cs="Arial"/>
          <w:iCs/>
          <w:szCs w:val="22"/>
          <w:lang w:eastAsia="en-US" w:bidi="th-TH"/>
        </w:rPr>
        <w:t>’</w:t>
      </w:r>
      <w:r w:rsidRPr="00E8642C">
        <w:rPr>
          <w:rFonts w:cs="Arial"/>
          <w:iCs/>
          <w:szCs w:val="22"/>
          <w:lang w:eastAsia="en-US" w:bidi="th-TH"/>
        </w:rPr>
        <w:t>invention revendiquée décrite dans un brevet délivré en vertu de l</w:t>
      </w:r>
      <w:r w:rsidR="00D91476">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91476">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D91476">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23D81" w:rsidRDefault="00DD607D" w:rsidP="00E104D3">
      <w:pPr>
        <w:autoSpaceDE w:val="0"/>
        <w:autoSpaceDN w:val="0"/>
        <w:adjustRightInd w:val="0"/>
        <w:spacing w:after="220"/>
        <w:rPr>
          <w:rFonts w:cs="Arial"/>
          <w:szCs w:val="22"/>
          <w:lang w:eastAsia="en-US"/>
        </w:rPr>
      </w:pPr>
      <w:r w:rsidRPr="00E8642C">
        <w:rPr>
          <w:rFonts w:cs="Arial"/>
          <w:szCs w:val="22"/>
          <w:lang w:eastAsia="en-US"/>
        </w:rPr>
        <w:lastRenderedPageBreak/>
        <w:t>L</w:t>
      </w:r>
      <w:r w:rsidR="00D91476">
        <w:rPr>
          <w:rFonts w:cs="Arial"/>
          <w:szCs w:val="22"/>
          <w:lang w:eastAsia="en-US"/>
        </w:rPr>
        <w:t>’</w:t>
      </w:r>
      <w:r w:rsidRPr="00E8642C">
        <w:rPr>
          <w:rFonts w:cs="Arial"/>
          <w:szCs w:val="22"/>
          <w:lang w:eastAsia="en-US"/>
        </w:rPr>
        <w:t>article 29 de la loi japonaise sur les brevets définit indirectement l</w:t>
      </w:r>
      <w:r w:rsidR="00D91476">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D91476">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D91476">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D91476">
        <w:rPr>
          <w:rFonts w:cs="Arial"/>
          <w:iCs/>
          <w:szCs w:val="22"/>
          <w:lang w:eastAsia="en-US"/>
        </w:rPr>
        <w:t>’</w:t>
      </w:r>
      <w:r w:rsidRPr="00E8642C">
        <w:rPr>
          <w:rFonts w:cs="Arial"/>
          <w:iCs/>
          <w:szCs w:val="22"/>
          <w:lang w:eastAsia="en-US"/>
        </w:rPr>
        <w:t>une ligne de télécommunication électrique au Japon ou à l</w:t>
      </w:r>
      <w:r w:rsidR="00D91476">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23D81" w:rsidRDefault="00DD607D" w:rsidP="00E104D3">
      <w:pPr>
        <w:pStyle w:val="Heading2"/>
        <w:spacing w:after="220" w:line="240" w:lineRule="auto"/>
      </w:pPr>
      <w:bookmarkStart w:id="58" w:name="_Toc7772534"/>
      <w:r w:rsidRPr="00E8642C">
        <w:t>Exception</w:t>
      </w:r>
      <w:bookmarkEnd w:id="58"/>
    </w:p>
    <w:p w:rsidR="00D23D81" w:rsidRDefault="00DD607D" w:rsidP="00E104D3">
      <w:pPr>
        <w:pStyle w:val="CommentText"/>
        <w:spacing w:after="220"/>
        <w:rPr>
          <w:rFonts w:cs="Arial"/>
          <w:szCs w:val="22"/>
        </w:rPr>
      </w:pPr>
      <w:r w:rsidRPr="00E8642C">
        <w:rPr>
          <w:rFonts w:cs="Arial"/>
          <w:szCs w:val="22"/>
        </w:rPr>
        <w:t>Le terme “exception” fixe les limites de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Le</w:t>
      </w:r>
      <w:r w:rsidRPr="00E8642C">
        <w:rPr>
          <w:rFonts w:cs="Arial"/>
          <w:szCs w:val="22"/>
        </w:rPr>
        <w:t>s exceptions sont étroitement liées aux actes en rapport avec les éléments protég</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D91476">
        <w:rPr>
          <w:rFonts w:cs="Arial"/>
          <w:szCs w:val="22"/>
        </w:rPr>
        <w:t>’</w:t>
      </w:r>
      <w:r w:rsidRPr="00E8642C">
        <w:rPr>
          <w:rFonts w:cs="Arial"/>
          <w:szCs w:val="22"/>
        </w:rPr>
        <w:t>ensemble, il s</w:t>
      </w:r>
      <w:r w:rsidR="00D91476">
        <w:rPr>
          <w:rFonts w:cs="Arial"/>
          <w:szCs w:val="22"/>
        </w:rPr>
        <w:t>’</w:t>
      </w:r>
      <w:r w:rsidRPr="00E8642C">
        <w:rPr>
          <w:rFonts w:cs="Arial"/>
          <w:szCs w:val="22"/>
        </w:rPr>
        <w:t>agit de déterminer quelles utilisations d</w:t>
      </w:r>
      <w:r w:rsidR="00D91476">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D91476">
        <w:rPr>
          <w:rFonts w:cs="Arial"/>
          <w:szCs w:val="22"/>
        </w:rPr>
        <w:t>’</w:t>
      </w:r>
      <w:r w:rsidRPr="00E8642C">
        <w:rPr>
          <w:rFonts w:cs="Arial"/>
          <w:szCs w:val="22"/>
        </w:rPr>
        <w:t>application d</w:t>
      </w:r>
      <w:r w:rsidR="00D91476">
        <w:rPr>
          <w:rFonts w:cs="Arial"/>
          <w:szCs w:val="22"/>
        </w:rPr>
        <w:t>’</w:t>
      </w:r>
      <w:r w:rsidRPr="00E8642C">
        <w:rPr>
          <w:rFonts w:cs="Arial"/>
          <w:szCs w:val="22"/>
        </w:rPr>
        <w:t>un triple critère pour déterminer la possibilité d</w:t>
      </w:r>
      <w:r w:rsidR="00D91476">
        <w:rPr>
          <w:rFonts w:cs="Arial"/>
          <w:szCs w:val="22"/>
        </w:rPr>
        <w:t>’</w:t>
      </w:r>
      <w:r w:rsidRPr="00E8642C">
        <w:rPr>
          <w:rFonts w:cs="Arial"/>
          <w:szCs w:val="22"/>
        </w:rPr>
        <w:t>exception</w:t>
      </w:r>
      <w:r w:rsidR="00D91476">
        <w:rPr>
          <w:rFonts w:cs="Arial"/>
          <w:szCs w:val="22"/>
        </w:rPr>
        <w:t> :</w:t>
      </w:r>
      <w:r w:rsidRPr="00E8642C">
        <w:rPr>
          <w:rFonts w:cs="Arial"/>
          <w:szCs w:val="22"/>
        </w:rPr>
        <w:t xml:space="preserve"> i) l</w:t>
      </w:r>
      <w:r w:rsidR="00D91476">
        <w:rPr>
          <w:rFonts w:cs="Arial"/>
          <w:szCs w:val="22"/>
        </w:rPr>
        <w:t>’</w:t>
      </w:r>
      <w:r w:rsidRPr="00E8642C">
        <w:rPr>
          <w:rFonts w:cs="Arial"/>
          <w:szCs w:val="22"/>
        </w:rPr>
        <w:t>exception peut s</w:t>
      </w:r>
      <w:r w:rsidR="00D91476">
        <w:rPr>
          <w:rFonts w:cs="Arial"/>
          <w:szCs w:val="22"/>
        </w:rPr>
        <w:t>’</w:t>
      </w:r>
      <w:r w:rsidRPr="00E8642C">
        <w:rPr>
          <w:rFonts w:cs="Arial"/>
          <w:szCs w:val="22"/>
        </w:rPr>
        <w:t>appliquer uniquement à certains cas spéciaux;  ii) l</w:t>
      </w:r>
      <w:r w:rsidR="00D91476">
        <w:rPr>
          <w:rFonts w:cs="Arial"/>
          <w:szCs w:val="22"/>
        </w:rPr>
        <w:t>’</w:t>
      </w:r>
      <w:r w:rsidRPr="00E8642C">
        <w:rPr>
          <w:rFonts w:cs="Arial"/>
          <w:szCs w:val="22"/>
        </w:rPr>
        <w:t>exception ne doit pas porter atteinte à l</w:t>
      </w:r>
      <w:r w:rsidR="00D91476">
        <w:rPr>
          <w:rFonts w:cs="Arial"/>
          <w:szCs w:val="22"/>
        </w:rPr>
        <w:t>’</w:t>
      </w:r>
      <w:r w:rsidRPr="00E8642C">
        <w:rPr>
          <w:rFonts w:cs="Arial"/>
          <w:szCs w:val="22"/>
        </w:rPr>
        <w:t>exploitation normale de l</w:t>
      </w:r>
      <w:r w:rsidR="00D91476">
        <w:rPr>
          <w:rFonts w:cs="Arial"/>
          <w:szCs w:val="22"/>
        </w:rPr>
        <w:t>’</w:t>
      </w:r>
      <w:r w:rsidRPr="00E8642C">
        <w:rPr>
          <w:rFonts w:cs="Arial"/>
          <w:szCs w:val="22"/>
        </w:rPr>
        <w:t>œuvre ni iii) causer un préjudice injustifié aux intérêts légitimes de l</w:t>
      </w:r>
      <w:r w:rsidR="00D91476">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23D81" w:rsidRDefault="00DD607D" w:rsidP="00E104D3">
      <w:pPr>
        <w:pStyle w:val="Heading2"/>
        <w:spacing w:after="220" w:line="240" w:lineRule="auto"/>
      </w:pPr>
      <w:bookmarkStart w:id="59" w:name="_Toc7772535"/>
      <w:r w:rsidRPr="00E8642C">
        <w:t>Exigences de divulgation</w:t>
      </w:r>
      <w:bookmarkEnd w:id="59"/>
    </w:p>
    <w:p w:rsidR="00D23D81" w:rsidRDefault="00DD607D" w:rsidP="00E104D3">
      <w:pPr>
        <w:spacing w:after="220"/>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D91476">
        <w:rPr>
          <w:rFonts w:cs="Arial"/>
          <w:szCs w:val="22"/>
        </w:rPr>
        <w:t>’</w:t>
      </w:r>
      <w:r w:rsidRPr="00E8642C">
        <w:rPr>
          <w:rFonts w:cs="Arial"/>
          <w:szCs w:val="22"/>
        </w:rPr>
        <w:t>indique l</w:t>
      </w:r>
      <w:r w:rsidR="00D91476">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D91476">
        <w:rPr>
          <w:rFonts w:cs="Arial"/>
          <w:szCs w:val="22"/>
        </w:rPr>
        <w:t>’</w:t>
      </w:r>
      <w:r w:rsidRPr="00E8642C">
        <w:rPr>
          <w:rFonts w:cs="Arial"/>
          <w:szCs w:val="22"/>
        </w:rPr>
        <w:t>obligation générale “</w:t>
      </w:r>
      <w:r w:rsidRPr="00E8642C">
        <w:rPr>
          <w:rFonts w:cs="Arial"/>
          <w:iCs/>
          <w:szCs w:val="22"/>
        </w:rPr>
        <w:t>d</w:t>
      </w:r>
      <w:r w:rsidR="00D91476">
        <w:rPr>
          <w:rFonts w:cs="Arial"/>
          <w:iCs/>
          <w:szCs w:val="22"/>
        </w:rPr>
        <w:t>’</w:t>
      </w:r>
      <w:r w:rsidRPr="00E8642C">
        <w:rPr>
          <w:rFonts w:cs="Arial"/>
          <w:iCs/>
          <w:szCs w:val="22"/>
        </w:rPr>
        <w:t>exposer l</w:t>
      </w:r>
      <w:r w:rsidR="00D91476">
        <w:rPr>
          <w:rFonts w:cs="Arial"/>
          <w:iCs/>
          <w:szCs w:val="22"/>
        </w:rPr>
        <w:t>’</w:t>
      </w:r>
      <w:r w:rsidRPr="00E8642C">
        <w:rPr>
          <w:rFonts w:cs="Arial"/>
          <w:iCs/>
          <w:szCs w:val="22"/>
        </w:rPr>
        <w:t>invention d</w:t>
      </w:r>
      <w:r w:rsidR="00D91476">
        <w:rPr>
          <w:rFonts w:cs="Arial"/>
          <w:iCs/>
          <w:szCs w:val="22"/>
        </w:rPr>
        <w:t>’</w:t>
      </w:r>
      <w:r w:rsidRPr="00E8642C">
        <w:rPr>
          <w:rFonts w:cs="Arial"/>
          <w:iCs/>
          <w:szCs w:val="22"/>
        </w:rPr>
        <w:t>une manière suffisamment claire et complète pour qu</w:t>
      </w:r>
      <w:r w:rsidR="00D91476">
        <w:rPr>
          <w:rFonts w:cs="Arial"/>
          <w:iCs/>
          <w:szCs w:val="22"/>
        </w:rPr>
        <w:t>’</w:t>
      </w:r>
      <w:r w:rsidRPr="00E8642C">
        <w:rPr>
          <w:rFonts w:cs="Arial"/>
          <w:iCs/>
          <w:szCs w:val="22"/>
        </w:rPr>
        <w:t>un homme du métier puisse l</w:t>
      </w:r>
      <w:r w:rsidR="00D91476">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D91476">
        <w:rPr>
          <w:rFonts w:cs="Arial"/>
          <w:szCs w:val="22"/>
        </w:rPr>
        <w:t>’</w:t>
      </w:r>
      <w:r w:rsidRPr="00E8642C">
        <w:rPr>
          <w:rFonts w:cs="Arial"/>
          <w:szCs w:val="22"/>
        </w:rPr>
        <w:t>une manière générale pour les modifications apportées au droit des brevets à l</w:t>
      </w:r>
      <w:r w:rsidR="00D91476">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D91476">
        <w:rPr>
          <w:rFonts w:cs="Arial"/>
          <w:szCs w:val="22"/>
        </w:rPr>
        <w:t>’</w:t>
      </w:r>
      <w:r w:rsidRPr="00E8642C">
        <w:rPr>
          <w:rFonts w:cs="Arial"/>
          <w:szCs w:val="22"/>
        </w:rPr>
        <w:t>information concernant les savoirs traditionnels ou les ressources génétiques utilisés dans la mise au point de l</w:t>
      </w:r>
      <w:r w:rsidR="00D91476">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23D81" w:rsidRDefault="00DD607D" w:rsidP="00E104D3">
      <w:pPr>
        <w:spacing w:after="220"/>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D91476">
        <w:rPr>
          <w:rFonts w:cs="Arial"/>
          <w:szCs w:val="22"/>
        </w:rPr>
        <w:t> :</w:t>
      </w:r>
    </w:p>
    <w:p w:rsidR="00D23D81" w:rsidRDefault="00DD607D" w:rsidP="00E104D3">
      <w:pPr>
        <w:numPr>
          <w:ilvl w:val="0"/>
          <w:numId w:val="24"/>
        </w:numPr>
        <w:tabs>
          <w:tab w:val="clear" w:pos="3082"/>
        </w:tabs>
        <w:spacing w:after="220"/>
        <w:ind w:left="567" w:firstLine="0"/>
        <w:rPr>
          <w:rFonts w:cs="Arial"/>
          <w:szCs w:val="22"/>
        </w:rPr>
      </w:pPr>
      <w:proofErr w:type="gramStart"/>
      <w:r w:rsidRPr="00E8642C">
        <w:rPr>
          <w:rFonts w:cs="Arial"/>
          <w:szCs w:val="22"/>
        </w:rPr>
        <w:t>divulguer</w:t>
      </w:r>
      <w:proofErr w:type="gramEnd"/>
      <w:r w:rsidRPr="00E8642C">
        <w:rPr>
          <w:rFonts w:cs="Arial"/>
          <w:szCs w:val="22"/>
        </w:rPr>
        <w:t xml:space="preserve"> toute ressource génétique ou savoir traditionnel effectivement utilisé au cours de la mise au point de l</w:t>
      </w:r>
      <w:r w:rsidR="00D91476">
        <w:rPr>
          <w:rFonts w:cs="Arial"/>
          <w:szCs w:val="22"/>
        </w:rPr>
        <w:t>’</w:t>
      </w:r>
      <w:r w:rsidRPr="00E8642C">
        <w:rPr>
          <w:rFonts w:cs="Arial"/>
          <w:szCs w:val="22"/>
        </w:rPr>
        <w:t>invention (fonction descriptive ou relative à la transparence, liée à la ressource génétique ou au savoir traditionnel lui</w:t>
      </w:r>
      <w:r w:rsidR="00400337">
        <w:rPr>
          <w:rFonts w:cs="Arial"/>
          <w:szCs w:val="22"/>
        </w:rPr>
        <w:noBreakHyphen/>
      </w:r>
      <w:r w:rsidRPr="00E8642C">
        <w:rPr>
          <w:rFonts w:cs="Arial"/>
          <w:szCs w:val="22"/>
        </w:rPr>
        <w:t>même et à son rapport avec l</w:t>
      </w:r>
      <w:r w:rsidR="00D91476">
        <w:rPr>
          <w:rFonts w:cs="Arial"/>
          <w:szCs w:val="22"/>
        </w:rPr>
        <w:t>’</w:t>
      </w:r>
      <w:r w:rsidRPr="00E8642C">
        <w:rPr>
          <w:rFonts w:cs="Arial"/>
          <w:szCs w:val="22"/>
        </w:rPr>
        <w:t>invention);</w:t>
      </w:r>
    </w:p>
    <w:p w:rsidR="00D23D81" w:rsidRDefault="00DD607D" w:rsidP="00E104D3">
      <w:pPr>
        <w:numPr>
          <w:ilvl w:val="0"/>
          <w:numId w:val="24"/>
        </w:numPr>
        <w:tabs>
          <w:tab w:val="clear" w:pos="3082"/>
        </w:tabs>
        <w:spacing w:after="220"/>
        <w:ind w:left="567" w:firstLine="0"/>
        <w:rPr>
          <w:rFonts w:cs="Arial"/>
          <w:szCs w:val="22"/>
        </w:rPr>
      </w:pPr>
      <w:proofErr w:type="gramStart"/>
      <w:r w:rsidRPr="00E8642C">
        <w:rPr>
          <w:rFonts w:cs="Arial"/>
          <w:szCs w:val="22"/>
        </w:rPr>
        <w:t>divulguer</w:t>
      </w:r>
      <w:proofErr w:type="gramEnd"/>
      <w:r w:rsidRPr="00E8642C">
        <w:rPr>
          <w:rFonts w:cs="Arial"/>
          <w:szCs w:val="22"/>
        </w:rPr>
        <w:t xml:space="preserve"> la source effective de la ressource génétique ou du savoir traditionnel (fonction de divulgation relative au lieu où la ressource génétique ou le savoir traditionnel a été obtenu), ce qui peut concerner le pays d</w:t>
      </w:r>
      <w:r w:rsidR="00D91476">
        <w:rPr>
          <w:rFonts w:cs="Arial"/>
          <w:szCs w:val="22"/>
        </w:rPr>
        <w:t>’</w:t>
      </w:r>
      <w:r w:rsidRPr="00E8642C">
        <w:rPr>
          <w:rFonts w:cs="Arial"/>
          <w:szCs w:val="22"/>
        </w:rPr>
        <w:t>origine (afin de préciser la juridiction dans laquelle le matériel d</w:t>
      </w:r>
      <w:r w:rsidR="00D91476">
        <w:rPr>
          <w:rFonts w:cs="Arial"/>
          <w:szCs w:val="22"/>
        </w:rPr>
        <w:t>’</w:t>
      </w:r>
      <w:r w:rsidRPr="00E8642C">
        <w:rPr>
          <w:rFonts w:cs="Arial"/>
          <w:szCs w:val="22"/>
        </w:rPr>
        <w:t>origine a été obtenu), ou une localisation plus précise (par exemple, afin d</w:t>
      </w:r>
      <w:r w:rsidR="00D91476">
        <w:rPr>
          <w:rFonts w:cs="Arial"/>
          <w:szCs w:val="22"/>
        </w:rPr>
        <w:t>’</w:t>
      </w:r>
      <w:r w:rsidRPr="00E8642C">
        <w:rPr>
          <w:rFonts w:cs="Arial"/>
          <w:szCs w:val="22"/>
        </w:rPr>
        <w:t>assurer que les ressources génétiques soient accessibles aux fins de la duplication ou de la reproduction de l</w:t>
      </w:r>
      <w:r w:rsidR="00D91476">
        <w:rPr>
          <w:rFonts w:cs="Arial"/>
          <w:szCs w:val="22"/>
        </w:rPr>
        <w:t>’</w:t>
      </w:r>
      <w:r w:rsidRPr="00E8642C">
        <w:rPr>
          <w:rFonts w:cs="Arial"/>
          <w:szCs w:val="22"/>
        </w:rPr>
        <w:t>invention);  et</w:t>
      </w:r>
    </w:p>
    <w:p w:rsidR="00D23D81" w:rsidRDefault="00DD607D" w:rsidP="00E104D3">
      <w:pPr>
        <w:numPr>
          <w:ilvl w:val="0"/>
          <w:numId w:val="24"/>
        </w:numPr>
        <w:tabs>
          <w:tab w:val="clear" w:pos="3082"/>
        </w:tabs>
        <w:spacing w:after="220"/>
        <w:ind w:left="567" w:firstLine="0"/>
        <w:rPr>
          <w:rFonts w:cs="Arial"/>
          <w:szCs w:val="22"/>
        </w:rPr>
      </w:pPr>
      <w:r w:rsidRPr="00E8642C">
        <w:rPr>
          <w:rFonts w:cs="Arial"/>
          <w:szCs w:val="22"/>
        </w:rPr>
        <w:lastRenderedPageBreak/>
        <w:t>fournir un engagement ou une preuve du consentement préalable en connaissance de cause (fonction de respect de l</w:t>
      </w:r>
      <w:r w:rsidR="00D91476">
        <w:rPr>
          <w:rFonts w:cs="Arial"/>
          <w:szCs w:val="22"/>
        </w:rPr>
        <w:t>’</w:t>
      </w:r>
      <w:r w:rsidRPr="00E8642C">
        <w:rPr>
          <w:rFonts w:cs="Arial"/>
          <w:szCs w:val="22"/>
        </w:rPr>
        <w:t>obligation, relative à la légalité des actes régissant l</w:t>
      </w:r>
      <w:r w:rsidR="00D91476">
        <w:rPr>
          <w:rFonts w:cs="Arial"/>
          <w:szCs w:val="22"/>
        </w:rPr>
        <w:t>’</w:t>
      </w:r>
      <w:r w:rsidRPr="00E8642C">
        <w:rPr>
          <w:rFonts w:cs="Arial"/>
          <w:szCs w:val="22"/>
        </w:rPr>
        <w:t>accès au matériel d</w:t>
      </w:r>
      <w:r w:rsidR="00D91476">
        <w:rPr>
          <w:rFonts w:cs="Arial"/>
          <w:szCs w:val="22"/>
        </w:rPr>
        <w:t>’</w:t>
      </w:r>
      <w:r w:rsidRPr="00E8642C">
        <w:rPr>
          <w:rFonts w:cs="Arial"/>
          <w:szCs w:val="22"/>
        </w:rPr>
        <w:t>origine de la ressource génétique ou du savoir traditionnel), ce qui peut entraîner l</w:t>
      </w:r>
      <w:r w:rsidR="00D91476">
        <w:rPr>
          <w:rFonts w:cs="Arial"/>
          <w:szCs w:val="22"/>
        </w:rPr>
        <w:t>’</w:t>
      </w:r>
      <w:r w:rsidRPr="00E8642C">
        <w:rPr>
          <w:rFonts w:cs="Arial"/>
          <w:szCs w:val="22"/>
        </w:rPr>
        <w:t>obligation de démontrer que la ressource génétique ou le savoir traditionnel utilisé dans l</w:t>
      </w:r>
      <w:r w:rsidR="00D91476">
        <w:rPr>
          <w:rFonts w:cs="Arial"/>
          <w:szCs w:val="22"/>
        </w:rPr>
        <w:t>’</w:t>
      </w:r>
      <w:r w:rsidRPr="00E8642C">
        <w:rPr>
          <w:rFonts w:cs="Arial"/>
          <w:szCs w:val="22"/>
        </w:rPr>
        <w:t>invention a été obtenu et utilisé conformément aux lois applicables dans le pays d</w:t>
      </w:r>
      <w:r w:rsidR="00D91476">
        <w:rPr>
          <w:rFonts w:cs="Arial"/>
          <w:szCs w:val="22"/>
        </w:rPr>
        <w:t>’</w:t>
      </w:r>
      <w:r w:rsidRPr="00E8642C">
        <w:rPr>
          <w:rFonts w:cs="Arial"/>
          <w:szCs w:val="22"/>
        </w:rPr>
        <w:t>origine ou conformément aux termes de tout accord particulier consignant le consentement préalable en connaissance de cause;  ou de démontrer que l</w:t>
      </w:r>
      <w:r w:rsidR="00D91476">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23D81" w:rsidRDefault="00DD607D" w:rsidP="00E104D3">
      <w:pPr>
        <w:spacing w:after="220"/>
        <w:rPr>
          <w:rFonts w:cs="Arial"/>
          <w:szCs w:val="22"/>
        </w:rPr>
      </w:pPr>
      <w:r w:rsidRPr="00E8642C">
        <w:rPr>
          <w:rFonts w:cs="Arial"/>
          <w:szCs w:val="22"/>
        </w:rPr>
        <w:t>D</w:t>
      </w:r>
      <w:r w:rsidR="00D91476">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D91476">
        <w:rPr>
          <w:rFonts w:cs="Arial"/>
          <w:szCs w:val="22"/>
        </w:rPr>
        <w:t>’</w:t>
      </w:r>
      <w:r w:rsidRPr="00E8642C">
        <w:rPr>
          <w:rFonts w:cs="Arial"/>
          <w:szCs w:val="22"/>
        </w:rPr>
        <w:t>initiative internationale relative au projet d</w:t>
      </w:r>
      <w:r w:rsidR="00D91476">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D91476">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D91476">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23D81" w:rsidRDefault="00DD607D" w:rsidP="00E104D3">
      <w:pPr>
        <w:pStyle w:val="Heading2"/>
        <w:spacing w:after="220" w:line="240" w:lineRule="auto"/>
      </w:pPr>
      <w:bookmarkStart w:id="60" w:name="_Toc7772536"/>
      <w:r w:rsidRPr="00E8642C">
        <w:t>Expression par l</w:t>
      </w:r>
      <w:r w:rsidR="00D91476">
        <w:t>’</w:t>
      </w:r>
      <w:r w:rsidRPr="00E8642C">
        <w:t>action</w:t>
      </w:r>
      <w:bookmarkEnd w:id="60"/>
    </w:p>
    <w:p w:rsidR="00D23D81" w:rsidRDefault="00DD607D" w:rsidP="00E104D3">
      <w:pPr>
        <w:pStyle w:val="CommentText"/>
        <w:spacing w:after="220"/>
        <w:rPr>
          <w:rFonts w:cs="Arial"/>
          <w:szCs w:val="22"/>
        </w:rPr>
      </w:pPr>
      <w:r w:rsidRPr="00E8642C">
        <w:rPr>
          <w:rFonts w:cs="Arial"/>
          <w:szCs w:val="22"/>
        </w:rPr>
        <w:t>“Expression par l</w:t>
      </w:r>
      <w:r w:rsidR="00D91476">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23D81" w:rsidRDefault="00DD607D" w:rsidP="00E104D3">
      <w:pPr>
        <w:pStyle w:val="Heading2"/>
        <w:spacing w:after="220" w:line="240" w:lineRule="auto"/>
      </w:pPr>
      <w:bookmarkStart w:id="61" w:name="_Toc7772537"/>
      <w:r w:rsidRPr="00E8642C">
        <w:t>Expressions culturelles</w:t>
      </w:r>
      <w:bookmarkEnd w:id="61"/>
    </w:p>
    <w:p w:rsidR="00D23D81" w:rsidRDefault="00DD607D" w:rsidP="00E104D3">
      <w:pPr>
        <w:pStyle w:val="FootnoteText"/>
        <w:spacing w:after="220"/>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23D81" w:rsidRDefault="00DD607D" w:rsidP="00E104D3">
      <w:pPr>
        <w:pStyle w:val="Heading2"/>
        <w:spacing w:after="220" w:line="240" w:lineRule="auto"/>
      </w:pPr>
      <w:bookmarkStart w:id="62" w:name="_Toc7772538"/>
      <w:r w:rsidRPr="00E8642C">
        <w:t>Expressions culturelles traditionnelles</w:t>
      </w:r>
      <w:bookmarkEnd w:id="62"/>
    </w:p>
    <w:p w:rsidR="00D23D81"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1F3AEE" w:rsidRPr="00E8642C">
        <w:rPr>
          <w:rFonts w:cs="Arial"/>
          <w:szCs w:val="22"/>
        </w:rPr>
        <w:t>és</w:t>
      </w:r>
      <w:r w:rsidR="001F3AEE">
        <w:rPr>
          <w:rFonts w:cs="Arial"/>
          <w:szCs w:val="22"/>
        </w:rPr>
        <w:t xml:space="preserve">.  </w:t>
      </w:r>
      <w:r w:rsidR="001F3AEE"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D91476">
        <w:rPr>
          <w:rFonts w:cs="Arial"/>
          <w:szCs w:val="22"/>
        </w:rPr>
        <w:t>’</w:t>
      </w:r>
      <w:r w:rsidRPr="00E8642C">
        <w:rPr>
          <w:rFonts w:cs="Arial"/>
          <w:szCs w:val="22"/>
        </w:rPr>
        <w:t>architecture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termes “expressions culturelles traditionnelles” et “expressions du folklore” sont utilisés comme des synonymes interchangeables et peuvent être désignés par le seul terme “expressions culturelles traditionnelles”.  L</w:t>
      </w:r>
      <w:r w:rsidR="00D91476">
        <w:rPr>
          <w:rFonts w:cs="Arial"/>
          <w:szCs w:val="22"/>
        </w:rPr>
        <w:t>’</w:t>
      </w:r>
      <w:r w:rsidRPr="00E8642C">
        <w:rPr>
          <w:rFonts w:cs="Arial"/>
          <w:szCs w:val="22"/>
        </w:rPr>
        <w:t>utilisation de ces termes ne tend pas à suggérer l</w:t>
      </w:r>
      <w:r w:rsidR="00D91476">
        <w:rPr>
          <w:rFonts w:cs="Arial"/>
          <w:szCs w:val="22"/>
        </w:rPr>
        <w:t>’</w:t>
      </w:r>
      <w:r w:rsidRPr="00E8642C">
        <w:rPr>
          <w:rFonts w:cs="Arial"/>
          <w:szCs w:val="22"/>
        </w:rPr>
        <w:t>existence d</w:t>
      </w:r>
      <w:r w:rsidR="00D91476">
        <w:rPr>
          <w:rFonts w:cs="Arial"/>
          <w:szCs w:val="22"/>
        </w:rPr>
        <w:t>’</w:t>
      </w:r>
      <w:r w:rsidRPr="00E8642C">
        <w:rPr>
          <w:rFonts w:cs="Arial"/>
          <w:szCs w:val="22"/>
        </w:rPr>
        <w:t>un quelconque consensus entre les États membres de l</w:t>
      </w:r>
      <w:r w:rsidR="00D91476">
        <w:rPr>
          <w:rFonts w:cs="Arial"/>
          <w:szCs w:val="22"/>
        </w:rPr>
        <w:t>’</w:t>
      </w:r>
      <w:r w:rsidRPr="00E8642C">
        <w:rPr>
          <w:rFonts w:cs="Arial"/>
          <w:szCs w:val="22"/>
        </w:rPr>
        <w:t>OMPI quant à la validité ou à l</w:t>
      </w:r>
      <w:r w:rsidR="00D91476">
        <w:rPr>
          <w:rFonts w:cs="Arial"/>
          <w:szCs w:val="22"/>
        </w:rPr>
        <w:t>’</w:t>
      </w:r>
      <w:r w:rsidRPr="00E8642C">
        <w:rPr>
          <w:rFonts w:cs="Arial"/>
          <w:szCs w:val="22"/>
        </w:rPr>
        <w:t>opportunité de ces termes ou d</w:t>
      </w:r>
      <w:r w:rsidR="00D91476">
        <w:rPr>
          <w:rFonts w:cs="Arial"/>
          <w:szCs w:val="22"/>
        </w:rPr>
        <w:t>’</w:t>
      </w:r>
      <w:r w:rsidRPr="00E8642C">
        <w:rPr>
          <w:rFonts w:cs="Arial"/>
          <w:szCs w:val="22"/>
        </w:rPr>
        <w:t xml:space="preserve">autres </w:t>
      </w:r>
      <w:proofErr w:type="gramStart"/>
      <w:r w:rsidRPr="00E8642C">
        <w:rPr>
          <w:rFonts w:cs="Arial"/>
          <w:szCs w:val="22"/>
        </w:rPr>
        <w:t>termes;  par</w:t>
      </w:r>
      <w:proofErr w:type="gramEnd"/>
      <w:r w:rsidRPr="00E8642C">
        <w:rPr>
          <w:rFonts w:cs="Arial"/>
          <w:szCs w:val="22"/>
        </w:rPr>
        <w:t xml:space="preserve"> ailleurs, elle n</w:t>
      </w:r>
      <w:r w:rsidR="00D91476">
        <w:rPr>
          <w:rFonts w:cs="Arial"/>
          <w:szCs w:val="22"/>
        </w:rPr>
        <w:t>’</w:t>
      </w:r>
      <w:r w:rsidRPr="00E8642C">
        <w:rPr>
          <w:rFonts w:cs="Arial"/>
          <w:szCs w:val="22"/>
        </w:rPr>
        <w:t>affecte en rien ni ne limite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autres termes dans les législations nationales ou régionales.</w:t>
      </w:r>
    </w:p>
    <w:p w:rsidR="00D23D81" w:rsidRDefault="00DD607D" w:rsidP="00E104D3">
      <w:pPr>
        <w:pStyle w:val="Heading2"/>
        <w:spacing w:after="220" w:line="240" w:lineRule="auto"/>
      </w:pPr>
      <w:bookmarkStart w:id="63" w:name="_Toc7772539"/>
      <w:r w:rsidRPr="00E8642C">
        <w:lastRenderedPageBreak/>
        <w:t>Expressions du folklore</w:t>
      </w:r>
      <w:bookmarkEnd w:id="63"/>
    </w:p>
    <w:p w:rsidR="00D23D81" w:rsidRDefault="00DD607D" w:rsidP="00E104D3">
      <w:pPr>
        <w:pStyle w:val="CommentText"/>
        <w:spacing w:after="220"/>
        <w:rPr>
          <w:rFonts w:cs="Arial"/>
          <w:szCs w:val="22"/>
        </w:rPr>
      </w:pPr>
      <w:r w:rsidRPr="00E8642C">
        <w:rPr>
          <w:rFonts w:cs="Arial"/>
          <w:szCs w:val="22"/>
        </w:rPr>
        <w:t xml:space="preserve">Dans les </w:t>
      </w:r>
      <w:r w:rsidRPr="00E8642C">
        <w:rPr>
          <w:rFonts w:cs="Arial"/>
          <w:i/>
          <w:szCs w:val="22"/>
        </w:rPr>
        <w:t>dispositions types OMPI</w:t>
      </w:r>
      <w:r w:rsidR="00400337">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D91476">
        <w:rPr>
          <w:rFonts w:cs="Arial"/>
          <w:szCs w:val="22"/>
        </w:rPr>
        <w:t>’</w:t>
      </w:r>
      <w:r w:rsidRPr="00E8642C">
        <w:rPr>
          <w:rFonts w:cs="Arial"/>
          <w:szCs w:val="22"/>
        </w:rPr>
        <w:t>éléments caractéristiques du patrimoine artistique traditionnel développé et perpétué par une communauté d</w:t>
      </w:r>
      <w:r w:rsidR="00D91476">
        <w:rPr>
          <w:rFonts w:cs="Arial"/>
          <w:szCs w:val="22"/>
        </w:rPr>
        <w:t>’</w:t>
      </w:r>
      <w:r w:rsidRPr="00E8642C">
        <w:rPr>
          <w:rFonts w:cs="Arial"/>
          <w:szCs w:val="22"/>
        </w:rPr>
        <w:t>un pays ou par des individus reconnus comme répondant aux aspirations artistiques traditionnelles de cette communauté, en particulier</w:t>
      </w:r>
      <w:r w:rsidR="00D91476">
        <w:rPr>
          <w:rFonts w:cs="Arial"/>
          <w:szCs w:val="22"/>
        </w:rPr>
        <w:t> :</w:t>
      </w:r>
    </w:p>
    <w:p w:rsidR="00DD607D" w:rsidRPr="00E8642C" w:rsidRDefault="00DD607D" w:rsidP="00E104D3">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verbales telles que les contes populaires, la poésie populaire et les énigmes;</w:t>
      </w:r>
    </w:p>
    <w:p w:rsidR="00DD607D" w:rsidRPr="00E8642C" w:rsidRDefault="00DD607D" w:rsidP="00E104D3">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musicales telles que les chansons et la musique instrumentale populaire;</w:t>
      </w:r>
    </w:p>
    <w:p w:rsidR="00DD607D" w:rsidRPr="00E8642C" w:rsidRDefault="00DD607D" w:rsidP="00E104D3">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corporelles;  telles que les danses folkloriques, les pièces de théâtre et les formes artistiques de rituels;  qu</w:t>
      </w:r>
      <w:r w:rsidR="00D91476">
        <w:rPr>
          <w:rFonts w:cs="Arial"/>
          <w:szCs w:val="22"/>
        </w:rPr>
        <w:t>’</w:t>
      </w:r>
      <w:r w:rsidRPr="00E8642C">
        <w:rPr>
          <w:rFonts w:cs="Arial"/>
          <w:szCs w:val="22"/>
        </w:rPr>
        <w:t>elles soient ou non réduites à une forme matérielle;  et</w:t>
      </w:r>
    </w:p>
    <w:p w:rsidR="00DD607D" w:rsidRPr="00E8642C" w:rsidRDefault="00DD607D" w:rsidP="00E104D3">
      <w:pPr>
        <w:numPr>
          <w:ilvl w:val="0"/>
          <w:numId w:val="19"/>
        </w:numPr>
        <w:autoSpaceDE w:val="0"/>
        <w:autoSpaceDN w:val="0"/>
        <w:adjustRightInd w:val="0"/>
        <w:spacing w:after="2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104D3">
      <w:pPr>
        <w:pStyle w:val="CommentText"/>
        <w:spacing w:after="220"/>
        <w:rPr>
          <w:rFonts w:cs="Arial"/>
          <w:szCs w:val="22"/>
        </w:rPr>
      </w:pPr>
      <w:r w:rsidRPr="00E8642C">
        <w:rPr>
          <w:rFonts w:cs="Arial"/>
          <w:szCs w:val="22"/>
        </w:rPr>
        <w:t>Aux fins des travaux de l</w:t>
      </w:r>
      <w:r w:rsidR="00D91476">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104D3">
      <w:pPr>
        <w:pStyle w:val="Heading2"/>
        <w:spacing w:after="220" w:line="240" w:lineRule="auto"/>
      </w:pPr>
      <w:bookmarkStart w:id="64" w:name="_Toc7772540"/>
      <w:r w:rsidRPr="00E8642C">
        <w:t>Expressions tangibles</w:t>
      </w:r>
      <w:bookmarkEnd w:id="64"/>
    </w:p>
    <w:p w:rsidR="00DD607D" w:rsidRPr="00E8642C" w:rsidRDefault="00DD607D" w:rsidP="00E104D3">
      <w:pPr>
        <w:spacing w:after="220"/>
        <w:rPr>
          <w:rFonts w:cs="Arial"/>
          <w:szCs w:val="22"/>
        </w:rPr>
      </w:pPr>
      <w:r w:rsidRPr="00E8642C">
        <w:rPr>
          <w:rFonts w:cs="Arial"/>
          <w:szCs w:val="22"/>
        </w:rPr>
        <w:t xml:space="preserve">Le terme “tangible” caractérise ce qui peut être touché et </w:t>
      </w:r>
      <w:proofErr w:type="gramStart"/>
      <w:r w:rsidRPr="00E8642C">
        <w:rPr>
          <w:rFonts w:cs="Arial"/>
          <w:szCs w:val="22"/>
        </w:rPr>
        <w:t>vu;  est</w:t>
      </w:r>
      <w:proofErr w:type="gramEnd"/>
      <w:r w:rsidRPr="00E8642C">
        <w:rPr>
          <w:rFonts w:cs="Arial"/>
          <w:szCs w:val="22"/>
        </w:rPr>
        <w:t xml:space="preserve"> perceptible au toucher, peut être possédé ou obte</w:t>
      </w:r>
      <w:r w:rsidR="001F3AEE" w:rsidRPr="00E8642C">
        <w:rPr>
          <w:rFonts w:cs="Arial"/>
          <w:szCs w:val="22"/>
        </w:rPr>
        <w:t>nu</w:t>
      </w:r>
      <w:r w:rsidR="001F3AEE">
        <w:rPr>
          <w:rFonts w:cs="Arial"/>
          <w:szCs w:val="22"/>
        </w:rPr>
        <w:t xml:space="preserve">.  </w:t>
      </w:r>
      <w:r w:rsidR="001F3AEE" w:rsidRPr="00E8642C">
        <w:rPr>
          <w:rFonts w:cs="Arial"/>
          <w:szCs w:val="22"/>
        </w:rPr>
        <w:t>Le</w:t>
      </w:r>
      <w:r w:rsidRPr="00E8642C">
        <w:rPr>
          <w:rFonts w:cs="Arial"/>
          <w:szCs w:val="22"/>
        </w:rPr>
        <w:t xml:space="preserve"> terme “tangible” s</w:t>
      </w:r>
      <w:r w:rsidR="00D91476">
        <w:rPr>
          <w:rFonts w:cs="Arial"/>
          <w:szCs w:val="22"/>
        </w:rPr>
        <w:t>’</w:t>
      </w:r>
      <w:r w:rsidRPr="00E8642C">
        <w:rPr>
          <w:rFonts w:cs="Arial"/>
          <w:szCs w:val="22"/>
        </w:rPr>
        <w:t>oppose au terme “intangible” qui se rapporte à quelque chose qui n</w:t>
      </w:r>
      <w:r w:rsidR="00D91476">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E104D3">
      <w:pPr>
        <w:spacing w:after="220"/>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D91476">
        <w:rPr>
          <w:rFonts w:cs="Arial"/>
          <w:szCs w:val="22"/>
        </w:rPr>
        <w:t>’</w:t>
      </w:r>
      <w:r w:rsidRPr="00E8642C">
        <w:rPr>
          <w:rFonts w:cs="Arial"/>
          <w:szCs w:val="22"/>
        </w:rPr>
        <w:t>est pas nécessaire qu</w:t>
      </w:r>
      <w:r w:rsidR="00D91476">
        <w:rPr>
          <w:rFonts w:cs="Arial"/>
          <w:szCs w:val="22"/>
        </w:rPr>
        <w:t>’</w:t>
      </w:r>
      <w:r w:rsidRPr="00E8642C">
        <w:rPr>
          <w:rFonts w:cs="Arial"/>
          <w:szCs w:val="22"/>
        </w:rPr>
        <w:t>elles soient fixées sur un support mais elles doivent être fixées sur un matériau durable comme la pierre, le bois, le textile, l</w:t>
      </w:r>
      <w:r w:rsidR="00D91476">
        <w:rPr>
          <w:rFonts w:cs="Arial"/>
          <w:szCs w:val="22"/>
        </w:rPr>
        <w:t>’</w:t>
      </w:r>
      <w:r w:rsidRPr="00E8642C">
        <w:rPr>
          <w:rFonts w:cs="Arial"/>
          <w:szCs w:val="22"/>
        </w:rPr>
        <w:t>or, e</w:t>
      </w:r>
      <w:r w:rsidR="001F3AEE" w:rsidRPr="00E8642C">
        <w:rPr>
          <w:rFonts w:cs="Arial"/>
          <w:szCs w:val="22"/>
        </w:rPr>
        <w:t>tc</w:t>
      </w:r>
      <w:r w:rsidR="001F3AEE">
        <w:rPr>
          <w:rFonts w:cs="Arial"/>
          <w:szCs w:val="22"/>
        </w:rPr>
        <w:t xml:space="preserve">.  </w:t>
      </w:r>
      <w:r w:rsidR="001F3AEE" w:rsidRPr="00E8642C">
        <w:rPr>
          <w:rFonts w:cs="Arial"/>
          <w:szCs w:val="22"/>
        </w:rPr>
        <w:t>Le</w:t>
      </w:r>
      <w:r w:rsidRPr="00E8642C">
        <w:rPr>
          <w:rFonts w:cs="Arial"/>
          <w:szCs w:val="22"/>
        </w:rPr>
        <w:t>s expressions tangibles peuvent prétendre à la protection au titre des expressions du folklo</w:t>
      </w:r>
      <w:r w:rsidR="001F3AEE" w:rsidRPr="00E8642C">
        <w:rPr>
          <w:rFonts w:cs="Arial"/>
          <w:szCs w:val="22"/>
        </w:rPr>
        <w:t>re</w:t>
      </w:r>
      <w:r w:rsidR="001F3AEE">
        <w:rPr>
          <w:rFonts w:cs="Arial"/>
          <w:szCs w:val="22"/>
        </w:rPr>
        <w:t xml:space="preserve">.  </w:t>
      </w:r>
      <w:r w:rsidR="001F3AEE" w:rsidRPr="00E8642C">
        <w:rPr>
          <w:rFonts w:cs="Arial"/>
          <w:szCs w:val="22"/>
        </w:rPr>
        <w:t>On</w:t>
      </w:r>
      <w:r w:rsidRPr="00E8642C">
        <w:rPr>
          <w:rFonts w:cs="Arial"/>
          <w:szCs w:val="22"/>
        </w:rPr>
        <w:t xml:space="preserve"> peut donner les exemples ci</w:t>
      </w:r>
      <w:r w:rsidR="00400337">
        <w:rPr>
          <w:rFonts w:cs="Arial"/>
          <w:szCs w:val="22"/>
        </w:rPr>
        <w:noBreakHyphen/>
      </w:r>
      <w:r w:rsidRPr="00E8642C">
        <w:rPr>
          <w:rFonts w:cs="Arial"/>
          <w:szCs w:val="22"/>
        </w:rPr>
        <w:t>après d</w:t>
      </w:r>
      <w:r w:rsidR="00D91476">
        <w:rPr>
          <w:rFonts w:cs="Arial"/>
          <w:szCs w:val="22"/>
        </w:rPr>
        <w:t>’</w:t>
      </w:r>
      <w:r w:rsidRPr="00E8642C">
        <w:rPr>
          <w:rFonts w:cs="Arial"/>
          <w:szCs w:val="22"/>
        </w:rPr>
        <w:t>éléments constitutifs d</w:t>
      </w:r>
      <w:r w:rsidR="00D91476">
        <w:rPr>
          <w:rFonts w:cs="Arial"/>
          <w:szCs w:val="22"/>
        </w:rPr>
        <w:t>’</w:t>
      </w:r>
      <w:r w:rsidRPr="00E8642C">
        <w:rPr>
          <w:rFonts w:cs="Arial"/>
          <w:szCs w:val="22"/>
        </w:rPr>
        <w:t>expressions tangibles</w:t>
      </w:r>
      <w:r w:rsidR="00D91476">
        <w:rPr>
          <w:rFonts w:cs="Arial"/>
          <w:szCs w:val="22"/>
        </w:rPr>
        <w:t> :</w:t>
      </w:r>
    </w:p>
    <w:p w:rsidR="00DD607D" w:rsidRPr="00E8642C" w:rsidRDefault="00DD607D" w:rsidP="00E104D3">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ouvrages d</w:t>
      </w:r>
      <w:r w:rsidR="00D91476">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D91476">
        <w:rPr>
          <w:rFonts w:cs="Arial"/>
          <w:szCs w:val="22"/>
        </w:rPr>
        <w:t>’</w:t>
      </w:r>
      <w:r w:rsidRPr="00E8642C">
        <w:rPr>
          <w:rFonts w:cs="Arial"/>
          <w:szCs w:val="22"/>
        </w:rPr>
        <w:t>aiguille, textiles, tapis, costumes;</w:t>
      </w:r>
    </w:p>
    <w:p w:rsidR="00DD607D" w:rsidRPr="00E8642C" w:rsidRDefault="00DD607D" w:rsidP="00E104D3">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instruments de musique;</w:t>
      </w:r>
    </w:p>
    <w:p w:rsidR="009243A6" w:rsidRDefault="00DD607D" w:rsidP="00E104D3">
      <w:pPr>
        <w:numPr>
          <w:ilvl w:val="2"/>
          <w:numId w:val="5"/>
        </w:numPr>
        <w:autoSpaceDE w:val="0"/>
        <w:autoSpaceDN w:val="0"/>
        <w:adjustRightInd w:val="0"/>
        <w:spacing w:after="220"/>
        <w:ind w:left="567"/>
        <w:rPr>
          <w:rFonts w:cs="Arial"/>
          <w:szCs w:val="22"/>
        </w:rPr>
      </w:pPr>
      <w:r w:rsidRPr="00E8642C">
        <w:rPr>
          <w:rFonts w:cs="Arial"/>
          <w:szCs w:val="22"/>
        </w:rPr>
        <w:t>les ouvrages d</w:t>
      </w:r>
      <w:r w:rsidR="00D91476">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9243A6" w:rsidRDefault="00DD607D" w:rsidP="00E104D3">
      <w:pPr>
        <w:pStyle w:val="Heading2"/>
        <w:keepLines/>
        <w:spacing w:after="220" w:line="240" w:lineRule="auto"/>
      </w:pPr>
      <w:bookmarkStart w:id="65" w:name="_Toc7772541"/>
      <w:r w:rsidRPr="00E8642C">
        <w:t>Fixation (“documentation” en anglais)</w:t>
      </w:r>
      <w:bookmarkEnd w:id="65"/>
    </w:p>
    <w:p w:rsidR="009243A6" w:rsidRDefault="00DD607D" w:rsidP="00EF47F4">
      <w:pPr>
        <w:keepNext/>
        <w:spacing w:after="220"/>
        <w:rPr>
          <w:rFonts w:cs="Arial"/>
          <w:szCs w:val="22"/>
        </w:rPr>
      </w:pPr>
      <w:r w:rsidRPr="00E8642C">
        <w:rPr>
          <w:rFonts w:cs="Arial"/>
          <w:szCs w:val="22"/>
        </w:rPr>
        <w:t>L</w:t>
      </w:r>
      <w:r w:rsidR="00D91476">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D91476">
        <w:rPr>
          <w:rFonts w:cs="Arial"/>
          <w:szCs w:val="22"/>
        </w:rPr>
        <w:t>’</w:t>
      </w:r>
      <w:r w:rsidRPr="00E8642C">
        <w:rPr>
          <w:rFonts w:cs="Arial"/>
          <w:szCs w:val="22"/>
        </w:rPr>
        <w:t xml:space="preserve">accumulation, le classement et la diffusion de </w:t>
      </w:r>
      <w:proofErr w:type="gramStart"/>
      <w:r w:rsidRPr="00E8642C">
        <w:rPr>
          <w:rFonts w:cs="Arial"/>
          <w:szCs w:val="22"/>
        </w:rPr>
        <w:t>l</w:t>
      </w:r>
      <w:r w:rsidR="00D91476">
        <w:rPr>
          <w:rFonts w:cs="Arial"/>
          <w:szCs w:val="22"/>
        </w:rPr>
        <w:t>’</w:t>
      </w:r>
      <w:r w:rsidRPr="00E8642C">
        <w:rPr>
          <w:rFonts w:cs="Arial"/>
          <w:szCs w:val="22"/>
        </w:rPr>
        <w:t>information;  le</w:t>
      </w:r>
      <w:proofErr w:type="gramEnd"/>
      <w:r w:rsidRPr="00E8642C">
        <w:rPr>
          <w:rFonts w:cs="Arial"/>
          <w:szCs w:val="22"/>
        </w:rPr>
        <w:t xml:space="preserve"> matériel ainsi recueil</w:t>
      </w:r>
      <w:r w:rsidR="001F3AEE" w:rsidRPr="00E8642C">
        <w:rPr>
          <w:rFonts w:cs="Arial"/>
          <w:szCs w:val="22"/>
        </w:rPr>
        <w:t>li</w:t>
      </w:r>
      <w:r w:rsidR="001F3AEE">
        <w:rPr>
          <w:rFonts w:cs="Arial"/>
          <w:szCs w:val="22"/>
        </w:rPr>
        <w:t xml:space="preserve">.  </w:t>
      </w:r>
      <w:r w:rsidR="001F3AEE"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D91476">
        <w:rPr>
          <w:rFonts w:cs="Arial"/>
          <w:szCs w:val="22"/>
        </w:rPr>
        <w:t>’</w:t>
      </w:r>
      <w:r w:rsidRPr="00E8642C">
        <w:rPr>
          <w:rFonts w:cs="Arial"/>
          <w:szCs w:val="22"/>
        </w:rPr>
        <w:t xml:space="preserve">une manière qui les préserve et qui peut les mettre à la disposition </w:t>
      </w:r>
      <w:r w:rsidRPr="00E8642C">
        <w:rPr>
          <w:rFonts w:cs="Arial"/>
          <w:szCs w:val="22"/>
        </w:rPr>
        <w:lastRenderedPageBreak/>
        <w:t>d</w:t>
      </w:r>
      <w:r w:rsidR="00D91476">
        <w:rPr>
          <w:rFonts w:cs="Arial"/>
          <w:szCs w:val="22"/>
        </w:rPr>
        <w:t>’</w:t>
      </w:r>
      <w:r w:rsidRPr="00E8642C">
        <w:rPr>
          <w:rFonts w:cs="Arial"/>
          <w:szCs w:val="22"/>
        </w:rPr>
        <w:t>autr</w:t>
      </w:r>
      <w:r w:rsidR="001F3AEE" w:rsidRPr="00E8642C">
        <w:rPr>
          <w:rFonts w:cs="Arial"/>
          <w:szCs w:val="22"/>
        </w:rPr>
        <w:t>es</w:t>
      </w:r>
      <w:r w:rsidR="001F3AEE">
        <w:rPr>
          <w:rFonts w:cs="Arial"/>
          <w:szCs w:val="22"/>
        </w:rPr>
        <w:t xml:space="preserve">.  </w:t>
      </w:r>
      <w:r w:rsidR="001F3AEE" w:rsidRPr="00E8642C">
        <w:rPr>
          <w:rFonts w:cs="Arial"/>
          <w:szCs w:val="22"/>
        </w:rPr>
        <w:t>C</w:t>
      </w:r>
      <w:r w:rsidR="001F3AEE">
        <w:rPr>
          <w:rFonts w:cs="Arial"/>
          <w:szCs w:val="22"/>
        </w:rPr>
        <w:t>’</w:t>
      </w:r>
      <w:r w:rsidR="001F3AEE"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9243A6" w:rsidRDefault="00DD607D" w:rsidP="00E104D3">
      <w:pPr>
        <w:spacing w:after="220"/>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9243A6" w:rsidRDefault="00DD607D" w:rsidP="00E104D3">
      <w:pPr>
        <w:pStyle w:val="Heading2"/>
        <w:spacing w:after="220" w:line="240" w:lineRule="auto"/>
      </w:pPr>
      <w:bookmarkStart w:id="66" w:name="_Toc7772542"/>
      <w:r w:rsidRPr="00E8642C">
        <w:t>Fixation (“fixation” en anglais)</w:t>
      </w:r>
      <w:bookmarkEnd w:id="66"/>
    </w:p>
    <w:p w:rsidR="009243A6" w:rsidRDefault="00DD607D" w:rsidP="00E104D3">
      <w:pPr>
        <w:spacing w:after="220"/>
        <w:rPr>
          <w:rFonts w:cs="Arial"/>
          <w:szCs w:val="22"/>
        </w:rPr>
      </w:pPr>
      <w:r w:rsidRPr="00E8642C">
        <w:rPr>
          <w:rFonts w:cs="Arial"/>
          <w:szCs w:val="22"/>
        </w:rPr>
        <w:t>La fixation est le processus ou le résultat de l</w:t>
      </w:r>
      <w:r w:rsidR="00D91476">
        <w:rPr>
          <w:rFonts w:cs="Arial"/>
          <w:szCs w:val="22"/>
        </w:rPr>
        <w:t>’</w:t>
      </w:r>
      <w:r w:rsidRPr="00E8642C">
        <w:rPr>
          <w:rFonts w:cs="Arial"/>
          <w:szCs w:val="22"/>
        </w:rPr>
        <w:t>enregistrement d</w:t>
      </w:r>
      <w:r w:rsidR="00D91476">
        <w:rPr>
          <w:rFonts w:cs="Arial"/>
          <w:szCs w:val="22"/>
        </w:rPr>
        <w:t>’</w:t>
      </w:r>
      <w:r w:rsidRPr="00E8642C">
        <w:rPr>
          <w:rFonts w:cs="Arial"/>
          <w:szCs w:val="22"/>
        </w:rPr>
        <w:t>une œuvre originale sous forme tangible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La</w:t>
      </w:r>
      <w:r w:rsidRPr="00E8642C">
        <w:rPr>
          <w:rFonts w:cs="Arial"/>
          <w:szCs w:val="22"/>
        </w:rPr>
        <w:t xml:space="preserve"> fixation d</w:t>
      </w:r>
      <w:r w:rsidR="00D91476">
        <w:rPr>
          <w:rFonts w:cs="Arial"/>
          <w:szCs w:val="22"/>
        </w:rPr>
        <w:t>’</w:t>
      </w:r>
      <w:r w:rsidRPr="00E8642C">
        <w:rPr>
          <w:rFonts w:cs="Arial"/>
          <w:szCs w:val="22"/>
        </w:rPr>
        <w:t>une œuvre ou d</w:t>
      </w:r>
      <w:r w:rsidR="00D91476">
        <w:rPr>
          <w:rFonts w:cs="Arial"/>
          <w:szCs w:val="22"/>
        </w:rPr>
        <w:t>’</w:t>
      </w:r>
      <w:r w:rsidRPr="00E8642C">
        <w:rPr>
          <w:rFonts w:cs="Arial"/>
          <w:szCs w:val="22"/>
        </w:rPr>
        <w:t>un objet de droits connexes sur un support matériel (</w:t>
      </w:r>
      <w:r w:rsidR="00D91476">
        <w:rPr>
          <w:rFonts w:cs="Arial"/>
          <w:szCs w:val="22"/>
        </w:rPr>
        <w:t>y compris</w:t>
      </w:r>
      <w:r w:rsidRPr="00E8642C">
        <w:rPr>
          <w:rFonts w:cs="Arial"/>
          <w:szCs w:val="22"/>
        </w:rPr>
        <w:t xml:space="preserve"> par stockage dans une mémoire électronique) (d</w:t>
      </w:r>
      <w:r w:rsidR="00D91476">
        <w:rPr>
          <w:rFonts w:cs="Arial"/>
          <w:szCs w:val="22"/>
        </w:rPr>
        <w:t>’</w:t>
      </w:r>
      <w:r w:rsidRPr="00E8642C">
        <w:rPr>
          <w:rFonts w:cs="Arial"/>
          <w:szCs w:val="22"/>
        </w:rPr>
        <w:t>ordinateur)), doit être effectuée d</w:t>
      </w:r>
      <w:r w:rsidR="00D91476">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D91476">
        <w:rPr>
          <w:rFonts w:cs="Arial"/>
          <w:szCs w:val="22"/>
        </w:rPr>
        <w:t>’</w:t>
      </w:r>
      <w:r w:rsidRPr="00E8642C">
        <w:rPr>
          <w:rFonts w:cs="Arial"/>
          <w:szCs w:val="22"/>
        </w:rPr>
        <w:t>est pas toujours une condition préalable nécessaire à l</w:t>
      </w:r>
      <w:r w:rsidR="00D91476">
        <w:rPr>
          <w:rFonts w:cs="Arial"/>
          <w:szCs w:val="22"/>
        </w:rPr>
        <w:t>’</w:t>
      </w:r>
      <w:r w:rsidRPr="00E8642C">
        <w:rPr>
          <w:rFonts w:cs="Arial"/>
          <w:szCs w:val="22"/>
        </w:rPr>
        <w:t>octroi d</w:t>
      </w:r>
      <w:r w:rsidR="00D91476">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D91476">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D91476">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D91476">
        <w:rPr>
          <w:rFonts w:cs="Arial"/>
          <w:szCs w:val="22"/>
        </w:rPr>
        <w:t>’</w:t>
      </w:r>
      <w:r w:rsidRPr="00E8642C">
        <w:rPr>
          <w:rFonts w:cs="Arial"/>
          <w:szCs w:val="22"/>
        </w:rPr>
        <w:t>utilisation du terme “expression” pouvait donner l</w:t>
      </w:r>
      <w:r w:rsidR="00D91476">
        <w:rPr>
          <w:rFonts w:cs="Arial"/>
          <w:szCs w:val="22"/>
        </w:rPr>
        <w:t>’</w:t>
      </w:r>
      <w:r w:rsidRPr="00E8642C">
        <w:rPr>
          <w:rFonts w:cs="Arial"/>
          <w:szCs w:val="22"/>
        </w:rPr>
        <w:t>impression que l</w:t>
      </w:r>
      <w:r w:rsidR="00D91476">
        <w:rPr>
          <w:rFonts w:cs="Arial"/>
          <w:szCs w:val="22"/>
        </w:rPr>
        <w:t>’</w:t>
      </w:r>
      <w:r w:rsidRPr="00E8642C">
        <w:rPr>
          <w:rFonts w:cs="Arial"/>
          <w:szCs w:val="22"/>
        </w:rPr>
        <w:t>une des conditions à remplir pour que les expressions culturelles traditionnelles bénéficient d</w:t>
      </w:r>
      <w:r w:rsidR="00D91476">
        <w:rPr>
          <w:rFonts w:cs="Arial"/>
          <w:szCs w:val="22"/>
        </w:rPr>
        <w:t>’</w:t>
      </w:r>
      <w:r w:rsidRPr="00E8642C">
        <w:rPr>
          <w:rFonts w:cs="Arial"/>
          <w:szCs w:val="22"/>
        </w:rPr>
        <w:t>une protection était qu</w:t>
      </w:r>
      <w:r w:rsidR="00D91476">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9243A6" w:rsidRDefault="00DD607D" w:rsidP="00E104D3">
      <w:pPr>
        <w:pStyle w:val="Heading2"/>
        <w:spacing w:after="220" w:line="240" w:lineRule="auto"/>
      </w:pPr>
      <w:bookmarkStart w:id="68" w:name="_Toc7772543"/>
      <w:r w:rsidRPr="00E8642C">
        <w:t>Folklore</w:t>
      </w:r>
      <w:bookmarkEnd w:id="68"/>
    </w:p>
    <w:p w:rsidR="009243A6" w:rsidRDefault="00DD607D" w:rsidP="00E104D3">
      <w:pPr>
        <w:spacing w:after="220"/>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D91476">
        <w:rPr>
          <w:rFonts w:cs="Arial"/>
          <w:snapToGrid w:val="0"/>
          <w:szCs w:val="22"/>
        </w:rPr>
        <w:t>’</w:t>
      </w:r>
      <w:r w:rsidRPr="00E8642C">
        <w:rPr>
          <w:rFonts w:cs="Arial"/>
          <w:snapToGrid w:val="0"/>
          <w:szCs w:val="22"/>
        </w:rPr>
        <w:t xml:space="preserve">Organisation des </w:t>
      </w:r>
      <w:r w:rsidR="00D91476">
        <w:rPr>
          <w:rFonts w:cs="Arial"/>
          <w:snapToGrid w:val="0"/>
          <w:szCs w:val="22"/>
        </w:rPr>
        <w:t>Nations Unies</w:t>
      </w:r>
      <w:r w:rsidRPr="00E8642C">
        <w:rPr>
          <w:rFonts w:cs="Arial"/>
          <w:snapToGrid w:val="0"/>
          <w:szCs w:val="22"/>
        </w:rPr>
        <w:t xml:space="preserve"> pour l</w:t>
      </w:r>
      <w:r w:rsidR="00D91476">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D91476">
        <w:rPr>
          <w:rFonts w:cs="Arial"/>
          <w:snapToGrid w:val="0"/>
          <w:szCs w:val="22"/>
        </w:rPr>
        <w:t> :</w:t>
      </w:r>
      <w:r w:rsidRPr="00E8642C">
        <w:rPr>
          <w:rFonts w:cs="Arial"/>
          <w:snapToGrid w:val="0"/>
          <w:szCs w:val="22"/>
        </w:rPr>
        <w:t xml:space="preserve"> “ensemble des créations émanant d</w:t>
      </w:r>
      <w:r w:rsidR="00D91476">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D91476">
        <w:rPr>
          <w:rFonts w:cs="Arial"/>
          <w:snapToGrid w:val="0"/>
          <w:szCs w:val="22"/>
        </w:rPr>
        <w:t>’</w:t>
      </w:r>
      <w:r w:rsidRPr="00E8642C">
        <w:rPr>
          <w:rFonts w:cs="Arial"/>
          <w:snapToGrid w:val="0"/>
          <w:szCs w:val="22"/>
        </w:rPr>
        <w:t>expression de l</w:t>
      </w:r>
      <w:r w:rsidR="00D91476">
        <w:rPr>
          <w:rFonts w:cs="Arial"/>
          <w:snapToGrid w:val="0"/>
          <w:szCs w:val="22"/>
        </w:rPr>
        <w:t>’</w:t>
      </w:r>
      <w:r w:rsidRPr="00E8642C">
        <w:rPr>
          <w:rFonts w:cs="Arial"/>
          <w:snapToGrid w:val="0"/>
          <w:szCs w:val="22"/>
        </w:rPr>
        <w:t>identité culturelle et sociale de celle</w:t>
      </w:r>
      <w:r w:rsidR="00400337">
        <w:rPr>
          <w:rFonts w:cs="Arial"/>
          <w:snapToGrid w:val="0"/>
          <w:szCs w:val="22"/>
        </w:rPr>
        <w:noBreakHyphen/>
      </w:r>
      <w:r w:rsidRPr="00E8642C">
        <w:rPr>
          <w:rFonts w:cs="Arial"/>
          <w:snapToGrid w:val="0"/>
          <w:szCs w:val="22"/>
        </w:rPr>
        <w:t>ci, les normes et les valeurs se transmettant oralement, par imitation ou par d</w:t>
      </w:r>
      <w:r w:rsidR="00D91476">
        <w:rPr>
          <w:rFonts w:cs="Arial"/>
          <w:snapToGrid w:val="0"/>
          <w:szCs w:val="22"/>
        </w:rPr>
        <w:t>’</w:t>
      </w:r>
      <w:r w:rsidRPr="00E8642C">
        <w:rPr>
          <w:rFonts w:cs="Arial"/>
          <w:snapToGrid w:val="0"/>
          <w:szCs w:val="22"/>
        </w:rPr>
        <w:t>autres manièr</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D91476">
        <w:rPr>
          <w:rFonts w:cs="Arial"/>
          <w:snapToGrid w:val="0"/>
          <w:szCs w:val="22"/>
        </w:rPr>
        <w:t>’</w:t>
      </w:r>
      <w:r w:rsidRPr="00E8642C">
        <w:rPr>
          <w:rFonts w:cs="Arial"/>
          <w:snapToGrid w:val="0"/>
          <w:szCs w:val="22"/>
        </w:rPr>
        <w:t>artisanat, l</w:t>
      </w:r>
      <w:r w:rsidR="00D91476">
        <w:rPr>
          <w:rFonts w:cs="Arial"/>
          <w:snapToGrid w:val="0"/>
          <w:szCs w:val="22"/>
        </w:rPr>
        <w:t>’</w:t>
      </w:r>
      <w:r w:rsidRPr="00E8642C">
        <w:rPr>
          <w:rFonts w:cs="Arial"/>
          <w:snapToGrid w:val="0"/>
          <w:szCs w:val="22"/>
        </w:rPr>
        <w:t>architecture et d</w:t>
      </w:r>
      <w:r w:rsidR="00D91476">
        <w:rPr>
          <w:rFonts w:cs="Arial"/>
          <w:snapToGrid w:val="0"/>
          <w:szCs w:val="22"/>
        </w:rPr>
        <w:t>’</w:t>
      </w:r>
      <w:r w:rsidRPr="00E8642C">
        <w:rPr>
          <w:rFonts w:cs="Arial"/>
          <w:snapToGrid w:val="0"/>
          <w:szCs w:val="22"/>
        </w:rPr>
        <w:t>autres arts”.</w:t>
      </w:r>
    </w:p>
    <w:p w:rsidR="009243A6" w:rsidRDefault="00DD607D" w:rsidP="00E104D3">
      <w:pPr>
        <w:spacing w:after="220"/>
        <w:rPr>
          <w:rFonts w:cs="Arial"/>
          <w:spacing w:val="-2"/>
          <w:szCs w:val="22"/>
        </w:rPr>
      </w:pPr>
      <w:r w:rsidRPr="00AA3C26">
        <w:rPr>
          <w:rFonts w:cs="Arial"/>
          <w:snapToGrid w:val="0"/>
          <w:spacing w:val="-2"/>
          <w:szCs w:val="22"/>
        </w:rPr>
        <w:t>Les premières tentatives de réglementation explicite de l</w:t>
      </w:r>
      <w:r w:rsidR="00D91476">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D91476">
        <w:rPr>
          <w:rFonts w:cs="Arial"/>
          <w:snapToGrid w:val="0"/>
          <w:spacing w:val="-2"/>
          <w:szCs w:val="22"/>
        </w:rPr>
        <w:t>’</w:t>
      </w:r>
      <w:r w:rsidRPr="00AA3C26">
        <w:rPr>
          <w:rFonts w:cs="Arial"/>
          <w:snapToGrid w:val="0"/>
          <w:spacing w:val="-2"/>
          <w:szCs w:val="22"/>
        </w:rPr>
        <w:t>auteur (Tunisie</w:t>
      </w:r>
      <w:r w:rsidR="00D91476">
        <w:rPr>
          <w:rFonts w:cs="Arial"/>
          <w:snapToGrid w:val="0"/>
          <w:spacing w:val="-2"/>
          <w:szCs w:val="22"/>
        </w:rPr>
        <w:t> :</w:t>
      </w:r>
      <w:r w:rsidRPr="00AA3C26">
        <w:rPr>
          <w:rFonts w:cs="Arial"/>
          <w:snapToGrid w:val="0"/>
          <w:spacing w:val="-2"/>
          <w:szCs w:val="22"/>
        </w:rPr>
        <w:t xml:space="preserve"> 1967;  Bolivie</w:t>
      </w:r>
      <w:r w:rsidR="00D91476">
        <w:rPr>
          <w:rFonts w:cs="Arial"/>
          <w:snapToGrid w:val="0"/>
          <w:spacing w:val="-2"/>
          <w:szCs w:val="22"/>
        </w:rPr>
        <w:t> :</w:t>
      </w:r>
      <w:r w:rsidRPr="00AA3C26">
        <w:rPr>
          <w:rFonts w:cs="Arial"/>
          <w:snapToGrid w:val="0"/>
          <w:spacing w:val="-2"/>
          <w:szCs w:val="22"/>
        </w:rPr>
        <w:t xml:space="preserve"> 1968 (uniquement pour le folklore musical);  Chili</w:t>
      </w:r>
      <w:r w:rsidR="00D91476">
        <w:rPr>
          <w:rFonts w:cs="Arial"/>
          <w:snapToGrid w:val="0"/>
          <w:spacing w:val="-2"/>
          <w:szCs w:val="22"/>
        </w:rPr>
        <w:t> :</w:t>
      </w:r>
      <w:r w:rsidRPr="00AA3C26">
        <w:rPr>
          <w:rFonts w:cs="Arial"/>
          <w:snapToGrid w:val="0"/>
          <w:spacing w:val="-2"/>
          <w:szCs w:val="22"/>
        </w:rPr>
        <w:t xml:space="preserve"> 1970;  Maroc</w:t>
      </w:r>
      <w:r w:rsidR="00D91476">
        <w:rPr>
          <w:rFonts w:cs="Arial"/>
          <w:snapToGrid w:val="0"/>
          <w:spacing w:val="-2"/>
          <w:szCs w:val="22"/>
        </w:rPr>
        <w:t> :</w:t>
      </w:r>
      <w:r w:rsidRPr="00AA3C26">
        <w:rPr>
          <w:rFonts w:cs="Arial"/>
          <w:snapToGrid w:val="0"/>
          <w:spacing w:val="-2"/>
          <w:szCs w:val="22"/>
        </w:rPr>
        <w:t xml:space="preserve"> 1970;  Algérie</w:t>
      </w:r>
      <w:r w:rsidR="00D91476">
        <w:rPr>
          <w:rFonts w:cs="Arial"/>
          <w:snapToGrid w:val="0"/>
          <w:spacing w:val="-2"/>
          <w:szCs w:val="22"/>
        </w:rPr>
        <w:t> :</w:t>
      </w:r>
      <w:r w:rsidRPr="00AA3C26">
        <w:rPr>
          <w:rFonts w:cs="Arial"/>
          <w:snapToGrid w:val="0"/>
          <w:spacing w:val="-2"/>
          <w:szCs w:val="22"/>
        </w:rPr>
        <w:t xml:space="preserve"> 1973;  Sénégal</w:t>
      </w:r>
      <w:r w:rsidR="00D91476">
        <w:rPr>
          <w:rFonts w:cs="Arial"/>
          <w:snapToGrid w:val="0"/>
          <w:spacing w:val="-2"/>
          <w:szCs w:val="22"/>
        </w:rPr>
        <w:t> :</w:t>
      </w:r>
      <w:r w:rsidRPr="00AA3C26">
        <w:rPr>
          <w:rFonts w:cs="Arial"/>
          <w:snapToGrid w:val="0"/>
          <w:spacing w:val="-2"/>
          <w:szCs w:val="22"/>
        </w:rPr>
        <w:t xml:space="preserve"> 1973;  Kenya</w:t>
      </w:r>
      <w:r w:rsidR="00D91476">
        <w:rPr>
          <w:rFonts w:cs="Arial"/>
          <w:snapToGrid w:val="0"/>
          <w:spacing w:val="-2"/>
          <w:szCs w:val="22"/>
        </w:rPr>
        <w:t> :</w:t>
      </w:r>
      <w:r w:rsidRPr="00AA3C26">
        <w:rPr>
          <w:rFonts w:cs="Arial"/>
          <w:snapToGrid w:val="0"/>
          <w:spacing w:val="-2"/>
          <w:szCs w:val="22"/>
        </w:rPr>
        <w:t xml:space="preserve"> 1975;  Mali</w:t>
      </w:r>
      <w:r w:rsidR="00D91476">
        <w:rPr>
          <w:rFonts w:cs="Arial"/>
          <w:snapToGrid w:val="0"/>
          <w:spacing w:val="-2"/>
          <w:szCs w:val="22"/>
        </w:rPr>
        <w:t> :</w:t>
      </w:r>
      <w:r w:rsidRPr="00AA3C26">
        <w:rPr>
          <w:rFonts w:cs="Arial"/>
          <w:snapToGrid w:val="0"/>
          <w:spacing w:val="-2"/>
          <w:szCs w:val="22"/>
        </w:rPr>
        <w:t xml:space="preserve"> 1977;  Burundi</w:t>
      </w:r>
      <w:r w:rsidR="00D91476">
        <w:rPr>
          <w:rFonts w:cs="Arial"/>
          <w:snapToGrid w:val="0"/>
          <w:spacing w:val="-2"/>
          <w:szCs w:val="22"/>
        </w:rPr>
        <w:t> :</w:t>
      </w:r>
      <w:r w:rsidRPr="00AA3C26">
        <w:rPr>
          <w:rFonts w:cs="Arial"/>
          <w:snapToGrid w:val="0"/>
          <w:spacing w:val="-2"/>
          <w:szCs w:val="22"/>
        </w:rPr>
        <w:t xml:space="preserve"> 1978;  Côte d</w:t>
      </w:r>
      <w:r w:rsidR="00D91476">
        <w:rPr>
          <w:rFonts w:cs="Arial"/>
          <w:snapToGrid w:val="0"/>
          <w:spacing w:val="-2"/>
          <w:szCs w:val="22"/>
        </w:rPr>
        <w:t>’</w:t>
      </w:r>
      <w:r w:rsidRPr="00AA3C26">
        <w:rPr>
          <w:rFonts w:cs="Arial"/>
          <w:snapToGrid w:val="0"/>
          <w:spacing w:val="-2"/>
          <w:szCs w:val="22"/>
        </w:rPr>
        <w:t>Ivoire</w:t>
      </w:r>
      <w:r w:rsidR="00D91476">
        <w:rPr>
          <w:rFonts w:cs="Arial"/>
          <w:snapToGrid w:val="0"/>
          <w:spacing w:val="-2"/>
          <w:szCs w:val="22"/>
        </w:rPr>
        <w:t> :</w:t>
      </w:r>
      <w:r w:rsidRPr="00AA3C26">
        <w:rPr>
          <w:rFonts w:cs="Arial"/>
          <w:snapToGrid w:val="0"/>
          <w:spacing w:val="-2"/>
          <w:szCs w:val="22"/>
        </w:rPr>
        <w:t xml:space="preserve"> 1978;  Guinée</w:t>
      </w:r>
      <w:r w:rsidR="00D91476">
        <w:rPr>
          <w:rFonts w:cs="Arial"/>
          <w:snapToGrid w:val="0"/>
          <w:spacing w:val="-2"/>
          <w:szCs w:val="22"/>
        </w:rPr>
        <w:t> :</w:t>
      </w:r>
      <w:r w:rsidRPr="00AA3C26">
        <w:rPr>
          <w:rFonts w:cs="Arial"/>
          <w:snapToGrid w:val="0"/>
          <w:spacing w:val="-2"/>
          <w:szCs w:val="22"/>
        </w:rPr>
        <w:t xml:space="preserve"> 1980;  loi type de Tunis sur le droit d</w:t>
      </w:r>
      <w:r w:rsidR="00D91476">
        <w:rPr>
          <w:rFonts w:cs="Arial"/>
          <w:snapToGrid w:val="0"/>
          <w:spacing w:val="-2"/>
          <w:szCs w:val="22"/>
        </w:rPr>
        <w:t>’</w:t>
      </w:r>
      <w:r w:rsidRPr="00AA3C26">
        <w:rPr>
          <w:rFonts w:cs="Arial"/>
          <w:snapToGrid w:val="0"/>
          <w:spacing w:val="-2"/>
          <w:szCs w:val="22"/>
        </w:rPr>
        <w:t>auteur à l</w:t>
      </w:r>
      <w:r w:rsidR="00D91476">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D91476">
        <w:rPr>
          <w:rFonts w:cs="Arial"/>
          <w:snapToGrid w:val="0"/>
          <w:spacing w:val="-2"/>
          <w:szCs w:val="22"/>
        </w:rPr>
        <w:t>’</w:t>
      </w:r>
      <w:r w:rsidRPr="00AA3C26">
        <w:rPr>
          <w:rFonts w:cs="Arial"/>
          <w:snapToGrid w:val="0"/>
          <w:spacing w:val="-2"/>
          <w:szCs w:val="22"/>
        </w:rPr>
        <w:t>Organisation africaine de la propriété intellectuelle, ci</w:t>
      </w:r>
      <w:r w:rsidR="00400337">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w:t>
      </w:r>
      <w:proofErr w:type="gramStart"/>
      <w:r w:rsidRPr="00AA3C26">
        <w:rPr>
          <w:rFonts w:cs="Arial"/>
          <w:snapToGrid w:val="0"/>
          <w:spacing w:val="-2"/>
          <w:szCs w:val="22"/>
        </w:rPr>
        <w:t>”;  au</w:t>
      </w:r>
      <w:proofErr w:type="gramEnd"/>
      <w:r w:rsidRPr="00AA3C26">
        <w:rPr>
          <w:rFonts w:cs="Arial"/>
          <w:snapToGrid w:val="0"/>
          <w:spacing w:val="-2"/>
          <w:szCs w:val="22"/>
        </w:rPr>
        <w:t> Chili</w:t>
      </w:r>
      <w:r w:rsidR="00D91476">
        <w:rPr>
          <w:rFonts w:cs="Arial"/>
          <w:snapToGrid w:val="0"/>
          <w:spacing w:val="-2"/>
          <w:szCs w:val="22"/>
        </w:rPr>
        <w:t> :</w:t>
      </w:r>
      <w:r w:rsidRPr="00AA3C26">
        <w:rPr>
          <w:rFonts w:cs="Arial"/>
          <w:snapToGrid w:val="0"/>
          <w:spacing w:val="-2"/>
          <w:szCs w:val="22"/>
        </w:rPr>
        <w:t xml:space="preserve"> “domaine public culturel” dont l</w:t>
      </w:r>
      <w:r w:rsidR="00D91476">
        <w:rPr>
          <w:rFonts w:cs="Arial"/>
          <w:snapToGrid w:val="0"/>
          <w:spacing w:val="-2"/>
          <w:szCs w:val="22"/>
        </w:rPr>
        <w:t>’</w:t>
      </w:r>
      <w:r w:rsidRPr="00AA3C26">
        <w:rPr>
          <w:rFonts w:cs="Arial"/>
          <w:snapToGrid w:val="0"/>
          <w:spacing w:val="-2"/>
          <w:szCs w:val="22"/>
        </w:rPr>
        <w:t xml:space="preserve">utilisation est soumise </w:t>
      </w:r>
      <w:r w:rsidRPr="00AA3C26">
        <w:rPr>
          <w:rFonts w:cs="Arial"/>
          <w:snapToGrid w:val="0"/>
          <w:spacing w:val="-2"/>
          <w:szCs w:val="22"/>
        </w:rPr>
        <w:lastRenderedPageBreak/>
        <w:t>à paieme</w:t>
      </w:r>
      <w:r w:rsidR="001F3AEE" w:rsidRPr="00AA3C26">
        <w:rPr>
          <w:rFonts w:cs="Arial"/>
          <w:snapToGrid w:val="0"/>
          <w:spacing w:val="-2"/>
          <w:szCs w:val="22"/>
        </w:rPr>
        <w:t>nt)</w:t>
      </w:r>
      <w:r w:rsidR="001F3AEE">
        <w:rPr>
          <w:rFonts w:cs="Arial"/>
          <w:snapToGrid w:val="0"/>
          <w:spacing w:val="-2"/>
          <w:szCs w:val="22"/>
        </w:rPr>
        <w:t xml:space="preserve">.  </w:t>
      </w:r>
      <w:r w:rsidR="001F3AEE"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Un</w:t>
      </w:r>
      <w:r w:rsidRPr="00AA3C26">
        <w:rPr>
          <w:rFonts w:cs="Arial"/>
          <w:snapToGrid w:val="0"/>
          <w:spacing w:val="-2"/>
          <w:szCs w:val="22"/>
        </w:rPr>
        <w:t> élément commun important relevant du droit d</w:t>
      </w:r>
      <w:r w:rsidR="00D91476">
        <w:rPr>
          <w:rFonts w:cs="Arial"/>
          <w:snapToGrid w:val="0"/>
          <w:spacing w:val="-2"/>
          <w:szCs w:val="22"/>
        </w:rPr>
        <w:t>’</w:t>
      </w:r>
      <w:r w:rsidRPr="00AA3C26">
        <w:rPr>
          <w:rFonts w:cs="Arial"/>
          <w:snapToGrid w:val="0"/>
          <w:spacing w:val="-2"/>
          <w:szCs w:val="22"/>
        </w:rPr>
        <w:t>auteur dans la définition de ces lois (à l</w:t>
      </w:r>
      <w:r w:rsidR="00D91476">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D91476">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1F3AEE" w:rsidRPr="00AA3C26">
        <w:rPr>
          <w:rFonts w:cs="Arial"/>
          <w:snapToGrid w:val="0"/>
          <w:spacing w:val="-2"/>
          <w:szCs w:val="22"/>
        </w:rPr>
        <w:t>ys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91476">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D91476">
        <w:rPr>
          <w:rFonts w:cs="Arial"/>
          <w:snapToGrid w:val="0"/>
          <w:spacing w:val="-2"/>
          <w:szCs w:val="22"/>
        </w:rPr>
        <w:t>’</w:t>
      </w:r>
      <w:r w:rsidRPr="00AA3C26">
        <w:rPr>
          <w:rFonts w:cs="Arial"/>
          <w:snapToGrid w:val="0"/>
          <w:spacing w:val="-2"/>
          <w:szCs w:val="22"/>
        </w:rPr>
        <w:t>auteur traditionn</w:t>
      </w:r>
      <w:r w:rsidR="001F3AEE" w:rsidRPr="00AA3C26">
        <w:rPr>
          <w:rFonts w:cs="Arial"/>
          <w:snapToGrid w:val="0"/>
          <w:spacing w:val="-2"/>
          <w:szCs w:val="22"/>
        </w:rPr>
        <w:t>el</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D91476">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91476">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D91476">
        <w:rPr>
          <w:rFonts w:cs="Arial"/>
          <w:snapToGrid w:val="0"/>
          <w:spacing w:val="-2"/>
          <w:szCs w:val="22"/>
        </w:rPr>
        <w:t>’</w:t>
      </w:r>
      <w:r w:rsidRPr="00AA3C26">
        <w:rPr>
          <w:rFonts w:cs="Arial"/>
          <w:snapToGrid w:val="0"/>
          <w:spacing w:val="-2"/>
          <w:szCs w:val="22"/>
        </w:rPr>
        <w:t>œuvres dont l</w:t>
      </w:r>
      <w:r w:rsidR="00D91476">
        <w:rPr>
          <w:rFonts w:cs="Arial"/>
          <w:snapToGrid w:val="0"/>
          <w:spacing w:val="-2"/>
          <w:szCs w:val="22"/>
        </w:rPr>
        <w:t>’</w:t>
      </w:r>
      <w:r w:rsidRPr="00AA3C26">
        <w:rPr>
          <w:rFonts w:cs="Arial"/>
          <w:snapToGrid w:val="0"/>
          <w:spacing w:val="-2"/>
          <w:szCs w:val="22"/>
        </w:rPr>
        <w:t>utilisation à des fins commerciales exige l</w:t>
      </w:r>
      <w:r w:rsidR="00D91476">
        <w:rPr>
          <w:rFonts w:cs="Arial"/>
          <w:snapToGrid w:val="0"/>
          <w:spacing w:val="-2"/>
          <w:szCs w:val="22"/>
        </w:rPr>
        <w:t>’</w:t>
      </w:r>
      <w:r w:rsidRPr="00AA3C26">
        <w:rPr>
          <w:rFonts w:cs="Arial"/>
          <w:snapToGrid w:val="0"/>
          <w:spacing w:val="-2"/>
          <w:szCs w:val="22"/>
        </w:rPr>
        <w:t>approbation d</w:t>
      </w:r>
      <w:r w:rsidR="00D91476">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9243A6" w:rsidRDefault="00DD607D" w:rsidP="00E104D3">
      <w:pPr>
        <w:pStyle w:val="Heading2"/>
        <w:spacing w:after="220" w:line="240" w:lineRule="auto"/>
      </w:pPr>
      <w:bookmarkStart w:id="69" w:name="_Toc7772544"/>
      <w:r w:rsidRPr="00E8642C">
        <w:t>Formalité</w:t>
      </w:r>
      <w:bookmarkEnd w:id="69"/>
    </w:p>
    <w:p w:rsidR="009243A6" w:rsidRDefault="00DD607D" w:rsidP="00E104D3">
      <w:pPr>
        <w:spacing w:after="220"/>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D91476">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1F3AEE" w:rsidRPr="00AA3C26">
        <w:rPr>
          <w:rFonts w:cs="Arial"/>
          <w:snapToGrid w:val="0"/>
          <w:szCs w:val="22"/>
        </w:rPr>
        <w:t>se</w:t>
      </w:r>
      <w:r w:rsidR="001F3AEE">
        <w:rPr>
          <w:rFonts w:cs="Arial"/>
          <w:snapToGrid w:val="0"/>
          <w:szCs w:val="22"/>
        </w:rPr>
        <w:t xml:space="preserve">.  </w:t>
      </w:r>
      <w:r w:rsidR="001F3AEE" w:rsidRPr="00AA3C26">
        <w:rPr>
          <w:rFonts w:cs="Arial"/>
          <w:snapToGrid w:val="0"/>
          <w:szCs w:val="22"/>
        </w:rPr>
        <w:t>Da</w:t>
      </w:r>
      <w:r w:rsidRPr="00AA3C26">
        <w:rPr>
          <w:rFonts w:cs="Arial"/>
          <w:snapToGrid w:val="0"/>
          <w:szCs w:val="22"/>
        </w:rPr>
        <w:t>ns le contexte du droit d</w:t>
      </w:r>
      <w:r w:rsidR="00D91476">
        <w:rPr>
          <w:rFonts w:cs="Arial"/>
          <w:snapToGrid w:val="0"/>
          <w:szCs w:val="22"/>
        </w:rPr>
        <w:t>’</w:t>
      </w:r>
      <w:r w:rsidRPr="00AA3C26">
        <w:rPr>
          <w:rFonts w:cs="Arial"/>
          <w:snapToGrid w:val="0"/>
          <w:szCs w:val="22"/>
        </w:rPr>
        <w:t>auteur, le terme “formalités” renvoie à une condition de procédure ou une condition administrative, telle que l</w:t>
      </w:r>
      <w:r w:rsidR="00D91476">
        <w:rPr>
          <w:rFonts w:cs="Arial"/>
          <w:snapToGrid w:val="0"/>
          <w:szCs w:val="22"/>
        </w:rPr>
        <w:t>’</w:t>
      </w:r>
      <w:r w:rsidRPr="00AA3C26">
        <w:rPr>
          <w:rFonts w:cs="Arial"/>
          <w:snapToGrid w:val="0"/>
          <w:szCs w:val="22"/>
        </w:rPr>
        <w:t>insertion d</w:t>
      </w:r>
      <w:r w:rsidR="00D91476">
        <w:rPr>
          <w:rFonts w:cs="Arial"/>
          <w:snapToGrid w:val="0"/>
          <w:szCs w:val="22"/>
        </w:rPr>
        <w:t>’</w:t>
      </w:r>
      <w:r w:rsidRPr="00AA3C26">
        <w:rPr>
          <w:rFonts w:cs="Arial"/>
          <w:snapToGrid w:val="0"/>
          <w:szCs w:val="22"/>
        </w:rPr>
        <w:t>une mention de réserve du droit d</w:t>
      </w:r>
      <w:r w:rsidR="00D91476">
        <w:rPr>
          <w:rFonts w:cs="Arial"/>
          <w:snapToGrid w:val="0"/>
          <w:szCs w:val="22"/>
        </w:rPr>
        <w:t>’</w:t>
      </w:r>
      <w:r w:rsidRPr="00AA3C26">
        <w:rPr>
          <w:rFonts w:cs="Arial"/>
          <w:snapToGrid w:val="0"/>
          <w:szCs w:val="22"/>
        </w:rPr>
        <w:t>auteur, le dépôt d</w:t>
      </w:r>
      <w:r w:rsidR="00D91476">
        <w:rPr>
          <w:rFonts w:cs="Arial"/>
          <w:snapToGrid w:val="0"/>
          <w:szCs w:val="22"/>
        </w:rPr>
        <w:t>’</w:t>
      </w:r>
      <w:r w:rsidRPr="00AA3C26">
        <w:rPr>
          <w:rFonts w:cs="Arial"/>
          <w:snapToGrid w:val="0"/>
          <w:szCs w:val="22"/>
        </w:rPr>
        <w:t>exemplaires ou l</w:t>
      </w:r>
      <w:r w:rsidR="00D91476">
        <w:rPr>
          <w:rFonts w:cs="Arial"/>
          <w:snapToGrid w:val="0"/>
          <w:szCs w:val="22"/>
        </w:rPr>
        <w:t>’</w:t>
      </w:r>
      <w:r w:rsidRPr="00AA3C26">
        <w:rPr>
          <w:rFonts w:cs="Arial"/>
          <w:snapToGrid w:val="0"/>
          <w:szCs w:val="22"/>
        </w:rPr>
        <w:t>enregistrement, auxquels sont subordonnés l</w:t>
      </w:r>
      <w:r w:rsidR="00D91476">
        <w:rPr>
          <w:rFonts w:cs="Arial"/>
          <w:snapToGrid w:val="0"/>
          <w:szCs w:val="22"/>
        </w:rPr>
        <w:t>’</w:t>
      </w:r>
      <w:r w:rsidRPr="00AA3C26">
        <w:rPr>
          <w:rFonts w:cs="Arial"/>
          <w:snapToGrid w:val="0"/>
          <w:szCs w:val="22"/>
        </w:rPr>
        <w:t>acquisition, la jouissance et l</w:t>
      </w:r>
      <w:r w:rsidR="00D91476">
        <w:rPr>
          <w:rFonts w:cs="Arial"/>
          <w:snapToGrid w:val="0"/>
          <w:szCs w:val="22"/>
        </w:rPr>
        <w:t>’</w:t>
      </w:r>
      <w:r w:rsidRPr="00AA3C26">
        <w:rPr>
          <w:rFonts w:cs="Arial"/>
          <w:snapToGrid w:val="0"/>
          <w:szCs w:val="22"/>
        </w:rPr>
        <w:t>exercice (notamment l</w:t>
      </w:r>
      <w:r w:rsidR="00D91476">
        <w:rPr>
          <w:rFonts w:cs="Arial"/>
          <w:snapToGrid w:val="0"/>
          <w:szCs w:val="22"/>
        </w:rPr>
        <w:t>’</w:t>
      </w:r>
      <w:r w:rsidRPr="00AA3C26">
        <w:rPr>
          <w:rFonts w:cs="Arial"/>
          <w:snapToGrid w:val="0"/>
          <w:szCs w:val="22"/>
        </w:rPr>
        <w:t>opposabilité) du droit d</w:t>
      </w:r>
      <w:r w:rsidR="00D91476">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D91476">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D91476">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D91476">
        <w:rPr>
          <w:rFonts w:cs="Arial"/>
          <w:i/>
          <w:snapToGrid w:val="0"/>
          <w:szCs w:val="22"/>
        </w:rPr>
        <w:t>’</w:t>
      </w:r>
      <w:r w:rsidRPr="00AA3C26">
        <w:rPr>
          <w:rFonts w:cs="Arial"/>
          <w:i/>
          <w:snapToGrid w:val="0"/>
          <w:szCs w:val="22"/>
        </w:rPr>
        <w:t>OMPI sur le droit d</w:t>
      </w:r>
      <w:r w:rsidR="00D91476">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D91476">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D91476">
        <w:rPr>
          <w:rFonts w:cs="Arial"/>
          <w:snapToGrid w:val="0"/>
          <w:szCs w:val="22"/>
        </w:rPr>
        <w:t>’</w:t>
      </w:r>
      <w:r w:rsidRPr="00AA3C26">
        <w:rPr>
          <w:rFonts w:cs="Arial"/>
          <w:snapToGrid w:val="0"/>
          <w:szCs w:val="22"/>
        </w:rPr>
        <w:t>exercice de ces droits peuvent n</w:t>
      </w:r>
      <w:r w:rsidR="00D91476">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9243A6" w:rsidRDefault="00DD607D" w:rsidP="00E104D3">
      <w:pPr>
        <w:pStyle w:val="Heading2"/>
        <w:keepLines/>
        <w:spacing w:after="220" w:line="240" w:lineRule="auto"/>
      </w:pPr>
      <w:bookmarkStart w:id="70" w:name="_Toc7772545"/>
      <w:r w:rsidRPr="00E8642C">
        <w:t>Fournisseurs et destinataires de ressources génétiques</w:t>
      </w:r>
      <w:bookmarkEnd w:id="70"/>
    </w:p>
    <w:p w:rsidR="009243A6" w:rsidRDefault="00DD607D" w:rsidP="00E104D3">
      <w:pPr>
        <w:pStyle w:val="BodyText"/>
        <w:tabs>
          <w:tab w:val="left" w:pos="567"/>
        </w:tabs>
        <w:spacing w:after="22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D91476">
        <w:rPr>
          <w:rFonts w:cs="Arial"/>
          <w:szCs w:val="22"/>
        </w:rPr>
        <w:t>y compris</w:t>
      </w:r>
      <w:r w:rsidRPr="00E8642C">
        <w:rPr>
          <w:rFonts w:cs="Arial"/>
          <w:szCs w:val="22"/>
        </w:rPr>
        <w:t xml:space="preserve"> les responsables de l</w:t>
      </w:r>
      <w:r w:rsidR="00D91476">
        <w:rPr>
          <w:rFonts w:cs="Arial"/>
          <w:szCs w:val="22"/>
        </w:rPr>
        <w:t>’</w:t>
      </w:r>
      <w:r w:rsidRPr="00E8642C">
        <w:rPr>
          <w:rFonts w:cs="Arial"/>
          <w:szCs w:val="22"/>
        </w:rPr>
        <w:t xml:space="preserve">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w:t>
      </w:r>
      <w:r w:rsidRPr="00E8642C">
        <w:rPr>
          <w:rFonts w:cs="Arial"/>
          <w:szCs w:val="22"/>
        </w:rPr>
        <w:lastRenderedPageBreak/>
        <w:t>organisations populaires, des communautés agricoles traditionnelles);  et d</w:t>
      </w:r>
      <w:r w:rsidR="00D91476">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9243A6" w:rsidRDefault="00DD607D" w:rsidP="00E104D3">
      <w:pPr>
        <w:pStyle w:val="Heading2"/>
        <w:spacing w:after="220" w:line="240" w:lineRule="auto"/>
      </w:pPr>
      <w:bookmarkStart w:id="71" w:name="_Toc7772546"/>
      <w:r w:rsidRPr="00E8642C">
        <w:t>Identité culturelle</w:t>
      </w:r>
      <w:bookmarkEnd w:id="71"/>
    </w:p>
    <w:p w:rsidR="009243A6" w:rsidRDefault="00DD607D" w:rsidP="00E104D3">
      <w:pPr>
        <w:pStyle w:val="FootnoteText"/>
        <w:spacing w:after="220"/>
        <w:ind w:left="0" w:firstLine="0"/>
        <w:rPr>
          <w:rFonts w:cs="Arial"/>
          <w:szCs w:val="22"/>
        </w:rPr>
      </w:pPr>
      <w:r w:rsidRPr="00E8642C">
        <w:rPr>
          <w:rFonts w:cs="Arial"/>
          <w:szCs w:val="22"/>
        </w:rPr>
        <w:t>L</w:t>
      </w:r>
      <w:r w:rsidR="00D91476">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9243A6" w:rsidRDefault="00DD607D" w:rsidP="00E104D3">
      <w:pPr>
        <w:pStyle w:val="Heading2"/>
        <w:spacing w:after="220" w:line="240" w:lineRule="auto"/>
      </w:pPr>
      <w:bookmarkStart w:id="72" w:name="_Toc7772547"/>
      <w:r w:rsidRPr="00E8642C">
        <w:t>Instrument de l</w:t>
      </w:r>
      <w:r w:rsidR="00D91476">
        <w:t>’</w:t>
      </w:r>
      <w:r w:rsidRPr="00E8642C">
        <w:t>OMPI sur la fixation des savoirs traditionnels (Instrument d</w:t>
      </w:r>
      <w:r w:rsidR="00D91476">
        <w:t>’</w:t>
      </w:r>
      <w:r w:rsidRPr="00E8642C">
        <w:t>aide à la fixation des savoirs traditionnels)</w:t>
      </w:r>
      <w:bookmarkEnd w:id="72"/>
    </w:p>
    <w:p w:rsidR="009243A6" w:rsidRDefault="00DD607D" w:rsidP="00E104D3">
      <w:pPr>
        <w:spacing w:after="220"/>
        <w:rPr>
          <w:rFonts w:cs="Arial"/>
          <w:szCs w:val="22"/>
        </w:rPr>
      </w:pPr>
      <w:r w:rsidRPr="00E8642C">
        <w:rPr>
          <w:rFonts w:cs="Arial"/>
          <w:szCs w:val="22"/>
        </w:rPr>
        <w:t>Les programmes de fixation peuvent poser des problèmes en matière de propriété intellectuelle aux détenteurs de savoirs traditionne</w:t>
      </w:r>
      <w:r w:rsidR="001F3AEE" w:rsidRPr="00E8642C">
        <w:rPr>
          <w:rFonts w:cs="Arial"/>
          <w:szCs w:val="22"/>
        </w:rPr>
        <w:t>ls</w:t>
      </w:r>
      <w:r w:rsidR="001F3AEE">
        <w:rPr>
          <w:rFonts w:cs="Arial"/>
          <w:szCs w:val="22"/>
        </w:rPr>
        <w:t xml:space="preserve">.  </w:t>
      </w:r>
      <w:r w:rsidR="001F3AEE"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1F3AEE" w:rsidRPr="00E8642C">
        <w:rPr>
          <w:rFonts w:cs="Arial"/>
          <w:szCs w:val="22"/>
        </w:rPr>
        <w:t>on</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i</w:t>
      </w:r>
      <w:r w:rsidRPr="00E8642C">
        <w:rPr>
          <w:rFonts w:cs="Arial"/>
          <w:szCs w:val="22"/>
        </w:rPr>
        <w:t>nstrument de l</w:t>
      </w:r>
      <w:r w:rsidR="00D91476">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D91476">
        <w:rPr>
          <w:rFonts w:cs="Arial"/>
          <w:szCs w:val="22"/>
        </w:rPr>
        <w:t>’</w:t>
      </w:r>
      <w:r w:rsidRPr="00E8642C">
        <w:rPr>
          <w:rFonts w:cs="Arial"/>
          <w:szCs w:val="22"/>
        </w:rPr>
        <w:t>une gestion plus avantageuse des savoirs traditionnels en tant qu</w:t>
      </w:r>
      <w:r w:rsidR="00D91476">
        <w:rPr>
          <w:rFonts w:cs="Arial"/>
          <w:szCs w:val="22"/>
        </w:rPr>
        <w:t>’</w:t>
      </w:r>
      <w:r w:rsidRPr="00E8642C">
        <w:rPr>
          <w:rFonts w:cs="Arial"/>
          <w:szCs w:val="22"/>
        </w:rPr>
        <w:t>actifs intellectuels et culturels d</w:t>
      </w:r>
      <w:r w:rsidR="00D91476">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9243A6"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instrument de l</w:t>
      </w:r>
      <w:r w:rsidR="00D91476">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peut aussi être utile à ceux qui appartiennent à l</w:t>
      </w:r>
      <w:r w:rsidR="00D91476">
        <w:rPr>
          <w:rFonts w:cs="Arial"/>
          <w:szCs w:val="22"/>
        </w:rPr>
        <w:t>’</w:t>
      </w:r>
      <w:r w:rsidRPr="00E8642C">
        <w:rPr>
          <w:rFonts w:cs="Arial"/>
          <w:szCs w:val="22"/>
        </w:rPr>
        <w:t>une des catégories suivantes</w:t>
      </w:r>
      <w:r w:rsidR="00D91476">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9243A6" w:rsidRDefault="00DD607D" w:rsidP="00E104D3">
      <w:pPr>
        <w:spacing w:after="220"/>
        <w:rPr>
          <w:rFonts w:cs="Arial"/>
          <w:szCs w:val="22"/>
        </w:rPr>
      </w:pPr>
      <w:r w:rsidRPr="00AA3C26">
        <w:rPr>
          <w:rFonts w:cs="Arial"/>
          <w:szCs w:val="22"/>
        </w:rPr>
        <w:t>Les droits de propriété intellectuelle et d</w:t>
      </w:r>
      <w:r w:rsidR="00D91476">
        <w:rPr>
          <w:rFonts w:cs="Arial"/>
          <w:szCs w:val="22"/>
        </w:rPr>
        <w:t>’</w:t>
      </w:r>
      <w:r w:rsidRPr="00AA3C26">
        <w:rPr>
          <w:rFonts w:cs="Arial"/>
          <w:szCs w:val="22"/>
        </w:rPr>
        <w:t>autres instruments juridiques peuvent permettre de protéger les savoirs lorsqu</w:t>
      </w:r>
      <w:r w:rsidR="00D91476">
        <w:rPr>
          <w:rFonts w:cs="Arial"/>
          <w:szCs w:val="22"/>
        </w:rPr>
        <w:t>’</w:t>
      </w:r>
      <w:r w:rsidRPr="00AA3C26">
        <w:rPr>
          <w:rFonts w:cs="Arial"/>
          <w:szCs w:val="22"/>
        </w:rPr>
        <w:t>ils sont fixés, mais uniquement si des mesures adéquates ont été prises au cours du processus de fixati</w:t>
      </w:r>
      <w:r w:rsidR="001F3AEE" w:rsidRPr="00AA3C26">
        <w:rPr>
          <w:rFonts w:cs="Arial"/>
          <w:szCs w:val="22"/>
        </w:rPr>
        <w:t>on</w:t>
      </w:r>
      <w:r w:rsidR="001F3AEE">
        <w:rPr>
          <w:rFonts w:cs="Arial"/>
          <w:szCs w:val="22"/>
        </w:rPr>
        <w:t xml:space="preserve">.  </w:t>
      </w:r>
      <w:r w:rsidR="001F3AEE" w:rsidRPr="00AA3C26">
        <w:rPr>
          <w:rFonts w:cs="Arial"/>
          <w:szCs w:val="22"/>
        </w:rPr>
        <w:t>L</w:t>
      </w:r>
      <w:r w:rsidR="001F3AEE">
        <w:rPr>
          <w:rFonts w:cs="Arial"/>
          <w:szCs w:val="22"/>
        </w:rPr>
        <w:t>’</w:t>
      </w:r>
      <w:r w:rsidR="001F3AEE" w:rsidRPr="00AA3C26">
        <w:rPr>
          <w:rFonts w:cs="Arial"/>
          <w:szCs w:val="22"/>
        </w:rPr>
        <w:t>i</w:t>
      </w:r>
      <w:r w:rsidRPr="00AA3C26">
        <w:rPr>
          <w:rFonts w:cs="Arial"/>
          <w:szCs w:val="22"/>
        </w:rPr>
        <w:t>nstrument de l</w:t>
      </w:r>
      <w:r w:rsidR="00D91476">
        <w:rPr>
          <w:rFonts w:cs="Arial"/>
          <w:szCs w:val="22"/>
        </w:rPr>
        <w:t>’</w:t>
      </w:r>
      <w:r w:rsidRPr="00AA3C26">
        <w:rPr>
          <w:rFonts w:cs="Arial"/>
          <w:szCs w:val="22"/>
        </w:rPr>
        <w:t>OMPI sur la fixation des savoirs traditionnels qui est soumis à consultation aidera à évaluer les options en matière de propriété intellectuelle, ainsi qu</w:t>
      </w:r>
      <w:r w:rsidR="00D91476">
        <w:rPr>
          <w:rFonts w:cs="Arial"/>
          <w:szCs w:val="22"/>
        </w:rPr>
        <w:t>’</w:t>
      </w:r>
      <w:r w:rsidRPr="00AA3C26">
        <w:rPr>
          <w:rFonts w:cs="Arial"/>
          <w:szCs w:val="22"/>
        </w:rPr>
        <w:t>à planifier et à mettre en œuvre les choix et stratégies lors de la fixation des savoirs traditionnels.</w:t>
      </w:r>
    </w:p>
    <w:p w:rsidR="009243A6" w:rsidRDefault="00DD607D" w:rsidP="00E104D3">
      <w:pPr>
        <w:pStyle w:val="Heading2"/>
        <w:spacing w:after="220" w:line="240" w:lineRule="auto"/>
      </w:pPr>
      <w:bookmarkStart w:id="73" w:name="_Toc7772548"/>
      <w:r w:rsidRPr="00E8642C">
        <w:t>Intégrité</w:t>
      </w:r>
      <w:bookmarkEnd w:id="73"/>
    </w:p>
    <w:p w:rsidR="009243A6" w:rsidRDefault="00DD607D" w:rsidP="00E104D3">
      <w:pPr>
        <w:spacing w:after="220"/>
        <w:rPr>
          <w:szCs w:val="22"/>
        </w:rPr>
      </w:pPr>
      <w:r w:rsidRPr="00E8642C">
        <w:rPr>
          <w:szCs w:val="22"/>
        </w:rPr>
        <w:t>Le droit à l</w:t>
      </w:r>
      <w:r w:rsidR="00D91476">
        <w:rPr>
          <w:szCs w:val="22"/>
        </w:rPr>
        <w:t>’</w:t>
      </w:r>
      <w:r w:rsidRPr="00E8642C">
        <w:rPr>
          <w:szCs w:val="22"/>
        </w:rPr>
        <w:t>intégrité est le droit de s</w:t>
      </w:r>
      <w:r w:rsidR="00D91476">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D91476">
        <w:rPr>
          <w:szCs w:val="22"/>
        </w:rPr>
        <w:t>’</w:t>
      </w:r>
      <w:r w:rsidRPr="00E8642C">
        <w:rPr>
          <w:szCs w:val="22"/>
        </w:rPr>
        <w:t>interdiction d</w:t>
      </w:r>
      <w:r w:rsidR="00D91476">
        <w:rPr>
          <w:szCs w:val="22"/>
        </w:rPr>
        <w:t>’</w:t>
      </w:r>
      <w:r w:rsidRPr="00E8642C">
        <w:rPr>
          <w:szCs w:val="22"/>
        </w:rPr>
        <w:t>autres atteintes à l</w:t>
      </w:r>
      <w:r w:rsidR="00D91476">
        <w:rPr>
          <w:szCs w:val="22"/>
        </w:rPr>
        <w:t>’</w:t>
      </w:r>
      <w:r w:rsidRPr="00E8642C">
        <w:rPr>
          <w:szCs w:val="22"/>
        </w:rPr>
        <w:t>œuvre préjudiciables à l</w:t>
      </w:r>
      <w:r w:rsidR="00D91476">
        <w:rPr>
          <w:szCs w:val="22"/>
        </w:rPr>
        <w:t>’</w:t>
      </w:r>
      <w:r w:rsidRPr="00E8642C">
        <w:rPr>
          <w:szCs w:val="22"/>
        </w:rPr>
        <w:t>honneur ou à la réputation de l</w:t>
      </w:r>
      <w:r w:rsidR="00D91476">
        <w:rPr>
          <w:szCs w:val="22"/>
        </w:rPr>
        <w:t>’</w:t>
      </w:r>
      <w:r w:rsidRPr="00E8642C">
        <w:rPr>
          <w:szCs w:val="22"/>
        </w:rPr>
        <w:t>auteur a été ajoutée (article 6</w:t>
      </w:r>
      <w:r w:rsidRPr="00E8642C">
        <w:rPr>
          <w:i/>
          <w:szCs w:val="22"/>
        </w:rPr>
        <w:t>bis</w:t>
      </w:r>
      <w:r w:rsidRPr="00E8642C">
        <w:rPr>
          <w:szCs w:val="22"/>
        </w:rPr>
        <w:t>).</w:t>
      </w:r>
    </w:p>
    <w:p w:rsidR="009243A6" w:rsidRDefault="00DD607D" w:rsidP="00E104D3">
      <w:pPr>
        <w:pStyle w:val="Heading2"/>
        <w:spacing w:after="220" w:line="240" w:lineRule="auto"/>
      </w:pPr>
      <w:bookmarkStart w:id="74" w:name="_Toc7772549"/>
      <w:r w:rsidRPr="00E8642C">
        <w:lastRenderedPageBreak/>
        <w:t>Inventions biotechnologiques</w:t>
      </w:r>
      <w:bookmarkEnd w:id="74"/>
    </w:p>
    <w:p w:rsidR="009243A6" w:rsidRDefault="00DD607D" w:rsidP="00E104D3">
      <w:pPr>
        <w:keepNext/>
        <w:spacing w:after="220"/>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D91476">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D91476">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D91476">
        <w:rPr>
          <w:rFonts w:cs="Arial"/>
          <w:szCs w:val="22"/>
        </w:rPr>
        <w:t> :</w:t>
      </w:r>
      <w:r w:rsidRPr="00E8642C">
        <w:rPr>
          <w:rFonts w:cs="Arial"/>
          <w:szCs w:val="22"/>
        </w:rPr>
        <w:t xml:space="preserve"> elles représentent à la fois les procédés de création ou de modification d</w:t>
      </w:r>
      <w:r w:rsidR="00D91476">
        <w:rPr>
          <w:rFonts w:cs="Arial"/>
          <w:szCs w:val="22"/>
        </w:rPr>
        <w:t>’</w:t>
      </w:r>
      <w:r w:rsidRPr="00E8642C">
        <w:rPr>
          <w:rFonts w:cs="Arial"/>
          <w:szCs w:val="22"/>
        </w:rPr>
        <w:t>organismes vivants et de matériel biologique, les résultats de ces procédés et l</w:t>
      </w:r>
      <w:r w:rsidR="00D91476">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9243A6" w:rsidRDefault="006B600F" w:rsidP="00E104D3">
      <w:pPr>
        <w:pStyle w:val="Heading2"/>
        <w:spacing w:after="220" w:line="240" w:lineRule="auto"/>
        <w:rPr>
          <w:rStyle w:val="Strong"/>
          <w:b/>
          <w:bCs/>
          <w:caps/>
        </w:rPr>
      </w:pPr>
      <w:bookmarkStart w:id="75" w:name="_Toc7772550"/>
      <w:r w:rsidRPr="00E8642C">
        <w:t xml:space="preserve">Lignes directrices de </w:t>
      </w:r>
      <w:r>
        <w:t>B</w:t>
      </w:r>
      <w:r w:rsidRPr="00E8642C">
        <w:t>onn sur l</w:t>
      </w:r>
      <w:r w:rsidR="00D91476">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9243A6" w:rsidRDefault="00DD607D" w:rsidP="00E104D3">
      <w:pPr>
        <w:tabs>
          <w:tab w:val="num" w:pos="1440"/>
        </w:tabs>
        <w:spacing w:after="220"/>
        <w:rPr>
          <w:rFonts w:cs="Arial"/>
          <w:bCs/>
          <w:szCs w:val="22"/>
        </w:rPr>
      </w:pPr>
      <w:r w:rsidRPr="00E8642C">
        <w:rPr>
          <w:rFonts w:cs="Arial"/>
          <w:szCs w:val="22"/>
        </w:rPr>
        <w:t xml:space="preserve">Les </w:t>
      </w:r>
      <w:r w:rsidRPr="00E8642C">
        <w:rPr>
          <w:rFonts w:cs="Arial"/>
          <w:i/>
          <w:szCs w:val="22"/>
        </w:rPr>
        <w:t>Lignes directrices de Bonn sur l</w:t>
      </w:r>
      <w:r w:rsidR="00D91476">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D91476">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D91476">
        <w:rPr>
          <w:rFonts w:cs="Arial"/>
          <w:szCs w:val="22"/>
        </w:rPr>
        <w:t>’</w:t>
      </w:r>
      <w:r w:rsidRPr="00E8642C">
        <w:rPr>
          <w:rFonts w:cs="Arial"/>
          <w:szCs w:val="22"/>
        </w:rPr>
        <w:t>accès aux ressources génétiques et au partage des avantag</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lignes directrices sont d</w:t>
      </w:r>
      <w:r w:rsidR="00D91476">
        <w:rPr>
          <w:rFonts w:cs="Arial"/>
          <w:szCs w:val="22"/>
        </w:rPr>
        <w:t>’</w:t>
      </w:r>
      <w:r w:rsidRPr="00E8642C">
        <w:rPr>
          <w:rFonts w:cs="Arial"/>
          <w:szCs w:val="22"/>
        </w:rPr>
        <w:t>application volontaire et s</w:t>
      </w:r>
      <w:r w:rsidR="00D91476">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9243A6" w:rsidRDefault="00DD607D" w:rsidP="00E104D3">
      <w:pPr>
        <w:pStyle w:val="Heading2"/>
        <w:spacing w:after="220" w:line="240" w:lineRule="auto"/>
      </w:pPr>
      <w:bookmarkStart w:id="76" w:name="_Toc7772551"/>
      <w:r w:rsidRPr="00E8642C">
        <w:t>Limitations</w:t>
      </w:r>
      <w:bookmarkEnd w:id="76"/>
    </w:p>
    <w:p w:rsidR="00AA3C26" w:rsidRDefault="00DD607D" w:rsidP="00E104D3">
      <w:pPr>
        <w:spacing w:after="220"/>
        <w:rPr>
          <w:rFonts w:cs="Arial"/>
          <w:szCs w:val="22"/>
        </w:rPr>
      </w:pPr>
      <w:r w:rsidRPr="00E8642C">
        <w:rPr>
          <w:rFonts w:cs="Arial"/>
          <w:szCs w:val="22"/>
        </w:rPr>
        <w:t xml:space="preserve">“Limitation”, 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D91476">
        <w:rPr>
          <w:rFonts w:cs="Arial"/>
          <w:szCs w:val="22"/>
        </w:rPr>
        <w:t>’</w:t>
      </w:r>
      <w:r w:rsidRPr="00E8642C">
        <w:rPr>
          <w:rFonts w:cs="Arial"/>
          <w:szCs w:val="22"/>
        </w:rPr>
        <w:t>acte de limiter, à la qualité, l</w:t>
      </w:r>
      <w:r w:rsidR="00D91476">
        <w:rPr>
          <w:rFonts w:cs="Arial"/>
          <w:szCs w:val="22"/>
        </w:rPr>
        <w:t>’</w:t>
      </w:r>
      <w:r w:rsidRPr="00E8642C">
        <w:rPr>
          <w:rFonts w:cs="Arial"/>
          <w:szCs w:val="22"/>
        </w:rPr>
        <w:t>état ou la condition conféré par le fait d</w:t>
      </w:r>
      <w:r w:rsidR="00D91476">
        <w:rPr>
          <w:rFonts w:cs="Arial"/>
          <w:szCs w:val="22"/>
        </w:rPr>
        <w:t>’</w:t>
      </w:r>
      <w:r w:rsidRPr="00E8642C">
        <w:rPr>
          <w:rFonts w:cs="Arial"/>
          <w:szCs w:val="22"/>
        </w:rPr>
        <w:t>être limité, à une restricti</w:t>
      </w:r>
      <w:r w:rsidR="001F3AEE" w:rsidRPr="00E8642C">
        <w:rPr>
          <w:rFonts w:cs="Arial"/>
          <w:szCs w:val="22"/>
        </w:rPr>
        <w:t>on</w:t>
      </w:r>
      <w:r w:rsidR="001F3AEE">
        <w:rPr>
          <w:rFonts w:cs="Arial"/>
          <w:szCs w:val="22"/>
        </w:rPr>
        <w:t xml:space="preserve">.  </w:t>
      </w:r>
      <w:r w:rsidR="001F3AEE"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D91476">
        <w:rPr>
          <w:rFonts w:cs="Arial"/>
          <w:szCs w:val="22"/>
        </w:rPr>
        <w:t>’</w:t>
      </w:r>
      <w:r w:rsidRPr="00E8642C">
        <w:rPr>
          <w:rFonts w:cs="Arial"/>
          <w:szCs w:val="22"/>
        </w:rPr>
        <w:t>œuvres protégées, les législations sur le droit d</w:t>
      </w:r>
      <w:r w:rsidR="00D91476">
        <w:rPr>
          <w:rFonts w:cs="Arial"/>
          <w:szCs w:val="22"/>
        </w:rPr>
        <w:t>’</w:t>
      </w:r>
      <w:r w:rsidRPr="00E8642C">
        <w:rPr>
          <w:rFonts w:cs="Arial"/>
          <w:szCs w:val="22"/>
        </w:rPr>
        <w:t>auteur autorisent certaines limitations aux droits patrimoniaux,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qu</w:t>
      </w:r>
      <w:r w:rsidR="00D91476">
        <w:rPr>
          <w:rFonts w:cs="Arial"/>
          <w:szCs w:val="22"/>
        </w:rPr>
        <w:t>’</w:t>
      </w:r>
      <w:r w:rsidRPr="00E8642C">
        <w:rPr>
          <w:rFonts w:cs="Arial"/>
          <w:szCs w:val="22"/>
        </w:rPr>
        <w:t>il existe des cas où les œuvres protégées peuvent être utilisées sans l</w:t>
      </w:r>
      <w:r w:rsidR="00D91476">
        <w:rPr>
          <w:rFonts w:cs="Arial"/>
          <w:szCs w:val="22"/>
        </w:rPr>
        <w:t>’</w:t>
      </w:r>
      <w:r w:rsidRPr="00E8642C">
        <w:rPr>
          <w:rFonts w:cs="Arial"/>
          <w:szCs w:val="22"/>
        </w:rPr>
        <w:t>autorisation du titulaire du droit et avec ou sans paiement d</w:t>
      </w:r>
      <w:r w:rsidR="00D91476">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p>
    <w:p w:rsidR="009243A6" w:rsidRDefault="00DD607D" w:rsidP="00E104D3">
      <w:pPr>
        <w:spacing w:after="220"/>
        <w:rPr>
          <w:rFonts w:cs="Arial"/>
          <w:szCs w:val="22"/>
        </w:rPr>
      </w:pPr>
      <w:r w:rsidRPr="00E8642C">
        <w:rPr>
          <w:rFonts w:cs="Arial"/>
          <w:szCs w:val="22"/>
        </w:rPr>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D91476">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D91476">
        <w:rPr>
          <w:rFonts w:cs="Arial"/>
          <w:szCs w:val="22"/>
        </w:rPr>
        <w:t>’</w:t>
      </w:r>
      <w:r w:rsidRPr="00E8642C">
        <w:rPr>
          <w:rFonts w:cs="Arial"/>
          <w:szCs w:val="22"/>
        </w:rPr>
        <w:t>article 13 de l</w:t>
      </w:r>
      <w:r w:rsidR="00D91476">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D91476">
        <w:rPr>
          <w:rFonts w:cs="Arial"/>
          <w:szCs w:val="22"/>
        </w:rPr>
        <w:t>’</w:t>
      </w:r>
      <w:r w:rsidRPr="00E8642C">
        <w:rPr>
          <w:rFonts w:cs="Arial"/>
          <w:szCs w:val="22"/>
        </w:rPr>
        <w:t>Organisation mondiale du commerce (OMC), à l</w:t>
      </w:r>
      <w:r w:rsidR="00D91476">
        <w:rPr>
          <w:rFonts w:cs="Arial"/>
          <w:szCs w:val="22"/>
        </w:rPr>
        <w:t>’</w:t>
      </w:r>
      <w:r w:rsidRPr="00E8642C">
        <w:rPr>
          <w:rFonts w:cs="Arial"/>
          <w:szCs w:val="22"/>
        </w:rPr>
        <w:t>article 10 du </w:t>
      </w:r>
      <w:r w:rsidRPr="00E8642C">
        <w:rPr>
          <w:rFonts w:cs="Arial"/>
          <w:i/>
          <w:szCs w:val="22"/>
        </w:rPr>
        <w:t>Traité de l</w:t>
      </w:r>
      <w:r w:rsidR="00D91476">
        <w:rPr>
          <w:rFonts w:cs="Arial"/>
          <w:i/>
          <w:szCs w:val="22"/>
        </w:rPr>
        <w:t>’</w:t>
      </w:r>
      <w:r w:rsidRPr="00E8642C">
        <w:rPr>
          <w:rFonts w:cs="Arial"/>
          <w:i/>
          <w:szCs w:val="22"/>
        </w:rPr>
        <w:t>OMPI sur le droit d</w:t>
      </w:r>
      <w:r w:rsidR="00D91476">
        <w:rPr>
          <w:rFonts w:cs="Arial"/>
          <w:i/>
          <w:szCs w:val="22"/>
        </w:rPr>
        <w:t>’</w:t>
      </w:r>
      <w:r w:rsidRPr="00E8642C">
        <w:rPr>
          <w:rFonts w:cs="Arial"/>
          <w:i/>
          <w:szCs w:val="22"/>
        </w:rPr>
        <w:t>auteur</w:t>
      </w:r>
      <w:r w:rsidRPr="00E8642C">
        <w:rPr>
          <w:rFonts w:cs="Arial"/>
          <w:szCs w:val="22"/>
        </w:rPr>
        <w:t xml:space="preserve"> (WCT), à titre d</w:t>
      </w:r>
      <w:r w:rsidR="00D91476">
        <w:rPr>
          <w:rFonts w:cs="Arial"/>
          <w:szCs w:val="22"/>
        </w:rPr>
        <w:t>’</w:t>
      </w:r>
      <w:r w:rsidRPr="00E8642C">
        <w:rPr>
          <w:rFonts w:cs="Arial"/>
          <w:szCs w:val="22"/>
        </w:rPr>
        <w:t>essai pour les exceptions à tous les droits patrimoniaux prévus au titre du droit d</w:t>
      </w:r>
      <w:r w:rsidR="00D91476">
        <w:rPr>
          <w:rFonts w:cs="Arial"/>
          <w:szCs w:val="22"/>
        </w:rPr>
        <w:t>’</w:t>
      </w:r>
      <w:r w:rsidRPr="00E8642C">
        <w:rPr>
          <w:rFonts w:cs="Arial"/>
          <w:szCs w:val="22"/>
        </w:rPr>
        <w:t>auteur et des limitations de ces droi</w:t>
      </w:r>
      <w:r w:rsidR="001F3AEE" w:rsidRPr="00E8642C">
        <w:rPr>
          <w:rFonts w:cs="Arial"/>
          <w:szCs w:val="22"/>
        </w:rPr>
        <w:t>ts</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 xml:space="preserve">rticle 16 du </w:t>
      </w:r>
      <w:r w:rsidRPr="00E8642C">
        <w:rPr>
          <w:rFonts w:cs="Arial"/>
          <w:i/>
          <w:szCs w:val="22"/>
        </w:rPr>
        <w:t>Traité de l</w:t>
      </w:r>
      <w:r w:rsidR="00D91476">
        <w:rPr>
          <w:rFonts w:cs="Arial"/>
          <w:i/>
          <w:szCs w:val="22"/>
        </w:rPr>
        <w:t>’</w:t>
      </w:r>
      <w:r w:rsidRPr="00E8642C">
        <w:rPr>
          <w:rFonts w:cs="Arial"/>
          <w:i/>
          <w:szCs w:val="22"/>
        </w:rPr>
        <w:t xml:space="preserve">OMPI sur les </w:t>
      </w:r>
      <w:r w:rsidRPr="00E8642C">
        <w:rPr>
          <w:rFonts w:cs="Arial"/>
          <w:i/>
          <w:szCs w:val="22"/>
        </w:rPr>
        <w:lastRenderedPageBreak/>
        <w:t xml:space="preserve">interprétations et exécutions et les phonogrammes </w:t>
      </w:r>
      <w:r w:rsidRPr="00E8642C">
        <w:rPr>
          <w:rFonts w:cs="Arial"/>
          <w:szCs w:val="22"/>
        </w:rPr>
        <w:t>(WPPT) l</w:t>
      </w:r>
      <w:r w:rsidR="00D91476">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9243A6" w:rsidRDefault="006B600F" w:rsidP="00E104D3">
      <w:pPr>
        <w:pStyle w:val="Heading2"/>
        <w:spacing w:after="220" w:line="240" w:lineRule="auto"/>
      </w:pPr>
      <w:bookmarkStart w:id="77" w:name="_Toc7772552"/>
      <w:r w:rsidRPr="00E8642C">
        <w:t>Mat</w:t>
      </w:r>
      <w:r>
        <w:t>é</w:t>
      </w:r>
      <w:r w:rsidRPr="00E8642C">
        <w:t>riel g</w:t>
      </w:r>
      <w:r>
        <w:t>é</w:t>
      </w:r>
      <w:r w:rsidRPr="00E8642C">
        <w:t>n</w:t>
      </w:r>
      <w:r>
        <w:t>é</w:t>
      </w:r>
      <w:r w:rsidRPr="00E8642C">
        <w:t>tique</w:t>
      </w:r>
      <w:bookmarkEnd w:id="77"/>
    </w:p>
    <w:p w:rsidR="009243A6" w:rsidRDefault="00DD607D" w:rsidP="00E104D3">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D91476">
        <w:rPr>
          <w:rFonts w:cs="Arial"/>
          <w:szCs w:val="22"/>
        </w:rPr>
        <w:t>’</w:t>
      </w:r>
      <w:r w:rsidRPr="00E8642C">
        <w:rPr>
          <w:rFonts w:cs="Arial"/>
          <w:szCs w:val="22"/>
        </w:rPr>
        <w:t>entend de tout “</w:t>
      </w:r>
      <w:r w:rsidRPr="00E8642C">
        <w:rPr>
          <w:rFonts w:cs="Arial"/>
          <w:iCs/>
          <w:szCs w:val="22"/>
        </w:rPr>
        <w:t>matériel d</w:t>
      </w:r>
      <w:r w:rsidR="00D91476">
        <w:rPr>
          <w:rFonts w:cs="Arial"/>
          <w:iCs/>
          <w:szCs w:val="22"/>
        </w:rPr>
        <w:t>’</w:t>
      </w:r>
      <w:r w:rsidRPr="00E8642C">
        <w:rPr>
          <w:rFonts w:cs="Arial"/>
          <w:iCs/>
          <w:szCs w:val="22"/>
        </w:rPr>
        <w:t>origine végétale, animale, microbienne ou autre, contenant des unités fonctionnelles de l</w:t>
      </w:r>
      <w:r w:rsidR="00D91476">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D91476">
        <w:rPr>
          <w:rFonts w:cs="Arial"/>
          <w:iCs/>
          <w:szCs w:val="22"/>
        </w:rPr>
        <w:t>’</w:t>
      </w:r>
      <w:r w:rsidRPr="00E8642C">
        <w:rPr>
          <w:rFonts w:cs="Arial"/>
          <w:iCs/>
          <w:szCs w:val="22"/>
        </w:rPr>
        <w:t>hérédité sont à l</w:t>
      </w:r>
      <w:r w:rsidR="00D91476">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9243A6" w:rsidRDefault="00DD607D" w:rsidP="00E104D3">
      <w:pPr>
        <w:pStyle w:val="Heading2"/>
        <w:spacing w:after="220" w:line="240" w:lineRule="auto"/>
      </w:pPr>
      <w:bookmarkStart w:id="78" w:name="_Toc7772553"/>
      <w:r w:rsidRPr="00E8642C">
        <w:t>Mécanisme d</w:t>
      </w:r>
      <w:r w:rsidR="00D91476">
        <w:t>’</w:t>
      </w:r>
      <w:r w:rsidRPr="00E8642C">
        <w:t>échange d</w:t>
      </w:r>
      <w:r w:rsidR="00D91476">
        <w:t>’</w:t>
      </w:r>
      <w:r w:rsidRPr="00E8642C">
        <w:t>information</w:t>
      </w:r>
      <w:bookmarkEnd w:id="78"/>
    </w:p>
    <w:p w:rsidR="009243A6" w:rsidRDefault="00DD607D" w:rsidP="00E104D3">
      <w:pPr>
        <w:pStyle w:val="FootnoteText"/>
        <w:spacing w:after="220"/>
        <w:ind w:left="0" w:firstLine="0"/>
        <w:rPr>
          <w:rFonts w:cs="Arial"/>
          <w:szCs w:val="22"/>
        </w:rPr>
      </w:pPr>
      <w:r w:rsidRPr="00E8642C">
        <w:rPr>
          <w:rFonts w:cs="Arial"/>
          <w:szCs w:val="22"/>
        </w:rPr>
        <w:t xml:space="preserve">Selon le glossaire utilisé par le Programme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environnement (PNUE), le Mécanisme d</w:t>
      </w:r>
      <w:r w:rsidR="00D91476">
        <w:rPr>
          <w:rFonts w:cs="Arial"/>
          <w:szCs w:val="22"/>
        </w:rPr>
        <w:t>’</w:t>
      </w:r>
      <w:r w:rsidRPr="00E8642C">
        <w:rPr>
          <w:rFonts w:cs="Arial"/>
          <w:szCs w:val="22"/>
        </w:rPr>
        <w:t>échange d</w:t>
      </w:r>
      <w:r w:rsidR="00D91476">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1F3AEE" w:rsidRPr="00E8642C">
        <w:rPr>
          <w:rFonts w:cs="Arial"/>
          <w:szCs w:val="22"/>
        </w:rPr>
        <w:t>es</w:t>
      </w:r>
      <w:r w:rsidR="001F3AEE">
        <w:rPr>
          <w:rFonts w:cs="Arial"/>
          <w:szCs w:val="22"/>
        </w:rPr>
        <w:t xml:space="preserve">.  </w:t>
      </w:r>
      <w:r w:rsidR="001F3AEE" w:rsidRPr="00E8642C">
        <w:rPr>
          <w:rFonts w:cs="Arial"/>
          <w:color w:val="000000"/>
          <w:szCs w:val="22"/>
        </w:rPr>
        <w:t>Au</w:t>
      </w:r>
      <w:r w:rsidRPr="00E8642C">
        <w:rPr>
          <w:rFonts w:cs="Arial"/>
          <w:color w:val="000000"/>
          <w:szCs w:val="22"/>
        </w:rPr>
        <w:t>jourd</w:t>
      </w:r>
      <w:r w:rsidR="00D91476">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D91476">
        <w:rPr>
          <w:rFonts w:cs="Arial"/>
          <w:color w:val="000000"/>
          <w:szCs w:val="22"/>
        </w:rPr>
        <w:t>’</w:t>
      </w:r>
      <w:r w:rsidRPr="00E8642C">
        <w:rPr>
          <w:rFonts w:cs="Arial"/>
          <w:color w:val="000000"/>
          <w:szCs w:val="22"/>
        </w:rPr>
        <w:t>information, rapprochant ainsi l</w:t>
      </w:r>
      <w:r w:rsidR="00D91476">
        <w:rPr>
          <w:rFonts w:cs="Arial"/>
          <w:color w:val="000000"/>
          <w:szCs w:val="22"/>
        </w:rPr>
        <w:t>’</w:t>
      </w:r>
      <w:r w:rsidRPr="00E8642C">
        <w:rPr>
          <w:rFonts w:cs="Arial"/>
          <w:color w:val="000000"/>
          <w:szCs w:val="22"/>
        </w:rPr>
        <w:t>offre et la deman</w:t>
      </w:r>
      <w:r w:rsidR="001F3AEE" w:rsidRPr="00E8642C">
        <w:rPr>
          <w:rFonts w:cs="Arial"/>
          <w:color w:val="000000"/>
          <w:szCs w:val="22"/>
        </w:rPr>
        <w:t>de</w:t>
      </w:r>
      <w:r w:rsidR="001F3AEE">
        <w:rPr>
          <w:rFonts w:cs="Arial"/>
          <w:color w:val="000000"/>
          <w:szCs w:val="22"/>
        </w:rPr>
        <w:t xml:space="preserve">.  </w:t>
      </w:r>
      <w:r w:rsidR="001F3AEE" w:rsidRPr="00E8642C">
        <w:rPr>
          <w:color w:val="161513"/>
          <w:szCs w:val="22"/>
        </w:rPr>
        <w:t>La</w:t>
      </w:r>
      <w:r w:rsidRPr="00E8642C">
        <w:rPr>
          <w:color w:val="161513"/>
          <w:szCs w:val="22"/>
        </w:rPr>
        <w:t> CDB a créé un Centre d</w:t>
      </w:r>
      <w:r w:rsidR="00D91476">
        <w:rPr>
          <w:color w:val="161513"/>
          <w:szCs w:val="22"/>
        </w:rPr>
        <w:t>’</w:t>
      </w:r>
      <w:r w:rsidRPr="00E8642C">
        <w:rPr>
          <w:color w:val="161513"/>
          <w:szCs w:val="22"/>
        </w:rPr>
        <w:t>échange pour faire en sorte que tous les gouvernements aient accès à l</w:t>
      </w:r>
      <w:r w:rsidR="00D91476">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9243A6" w:rsidRDefault="00DD607D" w:rsidP="00E104D3">
      <w:pPr>
        <w:pStyle w:val="Heading2"/>
        <w:spacing w:after="220" w:line="240" w:lineRule="auto"/>
      </w:pPr>
      <w:bookmarkStart w:id="79" w:name="_Toc7772554"/>
      <w:r w:rsidRPr="00E8642C">
        <w:t>Médecine traditionnelle</w:t>
      </w:r>
      <w:bookmarkEnd w:id="79"/>
    </w:p>
    <w:p w:rsidR="009243A6"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D91476">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D91476">
        <w:rPr>
          <w:rFonts w:cs="Arial"/>
          <w:szCs w:val="22"/>
        </w:rPr>
        <w:t>’</w:t>
      </w:r>
      <w:r w:rsidRPr="00E8642C">
        <w:rPr>
          <w:rFonts w:cs="Arial"/>
          <w:szCs w:val="22"/>
        </w:rPr>
        <w:t>animaux et/ou de minéraux, des traitements spirituels, des techniques manuelles et exercices, appliqués seuls ou en association afin de maintenir le bien</w:t>
      </w:r>
      <w:r w:rsidR="00400337">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9243A6" w:rsidRDefault="00DD607D" w:rsidP="00E104D3">
      <w:pPr>
        <w:pStyle w:val="Heading2"/>
        <w:spacing w:after="220" w:line="240" w:lineRule="auto"/>
      </w:pPr>
      <w:bookmarkStart w:id="80" w:name="_Toc7772555"/>
      <w:r w:rsidRPr="00E8642C">
        <w:t>Minorité</w:t>
      </w:r>
      <w:bookmarkEnd w:id="80"/>
    </w:p>
    <w:p w:rsidR="00DD607D" w:rsidRPr="00E8642C" w:rsidRDefault="00DD607D" w:rsidP="00E104D3">
      <w:pPr>
        <w:autoSpaceDE w:val="0"/>
        <w:autoSpaceDN w:val="0"/>
        <w:adjustRightInd w:val="0"/>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9243A6" w:rsidRDefault="00DD607D" w:rsidP="00E104D3">
      <w:pPr>
        <w:autoSpaceDE w:val="0"/>
        <w:autoSpaceDN w:val="0"/>
        <w:adjustRightInd w:val="0"/>
        <w:spacing w:after="220"/>
        <w:rPr>
          <w:rFonts w:cs="Arial"/>
          <w:szCs w:val="22"/>
        </w:rPr>
      </w:pPr>
      <w:r w:rsidRPr="00E8642C">
        <w:rPr>
          <w:rFonts w:cs="Arial"/>
          <w:iCs/>
          <w:szCs w:val="22"/>
        </w:rPr>
        <w:t>Une minorité est un groupe numériquement inférieur au restant de la population d</w:t>
      </w:r>
      <w:r w:rsidR="00D91476">
        <w:rPr>
          <w:rFonts w:cs="Arial"/>
          <w:iCs/>
          <w:szCs w:val="22"/>
        </w:rPr>
        <w:t>’</w:t>
      </w:r>
      <w:r w:rsidRPr="00E8642C">
        <w:rPr>
          <w:rFonts w:cs="Arial"/>
          <w:iCs/>
          <w:szCs w:val="22"/>
        </w:rPr>
        <w:t xml:space="preserve">un État, dans une position non dominante, dont les membres possèdent des caractéristiques ethniques, religieuses ou linguistiques qui diffèrent de celles du restant de la population et qui, même si ce </w:t>
      </w:r>
      <w:r w:rsidRPr="00E8642C">
        <w:rPr>
          <w:rFonts w:cs="Arial"/>
          <w:iCs/>
          <w:szCs w:val="22"/>
        </w:rPr>
        <w:lastRenderedPageBreak/>
        <w:t>n</w:t>
      </w:r>
      <w:r w:rsidR="00D91476">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9243A6" w:rsidRDefault="00DD607D" w:rsidP="00E104D3">
      <w:pPr>
        <w:autoSpaceDE w:val="0"/>
        <w:autoSpaceDN w:val="0"/>
        <w:adjustRightInd w:val="0"/>
        <w:spacing w:after="22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D91476">
        <w:rPr>
          <w:rFonts w:cs="Arial"/>
          <w:szCs w:val="22"/>
        </w:rPr>
        <w:t>’</w:t>
      </w:r>
      <w:r w:rsidRPr="00AA3C26">
        <w:rPr>
          <w:rFonts w:cs="Arial"/>
          <w:szCs w:val="22"/>
        </w:rPr>
        <w:t>existence et l</w:t>
      </w:r>
      <w:r w:rsidR="00D91476">
        <w:rPr>
          <w:rFonts w:cs="Arial"/>
          <w:szCs w:val="22"/>
        </w:rPr>
        <w:t>’</w:t>
      </w:r>
      <w:r w:rsidRPr="00AA3C26">
        <w:rPr>
          <w:rFonts w:cs="Arial"/>
          <w:szCs w:val="22"/>
        </w:rPr>
        <w:t>identité nationale ou ethnique, culturelle, religieuse ou linguistique des minorités, sur leurs territoires respectifs, et favorisent l</w:t>
      </w:r>
      <w:r w:rsidR="00D91476">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9243A6" w:rsidRDefault="00DD607D" w:rsidP="00E104D3">
      <w:pPr>
        <w:autoSpaceDE w:val="0"/>
        <w:autoSpaceDN w:val="0"/>
        <w:adjustRightInd w:val="0"/>
        <w:spacing w:after="22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D91476">
        <w:rPr>
          <w:rFonts w:cs="Arial"/>
          <w:szCs w:val="22"/>
        </w:rPr>
        <w:t>’</w:t>
      </w:r>
      <w:r w:rsidRPr="00AA3C26">
        <w:rPr>
          <w:rFonts w:cs="Arial"/>
          <w:szCs w:val="22"/>
        </w:rPr>
        <w:t>avoir, en commun avec les autres membres de leur groupe, leur propre vie culturelle, de professer et de pratiquer leur propre religion, ou d</w:t>
      </w:r>
      <w:r w:rsidR="00D91476">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9243A6" w:rsidRDefault="00DD607D" w:rsidP="00E104D3">
      <w:pPr>
        <w:pStyle w:val="Heading2"/>
        <w:spacing w:after="220" w:line="240" w:lineRule="auto"/>
      </w:pPr>
      <w:bookmarkStart w:id="81" w:name="_Toc7772556"/>
      <w:r w:rsidRPr="00E8642C">
        <w:t>Modification</w:t>
      </w:r>
      <w:bookmarkEnd w:id="81"/>
    </w:p>
    <w:p w:rsidR="009243A6" w:rsidRDefault="00DD607D" w:rsidP="00E104D3">
      <w:pPr>
        <w:autoSpaceDE w:val="0"/>
        <w:autoSpaceDN w:val="0"/>
        <w:adjustRightInd w:val="0"/>
        <w:spacing w:after="22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El</w:t>
      </w:r>
      <w:r w:rsidRPr="00E8642C">
        <w:rPr>
          <w:rFonts w:cs="Arial"/>
          <w:szCs w:val="22"/>
        </w:rPr>
        <w:t>le est synonyme de changeme</w:t>
      </w:r>
      <w:r w:rsidR="001F3AEE" w:rsidRPr="00E8642C">
        <w:rPr>
          <w:rFonts w:cs="Arial"/>
          <w:szCs w:val="22"/>
        </w:rPr>
        <w:t>nt</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D91476">
        <w:rPr>
          <w:rFonts w:cs="Arial"/>
          <w:szCs w:val="22"/>
        </w:rPr>
        <w:t>’</w:t>
      </w:r>
      <w:r w:rsidRPr="00E8642C">
        <w:rPr>
          <w:rFonts w:cs="Arial"/>
          <w:szCs w:val="22"/>
        </w:rPr>
        <w:t>auteur le droit de s</w:t>
      </w:r>
      <w:r w:rsidR="00D91476">
        <w:rPr>
          <w:rFonts w:cs="Arial"/>
          <w:szCs w:val="22"/>
        </w:rPr>
        <w:t>’</w:t>
      </w:r>
      <w:r w:rsidRPr="00E8642C">
        <w:rPr>
          <w:rFonts w:cs="Arial"/>
          <w:szCs w:val="22"/>
        </w:rPr>
        <w:t>opposer à toute déformation, mutilation ou autre modification de son œuvre, susceptible de porter atteinte à son honneur ou à sa réputation.</w:t>
      </w:r>
    </w:p>
    <w:p w:rsidR="009243A6" w:rsidRDefault="00DD607D" w:rsidP="00E104D3">
      <w:pPr>
        <w:pStyle w:val="Heading2"/>
        <w:spacing w:after="220" w:line="240" w:lineRule="auto"/>
      </w:pPr>
      <w:bookmarkStart w:id="82" w:name="_Toc7772557"/>
      <w:r w:rsidRPr="00E8642C">
        <w:t>Mutilation</w:t>
      </w:r>
      <w:bookmarkEnd w:id="82"/>
    </w:p>
    <w:p w:rsidR="009243A6" w:rsidRDefault="00DD607D" w:rsidP="00E104D3">
      <w:pPr>
        <w:autoSpaceDE w:val="0"/>
        <w:autoSpaceDN w:val="0"/>
        <w:adjustRightInd w:val="0"/>
        <w:spacing w:after="220"/>
        <w:rPr>
          <w:rFonts w:cs="Arial"/>
          <w:szCs w:val="22"/>
        </w:rPr>
      </w:pPr>
      <w:r w:rsidRPr="00E8642C">
        <w:rPr>
          <w:rFonts w:cs="Arial"/>
          <w:szCs w:val="22"/>
        </w:rPr>
        <w:t>On entend par “mutilation” l</w:t>
      </w:r>
      <w:r w:rsidR="00D91476">
        <w:rPr>
          <w:rFonts w:cs="Arial"/>
          <w:szCs w:val="22"/>
        </w:rPr>
        <w:t>’</w:t>
      </w:r>
      <w:r w:rsidRPr="00E8642C">
        <w:rPr>
          <w:rFonts w:cs="Arial"/>
          <w:szCs w:val="22"/>
        </w:rPr>
        <w:t>acte de couper ou de supprimer une partie d</w:t>
      </w:r>
      <w:r w:rsidR="00D91476">
        <w:rPr>
          <w:rFonts w:cs="Arial"/>
          <w:szCs w:val="22"/>
        </w:rPr>
        <w:t>’</w:t>
      </w:r>
      <w:r w:rsidRPr="00E8642C">
        <w:rPr>
          <w:rFonts w:cs="Arial"/>
          <w:szCs w:val="22"/>
        </w:rPr>
        <w:t>une chose, en particulier d</w:t>
      </w:r>
      <w:r w:rsidR="00D91476">
        <w:rPr>
          <w:rFonts w:cs="Arial"/>
          <w:szCs w:val="22"/>
        </w:rPr>
        <w:t>’</w:t>
      </w:r>
      <w:r w:rsidRPr="00E8642C">
        <w:rPr>
          <w:rFonts w:cs="Arial"/>
          <w:szCs w:val="22"/>
        </w:rPr>
        <w:t>un livre ou de tout autre document, de modifier ou de détruire une partie du contenu ou du sens, selon l</w:t>
      </w:r>
      <w:r w:rsidR="00D91476">
        <w:rPr>
          <w:rFonts w:cs="Arial"/>
          <w:szCs w:val="22"/>
        </w:rPr>
        <w:t>’</w:t>
      </w:r>
      <w:r w:rsidRPr="00E8642C">
        <w:rPr>
          <w:rFonts w:cs="Arial"/>
          <w:szCs w:val="22"/>
        </w:rPr>
        <w:t xml:space="preserve">Oxford English </w:t>
      </w:r>
      <w:proofErr w:type="spellStart"/>
      <w:r w:rsidRPr="00E8642C">
        <w:rPr>
          <w:rFonts w:cs="Arial"/>
          <w:szCs w:val="22"/>
        </w:rPr>
        <w:t>Dictiona</w:t>
      </w:r>
      <w:r w:rsidR="001F3AEE" w:rsidRPr="00E8642C">
        <w:rPr>
          <w:rFonts w:cs="Arial"/>
          <w:szCs w:val="22"/>
        </w:rPr>
        <w:t>ry</w:t>
      </w:r>
      <w:proofErr w:type="spellEnd"/>
      <w:r w:rsidR="001F3AEE">
        <w:rPr>
          <w:rFonts w:cs="Arial"/>
          <w:szCs w:val="22"/>
        </w:rPr>
        <w:t xml:space="preserve">.  </w:t>
      </w:r>
      <w:r w:rsidR="001F3AEE" w:rsidRPr="00E8642C">
        <w:rPr>
          <w:rFonts w:cs="Arial"/>
          <w:szCs w:val="22"/>
        </w:rPr>
        <w:t>La</w:t>
      </w:r>
      <w:r w:rsidRPr="00E8642C">
        <w:rPr>
          <w:rFonts w:cs="Arial"/>
          <w:szCs w:val="22"/>
        </w:rPr>
        <w:t xml:space="preserve"> protection contre la mutilation est l</w:t>
      </w:r>
      <w:r w:rsidR="00D91476">
        <w:rPr>
          <w:rFonts w:cs="Arial"/>
          <w:szCs w:val="22"/>
        </w:rPr>
        <w:t>’</w:t>
      </w:r>
      <w:r w:rsidRPr="00E8642C">
        <w:rPr>
          <w:rFonts w:cs="Arial"/>
          <w:szCs w:val="22"/>
        </w:rPr>
        <w:t>une des caractéristiques du droit moral de l</w:t>
      </w:r>
      <w:r w:rsidR="00D91476">
        <w:rPr>
          <w:rFonts w:cs="Arial"/>
          <w:szCs w:val="22"/>
        </w:rPr>
        <w:t>’</w:t>
      </w:r>
      <w:r w:rsidRPr="00E8642C">
        <w:rPr>
          <w:rFonts w:cs="Arial"/>
          <w:szCs w:val="22"/>
        </w:rPr>
        <w:t>auteur, selon l</w:t>
      </w:r>
      <w:r w:rsidR="00D91476">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9243A6" w:rsidRDefault="00DD607D" w:rsidP="00E104D3">
      <w:pPr>
        <w:pStyle w:val="Heading2"/>
        <w:spacing w:after="220" w:line="240" w:lineRule="auto"/>
      </w:pPr>
      <w:bookmarkStart w:id="83" w:name="_Toc7772558"/>
      <w:r w:rsidRPr="00E8642C">
        <w:t>Nation</w:t>
      </w:r>
      <w:bookmarkEnd w:id="83"/>
    </w:p>
    <w:p w:rsidR="009243A6" w:rsidRDefault="00DD607D" w:rsidP="00E104D3">
      <w:pPr>
        <w:pStyle w:val="BodyText"/>
        <w:tabs>
          <w:tab w:val="left" w:pos="567"/>
        </w:tabs>
        <w:spacing w:after="220"/>
        <w:rPr>
          <w:rFonts w:cs="Arial"/>
          <w:szCs w:val="22"/>
        </w:rPr>
      </w:pPr>
      <w:bookmarkStart w:id="84" w:name="_Ref289681765"/>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D91476">
        <w:rPr>
          <w:rFonts w:cs="Arial"/>
          <w:szCs w:val="22"/>
        </w:rPr>
        <w:t> :</w:t>
      </w:r>
      <w:r w:rsidRPr="00E8642C">
        <w:rPr>
          <w:rFonts w:cs="Arial"/>
          <w:szCs w:val="22"/>
        </w:rPr>
        <w:t xml:space="preserve"> grand groupe de personnes ayant une origine, une langue et une tradition communes et constituant généralement une entité politiq</w:t>
      </w:r>
      <w:r w:rsidR="001F3AEE" w:rsidRPr="00E8642C">
        <w:rPr>
          <w:rFonts w:cs="Arial"/>
          <w:szCs w:val="22"/>
        </w:rPr>
        <w:t>ue</w:t>
      </w:r>
      <w:r w:rsidR="001F3AEE">
        <w:rPr>
          <w:rFonts w:cs="Arial"/>
          <w:szCs w:val="22"/>
        </w:rPr>
        <w:t xml:space="preserve">.  </w:t>
      </w:r>
      <w:r w:rsidR="001F3AEE"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D91476">
        <w:rPr>
          <w:rFonts w:cs="Arial"/>
          <w:szCs w:val="22"/>
        </w:rPr>
        <w:t>’</w:t>
      </w:r>
      <w:r w:rsidRPr="00E8642C">
        <w:rPr>
          <w:rFonts w:cs="Arial"/>
          <w:szCs w:val="22"/>
        </w:rPr>
        <w:t>idée d</w:t>
      </w:r>
      <w:r w:rsidR="00D91476">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D91476">
        <w:rPr>
          <w:rFonts w:cs="Arial"/>
          <w:szCs w:val="22"/>
        </w:rPr>
        <w:t>’</w:t>
      </w:r>
      <w:r w:rsidRPr="00E8642C">
        <w:rPr>
          <w:rFonts w:cs="Arial"/>
          <w:szCs w:val="22"/>
        </w:rPr>
        <w:t xml:space="preserve">un pays entier, une “nation”, dans les cas où les expressions </w:t>
      </w:r>
      <w:r w:rsidRPr="00E8642C">
        <w:rPr>
          <w:rFonts w:cs="Arial"/>
          <w:szCs w:val="22"/>
        </w:rPr>
        <w:lastRenderedPageBreak/>
        <w:t>culturelles traditionnelles sont considérées comme l</w:t>
      </w:r>
      <w:r w:rsidR="00D91476">
        <w:rPr>
          <w:rFonts w:cs="Arial"/>
          <w:szCs w:val="22"/>
        </w:rPr>
        <w:t>’</w:t>
      </w:r>
      <w:r w:rsidRPr="00E8642C">
        <w:rPr>
          <w:rFonts w:cs="Arial"/>
          <w:szCs w:val="22"/>
        </w:rPr>
        <w:t>expression d</w:t>
      </w:r>
      <w:r w:rsidR="00D91476">
        <w:rPr>
          <w:rFonts w:cs="Arial"/>
          <w:szCs w:val="22"/>
        </w:rPr>
        <w:t>’</w:t>
      </w:r>
      <w:r w:rsidRPr="00E8642C">
        <w:rPr>
          <w:rFonts w:cs="Arial"/>
          <w:szCs w:val="22"/>
        </w:rPr>
        <w:t>un “folklore national” appartenant à l</w:t>
      </w:r>
      <w:r w:rsidR="00D91476">
        <w:rPr>
          <w:rFonts w:cs="Arial"/>
          <w:szCs w:val="22"/>
        </w:rPr>
        <w:t>’</w:t>
      </w:r>
      <w:r w:rsidRPr="00E8642C">
        <w:rPr>
          <w:rFonts w:cs="Arial"/>
          <w:szCs w:val="22"/>
        </w:rPr>
        <w:t>ensemble de la population d</w:t>
      </w:r>
      <w:r w:rsidR="00D91476">
        <w:rPr>
          <w:rFonts w:cs="Arial"/>
          <w:szCs w:val="22"/>
        </w:rPr>
        <w:t>’</w:t>
      </w:r>
      <w:r w:rsidRPr="00E8642C">
        <w:rPr>
          <w:rFonts w:cs="Arial"/>
          <w:szCs w:val="22"/>
        </w:rPr>
        <w:t>un pays don</w:t>
      </w:r>
      <w:r w:rsidR="001F3AEE" w:rsidRPr="00E8642C">
        <w:rPr>
          <w:rFonts w:cs="Arial"/>
          <w:szCs w:val="22"/>
        </w:rPr>
        <w:t>né</w:t>
      </w:r>
      <w:r w:rsidR="001F3AEE">
        <w:rPr>
          <w:rFonts w:cs="Arial"/>
          <w:szCs w:val="22"/>
        </w:rPr>
        <w:t xml:space="preserve">.  </w:t>
      </w:r>
      <w:r w:rsidR="001F3AEE" w:rsidRPr="00E8642C">
        <w:rPr>
          <w:rFonts w:cs="Arial"/>
          <w:szCs w:val="22"/>
        </w:rPr>
        <w:t>Ce</w:t>
      </w:r>
      <w:r w:rsidRPr="00E8642C">
        <w:rPr>
          <w:rFonts w:cs="Arial"/>
          <w:szCs w:val="22"/>
        </w:rPr>
        <w:t>tte disposition est conforme à la pratique dans d</w:t>
      </w:r>
      <w:r w:rsidR="00D91476">
        <w:rPr>
          <w:rFonts w:cs="Arial"/>
          <w:szCs w:val="22"/>
        </w:rPr>
        <w:t>’</w:t>
      </w:r>
      <w:r w:rsidRPr="00E8642C">
        <w:rPr>
          <w:rFonts w:cs="Arial"/>
          <w:szCs w:val="22"/>
        </w:rPr>
        <w:t>autres domaines d</w:t>
      </w:r>
      <w:r w:rsidR="00D91476">
        <w:rPr>
          <w:rFonts w:cs="Arial"/>
          <w:szCs w:val="22"/>
        </w:rPr>
        <w:t>’</w:t>
      </w:r>
      <w:r w:rsidRPr="00E8642C">
        <w:rPr>
          <w:rFonts w:cs="Arial"/>
          <w:szCs w:val="22"/>
        </w:rPr>
        <w:t>action et s</w:t>
      </w:r>
      <w:r w:rsidR="00D91476">
        <w:rPr>
          <w:rFonts w:cs="Arial"/>
          <w:szCs w:val="22"/>
        </w:rPr>
        <w:t>’</w:t>
      </w:r>
      <w:r w:rsidRPr="00E8642C">
        <w:rPr>
          <w:rFonts w:cs="Arial"/>
          <w:szCs w:val="22"/>
        </w:rPr>
        <w:t>inscrit en complément de celle</w:t>
      </w:r>
      <w:r w:rsidR="00400337">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9243A6" w:rsidRDefault="00DD607D" w:rsidP="00E104D3">
      <w:pPr>
        <w:pStyle w:val="Heading2"/>
        <w:spacing w:after="220" w:line="240" w:lineRule="auto"/>
      </w:pPr>
      <w:bookmarkStart w:id="85" w:name="_Toc7772559"/>
      <w:r w:rsidRPr="00E8642C">
        <w:t>Nouveauté</w:t>
      </w:r>
      <w:bookmarkEnd w:id="85"/>
    </w:p>
    <w:p w:rsidR="009243A6" w:rsidRDefault="00DD607D" w:rsidP="00E104D3">
      <w:pPr>
        <w:autoSpaceDE w:val="0"/>
        <w:autoSpaceDN w:val="0"/>
        <w:adjustRightInd w:val="0"/>
        <w:spacing w:after="220"/>
        <w:rPr>
          <w:rFonts w:cs="Arial"/>
          <w:szCs w:val="22"/>
        </w:rPr>
      </w:pPr>
      <w:r w:rsidRPr="00E8642C">
        <w:rPr>
          <w:rFonts w:cs="Arial"/>
          <w:szCs w:val="22"/>
        </w:rPr>
        <w:t>La nouveauté est l</w:t>
      </w:r>
      <w:r w:rsidR="00D91476">
        <w:rPr>
          <w:rFonts w:cs="Arial"/>
          <w:szCs w:val="22"/>
        </w:rPr>
        <w:t>’</w:t>
      </w:r>
      <w:r w:rsidRPr="00E8642C">
        <w:rPr>
          <w:rFonts w:cs="Arial"/>
          <w:szCs w:val="22"/>
        </w:rPr>
        <w:t>un des critères de brevetabilité pris en considération dans l</w:t>
      </w:r>
      <w:r w:rsidR="00D91476">
        <w:rPr>
          <w:rFonts w:cs="Arial"/>
          <w:szCs w:val="22"/>
        </w:rPr>
        <w:t>’</w:t>
      </w:r>
      <w:r w:rsidRPr="00E8642C">
        <w:rPr>
          <w:rFonts w:cs="Arial"/>
          <w:szCs w:val="22"/>
        </w:rPr>
        <w:t>examen quant au fo</w:t>
      </w:r>
      <w:r w:rsidR="001F3AEE" w:rsidRPr="00E8642C">
        <w:rPr>
          <w:rFonts w:cs="Arial"/>
          <w:szCs w:val="22"/>
        </w:rPr>
        <w:t>nd</w:t>
      </w:r>
      <w:r w:rsidR="001F3AEE">
        <w:rPr>
          <w:rFonts w:cs="Arial"/>
          <w:szCs w:val="22"/>
        </w:rPr>
        <w:t xml:space="preserve">.  </w:t>
      </w:r>
      <w:r w:rsidR="001F3AEE" w:rsidRPr="00E8642C">
        <w:rPr>
          <w:rFonts w:cs="Arial"/>
          <w:szCs w:val="22"/>
        </w:rPr>
        <w:t>Un</w:t>
      </w:r>
      <w:r w:rsidRPr="00E8642C">
        <w:rPr>
          <w:rFonts w:cs="Arial"/>
          <w:szCs w:val="22"/>
        </w:rPr>
        <w:t>e invention est nouvelle s</w:t>
      </w:r>
      <w:r w:rsidR="00D91476">
        <w:rPr>
          <w:rFonts w:cs="Arial"/>
          <w:szCs w:val="22"/>
        </w:rPr>
        <w:t>’</w:t>
      </w:r>
      <w:r w:rsidRPr="00E8642C">
        <w:rPr>
          <w:rFonts w:cs="Arial"/>
          <w:szCs w:val="22"/>
        </w:rPr>
        <w:t>il n</w:t>
      </w:r>
      <w:r w:rsidR="00D91476">
        <w:rPr>
          <w:rFonts w:cs="Arial"/>
          <w:szCs w:val="22"/>
        </w:rPr>
        <w:t>’</w:t>
      </w:r>
      <w:r w:rsidRPr="00E8642C">
        <w:rPr>
          <w:rFonts w:cs="Arial"/>
          <w:szCs w:val="22"/>
        </w:rPr>
        <w:t>y a pas d</w:t>
      </w:r>
      <w:r w:rsidR="00D91476">
        <w:rPr>
          <w:rFonts w:cs="Arial"/>
          <w:szCs w:val="22"/>
        </w:rPr>
        <w:t>’</w:t>
      </w:r>
      <w:r w:rsidRPr="00E8642C">
        <w:rPr>
          <w:rFonts w:cs="Arial"/>
          <w:szCs w:val="22"/>
        </w:rPr>
        <w:t>antériorité dans l</w:t>
      </w:r>
      <w:r w:rsidR="00D91476">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9243A6" w:rsidRDefault="00DD607D" w:rsidP="00E104D3">
      <w:pPr>
        <w:autoSpaceDE w:val="0"/>
        <w:autoSpaceDN w:val="0"/>
        <w:adjustRightInd w:val="0"/>
        <w:spacing w:after="220"/>
        <w:rPr>
          <w:rFonts w:cs="Arial"/>
          <w:i/>
          <w:iCs/>
          <w:szCs w:val="22"/>
        </w:rPr>
      </w:pPr>
      <w:r w:rsidRPr="00E8642C">
        <w:rPr>
          <w:rFonts w:cs="Arial"/>
          <w:szCs w:val="22"/>
        </w:rPr>
        <w:t>L</w:t>
      </w:r>
      <w:r w:rsidR="00D91476">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D91476">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D91476">
        <w:rPr>
          <w:rFonts w:cs="Arial"/>
          <w:szCs w:val="22"/>
        </w:rPr>
        <w:t>’</w:t>
      </w:r>
      <w:r w:rsidRPr="00E8642C">
        <w:rPr>
          <w:rFonts w:cs="Arial"/>
          <w:szCs w:val="22"/>
        </w:rPr>
        <w:t>examen préliminaire international, l</w:t>
      </w:r>
      <w:r w:rsidR="00D91476">
        <w:rPr>
          <w:rFonts w:cs="Arial"/>
          <w:szCs w:val="22"/>
        </w:rPr>
        <w:t>’</w:t>
      </w:r>
      <w:r w:rsidRPr="00E8642C">
        <w:rPr>
          <w:rFonts w:cs="Arial"/>
          <w:szCs w:val="22"/>
        </w:rPr>
        <w:t>invention dont la protection est demandée est considérée comme nouvelle s</w:t>
      </w:r>
      <w:r w:rsidR="00D91476">
        <w:rPr>
          <w:rFonts w:cs="Arial"/>
          <w:szCs w:val="22"/>
        </w:rPr>
        <w:t>’</w:t>
      </w:r>
      <w:r w:rsidRPr="00E8642C">
        <w:rPr>
          <w:rFonts w:cs="Arial"/>
          <w:szCs w:val="22"/>
        </w:rPr>
        <w:t>il n</w:t>
      </w:r>
      <w:r w:rsidR="00D91476">
        <w:rPr>
          <w:rFonts w:cs="Arial"/>
          <w:szCs w:val="22"/>
        </w:rPr>
        <w:t>’</w:t>
      </w:r>
      <w:r w:rsidRPr="00E8642C">
        <w:rPr>
          <w:rFonts w:cs="Arial"/>
          <w:szCs w:val="22"/>
        </w:rPr>
        <w:t>est pas trouvé d</w:t>
      </w:r>
      <w:r w:rsidR="00D91476">
        <w:rPr>
          <w:rFonts w:cs="Arial"/>
          <w:szCs w:val="22"/>
        </w:rPr>
        <w:t>’</w:t>
      </w:r>
      <w:r w:rsidRPr="00E8642C">
        <w:rPr>
          <w:rFonts w:cs="Arial"/>
          <w:szCs w:val="22"/>
        </w:rPr>
        <w:t>antériorité dans l</w:t>
      </w:r>
      <w:r w:rsidR="00D91476">
        <w:rPr>
          <w:rFonts w:cs="Arial"/>
          <w:szCs w:val="22"/>
        </w:rPr>
        <w:t>’</w:t>
      </w:r>
      <w:r w:rsidRPr="00E8642C">
        <w:rPr>
          <w:rFonts w:cs="Arial"/>
          <w:szCs w:val="22"/>
        </w:rPr>
        <w:t>état de la technique tel qu</w:t>
      </w:r>
      <w:r w:rsidR="00D91476">
        <w:rPr>
          <w:rFonts w:cs="Arial"/>
          <w:szCs w:val="22"/>
        </w:rPr>
        <w:t>’</w:t>
      </w:r>
      <w:r w:rsidRPr="00E8642C">
        <w:rPr>
          <w:rFonts w:cs="Arial"/>
          <w:szCs w:val="22"/>
        </w:rPr>
        <w:t>il est défini dans le règlement d</w:t>
      </w:r>
      <w:r w:rsidR="00D91476">
        <w:rPr>
          <w:rFonts w:cs="Arial"/>
          <w:szCs w:val="22"/>
        </w:rPr>
        <w:t>’</w:t>
      </w:r>
      <w:r w:rsidRPr="00E8642C">
        <w:rPr>
          <w:rFonts w:cs="Arial"/>
          <w:szCs w:val="22"/>
        </w:rPr>
        <w:t>exécution”.  Selon la règle 64.1.a) du règlement d</w:t>
      </w:r>
      <w:r w:rsidR="00D91476">
        <w:rPr>
          <w:rFonts w:cs="Arial"/>
          <w:szCs w:val="22"/>
        </w:rPr>
        <w:t>’</w:t>
      </w:r>
      <w:r w:rsidRPr="00E8642C">
        <w:rPr>
          <w:rFonts w:cs="Arial"/>
          <w:szCs w:val="22"/>
        </w:rPr>
        <w:t>exécution du PCT, “est considéré comme faisant partie de l</w:t>
      </w:r>
      <w:r w:rsidR="00D91476">
        <w:rPr>
          <w:rFonts w:cs="Arial"/>
          <w:szCs w:val="22"/>
        </w:rPr>
        <w:t>’</w:t>
      </w:r>
      <w:r w:rsidRPr="00E8642C">
        <w:rPr>
          <w:rFonts w:cs="Arial"/>
          <w:szCs w:val="22"/>
        </w:rPr>
        <w:t>état de la technique tout ce qui a été rendu accessible au public en tous lieux du monde par une divulgation écrite (</w:t>
      </w:r>
      <w:r w:rsidR="00D91476">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9243A6" w:rsidRDefault="00DD607D" w:rsidP="00E104D3">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D91476">
        <w:rPr>
          <w:rFonts w:cs="Arial"/>
          <w:szCs w:val="22"/>
          <w:lang w:eastAsia="en-US" w:bidi="th-TH"/>
        </w:rPr>
        <w:t> :</w:t>
      </w:r>
      <w:r w:rsidRPr="00E8642C">
        <w:rPr>
          <w:rFonts w:cs="Arial"/>
          <w:szCs w:val="22"/>
          <w:lang w:eastAsia="en-US" w:bidi="th-TH"/>
        </w:rPr>
        <w:t xml:space="preserve"> “[u]</w:t>
      </w:r>
      <w:proofErr w:type="gramStart"/>
      <w:r w:rsidRPr="00E8642C">
        <w:rPr>
          <w:rFonts w:cs="Arial"/>
          <w:szCs w:val="22"/>
          <w:lang w:eastAsia="en-US" w:bidi="th-TH"/>
        </w:rPr>
        <w:t>ne invention</w:t>
      </w:r>
      <w:proofErr w:type="gramEnd"/>
      <w:r w:rsidRPr="00E8642C">
        <w:rPr>
          <w:rFonts w:cs="Arial"/>
          <w:szCs w:val="22"/>
          <w:lang w:eastAsia="en-US" w:bidi="th-TH"/>
        </w:rPr>
        <w:t xml:space="preserve"> est considérée comme nouvelle si elle n</w:t>
      </w:r>
      <w:r w:rsidR="00D91476">
        <w:rPr>
          <w:rFonts w:cs="Arial"/>
          <w:szCs w:val="22"/>
          <w:lang w:eastAsia="en-US" w:bidi="th-TH"/>
        </w:rPr>
        <w:t>’</w:t>
      </w:r>
      <w:r w:rsidRPr="00E8642C">
        <w:rPr>
          <w:rFonts w:cs="Arial"/>
          <w:szCs w:val="22"/>
          <w:lang w:eastAsia="en-US" w:bidi="th-TH"/>
        </w:rPr>
        <w:t>est pas comprise dans l</w:t>
      </w:r>
      <w:r w:rsidR="00D91476">
        <w:rPr>
          <w:rFonts w:cs="Arial"/>
          <w:szCs w:val="22"/>
          <w:lang w:eastAsia="en-US" w:bidi="th-TH"/>
        </w:rPr>
        <w:t>’</w:t>
      </w:r>
      <w:r w:rsidRPr="00E8642C">
        <w:rPr>
          <w:rFonts w:cs="Arial"/>
          <w:szCs w:val="22"/>
          <w:lang w:eastAsia="en-US" w:bidi="th-TH"/>
        </w:rPr>
        <w:t>état de la techniq</w:t>
      </w:r>
      <w:r w:rsidR="001F3AEE" w:rsidRPr="00E8642C">
        <w:rPr>
          <w:rFonts w:cs="Arial"/>
          <w:szCs w:val="22"/>
          <w:lang w:eastAsia="en-US" w:bidi="th-TH"/>
        </w:rPr>
        <w:t>ue</w:t>
      </w:r>
      <w:r w:rsidR="001F3AEE">
        <w:rPr>
          <w:rFonts w:cs="Arial"/>
          <w:szCs w:val="22"/>
          <w:lang w:eastAsia="en-US" w:bidi="th-TH"/>
        </w:rPr>
        <w:t xml:space="preserve">.  </w:t>
      </w:r>
      <w:r w:rsidR="001F3AEE" w:rsidRPr="00E8642C">
        <w:rPr>
          <w:rFonts w:cs="Arial"/>
          <w:szCs w:val="22"/>
          <w:lang w:eastAsia="en-US" w:bidi="th-TH"/>
        </w:rPr>
        <w:t>L</w:t>
      </w:r>
      <w:r w:rsidR="001F3AEE">
        <w:rPr>
          <w:rFonts w:cs="Arial"/>
          <w:szCs w:val="22"/>
          <w:lang w:eastAsia="en-US" w:bidi="th-TH"/>
        </w:rPr>
        <w:t>’</w:t>
      </w:r>
      <w:r w:rsidR="001F3AEE"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9243A6" w:rsidRDefault="00DD607D" w:rsidP="00E104D3">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article 102 du titre 35 du Code des États</w:t>
      </w:r>
      <w:r w:rsidR="00400337">
        <w:rPr>
          <w:rFonts w:cs="Arial"/>
          <w:szCs w:val="22"/>
          <w:lang w:eastAsia="en-US" w:bidi="th-TH"/>
        </w:rPr>
        <w:noBreakHyphen/>
      </w:r>
      <w:r w:rsidRPr="00E8642C">
        <w:rPr>
          <w:rFonts w:cs="Arial"/>
          <w:szCs w:val="22"/>
          <w:lang w:eastAsia="en-US" w:bidi="th-TH"/>
        </w:rPr>
        <w:t>Unis d</w:t>
      </w:r>
      <w:r w:rsidR="00D91476">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D91476">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D91476">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D91476">
        <w:t>’</w:t>
      </w:r>
      <w:r w:rsidRPr="00E8642C">
        <w:t>objet d</w:t>
      </w:r>
      <w:r w:rsidR="00D91476">
        <w:t>’</w:t>
      </w:r>
      <w:r w:rsidRPr="00E8642C">
        <w:t xml:space="preserve">un usage </w:t>
      </w:r>
      <w:r w:rsidRPr="00E8642C">
        <w:rPr>
          <w:rFonts w:cs="Arial"/>
          <w:iCs/>
          <w:szCs w:val="22"/>
          <w:lang w:eastAsia="en-US" w:bidi="th-TH"/>
        </w:rPr>
        <w:t>public, était en vente ou mise à la disposition du public d</w:t>
      </w:r>
      <w:r w:rsidR="00D91476">
        <w:rPr>
          <w:rFonts w:cs="Arial"/>
          <w:iCs/>
          <w:szCs w:val="22"/>
          <w:lang w:eastAsia="en-US" w:bidi="th-TH"/>
        </w:rPr>
        <w:t>’</w:t>
      </w:r>
      <w:r w:rsidRPr="00E8642C">
        <w:rPr>
          <w:rFonts w:cs="Arial"/>
          <w:iCs/>
          <w:szCs w:val="22"/>
          <w:lang w:eastAsia="en-US" w:bidi="th-TH"/>
        </w:rPr>
        <w:t>une autre manière avant la date de dépôt effective de l</w:t>
      </w:r>
      <w:r w:rsidR="00D91476">
        <w:rPr>
          <w:rFonts w:cs="Arial"/>
          <w:iCs/>
          <w:szCs w:val="22"/>
          <w:lang w:eastAsia="en-US" w:bidi="th-TH"/>
        </w:rPr>
        <w:t>’</w:t>
      </w:r>
      <w:r w:rsidRPr="00E8642C">
        <w:rPr>
          <w:rFonts w:cs="Arial"/>
          <w:iCs/>
          <w:szCs w:val="22"/>
          <w:lang w:eastAsia="en-US" w:bidi="th-TH"/>
        </w:rPr>
        <w:t>invention revendiquée;  ou 2) sauf si l</w:t>
      </w:r>
      <w:r w:rsidR="00D91476">
        <w:rPr>
          <w:rFonts w:cs="Arial"/>
          <w:iCs/>
          <w:szCs w:val="22"/>
          <w:lang w:eastAsia="en-US" w:bidi="th-TH"/>
        </w:rPr>
        <w:t>’</w:t>
      </w:r>
      <w:r w:rsidRPr="00E8642C">
        <w:rPr>
          <w:rFonts w:cs="Arial"/>
          <w:iCs/>
          <w:szCs w:val="22"/>
          <w:lang w:eastAsia="en-US" w:bidi="th-TH"/>
        </w:rPr>
        <w:t>invention revendiquée était décrite dans un brevet délivré en vertu de l</w:t>
      </w:r>
      <w:r w:rsidR="00D91476">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91476">
        <w:rPr>
          <w:rFonts w:cs="Arial"/>
          <w:iCs/>
          <w:szCs w:val="22"/>
          <w:lang w:eastAsia="en-US" w:bidi="th-TH"/>
        </w:rPr>
        <w:t>’</w:t>
      </w:r>
      <w:r w:rsidRPr="00E8642C">
        <w:rPr>
          <w:rFonts w:cs="Arial"/>
          <w:iCs/>
          <w:szCs w:val="22"/>
          <w:lang w:eastAsia="en-US" w:bidi="th-TH"/>
        </w:rPr>
        <w:t>article122.b), et que le brevet ou la demande, selon le cas, désigne un autre inventeur et a effectivement été déposé avant la date de dépôt effective de l</w:t>
      </w:r>
      <w:r w:rsidR="00D91476">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9243A6" w:rsidRDefault="00DD607D" w:rsidP="00E104D3">
      <w:pPr>
        <w:pStyle w:val="Heading2"/>
        <w:spacing w:after="220" w:line="240" w:lineRule="auto"/>
      </w:pPr>
      <w:bookmarkStart w:id="86" w:name="_Toc7772560"/>
      <w:r w:rsidRPr="00E8642C">
        <w:t>Œuvre dérivée</w:t>
      </w:r>
      <w:bookmarkEnd w:id="86"/>
    </w:p>
    <w:p w:rsidR="009243A6" w:rsidRDefault="00DD607D" w:rsidP="00E104D3">
      <w:pPr>
        <w:pStyle w:val="CommentText"/>
        <w:spacing w:after="220"/>
        <w:rPr>
          <w:rFonts w:cs="Arial"/>
          <w:szCs w:val="22"/>
        </w:rPr>
      </w:pPr>
      <w:r w:rsidRPr="00E8642C">
        <w:rPr>
          <w:rFonts w:cs="Arial"/>
          <w:szCs w:val="22"/>
        </w:rPr>
        <w:t>En droit d</w:t>
      </w:r>
      <w:r w:rsidR="00D91476">
        <w:rPr>
          <w:rFonts w:cs="Arial"/>
          <w:szCs w:val="22"/>
        </w:rPr>
        <w:t>’</w:t>
      </w:r>
      <w:r w:rsidRPr="00E8642C">
        <w:rPr>
          <w:rFonts w:cs="Arial"/>
          <w:szCs w:val="22"/>
        </w:rPr>
        <w:t>auteur, l</w:t>
      </w:r>
      <w:r w:rsidR="00D91476">
        <w:rPr>
          <w:rFonts w:cs="Arial"/>
          <w:szCs w:val="22"/>
        </w:rPr>
        <w:t>’</w:t>
      </w:r>
      <w:r w:rsidRPr="00E8642C">
        <w:rPr>
          <w:rFonts w:cs="Arial"/>
          <w:szCs w:val="22"/>
        </w:rPr>
        <w:t>expression “œuvres dérivées” s</w:t>
      </w:r>
      <w:r w:rsidR="00D91476">
        <w:rPr>
          <w:rFonts w:cs="Arial"/>
          <w:szCs w:val="22"/>
        </w:rPr>
        <w:t>’</w:t>
      </w:r>
      <w:r w:rsidRPr="00E8642C">
        <w:rPr>
          <w:rFonts w:cs="Arial"/>
          <w:szCs w:val="22"/>
        </w:rPr>
        <w:t>entend, en général, des traductions, adaptations, arrangements et autres transformations d</w:t>
      </w:r>
      <w:r w:rsidR="00D91476">
        <w:rPr>
          <w:rFonts w:cs="Arial"/>
          <w:szCs w:val="22"/>
        </w:rPr>
        <w:t>’</w:t>
      </w:r>
      <w:r w:rsidRPr="00E8642C">
        <w:rPr>
          <w:rFonts w:cs="Arial"/>
          <w:szCs w:val="22"/>
        </w:rPr>
        <w:t>œuvres préexistantes protégées comme telles en vertu de l</w:t>
      </w:r>
      <w:r w:rsidR="00D91476">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D91476">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w:t>
      </w:r>
      <w:r w:rsidRPr="00E8642C">
        <w:rPr>
          <w:rFonts w:cs="Arial"/>
          <w:szCs w:val="22"/>
        </w:rPr>
        <w:lastRenderedPageBreak/>
        <w:t>d</w:t>
      </w:r>
      <w:r w:rsidR="00D91476">
        <w:rPr>
          <w:rFonts w:cs="Arial"/>
          <w:szCs w:val="22"/>
        </w:rPr>
        <w:t>’</w:t>
      </w:r>
      <w:r w:rsidRPr="00E8642C">
        <w:rPr>
          <w:rFonts w:cs="Arial"/>
          <w:szCs w:val="22"/>
        </w:rPr>
        <w:t>œuvres protégés en vertu de l</w:t>
      </w:r>
      <w:r w:rsidR="00D91476">
        <w:rPr>
          <w:rFonts w:cs="Arial"/>
          <w:szCs w:val="22"/>
        </w:rPr>
        <w:t>’</w:t>
      </w:r>
      <w:r w:rsidRPr="00E8642C">
        <w:rPr>
          <w:rFonts w:cs="Arial"/>
          <w:szCs w:val="22"/>
        </w:rPr>
        <w:t>article 2.5) de la Convention de Berne (ainsi que de l</w:t>
      </w:r>
      <w:r w:rsidR="00D91476">
        <w:rPr>
          <w:rFonts w:cs="Arial"/>
          <w:szCs w:val="22"/>
        </w:rPr>
        <w:t>’</w:t>
      </w:r>
      <w:r w:rsidRPr="00E8642C">
        <w:rPr>
          <w:rFonts w:cs="Arial"/>
          <w:szCs w:val="22"/>
        </w:rPr>
        <w:t>article 10.2) de l</w:t>
      </w:r>
      <w:r w:rsidR="00D91476">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D91476">
        <w:rPr>
          <w:rFonts w:cs="Arial"/>
          <w:szCs w:val="22"/>
        </w:rPr>
        <w:t>’</w:t>
      </w:r>
      <w:r w:rsidRPr="00E8642C">
        <w:rPr>
          <w:rFonts w:cs="Arial"/>
          <w:szCs w:val="22"/>
        </w:rPr>
        <w:t>Organisation mondiale du commerce (OMC) et de l</w:t>
      </w:r>
      <w:r w:rsidR="00D91476">
        <w:rPr>
          <w:rFonts w:cs="Arial"/>
          <w:szCs w:val="22"/>
        </w:rPr>
        <w:t>’</w:t>
      </w:r>
      <w:r w:rsidRPr="00E8642C">
        <w:rPr>
          <w:rFonts w:cs="Arial"/>
          <w:szCs w:val="22"/>
        </w:rPr>
        <w:t xml:space="preserve">article 5 du </w:t>
      </w:r>
      <w:r w:rsidRPr="00E8642C">
        <w:rPr>
          <w:rFonts w:cs="Arial"/>
          <w:i/>
          <w:szCs w:val="22"/>
        </w:rPr>
        <w:t>Traité sur le droit d</w:t>
      </w:r>
      <w:r w:rsidR="00D91476">
        <w:rPr>
          <w:rFonts w:cs="Arial"/>
          <w:i/>
          <w:szCs w:val="22"/>
        </w:rPr>
        <w:t>’</w:t>
      </w:r>
      <w:r w:rsidRPr="00E8642C">
        <w:rPr>
          <w:rFonts w:cs="Arial"/>
          <w:i/>
          <w:szCs w:val="22"/>
        </w:rPr>
        <w:t>auteur de l</w:t>
      </w:r>
      <w:r w:rsidR="00D91476">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D91476">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D91476">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9243A6" w:rsidRDefault="00DD607D" w:rsidP="00E104D3">
      <w:pPr>
        <w:pStyle w:val="CommentText"/>
        <w:spacing w:after="220"/>
        <w:rPr>
          <w:rFonts w:cs="Arial"/>
          <w:szCs w:val="22"/>
        </w:rPr>
      </w:pPr>
      <w:r w:rsidRPr="00E8642C">
        <w:rPr>
          <w:rFonts w:cs="Arial"/>
          <w:szCs w:val="22"/>
        </w:rPr>
        <w:t>Le droit moral de l</w:t>
      </w:r>
      <w:r w:rsidR="00D91476">
        <w:rPr>
          <w:rFonts w:cs="Arial"/>
          <w:szCs w:val="22"/>
        </w:rPr>
        <w:t>’</w:t>
      </w:r>
      <w:r w:rsidRPr="00E8642C">
        <w:rPr>
          <w:rFonts w:cs="Arial"/>
          <w:szCs w:val="22"/>
        </w:rPr>
        <w:t>auteur peut restreindre le droit des tiers à réaliser une œuvre dériv</w:t>
      </w:r>
      <w:r w:rsidR="001F3AEE" w:rsidRPr="00E8642C">
        <w:rPr>
          <w:rFonts w:cs="Arial"/>
          <w:szCs w:val="22"/>
        </w:rPr>
        <w:t>ée</w:t>
      </w:r>
      <w:r w:rsidR="001F3AEE">
        <w:rPr>
          <w:rFonts w:cs="Arial"/>
          <w:szCs w:val="22"/>
        </w:rPr>
        <w:t xml:space="preserve">.  </w:t>
      </w:r>
      <w:r w:rsidR="001F3AEE" w:rsidRPr="00E8642C">
        <w:rPr>
          <w:rFonts w:cs="Arial"/>
          <w:szCs w:val="22"/>
        </w:rPr>
        <w:t>Pa</w:t>
      </w:r>
      <w:r w:rsidRPr="00E8642C">
        <w:rPr>
          <w:rFonts w:cs="Arial"/>
          <w:szCs w:val="22"/>
        </w:rPr>
        <w:t>r conséquent, même lorsqu</w:t>
      </w:r>
      <w:r w:rsidR="00D91476">
        <w:rPr>
          <w:rFonts w:cs="Arial"/>
          <w:szCs w:val="22"/>
        </w:rPr>
        <w:t>’</w:t>
      </w:r>
      <w:r w:rsidRPr="00E8642C">
        <w:rPr>
          <w:rFonts w:cs="Arial"/>
          <w:szCs w:val="22"/>
        </w:rPr>
        <w:t>une personne est, à titre contractuel ou statutaire, habilitée à modifier l</w:t>
      </w:r>
      <w:r w:rsidR="00D91476">
        <w:rPr>
          <w:rFonts w:cs="Arial"/>
          <w:szCs w:val="22"/>
        </w:rPr>
        <w:t>’</w:t>
      </w:r>
      <w:r w:rsidRPr="00E8642C">
        <w:rPr>
          <w:rFonts w:cs="Arial"/>
          <w:szCs w:val="22"/>
        </w:rPr>
        <w:t>œuvre ou à utiliser celle</w:t>
      </w:r>
      <w:r w:rsidR="00400337">
        <w:rPr>
          <w:rFonts w:cs="Arial"/>
          <w:szCs w:val="22"/>
        </w:rPr>
        <w:noBreakHyphen/>
      </w:r>
      <w:r w:rsidRPr="00E8642C">
        <w:rPr>
          <w:rFonts w:cs="Arial"/>
          <w:szCs w:val="22"/>
        </w:rPr>
        <w:t>ci pour créer une œuvre dérivée, l</w:t>
      </w:r>
      <w:r w:rsidR="00D91476">
        <w:rPr>
          <w:rFonts w:cs="Arial"/>
          <w:szCs w:val="22"/>
        </w:rPr>
        <w:t>’</w:t>
      </w:r>
      <w:r w:rsidRPr="00E8642C">
        <w:rPr>
          <w:rFonts w:cs="Arial"/>
          <w:szCs w:val="22"/>
        </w:rPr>
        <w:t>auteur peut s</w:t>
      </w:r>
      <w:r w:rsidR="00D91476">
        <w:rPr>
          <w:rFonts w:cs="Arial"/>
          <w:szCs w:val="22"/>
        </w:rPr>
        <w:t>’</w:t>
      </w:r>
      <w:r w:rsidRPr="00E8642C">
        <w:rPr>
          <w:rFonts w:cs="Arial"/>
          <w:szCs w:val="22"/>
        </w:rPr>
        <w:t>opposer à toute déformation de l</w:t>
      </w:r>
      <w:r w:rsidR="00D91476">
        <w:rPr>
          <w:rFonts w:cs="Arial"/>
          <w:szCs w:val="22"/>
        </w:rPr>
        <w:t>’</w:t>
      </w:r>
      <w:r w:rsidRPr="00E8642C">
        <w:rPr>
          <w:rFonts w:cs="Arial"/>
          <w:szCs w:val="22"/>
        </w:rPr>
        <w:t>œuvre, qui serait préjudiciable à sa réputation.</w:t>
      </w:r>
    </w:p>
    <w:p w:rsidR="009243A6" w:rsidRDefault="00DD607D" w:rsidP="00E104D3">
      <w:pPr>
        <w:pStyle w:val="CommentText"/>
        <w:spacing w:after="220"/>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1F3AEE" w:rsidRPr="00E8642C">
        <w:rPr>
          <w:rFonts w:cs="Arial"/>
          <w:szCs w:val="22"/>
        </w:rPr>
        <w:t>es</w:t>
      </w:r>
      <w:r w:rsidR="001F3AEE">
        <w:rPr>
          <w:rFonts w:cs="Arial"/>
          <w:szCs w:val="22"/>
        </w:rPr>
        <w:t xml:space="preserve">.  </w:t>
      </w:r>
      <w:r w:rsidR="001F3AEE" w:rsidRPr="00E8642C">
        <w:rPr>
          <w:rFonts w:cs="Arial"/>
          <w:szCs w:val="22"/>
        </w:rPr>
        <w:t>D</w:t>
      </w:r>
      <w:r w:rsidR="001F3AEE">
        <w:rPr>
          <w:rFonts w:cs="Arial"/>
          <w:szCs w:val="22"/>
        </w:rPr>
        <w:t>’</w:t>
      </w:r>
      <w:r w:rsidR="001F3AEE"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9243A6" w:rsidRDefault="00DD607D" w:rsidP="00E104D3">
      <w:pPr>
        <w:pStyle w:val="Heading2"/>
        <w:keepLines/>
        <w:spacing w:after="220" w:line="240" w:lineRule="auto"/>
      </w:pPr>
      <w:bookmarkStart w:id="90" w:name="_Toc7772561"/>
      <w:r w:rsidRPr="00E8642C">
        <w:t>Offensant</w:t>
      </w:r>
      <w:bookmarkEnd w:id="90"/>
    </w:p>
    <w:p w:rsidR="009243A6" w:rsidRDefault="00DD607D" w:rsidP="00E104D3">
      <w:pPr>
        <w:keepNext/>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adjectif “offensant” vise ce qui provoque mécontentement, colère ou </w:t>
      </w:r>
      <w:proofErr w:type="gramStart"/>
      <w:r w:rsidRPr="00E8642C">
        <w:rPr>
          <w:rFonts w:cs="Arial"/>
          <w:szCs w:val="22"/>
        </w:rPr>
        <w:t>ressentiment;  contraire</w:t>
      </w:r>
      <w:proofErr w:type="gramEnd"/>
      <w:r w:rsidRPr="00E8642C">
        <w:rPr>
          <w:rFonts w:cs="Arial"/>
          <w:szCs w:val="22"/>
        </w:rPr>
        <w:t xml:space="preserve"> à ce que l</w:t>
      </w:r>
      <w:r w:rsidR="00D91476">
        <w:rPr>
          <w:rFonts w:cs="Arial"/>
          <w:szCs w:val="22"/>
        </w:rPr>
        <w:t>’</w:t>
      </w:r>
      <w:r w:rsidRPr="00E8642C">
        <w:rPr>
          <w:rFonts w:cs="Arial"/>
          <w:szCs w:val="22"/>
        </w:rPr>
        <w:t>on considère habituellement comme décent ou moral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9243A6" w:rsidRDefault="00DD607D" w:rsidP="00E104D3">
      <w:pPr>
        <w:pStyle w:val="Heading2"/>
        <w:spacing w:after="220" w:line="240" w:lineRule="auto"/>
      </w:pPr>
      <w:bookmarkStart w:id="91" w:name="_Toc7772562"/>
      <w:r w:rsidRPr="00E8642C">
        <w:t>Patrimoine (des peuples autochtones)</w:t>
      </w:r>
      <w:bookmarkEnd w:id="91"/>
    </w:p>
    <w:p w:rsidR="009243A6" w:rsidRDefault="00DD607D" w:rsidP="00E104D3">
      <w:pPr>
        <w:spacing w:after="220"/>
        <w:rPr>
          <w:rFonts w:cs="Arial"/>
          <w:szCs w:val="22"/>
        </w:rPr>
      </w:pPr>
      <w:r w:rsidRPr="00E8642C">
        <w:rPr>
          <w:rFonts w:cs="Arial"/>
          <w:szCs w:val="22"/>
        </w:rPr>
        <w:t>Le “patrimoine des peuples autochtones” (et d</w:t>
      </w:r>
      <w:r w:rsidR="00D91476">
        <w:rPr>
          <w:rFonts w:cs="Arial"/>
          <w:szCs w:val="22"/>
        </w:rPr>
        <w:t>’</w:t>
      </w:r>
      <w:r w:rsidRPr="00E8642C">
        <w:rPr>
          <w:rFonts w:cs="Arial"/>
          <w:szCs w:val="22"/>
        </w:rPr>
        <w:t>autres peuples) ou le “patrimoine culturel autochtone” renvoie pour l</w:t>
      </w:r>
      <w:r w:rsidR="00D91476">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400337">
        <w:rPr>
          <w:rFonts w:cs="Arial"/>
          <w:szCs w:val="22"/>
        </w:rPr>
        <w:noBreakHyphen/>
      </w:r>
      <w:r w:rsidRPr="00E8642C">
        <w:rPr>
          <w:rFonts w:cs="Arial"/>
          <w:szCs w:val="22"/>
        </w:rPr>
        <w:t>rapporteuse de la Sous</w:t>
      </w:r>
      <w:r w:rsidR="00400337">
        <w:rPr>
          <w:rFonts w:cs="Arial"/>
          <w:szCs w:val="22"/>
        </w:rPr>
        <w:noBreakHyphen/>
      </w:r>
      <w:r w:rsidRPr="00E8642C">
        <w:rPr>
          <w:rFonts w:cs="Arial"/>
          <w:szCs w:val="22"/>
        </w:rPr>
        <w:t>commission de la promotion et de la protection des droits de l</w:t>
      </w:r>
      <w:r w:rsidR="00D91476">
        <w:rPr>
          <w:rFonts w:cs="Arial"/>
          <w:szCs w:val="22"/>
        </w:rPr>
        <w:t>’</w:t>
      </w:r>
      <w:r w:rsidRPr="00E8642C">
        <w:rPr>
          <w:rFonts w:cs="Arial"/>
          <w:szCs w:val="22"/>
        </w:rPr>
        <w:t>homme, Mme Erica</w:t>
      </w:r>
      <w:r w:rsidR="00400337">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w:t>
      </w:r>
      <w:r w:rsidR="001F3AEE" w:rsidRPr="00E8642C">
        <w:rPr>
          <w:rFonts w:cs="Arial"/>
          <w:szCs w:val="22"/>
        </w:rPr>
        <w:t>es</w:t>
      </w:r>
      <w:proofErr w:type="spellEnd"/>
      <w:r w:rsidR="001F3AEE">
        <w:rPr>
          <w:rFonts w:cs="Arial"/>
          <w:szCs w:val="22"/>
        </w:rPr>
        <w:t xml:space="preserve">.  </w:t>
      </w:r>
      <w:r w:rsidR="001F3AEE" w:rsidRPr="00E8642C">
        <w:rPr>
          <w:rFonts w:cs="Arial"/>
          <w:szCs w:val="22"/>
        </w:rPr>
        <w:t>On</w:t>
      </w:r>
      <w:r w:rsidRPr="00E8642C">
        <w:rPr>
          <w:rFonts w:cs="Arial"/>
          <w:szCs w:val="22"/>
        </w:rPr>
        <w:t xml:space="preserve"> trouvera des définitions dans les paragraphes 12, 13 et 14 des Principes directeurs.</w:t>
      </w:r>
    </w:p>
    <w:p w:rsidR="009243A6" w:rsidRDefault="00DD607D" w:rsidP="00E104D3">
      <w:pPr>
        <w:spacing w:after="220"/>
        <w:rPr>
          <w:rFonts w:cs="Arial"/>
          <w:szCs w:val="22"/>
        </w:rPr>
      </w:pPr>
      <w:r w:rsidRPr="00E8642C">
        <w:rPr>
          <w:rFonts w:cs="Arial"/>
          <w:szCs w:val="22"/>
        </w:rPr>
        <w:t>Le paragraphe 12 prévoit ce qui suit</w:t>
      </w:r>
      <w:r w:rsidR="00D91476">
        <w:rPr>
          <w:rFonts w:cs="Arial"/>
          <w:szCs w:val="22"/>
        </w:rPr>
        <w:t> :</w:t>
      </w:r>
      <w:r w:rsidRPr="00E8642C">
        <w:rPr>
          <w:rFonts w:cs="Arial"/>
          <w:szCs w:val="22"/>
        </w:rPr>
        <w:t xml:space="preserve"> “Le patrimoine des peuples autochtones [est collectif et] se compose de tous les objets, sites et connaissances dont la nature ou l</w:t>
      </w:r>
      <w:r w:rsidR="00D91476">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1F3AEE" w:rsidRPr="00E8642C">
        <w:rPr>
          <w:rFonts w:cs="Arial"/>
          <w:szCs w:val="22"/>
        </w:rPr>
        <w:t>er</w:t>
      </w:r>
      <w:r w:rsidR="001F3AEE">
        <w:rPr>
          <w:rFonts w:cs="Arial"/>
          <w:szCs w:val="22"/>
        </w:rPr>
        <w:t xml:space="preserve">.  </w:t>
      </w:r>
      <w:r w:rsidR="001F3AEE" w:rsidRPr="00E8642C">
        <w:rPr>
          <w:rFonts w:cs="Arial"/>
          <w:szCs w:val="22"/>
        </w:rPr>
        <w:t>Le</w:t>
      </w:r>
      <w:r w:rsidRPr="00E8642C">
        <w:rPr>
          <w:rFonts w:cs="Arial"/>
          <w:szCs w:val="22"/>
        </w:rPr>
        <w:t> patrimoine d</w:t>
      </w:r>
      <w:r w:rsidR="00D91476">
        <w:rPr>
          <w:rFonts w:cs="Arial"/>
          <w:szCs w:val="22"/>
        </w:rPr>
        <w:t>’</w:t>
      </w:r>
      <w:r w:rsidRPr="00E8642C">
        <w:rPr>
          <w:rFonts w:cs="Arial"/>
          <w:szCs w:val="22"/>
        </w:rPr>
        <w:t>un peuple autochtone comprend aussi les objets, les connaissances et les œuvres littéraires ou artistiques de ce peuple susceptibles d</w:t>
      </w:r>
      <w:r w:rsidR="00D91476">
        <w:rPr>
          <w:rFonts w:cs="Arial"/>
          <w:szCs w:val="22"/>
        </w:rPr>
        <w:t>’</w:t>
      </w:r>
      <w:r w:rsidRPr="00E8642C">
        <w:rPr>
          <w:rFonts w:cs="Arial"/>
          <w:szCs w:val="22"/>
        </w:rPr>
        <w:t>être créés ou redécouverts à l</w:t>
      </w:r>
      <w:r w:rsidR="00D91476">
        <w:rPr>
          <w:rFonts w:cs="Arial"/>
          <w:szCs w:val="22"/>
        </w:rPr>
        <w:t>’</w:t>
      </w:r>
      <w:r w:rsidRPr="00E8642C">
        <w:rPr>
          <w:rFonts w:cs="Arial"/>
          <w:szCs w:val="22"/>
        </w:rPr>
        <w:t>avenir à partir de son patrimoine.”  Le paragraphe 13 dispose ce qui suit</w:t>
      </w:r>
      <w:r w:rsidR="00D91476">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D91476">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D91476">
        <w:rPr>
          <w:rFonts w:cs="Arial"/>
          <w:szCs w:val="22"/>
        </w:rPr>
        <w:t>y compris</w:t>
      </w:r>
      <w:r w:rsidRPr="00E8642C">
        <w:rPr>
          <w:rFonts w:cs="Arial"/>
          <w:szCs w:val="22"/>
        </w:rPr>
        <w:t xml:space="preserve"> les innovations fondées sur ces connaissances, les cultigènes, les </w:t>
      </w:r>
      <w:r w:rsidRPr="00E8642C">
        <w:rPr>
          <w:rFonts w:cs="Arial"/>
          <w:szCs w:val="22"/>
        </w:rPr>
        <w:lastRenderedPageBreak/>
        <w:t>remèdes, les médicaments et l</w:t>
      </w:r>
      <w:r w:rsidR="00D91476">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D91476">
        <w:rPr>
          <w:rFonts w:cs="Arial"/>
          <w:szCs w:val="22"/>
        </w:rPr>
        <w:t> :</w:t>
      </w:r>
      <w:r w:rsidRPr="00E8642C">
        <w:rPr>
          <w:rFonts w:cs="Arial"/>
          <w:szCs w:val="22"/>
        </w:rPr>
        <w:t xml:space="preserve"> “Chaque élément du patrimoine des peuples autochtones a des propriétaires</w:t>
      </w:r>
      <w:r w:rsidR="00D91476">
        <w:rPr>
          <w:rFonts w:cs="Arial"/>
          <w:szCs w:val="22"/>
        </w:rPr>
        <w:t> :</w:t>
      </w:r>
      <w:r w:rsidRPr="00E8642C">
        <w:rPr>
          <w:rFonts w:cs="Arial"/>
          <w:szCs w:val="22"/>
        </w:rPr>
        <w:t xml:space="preserve"> soit l</w:t>
      </w:r>
      <w:r w:rsidR="00D91476">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1F3AEE" w:rsidRPr="00E8642C">
        <w:rPr>
          <w:rFonts w:cs="Arial"/>
          <w:szCs w:val="22"/>
        </w:rPr>
        <w:t>ns</w:t>
      </w:r>
      <w:r w:rsidR="001F3AEE">
        <w:rPr>
          <w:rFonts w:cs="Arial"/>
          <w:szCs w:val="22"/>
        </w:rPr>
        <w:t xml:space="preserve">.  </w:t>
      </w:r>
      <w:r w:rsidR="001F3AEE"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D91476">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1F3AEE" w:rsidRPr="00E8642C">
        <w:rPr>
          <w:rFonts w:cs="Arial"/>
          <w:szCs w:val="22"/>
        </w:rPr>
        <w:t>on</w:t>
      </w:r>
      <w:r w:rsidR="001F3AEE">
        <w:rPr>
          <w:rFonts w:cs="Arial"/>
          <w:szCs w:val="22"/>
        </w:rPr>
        <w:t xml:space="preserve">.  </w:t>
      </w:r>
      <w:r w:rsidR="001F3AEE"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1F3AEE" w:rsidRPr="00E8642C">
        <w:rPr>
          <w:rFonts w:cs="Arial"/>
          <w:szCs w:val="22"/>
        </w:rPr>
        <w:t>el</w:t>
      </w:r>
      <w:r w:rsidR="001F3AEE">
        <w:rPr>
          <w:rFonts w:cs="Arial"/>
          <w:szCs w:val="22"/>
        </w:rPr>
        <w:t xml:space="preserve">.  </w:t>
      </w:r>
      <w:r w:rsidR="001F3AEE" w:rsidRPr="00E8642C">
        <w:rPr>
          <w:rFonts w:cs="Arial"/>
          <w:szCs w:val="22"/>
        </w:rPr>
        <w:t>El</w:t>
      </w:r>
      <w:r w:rsidRPr="00E8642C">
        <w:rPr>
          <w:rFonts w:cs="Arial"/>
          <w:szCs w:val="22"/>
        </w:rPr>
        <w:t>les comprennent en outre la connaissance qui résulte de l</w:t>
      </w:r>
      <w:r w:rsidR="00D91476">
        <w:rPr>
          <w:rFonts w:cs="Arial"/>
          <w:szCs w:val="22"/>
        </w:rPr>
        <w:t>’</w:t>
      </w:r>
      <w:r w:rsidRPr="00E8642C">
        <w:rPr>
          <w:rFonts w:cs="Arial"/>
          <w:szCs w:val="22"/>
        </w:rPr>
        <w:t>activité intellectuelle et de la compréhension intuitive dans un contexte traditionnel, et recouvrent les savoir</w:t>
      </w:r>
      <w:r w:rsidR="00400337">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D91476">
        <w:rPr>
          <w:rFonts w:cs="Arial"/>
          <w:szCs w:val="22"/>
        </w:rPr>
        <w:t>’</w:t>
      </w:r>
      <w:r w:rsidRPr="00E8642C">
        <w:rPr>
          <w:rFonts w:cs="Arial"/>
          <w:szCs w:val="22"/>
        </w:rPr>
        <w:t>incarne dans le style de vie traditionnel d</w:t>
      </w:r>
      <w:r w:rsidR="00D91476">
        <w:rPr>
          <w:rFonts w:cs="Arial"/>
          <w:szCs w:val="22"/>
        </w:rPr>
        <w:t>’</w:t>
      </w:r>
      <w:r w:rsidRPr="00E8642C">
        <w:rPr>
          <w:rFonts w:cs="Arial"/>
          <w:szCs w:val="22"/>
        </w:rPr>
        <w:t>un peuple autochtone ou qui est contenu dans des systèmes de connaissances codifiés transmis à travers les génératio</w:t>
      </w:r>
      <w:r w:rsidR="001F3AEE" w:rsidRPr="00E8642C">
        <w:rPr>
          <w:rFonts w:cs="Arial"/>
          <w:szCs w:val="22"/>
        </w:rPr>
        <w:t>ns</w:t>
      </w:r>
      <w:r w:rsidR="001F3AEE">
        <w:rPr>
          <w:rFonts w:cs="Arial"/>
          <w:szCs w:val="22"/>
        </w:rPr>
        <w:t xml:space="preserve">.  </w:t>
      </w:r>
      <w:r w:rsidR="001F3AEE"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D91476">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9243A6" w:rsidRDefault="00DD607D" w:rsidP="00E104D3">
      <w:pPr>
        <w:pStyle w:val="Heading2"/>
        <w:spacing w:after="220" w:line="240" w:lineRule="auto"/>
      </w:pPr>
      <w:bookmarkStart w:id="92" w:name="_Toc7772563"/>
      <w:r w:rsidRPr="00E8642C">
        <w:t>Patrimoine culturel</w:t>
      </w:r>
      <w:bookmarkEnd w:id="92"/>
    </w:p>
    <w:p w:rsidR="00DD607D" w:rsidRPr="00E8642C" w:rsidRDefault="00DD607D" w:rsidP="00E104D3">
      <w:pPr>
        <w:pStyle w:val="FootnoteText"/>
        <w:spacing w:after="220"/>
        <w:ind w:left="0" w:firstLine="0"/>
        <w:rPr>
          <w:rFonts w:cs="Arial"/>
          <w:szCs w:val="22"/>
        </w:rPr>
      </w:pPr>
      <w:r w:rsidRPr="00E8642C">
        <w:rPr>
          <w:rFonts w:cs="Arial"/>
          <w:snapToGrid w:val="0"/>
          <w:szCs w:val="22"/>
        </w:rPr>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D91476">
        <w:rPr>
          <w:rFonts w:cs="Arial"/>
          <w:snapToGrid w:val="0"/>
          <w:szCs w:val="22"/>
        </w:rPr>
        <w:t>’</w:t>
      </w:r>
      <w:r w:rsidRPr="00E8642C">
        <w:rPr>
          <w:rFonts w:cs="Arial"/>
          <w:snapToGrid w:val="0"/>
          <w:szCs w:val="22"/>
        </w:rPr>
        <w:t>il est indiqué dans l</w:t>
      </w:r>
      <w:r w:rsidR="00D91476">
        <w:rPr>
          <w:rFonts w:cs="Arial"/>
          <w:snapToGrid w:val="0"/>
          <w:szCs w:val="22"/>
        </w:rPr>
        <w:t>’</w:t>
      </w:r>
      <w:r w:rsidRPr="00E8642C">
        <w:rPr>
          <w:rFonts w:cs="Arial"/>
          <w:snapToGrid w:val="0"/>
          <w:szCs w:val="22"/>
        </w:rPr>
        <w:t>article premier,</w:t>
      </w:r>
    </w:p>
    <w:p w:rsidR="00DD607D" w:rsidRPr="00E8642C" w:rsidRDefault="00DD607D" w:rsidP="00E104D3">
      <w:pPr>
        <w:pStyle w:val="FootnoteText"/>
        <w:ind w:firstLine="0"/>
        <w:rPr>
          <w:rFonts w:cs="Arial"/>
          <w:i/>
          <w:szCs w:val="22"/>
        </w:rPr>
      </w:pPr>
      <w:r w:rsidRPr="00E8642C">
        <w:rPr>
          <w:rFonts w:cs="Arial"/>
          <w:i/>
          <w:szCs w:val="22"/>
        </w:rPr>
        <w:t>a)</w:t>
      </w:r>
      <w:r w:rsidRPr="00E8642C">
        <w:rPr>
          <w:rFonts w:cs="Arial"/>
          <w:i/>
          <w:szCs w:val="22"/>
        </w:rPr>
        <w:tab/>
        <w:t>les monuments</w:t>
      </w:r>
      <w:r w:rsidR="00D91476">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D91476">
        <w:rPr>
          <w:rFonts w:cs="Arial"/>
          <w:i/>
          <w:szCs w:val="22"/>
        </w:rPr>
        <w:t>’</w:t>
      </w:r>
      <w:r w:rsidRPr="00E8642C">
        <w:rPr>
          <w:rFonts w:cs="Arial"/>
          <w:i/>
          <w:szCs w:val="22"/>
        </w:rPr>
        <w:t>éléments, qui ont une valeur universelle exceptionnelle du point de vue de l</w:t>
      </w:r>
      <w:r w:rsidR="00D91476">
        <w:rPr>
          <w:rFonts w:cs="Arial"/>
          <w:i/>
          <w:szCs w:val="22"/>
        </w:rPr>
        <w:t>’</w:t>
      </w:r>
      <w:r w:rsidRPr="00E8642C">
        <w:rPr>
          <w:rFonts w:cs="Arial"/>
          <w:i/>
          <w:szCs w:val="22"/>
        </w:rPr>
        <w:t>histoire, de l</w:t>
      </w:r>
      <w:r w:rsidR="00D91476">
        <w:rPr>
          <w:rFonts w:cs="Arial"/>
          <w:i/>
          <w:szCs w:val="22"/>
        </w:rPr>
        <w:t>’</w:t>
      </w:r>
      <w:r w:rsidRPr="00E8642C">
        <w:rPr>
          <w:rFonts w:cs="Arial"/>
          <w:i/>
          <w:szCs w:val="22"/>
        </w:rPr>
        <w:t>art ou de la science;</w:t>
      </w:r>
    </w:p>
    <w:p w:rsidR="00DD607D" w:rsidRPr="00E8642C" w:rsidRDefault="00DD607D" w:rsidP="00E104D3">
      <w:pPr>
        <w:pStyle w:val="FootnoteText"/>
        <w:ind w:firstLine="0"/>
        <w:rPr>
          <w:rFonts w:cs="Arial"/>
          <w:i/>
          <w:szCs w:val="22"/>
        </w:rPr>
      </w:pPr>
      <w:r w:rsidRPr="00E8642C">
        <w:rPr>
          <w:rFonts w:cs="Arial"/>
          <w:i/>
          <w:szCs w:val="22"/>
        </w:rPr>
        <w:t>b)</w:t>
      </w:r>
      <w:r w:rsidRPr="00E8642C">
        <w:rPr>
          <w:rFonts w:cs="Arial"/>
          <w:i/>
          <w:szCs w:val="22"/>
        </w:rPr>
        <w:tab/>
        <w:t>les ensembles</w:t>
      </w:r>
      <w:r w:rsidR="00D91476">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D91476">
        <w:rPr>
          <w:rFonts w:cs="Arial"/>
          <w:i/>
          <w:szCs w:val="22"/>
        </w:rPr>
        <w:t>’</w:t>
      </w:r>
      <w:r w:rsidRPr="00E8642C">
        <w:rPr>
          <w:rFonts w:cs="Arial"/>
          <w:i/>
          <w:szCs w:val="22"/>
        </w:rPr>
        <w:t>histoire, de l</w:t>
      </w:r>
      <w:r w:rsidR="00D91476">
        <w:rPr>
          <w:rFonts w:cs="Arial"/>
          <w:i/>
          <w:szCs w:val="22"/>
        </w:rPr>
        <w:t>’</w:t>
      </w:r>
      <w:r w:rsidRPr="00E8642C">
        <w:rPr>
          <w:rFonts w:cs="Arial"/>
          <w:i/>
          <w:szCs w:val="22"/>
        </w:rPr>
        <w:t>art ou de la science;</w:t>
      </w:r>
    </w:p>
    <w:p w:rsidR="00AD541F" w:rsidRDefault="00DD607D" w:rsidP="00E104D3">
      <w:pPr>
        <w:pStyle w:val="FootnoteText"/>
        <w:spacing w:after="220"/>
        <w:ind w:firstLine="0"/>
        <w:rPr>
          <w:rFonts w:cs="Arial"/>
          <w:i/>
          <w:szCs w:val="22"/>
        </w:rPr>
      </w:pPr>
      <w:r w:rsidRPr="00E8642C">
        <w:rPr>
          <w:rFonts w:cs="Arial"/>
          <w:i/>
          <w:szCs w:val="22"/>
        </w:rPr>
        <w:t>c)</w:t>
      </w:r>
      <w:r w:rsidRPr="00E8642C">
        <w:rPr>
          <w:rFonts w:cs="Arial"/>
          <w:i/>
          <w:szCs w:val="22"/>
        </w:rPr>
        <w:tab/>
        <w:t>les sites</w:t>
      </w:r>
      <w:r w:rsidR="00D91476">
        <w:rPr>
          <w:rFonts w:cs="Arial"/>
          <w:i/>
          <w:szCs w:val="22"/>
        </w:rPr>
        <w:t> :</w:t>
      </w:r>
      <w:r w:rsidRPr="00E8642C">
        <w:rPr>
          <w:rFonts w:cs="Arial"/>
          <w:i/>
          <w:szCs w:val="22"/>
        </w:rPr>
        <w:t xml:space="preserve"> œuvres de l</w:t>
      </w:r>
      <w:r w:rsidR="00D91476">
        <w:rPr>
          <w:rFonts w:cs="Arial"/>
          <w:i/>
          <w:szCs w:val="22"/>
        </w:rPr>
        <w:t>’</w:t>
      </w:r>
      <w:r w:rsidRPr="00E8642C">
        <w:rPr>
          <w:rFonts w:cs="Arial"/>
          <w:i/>
          <w:szCs w:val="22"/>
        </w:rPr>
        <w:t>homme ou œuvres conjuguées de l</w:t>
      </w:r>
      <w:r w:rsidR="00D91476">
        <w:rPr>
          <w:rFonts w:cs="Arial"/>
          <w:i/>
          <w:szCs w:val="22"/>
        </w:rPr>
        <w:t>’</w:t>
      </w:r>
      <w:r w:rsidRPr="00E8642C">
        <w:rPr>
          <w:rFonts w:cs="Arial"/>
          <w:i/>
          <w:szCs w:val="22"/>
        </w:rPr>
        <w:t xml:space="preserve">homme et de la nature, ainsi que les zones </w:t>
      </w:r>
      <w:r w:rsidR="00D91476">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AD541F" w:rsidRDefault="00DD607D" w:rsidP="00E104D3">
      <w:pPr>
        <w:pStyle w:val="Heading2"/>
        <w:spacing w:after="220" w:line="240" w:lineRule="auto"/>
      </w:pPr>
      <w:bookmarkStart w:id="93" w:name="_Toc7772564"/>
      <w:r w:rsidRPr="00E8642C">
        <w:t>Patrimoine culturel immatériel</w:t>
      </w:r>
      <w:bookmarkEnd w:id="93"/>
    </w:p>
    <w:p w:rsidR="00AD541F" w:rsidRDefault="00DD607D" w:rsidP="00E104D3">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D91476">
        <w:rPr>
          <w:rFonts w:cs="Arial"/>
          <w:szCs w:val="22"/>
        </w:rPr>
        <w:t>’</w:t>
      </w:r>
      <w:r w:rsidRPr="00E8642C">
        <w:rPr>
          <w:rFonts w:cs="Arial"/>
          <w:szCs w:val="22"/>
        </w:rPr>
        <w:t>inverse, est défini comme “ayant ou possédant une forme physique, capable d</w:t>
      </w:r>
      <w:r w:rsidR="00D91476">
        <w:rPr>
          <w:rFonts w:cs="Arial"/>
          <w:szCs w:val="22"/>
        </w:rPr>
        <w:t>’</w:t>
      </w:r>
      <w:r w:rsidRPr="00E8642C">
        <w:rPr>
          <w:rFonts w:cs="Arial"/>
          <w:szCs w:val="22"/>
        </w:rPr>
        <w:t>être touché et vu, perceptible au toucher”.</w:t>
      </w:r>
    </w:p>
    <w:p w:rsidR="00AD541F" w:rsidRDefault="00DD607D" w:rsidP="00E104D3">
      <w:pPr>
        <w:spacing w:after="220"/>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comme “les pratiques, représentations, expressions, connaissances et savoir</w:t>
      </w:r>
      <w:r w:rsidR="00400337">
        <w:rPr>
          <w:rFonts w:cs="Arial"/>
          <w:szCs w:val="22"/>
        </w:rPr>
        <w:noBreakHyphen/>
      </w:r>
      <w:r w:rsidRPr="00E8642C">
        <w:rPr>
          <w:rFonts w:cs="Arial"/>
          <w:szCs w:val="22"/>
        </w:rPr>
        <w:t xml:space="preserve">faire – ainsi que les instruments, objets, artefacts et espaces culturels qui leur sont </w:t>
      </w:r>
      <w:r w:rsidRPr="00E8642C">
        <w:rPr>
          <w:rFonts w:cs="Arial"/>
          <w:szCs w:val="22"/>
        </w:rPr>
        <w:lastRenderedPageBreak/>
        <w:t>associés – que les communautés, les groupes et, le cas échéant, les individus reconnaissent comme faisant partie de leur patrimoine cultur</w:t>
      </w:r>
      <w:r w:rsidR="001F3AEE" w:rsidRPr="00E8642C">
        <w:rPr>
          <w:rFonts w:cs="Arial"/>
          <w:szCs w:val="22"/>
        </w:rPr>
        <w:t>el</w:t>
      </w:r>
      <w:r w:rsidR="001F3AEE">
        <w:rPr>
          <w:rFonts w:cs="Arial"/>
          <w:szCs w:val="22"/>
        </w:rPr>
        <w:t xml:space="preserve">.  </w:t>
      </w:r>
      <w:r w:rsidR="001F3AEE"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D91476">
        <w:rPr>
          <w:rFonts w:cs="Arial"/>
          <w:szCs w:val="22"/>
        </w:rPr>
        <w:t>’</w:t>
      </w:r>
      <w:r w:rsidRPr="00E8642C">
        <w:rPr>
          <w:rFonts w:cs="Arial"/>
          <w:szCs w:val="22"/>
        </w:rPr>
        <w:t>identité et de continuité, contribuant ainsi à promouvoir le respect de la diversité culturelle et la créativité humai</w:t>
      </w:r>
      <w:r w:rsidR="001F3AEE" w:rsidRPr="00E8642C">
        <w:rPr>
          <w:rFonts w:cs="Arial"/>
          <w:szCs w:val="22"/>
        </w:rPr>
        <w:t>ne</w:t>
      </w:r>
      <w:r w:rsidR="001F3AEE">
        <w:rPr>
          <w:rFonts w:cs="Arial"/>
          <w:szCs w:val="22"/>
        </w:rPr>
        <w:t xml:space="preserve">.  </w:t>
      </w:r>
      <w:r w:rsidR="001F3AEE"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D91476">
        <w:rPr>
          <w:rFonts w:cs="Arial"/>
          <w:szCs w:val="22"/>
        </w:rPr>
        <w:t>’</w:t>
      </w:r>
      <w:r w:rsidRPr="00E8642C">
        <w:rPr>
          <w:rFonts w:cs="Arial"/>
          <w:szCs w:val="22"/>
        </w:rPr>
        <w:t>homme, ainsi qu</w:t>
      </w:r>
      <w:r w:rsidR="00D91476">
        <w:rPr>
          <w:rFonts w:cs="Arial"/>
          <w:szCs w:val="22"/>
        </w:rPr>
        <w:t>’</w:t>
      </w:r>
      <w:r w:rsidRPr="00E8642C">
        <w:rPr>
          <w:rFonts w:cs="Arial"/>
          <w:szCs w:val="22"/>
        </w:rPr>
        <w:t>à l</w:t>
      </w:r>
      <w:r w:rsidR="00D91476">
        <w:rPr>
          <w:rFonts w:cs="Arial"/>
          <w:szCs w:val="22"/>
        </w:rPr>
        <w:t>’</w:t>
      </w:r>
      <w:r w:rsidRPr="00E8642C">
        <w:rPr>
          <w:rFonts w:cs="Arial"/>
          <w:szCs w:val="22"/>
        </w:rPr>
        <w:t>exigence du respect mutuel entre communautés, groupes et individus, et d</w:t>
      </w:r>
      <w:r w:rsidR="00D91476">
        <w:rPr>
          <w:rFonts w:cs="Arial"/>
          <w:szCs w:val="22"/>
        </w:rPr>
        <w:t>’</w:t>
      </w:r>
      <w:r w:rsidRPr="00E8642C">
        <w:rPr>
          <w:rFonts w:cs="Arial"/>
          <w:szCs w:val="22"/>
        </w:rPr>
        <w:t>un développement durable”.</w:t>
      </w:r>
    </w:p>
    <w:p w:rsidR="00AD541F" w:rsidRDefault="00DD607D" w:rsidP="00E104D3">
      <w:pPr>
        <w:spacing w:after="220"/>
        <w:rPr>
          <w:rFonts w:cs="Arial"/>
          <w:szCs w:val="22"/>
        </w:rPr>
      </w:pPr>
      <w:r w:rsidRPr="00E8642C">
        <w:rPr>
          <w:rFonts w:cs="Arial"/>
          <w:szCs w:val="22"/>
        </w:rPr>
        <w:t>La Convention prévoit aussi que le “patrimoine culturel immatériel” se manifeste notamment dans les domaines suivants</w:t>
      </w:r>
      <w:r w:rsidR="00D91476">
        <w:rPr>
          <w:rFonts w:cs="Arial"/>
          <w:szCs w:val="22"/>
        </w:rPr>
        <w:t> :</w:t>
      </w:r>
      <w:r w:rsidRPr="00E8642C">
        <w:rPr>
          <w:rFonts w:cs="Arial"/>
          <w:szCs w:val="22"/>
        </w:rPr>
        <w:t xml:space="preserve"> a) les traditions et expressions orales, </w:t>
      </w:r>
      <w:r w:rsidR="00D91476">
        <w:rPr>
          <w:rFonts w:cs="Arial"/>
          <w:szCs w:val="22"/>
        </w:rPr>
        <w:t>y compris</w:t>
      </w:r>
      <w:r w:rsidRPr="00E8642C">
        <w:rPr>
          <w:rFonts w:cs="Arial"/>
          <w:szCs w:val="22"/>
        </w:rPr>
        <w:t xml:space="preserve"> la langue comme vecteur du patrimoine culturel </w:t>
      </w:r>
      <w:proofErr w:type="gramStart"/>
      <w:r w:rsidRPr="00E8642C">
        <w:rPr>
          <w:rFonts w:cs="Arial"/>
          <w:szCs w:val="22"/>
        </w:rPr>
        <w:t>immatériel;  b</w:t>
      </w:r>
      <w:proofErr w:type="gramEnd"/>
      <w:r w:rsidRPr="00E8642C">
        <w:rPr>
          <w:rFonts w:cs="Arial"/>
          <w:szCs w:val="22"/>
        </w:rPr>
        <w:t>) les arts du spectacle;  c) les pratiques sociales, rituels et événements festifs;  d) les connaissances et pratiques concernant la nature et l</w:t>
      </w:r>
      <w:r w:rsidR="00D91476">
        <w:rPr>
          <w:rFonts w:cs="Arial"/>
          <w:szCs w:val="22"/>
        </w:rPr>
        <w:t>’</w:t>
      </w:r>
      <w:r w:rsidRPr="00E8642C">
        <w:rPr>
          <w:rFonts w:cs="Arial"/>
          <w:szCs w:val="22"/>
        </w:rPr>
        <w:t>univers;  et e) les savoir</w:t>
      </w:r>
      <w:r w:rsidR="00400337">
        <w:rPr>
          <w:rFonts w:cs="Arial"/>
          <w:szCs w:val="22"/>
        </w:rPr>
        <w:noBreakHyphen/>
      </w:r>
      <w:r w:rsidRPr="00E8642C">
        <w:rPr>
          <w:rFonts w:cs="Arial"/>
          <w:szCs w:val="22"/>
        </w:rPr>
        <w:t>faire liés à l</w:t>
      </w:r>
      <w:r w:rsidR="00D91476">
        <w:rPr>
          <w:rFonts w:cs="Arial"/>
          <w:szCs w:val="22"/>
        </w:rPr>
        <w:t>’</w:t>
      </w:r>
      <w:r w:rsidRPr="00E8642C">
        <w:rPr>
          <w:rFonts w:cs="Arial"/>
          <w:szCs w:val="22"/>
        </w:rPr>
        <w:t>artisanat traditionnel.</w:t>
      </w:r>
    </w:p>
    <w:p w:rsidR="00AD541F" w:rsidRDefault="00DD607D" w:rsidP="00E104D3">
      <w:pPr>
        <w:pStyle w:val="Heading2"/>
        <w:spacing w:after="220" w:line="240" w:lineRule="auto"/>
      </w:pPr>
      <w:bookmarkStart w:id="94" w:name="_Toc7772565"/>
      <w:r w:rsidRPr="00E8642C">
        <w:t>Pays d</w:t>
      </w:r>
      <w:r w:rsidR="00D91476">
        <w:t>’</w:t>
      </w:r>
      <w:r w:rsidRPr="00E8642C">
        <w:t>origine des ressources génétiques</w:t>
      </w:r>
      <w:bookmarkEnd w:id="94"/>
    </w:p>
    <w:p w:rsidR="00AD541F" w:rsidRDefault="00DD607D" w:rsidP="00E104D3">
      <w:pPr>
        <w:spacing w:after="220"/>
        <w:rPr>
          <w:rFonts w:cs="Arial"/>
          <w:bCs/>
          <w:snapToGrid w:val="0"/>
          <w:szCs w:val="22"/>
        </w:rPr>
      </w:pPr>
      <w:r w:rsidRPr="00E8642C">
        <w:rPr>
          <w:rFonts w:cs="Arial"/>
          <w:bCs/>
          <w:snapToGrid w:val="0"/>
          <w:szCs w:val="22"/>
        </w:rPr>
        <w:t>Aux termes de l</w:t>
      </w:r>
      <w:r w:rsidR="00D91476">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D91476">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D91476">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1F3AEE" w:rsidRPr="00E8642C">
        <w:rPr>
          <w:rFonts w:cs="Arial"/>
          <w:bCs/>
          <w:i/>
          <w:iCs/>
          <w:snapToGrid w:val="0"/>
          <w:szCs w:val="22"/>
        </w:rPr>
        <w:t>tu</w:t>
      </w:r>
      <w:r w:rsidR="001F3AEE">
        <w:rPr>
          <w:rFonts w:cs="Arial"/>
          <w:bCs/>
          <w:i/>
          <w:iCs/>
          <w:snapToGrid w:val="0"/>
          <w:szCs w:val="22"/>
        </w:rPr>
        <w:t xml:space="preserve">.  </w:t>
      </w:r>
      <w:r w:rsidR="001F3AEE" w:rsidRPr="00E8642C">
        <w:rPr>
          <w:rFonts w:cs="Arial"/>
          <w:bCs/>
          <w:snapToGrid w:val="0"/>
          <w:szCs w:val="22"/>
        </w:rPr>
        <w:t>Ai</w:t>
      </w:r>
      <w:r w:rsidRPr="00E8642C">
        <w:rPr>
          <w:rFonts w:cs="Arial"/>
          <w:bCs/>
          <w:snapToGrid w:val="0"/>
          <w:szCs w:val="22"/>
        </w:rPr>
        <w:t>nsi, le pays d</w:t>
      </w:r>
      <w:r w:rsidR="00D91476">
        <w:rPr>
          <w:rFonts w:cs="Arial"/>
          <w:bCs/>
          <w:snapToGrid w:val="0"/>
          <w:szCs w:val="22"/>
        </w:rPr>
        <w:t>’</w:t>
      </w:r>
      <w:r w:rsidRPr="00E8642C">
        <w:rPr>
          <w:rFonts w:cs="Arial"/>
          <w:bCs/>
          <w:snapToGrid w:val="0"/>
          <w:szCs w:val="22"/>
        </w:rPr>
        <w:t>origine est défini à l</w:t>
      </w:r>
      <w:r w:rsidR="00D91476">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AD541F" w:rsidRDefault="00DD607D" w:rsidP="00E104D3">
      <w:pPr>
        <w:pStyle w:val="Heading2"/>
        <w:spacing w:after="220" w:line="240" w:lineRule="auto"/>
      </w:pPr>
      <w:bookmarkStart w:id="95" w:name="_Toc7772566"/>
      <w:r w:rsidRPr="00E8642C">
        <w:t>Pays fournisseur de ressources génétiques</w:t>
      </w:r>
      <w:bookmarkEnd w:id="95"/>
    </w:p>
    <w:p w:rsidR="00AD541F" w:rsidRDefault="00DD607D" w:rsidP="00E104D3">
      <w:pPr>
        <w:spacing w:after="220"/>
        <w:rPr>
          <w:rFonts w:cs="Arial"/>
          <w:bCs/>
          <w:szCs w:val="22"/>
        </w:rPr>
      </w:pPr>
      <w:r w:rsidRPr="00E8642C">
        <w:rPr>
          <w:rFonts w:cs="Arial"/>
          <w:bCs/>
          <w:szCs w:val="22"/>
        </w:rPr>
        <w:t>Aux termes de l</w:t>
      </w:r>
      <w:r w:rsidR="00D91476">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D91476">
        <w:rPr>
          <w:rFonts w:cs="Arial"/>
          <w:bCs/>
          <w:iCs/>
          <w:szCs w:val="22"/>
        </w:rPr>
        <w:t>y compris</w:t>
      </w:r>
      <w:r w:rsidRPr="00E8642C">
        <w:rPr>
          <w:rFonts w:cs="Arial"/>
          <w:bCs/>
          <w:iCs/>
          <w:szCs w:val="22"/>
        </w:rPr>
        <w:t xml:space="preserve"> les populations d</w:t>
      </w:r>
      <w:r w:rsidR="00D91476">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D91476">
        <w:rPr>
          <w:rFonts w:cs="Arial"/>
          <w:bCs/>
          <w:iCs/>
          <w:szCs w:val="22"/>
        </w:rPr>
        <w:t>’</w:t>
      </w:r>
      <w:r w:rsidRPr="00E8642C">
        <w:rPr>
          <w:rFonts w:cs="Arial"/>
          <w:bCs/>
          <w:iCs/>
          <w:szCs w:val="22"/>
        </w:rPr>
        <w:t>elles soient ou non originaires de ce pays</w:t>
      </w:r>
      <w:r w:rsidRPr="00E8642C">
        <w:rPr>
          <w:rFonts w:cs="Arial"/>
          <w:bCs/>
          <w:szCs w:val="22"/>
        </w:rPr>
        <w:t>”.</w:t>
      </w:r>
    </w:p>
    <w:p w:rsidR="00AD541F" w:rsidRDefault="00DD607D" w:rsidP="00E104D3">
      <w:pPr>
        <w:pStyle w:val="Heading2"/>
        <w:spacing w:after="220" w:line="240" w:lineRule="auto"/>
      </w:pPr>
      <w:bookmarkStart w:id="96" w:name="_Toc7772567"/>
      <w:r w:rsidRPr="00E8642C">
        <w:t>Peuples autochtones</w:t>
      </w:r>
      <w:bookmarkEnd w:id="96"/>
    </w:p>
    <w:p w:rsidR="00AD541F" w:rsidRDefault="00DD607D" w:rsidP="00E104D3">
      <w:pPr>
        <w:keepNext/>
        <w:spacing w:after="220"/>
        <w:rPr>
          <w:rFonts w:cs="Arial"/>
          <w:szCs w:val="22"/>
        </w:rPr>
      </w:pPr>
      <w:r w:rsidRPr="00E8642C">
        <w:rPr>
          <w:rFonts w:cs="Arial"/>
          <w:szCs w:val="22"/>
        </w:rPr>
        <w:t>L</w:t>
      </w:r>
      <w:r w:rsidR="00D91476">
        <w:rPr>
          <w:rFonts w:cs="Arial"/>
          <w:szCs w:val="22"/>
        </w:rPr>
        <w:t>’</w:t>
      </w:r>
      <w:r w:rsidRPr="00E8642C">
        <w:rPr>
          <w:rFonts w:cs="Arial"/>
          <w:szCs w:val="22"/>
        </w:rPr>
        <w:t>expression “peuples autochtones” a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 nombre considérable de discussions et d</w:t>
      </w:r>
      <w:r w:rsidR="00D91476">
        <w:rPr>
          <w:rFonts w:cs="Arial"/>
          <w:szCs w:val="22"/>
        </w:rPr>
        <w:t>’</w:t>
      </w:r>
      <w:r w:rsidRPr="00E8642C">
        <w:rPr>
          <w:rFonts w:cs="Arial"/>
          <w:szCs w:val="22"/>
        </w:rPr>
        <w:t>études, mais il n</w:t>
      </w:r>
      <w:r w:rsidR="00D91476">
        <w:rPr>
          <w:rFonts w:cs="Arial"/>
          <w:szCs w:val="22"/>
        </w:rPr>
        <w:t>’</w:t>
      </w:r>
      <w:r w:rsidRPr="00E8642C">
        <w:rPr>
          <w:rFonts w:cs="Arial"/>
          <w:szCs w:val="22"/>
        </w:rPr>
        <w:t>existe aucune définition universelle standard pour cette expression.</w:t>
      </w:r>
    </w:p>
    <w:p w:rsidR="00AD541F" w:rsidRDefault="00DD607D" w:rsidP="00E104D3">
      <w:pPr>
        <w:spacing w:after="220"/>
        <w:rPr>
          <w:rFonts w:cs="Arial"/>
          <w:szCs w:val="22"/>
        </w:rPr>
      </w:pPr>
      <w:r w:rsidRPr="00E8642C">
        <w:rPr>
          <w:rFonts w:cs="Arial"/>
          <w:szCs w:val="22"/>
        </w:rPr>
        <w:t xml:space="preserve">La </w:t>
      </w:r>
      <w:r w:rsidRPr="00E8642C">
        <w:rPr>
          <w:rFonts w:cs="Arial"/>
          <w:i/>
          <w:szCs w:val="22"/>
        </w:rPr>
        <w:t xml:space="preserve">Déclaration 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D91476">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pendant, la déclaration ne fournit aucune définition pour l</w:t>
      </w:r>
      <w:r w:rsidR="00D91476">
        <w:rPr>
          <w:rFonts w:cs="Arial"/>
          <w:szCs w:val="22"/>
        </w:rPr>
        <w:t>’</w:t>
      </w:r>
      <w:r w:rsidRPr="00E8642C">
        <w:rPr>
          <w:rFonts w:cs="Arial"/>
          <w:szCs w:val="22"/>
        </w:rPr>
        <w:t>expression “peuples autochtones”.</w:t>
      </w:r>
    </w:p>
    <w:p w:rsidR="00AD541F" w:rsidRDefault="00DD607D" w:rsidP="00E104D3">
      <w:pPr>
        <w:spacing w:after="220"/>
        <w:rPr>
          <w:rFonts w:cs="Arial"/>
          <w:szCs w:val="22"/>
        </w:rPr>
      </w:pPr>
      <w:r w:rsidRPr="00E8642C">
        <w:rPr>
          <w:rFonts w:cs="Arial"/>
          <w:szCs w:val="22"/>
        </w:rPr>
        <w:t>Le sens donné à l</w:t>
      </w:r>
      <w:r w:rsidR="00D91476">
        <w:rPr>
          <w:rFonts w:cs="Arial"/>
          <w:szCs w:val="22"/>
        </w:rPr>
        <w:t>’</w:t>
      </w:r>
      <w:r w:rsidRPr="00E8642C">
        <w:rPr>
          <w:rFonts w:cs="Arial"/>
          <w:szCs w:val="22"/>
        </w:rPr>
        <w:t>adjectif “autochtone” dans l</w:t>
      </w:r>
      <w:r w:rsidR="00D91476">
        <w:rPr>
          <w:rFonts w:cs="Arial"/>
          <w:szCs w:val="22"/>
        </w:rPr>
        <w:t>’</w:t>
      </w:r>
      <w:r w:rsidRPr="00E8642C">
        <w:rPr>
          <w:rFonts w:cs="Arial"/>
          <w:szCs w:val="22"/>
        </w:rPr>
        <w:t>étude du problème de la discrimination à l</w:t>
      </w:r>
      <w:r w:rsidR="00D91476">
        <w:rPr>
          <w:rFonts w:cs="Arial"/>
          <w:szCs w:val="22"/>
        </w:rPr>
        <w:t>’</w:t>
      </w:r>
      <w:r w:rsidRPr="00E8642C">
        <w:rPr>
          <w:rFonts w:cs="Arial"/>
          <w:szCs w:val="22"/>
        </w:rPr>
        <w:t>encontre des populations autochtones, réalisée par le rapporteur spécial de la Sous</w:t>
      </w:r>
      <w:r w:rsidR="00400337">
        <w:rPr>
          <w:rFonts w:cs="Arial"/>
          <w:szCs w:val="22"/>
        </w:rPr>
        <w:noBreakHyphen/>
      </w:r>
      <w:r w:rsidRPr="00E8642C">
        <w:rPr>
          <w:rFonts w:cs="Arial"/>
          <w:szCs w:val="22"/>
        </w:rPr>
        <w:t xml:space="preserve">commission de la lutte contre les mesures discriminatoires et de la protection des minorités des </w:t>
      </w:r>
      <w:r w:rsidR="00D91476">
        <w:rPr>
          <w:rFonts w:cs="Arial"/>
          <w:szCs w:val="22"/>
        </w:rPr>
        <w:t>Nations Unies</w:t>
      </w:r>
      <w:r w:rsidRPr="00E8642C">
        <w:rPr>
          <w:rFonts w:cs="Arial"/>
          <w:szCs w:val="22"/>
        </w:rPr>
        <w:t>,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1F3AEE" w:rsidRPr="00E8642C">
        <w:rPr>
          <w:rFonts w:cs="Arial"/>
          <w:szCs w:val="22"/>
        </w:rPr>
        <w:t>nt</w:t>
      </w:r>
      <w:r w:rsidR="001F3AEE">
        <w:rPr>
          <w:rFonts w:cs="Arial"/>
          <w:szCs w:val="22"/>
        </w:rPr>
        <w:t xml:space="preserve">.  </w:t>
      </w:r>
      <w:r w:rsidR="001F3AEE" w:rsidRPr="00E8642C">
        <w:rPr>
          <w:rFonts w:cs="Arial"/>
          <w:szCs w:val="22"/>
        </w:rPr>
        <w:t>Da</w:t>
      </w:r>
      <w:r w:rsidRPr="00E8642C">
        <w:rPr>
          <w:rFonts w:cs="Arial"/>
          <w:szCs w:val="22"/>
        </w:rPr>
        <w:t>ns l</w:t>
      </w:r>
      <w:r w:rsidR="00D91476">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D91476">
        <w:rPr>
          <w:rFonts w:cs="Arial"/>
          <w:iCs/>
          <w:szCs w:val="22"/>
        </w:rPr>
        <w:t>’</w:t>
      </w:r>
      <w:r w:rsidRPr="00E8642C">
        <w:rPr>
          <w:rFonts w:cs="Arial"/>
          <w:iCs/>
          <w:szCs w:val="22"/>
        </w:rPr>
        <w:t xml:space="preserve">inscrivant dans la continuité historique des sociétés </w:t>
      </w:r>
      <w:r w:rsidR="00D91476">
        <w:rPr>
          <w:rFonts w:cs="Arial"/>
          <w:iCs/>
          <w:szCs w:val="22"/>
        </w:rPr>
        <w:t>‘</w:t>
      </w:r>
      <w:proofErr w:type="spellStart"/>
      <w:r w:rsidRPr="00E8642C">
        <w:rPr>
          <w:rFonts w:cs="Arial"/>
          <w:iCs/>
          <w:szCs w:val="22"/>
        </w:rPr>
        <w:t>préinvasion</w:t>
      </w:r>
      <w:proofErr w:type="spellEnd"/>
      <w:r w:rsidR="00D91476">
        <w:rPr>
          <w:rFonts w:cs="Arial"/>
          <w:iCs/>
          <w:szCs w:val="22"/>
        </w:rPr>
        <w:t>’</w:t>
      </w:r>
      <w:r w:rsidRPr="00E8642C">
        <w:rPr>
          <w:rFonts w:cs="Arial"/>
          <w:iCs/>
          <w:szCs w:val="22"/>
        </w:rPr>
        <w:t xml:space="preserve"> et précoloniales apparues sur leur territoire, s</w:t>
      </w:r>
      <w:r w:rsidR="00D91476">
        <w:rPr>
          <w:rFonts w:cs="Arial"/>
          <w:iCs/>
          <w:szCs w:val="22"/>
        </w:rPr>
        <w:t>’</w:t>
      </w:r>
      <w:r w:rsidRPr="00E8642C">
        <w:rPr>
          <w:rFonts w:cs="Arial"/>
          <w:iCs/>
          <w:szCs w:val="22"/>
        </w:rPr>
        <w:t>estiment différentes d</w:t>
      </w:r>
      <w:r w:rsidR="00D91476">
        <w:rPr>
          <w:rFonts w:cs="Arial"/>
          <w:iCs/>
          <w:szCs w:val="22"/>
        </w:rPr>
        <w:t>’</w:t>
      </w:r>
      <w:r w:rsidRPr="00E8642C">
        <w:rPr>
          <w:rFonts w:cs="Arial"/>
          <w:iCs/>
          <w:szCs w:val="22"/>
        </w:rPr>
        <w:t>autres secteurs des sociétés qui prédominent aujourd</w:t>
      </w:r>
      <w:r w:rsidR="00D91476">
        <w:rPr>
          <w:rFonts w:cs="Arial"/>
          <w:iCs/>
          <w:szCs w:val="22"/>
        </w:rPr>
        <w:t>’</w:t>
      </w:r>
      <w:r w:rsidRPr="00E8642C">
        <w:rPr>
          <w:rFonts w:cs="Arial"/>
          <w:iCs/>
          <w:szCs w:val="22"/>
        </w:rPr>
        <w:t>hui dans ces pays, ou certaines parties de ces dernie</w:t>
      </w:r>
      <w:r w:rsidR="001F3AEE" w:rsidRPr="00E8642C">
        <w:rPr>
          <w:rFonts w:cs="Arial"/>
          <w:iCs/>
          <w:szCs w:val="22"/>
        </w:rPr>
        <w:t>rs</w:t>
      </w:r>
      <w:r w:rsidR="001F3AEE">
        <w:rPr>
          <w:rFonts w:cs="Arial"/>
          <w:iCs/>
          <w:szCs w:val="22"/>
        </w:rPr>
        <w:t xml:space="preserve">.  </w:t>
      </w:r>
      <w:r w:rsidR="001F3AEE" w:rsidRPr="00E8642C">
        <w:rPr>
          <w:rFonts w:cs="Arial"/>
          <w:iCs/>
          <w:szCs w:val="22"/>
        </w:rPr>
        <w:t>El</w:t>
      </w:r>
      <w:r w:rsidRPr="00E8642C">
        <w:rPr>
          <w:rFonts w:cs="Arial"/>
          <w:iCs/>
          <w:szCs w:val="22"/>
        </w:rPr>
        <w:t>les représentent aujourd</w:t>
      </w:r>
      <w:r w:rsidR="00D91476">
        <w:rPr>
          <w:rFonts w:cs="Arial"/>
          <w:iCs/>
          <w:szCs w:val="22"/>
        </w:rPr>
        <w:t>’</w:t>
      </w:r>
      <w:r w:rsidRPr="00E8642C">
        <w:rPr>
          <w:rFonts w:cs="Arial"/>
          <w:iCs/>
          <w:szCs w:val="22"/>
        </w:rPr>
        <w:t xml:space="preserve">hui des secteurs non dominants de la société et sont résolues à préserver, développer et transmettre aux générations futures leurs territoires ancestraux et leur identité </w:t>
      </w:r>
      <w:r w:rsidRPr="00E8642C">
        <w:rPr>
          <w:rFonts w:cs="Arial"/>
          <w:iCs/>
          <w:szCs w:val="22"/>
        </w:rPr>
        <w:lastRenderedPageBreak/>
        <w:t>ethnique, fondements de leur pérennité en tant que peuples, conformément au schéma culturel, aux institutions sociales et aux systèmes juridiques qui leur sont propres</w:t>
      </w:r>
      <w:r w:rsidRPr="00E8642C">
        <w:rPr>
          <w:rFonts w:cs="Arial"/>
          <w:szCs w:val="22"/>
        </w:rPr>
        <w:t>”.</w:t>
      </w:r>
    </w:p>
    <w:p w:rsidR="00AD541F" w:rsidRDefault="00DD607D" w:rsidP="00E104D3">
      <w:pPr>
        <w:spacing w:after="220"/>
        <w:rPr>
          <w:rFonts w:cs="Arial"/>
          <w:iCs/>
          <w:szCs w:val="22"/>
        </w:rPr>
      </w:pPr>
      <w:r w:rsidRPr="00E8642C">
        <w:rPr>
          <w:rFonts w:cs="Arial"/>
          <w:iCs/>
          <w:szCs w:val="22"/>
        </w:rPr>
        <w:t>L</w:t>
      </w:r>
      <w:r w:rsidR="00D91476">
        <w:rPr>
          <w:rFonts w:cs="Arial"/>
          <w:iCs/>
          <w:szCs w:val="22"/>
        </w:rPr>
        <w:t>’</w:t>
      </w:r>
      <w:r w:rsidRPr="00E8642C">
        <w:rPr>
          <w:rFonts w:cs="Arial"/>
          <w:iCs/>
          <w:szCs w:val="22"/>
        </w:rPr>
        <w:t>article premier de la Convention concernant les peuples indigènes et tribaux dans les pays indépendants de l</w:t>
      </w:r>
      <w:r w:rsidR="00D91476">
        <w:rPr>
          <w:rFonts w:cs="Arial"/>
          <w:iCs/>
          <w:szCs w:val="22"/>
        </w:rPr>
        <w:t>’</w:t>
      </w:r>
      <w:r w:rsidRPr="00E8642C">
        <w:rPr>
          <w:rFonts w:cs="Arial"/>
          <w:iCs/>
          <w:szCs w:val="22"/>
        </w:rPr>
        <w:t>Organisation internationale du Travail (OIT) stipule que la Convention s</w:t>
      </w:r>
      <w:r w:rsidR="00D91476">
        <w:rPr>
          <w:rFonts w:cs="Arial"/>
          <w:iCs/>
          <w:szCs w:val="22"/>
        </w:rPr>
        <w:t>’</w:t>
      </w:r>
      <w:r w:rsidRPr="00E8642C">
        <w:rPr>
          <w:rFonts w:cs="Arial"/>
          <w:iCs/>
          <w:szCs w:val="22"/>
        </w:rPr>
        <w:t>applique</w:t>
      </w:r>
      <w:r w:rsidR="00D91476">
        <w:rPr>
          <w:rFonts w:cs="Arial"/>
          <w:iCs/>
          <w:szCs w:val="22"/>
        </w:rPr>
        <w:t> :</w:t>
      </w:r>
    </w:p>
    <w:p w:rsidR="00AD541F" w:rsidRDefault="00DD607D" w:rsidP="00E104D3">
      <w:pPr>
        <w:pStyle w:val="FootnoteText"/>
        <w:spacing w:after="220"/>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D541F" w:rsidRDefault="00DD607D" w:rsidP="00E104D3">
      <w:pPr>
        <w:pStyle w:val="FootnoteText"/>
        <w:spacing w:after="220"/>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D91476">
        <w:rPr>
          <w:rFonts w:cs="Arial"/>
          <w:szCs w:val="22"/>
        </w:rPr>
        <w:t>’</w:t>
      </w:r>
      <w:r w:rsidRPr="00E8642C">
        <w:rPr>
          <w:rFonts w:cs="Arial"/>
          <w:szCs w:val="22"/>
        </w:rPr>
        <w:t>ils descendent des populations qui habitaient le pays, ou une région géographique à laquelle appartient le pays, à l</w:t>
      </w:r>
      <w:r w:rsidR="00D91476">
        <w:rPr>
          <w:rFonts w:cs="Arial"/>
          <w:szCs w:val="22"/>
        </w:rPr>
        <w:t>’</w:t>
      </w:r>
      <w:r w:rsidRPr="00E8642C">
        <w:rPr>
          <w:rFonts w:cs="Arial"/>
          <w:szCs w:val="22"/>
        </w:rPr>
        <w:t>époque de la conquête ou de la colonisation ou de l</w:t>
      </w:r>
      <w:r w:rsidR="00D91476">
        <w:rPr>
          <w:rFonts w:cs="Arial"/>
          <w:szCs w:val="22"/>
        </w:rPr>
        <w:t>’</w:t>
      </w:r>
      <w:r w:rsidRPr="00E8642C">
        <w:rPr>
          <w:rFonts w:cs="Arial"/>
          <w:szCs w:val="22"/>
        </w:rPr>
        <w:t>établissement des frontières actuelles de l</w:t>
      </w:r>
      <w:r w:rsidR="00D91476">
        <w:rPr>
          <w:rFonts w:cs="Arial"/>
          <w:szCs w:val="22"/>
        </w:rPr>
        <w:t>’</w:t>
      </w:r>
      <w:r w:rsidRPr="00E8642C">
        <w:rPr>
          <w:rFonts w:cs="Arial"/>
          <w:szCs w:val="22"/>
        </w:rPr>
        <w:t>État, et qui, quel que soit leur statut juridique, conservent leurs institutions sociales, économiques, culturelles et politiques propres ou certaines d</w:t>
      </w:r>
      <w:r w:rsidR="00D91476">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AD541F" w:rsidRDefault="00DD607D" w:rsidP="00E104D3">
      <w:pPr>
        <w:spacing w:after="220"/>
        <w:rPr>
          <w:rFonts w:cs="Arial"/>
          <w:szCs w:val="22"/>
        </w:rPr>
      </w:pPr>
      <w:r w:rsidRPr="00E8642C">
        <w:rPr>
          <w:rFonts w:cs="Arial"/>
          <w:szCs w:val="22"/>
        </w:rPr>
        <w:t xml:space="preserve">Le Programme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environnement (PNUE) donne dans sa liste d</w:t>
      </w:r>
      <w:r w:rsidR="00D91476">
        <w:rPr>
          <w:rFonts w:cs="Arial"/>
          <w:szCs w:val="22"/>
        </w:rPr>
        <w:t>’</w:t>
      </w:r>
      <w:r w:rsidRPr="00E8642C">
        <w:rPr>
          <w:rFonts w:cs="Arial"/>
          <w:szCs w:val="22"/>
        </w:rPr>
        <w:t>acronymes et son glossaire la définition ci</w:t>
      </w:r>
      <w:r w:rsidR="00400337">
        <w:rPr>
          <w:rFonts w:cs="Arial"/>
          <w:szCs w:val="22"/>
        </w:rPr>
        <w:noBreakHyphen/>
      </w:r>
      <w:r w:rsidRPr="00E8642C">
        <w:rPr>
          <w:rFonts w:cs="Arial"/>
          <w:szCs w:val="22"/>
        </w:rPr>
        <w:t>après pour l</w:t>
      </w:r>
      <w:r w:rsidR="00D91476">
        <w:rPr>
          <w:rFonts w:cs="Arial"/>
          <w:szCs w:val="22"/>
        </w:rPr>
        <w:t>’</w:t>
      </w:r>
      <w:r w:rsidRPr="00E8642C">
        <w:rPr>
          <w:rFonts w:cs="Arial"/>
          <w:szCs w:val="22"/>
        </w:rPr>
        <w:t>expression “peuples autochtones</w:t>
      </w:r>
      <w:r w:rsidR="00D91476">
        <w:rPr>
          <w:rFonts w:cs="Arial"/>
          <w:szCs w:val="22"/>
        </w:rPr>
        <w:t> :</w:t>
      </w:r>
      <w:r w:rsidRPr="00E8642C">
        <w:rPr>
          <w:rFonts w:cs="Arial"/>
          <w:szCs w:val="22"/>
        </w:rPr>
        <w:t xml:space="preserve"> “Aucune définition universelle standa</w:t>
      </w:r>
      <w:r w:rsidR="001F3AEE" w:rsidRPr="00E8642C">
        <w:rPr>
          <w:rFonts w:cs="Arial"/>
          <w:szCs w:val="22"/>
        </w:rPr>
        <w:t>rd</w:t>
      </w:r>
      <w:r w:rsidR="001F3AEE">
        <w:rPr>
          <w:rFonts w:cs="Arial"/>
          <w:szCs w:val="22"/>
        </w:rPr>
        <w:t xml:space="preserve">.  </w:t>
      </w:r>
      <w:r w:rsidR="001F3AEE" w:rsidRPr="00E8642C">
        <w:rPr>
          <w:rFonts w:cs="Arial"/>
          <w:szCs w:val="22"/>
        </w:rPr>
        <w:t>S</w:t>
      </w:r>
      <w:r w:rsidR="001F3AEE">
        <w:rPr>
          <w:rFonts w:cs="Arial"/>
          <w:szCs w:val="22"/>
        </w:rPr>
        <w:t>’</w:t>
      </w:r>
      <w:r w:rsidR="001F3AEE" w:rsidRPr="00E8642C">
        <w:rPr>
          <w:rFonts w:cs="Arial"/>
          <w:szCs w:val="22"/>
        </w:rPr>
        <w:t>e</w:t>
      </w:r>
      <w:r w:rsidRPr="00E8642C">
        <w:rPr>
          <w:rFonts w:cs="Arial"/>
          <w:szCs w:val="22"/>
        </w:rPr>
        <w:t>ntend généralement des groupes culturels et de leurs descendances qui témoignant d</w:t>
      </w:r>
      <w:r w:rsidR="00D91476">
        <w:rPr>
          <w:rFonts w:cs="Arial"/>
          <w:szCs w:val="22"/>
        </w:rPr>
        <w:t>’</w:t>
      </w:r>
      <w:r w:rsidRPr="00E8642C">
        <w:rPr>
          <w:rFonts w:cs="Arial"/>
          <w:szCs w:val="22"/>
        </w:rPr>
        <w:t>une continuité ou d</w:t>
      </w:r>
      <w:r w:rsidR="00D91476">
        <w:rPr>
          <w:rFonts w:cs="Arial"/>
          <w:szCs w:val="22"/>
        </w:rPr>
        <w:t>’</w:t>
      </w:r>
      <w:r w:rsidRPr="00E8642C">
        <w:rPr>
          <w:rFonts w:cs="Arial"/>
          <w:szCs w:val="22"/>
        </w:rPr>
        <w:t>un lien historique avec une région donnée ou avec des parties d</w:t>
      </w:r>
      <w:r w:rsidR="00D91476">
        <w:rPr>
          <w:rFonts w:cs="Arial"/>
          <w:szCs w:val="22"/>
        </w:rPr>
        <w:t>’</w:t>
      </w:r>
      <w:r w:rsidRPr="00E8642C">
        <w:rPr>
          <w:rFonts w:cs="Arial"/>
          <w:szCs w:val="22"/>
        </w:rPr>
        <w:t>une région et qui habitent actuellement ou qui ont habité auparavant dans cette région soit avant qu</w:t>
      </w:r>
      <w:r w:rsidR="00D91476">
        <w:rPr>
          <w:rFonts w:cs="Arial"/>
          <w:szCs w:val="22"/>
        </w:rPr>
        <w:t>’</w:t>
      </w:r>
      <w:r w:rsidRPr="00E8642C">
        <w:rPr>
          <w:rFonts w:cs="Arial"/>
          <w:szCs w:val="22"/>
        </w:rPr>
        <w:t>elle ne soit colonisée ou annexée, soit aux côtés d</w:t>
      </w:r>
      <w:r w:rsidR="00D91476">
        <w:rPr>
          <w:rFonts w:cs="Arial"/>
          <w:szCs w:val="22"/>
        </w:rPr>
        <w:t>’</w:t>
      </w:r>
      <w:r w:rsidRPr="00E8642C">
        <w:rPr>
          <w:rFonts w:cs="Arial"/>
          <w:szCs w:val="22"/>
        </w:rPr>
        <w:t>autres groupes culturels durant la formation d</w:t>
      </w:r>
      <w:r w:rsidR="00D91476">
        <w:rPr>
          <w:rFonts w:cs="Arial"/>
          <w:szCs w:val="22"/>
        </w:rPr>
        <w:t>’</w:t>
      </w:r>
      <w:r w:rsidRPr="00E8642C">
        <w:rPr>
          <w:rFonts w:cs="Arial"/>
          <w:szCs w:val="22"/>
        </w:rPr>
        <w:t>une nation</w:t>
      </w:r>
      <w:r w:rsidR="00400337">
        <w:rPr>
          <w:rFonts w:cs="Arial"/>
          <w:szCs w:val="22"/>
        </w:rPr>
        <w:noBreakHyphen/>
      </w:r>
      <w:r w:rsidRPr="00E8642C">
        <w:rPr>
          <w:rFonts w:cs="Arial"/>
          <w:szCs w:val="22"/>
        </w:rPr>
        <w:t>État, ou indépendamment ou de manière très isolée de l</w:t>
      </w:r>
      <w:r w:rsidR="00D91476">
        <w:rPr>
          <w:rFonts w:cs="Arial"/>
          <w:szCs w:val="22"/>
        </w:rPr>
        <w:t>’</w:t>
      </w:r>
      <w:r w:rsidRPr="00E8642C">
        <w:rPr>
          <w:rFonts w:cs="Arial"/>
          <w:szCs w:val="22"/>
        </w:rPr>
        <w:t>influence de l</w:t>
      </w:r>
      <w:r w:rsidR="00D91476">
        <w:rPr>
          <w:rFonts w:cs="Arial"/>
          <w:szCs w:val="22"/>
        </w:rPr>
        <w:t>’</w:t>
      </w:r>
      <w:r w:rsidRPr="00E8642C">
        <w:rPr>
          <w:rFonts w:cs="Arial"/>
          <w:szCs w:val="22"/>
        </w:rPr>
        <w:t>instance dirigeante officielle d</w:t>
      </w:r>
      <w:r w:rsidR="00D91476">
        <w:rPr>
          <w:rFonts w:cs="Arial"/>
          <w:szCs w:val="22"/>
        </w:rPr>
        <w:t>’</w:t>
      </w:r>
      <w:r w:rsidRPr="00E8642C">
        <w:rPr>
          <w:rFonts w:cs="Arial"/>
          <w:szCs w:val="22"/>
        </w:rPr>
        <w:t>une nation</w:t>
      </w:r>
      <w:r w:rsidR="00400337">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400337">
        <w:rPr>
          <w:rFonts w:cs="Arial"/>
          <w:szCs w:val="22"/>
        </w:rPr>
        <w:noBreakHyphen/>
      </w:r>
      <w:r w:rsidRPr="00E8642C">
        <w:rPr>
          <w:rFonts w:cs="Arial"/>
          <w:szCs w:val="22"/>
        </w:rPr>
        <w:t>Ét</w:t>
      </w:r>
      <w:r w:rsidR="001F3AEE" w:rsidRPr="00E8642C">
        <w:rPr>
          <w:rFonts w:cs="Arial"/>
          <w:szCs w:val="22"/>
        </w:rPr>
        <w:t>at</w:t>
      </w:r>
      <w:r w:rsidR="001F3AEE">
        <w:rPr>
          <w:rFonts w:cs="Arial"/>
          <w:szCs w:val="22"/>
        </w:rPr>
        <w:t xml:space="preserve">.  </w:t>
      </w:r>
      <w:r w:rsidR="001F3AEE" w:rsidRPr="00E8642C">
        <w:rPr>
          <w:rFonts w:cs="Arial"/>
          <w:szCs w:val="22"/>
        </w:rPr>
        <w:t>S</w:t>
      </w:r>
      <w:r w:rsidR="001F3AEE">
        <w:rPr>
          <w:rFonts w:cs="Arial"/>
          <w:szCs w:val="22"/>
        </w:rPr>
        <w:t>’</w:t>
      </w:r>
      <w:r w:rsidR="001F3AEE" w:rsidRPr="00E8642C">
        <w:rPr>
          <w:rFonts w:cs="Arial"/>
          <w:szCs w:val="22"/>
        </w:rPr>
        <w:t>e</w:t>
      </w:r>
      <w:r w:rsidRPr="00E8642C">
        <w:rPr>
          <w:rFonts w:cs="Arial"/>
          <w:szCs w:val="22"/>
        </w:rPr>
        <w:t>ntend également des peuples qui se définissent en tant que tels, et de ceux reconnus comme tels par d</w:t>
      </w:r>
      <w:r w:rsidR="00D91476">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AD541F" w:rsidRDefault="00DD607D" w:rsidP="00E104D3">
      <w:pPr>
        <w:spacing w:after="220"/>
        <w:rPr>
          <w:rFonts w:cs="Arial"/>
          <w:szCs w:val="22"/>
        </w:rPr>
      </w:pPr>
      <w:r w:rsidRPr="00E8642C">
        <w:rPr>
          <w:rFonts w:cs="Arial"/>
          <w:szCs w:val="22"/>
        </w:rPr>
        <w:t>La Banque mondiale utilise l</w:t>
      </w:r>
      <w:r w:rsidR="00D91476">
        <w:rPr>
          <w:rFonts w:cs="Arial"/>
          <w:szCs w:val="22"/>
        </w:rPr>
        <w:t>’</w:t>
      </w:r>
      <w:r w:rsidRPr="00E8642C">
        <w:rPr>
          <w:rFonts w:cs="Arial"/>
          <w:szCs w:val="22"/>
        </w:rPr>
        <w:t>expression “peuples autochtones” au sens générique pour désigner des groupes distincts ayant les caractéristiques ci</w:t>
      </w:r>
      <w:r w:rsidR="00400337">
        <w:rPr>
          <w:rFonts w:cs="Arial"/>
          <w:szCs w:val="22"/>
        </w:rPr>
        <w:noBreakHyphen/>
      </w:r>
      <w:r w:rsidRPr="00E8642C">
        <w:rPr>
          <w:rFonts w:cs="Arial"/>
          <w:szCs w:val="22"/>
        </w:rPr>
        <w:t>après à divers degrés</w:t>
      </w:r>
      <w:r w:rsidR="00D91476">
        <w:rPr>
          <w:rFonts w:cs="Arial"/>
          <w:szCs w:val="22"/>
        </w:rPr>
        <w:t> :</w:t>
      </w:r>
    </w:p>
    <w:p w:rsidR="00AD541F" w:rsidRDefault="00DD607D" w:rsidP="00E104D3">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auto</w:t>
      </w:r>
      <w:proofErr w:type="gramEnd"/>
      <w:r w:rsidR="00400337">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D91476">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AD541F" w:rsidRDefault="00DD607D" w:rsidP="00E104D3">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attachement</w:t>
      </w:r>
      <w:proofErr w:type="gramEnd"/>
      <w:r w:rsidRPr="00E8642C">
        <w:rPr>
          <w:rFonts w:ascii="Arial" w:hAnsi="Arial" w:cs="Arial"/>
          <w:color w:val="auto"/>
          <w:sz w:val="22"/>
          <w:szCs w:val="22"/>
          <w:lang w:val="fr-FR"/>
        </w:rPr>
        <w:t xml:space="preserve"> collectif à des habitats géographiquement distincts ou à des territoires ancestraux dans la zone du projet et à des ressources naturelles dans ces habitats et sur ces territoires;</w:t>
      </w:r>
    </w:p>
    <w:p w:rsidR="00AD541F" w:rsidRDefault="00DD607D" w:rsidP="00E104D3">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sz w:val="22"/>
          <w:szCs w:val="22"/>
          <w:lang w:val="fr-FR"/>
        </w:rPr>
        <w:t>institutions</w:t>
      </w:r>
      <w:proofErr w:type="gramEnd"/>
      <w:r w:rsidRPr="00E8642C">
        <w:rPr>
          <w:rFonts w:ascii="Arial" w:hAnsi="Arial" w:cs="Arial"/>
          <w:sz w:val="22"/>
          <w:szCs w:val="22"/>
          <w:lang w:val="fr-FR"/>
        </w:rPr>
        <w:t xml:space="preserve"> culturelles, économiques, sociales ou politiques coutumières distinctes de celles de la société et de la culture dominantes;  et</w:t>
      </w:r>
    </w:p>
    <w:p w:rsidR="00AD541F" w:rsidRDefault="00DD607D" w:rsidP="00E104D3">
      <w:pPr>
        <w:pStyle w:val="Default"/>
        <w:numPr>
          <w:ilvl w:val="0"/>
          <w:numId w:val="21"/>
        </w:numPr>
        <w:tabs>
          <w:tab w:val="clear" w:pos="720"/>
        </w:tabs>
        <w:spacing w:after="220"/>
        <w:ind w:left="567" w:firstLine="0"/>
        <w:rPr>
          <w:rFonts w:ascii="Arial" w:hAnsi="Arial" w:cs="Arial"/>
          <w:color w:val="auto"/>
          <w:sz w:val="22"/>
          <w:szCs w:val="22"/>
          <w:lang w:val="fr-FR"/>
        </w:rPr>
      </w:pPr>
      <w:r w:rsidRPr="00E8642C">
        <w:rPr>
          <w:rFonts w:ascii="Arial" w:hAnsi="Arial" w:cs="Arial"/>
          <w:color w:val="auto"/>
          <w:sz w:val="22"/>
          <w:szCs w:val="22"/>
          <w:lang w:val="fr-FR"/>
        </w:rPr>
        <w:lastRenderedPageBreak/>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104D3">
      <w:pPr>
        <w:autoSpaceDE w:val="0"/>
        <w:autoSpaceDN w:val="0"/>
        <w:adjustRightInd w:val="0"/>
        <w:spacing w:after="220"/>
        <w:rPr>
          <w:rFonts w:cs="Arial"/>
          <w:iCs/>
          <w:szCs w:val="22"/>
        </w:rPr>
      </w:pPr>
      <w:r w:rsidRPr="00E8642C">
        <w:rPr>
          <w:rFonts w:cs="Arial"/>
          <w:iCs/>
          <w:szCs w:val="22"/>
        </w:rPr>
        <w:t>La politique d</w:t>
      </w:r>
      <w:r w:rsidR="00D91476">
        <w:rPr>
          <w:rFonts w:cs="Arial"/>
          <w:iCs/>
          <w:szCs w:val="22"/>
        </w:rPr>
        <w:t>’</w:t>
      </w:r>
      <w:r w:rsidRPr="00E8642C">
        <w:rPr>
          <w:rFonts w:cs="Arial"/>
          <w:iCs/>
          <w:szCs w:val="22"/>
        </w:rPr>
        <w:t>engagement aux côtés des peuples autochtones, élaborée par le Fonds international de développement agricole (FIDA) prévoit ce qui suit</w:t>
      </w:r>
      <w:r w:rsidR="00D91476">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400337">
        <w:rPr>
          <w:rFonts w:cs="Arial"/>
          <w:iCs/>
          <w:szCs w:val="22"/>
        </w:rPr>
        <w:noBreakHyphen/>
      </w:r>
      <w:r w:rsidRPr="00E8642C">
        <w:rPr>
          <w:rFonts w:cs="Arial"/>
          <w:iCs/>
          <w:szCs w:val="22"/>
        </w:rPr>
        <w:t>après</w:t>
      </w:r>
      <w:r w:rsidR="00D91476">
        <w:rPr>
          <w:rFonts w:cs="Arial"/>
          <w:iCs/>
          <w:szCs w:val="22"/>
        </w:rPr>
        <w:t> :</w:t>
      </w:r>
    </w:p>
    <w:p w:rsidR="00DD607D" w:rsidRPr="00E8642C" w:rsidRDefault="00DD607D" w:rsidP="00E104D3">
      <w:pPr>
        <w:tabs>
          <w:tab w:val="left" w:pos="1134"/>
        </w:tabs>
        <w:ind w:left="567"/>
        <w:rPr>
          <w:rFonts w:cs="Arial"/>
          <w:iCs/>
          <w:szCs w:val="22"/>
        </w:rPr>
      </w:pPr>
      <w:r w:rsidRPr="00E8642C">
        <w:rPr>
          <w:rFonts w:cs="Arial"/>
          <w:iCs/>
          <w:szCs w:val="22"/>
        </w:rPr>
        <w:t>–</w:t>
      </w:r>
      <w:r w:rsidRPr="00E8642C">
        <w:rPr>
          <w:rFonts w:cs="Arial"/>
          <w:iCs/>
          <w:szCs w:val="22"/>
        </w:rPr>
        <w:tab/>
        <w:t>l</w:t>
      </w:r>
      <w:r w:rsidR="00D91476">
        <w:rPr>
          <w:rFonts w:cs="Arial"/>
          <w:iCs/>
          <w:szCs w:val="22"/>
        </w:rPr>
        <w:t>’</w:t>
      </w:r>
      <w:r w:rsidRPr="00E8642C">
        <w:rPr>
          <w:rFonts w:cs="Arial"/>
          <w:iCs/>
          <w:szCs w:val="22"/>
        </w:rPr>
        <w:t>antériorité s</w:t>
      </w:r>
      <w:r w:rsidR="00D91476">
        <w:rPr>
          <w:rFonts w:cs="Arial"/>
          <w:iCs/>
          <w:szCs w:val="22"/>
        </w:rPr>
        <w:t>’</w:t>
      </w:r>
      <w:r w:rsidRPr="00E8642C">
        <w:rPr>
          <w:rFonts w:cs="Arial"/>
          <w:iCs/>
          <w:szCs w:val="22"/>
        </w:rPr>
        <w:t>agissant de l</w:t>
      </w:r>
      <w:r w:rsidR="00D91476">
        <w:rPr>
          <w:rFonts w:cs="Arial"/>
          <w:iCs/>
          <w:szCs w:val="22"/>
        </w:rPr>
        <w:t>’</w:t>
      </w:r>
      <w:r w:rsidRPr="00E8642C">
        <w:rPr>
          <w:rFonts w:cs="Arial"/>
          <w:iCs/>
          <w:szCs w:val="22"/>
        </w:rPr>
        <w:t>occupation et de l</w:t>
      </w:r>
      <w:r w:rsidR="00D91476">
        <w:rPr>
          <w:rFonts w:cs="Arial"/>
          <w:iCs/>
          <w:szCs w:val="22"/>
        </w:rPr>
        <w:t>’</w:t>
      </w:r>
      <w:r w:rsidRPr="00E8642C">
        <w:rPr>
          <w:rFonts w:cs="Arial"/>
          <w:iCs/>
          <w:szCs w:val="22"/>
        </w:rPr>
        <w:t>utilisation d</w:t>
      </w:r>
      <w:r w:rsidR="00D91476">
        <w:rPr>
          <w:rFonts w:cs="Arial"/>
          <w:iCs/>
          <w:szCs w:val="22"/>
        </w:rPr>
        <w:t>’</w:t>
      </w:r>
      <w:r w:rsidRPr="00E8642C">
        <w:rPr>
          <w:rFonts w:cs="Arial"/>
          <w:iCs/>
          <w:szCs w:val="22"/>
        </w:rPr>
        <w:t>un territoire donné;</w:t>
      </w:r>
    </w:p>
    <w:p w:rsidR="00DD607D" w:rsidRPr="00E8642C" w:rsidRDefault="00DD607D" w:rsidP="00E104D3">
      <w:pPr>
        <w:ind w:left="567"/>
        <w:rPr>
          <w:rFonts w:cs="Arial"/>
          <w:iCs/>
          <w:szCs w:val="22"/>
        </w:rPr>
      </w:pPr>
      <w:r w:rsidRPr="00E8642C">
        <w:rPr>
          <w:rFonts w:cs="Arial"/>
          <w:iCs/>
          <w:szCs w:val="22"/>
        </w:rPr>
        <w:t>–</w:t>
      </w:r>
      <w:r w:rsidRPr="00E8642C">
        <w:rPr>
          <w:rFonts w:cs="Arial"/>
          <w:iCs/>
          <w:szCs w:val="22"/>
        </w:rPr>
        <w:tab/>
        <w:t>le maintien volontaire d</w:t>
      </w:r>
      <w:r w:rsidR="00D91476">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104D3">
      <w:pPr>
        <w:ind w:left="567"/>
        <w:rPr>
          <w:rFonts w:cs="Arial"/>
          <w:iCs/>
          <w:szCs w:val="22"/>
        </w:rPr>
      </w:pPr>
      <w:r w:rsidRPr="00E8642C">
        <w:rPr>
          <w:rFonts w:cs="Arial"/>
          <w:iCs/>
          <w:szCs w:val="22"/>
        </w:rPr>
        <w:t>–</w:t>
      </w:r>
      <w:r w:rsidRPr="00E8642C">
        <w:rPr>
          <w:rFonts w:cs="Arial"/>
          <w:iCs/>
          <w:szCs w:val="22"/>
        </w:rPr>
        <w:tab/>
        <w:t>le sentiment d</w:t>
      </w:r>
      <w:r w:rsidR="00D91476">
        <w:rPr>
          <w:rFonts w:cs="Arial"/>
          <w:iCs/>
          <w:szCs w:val="22"/>
        </w:rPr>
        <w:t>’</w:t>
      </w:r>
      <w:r w:rsidRPr="00E8642C">
        <w:rPr>
          <w:rFonts w:cs="Arial"/>
          <w:iCs/>
          <w:szCs w:val="22"/>
        </w:rPr>
        <w:t>appartenance à un groupe, ainsi que la reconnaissance par d</w:t>
      </w:r>
      <w:r w:rsidR="00D91476">
        <w:rPr>
          <w:rFonts w:cs="Arial"/>
          <w:iCs/>
          <w:szCs w:val="22"/>
        </w:rPr>
        <w:t>’</w:t>
      </w:r>
      <w:r w:rsidRPr="00E8642C">
        <w:rPr>
          <w:rFonts w:cs="Arial"/>
          <w:iCs/>
          <w:szCs w:val="22"/>
        </w:rPr>
        <w:t xml:space="preserve">autres groupes ou par les autorités nationales en tant que collectivité </w:t>
      </w:r>
      <w:proofErr w:type="gramStart"/>
      <w:r w:rsidRPr="00E8642C">
        <w:rPr>
          <w:rFonts w:cs="Arial"/>
          <w:iCs/>
          <w:szCs w:val="22"/>
        </w:rPr>
        <w:t>distincte;  et</w:t>
      </w:r>
      <w:proofErr w:type="gramEnd"/>
    </w:p>
    <w:p w:rsidR="00AD541F" w:rsidRDefault="00DD607D" w:rsidP="00E104D3">
      <w:pPr>
        <w:spacing w:after="220"/>
        <w:ind w:left="567"/>
        <w:rPr>
          <w:rFonts w:cs="Arial"/>
          <w:iCs/>
          <w:szCs w:val="22"/>
        </w:rPr>
      </w:pPr>
      <w:r w:rsidRPr="00E8642C">
        <w:rPr>
          <w:rFonts w:cs="Arial"/>
          <w:iCs/>
          <w:szCs w:val="22"/>
        </w:rPr>
        <w:t>–</w:t>
      </w:r>
      <w:r w:rsidRPr="00E8642C">
        <w:rPr>
          <w:rFonts w:cs="Arial"/>
          <w:iCs/>
          <w:szCs w:val="22"/>
        </w:rPr>
        <w:tab/>
        <w:t>le fait d</w:t>
      </w:r>
      <w:r w:rsidR="00D91476">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AD541F" w:rsidRDefault="00DD607D" w:rsidP="00E104D3">
      <w:pPr>
        <w:spacing w:after="220"/>
        <w:rPr>
          <w:rFonts w:cs="Arial"/>
          <w:iCs/>
          <w:szCs w:val="22"/>
        </w:rPr>
      </w:pPr>
      <w:r w:rsidRPr="00E8642C">
        <w:rPr>
          <w:rFonts w:cs="Arial"/>
          <w:iCs/>
          <w:szCs w:val="22"/>
        </w:rPr>
        <w:t>Il est indiqué dans le document intitulé “Le PNUD et les peuples autochtones</w:t>
      </w:r>
      <w:r w:rsidR="00D91476">
        <w:rPr>
          <w:rFonts w:cs="Arial"/>
          <w:iCs/>
          <w:szCs w:val="22"/>
        </w:rPr>
        <w:t> :</w:t>
      </w:r>
      <w:r w:rsidRPr="00E8642C">
        <w:rPr>
          <w:rFonts w:cs="Arial"/>
          <w:iCs/>
          <w:szCs w:val="22"/>
        </w:rPr>
        <w:t xml:space="preserve"> une politique d</w:t>
      </w:r>
      <w:r w:rsidR="00D91476">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D91476">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400337">
        <w:rPr>
          <w:rFonts w:cs="Arial"/>
          <w:iCs/>
          <w:szCs w:val="22"/>
        </w:rPr>
        <w:noBreakHyphen/>
      </w:r>
      <w:r w:rsidRPr="00E8642C">
        <w:rPr>
          <w:rFonts w:cs="Arial"/>
          <w:iCs/>
          <w:szCs w:val="22"/>
        </w:rPr>
        <w:t>ci);  b) ils tendent à conserver des institutions sociales, économiques et politiques distinctes à l</w:t>
      </w:r>
      <w:r w:rsidR="00D91476">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D91476">
        <w:rPr>
          <w:rFonts w:cs="Arial"/>
          <w:iCs/>
          <w:szCs w:val="22"/>
        </w:rPr>
        <w:t>’</w:t>
      </w:r>
      <w:r w:rsidRPr="00E8642C">
        <w:rPr>
          <w:rFonts w:cs="Arial"/>
          <w:iCs/>
          <w:szCs w:val="22"/>
        </w:rPr>
        <w:t>à s</w:t>
      </w:r>
      <w:r w:rsidR="00D91476">
        <w:rPr>
          <w:rFonts w:cs="Arial"/>
          <w:iCs/>
          <w:szCs w:val="22"/>
        </w:rPr>
        <w:t>’</w:t>
      </w:r>
      <w:r w:rsidRPr="00E8642C">
        <w:rPr>
          <w:rFonts w:cs="Arial"/>
          <w:iCs/>
          <w:szCs w:val="22"/>
        </w:rPr>
        <w:t>assimiler pleinement à la société nationale;  et d) ils s</w:t>
      </w:r>
      <w:r w:rsidR="00D91476">
        <w:rPr>
          <w:rFonts w:cs="Arial"/>
          <w:iCs/>
          <w:szCs w:val="22"/>
        </w:rPr>
        <w:t>’</w:t>
      </w:r>
      <w:r w:rsidRPr="00E8642C">
        <w:rPr>
          <w:rFonts w:cs="Arial"/>
          <w:iCs/>
          <w:szCs w:val="22"/>
        </w:rPr>
        <w:t>identifient eux</w:t>
      </w:r>
      <w:r w:rsidR="00400337">
        <w:rPr>
          <w:rFonts w:cs="Arial"/>
          <w:iCs/>
          <w:szCs w:val="22"/>
        </w:rPr>
        <w:noBreakHyphen/>
      </w:r>
      <w:r w:rsidRPr="00E8642C">
        <w:rPr>
          <w:rFonts w:cs="Arial"/>
          <w:iCs/>
          <w:szCs w:val="22"/>
        </w:rPr>
        <w:t>mêmes comme autochtones ou tribaux.”</w:t>
      </w:r>
    </w:p>
    <w:p w:rsidR="00AD541F" w:rsidRDefault="00DD607D" w:rsidP="00E104D3">
      <w:pPr>
        <w:spacing w:after="220"/>
        <w:rPr>
          <w:rFonts w:cs="Arial"/>
          <w:iCs/>
          <w:szCs w:val="22"/>
        </w:rPr>
      </w:pPr>
      <w:r w:rsidRPr="00E8642C">
        <w:rPr>
          <w:rFonts w:cs="Arial"/>
          <w:iCs/>
          <w:szCs w:val="22"/>
        </w:rPr>
        <w:t>En dépit de caractères communs, il n</w:t>
      </w:r>
      <w:r w:rsidR="00D91476">
        <w:rPr>
          <w:rFonts w:cs="Arial"/>
          <w:iCs/>
          <w:szCs w:val="22"/>
        </w:rPr>
        <w:t>’</w:t>
      </w:r>
      <w:r w:rsidRPr="00E8642C">
        <w:rPr>
          <w:rFonts w:cs="Arial"/>
          <w:iCs/>
          <w:szCs w:val="22"/>
        </w:rPr>
        <w:t>existe pas une seule définition admise des peuples autochtones qui saisisse leur diversité en tant que peupl</w:t>
      </w:r>
      <w:r w:rsidR="001F3AEE" w:rsidRPr="00E8642C">
        <w:rPr>
          <w:rFonts w:cs="Arial"/>
          <w:iCs/>
          <w:szCs w:val="22"/>
        </w:rPr>
        <w:t>es</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a</w:t>
      </w:r>
      <w:r w:rsidRPr="00E8642C">
        <w:rPr>
          <w:rFonts w:cs="Arial"/>
          <w:iCs/>
          <w:szCs w:val="22"/>
        </w:rPr>
        <w:t>uto</w:t>
      </w:r>
      <w:r w:rsidR="00400337">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D91476">
        <w:rPr>
          <w:rFonts w:cs="Arial"/>
          <w:iCs/>
          <w:szCs w:val="22"/>
        </w:rPr>
        <w:t>’</w:t>
      </w:r>
      <w:r w:rsidRPr="00E8642C">
        <w:rPr>
          <w:rFonts w:cs="Arial"/>
          <w:iCs/>
          <w:szCs w:val="22"/>
        </w:rPr>
        <w:t>autres variables telles qu</w:t>
      </w:r>
      <w:r w:rsidR="00D91476">
        <w:rPr>
          <w:rFonts w:cs="Arial"/>
          <w:iCs/>
          <w:szCs w:val="22"/>
        </w:rPr>
        <w:t>’</w:t>
      </w:r>
      <w:r w:rsidRPr="00E8642C">
        <w:rPr>
          <w:rFonts w:cs="Arial"/>
          <w:iCs/>
          <w:szCs w:val="22"/>
        </w:rPr>
        <w:t xml:space="preserve">un </w:t>
      </w:r>
      <w:r w:rsidR="00D91476">
        <w:rPr>
          <w:rFonts w:cs="Arial"/>
          <w:iCs/>
          <w:szCs w:val="22"/>
        </w:rPr>
        <w:t>‘</w:t>
      </w:r>
      <w:r w:rsidRPr="00E8642C">
        <w:rPr>
          <w:rFonts w:cs="Arial"/>
          <w:iCs/>
          <w:szCs w:val="22"/>
        </w:rPr>
        <w:t>langage parlé</w:t>
      </w:r>
      <w:r w:rsidR="00D91476">
        <w:rPr>
          <w:rFonts w:cs="Arial"/>
          <w:iCs/>
          <w:szCs w:val="22"/>
        </w:rPr>
        <w:t>’</w:t>
      </w:r>
      <w:r w:rsidRPr="00E8642C">
        <w:rPr>
          <w:rFonts w:cs="Arial"/>
          <w:iCs/>
          <w:szCs w:val="22"/>
        </w:rPr>
        <w:t xml:space="preserve">, et une </w:t>
      </w:r>
      <w:r w:rsidR="00D91476">
        <w:rPr>
          <w:rFonts w:cs="Arial"/>
          <w:iCs/>
          <w:szCs w:val="22"/>
        </w:rPr>
        <w:t>‘</w:t>
      </w:r>
      <w:r w:rsidRPr="00E8642C">
        <w:rPr>
          <w:rFonts w:cs="Arial"/>
          <w:iCs/>
          <w:szCs w:val="22"/>
        </w:rPr>
        <w:t>situation ou concentration géographique</w:t>
      </w:r>
      <w:r w:rsidR="00D91476">
        <w:rPr>
          <w:rFonts w:cs="Arial"/>
          <w:iCs/>
          <w:szCs w:val="22"/>
        </w:rPr>
        <w:t>’</w:t>
      </w:r>
      <w:r w:rsidRPr="00E8642C">
        <w:rPr>
          <w:rFonts w:cs="Arial"/>
          <w:iCs/>
          <w:szCs w:val="22"/>
        </w:rPr>
        <w:t>”.</w:t>
      </w:r>
    </w:p>
    <w:p w:rsidR="00AD541F" w:rsidRDefault="00DD607D" w:rsidP="00E104D3">
      <w:pPr>
        <w:spacing w:after="220"/>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D91476">
        <w:rPr>
          <w:rFonts w:cs="Arial"/>
          <w:iCs/>
          <w:szCs w:val="22"/>
        </w:rPr>
        <w:t>’</w:t>
      </w:r>
      <w:r w:rsidRPr="00E8642C">
        <w:rPr>
          <w:rFonts w:cs="Arial"/>
          <w:iCs/>
          <w:szCs w:val="22"/>
        </w:rPr>
        <w:t>État péruvien, entretenant une culture propre, disposant d</w:t>
      </w:r>
      <w:r w:rsidR="00D91476">
        <w:rPr>
          <w:rFonts w:cs="Arial"/>
          <w:iCs/>
          <w:szCs w:val="22"/>
        </w:rPr>
        <w:t>’</w:t>
      </w:r>
      <w:r w:rsidRPr="00E8642C">
        <w:rPr>
          <w:rFonts w:cs="Arial"/>
          <w:iCs/>
          <w:szCs w:val="22"/>
        </w:rPr>
        <w:t>un espace territorial et se reconnaissant eux</w:t>
      </w:r>
      <w:r w:rsidR="00400337">
        <w:rPr>
          <w:rFonts w:cs="Arial"/>
          <w:iCs/>
          <w:szCs w:val="22"/>
        </w:rPr>
        <w:noBreakHyphen/>
      </w:r>
      <w:r w:rsidRPr="00E8642C">
        <w:rPr>
          <w:rFonts w:cs="Arial"/>
          <w:iCs/>
          <w:szCs w:val="22"/>
        </w:rPr>
        <w:t xml:space="preserve">mêmes comme tels, </w:t>
      </w:r>
      <w:r w:rsidR="00D91476">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 xml:space="preserve"> terme </w:t>
      </w:r>
      <w:r w:rsidR="00D91476">
        <w:rPr>
          <w:rFonts w:cs="Arial"/>
          <w:iCs/>
          <w:szCs w:val="22"/>
        </w:rPr>
        <w:t>‘</w:t>
      </w:r>
      <w:r w:rsidRPr="00E8642C">
        <w:rPr>
          <w:rFonts w:cs="Arial"/>
          <w:iCs/>
          <w:szCs w:val="22"/>
        </w:rPr>
        <w:t>autochtones</w:t>
      </w:r>
      <w:r w:rsidR="00D91476">
        <w:rPr>
          <w:rFonts w:cs="Arial"/>
          <w:iCs/>
          <w:szCs w:val="22"/>
        </w:rPr>
        <w:t>’</w:t>
      </w:r>
      <w:r w:rsidRPr="00E8642C">
        <w:rPr>
          <w:rFonts w:cs="Arial"/>
          <w:iCs/>
          <w:szCs w:val="22"/>
        </w:rPr>
        <w:t xml:space="preserve"> doit s</w:t>
      </w:r>
      <w:r w:rsidR="00D91476">
        <w:rPr>
          <w:rFonts w:cs="Arial"/>
          <w:iCs/>
          <w:szCs w:val="22"/>
        </w:rPr>
        <w:t>’</w:t>
      </w:r>
      <w:r w:rsidRPr="00E8642C">
        <w:rPr>
          <w:rFonts w:cs="Arial"/>
          <w:iCs/>
          <w:szCs w:val="22"/>
        </w:rPr>
        <w:t>entendre comme synonyme d</w:t>
      </w:r>
      <w:r w:rsidR="00494A9E">
        <w:rPr>
          <w:rFonts w:cs="Arial"/>
          <w:iCs/>
          <w:szCs w:val="22"/>
        </w:rPr>
        <w:t>’‘</w:t>
      </w:r>
      <w:r w:rsidR="00007531">
        <w:rPr>
          <w:rFonts w:cs="Arial"/>
          <w:iCs/>
          <w:szCs w:val="22"/>
        </w:rPr>
        <w:t>o</w:t>
      </w:r>
      <w:r w:rsidRPr="00E8642C">
        <w:rPr>
          <w:rFonts w:cs="Arial"/>
          <w:iCs/>
          <w:szCs w:val="22"/>
        </w:rPr>
        <w:t>riginaires du territoire</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traditionnels</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ethniques</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ancestraux</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indigènes</w:t>
      </w:r>
      <w:r w:rsidR="00D91476">
        <w:rPr>
          <w:rFonts w:cs="Arial"/>
          <w:iCs/>
          <w:szCs w:val="22"/>
        </w:rPr>
        <w:t>’</w:t>
      </w:r>
      <w:r w:rsidRPr="00E8642C">
        <w:rPr>
          <w:rFonts w:cs="Arial"/>
          <w:iCs/>
          <w:szCs w:val="22"/>
        </w:rPr>
        <w:t xml:space="preserve"> et d</w:t>
      </w:r>
      <w:r w:rsidR="00D91476">
        <w:rPr>
          <w:rFonts w:cs="Arial"/>
          <w:iCs/>
          <w:szCs w:val="22"/>
        </w:rPr>
        <w:t>’</w:t>
      </w:r>
      <w:r w:rsidRPr="00E8642C">
        <w:rPr>
          <w:rFonts w:cs="Arial"/>
          <w:iCs/>
          <w:szCs w:val="22"/>
        </w:rPr>
        <w:t>autres termes”.</w:t>
      </w:r>
    </w:p>
    <w:p w:rsidR="00AD541F" w:rsidRDefault="00DD607D" w:rsidP="00E104D3">
      <w:pPr>
        <w:spacing w:after="220"/>
        <w:rPr>
          <w:rFonts w:cs="Arial"/>
          <w:szCs w:val="22"/>
        </w:rPr>
      </w:pPr>
      <w:r w:rsidRPr="00E8642C">
        <w:rPr>
          <w:rFonts w:cs="Arial"/>
          <w:szCs w:val="22"/>
        </w:rPr>
        <w:t>Le terme “peuples aborigènes” est un terme apparenté.  L</w:t>
      </w:r>
      <w:r w:rsidR="00D91476">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D91476">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xml:space="preserve">[…] habitant </w:t>
      </w:r>
      <w:r w:rsidRPr="00E8642C">
        <w:rPr>
          <w:rFonts w:cs="Arial"/>
          <w:i/>
          <w:iCs/>
          <w:szCs w:val="22"/>
        </w:rPr>
        <w:lastRenderedPageBreak/>
        <w:t>ou occupant un pays avant l</w:t>
      </w:r>
      <w:r w:rsidR="00D91476">
        <w:rPr>
          <w:rFonts w:cs="Arial"/>
          <w:i/>
          <w:iCs/>
          <w:szCs w:val="22"/>
        </w:rPr>
        <w:t>’</w:t>
      </w:r>
      <w:r w:rsidRPr="00E8642C">
        <w:rPr>
          <w:rFonts w:cs="Arial"/>
          <w:i/>
          <w:iCs/>
          <w:szCs w:val="22"/>
        </w:rPr>
        <w:t>arrivée de colons européens ou de ceux qu</w:t>
      </w:r>
      <w:r w:rsidR="00D91476">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D91476">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D91476">
        <w:rPr>
          <w:rFonts w:cs="Arial"/>
          <w:i/>
          <w:iCs/>
          <w:szCs w:val="22"/>
        </w:rPr>
        <w:t>’</w:t>
      </w:r>
      <w:r w:rsidRPr="00E8642C">
        <w:rPr>
          <w:rFonts w:cs="Arial"/>
          <w:i/>
          <w:iCs/>
          <w:szCs w:val="22"/>
        </w:rPr>
        <w:t>Australie ou leurs langues, ou apparenté ou propre aux aborigènes d</w:t>
      </w:r>
      <w:r w:rsidR="00D91476">
        <w:rPr>
          <w:rFonts w:cs="Arial"/>
          <w:i/>
          <w:iCs/>
          <w:szCs w:val="22"/>
        </w:rPr>
        <w:t>’</w:t>
      </w:r>
      <w:r w:rsidRPr="00E8642C">
        <w:rPr>
          <w:rFonts w:cs="Arial"/>
          <w:i/>
          <w:iCs/>
          <w:szCs w:val="22"/>
        </w:rPr>
        <w:t>Australie ou à leurs langues</w:t>
      </w:r>
      <w:r w:rsidRPr="00E8642C">
        <w:rPr>
          <w:rFonts w:cs="Arial"/>
          <w:szCs w:val="22"/>
        </w:rPr>
        <w:t>”.</w:t>
      </w:r>
    </w:p>
    <w:p w:rsidR="00AD541F"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35 de la Constitution du Canada indique que </w:t>
      </w:r>
      <w:proofErr w:type="gramStart"/>
      <w:r w:rsidRPr="00E8642C">
        <w:rPr>
          <w:rFonts w:cs="Arial"/>
          <w:szCs w:val="22"/>
        </w:rPr>
        <w:t>“</w:t>
      </w:r>
      <w:r w:rsidRPr="00E8642C">
        <w:rPr>
          <w:rFonts w:cs="Arial"/>
          <w:i/>
          <w:iCs/>
          <w:szCs w:val="22"/>
        </w:rPr>
        <w:t>[</w:t>
      </w:r>
      <w:proofErr w:type="gramEnd"/>
      <w:r w:rsidRPr="00E8642C">
        <w:rPr>
          <w:rFonts w:cs="Arial"/>
          <w:i/>
          <w:iCs/>
          <w:szCs w:val="22"/>
        </w:rPr>
        <w:t>…] peuples autochtones du Canada s</w:t>
      </w:r>
      <w:r w:rsidR="00D91476">
        <w:rPr>
          <w:rFonts w:cs="Arial"/>
          <w:i/>
          <w:iCs/>
          <w:szCs w:val="22"/>
        </w:rPr>
        <w:t>’</w:t>
      </w:r>
      <w:r w:rsidRPr="00E8642C">
        <w:rPr>
          <w:rFonts w:cs="Arial"/>
          <w:i/>
          <w:iCs/>
          <w:szCs w:val="22"/>
        </w:rPr>
        <w:t xml:space="preserve">entend notamment des </w:t>
      </w:r>
      <w:r w:rsidR="00F378CD">
        <w:rPr>
          <w:rFonts w:cs="Arial"/>
          <w:i/>
          <w:iCs/>
          <w:szCs w:val="22"/>
        </w:rPr>
        <w:t>I</w:t>
      </w:r>
      <w:r w:rsidRPr="00E8642C">
        <w:rPr>
          <w:rFonts w:cs="Arial"/>
          <w:i/>
          <w:iCs/>
          <w:szCs w:val="22"/>
        </w:rPr>
        <w:t>ndiens, des Inuits et des Métis du Canada</w:t>
      </w:r>
      <w:r w:rsidRPr="00E8642C">
        <w:rPr>
          <w:rFonts w:cs="Arial"/>
          <w:szCs w:val="22"/>
        </w:rPr>
        <w:t>”.  La Commission royale canadienne de 1996 sur les peuples autochtones a défini elle</w:t>
      </w:r>
      <w:r w:rsidR="00400337">
        <w:rPr>
          <w:rFonts w:cs="Arial"/>
          <w:szCs w:val="22"/>
        </w:rPr>
        <w:noBreakHyphen/>
      </w:r>
      <w:r w:rsidRPr="00E8642C">
        <w:rPr>
          <w:rFonts w:cs="Arial"/>
          <w:szCs w:val="22"/>
        </w:rPr>
        <w:t>même son centre d</w:t>
      </w:r>
      <w:r w:rsidR="00D91476">
        <w:rPr>
          <w:rFonts w:cs="Arial"/>
          <w:szCs w:val="22"/>
        </w:rPr>
        <w:t>’</w:t>
      </w:r>
      <w:r w:rsidRPr="00E8642C">
        <w:rPr>
          <w:rFonts w:cs="Arial"/>
          <w:szCs w:val="22"/>
        </w:rPr>
        <w:t>intérêt comme</w:t>
      </w:r>
      <w:r w:rsidR="00D91476">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D91476">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AD541F" w:rsidRDefault="00DD607D" w:rsidP="00E104D3">
      <w:pPr>
        <w:spacing w:after="220"/>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D91476">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D91476">
        <w:rPr>
          <w:rFonts w:cs="Arial"/>
          <w:iCs/>
          <w:szCs w:val="22"/>
        </w:rPr>
        <w:t>’</w:t>
      </w:r>
      <w:r w:rsidRPr="00E8642C">
        <w:rPr>
          <w:rFonts w:cs="Arial"/>
          <w:iCs/>
          <w:szCs w:val="22"/>
        </w:rPr>
        <w:t>estiment différentes d</w:t>
      </w:r>
      <w:r w:rsidR="00D91476">
        <w:rPr>
          <w:rFonts w:cs="Arial"/>
          <w:iCs/>
          <w:szCs w:val="22"/>
        </w:rPr>
        <w:t>’</w:t>
      </w:r>
      <w:r w:rsidRPr="00E8642C">
        <w:rPr>
          <w:rFonts w:cs="Arial"/>
          <w:iCs/>
          <w:szCs w:val="22"/>
        </w:rPr>
        <w:t>autres secteurs des sociétés qui prédominent aujourd</w:t>
      </w:r>
      <w:r w:rsidR="00D91476">
        <w:rPr>
          <w:rFonts w:cs="Arial"/>
          <w:iCs/>
          <w:szCs w:val="22"/>
        </w:rPr>
        <w:t>’</w:t>
      </w:r>
      <w:r w:rsidRPr="00E8642C">
        <w:rPr>
          <w:rFonts w:cs="Arial"/>
          <w:iCs/>
          <w:szCs w:val="22"/>
        </w:rPr>
        <w:t>hui dans ces pays, ou certaines parties de ces dernie</w:t>
      </w:r>
      <w:r w:rsidR="001F3AEE" w:rsidRPr="00E8642C">
        <w:rPr>
          <w:rFonts w:cs="Arial"/>
          <w:iCs/>
          <w:szCs w:val="22"/>
        </w:rPr>
        <w:t>rs</w:t>
      </w:r>
      <w:r w:rsidR="001F3AEE">
        <w:rPr>
          <w:rFonts w:cs="Arial"/>
          <w:iCs/>
          <w:szCs w:val="22"/>
        </w:rPr>
        <w:t xml:space="preserve">.  </w:t>
      </w:r>
      <w:r w:rsidR="001F3AEE" w:rsidRPr="00E8642C">
        <w:rPr>
          <w:rFonts w:cs="Arial"/>
          <w:iCs/>
          <w:szCs w:val="22"/>
        </w:rPr>
        <w:t>El</w:t>
      </w:r>
      <w:r w:rsidRPr="00E8642C">
        <w:rPr>
          <w:rFonts w:cs="Arial"/>
          <w:iCs/>
          <w:szCs w:val="22"/>
        </w:rPr>
        <w:t>les représentent aujourd</w:t>
      </w:r>
      <w:r w:rsidR="00D91476">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AD541F" w:rsidRDefault="00DD607D" w:rsidP="00E104D3">
      <w:pPr>
        <w:pStyle w:val="Heading2"/>
        <w:spacing w:after="220" w:line="240" w:lineRule="auto"/>
      </w:pPr>
      <w:bookmarkStart w:id="97" w:name="_Toc7772568"/>
      <w:r w:rsidRPr="00E8642C">
        <w:t>Pratiques coutumières</w:t>
      </w:r>
      <w:bookmarkEnd w:id="97"/>
    </w:p>
    <w:p w:rsidR="00AD541F" w:rsidRDefault="00DD607D" w:rsidP="00E104D3">
      <w:pPr>
        <w:pStyle w:val="FootnoteText"/>
        <w:spacing w:after="220"/>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1F3AEE" w:rsidRPr="00E8642C">
        <w:rPr>
          <w:rFonts w:cs="Arial"/>
          <w:szCs w:val="22"/>
        </w:rPr>
        <w:t>re</w:t>
      </w:r>
      <w:r w:rsidR="001F3AEE">
        <w:rPr>
          <w:rFonts w:cs="Arial"/>
          <w:szCs w:val="22"/>
        </w:rPr>
        <w:t xml:space="preserve">.  </w:t>
      </w:r>
      <w:r w:rsidR="001F3AEE" w:rsidRPr="00E8642C">
        <w:rPr>
          <w:rFonts w:cs="Arial"/>
          <w:szCs w:val="22"/>
        </w:rPr>
        <w:t>Le</w:t>
      </w:r>
      <w:r w:rsidRPr="00E8642C">
        <w:rPr>
          <w:rFonts w:cs="Arial"/>
          <w:szCs w:val="22"/>
        </w:rPr>
        <w:t>s pratiques coutumières sont ancrées dans la communauté et enracinées dans la façon dont celle</w:t>
      </w:r>
      <w:r w:rsidR="00400337">
        <w:rPr>
          <w:rFonts w:cs="Arial"/>
          <w:szCs w:val="22"/>
        </w:rPr>
        <w:noBreakHyphen/>
      </w:r>
      <w:r w:rsidRPr="00E8642C">
        <w:rPr>
          <w:rFonts w:cs="Arial"/>
          <w:szCs w:val="22"/>
        </w:rPr>
        <w:t>ci vit et travail</w:t>
      </w:r>
      <w:r w:rsidR="001F3AEE" w:rsidRPr="00E8642C">
        <w:rPr>
          <w:rFonts w:cs="Arial"/>
          <w:szCs w:val="22"/>
        </w:rPr>
        <w:t>le</w:t>
      </w:r>
      <w:r w:rsidR="001F3AEE">
        <w:rPr>
          <w:rFonts w:cs="Arial"/>
          <w:szCs w:val="22"/>
        </w:rPr>
        <w:t xml:space="preserve">.  </w:t>
      </w:r>
      <w:r w:rsidR="001F3AEE"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D541F" w:rsidRDefault="00DD607D" w:rsidP="00E104D3">
      <w:pPr>
        <w:pStyle w:val="Heading2"/>
        <w:spacing w:after="220" w:line="240" w:lineRule="auto"/>
      </w:pPr>
      <w:bookmarkStart w:id="98" w:name="_Toc7772569"/>
      <w:r w:rsidRPr="00E8642C">
        <w:t>Préservation</w:t>
      </w:r>
      <w:bookmarkEnd w:id="98"/>
    </w:p>
    <w:p w:rsidR="00AD541F" w:rsidRDefault="00DD607D" w:rsidP="00E104D3">
      <w:pPr>
        <w:spacing w:after="220"/>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D91476">
        <w:rPr>
          <w:rFonts w:cs="Arial"/>
          <w:szCs w:val="22"/>
        </w:rPr>
        <w:t>’</w:t>
      </w:r>
      <w:r w:rsidRPr="00E8642C">
        <w:rPr>
          <w:rFonts w:cs="Arial"/>
          <w:szCs w:val="22"/>
        </w:rPr>
        <w:t>il existe, de façon à préserver le cadre habituel de l</w:t>
      </w:r>
      <w:r w:rsidR="00D91476">
        <w:rPr>
          <w:rFonts w:cs="Arial"/>
          <w:szCs w:val="22"/>
        </w:rPr>
        <w:t>’</w:t>
      </w:r>
      <w:r w:rsidRPr="00E8642C">
        <w:rPr>
          <w:rFonts w:cs="Arial"/>
          <w:szCs w:val="22"/>
        </w:rPr>
        <w:t>élaboration et de la transmission de ces savoirs et expressions, ainsi que de la mise en place des modalités qui régissent l</w:t>
      </w:r>
      <w:r w:rsidR="00D91476">
        <w:rPr>
          <w:rFonts w:cs="Arial"/>
          <w:szCs w:val="22"/>
        </w:rPr>
        <w:t>’</w:t>
      </w:r>
      <w:r w:rsidRPr="00E8642C">
        <w:rPr>
          <w:rFonts w:cs="Arial"/>
          <w:szCs w:val="22"/>
        </w:rPr>
        <w:t>accès à ces savoirs et expressions;  et en second lieu, la préservation de ces éléments sous une forme fixe, comme lorsqu</w:t>
      </w:r>
      <w:r w:rsidR="00D91476">
        <w:rPr>
          <w:rFonts w:cs="Arial"/>
          <w:szCs w:val="22"/>
        </w:rPr>
        <w:t>’</w:t>
      </w:r>
      <w:r w:rsidRPr="00E8642C">
        <w:rPr>
          <w:rFonts w:cs="Arial"/>
          <w:szCs w:val="22"/>
        </w:rPr>
        <w:t>un savoir</w:t>
      </w:r>
      <w:r w:rsidR="00400337">
        <w:rPr>
          <w:rFonts w:cs="Arial"/>
          <w:szCs w:val="22"/>
        </w:rPr>
        <w:noBreakHyphen/>
      </w:r>
      <w:r w:rsidRPr="00E8642C">
        <w:rPr>
          <w:rFonts w:cs="Arial"/>
          <w:szCs w:val="22"/>
        </w:rPr>
        <w:t>faire technique ou des connaissances médicinales traditionnels font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une fixation, ou encore lorsque les expressions de la culture traditionnelle sont enregistré</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préservation a pour objet de contribuer à la survie de ces savoirs ou expressions, dans l</w:t>
      </w:r>
      <w:r w:rsidR="00D91476">
        <w:rPr>
          <w:rFonts w:cs="Arial"/>
          <w:szCs w:val="22"/>
        </w:rPr>
        <w:t>’</w:t>
      </w:r>
      <w:r w:rsidRPr="00E8642C">
        <w:rPr>
          <w:rFonts w:cs="Arial"/>
          <w:szCs w:val="22"/>
        </w:rPr>
        <w:t>intérêt des générations futures de la communauté d</w:t>
      </w:r>
      <w:r w:rsidR="00D91476">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D91476">
        <w:rPr>
          <w:rFonts w:cs="Arial"/>
          <w:szCs w:val="22"/>
        </w:rPr>
        <w:t>’</w:t>
      </w:r>
      <w:r w:rsidRPr="00E8642C">
        <w:rPr>
          <w:rFonts w:cs="Arial"/>
          <w:szCs w:val="22"/>
        </w:rPr>
        <w:t>un public plus vaste (</w:t>
      </w:r>
      <w:r w:rsidR="00D91476">
        <w:rPr>
          <w:rFonts w:cs="Arial"/>
          <w:szCs w:val="22"/>
        </w:rPr>
        <w:t>y compris</w:t>
      </w:r>
      <w:r w:rsidRPr="00E8642C">
        <w:rPr>
          <w:rFonts w:cs="Arial"/>
          <w:szCs w:val="22"/>
        </w:rPr>
        <w:t xml:space="preserve"> des universitaires et des chercheurs), en reconnaissance de leur importance en tant qu</w:t>
      </w:r>
      <w:r w:rsidR="00D91476">
        <w:rPr>
          <w:rFonts w:cs="Arial"/>
          <w:szCs w:val="22"/>
        </w:rPr>
        <w:t>’</w:t>
      </w:r>
      <w:r w:rsidRPr="00E8642C">
        <w:rPr>
          <w:rFonts w:cs="Arial"/>
          <w:szCs w:val="22"/>
        </w:rPr>
        <w:t>éléments du patrimoine culturel collectif de l</w:t>
      </w:r>
      <w:r w:rsidR="00D91476">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AD541F" w:rsidRDefault="00DD607D" w:rsidP="00E104D3">
      <w:pPr>
        <w:spacing w:after="220"/>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1F3AEE" w:rsidRPr="00E8642C">
        <w:rPr>
          <w:rFonts w:cs="Arial"/>
          <w:szCs w:val="22"/>
        </w:rPr>
        <w:t>le</w:t>
      </w:r>
      <w:r w:rsidR="001F3AEE">
        <w:rPr>
          <w:rFonts w:cs="Arial"/>
          <w:szCs w:val="22"/>
        </w:rPr>
        <w:t xml:space="preserve">.  </w:t>
      </w:r>
      <w:r w:rsidR="001F3AEE" w:rsidRPr="00E8642C">
        <w:rPr>
          <w:rFonts w:cs="Arial"/>
          <w:szCs w:val="22"/>
        </w:rPr>
        <w:t>D</w:t>
      </w:r>
      <w:r w:rsidR="001F3AEE">
        <w:rPr>
          <w:rFonts w:cs="Arial"/>
          <w:szCs w:val="22"/>
        </w:rPr>
        <w:t>’</w:t>
      </w:r>
      <w:r w:rsidR="001F3AEE"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 xml:space="preserve">éducation, la science et la culture (UNESCO), traitent des aspects relatifs à </w:t>
      </w:r>
      <w:r w:rsidRPr="00E8642C">
        <w:rPr>
          <w:rFonts w:cs="Arial"/>
          <w:szCs w:val="22"/>
        </w:rPr>
        <w:lastRenderedPageBreak/>
        <w:t>la conservation, la préservation et la sauvegarde des savoirs traditionnels dans leurs cadres d</w:t>
      </w:r>
      <w:r w:rsidR="00D91476">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AD541F" w:rsidRDefault="00DD607D" w:rsidP="00E104D3">
      <w:pPr>
        <w:pStyle w:val="Heading2"/>
        <w:spacing w:after="220" w:line="240" w:lineRule="auto"/>
      </w:pPr>
      <w:bookmarkStart w:id="99" w:name="_Toc7772570"/>
      <w:r w:rsidRPr="00E8642C">
        <w:t>Principes directeurs de propriété intellectuelle applicables aux contrats concernant l</w:t>
      </w:r>
      <w:r w:rsidR="00D91476">
        <w:t>’</w:t>
      </w:r>
      <w:r w:rsidRPr="00E8642C">
        <w:t>accès et le partage des avantages</w:t>
      </w:r>
      <w:bookmarkEnd w:id="99"/>
    </w:p>
    <w:p w:rsidR="00AD541F" w:rsidRDefault="00DD607D" w:rsidP="00E104D3">
      <w:pPr>
        <w:pStyle w:val="NormalArial"/>
        <w:keepNext/>
        <w:spacing w:after="220" w:line="240" w:lineRule="auto"/>
        <w:ind w:left="0"/>
        <w:rPr>
          <w:rFonts w:cs="Arial"/>
          <w:szCs w:val="22"/>
        </w:rPr>
      </w:pPr>
      <w:r w:rsidRPr="00E8642C">
        <w:rPr>
          <w:rFonts w:cs="Arial"/>
          <w:szCs w:val="22"/>
        </w:rPr>
        <w:t>Dès sa première session, l</w:t>
      </w:r>
      <w:r w:rsidR="00D91476">
        <w:rPr>
          <w:rFonts w:cs="Arial"/>
          <w:szCs w:val="22"/>
        </w:rPr>
        <w:t>’</w:t>
      </w:r>
      <w:r w:rsidRPr="00E8642C">
        <w:rPr>
          <w:rFonts w:cs="Arial"/>
          <w:szCs w:val="22"/>
        </w:rPr>
        <w:t>IGC s</w:t>
      </w:r>
      <w:r w:rsidR="00D91476">
        <w:rPr>
          <w:rFonts w:cs="Arial"/>
          <w:szCs w:val="22"/>
        </w:rPr>
        <w:t>’</w:t>
      </w:r>
      <w:r w:rsidRPr="00E8642C">
        <w:rPr>
          <w:rFonts w:cs="Arial"/>
          <w:szCs w:val="22"/>
        </w:rPr>
        <w:t>est prononcé en faveur de travaux qui conduiraient à l</w:t>
      </w:r>
      <w:r w:rsidR="00D91476">
        <w:rPr>
          <w:rFonts w:cs="Arial"/>
          <w:szCs w:val="22"/>
        </w:rPr>
        <w:t>’</w:t>
      </w:r>
      <w:r w:rsidRPr="00E8642C">
        <w:rPr>
          <w:rFonts w:cs="Arial"/>
          <w:szCs w:val="22"/>
        </w:rPr>
        <w:t>élaboration par l</w:t>
      </w:r>
      <w:r w:rsidR="00D91476">
        <w:rPr>
          <w:rFonts w:cs="Arial"/>
          <w:szCs w:val="22"/>
        </w:rPr>
        <w:t>’</w:t>
      </w:r>
      <w:r w:rsidRPr="00E8642C">
        <w:rPr>
          <w:rFonts w:cs="Arial"/>
          <w:szCs w:val="22"/>
        </w:rPr>
        <w:t>OMPI de principes directeurs de propriété intellectuelle en matière d</w:t>
      </w:r>
      <w:r w:rsidR="00D91476">
        <w:rPr>
          <w:rFonts w:cs="Arial"/>
          <w:szCs w:val="22"/>
        </w:rPr>
        <w:t>’</w:t>
      </w:r>
      <w:r w:rsidRPr="00E8642C">
        <w:rPr>
          <w:rFonts w:cs="Arial"/>
          <w:szCs w:val="22"/>
        </w:rPr>
        <w:t>accès et de partage des avantag</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a été proposé d</w:t>
      </w:r>
      <w:r w:rsidR="00D91476">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D91476">
        <w:rPr>
          <w:rFonts w:cs="Arial"/>
          <w:szCs w:val="22"/>
        </w:rPr>
        <w:t>’</w:t>
      </w:r>
      <w:r w:rsidRPr="00E8642C">
        <w:rPr>
          <w:rFonts w:cs="Arial"/>
          <w:szCs w:val="22"/>
        </w:rPr>
        <w:t>accès et de partage des avantages en matière de biodiversité de l</w:t>
      </w:r>
      <w:r w:rsidR="00D91476">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AD541F" w:rsidRDefault="00DD607D" w:rsidP="00E104D3">
      <w:pPr>
        <w:pStyle w:val="NormalArial"/>
        <w:spacing w:after="220" w:line="240" w:lineRule="auto"/>
        <w:ind w:left="0"/>
        <w:rPr>
          <w:rFonts w:cs="Arial"/>
          <w:szCs w:val="22"/>
        </w:rPr>
      </w:pPr>
      <w:r w:rsidRPr="00E8642C">
        <w:rPr>
          <w:szCs w:val="22"/>
        </w:rPr>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D91476">
        <w:rPr>
          <w:szCs w:val="22"/>
        </w:rPr>
        <w:t>’</w:t>
      </w:r>
      <w:r w:rsidRPr="00E8642C">
        <w:rPr>
          <w:szCs w:val="22"/>
        </w:rPr>
        <w:t>IGC pour l</w:t>
      </w:r>
      <w:r w:rsidR="00D91476">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400337">
        <w:rPr>
          <w:szCs w:val="22"/>
        </w:rPr>
        <w:noBreakHyphen/>
      </w:r>
      <w:r w:rsidRPr="00E8642C">
        <w:rPr>
          <w:szCs w:val="22"/>
        </w:rPr>
        <w:t>sept</w:t>
      </w:r>
      <w:r w:rsidR="00D91476">
        <w:rPr>
          <w:szCs w:val="22"/>
        </w:rPr>
        <w:t>ième session</w:t>
      </w:r>
      <w:r w:rsidRPr="00E8642C">
        <w:rPr>
          <w:szCs w:val="22"/>
        </w:rPr>
        <w:t xml:space="preserve"> de l</w:t>
      </w:r>
      <w:r w:rsidR="00D91476">
        <w:rPr>
          <w:szCs w:val="22"/>
        </w:rPr>
        <w:t>’</w:t>
      </w:r>
      <w:r w:rsidRPr="00E8642C">
        <w:rPr>
          <w:szCs w:val="22"/>
        </w:rPr>
        <w:t>IGC</w:t>
      </w:r>
      <w:r w:rsidRPr="00E8642C">
        <w:rPr>
          <w:rStyle w:val="FootnoteReference"/>
          <w:rFonts w:cs="Arial"/>
          <w:szCs w:val="22"/>
        </w:rPr>
        <w:footnoteReference w:id="134"/>
      </w:r>
      <w:r w:rsidRPr="00E8642C">
        <w:rPr>
          <w:szCs w:val="22"/>
        </w:rPr>
        <w:t>.</w:t>
      </w:r>
    </w:p>
    <w:p w:rsidR="00AD541F" w:rsidRDefault="00DD607D" w:rsidP="00E104D3">
      <w:pPr>
        <w:spacing w:after="220"/>
        <w:rPr>
          <w:rFonts w:cs="Arial"/>
          <w:szCs w:val="22"/>
        </w:rPr>
      </w:pPr>
      <w:r w:rsidRPr="00E8642C">
        <w:rPr>
          <w:rFonts w:cs="Arial"/>
          <w:szCs w:val="22"/>
        </w:rPr>
        <w:t>Les Principes directeurs de propriété intellectuelle en matière d</w:t>
      </w:r>
      <w:r w:rsidR="00D91476">
        <w:rPr>
          <w:rFonts w:cs="Arial"/>
          <w:szCs w:val="22"/>
        </w:rPr>
        <w:t>’</w:t>
      </w:r>
      <w:r w:rsidRPr="00E8642C">
        <w:rPr>
          <w:rFonts w:cs="Arial"/>
          <w:szCs w:val="22"/>
        </w:rPr>
        <w:t>accès et de partage des avantages visent à servir les intérêts des fournisseurs et des destinataires des ressources génétiques lorsque ceux</w:t>
      </w:r>
      <w:r w:rsidR="00400337">
        <w:rPr>
          <w:rFonts w:cs="Arial"/>
          <w:szCs w:val="22"/>
        </w:rPr>
        <w:noBreakHyphen/>
      </w:r>
      <w:r w:rsidRPr="00E8642C">
        <w:rPr>
          <w:rFonts w:cs="Arial"/>
          <w:szCs w:val="22"/>
        </w:rPr>
        <w:t>ci négocient, définissent et rédigent les éléments de propriété intellectuelle des modalités fixées d</w:t>
      </w:r>
      <w:r w:rsidR="00D91476">
        <w:rPr>
          <w:rFonts w:cs="Arial"/>
          <w:szCs w:val="22"/>
        </w:rPr>
        <w:t>’</w:t>
      </w:r>
      <w:r w:rsidRPr="00E8642C">
        <w:rPr>
          <w:rFonts w:cs="Arial"/>
          <w:szCs w:val="22"/>
        </w:rPr>
        <w:t>un commun accord en ce qui concerne l</w:t>
      </w:r>
      <w:r w:rsidR="00D91476">
        <w:rPr>
          <w:rFonts w:cs="Arial"/>
          <w:szCs w:val="22"/>
        </w:rPr>
        <w:t>’</w:t>
      </w:r>
      <w:r w:rsidRPr="00E8642C">
        <w:rPr>
          <w:rFonts w:cs="Arial"/>
          <w:szCs w:val="22"/>
        </w:rPr>
        <w:t>accès aux ressources génétiques et le partage des avantag</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D91476">
        <w:rPr>
          <w:rFonts w:cs="Arial"/>
          <w:szCs w:val="22"/>
        </w:rPr>
        <w:t>’</w:t>
      </w:r>
      <w:r w:rsidRPr="00E8642C">
        <w:rPr>
          <w:rFonts w:cs="Arial"/>
          <w:szCs w:val="22"/>
        </w:rPr>
        <w:t>ils négocient un accord, un contrat ou une licen</w:t>
      </w:r>
      <w:r w:rsidR="001F3AEE" w:rsidRPr="00E8642C">
        <w:rPr>
          <w:rFonts w:cs="Arial"/>
          <w:szCs w:val="22"/>
        </w:rPr>
        <w:t>ce</w:t>
      </w:r>
      <w:r w:rsidR="001F3AEE">
        <w:rPr>
          <w:rFonts w:cs="Arial"/>
          <w:szCs w:val="22"/>
        </w:rPr>
        <w:t xml:space="preserve">.  </w:t>
      </w:r>
      <w:r w:rsidR="001F3AEE"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D91476">
        <w:rPr>
          <w:rFonts w:cs="Arial"/>
          <w:szCs w:val="22"/>
        </w:rPr>
        <w:t>’</w:t>
      </w:r>
      <w:r w:rsidRPr="00E8642C">
        <w:rPr>
          <w:rFonts w:cs="Arial"/>
          <w:szCs w:val="22"/>
        </w:rPr>
        <w:t>élaboration des clauses contractuell</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principes directeurs peuvent donc aider les fournisseurs et les destinataires à déterminer les conditions d</w:t>
      </w:r>
      <w:r w:rsidR="00D91476">
        <w:rPr>
          <w:rFonts w:cs="Arial"/>
          <w:szCs w:val="22"/>
        </w:rPr>
        <w:t>’</w:t>
      </w:r>
      <w:r w:rsidRPr="00E8642C">
        <w:rPr>
          <w:rFonts w:cs="Arial"/>
          <w:szCs w:val="22"/>
        </w:rPr>
        <w:t>accès et de partage des avantages de façon équitable et d</w:t>
      </w:r>
      <w:r w:rsidR="00D91476">
        <w:rPr>
          <w:rFonts w:cs="Arial"/>
          <w:szCs w:val="22"/>
        </w:rPr>
        <w:t>’</w:t>
      </w:r>
      <w:r w:rsidRPr="00E8642C">
        <w:rPr>
          <w:rFonts w:cs="Arial"/>
          <w:szCs w:val="22"/>
        </w:rPr>
        <w:t>un commun accord, sans prétendre toutefois imposer un modèle ou telles ou telles solutions.</w:t>
      </w:r>
    </w:p>
    <w:p w:rsidR="00AD541F" w:rsidRDefault="00DD607D" w:rsidP="00E104D3">
      <w:pPr>
        <w:spacing w:after="220"/>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D91476">
        <w:rPr>
          <w:rFonts w:cs="Arial"/>
          <w:szCs w:val="22"/>
        </w:rPr>
        <w:t>y compris</w:t>
      </w:r>
      <w:r w:rsidRPr="00E8642C">
        <w:rPr>
          <w:rFonts w:cs="Arial"/>
          <w:szCs w:val="22"/>
        </w:rPr>
        <w:t xml:space="preserve"> leur droit de fixer les conditions et les modalités d</w:t>
      </w:r>
      <w:r w:rsidR="00D91476">
        <w:rPr>
          <w:rFonts w:cs="Arial"/>
          <w:szCs w:val="22"/>
        </w:rPr>
        <w:t>’</w:t>
      </w:r>
      <w:r w:rsidRPr="00E8642C">
        <w:rPr>
          <w:rFonts w:cs="Arial"/>
          <w:szCs w:val="22"/>
        </w:rPr>
        <w:t>accès et de partage des avantag</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principes directeurs seraient de nature purement facultative et indicati</w:t>
      </w:r>
      <w:r w:rsidR="001F3AEE" w:rsidRPr="00E8642C">
        <w:rPr>
          <w:rFonts w:cs="Arial"/>
          <w:szCs w:val="22"/>
        </w:rPr>
        <w:t>ve</w:t>
      </w:r>
      <w:r w:rsidR="001F3AEE">
        <w:rPr>
          <w:rFonts w:cs="Arial"/>
          <w:szCs w:val="22"/>
        </w:rPr>
        <w:t xml:space="preserve">.  </w:t>
      </w:r>
      <w:r w:rsidR="001F3AEE"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AD541F" w:rsidRDefault="00DD607D" w:rsidP="00E104D3">
      <w:pPr>
        <w:spacing w:after="220"/>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400337">
        <w:rPr>
          <w:rFonts w:cs="Arial"/>
          <w:szCs w:val="22"/>
          <w:lang w:eastAsia="zh-CN"/>
        </w:rPr>
        <w:noBreakHyphen/>
      </w:r>
      <w:r w:rsidRPr="00E8642C">
        <w:rPr>
          <w:rFonts w:cs="Arial"/>
          <w:szCs w:val="22"/>
          <w:lang w:eastAsia="zh-CN"/>
        </w:rPr>
        <w:t>ci peuvent être préservées, conservées et utilisées dans l</w:t>
      </w:r>
      <w:r w:rsidR="00D91476">
        <w:rPr>
          <w:rFonts w:cs="Arial"/>
          <w:szCs w:val="22"/>
          <w:lang w:eastAsia="zh-CN"/>
        </w:rPr>
        <w:t>’</w:t>
      </w:r>
      <w:r w:rsidRPr="00E8642C">
        <w:rPr>
          <w:rFonts w:cs="Arial"/>
          <w:szCs w:val="22"/>
          <w:lang w:eastAsia="zh-CN"/>
        </w:rPr>
        <w:t>intérêt de l</w:t>
      </w:r>
      <w:r w:rsidR="00D91476">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D91476">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AD541F" w:rsidRDefault="00DD607D" w:rsidP="00E104D3">
      <w:pPr>
        <w:pStyle w:val="Heading2"/>
        <w:spacing w:after="220" w:line="240" w:lineRule="auto"/>
      </w:pPr>
      <w:bookmarkStart w:id="100" w:name="_Toc7772571"/>
      <w:r w:rsidRPr="00E8642C">
        <w:t>Propriété culturelle</w:t>
      </w:r>
      <w:bookmarkEnd w:id="100"/>
    </w:p>
    <w:p w:rsidR="00AD541F" w:rsidRDefault="00DD607D" w:rsidP="00E104D3">
      <w:pPr>
        <w:pStyle w:val="FootnoteText"/>
        <w:spacing w:after="220"/>
        <w:ind w:left="0" w:firstLine="0"/>
        <w:rPr>
          <w:rFonts w:cs="Arial"/>
          <w:snapToGrid w:val="0"/>
          <w:szCs w:val="22"/>
        </w:rPr>
      </w:pPr>
      <w:r w:rsidRPr="00E8642C">
        <w:rPr>
          <w:rFonts w:cs="Arial"/>
          <w:snapToGrid w:val="0"/>
          <w:szCs w:val="22"/>
        </w:rPr>
        <w:t>La propriété culturelle est définie dans l</w:t>
      </w:r>
      <w:r w:rsidR="00D91476">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D91476">
        <w:rPr>
          <w:rFonts w:cs="Arial"/>
          <w:i/>
          <w:snapToGrid w:val="0"/>
          <w:szCs w:val="22"/>
        </w:rPr>
        <w:t>’</w:t>
      </w:r>
      <w:r w:rsidRPr="00E8642C">
        <w:rPr>
          <w:rFonts w:cs="Arial"/>
          <w:i/>
          <w:snapToGrid w:val="0"/>
          <w:szCs w:val="22"/>
        </w:rPr>
        <w:t>importation, l</w:t>
      </w:r>
      <w:r w:rsidR="00D91476">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w:t>
      </w:r>
      <w:r w:rsidRPr="00E8642C">
        <w:rPr>
          <w:rFonts w:cs="Arial"/>
          <w:szCs w:val="22"/>
        </w:rPr>
        <w:lastRenderedPageBreak/>
        <w:t>l</w:t>
      </w:r>
      <w:r w:rsidR="00D91476">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D91476">
        <w:rPr>
          <w:rFonts w:cs="Arial"/>
          <w:snapToGrid w:val="0"/>
          <w:szCs w:val="22"/>
        </w:rPr>
        <w:t> :</w:t>
      </w:r>
      <w:r w:rsidRPr="00E8642C">
        <w:rPr>
          <w:rFonts w:cs="Arial"/>
          <w:snapToGrid w:val="0"/>
          <w:szCs w:val="22"/>
        </w:rPr>
        <w:t xml:space="preserve"> “biens qui, à titre religieux ou profane, sont désignés par chaque État comme étant d</w:t>
      </w:r>
      <w:r w:rsidR="00D91476">
        <w:rPr>
          <w:rFonts w:cs="Arial"/>
          <w:snapToGrid w:val="0"/>
          <w:szCs w:val="22"/>
        </w:rPr>
        <w:t>’</w:t>
      </w:r>
      <w:r w:rsidRPr="00E8642C">
        <w:rPr>
          <w:rFonts w:cs="Arial"/>
          <w:snapToGrid w:val="0"/>
          <w:szCs w:val="22"/>
        </w:rPr>
        <w:t>importance pour l</w:t>
      </w:r>
      <w:r w:rsidR="00D91476">
        <w:rPr>
          <w:rFonts w:cs="Arial"/>
          <w:snapToGrid w:val="0"/>
          <w:szCs w:val="22"/>
        </w:rPr>
        <w:t>’</w:t>
      </w:r>
      <w:r w:rsidRPr="00E8642C">
        <w:rPr>
          <w:rFonts w:cs="Arial"/>
          <w:snapToGrid w:val="0"/>
          <w:szCs w:val="22"/>
        </w:rPr>
        <w:t>archéologie, la préhistoire, l</w:t>
      </w:r>
      <w:r w:rsidR="00D91476">
        <w:rPr>
          <w:rFonts w:cs="Arial"/>
          <w:snapToGrid w:val="0"/>
          <w:szCs w:val="22"/>
        </w:rPr>
        <w:t>’</w:t>
      </w:r>
      <w:r w:rsidRPr="00E8642C">
        <w:rPr>
          <w:rFonts w:cs="Arial"/>
          <w:snapToGrid w:val="0"/>
          <w:szCs w:val="22"/>
        </w:rPr>
        <w:t>histoire, la littérature, l</w:t>
      </w:r>
      <w:r w:rsidR="00D91476">
        <w:rPr>
          <w:rFonts w:cs="Arial"/>
          <w:snapToGrid w:val="0"/>
          <w:szCs w:val="22"/>
        </w:rPr>
        <w:t>’</w:t>
      </w:r>
      <w:r w:rsidRPr="00E8642C">
        <w:rPr>
          <w:rFonts w:cs="Arial"/>
          <w:snapToGrid w:val="0"/>
          <w:szCs w:val="22"/>
        </w:rPr>
        <w:t>art ou la science, et qui appartiennent aux catégories ci</w:t>
      </w:r>
      <w:r w:rsidR="00400337">
        <w:rPr>
          <w:rFonts w:cs="Arial"/>
          <w:snapToGrid w:val="0"/>
          <w:szCs w:val="22"/>
        </w:rPr>
        <w:noBreakHyphen/>
      </w:r>
      <w:r w:rsidRPr="00E8642C">
        <w:rPr>
          <w:rFonts w:cs="Arial"/>
          <w:snapToGrid w:val="0"/>
          <w:szCs w:val="22"/>
        </w:rPr>
        <w:t>après</w:t>
      </w:r>
      <w:r w:rsidR="00D91476">
        <w:rPr>
          <w:rFonts w:cs="Arial"/>
          <w:snapToGrid w:val="0"/>
          <w:szCs w:val="22"/>
        </w:rPr>
        <w:t> :</w:t>
      </w:r>
      <w:r w:rsidRPr="00E8642C">
        <w:rPr>
          <w:rFonts w:cs="Arial"/>
          <w:snapToGrid w:val="0"/>
          <w:szCs w:val="22"/>
        </w:rPr>
        <w:t xml:space="preserve"> a) collections et spécimens rares de zoologie, de botanique, de minéralogie et d</w:t>
      </w:r>
      <w:r w:rsidR="00D91476">
        <w:rPr>
          <w:rFonts w:cs="Arial"/>
          <w:snapToGrid w:val="0"/>
          <w:szCs w:val="22"/>
        </w:rPr>
        <w:t>’</w:t>
      </w:r>
      <w:r w:rsidRPr="00E8642C">
        <w:rPr>
          <w:rFonts w:cs="Arial"/>
          <w:snapToGrid w:val="0"/>
          <w:szCs w:val="22"/>
        </w:rPr>
        <w:t>anatomie;  objets présentant un intérêt paléontologique;  b) les biens concernant l</w:t>
      </w:r>
      <w:r w:rsidR="00D91476">
        <w:rPr>
          <w:rFonts w:cs="Arial"/>
          <w:snapToGrid w:val="0"/>
          <w:szCs w:val="22"/>
        </w:rPr>
        <w:t>’</w:t>
      </w:r>
      <w:r w:rsidRPr="00E8642C">
        <w:rPr>
          <w:rFonts w:cs="Arial"/>
          <w:snapToGrid w:val="0"/>
          <w:szCs w:val="22"/>
        </w:rPr>
        <w:t xml:space="preserve">histoire, </w:t>
      </w:r>
      <w:r w:rsidR="00D91476">
        <w:rPr>
          <w:rFonts w:cs="Arial"/>
          <w:snapToGrid w:val="0"/>
          <w:szCs w:val="22"/>
        </w:rPr>
        <w:t>y compris</w:t>
      </w:r>
      <w:r w:rsidRPr="00E8642C">
        <w:rPr>
          <w:rFonts w:cs="Arial"/>
          <w:snapToGrid w:val="0"/>
          <w:szCs w:val="22"/>
        </w:rPr>
        <w:t xml:space="preserve"> l</w:t>
      </w:r>
      <w:r w:rsidR="00D91476">
        <w:rPr>
          <w:rFonts w:cs="Arial"/>
          <w:snapToGrid w:val="0"/>
          <w:szCs w:val="22"/>
        </w:rPr>
        <w:t>’</w:t>
      </w:r>
      <w:r w:rsidRPr="00E8642C">
        <w:rPr>
          <w:rFonts w:cs="Arial"/>
          <w:snapToGrid w:val="0"/>
          <w:szCs w:val="22"/>
        </w:rPr>
        <w:t>histoire des sciences et des techniques, l</w:t>
      </w:r>
      <w:r w:rsidR="00D91476">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D91476">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D91476">
        <w:rPr>
          <w:rFonts w:cs="Arial"/>
          <w:snapToGrid w:val="0"/>
          <w:szCs w:val="22"/>
        </w:rPr>
        <w:t>’</w:t>
      </w:r>
      <w:r w:rsidRPr="00E8642C">
        <w:rPr>
          <w:rFonts w:cs="Arial"/>
          <w:snapToGrid w:val="0"/>
          <w:szCs w:val="22"/>
        </w:rPr>
        <w:t>antiquité ayant plus de cent ans d</w:t>
      </w:r>
      <w:r w:rsidR="00D91476">
        <w:rPr>
          <w:rFonts w:cs="Arial"/>
          <w:snapToGrid w:val="0"/>
          <w:szCs w:val="22"/>
        </w:rPr>
        <w:t>’</w:t>
      </w:r>
      <w:r w:rsidRPr="00E8642C">
        <w:rPr>
          <w:rFonts w:cs="Arial"/>
          <w:snapToGrid w:val="0"/>
          <w:szCs w:val="22"/>
        </w:rPr>
        <w:t>âge, tels qu</w:t>
      </w:r>
      <w:r w:rsidR="00D91476">
        <w:rPr>
          <w:rFonts w:cs="Arial"/>
          <w:snapToGrid w:val="0"/>
          <w:szCs w:val="22"/>
        </w:rPr>
        <w:t>’</w:t>
      </w:r>
      <w:r w:rsidRPr="00E8642C">
        <w:rPr>
          <w:rFonts w:cs="Arial"/>
          <w:snapToGrid w:val="0"/>
          <w:szCs w:val="22"/>
        </w:rPr>
        <w:t>inscriptions, monnaies et sceaux gravés;  f) le matériel ethnologique;  g) les biens d</w:t>
      </w:r>
      <w:r w:rsidR="00D91476">
        <w:rPr>
          <w:rFonts w:cs="Arial"/>
          <w:snapToGrid w:val="0"/>
          <w:szCs w:val="22"/>
        </w:rPr>
        <w:t>’</w:t>
      </w:r>
      <w:r w:rsidRPr="00E8642C">
        <w:rPr>
          <w:rFonts w:cs="Arial"/>
          <w:snapToGrid w:val="0"/>
          <w:szCs w:val="22"/>
        </w:rPr>
        <w:t>intérêt artistique tels que</w:t>
      </w:r>
      <w:r w:rsidR="00D91476">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D91476">
        <w:rPr>
          <w:rFonts w:cs="Arial"/>
          <w:snapToGrid w:val="0"/>
          <w:szCs w:val="22"/>
        </w:rPr>
        <w:t>’</w:t>
      </w:r>
      <w:r w:rsidRPr="00E8642C">
        <w:rPr>
          <w:rFonts w:cs="Arial"/>
          <w:snapToGrid w:val="0"/>
          <w:szCs w:val="22"/>
        </w:rPr>
        <w:t>exclusion des dessins industriels et des articles manufacturés décorés à la main);  ii) productions originales de l</w:t>
      </w:r>
      <w:r w:rsidR="00D91476">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D91476">
        <w:rPr>
          <w:rFonts w:cs="Arial"/>
          <w:snapToGrid w:val="0"/>
          <w:szCs w:val="22"/>
        </w:rPr>
        <w:t>’</w:t>
      </w:r>
      <w:r w:rsidRPr="00E8642C">
        <w:rPr>
          <w:rFonts w:cs="Arial"/>
          <w:snapToGrid w:val="0"/>
          <w:szCs w:val="22"/>
        </w:rPr>
        <w:t>intérêt spécial (historique, artistique, scientifique, littéraire, etc.) isolés ou en collections;  i) timbres</w:t>
      </w:r>
      <w:r w:rsidR="00400337">
        <w:rPr>
          <w:rFonts w:cs="Arial"/>
          <w:snapToGrid w:val="0"/>
          <w:szCs w:val="22"/>
        </w:rPr>
        <w:noBreakHyphen/>
      </w:r>
      <w:r w:rsidRPr="00E8642C">
        <w:rPr>
          <w:rFonts w:cs="Arial"/>
          <w:snapToGrid w:val="0"/>
          <w:szCs w:val="22"/>
        </w:rPr>
        <w:t xml:space="preserve">poste, timbres fiscaux et analogues, isolés ou en collections;  j) archives, </w:t>
      </w:r>
      <w:r w:rsidR="00D91476">
        <w:rPr>
          <w:rFonts w:cs="Arial"/>
          <w:snapToGrid w:val="0"/>
          <w:szCs w:val="22"/>
        </w:rPr>
        <w:t>y compris</w:t>
      </w:r>
      <w:r w:rsidRPr="00E8642C">
        <w:rPr>
          <w:rFonts w:cs="Arial"/>
          <w:snapToGrid w:val="0"/>
          <w:szCs w:val="22"/>
        </w:rPr>
        <w:t xml:space="preserve"> les archives phonographiques, photographiques et cinématographies;  k) objets d</w:t>
      </w:r>
      <w:r w:rsidR="00D91476">
        <w:rPr>
          <w:rFonts w:cs="Arial"/>
          <w:snapToGrid w:val="0"/>
          <w:szCs w:val="22"/>
        </w:rPr>
        <w:t>’</w:t>
      </w:r>
      <w:r w:rsidRPr="00E8642C">
        <w:rPr>
          <w:rFonts w:cs="Arial"/>
          <w:snapToGrid w:val="0"/>
          <w:szCs w:val="22"/>
        </w:rPr>
        <w:t>ameublement ayant plus de cent ans d</w:t>
      </w:r>
      <w:r w:rsidR="00D91476">
        <w:rPr>
          <w:rFonts w:cs="Arial"/>
          <w:snapToGrid w:val="0"/>
          <w:szCs w:val="22"/>
        </w:rPr>
        <w:t>’</w:t>
      </w:r>
      <w:r w:rsidRPr="00E8642C">
        <w:rPr>
          <w:rFonts w:cs="Arial"/>
          <w:snapToGrid w:val="0"/>
          <w:szCs w:val="22"/>
        </w:rPr>
        <w:t>âge et instruments de musique anciens”.</w:t>
      </w:r>
    </w:p>
    <w:p w:rsidR="00AD541F" w:rsidRDefault="00DD607D" w:rsidP="00E104D3">
      <w:pPr>
        <w:pStyle w:val="Heading2"/>
        <w:spacing w:after="220" w:line="240" w:lineRule="auto"/>
      </w:pPr>
      <w:bookmarkStart w:id="101" w:name="_Toc7772572"/>
      <w:r w:rsidRPr="00E8642C">
        <w:t>Protection</w:t>
      </w:r>
      <w:bookmarkEnd w:id="101"/>
    </w:p>
    <w:p w:rsidR="00AD541F" w:rsidRDefault="00DD607D" w:rsidP="00E104D3">
      <w:pPr>
        <w:autoSpaceDE w:val="0"/>
        <w:autoSpaceDN w:val="0"/>
        <w:adjustRightInd w:val="0"/>
        <w:spacing w:after="220"/>
        <w:rPr>
          <w:rFonts w:cs="Arial"/>
          <w:szCs w:val="22"/>
        </w:rPr>
      </w:pPr>
      <w:r w:rsidRPr="00E8642C">
        <w:rPr>
          <w:rFonts w:cs="Arial"/>
          <w:szCs w:val="22"/>
        </w:rPr>
        <w:t>La “protection” dans le cadre des travaux de l</w:t>
      </w:r>
      <w:r w:rsidR="00D91476">
        <w:rPr>
          <w:rFonts w:cs="Arial"/>
          <w:szCs w:val="22"/>
        </w:rPr>
        <w:t>’</w:t>
      </w:r>
      <w:r w:rsidRPr="00E8642C">
        <w:rPr>
          <w:rFonts w:cs="Arial"/>
          <w:szCs w:val="22"/>
        </w:rPr>
        <w:t>IGC fait généralement référence à la protection des savoirs traditionnels et des expressions culturelles traditionnelles contre certaines formes d</w:t>
      </w:r>
      <w:r w:rsidR="00D91476">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AD541F" w:rsidRDefault="00DD607D" w:rsidP="00E104D3">
      <w:pPr>
        <w:pStyle w:val="Heading3"/>
        <w:spacing w:after="220" w:line="240" w:lineRule="auto"/>
      </w:pPr>
      <w:r w:rsidRPr="00E8642C">
        <w:t>Protection positive</w:t>
      </w:r>
    </w:p>
    <w:p w:rsidR="00AD541F" w:rsidRDefault="00DD607D" w:rsidP="00E104D3">
      <w:pPr>
        <w:autoSpaceDE w:val="0"/>
        <w:autoSpaceDN w:val="0"/>
        <w:adjustRightInd w:val="0"/>
        <w:spacing w:after="220"/>
        <w:rPr>
          <w:rFonts w:cs="Arial"/>
          <w:szCs w:val="22"/>
        </w:rPr>
      </w:pPr>
      <w:r w:rsidRPr="00E8642C">
        <w:rPr>
          <w:rFonts w:cs="Arial"/>
          <w:szCs w:val="22"/>
        </w:rPr>
        <w:t>L</w:t>
      </w:r>
      <w:r w:rsidR="00D91476">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D91476">
        <w:rPr>
          <w:rFonts w:cs="Arial"/>
          <w:szCs w:val="22"/>
        </w:rPr>
        <w:t>’</w:t>
      </w:r>
      <w:r w:rsidRPr="00E8642C">
        <w:rPr>
          <w:rFonts w:cs="Arial"/>
          <w:szCs w:val="22"/>
        </w:rPr>
        <w:t>un ayant trait à la prévention d</w:t>
      </w:r>
      <w:r w:rsidR="00D91476">
        <w:rPr>
          <w:rFonts w:cs="Arial"/>
          <w:szCs w:val="22"/>
        </w:rPr>
        <w:t>’</w:t>
      </w:r>
      <w:r w:rsidRPr="00E8642C">
        <w:rPr>
          <w:rFonts w:cs="Arial"/>
          <w:szCs w:val="22"/>
        </w:rPr>
        <w:t>une utilisation non autorisée et l</w:t>
      </w:r>
      <w:r w:rsidR="00D91476">
        <w:rPr>
          <w:rFonts w:cs="Arial"/>
          <w:szCs w:val="22"/>
        </w:rPr>
        <w:t>’</w:t>
      </w:r>
      <w:r w:rsidRPr="00E8642C">
        <w:rPr>
          <w:rFonts w:cs="Arial"/>
          <w:szCs w:val="22"/>
        </w:rPr>
        <w:t>autre ayant trait à l</w:t>
      </w:r>
      <w:r w:rsidR="00D91476">
        <w:rPr>
          <w:rFonts w:cs="Arial"/>
          <w:szCs w:val="22"/>
        </w:rPr>
        <w:t>’</w:t>
      </w:r>
      <w:r w:rsidRPr="00E8642C">
        <w:rPr>
          <w:rFonts w:cs="Arial"/>
          <w:szCs w:val="22"/>
        </w:rPr>
        <w:t>exploitation active des savoirs traditionnels et des expressions culturelles traditionnelles par la communauté à l</w:t>
      </w:r>
      <w:r w:rsidR="00D91476">
        <w:rPr>
          <w:rFonts w:cs="Arial"/>
          <w:szCs w:val="22"/>
        </w:rPr>
        <w:t>’</w:t>
      </w:r>
      <w:r w:rsidRPr="00E8642C">
        <w:rPr>
          <w:rFonts w:cs="Arial"/>
          <w:szCs w:val="22"/>
        </w:rPr>
        <w:t>origine de ces savoirs et expressions.  L</w:t>
      </w:r>
      <w:r w:rsidR="00D91476">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D91476">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D91476">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AD541F" w:rsidRDefault="00DD607D" w:rsidP="00E104D3">
      <w:pPr>
        <w:pStyle w:val="Heading3"/>
        <w:keepLines/>
        <w:spacing w:after="220" w:line="240" w:lineRule="auto"/>
      </w:pPr>
      <w:r w:rsidRPr="00E8642C">
        <w:t>Protection défensive</w:t>
      </w:r>
    </w:p>
    <w:p w:rsidR="00AD541F" w:rsidRDefault="00DD607D" w:rsidP="00EF47F4">
      <w:pPr>
        <w:keepNext/>
        <w:spacing w:after="220"/>
      </w:pPr>
      <w:r w:rsidRPr="00E8642C">
        <w:t>La protection défensive a été définie comme un ensemble de stratégies visant à empêcher l</w:t>
      </w:r>
      <w:r w:rsidR="00D91476">
        <w:t>’</w:t>
      </w:r>
      <w:r w:rsidRPr="00E8642C">
        <w:t xml:space="preserve">obtention de droits illégitimes ou infondés en matière de propriété intellectuelle sur les </w:t>
      </w:r>
      <w:r w:rsidRPr="00E8642C">
        <w:lastRenderedPageBreak/>
        <w:t>expressions culturelles traditionnelles, les savoirs traditionnels et les ressources génétiques qui s</w:t>
      </w:r>
      <w:r w:rsidR="00D91476">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AD541F" w:rsidRDefault="00DD607D" w:rsidP="00E104D3">
      <w:pPr>
        <w:pStyle w:val="Heading2"/>
        <w:spacing w:after="220" w:line="240" w:lineRule="auto"/>
      </w:pPr>
      <w:bookmarkStart w:id="102" w:name="_Toc7772573"/>
      <w:r w:rsidRPr="00E8642C">
        <w:t>Protocole</w:t>
      </w:r>
      <w:bookmarkEnd w:id="102"/>
    </w:p>
    <w:p w:rsidR="00AD541F" w:rsidRDefault="00DD607D" w:rsidP="00E104D3">
      <w:pPr>
        <w:spacing w:after="220"/>
      </w:pPr>
      <w:r w:rsidRPr="00E8642C">
        <w:t>Les protocoles sont des accords juridiques, des codes de conduite, des directives ou des ensembles de mœurs qui expliquent comment les gens devraient se comporter dans certaines circonstanc</w:t>
      </w:r>
      <w:r w:rsidR="001F3AEE" w:rsidRPr="00E8642C">
        <w:t>es</w:t>
      </w:r>
      <w:r w:rsidR="001F3AEE">
        <w:t xml:space="preserve">.  </w:t>
      </w:r>
      <w:r w:rsidR="001F3AEE" w:rsidRPr="00E8642C">
        <w:t>Il</w:t>
      </w:r>
      <w:r w:rsidRPr="00E8642C">
        <w:t>s peuvent être utilisés pour établir des normes communautaires sur la circulation et l</w:t>
      </w:r>
      <w:r w:rsidR="00D91476">
        <w:t>’</w:t>
      </w:r>
      <w:r w:rsidRPr="00E8642C">
        <w:t>usage des connaissances pour les étrangers ainsi que pour aider à changer la manière de procéder et définir de nouvelles norm</w:t>
      </w:r>
      <w:r w:rsidR="001F3AEE" w:rsidRPr="00E8642C">
        <w:t>es</w:t>
      </w:r>
      <w:r w:rsidR="001F3AEE">
        <w:t xml:space="preserve">.  </w:t>
      </w:r>
      <w:r w:rsidR="001F3AEE" w:rsidRPr="00E8642C">
        <w:t>Gé</w:t>
      </w:r>
      <w:r w:rsidRPr="00E8642C">
        <w:t>néralement, les protocoles sont flexibles et peuvent changer au fil du tem</w:t>
      </w:r>
      <w:r w:rsidR="001F3AEE" w:rsidRPr="00E8642C">
        <w:t>ps</w:t>
      </w:r>
      <w:r w:rsidR="001F3AEE">
        <w:t xml:space="preserve">.  </w:t>
      </w:r>
      <w:r w:rsidR="001F3AEE" w:rsidRPr="00E8642C">
        <w:t>Il</w:t>
      </w:r>
      <w:r w:rsidRPr="00E8642C">
        <w:t>s peuvent être utilisés comme des outils pour aider à atteindre certains objectifs que les autres domaines du droit ont été incapables d</w:t>
      </w:r>
      <w:r w:rsidR="00D91476">
        <w:t>’</w:t>
      </w:r>
      <w:r w:rsidRPr="00E8642C">
        <w:t>atteind</w:t>
      </w:r>
      <w:r w:rsidR="001F3AEE" w:rsidRPr="00E8642C">
        <w:t>re</w:t>
      </w:r>
      <w:r w:rsidR="001F3AEE">
        <w:t xml:space="preserve">.  </w:t>
      </w:r>
      <w:r w:rsidR="001F3AEE"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AD541F" w:rsidRDefault="00DD607D" w:rsidP="00E104D3">
      <w:pPr>
        <w:pStyle w:val="Heading2"/>
        <w:spacing w:after="220" w:line="240" w:lineRule="auto"/>
      </w:pPr>
      <w:bookmarkStart w:id="103" w:name="_Toc7772574"/>
      <w:r w:rsidRPr="00E8642C">
        <w:t>Protocole de Nagoya sur l</w:t>
      </w:r>
      <w:r w:rsidR="00D91476">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w:t>
      </w:r>
      <w:bookmarkEnd w:id="103"/>
    </w:p>
    <w:p w:rsidR="00AD541F" w:rsidRDefault="00DD607D" w:rsidP="00E104D3">
      <w:pPr>
        <w:pStyle w:val="BodyText"/>
        <w:tabs>
          <w:tab w:val="left" w:pos="567"/>
        </w:tabs>
        <w:spacing w:after="220"/>
        <w:rPr>
          <w:rFonts w:cs="Arial"/>
          <w:szCs w:val="22"/>
        </w:rPr>
      </w:pPr>
      <w:r w:rsidRPr="00E8642C">
        <w:rPr>
          <w:rFonts w:cs="Arial"/>
          <w:szCs w:val="22"/>
        </w:rPr>
        <w:t>Un protocole a été adopté en octobre 2010 durant la dixième réunion de la Conférence des Parties (COP 10) tenue à Nagoya (Jap</w:t>
      </w:r>
      <w:r w:rsidR="001F3AEE" w:rsidRPr="00E8642C">
        <w:rPr>
          <w:rFonts w:cs="Arial"/>
          <w:szCs w:val="22"/>
        </w:rPr>
        <w:t>on)</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1, l</w:t>
      </w:r>
      <w:r w:rsidR="00D91476">
        <w:rPr>
          <w:rFonts w:cs="Arial"/>
          <w:szCs w:val="22"/>
        </w:rPr>
        <w:t>’</w:t>
      </w:r>
      <w:r w:rsidRPr="00E8642C">
        <w:rPr>
          <w:rFonts w:cs="Arial"/>
          <w:szCs w:val="22"/>
        </w:rPr>
        <w:t>objectif de ce protocole est “le partage juste et équitable des avantages découlant de l</w:t>
      </w:r>
      <w:r w:rsidR="00D91476">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91476">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et sera ouvert à la signature au Siège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à New York du 2 février 2011 au</w:t>
      </w:r>
      <w:r w:rsidR="00D91476">
        <w:rPr>
          <w:rFonts w:cs="Arial"/>
          <w:szCs w:val="22"/>
        </w:rPr>
        <w:t xml:space="preserve"> 1</w:t>
      </w:r>
      <w:r w:rsidR="00D91476" w:rsidRPr="00D91476">
        <w:rPr>
          <w:rFonts w:cs="Arial"/>
          <w:szCs w:val="22"/>
          <w:vertAlign w:val="superscript"/>
        </w:rPr>
        <w:t>er</w:t>
      </w:r>
      <w:r w:rsidR="00D91476">
        <w:rPr>
          <w:rFonts w:cs="Arial"/>
          <w:szCs w:val="22"/>
        </w:rPr>
        <w:t> </w:t>
      </w:r>
      <w:r w:rsidRPr="00E8642C">
        <w:rPr>
          <w:rFonts w:cs="Arial"/>
          <w:szCs w:val="22"/>
        </w:rPr>
        <w:t>février 2012.</w:t>
      </w:r>
    </w:p>
    <w:p w:rsidR="00AD541F" w:rsidRDefault="00DD607D" w:rsidP="00E104D3">
      <w:pPr>
        <w:pStyle w:val="BodyText"/>
        <w:tabs>
          <w:tab w:val="left" w:pos="567"/>
        </w:tabs>
        <w:spacing w:after="22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D91476">
        <w:rPr>
          <w:rFonts w:cs="Arial"/>
          <w:szCs w:val="22"/>
          <w:lang w:eastAsia="zh-CN"/>
        </w:rPr>
        <w:t>’</w:t>
      </w:r>
      <w:r w:rsidRPr="00E8642C">
        <w:rPr>
          <w:rFonts w:cs="Arial"/>
          <w:szCs w:val="22"/>
          <w:lang w:eastAsia="zh-CN"/>
        </w:rPr>
        <w:t>article 7 (accès aux connaissances traditionnelles associées aux ressources génétiques), l</w:t>
      </w:r>
      <w:r w:rsidR="00D91476">
        <w:rPr>
          <w:rFonts w:cs="Arial"/>
          <w:szCs w:val="22"/>
          <w:lang w:eastAsia="zh-CN"/>
        </w:rPr>
        <w:t>’</w:t>
      </w:r>
      <w:r w:rsidRPr="00E8642C">
        <w:rPr>
          <w:rFonts w:cs="Arial"/>
          <w:szCs w:val="22"/>
          <w:lang w:eastAsia="zh-CN"/>
        </w:rPr>
        <w:t>article 12 (connaissances traditionnelles associées aux ressources génétiques) et l</w:t>
      </w:r>
      <w:r w:rsidR="00D91476">
        <w:rPr>
          <w:rFonts w:cs="Arial"/>
          <w:szCs w:val="22"/>
          <w:lang w:eastAsia="zh-CN"/>
        </w:rPr>
        <w:t>’</w:t>
      </w:r>
      <w:r w:rsidRPr="00E8642C">
        <w:rPr>
          <w:rFonts w:cs="Arial"/>
          <w:szCs w:val="22"/>
          <w:lang w:eastAsia="zh-CN"/>
        </w:rPr>
        <w:t>article 16 (respect de la législation ou des exigences internes en matière d</w:t>
      </w:r>
      <w:r w:rsidR="00D91476">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AD541F" w:rsidRDefault="00DD607D" w:rsidP="00E104D3">
      <w:pPr>
        <w:pStyle w:val="Heading2"/>
        <w:spacing w:after="220" w:line="240" w:lineRule="auto"/>
      </w:pPr>
      <w:bookmarkStart w:id="104" w:name="_Toc7772575"/>
      <w:r w:rsidRPr="00E8642C">
        <w:t>Protocole de Swakopmund relatif à la protection des savoirs traditionnels et des expressions du folklore</w:t>
      </w:r>
      <w:bookmarkEnd w:id="104"/>
    </w:p>
    <w:p w:rsidR="00AD541F" w:rsidRDefault="00DD607D" w:rsidP="00E104D3">
      <w:pPr>
        <w:spacing w:after="220"/>
        <w:rPr>
          <w:rFonts w:cs="Arial"/>
          <w:szCs w:val="22"/>
        </w:rPr>
      </w:pPr>
      <w:r w:rsidRPr="00E8642C">
        <w:rPr>
          <w:rFonts w:cs="Arial"/>
          <w:szCs w:val="22"/>
        </w:rPr>
        <w:t>Un protocole a été adopté par les États membres de l</w:t>
      </w:r>
      <w:r w:rsidR="00D91476">
        <w:rPr>
          <w:rFonts w:cs="Arial"/>
          <w:szCs w:val="22"/>
        </w:rPr>
        <w:t>’</w:t>
      </w:r>
      <w:r w:rsidRPr="00E8642C">
        <w:rPr>
          <w:rFonts w:cs="Arial"/>
          <w:szCs w:val="22"/>
        </w:rPr>
        <w:t>Organisation régionale africaine de la propriété intellectuelle (ARIPO) en août 2010 durant la Conférence diplomatique qui s</w:t>
      </w:r>
      <w:r w:rsidR="00D91476">
        <w:rPr>
          <w:rFonts w:cs="Arial"/>
          <w:szCs w:val="22"/>
        </w:rPr>
        <w:t>’</w:t>
      </w:r>
      <w:r w:rsidRPr="00E8642C">
        <w:rPr>
          <w:rFonts w:cs="Arial"/>
          <w:szCs w:val="22"/>
        </w:rPr>
        <w:t>est tenue à Swakopmund (Namib</w:t>
      </w:r>
      <w:r w:rsidR="001F3AEE" w:rsidRPr="00E8642C">
        <w:rPr>
          <w:rFonts w:cs="Arial"/>
          <w:szCs w:val="22"/>
        </w:rPr>
        <w:t>ie)</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1.1, l</w:t>
      </w:r>
      <w:r w:rsidR="00D91476">
        <w:rPr>
          <w:rFonts w:cs="Arial"/>
          <w:szCs w:val="22"/>
        </w:rPr>
        <w:t>’</w:t>
      </w:r>
      <w:r w:rsidRPr="00E8642C">
        <w:rPr>
          <w:rFonts w:cs="Arial"/>
          <w:szCs w:val="22"/>
        </w:rPr>
        <w:t>objectif de ce protocole est</w:t>
      </w:r>
      <w:r w:rsidR="00D91476">
        <w:rPr>
          <w:rFonts w:cs="Arial"/>
          <w:szCs w:val="22"/>
        </w:rPr>
        <w:t> :</w:t>
      </w:r>
      <w:r w:rsidRPr="00E8642C">
        <w:rPr>
          <w:rFonts w:cs="Arial"/>
          <w:szCs w:val="22"/>
        </w:rPr>
        <w:t xml:space="preserve"> “</w:t>
      </w:r>
      <w:r w:rsidRPr="00E8642C">
        <w:rPr>
          <w:rFonts w:cs="Arial"/>
          <w:i/>
          <w:iCs/>
          <w:szCs w:val="22"/>
        </w:rPr>
        <w:t xml:space="preserve">a) de protéger les détenteurs de savoirs traditionnels contre toute atteinte aux droits qui leur sont reconnus par le présent </w:t>
      </w:r>
      <w:proofErr w:type="gramStart"/>
      <w:r w:rsidRPr="00E8642C">
        <w:rPr>
          <w:rFonts w:cs="Arial"/>
          <w:i/>
          <w:iCs/>
          <w:szCs w:val="22"/>
        </w:rPr>
        <w:t>Protocole;  et</w:t>
      </w:r>
      <w:proofErr w:type="gramEnd"/>
      <w:r w:rsidRPr="00E8642C">
        <w:rPr>
          <w:rFonts w:cs="Arial"/>
          <w:i/>
          <w:iCs/>
          <w:szCs w:val="22"/>
        </w:rPr>
        <w: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D91476">
        <w:rPr>
          <w:rFonts w:cs="Arial"/>
          <w:szCs w:val="22"/>
        </w:rPr>
        <w:t>’</w:t>
      </w:r>
      <w:r w:rsidRPr="00E8642C">
        <w:rPr>
          <w:rFonts w:cs="Arial"/>
          <w:szCs w:val="22"/>
        </w:rPr>
        <w:t>ARIPO ont déposé leurs instruments de ratification ou d</w:t>
      </w:r>
      <w:r w:rsidR="00D91476">
        <w:rPr>
          <w:rFonts w:cs="Arial"/>
          <w:szCs w:val="22"/>
        </w:rPr>
        <w:t>’</w:t>
      </w:r>
      <w:r w:rsidRPr="00E8642C">
        <w:rPr>
          <w:rFonts w:cs="Arial"/>
          <w:szCs w:val="22"/>
        </w:rPr>
        <w:t>adhésion.</w:t>
      </w:r>
    </w:p>
    <w:p w:rsidR="00AD541F" w:rsidRDefault="00DD607D" w:rsidP="00E104D3">
      <w:pPr>
        <w:pStyle w:val="Heading2"/>
        <w:spacing w:after="220" w:line="240" w:lineRule="auto"/>
      </w:pPr>
      <w:bookmarkStart w:id="105" w:name="_Toc7772576"/>
      <w:r w:rsidRPr="00E8642C">
        <w:lastRenderedPageBreak/>
        <w:t>Publiquement disponible</w:t>
      </w:r>
      <w:bookmarkEnd w:id="105"/>
    </w:p>
    <w:p w:rsidR="00AD541F" w:rsidRDefault="00DD607D" w:rsidP="00E104D3">
      <w:pPr>
        <w:spacing w:after="220"/>
        <w:rPr>
          <w:rFonts w:cs="Arial"/>
          <w:szCs w:val="22"/>
        </w:rPr>
      </w:pPr>
      <w:r w:rsidRPr="00E8642C">
        <w:rPr>
          <w:rFonts w:cs="Arial"/>
          <w:szCs w:val="22"/>
        </w:rPr>
        <w:t>Les experts de la Réunion du groupe d</w:t>
      </w:r>
      <w:r w:rsidR="00D91476">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D91476">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D91476">
        <w:rPr>
          <w:rFonts w:cs="Arial"/>
          <w:szCs w:val="22"/>
        </w:rPr>
        <w:t> :</w:t>
      </w:r>
      <w:r w:rsidRPr="00E8642C">
        <w:rPr>
          <w:rFonts w:cs="Arial"/>
          <w:szCs w:val="22"/>
        </w:rPr>
        <w:t xml:space="preserve"> </w:t>
      </w:r>
      <w:r w:rsidRPr="00E8642C">
        <w:rPr>
          <w:rFonts w:cs="Arial"/>
          <w:iCs/>
          <w:szCs w:val="22"/>
        </w:rPr>
        <w:t>“Il a été indiqué que l</w:t>
      </w:r>
      <w:r w:rsidR="00D91476">
        <w:rPr>
          <w:rFonts w:cs="Arial"/>
          <w:iCs/>
          <w:szCs w:val="22"/>
        </w:rPr>
        <w:t>’</w:t>
      </w:r>
      <w:r w:rsidRPr="00E8642C">
        <w:rPr>
          <w:rFonts w:cs="Arial"/>
          <w:iCs/>
          <w:szCs w:val="22"/>
        </w:rPr>
        <w:t xml:space="preserve">expression </w:t>
      </w:r>
      <w:r w:rsidR="00D91476">
        <w:rPr>
          <w:rFonts w:cs="Arial"/>
          <w:iCs/>
          <w:szCs w:val="22"/>
        </w:rPr>
        <w:t>‘</w:t>
      </w:r>
      <w:r w:rsidRPr="00E8642C">
        <w:rPr>
          <w:rFonts w:cs="Arial"/>
          <w:iCs/>
          <w:szCs w:val="22"/>
        </w:rPr>
        <w:t>domaine public</w:t>
      </w:r>
      <w:r w:rsidR="00D91476">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D91476">
        <w:rPr>
          <w:rFonts w:cs="Arial"/>
          <w:iCs/>
          <w:szCs w:val="22"/>
        </w:rPr>
        <w:t>‘</w:t>
      </w:r>
      <w:r w:rsidRPr="00E8642C">
        <w:rPr>
          <w:rFonts w:cs="Arial"/>
          <w:iCs/>
          <w:szCs w:val="22"/>
        </w:rPr>
        <w:t>Publiquement disponible</w:t>
      </w:r>
      <w:r w:rsidR="00D91476">
        <w:rPr>
          <w:rFonts w:cs="Arial"/>
          <w:iCs/>
          <w:szCs w:val="22"/>
        </w:rPr>
        <w:t>’</w:t>
      </w:r>
      <w:r w:rsidRPr="00E8642C">
        <w:rPr>
          <w:rFonts w:cs="Arial"/>
          <w:iCs/>
          <w:szCs w:val="22"/>
        </w:rPr>
        <w:t xml:space="preserve"> ne signifie pas normalement disponible gratuiteme</w:t>
      </w:r>
      <w:r w:rsidR="001F3AEE" w:rsidRPr="00E8642C">
        <w:rPr>
          <w:rFonts w:cs="Arial"/>
          <w:iCs/>
          <w:szCs w:val="22"/>
        </w:rPr>
        <w:t>nt</w:t>
      </w:r>
      <w:r w:rsidR="001F3AEE">
        <w:rPr>
          <w:rFonts w:cs="Arial"/>
          <w:iCs/>
          <w:szCs w:val="22"/>
        </w:rPr>
        <w:t xml:space="preserve">.  </w:t>
      </w:r>
      <w:r w:rsidR="001F3AEE" w:rsidRPr="00E8642C">
        <w:rPr>
          <w:rFonts w:cs="Arial"/>
          <w:iCs/>
          <w:szCs w:val="22"/>
        </w:rPr>
        <w:t>Ce</w:t>
      </w:r>
      <w:r w:rsidRPr="00E8642C">
        <w:rPr>
          <w:rFonts w:cs="Arial"/>
          <w:iCs/>
          <w:szCs w:val="22"/>
        </w:rPr>
        <w:t>tte expression pourrait signifier qu</w:t>
      </w:r>
      <w:r w:rsidR="00D91476">
        <w:rPr>
          <w:rFonts w:cs="Arial"/>
          <w:iCs/>
          <w:szCs w:val="22"/>
        </w:rPr>
        <w:t>’</w:t>
      </w:r>
      <w:r w:rsidRPr="00E8642C">
        <w:rPr>
          <w:rFonts w:cs="Arial"/>
          <w:iCs/>
          <w:szCs w:val="22"/>
        </w:rPr>
        <w:t>il y a une condition pour imposer des modalités convenues d</w:t>
      </w:r>
      <w:r w:rsidR="00D91476">
        <w:rPr>
          <w:rFonts w:cs="Arial"/>
          <w:iCs/>
          <w:szCs w:val="22"/>
        </w:rPr>
        <w:t>’</w:t>
      </w:r>
      <w:r w:rsidRPr="00E8642C">
        <w:rPr>
          <w:rFonts w:cs="Arial"/>
          <w:iCs/>
          <w:szCs w:val="22"/>
        </w:rPr>
        <w:t>un commun accord comme le paiement d</w:t>
      </w:r>
      <w:r w:rsidR="00D91476">
        <w:rPr>
          <w:rFonts w:cs="Arial"/>
          <w:iCs/>
          <w:szCs w:val="22"/>
        </w:rPr>
        <w:t>’</w:t>
      </w:r>
      <w:r w:rsidRPr="00E8642C">
        <w:rPr>
          <w:rFonts w:cs="Arial"/>
          <w:iCs/>
          <w:szCs w:val="22"/>
        </w:rPr>
        <w:t>un droit d</w:t>
      </w:r>
      <w:r w:rsidR="00D91476">
        <w:rPr>
          <w:rFonts w:cs="Arial"/>
          <w:iCs/>
          <w:szCs w:val="22"/>
        </w:rPr>
        <w:t>’</w:t>
      </w:r>
      <w:r w:rsidRPr="00E8642C">
        <w:rPr>
          <w:rFonts w:cs="Arial"/>
          <w:iCs/>
          <w:szCs w:val="22"/>
        </w:rPr>
        <w:t>acc</w:t>
      </w:r>
      <w:r w:rsidR="001F3AEE" w:rsidRPr="00E8642C">
        <w:rPr>
          <w:rFonts w:cs="Arial"/>
          <w:iCs/>
          <w:szCs w:val="22"/>
        </w:rPr>
        <w:t>ès</w:t>
      </w:r>
      <w:r w:rsidR="001F3AEE">
        <w:rPr>
          <w:rFonts w:cs="Arial"/>
          <w:iCs/>
          <w:szCs w:val="22"/>
        </w:rPr>
        <w:t xml:space="preserve">.  </w:t>
      </w:r>
      <w:r w:rsidR="001F3AEE"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D91476">
        <w:rPr>
          <w:rFonts w:cs="Arial"/>
          <w:iCs/>
          <w:szCs w:val="22"/>
        </w:rPr>
        <w:t>’</w:t>
      </w:r>
      <w:r w:rsidRPr="00E8642C">
        <w:rPr>
          <w:rFonts w:cs="Arial"/>
          <w:iCs/>
          <w:szCs w:val="22"/>
        </w:rPr>
        <w:t>on y a eu accès et qu</w:t>
      </w:r>
      <w:r w:rsidR="00D91476">
        <w:rPr>
          <w:rFonts w:cs="Arial"/>
          <w:iCs/>
          <w:szCs w:val="22"/>
        </w:rPr>
        <w:t>’</w:t>
      </w:r>
      <w:r w:rsidRPr="00E8642C">
        <w:rPr>
          <w:rFonts w:cs="Arial"/>
          <w:iCs/>
          <w:szCs w:val="22"/>
        </w:rPr>
        <w:t>on les a enlevées du contexte culturel particulier pour les diffus</w:t>
      </w:r>
      <w:r w:rsidR="001F3AEE" w:rsidRPr="00E8642C">
        <w:rPr>
          <w:rFonts w:cs="Arial"/>
          <w:iCs/>
          <w:szCs w:val="22"/>
        </w:rPr>
        <w:t>er</w:t>
      </w:r>
      <w:r w:rsidR="001F3AEE">
        <w:rPr>
          <w:rFonts w:cs="Arial"/>
          <w:iCs/>
          <w:szCs w:val="22"/>
        </w:rPr>
        <w:t xml:space="preserve">.  </w:t>
      </w:r>
      <w:r w:rsidR="001F3AEE"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D91476">
        <w:rPr>
          <w:rFonts w:cs="Arial"/>
          <w:iCs/>
          <w:szCs w:val="22"/>
        </w:rPr>
        <w:t>’</w:t>
      </w:r>
      <w:r w:rsidRPr="00E8642C">
        <w:rPr>
          <w:rFonts w:cs="Arial"/>
          <w:iCs/>
          <w:szCs w:val="22"/>
        </w:rPr>
        <w:t>appartiennent pas à quelqu</w:t>
      </w:r>
      <w:r w:rsidR="00D91476">
        <w:rPr>
          <w:rFonts w:cs="Arial"/>
          <w:iCs/>
          <w:szCs w:val="22"/>
        </w:rPr>
        <w:t>’</w:t>
      </w:r>
      <w:r w:rsidR="001F3AEE" w:rsidRPr="00E8642C">
        <w:rPr>
          <w:rFonts w:cs="Arial"/>
          <w:iCs/>
          <w:szCs w:val="22"/>
        </w:rPr>
        <w:t>un</w:t>
      </w:r>
      <w:r w:rsidR="001F3AEE">
        <w:rPr>
          <w:rFonts w:cs="Arial"/>
          <w:iCs/>
          <w:szCs w:val="22"/>
        </w:rPr>
        <w:t xml:space="preserve">.  </w:t>
      </w:r>
      <w:r w:rsidR="001F3AEE" w:rsidRPr="00E8642C">
        <w:rPr>
          <w:rFonts w:cs="Arial"/>
          <w:iCs/>
          <w:szCs w:val="22"/>
        </w:rPr>
        <w:t>Da</w:t>
      </w:r>
      <w:r w:rsidRPr="00E8642C">
        <w:rPr>
          <w:rFonts w:cs="Arial"/>
          <w:iCs/>
          <w:szCs w:val="22"/>
        </w:rPr>
        <w:t>ns le cadre du concept de la disponibilité publique, le consentement préalable donné en connaissance de cause d</w:t>
      </w:r>
      <w:r w:rsidR="00D91476">
        <w:rPr>
          <w:rFonts w:cs="Arial"/>
          <w:iCs/>
          <w:szCs w:val="22"/>
        </w:rPr>
        <w:t>’</w:t>
      </w:r>
      <w:r w:rsidRPr="00E8642C">
        <w:rPr>
          <w:rFonts w:cs="Arial"/>
          <w:iCs/>
          <w:szCs w:val="22"/>
        </w:rPr>
        <w:t xml:space="preserve">un détenteur de connaissances traditionnelles qui est identifiable pourrait encore être requis et les dispositions du partage </w:t>
      </w:r>
      <w:proofErr w:type="gramStart"/>
      <w:r w:rsidRPr="00E8642C">
        <w:rPr>
          <w:rFonts w:cs="Arial"/>
          <w:iCs/>
          <w:szCs w:val="22"/>
        </w:rPr>
        <w:t>des avantages rendues</w:t>
      </w:r>
      <w:proofErr w:type="gramEnd"/>
      <w:r w:rsidRPr="00E8642C">
        <w:rPr>
          <w:rFonts w:cs="Arial"/>
          <w:iCs/>
          <w:szCs w:val="22"/>
        </w:rPr>
        <w:t xml:space="preserve"> applicables même lorsqu</w:t>
      </w:r>
      <w:r w:rsidR="00D91476">
        <w:rPr>
          <w:rFonts w:cs="Arial"/>
          <w:iCs/>
          <w:szCs w:val="22"/>
        </w:rPr>
        <w:t>’</w:t>
      </w:r>
      <w:r w:rsidRPr="00E8642C">
        <w:rPr>
          <w:rFonts w:cs="Arial"/>
          <w:iCs/>
          <w:szCs w:val="22"/>
        </w:rPr>
        <w:t>un changement d</w:t>
      </w:r>
      <w:r w:rsidR="00D91476">
        <w:rPr>
          <w:rFonts w:cs="Arial"/>
          <w:iCs/>
          <w:szCs w:val="22"/>
        </w:rPr>
        <w:t>’</w:t>
      </w:r>
      <w:r w:rsidRPr="00E8642C">
        <w:rPr>
          <w:rFonts w:cs="Arial"/>
          <w:iCs/>
          <w:szCs w:val="22"/>
        </w:rPr>
        <w:t>utilisation est discernable d</w:t>
      </w:r>
      <w:r w:rsidR="00D91476">
        <w:rPr>
          <w:rFonts w:cs="Arial"/>
          <w:iCs/>
          <w:szCs w:val="22"/>
        </w:rPr>
        <w:t>’</w:t>
      </w:r>
      <w:r w:rsidRPr="00E8642C">
        <w:rPr>
          <w:rFonts w:cs="Arial"/>
          <w:iCs/>
          <w:szCs w:val="22"/>
        </w:rPr>
        <w:t>un consentement préalable donné en connaissance de cause précédemme</w:t>
      </w:r>
      <w:r w:rsidR="001F3AEE" w:rsidRPr="00E8642C">
        <w:rPr>
          <w:rFonts w:cs="Arial"/>
          <w:iCs/>
          <w:szCs w:val="22"/>
        </w:rPr>
        <w:t>nt</w:t>
      </w:r>
      <w:r w:rsidR="001F3AEE">
        <w:rPr>
          <w:rFonts w:cs="Arial"/>
          <w:iCs/>
          <w:szCs w:val="22"/>
        </w:rPr>
        <w:t xml:space="preserve">.  </w:t>
      </w:r>
      <w:r w:rsidR="001F3AEE" w:rsidRPr="00E8642C">
        <w:rPr>
          <w:rFonts w:cs="Arial"/>
          <w:iCs/>
          <w:szCs w:val="22"/>
        </w:rPr>
        <w:t>Lo</w:t>
      </w:r>
      <w:r w:rsidRPr="00E8642C">
        <w:rPr>
          <w:rFonts w:cs="Arial"/>
          <w:iCs/>
          <w:szCs w:val="22"/>
        </w:rPr>
        <w:t>rsqu</w:t>
      </w:r>
      <w:r w:rsidR="00D91476">
        <w:rPr>
          <w:rFonts w:cs="Arial"/>
          <w:iCs/>
          <w:szCs w:val="22"/>
        </w:rPr>
        <w:t>’</w:t>
      </w:r>
      <w:r w:rsidRPr="00E8642C">
        <w:rPr>
          <w:rFonts w:cs="Arial"/>
          <w:iCs/>
          <w:szCs w:val="22"/>
        </w:rPr>
        <w:t>un détenteur n</w:t>
      </w:r>
      <w:r w:rsidR="00D91476">
        <w:rPr>
          <w:rFonts w:cs="Arial"/>
          <w:iCs/>
          <w:szCs w:val="22"/>
        </w:rPr>
        <w:t>’</w:t>
      </w:r>
      <w:r w:rsidRPr="00E8642C">
        <w:rPr>
          <w:rFonts w:cs="Arial"/>
          <w:iCs/>
          <w:szCs w:val="22"/>
        </w:rPr>
        <w:t>est pas identifiable, l</w:t>
      </w:r>
      <w:r w:rsidR="00D91476">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AD541F" w:rsidRDefault="00DD607D" w:rsidP="00E104D3">
      <w:pPr>
        <w:pStyle w:val="Heading2"/>
        <w:keepLines/>
        <w:spacing w:after="220" w:line="240" w:lineRule="auto"/>
      </w:pPr>
      <w:bookmarkStart w:id="106" w:name="_Toc7772577"/>
      <w:r w:rsidRPr="00E8642C">
        <w:t>Registres de savoirs traditionnels</w:t>
      </w:r>
      <w:bookmarkEnd w:id="106"/>
    </w:p>
    <w:p w:rsidR="00AD541F" w:rsidRDefault="00DD607D" w:rsidP="00E104D3">
      <w:pPr>
        <w:keepNext/>
        <w:keepLines/>
        <w:spacing w:after="220"/>
        <w:rPr>
          <w:rFonts w:cs="Arial"/>
          <w:szCs w:val="22"/>
        </w:rPr>
      </w:pPr>
      <w:r w:rsidRPr="00E8642C">
        <w:rPr>
          <w:rFonts w:cs="Arial"/>
          <w:szCs w:val="22"/>
        </w:rPr>
        <w:t>Les registres peuvent être analysés depuis plusieurs perspectives différent</w:t>
      </w:r>
      <w:r w:rsidR="001F3AEE" w:rsidRPr="00E8642C">
        <w:rPr>
          <w:rFonts w:cs="Arial"/>
          <w:szCs w:val="22"/>
        </w:rPr>
        <w:t>es</w:t>
      </w:r>
      <w:r w:rsidR="001F3AEE">
        <w:rPr>
          <w:rFonts w:cs="Arial"/>
          <w:szCs w:val="22"/>
        </w:rPr>
        <w:t xml:space="preserve">.  </w:t>
      </w:r>
      <w:r w:rsidR="001F3AEE"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AD541F" w:rsidRDefault="00DD607D" w:rsidP="00E104D3">
      <w:pPr>
        <w:spacing w:after="220"/>
        <w:rPr>
          <w:rFonts w:cs="Arial"/>
          <w:szCs w:val="22"/>
        </w:rPr>
      </w:pPr>
      <w:r w:rsidRPr="00E8642C">
        <w:rPr>
          <w:rFonts w:cs="Arial"/>
          <w:szCs w:val="22"/>
        </w:rPr>
        <w:t>Un régime déclaratoire relatif aux savoirs traditionnels reconnaît que les droits sur des savoirs traditionnels ne découlent pas d</w:t>
      </w:r>
      <w:r w:rsidR="00D91476">
        <w:rPr>
          <w:rFonts w:cs="Arial"/>
          <w:szCs w:val="22"/>
        </w:rPr>
        <w:t>’</w:t>
      </w:r>
      <w:r w:rsidRPr="00E8642C">
        <w:rPr>
          <w:rFonts w:cs="Arial"/>
          <w:szCs w:val="22"/>
        </w:rPr>
        <w:t xml:space="preserve">un acte quelconque du gouvernement mais se fondent plutôt sur des droits préexistants, </w:t>
      </w:r>
      <w:r w:rsidR="00D91476">
        <w:rPr>
          <w:rFonts w:cs="Arial"/>
          <w:szCs w:val="22"/>
        </w:rPr>
        <w:t>y compris</w:t>
      </w:r>
      <w:r w:rsidRPr="00E8642C">
        <w:rPr>
          <w:rFonts w:cs="Arial"/>
          <w:szCs w:val="22"/>
        </w:rPr>
        <w:t xml:space="preserve"> les droits ancestraux, coutumiers, moraux et des droits humai</w:t>
      </w:r>
      <w:r w:rsidR="001F3AEE" w:rsidRPr="00E8642C">
        <w:rPr>
          <w:rFonts w:cs="Arial"/>
          <w:szCs w:val="22"/>
        </w:rPr>
        <w:t>ns</w:t>
      </w:r>
      <w:r w:rsidR="001F3AEE">
        <w:rPr>
          <w:rFonts w:cs="Arial"/>
          <w:szCs w:val="22"/>
        </w:rPr>
        <w:t xml:space="preserve">.  </w:t>
      </w:r>
      <w:r w:rsidR="001F3AEE" w:rsidRPr="00E8642C">
        <w:rPr>
          <w:rFonts w:cs="Arial"/>
          <w:szCs w:val="22"/>
        </w:rPr>
        <w:t>Da</w:t>
      </w:r>
      <w:r w:rsidRPr="00E8642C">
        <w:rPr>
          <w:rFonts w:cs="Arial"/>
          <w:szCs w:val="22"/>
        </w:rPr>
        <w:t>ns le cas des registres déclaratifs, bien que l</w:t>
      </w:r>
      <w:r w:rsidR="00D91476">
        <w:rPr>
          <w:rFonts w:cs="Arial"/>
          <w:szCs w:val="22"/>
        </w:rPr>
        <w:t>’</w:t>
      </w:r>
      <w:r w:rsidRPr="00E8642C">
        <w:rPr>
          <w:rFonts w:cs="Arial"/>
          <w:szCs w:val="22"/>
        </w:rPr>
        <w:t>enregistrement n</w:t>
      </w:r>
      <w:r w:rsidR="00D91476">
        <w:rPr>
          <w:rFonts w:cs="Arial"/>
          <w:szCs w:val="22"/>
        </w:rPr>
        <w:t>’</w:t>
      </w:r>
      <w:r w:rsidRPr="00E8642C">
        <w:rPr>
          <w:rFonts w:cs="Arial"/>
          <w:szCs w:val="22"/>
        </w:rPr>
        <w:t>ait pas d</w:t>
      </w:r>
      <w:r w:rsidR="00D91476">
        <w:rPr>
          <w:rFonts w:cs="Arial"/>
          <w:szCs w:val="22"/>
        </w:rPr>
        <w:t>’</w:t>
      </w:r>
      <w:r w:rsidRPr="00E8642C">
        <w:rPr>
          <w:rFonts w:cs="Arial"/>
          <w:szCs w:val="22"/>
        </w:rPr>
        <w:t>incidence sur l</w:t>
      </w:r>
      <w:r w:rsidR="00D91476">
        <w:rPr>
          <w:rFonts w:cs="Arial"/>
          <w:szCs w:val="22"/>
        </w:rPr>
        <w:t>’</w:t>
      </w:r>
      <w:r w:rsidRPr="00E8642C">
        <w:rPr>
          <w:rFonts w:cs="Arial"/>
          <w:szCs w:val="22"/>
        </w:rPr>
        <w:t>existence de ces droits, il peut être utilisé pour aider les examinateurs de brevets à analyser l</w:t>
      </w:r>
      <w:r w:rsidR="00D91476">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1F3AEE" w:rsidRPr="00E8642C">
        <w:rPr>
          <w:rFonts w:cs="Arial"/>
          <w:szCs w:val="22"/>
        </w:rPr>
        <w:t>ls</w:t>
      </w:r>
      <w:r w:rsidR="001F3AEE">
        <w:rPr>
          <w:rFonts w:cs="Arial"/>
          <w:szCs w:val="22"/>
        </w:rPr>
        <w:t xml:space="preserve">.  </w:t>
      </w:r>
      <w:r w:rsidR="001F3AEE" w:rsidRPr="00E8642C">
        <w:rPr>
          <w:rFonts w:cs="Arial"/>
          <w:szCs w:val="22"/>
        </w:rPr>
        <w:t>Lo</w:t>
      </w:r>
      <w:r w:rsidRPr="00E8642C">
        <w:rPr>
          <w:rFonts w:cs="Arial"/>
          <w:szCs w:val="22"/>
        </w:rPr>
        <w:t>rsque ces registres se présentent sous forme électronique et sont disponibles via l</w:t>
      </w:r>
      <w:r w:rsidR="00D91476">
        <w:rPr>
          <w:rFonts w:cs="Arial"/>
          <w:szCs w:val="22"/>
        </w:rPr>
        <w:t>’</w:t>
      </w:r>
      <w:r w:rsidRPr="00E8642C">
        <w:rPr>
          <w:rFonts w:cs="Arial"/>
          <w:szCs w:val="22"/>
        </w:rPr>
        <w:t>Internet, il est important de mettre en place un mécanisme qui permette d</w:t>
      </w:r>
      <w:r w:rsidR="00D91476">
        <w:rPr>
          <w:rFonts w:cs="Arial"/>
          <w:szCs w:val="22"/>
        </w:rPr>
        <w:t>’</w:t>
      </w:r>
      <w:r w:rsidRPr="00E8642C">
        <w:rPr>
          <w:rFonts w:cs="Arial"/>
          <w:szCs w:val="22"/>
        </w:rPr>
        <w:t>assurer que les dates d</w:t>
      </w:r>
      <w:r w:rsidR="00D91476">
        <w:rPr>
          <w:rFonts w:cs="Arial"/>
          <w:szCs w:val="22"/>
        </w:rPr>
        <w:t>’</w:t>
      </w:r>
      <w:r w:rsidRPr="00E8642C">
        <w:rPr>
          <w:rFonts w:cs="Arial"/>
          <w:szCs w:val="22"/>
        </w:rPr>
        <w:t>entrée des savoirs traditionnels sont valides lorsque des recherches relatives à la nouveauté et à l</w:t>
      </w:r>
      <w:r w:rsidR="00D91476">
        <w:rPr>
          <w:rFonts w:cs="Arial"/>
          <w:szCs w:val="22"/>
        </w:rPr>
        <w:t>’</w:t>
      </w:r>
      <w:r w:rsidRPr="00E8642C">
        <w:rPr>
          <w:rFonts w:cs="Arial"/>
          <w:szCs w:val="22"/>
        </w:rPr>
        <w:t>inventivité sont effectué</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AD541F" w:rsidRDefault="00DD607D" w:rsidP="00E104D3">
      <w:pPr>
        <w:spacing w:after="220"/>
        <w:rPr>
          <w:rFonts w:cs="Arial"/>
          <w:szCs w:val="22"/>
        </w:rPr>
      </w:pPr>
      <w:r w:rsidRPr="00E8642C">
        <w:rPr>
          <w:rFonts w:cs="Arial"/>
          <w:szCs w:val="22"/>
        </w:rPr>
        <w:t>Les registres constitutifs s</w:t>
      </w:r>
      <w:r w:rsidR="00D91476">
        <w:rPr>
          <w:rFonts w:cs="Arial"/>
          <w:szCs w:val="22"/>
        </w:rPr>
        <w:t>’</w:t>
      </w:r>
      <w:r w:rsidRPr="00E8642C">
        <w:rPr>
          <w:rFonts w:cs="Arial"/>
          <w:szCs w:val="22"/>
        </w:rPr>
        <w:t>inscrivent dans un régime juridique qui cherche à octroyer des droits sur des savoirs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registres constitutifs visent à enregistrer l</w:t>
      </w:r>
      <w:r w:rsidR="00D91476">
        <w:rPr>
          <w:rFonts w:cs="Arial"/>
          <w:szCs w:val="22"/>
        </w:rPr>
        <w:t>’</w:t>
      </w:r>
      <w:r w:rsidRPr="00E8642C">
        <w:rPr>
          <w:rFonts w:cs="Arial"/>
          <w:szCs w:val="22"/>
        </w:rPr>
        <w:t>octroi de droits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des droits de propriété exclusifs) au détenteur des savoirs traditionnels afin d</w:t>
      </w:r>
      <w:r w:rsidR="00D91476">
        <w:rPr>
          <w:rFonts w:cs="Arial"/>
          <w:szCs w:val="22"/>
        </w:rPr>
        <w:t>’</w:t>
      </w:r>
      <w:r w:rsidRPr="00E8642C">
        <w:rPr>
          <w:rFonts w:cs="Arial"/>
          <w:szCs w:val="22"/>
        </w:rPr>
        <w:t xml:space="preserve">assurer que les intérêts moraux, économiques et juridiques de ce dernier sont protégés et </w:t>
      </w:r>
      <w:r w:rsidRPr="00E8642C">
        <w:rPr>
          <w:rFonts w:cs="Arial"/>
          <w:szCs w:val="22"/>
        </w:rPr>
        <w:lastRenderedPageBreak/>
        <w:t>reconn</w:t>
      </w:r>
      <w:r w:rsidR="001F3AEE" w:rsidRPr="00E8642C">
        <w:rPr>
          <w:rFonts w:cs="Arial"/>
          <w:szCs w:val="22"/>
        </w:rPr>
        <w:t>us</w:t>
      </w:r>
      <w:r w:rsidR="001F3AEE">
        <w:rPr>
          <w:rFonts w:cs="Arial"/>
          <w:szCs w:val="22"/>
        </w:rPr>
        <w:t xml:space="preserve">.  </w:t>
      </w:r>
      <w:r w:rsidR="001F3AEE"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D91476">
        <w:rPr>
          <w:rFonts w:cs="Arial"/>
          <w:szCs w:val="22"/>
        </w:rPr>
        <w:t>’</w:t>
      </w:r>
      <w:r w:rsidRPr="00E8642C">
        <w:rPr>
          <w:rFonts w:cs="Arial"/>
          <w:szCs w:val="22"/>
        </w:rPr>
        <w:t>une loi ou d</w:t>
      </w:r>
      <w:r w:rsidR="00D91476">
        <w:rPr>
          <w:rFonts w:cs="Arial"/>
          <w:szCs w:val="22"/>
        </w:rPr>
        <w:t>’</w:t>
      </w:r>
      <w:r w:rsidRPr="00E8642C">
        <w:rPr>
          <w:rFonts w:cs="Arial"/>
          <w:szCs w:val="22"/>
        </w:rPr>
        <w:t>un règlement qui définit clairement de quelle manière se déroule l</w:t>
      </w:r>
      <w:r w:rsidR="00D91476">
        <w:rPr>
          <w:rFonts w:cs="Arial"/>
          <w:szCs w:val="22"/>
        </w:rPr>
        <w:t>’</w:t>
      </w:r>
      <w:r w:rsidRPr="00E8642C">
        <w:rPr>
          <w:rFonts w:cs="Arial"/>
          <w:szCs w:val="22"/>
        </w:rPr>
        <w:t>enregistrement valide de savoirs traditionnels et comment il est formellement reconnu et accep</w:t>
      </w:r>
      <w:r w:rsidR="001F3AEE" w:rsidRPr="00E8642C">
        <w:rPr>
          <w:rFonts w:cs="Arial"/>
          <w:szCs w:val="22"/>
        </w:rPr>
        <w:t>té</w:t>
      </w:r>
      <w:r w:rsidR="001F3AEE">
        <w:rPr>
          <w:rFonts w:cs="Arial"/>
          <w:szCs w:val="22"/>
        </w:rPr>
        <w:t xml:space="preserve">.  </w:t>
      </w:r>
      <w:r w:rsidR="001F3AEE" w:rsidRPr="00E8642C">
        <w:rPr>
          <w:rFonts w:cs="Arial"/>
          <w:szCs w:val="22"/>
        </w:rPr>
        <w:t xml:space="preserve">À </w:t>
      </w:r>
      <w:r w:rsidRPr="00E8642C">
        <w:rPr>
          <w:rFonts w:cs="Arial"/>
          <w:szCs w:val="22"/>
        </w:rPr>
        <w:t>cet égard, ces registres peuvent davantage être sujets à 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AD541F" w:rsidRDefault="00DD607D" w:rsidP="00E104D3">
      <w:pPr>
        <w:spacing w:after="220"/>
        <w:rPr>
          <w:rFonts w:cs="Arial"/>
          <w:iCs/>
          <w:szCs w:val="22"/>
        </w:rPr>
      </w:pPr>
      <w:r w:rsidRPr="00E8642C">
        <w:rPr>
          <w:rFonts w:cs="Arial"/>
          <w:szCs w:val="22"/>
        </w:rPr>
        <w:t>On peut citer comme exemple de loi nationale, l</w:t>
      </w:r>
      <w:r w:rsidR="00D91476">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D91476">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D91476">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D91476">
        <w:rPr>
          <w:rFonts w:cs="Arial"/>
          <w:iCs/>
          <w:szCs w:val="22"/>
        </w:rPr>
        <w:t> :</w:t>
      </w:r>
      <w:r w:rsidRPr="00E8642C">
        <w:rPr>
          <w:rFonts w:cs="Arial"/>
          <w:iCs/>
          <w:szCs w:val="22"/>
        </w:rPr>
        <w:t xml:space="preserve"> a) le Registre national public des savoirs collectifs des peuples </w:t>
      </w:r>
      <w:proofErr w:type="gramStart"/>
      <w:r w:rsidRPr="00E8642C">
        <w:rPr>
          <w:rFonts w:cs="Arial"/>
          <w:iCs/>
          <w:szCs w:val="22"/>
        </w:rPr>
        <w:t>autochtones;  b</w:t>
      </w:r>
      <w:proofErr w:type="gramEnd"/>
      <w:r w:rsidRPr="00E8642C">
        <w:rPr>
          <w:rFonts w:cs="Arial"/>
          <w:iCs/>
          <w:szCs w:val="22"/>
        </w:rPr>
        <w:t>) le Registre national confidentiel des savoirs collectifs des peuples autochtones;  c) les registres locaux des savoirs collectifs des peuples autochtones”.</w:t>
      </w:r>
    </w:p>
    <w:p w:rsidR="00AD541F" w:rsidRDefault="00DD607D" w:rsidP="00E104D3">
      <w:pPr>
        <w:pStyle w:val="Heading2"/>
        <w:spacing w:after="220" w:line="240" w:lineRule="auto"/>
      </w:pPr>
      <w:bookmarkStart w:id="107" w:name="_Toc7772578"/>
      <w:r w:rsidRPr="00E8642C">
        <w:t>Règlement extrajudiciaire des litiges</w:t>
      </w:r>
      <w:bookmarkEnd w:id="107"/>
    </w:p>
    <w:p w:rsidR="00AD541F" w:rsidRDefault="00DD607D" w:rsidP="00E104D3">
      <w:pPr>
        <w:autoSpaceDE w:val="0"/>
        <w:autoSpaceDN w:val="0"/>
        <w:adjustRightInd w:val="0"/>
        <w:spacing w:after="22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s</w:t>
      </w:r>
      <w:r w:rsidR="00D91476">
        <w:rPr>
          <w:rFonts w:cs="Arial"/>
          <w:szCs w:val="22"/>
        </w:rPr>
        <w:t>’</w:t>
      </w:r>
      <w:r w:rsidRPr="00E8642C">
        <w:rPr>
          <w:rFonts w:cs="Arial"/>
          <w:szCs w:val="22"/>
        </w:rPr>
        <w:t>attache à résoudre les litiges de manière non conflictuelle afin d</w:t>
      </w:r>
      <w:r w:rsidR="00D91476">
        <w:rPr>
          <w:rFonts w:cs="Arial"/>
          <w:szCs w:val="22"/>
        </w:rPr>
        <w:t>’</w:t>
      </w:r>
      <w:r w:rsidRPr="00E8642C">
        <w:rPr>
          <w:rFonts w:cs="Arial"/>
          <w:szCs w:val="22"/>
        </w:rPr>
        <w:t>obtenir des résultats mutuellement avantageux pour toutes les parti</w:t>
      </w:r>
      <w:r w:rsidR="001F3AEE" w:rsidRPr="00E8642C">
        <w:rPr>
          <w:rFonts w:cs="Arial"/>
          <w:szCs w:val="22"/>
        </w:rPr>
        <w:t>es</w:t>
      </w:r>
      <w:r w:rsidR="001F3AEE">
        <w:rPr>
          <w:rFonts w:cs="Arial"/>
          <w:szCs w:val="22"/>
        </w:rPr>
        <w:t xml:space="preserve">.  </w:t>
      </w:r>
      <w:r w:rsidR="001F3AEE" w:rsidRPr="00E8642C">
        <w:rPr>
          <w:rFonts w:cs="Arial"/>
          <w:szCs w:val="22"/>
        </w:rPr>
        <w:t>Gr</w:t>
      </w:r>
      <w:r w:rsidRPr="00E8642C">
        <w:rPr>
          <w:rFonts w:cs="Arial"/>
          <w:szCs w:val="22"/>
        </w:rPr>
        <w:t>âce aux modes extrajudiciaires de règlement des litiges, les parties assument elles</w:t>
      </w:r>
      <w:r w:rsidR="00400337">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D91476">
        <w:rPr>
          <w:rFonts w:cs="Arial"/>
          <w:szCs w:val="22"/>
        </w:rPr>
        <w:t>’</w:t>
      </w:r>
      <w:r w:rsidRPr="00E8642C">
        <w:rPr>
          <w:rFonts w:cs="Arial"/>
          <w:szCs w:val="22"/>
        </w:rPr>
        <w:t>action en justice et l</w:t>
      </w:r>
      <w:r w:rsidR="00D91476">
        <w:rPr>
          <w:rFonts w:cs="Arial"/>
          <w:szCs w:val="22"/>
        </w:rPr>
        <w:t>’</w:t>
      </w:r>
      <w:r w:rsidRPr="00E8642C">
        <w:rPr>
          <w:rFonts w:cs="Arial"/>
          <w:szCs w:val="22"/>
        </w:rPr>
        <w:t>octroi d</w:t>
      </w:r>
      <w:r w:rsidR="00D91476">
        <w:rPr>
          <w:rFonts w:cs="Arial"/>
          <w:szCs w:val="22"/>
        </w:rPr>
        <w:t>’</w:t>
      </w:r>
      <w:r w:rsidRPr="00E8642C">
        <w:rPr>
          <w:rFonts w:cs="Arial"/>
          <w:szCs w:val="22"/>
        </w:rPr>
        <w:t>un plus grand contrôle aux parties concernant les paramètres du litige et la meilleure manière de le régl</w:t>
      </w:r>
      <w:r w:rsidR="001F3AEE" w:rsidRPr="00E8642C">
        <w:rPr>
          <w:rFonts w:cs="Arial"/>
          <w:szCs w:val="22"/>
        </w:rPr>
        <w:t>er</w:t>
      </w:r>
      <w:r w:rsidR="001F3AEE">
        <w:rPr>
          <w:rFonts w:cs="Arial"/>
          <w:szCs w:val="22"/>
        </w:rPr>
        <w:t xml:space="preserve">.  </w:t>
      </w:r>
      <w:r w:rsidR="001F3AEE" w:rsidRPr="00E8642C">
        <w:rPr>
          <w:rFonts w:cs="Arial"/>
          <w:szCs w:val="22"/>
        </w:rPr>
        <w:t>Le</w:t>
      </w:r>
      <w:r w:rsidRPr="00E8642C">
        <w:rPr>
          <w:rFonts w:cs="Arial"/>
          <w:szCs w:val="22"/>
        </w:rPr>
        <w:t>s quatre principaux modes de règlement extrajudiciaire des litiges sont la négociation, la médiation, l</w:t>
      </w:r>
      <w:r w:rsidR="00D91476">
        <w:rPr>
          <w:rFonts w:cs="Arial"/>
          <w:szCs w:val="22"/>
        </w:rPr>
        <w:t>’</w:t>
      </w:r>
      <w:r w:rsidRPr="00E8642C">
        <w:rPr>
          <w:rFonts w:cs="Arial"/>
          <w:szCs w:val="22"/>
        </w:rPr>
        <w:t>arbitrage et le droit collaborat</w:t>
      </w:r>
      <w:r w:rsidR="001F3AEE" w:rsidRPr="00E8642C">
        <w:rPr>
          <w:rFonts w:cs="Arial"/>
          <w:szCs w:val="22"/>
        </w:rPr>
        <w:t>if</w:t>
      </w:r>
      <w:r w:rsidR="001F3AEE">
        <w:rPr>
          <w:rFonts w:cs="Arial"/>
          <w:szCs w:val="22"/>
        </w:rPr>
        <w:t xml:space="preserve">.  </w:t>
      </w:r>
      <w:r w:rsidR="001F3AEE"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1F3AEE" w:rsidRPr="00E8642C">
        <w:rPr>
          <w:rFonts w:cs="Arial"/>
          <w:szCs w:val="22"/>
        </w:rPr>
        <w:t>te</w:t>
      </w:r>
      <w:r w:rsidR="001F3AEE">
        <w:rPr>
          <w:rFonts w:cs="Arial"/>
          <w:szCs w:val="22"/>
        </w:rPr>
        <w:t xml:space="preserve">.  </w:t>
      </w:r>
      <w:r w:rsidR="001F3AEE"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AD541F" w:rsidRDefault="00DD607D" w:rsidP="00E104D3">
      <w:pPr>
        <w:pStyle w:val="Heading2"/>
        <w:keepLines/>
        <w:spacing w:after="220" w:line="240" w:lineRule="auto"/>
      </w:pPr>
      <w:bookmarkStart w:id="108" w:name="_Toc7772579"/>
      <w:r w:rsidRPr="00E8642C">
        <w:t>Rémunération équitable</w:t>
      </w:r>
      <w:bookmarkEnd w:id="108"/>
    </w:p>
    <w:p w:rsidR="00AD541F" w:rsidRDefault="00DD607D" w:rsidP="00EF47F4">
      <w:pPr>
        <w:pStyle w:val="CommentText"/>
        <w:keepNext/>
        <w:spacing w:after="220"/>
        <w:rPr>
          <w:rFonts w:cs="Arial"/>
          <w:szCs w:val="22"/>
        </w:rPr>
      </w:pPr>
      <w:r w:rsidRPr="00E8642C">
        <w:rPr>
          <w:rFonts w:cs="Arial"/>
          <w:szCs w:val="22"/>
        </w:rPr>
        <w:t>Ce terme renvoie à la rémunération d</w:t>
      </w:r>
      <w:r w:rsidR="00D91476">
        <w:rPr>
          <w:rFonts w:cs="Arial"/>
          <w:szCs w:val="22"/>
        </w:rPr>
        <w:t>’</w:t>
      </w:r>
      <w:r w:rsidRPr="00E8642C">
        <w:rPr>
          <w:rFonts w:cs="Arial"/>
          <w:szCs w:val="22"/>
        </w:rPr>
        <w:t xml:space="preserve">un acte accompli </w:t>
      </w:r>
      <w:r w:rsidR="00D91476">
        <w:rPr>
          <w:rFonts w:cs="Arial"/>
          <w:szCs w:val="22"/>
        </w:rPr>
        <w:t>à l’égard</w:t>
      </w:r>
      <w:r w:rsidRPr="00E8642C">
        <w:rPr>
          <w:rFonts w:cs="Arial"/>
          <w:szCs w:val="22"/>
        </w:rPr>
        <w:t xml:space="preserve">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auteur ou d</w:t>
      </w:r>
      <w:r w:rsidR="00D91476">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D91476">
        <w:rPr>
          <w:rFonts w:cs="Arial"/>
          <w:szCs w:val="22"/>
        </w:rPr>
        <w:t>’</w:t>
      </w:r>
      <w:r w:rsidRPr="00E8642C">
        <w:rPr>
          <w:rFonts w:cs="Arial"/>
          <w:szCs w:val="22"/>
        </w:rPr>
        <w:t>autorisation du titulaire de droit d</w:t>
      </w:r>
      <w:r w:rsidR="00D91476">
        <w:rPr>
          <w:rFonts w:cs="Arial"/>
          <w:szCs w:val="22"/>
        </w:rPr>
        <w:t>’</w:t>
      </w:r>
      <w:r w:rsidRPr="00E8642C">
        <w:rPr>
          <w:rFonts w:cs="Arial"/>
          <w:szCs w:val="22"/>
        </w:rPr>
        <w:t>auteur ou de droits connex</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D91476">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D91476">
        <w:rPr>
          <w:rFonts w:cs="Arial"/>
          <w:i/>
          <w:szCs w:val="22"/>
        </w:rPr>
        <w:t>’</w:t>
      </w:r>
      <w:r w:rsidRPr="00E8642C">
        <w:rPr>
          <w:rFonts w:cs="Arial"/>
          <w:i/>
          <w:szCs w:val="22"/>
        </w:rPr>
        <w:t xml:space="preserve">OMPI sur les interprétations et exécutions et les phonogrammes </w:t>
      </w:r>
      <w:r w:rsidRPr="00E8642C">
        <w:rPr>
          <w:rFonts w:cs="Arial"/>
          <w:szCs w:val="22"/>
        </w:rPr>
        <w:t xml:space="preserve">(1996) (WPPT) prévoit que les artistes interprètes et </w:t>
      </w:r>
      <w:r w:rsidRPr="00E8642C">
        <w:rPr>
          <w:rFonts w:cs="Arial"/>
          <w:szCs w:val="22"/>
        </w:rPr>
        <w:lastRenderedPageBreak/>
        <w:t>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D91476">
        <w:rPr>
          <w:rFonts w:cs="Arial"/>
          <w:szCs w:val="22"/>
        </w:rPr>
        <w:t>’</w:t>
      </w:r>
      <w:r w:rsidRPr="00E8642C">
        <w:rPr>
          <w:rFonts w:cs="Arial"/>
          <w:szCs w:val="22"/>
        </w:rPr>
        <w:t>application de ce droit ou, pour autant qu</w:t>
      </w:r>
      <w:r w:rsidR="00D91476">
        <w:rPr>
          <w:rFonts w:cs="Arial"/>
          <w:szCs w:val="22"/>
        </w:rPr>
        <w:t>’</w:t>
      </w:r>
      <w:r w:rsidRPr="00E8642C">
        <w:rPr>
          <w:rFonts w:cs="Arial"/>
          <w:szCs w:val="22"/>
        </w:rPr>
        <w:t>elle ait fait une réserve au Traité, ne pas appliquer ce droit (article 15.3)).</w:t>
      </w:r>
    </w:p>
    <w:p w:rsidR="00AD541F" w:rsidRDefault="00DD607D" w:rsidP="00E104D3">
      <w:pPr>
        <w:pStyle w:val="Heading2"/>
        <w:spacing w:after="220" w:line="240" w:lineRule="auto"/>
      </w:pPr>
      <w:bookmarkStart w:id="109" w:name="_Toc7772580"/>
      <w:r w:rsidRPr="00E8642C">
        <w:t>Réputation</w:t>
      </w:r>
      <w:bookmarkEnd w:id="109"/>
    </w:p>
    <w:p w:rsidR="00AD541F" w:rsidRDefault="00DD607D" w:rsidP="00E104D3">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D91476">
        <w:rPr>
          <w:rFonts w:cs="Arial"/>
          <w:szCs w:val="22"/>
        </w:rPr>
        <w:t>’</w:t>
      </w:r>
      <w:r w:rsidRPr="00E8642C">
        <w:rPr>
          <w:rFonts w:cs="Arial"/>
          <w:szCs w:val="22"/>
        </w:rPr>
        <w:t>estime dont une personne bénéficie auprès des tie</w:t>
      </w:r>
      <w:r w:rsidR="001F3AEE" w:rsidRPr="00E8642C">
        <w:rPr>
          <w:rFonts w:cs="Arial"/>
          <w:szCs w:val="22"/>
        </w:rPr>
        <w:t>rs</w:t>
      </w:r>
      <w:r w:rsidR="001F3AEE">
        <w:rPr>
          <w:rFonts w:cs="Arial"/>
          <w:szCs w:val="22"/>
        </w:rPr>
        <w:t xml:space="preserve">.  </w:t>
      </w:r>
      <w:r w:rsidR="001F3AEE" w:rsidRPr="00E8642C">
        <w:rPr>
          <w:rFonts w:cs="Arial"/>
          <w:szCs w:val="22"/>
        </w:rPr>
        <w:t>La</w:t>
      </w:r>
      <w:r w:rsidRPr="00E8642C">
        <w:rPr>
          <w:rFonts w:cs="Arial"/>
          <w:szCs w:val="22"/>
        </w:rPr>
        <w:t xml:space="preserve"> réputation entre dans le champ de la protection des droits moraux de l</w:t>
      </w:r>
      <w:r w:rsidR="00D91476">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D91476">
        <w:rPr>
          <w:rFonts w:cs="Arial"/>
          <w:szCs w:val="22"/>
        </w:rPr>
        <w:t>’</w:t>
      </w:r>
      <w:r w:rsidRPr="00E8642C">
        <w:rPr>
          <w:rFonts w:cs="Arial"/>
          <w:szCs w:val="22"/>
        </w:rPr>
        <w:t>auteur, par opposition à “intérêts moraux” ou “intérêts spirituels”, qui visent des notions plus larg</w:t>
      </w:r>
      <w:r w:rsidR="001F3AEE" w:rsidRPr="00E8642C">
        <w:rPr>
          <w:rFonts w:cs="Arial"/>
          <w:szCs w:val="22"/>
        </w:rPr>
        <w:t>es</w:t>
      </w:r>
      <w:r w:rsidR="001F3AEE">
        <w:rPr>
          <w:rFonts w:cs="Arial"/>
          <w:szCs w:val="22"/>
        </w:rPr>
        <w:t xml:space="preserve">.  </w:t>
      </w:r>
      <w:r w:rsidR="001F3AEE"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Il</w:t>
      </w:r>
      <w:r w:rsidRPr="00E8642C">
        <w:rPr>
          <w:rFonts w:cs="Arial"/>
          <w:szCs w:val="22"/>
        </w:rPr>
        <w:t xml:space="preserve"> ne suffit pas que l</w:t>
      </w:r>
      <w:r w:rsidR="00D91476">
        <w:rPr>
          <w:rFonts w:cs="Arial"/>
          <w:szCs w:val="22"/>
        </w:rPr>
        <w:t>’</w:t>
      </w:r>
      <w:r w:rsidRPr="00E8642C">
        <w:rPr>
          <w:rFonts w:cs="Arial"/>
          <w:szCs w:val="22"/>
        </w:rPr>
        <w:t>auteur n</w:t>
      </w:r>
      <w:r w:rsidR="00D91476">
        <w:rPr>
          <w:rFonts w:cs="Arial"/>
          <w:szCs w:val="22"/>
        </w:rPr>
        <w:t>’</w:t>
      </w:r>
      <w:r w:rsidRPr="00E8642C">
        <w:rPr>
          <w:rFonts w:cs="Arial"/>
          <w:szCs w:val="22"/>
        </w:rPr>
        <w:t>apprécie pas ce qui a été fait à son œuvre, l</w:t>
      </w:r>
      <w:r w:rsidR="00D91476">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AD541F" w:rsidRDefault="00DD607D" w:rsidP="00E104D3">
      <w:pPr>
        <w:pStyle w:val="Heading2"/>
        <w:keepLines/>
        <w:spacing w:after="220" w:line="240" w:lineRule="auto"/>
      </w:pPr>
      <w:bookmarkStart w:id="110" w:name="_Toc7772581"/>
      <w:r w:rsidRPr="00E8642C">
        <w:t>Respect mutuel</w:t>
      </w:r>
      <w:bookmarkEnd w:id="110"/>
    </w:p>
    <w:p w:rsidR="00AD541F" w:rsidRDefault="00DD607D" w:rsidP="00E104D3">
      <w:pPr>
        <w:keepNext/>
        <w:autoSpaceDE w:val="0"/>
        <w:autoSpaceDN w:val="0"/>
        <w:adjustRightInd w:val="0"/>
        <w:spacing w:after="220"/>
        <w:rPr>
          <w:rFonts w:cs="Arial"/>
          <w:szCs w:val="22"/>
        </w:rPr>
      </w:pPr>
      <w:r w:rsidRPr="00E8642C">
        <w:rPr>
          <w:rFonts w:cs="Arial"/>
          <w:szCs w:val="22"/>
        </w:rPr>
        <w:t xml:space="preserve">Dans son préambule, la </w:t>
      </w:r>
      <w:r w:rsidRPr="00E8642C">
        <w:rPr>
          <w:rFonts w:cs="Arial"/>
          <w:i/>
          <w:szCs w:val="22"/>
        </w:rPr>
        <w:t xml:space="preserve">Déclaration 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1F3AEE" w:rsidRPr="00E8642C">
        <w:rPr>
          <w:rFonts w:cs="Arial"/>
          <w:szCs w:val="22"/>
        </w:rPr>
        <w:t>at</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djectif “mutuel” vise au moins deux personnes qui se trouvent dans les mêmes dispositions l</w:t>
      </w:r>
      <w:r w:rsidR="00D91476">
        <w:rPr>
          <w:rFonts w:cs="Arial"/>
          <w:szCs w:val="22"/>
        </w:rPr>
        <w:t>’</w:t>
      </w:r>
      <w:r w:rsidRPr="00E8642C">
        <w:rPr>
          <w:rFonts w:cs="Arial"/>
          <w:szCs w:val="22"/>
        </w:rPr>
        <w:t>une vis</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vis de l</w:t>
      </w:r>
      <w:r w:rsidR="00D91476">
        <w:rPr>
          <w:rFonts w:cs="Arial"/>
          <w:szCs w:val="22"/>
        </w:rPr>
        <w:t>’</w:t>
      </w:r>
      <w:r w:rsidRPr="00E8642C">
        <w:rPr>
          <w:rFonts w:cs="Arial"/>
          <w:szCs w:val="22"/>
        </w:rPr>
        <w:t>autre et qui agissent dans le cadre d</w:t>
      </w:r>
      <w:r w:rsidR="00D91476">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AD541F" w:rsidRDefault="00DD607D" w:rsidP="00E104D3">
      <w:pPr>
        <w:pStyle w:val="Heading2"/>
        <w:spacing w:after="220" w:line="240" w:lineRule="auto"/>
      </w:pPr>
      <w:bookmarkStart w:id="111" w:name="_Toc7772582"/>
      <w:r w:rsidRPr="00E8642C">
        <w:t>Ressources biologiques</w:t>
      </w:r>
      <w:bookmarkEnd w:id="111"/>
    </w:p>
    <w:p w:rsidR="00AD541F" w:rsidRDefault="00DD607D" w:rsidP="00E104D3">
      <w:pPr>
        <w:spacing w:after="220"/>
        <w:rPr>
          <w:rFonts w:cs="Arial"/>
          <w:szCs w:val="22"/>
        </w:rPr>
      </w:pPr>
      <w:r w:rsidRPr="00E8642C">
        <w:rPr>
          <w:rFonts w:cs="Arial"/>
          <w:szCs w:val="22"/>
        </w:rPr>
        <w:t>Selon la définition figurant à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400337">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91476">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AD541F" w:rsidRDefault="00DD607D" w:rsidP="00E104D3">
      <w:pPr>
        <w:spacing w:after="220"/>
        <w:rPr>
          <w:rFonts w:cs="Arial"/>
          <w:snapToGrid w:val="0"/>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D91476">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400337">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AD541F" w:rsidRDefault="00DD607D" w:rsidP="00E104D3">
      <w:pPr>
        <w:spacing w:after="220"/>
        <w:rPr>
          <w:rFonts w:cs="Arial"/>
          <w:szCs w:val="22"/>
        </w:rPr>
      </w:pPr>
      <w:r w:rsidRPr="00E8642C">
        <w:rPr>
          <w:rFonts w:cs="Arial"/>
          <w:iCs/>
          <w:szCs w:val="22"/>
        </w:rPr>
        <w:t>D</w:t>
      </w:r>
      <w:r w:rsidR="00D91476">
        <w:rPr>
          <w:rFonts w:cs="Arial"/>
          <w:iCs/>
          <w:szCs w:val="22"/>
        </w:rPr>
        <w:t>’</w:t>
      </w:r>
      <w:r w:rsidRPr="00E8642C">
        <w:rPr>
          <w:rFonts w:cs="Arial"/>
          <w:iCs/>
          <w:szCs w:val="22"/>
        </w:rPr>
        <w:t>autres instruments juridiques de propriété intellectuelle n</w:t>
      </w:r>
      <w:r w:rsidR="00D91476">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D91476">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AD541F" w:rsidRDefault="00DD607D" w:rsidP="00E104D3">
      <w:pPr>
        <w:spacing w:after="220"/>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400337">
        <w:rPr>
          <w:rFonts w:cs="Arial"/>
          <w:szCs w:val="22"/>
        </w:rPr>
        <w:noBreakHyphen/>
      </w:r>
      <w:r w:rsidRPr="00E8642C">
        <w:rPr>
          <w:rFonts w:cs="Arial"/>
          <w:szCs w:val="22"/>
        </w:rPr>
        <w:t>Unis d</w:t>
      </w:r>
      <w:r w:rsidR="00D91476">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AD541F" w:rsidRDefault="00DD607D" w:rsidP="00E104D3">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400337">
        <w:rPr>
          <w:rFonts w:cs="Arial"/>
          <w:iCs/>
          <w:szCs w:val="22"/>
        </w:rPr>
        <w:noBreakHyphen/>
      </w:r>
      <w:r w:rsidRPr="00E8642C">
        <w:rPr>
          <w:rFonts w:cs="Arial"/>
          <w:iCs/>
          <w:szCs w:val="22"/>
        </w:rPr>
        <w:t xml:space="preserve">ci, les </w:t>
      </w:r>
      <w:r w:rsidRPr="00E8642C">
        <w:rPr>
          <w:rFonts w:cs="Arial"/>
          <w:iCs/>
          <w:szCs w:val="22"/>
        </w:rPr>
        <w:lastRenderedPageBreak/>
        <w:t>populations, ou tout autre élément biotique des écosystèmes ayant une utilisation ou une valeur effective ou potentielle pour l</w:t>
      </w:r>
      <w:r w:rsidR="00D91476">
        <w:rPr>
          <w:rFonts w:cs="Arial"/>
          <w:iCs/>
          <w:szCs w:val="22"/>
        </w:rPr>
        <w:t>’</w:t>
      </w:r>
      <w:r w:rsidRPr="00E8642C">
        <w:rPr>
          <w:rFonts w:cs="Arial"/>
          <w:iCs/>
          <w:szCs w:val="22"/>
        </w:rPr>
        <w:t>humanité</w:t>
      </w:r>
      <w:r w:rsidRPr="00E8642C">
        <w:rPr>
          <w:rFonts w:cs="Arial"/>
          <w:szCs w:val="22"/>
        </w:rPr>
        <w:t>”.</w:t>
      </w:r>
    </w:p>
    <w:p w:rsidR="00AD541F" w:rsidRDefault="000D5705" w:rsidP="00E104D3">
      <w:pPr>
        <w:pStyle w:val="Heading2"/>
        <w:spacing w:after="220" w:line="240" w:lineRule="auto"/>
        <w:rPr>
          <w:rStyle w:val="Strong"/>
          <w:b/>
        </w:rPr>
      </w:pPr>
      <w:bookmarkStart w:id="112" w:name="_Toc7772583"/>
      <w:r w:rsidRPr="00E8642C">
        <w:rPr>
          <w:rStyle w:val="Strong"/>
          <w:b/>
        </w:rPr>
        <w:t>R</w:t>
      </w:r>
      <w:r w:rsidR="006B600F">
        <w:rPr>
          <w:rStyle w:val="Strong"/>
          <w:b/>
        </w:rPr>
        <w:t>essources génétiques</w:t>
      </w:r>
      <w:bookmarkEnd w:id="112"/>
    </w:p>
    <w:p w:rsidR="00AD541F" w:rsidRDefault="00DD607D" w:rsidP="00E104D3">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AD541F" w:rsidRDefault="00DD607D" w:rsidP="00E104D3">
      <w:pPr>
        <w:spacing w:after="220"/>
        <w:rPr>
          <w:rFonts w:cs="Arial"/>
          <w:snapToGrid w:val="0"/>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D91476">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104D3">
      <w:pPr>
        <w:spacing w:after="220"/>
        <w:rPr>
          <w:rFonts w:cs="Arial"/>
          <w:szCs w:val="22"/>
        </w:rPr>
      </w:pPr>
      <w:r w:rsidRPr="00E8642C">
        <w:rPr>
          <w:rFonts w:cs="Arial"/>
          <w:szCs w:val="22"/>
        </w:rPr>
        <w:t>Le Glossaire de la pêche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D91476">
        <w:rPr>
          <w:rFonts w:cs="Arial"/>
          <w:iCs/>
          <w:szCs w:val="22"/>
        </w:rPr>
        <w:t>’</w:t>
      </w:r>
      <w:r w:rsidRPr="00E8642C">
        <w:rPr>
          <w:rFonts w:cs="Arial"/>
          <w:iCs/>
          <w:szCs w:val="22"/>
        </w:rPr>
        <w:t>animaux ou d</w:t>
      </w:r>
      <w:r w:rsidR="00D91476">
        <w:rPr>
          <w:rFonts w:cs="Arial"/>
          <w:iCs/>
          <w:szCs w:val="22"/>
        </w:rPr>
        <w:t>’</w:t>
      </w:r>
      <w:r w:rsidRPr="00E8642C">
        <w:rPr>
          <w:rFonts w:cs="Arial"/>
          <w:iCs/>
          <w:szCs w:val="22"/>
        </w:rPr>
        <w:t>autres organismes contenant des caractères utiles de valeur réelle ou potentiel</w:t>
      </w:r>
      <w:r w:rsidR="001F3AEE" w:rsidRPr="00E8642C">
        <w:rPr>
          <w:rFonts w:cs="Arial"/>
          <w:iCs/>
          <w:szCs w:val="22"/>
        </w:rPr>
        <w:t>le</w:t>
      </w:r>
      <w:r w:rsidR="001F3AEE">
        <w:rPr>
          <w:rFonts w:cs="Arial"/>
          <w:iCs/>
          <w:szCs w:val="22"/>
        </w:rPr>
        <w:t xml:space="preserve">.  </w:t>
      </w:r>
      <w:r w:rsidR="001F3AEE" w:rsidRPr="00E8642C">
        <w:rPr>
          <w:rFonts w:cs="Arial"/>
          <w:iCs/>
          <w:szCs w:val="22"/>
        </w:rPr>
        <w:t>Da</w:t>
      </w:r>
      <w:r w:rsidRPr="00E8642C">
        <w:rPr>
          <w:rFonts w:cs="Arial"/>
          <w:iCs/>
          <w:szCs w:val="22"/>
        </w:rPr>
        <w:t>ns les espèces d</w:t>
      </w:r>
      <w:r w:rsidR="00D91476">
        <w:rPr>
          <w:rFonts w:cs="Arial"/>
          <w:iCs/>
          <w:szCs w:val="22"/>
        </w:rPr>
        <w:t>’</w:t>
      </w:r>
      <w:r w:rsidRPr="00E8642C">
        <w:rPr>
          <w:rFonts w:cs="Arial"/>
          <w:iCs/>
          <w:szCs w:val="22"/>
        </w:rPr>
        <w:t>élevage, il s</w:t>
      </w:r>
      <w:r w:rsidR="00D91476">
        <w:rPr>
          <w:rFonts w:cs="Arial"/>
          <w:iCs/>
          <w:szCs w:val="22"/>
        </w:rPr>
        <w:t>’</w:t>
      </w:r>
      <w:r w:rsidRPr="00E8642C">
        <w:rPr>
          <w:rFonts w:cs="Arial"/>
          <w:iCs/>
          <w:szCs w:val="22"/>
        </w:rPr>
        <w:t>agit de la somme des combinaisons génétiques produites au cours du processus d</w:t>
      </w:r>
      <w:r w:rsidR="00D91476">
        <w:rPr>
          <w:rFonts w:cs="Arial"/>
          <w:iCs/>
          <w:szCs w:val="22"/>
        </w:rPr>
        <w:t>’</w:t>
      </w:r>
      <w:r w:rsidRPr="00E8642C">
        <w:rPr>
          <w:rFonts w:cs="Arial"/>
          <w:iCs/>
          <w:szCs w:val="22"/>
        </w:rPr>
        <w:t>évolution</w:t>
      </w:r>
      <w:r w:rsidRPr="00E8642C">
        <w:rPr>
          <w:rFonts w:cs="Arial"/>
          <w:szCs w:val="22"/>
        </w:rPr>
        <w:t>”.</w:t>
      </w:r>
    </w:p>
    <w:p w:rsidR="00AD541F" w:rsidRDefault="00DD607D" w:rsidP="00E104D3">
      <w:pPr>
        <w:spacing w:after="220"/>
        <w:rPr>
          <w:rFonts w:cs="Arial"/>
          <w:snapToGrid w:val="0"/>
          <w:szCs w:val="22"/>
        </w:rPr>
      </w:pPr>
      <w:r w:rsidRPr="00E8642C">
        <w:rPr>
          <w:rFonts w:cs="Arial"/>
          <w:snapToGrid w:val="0"/>
          <w:szCs w:val="22"/>
        </w:rPr>
        <w:t>D</w:t>
      </w:r>
      <w:r w:rsidR="00D91476">
        <w:rPr>
          <w:rFonts w:cs="Arial"/>
          <w:snapToGrid w:val="0"/>
          <w:szCs w:val="22"/>
        </w:rPr>
        <w:t>’</w:t>
      </w:r>
      <w:r w:rsidRPr="00E8642C">
        <w:rPr>
          <w:rFonts w:cs="Arial"/>
          <w:snapToGrid w:val="0"/>
          <w:szCs w:val="22"/>
        </w:rPr>
        <w:t>autres instruments juridiques font référence aux ressources génétiques dans des termes différents</w:t>
      </w:r>
      <w:r w:rsidR="00D91476">
        <w:rPr>
          <w:rFonts w:cs="Arial"/>
          <w:snapToGrid w:val="0"/>
          <w:szCs w:val="22"/>
        </w:rPr>
        <w:t> :</w:t>
      </w:r>
    </w:p>
    <w:p w:rsidR="00AD541F" w:rsidRDefault="00DD607D" w:rsidP="00E104D3">
      <w:pPr>
        <w:spacing w:after="220"/>
        <w:rPr>
          <w:rFonts w:cs="Arial"/>
          <w:iCs/>
          <w:szCs w:val="22"/>
        </w:rPr>
      </w:pP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 xml:space="preserve">Traité international sur les ressources </w:t>
      </w:r>
      <w:proofErr w:type="spellStart"/>
      <w:r w:rsidRPr="00E8642C">
        <w:rPr>
          <w:rFonts w:cs="Arial"/>
          <w:i/>
          <w:iCs/>
          <w:szCs w:val="22"/>
        </w:rPr>
        <w:t>phytogénétiques</w:t>
      </w:r>
      <w:proofErr w:type="spellEnd"/>
      <w:r w:rsidRPr="00E8642C">
        <w:rPr>
          <w:rFonts w:cs="Arial"/>
          <w:i/>
          <w:iCs/>
          <w:szCs w:val="22"/>
        </w:rPr>
        <w:t xml:space="preserve"> pour l</w:t>
      </w:r>
      <w:r w:rsidR="00D91476">
        <w:rPr>
          <w:rFonts w:cs="Arial"/>
          <w:i/>
          <w:iCs/>
          <w:szCs w:val="22"/>
        </w:rPr>
        <w:t>’</w:t>
      </w:r>
      <w:r w:rsidRPr="00E8642C">
        <w:rPr>
          <w:rFonts w:cs="Arial"/>
          <w:i/>
          <w:iCs/>
          <w:szCs w:val="22"/>
        </w:rPr>
        <w:t>alimentation et l</w:t>
      </w:r>
      <w:r w:rsidR="00D91476">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w:t>
      </w:r>
      <w:r w:rsidRPr="00E8642C">
        <w:rPr>
          <w:rFonts w:cs="Arial"/>
          <w:iCs/>
          <w:szCs w:val="22"/>
        </w:rPr>
        <w:t xml:space="preserve">définit les “ressources </w:t>
      </w:r>
      <w:proofErr w:type="spellStart"/>
      <w:r w:rsidRPr="00E8642C">
        <w:rPr>
          <w:rFonts w:cs="Arial"/>
          <w:iCs/>
          <w:szCs w:val="22"/>
        </w:rPr>
        <w:t>phytogénétiques</w:t>
      </w:r>
      <w:proofErr w:type="spellEnd"/>
      <w:r w:rsidRPr="00E8642C">
        <w:rPr>
          <w:rFonts w:cs="Arial"/>
          <w:iCs/>
          <w:szCs w:val="22"/>
        </w:rPr>
        <w:t>” comme “le matériel d</w:t>
      </w:r>
      <w:r w:rsidR="00D91476">
        <w:rPr>
          <w:rFonts w:cs="Arial"/>
          <w:iCs/>
          <w:szCs w:val="22"/>
        </w:rPr>
        <w:t>’</w:t>
      </w:r>
      <w:r w:rsidRPr="00E8642C">
        <w:rPr>
          <w:rFonts w:cs="Arial"/>
          <w:iCs/>
          <w:szCs w:val="22"/>
        </w:rPr>
        <w:t xml:space="preserve">origine végétale, </w:t>
      </w:r>
      <w:r w:rsidR="00D91476">
        <w:rPr>
          <w:rFonts w:cs="Arial"/>
          <w:iCs/>
          <w:szCs w:val="22"/>
        </w:rPr>
        <w:t>y compris</w:t>
      </w:r>
      <w:r w:rsidRPr="00E8642C">
        <w:rPr>
          <w:rFonts w:cs="Arial"/>
          <w:iCs/>
          <w:szCs w:val="22"/>
        </w:rPr>
        <w:t xml:space="preserve"> le matériel de reproduction et de multiplication végétative, contenant des unités fonctionnelles de l</w:t>
      </w:r>
      <w:r w:rsidR="00D91476">
        <w:rPr>
          <w:rFonts w:cs="Arial"/>
          <w:iCs/>
          <w:szCs w:val="22"/>
        </w:rPr>
        <w:t>’</w:t>
      </w:r>
      <w:r w:rsidRPr="00E8642C">
        <w:rPr>
          <w:rFonts w:cs="Arial"/>
          <w:iCs/>
          <w:szCs w:val="22"/>
        </w:rPr>
        <w:t>hérédité”.</w:t>
      </w:r>
    </w:p>
    <w:p w:rsidR="00AD541F" w:rsidRDefault="00DD607D" w:rsidP="00E104D3">
      <w:pPr>
        <w:spacing w:after="220"/>
        <w:rPr>
          <w:rStyle w:val="Emphasis"/>
          <w:rFonts w:cs="Arial"/>
          <w:szCs w:val="22"/>
        </w:rPr>
      </w:pP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w:t>
      </w:r>
      <w:r w:rsidRPr="00E8642C">
        <w:rPr>
          <w:rFonts w:cs="Arial"/>
          <w:iCs/>
          <w:szCs w:val="22"/>
        </w:rPr>
        <w:t xml:space="preserve"> définit les ressources </w:t>
      </w:r>
      <w:proofErr w:type="spellStart"/>
      <w:r w:rsidRPr="00E8642C">
        <w:rPr>
          <w:rFonts w:cs="Arial"/>
          <w:iCs/>
          <w:szCs w:val="22"/>
        </w:rPr>
        <w:t>phytogénétiques</w:t>
      </w:r>
      <w:proofErr w:type="spellEnd"/>
      <w:r w:rsidRPr="00E8642C">
        <w:rPr>
          <w:rFonts w:cs="Arial"/>
          <w:iCs/>
          <w:szCs w:val="22"/>
        </w:rPr>
        <w:t xml:space="preserve"> comme “le matériel de reproduction ou de multiplication végétative des plantes”.</w:t>
      </w:r>
    </w:p>
    <w:p w:rsidR="00AD541F" w:rsidRDefault="00DD607D" w:rsidP="00E104D3">
      <w:pPr>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2.1)a) de </w:t>
      </w:r>
      <w:r w:rsidRPr="00E8642C">
        <w:rPr>
          <w:rFonts w:cs="Arial"/>
          <w:i/>
          <w:szCs w:val="22"/>
        </w:rPr>
        <w:t>l</w:t>
      </w:r>
      <w:r w:rsidR="00D91476">
        <w:rPr>
          <w:rFonts w:cs="Arial"/>
          <w:i/>
          <w:szCs w:val="22"/>
        </w:rPr>
        <w:t>’</w:t>
      </w:r>
      <w:r w:rsidRPr="00E8642C">
        <w:rPr>
          <w:rFonts w:cs="Arial"/>
          <w:i/>
          <w:szCs w:val="22"/>
        </w:rPr>
        <w:t xml:space="preserve">Engagement international sur les ressources </w:t>
      </w:r>
      <w:proofErr w:type="spellStart"/>
      <w:r w:rsidRPr="00E8642C">
        <w:rPr>
          <w:rFonts w:cs="Arial"/>
          <w:i/>
          <w:szCs w:val="22"/>
        </w:rPr>
        <w:t>phytogénétiques</w:t>
      </w:r>
      <w:proofErr w:type="spellEnd"/>
      <w:r w:rsidRPr="00E8642C">
        <w:rPr>
          <w:rFonts w:cs="Arial"/>
          <w:szCs w:val="22"/>
        </w:rPr>
        <w:t xml:space="preserve"> (1983)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D91476">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D91476">
        <w:rPr>
          <w:rFonts w:cs="Arial"/>
          <w:iCs/>
          <w:szCs w:val="22"/>
        </w:rPr>
        <w:t>’</w:t>
      </w:r>
      <w:r w:rsidRPr="00E8642C">
        <w:rPr>
          <w:rFonts w:cs="Arial"/>
          <w:iCs/>
          <w:szCs w:val="22"/>
        </w:rPr>
        <w:t>élite et mutants)</w:t>
      </w:r>
      <w:r w:rsidRPr="00E8642C">
        <w:rPr>
          <w:rFonts w:cs="Arial"/>
          <w:szCs w:val="22"/>
        </w:rPr>
        <w:t>”.  L</w:t>
      </w:r>
      <w:r w:rsidR="00D91476">
        <w:rPr>
          <w:rFonts w:cs="Arial"/>
          <w:szCs w:val="22"/>
        </w:rPr>
        <w:t>’</w:t>
      </w:r>
      <w:r w:rsidRPr="00E8642C">
        <w:rPr>
          <w:rFonts w:cs="Arial"/>
          <w:szCs w:val="22"/>
        </w:rPr>
        <w:t>Engagement international ne mentionne pas les “unités fonctionnelles de l</w:t>
      </w:r>
      <w:r w:rsidR="00D91476">
        <w:rPr>
          <w:rFonts w:cs="Arial"/>
          <w:szCs w:val="22"/>
        </w:rPr>
        <w:t>’</w:t>
      </w:r>
      <w:r w:rsidRPr="00E8642C">
        <w:rPr>
          <w:rFonts w:cs="Arial"/>
          <w:szCs w:val="22"/>
        </w:rPr>
        <w:t>hérédité”.</w:t>
      </w:r>
    </w:p>
    <w:p w:rsidR="00AD541F" w:rsidRDefault="00DD607D" w:rsidP="00E104D3">
      <w:pPr>
        <w:pStyle w:val="Heading2"/>
        <w:spacing w:after="220" w:line="240" w:lineRule="auto"/>
      </w:pPr>
      <w:bookmarkStart w:id="113" w:name="_Toc7772584"/>
      <w:r w:rsidRPr="00E8642C">
        <w:t>Sacré</w:t>
      </w:r>
      <w:bookmarkEnd w:id="113"/>
    </w:p>
    <w:p w:rsidR="00AD541F" w:rsidRDefault="00DD607D" w:rsidP="00E104D3">
      <w:pPr>
        <w:spacing w:after="220"/>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1F3AEE" w:rsidRPr="00E8642C">
        <w:rPr>
          <w:rFonts w:cs="Arial"/>
          <w:szCs w:val="22"/>
          <w:lang w:eastAsia="zh-CN"/>
        </w:rPr>
        <w:t>es</w:t>
      </w:r>
      <w:r w:rsidR="001F3AEE">
        <w:rPr>
          <w:rFonts w:cs="Arial"/>
          <w:szCs w:val="22"/>
          <w:lang w:eastAsia="zh-CN"/>
        </w:rPr>
        <w:t xml:space="preserve">.  </w:t>
      </w:r>
      <w:r w:rsidR="001F3AEE" w:rsidRPr="00E8642C">
        <w:rPr>
          <w:rFonts w:cs="Arial"/>
          <w:szCs w:val="22"/>
          <w:lang w:eastAsia="zh-CN"/>
        </w:rPr>
        <w:t>Il</w:t>
      </w:r>
      <w:r w:rsidRPr="00E8642C">
        <w:rPr>
          <w:rFonts w:cs="Arial"/>
          <w:szCs w:val="22"/>
          <w:lang w:eastAsia="zh-CN"/>
        </w:rPr>
        <w:t xml:space="preserve"> est l</w:t>
      </w:r>
      <w:r w:rsidR="00D91476">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AD541F" w:rsidRDefault="00DD607D" w:rsidP="00E104D3">
      <w:pPr>
        <w:spacing w:after="220"/>
        <w:rPr>
          <w:rFonts w:cs="Arial"/>
          <w:szCs w:val="22"/>
        </w:rPr>
      </w:pPr>
      <w:r w:rsidRPr="00E8642C">
        <w:rPr>
          <w:rFonts w:cs="Arial"/>
          <w:szCs w:val="22"/>
          <w:lang w:eastAsia="zh-CN"/>
        </w:rPr>
        <w:t xml:space="preserve">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w:t>
      </w:r>
      <w:r w:rsidRPr="00E8642C">
        <w:rPr>
          <w:rFonts w:cs="Arial"/>
          <w:szCs w:val="22"/>
          <w:lang w:eastAsia="zh-CN"/>
        </w:rPr>
        <w:lastRenderedPageBreak/>
        <w:t>sacrées de végétaux, d</w:t>
      </w:r>
      <w:r w:rsidR="00D91476">
        <w:rPr>
          <w:rFonts w:cs="Arial"/>
          <w:szCs w:val="22"/>
          <w:lang w:eastAsia="zh-CN"/>
        </w:rPr>
        <w:t>’</w:t>
      </w:r>
      <w:r w:rsidRPr="00E8642C">
        <w:rPr>
          <w:rFonts w:cs="Arial"/>
          <w:szCs w:val="22"/>
          <w:lang w:eastAsia="zh-CN"/>
        </w:rPr>
        <w:t>animaux, de minéraux et de micro</w:t>
      </w:r>
      <w:r w:rsidR="00400337">
        <w:rPr>
          <w:rFonts w:cs="Arial"/>
          <w:szCs w:val="22"/>
          <w:lang w:eastAsia="zh-CN"/>
        </w:rPr>
        <w:noBreakHyphen/>
      </w:r>
      <w:r w:rsidRPr="00E8642C">
        <w:rPr>
          <w:rFonts w:cs="Arial"/>
          <w:szCs w:val="22"/>
          <w:lang w:eastAsia="zh-CN"/>
        </w:rPr>
        <w:t>organismes ainsi que les sites sacr</w:t>
      </w:r>
      <w:r w:rsidR="001F3AEE" w:rsidRPr="00E8642C">
        <w:rPr>
          <w:rFonts w:cs="Arial"/>
          <w:szCs w:val="22"/>
          <w:lang w:eastAsia="zh-CN"/>
        </w:rPr>
        <w:t>és</w:t>
      </w:r>
      <w:r w:rsidR="001F3AEE">
        <w:rPr>
          <w:rFonts w:cs="Arial"/>
          <w:szCs w:val="22"/>
          <w:lang w:eastAsia="zh-CN"/>
        </w:rPr>
        <w:t xml:space="preserve">.  </w:t>
      </w:r>
      <w:r w:rsidR="001F3AEE"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D91476">
        <w:rPr>
          <w:rFonts w:cs="Arial"/>
          <w:szCs w:val="22"/>
          <w:lang w:eastAsia="zh-CN"/>
        </w:rPr>
        <w:t>’</w:t>
      </w:r>
      <w:r w:rsidRPr="00E8642C">
        <w:rPr>
          <w:rFonts w:cs="Arial"/>
          <w:szCs w:val="22"/>
          <w:lang w:eastAsia="zh-CN"/>
        </w:rPr>
        <w:t>ils revêtent une dimension sacrée pour la communauté concern</w:t>
      </w:r>
      <w:r w:rsidR="001F3AEE" w:rsidRPr="00E8642C">
        <w:rPr>
          <w:rFonts w:cs="Arial"/>
          <w:szCs w:val="22"/>
          <w:lang w:eastAsia="zh-CN"/>
        </w:rPr>
        <w:t>ée</w:t>
      </w:r>
      <w:r w:rsidR="001F3AEE">
        <w:rPr>
          <w:rFonts w:cs="Arial"/>
          <w:szCs w:val="22"/>
          <w:lang w:eastAsia="zh-CN"/>
        </w:rPr>
        <w:t xml:space="preserve">.  </w:t>
      </w:r>
      <w:r w:rsidR="001F3AEE"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400337">
        <w:rPr>
          <w:rFonts w:cs="Arial"/>
          <w:szCs w:val="22"/>
          <w:lang w:eastAsia="zh-CN"/>
        </w:rPr>
        <w:noBreakHyphen/>
      </w:r>
      <w:r w:rsidRPr="00E8642C">
        <w:rPr>
          <w:rFonts w:cs="Arial"/>
          <w:szCs w:val="22"/>
          <w:lang w:eastAsia="zh-CN"/>
        </w:rPr>
        <w:t>mêmes ou par des personnes qui y sont étrangères.</w:t>
      </w:r>
    </w:p>
    <w:p w:rsidR="00AD541F" w:rsidRDefault="00DD607D" w:rsidP="00E104D3">
      <w:pPr>
        <w:spacing w:after="220"/>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D91476">
        <w:rPr>
          <w:rFonts w:cs="Arial"/>
          <w:i/>
          <w:szCs w:val="22"/>
          <w:lang w:eastAsia="zh-CN"/>
        </w:rPr>
        <w:t>’</w:t>
      </w:r>
      <w:r w:rsidRPr="00E8642C">
        <w:rPr>
          <w:rFonts w:cs="Arial"/>
          <w:i/>
          <w:szCs w:val="22"/>
          <w:lang w:eastAsia="zh-CN"/>
        </w:rPr>
        <w:t>OMPI sur les missions d</w:t>
      </w:r>
      <w:r w:rsidR="00D91476">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D91476">
        <w:rPr>
          <w:rFonts w:cs="Arial"/>
          <w:szCs w:val="22"/>
          <w:lang w:eastAsia="zh-CN"/>
        </w:rPr>
        <w:t>’</w:t>
      </w:r>
      <w:r w:rsidRPr="00E8642C">
        <w:rPr>
          <w:rFonts w:cs="Arial"/>
          <w:szCs w:val="22"/>
          <w:lang w:eastAsia="zh-CN"/>
        </w:rPr>
        <w:t>un point de vue spiritu</w:t>
      </w:r>
      <w:r w:rsidR="001F3AEE" w:rsidRPr="00E8642C">
        <w:rPr>
          <w:rFonts w:cs="Arial"/>
          <w:szCs w:val="22"/>
          <w:lang w:eastAsia="zh-CN"/>
        </w:rPr>
        <w:t>el</w:t>
      </w:r>
      <w:r w:rsidR="001F3AEE">
        <w:rPr>
          <w:rFonts w:cs="Arial"/>
          <w:szCs w:val="22"/>
          <w:lang w:eastAsia="zh-CN"/>
        </w:rPr>
        <w:t xml:space="preserve">.  </w:t>
      </w:r>
      <w:r w:rsidR="001F3AEE" w:rsidRPr="00E8642C">
        <w:rPr>
          <w:rFonts w:cs="Arial"/>
          <w:szCs w:val="22"/>
          <w:lang w:eastAsia="zh-CN"/>
        </w:rPr>
        <w:t>Le</w:t>
      </w:r>
      <w:r w:rsidRPr="00E8642C">
        <w:rPr>
          <w:rFonts w:cs="Arial"/>
          <w:szCs w:val="22"/>
          <w:lang w:eastAsia="zh-CN"/>
        </w:rPr>
        <w:t>s aspects spirituels de la guérison qui précèdent l</w:t>
      </w:r>
      <w:r w:rsidR="00D91476">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D91476">
        <w:rPr>
          <w:rFonts w:cs="Arial"/>
          <w:szCs w:val="22"/>
          <w:lang w:eastAsia="zh-CN"/>
        </w:rPr>
        <w:t>’</w:t>
      </w:r>
      <w:r w:rsidRPr="00E8642C">
        <w:rPr>
          <w:rFonts w:cs="Arial"/>
          <w:szCs w:val="22"/>
          <w:lang w:eastAsia="zh-CN"/>
        </w:rPr>
        <w:t>Afrique occidentale bien qu</w:t>
      </w:r>
      <w:r w:rsidR="00D91476">
        <w:rPr>
          <w:rFonts w:cs="Arial"/>
          <w:szCs w:val="22"/>
          <w:lang w:eastAsia="zh-CN"/>
        </w:rPr>
        <w:t>’</w:t>
      </w:r>
      <w:r w:rsidRPr="00E8642C">
        <w:rPr>
          <w:rFonts w:cs="Arial"/>
          <w:szCs w:val="22"/>
          <w:lang w:eastAsia="zh-CN"/>
        </w:rPr>
        <w:t>il soit admis qu</w:t>
      </w:r>
      <w:r w:rsidR="00D91476">
        <w:rPr>
          <w:rFonts w:cs="Arial"/>
          <w:szCs w:val="22"/>
          <w:lang w:eastAsia="zh-CN"/>
        </w:rPr>
        <w:t>’</w:t>
      </w:r>
      <w:r w:rsidRPr="00E8642C">
        <w:rPr>
          <w:rFonts w:cs="Arial"/>
          <w:szCs w:val="22"/>
          <w:lang w:eastAsia="zh-CN"/>
        </w:rPr>
        <w:t>ils ne puissent pas faire l</w:t>
      </w:r>
      <w:r w:rsidR="00D91476">
        <w:rPr>
          <w:rFonts w:cs="Arial"/>
          <w:szCs w:val="22"/>
          <w:lang w:eastAsia="zh-CN"/>
        </w:rPr>
        <w:t>’</w:t>
      </w:r>
      <w:r w:rsidRPr="00E8642C">
        <w:rPr>
          <w:rFonts w:cs="Arial"/>
          <w:szCs w:val="22"/>
          <w:lang w:eastAsia="zh-CN"/>
        </w:rPr>
        <w:t>objet d</w:t>
      </w:r>
      <w:r w:rsidR="00D91476">
        <w:rPr>
          <w:rFonts w:cs="Arial"/>
          <w:szCs w:val="22"/>
          <w:lang w:eastAsia="zh-CN"/>
        </w:rPr>
        <w:t>’</w:t>
      </w:r>
      <w:r w:rsidRPr="00E8642C">
        <w:rPr>
          <w:rFonts w:cs="Arial"/>
          <w:szCs w:val="22"/>
          <w:lang w:eastAsia="zh-CN"/>
        </w:rPr>
        <w:t>un examen scientifique approfon</w:t>
      </w:r>
      <w:r w:rsidR="001F3AEE" w:rsidRPr="00E8642C">
        <w:rPr>
          <w:rFonts w:cs="Arial"/>
          <w:szCs w:val="22"/>
          <w:lang w:eastAsia="zh-CN"/>
        </w:rPr>
        <w:t>di</w:t>
      </w:r>
      <w:r w:rsidR="001F3AEE">
        <w:rPr>
          <w:rFonts w:cs="Arial"/>
          <w:szCs w:val="22"/>
          <w:lang w:eastAsia="zh-CN"/>
        </w:rPr>
        <w:t xml:space="preserve">.  </w:t>
      </w:r>
      <w:r w:rsidR="001F3AEE"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D91476">
        <w:rPr>
          <w:rFonts w:cs="Arial"/>
          <w:szCs w:val="22"/>
          <w:lang w:eastAsia="zh-CN"/>
        </w:rPr>
        <w:t>’</w:t>
      </w:r>
      <w:r w:rsidRPr="00E8642C">
        <w:rPr>
          <w:rFonts w:cs="Arial"/>
          <w:szCs w:val="22"/>
          <w:lang w:eastAsia="zh-CN"/>
        </w:rPr>
        <w:t xml:space="preserve">un </w:t>
      </w:r>
      <w:r w:rsidR="00D91476">
        <w:rPr>
          <w:rFonts w:cs="Arial"/>
          <w:szCs w:val="22"/>
          <w:lang w:eastAsia="zh-CN"/>
        </w:rPr>
        <w:t>‘</w:t>
      </w:r>
      <w:r w:rsidRPr="00E8642C">
        <w:rPr>
          <w:rFonts w:cs="Arial"/>
          <w:szCs w:val="22"/>
          <w:lang w:eastAsia="zh-CN"/>
        </w:rPr>
        <w:t>livre</w:t>
      </w:r>
      <w:r w:rsidR="00D91476">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E104D3">
      <w:pPr>
        <w:keepNext/>
        <w:spacing w:after="220"/>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D91476">
        <w:rPr>
          <w:rFonts w:cs="Arial"/>
          <w:szCs w:val="22"/>
          <w:lang w:eastAsia="zh-CN"/>
        </w:rPr>
        <w:t> :</w:t>
      </w:r>
    </w:p>
    <w:p w:rsidR="00DD607D" w:rsidRPr="00E8642C" w:rsidRDefault="00DD607D" w:rsidP="00E104D3">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D91476">
        <w:rPr>
          <w:rFonts w:cs="Arial"/>
          <w:szCs w:val="22"/>
          <w:lang w:eastAsia="zh-CN"/>
        </w:rPr>
        <w:t> :</w:t>
      </w:r>
      <w:r w:rsidRPr="00E8642C">
        <w:rPr>
          <w:rFonts w:cs="Arial"/>
          <w:szCs w:val="22"/>
          <w:lang w:eastAsia="zh-CN"/>
        </w:rPr>
        <w:t xml:space="preserve"> que faut</w:t>
      </w:r>
      <w:r w:rsidR="00400337">
        <w:rPr>
          <w:rFonts w:cs="Arial"/>
          <w:szCs w:val="22"/>
          <w:lang w:eastAsia="zh-CN"/>
        </w:rPr>
        <w:noBreakHyphen/>
      </w:r>
      <w:r w:rsidRPr="00E8642C">
        <w:rPr>
          <w:rFonts w:cs="Arial"/>
          <w:szCs w:val="22"/>
          <w:lang w:eastAsia="zh-CN"/>
        </w:rPr>
        <w:t>il entendre par traditionnel, que faut</w:t>
      </w:r>
      <w:r w:rsidR="00400337">
        <w:rPr>
          <w:rFonts w:cs="Arial"/>
          <w:szCs w:val="22"/>
          <w:lang w:eastAsia="zh-CN"/>
        </w:rPr>
        <w:noBreakHyphen/>
      </w:r>
      <w:r w:rsidRPr="00E8642C">
        <w:rPr>
          <w:rFonts w:cs="Arial"/>
          <w:szCs w:val="22"/>
          <w:lang w:eastAsia="zh-CN"/>
        </w:rPr>
        <w:t>il entendre par savoirs et que faut</w:t>
      </w:r>
      <w:r w:rsidR="00400337">
        <w:rPr>
          <w:rFonts w:cs="Arial"/>
          <w:szCs w:val="22"/>
          <w:lang w:eastAsia="zh-CN"/>
        </w:rPr>
        <w:noBreakHyphen/>
      </w:r>
      <w:r w:rsidRPr="00E8642C">
        <w:rPr>
          <w:rFonts w:cs="Arial"/>
          <w:szCs w:val="22"/>
          <w:lang w:eastAsia="zh-CN"/>
        </w:rPr>
        <w:t>il protéger?  C</w:t>
      </w:r>
      <w:r w:rsidR="00D91476">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D91476">
        <w:rPr>
          <w:rFonts w:cs="Arial"/>
          <w:szCs w:val="22"/>
          <w:lang w:eastAsia="zh-CN"/>
        </w:rPr>
        <w:t>’</w:t>
      </w:r>
      <w:r w:rsidRPr="00E8642C">
        <w:rPr>
          <w:rFonts w:cs="Arial"/>
          <w:szCs w:val="22"/>
          <w:lang w:eastAsia="zh-CN"/>
        </w:rPr>
        <w:t>aucuns pensaient qu</w:t>
      </w:r>
      <w:r w:rsidR="00D91476">
        <w:rPr>
          <w:rFonts w:cs="Arial"/>
          <w:szCs w:val="22"/>
          <w:lang w:eastAsia="zh-CN"/>
        </w:rPr>
        <w:t>’</w:t>
      </w:r>
      <w:r w:rsidRPr="00E8642C">
        <w:rPr>
          <w:rFonts w:cs="Arial"/>
          <w:szCs w:val="22"/>
          <w:lang w:eastAsia="zh-CN"/>
        </w:rPr>
        <w:t>il fallait inclure la spiritualité ou les religions dans les savoirs traditionnels alors que d</w:t>
      </w:r>
      <w:r w:rsidR="00D91476">
        <w:rPr>
          <w:rFonts w:cs="Arial"/>
          <w:szCs w:val="22"/>
          <w:lang w:eastAsia="zh-CN"/>
        </w:rPr>
        <w:t>’</w:t>
      </w:r>
      <w:r w:rsidRPr="00E8642C">
        <w:rPr>
          <w:rFonts w:cs="Arial"/>
          <w:szCs w:val="22"/>
          <w:lang w:eastAsia="zh-CN"/>
        </w:rPr>
        <w:t>autres étaient eux d</w:t>
      </w:r>
      <w:r w:rsidR="00D91476">
        <w:rPr>
          <w:rFonts w:cs="Arial"/>
          <w:szCs w:val="22"/>
          <w:lang w:eastAsia="zh-CN"/>
        </w:rPr>
        <w:t>’</w:t>
      </w:r>
      <w:r w:rsidRPr="00E8642C">
        <w:rPr>
          <w:rFonts w:cs="Arial"/>
          <w:szCs w:val="22"/>
          <w:lang w:eastAsia="zh-CN"/>
        </w:rPr>
        <w:t>avis qu</w:t>
      </w:r>
      <w:r w:rsidR="00D91476">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AD541F" w:rsidRDefault="00DD607D" w:rsidP="00E104D3">
      <w:pPr>
        <w:numPr>
          <w:ilvl w:val="0"/>
          <w:numId w:val="25"/>
        </w:numPr>
        <w:tabs>
          <w:tab w:val="clear" w:pos="2061"/>
        </w:tabs>
        <w:spacing w:after="220"/>
        <w:ind w:left="567" w:firstLine="0"/>
        <w:rPr>
          <w:rFonts w:cs="Arial"/>
          <w:szCs w:val="22"/>
          <w:u w:val="single"/>
          <w:lang w:eastAsia="zh-CN"/>
        </w:rPr>
      </w:pPr>
      <w:r w:rsidRPr="00E8642C">
        <w:rPr>
          <w:rFonts w:cs="Arial"/>
          <w:szCs w:val="22"/>
          <w:lang w:eastAsia="zh-CN"/>
        </w:rPr>
        <w:t xml:space="preserve">En règle générale, les savoirs traditionnels sacrés sont ne sont pas divulgués ou le sont dans des contextes et </w:t>
      </w:r>
      <w:proofErr w:type="gramStart"/>
      <w:r w:rsidRPr="00E8642C">
        <w:rPr>
          <w:rFonts w:cs="Arial"/>
          <w:szCs w:val="22"/>
          <w:lang w:eastAsia="zh-CN"/>
        </w:rPr>
        <w:t>des conditions particuliers</w:t>
      </w:r>
      <w:proofErr w:type="gramEnd"/>
      <w:r w:rsidRPr="00E8642C">
        <w:rPr>
          <w:rFonts w:cs="Arial"/>
          <w:szCs w:val="22"/>
          <w:lang w:eastAsia="zh-CN"/>
        </w:rPr>
        <w:t xml:space="preserve"> à des membres des communautés autochtones et locales, bien que certains savoirs puissent être divulgués aux personnes extérieures aux communautés autochtones et locales dans des conditions particulièr</w:t>
      </w:r>
      <w:r w:rsidR="001F3AEE" w:rsidRPr="00E8642C">
        <w:rPr>
          <w:rFonts w:cs="Arial"/>
          <w:szCs w:val="22"/>
          <w:lang w:eastAsia="zh-CN"/>
        </w:rPr>
        <w:t>es</w:t>
      </w:r>
      <w:r w:rsidR="001F3AEE">
        <w:rPr>
          <w:rFonts w:cs="Arial"/>
          <w:szCs w:val="22"/>
          <w:lang w:eastAsia="zh-CN"/>
        </w:rPr>
        <w:t xml:space="preserve">.  </w:t>
      </w:r>
      <w:r w:rsidR="001F3AEE" w:rsidRPr="00E8642C">
        <w:rPr>
          <w:rFonts w:cs="Arial"/>
          <w:szCs w:val="22"/>
          <w:lang w:eastAsia="zh-CN"/>
        </w:rPr>
        <w:t>Ai</w:t>
      </w:r>
      <w:r w:rsidRPr="00E8642C">
        <w:rPr>
          <w:rFonts w:cs="Arial"/>
          <w:szCs w:val="22"/>
          <w:lang w:eastAsia="zh-CN"/>
        </w:rPr>
        <w:t>nsi qu</w:t>
      </w:r>
      <w:r w:rsidR="00D91476">
        <w:rPr>
          <w:rFonts w:cs="Arial"/>
          <w:szCs w:val="22"/>
          <w:lang w:eastAsia="zh-CN"/>
        </w:rPr>
        <w:t>’</w:t>
      </w:r>
      <w:r w:rsidRPr="00E8642C">
        <w:rPr>
          <w:rFonts w:cs="Arial"/>
          <w:szCs w:val="22"/>
          <w:lang w:eastAsia="zh-CN"/>
        </w:rPr>
        <w:t>il est indiqué ci</w:t>
      </w:r>
      <w:r w:rsidR="00400337">
        <w:rPr>
          <w:rFonts w:cs="Arial"/>
          <w:szCs w:val="22"/>
          <w:lang w:eastAsia="zh-CN"/>
        </w:rPr>
        <w:noBreakHyphen/>
      </w:r>
      <w:r w:rsidRPr="00E8642C">
        <w:rPr>
          <w:rFonts w:cs="Arial"/>
          <w:szCs w:val="22"/>
          <w:lang w:eastAsia="zh-CN"/>
        </w:rPr>
        <w:t>dessus et dans le document “Projet d</w:t>
      </w:r>
      <w:r w:rsidR="00D91476">
        <w:rPr>
          <w:rFonts w:cs="Arial"/>
          <w:szCs w:val="22"/>
          <w:lang w:eastAsia="zh-CN"/>
        </w:rPr>
        <w:t>’</w:t>
      </w:r>
      <w:r w:rsidRPr="00E8642C">
        <w:rPr>
          <w:rFonts w:cs="Arial"/>
          <w:szCs w:val="22"/>
          <w:lang w:eastAsia="zh-CN"/>
        </w:rPr>
        <w:t>analyse des lacunes y relatives</w:t>
      </w:r>
      <w:r w:rsidR="00D91476">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D91476">
        <w:rPr>
          <w:rFonts w:cs="Arial"/>
          <w:szCs w:val="22"/>
          <w:lang w:eastAsia="zh-CN"/>
        </w:rPr>
        <w:t>’</w:t>
      </w:r>
      <w:r w:rsidRPr="00E8642C">
        <w:rPr>
          <w:rFonts w:cs="Arial"/>
          <w:szCs w:val="22"/>
          <w:lang w:eastAsia="zh-CN"/>
        </w:rPr>
        <w:t>éléments non divulgués par la législation internationale en matière de propriété intellectuel</w:t>
      </w:r>
      <w:r w:rsidR="001F3AEE" w:rsidRPr="00E8642C">
        <w:rPr>
          <w:rFonts w:cs="Arial"/>
          <w:szCs w:val="22"/>
          <w:lang w:eastAsia="zh-CN"/>
        </w:rPr>
        <w:t>le</w:t>
      </w:r>
      <w:r w:rsidR="001F3AEE">
        <w:rPr>
          <w:rFonts w:cs="Arial"/>
          <w:szCs w:val="22"/>
          <w:lang w:eastAsia="zh-CN"/>
        </w:rPr>
        <w:t xml:space="preserve">.  </w:t>
      </w:r>
      <w:r w:rsidR="001F3AEE" w:rsidRPr="00E8642C">
        <w:rPr>
          <w:rFonts w:cs="Arial"/>
          <w:szCs w:val="22"/>
          <w:lang w:eastAsia="zh-CN"/>
        </w:rPr>
        <w:t>Né</w:t>
      </w:r>
      <w:r w:rsidRPr="00E8642C">
        <w:rPr>
          <w:rFonts w:cs="Arial"/>
          <w:szCs w:val="22"/>
          <w:lang w:eastAsia="zh-CN"/>
        </w:rPr>
        <w:t>anmoins, des considérations particulières peuvent s</w:t>
      </w:r>
      <w:r w:rsidR="00D91476">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AD541F" w:rsidRDefault="00DD607D" w:rsidP="00E104D3">
      <w:pPr>
        <w:pStyle w:val="Heading2"/>
        <w:spacing w:after="220" w:line="240" w:lineRule="auto"/>
      </w:pPr>
      <w:bookmarkStart w:id="114" w:name="_Toc7772585"/>
      <w:r w:rsidRPr="00E8642C">
        <w:lastRenderedPageBreak/>
        <w:t>Sauvegarde</w:t>
      </w:r>
      <w:bookmarkEnd w:id="114"/>
    </w:p>
    <w:p w:rsidR="00AD541F" w:rsidRDefault="00DD607D" w:rsidP="00E104D3">
      <w:pPr>
        <w:spacing w:after="220"/>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D91476">
        <w:rPr>
          <w:rFonts w:cs="Arial"/>
          <w:szCs w:val="22"/>
        </w:rPr>
        <w:t> :</w:t>
      </w:r>
      <w:r w:rsidRPr="00E8642C">
        <w:rPr>
          <w:rFonts w:cs="Arial"/>
          <w:szCs w:val="22"/>
        </w:rPr>
        <w:t xml:space="preserve"> “mesures visant à assurer la viabilité du patrimoine culturel immatériel, </w:t>
      </w:r>
      <w:r w:rsidR="00D91476">
        <w:rPr>
          <w:rFonts w:cs="Arial"/>
          <w:szCs w:val="22"/>
        </w:rPr>
        <w:t>y compris</w:t>
      </w:r>
      <w:r w:rsidRPr="00E8642C">
        <w:rPr>
          <w:rFonts w:cs="Arial"/>
          <w:szCs w:val="22"/>
        </w:rPr>
        <w:t xml:space="preserve"> l</w:t>
      </w:r>
      <w:r w:rsidR="00D91476">
        <w:rPr>
          <w:rFonts w:cs="Arial"/>
          <w:szCs w:val="22"/>
        </w:rPr>
        <w:t>’</w:t>
      </w:r>
      <w:r w:rsidRPr="00E8642C">
        <w:rPr>
          <w:rFonts w:cs="Arial"/>
          <w:szCs w:val="22"/>
        </w:rPr>
        <w:t>identification, la documentation, la recherche, la préservation, la protection, la promotion, la mise en valeur, la transmission, essentiellement par l</w:t>
      </w:r>
      <w:r w:rsidR="00D91476">
        <w:rPr>
          <w:rFonts w:cs="Arial"/>
          <w:szCs w:val="22"/>
        </w:rPr>
        <w:t>’</w:t>
      </w:r>
      <w:r w:rsidRPr="00E8642C">
        <w:rPr>
          <w:rFonts w:cs="Arial"/>
          <w:szCs w:val="22"/>
        </w:rPr>
        <w:t>éducation formelle et non formelle, ainsi que la revitalisation des différents aspects de ce patrimoine”.  La sauvegarde se rapporte à l</w:t>
      </w:r>
      <w:r w:rsidR="00D91476">
        <w:rPr>
          <w:rFonts w:cs="Arial"/>
          <w:szCs w:val="22"/>
        </w:rPr>
        <w:t>’</w:t>
      </w:r>
      <w:r w:rsidRPr="00E8642C">
        <w:rPr>
          <w:rFonts w:cs="Arial"/>
          <w:szCs w:val="22"/>
        </w:rPr>
        <w:t>adoption de mesures conservatoires visant à protéger certaines pratiques et idées culturelles considérées comme précieuses.</w:t>
      </w:r>
    </w:p>
    <w:p w:rsidR="00AD541F" w:rsidRDefault="00DD607D" w:rsidP="00E104D3">
      <w:pPr>
        <w:pStyle w:val="Heading2"/>
        <w:spacing w:after="220" w:line="240" w:lineRule="auto"/>
      </w:pPr>
      <w:bookmarkStart w:id="115" w:name="_Toc7772586"/>
      <w:r w:rsidRPr="00E8642C">
        <w:t>Savoirs autochtones</w:t>
      </w:r>
      <w:bookmarkEnd w:id="115"/>
    </w:p>
    <w:p w:rsidR="00DD607D" w:rsidRPr="00E8642C" w:rsidRDefault="00DD607D" w:rsidP="00E104D3">
      <w:pPr>
        <w:spacing w:after="220"/>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1F3AEE" w:rsidRPr="00E8642C">
        <w:rPr>
          <w:rFonts w:cs="Arial"/>
          <w:szCs w:val="22"/>
        </w:rPr>
        <w:t>es</w:t>
      </w:r>
      <w:r w:rsidR="001F3AEE">
        <w:rPr>
          <w:rFonts w:cs="Arial"/>
          <w:szCs w:val="22"/>
        </w:rPr>
        <w:t xml:space="preserve">.  </w:t>
      </w:r>
      <w:r w:rsidR="001F3AEE" w:rsidRPr="00E8642C">
        <w:rPr>
          <w:rFonts w:cs="Arial"/>
          <w:szCs w:val="22"/>
        </w:rPr>
        <w:t>Né</w:t>
      </w:r>
      <w:r w:rsidRPr="00E8642C">
        <w:rPr>
          <w:rFonts w:cs="Arial"/>
          <w:szCs w:val="22"/>
        </w:rPr>
        <w:t>anmoins, cette expression est aussi utilisée pour décrire les savoirs qui sont eux</w:t>
      </w:r>
      <w:r w:rsidR="00400337">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AD541F" w:rsidRDefault="00DD607D" w:rsidP="00E104D3">
      <w:pPr>
        <w:pStyle w:val="Heading2"/>
        <w:spacing w:after="220" w:line="240" w:lineRule="auto"/>
      </w:pPr>
      <w:bookmarkStart w:id="116" w:name="_Toc7772587"/>
      <w:r w:rsidRPr="00E8642C">
        <w:t>Savoirs traditionnels</w:t>
      </w:r>
      <w:bookmarkEnd w:id="116"/>
    </w:p>
    <w:p w:rsidR="00AD541F" w:rsidRDefault="00DD607D" w:rsidP="00E104D3">
      <w:pPr>
        <w:spacing w:after="220"/>
        <w:rPr>
          <w:rFonts w:cs="Arial"/>
          <w:szCs w:val="22"/>
        </w:rPr>
      </w:pPr>
      <w:r w:rsidRPr="00E8642C">
        <w:rPr>
          <w:rFonts w:cs="Arial"/>
          <w:szCs w:val="22"/>
        </w:rPr>
        <w:t>Actuellement il n</w:t>
      </w:r>
      <w:r w:rsidR="00D91476">
        <w:rPr>
          <w:rFonts w:cs="Arial"/>
          <w:szCs w:val="22"/>
        </w:rPr>
        <w:t>’</w:t>
      </w:r>
      <w:r w:rsidRPr="00E8642C">
        <w:rPr>
          <w:rFonts w:cs="Arial"/>
          <w:szCs w:val="22"/>
        </w:rPr>
        <w:t>existe aucune définition internationalement acceptée de l</w:t>
      </w:r>
      <w:r w:rsidR="00D91476">
        <w:rPr>
          <w:rFonts w:cs="Arial"/>
          <w:szCs w:val="22"/>
        </w:rPr>
        <w:t>’</w:t>
      </w:r>
      <w:r w:rsidRPr="00E8642C">
        <w:rPr>
          <w:rFonts w:cs="Arial"/>
          <w:szCs w:val="22"/>
        </w:rPr>
        <w:t>expression “savoirs traditionnels”.</w:t>
      </w:r>
    </w:p>
    <w:p w:rsidR="00AD541F" w:rsidRDefault="00DD607D" w:rsidP="00E104D3">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D91476">
        <w:rPr>
          <w:rFonts w:cs="Arial"/>
          <w:szCs w:val="22"/>
        </w:rPr>
        <w:t>y compris</w:t>
      </w:r>
      <w:r w:rsidRPr="00E8642C">
        <w:rPr>
          <w:rFonts w:cs="Arial"/>
          <w:szCs w:val="22"/>
        </w:rPr>
        <w:t xml:space="preserve"> les communautés autochtones et locales (les savoirs traditionnels au sens général du terme ou lato sen</w:t>
      </w:r>
      <w:r w:rsidR="001F3AEE" w:rsidRPr="00E8642C">
        <w:rPr>
          <w:rFonts w:cs="Arial"/>
          <w:szCs w:val="22"/>
        </w:rPr>
        <w:t>su)</w:t>
      </w:r>
      <w:r w:rsidR="001F3AEE">
        <w:rPr>
          <w:rFonts w:cs="Arial"/>
          <w:szCs w:val="22"/>
        </w:rPr>
        <w:t xml:space="preserve">.  </w:t>
      </w:r>
      <w:r w:rsidR="001F3AEE" w:rsidRPr="00E8642C">
        <w:rPr>
          <w:rFonts w:cs="Arial"/>
          <w:szCs w:val="22"/>
        </w:rPr>
        <w:t>En</w:t>
      </w:r>
      <w:r w:rsidRPr="00E8642C">
        <w:rPr>
          <w:rFonts w:cs="Arial"/>
          <w:szCs w:val="22"/>
        </w:rPr>
        <w:t xml:space="preserve"> d</w:t>
      </w:r>
      <w:r w:rsidR="00D91476">
        <w:rPr>
          <w:rFonts w:cs="Arial"/>
          <w:szCs w:val="22"/>
        </w:rPr>
        <w:t>’</w:t>
      </w:r>
      <w:r w:rsidRPr="00E8642C">
        <w:rPr>
          <w:rFonts w:cs="Arial"/>
          <w:szCs w:val="22"/>
        </w:rPr>
        <w:t>autres termes, l</w:t>
      </w:r>
      <w:r w:rsidR="00D91476">
        <w:rPr>
          <w:rFonts w:cs="Arial"/>
          <w:szCs w:val="22"/>
        </w:rPr>
        <w:t>’</w:t>
      </w:r>
      <w:r w:rsidRPr="00E8642C">
        <w:rPr>
          <w:rFonts w:cs="Arial"/>
          <w:szCs w:val="22"/>
        </w:rPr>
        <w:t xml:space="preserve">expression “savoirs traditionnels” au sens général vise le contenu des savoirs proprement dits ainsi que les expressions culturelles traditionnelles, </w:t>
      </w:r>
      <w:r w:rsidR="00D91476">
        <w:rPr>
          <w:rFonts w:cs="Arial"/>
          <w:szCs w:val="22"/>
        </w:rPr>
        <w:t>y compris</w:t>
      </w:r>
      <w:r w:rsidRPr="00E8642C">
        <w:rPr>
          <w:rFonts w:cs="Arial"/>
          <w:szCs w:val="22"/>
        </w:rPr>
        <w:t xml:space="preserve"> les signes distinctifs et symboles associés aux savoirs traditionnels.</w:t>
      </w:r>
    </w:p>
    <w:p w:rsidR="00AD541F" w:rsidRDefault="00DD607D" w:rsidP="00E104D3">
      <w:pPr>
        <w:spacing w:after="220"/>
        <w:rPr>
          <w:rFonts w:cs="Arial"/>
          <w:szCs w:val="22"/>
        </w:rPr>
      </w:pPr>
      <w:r w:rsidRPr="00E8642C">
        <w:rPr>
          <w:rFonts w:cs="Arial"/>
          <w:szCs w:val="22"/>
        </w:rPr>
        <w:t>Dans le débat au niveau international, l</w:t>
      </w:r>
      <w:r w:rsidR="00D91476">
        <w:rPr>
          <w:rFonts w:cs="Arial"/>
          <w:szCs w:val="22"/>
        </w:rPr>
        <w:t>’</w:t>
      </w:r>
      <w:r w:rsidRPr="00E8642C">
        <w:rPr>
          <w:rFonts w:cs="Arial"/>
          <w:szCs w:val="22"/>
        </w:rPr>
        <w:t>expression “savoirs traditionnels” est utilisée au sens strict et s</w:t>
      </w:r>
      <w:r w:rsidR="00D91476">
        <w:rPr>
          <w:rFonts w:cs="Arial"/>
          <w:szCs w:val="22"/>
        </w:rPr>
        <w:t>’</w:t>
      </w:r>
      <w:r w:rsidRPr="00E8642C">
        <w:rPr>
          <w:rFonts w:cs="Arial"/>
          <w:szCs w:val="22"/>
        </w:rPr>
        <w:t>entend des savoirs résultant d</w:t>
      </w:r>
      <w:r w:rsidR="00D91476">
        <w:rPr>
          <w:rFonts w:cs="Arial"/>
          <w:szCs w:val="22"/>
        </w:rPr>
        <w:t>’</w:t>
      </w:r>
      <w:r w:rsidRPr="00E8642C">
        <w:rPr>
          <w:rFonts w:cs="Arial"/>
          <w:szCs w:val="22"/>
        </w:rPr>
        <w:t>une activité intellectuelle dans un contexte traditionnel, et comprend le savoir</w:t>
      </w:r>
      <w:r w:rsidR="00400337">
        <w:rPr>
          <w:rFonts w:cs="Arial"/>
          <w:szCs w:val="22"/>
        </w:rPr>
        <w:noBreakHyphen/>
      </w:r>
      <w:r w:rsidRPr="00E8642C">
        <w:rPr>
          <w:rFonts w:cs="Arial"/>
          <w:szCs w:val="22"/>
        </w:rPr>
        <w:t>faire, les pratiques, les techniques et les innovations.</w:t>
      </w:r>
    </w:p>
    <w:p w:rsidR="00AD541F" w:rsidRDefault="00DD607D" w:rsidP="00E104D3">
      <w:pPr>
        <w:spacing w:after="220"/>
        <w:rPr>
          <w:rFonts w:cs="Arial"/>
          <w:szCs w:val="22"/>
        </w:rPr>
      </w:pPr>
      <w:r w:rsidRPr="00E8642C">
        <w:rPr>
          <w:rFonts w:cs="Arial"/>
          <w:szCs w:val="22"/>
        </w:rPr>
        <w:t xml:space="preserve">Les savoirs traditionnels peuvent se présenter dans les contextes les plus variés, </w:t>
      </w:r>
      <w:r w:rsidR="00D91476">
        <w:rPr>
          <w:rFonts w:cs="Arial"/>
          <w:szCs w:val="22"/>
        </w:rPr>
        <w:t>y compris :</w:t>
      </w:r>
      <w:r w:rsidRPr="00E8642C">
        <w:rPr>
          <w:rFonts w:cs="Arial"/>
          <w:szCs w:val="22"/>
        </w:rPr>
        <w:t xml:space="preserve"> savoirs agricoles;  les savoirs scientifiques;  les savoirs techniques;  les savoirs écologiques;  les savoirs médicaux, </w:t>
      </w:r>
      <w:r w:rsidR="00D91476">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AD541F" w:rsidRDefault="00DD607D" w:rsidP="00E104D3">
      <w:pPr>
        <w:pStyle w:val="Heading2"/>
        <w:spacing w:after="220" w:line="240" w:lineRule="auto"/>
      </w:pPr>
      <w:bookmarkStart w:id="117" w:name="_Toc7772588"/>
      <w:r w:rsidRPr="00E8642C">
        <w:lastRenderedPageBreak/>
        <w:t>Savoirs traditionnels codifiés</w:t>
      </w:r>
      <w:bookmarkEnd w:id="117"/>
    </w:p>
    <w:p w:rsidR="00AD541F" w:rsidRDefault="00DD607D" w:rsidP="00E104D3">
      <w:pPr>
        <w:pStyle w:val="FootnoteText"/>
        <w:spacing w:after="220"/>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D91476">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AD541F" w:rsidRDefault="00DD607D" w:rsidP="00E104D3">
      <w:pPr>
        <w:pStyle w:val="FootnoteText"/>
        <w:spacing w:after="220"/>
        <w:ind w:left="0" w:firstLine="0"/>
        <w:rPr>
          <w:rFonts w:cs="Arial"/>
          <w:szCs w:val="22"/>
        </w:rPr>
      </w:pPr>
      <w:r w:rsidRPr="00E8642C">
        <w:rPr>
          <w:rFonts w:cs="Arial"/>
        </w:rPr>
        <w:t>Dans le domaine de la médecine traditionnelle, par exemple, l</w:t>
      </w:r>
      <w:r w:rsidR="00D91476">
        <w:rPr>
          <w:rFonts w:cs="Arial"/>
        </w:rPr>
        <w:t>’</w:t>
      </w:r>
      <w:r w:rsidRPr="00E8642C">
        <w:rPr>
          <w:rFonts w:cs="Arial"/>
        </w:rPr>
        <w:t>Équipe Médecine traditionnelle de l</w:t>
      </w:r>
      <w:r w:rsidR="00D91476">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D91476">
        <w:rPr>
          <w:rFonts w:cs="Arial"/>
          <w:szCs w:val="22"/>
        </w:rPr>
        <w:t>’</w:t>
      </w:r>
      <w:r w:rsidRPr="00E8642C">
        <w:rPr>
          <w:rFonts w:cs="Arial"/>
          <w:szCs w:val="22"/>
        </w:rPr>
        <w:t>ont pas été mis par écrit, ne sont en général pas divulgués par leurs détenteurs et sont transmis oralement de génération en générati</w:t>
      </w:r>
      <w:r w:rsidR="001F3AEE" w:rsidRPr="00E8642C">
        <w:rPr>
          <w:rFonts w:cs="Arial"/>
          <w:szCs w:val="22"/>
        </w:rPr>
        <w:t>on</w:t>
      </w:r>
      <w:r w:rsidR="001F3AEE">
        <w:rPr>
          <w:rFonts w:cs="Arial"/>
          <w:szCs w:val="22"/>
        </w:rPr>
        <w:t xml:space="preserve">.  </w:t>
      </w:r>
      <w:r w:rsidR="001F3AEE"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AD541F" w:rsidRDefault="00DD607D" w:rsidP="00E104D3">
      <w:pPr>
        <w:pStyle w:val="FootnoteText"/>
        <w:spacing w:after="220"/>
        <w:ind w:left="0" w:firstLine="0"/>
        <w:rPr>
          <w:rFonts w:cs="Arial"/>
          <w:szCs w:val="22"/>
        </w:rPr>
      </w:pPr>
      <w:r w:rsidRPr="00E8642C">
        <w:rPr>
          <w:rFonts w:cs="Arial"/>
          <w:szCs w:val="22"/>
        </w:rPr>
        <w:t xml:space="preserve">Une autre distinction a été faite, </w:t>
      </w:r>
      <w:r w:rsidR="00D91476">
        <w:rPr>
          <w:rFonts w:cs="Arial"/>
          <w:szCs w:val="22"/>
        </w:rPr>
        <w:t>à savoir</w:t>
      </w:r>
      <w:r w:rsidRPr="00E8642C">
        <w:rPr>
          <w:rFonts w:cs="Arial"/>
          <w:szCs w:val="22"/>
        </w:rPr>
        <w:t xml:space="preserve"> que les savoirs traditionnels se répartissaient en deux catégories principales</w:t>
      </w:r>
      <w:r w:rsidR="00D91476">
        <w:rPr>
          <w:rFonts w:cs="Arial"/>
          <w:szCs w:val="22"/>
        </w:rPr>
        <w:t> :</w:t>
      </w:r>
      <w:r w:rsidRPr="00E8642C">
        <w:rPr>
          <w:rFonts w:cs="Arial"/>
          <w:szCs w:val="22"/>
        </w:rPr>
        <w:t xml:space="preserve"> i) les savoirs traditionnels codifiés,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AD541F" w:rsidRDefault="00DD607D" w:rsidP="00E104D3">
      <w:pPr>
        <w:pStyle w:val="Heading2"/>
        <w:spacing w:after="220" w:line="240" w:lineRule="auto"/>
      </w:pPr>
      <w:bookmarkStart w:id="118" w:name="_Toc7772589"/>
      <w:r w:rsidRPr="00E8642C">
        <w:t>Savoirs traditionnels divulgués</w:t>
      </w:r>
      <w:bookmarkEnd w:id="118"/>
    </w:p>
    <w:p w:rsidR="00AD541F" w:rsidRDefault="00DD607D" w:rsidP="00E104D3">
      <w:pPr>
        <w:pStyle w:val="CommentText"/>
        <w:spacing w:after="220"/>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D91476">
        <w:rPr>
          <w:rFonts w:cs="Arial"/>
          <w:iCs/>
          <w:szCs w:val="22"/>
        </w:rPr>
        <w:t>’</w:t>
      </w:r>
      <w:r w:rsidRPr="00E8642C">
        <w:rPr>
          <w:rFonts w:cs="Arial"/>
          <w:iCs/>
          <w:szCs w:val="22"/>
        </w:rPr>
        <w:t xml:space="preserve">appartenant pas à la communauté autochtone ou locale considérée comme le </w:t>
      </w:r>
      <w:r w:rsidR="00D91476">
        <w:rPr>
          <w:rFonts w:cs="Arial"/>
          <w:iCs/>
          <w:szCs w:val="22"/>
        </w:rPr>
        <w:t>‘</w:t>
      </w:r>
      <w:r w:rsidRPr="00E8642C">
        <w:rPr>
          <w:rFonts w:cs="Arial"/>
          <w:iCs/>
          <w:szCs w:val="22"/>
        </w:rPr>
        <w:t>détenteur</w:t>
      </w:r>
      <w:r w:rsidR="00D91476">
        <w:rPr>
          <w:rFonts w:cs="Arial"/>
          <w:iCs/>
          <w:szCs w:val="22"/>
        </w:rPr>
        <w:t>’</w:t>
      </w:r>
      <w:r w:rsidRPr="00E8642C">
        <w:rPr>
          <w:rFonts w:cs="Arial"/>
          <w:iCs/>
          <w:szCs w:val="22"/>
        </w:rPr>
        <w:t xml:space="preserve"> du savoir traditionnel;  ces savoirs traditionnels peuvent être largement accessibles au public sur un support physique, l</w:t>
      </w:r>
      <w:r w:rsidR="00D91476">
        <w:rPr>
          <w:rFonts w:cs="Arial"/>
          <w:iCs/>
          <w:szCs w:val="22"/>
        </w:rPr>
        <w:t>’</w:t>
      </w:r>
      <w:r w:rsidRPr="00E8642C">
        <w:rPr>
          <w:rFonts w:cs="Arial"/>
          <w:iCs/>
          <w:szCs w:val="22"/>
        </w:rPr>
        <w:t>Internet ou d</w:t>
      </w:r>
      <w:r w:rsidR="00D91476">
        <w:rPr>
          <w:rFonts w:cs="Arial"/>
          <w:iCs/>
          <w:szCs w:val="22"/>
        </w:rPr>
        <w:t>’</w:t>
      </w:r>
      <w:r w:rsidRPr="00E8642C">
        <w:rPr>
          <w:rFonts w:cs="Arial"/>
          <w:iCs/>
          <w:szCs w:val="22"/>
        </w:rPr>
        <w:t>autres types de télécommunications ou d</w:t>
      </w:r>
      <w:r w:rsidR="00D91476">
        <w:rPr>
          <w:rFonts w:cs="Arial"/>
          <w:iCs/>
          <w:szCs w:val="22"/>
        </w:rPr>
        <w:t>’</w:t>
      </w:r>
      <w:r w:rsidRPr="00E8642C">
        <w:rPr>
          <w:rFonts w:cs="Arial"/>
          <w:iCs/>
          <w:szCs w:val="22"/>
        </w:rPr>
        <w:t>enregistrements;  ces savoirs peuvent être divulgués à des tiers ou à des personnes n</w:t>
      </w:r>
      <w:r w:rsidR="00D91476">
        <w:rPr>
          <w:rFonts w:cs="Arial"/>
          <w:iCs/>
          <w:szCs w:val="22"/>
        </w:rPr>
        <w:t>’</w:t>
      </w:r>
      <w:r w:rsidRPr="00E8642C">
        <w:rPr>
          <w:rFonts w:cs="Arial"/>
          <w:iCs/>
          <w:szCs w:val="22"/>
        </w:rPr>
        <w:t>appartenant pas aux communautés autochtones et locales dont sont issus ces savoirs, avec ou sans l</w:t>
      </w:r>
      <w:r w:rsidR="00D91476">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AD541F" w:rsidRDefault="00DD607D" w:rsidP="00E104D3">
      <w:pPr>
        <w:pStyle w:val="CommentText"/>
        <w:spacing w:after="220"/>
        <w:rPr>
          <w:rFonts w:cs="Arial"/>
          <w:szCs w:val="22"/>
        </w:rPr>
      </w:pPr>
      <w:r w:rsidRPr="00E8642C">
        <w:rPr>
          <w:rFonts w:cs="Arial"/>
          <w:szCs w:val="22"/>
        </w:rPr>
        <w:lastRenderedPageBreak/>
        <w:t>La “Liste et explication technique succincte des différentes formes sous lesquelles les savoirs traditionnels peuvent se présenter” (WIPO/GRTKF/IC/17/INF/9) examine plus en détail les savoirs traditionnels divulgués et les savoirs traditionnels non divulgués.</w:t>
      </w:r>
    </w:p>
    <w:p w:rsidR="00AD541F" w:rsidRDefault="00DD607D" w:rsidP="00E104D3">
      <w:pPr>
        <w:pStyle w:val="Heading2"/>
        <w:spacing w:after="220" w:line="240" w:lineRule="auto"/>
      </w:pPr>
      <w:bookmarkStart w:id="119" w:name="_Toc7772590"/>
      <w:r w:rsidRPr="00E8642C">
        <w:t>Secret</w:t>
      </w:r>
      <w:bookmarkEnd w:id="119"/>
    </w:p>
    <w:p w:rsidR="00AD541F" w:rsidRDefault="00DD607D" w:rsidP="00E104D3">
      <w:pPr>
        <w:spacing w:after="220"/>
        <w:rPr>
          <w:rFonts w:cs="Arial"/>
          <w:szCs w:val="22"/>
        </w:rPr>
      </w:pPr>
      <w:r w:rsidRPr="00E8642C">
        <w:rPr>
          <w:rFonts w:cs="Arial"/>
          <w:szCs w:val="22"/>
        </w:rPr>
        <w:t>Ce qui est “secret” n</w:t>
      </w:r>
      <w:r w:rsidR="00D91476">
        <w:rPr>
          <w:rFonts w:cs="Arial"/>
          <w:szCs w:val="22"/>
        </w:rPr>
        <w:t>’</w:t>
      </w:r>
      <w:r w:rsidRPr="00E8642C">
        <w:rPr>
          <w:rFonts w:cs="Arial"/>
          <w:szCs w:val="22"/>
        </w:rPr>
        <w:t>est pas porté à la connaissance de tiers ou n</w:t>
      </w:r>
      <w:r w:rsidR="00D91476">
        <w:rPr>
          <w:rFonts w:cs="Arial"/>
          <w:szCs w:val="22"/>
        </w:rPr>
        <w:t>’</w:t>
      </w:r>
      <w:r w:rsidRPr="00E8642C">
        <w:rPr>
          <w:rFonts w:cs="Arial"/>
          <w:szCs w:val="22"/>
        </w:rPr>
        <w:t>est partagé qu</w:t>
      </w:r>
      <w:r w:rsidR="00D91476">
        <w:rPr>
          <w:rFonts w:cs="Arial"/>
          <w:szCs w:val="22"/>
        </w:rPr>
        <w:t>’</w:t>
      </w:r>
      <w:r w:rsidRPr="00E8642C">
        <w:rPr>
          <w:rFonts w:cs="Arial"/>
          <w:szCs w:val="22"/>
        </w:rPr>
        <w:t>avec les personnes concernées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Le</w:t>
      </w:r>
      <w:r w:rsidRPr="00E8642C">
        <w:rPr>
          <w:rFonts w:cs="Arial"/>
          <w:szCs w:val="22"/>
        </w:rPr>
        <w:t>s savoirs traditionnels et expressions culturelles traditionnelles “sacrés</w:t>
      </w:r>
      <w:r w:rsidR="00400337">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AD541F" w:rsidRDefault="00DD607D" w:rsidP="00E104D3">
      <w:pPr>
        <w:pStyle w:val="Heading2"/>
        <w:spacing w:after="220" w:line="240" w:lineRule="auto"/>
      </w:pPr>
      <w:bookmarkStart w:id="120" w:name="_Toc7772591"/>
      <w:r w:rsidRPr="00E8642C">
        <w:t>Source de ressources génétiques</w:t>
      </w:r>
      <w:bookmarkEnd w:id="120"/>
    </w:p>
    <w:p w:rsidR="00AD541F" w:rsidRDefault="00DD607D" w:rsidP="00E104D3">
      <w:pPr>
        <w:spacing w:after="220"/>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D91476">
        <w:rPr>
          <w:rFonts w:cs="Arial"/>
          <w:szCs w:val="22"/>
        </w:rPr>
        <w:t>’</w:t>
      </w:r>
      <w:r w:rsidRPr="00E8642C">
        <w:rPr>
          <w:rFonts w:cs="Arial"/>
          <w:szCs w:val="22"/>
        </w:rPr>
        <w:t>obliger les déposants de demandes de brevet à déclarer la “source” des ressources génétiques et des savoirs traditionne</w:t>
      </w:r>
      <w:r w:rsidR="001F3AEE" w:rsidRPr="00E8642C">
        <w:rPr>
          <w:rFonts w:cs="Arial"/>
          <w:szCs w:val="22"/>
        </w:rPr>
        <w:t>ls</w:t>
      </w:r>
      <w:r w:rsidR="001F3AEE">
        <w:rPr>
          <w:rFonts w:cs="Arial"/>
          <w:szCs w:val="22"/>
        </w:rPr>
        <w:t xml:space="preserve">.  </w:t>
      </w:r>
      <w:r w:rsidR="001F3AEE" w:rsidRPr="00E8642C">
        <w:rPr>
          <w:rFonts w:cs="Arial"/>
          <w:szCs w:val="22"/>
        </w:rPr>
        <w:t>El</w:t>
      </w:r>
      <w:r w:rsidRPr="00E8642C">
        <w:rPr>
          <w:rFonts w:cs="Arial"/>
          <w:szCs w:val="22"/>
        </w:rPr>
        <w:t>le a indiqué que “</w:t>
      </w:r>
      <w:r w:rsidRPr="00E8642C">
        <w:rPr>
          <w:rFonts w:cs="Arial"/>
          <w:iCs/>
          <w:szCs w:val="22"/>
        </w:rPr>
        <w:t>le terme “source” doit s</w:t>
      </w:r>
      <w:r w:rsidR="00D91476">
        <w:rPr>
          <w:rFonts w:cs="Arial"/>
          <w:iCs/>
          <w:szCs w:val="22"/>
        </w:rPr>
        <w:t>’</w:t>
      </w:r>
      <w:r w:rsidRPr="00E8642C">
        <w:rPr>
          <w:rFonts w:cs="Arial"/>
          <w:iCs/>
          <w:szCs w:val="22"/>
        </w:rPr>
        <w:t>entendre au sens le plus large possible</w:t>
      </w:r>
      <w:r w:rsidRPr="00E8642C">
        <w:rPr>
          <w:rFonts w:cs="Arial"/>
          <w:szCs w:val="22"/>
        </w:rPr>
        <w:t>”, étant donné qu</w:t>
      </w:r>
      <w:r w:rsidR="00D91476">
        <w:rPr>
          <w:rFonts w:cs="Arial"/>
          <w:szCs w:val="22"/>
        </w:rPr>
        <w:t>’</w:t>
      </w:r>
      <w:r w:rsidRPr="00E8642C">
        <w:rPr>
          <w:rFonts w:cs="Arial"/>
          <w:szCs w:val="22"/>
        </w:rPr>
        <w:t>une “</w:t>
      </w:r>
      <w:r w:rsidRPr="00E8642C">
        <w:rPr>
          <w:rFonts w:cs="Arial"/>
          <w:iCs/>
          <w:szCs w:val="22"/>
        </w:rPr>
        <w:t>multitude d</w:t>
      </w:r>
      <w:r w:rsidR="00D91476">
        <w:rPr>
          <w:rFonts w:cs="Arial"/>
          <w:iCs/>
          <w:szCs w:val="22"/>
        </w:rPr>
        <w:t>’</w:t>
      </w:r>
      <w:r w:rsidRPr="00E8642C">
        <w:rPr>
          <w:rFonts w:cs="Arial"/>
          <w:iCs/>
          <w:szCs w:val="22"/>
        </w:rPr>
        <w:t>entités peuvent intervenir dans l</w:t>
      </w:r>
      <w:r w:rsidR="00D91476">
        <w:rPr>
          <w:rFonts w:cs="Arial"/>
          <w:iCs/>
          <w:szCs w:val="22"/>
        </w:rPr>
        <w:t>’</w:t>
      </w:r>
      <w:r w:rsidRPr="00E8642C">
        <w:rPr>
          <w:rFonts w:cs="Arial"/>
          <w:iCs/>
          <w:szCs w:val="22"/>
        </w:rPr>
        <w:t>accès et le partage des avantag</w:t>
      </w:r>
      <w:r w:rsidR="001F3AEE" w:rsidRPr="00E8642C">
        <w:rPr>
          <w:rFonts w:cs="Arial"/>
          <w:iCs/>
          <w:szCs w:val="22"/>
        </w:rPr>
        <w:t>es</w:t>
      </w:r>
      <w:r w:rsidR="001F3AEE">
        <w:rPr>
          <w:rFonts w:cs="Arial"/>
          <w:iCs/>
          <w:szCs w:val="22"/>
        </w:rPr>
        <w:t xml:space="preserve">.  </w:t>
      </w:r>
      <w:r w:rsidR="001F3AEE" w:rsidRPr="00E8642C">
        <w:rPr>
          <w:rFonts w:cs="Arial"/>
          <w:iCs/>
          <w:szCs w:val="22"/>
        </w:rPr>
        <w:t>Do</w:t>
      </w:r>
      <w:r w:rsidRPr="00E8642C">
        <w:rPr>
          <w:rFonts w:cs="Arial"/>
          <w:iCs/>
          <w:szCs w:val="22"/>
        </w:rPr>
        <w:t>it être déclarée en tant que source l</w:t>
      </w:r>
      <w:r w:rsidR="00D91476">
        <w:rPr>
          <w:rFonts w:cs="Arial"/>
          <w:iCs/>
          <w:szCs w:val="22"/>
        </w:rPr>
        <w:t>’</w:t>
      </w:r>
      <w:r w:rsidRPr="00E8642C">
        <w:rPr>
          <w:rFonts w:cs="Arial"/>
          <w:iCs/>
          <w:szCs w:val="22"/>
        </w:rPr>
        <w:t>entité compétente pour 1) octroyer l</w:t>
      </w:r>
      <w:r w:rsidR="00D91476">
        <w:rPr>
          <w:rFonts w:cs="Arial"/>
          <w:iCs/>
          <w:szCs w:val="22"/>
        </w:rPr>
        <w:t>’</w:t>
      </w:r>
      <w:r w:rsidRPr="00E8642C">
        <w:rPr>
          <w:rFonts w:cs="Arial"/>
          <w:iCs/>
          <w:szCs w:val="22"/>
        </w:rPr>
        <w:t>accès aux ressources génétiques ou aux savoirs traditionnels ou 2) participer au partage des avantages découlant de leur utilisati</w:t>
      </w:r>
      <w:r w:rsidR="001F3AEE" w:rsidRPr="00E8642C">
        <w:rPr>
          <w:rFonts w:cs="Arial"/>
          <w:iCs/>
          <w:szCs w:val="22"/>
        </w:rPr>
        <w:t>on</w:t>
      </w:r>
      <w:r w:rsidR="001F3AEE">
        <w:rPr>
          <w:rFonts w:cs="Arial"/>
          <w:iCs/>
          <w:szCs w:val="22"/>
        </w:rPr>
        <w:t xml:space="preserve">.  </w:t>
      </w:r>
      <w:r w:rsidR="001F3AEE" w:rsidRPr="00E8642C">
        <w:rPr>
          <w:rFonts w:cs="Arial"/>
          <w:iCs/>
          <w:szCs w:val="22"/>
        </w:rPr>
        <w:t>Se</w:t>
      </w:r>
      <w:r w:rsidRPr="00E8642C">
        <w:rPr>
          <w:rFonts w:cs="Arial"/>
          <w:iCs/>
          <w:szCs w:val="22"/>
        </w:rPr>
        <w:t>lon les ressources génétiques ou les savoirs traditionnels en cause, on peut distinguer, d</w:t>
      </w:r>
      <w:r w:rsidR="00D91476">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D91476">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AD541F" w:rsidRDefault="00DD607D" w:rsidP="00E104D3">
      <w:pPr>
        <w:pStyle w:val="Heading2"/>
        <w:spacing w:after="220" w:line="240" w:lineRule="auto"/>
        <w:rPr>
          <w:i/>
        </w:rPr>
      </w:pPr>
      <w:bookmarkStart w:id="121" w:name="_Toc7772592"/>
      <w:r w:rsidRPr="00E8642C">
        <w:rPr>
          <w:i/>
        </w:rPr>
        <w:t>Sui generis</w:t>
      </w:r>
      <w:bookmarkEnd w:id="121"/>
    </w:p>
    <w:p w:rsidR="00AD541F" w:rsidRDefault="00DD607D" w:rsidP="00E104D3">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D91476">
        <w:rPr>
          <w:rFonts w:cs="Arial"/>
          <w:szCs w:val="22"/>
        </w:rPr>
        <w:t> :</w:t>
      </w:r>
      <w:r w:rsidRPr="00E8642C">
        <w:rPr>
          <w:rFonts w:cs="Arial"/>
          <w:szCs w:val="22"/>
        </w:rPr>
        <w:t xml:space="preserve"> </w:t>
      </w:r>
      <w:proofErr w:type="gramStart"/>
      <w:r w:rsidRPr="00E8642C">
        <w:rPr>
          <w:rFonts w:cs="Arial"/>
          <w:szCs w:val="22"/>
        </w:rPr>
        <w:t>“</w:t>
      </w:r>
      <w:r w:rsidRPr="00E8642C">
        <w:rPr>
          <w:rFonts w:cs="Arial"/>
          <w:i/>
          <w:iCs/>
          <w:szCs w:val="22"/>
        </w:rPr>
        <w:t>[</w:t>
      </w:r>
      <w:proofErr w:type="gramEnd"/>
      <w:r w:rsidRPr="00E8642C">
        <w:rPr>
          <w:rFonts w:cs="Arial"/>
          <w:i/>
          <w:iCs/>
          <w:szCs w:val="22"/>
        </w:rPr>
        <w:t xml:space="preserve">Du latin </w:t>
      </w:r>
      <w:r w:rsidR="00D91476">
        <w:rPr>
          <w:rFonts w:cs="Arial"/>
          <w:i/>
          <w:iCs/>
          <w:szCs w:val="22"/>
        </w:rPr>
        <w:t>‘</w:t>
      </w:r>
      <w:r w:rsidRPr="00E8642C">
        <w:rPr>
          <w:rFonts w:cs="Arial"/>
          <w:i/>
          <w:iCs/>
          <w:szCs w:val="22"/>
        </w:rPr>
        <w:t>de son espèce</w:t>
      </w:r>
      <w:r w:rsidR="00D91476">
        <w:rPr>
          <w:rFonts w:cs="Arial"/>
          <w:i/>
          <w:iCs/>
          <w:szCs w:val="22"/>
        </w:rPr>
        <w:t>’</w:t>
      </w:r>
      <w:r w:rsidRPr="00E8642C">
        <w:rPr>
          <w:rFonts w:cs="Arial"/>
          <w:i/>
          <w:iCs/>
          <w:szCs w:val="22"/>
        </w:rPr>
        <w:t xml:space="preserve">] </w:t>
      </w:r>
      <w:r w:rsidRPr="00E8642C">
        <w:rPr>
          <w:rFonts w:cs="Arial"/>
          <w:iCs/>
          <w:szCs w:val="22"/>
        </w:rPr>
        <w:t>De son espèce ou classe;  unique ou particuli</w:t>
      </w:r>
      <w:r w:rsidR="001F3AEE" w:rsidRPr="00E8642C">
        <w:rPr>
          <w:rFonts w:cs="Arial"/>
          <w:iCs/>
          <w:szCs w:val="22"/>
        </w:rPr>
        <w:t>er</w:t>
      </w:r>
      <w:r w:rsidR="001F3AEE">
        <w:rPr>
          <w:rFonts w:cs="Arial"/>
          <w:iCs/>
          <w:szCs w:val="22"/>
        </w:rPr>
        <w:t xml:space="preserve">.  </w:t>
      </w:r>
      <w:r w:rsidR="001F3AEE"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D91476">
        <w:rPr>
          <w:rFonts w:cs="Arial"/>
          <w:iCs/>
          <w:szCs w:val="22"/>
        </w:rPr>
        <w:t>’</w:t>
      </w:r>
      <w:r w:rsidRPr="00E8642C">
        <w:rPr>
          <w:rFonts w:cs="Arial"/>
          <w:iCs/>
          <w:szCs w:val="22"/>
        </w:rPr>
        <w:t>auteur et aux secrets des affair</w:t>
      </w:r>
      <w:r w:rsidR="001F3AEE" w:rsidRPr="00E8642C">
        <w:rPr>
          <w:rFonts w:cs="Arial"/>
          <w:iCs/>
          <w:szCs w:val="22"/>
        </w:rPr>
        <w:t>es</w:t>
      </w:r>
      <w:r w:rsidR="001F3AEE">
        <w:rPr>
          <w:rFonts w:cs="Arial"/>
          <w:iCs/>
          <w:szCs w:val="22"/>
        </w:rPr>
        <w:t xml:space="preserve">.  </w:t>
      </w:r>
      <w:r w:rsidR="001F3AEE" w:rsidRPr="00E8642C">
        <w:rPr>
          <w:rFonts w:cs="Arial"/>
          <w:iCs/>
          <w:szCs w:val="22"/>
        </w:rPr>
        <w:t>Pa</w:t>
      </w:r>
      <w:r w:rsidRPr="00E8642C">
        <w:rPr>
          <w:rFonts w:cs="Arial"/>
          <w:iCs/>
          <w:szCs w:val="22"/>
        </w:rPr>
        <w:t>r exemple, une base de données peut ne pas être protégée par le droit d</w:t>
      </w:r>
      <w:r w:rsidR="00D91476">
        <w:rPr>
          <w:rFonts w:cs="Arial"/>
          <w:iCs/>
          <w:szCs w:val="22"/>
        </w:rPr>
        <w:t>’</w:t>
      </w:r>
      <w:r w:rsidRPr="00E8642C">
        <w:rPr>
          <w:rFonts w:cs="Arial"/>
          <w:iCs/>
          <w:szCs w:val="22"/>
        </w:rPr>
        <w:t>auteur si son contenu n</w:t>
      </w:r>
      <w:r w:rsidR="00D91476">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1F3AEE" w:rsidRPr="00E8642C">
        <w:rPr>
          <w:rFonts w:cs="Arial"/>
          <w:szCs w:val="22"/>
        </w:rPr>
        <w:t>se</w:t>
      </w:r>
      <w:r w:rsidR="001F3AEE">
        <w:rPr>
          <w:rFonts w:cs="Arial"/>
          <w:szCs w:val="22"/>
        </w:rPr>
        <w:t xml:space="preserve">.  </w:t>
      </w:r>
      <w:r w:rsidR="001F3AEE"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D91476">
        <w:rPr>
          <w:rFonts w:cs="Arial"/>
          <w:szCs w:val="22"/>
        </w:rPr>
        <w:t>’</w:t>
      </w:r>
      <w:r w:rsidRPr="00E8642C">
        <w:rPr>
          <w:rFonts w:cs="Arial"/>
          <w:szCs w:val="22"/>
        </w:rPr>
        <w:t>obtenteur qui font l</w:t>
      </w:r>
      <w:r w:rsidR="00D91476">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D91476">
        <w:rPr>
          <w:rFonts w:cs="Arial"/>
          <w:szCs w:val="22"/>
        </w:rPr>
        <w:t>Convention UPOV</w:t>
      </w:r>
      <w:r w:rsidRPr="00E8642C">
        <w:rPr>
          <w:rFonts w:cs="Arial"/>
          <w:szCs w:val="22"/>
        </w:rPr>
        <w:t>”) et la protection des droits de propriété intellectuelle en matière de circuits intégrés faisant l</w:t>
      </w:r>
      <w:r w:rsidR="00D91476">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AD541F" w:rsidRDefault="00DD607D" w:rsidP="00E104D3">
      <w:pPr>
        <w:pStyle w:val="Heading2"/>
        <w:spacing w:after="220" w:line="240" w:lineRule="auto"/>
      </w:pPr>
      <w:bookmarkStart w:id="122" w:name="_Toc7772593"/>
      <w:r w:rsidRPr="00E8642C">
        <w:lastRenderedPageBreak/>
        <w:t xml:space="preserve">Traité international sur les ressources </w:t>
      </w:r>
      <w:proofErr w:type="spellStart"/>
      <w:r w:rsidRPr="00E8642C">
        <w:t>phytogénétiques</w:t>
      </w:r>
      <w:proofErr w:type="spellEnd"/>
      <w:r w:rsidRPr="00E8642C">
        <w:t xml:space="preserve"> pour l</w:t>
      </w:r>
      <w:r w:rsidR="00D91476">
        <w:t>’</w:t>
      </w:r>
      <w:r w:rsidRPr="00E8642C">
        <w:t>alimentation et l</w:t>
      </w:r>
      <w:r w:rsidR="00D91476">
        <w:t>’</w:t>
      </w:r>
      <w:r w:rsidRPr="00E8642C">
        <w:t>agriculture</w:t>
      </w:r>
      <w:bookmarkEnd w:id="122"/>
    </w:p>
    <w:p w:rsidR="00AD541F" w:rsidRDefault="00DD607D" w:rsidP="00E104D3">
      <w:pPr>
        <w:spacing w:after="220"/>
      </w:pPr>
      <w:r w:rsidRPr="00E8642C">
        <w:t xml:space="preserve">Le Traité international sur les ressources </w:t>
      </w:r>
      <w:proofErr w:type="spellStart"/>
      <w:r w:rsidRPr="00E8642C">
        <w:t>phytogénétiques</w:t>
      </w:r>
      <w:proofErr w:type="spellEnd"/>
      <w:r w:rsidRPr="00E8642C">
        <w:t xml:space="preserve"> pour l</w:t>
      </w:r>
      <w:r w:rsidR="00D91476">
        <w:t>’</w:t>
      </w:r>
      <w:r w:rsidRPr="00E8642C">
        <w:t>alimentation et l</w:t>
      </w:r>
      <w:r w:rsidR="00D91476">
        <w:t>’</w:t>
      </w:r>
      <w:r w:rsidRPr="00E8642C">
        <w:t>agriculture (Traité international) a été adopté à la trente</w:t>
      </w:r>
      <w:r w:rsidR="00D91476">
        <w:t> et unième session</w:t>
      </w:r>
      <w:r w:rsidRPr="00E8642C">
        <w:t xml:space="preserve"> de la Conférence de l</w:t>
      </w:r>
      <w:r w:rsidR="00D91476">
        <w:t>’</w:t>
      </w:r>
      <w:r w:rsidRPr="00E8642C">
        <w:t xml:space="preserve">Organisation des </w:t>
      </w:r>
      <w:r w:rsidR="00D91476">
        <w:t>Nations Unies</w:t>
      </w:r>
      <w:r w:rsidRPr="00E8642C">
        <w:t xml:space="preserve"> pour l</w:t>
      </w:r>
      <w:r w:rsidR="00D91476">
        <w:t>’</w:t>
      </w:r>
      <w:r w:rsidRPr="00E8642C">
        <w:t>alimentation et l</w:t>
      </w:r>
      <w:r w:rsidR="00D91476">
        <w:t>’</w:t>
      </w:r>
      <w:r w:rsidRPr="00E8642C">
        <w:t>agriculture le 3 novembre 2001 et il est entré en vigueur en 2004.  Ce traité a pour objet</w:t>
      </w:r>
      <w:r w:rsidR="00D91476">
        <w:t> :</w:t>
      </w:r>
      <w:r w:rsidRPr="00E8642C">
        <w:t xml:space="preserve"> 1) de reconnaître l</w:t>
      </w:r>
      <w:r w:rsidR="00D91476">
        <w:t>’</w:t>
      </w:r>
      <w:r w:rsidRPr="00E8642C">
        <w:t>énorme contribution des agriculteurs à la diversité des plantes qui nourrissent le monde;  2) de mettre en place un système mondial permettant aux agriculteurs, aux obtenteurs et aux chercheurs d</w:t>
      </w:r>
      <w:r w:rsidR="00D91476">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D91476">
        <w:t>’</w:t>
      </w:r>
      <w:r w:rsidRPr="00E8642C">
        <w:t>ils tirent de l</w:t>
      </w:r>
      <w:r w:rsidR="00D91476">
        <w:t>’</w:t>
      </w:r>
      <w:r w:rsidRPr="00E8642C">
        <w:t>utilisation de ces ressources génétiques avec les pays d</w:t>
      </w:r>
      <w:r w:rsidR="00D91476">
        <w:t>’</w:t>
      </w:r>
      <w:r w:rsidRPr="00E8642C">
        <w:t>où elles proviennent</w:t>
      </w:r>
      <w:r w:rsidRPr="00E8642C">
        <w:rPr>
          <w:rStyle w:val="FootnoteReference"/>
          <w:rFonts w:cs="Arial"/>
          <w:szCs w:val="22"/>
        </w:rPr>
        <w:footnoteReference w:id="171"/>
      </w:r>
      <w:r w:rsidRPr="00E8642C">
        <w:t>.</w:t>
      </w:r>
    </w:p>
    <w:p w:rsidR="00AD541F" w:rsidRDefault="00DD607D" w:rsidP="00E104D3">
      <w:pPr>
        <w:pStyle w:val="Heading2"/>
        <w:spacing w:after="220" w:line="240" w:lineRule="auto"/>
      </w:pPr>
      <w:bookmarkStart w:id="123" w:name="_Toc7772594"/>
      <w:r w:rsidRPr="00E8642C">
        <w:t>Utilisation</w:t>
      </w:r>
      <w:bookmarkEnd w:id="123"/>
    </w:p>
    <w:p w:rsidR="00AD541F" w:rsidRDefault="00DD607D" w:rsidP="00E104D3">
      <w:pPr>
        <w:spacing w:after="220"/>
        <w:rPr>
          <w:rFonts w:cs="Arial"/>
          <w:szCs w:val="22"/>
        </w:rPr>
      </w:pPr>
      <w:r w:rsidRPr="00E8642C">
        <w:rPr>
          <w:rFonts w:cs="Arial"/>
          <w:szCs w:val="22"/>
        </w:rPr>
        <w:t xml:space="preserve">Le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D91476">
        <w:rPr>
          <w:rFonts w:cs="Arial"/>
          <w:szCs w:val="22"/>
          <w:lang w:eastAsia="zh-CN"/>
        </w:rPr>
        <w:t>’</w:t>
      </w:r>
      <w:r w:rsidRPr="00E8642C">
        <w:rPr>
          <w:rFonts w:cs="Arial"/>
          <w:szCs w:val="22"/>
          <w:lang w:eastAsia="zh-CN"/>
        </w:rPr>
        <w:t>article 2.c) comme suit</w:t>
      </w:r>
      <w:r w:rsidR="00D91476">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D91476">
        <w:rPr>
          <w:rFonts w:cs="Arial"/>
          <w:szCs w:val="22"/>
        </w:rPr>
        <w:t>’</w:t>
      </w:r>
      <w:r w:rsidRPr="00E8642C">
        <w:rPr>
          <w:rFonts w:cs="Arial"/>
          <w:szCs w:val="22"/>
        </w:rPr>
        <w:t>application de la biotechnologie, conformément à la définition fournie à l</w:t>
      </w:r>
      <w:r w:rsidR="00D91476">
        <w:rPr>
          <w:rFonts w:cs="Arial"/>
          <w:szCs w:val="22"/>
        </w:rPr>
        <w:t>’</w:t>
      </w:r>
      <w:r w:rsidRPr="00E8642C">
        <w:rPr>
          <w:rFonts w:cs="Arial"/>
          <w:szCs w:val="22"/>
        </w:rPr>
        <w:t>article 2 de la Convention”.</w:t>
      </w:r>
    </w:p>
    <w:p w:rsidR="00AD541F" w:rsidRDefault="00DD607D" w:rsidP="00E104D3">
      <w:pPr>
        <w:pStyle w:val="Heading2"/>
        <w:spacing w:after="220" w:line="240" w:lineRule="auto"/>
      </w:pPr>
      <w:bookmarkStart w:id="124" w:name="_Toc7772595"/>
      <w:r w:rsidRPr="00E8642C">
        <w:t>Utilisation des expressions culturelles traditionnelles/savoirs traditionnels</w:t>
      </w:r>
      <w:bookmarkEnd w:id="124"/>
    </w:p>
    <w:p w:rsidR="00AD541F" w:rsidRDefault="00DD607D" w:rsidP="00E104D3">
      <w:pPr>
        <w:spacing w:after="220"/>
      </w:pPr>
      <w:r w:rsidRPr="00E8642C">
        <w:t>Les savoirs traditionnels et expressions culturelles traditionnelles peuvent être utilisés pour différentes raiso</w:t>
      </w:r>
      <w:r w:rsidR="001F3AEE" w:rsidRPr="00E8642C">
        <w:t>ns</w:t>
      </w:r>
      <w:r w:rsidR="001F3AEE">
        <w:t xml:space="preserve">.  </w:t>
      </w:r>
      <w:r w:rsidR="001F3AEE" w:rsidRPr="00E8642C">
        <w:t>Pa</w:t>
      </w:r>
      <w:r w:rsidRPr="00E8642C">
        <w:t>rmi ces utilisations, on peut citer les utilisations à des fins commerciales ou industrielles, l</w:t>
      </w:r>
      <w:r w:rsidR="00D91476">
        <w:t>’</w:t>
      </w:r>
      <w:r w:rsidRPr="00E8642C">
        <w:t>usage coutumier, l</w:t>
      </w:r>
      <w:r w:rsidR="00D91476">
        <w:t>’</w:t>
      </w:r>
      <w:r w:rsidRPr="00E8642C">
        <w:t>usage loyal et l</w:t>
      </w:r>
      <w:r w:rsidR="00D91476">
        <w:t>’</w:t>
      </w:r>
      <w:r w:rsidRPr="00E8642C">
        <w:t>usage de la médecine traditionnelle à des fins domestiques et de santé publique, et l</w:t>
      </w:r>
      <w:r w:rsidR="00D91476">
        <w:t>’</w:t>
      </w:r>
      <w:r w:rsidRPr="00E8642C">
        <w:t>utilisation à des fins de recherche et d</w:t>
      </w:r>
      <w:r w:rsidR="00D91476">
        <w:t>’</w:t>
      </w:r>
      <w:r w:rsidRPr="00E8642C">
        <w:t>enseignement.</w:t>
      </w:r>
    </w:p>
    <w:p w:rsidR="00AD541F" w:rsidRDefault="00DD607D" w:rsidP="00E104D3">
      <w:pPr>
        <w:pStyle w:val="Heading3"/>
        <w:keepLines/>
        <w:spacing w:after="220" w:line="240" w:lineRule="auto"/>
      </w:pPr>
      <w:r w:rsidRPr="00E8642C">
        <w:t>Utilisation commerciale</w:t>
      </w:r>
    </w:p>
    <w:p w:rsidR="00AD541F" w:rsidRDefault="00DD607D" w:rsidP="00E104D3">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91476">
        <w:rPr>
          <w:rFonts w:cs="Arial"/>
          <w:szCs w:val="22"/>
        </w:rPr>
        <w:t>’</w:t>
      </w:r>
      <w:r w:rsidRPr="00E8642C">
        <w:rPr>
          <w:rFonts w:cs="Arial"/>
          <w:szCs w:val="22"/>
        </w:rPr>
        <w:t>“utilisation commerciale” de la manière suivante</w:t>
      </w:r>
      <w:r w:rsidR="00D91476">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400337">
        <w:rPr>
          <w:rFonts w:cs="Arial"/>
          <w:iCs/>
          <w:szCs w:val="22"/>
        </w:rPr>
        <w:noBreakHyphen/>
      </w:r>
      <w:r w:rsidRPr="00E8642C">
        <w:rPr>
          <w:rFonts w:cs="Arial"/>
          <w:iCs/>
          <w:szCs w:val="22"/>
        </w:rPr>
        <w:t>ci</w:t>
      </w:r>
      <w:r w:rsidRPr="00E8642C">
        <w:rPr>
          <w:rFonts w:cs="Arial"/>
          <w:szCs w:val="22"/>
        </w:rPr>
        <w:t>”.  L</w:t>
      </w:r>
      <w:r w:rsidR="00D91476">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AD541F" w:rsidRDefault="00DD607D" w:rsidP="00E104D3">
      <w:pPr>
        <w:pStyle w:val="Heading3"/>
        <w:spacing w:after="220" w:line="240" w:lineRule="auto"/>
      </w:pPr>
      <w:r w:rsidRPr="00E8642C">
        <w:t>Usage coutumier</w:t>
      </w:r>
    </w:p>
    <w:p w:rsidR="00AD541F" w:rsidRDefault="00DD607D" w:rsidP="00E104D3">
      <w:pPr>
        <w:spacing w:after="220"/>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D91476">
        <w:rPr>
          <w:rFonts w:cs="Arial"/>
          <w:szCs w:val="22"/>
        </w:rPr>
        <w:t>’</w:t>
      </w:r>
      <w:r w:rsidRPr="00E8642C">
        <w:rPr>
          <w:rFonts w:cs="Arial"/>
          <w:szCs w:val="22"/>
        </w:rPr>
        <w:t>usage coutumier comme “</w:t>
      </w:r>
      <w:r w:rsidRPr="00E8642C">
        <w:rPr>
          <w:rFonts w:cs="Arial"/>
          <w:iCs/>
          <w:szCs w:val="22"/>
        </w:rPr>
        <w:t>l</w:t>
      </w:r>
      <w:r w:rsidR="00D91476">
        <w:rPr>
          <w:rFonts w:cs="Arial"/>
          <w:iCs/>
          <w:szCs w:val="22"/>
        </w:rPr>
        <w:t>’</w:t>
      </w:r>
      <w:r w:rsidRPr="00E8642C">
        <w:rPr>
          <w:rFonts w:cs="Arial"/>
          <w:iCs/>
          <w:szCs w:val="22"/>
        </w:rPr>
        <w:t>utilisation qui est faite de savoirs traditionnels ou d</w:t>
      </w:r>
      <w:r w:rsidR="00D91476">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AD541F" w:rsidRDefault="00DD607D" w:rsidP="00E104D3">
      <w:pPr>
        <w:spacing w:after="220"/>
        <w:rPr>
          <w:rFonts w:cs="Arial"/>
          <w:szCs w:val="22"/>
        </w:rPr>
      </w:pPr>
      <w:r w:rsidRPr="00E8642C">
        <w:rPr>
          <w:rFonts w:cs="Arial"/>
          <w:snapToGrid w:val="0"/>
          <w:szCs w:val="22"/>
        </w:rPr>
        <w:t>L</w:t>
      </w:r>
      <w:r w:rsidR="00D91476">
        <w:rPr>
          <w:rFonts w:cs="Arial"/>
          <w:snapToGrid w:val="0"/>
          <w:szCs w:val="22"/>
        </w:rPr>
        <w:t>’</w:t>
      </w:r>
      <w:r w:rsidRPr="00E8642C">
        <w:rPr>
          <w:rFonts w:cs="Arial"/>
          <w:snapToGrid w:val="0"/>
          <w:szCs w:val="22"/>
        </w:rPr>
        <w:t>expression “utilisation coutumière continue” renvoie à la persistance et à la nature vivante de l</w:t>
      </w:r>
      <w:r w:rsidR="00D91476">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AD541F" w:rsidRDefault="00DD607D" w:rsidP="00E104D3">
      <w:pPr>
        <w:pStyle w:val="Heading3"/>
        <w:spacing w:after="220" w:line="240" w:lineRule="auto"/>
      </w:pPr>
      <w:r w:rsidRPr="00E8642C">
        <w:t>Usage loyal</w:t>
      </w:r>
    </w:p>
    <w:p w:rsidR="00AD541F" w:rsidRDefault="00DD607D" w:rsidP="00E104D3">
      <w:pPr>
        <w:spacing w:after="220"/>
        <w:rPr>
          <w:rFonts w:cs="Arial"/>
          <w:szCs w:val="22"/>
        </w:rPr>
      </w:pPr>
      <w:r w:rsidRPr="00E8642C">
        <w:rPr>
          <w:rFonts w:cs="Arial"/>
          <w:szCs w:val="22"/>
        </w:rPr>
        <w:t>Dans le domaine du droit d</w:t>
      </w:r>
      <w:r w:rsidR="00D91476">
        <w:rPr>
          <w:rFonts w:cs="Arial"/>
          <w:szCs w:val="22"/>
        </w:rPr>
        <w:t>’</w:t>
      </w:r>
      <w:r w:rsidRPr="00E8642C">
        <w:rPr>
          <w:rFonts w:cs="Arial"/>
          <w:szCs w:val="22"/>
        </w:rPr>
        <w:t xml:space="preserve">auteur,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D91476">
        <w:rPr>
          <w:rFonts w:cs="Arial"/>
          <w:szCs w:val="22"/>
        </w:rPr>
        <w:t> :</w:t>
      </w:r>
      <w:r w:rsidRPr="00E8642C">
        <w:rPr>
          <w:rFonts w:cs="Arial"/>
          <w:szCs w:val="22"/>
        </w:rPr>
        <w:t xml:space="preserve"> “</w:t>
      </w:r>
      <w:r w:rsidRPr="00E8642C">
        <w:rPr>
          <w:rFonts w:cs="Arial"/>
          <w:iCs/>
          <w:szCs w:val="22"/>
        </w:rPr>
        <w:t>[tout] usage raisonnable et limité d</w:t>
      </w:r>
      <w:r w:rsidR="00D91476">
        <w:rPr>
          <w:rFonts w:cs="Arial"/>
          <w:iCs/>
          <w:szCs w:val="22"/>
        </w:rPr>
        <w:t>’</w:t>
      </w:r>
      <w:r w:rsidRPr="00E8642C">
        <w:rPr>
          <w:rFonts w:cs="Arial"/>
          <w:iCs/>
          <w:szCs w:val="22"/>
        </w:rPr>
        <w:t>une œuvre protégée par le droit d</w:t>
      </w:r>
      <w:r w:rsidR="00D91476">
        <w:rPr>
          <w:rFonts w:cs="Arial"/>
          <w:iCs/>
          <w:szCs w:val="22"/>
        </w:rPr>
        <w:t>’</w:t>
      </w:r>
      <w:r w:rsidRPr="00E8642C">
        <w:rPr>
          <w:rFonts w:cs="Arial"/>
          <w:iCs/>
          <w:szCs w:val="22"/>
        </w:rPr>
        <w:t>auteur sans l</w:t>
      </w:r>
      <w:r w:rsidR="00D91476">
        <w:rPr>
          <w:rFonts w:cs="Arial"/>
          <w:iCs/>
          <w:szCs w:val="22"/>
        </w:rPr>
        <w:t>’</w:t>
      </w:r>
      <w:r w:rsidRPr="00E8642C">
        <w:rPr>
          <w:rFonts w:cs="Arial"/>
          <w:iCs/>
          <w:szCs w:val="22"/>
        </w:rPr>
        <w:t>autorisation de son auteur, comme le fait de citer un livre dans la critique d</w:t>
      </w:r>
      <w:r w:rsidR="00D91476">
        <w:rPr>
          <w:rFonts w:cs="Arial"/>
          <w:iCs/>
          <w:szCs w:val="22"/>
        </w:rPr>
        <w:t>’</w:t>
      </w:r>
      <w:r w:rsidRPr="00E8642C">
        <w:rPr>
          <w:rFonts w:cs="Arial"/>
          <w:iCs/>
          <w:szCs w:val="22"/>
        </w:rPr>
        <w:t>un livre ou d</w:t>
      </w:r>
      <w:r w:rsidR="00D91476">
        <w:rPr>
          <w:rFonts w:cs="Arial"/>
          <w:iCs/>
          <w:szCs w:val="22"/>
        </w:rPr>
        <w:t>’</w:t>
      </w:r>
      <w:r w:rsidRPr="00E8642C">
        <w:rPr>
          <w:rFonts w:cs="Arial"/>
          <w:iCs/>
          <w:szCs w:val="22"/>
        </w:rPr>
        <w:t>utiliser des parties d</w:t>
      </w:r>
      <w:r w:rsidR="00D91476">
        <w:rPr>
          <w:rFonts w:cs="Arial"/>
          <w:iCs/>
          <w:szCs w:val="22"/>
        </w:rPr>
        <w:t>’</w:t>
      </w:r>
      <w:r w:rsidRPr="00E8642C">
        <w:rPr>
          <w:rFonts w:cs="Arial"/>
          <w:iCs/>
          <w:szCs w:val="22"/>
        </w:rPr>
        <w:t>un livre dans une parod</w:t>
      </w:r>
      <w:r w:rsidR="001F3AEE" w:rsidRPr="00E8642C">
        <w:rPr>
          <w:rFonts w:cs="Arial"/>
          <w:iCs/>
          <w:szCs w:val="22"/>
        </w:rPr>
        <w:t>ie</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u</w:t>
      </w:r>
      <w:r w:rsidRPr="00E8642C">
        <w:rPr>
          <w:rFonts w:cs="Arial"/>
          <w:iCs/>
          <w:szCs w:val="22"/>
        </w:rPr>
        <w:t>sage loyal constitue un moyen de défense dans une action en contrefaçon, selon les critères suivants</w:t>
      </w:r>
      <w:r w:rsidR="00D91476">
        <w:rPr>
          <w:rFonts w:cs="Arial"/>
          <w:iCs/>
          <w:szCs w:val="22"/>
        </w:rPr>
        <w:t> :</w:t>
      </w:r>
      <w:r w:rsidRPr="00E8642C">
        <w:rPr>
          <w:rFonts w:cs="Arial"/>
          <w:iCs/>
          <w:szCs w:val="22"/>
        </w:rPr>
        <w:t xml:space="preserve"> 1) le but et le caractère de </w:t>
      </w:r>
      <w:r w:rsidRPr="00E8642C">
        <w:rPr>
          <w:rFonts w:cs="Arial"/>
          <w:iCs/>
          <w:szCs w:val="22"/>
        </w:rPr>
        <w:lastRenderedPageBreak/>
        <w:t>l</w:t>
      </w:r>
      <w:r w:rsidR="00D91476">
        <w:rPr>
          <w:rFonts w:cs="Arial"/>
          <w:iCs/>
          <w:szCs w:val="22"/>
        </w:rPr>
        <w:t>’</w:t>
      </w:r>
      <w:r w:rsidRPr="00E8642C">
        <w:rPr>
          <w:rFonts w:cs="Arial"/>
          <w:iCs/>
          <w:szCs w:val="22"/>
        </w:rPr>
        <w:t>utilisation, 2) la nature de l</w:t>
      </w:r>
      <w:r w:rsidR="00D91476">
        <w:rPr>
          <w:rFonts w:cs="Arial"/>
          <w:iCs/>
          <w:szCs w:val="22"/>
        </w:rPr>
        <w:t>’</w:t>
      </w:r>
      <w:r w:rsidRPr="00E8642C">
        <w:rPr>
          <w:rFonts w:cs="Arial"/>
          <w:iCs/>
          <w:szCs w:val="22"/>
        </w:rPr>
        <w:t>œuvre protégée par le droit d</w:t>
      </w:r>
      <w:r w:rsidR="00D91476">
        <w:rPr>
          <w:rFonts w:cs="Arial"/>
          <w:iCs/>
          <w:szCs w:val="22"/>
        </w:rPr>
        <w:t>’</w:t>
      </w:r>
      <w:r w:rsidRPr="00E8642C">
        <w:rPr>
          <w:rFonts w:cs="Arial"/>
          <w:iCs/>
          <w:szCs w:val="22"/>
        </w:rPr>
        <w:t>auteur, 3) la part de l</w:t>
      </w:r>
      <w:r w:rsidR="00D91476">
        <w:rPr>
          <w:rFonts w:cs="Arial"/>
          <w:iCs/>
          <w:szCs w:val="22"/>
        </w:rPr>
        <w:t>’</w:t>
      </w:r>
      <w:r w:rsidRPr="00E8642C">
        <w:rPr>
          <w:rFonts w:cs="Arial"/>
          <w:iCs/>
          <w:szCs w:val="22"/>
        </w:rPr>
        <w:t>œuvre utilisée et 4) l</w:t>
      </w:r>
      <w:r w:rsidR="00D91476">
        <w:rPr>
          <w:rFonts w:cs="Arial"/>
          <w:iCs/>
          <w:szCs w:val="22"/>
        </w:rPr>
        <w:t>’</w:t>
      </w:r>
      <w:r w:rsidRPr="00E8642C">
        <w:rPr>
          <w:rFonts w:cs="Arial"/>
          <w:iCs/>
          <w:szCs w:val="22"/>
        </w:rPr>
        <w:t>incidence économique de cette utilisation</w:t>
      </w:r>
      <w:r w:rsidRPr="00E8642C">
        <w:rPr>
          <w:rFonts w:cs="Arial"/>
          <w:szCs w:val="22"/>
        </w:rPr>
        <w:t>”.</w:t>
      </w:r>
    </w:p>
    <w:p w:rsidR="00AD541F" w:rsidRDefault="00DD607D" w:rsidP="00E104D3">
      <w:pPr>
        <w:pStyle w:val="Heading3"/>
        <w:spacing w:after="220" w:line="240" w:lineRule="auto"/>
      </w:pPr>
      <w:r w:rsidRPr="00E8642C">
        <w:t>Usage ménager et usage à des fins de santé publique</w:t>
      </w:r>
    </w:p>
    <w:p w:rsidR="00AD541F" w:rsidRDefault="00DD607D" w:rsidP="00E104D3">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D91476">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w:t>
      </w:r>
      <w:proofErr w:type="gramStart"/>
      <w:r w:rsidRPr="00E8642C">
        <w:rPr>
          <w:rFonts w:cs="Arial"/>
          <w:iCs/>
          <w:szCs w:val="22"/>
        </w:rPr>
        <w:t>famille;  domestique</w:t>
      </w:r>
      <w:proofErr w:type="gramEnd"/>
      <w:r w:rsidRPr="00E8642C">
        <w:rPr>
          <w:rFonts w:cs="Arial"/>
          <w:szCs w:val="22"/>
        </w:rPr>
        <w:t>”.</w:t>
      </w:r>
    </w:p>
    <w:p w:rsidR="00AD541F" w:rsidRPr="00EF47F4" w:rsidRDefault="00DD607D" w:rsidP="00E104D3">
      <w:pPr>
        <w:spacing w:after="220"/>
        <w:rPr>
          <w:rFonts w:cs="Arial"/>
          <w:spacing w:val="-2"/>
          <w:szCs w:val="22"/>
        </w:rPr>
      </w:pPr>
      <w:r w:rsidRPr="00EF47F4">
        <w:rPr>
          <w:rFonts w:cs="Arial"/>
          <w:spacing w:val="-2"/>
          <w:szCs w:val="22"/>
        </w:rPr>
        <w:t>L</w:t>
      </w:r>
      <w:r w:rsidR="00D91476" w:rsidRPr="00EF47F4">
        <w:rPr>
          <w:rFonts w:cs="Arial"/>
          <w:spacing w:val="-2"/>
          <w:szCs w:val="22"/>
        </w:rPr>
        <w:t>’</w:t>
      </w:r>
      <w:r w:rsidRPr="00EF47F4">
        <w:rPr>
          <w:rFonts w:cs="Arial"/>
          <w:spacing w:val="-2"/>
          <w:szCs w:val="22"/>
        </w:rPr>
        <w:t>article 1 de la Déclaration de Doha sur l</w:t>
      </w:r>
      <w:r w:rsidR="00D91476" w:rsidRPr="00EF47F4">
        <w:rPr>
          <w:rFonts w:cs="Arial"/>
          <w:spacing w:val="-2"/>
          <w:szCs w:val="22"/>
        </w:rPr>
        <w:t>’</w:t>
      </w:r>
      <w:r w:rsidRPr="00EF47F4">
        <w:rPr>
          <w:rFonts w:cs="Arial"/>
          <w:spacing w:val="-2"/>
          <w:szCs w:val="22"/>
        </w:rPr>
        <w:t>Accord sur les ADPIC et la santé publique reconnaît “</w:t>
      </w:r>
      <w:r w:rsidRPr="00EF47F4">
        <w:rPr>
          <w:rFonts w:cs="Arial"/>
          <w:iCs/>
          <w:spacing w:val="-2"/>
          <w:szCs w:val="22"/>
        </w:rPr>
        <w:t>la gravité des problèmes de santé publique qui touchent de nombreux pays en développement et pays les moins avancés, en particulier ceux qui résultent du VIH/SIDA, de la tuberculose, du paludisme et d</w:t>
      </w:r>
      <w:r w:rsidR="00D91476" w:rsidRPr="00EF47F4">
        <w:rPr>
          <w:rFonts w:cs="Arial"/>
          <w:iCs/>
          <w:spacing w:val="-2"/>
          <w:szCs w:val="22"/>
        </w:rPr>
        <w:t>’</w:t>
      </w:r>
      <w:r w:rsidRPr="00EF47F4">
        <w:rPr>
          <w:rFonts w:cs="Arial"/>
          <w:iCs/>
          <w:spacing w:val="-2"/>
          <w:szCs w:val="22"/>
        </w:rPr>
        <w:t xml:space="preserve">autres épidémies”.  </w:t>
      </w:r>
      <w:r w:rsidRPr="00EF47F4">
        <w:rPr>
          <w:rFonts w:cs="Arial"/>
          <w:spacing w:val="-2"/>
          <w:szCs w:val="22"/>
        </w:rPr>
        <w:t>L</w:t>
      </w:r>
      <w:r w:rsidR="00D91476" w:rsidRPr="00EF47F4">
        <w:rPr>
          <w:rFonts w:cs="Arial"/>
          <w:spacing w:val="-2"/>
          <w:szCs w:val="22"/>
        </w:rPr>
        <w:t>’</w:t>
      </w:r>
      <w:r w:rsidRPr="00EF47F4">
        <w:rPr>
          <w:rFonts w:cs="Arial"/>
          <w:spacing w:val="-2"/>
          <w:szCs w:val="22"/>
        </w:rPr>
        <w:t xml:space="preserve">article 5.c) ajoute que </w:t>
      </w:r>
      <w:r w:rsidRPr="00EF47F4">
        <w:rPr>
          <w:rFonts w:cs="Arial"/>
          <w:iCs/>
          <w:spacing w:val="-2"/>
          <w:szCs w:val="22"/>
        </w:rPr>
        <w:t>“[c]</w:t>
      </w:r>
      <w:proofErr w:type="spellStart"/>
      <w:r w:rsidRPr="00EF47F4">
        <w:rPr>
          <w:rFonts w:cs="Arial"/>
          <w:iCs/>
          <w:spacing w:val="-2"/>
          <w:szCs w:val="22"/>
        </w:rPr>
        <w:t>haque</w:t>
      </w:r>
      <w:proofErr w:type="spellEnd"/>
      <w:r w:rsidRPr="00EF47F4">
        <w:rPr>
          <w:rFonts w:cs="Arial"/>
          <w:iCs/>
          <w:spacing w:val="-2"/>
          <w:szCs w:val="22"/>
        </w:rPr>
        <w:t xml:space="preserve"> Membre a le droit de déterminer ce qui constitue une situation d</w:t>
      </w:r>
      <w:r w:rsidR="00D91476" w:rsidRPr="00EF47F4">
        <w:rPr>
          <w:rFonts w:cs="Arial"/>
          <w:iCs/>
          <w:spacing w:val="-2"/>
          <w:szCs w:val="22"/>
        </w:rPr>
        <w:t>’</w:t>
      </w:r>
      <w:r w:rsidRPr="00EF47F4">
        <w:rPr>
          <w:rFonts w:cs="Arial"/>
          <w:iCs/>
          <w:spacing w:val="-2"/>
          <w:szCs w:val="22"/>
        </w:rPr>
        <w:t>urgence nationale ou d</w:t>
      </w:r>
      <w:r w:rsidR="00D91476" w:rsidRPr="00EF47F4">
        <w:rPr>
          <w:rFonts w:cs="Arial"/>
          <w:iCs/>
          <w:spacing w:val="-2"/>
          <w:szCs w:val="22"/>
        </w:rPr>
        <w:t>’</w:t>
      </w:r>
      <w:r w:rsidRPr="00EF47F4">
        <w:rPr>
          <w:rFonts w:cs="Arial"/>
          <w:iCs/>
          <w:spacing w:val="-2"/>
          <w:szCs w:val="22"/>
        </w:rPr>
        <w:t>autres circonstances d</w:t>
      </w:r>
      <w:r w:rsidR="00D91476" w:rsidRPr="00EF47F4">
        <w:rPr>
          <w:rFonts w:cs="Arial"/>
          <w:iCs/>
          <w:spacing w:val="-2"/>
          <w:szCs w:val="22"/>
        </w:rPr>
        <w:t>’</w:t>
      </w:r>
      <w:r w:rsidRPr="00EF47F4">
        <w:rPr>
          <w:rFonts w:cs="Arial"/>
          <w:iCs/>
          <w:spacing w:val="-2"/>
          <w:szCs w:val="22"/>
        </w:rPr>
        <w:t xml:space="preserve">extrême urgence, étant entendu que les crises dans le domaine de la santé publique, </w:t>
      </w:r>
      <w:r w:rsidR="00D91476" w:rsidRPr="00EF47F4">
        <w:rPr>
          <w:rFonts w:cs="Arial"/>
          <w:iCs/>
          <w:spacing w:val="-2"/>
          <w:szCs w:val="22"/>
        </w:rPr>
        <w:t>y compris</w:t>
      </w:r>
      <w:r w:rsidRPr="00EF47F4">
        <w:rPr>
          <w:rFonts w:cs="Arial"/>
          <w:iCs/>
          <w:spacing w:val="-2"/>
          <w:szCs w:val="22"/>
        </w:rPr>
        <w:t xml:space="preserve"> celles qui sont liées au VIH/SIDA, à la tuberculose, au paludisme et à d</w:t>
      </w:r>
      <w:r w:rsidR="00D91476" w:rsidRPr="00EF47F4">
        <w:rPr>
          <w:rFonts w:cs="Arial"/>
          <w:iCs/>
          <w:spacing w:val="-2"/>
          <w:szCs w:val="22"/>
        </w:rPr>
        <w:t>’</w:t>
      </w:r>
      <w:r w:rsidRPr="00EF47F4">
        <w:rPr>
          <w:rFonts w:cs="Arial"/>
          <w:iCs/>
          <w:spacing w:val="-2"/>
          <w:szCs w:val="22"/>
        </w:rPr>
        <w:t>autres épidémies, peuvent représenter une situation d</w:t>
      </w:r>
      <w:r w:rsidR="00D91476" w:rsidRPr="00EF47F4">
        <w:rPr>
          <w:rFonts w:cs="Arial"/>
          <w:iCs/>
          <w:spacing w:val="-2"/>
          <w:szCs w:val="22"/>
        </w:rPr>
        <w:t>’</w:t>
      </w:r>
      <w:r w:rsidRPr="00EF47F4">
        <w:rPr>
          <w:rFonts w:cs="Arial"/>
          <w:iCs/>
          <w:spacing w:val="-2"/>
          <w:szCs w:val="22"/>
        </w:rPr>
        <w:t>urgence nationale ou d</w:t>
      </w:r>
      <w:r w:rsidR="00D91476" w:rsidRPr="00EF47F4">
        <w:rPr>
          <w:rFonts w:cs="Arial"/>
          <w:iCs/>
          <w:spacing w:val="-2"/>
          <w:szCs w:val="22"/>
        </w:rPr>
        <w:t>’</w:t>
      </w:r>
      <w:r w:rsidRPr="00EF47F4">
        <w:rPr>
          <w:rFonts w:cs="Arial"/>
          <w:iCs/>
          <w:spacing w:val="-2"/>
          <w:szCs w:val="22"/>
        </w:rPr>
        <w:t>autres circonstances d</w:t>
      </w:r>
      <w:r w:rsidR="00D91476" w:rsidRPr="00EF47F4">
        <w:rPr>
          <w:rFonts w:cs="Arial"/>
          <w:iCs/>
          <w:spacing w:val="-2"/>
          <w:szCs w:val="22"/>
        </w:rPr>
        <w:t>’</w:t>
      </w:r>
      <w:r w:rsidRPr="00EF47F4">
        <w:rPr>
          <w:rFonts w:cs="Arial"/>
          <w:iCs/>
          <w:spacing w:val="-2"/>
          <w:szCs w:val="22"/>
        </w:rPr>
        <w:t>extrême urgence”.</w:t>
      </w:r>
    </w:p>
    <w:p w:rsidR="00AD541F" w:rsidRDefault="00DD607D" w:rsidP="00E104D3">
      <w:pPr>
        <w:pStyle w:val="Heading3"/>
        <w:spacing w:after="220" w:line="240" w:lineRule="auto"/>
      </w:pPr>
      <w:r w:rsidRPr="00E8642C">
        <w:t>Utilisation à des fins de recherche et d</w:t>
      </w:r>
      <w:r w:rsidR="00D91476">
        <w:t>’</w:t>
      </w:r>
      <w:r w:rsidRPr="00E8642C">
        <w:t>enseignement</w:t>
      </w:r>
    </w:p>
    <w:p w:rsidR="00DD607D" w:rsidRPr="00E8642C" w:rsidRDefault="00DD607D" w:rsidP="00E104D3">
      <w:pPr>
        <w:spacing w:after="220"/>
        <w:rPr>
          <w:rFonts w:cs="Arial"/>
          <w:szCs w:val="22"/>
        </w:rPr>
      </w:pPr>
      <w:r w:rsidRPr="00E8642C">
        <w:rPr>
          <w:rFonts w:cs="Arial"/>
          <w:szCs w:val="22"/>
        </w:rPr>
        <w:t xml:space="preserve">Dans le domaine des brevets,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91476">
        <w:rPr>
          <w:rFonts w:cs="Arial"/>
          <w:szCs w:val="22"/>
        </w:rPr>
        <w:t>’</w:t>
      </w:r>
      <w:r w:rsidRPr="00E8642C">
        <w:rPr>
          <w:rFonts w:cs="Arial"/>
          <w:szCs w:val="22"/>
        </w:rPr>
        <w:t>expression “défense au titre de l</w:t>
      </w:r>
      <w:r w:rsidR="00D91476">
        <w:rPr>
          <w:rFonts w:cs="Arial"/>
          <w:szCs w:val="22"/>
        </w:rPr>
        <w:t>’</w:t>
      </w:r>
      <w:r w:rsidRPr="00E8642C">
        <w:rPr>
          <w:rFonts w:cs="Arial"/>
          <w:szCs w:val="22"/>
        </w:rPr>
        <w:t>usage expérimental” de la manière suivante</w:t>
      </w:r>
      <w:r w:rsidR="00D91476">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D91476">
        <w:rPr>
          <w:rFonts w:cs="Arial"/>
          <w:iCs/>
          <w:szCs w:val="22"/>
        </w:rPr>
        <w:t>’</w:t>
      </w:r>
      <w:r w:rsidRPr="00E8642C">
        <w:rPr>
          <w:rFonts w:cs="Arial"/>
          <w:iCs/>
          <w:szCs w:val="22"/>
        </w:rPr>
        <w:t>utilisation de l</w:t>
      </w:r>
      <w:r w:rsidR="00D91476">
        <w:rPr>
          <w:rFonts w:cs="Arial"/>
          <w:iCs/>
          <w:szCs w:val="22"/>
        </w:rPr>
        <w:t>’</w:t>
      </w:r>
      <w:r w:rsidRPr="00E8642C">
        <w:rPr>
          <w:rFonts w:cs="Arial"/>
          <w:iCs/>
          <w:szCs w:val="22"/>
        </w:rPr>
        <w:t>invention brevetée visaient uniquement un but scientifiq</w:t>
      </w:r>
      <w:r w:rsidR="001F3AEE" w:rsidRPr="00E8642C">
        <w:rPr>
          <w:rFonts w:cs="Arial"/>
          <w:iCs/>
          <w:szCs w:val="22"/>
        </w:rPr>
        <w:t>ue</w:t>
      </w:r>
      <w:r w:rsidR="001F3AEE">
        <w:rPr>
          <w:rFonts w:cs="Arial"/>
          <w:iCs/>
          <w:szCs w:val="22"/>
        </w:rPr>
        <w:t xml:space="preserve">.  </w:t>
      </w:r>
      <w:r w:rsidR="001F3AEE" w:rsidRPr="00E8642C">
        <w:rPr>
          <w:rFonts w:cs="Arial"/>
          <w:iCs/>
          <w:szCs w:val="22"/>
        </w:rPr>
        <w:t>Bi</w:t>
      </w:r>
      <w:r w:rsidRPr="00E8642C">
        <w:rPr>
          <w:rFonts w:cs="Arial"/>
          <w:iCs/>
          <w:szCs w:val="22"/>
        </w:rPr>
        <w:t>en qu</w:t>
      </w:r>
      <w:r w:rsidR="00D91476">
        <w:rPr>
          <w:rFonts w:cs="Arial"/>
          <w:iCs/>
          <w:szCs w:val="22"/>
        </w:rPr>
        <w:t>’</w:t>
      </w:r>
      <w:r w:rsidRPr="00E8642C">
        <w:rPr>
          <w:rFonts w:cs="Arial"/>
          <w:iCs/>
          <w:szCs w:val="22"/>
        </w:rPr>
        <w:t>il soit encore reconnu, ce moyen de défense est très limité et ne s</w:t>
      </w:r>
      <w:r w:rsidR="00D91476">
        <w:rPr>
          <w:rFonts w:cs="Arial"/>
          <w:iCs/>
          <w:szCs w:val="22"/>
        </w:rPr>
        <w:t>’</w:t>
      </w:r>
      <w:r w:rsidRPr="00E8642C">
        <w:rPr>
          <w:rFonts w:cs="Arial"/>
          <w:iCs/>
          <w:szCs w:val="22"/>
        </w:rPr>
        <w:t>applique aujourd</w:t>
      </w:r>
      <w:r w:rsidR="00D91476">
        <w:rPr>
          <w:rFonts w:cs="Arial"/>
          <w:iCs/>
          <w:szCs w:val="22"/>
        </w:rPr>
        <w:t>’</w:t>
      </w:r>
      <w:r w:rsidRPr="00E8642C">
        <w:rPr>
          <w:rFonts w:cs="Arial"/>
          <w:iCs/>
          <w:szCs w:val="22"/>
        </w:rPr>
        <w:t>hui plus qu</w:t>
      </w:r>
      <w:r w:rsidR="00D91476">
        <w:rPr>
          <w:rFonts w:cs="Arial"/>
          <w:iCs/>
          <w:szCs w:val="22"/>
        </w:rPr>
        <w:t>’</w:t>
      </w:r>
      <w:r w:rsidRPr="00E8642C">
        <w:rPr>
          <w:rFonts w:cs="Arial"/>
          <w:iCs/>
          <w:szCs w:val="22"/>
        </w:rPr>
        <w:t>au domaine de la recherche visant à tester les revendications de l</w:t>
      </w:r>
      <w:r w:rsidR="00D91476">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1F3AEE" w:rsidRPr="00E8642C">
        <w:rPr>
          <w:rFonts w:cs="Arial"/>
          <w:szCs w:val="22"/>
        </w:rPr>
        <w:t>nt</w:t>
      </w:r>
      <w:r w:rsidR="001F3AEE">
        <w:rPr>
          <w:rFonts w:cs="Arial"/>
          <w:szCs w:val="22"/>
        </w:rPr>
        <w:t xml:space="preserve">.  </w:t>
      </w:r>
      <w:r w:rsidR="001F3AEE"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E104D3">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EF47F4">
      <w:pPr>
        <w:spacing w:after="220"/>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E104D3">
      <w:pPr>
        <w:pStyle w:val="Heading2"/>
        <w:spacing w:after="220" w:line="240" w:lineRule="auto"/>
      </w:pPr>
      <w:bookmarkStart w:id="125" w:name="_Toc7772596"/>
      <w:r w:rsidRPr="00E8642C">
        <w:t>Utilisation illicite</w:t>
      </w:r>
      <w:r w:rsidRPr="00E8642C">
        <w:rPr>
          <w:rStyle w:val="FootnoteReference"/>
          <w:b w:val="0"/>
          <w:bCs w:val="0"/>
        </w:rPr>
        <w:footnoteReference w:id="172"/>
      </w:r>
      <w:bookmarkEnd w:id="125"/>
    </w:p>
    <w:p w:rsidR="00DD607D" w:rsidRPr="00E8642C" w:rsidRDefault="00DD607D" w:rsidP="00E104D3">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D91476">
        <w:rPr>
          <w:rFonts w:cs="Arial"/>
          <w:szCs w:val="22"/>
        </w:rPr>
        <w:t> :</w:t>
      </w:r>
      <w:r w:rsidRPr="00E8642C">
        <w:rPr>
          <w:rFonts w:cs="Arial"/>
          <w:szCs w:val="22"/>
        </w:rPr>
        <w:t xml:space="preserve"> “</w:t>
      </w:r>
      <w:r w:rsidRPr="00E8642C">
        <w:rPr>
          <w:rFonts w:cs="Arial"/>
          <w:iCs/>
          <w:szCs w:val="22"/>
        </w:rPr>
        <w:t>utilisation d</w:t>
      </w:r>
      <w:r w:rsidR="00D91476">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D91476">
        <w:rPr>
          <w:rFonts w:cs="Arial"/>
          <w:szCs w:val="22"/>
        </w:rPr>
        <w:t>’</w:t>
      </w:r>
      <w:r w:rsidRPr="00E8642C">
        <w:rPr>
          <w:rFonts w:cs="Arial"/>
          <w:szCs w:val="22"/>
        </w:rPr>
        <w:t>une manière générale, il la définit comme une utilisation impropre, d</w:t>
      </w:r>
      <w:r w:rsidR="00D91476">
        <w:rPr>
          <w:rFonts w:cs="Arial"/>
          <w:szCs w:val="22"/>
        </w:rPr>
        <w:t>’</w:t>
      </w:r>
      <w:r w:rsidRPr="00E8642C">
        <w:rPr>
          <w:rFonts w:cs="Arial"/>
          <w:szCs w:val="22"/>
        </w:rPr>
        <w:t>une manière non intentionnelle ou non prévisib</w:t>
      </w:r>
      <w:r w:rsidR="001F3AEE" w:rsidRPr="00E8642C">
        <w:rPr>
          <w:rFonts w:cs="Arial"/>
          <w:szCs w:val="22"/>
        </w:rPr>
        <w:t>le</w:t>
      </w:r>
      <w:r w:rsidR="001F3AEE">
        <w:rPr>
          <w:rFonts w:cs="Arial"/>
          <w:szCs w:val="22"/>
        </w:rPr>
        <w:t xml:space="preserve">.  </w:t>
      </w:r>
      <w:r w:rsidR="001F3AEE"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D91476">
        <w:rPr>
          <w:rFonts w:cs="Arial"/>
          <w:szCs w:val="22"/>
        </w:rPr>
        <w:t>’</w:t>
      </w:r>
      <w:r w:rsidRPr="00E8642C">
        <w:rPr>
          <w:rFonts w:cs="Arial"/>
          <w:szCs w:val="22"/>
        </w:rPr>
        <w:t>utilisation illicite comme une utilisation erronée, incorrecte ou abusive, ou un abus de pouvo</w:t>
      </w:r>
      <w:r w:rsidR="001F3AEE" w:rsidRPr="00E8642C">
        <w:rPr>
          <w:rFonts w:cs="Arial"/>
          <w:szCs w:val="22"/>
        </w:rPr>
        <w:t>ir</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u</w:t>
      </w:r>
      <w:r w:rsidRPr="00E8642C">
        <w:rPr>
          <w:rFonts w:cs="Arial"/>
          <w:szCs w:val="22"/>
        </w:rPr>
        <w:t>tilisation illicite peut également renvoyer à une utilisation abusive ou excessive, ou à des actes qui modifient l</w:t>
      </w:r>
      <w:r w:rsidR="00D91476">
        <w:rPr>
          <w:rFonts w:cs="Arial"/>
          <w:szCs w:val="22"/>
        </w:rPr>
        <w:t>’</w:t>
      </w:r>
      <w:r w:rsidRPr="00E8642C">
        <w:rPr>
          <w:rFonts w:cs="Arial"/>
          <w:szCs w:val="22"/>
        </w:rPr>
        <w:t>objet ou la fonction même d</w:t>
      </w:r>
      <w:r w:rsidR="00D91476">
        <w:rPr>
          <w:rFonts w:cs="Arial"/>
          <w:szCs w:val="22"/>
        </w:rPr>
        <w:t>’</w:t>
      </w:r>
      <w:r w:rsidRPr="00E8642C">
        <w:rPr>
          <w:rFonts w:cs="Arial"/>
          <w:szCs w:val="22"/>
        </w:rPr>
        <w:t>une chose.</w:t>
      </w:r>
    </w:p>
    <w:p w:rsidR="00AA3C26" w:rsidRPr="00AE5852" w:rsidRDefault="00AA3C26" w:rsidP="00E104D3">
      <w:pPr>
        <w:pStyle w:val="Endofdocument-Annex"/>
      </w:pPr>
      <w:r w:rsidRPr="00AE5852">
        <w:t xml:space="preserve">[Fin de </w:t>
      </w:r>
      <w:r w:rsidRPr="00A35E46">
        <w:t>l</w:t>
      </w:r>
      <w:r w:rsidR="00D91476" w:rsidRPr="00A35E46">
        <w:t>’</w:t>
      </w:r>
      <w:r w:rsidRPr="00A35E46">
        <w:t>annexe</w:t>
      </w:r>
      <w:r w:rsidRPr="00AE5852">
        <w:t xml:space="preserve"> et du document]</w:t>
      </w:r>
    </w:p>
    <w:sectPr w:rsidR="00AA3C26" w:rsidRPr="00AE5852" w:rsidSect="00DC26C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D3" w:rsidRDefault="00E104D3">
      <w:r>
        <w:separator/>
      </w:r>
    </w:p>
    <w:p w:rsidR="00E104D3" w:rsidRDefault="00E104D3"/>
  </w:endnote>
  <w:endnote w:type="continuationSeparator" w:id="0">
    <w:p w:rsidR="00E104D3" w:rsidRDefault="00E104D3">
      <w:r>
        <w:continuationSeparator/>
      </w:r>
    </w:p>
    <w:p w:rsidR="00E104D3" w:rsidRDefault="00E104D3"/>
  </w:endnote>
  <w:endnote w:type="continuationNotice" w:id="1">
    <w:p w:rsidR="00E104D3" w:rsidRDefault="00E104D3"/>
    <w:p w:rsidR="00E104D3" w:rsidRDefault="00E1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Default="00E104D3" w:rsidP="00D23D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Default="00E104D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Pr="008576A7" w:rsidRDefault="00E104D3"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D3" w:rsidRDefault="00E104D3">
      <w:r>
        <w:separator/>
      </w:r>
    </w:p>
  </w:footnote>
  <w:footnote w:type="continuationSeparator" w:id="0">
    <w:p w:rsidR="00E104D3" w:rsidRDefault="00E104D3">
      <w:r>
        <w:separator/>
      </w:r>
    </w:p>
    <w:p w:rsidR="00E104D3" w:rsidRDefault="00E104D3" w:rsidP="00BD4DE0">
      <w:pPr>
        <w:spacing w:after="60"/>
      </w:pPr>
      <w:r w:rsidRPr="009D30E6">
        <w:rPr>
          <w:sz w:val="17"/>
          <w:szCs w:val="17"/>
        </w:rPr>
        <w:t>[Suite de la note de la page précédente]</w:t>
      </w:r>
    </w:p>
    <w:p w:rsidR="00E104D3" w:rsidRDefault="00E104D3"/>
  </w:footnote>
  <w:footnote w:type="continuationNotice" w:id="1">
    <w:p w:rsidR="00E104D3" w:rsidRPr="009D30E6" w:rsidRDefault="00E104D3" w:rsidP="00BD4DE0">
      <w:pPr>
        <w:spacing w:before="60"/>
        <w:jc w:val="right"/>
        <w:rPr>
          <w:sz w:val="17"/>
          <w:szCs w:val="17"/>
        </w:rPr>
      </w:pPr>
      <w:r w:rsidRPr="009D30E6">
        <w:rPr>
          <w:sz w:val="17"/>
          <w:szCs w:val="17"/>
        </w:rPr>
        <w:t>[Suite de la note page suivante]</w:t>
      </w:r>
    </w:p>
    <w:p w:rsidR="00E104D3" w:rsidRDefault="00E104D3"/>
  </w:footnote>
  <w:footnote w:id="2">
    <w:p w:rsidR="00E104D3" w:rsidRPr="00E55DB1" w:rsidRDefault="00E104D3"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ab/>
      </w:r>
      <w:r w:rsidRPr="00E55DB1">
        <w:rPr>
          <w:rStyle w:val="FooterChar"/>
          <w:rFonts w:cs="Arial"/>
          <w:noProof/>
          <w:sz w:val="18"/>
          <w:szCs w:val="18"/>
          <w:lang w:val="fr-FR"/>
        </w:rPr>
        <w:t>Rapport de la seiz</w:t>
      </w:r>
      <w:r>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WIPO/GRTKF/IC/16/8) et rapport de la dix</w:t>
      </w:r>
      <w:r>
        <w:rPr>
          <w:rStyle w:val="FooterChar"/>
          <w:rFonts w:cs="Arial"/>
          <w:noProof/>
          <w:sz w:val="18"/>
          <w:szCs w:val="18"/>
          <w:lang w:val="fr-FR"/>
        </w:rPr>
        <w:t>-</w:t>
      </w:r>
      <w:r w:rsidRPr="00E55DB1">
        <w:rPr>
          <w:rStyle w:val="FooterChar"/>
          <w:rFonts w:cs="Arial"/>
          <w:noProof/>
          <w:sz w:val="18"/>
          <w:szCs w:val="18"/>
          <w:lang w:val="fr-FR"/>
        </w:rPr>
        <w:t>sept</w:t>
      </w:r>
      <w:r>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WIPO/GRTKF/IC/17/12).</w:t>
      </w:r>
    </w:p>
  </w:footnote>
  <w:footnote w:id="3">
    <w:p w:rsidR="00E104D3" w:rsidRPr="00E55DB1" w:rsidRDefault="00E104D3">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t>-</w:t>
      </w:r>
      <w:r w:rsidRPr="00E55DB1">
        <w:rPr>
          <w:rStyle w:val="FooterChar"/>
          <w:rFonts w:cs="Arial"/>
          <w:noProof/>
          <w:sz w:val="18"/>
          <w:szCs w:val="18"/>
          <w:lang w:val="fr-FR"/>
        </w:rPr>
        <w:t>neuv</w:t>
      </w:r>
      <w:r>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WIPO/GRTKF/IC/19/12).</w:t>
      </w:r>
    </w:p>
  </w:footnote>
  <w:footnote w:id="4">
    <w:p w:rsidR="00E104D3" w:rsidRPr="00E55DB1" w:rsidRDefault="00E104D3"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w:t>
      </w:r>
      <w:r>
        <w:rPr>
          <w:rFonts w:cs="Arial"/>
          <w:noProof/>
          <w:sz w:val="18"/>
          <w:szCs w:val="18"/>
        </w:rPr>
        <w:t>’</w:t>
      </w:r>
      <w:r w:rsidRPr="00E55DB1">
        <w:rPr>
          <w:rFonts w:cs="Arial"/>
          <w:noProof/>
          <w:sz w:val="18"/>
          <w:szCs w:val="18"/>
        </w:rPr>
        <w:t>accès aux ressources génétiques et le partage juste et équitable des avantages découlant de leur utilisation relatif à la Convention sur la diversité biologique.</w:t>
      </w:r>
    </w:p>
  </w:footnote>
  <w:footnote w:id="5">
    <w:p w:rsidR="00E104D3" w:rsidRPr="00E55DB1" w:rsidRDefault="00E104D3"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w:t>
      </w:r>
      <w:r>
        <w:rPr>
          <w:rFonts w:cs="Arial"/>
          <w:noProof/>
          <w:sz w:val="18"/>
          <w:szCs w:val="18"/>
        </w:rPr>
        <w:t>’</w:t>
      </w:r>
      <w:r w:rsidRPr="00E55DB1">
        <w:rPr>
          <w:rFonts w:cs="Arial"/>
          <w:noProof/>
          <w:sz w:val="18"/>
          <w:szCs w:val="18"/>
        </w:rPr>
        <w:t>accès aux ressources génétiques et le partage juste et équitable des avantages résultant de leur utilisation.</w:t>
      </w:r>
    </w:p>
  </w:footnote>
  <w:footnote w:id="6">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E104D3" w:rsidRPr="00E55DB1" w:rsidRDefault="00E104D3"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’adresse http</w:t>
      </w:r>
      <w:r w:rsidRPr="00EA7362">
        <w:rPr>
          <w:rStyle w:val="Hyperlink"/>
          <w:rFonts w:cs="Arial"/>
          <w:noProof/>
          <w:color w:val="auto"/>
          <w:sz w:val="18"/>
          <w:szCs w:val="18"/>
          <w:u w:val="none"/>
        </w:rPr>
        <w:t>s://www.wipo.int/tk/en/databases/contracts/index.html</w:t>
      </w:r>
      <w:r w:rsidRPr="00E55DB1">
        <w:rPr>
          <w:rFonts w:cs="Arial"/>
          <w:noProof/>
          <w:sz w:val="18"/>
          <w:szCs w:val="18"/>
        </w:rPr>
        <w:t>.</w:t>
      </w:r>
    </w:p>
  </w:footnote>
  <w:footnote w:id="8">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w:t>
      </w:r>
      <w:r w:rsidRPr="00E55DB1">
        <w:rPr>
          <w:rFonts w:cs="Arial"/>
          <w:noProof/>
          <w:sz w:val="18"/>
          <w:szCs w:val="18"/>
        </w:rPr>
        <w:t xml:space="preserve">adresse </w:t>
      </w:r>
      <w:hyperlink r:id="rId1" w:history="1">
        <w:r w:rsidRPr="00E55DB1">
          <w:rPr>
            <w:rStyle w:val="Hyperlink"/>
            <w:rFonts w:cs="Arial"/>
            <w:noProof/>
            <w:color w:val="auto"/>
            <w:sz w:val="18"/>
            <w:szCs w:val="18"/>
            <w:u w:val="none"/>
          </w:rPr>
          <w:t>http://www.fao.org/3/a</w:t>
        </w:r>
        <w:r>
          <w:rPr>
            <w:rStyle w:val="Hyperlink"/>
            <w:rFonts w:cs="Arial"/>
            <w:noProof/>
            <w:color w:val="auto"/>
            <w:sz w:val="18"/>
            <w:szCs w:val="18"/>
            <w:u w:val="none"/>
          </w:rPr>
          <w:t>-</w:t>
        </w:r>
        <w:r w:rsidRPr="00E55DB1">
          <w:rPr>
            <w:rStyle w:val="Hyperlink"/>
            <w:rFonts w:cs="Arial"/>
            <w:noProof/>
            <w:color w:val="auto"/>
            <w:sz w:val="18"/>
            <w:szCs w:val="18"/>
            <w:u w:val="none"/>
          </w:rPr>
          <w:t>be623e.pdf</w:t>
        </w:r>
      </w:hyperlink>
      <w:r w:rsidRPr="00E55DB1">
        <w:rPr>
          <w:rFonts w:cs="Arial"/>
          <w:noProof/>
          <w:sz w:val="18"/>
          <w:szCs w:val="18"/>
        </w:rPr>
        <w:t>.</w:t>
      </w:r>
    </w:p>
  </w:footnote>
  <w:footnote w:id="9">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w:t>
      </w:r>
      <w:r>
        <w:rPr>
          <w:rFonts w:cs="Arial"/>
          <w:noProof/>
          <w:sz w:val="18"/>
          <w:szCs w:val="18"/>
        </w:rPr>
        <w:t>’</w:t>
      </w:r>
      <w:r w:rsidRPr="00E55DB1">
        <w:rPr>
          <w:rFonts w:cs="Arial"/>
          <w:noProof/>
          <w:sz w:val="18"/>
          <w:szCs w:val="18"/>
        </w:rPr>
        <w:t>OMPI, 2008, page 20.</w:t>
      </w:r>
    </w:p>
  </w:footnote>
  <w:footnote w:id="11">
    <w:p w:rsidR="00E104D3" w:rsidRPr="00E55DB1" w:rsidRDefault="00E104D3"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Pr>
          <w:rFonts w:cs="Arial"/>
          <w:sz w:val="18"/>
          <w:szCs w:val="18"/>
        </w:rPr>
        <w:t>’</w:t>
      </w:r>
      <w:r w:rsidRPr="00E55DB1">
        <w:rPr>
          <w:rFonts w:cs="Arial"/>
          <w:sz w:val="18"/>
          <w:szCs w:val="18"/>
        </w:rPr>
        <w:t>article 103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disponible à l</w:t>
      </w:r>
      <w:r>
        <w:rPr>
          <w:rFonts w:cs="Arial"/>
          <w:sz w:val="18"/>
          <w:szCs w:val="18"/>
        </w:rPr>
        <w:t>’</w:t>
      </w:r>
      <w:r w:rsidRPr="00E55DB1">
        <w:rPr>
          <w:rFonts w:cs="Arial"/>
          <w:sz w:val="18"/>
          <w:szCs w:val="18"/>
        </w:rPr>
        <w:t xml:space="preserve">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E104D3" w:rsidRPr="00E55DB1" w:rsidRDefault="00E104D3"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w:t>
      </w:r>
      <w:r>
        <w:rPr>
          <w:rFonts w:cs="Arial"/>
          <w:noProof/>
          <w:sz w:val="18"/>
          <w:szCs w:val="18"/>
          <w:lang w:eastAsia="en-US"/>
        </w:rPr>
        <w:t>’</w:t>
      </w:r>
      <w:r w:rsidRPr="00E55DB1">
        <w:rPr>
          <w:rFonts w:cs="Arial"/>
          <w:noProof/>
          <w:sz w:val="18"/>
          <w:szCs w:val="18"/>
          <w:lang w:eastAsia="en-US"/>
        </w:rPr>
        <w:t>auteur et les droits connexes administrés par l</w:t>
      </w:r>
      <w:r>
        <w:rPr>
          <w:rFonts w:cs="Arial"/>
          <w:noProof/>
          <w:sz w:val="18"/>
          <w:szCs w:val="18"/>
          <w:lang w:eastAsia="en-US"/>
        </w:rPr>
        <w:t>’</w:t>
      </w:r>
      <w:r w:rsidRPr="00E55DB1">
        <w:rPr>
          <w:rFonts w:cs="Arial"/>
          <w:noProof/>
          <w:sz w:val="18"/>
          <w:szCs w:val="18"/>
          <w:lang w:eastAsia="en-US"/>
        </w:rPr>
        <w:t>OMPI et Glossaire du droit d</w:t>
      </w:r>
      <w:r>
        <w:rPr>
          <w:rFonts w:cs="Arial"/>
          <w:noProof/>
          <w:sz w:val="18"/>
          <w:szCs w:val="18"/>
          <w:lang w:eastAsia="en-US"/>
        </w:rPr>
        <w:t>’</w:t>
      </w:r>
      <w:r w:rsidRPr="00E55DB1">
        <w:rPr>
          <w:rFonts w:cs="Arial"/>
          <w:noProof/>
          <w:sz w:val="18"/>
          <w:szCs w:val="18"/>
          <w:lang w:eastAsia="en-US"/>
        </w:rPr>
        <w:t>auteur et des droits connexes, page 264.</w:t>
      </w:r>
    </w:p>
  </w:footnote>
  <w:footnote w:id="13">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w:t>
      </w:r>
      <w:r>
        <w:rPr>
          <w:rFonts w:cs="Arial"/>
          <w:noProof/>
          <w:sz w:val="18"/>
          <w:szCs w:val="18"/>
        </w:rPr>
        <w:t>’</w:t>
      </w:r>
      <w:r w:rsidRPr="00E55DB1">
        <w:rPr>
          <w:rFonts w:cs="Arial"/>
          <w:noProof/>
          <w:sz w:val="18"/>
          <w:szCs w:val="18"/>
        </w:rPr>
        <w:t>édition utilisée aux fins du présent document est la dixième édition, de Bryan A. Garner.</w:t>
      </w:r>
    </w:p>
  </w:footnote>
  <w:footnote w:id="14">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E104D3" w:rsidRPr="00E55DB1" w:rsidRDefault="00E104D3"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page 293.</w:t>
      </w:r>
    </w:p>
  </w:footnote>
  <w:footnote w:id="17">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2 du document OMPI/GRTKF/IC/2/3;  la base de données en ligne figure à l</w:t>
      </w:r>
      <w:r>
        <w:rPr>
          <w:rFonts w:cs="Arial"/>
          <w:noProof/>
          <w:sz w:val="18"/>
          <w:szCs w:val="18"/>
        </w:rPr>
        <w:t>’adresse http</w:t>
      </w:r>
      <w:r w:rsidRPr="00286DCE">
        <w:rPr>
          <w:rStyle w:val="Hyperlink"/>
          <w:rFonts w:cs="Arial"/>
          <w:noProof/>
          <w:color w:val="auto"/>
          <w:sz w:val="18"/>
          <w:szCs w:val="18"/>
          <w:u w:val="none"/>
        </w:rPr>
        <w:t>s://www.wipo.int/tk/en/databases/contracts/index.html</w:t>
      </w:r>
      <w:r w:rsidRPr="00E55DB1">
        <w:rPr>
          <w:rFonts w:cs="Arial"/>
          <w:noProof/>
          <w:sz w:val="18"/>
          <w:szCs w:val="18"/>
        </w:rPr>
        <w:t>.</w:t>
      </w:r>
    </w:p>
  </w:footnote>
  <w:footnote w:id="18">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t>-</w:t>
      </w:r>
      <w:r w:rsidRPr="00E55DB1">
        <w:rPr>
          <w:rFonts w:cs="Arial"/>
          <w:noProof/>
          <w:sz w:val="18"/>
          <w:szCs w:val="18"/>
        </w:rPr>
        <w:t>sept</w:t>
      </w:r>
      <w:r>
        <w:rPr>
          <w:rFonts w:cs="Arial"/>
          <w:noProof/>
          <w:sz w:val="18"/>
          <w:szCs w:val="18"/>
        </w:rPr>
        <w:t>ième session</w:t>
      </w:r>
      <w:r w:rsidRPr="00E55DB1">
        <w:rPr>
          <w:rFonts w:cs="Arial"/>
          <w:noProof/>
          <w:sz w:val="18"/>
          <w:szCs w:val="18"/>
        </w:rPr>
        <w:t xml:space="preserve"> du comité (document WIPO/GRTKF/IC/17/12).</w:t>
      </w:r>
    </w:p>
  </w:footnote>
  <w:footnote w:id="20">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plus d</w:t>
      </w:r>
      <w:r>
        <w:rPr>
          <w:rFonts w:cs="Arial"/>
          <w:noProof/>
          <w:sz w:val="18"/>
          <w:szCs w:val="18"/>
        </w:rPr>
        <w:t>’</w:t>
      </w:r>
      <w:r w:rsidRPr="00E55DB1">
        <w:rPr>
          <w:rFonts w:cs="Arial"/>
          <w:noProof/>
          <w:sz w:val="18"/>
          <w:szCs w:val="18"/>
        </w:rPr>
        <w:t xml:space="preserve">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w:t>
      </w:r>
      <w:r>
        <w:rPr>
          <w:rFonts w:cs="Arial"/>
          <w:noProof/>
          <w:sz w:val="18"/>
          <w:szCs w:val="18"/>
          <w:lang w:val="en-US"/>
        </w:rPr>
        <w:t>e:</w:t>
      </w:r>
      <w:r w:rsidRPr="00E55DB1">
        <w:rPr>
          <w:rFonts w:cs="Arial"/>
          <w:noProof/>
          <w:sz w:val="18"/>
          <w:szCs w:val="18"/>
          <w:lang w:val="en-US"/>
        </w:rPr>
        <w:t xml:space="preserve"> Rapport de l</w:t>
      </w:r>
      <w:r>
        <w:rPr>
          <w:rFonts w:cs="Arial"/>
          <w:noProof/>
          <w:sz w:val="18"/>
          <w:szCs w:val="18"/>
          <w:lang w:val="en-US"/>
        </w:rPr>
        <w:t>’</w:t>
      </w:r>
      <w:r w:rsidRPr="00E55DB1">
        <w:rPr>
          <w:rFonts w:cs="Arial"/>
          <w:noProof/>
          <w:sz w:val="18"/>
          <w:szCs w:val="18"/>
          <w:lang w:val="en-US"/>
        </w:rPr>
        <w:t>UNU IAS, janvier 2004, p. 18.</w:t>
      </w:r>
    </w:p>
  </w:footnote>
  <w:footnote w:id="22">
    <w:p w:rsidR="00E104D3" w:rsidRPr="00E55DB1" w:rsidRDefault="00E104D3"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Déclaration de la FAO sur les biotechnologies, disponible à l</w:t>
      </w:r>
      <w:r>
        <w:rPr>
          <w:rFonts w:cs="Arial"/>
          <w:noProof/>
          <w:sz w:val="18"/>
          <w:szCs w:val="18"/>
        </w:rPr>
        <w:t>’</w:t>
      </w:r>
      <w:r w:rsidRPr="00E55DB1">
        <w:rPr>
          <w:rFonts w:cs="Arial"/>
          <w:noProof/>
          <w:sz w:val="18"/>
          <w:szCs w:val="18"/>
        </w:rPr>
        <w:t xml:space="preserve">adresse </w:t>
      </w:r>
      <w:hyperlink r:id="rId4" w:history="1">
        <w:r w:rsidRPr="00E55DB1">
          <w:rPr>
            <w:rStyle w:val="Hyperlink"/>
            <w:rFonts w:cs="Arial"/>
            <w:noProof/>
            <w:color w:val="auto"/>
            <w:sz w:val="18"/>
            <w:szCs w:val="18"/>
            <w:u w:val="none"/>
          </w:rPr>
          <w:t>http://www.fao.org/biotech/fao</w:t>
        </w:r>
        <w:r>
          <w:rPr>
            <w:rStyle w:val="Hyperlink"/>
            <w:rFonts w:cs="Arial"/>
            <w:noProof/>
            <w:color w:val="auto"/>
            <w:sz w:val="18"/>
            <w:szCs w:val="18"/>
            <w:u w:val="none"/>
          </w:rPr>
          <w:t>-</w:t>
        </w:r>
        <w:r w:rsidRPr="00E55DB1">
          <w:rPr>
            <w:rStyle w:val="Hyperlink"/>
            <w:rFonts w:cs="Arial"/>
            <w:noProof/>
            <w:color w:val="auto"/>
            <w:sz w:val="18"/>
            <w:szCs w:val="18"/>
            <w:u w:val="none"/>
          </w:rPr>
          <w:t>statement</w:t>
        </w:r>
        <w:r>
          <w:rPr>
            <w:rStyle w:val="Hyperlink"/>
            <w:rFonts w:cs="Arial"/>
            <w:noProof/>
            <w:color w:val="auto"/>
            <w:sz w:val="18"/>
            <w:szCs w:val="18"/>
            <w:u w:val="none"/>
          </w:rPr>
          <w:t>-</w:t>
        </w:r>
        <w:r w:rsidRPr="00E55DB1">
          <w:rPr>
            <w:rStyle w:val="Hyperlink"/>
            <w:rFonts w:cs="Arial"/>
            <w:noProof/>
            <w:color w:val="auto"/>
            <w:sz w:val="18"/>
            <w:szCs w:val="18"/>
            <w:u w:val="none"/>
          </w:rPr>
          <w:t>on</w:t>
        </w:r>
        <w:r>
          <w:rPr>
            <w:rStyle w:val="Hyperlink"/>
            <w:rFonts w:cs="Arial"/>
            <w:noProof/>
            <w:color w:val="auto"/>
            <w:sz w:val="18"/>
            <w:szCs w:val="18"/>
            <w:u w:val="none"/>
          </w:rPr>
          <w:t>-</w:t>
        </w:r>
        <w:r w:rsidRPr="00E55DB1">
          <w:rPr>
            <w:rStyle w:val="Hyperlink"/>
            <w:rFonts w:cs="Arial"/>
            <w:noProof/>
            <w:color w:val="auto"/>
            <w:sz w:val="18"/>
            <w:szCs w:val="18"/>
            <w:u w:val="none"/>
          </w:rPr>
          <w:t>biotechnology/fr/</w:t>
        </w:r>
      </w:hyperlink>
      <w:r w:rsidRPr="00E55DB1">
        <w:rPr>
          <w:rFonts w:cs="Arial"/>
          <w:sz w:val="18"/>
          <w:szCs w:val="18"/>
        </w:rPr>
        <w:t>.</w:t>
      </w:r>
    </w:p>
  </w:footnote>
  <w:footnote w:id="23">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définition et la définition sous forme de liste à l</w:t>
      </w:r>
      <w:r>
        <w:rPr>
          <w:rFonts w:cs="Arial"/>
          <w:noProof/>
          <w:sz w:val="18"/>
          <w:szCs w:val="18"/>
        </w:rPr>
        <w:t>’</w:t>
      </w:r>
      <w:r w:rsidRPr="00E55DB1">
        <w:rPr>
          <w:rFonts w:cs="Arial"/>
          <w:noProof/>
          <w:sz w:val="18"/>
          <w:szCs w:val="18"/>
        </w:rPr>
        <w:t xml:space="preserve">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E104D3" w:rsidRPr="00E55DB1" w:rsidRDefault="00E104D3"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 p. 289.</w:t>
      </w:r>
    </w:p>
  </w:footnote>
  <w:footnote w:id="25">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w:t>
      </w:r>
      <w:r>
        <w:rPr>
          <w:rFonts w:cs="Arial"/>
          <w:noProof/>
          <w:sz w:val="18"/>
          <w:szCs w:val="18"/>
          <w:lang w:val="en-US"/>
        </w:rPr>
        <w:t>’</w:t>
      </w:r>
      <w:r w:rsidRPr="00E55DB1">
        <w:rPr>
          <w:rFonts w:cs="Arial"/>
          <w:noProof/>
          <w:sz w:val="18"/>
          <w:szCs w:val="18"/>
          <w:lang w:val="en-US"/>
        </w:rPr>
        <w:t>OMPI.</w:t>
      </w:r>
    </w:p>
  </w:footnote>
  <w:footnote w:id="26">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w:t>
      </w:r>
      <w:r>
        <w:rPr>
          <w:rFonts w:cs="Arial"/>
          <w:noProof/>
          <w:sz w:val="18"/>
          <w:szCs w:val="18"/>
          <w:lang w:val="en-US"/>
        </w:rPr>
        <w:t>:</w:t>
      </w:r>
      <w:r w:rsidRPr="00E55DB1">
        <w:rPr>
          <w:rFonts w:cs="Arial"/>
          <w:noProof/>
          <w:sz w:val="18"/>
          <w:szCs w:val="18"/>
          <w:lang w:val="en-US"/>
        </w:rPr>
        <w:t xml:space="preserve"> Rapport de l</w:t>
      </w:r>
      <w:r>
        <w:rPr>
          <w:rFonts w:cs="Arial"/>
          <w:noProof/>
          <w:sz w:val="18"/>
          <w:szCs w:val="18"/>
          <w:lang w:val="en-US"/>
        </w:rPr>
        <w:t>’</w:t>
      </w:r>
      <w:r w:rsidRPr="00E55DB1">
        <w:rPr>
          <w:rFonts w:cs="Arial"/>
          <w:noProof/>
          <w:sz w:val="18"/>
          <w:szCs w:val="18"/>
          <w:lang w:val="en-US"/>
        </w:rPr>
        <w:t>UNU IAS, janvier 2004, p. 18.</w:t>
      </w:r>
    </w:p>
  </w:footnote>
  <w:footnote w:id="27">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d</w:t>
      </w:r>
      <w:r>
        <w:rPr>
          <w:rFonts w:cs="Arial"/>
          <w:noProof/>
          <w:sz w:val="18"/>
          <w:szCs w:val="18"/>
        </w:rPr>
        <w:t>’</w:t>
      </w:r>
      <w:r w:rsidRPr="00E55DB1">
        <w:rPr>
          <w:rFonts w:cs="Arial"/>
          <w:noProof/>
          <w:sz w:val="18"/>
          <w:szCs w:val="18"/>
        </w:rPr>
        <w:t xml:space="preserve">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w:t>
      </w:r>
      <w:r>
        <w:rPr>
          <w:rFonts w:cs="Arial"/>
          <w:noProof/>
          <w:sz w:val="18"/>
          <w:szCs w:val="18"/>
        </w:rPr>
        <w:t>’</w:t>
      </w:r>
      <w:r w:rsidRPr="00E55DB1">
        <w:rPr>
          <w:rFonts w:cs="Arial"/>
          <w:noProof/>
          <w:sz w:val="18"/>
          <w:szCs w:val="18"/>
        </w:rPr>
        <w:t>OMPI.</w:t>
      </w:r>
    </w:p>
  </w:footnote>
  <w:footnote w:id="29">
    <w:p w:rsidR="00E104D3" w:rsidRPr="00E55DB1" w:rsidRDefault="00E104D3"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w:t>
      </w:r>
      <w:r>
        <w:rPr>
          <w:rFonts w:cs="Arial"/>
          <w:noProof/>
          <w:sz w:val="18"/>
          <w:szCs w:val="18"/>
        </w:rPr>
        <w:t>’</w:t>
      </w:r>
      <w:r w:rsidRPr="00E55DB1">
        <w:rPr>
          <w:rFonts w:cs="Arial"/>
          <w:noProof/>
          <w:sz w:val="18"/>
          <w:szCs w:val="18"/>
        </w:rPr>
        <w:t>experts néerlandais réuni par le bureau de la Commission nationale des Pays</w:t>
      </w:r>
      <w:r>
        <w:rPr>
          <w:rFonts w:cs="Arial"/>
          <w:noProof/>
          <w:sz w:val="18"/>
          <w:szCs w:val="18"/>
        </w:rPr>
        <w:t>-</w:t>
      </w:r>
      <w:r w:rsidRPr="00E55DB1">
        <w:rPr>
          <w:rFonts w:cs="Arial"/>
          <w:noProof/>
          <w:sz w:val="18"/>
          <w:szCs w:val="18"/>
        </w:rPr>
        <w:t>Bas pour l</w:t>
      </w:r>
      <w:r>
        <w:rPr>
          <w:rFonts w:cs="Arial"/>
          <w:noProof/>
          <w:sz w:val="18"/>
          <w:szCs w:val="18"/>
        </w:rPr>
        <w:t>’</w:t>
      </w:r>
      <w:r w:rsidRPr="00E55DB1">
        <w:rPr>
          <w:rFonts w:cs="Arial"/>
          <w:noProof/>
          <w:sz w:val="18"/>
          <w:szCs w:val="18"/>
        </w:rPr>
        <w:t>UNESCO (document TER/CH/2002/WD/4), 2002.</w:t>
      </w:r>
    </w:p>
  </w:footnote>
  <w:footnote w:id="30">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“The Concept of Local Communities”, document d</w:t>
      </w:r>
      <w:r>
        <w:rPr>
          <w:rFonts w:cs="Arial"/>
          <w:noProof/>
          <w:sz w:val="18"/>
          <w:szCs w:val="18"/>
        </w:rPr>
        <w:t>’</w:t>
      </w:r>
      <w:r w:rsidRPr="00E55DB1">
        <w:rPr>
          <w:rFonts w:cs="Arial"/>
          <w:noProof/>
          <w:sz w:val="18"/>
          <w:szCs w:val="18"/>
        </w:rPr>
        <w:t>information établi par le Secrétariat de l</w:t>
      </w:r>
      <w:r>
        <w:rPr>
          <w:rFonts w:cs="Arial"/>
          <w:noProof/>
          <w:sz w:val="18"/>
          <w:szCs w:val="18"/>
        </w:rPr>
        <w:t>’</w:t>
      </w:r>
      <w:r w:rsidRPr="00E55DB1">
        <w:rPr>
          <w:rFonts w:cs="Arial"/>
          <w:noProof/>
          <w:sz w:val="18"/>
          <w:szCs w:val="18"/>
        </w:rPr>
        <w:t xml:space="preserve">Instance permanente sur les questions autochtones des </w:t>
      </w:r>
      <w:r>
        <w:rPr>
          <w:rFonts w:cs="Arial"/>
          <w:noProof/>
          <w:sz w:val="18"/>
          <w:szCs w:val="18"/>
        </w:rPr>
        <w:t>Nations Unies</w:t>
      </w:r>
      <w:r w:rsidRPr="00E55DB1">
        <w:rPr>
          <w:rFonts w:cs="Arial"/>
          <w:noProof/>
          <w:sz w:val="18"/>
          <w:szCs w:val="18"/>
        </w:rPr>
        <w:t xml:space="preserve"> en vue de l</w:t>
      </w:r>
      <w:r>
        <w:rPr>
          <w:rFonts w:cs="Arial"/>
          <w:noProof/>
          <w:sz w:val="18"/>
          <w:szCs w:val="18"/>
        </w:rPr>
        <w:t>’</w:t>
      </w:r>
      <w:r w:rsidRPr="00E55DB1">
        <w:rPr>
          <w:rFonts w:cs="Arial"/>
          <w:noProof/>
          <w:sz w:val="18"/>
          <w:szCs w:val="18"/>
        </w:rPr>
        <w:t>atelier d</w:t>
      </w:r>
      <w:r>
        <w:rPr>
          <w:rFonts w:cs="Arial"/>
          <w:noProof/>
          <w:sz w:val="18"/>
          <w:szCs w:val="18"/>
        </w:rPr>
        <w:t>’</w:t>
      </w:r>
      <w:r w:rsidRPr="00E55DB1">
        <w:rPr>
          <w:rFonts w:cs="Arial"/>
          <w:noProof/>
          <w:sz w:val="18"/>
          <w:szCs w:val="18"/>
        </w:rPr>
        <w:t xml:space="preserve">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w:t>
      </w:r>
      <w:r>
        <w:rPr>
          <w:rFonts w:cs="Arial"/>
          <w:noProof/>
          <w:sz w:val="18"/>
          <w:szCs w:val="18"/>
        </w:rPr>
        <w:t>-</w:t>
      </w:r>
      <w:r w:rsidRPr="00E55DB1">
        <w:rPr>
          <w:rFonts w:cs="Arial"/>
          <w:noProof/>
          <w:sz w:val="18"/>
          <w:szCs w:val="18"/>
        </w:rPr>
        <w:t>CB/LAC/1/INF/5.</w:t>
      </w:r>
    </w:p>
  </w:footnote>
  <w:footnote w:id="31">
    <w:p w:rsidR="00E104D3" w:rsidRPr="00E55DB1" w:rsidRDefault="00E104D3"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w:t>
      </w:r>
      <w:r>
        <w:rPr>
          <w:rFonts w:cs="Arial"/>
          <w:noProof/>
          <w:sz w:val="18"/>
          <w:szCs w:val="18"/>
          <w:lang w:val="en-US"/>
        </w:rPr>
        <w:t>:</w:t>
      </w:r>
      <w:r w:rsidRPr="00E55DB1">
        <w:rPr>
          <w:rFonts w:cs="Arial"/>
          <w:noProof/>
          <w:sz w:val="18"/>
          <w:szCs w:val="18"/>
          <w:lang w:val="en-US"/>
        </w:rPr>
        <w:t xml:space="preserve"> Concepts and Cases.  International Program on Traditional Ecological Knowledge and International Development Research Centre, Ottawa.</w:t>
      </w:r>
    </w:p>
  </w:footnote>
  <w:footnote w:id="35">
    <w:p w:rsidR="00E104D3" w:rsidRPr="00E55DB1" w:rsidRDefault="00E104D3"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32.2) de la Déclaration des </w:t>
      </w:r>
      <w:r>
        <w:rPr>
          <w:rFonts w:cs="Arial"/>
          <w:noProof/>
          <w:sz w:val="18"/>
          <w:szCs w:val="18"/>
        </w:rPr>
        <w:t>Nations Unies</w:t>
      </w:r>
      <w:r w:rsidRPr="00E55DB1">
        <w:rPr>
          <w:rFonts w:cs="Arial"/>
          <w:noProof/>
          <w:sz w:val="18"/>
          <w:szCs w:val="18"/>
        </w:rPr>
        <w:t xml:space="preserve"> sur les droits des peuples autochtones;  voir aussi Groupe des </w:t>
      </w:r>
      <w:r>
        <w:rPr>
          <w:rFonts w:cs="Arial"/>
          <w:noProof/>
          <w:sz w:val="18"/>
          <w:szCs w:val="18"/>
        </w:rPr>
        <w:t>Nations Unies</w:t>
      </w:r>
      <w:r w:rsidRPr="00E55DB1">
        <w:rPr>
          <w:rFonts w:cs="Arial"/>
          <w:noProof/>
          <w:sz w:val="18"/>
          <w:szCs w:val="18"/>
        </w:rPr>
        <w:t xml:space="preserve"> pour le développement, Lignes directrices sur les questions relatives aux peuples autochtones.</w:t>
      </w:r>
    </w:p>
  </w:footnote>
  <w:footnote w:id="36">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 xml:space="preserve">Voir aussi “Instance permanente sur les questions autochtones du Conseil économique et social des </w:t>
      </w:r>
      <w:r>
        <w:rPr>
          <w:rFonts w:cs="Arial"/>
          <w:noProof/>
          <w:sz w:val="18"/>
          <w:szCs w:val="18"/>
        </w:rPr>
        <w:t>Nations Unies</w:t>
      </w:r>
      <w:r w:rsidRPr="00E55DB1">
        <w:rPr>
          <w:rFonts w:cs="Arial"/>
          <w:noProof/>
          <w:sz w:val="18"/>
          <w:szCs w:val="18"/>
        </w:rPr>
        <w:t>”, quatr</w:t>
      </w:r>
      <w:r>
        <w:rPr>
          <w:rFonts w:cs="Arial"/>
          <w:noProof/>
          <w:sz w:val="18"/>
          <w:szCs w:val="18"/>
        </w:rPr>
        <w:t>ième session</w:t>
      </w:r>
      <w:r w:rsidRPr="00E55DB1">
        <w:rPr>
          <w:rFonts w:cs="Arial"/>
          <w:noProof/>
          <w:sz w:val="18"/>
          <w:szCs w:val="18"/>
        </w:rPr>
        <w:t>, et “Rapport sur les travaux de l</w:t>
      </w:r>
      <w:r>
        <w:rPr>
          <w:rFonts w:cs="Arial"/>
          <w:noProof/>
          <w:sz w:val="18"/>
          <w:szCs w:val="18"/>
        </w:rPr>
        <w:t>’</w:t>
      </w:r>
      <w:r w:rsidRPr="00E55DB1">
        <w:rPr>
          <w:rFonts w:cs="Arial"/>
          <w:noProof/>
          <w:sz w:val="18"/>
          <w:szCs w:val="18"/>
        </w:rPr>
        <w:t>Atelier international sur le consentement préalable, libre et éclairé et les peuples autochtones”, E/C.19/2005/3, page 8.</w:t>
      </w:r>
    </w:p>
  </w:footnote>
  <w:footnote w:id="37">
    <w:p w:rsidR="00E104D3" w:rsidRPr="00E55DB1" w:rsidRDefault="00E104D3"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w:t>
      </w:r>
      <w:r>
        <w:rPr>
          <w:rFonts w:cs="Arial"/>
          <w:iCs/>
          <w:noProof/>
          <w:sz w:val="18"/>
          <w:szCs w:val="18"/>
          <w:lang w:val="en-US"/>
        </w:rPr>
        <w:t>’</w:t>
      </w:r>
      <w:r w:rsidRPr="00E55DB1">
        <w:rPr>
          <w:rFonts w:cs="Arial"/>
          <w:iCs/>
          <w:noProof/>
          <w:sz w:val="18"/>
          <w:szCs w:val="18"/>
          <w:lang w:val="en-US"/>
        </w:rPr>
        <w:t>s guide to Working with Indigenous People, Culture and Concepts,</w:t>
      </w:r>
      <w:r w:rsidRPr="00E55DB1">
        <w:rPr>
          <w:rFonts w:cs="Arial"/>
          <w:noProof/>
          <w:sz w:val="18"/>
          <w:szCs w:val="18"/>
          <w:lang w:val="en-US"/>
        </w:rPr>
        <w:t xml:space="preserve"> page 51.</w:t>
      </w:r>
    </w:p>
  </w:footnote>
  <w:footnote w:id="38">
    <w:p w:rsidR="00E104D3" w:rsidRPr="00E55DB1" w:rsidRDefault="00E104D3"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Nino Pires de Carvalho, From the Shaman</w:t>
      </w:r>
      <w:r>
        <w:rPr>
          <w:rFonts w:cs="Arial"/>
          <w:noProof/>
          <w:sz w:val="18"/>
          <w:szCs w:val="18"/>
          <w:lang w:val="en-US"/>
        </w:rPr>
        <w:t>’</w:t>
      </w:r>
      <w:r w:rsidRPr="00E55DB1">
        <w:rPr>
          <w:rFonts w:cs="Arial"/>
          <w:noProof/>
          <w:sz w:val="18"/>
          <w:szCs w:val="18"/>
          <w:lang w:val="en-US"/>
        </w:rPr>
        <w:t>s Hut to the Patent Office</w:t>
      </w:r>
      <w:r>
        <w:rPr>
          <w:rFonts w:cs="Arial"/>
          <w:noProof/>
          <w:sz w:val="18"/>
          <w:szCs w:val="18"/>
          <w:lang w:val="en-US"/>
        </w:rPr>
        <w:t>:</w:t>
      </w:r>
      <w:r w:rsidRPr="00E55DB1">
        <w:rPr>
          <w:rFonts w:cs="Arial"/>
          <w:noProof/>
          <w:sz w:val="18"/>
          <w:szCs w:val="18"/>
          <w:lang w:val="en-US"/>
        </w:rPr>
        <w:t xml:space="preserve"> A Road Under Construction.  </w:t>
      </w:r>
      <w:r w:rsidRPr="001F3AEE">
        <w:rPr>
          <w:sz w:val="18"/>
          <w:lang w:val="fr-CH"/>
        </w:rPr>
        <w:t>Chapitre</w:t>
      </w:r>
      <w:r w:rsidRPr="00E55DB1">
        <w:rPr>
          <w:rFonts w:cs="Arial"/>
          <w:noProof/>
          <w:sz w:val="18"/>
          <w:szCs w:val="18"/>
        </w:rPr>
        <w:t> 18 de Biodiversity and the Law, page 244.</w:t>
      </w:r>
    </w:p>
  </w:footnote>
  <w:footnote w:id="40">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E104D3" w:rsidRPr="00E55DB1" w:rsidRDefault="00E104D3"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27 du document WIPO/GRTKF/IC/4/8 intitulé “Éléments constitutifs d</w:t>
      </w:r>
      <w:r>
        <w:rPr>
          <w:rFonts w:cs="Arial"/>
          <w:noProof/>
          <w:sz w:val="18"/>
          <w:szCs w:val="18"/>
        </w:rPr>
        <w:t>’</w:t>
      </w:r>
      <w:r w:rsidRPr="00E55DB1">
        <w:rPr>
          <w:rFonts w:cs="Arial"/>
          <w:noProof/>
          <w:sz w:val="18"/>
          <w:szCs w:val="18"/>
        </w:rPr>
        <w:t xml:space="preserve">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E104D3" w:rsidRPr="00E55DB1" w:rsidRDefault="00E104D3"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w:t>
      </w:r>
      <w:r>
        <w:rPr>
          <w:rFonts w:cs="Arial"/>
          <w:noProof/>
          <w:sz w:val="18"/>
          <w:szCs w:val="18"/>
        </w:rPr>
        <w:t>’</w:t>
      </w:r>
      <w:r w:rsidRPr="00E55DB1">
        <w:rPr>
          <w:rFonts w:cs="Arial"/>
          <w:noProof/>
          <w:sz w:val="18"/>
          <w:szCs w:val="18"/>
        </w:rPr>
        <w:t>alimentation et l</w:t>
      </w:r>
      <w:r>
        <w:rPr>
          <w:rFonts w:cs="Arial"/>
          <w:noProof/>
          <w:sz w:val="18"/>
          <w:szCs w:val="18"/>
        </w:rPr>
        <w:t>’</w:t>
      </w:r>
      <w:r w:rsidRPr="00E55DB1">
        <w:rPr>
          <w:rFonts w:cs="Arial"/>
          <w:noProof/>
          <w:sz w:val="18"/>
          <w:szCs w:val="18"/>
        </w:rPr>
        <w:t>agriculture.</w:t>
      </w:r>
    </w:p>
  </w:footnote>
  <w:footnote w:id="45">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E104D3" w:rsidRPr="00E55DB1" w:rsidRDefault="00E104D3"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E104D3" w:rsidRPr="00E55DB1" w:rsidRDefault="00E104D3"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w:t>
        </w:r>
        <w:r>
          <w:rPr>
            <w:rStyle w:val="Hyperlink"/>
            <w:rFonts w:cs="Arial"/>
            <w:color w:val="auto"/>
            <w:sz w:val="18"/>
            <w:szCs w:val="18"/>
            <w:u w:val="none"/>
          </w:rPr>
          <w:t>-</w:t>
        </w:r>
        <w:r w:rsidRPr="00E55DB1">
          <w:rPr>
            <w:rStyle w:val="Hyperlink"/>
            <w:rFonts w:cs="Arial"/>
            <w:color w:val="auto"/>
            <w:sz w:val="18"/>
            <w:szCs w:val="18"/>
            <w:u w:val="none"/>
          </w:rPr>
          <w:t>declaration</w:t>
        </w:r>
        <w:r>
          <w:rPr>
            <w:rStyle w:val="Hyperlink"/>
            <w:rFonts w:cs="Arial"/>
            <w:color w:val="auto"/>
            <w:sz w:val="18"/>
            <w:szCs w:val="18"/>
            <w:u w:val="none"/>
          </w:rPr>
          <w:t>-</w:t>
        </w:r>
        <w:r w:rsidRPr="00E55DB1">
          <w:rPr>
            <w:rStyle w:val="Hyperlink"/>
            <w:rFonts w:cs="Arial"/>
            <w:color w:val="auto"/>
            <w:sz w:val="18"/>
            <w:szCs w:val="18"/>
            <w:u w:val="none"/>
          </w:rPr>
          <w:t>human</w:t>
        </w:r>
        <w:r>
          <w:rPr>
            <w:rStyle w:val="Hyperlink"/>
            <w:rFonts w:cs="Arial"/>
            <w:color w:val="auto"/>
            <w:sz w:val="18"/>
            <w:szCs w:val="18"/>
            <w:u w:val="none"/>
          </w:rPr>
          <w:t>-</w:t>
        </w:r>
        <w:r w:rsidRPr="00E55DB1">
          <w:rPr>
            <w:rStyle w:val="Hyperlink"/>
            <w:rFonts w:cs="Arial"/>
            <w:color w:val="auto"/>
            <w:sz w:val="18"/>
            <w:szCs w:val="18"/>
            <w:u w:val="none"/>
          </w:rPr>
          <w:t>rights/</w:t>
        </w:r>
      </w:hyperlink>
      <w:r w:rsidRPr="00E55DB1">
        <w:rPr>
          <w:rFonts w:cs="Arial"/>
          <w:sz w:val="18"/>
          <w:szCs w:val="18"/>
        </w:rPr>
        <w:t>.</w:t>
      </w:r>
    </w:p>
  </w:footnote>
  <w:footnote w:id="50">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w:t>
      </w:r>
      <w:r>
        <w:rPr>
          <w:rFonts w:cs="Arial"/>
          <w:noProof/>
          <w:sz w:val="18"/>
          <w:szCs w:val="18"/>
        </w:rPr>
        <w:t>’</w:t>
      </w:r>
      <w:r w:rsidRPr="00E55DB1">
        <w:rPr>
          <w:rFonts w:cs="Arial"/>
          <w:noProof/>
          <w:sz w:val="18"/>
          <w:szCs w:val="18"/>
        </w:rPr>
        <w:t>OMPI sur les missions d</w:t>
      </w:r>
      <w:r>
        <w:rPr>
          <w:rFonts w:cs="Arial"/>
          <w:noProof/>
          <w:sz w:val="18"/>
          <w:szCs w:val="18"/>
        </w:rPr>
        <w:t>’</w:t>
      </w:r>
      <w:r w:rsidRPr="00E55DB1">
        <w:rPr>
          <w:rFonts w:cs="Arial"/>
          <w:noProof/>
          <w:sz w:val="18"/>
          <w:szCs w:val="18"/>
        </w:rPr>
        <w:t>enquête consacrées à la propriété intellectuelle et aux savoirs traditionnels (1998</w:t>
      </w:r>
      <w:r>
        <w:rPr>
          <w:rFonts w:cs="Arial"/>
          <w:noProof/>
          <w:sz w:val="18"/>
          <w:szCs w:val="18"/>
        </w:rPr>
        <w:t>-</w:t>
      </w:r>
      <w:r w:rsidRPr="00E55DB1">
        <w:rPr>
          <w:rFonts w:cs="Arial"/>
          <w:noProof/>
          <w:sz w:val="18"/>
          <w:szCs w:val="18"/>
        </w:rPr>
        <w:t>1999), “Savoirs traditionnels</w:t>
      </w:r>
      <w:r>
        <w:rPr>
          <w:rFonts w:cs="Arial"/>
          <w:noProof/>
          <w:sz w:val="18"/>
          <w:szCs w:val="18"/>
        </w:rPr>
        <w:t> :</w:t>
      </w:r>
      <w:r w:rsidRPr="00E55DB1">
        <w:rPr>
          <w:rFonts w:cs="Arial"/>
          <w:noProof/>
          <w:sz w:val="18"/>
          <w:szCs w:val="18"/>
        </w:rPr>
        <w:t xml:space="preserve"> besoins et attentes en matière de propriété intellectuelle”, p. 26.</w:t>
      </w:r>
    </w:p>
  </w:footnote>
  <w:footnote w:id="51">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w:t>
      </w:r>
      <w:r>
        <w:rPr>
          <w:rFonts w:cs="Arial"/>
          <w:noProof/>
          <w:sz w:val="18"/>
          <w:szCs w:val="18"/>
        </w:rPr>
        <w:t>’</w:t>
      </w:r>
      <w:r w:rsidRPr="00E55DB1">
        <w:rPr>
          <w:rFonts w:cs="Arial"/>
          <w:noProof/>
          <w:sz w:val="18"/>
          <w:szCs w:val="18"/>
        </w:rPr>
        <w:t>annexe du document WIPO/GRTKF/IC/17/INF/9 intitulé “Liste et explication technique succincte des différentes formes sous lesquelles les savoirs traditionnels peuvent se présenter”.</w:t>
      </w:r>
    </w:p>
  </w:footnote>
  <w:footnote w:id="52">
    <w:p w:rsidR="00E104D3" w:rsidRPr="00E55DB1" w:rsidRDefault="00E104D3"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w:t>
      </w:r>
      <w:r>
        <w:rPr>
          <w:rFonts w:cs="Arial"/>
          <w:noProof/>
          <w:sz w:val="18"/>
          <w:szCs w:val="18"/>
        </w:rPr>
        <w:t>’</w:t>
      </w:r>
      <w:r w:rsidRPr="00E55DB1">
        <w:rPr>
          <w:rFonts w:cs="Arial"/>
          <w:noProof/>
          <w:sz w:val="18"/>
          <w:szCs w:val="18"/>
        </w:rPr>
        <w:t>UNESCO (2005).</w:t>
      </w:r>
    </w:p>
  </w:footnote>
  <w:footnote w:id="53">
    <w:p w:rsidR="00E104D3" w:rsidRPr="00E55DB1" w:rsidRDefault="00E104D3"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E104D3" w:rsidRPr="00E55DB1" w:rsidRDefault="00E104D3"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’adresse http</w:t>
      </w:r>
      <w:r w:rsidRPr="00EA7362">
        <w:rPr>
          <w:rStyle w:val="Hyperlink"/>
          <w:rFonts w:cs="Arial"/>
          <w:noProof/>
          <w:color w:val="auto"/>
          <w:sz w:val="18"/>
          <w:szCs w:val="18"/>
          <w:u w:val="none"/>
        </w:rPr>
        <w:t>s://www.wipo.int/pct/fr/texts/glossary.html#D</w:t>
      </w:r>
      <w:r w:rsidRPr="00E55DB1">
        <w:rPr>
          <w:rFonts w:cs="Arial"/>
          <w:noProof/>
          <w:sz w:val="18"/>
          <w:szCs w:val="18"/>
        </w:rPr>
        <w:t>.</w:t>
      </w:r>
    </w:p>
  </w:footnote>
  <w:footnote w:id="56">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w:t>
      </w:r>
      <w:r>
        <w:rPr>
          <w:rFonts w:cs="Arial"/>
          <w:noProof/>
          <w:sz w:val="18"/>
          <w:szCs w:val="18"/>
          <w:lang w:eastAsia="en-US"/>
        </w:rPr>
        <w:t>’</w:t>
      </w:r>
      <w:r w:rsidRPr="00E55DB1">
        <w:rPr>
          <w:rFonts w:cs="Arial"/>
          <w:noProof/>
          <w:sz w:val="18"/>
          <w:szCs w:val="18"/>
          <w:lang w:eastAsia="en-US"/>
        </w:rPr>
        <w:t>auteur et les droits connexes administrés par l</w:t>
      </w:r>
      <w:r>
        <w:rPr>
          <w:rFonts w:cs="Arial"/>
          <w:noProof/>
          <w:sz w:val="18"/>
          <w:szCs w:val="18"/>
          <w:lang w:eastAsia="en-US"/>
        </w:rPr>
        <w:t>’</w:t>
      </w:r>
      <w:r w:rsidRPr="00E55DB1">
        <w:rPr>
          <w:rFonts w:cs="Arial"/>
          <w:noProof/>
          <w:sz w:val="18"/>
          <w:szCs w:val="18"/>
          <w:lang w:eastAsia="en-US"/>
        </w:rPr>
        <w:t>OMPI et Glossaire du droit d</w:t>
      </w:r>
      <w:r>
        <w:rPr>
          <w:rFonts w:cs="Arial"/>
          <w:noProof/>
          <w:sz w:val="18"/>
          <w:szCs w:val="18"/>
          <w:lang w:eastAsia="en-US"/>
        </w:rPr>
        <w:t>’</w:t>
      </w:r>
      <w:r w:rsidRPr="00E55DB1">
        <w:rPr>
          <w:rFonts w:cs="Arial"/>
          <w:noProof/>
          <w:sz w:val="18"/>
          <w:szCs w:val="18"/>
          <w:lang w:eastAsia="en-US"/>
        </w:rPr>
        <w:t>auteur et des droits connexes.</w:t>
      </w:r>
    </w:p>
  </w:footnote>
  <w:footnote w:id="60">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E104D3" w:rsidRPr="00E55DB1" w:rsidRDefault="00E104D3"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w:t>
      </w:r>
      <w:r>
        <w:rPr>
          <w:rFonts w:cs="Arial"/>
          <w:noProof/>
          <w:sz w:val="18"/>
          <w:szCs w:val="18"/>
          <w:lang w:val="en-US"/>
        </w:rPr>
        <w:t>:</w:t>
      </w:r>
      <w:r w:rsidRPr="00E55DB1">
        <w:rPr>
          <w:rFonts w:cs="Arial"/>
          <w:noProof/>
          <w:sz w:val="18"/>
          <w:szCs w:val="18"/>
          <w:lang w:val="en-US"/>
        </w:rPr>
        <w:t xml:space="preserve"> Implications of Customary Laws and Practices, Research Planning Workshop, Cuzco (Pérou), 20 – 25 mai 2005.</w:t>
      </w:r>
    </w:p>
  </w:footnote>
  <w:footnote w:id="62">
    <w:p w:rsidR="00E104D3" w:rsidRPr="00E55DB1" w:rsidRDefault="00E104D3"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Customary Law, Traditional Knowledge and Intellectual Property</w:t>
      </w:r>
      <w:r>
        <w:rPr>
          <w:rFonts w:cs="Arial"/>
          <w:noProof/>
          <w:sz w:val="18"/>
          <w:szCs w:val="18"/>
          <w:lang w:val="en-US"/>
        </w:rPr>
        <w:t>:</w:t>
      </w:r>
      <w:r w:rsidRPr="00E55DB1">
        <w:rPr>
          <w:rFonts w:cs="Arial"/>
          <w:noProof/>
          <w:sz w:val="18"/>
          <w:szCs w:val="18"/>
          <w:lang w:val="en-US"/>
        </w:rPr>
        <w:t xml:space="preserve">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E104D3" w:rsidRPr="00E55DB1" w:rsidRDefault="00E104D3"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E104D3" w:rsidRPr="00E55DB1" w:rsidRDefault="00E104D3"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Pr>
          <w:rFonts w:cs="Arial"/>
          <w:sz w:val="18"/>
          <w:szCs w:val="18"/>
        </w:rPr>
        <w:t>’</w:t>
      </w:r>
      <w:r w:rsidRPr="00E55DB1">
        <w:rPr>
          <w:rFonts w:cs="Arial"/>
          <w:sz w:val="18"/>
          <w:szCs w:val="18"/>
        </w:rPr>
        <w:t>article 102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disponible à l</w:t>
      </w:r>
      <w:r>
        <w:rPr>
          <w:rFonts w:cs="Arial"/>
          <w:sz w:val="18"/>
          <w:szCs w:val="18"/>
        </w:rPr>
        <w:t>’</w:t>
      </w:r>
      <w:r w:rsidRPr="00E55DB1">
        <w:rPr>
          <w:rFonts w:cs="Arial"/>
          <w:sz w:val="18"/>
          <w:szCs w:val="18"/>
        </w:rPr>
        <w:t xml:space="preserve">adresse </w:t>
      </w:r>
      <w:hyperlink r:id="rId8" w:history="1">
        <w:r w:rsidRPr="00E55DB1">
          <w:rPr>
            <w:rStyle w:val="Hyperlink"/>
            <w:rFonts w:cs="Arial"/>
            <w:color w:val="auto"/>
            <w:sz w:val="18"/>
            <w:szCs w:val="18"/>
            <w:u w:val="none"/>
          </w:rPr>
          <w:t>https://www.uspto.gov/web/offices/pac/mpep/mpep</w:t>
        </w:r>
        <w:r>
          <w:rPr>
            <w:rStyle w:val="Hyperlink"/>
            <w:rFonts w:cs="Arial"/>
            <w:color w:val="auto"/>
            <w:sz w:val="18"/>
            <w:szCs w:val="18"/>
            <w:u w:val="none"/>
          </w:rPr>
          <w:t>-</w:t>
        </w:r>
        <w:r w:rsidRPr="00E55DB1">
          <w:rPr>
            <w:rStyle w:val="Hyperlink"/>
            <w:rFonts w:cs="Arial"/>
            <w:color w:val="auto"/>
            <w:sz w:val="18"/>
            <w:szCs w:val="18"/>
            <w:u w:val="none"/>
          </w:rPr>
          <w:t>9015</w:t>
        </w:r>
        <w:r>
          <w:rPr>
            <w:rStyle w:val="Hyperlink"/>
            <w:rFonts w:cs="Arial"/>
            <w:color w:val="auto"/>
            <w:sz w:val="18"/>
            <w:szCs w:val="18"/>
            <w:u w:val="none"/>
          </w:rPr>
          <w:t>-</w:t>
        </w:r>
        <w:r w:rsidRPr="00E55DB1">
          <w:rPr>
            <w:rStyle w:val="Hyperlink"/>
            <w:rFonts w:cs="Arial"/>
            <w:color w:val="auto"/>
            <w:sz w:val="18"/>
            <w:szCs w:val="18"/>
            <w:u w:val="none"/>
          </w:rPr>
          <w:t>appx</w:t>
        </w:r>
        <w:r>
          <w:rPr>
            <w:rStyle w:val="Hyperlink"/>
            <w:rFonts w:cs="Arial"/>
            <w:color w:val="auto"/>
            <w:sz w:val="18"/>
            <w:szCs w:val="18"/>
            <w:u w:val="none"/>
          </w:rPr>
          <w:t>-</w:t>
        </w:r>
        <w:r w:rsidRPr="00E55DB1">
          <w:rPr>
            <w:rStyle w:val="Hyperlink"/>
            <w:rFonts w:cs="Arial"/>
            <w:color w:val="auto"/>
            <w:sz w:val="18"/>
            <w:szCs w:val="18"/>
            <w:u w:val="none"/>
          </w:rPr>
          <w:t>l.html#al_d1fbe1_19797_b0</w:t>
        </w:r>
      </w:hyperlink>
      <w:r w:rsidRPr="00E55DB1">
        <w:rPr>
          <w:rFonts w:cs="Arial"/>
          <w:sz w:val="18"/>
          <w:szCs w:val="18"/>
        </w:rPr>
        <w:t>.  Il est également fait référence à l</w:t>
      </w:r>
      <w:r>
        <w:rPr>
          <w:rFonts w:cs="Arial"/>
          <w:sz w:val="18"/>
          <w:szCs w:val="18"/>
        </w:rPr>
        <w:t>’</w:t>
      </w:r>
      <w:r w:rsidRPr="00E55DB1">
        <w:rPr>
          <w:rFonts w:cs="Arial"/>
          <w:sz w:val="18"/>
          <w:szCs w:val="18"/>
        </w:rPr>
        <w:t>article 151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 Délivrance du brevet, disponible à l</w:t>
      </w:r>
      <w:r>
        <w:rPr>
          <w:rFonts w:cs="Arial"/>
          <w:sz w:val="18"/>
          <w:szCs w:val="18"/>
        </w:rPr>
        <w:t>’</w:t>
      </w:r>
      <w:r w:rsidRPr="00E55DB1">
        <w:rPr>
          <w:rFonts w:cs="Arial"/>
          <w:sz w:val="18"/>
          <w:szCs w:val="18"/>
        </w:rPr>
        <w:t xml:space="preserve">adresse </w:t>
      </w:r>
      <w:hyperlink r:id="rId9" w:history="1">
        <w:r w:rsidRPr="00E55DB1">
          <w:rPr>
            <w:rStyle w:val="Hyperlink"/>
            <w:rFonts w:cs="Arial"/>
            <w:color w:val="auto"/>
            <w:sz w:val="18"/>
            <w:szCs w:val="18"/>
            <w:u w:val="none"/>
          </w:rPr>
          <w:t>https://www.gpo.gov/fdsys/pkg/USCODE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title35/pdf/USCODE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w:t>
        </w:r>
        <w:r>
          <w:rPr>
            <w:rStyle w:val="Hyperlink"/>
            <w:rFonts w:cs="Arial"/>
            <w:color w:val="auto"/>
            <w:sz w:val="18"/>
            <w:szCs w:val="18"/>
            <w:u w:val="none"/>
          </w:rPr>
          <w:t>-</w:t>
        </w:r>
        <w:r w:rsidRPr="00E55DB1">
          <w:rPr>
            <w:rStyle w:val="Hyperlink"/>
            <w:rFonts w:cs="Arial"/>
            <w:color w:val="auto"/>
            <w:sz w:val="18"/>
            <w:szCs w:val="18"/>
            <w:u w:val="none"/>
          </w:rPr>
          <w:t>partII</w:t>
        </w:r>
        <w:r>
          <w:rPr>
            <w:rStyle w:val="Hyperlink"/>
            <w:rFonts w:cs="Arial"/>
            <w:color w:val="auto"/>
            <w:sz w:val="18"/>
            <w:szCs w:val="18"/>
            <w:u w:val="none"/>
          </w:rPr>
          <w:t>-</w:t>
        </w:r>
        <w:r w:rsidRPr="00E55DB1">
          <w:rPr>
            <w:rStyle w:val="Hyperlink"/>
            <w:rFonts w:cs="Arial"/>
            <w:color w:val="auto"/>
            <w:sz w:val="18"/>
            <w:szCs w:val="18"/>
            <w:u w:val="none"/>
          </w:rPr>
          <w:t>chap14</w:t>
        </w:r>
        <w:r>
          <w:rPr>
            <w:rStyle w:val="Hyperlink"/>
            <w:rFonts w:cs="Arial"/>
            <w:color w:val="auto"/>
            <w:sz w:val="18"/>
            <w:szCs w:val="18"/>
            <w:u w:val="none"/>
          </w:rPr>
          <w:t>-</w:t>
        </w:r>
        <w:r w:rsidRPr="00E55DB1">
          <w:rPr>
            <w:rStyle w:val="Hyperlink"/>
            <w:rFonts w:cs="Arial"/>
            <w:color w:val="auto"/>
            <w:sz w:val="18"/>
            <w:szCs w:val="18"/>
            <w:u w:val="none"/>
          </w:rPr>
          <w:t>sec151.pdf</w:t>
        </w:r>
      </w:hyperlink>
      <w:r w:rsidRPr="00E55DB1">
        <w:rPr>
          <w:rFonts w:cs="Arial"/>
          <w:sz w:val="18"/>
          <w:szCs w:val="18"/>
        </w:rPr>
        <w:t xml:space="preserve"> et à l</w:t>
      </w:r>
      <w:r>
        <w:rPr>
          <w:rFonts w:cs="Arial"/>
          <w:sz w:val="18"/>
          <w:szCs w:val="18"/>
        </w:rPr>
        <w:t>’</w:t>
      </w:r>
      <w:r w:rsidRPr="00E55DB1">
        <w:rPr>
          <w:rFonts w:cs="Arial"/>
          <w:sz w:val="18"/>
          <w:szCs w:val="18"/>
        </w:rPr>
        <w:t>article 122.b)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w:t>
      </w:r>
      <w:r w:rsidRPr="00E55DB1">
        <w:rPr>
          <w:rFonts w:cs="Arial"/>
          <w:sz w:val="18"/>
          <w:szCs w:val="18"/>
          <w:lang w:eastAsia="en-US"/>
        </w:rPr>
        <w:t xml:space="preserve"> – Caractère confidentiel des demandes;  publication des demandes de brevet, disponible à l</w:t>
      </w:r>
      <w:r>
        <w:rPr>
          <w:rFonts w:cs="Arial"/>
          <w:sz w:val="18"/>
          <w:szCs w:val="18"/>
          <w:lang w:eastAsia="en-US"/>
        </w:rPr>
        <w:t>’</w:t>
      </w:r>
      <w:r w:rsidRPr="00E55DB1">
        <w:rPr>
          <w:rFonts w:cs="Arial"/>
          <w:sz w:val="18"/>
          <w:szCs w:val="18"/>
          <w:lang w:eastAsia="en-US"/>
        </w:rPr>
        <w:t xml:space="preserve">adresse </w:t>
      </w:r>
      <w:hyperlink r:id="rId10" w:history="1">
        <w:r w:rsidRPr="00E55DB1">
          <w:rPr>
            <w:rStyle w:val="Hyperlink"/>
            <w:rFonts w:cs="Arial"/>
            <w:color w:val="auto"/>
            <w:sz w:val="18"/>
            <w:szCs w:val="18"/>
            <w:u w:val="none"/>
            <w:lang w:eastAsia="en-US"/>
          </w:rPr>
          <w:t>https://www.gpo.gov/fdsys/pkg/USCODE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title35/pdf/USCODE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partII</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chap11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sec122.pdf</w:t>
        </w:r>
      </w:hyperlink>
      <w:r w:rsidRPr="00E55DB1">
        <w:rPr>
          <w:rFonts w:cs="Arial"/>
          <w:sz w:val="18"/>
          <w:szCs w:val="18"/>
          <w:lang w:eastAsia="en-US"/>
        </w:rPr>
        <w:t>.</w:t>
      </w:r>
    </w:p>
  </w:footnote>
  <w:footnote w:id="66">
    <w:p w:rsidR="00E104D3" w:rsidRPr="00E55DB1" w:rsidRDefault="00E104D3"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 loi japonaise sur les brevets à l</w:t>
      </w:r>
      <w:r>
        <w:rPr>
          <w:rFonts w:cs="Arial"/>
          <w:sz w:val="18"/>
          <w:szCs w:val="18"/>
        </w:rPr>
        <w:t>’adresse http</w:t>
      </w:r>
      <w:r w:rsidRPr="00E1729C">
        <w:rPr>
          <w:rStyle w:val="Hyperlink"/>
          <w:rFonts w:cs="Arial"/>
          <w:color w:val="auto"/>
          <w:sz w:val="18"/>
          <w:szCs w:val="18"/>
          <w:u w:val="none"/>
        </w:rPr>
        <w:t>s://www.wipo.int/wipolex/fr/details.jsp?id=16061</w:t>
      </w:r>
      <w:r w:rsidRPr="00E55DB1">
        <w:rPr>
          <w:rFonts w:cs="Arial"/>
          <w:sz w:val="18"/>
          <w:szCs w:val="18"/>
        </w:rPr>
        <w:t>.</w:t>
      </w:r>
    </w:p>
  </w:footnote>
  <w:footnote w:id="67">
    <w:p w:rsidR="00E104D3" w:rsidRPr="00E55DB1" w:rsidRDefault="00E104D3"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w:t>
      </w:r>
      <w:r>
        <w:rPr>
          <w:rFonts w:cs="Arial"/>
          <w:bCs/>
          <w:noProof/>
          <w:sz w:val="18"/>
          <w:szCs w:val="18"/>
        </w:rPr>
        <w:t>’</w:t>
      </w:r>
      <w:r w:rsidRPr="00E55DB1">
        <w:rPr>
          <w:rFonts w:cs="Arial"/>
          <w:bCs/>
          <w:noProof/>
          <w:sz w:val="18"/>
          <w:szCs w:val="18"/>
        </w:rPr>
        <w:t>auteur et droits voisins, étude présentée par M. Pierre Sirinelli (page 2 du document WCT</w:t>
      </w:r>
      <w:r>
        <w:rPr>
          <w:rFonts w:cs="Arial"/>
          <w:bCs/>
          <w:noProof/>
          <w:sz w:val="18"/>
          <w:szCs w:val="18"/>
        </w:rPr>
        <w:t>-</w:t>
      </w:r>
      <w:r w:rsidRPr="00E55DB1">
        <w:rPr>
          <w:rFonts w:cs="Arial"/>
          <w:bCs/>
          <w:noProof/>
          <w:sz w:val="18"/>
          <w:szCs w:val="18"/>
        </w:rPr>
        <w:t>WPPT/IMP/1) (1999).</w:t>
      </w:r>
    </w:p>
  </w:footnote>
  <w:footnote w:id="68">
    <w:p w:rsidR="00E104D3" w:rsidRPr="00E55DB1" w:rsidRDefault="00E104D3"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w:t>
      </w:r>
      <w:r>
        <w:rPr>
          <w:rFonts w:cs="Arial"/>
          <w:noProof/>
          <w:sz w:val="18"/>
          <w:szCs w:val="18"/>
        </w:rPr>
        <w:t>’</w:t>
      </w:r>
      <w:r w:rsidRPr="00E55DB1">
        <w:rPr>
          <w:rFonts w:cs="Arial"/>
          <w:noProof/>
          <w:sz w:val="18"/>
          <w:szCs w:val="18"/>
        </w:rPr>
        <w:t>annexe du document WO/GA/32/8.</w:t>
      </w:r>
    </w:p>
  </w:footnote>
  <w:footnote w:id="70">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w:t>
      </w:r>
      <w:r>
        <w:rPr>
          <w:rFonts w:cs="Arial"/>
          <w:noProof/>
          <w:sz w:val="18"/>
          <w:szCs w:val="18"/>
        </w:rPr>
        <w:t>’</w:t>
      </w:r>
      <w:r w:rsidRPr="00E55DB1">
        <w:rPr>
          <w:rFonts w:cs="Arial"/>
          <w:noProof/>
          <w:sz w:val="18"/>
          <w:szCs w:val="18"/>
        </w:rPr>
        <w:t>annexe I du document WIPO/GRTKF/IC/16/6</w:t>
      </w:r>
      <w:r w:rsidRPr="00E55DB1">
        <w:rPr>
          <w:rFonts w:cs="Arial"/>
          <w:iCs/>
          <w:noProof/>
          <w:sz w:val="18"/>
          <w:szCs w:val="18"/>
        </w:rPr>
        <w:t>.</w:t>
      </w:r>
    </w:p>
  </w:footnote>
  <w:footnote w:id="71">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Une nouvelle étude de l</w:t>
      </w:r>
      <w:r>
        <w:rPr>
          <w:rFonts w:cs="Arial"/>
          <w:noProof/>
          <w:sz w:val="18"/>
          <w:szCs w:val="18"/>
        </w:rPr>
        <w:t>’</w:t>
      </w:r>
      <w:r w:rsidRPr="00E55DB1">
        <w:rPr>
          <w:rFonts w:cs="Arial"/>
          <w:noProof/>
          <w:sz w:val="18"/>
          <w:szCs w:val="18"/>
        </w:rPr>
        <w:t>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w:t>
      </w:r>
      <w:r>
        <w:rPr>
          <w:rFonts w:cs="Arial"/>
          <w:noProof/>
          <w:sz w:val="18"/>
          <w:szCs w:val="18"/>
        </w:rPr>
        <w:t>’adresse http</w:t>
      </w:r>
      <w:r w:rsidRPr="000518AA">
        <w:rPr>
          <w:rStyle w:val="Hyperlink"/>
          <w:rFonts w:cs="Arial"/>
          <w:noProof/>
          <w:color w:val="auto"/>
          <w:sz w:val="18"/>
          <w:szCs w:val="18"/>
          <w:u w:val="none"/>
        </w:rPr>
        <w:t>s://www.wipo.int/publications/fr/details.jsp?id=4194</w:t>
      </w:r>
      <w:r w:rsidRPr="00E55DB1">
        <w:rPr>
          <w:rFonts w:cs="Arial"/>
          <w:noProof/>
          <w:sz w:val="18"/>
          <w:szCs w:val="18"/>
        </w:rPr>
        <w:t>.</w:t>
      </w:r>
    </w:p>
  </w:footnote>
  <w:footnote w:id="72">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E104D3" w:rsidRPr="00E55DB1" w:rsidRDefault="00E104D3"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E104D3" w:rsidRPr="00E55DB1" w:rsidRDefault="00E104D3"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E104D3" w:rsidRPr="00E55DB1" w:rsidRDefault="00E104D3"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w:t>
      </w:r>
      <w:r>
        <w:rPr>
          <w:rFonts w:cs="Arial"/>
          <w:noProof/>
          <w:sz w:val="18"/>
          <w:szCs w:val="18"/>
        </w:rPr>
        <w:t>’</w:t>
      </w:r>
      <w:r w:rsidRPr="00E55DB1">
        <w:rPr>
          <w:rFonts w:cs="Arial"/>
          <w:noProof/>
          <w:sz w:val="18"/>
          <w:szCs w:val="18"/>
        </w:rPr>
        <w:t>UNESCO (2005).</w:t>
      </w:r>
    </w:p>
  </w:footnote>
  <w:footnote w:id="77">
    <w:p w:rsidR="00E104D3" w:rsidRPr="00E55DB1" w:rsidRDefault="00E104D3"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E104D3" w:rsidRPr="00E55DB1" w:rsidRDefault="00E104D3"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E104D3" w:rsidRPr="00E55DB1" w:rsidRDefault="00E104D3"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w:t>
      </w:r>
      <w:r>
        <w:rPr>
          <w:rFonts w:cs="Arial"/>
          <w:noProof/>
          <w:sz w:val="18"/>
          <w:szCs w:val="18"/>
        </w:rPr>
        <w:t>’</w:t>
      </w:r>
      <w:r w:rsidRPr="00E55DB1">
        <w:rPr>
          <w:rFonts w:cs="Arial"/>
          <w:noProof/>
          <w:sz w:val="18"/>
          <w:szCs w:val="18"/>
        </w:rPr>
        <w:t>instrument de gestion de propriété intellectuelle dans le cadre de la fixation des savoirs traditionnels et des ressources génétiques (WIPO/GRTKF/IC/5/5), page 4 de l</w:t>
      </w:r>
      <w:r>
        <w:rPr>
          <w:rFonts w:cs="Arial"/>
          <w:noProof/>
          <w:sz w:val="18"/>
          <w:szCs w:val="18"/>
        </w:rPr>
        <w:t>’</w:t>
      </w:r>
      <w:r w:rsidRPr="00E55DB1">
        <w:rPr>
          <w:rFonts w:cs="Arial"/>
          <w:noProof/>
          <w:sz w:val="18"/>
          <w:szCs w:val="18"/>
        </w:rPr>
        <w:t>annexe.</w:t>
      </w:r>
    </w:p>
  </w:footnote>
  <w:footnote w:id="81">
    <w:p w:rsidR="00E104D3" w:rsidRPr="00E55DB1" w:rsidRDefault="00E104D3"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 page 290.</w:t>
      </w:r>
    </w:p>
  </w:footnote>
  <w:footnote w:id="82">
    <w:p w:rsidR="00E104D3" w:rsidRPr="00E55DB1" w:rsidRDefault="00E104D3"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E104D3" w:rsidRPr="00E55DB1" w:rsidRDefault="00E104D3"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w:t>
      </w:r>
      <w:r>
        <w:rPr>
          <w:rFonts w:cs="Arial"/>
          <w:noProof/>
          <w:sz w:val="18"/>
          <w:szCs w:val="18"/>
          <w:lang w:val="en-US"/>
        </w:rPr>
        <w:t>:</w:t>
      </w:r>
      <w:r w:rsidRPr="00E55DB1">
        <w:rPr>
          <w:rFonts w:cs="Arial"/>
          <w:noProof/>
          <w:sz w:val="18"/>
          <w:szCs w:val="18"/>
          <w:lang w:val="en-US"/>
        </w:rPr>
        <w:t xml:space="preserve"> Case Studies on Intellectual Property and Traditional Cultural Expressions, OMPI (2003).</w:t>
      </w:r>
    </w:p>
  </w:footnote>
  <w:footnote w:id="84">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t>-</w:t>
      </w:r>
      <w:r w:rsidRPr="00E55DB1">
        <w:rPr>
          <w:rFonts w:cs="Arial"/>
          <w:noProof/>
          <w:sz w:val="18"/>
          <w:szCs w:val="18"/>
        </w:rPr>
        <w:t>sept</w:t>
      </w:r>
      <w:r>
        <w:rPr>
          <w:rFonts w:cs="Arial"/>
          <w:noProof/>
          <w:sz w:val="18"/>
          <w:szCs w:val="18"/>
        </w:rPr>
        <w:t>ième session</w:t>
      </w:r>
      <w:r w:rsidRPr="00E55DB1">
        <w:rPr>
          <w:rFonts w:cs="Arial"/>
          <w:noProof/>
          <w:sz w:val="18"/>
          <w:szCs w:val="18"/>
        </w:rPr>
        <w:t xml:space="preserve"> du comité (document WIPO/GRTKF/IC/17/12).</w:t>
      </w:r>
    </w:p>
  </w:footnote>
  <w:footnote w:id="85">
    <w:p w:rsidR="00E104D3" w:rsidRPr="00E55DB1" w:rsidRDefault="00E104D3"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E104D3" w:rsidRPr="00E55DB1" w:rsidRDefault="00E104D3"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 page 290.</w:t>
      </w:r>
    </w:p>
  </w:footnote>
  <w:footnote w:id="87">
    <w:p w:rsidR="00E104D3" w:rsidRPr="00E55DB1" w:rsidRDefault="00E104D3"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5.2) de la Convention de Berne, article 9.1) de l</w:t>
      </w:r>
      <w:r>
        <w:rPr>
          <w:rFonts w:cs="Arial"/>
          <w:noProof/>
          <w:sz w:val="18"/>
          <w:szCs w:val="18"/>
        </w:rPr>
        <w:t>’</w:t>
      </w:r>
      <w:r w:rsidRPr="00E55DB1">
        <w:rPr>
          <w:rFonts w:cs="Arial"/>
          <w:noProof/>
          <w:sz w:val="18"/>
          <w:szCs w:val="18"/>
        </w:rPr>
        <w:t>Accord sur les ADPIC, article 25.10) du Traité sur le droit d</w:t>
      </w:r>
      <w:r>
        <w:rPr>
          <w:rFonts w:cs="Arial"/>
          <w:noProof/>
          <w:sz w:val="18"/>
          <w:szCs w:val="18"/>
        </w:rPr>
        <w:t>’</w:t>
      </w:r>
      <w:r w:rsidRPr="00E55DB1">
        <w:rPr>
          <w:rFonts w:cs="Arial"/>
          <w:noProof/>
          <w:sz w:val="18"/>
          <w:szCs w:val="18"/>
        </w:rPr>
        <w:t>auteur de l</w:t>
      </w:r>
      <w:r>
        <w:rPr>
          <w:rFonts w:cs="Arial"/>
          <w:noProof/>
          <w:sz w:val="18"/>
          <w:szCs w:val="18"/>
        </w:rPr>
        <w:t>’</w:t>
      </w:r>
      <w:r w:rsidRPr="00E55DB1">
        <w:rPr>
          <w:rFonts w:cs="Arial"/>
          <w:noProof/>
          <w:sz w:val="18"/>
          <w:szCs w:val="18"/>
        </w:rPr>
        <w:t>OMPI et article 20 du Traité de l</w:t>
      </w:r>
      <w:r>
        <w:rPr>
          <w:rFonts w:cs="Arial"/>
          <w:noProof/>
          <w:sz w:val="18"/>
          <w:szCs w:val="18"/>
        </w:rPr>
        <w:t>’</w:t>
      </w:r>
      <w:r w:rsidRPr="00E55DB1">
        <w:rPr>
          <w:rFonts w:cs="Arial"/>
          <w:noProof/>
          <w:sz w:val="18"/>
          <w:szCs w:val="18"/>
        </w:rPr>
        <w:t xml:space="preserve">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le Glossaire du droit d</w:t>
      </w:r>
      <w:r>
        <w:rPr>
          <w:rFonts w:cs="Arial"/>
          <w:noProof/>
          <w:sz w:val="18"/>
          <w:szCs w:val="18"/>
        </w:rPr>
        <w:t>’</w:t>
      </w:r>
      <w:r w:rsidRPr="00E55DB1">
        <w:rPr>
          <w:rFonts w:cs="Arial"/>
          <w:noProof/>
          <w:sz w:val="18"/>
          <w:szCs w:val="18"/>
        </w:rPr>
        <w:t>auteur et des droits connexes, OMPI, page 291.</w:t>
      </w:r>
    </w:p>
  </w:footnote>
  <w:footnote w:id="88">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E104D3" w:rsidRPr="00E55DB1" w:rsidRDefault="00E104D3"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Thesaurus de l</w:t>
      </w:r>
      <w:r>
        <w:rPr>
          <w:rFonts w:cs="Arial"/>
          <w:noProof/>
          <w:sz w:val="18"/>
          <w:szCs w:val="18"/>
          <w:lang w:eastAsia="en-US"/>
        </w:rPr>
        <w:t>’</w:t>
      </w:r>
      <w:r w:rsidRPr="00E55DB1">
        <w:rPr>
          <w:rFonts w:cs="Arial"/>
          <w:noProof/>
          <w:sz w:val="18"/>
          <w:szCs w:val="18"/>
          <w:lang w:eastAsia="en-US"/>
        </w:rPr>
        <w:t>UNESCO, disponible à l</w:t>
      </w:r>
      <w:r>
        <w:rPr>
          <w:rFonts w:cs="Arial"/>
          <w:noProof/>
          <w:sz w:val="18"/>
          <w:szCs w:val="18"/>
          <w:lang w:eastAsia="en-US"/>
        </w:rPr>
        <w:t>’</w:t>
      </w:r>
      <w:r w:rsidRPr="00E55DB1">
        <w:rPr>
          <w:rFonts w:cs="Arial"/>
          <w:noProof/>
          <w:sz w:val="18"/>
          <w:szCs w:val="18"/>
          <w:lang w:eastAsia="en-US"/>
        </w:rPr>
        <w:t xml:space="preserve">adresse </w:t>
      </w:r>
      <w:hyperlink r:id="rId11" w:history="1">
        <w:r w:rsidRPr="00E55DB1">
          <w:rPr>
            <w:rStyle w:val="Hyperlink"/>
            <w:rFonts w:cs="Arial"/>
            <w:noProof/>
            <w:color w:val="auto"/>
            <w:sz w:val="18"/>
            <w:szCs w:val="18"/>
            <w:u w:val="none"/>
            <w:lang w:eastAsia="en-US"/>
          </w:rPr>
          <w:t>http://www.vocabularyserver.com/unesco/en/index.php?tema=2526&amp;/cultural</w:t>
        </w:r>
        <w:r>
          <w:rPr>
            <w:rStyle w:val="Hyperlink"/>
            <w:rFonts w:cs="Arial"/>
            <w:noProof/>
            <w:color w:val="auto"/>
            <w:sz w:val="18"/>
            <w:szCs w:val="18"/>
            <w:u w:val="none"/>
            <w:lang w:eastAsia="en-US"/>
          </w:rPr>
          <w:t>-</w:t>
        </w:r>
        <w:r w:rsidRPr="00E55DB1">
          <w:rPr>
            <w:rStyle w:val="Hyperlink"/>
            <w:rFonts w:cs="Arial"/>
            <w:noProof/>
            <w:color w:val="auto"/>
            <w:sz w:val="18"/>
            <w:szCs w:val="18"/>
            <w:u w:val="none"/>
            <w:lang w:eastAsia="en-US"/>
          </w:rPr>
          <w:t>identity</w:t>
        </w:r>
      </w:hyperlink>
      <w:r w:rsidRPr="00E55DB1">
        <w:rPr>
          <w:rFonts w:cs="Arial"/>
          <w:noProof/>
          <w:sz w:val="18"/>
          <w:szCs w:val="18"/>
        </w:rPr>
        <w:t>.</w:t>
      </w:r>
    </w:p>
  </w:footnote>
  <w:footnote w:id="90">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E104D3" w:rsidRPr="00E55DB1" w:rsidRDefault="00E104D3"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L</w:t>
      </w:r>
      <w:r>
        <w:rPr>
          <w:rFonts w:cs="Arial"/>
          <w:sz w:val="18"/>
          <w:szCs w:val="18"/>
        </w:rPr>
        <w:t>’</w:t>
      </w:r>
      <w:r w:rsidRPr="00E55DB1">
        <w:rPr>
          <w:rFonts w:cs="Arial"/>
          <w:sz w:val="18"/>
          <w:szCs w:val="18"/>
        </w:rPr>
        <w:t>instrument d</w:t>
      </w:r>
      <w:r>
        <w:rPr>
          <w:rFonts w:cs="Arial"/>
          <w:sz w:val="18"/>
          <w:szCs w:val="18"/>
        </w:rPr>
        <w:t>’</w:t>
      </w:r>
      <w:r w:rsidRPr="00E55DB1">
        <w:rPr>
          <w:rFonts w:cs="Arial"/>
          <w:sz w:val="18"/>
          <w:szCs w:val="18"/>
        </w:rPr>
        <w:t>aide à la fixation des savoirs traditionnels de l</w:t>
      </w:r>
      <w:r>
        <w:rPr>
          <w:rFonts w:cs="Arial"/>
          <w:sz w:val="18"/>
          <w:szCs w:val="18"/>
        </w:rPr>
        <w:t>’</w:t>
      </w:r>
      <w:r w:rsidRPr="00E55DB1">
        <w:rPr>
          <w:rFonts w:cs="Arial"/>
          <w:sz w:val="18"/>
          <w:szCs w:val="18"/>
        </w:rPr>
        <w:t>OMPI est accessible à l</w:t>
      </w:r>
      <w:r>
        <w:rPr>
          <w:rFonts w:cs="Arial"/>
          <w:sz w:val="18"/>
          <w:szCs w:val="18"/>
        </w:rPr>
        <w:t>’adresse http</w:t>
      </w:r>
      <w:r w:rsidRPr="00E1729C">
        <w:rPr>
          <w:rStyle w:val="Hyperlink"/>
          <w:rFonts w:cs="Arial"/>
          <w:color w:val="auto"/>
          <w:sz w:val="18"/>
          <w:szCs w:val="18"/>
          <w:u w:val="none"/>
        </w:rPr>
        <w:t>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E104D3" w:rsidRPr="00E55DB1" w:rsidRDefault="00E104D3"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w:t>
      </w:r>
      <w:r>
        <w:rPr>
          <w:rFonts w:cs="Arial"/>
          <w:noProof/>
          <w:sz w:val="18"/>
          <w:szCs w:val="18"/>
        </w:rPr>
        <w:t>’</w:t>
      </w:r>
      <w:r w:rsidRPr="00E55DB1">
        <w:rPr>
          <w:rFonts w:cs="Arial"/>
          <w:noProof/>
          <w:sz w:val="18"/>
          <w:szCs w:val="18"/>
        </w:rPr>
        <w:t>appendice II des Lignes directrices de Bonn.</w:t>
      </w:r>
    </w:p>
  </w:footnote>
  <w:footnote w:id="97">
    <w:p w:rsidR="00E104D3" w:rsidRPr="00E55DB1" w:rsidRDefault="00E104D3"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w:t>
      </w:r>
      <w:r>
        <w:rPr>
          <w:rFonts w:cs="Arial"/>
          <w:bCs/>
          <w:noProof/>
          <w:sz w:val="18"/>
          <w:szCs w:val="18"/>
        </w:rPr>
        <w:t>’</w:t>
      </w:r>
      <w:r w:rsidRPr="00E55DB1">
        <w:rPr>
          <w:rFonts w:cs="Arial"/>
          <w:bCs/>
          <w:noProof/>
          <w:sz w:val="18"/>
          <w:szCs w:val="18"/>
        </w:rPr>
        <w:t>auteur et aux droits connexes” (page 2 du document WCT</w:t>
      </w:r>
      <w:r>
        <w:rPr>
          <w:rFonts w:cs="Arial"/>
          <w:bCs/>
          <w:noProof/>
          <w:sz w:val="18"/>
          <w:szCs w:val="18"/>
        </w:rPr>
        <w:t>-</w:t>
      </w:r>
      <w:r w:rsidRPr="00E55DB1">
        <w:rPr>
          <w:rFonts w:cs="Arial"/>
          <w:bCs/>
          <w:noProof/>
          <w:sz w:val="18"/>
          <w:szCs w:val="18"/>
        </w:rPr>
        <w:t>WPPT/IMP/1).</w:t>
      </w:r>
    </w:p>
  </w:footnote>
  <w:footnote w:id="98">
    <w:p w:rsidR="00E104D3" w:rsidRPr="00E55DB1" w:rsidRDefault="00E104D3"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Partie du site Web de l</w:t>
      </w:r>
      <w:r>
        <w:rPr>
          <w:rFonts w:cs="Arial"/>
          <w:noProof/>
          <w:sz w:val="18"/>
          <w:szCs w:val="18"/>
        </w:rPr>
        <w:t>’</w:t>
      </w:r>
      <w:r w:rsidRPr="00E55DB1">
        <w:rPr>
          <w:rFonts w:cs="Arial"/>
          <w:noProof/>
          <w:sz w:val="18"/>
          <w:szCs w:val="18"/>
        </w:rPr>
        <w:t>OMPI consacrée au droit d</w:t>
      </w:r>
      <w:r>
        <w:rPr>
          <w:rFonts w:cs="Arial"/>
          <w:noProof/>
          <w:sz w:val="18"/>
          <w:szCs w:val="18"/>
        </w:rPr>
        <w:t>’</w:t>
      </w:r>
      <w:r w:rsidRPr="00E55DB1">
        <w:rPr>
          <w:rFonts w:cs="Arial"/>
          <w:noProof/>
          <w:sz w:val="18"/>
          <w:szCs w:val="18"/>
        </w:rPr>
        <w:t>auteur et aux droits connexes</w:t>
      </w:r>
      <w:r>
        <w:rPr>
          <w:rFonts w:cs="Arial"/>
          <w:noProof/>
          <w:sz w:val="18"/>
          <w:szCs w:val="18"/>
        </w:rPr>
        <w:t> :</w:t>
      </w:r>
      <w:r w:rsidRPr="00E55DB1">
        <w:rPr>
          <w:rFonts w:cs="Arial"/>
          <w:noProof/>
          <w:sz w:val="18"/>
          <w:szCs w:val="18"/>
        </w:rPr>
        <w:t xml:space="preserve">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E104D3" w:rsidRPr="00E55DB1" w:rsidRDefault="00E104D3"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E104D3" w:rsidRPr="00E55DB1" w:rsidRDefault="00E104D3"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E104D3" w:rsidRPr="00E55DB1" w:rsidRDefault="00E104D3"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E104D3" w:rsidRPr="00E55DB1" w:rsidRDefault="00E104D3"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t>-</w:t>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t>-</w:t>
      </w:r>
      <w:r w:rsidRPr="00E55DB1">
        <w:rPr>
          <w:rFonts w:cs="Arial"/>
          <w:noProof/>
          <w:sz w:val="18"/>
          <w:szCs w:val="18"/>
          <w:lang w:val="en-US"/>
        </w:rPr>
        <w:t>sharing”), page 8.</w:t>
      </w:r>
    </w:p>
  </w:footnote>
  <w:footnote w:id="103">
    <w:p w:rsidR="00E104D3" w:rsidRPr="00E55DB1" w:rsidRDefault="00E104D3"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t xml:space="preserve">Glossaire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w:t>
      </w:r>
      <w:r>
        <w:rPr>
          <w:rFonts w:cs="Arial"/>
          <w:sz w:val="18"/>
          <w:szCs w:val="18"/>
          <w:lang w:val="en-US"/>
        </w:rPr>
        <w:t>’</w:t>
      </w:r>
      <w:r w:rsidRPr="00E55DB1">
        <w:rPr>
          <w:rFonts w:cs="Arial"/>
          <w:sz w:val="18"/>
          <w:szCs w:val="18"/>
          <w:lang w:val="en-US"/>
        </w:rPr>
        <w:t>adresse</w:t>
      </w:r>
      <w:proofErr w:type="spellEnd"/>
      <w:r w:rsidRPr="00E55DB1">
        <w:rPr>
          <w:rFonts w:cs="Arial"/>
          <w:sz w:val="18"/>
          <w:szCs w:val="18"/>
          <w:lang w:val="en-US"/>
        </w:rPr>
        <w:t xml:space="preserve"> </w:t>
      </w:r>
      <w:hyperlink r:id="rId12" w:history="1">
        <w:r w:rsidRPr="00E55DB1">
          <w:rPr>
            <w:rStyle w:val="Hyperlink"/>
            <w:rFonts w:cs="Arial"/>
            <w:color w:val="auto"/>
            <w:sz w:val="18"/>
            <w:szCs w:val="18"/>
            <w:u w:val="none"/>
            <w:lang w:val="en-US"/>
          </w:rPr>
          <w:t>https://www.unenvironment.org/resources/report/glossary</w:t>
        </w:r>
        <w:r>
          <w:rPr>
            <w:rStyle w:val="Hyperlink"/>
            <w:rFonts w:cs="Arial"/>
            <w:color w:val="auto"/>
            <w:sz w:val="18"/>
            <w:szCs w:val="18"/>
            <w:u w:val="none"/>
            <w:lang w:val="en-US"/>
          </w:rPr>
          <w:t>-</w:t>
        </w:r>
        <w:r w:rsidRPr="00E55DB1">
          <w:rPr>
            <w:rStyle w:val="Hyperlink"/>
            <w:rFonts w:cs="Arial"/>
            <w:color w:val="auto"/>
            <w:sz w:val="18"/>
            <w:szCs w:val="18"/>
            <w:u w:val="none"/>
            <w:lang w:val="en-US"/>
          </w:rPr>
          <w:t>terms</w:t>
        </w:r>
        <w:r>
          <w:rPr>
            <w:rStyle w:val="Hyperlink"/>
            <w:rFonts w:cs="Arial"/>
            <w:color w:val="auto"/>
            <w:sz w:val="18"/>
            <w:szCs w:val="18"/>
            <w:u w:val="none"/>
            <w:lang w:val="en-US"/>
          </w:rPr>
          <w:t>-</w:t>
        </w:r>
        <w:r w:rsidRPr="00E55DB1">
          <w:rPr>
            <w:rStyle w:val="Hyperlink"/>
            <w:rFonts w:cs="Arial"/>
            <w:color w:val="auto"/>
            <w:sz w:val="18"/>
            <w:szCs w:val="18"/>
            <w:u w:val="none"/>
            <w:lang w:val="en-US"/>
          </w:rPr>
          <w:t>negotiators</w:t>
        </w:r>
        <w:r>
          <w:rPr>
            <w:rStyle w:val="Hyperlink"/>
            <w:rFonts w:cs="Arial"/>
            <w:color w:val="auto"/>
            <w:sz w:val="18"/>
            <w:szCs w:val="18"/>
            <w:u w:val="none"/>
            <w:lang w:val="en-US"/>
          </w:rPr>
          <w:t>-</w:t>
        </w:r>
        <w:r w:rsidRPr="00E55DB1">
          <w:rPr>
            <w:rStyle w:val="Hyperlink"/>
            <w:rFonts w:cs="Arial"/>
            <w:color w:val="auto"/>
            <w:sz w:val="18"/>
            <w:szCs w:val="18"/>
            <w:u w:val="none"/>
            <w:lang w:val="en-US"/>
          </w:rPr>
          <w:t>multilateral</w:t>
        </w:r>
        <w:r>
          <w:rPr>
            <w:rStyle w:val="Hyperlink"/>
            <w:rFonts w:cs="Arial"/>
            <w:color w:val="auto"/>
            <w:sz w:val="18"/>
            <w:szCs w:val="18"/>
            <w:u w:val="none"/>
            <w:lang w:val="en-US"/>
          </w:rPr>
          <w:t>-</w:t>
        </w:r>
        <w:r w:rsidRPr="00E55DB1">
          <w:rPr>
            <w:rStyle w:val="Hyperlink"/>
            <w:rFonts w:cs="Arial"/>
            <w:color w:val="auto"/>
            <w:sz w:val="18"/>
            <w:szCs w:val="18"/>
            <w:u w:val="none"/>
            <w:lang w:val="en-US"/>
          </w:rPr>
          <w:t>environmental</w:t>
        </w:r>
        <w:r>
          <w:rPr>
            <w:rStyle w:val="Hyperlink"/>
            <w:rFonts w:cs="Arial"/>
            <w:color w:val="auto"/>
            <w:sz w:val="18"/>
            <w:szCs w:val="18"/>
            <w:u w:val="none"/>
            <w:lang w:val="en-US"/>
          </w:rPr>
          <w:t>-</w:t>
        </w:r>
        <w:r w:rsidRPr="00E55DB1">
          <w:rPr>
            <w:rStyle w:val="Hyperlink"/>
            <w:rFonts w:cs="Arial"/>
            <w:color w:val="auto"/>
            <w:sz w:val="18"/>
            <w:szCs w:val="18"/>
            <w:u w:val="none"/>
            <w:lang w:val="en-US"/>
          </w:rPr>
          <w:t>agreements</w:t>
        </w:r>
      </w:hyperlink>
      <w:r w:rsidRPr="00E55DB1">
        <w:rPr>
          <w:rFonts w:cs="Arial"/>
          <w:sz w:val="18"/>
          <w:szCs w:val="18"/>
          <w:lang w:val="en-US"/>
        </w:rPr>
        <w:t>.</w:t>
      </w:r>
    </w:p>
  </w:footnote>
  <w:footnote w:id="104">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w:t>
      </w:r>
      <w:r>
        <w:rPr>
          <w:rFonts w:cs="Arial"/>
          <w:noProof/>
          <w:sz w:val="18"/>
          <w:szCs w:val="18"/>
        </w:rPr>
        <w:t>’</w:t>
      </w:r>
      <w:r w:rsidRPr="00E55DB1">
        <w:rPr>
          <w:rFonts w:cs="Arial"/>
          <w:noProof/>
          <w:sz w:val="18"/>
          <w:szCs w:val="18"/>
        </w:rPr>
        <w:t>OMS pour la recherche et l</w:t>
      </w:r>
      <w:r>
        <w:rPr>
          <w:rFonts w:cs="Arial"/>
          <w:noProof/>
          <w:sz w:val="18"/>
          <w:szCs w:val="18"/>
        </w:rPr>
        <w:t>’</w:t>
      </w:r>
      <w:r w:rsidRPr="00E55DB1">
        <w:rPr>
          <w:rFonts w:cs="Arial"/>
          <w:noProof/>
          <w:sz w:val="18"/>
          <w:szCs w:val="18"/>
        </w:rPr>
        <w:t>évaluation relatives à la médecine traditionnelle (WHO/EDM/TRM/2000.1), page 1.</w:t>
      </w:r>
    </w:p>
  </w:footnote>
  <w:footnote w:id="105">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w:t>
      </w:r>
      <w:r>
        <w:rPr>
          <w:rFonts w:cs="Arial"/>
          <w:noProof/>
          <w:sz w:val="18"/>
          <w:szCs w:val="18"/>
        </w:rPr>
        <w:t>’</w:t>
      </w:r>
      <w:r w:rsidRPr="00E55DB1">
        <w:rPr>
          <w:rFonts w:cs="Arial"/>
          <w:noProof/>
          <w:sz w:val="18"/>
          <w:szCs w:val="18"/>
        </w:rPr>
        <w:t>OMS pour la médecine traditionnelle pour 2002</w:t>
      </w:r>
      <w:r>
        <w:rPr>
          <w:rFonts w:cs="Arial"/>
          <w:noProof/>
          <w:sz w:val="18"/>
          <w:szCs w:val="18"/>
        </w:rPr>
        <w:t>-</w:t>
      </w:r>
      <w:r w:rsidRPr="00E55DB1">
        <w:rPr>
          <w:rFonts w:cs="Arial"/>
          <w:noProof/>
          <w:sz w:val="18"/>
          <w:szCs w:val="18"/>
        </w:rPr>
        <w:t>2005, page 7.</w:t>
      </w:r>
    </w:p>
  </w:footnote>
  <w:footnote w:id="106">
    <w:p w:rsidR="00E104D3" w:rsidRPr="00E55DB1" w:rsidRDefault="00E104D3"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Francesco Capotorti, ancien rapporteur spécial des </w:t>
      </w:r>
      <w:r>
        <w:rPr>
          <w:rFonts w:cs="Arial"/>
          <w:noProof/>
          <w:sz w:val="18"/>
          <w:szCs w:val="18"/>
        </w:rPr>
        <w:t>Nations Unies</w:t>
      </w:r>
      <w:r w:rsidRPr="00E55DB1">
        <w:rPr>
          <w:rFonts w:cs="Arial"/>
          <w:noProof/>
          <w:sz w:val="18"/>
          <w:szCs w:val="18"/>
        </w:rPr>
        <w:t>, 1979, cité par Diter Kugelmann, The Protection of Minorities and Indigenous Peoples Respective Cultural Diversity, A. Von Bogdandy and R. Wolffrum, (éd.), Max Planck Year Book of United Nations Law, vol. 11, 2007, page 237.</w:t>
      </w:r>
    </w:p>
  </w:footnote>
  <w:footnote w:id="107">
    <w:p w:rsidR="00E104D3" w:rsidRPr="00E55DB1" w:rsidRDefault="00E104D3"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w:t>
      </w:r>
      <w:r>
        <w:rPr>
          <w:rFonts w:cs="Arial"/>
          <w:noProof/>
          <w:sz w:val="18"/>
          <w:szCs w:val="18"/>
        </w:rPr>
        <w:t>’</w:t>
      </w:r>
      <w:r w:rsidRPr="00E55DB1">
        <w:rPr>
          <w:rFonts w:cs="Arial"/>
          <w:noProof/>
          <w:sz w:val="18"/>
          <w:szCs w:val="18"/>
        </w:rPr>
        <w:t>Assemblée générale dans sa Résolution 47/135 du 18 décembre 1992.</w:t>
      </w:r>
    </w:p>
  </w:footnote>
  <w:footnote w:id="108">
    <w:p w:rsidR="00E104D3" w:rsidRPr="00E55DB1" w:rsidRDefault="00E104D3"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w:t>
      </w:r>
      <w:r>
        <w:rPr>
          <w:rFonts w:cs="Arial"/>
          <w:noProof/>
          <w:sz w:val="18"/>
          <w:szCs w:val="18"/>
        </w:rPr>
        <w:t>’</w:t>
      </w:r>
      <w:r w:rsidRPr="00E55DB1">
        <w:rPr>
          <w:rFonts w:cs="Arial"/>
          <w:noProof/>
          <w:sz w:val="18"/>
          <w:szCs w:val="18"/>
        </w:rPr>
        <w:t>Assemblée générale dans sa résolution 47/135 du 18 décembre 1992.</w:t>
      </w:r>
    </w:p>
  </w:footnote>
  <w:footnote w:id="109">
    <w:p w:rsidR="00E104D3" w:rsidRPr="00E55DB1" w:rsidRDefault="00E104D3"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w:t>
      </w:r>
      <w:r>
        <w:rPr>
          <w:rFonts w:cs="Arial"/>
          <w:noProof/>
          <w:sz w:val="18"/>
          <w:szCs w:val="18"/>
        </w:rPr>
        <w:t>’</w:t>
      </w:r>
      <w:r w:rsidRPr="00E55DB1">
        <w:rPr>
          <w:rFonts w:cs="Arial"/>
          <w:noProof/>
          <w:sz w:val="18"/>
          <w:szCs w:val="18"/>
        </w:rPr>
        <w:t>adhésion par l</w:t>
      </w:r>
      <w:r>
        <w:rPr>
          <w:rFonts w:cs="Arial"/>
          <w:noProof/>
          <w:sz w:val="18"/>
          <w:szCs w:val="18"/>
        </w:rPr>
        <w:t>’</w:t>
      </w:r>
      <w:r w:rsidRPr="00E55DB1">
        <w:rPr>
          <w:rFonts w:cs="Arial"/>
          <w:noProof/>
          <w:sz w:val="18"/>
          <w:szCs w:val="18"/>
        </w:rPr>
        <w:t>Assemblée générale dans sa résolution 2200A (XXI) du 16 décembre 1966, entré en vigueur le 23 mars 1976.</w:t>
      </w:r>
    </w:p>
  </w:footnote>
  <w:footnote w:id="110">
    <w:p w:rsidR="00E104D3" w:rsidRPr="00E55DB1" w:rsidRDefault="00E104D3"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E104D3" w:rsidRPr="00E55DB1" w:rsidRDefault="00E104D3"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t>-</w:t>
      </w:r>
      <w:r w:rsidRPr="00E55DB1">
        <w:rPr>
          <w:rFonts w:cs="Arial"/>
          <w:noProof/>
          <w:sz w:val="18"/>
          <w:szCs w:val="18"/>
        </w:rPr>
        <w:t>Bas pour l</w:t>
      </w:r>
      <w:r>
        <w:rPr>
          <w:rFonts w:cs="Arial"/>
          <w:noProof/>
          <w:sz w:val="18"/>
          <w:szCs w:val="18"/>
        </w:rPr>
        <w:t>’</w:t>
      </w:r>
      <w:r w:rsidRPr="00E55DB1">
        <w:rPr>
          <w:rFonts w:cs="Arial"/>
          <w:noProof/>
          <w:sz w:val="18"/>
          <w:szCs w:val="18"/>
        </w:rPr>
        <w:t>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w:t>
      </w:r>
      <w:r>
        <w:rPr>
          <w:rFonts w:cs="Arial"/>
          <w:noProof/>
          <w:sz w:val="18"/>
          <w:szCs w:val="18"/>
        </w:rPr>
        <w:t> :</w:t>
      </w:r>
      <w:r w:rsidRPr="00E55DB1">
        <w:rPr>
          <w:rFonts w:cs="Arial"/>
          <w:noProof/>
          <w:sz w:val="18"/>
          <w:szCs w:val="18"/>
        </w:rPr>
        <w:t xml:space="preserve"> objectifs et principes révisés”.</w:t>
      </w:r>
    </w:p>
  </w:footnote>
  <w:footnote w:id="113">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E104D3" w:rsidRPr="00E55DB1" w:rsidRDefault="00E104D3"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Pr>
          <w:rFonts w:cs="Arial"/>
          <w:sz w:val="18"/>
          <w:szCs w:val="18"/>
        </w:rPr>
        <w:t>’</w:t>
      </w:r>
      <w:r w:rsidRPr="00E55DB1">
        <w:rPr>
          <w:rFonts w:cs="Arial"/>
          <w:sz w:val="18"/>
          <w:szCs w:val="18"/>
        </w:rPr>
        <w:t>article 102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disponible à l</w:t>
      </w:r>
      <w:r>
        <w:rPr>
          <w:rFonts w:cs="Arial"/>
          <w:sz w:val="18"/>
          <w:szCs w:val="18"/>
        </w:rPr>
        <w:t>’</w:t>
      </w:r>
      <w:r w:rsidRPr="00E55DB1">
        <w:rPr>
          <w:rFonts w:cs="Arial"/>
          <w:sz w:val="18"/>
          <w:szCs w:val="18"/>
        </w:rPr>
        <w:t xml:space="preserve">adresse </w:t>
      </w:r>
      <w:hyperlink r:id="rId13" w:history="1">
        <w:r w:rsidRPr="00E55DB1">
          <w:rPr>
            <w:rStyle w:val="Hyperlink"/>
            <w:rFonts w:cs="Arial"/>
            <w:color w:val="auto"/>
            <w:sz w:val="18"/>
            <w:szCs w:val="18"/>
            <w:u w:val="none"/>
          </w:rPr>
          <w:t>https://www.uspto.gov/web/offices/pac/mpep/mpep</w:t>
        </w:r>
        <w:r>
          <w:rPr>
            <w:rStyle w:val="Hyperlink"/>
            <w:rFonts w:cs="Arial"/>
            <w:color w:val="auto"/>
            <w:sz w:val="18"/>
            <w:szCs w:val="18"/>
            <w:u w:val="none"/>
          </w:rPr>
          <w:t>-</w:t>
        </w:r>
        <w:r w:rsidRPr="00E55DB1">
          <w:rPr>
            <w:rStyle w:val="Hyperlink"/>
            <w:rFonts w:cs="Arial"/>
            <w:color w:val="auto"/>
            <w:sz w:val="18"/>
            <w:szCs w:val="18"/>
            <w:u w:val="none"/>
          </w:rPr>
          <w:t>9015</w:t>
        </w:r>
        <w:r>
          <w:rPr>
            <w:rStyle w:val="Hyperlink"/>
            <w:rFonts w:cs="Arial"/>
            <w:color w:val="auto"/>
            <w:sz w:val="18"/>
            <w:szCs w:val="18"/>
            <w:u w:val="none"/>
          </w:rPr>
          <w:t>-</w:t>
        </w:r>
        <w:r w:rsidRPr="00E55DB1">
          <w:rPr>
            <w:rStyle w:val="Hyperlink"/>
            <w:rFonts w:cs="Arial"/>
            <w:color w:val="auto"/>
            <w:sz w:val="18"/>
            <w:szCs w:val="18"/>
            <w:u w:val="none"/>
          </w:rPr>
          <w:t>appx</w:t>
        </w:r>
        <w:r>
          <w:rPr>
            <w:rStyle w:val="Hyperlink"/>
            <w:rFonts w:cs="Arial"/>
            <w:color w:val="auto"/>
            <w:sz w:val="18"/>
            <w:szCs w:val="18"/>
            <w:u w:val="none"/>
          </w:rPr>
          <w:t>-</w:t>
        </w:r>
        <w:r w:rsidRPr="00E55DB1">
          <w:rPr>
            <w:rStyle w:val="Hyperlink"/>
            <w:rFonts w:cs="Arial"/>
            <w:color w:val="auto"/>
            <w:sz w:val="18"/>
            <w:szCs w:val="18"/>
            <w:u w:val="none"/>
          </w:rPr>
          <w:t>l.html#al_d1fbe1_19797_b0</w:t>
        </w:r>
      </w:hyperlink>
      <w:r w:rsidRPr="00E55DB1">
        <w:rPr>
          <w:rFonts w:cs="Arial"/>
          <w:sz w:val="18"/>
          <w:szCs w:val="18"/>
        </w:rPr>
        <w:t>.  Il est également fait référence à l</w:t>
      </w:r>
      <w:r>
        <w:rPr>
          <w:rFonts w:cs="Arial"/>
          <w:sz w:val="18"/>
          <w:szCs w:val="18"/>
        </w:rPr>
        <w:t>’</w:t>
      </w:r>
      <w:r w:rsidRPr="00E55DB1">
        <w:rPr>
          <w:rFonts w:cs="Arial"/>
          <w:sz w:val="18"/>
          <w:szCs w:val="18"/>
        </w:rPr>
        <w:t>article 151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 Délivrance du brevet, disponible à l</w:t>
      </w:r>
      <w:r>
        <w:rPr>
          <w:rFonts w:cs="Arial"/>
          <w:sz w:val="18"/>
          <w:szCs w:val="18"/>
        </w:rPr>
        <w:t>’</w:t>
      </w:r>
      <w:r w:rsidRPr="00E55DB1">
        <w:rPr>
          <w:rFonts w:cs="Arial"/>
          <w:sz w:val="18"/>
          <w:szCs w:val="18"/>
        </w:rPr>
        <w:t xml:space="preserve">adresse </w:t>
      </w:r>
      <w:hyperlink r:id="rId14" w:history="1">
        <w:r w:rsidRPr="00E55DB1">
          <w:rPr>
            <w:rStyle w:val="Hyperlink"/>
            <w:rFonts w:cs="Arial"/>
            <w:color w:val="auto"/>
            <w:sz w:val="18"/>
            <w:szCs w:val="18"/>
            <w:u w:val="none"/>
          </w:rPr>
          <w:t>https://www.gpo.gov/fdsys/pkg/USCODE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title35/pdf/USCODE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w:t>
        </w:r>
        <w:r>
          <w:rPr>
            <w:rStyle w:val="Hyperlink"/>
            <w:rFonts w:cs="Arial"/>
            <w:color w:val="auto"/>
            <w:sz w:val="18"/>
            <w:szCs w:val="18"/>
            <w:u w:val="none"/>
          </w:rPr>
          <w:t>-</w:t>
        </w:r>
        <w:r w:rsidRPr="00E55DB1">
          <w:rPr>
            <w:rStyle w:val="Hyperlink"/>
            <w:rFonts w:cs="Arial"/>
            <w:color w:val="auto"/>
            <w:sz w:val="18"/>
            <w:szCs w:val="18"/>
            <w:u w:val="none"/>
          </w:rPr>
          <w:t>partII</w:t>
        </w:r>
        <w:r>
          <w:rPr>
            <w:rStyle w:val="Hyperlink"/>
            <w:rFonts w:cs="Arial"/>
            <w:color w:val="auto"/>
            <w:sz w:val="18"/>
            <w:szCs w:val="18"/>
            <w:u w:val="none"/>
          </w:rPr>
          <w:t>-</w:t>
        </w:r>
        <w:r w:rsidRPr="00E55DB1">
          <w:rPr>
            <w:rStyle w:val="Hyperlink"/>
            <w:rFonts w:cs="Arial"/>
            <w:color w:val="auto"/>
            <w:sz w:val="18"/>
            <w:szCs w:val="18"/>
            <w:u w:val="none"/>
          </w:rPr>
          <w:t>chap14</w:t>
        </w:r>
        <w:r>
          <w:rPr>
            <w:rStyle w:val="Hyperlink"/>
            <w:rFonts w:cs="Arial"/>
            <w:color w:val="auto"/>
            <w:sz w:val="18"/>
            <w:szCs w:val="18"/>
            <w:u w:val="none"/>
          </w:rPr>
          <w:t>-</w:t>
        </w:r>
        <w:r w:rsidRPr="00E55DB1">
          <w:rPr>
            <w:rStyle w:val="Hyperlink"/>
            <w:rFonts w:cs="Arial"/>
            <w:color w:val="auto"/>
            <w:sz w:val="18"/>
            <w:szCs w:val="18"/>
            <w:u w:val="none"/>
          </w:rPr>
          <w:t>sec151.pdf</w:t>
        </w:r>
      </w:hyperlink>
      <w:r w:rsidRPr="00E55DB1">
        <w:rPr>
          <w:rFonts w:cs="Arial"/>
          <w:sz w:val="18"/>
          <w:szCs w:val="18"/>
        </w:rPr>
        <w:t xml:space="preserve"> et à l</w:t>
      </w:r>
      <w:r>
        <w:rPr>
          <w:rFonts w:cs="Arial"/>
          <w:sz w:val="18"/>
          <w:szCs w:val="18"/>
        </w:rPr>
        <w:t>’</w:t>
      </w:r>
      <w:r w:rsidRPr="00E55DB1">
        <w:rPr>
          <w:rFonts w:cs="Arial"/>
          <w:sz w:val="18"/>
          <w:szCs w:val="18"/>
        </w:rPr>
        <w:t>article 122.b)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w:t>
      </w:r>
      <w:r w:rsidRPr="00E55DB1">
        <w:rPr>
          <w:rFonts w:cs="Arial"/>
          <w:sz w:val="18"/>
          <w:szCs w:val="18"/>
          <w:lang w:eastAsia="en-US"/>
        </w:rPr>
        <w:t xml:space="preserve"> – Caractère confidentiel des demandes;  publication des demandes de brevet, disponible à l</w:t>
      </w:r>
      <w:r>
        <w:rPr>
          <w:rFonts w:cs="Arial"/>
          <w:sz w:val="18"/>
          <w:szCs w:val="18"/>
          <w:lang w:eastAsia="en-US"/>
        </w:rPr>
        <w:t>’</w:t>
      </w:r>
      <w:r w:rsidRPr="00E55DB1">
        <w:rPr>
          <w:rFonts w:cs="Arial"/>
          <w:sz w:val="18"/>
          <w:szCs w:val="18"/>
          <w:lang w:eastAsia="en-US"/>
        </w:rPr>
        <w:t xml:space="preserve">adresse </w:t>
      </w:r>
      <w:hyperlink r:id="rId15" w:history="1">
        <w:r w:rsidRPr="00E55DB1">
          <w:rPr>
            <w:rStyle w:val="Hyperlink"/>
            <w:rFonts w:cs="Arial"/>
            <w:color w:val="auto"/>
            <w:sz w:val="18"/>
            <w:szCs w:val="18"/>
            <w:u w:val="none"/>
            <w:lang w:eastAsia="en-US"/>
          </w:rPr>
          <w:t>https://www.gpo.gov/fdsys/pkg/USCODE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title35/pdf/USCODE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partII</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chap11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sec122.pdf</w:t>
        </w:r>
      </w:hyperlink>
      <w:r w:rsidRPr="00E55DB1">
        <w:rPr>
          <w:rFonts w:cs="Arial"/>
          <w:sz w:val="18"/>
          <w:szCs w:val="18"/>
          <w:lang w:eastAsia="en-US"/>
        </w:rPr>
        <w:t xml:space="preserve">.  </w:t>
      </w:r>
    </w:p>
  </w:footnote>
  <w:footnote w:id="115">
    <w:p w:rsidR="00E104D3" w:rsidRPr="00E55DB1" w:rsidRDefault="00E104D3"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w:t>
      </w:r>
      <w:r>
        <w:rPr>
          <w:rFonts w:cs="Arial"/>
          <w:noProof/>
          <w:sz w:val="18"/>
          <w:szCs w:val="18"/>
        </w:rPr>
        <w:t> :</w:t>
      </w:r>
      <w:r w:rsidRPr="00E55DB1">
        <w:rPr>
          <w:rFonts w:cs="Arial"/>
          <w:noProof/>
          <w:sz w:val="18"/>
          <w:szCs w:val="18"/>
        </w:rPr>
        <w:t xml:space="preserve"> “Sont protégés comme des œuvres originales, sans préjudice des droits de l</w:t>
      </w:r>
      <w:r>
        <w:rPr>
          <w:rFonts w:cs="Arial"/>
          <w:noProof/>
          <w:sz w:val="18"/>
          <w:szCs w:val="18"/>
        </w:rPr>
        <w:t>’</w:t>
      </w:r>
      <w:r w:rsidRPr="00E55DB1">
        <w:rPr>
          <w:rFonts w:cs="Arial"/>
          <w:noProof/>
          <w:sz w:val="18"/>
          <w:szCs w:val="18"/>
        </w:rPr>
        <w:t>auteur de l</w:t>
      </w:r>
      <w:r>
        <w:rPr>
          <w:rFonts w:cs="Arial"/>
          <w:noProof/>
          <w:sz w:val="18"/>
          <w:szCs w:val="18"/>
        </w:rPr>
        <w:t>’</w:t>
      </w:r>
      <w:r w:rsidRPr="00E55DB1">
        <w:rPr>
          <w:rFonts w:cs="Arial"/>
          <w:noProof/>
          <w:sz w:val="18"/>
          <w:szCs w:val="18"/>
        </w:rPr>
        <w:t>œuvre originale, les traductions, adaptations, arrangements de musique et autres transformations d</w:t>
      </w:r>
      <w:r>
        <w:rPr>
          <w:rFonts w:cs="Arial"/>
          <w:noProof/>
          <w:sz w:val="18"/>
          <w:szCs w:val="18"/>
        </w:rPr>
        <w:t>’</w:t>
      </w:r>
      <w:r w:rsidRPr="00E55DB1">
        <w:rPr>
          <w:rFonts w:cs="Arial"/>
          <w:noProof/>
          <w:sz w:val="18"/>
          <w:szCs w:val="18"/>
        </w:rPr>
        <w:t>une œuvre littéraire ou artistique”.</w:t>
      </w:r>
    </w:p>
  </w:footnote>
  <w:footnote w:id="116">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w:t>
      </w:r>
      <w:r>
        <w:rPr>
          <w:rFonts w:cs="Arial"/>
          <w:noProof/>
          <w:sz w:val="18"/>
          <w:szCs w:val="18"/>
          <w:lang w:eastAsia="en-US"/>
        </w:rPr>
        <w:t>’</w:t>
      </w:r>
      <w:r w:rsidRPr="00E55DB1">
        <w:rPr>
          <w:rFonts w:cs="Arial"/>
          <w:noProof/>
          <w:sz w:val="18"/>
          <w:szCs w:val="18"/>
          <w:lang w:eastAsia="en-US"/>
        </w:rPr>
        <w:t>auteur et les droits connexes administrés par l</w:t>
      </w:r>
      <w:r>
        <w:rPr>
          <w:rFonts w:cs="Arial"/>
          <w:noProof/>
          <w:sz w:val="18"/>
          <w:szCs w:val="18"/>
          <w:lang w:eastAsia="en-US"/>
        </w:rPr>
        <w:t>’</w:t>
      </w:r>
      <w:r w:rsidRPr="00E55DB1">
        <w:rPr>
          <w:rFonts w:cs="Arial"/>
          <w:noProof/>
          <w:sz w:val="18"/>
          <w:szCs w:val="18"/>
          <w:lang w:eastAsia="en-US"/>
        </w:rPr>
        <w:t>OMPI et Glossaire du droit d</w:t>
      </w:r>
      <w:r>
        <w:rPr>
          <w:rFonts w:cs="Arial"/>
          <w:noProof/>
          <w:sz w:val="18"/>
          <w:szCs w:val="18"/>
          <w:lang w:eastAsia="en-US"/>
        </w:rPr>
        <w:t>’</w:t>
      </w:r>
      <w:r w:rsidRPr="00E55DB1">
        <w:rPr>
          <w:rFonts w:cs="Arial"/>
          <w:noProof/>
          <w:sz w:val="18"/>
          <w:szCs w:val="18"/>
          <w:lang w:eastAsia="en-US"/>
        </w:rPr>
        <w:t>auteur et des droits connexes, OMPI</w:t>
      </w:r>
      <w:r w:rsidRPr="00E55DB1">
        <w:rPr>
          <w:rFonts w:cs="Arial"/>
          <w:noProof/>
          <w:sz w:val="18"/>
          <w:szCs w:val="18"/>
        </w:rPr>
        <w:t>.</w:t>
      </w:r>
    </w:p>
  </w:footnote>
  <w:footnote w:id="117">
    <w:p w:rsidR="00E104D3" w:rsidRPr="00E55DB1" w:rsidRDefault="00E104D3"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w:t>
      </w:r>
      <w:r>
        <w:rPr>
          <w:rFonts w:cs="Arial"/>
          <w:noProof/>
          <w:sz w:val="18"/>
          <w:szCs w:val="18"/>
        </w:rPr>
        <w:t>’</w:t>
      </w:r>
      <w:r w:rsidRPr="00E55DB1">
        <w:rPr>
          <w:rFonts w:cs="Arial"/>
          <w:noProof/>
          <w:sz w:val="18"/>
          <w:szCs w:val="18"/>
        </w:rPr>
        <w:t>Accord sur les ADPIC et article 6 du Traité sur le droit d</w:t>
      </w:r>
      <w:r>
        <w:rPr>
          <w:rFonts w:cs="Arial"/>
          <w:noProof/>
          <w:sz w:val="18"/>
          <w:szCs w:val="18"/>
        </w:rPr>
        <w:t>’</w:t>
      </w:r>
      <w:r w:rsidRPr="00E55DB1">
        <w:rPr>
          <w:rFonts w:cs="Arial"/>
          <w:noProof/>
          <w:sz w:val="18"/>
          <w:szCs w:val="18"/>
        </w:rPr>
        <w:t>auteur.</w:t>
      </w:r>
    </w:p>
  </w:footnote>
  <w:footnote w:id="118">
    <w:p w:rsidR="00E104D3" w:rsidRPr="00E55DB1" w:rsidRDefault="00E104D3"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E104D3" w:rsidRPr="00E55DB1" w:rsidRDefault="00E104D3"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w:t>
      </w:r>
      <w:r>
        <w:rPr>
          <w:rFonts w:cs="Arial"/>
          <w:noProof/>
          <w:sz w:val="18"/>
          <w:szCs w:val="18"/>
        </w:rPr>
        <w:t> :</w:t>
      </w:r>
      <w:r w:rsidRPr="00E55DB1">
        <w:rPr>
          <w:rFonts w:cs="Arial"/>
          <w:noProof/>
          <w:sz w:val="18"/>
          <w:szCs w:val="18"/>
        </w:rPr>
        <w:t xml:space="preserve">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E104D3" w:rsidRPr="00E55DB1" w:rsidRDefault="00E104D3"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E104D3" w:rsidRPr="00E55DB1" w:rsidRDefault="00E104D3"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du PNUE (Glossary of Terms for Negotiators of Multilateral Environmental Agreements), page 49, disponible à l</w:t>
      </w:r>
      <w:r>
        <w:rPr>
          <w:rFonts w:cs="Arial"/>
          <w:noProof/>
          <w:sz w:val="18"/>
          <w:szCs w:val="18"/>
          <w:lang w:val="en-US"/>
        </w:rPr>
        <w:t>’</w:t>
      </w:r>
      <w:r w:rsidRPr="00E55DB1">
        <w:rPr>
          <w:rFonts w:cs="Arial"/>
          <w:noProof/>
          <w:sz w:val="18"/>
          <w:szCs w:val="18"/>
          <w:lang w:val="en-US"/>
        </w:rPr>
        <w:t xml:space="preserve">adresse </w:t>
      </w:r>
      <w:hyperlink r:id="rId16" w:history="1">
        <w:r w:rsidRPr="00E55DB1">
          <w:rPr>
            <w:rStyle w:val="Hyperlink"/>
            <w:rFonts w:cs="Arial"/>
            <w:noProof/>
            <w:color w:val="auto"/>
            <w:sz w:val="18"/>
            <w:szCs w:val="18"/>
            <w:u w:val="none"/>
            <w:lang w:val="en-US"/>
          </w:rPr>
          <w:t>http://wedocs.unep.org/handle/20.500.11822/7569</w:t>
        </w:r>
      </w:hyperlink>
      <w:r w:rsidRPr="00E55DB1">
        <w:rPr>
          <w:rFonts w:cs="Arial"/>
          <w:noProof/>
          <w:sz w:val="18"/>
          <w:szCs w:val="18"/>
          <w:lang w:val="en-US"/>
        </w:rPr>
        <w:t>.</w:t>
      </w:r>
    </w:p>
  </w:footnote>
  <w:footnote w:id="123">
    <w:p w:rsidR="00E104D3" w:rsidRPr="00E55DB1" w:rsidRDefault="00E104D3"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w:t>
      </w:r>
      <w:r>
        <w:rPr>
          <w:rFonts w:cs="Arial"/>
          <w:noProof/>
          <w:sz w:val="18"/>
          <w:szCs w:val="18"/>
          <w:lang w:val="en-US"/>
        </w:rPr>
        <w:t> :</w:t>
      </w:r>
      <w:r w:rsidRPr="00E55DB1">
        <w:rPr>
          <w:rFonts w:cs="Arial"/>
          <w:noProof/>
          <w:sz w:val="18"/>
          <w:szCs w:val="18"/>
          <w:lang w:val="en-US"/>
        </w:rPr>
        <w:t xml:space="preserve"> Key Principles in Implementing ILO Convention n° 169 (2008).</w:t>
      </w:r>
    </w:p>
  </w:footnote>
  <w:footnote w:id="124">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[Cette note fait partie de la définition] La Convention n° 169 de l</w:t>
      </w:r>
      <w:r>
        <w:rPr>
          <w:rFonts w:cs="Arial"/>
          <w:noProof/>
          <w:sz w:val="18"/>
          <w:szCs w:val="18"/>
        </w:rPr>
        <w:t>’</w:t>
      </w:r>
      <w:r w:rsidRPr="00E55DB1">
        <w:rPr>
          <w:rFonts w:cs="Arial"/>
          <w:noProof/>
          <w:sz w:val="18"/>
          <w:szCs w:val="18"/>
        </w:rPr>
        <w:t xml:space="preserve">Organisation internationale du Travail concernant les peuples indigènes et tribaux (1989), la Déclaration des </w:t>
      </w:r>
      <w:r>
        <w:rPr>
          <w:rFonts w:cs="Arial"/>
          <w:noProof/>
          <w:sz w:val="18"/>
          <w:szCs w:val="18"/>
        </w:rPr>
        <w:t>Nations Unies</w:t>
      </w:r>
      <w:r w:rsidRPr="00E55DB1">
        <w:rPr>
          <w:rFonts w:cs="Arial"/>
          <w:noProof/>
          <w:sz w:val="18"/>
          <w:szCs w:val="18"/>
        </w:rPr>
        <w:t xml:space="preserve"> sur les droits des peuples autochtones (2007), les Directives du Groupe des </w:t>
      </w:r>
      <w:r>
        <w:rPr>
          <w:rFonts w:cs="Arial"/>
          <w:noProof/>
          <w:sz w:val="18"/>
          <w:szCs w:val="18"/>
        </w:rPr>
        <w:t>Nations Unies</w:t>
      </w:r>
      <w:r w:rsidRPr="00E55DB1">
        <w:rPr>
          <w:rFonts w:cs="Arial"/>
          <w:noProof/>
          <w:sz w:val="18"/>
          <w:szCs w:val="18"/>
        </w:rPr>
        <w:t xml:space="preserve"> pour le développement sur les questions autochtones (2008), l</w:t>
      </w:r>
      <w:r>
        <w:rPr>
          <w:rFonts w:cs="Arial"/>
          <w:noProof/>
          <w:sz w:val="18"/>
          <w:szCs w:val="18"/>
        </w:rPr>
        <w:t>’</w:t>
      </w:r>
      <w:r w:rsidRPr="00E55DB1">
        <w:rPr>
          <w:rFonts w:cs="Arial"/>
          <w:noProof/>
          <w:sz w:val="18"/>
          <w:szCs w:val="18"/>
        </w:rPr>
        <w:t xml:space="preserve">Instance permanente des </w:t>
      </w:r>
      <w:r>
        <w:rPr>
          <w:rFonts w:cs="Arial"/>
          <w:noProof/>
          <w:sz w:val="18"/>
          <w:szCs w:val="18"/>
        </w:rPr>
        <w:t>Nations Unies</w:t>
      </w:r>
      <w:r w:rsidRPr="00E55DB1">
        <w:rPr>
          <w:rFonts w:cs="Arial"/>
          <w:noProof/>
          <w:sz w:val="18"/>
          <w:szCs w:val="18"/>
        </w:rPr>
        <w:t xml:space="preserve"> sur les questions autochtones (qui relève du Département des affaires économiques et sociales), le Groupe d</w:t>
      </w:r>
      <w:r>
        <w:rPr>
          <w:rFonts w:cs="Arial"/>
          <w:noProof/>
          <w:sz w:val="18"/>
          <w:szCs w:val="18"/>
        </w:rPr>
        <w:t>’</w:t>
      </w:r>
      <w:r w:rsidRPr="00E55DB1">
        <w:rPr>
          <w:rFonts w:cs="Arial"/>
          <w:noProof/>
          <w:sz w:val="18"/>
          <w:szCs w:val="18"/>
        </w:rPr>
        <w:t>appui interorganisations sur les questions autochtones et le Plan d</w:t>
      </w:r>
      <w:r>
        <w:rPr>
          <w:rFonts w:cs="Arial"/>
          <w:noProof/>
          <w:sz w:val="18"/>
          <w:szCs w:val="18"/>
        </w:rPr>
        <w:t>’</w:t>
      </w:r>
      <w:r w:rsidRPr="00E55DB1">
        <w:rPr>
          <w:rFonts w:cs="Arial"/>
          <w:noProof/>
          <w:sz w:val="18"/>
          <w:szCs w:val="18"/>
        </w:rPr>
        <w:t xml:space="preserve">action de la deuxième Décennie internationale des peuples autochtones déclarée par les </w:t>
      </w:r>
      <w:r>
        <w:rPr>
          <w:rFonts w:cs="Arial"/>
          <w:noProof/>
          <w:sz w:val="18"/>
          <w:szCs w:val="18"/>
        </w:rPr>
        <w:t>Nations Unies</w:t>
      </w:r>
      <w:r w:rsidRPr="00E55DB1">
        <w:rPr>
          <w:rFonts w:cs="Arial"/>
          <w:noProof/>
          <w:sz w:val="18"/>
          <w:szCs w:val="18"/>
        </w:rPr>
        <w:t xml:space="preserve"> (voir annexe I).  Les mêmes critères sont utilisés par la FAO dans sa politique concernant les peuples autochtones et tribaux </w:t>
      </w:r>
      <w:r w:rsidRPr="00E55DB1">
        <w:rPr>
          <w:rFonts w:cs="Arial"/>
          <w:iCs/>
          <w:noProof/>
          <w:sz w:val="18"/>
          <w:szCs w:val="18"/>
        </w:rPr>
        <w:t>(disponible à l</w:t>
      </w:r>
      <w:r>
        <w:rPr>
          <w:rFonts w:cs="Arial"/>
          <w:iCs/>
          <w:noProof/>
          <w:sz w:val="18"/>
          <w:szCs w:val="18"/>
        </w:rPr>
        <w:t>’</w:t>
      </w:r>
      <w:r w:rsidRPr="00E55DB1">
        <w:rPr>
          <w:rFonts w:cs="Arial"/>
          <w:iCs/>
          <w:noProof/>
          <w:sz w:val="18"/>
          <w:szCs w:val="18"/>
        </w:rPr>
        <w:t>adresse</w:t>
      </w:r>
      <w:r>
        <w:rPr>
          <w:rFonts w:cs="Arial"/>
          <w:iCs/>
          <w:noProof/>
          <w:sz w:val="18"/>
          <w:szCs w:val="18"/>
        </w:rPr>
        <w:t> </w:t>
      </w:r>
      <w:hyperlink r:id="rId17"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w:t>
      </w:r>
      <w:r w:rsidRPr="00E55DB1">
        <w:rPr>
          <w:rFonts w:cs="Arial"/>
          <w:noProof/>
          <w:sz w:val="18"/>
          <w:szCs w:val="18"/>
        </w:rPr>
        <w:t>adresse</w:t>
      </w:r>
      <w:r>
        <w:rPr>
          <w:rFonts w:cs="Arial"/>
          <w:noProof/>
          <w:sz w:val="18"/>
          <w:szCs w:val="18"/>
        </w:rPr>
        <w:t> </w:t>
      </w:r>
      <w:hyperlink r:id="rId18"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E104D3" w:rsidRPr="00E55DB1" w:rsidRDefault="00E104D3"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w:t>
      </w:r>
      <w:r w:rsidRPr="00E55DB1">
        <w:rPr>
          <w:rFonts w:cs="Arial"/>
          <w:noProof/>
          <w:sz w:val="18"/>
          <w:szCs w:val="18"/>
        </w:rPr>
        <w:t>adresse</w:t>
      </w:r>
      <w:r>
        <w:rPr>
          <w:rFonts w:cs="Arial"/>
          <w:noProof/>
          <w:sz w:val="18"/>
          <w:szCs w:val="18"/>
        </w:rPr>
        <w:t> </w:t>
      </w:r>
      <w:hyperlink r:id="rId19" w:history="1">
        <w:r w:rsidRPr="00E55DB1">
          <w:rPr>
            <w:rStyle w:val="Hyperlink"/>
            <w:rFonts w:cs="Arial"/>
            <w:noProof/>
            <w:color w:val="auto"/>
            <w:sz w:val="18"/>
            <w:szCs w:val="18"/>
            <w:u w:val="none"/>
          </w:rPr>
          <w:t>http://www.undp.org/content/undp/en/home/librarypage/environment</w:t>
        </w:r>
        <w:r>
          <w:rPr>
            <w:rStyle w:val="Hyperlink"/>
            <w:rFonts w:cs="Arial"/>
            <w:noProof/>
            <w:color w:val="auto"/>
            <w:sz w:val="18"/>
            <w:szCs w:val="18"/>
            <w:u w:val="none"/>
          </w:rPr>
          <w:t>-</w:t>
        </w:r>
        <w:r w:rsidRPr="00E55DB1">
          <w:rPr>
            <w:rStyle w:val="Hyperlink"/>
            <w:rFonts w:cs="Arial"/>
            <w:noProof/>
            <w:color w:val="auto"/>
            <w:sz w:val="18"/>
            <w:szCs w:val="18"/>
            <w:u w:val="none"/>
          </w:rPr>
          <w:t>energy/local_development/undp</w:t>
        </w:r>
        <w:r>
          <w:rPr>
            <w:rStyle w:val="Hyperlink"/>
            <w:rFonts w:cs="Arial"/>
            <w:noProof/>
            <w:color w:val="auto"/>
            <w:sz w:val="18"/>
            <w:szCs w:val="18"/>
            <w:u w:val="none"/>
          </w:rPr>
          <w:t>-</w:t>
        </w:r>
        <w:r w:rsidRPr="00E55DB1">
          <w:rPr>
            <w:rStyle w:val="Hyperlink"/>
            <w:rFonts w:cs="Arial"/>
            <w:noProof/>
            <w:color w:val="auto"/>
            <w:sz w:val="18"/>
            <w:szCs w:val="18"/>
            <w:u w:val="none"/>
          </w:rPr>
          <w:t>and</w:t>
        </w:r>
        <w:r>
          <w:rPr>
            <w:rStyle w:val="Hyperlink"/>
            <w:rFonts w:cs="Arial"/>
            <w:noProof/>
            <w:color w:val="auto"/>
            <w:sz w:val="18"/>
            <w:szCs w:val="18"/>
            <w:u w:val="none"/>
          </w:rPr>
          <w:t>-</w:t>
        </w:r>
        <w:r w:rsidRPr="00E55DB1">
          <w:rPr>
            <w:rStyle w:val="Hyperlink"/>
            <w:rFonts w:cs="Arial"/>
            <w:noProof/>
            <w:color w:val="auto"/>
            <w:sz w:val="18"/>
            <w:szCs w:val="18"/>
            <w:u w:val="none"/>
          </w:rPr>
          <w:t>indigenous</w:t>
        </w:r>
        <w:r>
          <w:rPr>
            <w:rStyle w:val="Hyperlink"/>
            <w:rFonts w:cs="Arial"/>
            <w:noProof/>
            <w:color w:val="auto"/>
            <w:sz w:val="18"/>
            <w:szCs w:val="18"/>
            <w:u w:val="none"/>
          </w:rPr>
          <w:t>-</w:t>
        </w:r>
        <w:r w:rsidRPr="00E55DB1">
          <w:rPr>
            <w:rStyle w:val="Hyperlink"/>
            <w:rFonts w:cs="Arial"/>
            <w:noProof/>
            <w:color w:val="auto"/>
            <w:sz w:val="18"/>
            <w:szCs w:val="18"/>
            <w:u w:val="none"/>
          </w:rPr>
          <w:t>peoples</w:t>
        </w:r>
        <w:r>
          <w:rPr>
            <w:rStyle w:val="Hyperlink"/>
            <w:rFonts w:cs="Arial"/>
            <w:noProof/>
            <w:color w:val="auto"/>
            <w:sz w:val="18"/>
            <w:szCs w:val="18"/>
            <w:u w:val="none"/>
          </w:rPr>
          <w:t>-</w:t>
        </w:r>
        <w:r w:rsidRPr="00E55DB1">
          <w:rPr>
            <w:rStyle w:val="Hyperlink"/>
            <w:rFonts w:cs="Arial"/>
            <w:noProof/>
            <w:color w:val="auto"/>
            <w:sz w:val="18"/>
            <w:szCs w:val="18"/>
            <w:u w:val="none"/>
          </w:rPr>
          <w:t>a</w:t>
        </w:r>
        <w:r>
          <w:rPr>
            <w:rStyle w:val="Hyperlink"/>
            <w:rFonts w:cs="Arial"/>
            <w:noProof/>
            <w:color w:val="auto"/>
            <w:sz w:val="18"/>
            <w:szCs w:val="18"/>
            <w:u w:val="none"/>
          </w:rPr>
          <w:t>-</w:t>
        </w:r>
        <w:r w:rsidRPr="00E55DB1">
          <w:rPr>
            <w:rStyle w:val="Hyperlink"/>
            <w:rFonts w:cs="Arial"/>
            <w:noProof/>
            <w:color w:val="auto"/>
            <w:sz w:val="18"/>
            <w:szCs w:val="18"/>
            <w:u w:val="none"/>
          </w:rPr>
          <w:t>policy</w:t>
        </w:r>
        <w:r>
          <w:rPr>
            <w:rStyle w:val="Hyperlink"/>
            <w:rFonts w:cs="Arial"/>
            <w:noProof/>
            <w:color w:val="auto"/>
            <w:sz w:val="18"/>
            <w:szCs w:val="18"/>
            <w:u w:val="none"/>
          </w:rPr>
          <w:t>-</w:t>
        </w:r>
        <w:r w:rsidRPr="00E55DB1">
          <w:rPr>
            <w:rStyle w:val="Hyperlink"/>
            <w:rFonts w:cs="Arial"/>
            <w:noProof/>
            <w:color w:val="auto"/>
            <w:sz w:val="18"/>
            <w:szCs w:val="18"/>
            <w:u w:val="none"/>
          </w:rPr>
          <w:t>of</w:t>
        </w:r>
        <w:r>
          <w:rPr>
            <w:rStyle w:val="Hyperlink"/>
            <w:rFonts w:cs="Arial"/>
            <w:noProof/>
            <w:color w:val="auto"/>
            <w:sz w:val="18"/>
            <w:szCs w:val="18"/>
            <w:u w:val="none"/>
          </w:rPr>
          <w:t>-</w:t>
        </w:r>
        <w:r w:rsidRPr="00E55DB1">
          <w:rPr>
            <w:rStyle w:val="Hyperlink"/>
            <w:rFonts w:cs="Arial"/>
            <w:noProof/>
            <w:color w:val="auto"/>
            <w:sz w:val="18"/>
            <w:szCs w:val="18"/>
            <w:u w:val="none"/>
          </w:rPr>
          <w:t>engagement.html</w:t>
        </w:r>
      </w:hyperlink>
      <w:r w:rsidRPr="00E55DB1">
        <w:rPr>
          <w:rFonts w:cs="Arial"/>
          <w:noProof/>
          <w:sz w:val="18"/>
          <w:szCs w:val="18"/>
        </w:rPr>
        <w:t>.</w:t>
      </w:r>
    </w:p>
  </w:footnote>
  <w:footnote w:id="127">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t>-</w:t>
      </w:r>
      <w:r w:rsidRPr="00E55DB1">
        <w:rPr>
          <w:rFonts w:cs="Arial"/>
          <w:noProof/>
          <w:sz w:val="18"/>
          <w:szCs w:val="18"/>
        </w:rPr>
        <w:t xml:space="preserve">commission des </w:t>
      </w:r>
      <w:r>
        <w:rPr>
          <w:rFonts w:cs="Arial"/>
          <w:noProof/>
          <w:sz w:val="18"/>
          <w:szCs w:val="18"/>
        </w:rPr>
        <w:t>Nations Unies</w:t>
      </w:r>
      <w:r w:rsidRPr="00E55DB1">
        <w:rPr>
          <w:rFonts w:cs="Arial"/>
          <w:noProof/>
          <w:sz w:val="18"/>
          <w:szCs w:val="18"/>
        </w:rPr>
        <w:t xml:space="preserve"> pour la prévention de la discrimination </w:t>
      </w:r>
      <w:r>
        <w:rPr>
          <w:rFonts w:cs="Arial"/>
          <w:noProof/>
          <w:sz w:val="18"/>
          <w:szCs w:val="18"/>
        </w:rPr>
        <w:t>à l’égard</w:t>
      </w:r>
      <w:r w:rsidRPr="00E55DB1">
        <w:rPr>
          <w:rFonts w:cs="Arial"/>
          <w:noProof/>
          <w:sz w:val="18"/>
          <w:szCs w:val="18"/>
        </w:rPr>
        <w:t xml:space="preserve"> des minorités et protection des minorités et son Étude du problème de la discrimination </w:t>
      </w:r>
      <w:r>
        <w:rPr>
          <w:rFonts w:cs="Arial"/>
          <w:noProof/>
          <w:sz w:val="18"/>
          <w:szCs w:val="18"/>
        </w:rPr>
        <w:t>à l’égard</w:t>
      </w:r>
      <w:r w:rsidRPr="00E55DB1">
        <w:rPr>
          <w:rFonts w:cs="Arial"/>
          <w:noProof/>
          <w:sz w:val="18"/>
          <w:szCs w:val="18"/>
        </w:rPr>
        <w:t xml:space="preserve"> des populations autochtones, document E/CN.4/Sub.2/1986/7/Add.4, paragraphe 379 (1986).</w:t>
      </w:r>
    </w:p>
  </w:footnote>
  <w:footnote w:id="128">
    <w:p w:rsidR="00E104D3" w:rsidRPr="00E55DB1" w:rsidRDefault="00E104D3"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Customary Law, Traditional Knowledge and Intellectual Property</w:t>
      </w:r>
      <w:r>
        <w:rPr>
          <w:rFonts w:cs="Arial"/>
          <w:noProof/>
          <w:sz w:val="18"/>
          <w:szCs w:val="18"/>
          <w:lang w:val="en-US"/>
        </w:rPr>
        <w:t>:</w:t>
      </w:r>
      <w:r w:rsidRPr="00E55DB1">
        <w:rPr>
          <w:rFonts w:cs="Arial"/>
          <w:noProof/>
          <w:sz w:val="18"/>
          <w:szCs w:val="18"/>
          <w:lang w:val="en-US"/>
        </w:rPr>
        <w:t xml:space="preserve">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E104D3" w:rsidRPr="00E55DB1" w:rsidRDefault="00E104D3"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w:t>
      </w:r>
      <w:r>
        <w:rPr>
          <w:rFonts w:cs="Arial"/>
          <w:noProof/>
          <w:sz w:val="18"/>
          <w:szCs w:val="18"/>
        </w:rPr>
        <w:t>’</w:t>
      </w:r>
      <w:r w:rsidRPr="00E55DB1">
        <w:rPr>
          <w:rFonts w:cs="Arial"/>
          <w:noProof/>
          <w:sz w:val="18"/>
          <w:szCs w:val="18"/>
        </w:rPr>
        <w:t>annexe I du document WIPO/GRTKF/IC/</w:t>
      </w:r>
      <w:r>
        <w:rPr>
          <w:rFonts w:cs="Arial"/>
          <w:noProof/>
          <w:sz w:val="18"/>
          <w:szCs w:val="18"/>
        </w:rPr>
        <w:t>38/6</w:t>
      </w:r>
      <w:r w:rsidRPr="00E55DB1">
        <w:rPr>
          <w:rFonts w:cs="Arial"/>
          <w:noProof/>
          <w:sz w:val="18"/>
          <w:szCs w:val="18"/>
        </w:rPr>
        <w:t xml:space="preserve"> intitulé “Protection des savoirs traditionnels</w:t>
      </w:r>
      <w:r>
        <w:rPr>
          <w:rFonts w:cs="Arial"/>
          <w:noProof/>
          <w:sz w:val="18"/>
          <w:szCs w:val="18"/>
        </w:rPr>
        <w:t> :</w:t>
      </w:r>
      <w:r w:rsidRPr="00E55DB1">
        <w:rPr>
          <w:rFonts w:cs="Arial"/>
          <w:noProof/>
          <w:sz w:val="18"/>
          <w:szCs w:val="18"/>
        </w:rPr>
        <w:t xml:space="preserve"> projet</w:t>
      </w:r>
      <w:r>
        <w:rPr>
          <w:rFonts w:cs="Arial"/>
          <w:noProof/>
          <w:sz w:val="18"/>
          <w:szCs w:val="18"/>
        </w:rPr>
        <w:t xml:space="preserve"> actualisé</w:t>
      </w:r>
      <w:r w:rsidRPr="00E55DB1">
        <w:rPr>
          <w:rFonts w:cs="Arial"/>
          <w:noProof/>
          <w:sz w:val="18"/>
          <w:szCs w:val="18"/>
        </w:rPr>
        <w:t xml:space="preserve"> d</w:t>
      </w:r>
      <w:r>
        <w:rPr>
          <w:rFonts w:cs="Arial"/>
          <w:noProof/>
          <w:sz w:val="18"/>
          <w:szCs w:val="18"/>
        </w:rPr>
        <w:t>’</w:t>
      </w:r>
      <w:r w:rsidRPr="00E55DB1">
        <w:rPr>
          <w:rFonts w:cs="Arial"/>
          <w:noProof/>
          <w:sz w:val="18"/>
          <w:szCs w:val="18"/>
        </w:rPr>
        <w:t>analyse des lacunes y relatives</w:t>
      </w:r>
      <w:r>
        <w:rPr>
          <w:rFonts w:cs="Arial"/>
          <w:noProof/>
          <w:sz w:val="18"/>
          <w:szCs w:val="18"/>
        </w:rPr>
        <w:t> :</w:t>
      </w:r>
      <w:r w:rsidRPr="00E55DB1">
        <w:rPr>
          <w:rFonts w:cs="Arial"/>
          <w:noProof/>
          <w:sz w:val="18"/>
          <w:szCs w:val="18"/>
        </w:rPr>
        <w:t xml:space="preserve"> version révisée”.</w:t>
      </w:r>
    </w:p>
  </w:footnote>
  <w:footnote w:id="131">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w:t>
      </w:r>
      <w:r>
        <w:rPr>
          <w:rFonts w:cs="Arial"/>
          <w:noProof/>
          <w:sz w:val="18"/>
          <w:szCs w:val="18"/>
        </w:rPr>
        <w:t> :</w:t>
      </w:r>
      <w:r w:rsidRPr="00E55DB1">
        <w:rPr>
          <w:rFonts w:cs="Arial"/>
          <w:noProof/>
          <w:sz w:val="18"/>
          <w:szCs w:val="18"/>
        </w:rPr>
        <w:t xml:space="preserve"> projet de Principes directeurs de propriété intellectuelle applicables à l</w:t>
      </w:r>
      <w:r>
        <w:rPr>
          <w:rFonts w:cs="Arial"/>
          <w:noProof/>
          <w:sz w:val="18"/>
          <w:szCs w:val="18"/>
        </w:rPr>
        <w:t>’</w:t>
      </w:r>
      <w:r w:rsidRPr="00E55DB1">
        <w:rPr>
          <w:rFonts w:cs="Arial"/>
          <w:noProof/>
          <w:sz w:val="18"/>
          <w:szCs w:val="18"/>
        </w:rPr>
        <w:t>accès et au partage équitable des avantages).</w:t>
      </w:r>
    </w:p>
  </w:footnote>
  <w:footnote w:id="133">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w:t>
      </w:r>
      <w:r>
        <w:rPr>
          <w:rFonts w:cs="Arial"/>
          <w:noProof/>
          <w:sz w:val="18"/>
          <w:szCs w:val="18"/>
        </w:rPr>
        <w:t> :</w:t>
      </w:r>
      <w:r w:rsidRPr="00E55DB1">
        <w:rPr>
          <w:rFonts w:cs="Arial"/>
          <w:noProof/>
          <w:sz w:val="18"/>
          <w:szCs w:val="18"/>
        </w:rPr>
        <w:t xml:space="preserve"> projet de principes directeurs de propriété intellectuelle applicables à l</w:t>
      </w:r>
      <w:r>
        <w:rPr>
          <w:rFonts w:cs="Arial"/>
          <w:noProof/>
          <w:sz w:val="18"/>
          <w:szCs w:val="18"/>
        </w:rPr>
        <w:t>’</w:t>
      </w:r>
      <w:r w:rsidRPr="00E55DB1">
        <w:rPr>
          <w:rFonts w:cs="Arial"/>
          <w:noProof/>
          <w:sz w:val="18"/>
          <w:szCs w:val="18"/>
        </w:rPr>
        <w:t>accès et au partage équitable des avantages</w:t>
      </w:r>
      <w:r>
        <w:rPr>
          <w:rFonts w:cs="Arial"/>
          <w:noProof/>
          <w:sz w:val="18"/>
          <w:szCs w:val="18"/>
        </w:rPr>
        <w:t> :</w:t>
      </w:r>
      <w:r w:rsidRPr="00E55DB1">
        <w:rPr>
          <w:rFonts w:cs="Arial"/>
          <w:noProof/>
          <w:sz w:val="18"/>
          <w:szCs w:val="18"/>
        </w:rPr>
        <w:t xml:space="preserve"> version actualisée).</w:t>
      </w:r>
    </w:p>
  </w:footnote>
  <w:footnote w:id="135">
    <w:p w:rsidR="00E104D3" w:rsidRPr="00E55DB1" w:rsidRDefault="00E104D3"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E104D3" w:rsidRPr="00E55DB1" w:rsidRDefault="00E104D3"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w:t>
      </w:r>
      <w:r>
        <w:rPr>
          <w:rFonts w:cs="Arial"/>
          <w:noProof/>
          <w:sz w:val="18"/>
          <w:szCs w:val="18"/>
          <w:lang w:eastAsia="zh-CN"/>
        </w:rPr>
        <w:t>’</w:t>
      </w:r>
      <w:r w:rsidRPr="00E55DB1">
        <w:rPr>
          <w:rFonts w:cs="Arial"/>
          <w:noProof/>
          <w:sz w:val="18"/>
          <w:szCs w:val="18"/>
          <w:lang w:eastAsia="zh-CN"/>
        </w:rPr>
        <w:t>annexe.</w:t>
      </w:r>
    </w:p>
  </w:footnote>
  <w:footnote w:id="137">
    <w:p w:rsidR="00E104D3" w:rsidRPr="00E55DB1" w:rsidRDefault="00E104D3"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Jane Anderson, “Indigenous Knowledge/Traditional Knowledge and Intellectual Property”, Issues Paper, Centre for the Public Domain, Duke University, 2011, disponible à l</w:t>
      </w:r>
      <w:r>
        <w:rPr>
          <w:rFonts w:cs="Arial"/>
          <w:noProof/>
          <w:sz w:val="18"/>
          <w:szCs w:val="18"/>
          <w:lang w:val="en-US"/>
        </w:rPr>
        <w:t>’</w:t>
      </w:r>
      <w:r w:rsidRPr="00E55DB1">
        <w:rPr>
          <w:rFonts w:cs="Arial"/>
          <w:noProof/>
          <w:sz w:val="18"/>
          <w:szCs w:val="18"/>
          <w:lang w:val="en-US"/>
        </w:rPr>
        <w:t>adresse</w:t>
      </w:r>
      <w:r>
        <w:rPr>
          <w:rFonts w:cs="Arial"/>
          <w:noProof/>
          <w:sz w:val="18"/>
          <w:szCs w:val="18"/>
          <w:lang w:val="en-US"/>
        </w:rPr>
        <w:t> </w:t>
      </w:r>
      <w:hyperlink r:id="rId20" w:history="1">
        <w:r w:rsidRPr="00E55DB1">
          <w:rPr>
            <w:rStyle w:val="Hyperlink"/>
            <w:rFonts w:cs="Arial"/>
            <w:noProof/>
            <w:color w:val="auto"/>
            <w:sz w:val="18"/>
            <w:szCs w:val="18"/>
            <w:u w:val="none"/>
            <w:lang w:val="en-US"/>
          </w:rPr>
          <w:t>http://www.law.duke.edu/cspd/itkpaper</w:t>
        </w:r>
      </w:hyperlink>
      <w:r w:rsidRPr="00E55DB1">
        <w:rPr>
          <w:rFonts w:cs="Arial"/>
          <w:noProof/>
          <w:sz w:val="18"/>
          <w:szCs w:val="18"/>
          <w:lang w:val="en-US"/>
        </w:rPr>
        <w:t>.</w:t>
      </w:r>
    </w:p>
  </w:footnote>
  <w:footnote w:id="143">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w:t>
      </w:r>
      <w:r>
        <w:rPr>
          <w:rFonts w:cs="Arial"/>
          <w:noProof/>
          <w:sz w:val="18"/>
          <w:szCs w:val="18"/>
        </w:rPr>
        <w:t>’</w:t>
      </w:r>
      <w:r w:rsidRPr="00E55DB1">
        <w:rPr>
          <w:rFonts w:cs="Arial"/>
          <w:noProof/>
          <w:sz w:val="18"/>
          <w:szCs w:val="18"/>
        </w:rPr>
        <w:t>experts techniques et juridiques sur les connaissances traditionnelles associées aux ressources génétiques dans le contexte du régime international d</w:t>
      </w:r>
      <w:r>
        <w:rPr>
          <w:rFonts w:cs="Arial"/>
          <w:noProof/>
          <w:sz w:val="18"/>
          <w:szCs w:val="18"/>
        </w:rPr>
        <w:t>’</w:t>
      </w:r>
      <w:r w:rsidRPr="00E55DB1">
        <w:rPr>
          <w:rFonts w:cs="Arial"/>
          <w:noProof/>
          <w:sz w:val="18"/>
          <w:szCs w:val="18"/>
        </w:rPr>
        <w:t>accès et de partage des avantages”.</w:t>
      </w:r>
    </w:p>
  </w:footnote>
  <w:footnote w:id="144">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w:t>
      </w:r>
      <w:r>
        <w:rPr>
          <w:rFonts w:cs="Arial"/>
          <w:noProof/>
          <w:sz w:val="18"/>
          <w:szCs w:val="18"/>
          <w:lang w:val="en-US"/>
        </w:rPr>
        <w:t>:</w:t>
      </w:r>
      <w:r w:rsidRPr="00E55DB1">
        <w:rPr>
          <w:rFonts w:cs="Arial"/>
          <w:noProof/>
          <w:sz w:val="18"/>
          <w:szCs w:val="18"/>
          <w:lang w:val="en-US"/>
        </w:rPr>
        <w:t xml:space="preserve"> Rapport de l</w:t>
      </w:r>
      <w:r>
        <w:rPr>
          <w:rFonts w:cs="Arial"/>
          <w:noProof/>
          <w:sz w:val="18"/>
          <w:szCs w:val="18"/>
          <w:lang w:val="en-US"/>
        </w:rPr>
        <w:t>’</w:t>
      </w:r>
      <w:r w:rsidRPr="00E55DB1">
        <w:rPr>
          <w:rFonts w:cs="Arial"/>
          <w:noProof/>
          <w:sz w:val="18"/>
          <w:szCs w:val="18"/>
          <w:lang w:val="en-US"/>
        </w:rPr>
        <w:t>UNU IAS, janvier 2004, page 32.</w:t>
      </w:r>
    </w:p>
  </w:footnote>
  <w:footnote w:id="145">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16 de la loi n° 27811 établissant le Régime de protection des savoirs collectifs des peuples autochtones portant sur les ressources biologiques.  Cette loi est disponible à l</w:t>
      </w:r>
      <w:r>
        <w:rPr>
          <w:rFonts w:cs="Arial"/>
          <w:noProof/>
          <w:sz w:val="18"/>
          <w:szCs w:val="18"/>
        </w:rPr>
        <w:t>’adresse http</w:t>
      </w:r>
      <w:r w:rsidRPr="00E1729C">
        <w:rPr>
          <w:rStyle w:val="Hyperlink"/>
          <w:rFonts w:cs="Arial"/>
          <w:noProof/>
          <w:color w:val="auto"/>
          <w:sz w:val="18"/>
          <w:szCs w:val="18"/>
          <w:u w:val="none"/>
        </w:rPr>
        <w:t>s://www.wipo.int/wipolex/fr/details.jsp?id=3420</w:t>
      </w:r>
      <w:r w:rsidRPr="00E55DB1">
        <w:rPr>
          <w:rFonts w:cs="Arial"/>
          <w:noProof/>
          <w:sz w:val="18"/>
          <w:szCs w:val="18"/>
        </w:rPr>
        <w:t>.</w:t>
      </w:r>
    </w:p>
  </w:footnote>
  <w:footnote w:id="148">
    <w:p w:rsidR="00E104D3" w:rsidRPr="00E55DB1" w:rsidRDefault="00E104D3"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Dossier d</w:t>
      </w:r>
      <w:r>
        <w:rPr>
          <w:rFonts w:cs="Arial"/>
          <w:sz w:val="18"/>
          <w:szCs w:val="18"/>
        </w:rPr>
        <w:t>’</w:t>
      </w:r>
      <w:r w:rsidRPr="00E55DB1">
        <w:rPr>
          <w:rFonts w:cs="Arial"/>
          <w:sz w:val="18"/>
          <w:szCs w:val="18"/>
        </w:rPr>
        <w:t>information n° 8 de l</w:t>
      </w:r>
      <w:r>
        <w:rPr>
          <w:rFonts w:cs="Arial"/>
          <w:sz w:val="18"/>
          <w:szCs w:val="18"/>
        </w:rPr>
        <w:t>’</w:t>
      </w:r>
      <w:r w:rsidRPr="00E55DB1">
        <w:rPr>
          <w:rFonts w:cs="Arial"/>
          <w:sz w:val="18"/>
          <w:szCs w:val="18"/>
        </w:rPr>
        <w:t>OMPI</w:t>
      </w:r>
      <w:r>
        <w:rPr>
          <w:rFonts w:cs="Arial"/>
          <w:sz w:val="18"/>
          <w:szCs w:val="18"/>
        </w:rPr>
        <w:t> :</w:t>
      </w:r>
      <w:r w:rsidRPr="00E55DB1">
        <w:rPr>
          <w:rFonts w:cs="Arial"/>
          <w:sz w:val="18"/>
          <w:szCs w:val="18"/>
        </w:rPr>
        <w:t xml:space="preserve"> Le règlement extrajudiciaire des litiges portant sur la propriété intellectuelle et les savoirs traditionnels, les expressions culturelles traditionnelles et les ressources génétiques, consultable à l</w:t>
      </w:r>
      <w:r>
        <w:rPr>
          <w:rFonts w:cs="Arial"/>
          <w:sz w:val="18"/>
          <w:szCs w:val="18"/>
        </w:rPr>
        <w:t>’adresse http</w:t>
      </w:r>
      <w:r w:rsidRPr="00286DCE">
        <w:rPr>
          <w:rStyle w:val="Hyperlink"/>
          <w:rFonts w:cs="Arial"/>
          <w:color w:val="auto"/>
          <w:sz w:val="18"/>
          <w:szCs w:val="18"/>
          <w:u w:val="none"/>
        </w:rPr>
        <w:t>s://www.wipo.int/publications/fr/details.jsp?id=3877</w:t>
      </w:r>
      <w:r w:rsidRPr="00E55DB1">
        <w:rPr>
          <w:rFonts w:cs="Arial"/>
          <w:sz w:val="18"/>
          <w:szCs w:val="18"/>
        </w:rPr>
        <w:t xml:space="preserve">.  </w:t>
      </w:r>
    </w:p>
  </w:footnote>
  <w:footnote w:id="149">
    <w:p w:rsidR="00E104D3" w:rsidRPr="00E55DB1" w:rsidRDefault="00E104D3"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w:t>
      </w:r>
    </w:p>
  </w:footnote>
  <w:footnote w:id="150">
    <w:p w:rsidR="00E104D3" w:rsidRPr="00E55DB1" w:rsidRDefault="00E104D3"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E104D3" w:rsidRPr="00E55DB1" w:rsidRDefault="00E104D3"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E104D3" w:rsidRPr="00E55DB1" w:rsidRDefault="00E104D3"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w:t>
      </w:r>
      <w:r>
        <w:rPr>
          <w:rFonts w:cs="Arial"/>
          <w:noProof/>
          <w:sz w:val="18"/>
          <w:szCs w:val="18"/>
          <w:lang w:val="en-US"/>
        </w:rPr>
        <w:t>:</w:t>
      </w:r>
      <w:r w:rsidRPr="00E55DB1">
        <w:rPr>
          <w:rFonts w:cs="Arial"/>
          <w:noProof/>
          <w:sz w:val="18"/>
          <w:szCs w:val="18"/>
          <w:lang w:val="en-US"/>
        </w:rPr>
        <w:t xml:space="preserve"> the Protection of Sacred Intangible Traditional Knowledge, 11 Cardozo J. Int</w:t>
      </w:r>
      <w:r>
        <w:rPr>
          <w:rFonts w:cs="Arial"/>
          <w:noProof/>
          <w:sz w:val="18"/>
          <w:szCs w:val="18"/>
          <w:lang w:val="en-US"/>
        </w:rPr>
        <w:t>’</w:t>
      </w:r>
      <w:r w:rsidRPr="00E55DB1">
        <w:rPr>
          <w:rFonts w:cs="Arial"/>
          <w:noProof/>
          <w:sz w:val="18"/>
          <w:szCs w:val="18"/>
          <w:lang w:val="en-US"/>
        </w:rPr>
        <w:t>l &amp; Comp.  L. 467, 469 490 (2003).</w:t>
      </w:r>
    </w:p>
  </w:footnote>
  <w:footnote w:id="153">
    <w:p w:rsidR="00E104D3" w:rsidRPr="00E55DB1" w:rsidRDefault="00E104D3"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w:t>
      </w:r>
      <w:r>
        <w:rPr>
          <w:rFonts w:cs="Arial"/>
          <w:noProof/>
          <w:sz w:val="18"/>
          <w:szCs w:val="18"/>
          <w:lang w:val="en-US"/>
        </w:rPr>
        <w:t>:</w:t>
      </w:r>
      <w:r w:rsidRPr="00E55DB1">
        <w:rPr>
          <w:rFonts w:cs="Arial"/>
          <w:noProof/>
          <w:sz w:val="18"/>
          <w:szCs w:val="18"/>
          <w:lang w:val="en-US"/>
        </w:rPr>
        <w:t xml:space="preserve"> The Role of Intellectual Property Protection”, conservé dans les archives du Secrétariat.</w:t>
      </w:r>
    </w:p>
  </w:footnote>
  <w:footnote w:id="154">
    <w:p w:rsidR="00E104D3" w:rsidRPr="00E55DB1" w:rsidRDefault="00E104D3"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le Rapport de l</w:t>
      </w:r>
      <w:r>
        <w:rPr>
          <w:rFonts w:cs="Arial"/>
          <w:noProof/>
          <w:sz w:val="18"/>
          <w:szCs w:val="18"/>
          <w:lang w:eastAsia="zh-CN"/>
        </w:rPr>
        <w:t>’</w:t>
      </w:r>
      <w:r w:rsidRPr="00E55DB1">
        <w:rPr>
          <w:rFonts w:cs="Arial"/>
          <w:noProof/>
          <w:sz w:val="18"/>
          <w:szCs w:val="18"/>
          <w:lang w:eastAsia="zh-CN"/>
        </w:rPr>
        <w:t>OMPI sur les missions d</w:t>
      </w:r>
      <w:r>
        <w:rPr>
          <w:rFonts w:cs="Arial"/>
          <w:noProof/>
          <w:sz w:val="18"/>
          <w:szCs w:val="18"/>
          <w:lang w:eastAsia="zh-CN"/>
        </w:rPr>
        <w:t>’</w:t>
      </w:r>
      <w:r w:rsidRPr="00E55DB1">
        <w:rPr>
          <w:rFonts w:cs="Arial"/>
          <w:noProof/>
          <w:sz w:val="18"/>
          <w:szCs w:val="18"/>
          <w:lang w:eastAsia="zh-CN"/>
        </w:rPr>
        <w:t xml:space="preserve">enquête consacrées à la propriété intellectuelle et aux savoirs traditionnels </w:t>
      </w:r>
      <w:r w:rsidRPr="00E55DB1">
        <w:rPr>
          <w:rFonts w:cs="Arial"/>
          <w:noProof/>
          <w:sz w:val="18"/>
          <w:szCs w:val="18"/>
        </w:rPr>
        <w:t>(1998</w:t>
      </w:r>
      <w:r>
        <w:rPr>
          <w:rFonts w:cs="Arial"/>
          <w:noProof/>
          <w:sz w:val="18"/>
          <w:szCs w:val="18"/>
        </w:rPr>
        <w:t>-</w:t>
      </w:r>
      <w:r w:rsidRPr="00E55DB1">
        <w:rPr>
          <w:rFonts w:cs="Arial"/>
          <w:noProof/>
          <w:sz w:val="18"/>
          <w:szCs w:val="18"/>
        </w:rPr>
        <w:t>1999) intitulé “Savoirs traditionnels</w:t>
      </w:r>
      <w:r>
        <w:rPr>
          <w:rFonts w:cs="Arial"/>
          <w:noProof/>
          <w:sz w:val="18"/>
          <w:szCs w:val="18"/>
        </w:rPr>
        <w:t> :</w:t>
      </w:r>
      <w:r w:rsidRPr="00E55DB1">
        <w:rPr>
          <w:rFonts w:cs="Arial"/>
          <w:noProof/>
          <w:sz w:val="18"/>
          <w:szCs w:val="18"/>
        </w:rPr>
        <w:t xml:space="preserve"> besoins et attentes en matière de propriété intellectuelle”, page 171, disponible à l</w:t>
      </w:r>
      <w:r>
        <w:rPr>
          <w:rFonts w:cs="Arial"/>
          <w:noProof/>
          <w:sz w:val="18"/>
          <w:szCs w:val="18"/>
        </w:rPr>
        <w:t>’adresse http</w:t>
      </w:r>
      <w:r w:rsidRPr="00E1729C">
        <w:rPr>
          <w:rStyle w:val="Hyperlink"/>
          <w:rFonts w:cs="Arial"/>
          <w:color w:val="auto"/>
          <w:sz w:val="18"/>
          <w:szCs w:val="18"/>
          <w:u w:val="none"/>
        </w:rPr>
        <w:t>s://www.wipo.int/edocs/pubdocs/fr/tk/768/wipo_pub_768.pdf</w:t>
      </w:r>
      <w:r w:rsidRPr="00E55DB1">
        <w:rPr>
          <w:rFonts w:cs="Arial"/>
          <w:noProof/>
          <w:sz w:val="18"/>
          <w:szCs w:val="18"/>
        </w:rPr>
        <w:t>.</w:t>
      </w:r>
    </w:p>
  </w:footnote>
  <w:footnote w:id="155">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t>-</w:t>
      </w:r>
      <w:r w:rsidRPr="00E55DB1">
        <w:rPr>
          <w:rFonts w:cs="Arial"/>
          <w:noProof/>
          <w:sz w:val="18"/>
          <w:szCs w:val="18"/>
        </w:rPr>
        <w:t>Zélande durant la onz</w:t>
      </w:r>
      <w:r>
        <w:rPr>
          <w:rFonts w:cs="Arial"/>
          <w:noProof/>
          <w:sz w:val="18"/>
          <w:szCs w:val="18"/>
        </w:rPr>
        <w:t>ième session</w:t>
      </w:r>
      <w:r w:rsidRPr="00E55DB1">
        <w:rPr>
          <w:rFonts w:cs="Arial"/>
          <w:noProof/>
          <w:sz w:val="18"/>
          <w:szCs w:val="18"/>
        </w:rPr>
        <w:t xml:space="preserve"> du comité.  Voir le paragraphe 220 du rapport adopté durant la onz</w:t>
      </w:r>
      <w:r>
        <w:rPr>
          <w:rFonts w:cs="Arial"/>
          <w:noProof/>
          <w:sz w:val="18"/>
          <w:szCs w:val="18"/>
        </w:rPr>
        <w:t>ième session</w:t>
      </w:r>
      <w:r w:rsidRPr="00E55DB1">
        <w:rPr>
          <w:rFonts w:cs="Arial"/>
          <w:noProof/>
          <w:sz w:val="18"/>
          <w:szCs w:val="18"/>
        </w:rPr>
        <w:t xml:space="preserve"> (WIPO/GRTKF/IC/11/15).</w:t>
      </w:r>
    </w:p>
  </w:footnote>
  <w:footnote w:id="156">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w:t>
      </w:r>
      <w:r>
        <w:rPr>
          <w:rFonts w:cs="Arial"/>
          <w:noProof/>
          <w:sz w:val="18"/>
          <w:szCs w:val="18"/>
        </w:rPr>
        <w:t>ième session</w:t>
      </w:r>
      <w:r w:rsidRPr="00E55DB1">
        <w:rPr>
          <w:rFonts w:cs="Arial"/>
          <w:noProof/>
          <w:sz w:val="18"/>
          <w:szCs w:val="18"/>
        </w:rPr>
        <w:t xml:space="preserve"> du comité.  Voir le paragraphe 296 du rapport adopté durant la onz</w:t>
      </w:r>
      <w:r>
        <w:rPr>
          <w:rFonts w:cs="Arial"/>
          <w:noProof/>
          <w:sz w:val="18"/>
          <w:szCs w:val="18"/>
        </w:rPr>
        <w:t>ième session</w:t>
      </w:r>
      <w:r w:rsidRPr="00E55DB1">
        <w:rPr>
          <w:rFonts w:cs="Arial"/>
          <w:noProof/>
          <w:sz w:val="18"/>
          <w:szCs w:val="18"/>
        </w:rPr>
        <w:t xml:space="preserve"> (WIPO/GRTKF/IC/11/15).</w:t>
      </w:r>
    </w:p>
  </w:footnote>
  <w:footnote w:id="157">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w:t>
      </w:r>
      <w:r>
        <w:rPr>
          <w:rFonts w:cs="Arial"/>
          <w:noProof/>
          <w:sz w:val="18"/>
          <w:szCs w:val="18"/>
        </w:rPr>
        <w:t> :</w:t>
      </w:r>
      <w:r w:rsidRPr="00E55DB1">
        <w:rPr>
          <w:rFonts w:cs="Arial"/>
          <w:noProof/>
          <w:sz w:val="18"/>
          <w:szCs w:val="18"/>
        </w:rPr>
        <w:t xml:space="preserve"> projet d</w:t>
      </w:r>
      <w:r>
        <w:rPr>
          <w:rFonts w:cs="Arial"/>
          <w:noProof/>
          <w:sz w:val="18"/>
          <w:szCs w:val="18"/>
        </w:rPr>
        <w:t>’</w:t>
      </w:r>
      <w:r w:rsidRPr="00E55DB1">
        <w:rPr>
          <w:rFonts w:cs="Arial"/>
          <w:noProof/>
          <w:sz w:val="18"/>
          <w:szCs w:val="18"/>
        </w:rPr>
        <w:t>analyse des lacunes y relatives</w:t>
      </w:r>
      <w:r>
        <w:rPr>
          <w:rFonts w:cs="Arial"/>
          <w:noProof/>
          <w:sz w:val="18"/>
          <w:szCs w:val="18"/>
        </w:rPr>
        <w:t> :</w:t>
      </w:r>
      <w:r w:rsidRPr="00E55DB1">
        <w:rPr>
          <w:rFonts w:cs="Arial"/>
          <w:noProof/>
          <w:sz w:val="18"/>
          <w:szCs w:val="18"/>
        </w:rPr>
        <w:t xml:space="preserve"> version révisée (WIPO/GRTKF/IC/13/5(b) Rev.), page 23 de l</w:t>
      </w:r>
      <w:r>
        <w:rPr>
          <w:rFonts w:cs="Arial"/>
          <w:noProof/>
          <w:sz w:val="18"/>
          <w:szCs w:val="18"/>
        </w:rPr>
        <w:t>’</w:t>
      </w:r>
      <w:r w:rsidRPr="00E55DB1">
        <w:rPr>
          <w:rFonts w:cs="Arial"/>
          <w:noProof/>
          <w:sz w:val="18"/>
          <w:szCs w:val="18"/>
        </w:rPr>
        <w:t>annexe I, pages 11 et 16 de l</w:t>
      </w:r>
      <w:r>
        <w:rPr>
          <w:rFonts w:cs="Arial"/>
          <w:noProof/>
          <w:sz w:val="18"/>
          <w:szCs w:val="18"/>
        </w:rPr>
        <w:t>’</w:t>
      </w:r>
      <w:r w:rsidRPr="00E55DB1">
        <w:rPr>
          <w:rFonts w:cs="Arial"/>
          <w:noProof/>
          <w:sz w:val="18"/>
          <w:szCs w:val="18"/>
        </w:rPr>
        <w:t>annexe II.</w:t>
      </w:r>
    </w:p>
  </w:footnote>
  <w:footnote w:id="158">
    <w:p w:rsidR="00E104D3" w:rsidRPr="00E55DB1" w:rsidRDefault="00E104D3"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w:t>
      </w:r>
      <w:r>
        <w:rPr>
          <w:rFonts w:cs="Arial"/>
          <w:noProof/>
          <w:sz w:val="18"/>
          <w:szCs w:val="18"/>
        </w:rPr>
        <w:t>’</w:t>
      </w:r>
      <w:r w:rsidRPr="00E55DB1">
        <w:rPr>
          <w:rFonts w:cs="Arial"/>
          <w:noProof/>
          <w:sz w:val="18"/>
          <w:szCs w:val="18"/>
        </w:rPr>
        <w:t>OMPI sur les missions d</w:t>
      </w:r>
      <w:r>
        <w:rPr>
          <w:rFonts w:cs="Arial"/>
          <w:noProof/>
          <w:sz w:val="18"/>
          <w:szCs w:val="18"/>
        </w:rPr>
        <w:t>’</w:t>
      </w:r>
      <w:r w:rsidRPr="00E55DB1">
        <w:rPr>
          <w:rFonts w:cs="Arial"/>
          <w:noProof/>
          <w:sz w:val="18"/>
          <w:szCs w:val="18"/>
        </w:rPr>
        <w:t xml:space="preserve">enquête consacrées </w:t>
      </w:r>
      <w:r w:rsidRPr="00E55DB1">
        <w:rPr>
          <w:rFonts w:cs="Arial"/>
          <w:iCs/>
          <w:noProof/>
          <w:sz w:val="18"/>
          <w:szCs w:val="18"/>
        </w:rPr>
        <w:t>à la propriété intellectuelle et aux savoirs traditionnels (1998</w:t>
      </w:r>
      <w:r>
        <w:rPr>
          <w:rFonts w:cs="Arial"/>
          <w:iCs/>
          <w:noProof/>
          <w:sz w:val="18"/>
          <w:szCs w:val="18"/>
        </w:rPr>
        <w:t>-</w:t>
      </w:r>
      <w:r w:rsidRPr="00E55DB1">
        <w:rPr>
          <w:rFonts w:cs="Arial"/>
          <w:iCs/>
          <w:noProof/>
          <w:sz w:val="18"/>
          <w:szCs w:val="18"/>
        </w:rPr>
        <w:t>1999), intitulé “Savoirs traditionnels</w:t>
      </w:r>
      <w:r>
        <w:rPr>
          <w:rFonts w:cs="Arial"/>
          <w:iCs/>
          <w:noProof/>
          <w:sz w:val="18"/>
          <w:szCs w:val="18"/>
        </w:rPr>
        <w:t> :</w:t>
      </w:r>
      <w:r w:rsidRPr="00E55DB1">
        <w:rPr>
          <w:rFonts w:cs="Arial"/>
          <w:iCs/>
          <w:noProof/>
          <w:sz w:val="18"/>
          <w:szCs w:val="18"/>
        </w:rPr>
        <w:t xml:space="preserve">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w:t>
      </w:r>
      <w:r>
        <w:rPr>
          <w:rFonts w:cs="Arial"/>
          <w:noProof/>
          <w:sz w:val="18"/>
          <w:szCs w:val="18"/>
        </w:rPr>
        <w:t>’</w:t>
      </w:r>
      <w:r w:rsidRPr="00E55DB1">
        <w:rPr>
          <w:rFonts w:cs="Arial"/>
          <w:noProof/>
          <w:sz w:val="18"/>
          <w:szCs w:val="18"/>
        </w:rPr>
        <w:t>annexe du document WIPO/GRTKF/IC/17/INF/9 intitulé “Liste et explication technique succincte des différentes formes sous lesquelles les savoirs traditionnels peuvent se présenter”.</w:t>
      </w:r>
    </w:p>
  </w:footnote>
  <w:footnote w:id="159">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w:t>
      </w:r>
      <w:r>
        <w:rPr>
          <w:rFonts w:cs="Arial"/>
          <w:noProof/>
          <w:sz w:val="18"/>
          <w:szCs w:val="18"/>
        </w:rPr>
        <w:t>’</w:t>
      </w:r>
      <w:r w:rsidRPr="00E55DB1">
        <w:rPr>
          <w:rFonts w:cs="Arial"/>
          <w:noProof/>
          <w:sz w:val="18"/>
          <w:szCs w:val="18"/>
        </w:rPr>
        <w:t>OMPI sur les missions d</w:t>
      </w:r>
      <w:r>
        <w:rPr>
          <w:rFonts w:cs="Arial"/>
          <w:noProof/>
          <w:sz w:val="18"/>
          <w:szCs w:val="18"/>
        </w:rPr>
        <w:t>’</w:t>
      </w:r>
      <w:r w:rsidRPr="00E55DB1">
        <w:rPr>
          <w:rFonts w:cs="Arial"/>
          <w:noProof/>
          <w:sz w:val="18"/>
          <w:szCs w:val="18"/>
        </w:rPr>
        <w:t>enquête consacrées à la propriété intellectuelle et aux savoirs traditionnels (1998</w:t>
      </w:r>
      <w:r>
        <w:rPr>
          <w:rFonts w:cs="Arial"/>
          <w:noProof/>
          <w:sz w:val="18"/>
          <w:szCs w:val="18"/>
        </w:rPr>
        <w:t>-</w:t>
      </w:r>
      <w:r w:rsidRPr="00E55DB1">
        <w:rPr>
          <w:rFonts w:cs="Arial"/>
          <w:noProof/>
          <w:sz w:val="18"/>
          <w:szCs w:val="18"/>
        </w:rPr>
        <w:t>1999) intitulé “Savoirs traditionnels</w:t>
      </w:r>
      <w:r>
        <w:rPr>
          <w:rFonts w:cs="Arial"/>
          <w:noProof/>
          <w:sz w:val="18"/>
          <w:szCs w:val="18"/>
        </w:rPr>
        <w:t> :</w:t>
      </w:r>
      <w:r w:rsidRPr="00E55DB1">
        <w:rPr>
          <w:rFonts w:cs="Arial"/>
          <w:noProof/>
          <w:sz w:val="18"/>
          <w:szCs w:val="18"/>
        </w:rPr>
        <w:t xml:space="preserve"> besoins et attentes en matière de propriété intellectuelle”, page 25, disponible à l</w:t>
      </w:r>
      <w:r>
        <w:rPr>
          <w:rFonts w:cs="Arial"/>
          <w:noProof/>
          <w:sz w:val="18"/>
          <w:szCs w:val="18"/>
        </w:rPr>
        <w:t>’adresse http</w:t>
      </w:r>
      <w:r w:rsidRPr="00E1729C">
        <w:rPr>
          <w:rStyle w:val="Hyperlink"/>
          <w:rFonts w:cs="Arial"/>
          <w:noProof/>
          <w:color w:val="auto"/>
          <w:sz w:val="18"/>
          <w:szCs w:val="18"/>
          <w:u w:val="none"/>
        </w:rPr>
        <w:t>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w:t>
      </w:r>
      <w:r>
        <w:rPr>
          <w:rFonts w:cs="Arial"/>
          <w:noProof/>
          <w:sz w:val="18"/>
          <w:szCs w:val="18"/>
        </w:rPr>
        <w:t>’</w:t>
      </w:r>
      <w:r w:rsidRPr="00E55DB1">
        <w:rPr>
          <w:rFonts w:cs="Arial"/>
          <w:noProof/>
          <w:sz w:val="18"/>
          <w:szCs w:val="18"/>
        </w:rPr>
        <w:t>annexe.</w:t>
      </w:r>
    </w:p>
  </w:footnote>
  <w:footnote w:id="161">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t>-</w:t>
      </w:r>
      <w:r w:rsidRPr="00E55DB1">
        <w:rPr>
          <w:rFonts w:cs="Arial"/>
          <w:noProof/>
          <w:sz w:val="18"/>
          <w:szCs w:val="18"/>
        </w:rPr>
        <w:t>1800 av. J.</w:t>
      </w:r>
      <w:r>
        <w:rPr>
          <w:rFonts w:cs="Arial"/>
          <w:noProof/>
          <w:sz w:val="18"/>
          <w:szCs w:val="18"/>
        </w:rPr>
        <w:t>-</w:t>
      </w:r>
      <w:r w:rsidRPr="00E55DB1">
        <w:rPr>
          <w:rFonts w:cs="Arial"/>
          <w:noProof/>
          <w:sz w:val="18"/>
          <w:szCs w:val="18"/>
        </w:rPr>
        <w:t>C.), mentionnés de très nombreuses fois dans le Rigveda et l</w:t>
      </w:r>
      <w:r>
        <w:rPr>
          <w:rFonts w:cs="Arial"/>
          <w:noProof/>
          <w:sz w:val="18"/>
          <w:szCs w:val="18"/>
        </w:rPr>
        <w:t>’</w:t>
      </w:r>
      <w:r w:rsidRPr="00E55DB1">
        <w:rPr>
          <w:rFonts w:cs="Arial"/>
          <w:noProof/>
          <w:sz w:val="18"/>
          <w:szCs w:val="18"/>
        </w:rPr>
        <w:t>Atharvaveda.</w:t>
      </w:r>
    </w:p>
  </w:footnote>
  <w:footnote w:id="162">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w:t>
      </w:r>
      <w:r>
        <w:rPr>
          <w:rFonts w:cs="Arial"/>
          <w:noProof/>
          <w:sz w:val="18"/>
          <w:szCs w:val="18"/>
        </w:rPr>
        <w:t>’</w:t>
      </w:r>
      <w:r w:rsidRPr="00E55DB1">
        <w:rPr>
          <w:rFonts w:cs="Arial"/>
          <w:noProof/>
          <w:sz w:val="18"/>
          <w:szCs w:val="18"/>
        </w:rPr>
        <w:t>Empereur Jaune, premier grand classique en la matière.  Ce traité, dont l</w:t>
      </w:r>
      <w:r>
        <w:rPr>
          <w:rFonts w:cs="Arial"/>
          <w:noProof/>
          <w:sz w:val="18"/>
          <w:szCs w:val="18"/>
        </w:rPr>
        <w:t>’</w:t>
      </w:r>
      <w:r w:rsidRPr="00E55DB1">
        <w:rPr>
          <w:rFonts w:cs="Arial"/>
          <w:noProof/>
          <w:sz w:val="18"/>
          <w:szCs w:val="18"/>
        </w:rPr>
        <w:t>élaboration a pris plusieurs siècles, a été publié entre 300 et 100 av. J.</w:t>
      </w:r>
      <w:r>
        <w:rPr>
          <w:rFonts w:cs="Arial"/>
          <w:noProof/>
          <w:sz w:val="18"/>
          <w:szCs w:val="18"/>
        </w:rPr>
        <w:t>-</w:t>
      </w:r>
      <w:r w:rsidRPr="00E55DB1">
        <w:rPr>
          <w:rFonts w:cs="Arial"/>
          <w:noProof/>
          <w:sz w:val="18"/>
          <w:szCs w:val="18"/>
        </w:rPr>
        <w:t>C.</w:t>
      </w:r>
    </w:p>
  </w:footnote>
  <w:footnote w:id="163">
    <w:p w:rsidR="00E104D3" w:rsidRPr="00E55DB1" w:rsidRDefault="00E104D3"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Voir également l</w:t>
      </w:r>
      <w:r>
        <w:rPr>
          <w:rFonts w:cs="Arial"/>
          <w:noProof/>
          <w:sz w:val="18"/>
          <w:szCs w:val="18"/>
          <w:lang w:val="en-US"/>
        </w:rPr>
        <w:t>’</w:t>
      </w:r>
      <w:r w:rsidRPr="00E55DB1">
        <w:rPr>
          <w:rFonts w:cs="Arial"/>
          <w:noProof/>
          <w:sz w:val="18"/>
          <w:szCs w:val="18"/>
          <w:lang w:val="en-US"/>
        </w:rPr>
        <w:t xml:space="preserve">ouvrage de Karin Timmermans et Togi Hutadjulu intitulé </w:t>
      </w:r>
      <w:r w:rsidRPr="00E55DB1">
        <w:rPr>
          <w:rFonts w:cs="Arial"/>
          <w:iCs/>
          <w:noProof/>
          <w:sz w:val="18"/>
          <w:szCs w:val="18"/>
          <w:lang w:val="en-US"/>
        </w:rPr>
        <w:t>“The TRIPs Agreement and Pharmaceuticals</w:t>
      </w:r>
      <w:r>
        <w:rPr>
          <w:rFonts w:cs="Arial"/>
          <w:iCs/>
          <w:noProof/>
          <w:sz w:val="18"/>
          <w:szCs w:val="18"/>
          <w:lang w:val="en-US"/>
        </w:rPr>
        <w:t>:</w:t>
      </w:r>
      <w:r w:rsidRPr="00E55DB1">
        <w:rPr>
          <w:rFonts w:cs="Arial"/>
          <w:iCs/>
          <w:noProof/>
          <w:sz w:val="18"/>
          <w:szCs w:val="18"/>
          <w:lang w:val="en-US"/>
        </w:rPr>
        <w:t xml:space="preserve"> Report of an ASEAN Workshop on the TRIPs Agreement and its Impact on Pharmaceuticals”</w:t>
      </w:r>
      <w:r w:rsidRPr="00E55DB1">
        <w:rPr>
          <w:rFonts w:cs="Arial"/>
          <w:noProof/>
          <w:sz w:val="18"/>
          <w:szCs w:val="18"/>
          <w:lang w:val="en-US"/>
        </w:rPr>
        <w:t>, page 45.</w:t>
      </w:r>
    </w:p>
  </w:footnote>
  <w:footnote w:id="164">
    <w:p w:rsidR="00E104D3" w:rsidRPr="00E55DB1" w:rsidRDefault="00E104D3"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w:t>
      </w:r>
      <w:r>
        <w:rPr>
          <w:rFonts w:cs="Arial"/>
          <w:noProof/>
          <w:sz w:val="18"/>
          <w:szCs w:val="18"/>
        </w:rPr>
        <w:t>ième session</w:t>
      </w:r>
      <w:r w:rsidRPr="00E55DB1">
        <w:rPr>
          <w:rFonts w:cs="Arial"/>
          <w:noProof/>
          <w:sz w:val="18"/>
          <w:szCs w:val="18"/>
        </w:rPr>
        <w:t xml:space="preserve"> (OMPI/GRTKF/IC/2/16), paragraphe 131.</w:t>
      </w:r>
    </w:p>
  </w:footnote>
  <w:footnote w:id="165">
    <w:p w:rsidR="00E104D3" w:rsidRPr="00E55DB1" w:rsidRDefault="00E104D3"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w:t>
      </w:r>
      <w:r>
        <w:rPr>
          <w:rFonts w:cs="Arial"/>
          <w:noProof/>
          <w:sz w:val="18"/>
          <w:szCs w:val="18"/>
        </w:rPr>
        <w:t>’</w:t>
      </w:r>
      <w:r w:rsidRPr="00E55DB1">
        <w:rPr>
          <w:rFonts w:cs="Arial"/>
          <w:noProof/>
          <w:sz w:val="18"/>
          <w:szCs w:val="18"/>
        </w:rPr>
        <w:t>annexe de la Liste et explication technique succincte des différentes formes sous lesquelles les savoirs traditionnels peuvent se présenter (document WIPO/GRTKF/IC/17/INF/9).</w:t>
      </w:r>
    </w:p>
  </w:footnote>
  <w:footnote w:id="166">
    <w:p w:rsidR="00E104D3" w:rsidRPr="00E55DB1" w:rsidRDefault="00E104D3"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E104D3" w:rsidRPr="00E55DB1" w:rsidRDefault="00E104D3"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w:t>
      </w:r>
      <w:r>
        <w:rPr>
          <w:rFonts w:cs="Arial"/>
          <w:noProof/>
          <w:sz w:val="18"/>
          <w:szCs w:val="18"/>
        </w:rPr>
        <w:t>’</w:t>
      </w:r>
      <w:r w:rsidRPr="00E55DB1">
        <w:rPr>
          <w:rFonts w:cs="Arial"/>
          <w:noProof/>
          <w:sz w:val="18"/>
          <w:szCs w:val="18"/>
        </w:rPr>
        <w:t>alimentation et l</w:t>
      </w:r>
      <w:r>
        <w:rPr>
          <w:rFonts w:cs="Arial"/>
          <w:noProof/>
          <w:sz w:val="18"/>
          <w:szCs w:val="18"/>
        </w:rPr>
        <w:t>’</w:t>
      </w:r>
      <w:r w:rsidRPr="00E55DB1">
        <w:rPr>
          <w:rFonts w:cs="Arial"/>
          <w:noProof/>
          <w:sz w:val="18"/>
          <w:szCs w:val="18"/>
        </w:rPr>
        <w:t>agriculture.</w:t>
      </w:r>
    </w:p>
  </w:footnote>
  <w:footnote w:id="169">
    <w:p w:rsidR="00E104D3" w:rsidRPr="00E55DB1" w:rsidRDefault="00E104D3"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w:t>
      </w:r>
      <w:r>
        <w:rPr>
          <w:rFonts w:cs="Arial"/>
          <w:noProof/>
          <w:sz w:val="18"/>
          <w:szCs w:val="18"/>
        </w:rPr>
        <w:t>’</w:t>
      </w:r>
      <w:r w:rsidRPr="00E55DB1">
        <w:rPr>
          <w:rFonts w:cs="Arial"/>
          <w:noProof/>
          <w:sz w:val="18"/>
          <w:szCs w:val="18"/>
        </w:rPr>
        <w:t>article 8 j) de la CDB.</w:t>
      </w:r>
    </w:p>
  </w:footnote>
  <w:footnote w:id="170">
    <w:p w:rsidR="00E104D3" w:rsidRPr="00E55DB1" w:rsidRDefault="00E104D3"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E104D3" w:rsidRPr="00E55DB1" w:rsidRDefault="00E104D3"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E104D3" w:rsidRPr="00E55DB1" w:rsidRDefault="00E104D3"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w:t>
      </w:r>
      <w:r>
        <w:rPr>
          <w:rFonts w:cs="Arial"/>
          <w:noProof/>
          <w:sz w:val="18"/>
          <w:szCs w:val="18"/>
        </w:rPr>
        <w:t>’</w:t>
      </w:r>
      <w:r w:rsidRPr="00E55DB1">
        <w:rPr>
          <w:rFonts w:cs="Arial"/>
          <w:noProof/>
          <w:sz w:val="18"/>
          <w:szCs w:val="18"/>
        </w:rPr>
        <w:t>ajouter le terme “utilisation illicite” dans le texte du document intitulé “La protection des savoirs traditionnels</w:t>
      </w:r>
      <w:r>
        <w:rPr>
          <w:rFonts w:cs="Arial"/>
          <w:noProof/>
          <w:sz w:val="18"/>
          <w:szCs w:val="18"/>
        </w:rPr>
        <w:t> :</w:t>
      </w:r>
      <w:r w:rsidRPr="00E55DB1">
        <w:rPr>
          <w:rFonts w:cs="Arial"/>
          <w:noProof/>
          <w:sz w:val="18"/>
          <w:szCs w:val="18"/>
        </w:rPr>
        <w:t xml:space="preserve"> objectifs et principes révisés” (WIPO/GRTKF/IC/18/5) par certaines délégations, telles que la délégation de l</w:t>
      </w:r>
      <w:r>
        <w:rPr>
          <w:rFonts w:cs="Arial"/>
          <w:noProof/>
          <w:sz w:val="18"/>
          <w:szCs w:val="18"/>
        </w:rPr>
        <w:t>’</w:t>
      </w:r>
      <w:r w:rsidRPr="00E55DB1">
        <w:rPr>
          <w:rFonts w:cs="Arial"/>
          <w:noProof/>
          <w:sz w:val="18"/>
          <w:szCs w:val="18"/>
        </w:rPr>
        <w:t>Indonésie et la délégation du Mexique.  Cependant, la délégation de l</w:t>
      </w:r>
      <w:r>
        <w:rPr>
          <w:rFonts w:cs="Arial"/>
          <w:noProof/>
          <w:sz w:val="18"/>
          <w:szCs w:val="18"/>
        </w:rPr>
        <w:t>’</w:t>
      </w:r>
      <w:r w:rsidRPr="00E55DB1">
        <w:rPr>
          <w:rFonts w:cs="Arial"/>
          <w:noProof/>
          <w:sz w:val="18"/>
          <w:szCs w:val="18"/>
        </w:rPr>
        <w:t>Australie a noté que l</w:t>
      </w:r>
      <w:r>
        <w:rPr>
          <w:rFonts w:cs="Arial"/>
          <w:noProof/>
          <w:sz w:val="18"/>
          <w:szCs w:val="18"/>
        </w:rPr>
        <w:t>’</w:t>
      </w:r>
      <w:r w:rsidRPr="00E55DB1">
        <w:rPr>
          <w:rFonts w:cs="Arial"/>
          <w:noProof/>
          <w:sz w:val="18"/>
          <w:szCs w:val="18"/>
        </w:rPr>
        <w:t>utilisation illicite était une expression utilisée dans le cadre de la CDB dans le projet du texte à négocier relatif à un régime international d</w:t>
      </w:r>
      <w:r>
        <w:rPr>
          <w:rFonts w:cs="Arial"/>
          <w:noProof/>
          <w:sz w:val="18"/>
          <w:szCs w:val="18"/>
        </w:rPr>
        <w:t>’</w:t>
      </w:r>
      <w:r w:rsidRPr="00E55DB1">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Pr>
          <w:rFonts w:cs="Arial"/>
          <w:noProof/>
          <w:sz w:val="18"/>
          <w:szCs w:val="18"/>
        </w:rPr>
        <w:t>’</w:t>
      </w:r>
      <w:r w:rsidRPr="00E55DB1">
        <w:rPr>
          <w:rFonts w:cs="Arial"/>
          <w:noProof/>
          <w:sz w:val="18"/>
          <w:szCs w:val="18"/>
        </w:rPr>
        <w:t>un commun accord, alors que l</w:t>
      </w:r>
      <w:r>
        <w:rPr>
          <w:rFonts w:cs="Arial"/>
          <w:noProof/>
          <w:sz w:val="18"/>
          <w:szCs w:val="18"/>
        </w:rPr>
        <w:t>’</w:t>
      </w:r>
      <w:r w:rsidRPr="00E55DB1">
        <w:rPr>
          <w:rFonts w:cs="Arial"/>
          <w:noProof/>
          <w:sz w:val="18"/>
          <w:szCs w:val="18"/>
        </w:rPr>
        <w:t>appropriation illicite renvoyait elle essentiellement aux actes d</w:t>
      </w:r>
      <w:r>
        <w:rPr>
          <w:rFonts w:cs="Arial"/>
          <w:noProof/>
          <w:sz w:val="18"/>
          <w:szCs w:val="18"/>
        </w:rPr>
        <w:t>’</w:t>
      </w:r>
      <w:r w:rsidRPr="00E55DB1">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Pr>
          <w:rFonts w:cs="Arial"/>
          <w:noProof/>
          <w:sz w:val="18"/>
          <w:szCs w:val="18"/>
        </w:rPr>
        <w:t>’</w:t>
      </w:r>
      <w:r w:rsidRPr="00E55DB1">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Default="00E104D3" w:rsidP="00D23D81">
    <w:pPr>
      <w:pStyle w:val="Header"/>
      <w:jc w:val="right"/>
      <w:rPr>
        <w:szCs w:val="22"/>
      </w:rPr>
    </w:pPr>
    <w:r>
      <w:rPr>
        <w:szCs w:val="22"/>
      </w:rPr>
      <w:t>WIPO/GRTKF/IC/47/INF/7</w:t>
    </w:r>
  </w:p>
  <w:p w:rsidR="00E104D3" w:rsidRDefault="00E104D3" w:rsidP="00D23D81">
    <w:pPr>
      <w:pStyle w:val="Header"/>
      <w:spacing w:after="480"/>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035EBD">
      <w:rPr>
        <w:rStyle w:val="PageNumber"/>
        <w:noProof/>
        <w:szCs w:val="22"/>
      </w:rPr>
      <w:t>2</w:t>
    </w:r>
    <w:r>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Default="00E104D3">
    <w:pPr>
      <w:pStyle w:val="Header"/>
      <w:jc w:val="right"/>
      <w:rPr>
        <w:szCs w:val="22"/>
      </w:rPr>
    </w:pPr>
    <w:r>
      <w:rPr>
        <w:szCs w:val="22"/>
      </w:rPr>
      <w:t>WIPO/GRTKF/IC/44/INF/7</w:t>
    </w:r>
  </w:p>
  <w:p w:rsidR="00E104D3" w:rsidRDefault="00E104D3" w:rsidP="00D71DCD">
    <w:pPr>
      <w:pStyle w:val="Header"/>
      <w:spacing w:after="480"/>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1</w:t>
    </w:r>
    <w:r>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Default="00E104D3" w:rsidP="00D23D81">
    <w:pPr>
      <w:pStyle w:val="Header"/>
      <w:jc w:val="right"/>
      <w:rPr>
        <w:szCs w:val="22"/>
      </w:rPr>
    </w:pPr>
    <w:r>
      <w:rPr>
        <w:szCs w:val="22"/>
      </w:rPr>
      <w:t>WIPO/GRTKF/IC/47/INF/7</w:t>
    </w:r>
  </w:p>
  <w:p w:rsidR="00E104D3" w:rsidRDefault="00E104D3" w:rsidP="00D23D81">
    <w:pPr>
      <w:pStyle w:val="Header"/>
      <w:tabs>
        <w:tab w:val="clear" w:pos="9072"/>
        <w:tab w:val="right" w:pos="9100"/>
      </w:tabs>
      <w:spacing w:after="480"/>
      <w:jc w:val="right"/>
      <w:rPr>
        <w:rStyle w:val="PageNumber"/>
        <w:szCs w:val="22"/>
      </w:rPr>
    </w:pPr>
    <w:r>
      <w:rPr>
        <w:szCs w:val="22"/>
      </w:rPr>
      <w:t>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035EBD">
      <w:rPr>
        <w:rStyle w:val="PageNumber"/>
        <w:noProof/>
        <w:szCs w:val="22"/>
      </w:rPr>
      <w:t>6</w:t>
    </w:r>
    <w:r>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Default="00E104D3">
    <w:pPr>
      <w:pStyle w:val="Header"/>
      <w:jc w:val="right"/>
      <w:rPr>
        <w:szCs w:val="22"/>
      </w:rPr>
    </w:pPr>
    <w:r>
      <w:rPr>
        <w:szCs w:val="22"/>
      </w:rPr>
      <w:t>WIPO/GRTKF/IC/47/INF/7</w:t>
    </w:r>
  </w:p>
  <w:p w:rsidR="00E104D3" w:rsidRDefault="00E104D3" w:rsidP="00D23D81">
    <w:pPr>
      <w:pStyle w:val="Header"/>
      <w:tabs>
        <w:tab w:val="clear" w:pos="9072"/>
        <w:tab w:val="right" w:pos="9100"/>
      </w:tabs>
      <w:spacing w:after="480"/>
      <w:jc w:val="right"/>
      <w:rPr>
        <w:rStyle w:val="PageNumber"/>
        <w:szCs w:val="22"/>
      </w:rPr>
    </w:pPr>
    <w:r>
      <w:rPr>
        <w:szCs w:val="22"/>
      </w:rPr>
      <w:t>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035EBD">
      <w:rPr>
        <w:rStyle w:val="PageNumber"/>
        <w:noProof/>
        <w:szCs w:val="22"/>
      </w:rPr>
      <w:t>7</w:t>
    </w:r>
    <w:r>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D3" w:rsidRPr="001E0485" w:rsidRDefault="00E104D3">
    <w:pPr>
      <w:ind w:right="-1"/>
      <w:jc w:val="right"/>
      <w:rPr>
        <w:szCs w:val="22"/>
        <w:lang w:val="en-US"/>
      </w:rPr>
    </w:pPr>
    <w:r w:rsidRPr="001E0485">
      <w:rPr>
        <w:szCs w:val="22"/>
        <w:lang w:val="en-US"/>
      </w:rPr>
      <w:t>WIPO/GRTKF/IC/</w:t>
    </w:r>
    <w:r>
      <w:rPr>
        <w:szCs w:val="22"/>
        <w:lang w:val="en-US"/>
      </w:rPr>
      <w:t>47</w:t>
    </w:r>
    <w:r w:rsidRPr="001E0485">
      <w:rPr>
        <w:szCs w:val="22"/>
        <w:lang w:val="en-US"/>
      </w:rPr>
      <w:t>/INF/7</w:t>
    </w:r>
  </w:p>
  <w:p w:rsidR="00E104D3" w:rsidRPr="001E0485" w:rsidRDefault="00E104D3" w:rsidP="00D71DCD">
    <w:pPr>
      <w:pStyle w:val="Header"/>
      <w:spacing w:after="480"/>
      <w:jc w:val="right"/>
      <w:rPr>
        <w:szCs w:val="22"/>
        <w:lang w:val="en-US"/>
      </w:rPr>
    </w:pPr>
    <w:r w:rsidRPr="001E0485">
      <w:rPr>
        <w:szCs w:val="22"/>
        <w:lang w:val="en-U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doNotShadeFormData/>
  <w:noPunctuationKerning/>
  <w:characterSpacingControl w:val="doNotCompress"/>
  <w:hdrShapeDefaults>
    <o:shapedefaults v:ext="edit" spidmax="32769"/>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5EB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85850"/>
    <w:rsid w:val="001A0AAE"/>
    <w:rsid w:val="001C33FB"/>
    <w:rsid w:val="001E0485"/>
    <w:rsid w:val="001F3AEE"/>
    <w:rsid w:val="001F7FBB"/>
    <w:rsid w:val="00204A5E"/>
    <w:rsid w:val="00214D43"/>
    <w:rsid w:val="00225416"/>
    <w:rsid w:val="002554A9"/>
    <w:rsid w:val="00263702"/>
    <w:rsid w:val="00274E53"/>
    <w:rsid w:val="00285A43"/>
    <w:rsid w:val="00286DCE"/>
    <w:rsid w:val="002A016C"/>
    <w:rsid w:val="002A7EBB"/>
    <w:rsid w:val="002B36FC"/>
    <w:rsid w:val="002C52C4"/>
    <w:rsid w:val="002C7F21"/>
    <w:rsid w:val="002F3A4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337"/>
    <w:rsid w:val="0040085A"/>
    <w:rsid w:val="00422819"/>
    <w:rsid w:val="00423AA2"/>
    <w:rsid w:val="00431983"/>
    <w:rsid w:val="00436E83"/>
    <w:rsid w:val="004401F3"/>
    <w:rsid w:val="00467A45"/>
    <w:rsid w:val="0047417E"/>
    <w:rsid w:val="00492E7E"/>
    <w:rsid w:val="00494A9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B25AE"/>
    <w:rsid w:val="006B600F"/>
    <w:rsid w:val="006C4BAC"/>
    <w:rsid w:val="006D53E0"/>
    <w:rsid w:val="006D55A8"/>
    <w:rsid w:val="006E4D63"/>
    <w:rsid w:val="006E5855"/>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B152D"/>
    <w:rsid w:val="008B4120"/>
    <w:rsid w:val="008D4439"/>
    <w:rsid w:val="00902F68"/>
    <w:rsid w:val="009031AF"/>
    <w:rsid w:val="00903B5D"/>
    <w:rsid w:val="00906122"/>
    <w:rsid w:val="00912E24"/>
    <w:rsid w:val="00923DCD"/>
    <w:rsid w:val="009243A6"/>
    <w:rsid w:val="00934FDD"/>
    <w:rsid w:val="00940C00"/>
    <w:rsid w:val="009449A2"/>
    <w:rsid w:val="00957D11"/>
    <w:rsid w:val="00972E56"/>
    <w:rsid w:val="00994053"/>
    <w:rsid w:val="00996960"/>
    <w:rsid w:val="009A0989"/>
    <w:rsid w:val="009A3458"/>
    <w:rsid w:val="009F175E"/>
    <w:rsid w:val="009F2F3B"/>
    <w:rsid w:val="009F43E8"/>
    <w:rsid w:val="009F6D56"/>
    <w:rsid w:val="00A07DC3"/>
    <w:rsid w:val="00A16F1D"/>
    <w:rsid w:val="00A1737D"/>
    <w:rsid w:val="00A331FB"/>
    <w:rsid w:val="00A35E46"/>
    <w:rsid w:val="00A53A07"/>
    <w:rsid w:val="00A618F9"/>
    <w:rsid w:val="00A706DB"/>
    <w:rsid w:val="00A827DA"/>
    <w:rsid w:val="00A93E2A"/>
    <w:rsid w:val="00AA3C26"/>
    <w:rsid w:val="00AB1492"/>
    <w:rsid w:val="00AD06F4"/>
    <w:rsid w:val="00AD42C0"/>
    <w:rsid w:val="00AD541F"/>
    <w:rsid w:val="00AE09FC"/>
    <w:rsid w:val="00AE5194"/>
    <w:rsid w:val="00AE5852"/>
    <w:rsid w:val="00AE6488"/>
    <w:rsid w:val="00AE66F5"/>
    <w:rsid w:val="00AF32FD"/>
    <w:rsid w:val="00B2260F"/>
    <w:rsid w:val="00B354B7"/>
    <w:rsid w:val="00B52385"/>
    <w:rsid w:val="00B65569"/>
    <w:rsid w:val="00B8630C"/>
    <w:rsid w:val="00BA2CDF"/>
    <w:rsid w:val="00BB3BEF"/>
    <w:rsid w:val="00BD4DE0"/>
    <w:rsid w:val="00BE4D4C"/>
    <w:rsid w:val="00BE7E0E"/>
    <w:rsid w:val="00BF29B4"/>
    <w:rsid w:val="00C069E2"/>
    <w:rsid w:val="00C070E9"/>
    <w:rsid w:val="00C10455"/>
    <w:rsid w:val="00C21AB4"/>
    <w:rsid w:val="00C27F71"/>
    <w:rsid w:val="00C33F04"/>
    <w:rsid w:val="00C42572"/>
    <w:rsid w:val="00C430F7"/>
    <w:rsid w:val="00C4686F"/>
    <w:rsid w:val="00C600AA"/>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21DF8"/>
    <w:rsid w:val="00D23D81"/>
    <w:rsid w:val="00D337E4"/>
    <w:rsid w:val="00D41D90"/>
    <w:rsid w:val="00D4602B"/>
    <w:rsid w:val="00D554EC"/>
    <w:rsid w:val="00D55594"/>
    <w:rsid w:val="00D61F7F"/>
    <w:rsid w:val="00D63E89"/>
    <w:rsid w:val="00D67152"/>
    <w:rsid w:val="00D71DCD"/>
    <w:rsid w:val="00D7422E"/>
    <w:rsid w:val="00D81740"/>
    <w:rsid w:val="00D85F2A"/>
    <w:rsid w:val="00D91476"/>
    <w:rsid w:val="00D91C97"/>
    <w:rsid w:val="00DA3BB7"/>
    <w:rsid w:val="00DC0787"/>
    <w:rsid w:val="00DC26CA"/>
    <w:rsid w:val="00DC5C9E"/>
    <w:rsid w:val="00DD607D"/>
    <w:rsid w:val="00DF55A4"/>
    <w:rsid w:val="00E0296C"/>
    <w:rsid w:val="00E104D3"/>
    <w:rsid w:val="00E16C51"/>
    <w:rsid w:val="00E1729C"/>
    <w:rsid w:val="00E23777"/>
    <w:rsid w:val="00E47710"/>
    <w:rsid w:val="00E506BC"/>
    <w:rsid w:val="00E55DB1"/>
    <w:rsid w:val="00E578FA"/>
    <w:rsid w:val="00E667D8"/>
    <w:rsid w:val="00E745AA"/>
    <w:rsid w:val="00E8642C"/>
    <w:rsid w:val="00E91306"/>
    <w:rsid w:val="00E94160"/>
    <w:rsid w:val="00EA2807"/>
    <w:rsid w:val="00EA3636"/>
    <w:rsid w:val="00EA730B"/>
    <w:rsid w:val="00EA7362"/>
    <w:rsid w:val="00EB3989"/>
    <w:rsid w:val="00EF47F4"/>
    <w:rsid w:val="00EF51B8"/>
    <w:rsid w:val="00EF6794"/>
    <w:rsid w:val="00F017C6"/>
    <w:rsid w:val="00F14F6F"/>
    <w:rsid w:val="00F24435"/>
    <w:rsid w:val="00F25B2F"/>
    <w:rsid w:val="00F26BC9"/>
    <w:rsid w:val="00F378CD"/>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72A51C5"/>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D71DCD"/>
    <w:pPr>
      <w:keepNext/>
      <w:outlineLvl w:val="0"/>
    </w:pPr>
    <w:rPr>
      <w:b/>
      <w:caps/>
      <w:snapToGrid w:val="0"/>
      <w:lang w:eastAsia="en-US"/>
    </w:rPr>
  </w:style>
  <w:style w:type="paragraph" w:styleId="Heading2">
    <w:name w:val="heading 2"/>
    <w:basedOn w:val="Heading1"/>
    <w:next w:val="Normal"/>
    <w:qFormat/>
    <w:rsid w:val="00D23D81"/>
    <w:pPr>
      <w:spacing w:line="260" w:lineRule="atLeast"/>
      <w:outlineLvl w:val="1"/>
    </w:pPr>
    <w:rPr>
      <w:rFonts w:cs="Arial"/>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val="0"/>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A35E46"/>
    <w:pPr>
      <w:spacing w:before="720"/>
      <w:ind w:left="5534"/>
    </w:pPr>
    <w:rPr>
      <w:rFonts w:eastAsia="SimSun" w:cs="Arial"/>
      <w:lang w:val="fr-CH" w:eastAsia="zh-CN"/>
    </w:rPr>
  </w:style>
  <w:style w:type="paragraph" w:styleId="TOC1">
    <w:name w:val="toc 1"/>
    <w:basedOn w:val="Normal"/>
    <w:next w:val="Normal"/>
    <w:autoRedefine/>
    <w:uiPriority w:val="39"/>
    <w:unhideWhenUsed/>
    <w:rsid w:val="00D555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uspto.gov/web/offices/pac/mpep/mpep-9015-appx-l.html%23al_d1fbe1_19797_b0" TargetMode="External"/><Relationship Id="rId18" Type="http://schemas.openxmlformats.org/officeDocument/2006/relationships/hyperlink" Target="http://www.ifad.org/english/indigenous/documents/ip_policy_f.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nenvironment.org/resources/report/glossary-terms-negotiators-multilateral-environmental-agreements" TargetMode="External"/><Relationship Id="rId17" Type="http://schemas.openxmlformats.org/officeDocument/2006/relationships/hyperlink" Target="http://www.fao.org/docrep/013/i1857f/i1857f00.pdf"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edocs.unep.org/handle/20.500.11822/7569" TargetMode="External"/><Relationship Id="rId20" Type="http://schemas.openxmlformats.org/officeDocument/2006/relationships/hyperlink" Target="http://www.law.duke.edu/cspd/itkpaper"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s://www.gpo.gov/fdsys/pkg/USCODE-2011-title35/pdf/USCODE-2011-title35-partII-chap11-sec122.pdf" TargetMode="External"/><Relationship Id="rId10" Type="http://schemas.openxmlformats.org/officeDocument/2006/relationships/hyperlink" Target="https://www.gpo.gov/fdsys/pkg/USCODE-2011-title35/pdf/USCODE-2011-title35-partII-chap11-sec122.pdf" TargetMode="External"/><Relationship Id="rId19" Type="http://schemas.openxmlformats.org/officeDocument/2006/relationships/hyperlink" Target="http://www.undp.org/content/undp/en/home/librarypage/environment-energy/local_development/undp-and-indigenous-peoples-a-policy-of-engagement.html"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763A-6ED6-46F6-8768-3D830E2F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55</Pages>
  <Words>24535</Words>
  <Characters>144132</Characters>
  <Application>Microsoft Office Word</Application>
  <DocSecurity>0</DocSecurity>
  <Lines>2123</Lines>
  <Paragraphs>512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168473</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FOR OFFICIAL USE ONLY</cp:keywords>
  <cp:lastModifiedBy>OLIVIÉ Karen</cp:lastModifiedBy>
  <cp:revision>35</cp:revision>
  <cp:lastPrinted>2018-01-30T11:57:00Z</cp:lastPrinted>
  <dcterms:created xsi:type="dcterms:W3CDTF">2019-01-29T09:01:00Z</dcterms:created>
  <dcterms:modified xsi:type="dcterms:W3CDTF">2023-03-29T13:17:00Z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8ad9c191-add3-442b-9e24-ffd549d8d0a9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