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A511F6">
      <w:pPr>
        <w:pBdr>
          <w:bottom w:val="single" w:sz="4" w:space="10"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FD0CC3" w:rsidRDefault="00A511F6" w:rsidP="0040540C">
      <w:pPr>
        <w:jc w:val="right"/>
        <w:rPr>
          <w:rFonts w:ascii="Arial Black" w:hAnsi="Arial Black"/>
          <w:caps/>
          <w:sz w:val="15"/>
        </w:rPr>
      </w:pPr>
      <w:r w:rsidRPr="00FD0CC3">
        <w:rPr>
          <w:rFonts w:ascii="Arial Black" w:hAnsi="Arial Black"/>
          <w:caps/>
          <w:sz w:val="15"/>
        </w:rPr>
        <w:t>wipo/grtkf/ic/47/</w:t>
      </w:r>
      <w:bookmarkStart w:id="0" w:name="Code"/>
      <w:bookmarkEnd w:id="0"/>
      <w:r w:rsidR="00FD0CC3" w:rsidRPr="00FD0CC3">
        <w:rPr>
          <w:rFonts w:ascii="Arial Black" w:hAnsi="Arial Black"/>
          <w:caps/>
          <w:sz w:val="15"/>
        </w:rPr>
        <w:t>13</w:t>
      </w:r>
    </w:p>
    <w:p w:rsidR="008B2CC1" w:rsidRPr="00FD0CC3" w:rsidRDefault="00B1090C" w:rsidP="0040540C">
      <w:pPr>
        <w:jc w:val="right"/>
      </w:pPr>
      <w:r w:rsidRPr="00FD0CC3">
        <w:rPr>
          <w:rFonts w:ascii="Arial Black" w:hAnsi="Arial Black"/>
          <w:caps/>
          <w:sz w:val="15"/>
        </w:rPr>
        <w:t>ORIGINAL</w:t>
      </w:r>
      <w:r w:rsidR="00664AC3">
        <w:rPr>
          <w:rFonts w:ascii="Arial Black" w:hAnsi="Arial Black"/>
          <w:caps/>
          <w:sz w:val="15"/>
        </w:rPr>
        <w:t> :</w:t>
      </w:r>
      <w:r w:rsidR="002956DE" w:rsidRPr="00FD0CC3">
        <w:rPr>
          <w:rFonts w:ascii="Arial Black" w:hAnsi="Arial Black"/>
          <w:caps/>
          <w:sz w:val="15"/>
        </w:rPr>
        <w:t xml:space="preserve"> </w:t>
      </w:r>
      <w:bookmarkStart w:id="1" w:name="Original"/>
      <w:r w:rsidR="00FD0CC3" w:rsidRPr="00FD0CC3">
        <w:rPr>
          <w:rFonts w:ascii="Arial Black" w:hAnsi="Arial Black"/>
          <w:caps/>
          <w:sz w:val="15"/>
        </w:rPr>
        <w:t>anglais</w:t>
      </w:r>
    </w:p>
    <w:bookmarkEnd w:id="1"/>
    <w:p w:rsidR="008B2CC1" w:rsidRPr="00FD0CC3" w:rsidRDefault="00B1090C" w:rsidP="00B1090C">
      <w:pPr>
        <w:spacing w:after="1200"/>
        <w:jc w:val="right"/>
      </w:pPr>
      <w:r w:rsidRPr="00FD0CC3">
        <w:rPr>
          <w:rFonts w:ascii="Arial Black" w:hAnsi="Arial Black"/>
          <w:caps/>
          <w:sz w:val="15"/>
        </w:rPr>
        <w:t>DATE</w:t>
      </w:r>
      <w:r w:rsidR="00664AC3">
        <w:rPr>
          <w:rFonts w:ascii="Arial Black" w:hAnsi="Arial Black"/>
          <w:caps/>
          <w:sz w:val="15"/>
        </w:rPr>
        <w:t> :</w:t>
      </w:r>
      <w:r w:rsidR="002956DE" w:rsidRPr="00FD0CC3">
        <w:rPr>
          <w:rFonts w:ascii="Arial Black" w:hAnsi="Arial Black"/>
          <w:caps/>
          <w:sz w:val="15"/>
        </w:rPr>
        <w:t xml:space="preserve"> </w:t>
      </w:r>
      <w:bookmarkStart w:id="2" w:name="Date"/>
      <w:r w:rsidR="00FD0CC3" w:rsidRPr="00FD0CC3">
        <w:rPr>
          <w:rFonts w:ascii="Arial Black" w:hAnsi="Arial Black"/>
          <w:caps/>
          <w:sz w:val="15"/>
        </w:rPr>
        <w:t>22</w:t>
      </w:r>
      <w:r w:rsidR="00FD0CC3">
        <w:rPr>
          <w:rFonts w:ascii="Arial Black" w:hAnsi="Arial Black"/>
          <w:caps/>
          <w:sz w:val="15"/>
        </w:rPr>
        <w:t> </w:t>
      </w:r>
      <w:r w:rsidR="00FD0CC3" w:rsidRPr="00FD0CC3">
        <w:rPr>
          <w:rFonts w:ascii="Arial Black" w:hAnsi="Arial Black"/>
          <w:caps/>
          <w:sz w:val="15"/>
        </w:rPr>
        <w:t>mai</w:t>
      </w:r>
      <w:r w:rsidR="00FD0CC3">
        <w:rPr>
          <w:rFonts w:ascii="Arial Black" w:hAnsi="Arial Black"/>
          <w:caps/>
          <w:sz w:val="15"/>
        </w:rPr>
        <w:t> </w:t>
      </w:r>
      <w:r w:rsidR="00FD0CC3" w:rsidRPr="00FD0CC3">
        <w:rPr>
          <w:rFonts w:ascii="Arial Black" w:hAnsi="Arial Black"/>
          <w:caps/>
          <w:sz w:val="15"/>
        </w:rPr>
        <w:t>2023</w:t>
      </w:r>
    </w:p>
    <w:bookmarkEnd w:id="2"/>
    <w:p w:rsidR="003845C1" w:rsidRDefault="00A511F6" w:rsidP="00992AE4">
      <w:pPr>
        <w:spacing w:after="480"/>
        <w:outlineLvl w:val="0"/>
        <w:rPr>
          <w:b/>
          <w:sz w:val="28"/>
          <w:szCs w:val="28"/>
          <w:lang w:val="fr-FR"/>
        </w:rPr>
      </w:pPr>
      <w:r w:rsidRPr="006D22E9">
        <w:rPr>
          <w:b/>
          <w:sz w:val="28"/>
          <w:szCs w:val="28"/>
          <w:lang w:val="fr-FR"/>
        </w:rPr>
        <w:t>Comité intergouvernemental de la propriété intellectuelle relative aux ressources génétiques, aux savoirs traditionnels et au folklore</w:t>
      </w:r>
    </w:p>
    <w:p w:rsidR="00FE19E9" w:rsidRDefault="00A511F6" w:rsidP="00FE19E9">
      <w:pPr>
        <w:outlineLvl w:val="1"/>
        <w:rPr>
          <w:b/>
          <w:sz w:val="24"/>
          <w:szCs w:val="24"/>
        </w:rPr>
      </w:pPr>
      <w:r>
        <w:rPr>
          <w:b/>
          <w:sz w:val="24"/>
          <w:szCs w:val="24"/>
        </w:rPr>
        <w:t>Quarante</w:t>
      </w:r>
      <w:r w:rsidR="00DC5035">
        <w:rPr>
          <w:b/>
          <w:sz w:val="24"/>
          <w:szCs w:val="24"/>
        </w:rPr>
        <w:noBreakHyphen/>
      </w:r>
      <w:r>
        <w:rPr>
          <w:b/>
          <w:sz w:val="24"/>
          <w:szCs w:val="24"/>
        </w:rPr>
        <w:t>sept</w:t>
      </w:r>
      <w:r w:rsidR="00664AC3">
        <w:rPr>
          <w:b/>
          <w:sz w:val="24"/>
          <w:szCs w:val="24"/>
        </w:rPr>
        <w:t>ième session</w:t>
      </w:r>
    </w:p>
    <w:p w:rsidR="008B2CC1" w:rsidRPr="003845C1" w:rsidRDefault="00A511F6" w:rsidP="00B1090C">
      <w:pPr>
        <w:spacing w:after="960"/>
        <w:outlineLvl w:val="1"/>
        <w:rPr>
          <w:b/>
          <w:sz w:val="24"/>
          <w:szCs w:val="24"/>
        </w:rPr>
      </w:pPr>
      <w:r>
        <w:rPr>
          <w:b/>
          <w:sz w:val="24"/>
          <w:szCs w:val="24"/>
        </w:rPr>
        <w:t>Genève, 5 – 9</w:t>
      </w:r>
      <w:r w:rsidR="00FD0CC3">
        <w:rPr>
          <w:b/>
          <w:sz w:val="24"/>
          <w:szCs w:val="24"/>
        </w:rPr>
        <w:t> </w:t>
      </w:r>
      <w:r>
        <w:rPr>
          <w:b/>
          <w:sz w:val="24"/>
          <w:szCs w:val="24"/>
        </w:rPr>
        <w:t>juin</w:t>
      </w:r>
      <w:r w:rsidR="00FD0CC3">
        <w:rPr>
          <w:b/>
          <w:sz w:val="24"/>
          <w:szCs w:val="24"/>
        </w:rPr>
        <w:t> </w:t>
      </w:r>
      <w:r>
        <w:rPr>
          <w:b/>
          <w:sz w:val="24"/>
          <w:szCs w:val="24"/>
        </w:rPr>
        <w:t>2023</w:t>
      </w:r>
    </w:p>
    <w:p w:rsidR="008B2CC1" w:rsidRPr="003845C1" w:rsidRDefault="00FD0CC3" w:rsidP="00B1090C">
      <w:pPr>
        <w:spacing w:after="360"/>
        <w:rPr>
          <w:caps/>
          <w:sz w:val="24"/>
        </w:rPr>
      </w:pPr>
      <w:bookmarkStart w:id="3" w:name="TitleOfDoc"/>
      <w:r>
        <w:rPr>
          <w:caps/>
          <w:sz w:val="24"/>
        </w:rPr>
        <w:t>Rapport sur les activités virtuelles décidées par la</w:t>
      </w:r>
      <w:r w:rsidR="00390B25">
        <w:rPr>
          <w:caps/>
          <w:sz w:val="24"/>
        </w:rPr>
        <w:t> </w:t>
      </w:r>
      <w:r>
        <w:rPr>
          <w:caps/>
          <w:sz w:val="24"/>
        </w:rPr>
        <w:t>quarante</w:t>
      </w:r>
      <w:r w:rsidR="00DC5035">
        <w:rPr>
          <w:caps/>
          <w:sz w:val="24"/>
        </w:rPr>
        <w:noBreakHyphen/>
      </w:r>
      <w:r>
        <w:rPr>
          <w:caps/>
          <w:sz w:val="24"/>
        </w:rPr>
        <w:t>trois</w:t>
      </w:r>
      <w:r w:rsidR="00664AC3">
        <w:rPr>
          <w:caps/>
          <w:sz w:val="24"/>
        </w:rPr>
        <w:t>ième session</w:t>
      </w:r>
      <w:r>
        <w:rPr>
          <w:caps/>
          <w:sz w:val="24"/>
        </w:rPr>
        <w:t xml:space="preserve"> du </w:t>
      </w:r>
      <w:r w:rsidR="00A25AD2">
        <w:rPr>
          <w:caps/>
          <w:sz w:val="24"/>
        </w:rPr>
        <w:t>c</w:t>
      </w:r>
      <w:r>
        <w:rPr>
          <w:caps/>
          <w:sz w:val="24"/>
        </w:rPr>
        <w:t>omité</w:t>
      </w:r>
    </w:p>
    <w:p w:rsidR="008B2CC1" w:rsidRPr="008B2CC1" w:rsidRDefault="00FD0CC3" w:rsidP="00B1090C">
      <w:pPr>
        <w:spacing w:after="1040"/>
        <w:rPr>
          <w:i/>
        </w:rPr>
      </w:pPr>
      <w:bookmarkStart w:id="4" w:name="Prepared"/>
      <w:bookmarkEnd w:id="3"/>
      <w:bookmarkEnd w:id="4"/>
      <w:r>
        <w:rPr>
          <w:i/>
        </w:rPr>
        <w:t>Document établi par le Secrétariat</w:t>
      </w:r>
    </w:p>
    <w:p w:rsidR="00664AC3" w:rsidRPr="00390B25" w:rsidRDefault="00FD0CC3" w:rsidP="00390B25">
      <w:pPr>
        <w:pStyle w:val="ONUMFS"/>
      </w:pPr>
      <w:r w:rsidRPr="00390B25">
        <w:t>Lors de sa quarante</w:t>
      </w:r>
      <w:r w:rsidR="00390B25">
        <w:noBreakHyphen/>
      </w:r>
      <w:r w:rsidRPr="00390B25">
        <w:t>trois</w:t>
      </w:r>
      <w:r w:rsidR="00664AC3" w:rsidRPr="00390B25">
        <w:t>ième session</w:t>
      </w:r>
      <w:r w:rsidRPr="00390B25">
        <w:t>, le Comité intergouvernemental de la propriété intellectuelle relative aux ressources génétiques, aux savoirs traditionnels et au folklore</w:t>
      </w:r>
      <w:r w:rsidR="00390B25">
        <w:t> </w:t>
      </w:r>
      <w:r w:rsidRPr="00390B25">
        <w:t>(IGC) a pris les décisions ci</w:t>
      </w:r>
      <w:r w:rsidR="00390B25">
        <w:noBreakHyphen/>
      </w:r>
      <w:r w:rsidRPr="00390B25">
        <w:t>après concernant les activités virtuelles visant à accélérer les travaux de l</w:t>
      </w:r>
      <w:r w:rsidR="00664AC3" w:rsidRPr="00390B25">
        <w:t>’</w:t>
      </w:r>
      <w:r w:rsidRPr="00390B25">
        <w:t>IGC</w:t>
      </w:r>
      <w:r w:rsidR="00664AC3" w:rsidRPr="00390B25">
        <w:t> :</w:t>
      </w:r>
    </w:p>
    <w:p w:rsidR="00FD0CC3" w:rsidRPr="00390B25" w:rsidRDefault="00FD0CC3" w:rsidP="00390B25">
      <w:pPr>
        <w:pStyle w:val="ONUMFS"/>
        <w:numPr>
          <w:ilvl w:val="0"/>
          <w:numId w:val="0"/>
        </w:numPr>
        <w:ind w:left="567"/>
      </w:pPr>
      <w:r w:rsidRPr="00390B25">
        <w:t>“Le comité a décidé que le Secrétariat devrait organiser d</w:t>
      </w:r>
      <w:r w:rsidR="00664AC3" w:rsidRPr="00390B25">
        <w:t>’</w:t>
      </w:r>
      <w:r w:rsidRPr="00390B25">
        <w:t>autres réunions ad</w:t>
      </w:r>
      <w:r w:rsidR="007057FA" w:rsidRPr="00390B25">
        <w:t> </w:t>
      </w:r>
      <w:r w:rsidRPr="00390B25">
        <w:t>hoc virtuelles d</w:t>
      </w:r>
      <w:r w:rsidR="00664AC3" w:rsidRPr="00390B25">
        <w:t>’</w:t>
      </w:r>
      <w:r w:rsidRPr="00390B25">
        <w:t>experts sur d</w:t>
      </w:r>
      <w:r w:rsidR="00664AC3" w:rsidRPr="00390B25">
        <w:t>’</w:t>
      </w:r>
      <w:r w:rsidRPr="00390B25">
        <w:t>éventuelles exigences de divulgation, et un séminaire virtuel ou d</w:t>
      </w:r>
      <w:r w:rsidR="00664AC3" w:rsidRPr="00390B25">
        <w:t>’</w:t>
      </w:r>
      <w:r w:rsidRPr="00390B25">
        <w:t>autres réunions techniques virtuelles sur les systèmes d</w:t>
      </w:r>
      <w:r w:rsidR="00664AC3" w:rsidRPr="00390B25">
        <w:t>’</w:t>
      </w:r>
      <w:r w:rsidRPr="00390B25">
        <w:t>information, les registres et les bases de données sur les ressources génétiques, les savoirs traditionnels et les expressions culturelles traditionnelles avant la quarante</w:t>
      </w:r>
      <w:r w:rsidR="00390B25">
        <w:noBreakHyphen/>
      </w:r>
      <w:r w:rsidRPr="00390B25">
        <w:t>sept</w:t>
      </w:r>
      <w:r w:rsidR="00664AC3" w:rsidRPr="00390B25">
        <w:t>ième session</w:t>
      </w:r>
      <w:r w:rsidRPr="00390B25">
        <w:t xml:space="preserve"> du comité, et fournir des rapports écrits sur ces réunions au comi</w:t>
      </w:r>
      <w:r w:rsidR="00A25AD2" w:rsidRPr="00390B25">
        <w:t>té.  Ce</w:t>
      </w:r>
      <w:r w:rsidRPr="00390B25">
        <w:t>s réunions devraient réunir des experts reflétant différents intérêts et une représentation géographique équilibrée et ne devraient pas remplacer ni retarder les négociations sur la base d</w:t>
      </w:r>
      <w:r w:rsidR="00664AC3" w:rsidRPr="00390B25">
        <w:t>’</w:t>
      </w:r>
      <w:r w:rsidRPr="00390B25">
        <w:t>un texte en cours au sein du comité.”</w:t>
      </w:r>
    </w:p>
    <w:p w:rsidR="00FD0CC3" w:rsidRPr="00390B25" w:rsidRDefault="00FD0CC3" w:rsidP="00390B25">
      <w:pPr>
        <w:pStyle w:val="ONUMFS"/>
        <w:numPr>
          <w:ilvl w:val="0"/>
          <w:numId w:val="0"/>
        </w:numPr>
        <w:ind w:left="567"/>
      </w:pPr>
      <w:r w:rsidRPr="00390B25">
        <w:t>“En ce qui concerne les systèmes d</w:t>
      </w:r>
      <w:r w:rsidR="00664AC3" w:rsidRPr="00390B25">
        <w:t>’</w:t>
      </w:r>
      <w:r w:rsidRPr="00390B25">
        <w:t>information, les registres et les bases de données sur les ressources génétiques, les savoirs traditionnels et les expressions culturelles traditionnelles, le Secrétariat est invité à publier une enquête en ligne à laquelle les États membres et les observateurs accrédités pourraient répondre, s</w:t>
      </w:r>
      <w:r w:rsidR="00664AC3" w:rsidRPr="00390B25">
        <w:t>’</w:t>
      </w:r>
      <w:r w:rsidRPr="00390B25">
        <w:t>ils le souhaite</w:t>
      </w:r>
      <w:r w:rsidR="00A25AD2" w:rsidRPr="00390B25">
        <w:t>nt.  Le</w:t>
      </w:r>
      <w:r w:rsidRPr="00390B25">
        <w:t>s réponses à l</w:t>
      </w:r>
      <w:r w:rsidR="00664AC3" w:rsidRPr="00390B25">
        <w:t>’</w:t>
      </w:r>
      <w:r w:rsidRPr="00390B25">
        <w:t xml:space="preserve">enquête </w:t>
      </w:r>
      <w:r w:rsidRPr="00390B25">
        <w:lastRenderedPageBreak/>
        <w:t>seront publiées par le Secrétariat, en ligne et dans une version actualisée du document</w:t>
      </w:r>
      <w:r w:rsidR="00A25AD2" w:rsidRPr="00390B25">
        <w:t> </w:t>
      </w:r>
      <w:r w:rsidR="00390B25">
        <w:t>WIPO/GRTKF/IC/43/6.”</w:t>
      </w:r>
    </w:p>
    <w:p w:rsidR="00664AC3" w:rsidRPr="00390B25" w:rsidRDefault="00FD0CC3" w:rsidP="00390B25">
      <w:pPr>
        <w:pStyle w:val="ONUMFS"/>
      </w:pPr>
      <w:r w:rsidRPr="00390B25">
        <w:t>Conformément à ces décisions, le Secrétariat a publié une enquête en ligne et a organisé des réunions ad</w:t>
      </w:r>
      <w:r w:rsidR="007057FA" w:rsidRPr="00390B25">
        <w:t> </w:t>
      </w:r>
      <w:r w:rsidRPr="00390B25">
        <w:t>hoc virtuelles d</w:t>
      </w:r>
      <w:r w:rsidR="00664AC3" w:rsidRPr="00390B25">
        <w:t>’</w:t>
      </w:r>
      <w:r w:rsidRPr="00390B25">
        <w:t>experts sur d</w:t>
      </w:r>
      <w:r w:rsidR="00664AC3" w:rsidRPr="00390B25">
        <w:t>’</w:t>
      </w:r>
      <w:r w:rsidRPr="00390B25">
        <w:t>éventuelles exigences de divulgation, et des réunions techniques virtuelles sur les systèmes d</w:t>
      </w:r>
      <w:r w:rsidR="00664AC3" w:rsidRPr="00390B25">
        <w:t>’</w:t>
      </w:r>
      <w:r w:rsidRPr="00390B25">
        <w:t>information, les registres et les bases de données sur les ressources génétiques, les savoirs traditionnels et les expressions culturelles traditionnell</w:t>
      </w:r>
      <w:r w:rsidR="00A25AD2" w:rsidRPr="00390B25">
        <w:t>es.  Le</w:t>
      </w:r>
      <w:r w:rsidRPr="00390B25">
        <w:t xml:space="preserve"> présent document contient un rapport factuel sur ces trois</w:t>
      </w:r>
      <w:r w:rsidR="007057FA" w:rsidRPr="00390B25">
        <w:t> </w:t>
      </w:r>
      <w:r w:rsidRPr="00390B25">
        <w:t>activités virtuelles.</w:t>
      </w:r>
    </w:p>
    <w:p w:rsidR="00FD0CC3" w:rsidRPr="00797438" w:rsidRDefault="00390B25" w:rsidP="00797438">
      <w:pPr>
        <w:pStyle w:val="Heading1"/>
      </w:pPr>
      <w:r w:rsidRPr="00797438">
        <w:t>Enquête en ligne sur les systèmes d</w:t>
      </w:r>
      <w:r w:rsidR="00664AC3" w:rsidRPr="00797438">
        <w:t>’</w:t>
      </w:r>
      <w:r w:rsidRPr="00797438">
        <w:t>information, les registres et les bases de données sur les ressources génétiques, les savoirs traditionnels et les expressions culturelles traditionnelles</w:t>
      </w:r>
    </w:p>
    <w:p w:rsidR="00664AC3" w:rsidRDefault="00FD0CC3" w:rsidP="00DC5035">
      <w:pPr>
        <w:pStyle w:val="ONUMFS"/>
      </w:pPr>
      <w:r>
        <w:t>Le</w:t>
      </w:r>
      <w:r w:rsidR="00A25AD2">
        <w:t> </w:t>
      </w:r>
      <w:r>
        <w:t>2</w:t>
      </w:r>
      <w:r w:rsidR="00664AC3">
        <w:t>0 décembre 20</w:t>
      </w:r>
      <w:r>
        <w:t>22, le Secrétariat a publié une enquête en ligne concernant les systèmes d</w:t>
      </w:r>
      <w:r w:rsidR="00664AC3">
        <w:t>’</w:t>
      </w:r>
      <w:r>
        <w:t>information, les registres et les bases de données sur les ressources génétiques, les savoirs traditionnels et les expressions culturelles traditionnelles, à laquelle les États membres et les observateurs accrédités pouvaient répondre s</w:t>
      </w:r>
      <w:r w:rsidR="00664AC3">
        <w:t>’</w:t>
      </w:r>
      <w:r>
        <w:t>ils le souhaitaie</w:t>
      </w:r>
      <w:r w:rsidR="00A25AD2">
        <w:t>nt.  Le</w:t>
      </w:r>
      <w:r>
        <w:t>s États membres et les observateurs accrédités ont été invités à répondre aux questions de l</w:t>
      </w:r>
      <w:r w:rsidR="00664AC3">
        <w:t>’</w:t>
      </w:r>
      <w:r w:rsidR="00390B25">
        <w:t>enquête avant le </w:t>
      </w:r>
      <w:r>
        <w:t>1</w:t>
      </w:r>
      <w:r w:rsidR="00664AC3">
        <w:t>2 mai 20</w:t>
      </w:r>
      <w:r>
        <w:t>23.  Les associations et pays ci</w:t>
      </w:r>
      <w:r w:rsidR="00390B25">
        <w:noBreakHyphen/>
      </w:r>
      <w:r>
        <w:t>après ont répondu à l</w:t>
      </w:r>
      <w:r w:rsidR="00664AC3">
        <w:t>’</w:t>
      </w:r>
      <w:r>
        <w:t>enquête</w:t>
      </w:r>
      <w:r w:rsidR="00664AC3">
        <w:t> :</w:t>
      </w:r>
      <w:r>
        <w:t xml:space="preserve"> Association internationale pour la protection de la propriété intellectuelle</w:t>
      </w:r>
      <w:r w:rsidR="00390B25">
        <w:t> </w:t>
      </w:r>
      <w:r>
        <w:t>(AIPPI), Association pour le devenir des autochtones et de leur connaissance originelle</w:t>
      </w:r>
      <w:r w:rsidR="00390B25">
        <w:t> </w:t>
      </w:r>
      <w:r>
        <w:t>(ADACO), Brésil, Croatie, Équateur, Espagne, États</w:t>
      </w:r>
      <w:r w:rsidR="00390B25">
        <w:noBreakHyphen/>
      </w:r>
      <w:r>
        <w:t>Unis d</w:t>
      </w:r>
      <w:r w:rsidR="00664AC3">
        <w:t>’</w:t>
      </w:r>
      <w:r>
        <w:t>Amérique, France, Guatemala, Japon, Kirghizistan, Lituanie, Niger, Oman, Ouganda, Pérou, Pologne, République démocratique populaire lao, République tchèque, Slovénie, Thaïlande, Türkiye et Zimbab</w:t>
      </w:r>
      <w:r w:rsidR="00A25AD2">
        <w:t>we.  Le</w:t>
      </w:r>
      <w:r>
        <w:t>s réponses à l</w:t>
      </w:r>
      <w:r w:rsidR="00664AC3">
        <w:t>’</w:t>
      </w:r>
      <w:r>
        <w:t>enquête sont disponibles en ligne à l</w:t>
      </w:r>
      <w:r w:rsidR="00664AC3">
        <w:t>’</w:t>
      </w:r>
      <w:r>
        <w:t xml:space="preserve">adresse </w:t>
      </w:r>
      <w:hyperlink r:id="rId9" w:history="1">
        <w:r w:rsidR="007057FA">
          <w:rPr>
            <w:rStyle w:val="Hyperlink"/>
          </w:rPr>
          <w:t>https:</w:t>
        </w:r>
        <w:r>
          <w:rPr>
            <w:rStyle w:val="Hyperlink"/>
          </w:rPr>
          <w:t>//www.wipo.int/tk/fr/igc/co</w:t>
        </w:r>
        <w:r>
          <w:rPr>
            <w:rStyle w:val="Hyperlink"/>
          </w:rPr>
          <w:t>n</w:t>
        </w:r>
        <w:r>
          <w:rPr>
            <w:rStyle w:val="Hyperlink"/>
          </w:rPr>
          <w:t>sultations.html</w:t>
        </w:r>
      </w:hyperlink>
      <w:r w:rsidR="00A25AD2" w:rsidRPr="00390B25">
        <w:rPr>
          <w:rStyle w:val="Hyperlink"/>
          <w:color w:val="auto"/>
          <w:u w:val="none"/>
        </w:rPr>
        <w:t>.</w:t>
      </w:r>
    </w:p>
    <w:p w:rsidR="00664AC3" w:rsidRDefault="00FD0CC3" w:rsidP="00797438">
      <w:pPr>
        <w:pStyle w:val="Heading1"/>
      </w:pPr>
      <w:r>
        <w:t>Réunions techniques virtuelles sur les systèmes d</w:t>
      </w:r>
      <w:r w:rsidR="00664AC3">
        <w:t>’</w:t>
      </w:r>
      <w:r>
        <w:t>information, les registres et les bases de données sur les ressources génétiques, les savoirs traditionnels et les expressions culturelles traditionnelles</w:t>
      </w:r>
    </w:p>
    <w:p w:rsidR="00FD0CC3" w:rsidRDefault="00FD0CC3" w:rsidP="00DC5035">
      <w:pPr>
        <w:pStyle w:val="ONUMFS"/>
      </w:pPr>
      <w:r>
        <w:t>Le Secrétariat a organisé des réunions techniques virtuelles d</w:t>
      </w:r>
      <w:r w:rsidR="00664AC3">
        <w:t>’</w:t>
      </w:r>
      <w:r>
        <w:t>experts sur les systèmes d</w:t>
      </w:r>
      <w:r w:rsidR="00664AC3">
        <w:t>’</w:t>
      </w:r>
      <w:r>
        <w:t>information, les registres et les bases de données sur les ressources génétiques, les savoirs traditionnels et les expressions culturelles traditionnelles (regroupés dans le présent document, par souci de concision, sous le libellé “systèmes d</w:t>
      </w:r>
      <w:r w:rsidR="00664AC3">
        <w:t>’</w:t>
      </w:r>
      <w:r>
        <w:t>information”).</w:t>
      </w:r>
    </w:p>
    <w:p w:rsidR="00664AC3" w:rsidRDefault="00FD0CC3" w:rsidP="00DC5035">
      <w:pPr>
        <w:pStyle w:val="ONUMFS"/>
      </w:pPr>
      <w:r>
        <w:t>Ces réunions d</w:t>
      </w:r>
      <w:r w:rsidR="00664AC3">
        <w:t>’</w:t>
      </w:r>
      <w:r>
        <w:t>experts visaient à analyser et à examiner les questions techniques et pratiques relatives aux systèmes d</w:t>
      </w:r>
      <w:r w:rsidR="00664AC3">
        <w:t>’</w:t>
      </w:r>
      <w:r>
        <w:t>information sur les ressources génétiques, les savoirs traditionnels et les expressions culturelles traditionnelles, et à faciliter les négociations de l</w:t>
      </w:r>
      <w:r w:rsidR="00664AC3">
        <w:t>’</w:t>
      </w:r>
      <w:r>
        <w:t>IGC sur les systèmes d</w:t>
      </w:r>
      <w:r w:rsidR="00664AC3">
        <w:t>’</w:t>
      </w:r>
      <w:r>
        <w:t>information en formulant des suggestions pour améliorer la clarté des projet</w:t>
      </w:r>
      <w:r w:rsidR="00A25AD2">
        <w:t>s</w:t>
      </w:r>
      <w:r>
        <w:t xml:space="preserve"> d</w:t>
      </w:r>
      <w:r w:rsidR="00664AC3">
        <w:t>’</w:t>
      </w:r>
      <w:r>
        <w:t>instruments juridiques internationaux relatifs aux ressources génétiques, aux savoirs traditionnels et aux expressions culturelles traditionnelles, avant l</w:t>
      </w:r>
      <w:r w:rsidR="00664AC3">
        <w:t>’</w:t>
      </w:r>
      <w:r>
        <w:t>IGC.</w:t>
      </w:r>
    </w:p>
    <w:p w:rsidR="00FD0CC3" w:rsidRDefault="00FD0CC3" w:rsidP="00390B25">
      <w:pPr>
        <w:pStyle w:val="ONUMFS"/>
        <w:numPr>
          <w:ilvl w:val="0"/>
          <w:numId w:val="12"/>
        </w:numPr>
        <w:ind w:left="1134" w:hanging="567"/>
        <w:rPr>
          <w:szCs w:val="22"/>
        </w:rPr>
      </w:pPr>
      <w:r>
        <w:t>La première</w:t>
      </w:r>
      <w:r w:rsidR="00390B25">
        <w:t> </w:t>
      </w:r>
      <w:r>
        <w:t>réunion, qui s</w:t>
      </w:r>
      <w:r w:rsidR="00664AC3">
        <w:t>’</w:t>
      </w:r>
      <w:r>
        <w:t>est tenue du</w:t>
      </w:r>
      <w:r w:rsidR="00390B25">
        <w:t> 13 au </w:t>
      </w:r>
      <w:r>
        <w:t>1</w:t>
      </w:r>
      <w:r w:rsidR="00664AC3">
        <w:t>6 février 20</w:t>
      </w:r>
      <w:r>
        <w:t>23, a abordé les questions ci</w:t>
      </w:r>
      <w:r w:rsidR="00390B25">
        <w:noBreakHyphen/>
      </w:r>
      <w:r>
        <w:t>après</w:t>
      </w:r>
      <w:r w:rsidR="00664AC3">
        <w:t> :</w:t>
      </w:r>
    </w:p>
    <w:p w:rsidR="00FD0CC3" w:rsidRDefault="00FD0CC3" w:rsidP="00390B25">
      <w:pPr>
        <w:pStyle w:val="ONUMFS"/>
        <w:numPr>
          <w:ilvl w:val="0"/>
          <w:numId w:val="13"/>
        </w:numPr>
        <w:spacing w:after="0"/>
        <w:ind w:left="1701" w:hanging="567"/>
        <w:rPr>
          <w:bCs/>
          <w:szCs w:val="22"/>
        </w:rPr>
      </w:pPr>
      <w:r>
        <w:t>Concernant les ressources génétiques et les savoirs traditionnels connexes</w:t>
      </w:r>
      <w:r w:rsidR="00664AC3">
        <w:t> :</w:t>
      </w:r>
      <w:r>
        <w:t xml:space="preserve"> </w:t>
      </w:r>
      <w:r w:rsidR="00390B25">
        <w:t>c</w:t>
      </w:r>
      <w:r>
        <w:t>ompte tenu de l</w:t>
      </w:r>
      <w:r w:rsidR="00664AC3">
        <w:t>’article 7</w:t>
      </w:r>
      <w:r>
        <w:t xml:space="preserve"> du Texte du président sur le projet d</w:t>
      </w:r>
      <w:r w:rsidR="00664AC3">
        <w:t>’</w:t>
      </w:r>
      <w:r>
        <w:t>instrument juridique international sur la propriété intellectuelle relative aux ressources génétiques et aux savoirs traditionnels associés aux ressources génétiques (document</w:t>
      </w:r>
      <w:r w:rsidR="00390B25">
        <w:t> </w:t>
      </w:r>
      <w:r>
        <w:t>WIPO/GRTKF/IC/43/5) et de l</w:t>
      </w:r>
      <w:r w:rsidR="00664AC3">
        <w:t>’article 1</w:t>
      </w:r>
      <w:r>
        <w:t>0 du document de synthèse concernant la propriété intellectuelle et les ressources génétiques (document</w:t>
      </w:r>
      <w:r w:rsidR="00390B25">
        <w:t> </w:t>
      </w:r>
      <w:r>
        <w:t>WIPO/GRTKF/IC/43/4), quel pourrait être le contenu d</w:t>
      </w:r>
      <w:r w:rsidR="00664AC3">
        <w:t>’</w:t>
      </w:r>
      <w:r>
        <w:t>un article sur les systèmes d</w:t>
      </w:r>
      <w:r w:rsidR="00664AC3">
        <w:t>’</w:t>
      </w:r>
      <w:r>
        <w:t>information dans un instrument juridique international sur la propriété intellectuelle relative aux ressources génétiques et aux savoirs traditionnels associés aux ressources génétiques tel que visé dans la décision de convoquer une conférence diplomatique?</w:t>
      </w:r>
    </w:p>
    <w:p w:rsidR="00664AC3" w:rsidRDefault="00FD0CC3" w:rsidP="00390B25">
      <w:pPr>
        <w:pStyle w:val="ONUMFS"/>
        <w:numPr>
          <w:ilvl w:val="0"/>
          <w:numId w:val="13"/>
        </w:numPr>
        <w:spacing w:after="0"/>
        <w:ind w:left="1701" w:hanging="567"/>
      </w:pPr>
      <w:r>
        <w:t>Concernant les savoirs traditionnels</w:t>
      </w:r>
      <w:r w:rsidR="00664AC3">
        <w:t> :</w:t>
      </w:r>
      <w:r>
        <w:t xml:space="preserve"> </w:t>
      </w:r>
      <w:r w:rsidR="008A2E11">
        <w:t>c</w:t>
      </w:r>
      <w:r>
        <w:t>ompte tenu de l</w:t>
      </w:r>
      <w:r w:rsidR="00664AC3">
        <w:t>’article 5</w:t>
      </w:r>
      <w:r w:rsidR="008A2E11" w:rsidRPr="008A2E11">
        <w:rPr>
          <w:i/>
        </w:rPr>
        <w:t>bis</w:t>
      </w:r>
      <w:r>
        <w:t xml:space="preserve"> des projets d</w:t>
      </w:r>
      <w:r w:rsidR="00664AC3">
        <w:t>’</w:t>
      </w:r>
      <w:r>
        <w:t>articles sur la protection des savoirs traditionnels (</w:t>
      </w:r>
      <w:r w:rsidR="008A2E11">
        <w:t>document </w:t>
      </w:r>
      <w:r>
        <w:t>WIPO/GRTKF/IC/46/4), quel pourrait être le contenu d</w:t>
      </w:r>
      <w:r w:rsidR="00664AC3">
        <w:t>’</w:t>
      </w:r>
      <w:r>
        <w:t>un article sur les bases de données dans un futur instrument juridique international relatif à la propriété intellectuelle et aux savoirs traditionnels?</w:t>
      </w:r>
    </w:p>
    <w:p w:rsidR="00FD0CC3" w:rsidRPr="00EF70DA" w:rsidRDefault="00FD0CC3" w:rsidP="008A2E11">
      <w:pPr>
        <w:pStyle w:val="ONUMFS"/>
        <w:numPr>
          <w:ilvl w:val="0"/>
          <w:numId w:val="13"/>
        </w:numPr>
        <w:ind w:left="1701" w:hanging="567"/>
        <w:rPr>
          <w:bCs/>
          <w:szCs w:val="22"/>
        </w:rPr>
      </w:pPr>
      <w:r>
        <w:t>Concernant les savoirs traditionnels et les expressions culturelles traditionnelles</w:t>
      </w:r>
      <w:r w:rsidR="00664AC3">
        <w:t> :</w:t>
      </w:r>
      <w:r>
        <w:t xml:space="preserve"> </w:t>
      </w:r>
      <w:r w:rsidR="008A2E11">
        <w:t>c</w:t>
      </w:r>
      <w:r>
        <w:t>ompte tenu de l</w:t>
      </w:r>
      <w:r w:rsidR="00664AC3">
        <w:t>’article 1</w:t>
      </w:r>
      <w:r>
        <w:t>1 des projets d</w:t>
      </w:r>
      <w:r w:rsidR="00664AC3">
        <w:t>’</w:t>
      </w:r>
      <w:r>
        <w:t>articles sur la protection des savoirs traditionnels (</w:t>
      </w:r>
      <w:r w:rsidR="008A2E11">
        <w:t>document </w:t>
      </w:r>
      <w:r>
        <w:t>WIPO/GRTKF/IC/46/4) et de l</w:t>
      </w:r>
      <w:r w:rsidR="00664AC3">
        <w:t>’article 9</w:t>
      </w:r>
      <w:r>
        <w:t xml:space="preserve"> des projets d</w:t>
      </w:r>
      <w:r w:rsidR="00664AC3">
        <w:t>’</w:t>
      </w:r>
      <w:r>
        <w:t>articles sur la protection des expressions culturelles traditionnelles (</w:t>
      </w:r>
      <w:r w:rsidR="008A2E11">
        <w:t>document </w:t>
      </w:r>
      <w:r>
        <w:t>WIPO/GRTKF/IC/46/5), au niveau international, la protection générale serait</w:t>
      </w:r>
      <w:r w:rsidR="00144FAC">
        <w:noBreakHyphen/>
      </w:r>
      <w:r>
        <w:t>elle subordonnée à l</w:t>
      </w:r>
      <w:r w:rsidR="00664AC3">
        <w:t>’</w:t>
      </w:r>
      <w:r>
        <w:t>enregistrement des savoirs traditionnels et des expressions culturelles traditionnelles dans des bases de données ou des registres, ou à une quelconque autre formalité?</w:t>
      </w:r>
    </w:p>
    <w:p w:rsidR="00FD0CC3" w:rsidRDefault="00FD0CC3" w:rsidP="008A2E11">
      <w:pPr>
        <w:pStyle w:val="ONUMFS"/>
        <w:numPr>
          <w:ilvl w:val="0"/>
          <w:numId w:val="12"/>
        </w:numPr>
        <w:ind w:left="1134" w:hanging="567"/>
        <w:rPr>
          <w:szCs w:val="22"/>
        </w:rPr>
      </w:pPr>
      <w:r>
        <w:t>La deuxième</w:t>
      </w:r>
      <w:r w:rsidR="008A2E11">
        <w:t> </w:t>
      </w:r>
      <w:r>
        <w:t>réunion, qui s</w:t>
      </w:r>
      <w:r w:rsidR="00664AC3">
        <w:t>’</w:t>
      </w:r>
      <w:r>
        <w:t>est tenue du</w:t>
      </w:r>
      <w:r w:rsidR="008A2E11">
        <w:t> </w:t>
      </w:r>
      <w:r>
        <w:t>27 au</w:t>
      </w:r>
      <w:r w:rsidR="008A2E11">
        <w:t> </w:t>
      </w:r>
      <w:r>
        <w:t>3</w:t>
      </w:r>
      <w:r w:rsidR="00664AC3">
        <w:t>0 mars 20</w:t>
      </w:r>
      <w:r>
        <w:t>23, a examiné certaines questions techniques et pratiques relatives à la mise en place et à la maintenance des systèmes d</w:t>
      </w:r>
      <w:r w:rsidR="00664AC3">
        <w:t>’</w:t>
      </w:r>
      <w:r>
        <w:t>information, bases de données et registres sur les ressources génétiques, les savoirs traditionnels et les expressions culturelles traditionnelles, et a notamment posé les questions ci</w:t>
      </w:r>
      <w:r w:rsidR="008A2E11">
        <w:noBreakHyphen/>
      </w:r>
      <w:r>
        <w:t>après</w:t>
      </w:r>
      <w:r w:rsidR="00664AC3">
        <w:t> :</w:t>
      </w:r>
    </w:p>
    <w:p w:rsidR="00FD0CC3" w:rsidRPr="00D54C80" w:rsidRDefault="008A2E11" w:rsidP="008A2E11">
      <w:pPr>
        <w:pStyle w:val="ONUMFS"/>
        <w:numPr>
          <w:ilvl w:val="0"/>
          <w:numId w:val="14"/>
        </w:numPr>
        <w:spacing w:after="0"/>
        <w:ind w:left="1701" w:hanging="567"/>
        <w:rPr>
          <w:szCs w:val="22"/>
        </w:rPr>
      </w:pPr>
      <w:r>
        <w:t>A</w:t>
      </w:r>
      <w:r w:rsidR="00FD0CC3">
        <w:t>u niveau international, quelles devraient être les normes d</w:t>
      </w:r>
      <w:r w:rsidR="00664AC3">
        <w:t>’</w:t>
      </w:r>
      <w:r w:rsidR="00FD0CC3">
        <w:t>interopérabilité entre les systèmes d</w:t>
      </w:r>
      <w:r w:rsidR="00664AC3">
        <w:t>’</w:t>
      </w:r>
      <w:r w:rsidR="00FD0CC3">
        <w:t>information d</w:t>
      </w:r>
      <w:r w:rsidR="00664AC3">
        <w:t>’</w:t>
      </w:r>
      <w:r w:rsidR="00FD0CC3">
        <w:t>un État membre et les systèmes d</w:t>
      </w:r>
      <w:r w:rsidR="00664AC3">
        <w:t>’</w:t>
      </w:r>
      <w:r w:rsidR="00FD0CC3">
        <w:t>information d</w:t>
      </w:r>
      <w:r w:rsidR="00664AC3">
        <w:t>’</w:t>
      </w:r>
      <w:r w:rsidR="00FD0CC3">
        <w:t>un autre État membre, notamment les normes concernant i) les formats de données (par exemple, XML, champs de données, etc.);  ii) les données relatives au contenu (par exemple, description, fonction, utilisation technique des ressources génétiques, des savoirs traditionnels ou des expressions culturelles traditionnelles);  iii) les métadonnées relatives aux droits (par exemple, titulaire du droit, objet, date de fixation, etc.);  ou iv) les structures des systèmes et services d</w:t>
      </w:r>
      <w:r w:rsidR="00664AC3">
        <w:t>’</w:t>
      </w:r>
      <w:r w:rsidR="00FD0CC3">
        <w:t>inform</w:t>
      </w:r>
      <w:r>
        <w:t>ation (par exemple, API, etc.)?</w:t>
      </w:r>
    </w:p>
    <w:p w:rsidR="00FD0CC3" w:rsidRPr="00D54C80" w:rsidRDefault="00FD0CC3" w:rsidP="008A2E11">
      <w:pPr>
        <w:pStyle w:val="ONUMFS"/>
        <w:numPr>
          <w:ilvl w:val="0"/>
          <w:numId w:val="14"/>
        </w:numPr>
        <w:spacing w:after="0"/>
        <w:ind w:left="1701" w:hanging="567"/>
        <w:rPr>
          <w:szCs w:val="22"/>
        </w:rPr>
      </w:pPr>
      <w:r>
        <w:t>Quels devraient être les principes et modalités applicables au partage des informations pertinentes concernant les ressources génétiques, les savoirs traditionnels et les expressions culturelles traditionnelles, notamment des périodiques, des bibliothèques numériques et des bases de données d</w:t>
      </w:r>
      <w:r w:rsidR="00664AC3">
        <w:t>’</w:t>
      </w:r>
      <w:r>
        <w:t>informations relatives aux ressources génétiques, aux savoirs traditionnels et aux expressions culturelles traditionnelles, et comment les membres de l</w:t>
      </w:r>
      <w:r w:rsidR="00664AC3">
        <w:t>’</w:t>
      </w:r>
      <w:r>
        <w:t>OMPI devraient</w:t>
      </w:r>
      <w:r w:rsidR="00144FAC">
        <w:noBreakHyphen/>
      </w:r>
      <w:r>
        <w:t>ils coopérer pour le partage de ces informations?</w:t>
      </w:r>
    </w:p>
    <w:p w:rsidR="00664AC3" w:rsidRDefault="00FD0CC3" w:rsidP="008A2E11">
      <w:pPr>
        <w:pStyle w:val="ONUMFS"/>
        <w:numPr>
          <w:ilvl w:val="0"/>
          <w:numId w:val="14"/>
        </w:numPr>
        <w:spacing w:after="0"/>
        <w:ind w:left="1701" w:hanging="567"/>
      </w:pPr>
      <w:r>
        <w:t>Comment structurer les données à stocker dans les bases de données (p.</w:t>
      </w:r>
      <w:r w:rsidR="007057FA">
        <w:t> </w:t>
      </w:r>
      <w:r>
        <w:t>ex., ressources génétiques et savoirs traditionnels non secrets associés aux ressources génétiques) pour mener des recherches efficaces sur l</w:t>
      </w:r>
      <w:r w:rsidR="00664AC3">
        <w:t>’</w:t>
      </w:r>
      <w:r>
        <w:t>état de la technique?</w:t>
      </w:r>
    </w:p>
    <w:p w:rsidR="00FD0CC3" w:rsidRPr="00EF70DA" w:rsidRDefault="00FD0CC3" w:rsidP="008A2E11">
      <w:pPr>
        <w:pStyle w:val="ONUMFS"/>
        <w:numPr>
          <w:ilvl w:val="0"/>
          <w:numId w:val="14"/>
        </w:numPr>
        <w:ind w:left="1701" w:hanging="567"/>
        <w:rPr>
          <w:szCs w:val="22"/>
        </w:rPr>
      </w:pPr>
      <w:r>
        <w:t>Quelle est l</w:t>
      </w:r>
      <w:r w:rsidR="00664AC3">
        <w:t>’</w:t>
      </w:r>
      <w:r>
        <w:t>incidence des bases de données nationales sur les ressources génétiques et les savoirs traditionnels non secrets qui y sont associés protégées par le droit tribal ou la législation en matière de propriété intellectuelle (p.</w:t>
      </w:r>
      <w:r w:rsidR="007057FA">
        <w:t> </w:t>
      </w:r>
      <w:r>
        <w:t>ex., en cas d</w:t>
      </w:r>
      <w:r w:rsidR="00664AC3">
        <w:t>’</w:t>
      </w:r>
      <w:r>
        <w:t>accès non autorisé d</w:t>
      </w:r>
      <w:r w:rsidR="00664AC3">
        <w:t>’</w:t>
      </w:r>
      <w:r>
        <w:t>un tiers à une base de données nationale ou au portail de l</w:t>
      </w:r>
      <w:r w:rsidR="00664AC3">
        <w:t>’</w:t>
      </w:r>
      <w:r>
        <w:t>OMPI)?</w:t>
      </w:r>
    </w:p>
    <w:p w:rsidR="00FD0CC3" w:rsidRPr="00444934" w:rsidRDefault="00FD0CC3" w:rsidP="00DC5035">
      <w:pPr>
        <w:pStyle w:val="ONUMFS"/>
        <w:rPr>
          <w:szCs w:val="22"/>
        </w:rPr>
      </w:pPr>
      <w:r>
        <w:t>M.</w:t>
      </w:r>
      <w:r w:rsidR="007057FA">
        <w:t> </w:t>
      </w:r>
      <w:r>
        <w:t>Felipe</w:t>
      </w:r>
      <w:r w:rsidR="00887C90">
        <w:t> </w:t>
      </w:r>
      <w:r>
        <w:t>Carino, l</w:t>
      </w:r>
      <w:r w:rsidR="00664AC3">
        <w:t>’</w:t>
      </w:r>
      <w:r>
        <w:t>un des vice</w:t>
      </w:r>
      <w:r w:rsidR="008A2E11">
        <w:noBreakHyphen/>
      </w:r>
      <w:r>
        <w:t>présidents de l</w:t>
      </w:r>
      <w:r w:rsidR="00664AC3">
        <w:t>’</w:t>
      </w:r>
      <w:r>
        <w:t>IGC, a présidé les réunions.</w:t>
      </w:r>
    </w:p>
    <w:p w:rsidR="00FD0CC3" w:rsidRDefault="00FD0CC3" w:rsidP="00DC5035">
      <w:pPr>
        <w:pStyle w:val="ONUMFS"/>
        <w:rPr>
          <w:szCs w:val="22"/>
        </w:rPr>
      </w:pPr>
      <w:r>
        <w:t>Les États membres et les observateurs accrédités ont été invités à désigner des experts en soumettant le nom et les coordonnées compl</w:t>
      </w:r>
      <w:r w:rsidR="00887C90">
        <w:t>ète</w:t>
      </w:r>
      <w:r>
        <w:t>s de la ou des personne(s) désignée(s), ainsi qu</w:t>
      </w:r>
      <w:r w:rsidR="00664AC3">
        <w:t>’</w:t>
      </w:r>
      <w:r>
        <w:t>un curriculum vitae indiquant leur domaine d</w:t>
      </w:r>
      <w:r w:rsidR="00664AC3">
        <w:t>’</w:t>
      </w:r>
      <w:r>
        <w:t>experti</w:t>
      </w:r>
      <w:r w:rsidR="00A25AD2">
        <w:t>se.  Le</w:t>
      </w:r>
      <w:r>
        <w:t xml:space="preserve"> Secrétariat a sélectionné les experts en fonction de leurs compétences et de leur expérience, en tenant compte de l</w:t>
      </w:r>
      <w:r w:rsidR="00664AC3">
        <w:t>’</w:t>
      </w:r>
      <w:r>
        <w:t>équilibre entre les régions et les sex</w:t>
      </w:r>
      <w:r w:rsidR="00A25AD2">
        <w:t>es.  Ou</w:t>
      </w:r>
      <w:r>
        <w:t>tre les experts désignés par les États membres et les observateurs, le Secrétariat a invité M.</w:t>
      </w:r>
      <w:r w:rsidR="007057FA">
        <w:t> </w:t>
      </w:r>
      <w:r>
        <w:t>Paul</w:t>
      </w:r>
      <w:r w:rsidR="00887C90">
        <w:t> </w:t>
      </w:r>
      <w:r>
        <w:t>Oldham, directeur de One</w:t>
      </w:r>
      <w:r w:rsidR="008A2E11">
        <w:t> </w:t>
      </w:r>
      <w:r>
        <w:t>World</w:t>
      </w:r>
      <w:r w:rsidR="008A2E11">
        <w:t> </w:t>
      </w:r>
      <w:r>
        <w:t>Analytics, à</w:t>
      </w:r>
      <w:r w:rsidR="00797438">
        <w:t> </w:t>
      </w:r>
      <w:r>
        <w:t>participer aux réunions en qualité d</w:t>
      </w:r>
      <w:r w:rsidR="00664AC3">
        <w:t>’</w:t>
      </w:r>
      <w:r>
        <w:t>expe</w:t>
      </w:r>
      <w:r w:rsidR="00A25AD2">
        <w:t>rt.  La</w:t>
      </w:r>
      <w:r>
        <w:t xml:space="preserve"> liste des experts participant à la réunion figure dans l</w:t>
      </w:r>
      <w:r w:rsidR="00664AC3">
        <w:t>’annexe I</w:t>
      </w:r>
      <w:r>
        <w:t>.</w:t>
      </w:r>
    </w:p>
    <w:p w:rsidR="00FD0CC3" w:rsidRPr="008A2E11" w:rsidRDefault="00FD0CC3" w:rsidP="008A2E11">
      <w:pPr>
        <w:pStyle w:val="ONUMFS"/>
        <w:rPr>
          <w:szCs w:val="22"/>
        </w:rPr>
      </w:pPr>
      <w:r>
        <w:t>Les experts ont participé à titre individu</w:t>
      </w:r>
      <w:r w:rsidR="00A25AD2">
        <w:t>el.  Le</w:t>
      </w:r>
      <w:r>
        <w:t>s règles de Chatham</w:t>
      </w:r>
      <w:r w:rsidR="008A2E11">
        <w:t> </w:t>
      </w:r>
      <w:r>
        <w:t>House, selon lesquelles “les participants sont libres d</w:t>
      </w:r>
      <w:r w:rsidR="00664AC3">
        <w:t>’</w:t>
      </w:r>
      <w:r>
        <w:t>utiliser les informations reçues, mais ils ne doivent révéler ni l</w:t>
      </w:r>
      <w:r w:rsidR="00664AC3">
        <w:t>’</w:t>
      </w:r>
      <w:r>
        <w:t>identité ni l</w:t>
      </w:r>
      <w:r w:rsidR="00664AC3">
        <w:t>’</w:t>
      </w:r>
      <w:r>
        <w:t>affiliation des conférenciers, de même qu</w:t>
      </w:r>
      <w:r w:rsidR="00664AC3">
        <w:t>’</w:t>
      </w:r>
      <w:r>
        <w:t>ils ne doivent pas révéler l</w:t>
      </w:r>
      <w:r w:rsidR="00664AC3">
        <w:t>’</w:t>
      </w:r>
      <w:r>
        <w:t>identité des autres participants” ont été appliquées aux réunio</w:t>
      </w:r>
      <w:r w:rsidR="00A25AD2">
        <w:t>ns.  To</w:t>
      </w:r>
      <w:r>
        <w:t>us les experts ont également été priés de respecter le caractère officieux des réunions et de s</w:t>
      </w:r>
      <w:r w:rsidR="00664AC3">
        <w:t>’</w:t>
      </w:r>
      <w:r>
        <w:t>abstenir de divulguer au public, que ce soit “en direct” ou à tout moment par la suite, le contenu ou la nature des discussions qui ont lieu durant les réunions, que ce soit en termes généraux ou en citant les propos de tel ou tel expert.</w:t>
      </w:r>
    </w:p>
    <w:p w:rsidR="00FD0CC3" w:rsidRDefault="00FD0CC3" w:rsidP="00DC5035">
      <w:pPr>
        <w:pStyle w:val="ONUMFS"/>
        <w:rPr>
          <w:szCs w:val="22"/>
        </w:rPr>
      </w:pPr>
      <w:r>
        <w:t>Chaque réunion a duré quatre</w:t>
      </w:r>
      <w:r w:rsidR="007057FA">
        <w:t> </w:t>
      </w:r>
      <w:r>
        <w:t>jours, à raison de deux heures et demie par jour.</w:t>
      </w:r>
    </w:p>
    <w:p w:rsidR="00FD0CC3" w:rsidRDefault="00FD0CC3" w:rsidP="00DC5035">
      <w:pPr>
        <w:pStyle w:val="ONUMFS"/>
        <w:rPr>
          <w:szCs w:val="22"/>
        </w:rPr>
      </w:pPr>
      <w:r>
        <w:t>Les réunions n</w:t>
      </w:r>
      <w:r w:rsidR="00664AC3">
        <w:t>’</w:t>
      </w:r>
      <w:r>
        <w:t>ont été ni diffusées sur le</w:t>
      </w:r>
      <w:r w:rsidR="008A2E11">
        <w:t> </w:t>
      </w:r>
      <w:r>
        <w:t>Web ni enregistrées.</w:t>
      </w:r>
    </w:p>
    <w:p w:rsidR="00FD0CC3" w:rsidRDefault="00FD0CC3" w:rsidP="00DC5035">
      <w:pPr>
        <w:pStyle w:val="ONUMFS"/>
        <w:rPr>
          <w:szCs w:val="22"/>
        </w:rPr>
      </w:pPr>
      <w:r>
        <w:t>L</w:t>
      </w:r>
      <w:r w:rsidR="00664AC3">
        <w:t>’</w:t>
      </w:r>
      <w:r>
        <w:t>interprétation a été assurée en français, anglais et espagnol.</w:t>
      </w:r>
    </w:p>
    <w:p w:rsidR="00FD0CC3" w:rsidRPr="00C8692E" w:rsidRDefault="00FD0CC3" w:rsidP="00DC5035">
      <w:pPr>
        <w:pStyle w:val="ONUMFS"/>
        <w:rPr>
          <w:szCs w:val="22"/>
        </w:rPr>
      </w:pPr>
      <w:r>
        <w:t>Les experts des réunions techniques virtuelles sur les systèmes d</w:t>
      </w:r>
      <w:r w:rsidR="00664AC3">
        <w:t>’</w:t>
      </w:r>
      <w:r>
        <w:t>information, les registres et les bases de données sur les ressources génétiques, les savoirs traditionnels et les expressions culturelles traditionnelles ont tenu des discussions fructueuses et ont formulé les recommandations ci</w:t>
      </w:r>
      <w:r w:rsidR="008A2E11">
        <w:noBreakHyphen/>
      </w:r>
      <w:r>
        <w:t>après à la quarante</w:t>
      </w:r>
      <w:r w:rsidR="008A2E11">
        <w:noBreakHyphen/>
      </w:r>
      <w:r>
        <w:t>sept</w:t>
      </w:r>
      <w:r w:rsidR="00664AC3">
        <w:t>ième session</w:t>
      </w:r>
      <w:r>
        <w:t xml:space="preserve"> de l</w:t>
      </w:r>
      <w:r w:rsidR="00664AC3">
        <w:t>’</w:t>
      </w:r>
      <w:r>
        <w:t>IGC, pour examen par le comité</w:t>
      </w:r>
      <w:r w:rsidR="00664AC3">
        <w:t> :</w:t>
      </w:r>
    </w:p>
    <w:p w:rsidR="00FD0CC3" w:rsidRPr="008D1EBF" w:rsidRDefault="00FD0CC3" w:rsidP="008A2E11">
      <w:pPr>
        <w:pStyle w:val="ONUMFS"/>
        <w:numPr>
          <w:ilvl w:val="0"/>
          <w:numId w:val="15"/>
        </w:numPr>
        <w:ind w:left="1134" w:hanging="567"/>
      </w:pPr>
      <w:r>
        <w:t>Le libellé proposé pour l</w:t>
      </w:r>
      <w:r w:rsidR="00664AC3">
        <w:t>’article 7</w:t>
      </w:r>
      <w:r>
        <w:t xml:space="preserve"> du Texte du président sur le projet d</w:t>
      </w:r>
      <w:r w:rsidR="00664AC3">
        <w:t>’</w:t>
      </w:r>
      <w:r>
        <w:t>instrument juridique international sur la propriété intellectuelle relative aux ressources génétiques et aux savoirs traditionnels associés aux ressources génétiques (</w:t>
      </w:r>
      <w:r w:rsidR="008A2E11">
        <w:t>document </w:t>
      </w:r>
      <w:r>
        <w:t>WIPO/GRTKF/IC/43/5) concernant les systèmes d</w:t>
      </w:r>
      <w:r w:rsidR="00664AC3">
        <w:t>’</w:t>
      </w:r>
      <w:r>
        <w:t>information</w:t>
      </w:r>
      <w:r w:rsidR="00664AC3">
        <w:t> :</w:t>
      </w:r>
    </w:p>
    <w:p w:rsidR="00FD0CC3" w:rsidRPr="008A2E11" w:rsidRDefault="00664AC3" w:rsidP="008A2E11">
      <w:pPr>
        <w:spacing w:before="220" w:after="220"/>
        <w:jc w:val="center"/>
        <w:rPr>
          <w:b/>
          <w:bCs/>
        </w:rPr>
      </w:pPr>
      <w:r w:rsidRPr="008A2E11">
        <w:rPr>
          <w:b/>
        </w:rPr>
        <w:t>Article 7</w:t>
      </w:r>
    </w:p>
    <w:p w:rsidR="00FD0CC3" w:rsidRPr="008A2E11" w:rsidRDefault="008A2E11" w:rsidP="008A2E11">
      <w:pPr>
        <w:spacing w:after="220"/>
        <w:jc w:val="center"/>
        <w:rPr>
          <w:b/>
          <w:bCs/>
          <w:caps/>
        </w:rPr>
      </w:pPr>
      <w:r w:rsidRPr="008A2E11">
        <w:rPr>
          <w:b/>
          <w:caps/>
        </w:rPr>
        <w:t>Bases de données</w:t>
      </w:r>
    </w:p>
    <w:p w:rsidR="00FD0CC3" w:rsidRDefault="00FD0CC3" w:rsidP="000C06FE">
      <w:pPr>
        <w:spacing w:after="220"/>
        <w:ind w:left="1134"/>
      </w:pPr>
      <w:r>
        <w:t>Les parties contractantes sont encouragées à faciliter l</w:t>
      </w:r>
      <w:r w:rsidR="00664AC3">
        <w:t>’</w:t>
      </w:r>
      <w:r>
        <w:t>établissement des bases de données en matière de ressources génétiques et de savoirs traditionnels connexes, en consultation avec les parties prenantes concernées et en tenant compte des circonstances national</w:t>
      </w:r>
      <w:r w:rsidR="00A25AD2">
        <w:t>es.  Mo</w:t>
      </w:r>
      <w:r>
        <w:t>yennant des sauvegardes appropriées, il est conseillé que ces bases de données soient accessibles aux offices à des fins de recherche et d</w:t>
      </w:r>
      <w:r w:rsidR="00664AC3">
        <w:t>’</w:t>
      </w:r>
      <w:r>
        <w:t>examen des demandes de brevet.</w:t>
      </w:r>
    </w:p>
    <w:p w:rsidR="00FD0CC3" w:rsidRPr="00D55FFF" w:rsidRDefault="00FD0CC3" w:rsidP="000C06FE">
      <w:pPr>
        <w:spacing w:after="220"/>
        <w:ind w:left="1134"/>
      </w:pPr>
      <w:r>
        <w:t>[Un portail en ligne sera mis en place par le Bureau international de l</w:t>
      </w:r>
      <w:r w:rsidR="00664AC3">
        <w:t>’</w:t>
      </w:r>
      <w:r>
        <w:t xml:space="preserve">OMPI, principalement à partir des bases de données nationales existantes, au travers duquel les offices [et les utilisateurs autorisés] </w:t>
      </w:r>
      <w:r w:rsidR="00887C90">
        <w:t>pourront</w:t>
      </w:r>
      <w:r>
        <w:t xml:space="preserve"> accéder directement à ces bases de données et en extraire des données, moyennant des sauvegardes appropriées.]</w:t>
      </w:r>
      <w:r w:rsidRPr="00D55FFF">
        <w:rPr>
          <w:rStyle w:val="FootnoteReference"/>
          <w:lang w:val="en-AU"/>
        </w:rPr>
        <w:footnoteReference w:id="2"/>
      </w:r>
    </w:p>
    <w:p w:rsidR="00FD0CC3" w:rsidRPr="008D1EBF" w:rsidRDefault="00FD0CC3" w:rsidP="00EC067F">
      <w:pPr>
        <w:pStyle w:val="ONUMFS"/>
        <w:keepNext/>
        <w:numPr>
          <w:ilvl w:val="0"/>
          <w:numId w:val="15"/>
        </w:numPr>
        <w:ind w:left="1134" w:hanging="567"/>
      </w:pPr>
      <w:r>
        <w:t>Le texte suggéré pour les bases de données relatives aux savoirs traditionnels dans le premier</w:t>
      </w:r>
      <w:r w:rsidR="00797438">
        <w:t> </w:t>
      </w:r>
      <w:r>
        <w:t>projet du Texte de la présidente sur le Projet d</w:t>
      </w:r>
      <w:r w:rsidR="00664AC3">
        <w:t>’</w:t>
      </w:r>
      <w:r>
        <w:t>instrument juridique international concernant la propriété intellectuelle relative aux savoirs traditionnels et aux expressions culturelles traditionnelles (</w:t>
      </w:r>
      <w:r w:rsidR="008A2E11">
        <w:t>document </w:t>
      </w:r>
      <w:r>
        <w:t>WIPO/GRTKF/IC/46/CHAIRS) (sans préjuger de la nature du texte)</w:t>
      </w:r>
      <w:r w:rsidR="00664AC3">
        <w:t> :</w:t>
      </w:r>
    </w:p>
    <w:p w:rsidR="00FD0CC3" w:rsidRPr="008A2E11" w:rsidRDefault="008A2E11" w:rsidP="000C06FE">
      <w:pPr>
        <w:pStyle w:val="ONUMFS"/>
        <w:keepNext/>
        <w:keepLines/>
        <w:numPr>
          <w:ilvl w:val="0"/>
          <w:numId w:val="0"/>
        </w:numPr>
        <w:ind w:left="720"/>
        <w:jc w:val="center"/>
        <w:rPr>
          <w:caps/>
        </w:rPr>
      </w:pPr>
      <w:r w:rsidRPr="008A2E11">
        <w:rPr>
          <w:caps/>
        </w:rPr>
        <w:t>Bases de données</w:t>
      </w:r>
    </w:p>
    <w:p w:rsidR="00FD0CC3" w:rsidRPr="000C06FE" w:rsidRDefault="00FD0CC3" w:rsidP="000C06FE">
      <w:pPr>
        <w:spacing w:after="220"/>
        <w:ind w:left="1134"/>
      </w:pPr>
      <w:r w:rsidRPr="000C06FE">
        <w:t>Les États membres sont encouragés à faciliter l</w:t>
      </w:r>
      <w:r w:rsidR="00664AC3" w:rsidRPr="000C06FE">
        <w:t>’</w:t>
      </w:r>
      <w:r w:rsidRPr="000C06FE">
        <w:t>établissement des bases de données en matière de savoirs traditionnels, en consultation avec les parties prenantes concernées et en tenant compte de la situation nationa</w:t>
      </w:r>
      <w:r w:rsidR="00A25AD2" w:rsidRPr="000C06FE">
        <w:t>le.  Mo</w:t>
      </w:r>
      <w:r w:rsidRPr="000C06FE">
        <w:t>yennant des garanties appropriées, ces b</w:t>
      </w:r>
      <w:r w:rsidR="008A2E11" w:rsidRPr="000C06FE">
        <w:t xml:space="preserve">ases de données peuvent </w:t>
      </w:r>
      <w:r w:rsidRPr="000C06FE">
        <w:t>être accessibles par les offices de propriété intellectuelle afin d</w:t>
      </w:r>
      <w:r w:rsidR="00664AC3" w:rsidRPr="000C06FE">
        <w:t>’</w:t>
      </w:r>
      <w:r w:rsidRPr="000C06FE">
        <w:t>éviter</w:t>
      </w:r>
      <w:r w:rsidR="008A2E11" w:rsidRPr="000C06FE">
        <w:t xml:space="preserve"> la délivrance indue de titres </w:t>
      </w:r>
      <w:r w:rsidRPr="000C06FE">
        <w:t>de propriété intellectuelle.</w:t>
      </w:r>
    </w:p>
    <w:p w:rsidR="000C06FE" w:rsidRDefault="00FD0CC3" w:rsidP="000C06FE">
      <w:pPr>
        <w:spacing w:after="220"/>
        <w:ind w:left="1134"/>
      </w:pPr>
      <w:r w:rsidRPr="000C06FE">
        <w:t>[Ces bases de données peuvent également être utilisées à des fins de transparence, de sécurité, de conservation ou de coopération transfrontière, et peuvent faciliter et encourager, le cas échéant, la création, l</w:t>
      </w:r>
      <w:r w:rsidR="00664AC3" w:rsidRPr="000C06FE">
        <w:t>’</w:t>
      </w:r>
      <w:r w:rsidRPr="000C06FE">
        <w:t>échange et la diffusion des savoirs traditionnels, ainsi que l</w:t>
      </w:r>
      <w:r w:rsidR="00664AC3" w:rsidRPr="000C06FE">
        <w:t>’</w:t>
      </w:r>
      <w:r w:rsidRPr="000C06FE">
        <w:t>accès à ces savoirs traditionnels.]</w:t>
      </w:r>
    </w:p>
    <w:p w:rsidR="00FD0CC3" w:rsidRPr="008D1EBF" w:rsidRDefault="00FD0CC3" w:rsidP="000C06FE">
      <w:pPr>
        <w:pStyle w:val="ONUMFS"/>
        <w:keepNext/>
        <w:keepLines/>
        <w:numPr>
          <w:ilvl w:val="0"/>
          <w:numId w:val="15"/>
        </w:numPr>
        <w:ind w:left="1134" w:hanging="567"/>
      </w:pPr>
      <w:r w:rsidRPr="00D552DA">
        <w:t>Le texte suggéré sur les formalités dans le premier</w:t>
      </w:r>
      <w:r w:rsidR="000C06FE">
        <w:t> </w:t>
      </w:r>
      <w:r w:rsidRPr="00D552DA">
        <w:t>projet du Texte de la présidente sur le Projet d</w:t>
      </w:r>
      <w:r w:rsidR="00664AC3" w:rsidRPr="00D552DA">
        <w:t>’</w:t>
      </w:r>
      <w:r w:rsidRPr="00D552DA">
        <w:t>instrument juridique international concernant la propriété intellectuelle relative aux savoirs traditionnels et aux expressions culturelles traditionnelles (</w:t>
      </w:r>
      <w:r w:rsidR="00D552DA">
        <w:t>document </w:t>
      </w:r>
      <w:r w:rsidRPr="00D552DA">
        <w:t>WIPO/GRTKF/IC/46/CHAIRS) (sans préjuger de la nature du texte)</w:t>
      </w:r>
      <w:r w:rsidR="00664AC3" w:rsidRPr="00D552DA">
        <w:t> :</w:t>
      </w:r>
    </w:p>
    <w:p w:rsidR="00FD0CC3" w:rsidRPr="00D552DA" w:rsidRDefault="00D552DA" w:rsidP="00D552DA">
      <w:pPr>
        <w:spacing w:after="220"/>
        <w:jc w:val="center"/>
        <w:rPr>
          <w:caps/>
        </w:rPr>
      </w:pPr>
      <w:r w:rsidRPr="00D552DA">
        <w:rPr>
          <w:caps/>
        </w:rPr>
        <w:t>Formalités</w:t>
      </w:r>
    </w:p>
    <w:p w:rsidR="00664AC3" w:rsidRDefault="00FD0CC3" w:rsidP="000C06FE">
      <w:pPr>
        <w:pStyle w:val="ONUMFS"/>
        <w:numPr>
          <w:ilvl w:val="0"/>
          <w:numId w:val="0"/>
        </w:numPr>
        <w:ind w:left="1134"/>
      </w:pPr>
      <w:r>
        <w:t>Les États membres peuvent exiger des formalités pour la protectio</w:t>
      </w:r>
      <w:r w:rsidR="00D552DA">
        <w:t xml:space="preserve">n des savoirs traditionnels et </w:t>
      </w:r>
      <w:r>
        <w:t>des expressions culturelles traditionnelles, sans préjudice de</w:t>
      </w:r>
      <w:r w:rsidR="00D552DA">
        <w:t xml:space="preserve">s droits existants des peuples </w:t>
      </w:r>
      <w:r>
        <w:t>autochtones et des communautés autochtones et locales.</w:t>
      </w:r>
    </w:p>
    <w:p w:rsidR="00FD0CC3" w:rsidRPr="000F230C" w:rsidRDefault="00FD0CC3" w:rsidP="000C06FE">
      <w:pPr>
        <w:pStyle w:val="ONUMFS"/>
        <w:keepNext/>
        <w:keepLines/>
        <w:numPr>
          <w:ilvl w:val="0"/>
          <w:numId w:val="15"/>
        </w:numPr>
        <w:ind w:left="1134" w:hanging="567"/>
      </w:pPr>
      <w:r>
        <w:t>Compte tenu de la complexité des questions techniques, juridiques et opérationnelles entourant l</w:t>
      </w:r>
      <w:r w:rsidR="00664AC3">
        <w:t>’</w:t>
      </w:r>
      <w:r>
        <w:t>établissement et la maintenance des systèmes d</w:t>
      </w:r>
      <w:r w:rsidR="00664AC3">
        <w:t>’</w:t>
      </w:r>
      <w:r>
        <w:t>information sur les ressources génétiques, les savoirs traditionnels et les expressions culturelles traditionnelles, les experts recommandent à la quarante</w:t>
      </w:r>
      <w:r w:rsidR="00D552DA">
        <w:noBreakHyphen/>
      </w:r>
      <w:r>
        <w:t>sept</w:t>
      </w:r>
      <w:r w:rsidR="00664AC3">
        <w:t>ième session</w:t>
      </w:r>
      <w:r>
        <w:t xml:space="preserve"> de l</w:t>
      </w:r>
      <w:r w:rsidR="00664AC3">
        <w:t>’</w:t>
      </w:r>
      <w:r>
        <w:t>IGC que le comité crée une Équipe subsidiaire d</w:t>
      </w:r>
      <w:r w:rsidR="00664AC3">
        <w:t>’</w:t>
      </w:r>
      <w:r>
        <w:t>experts techniques pour examiner plus avant les questions techniques, juridiques et opérationnelles relatives aux systèmes d</w:t>
      </w:r>
      <w:r w:rsidR="00664AC3">
        <w:t>’</w:t>
      </w:r>
      <w:r>
        <w:t>information sur les ressources génétiques, les savoirs traditionnels et les expressions culturelles traditionnell</w:t>
      </w:r>
      <w:r w:rsidR="00A25AD2">
        <w:t>es.  En</w:t>
      </w:r>
      <w:r>
        <w:t xml:space="preserve"> outre, les experts recommandent que le mandat</w:t>
      </w:r>
      <w:r w:rsidR="00887C90">
        <w:t> </w:t>
      </w:r>
      <w:r>
        <w:t>2024</w:t>
      </w:r>
      <w:r w:rsidR="00D552DA">
        <w:noBreakHyphen/>
      </w:r>
      <w:r>
        <w:t>2025 de l</w:t>
      </w:r>
      <w:r w:rsidR="00664AC3">
        <w:t>’</w:t>
      </w:r>
      <w:r>
        <w:t>IGC contienne une référence à cette Équipe subsidiaire d</w:t>
      </w:r>
      <w:r w:rsidR="00664AC3">
        <w:t>’</w:t>
      </w:r>
      <w:r>
        <w:t>experts techniqu</w:t>
      </w:r>
      <w:r w:rsidR="00A25AD2">
        <w:t>es.  Il</w:t>
      </w:r>
      <w:r>
        <w:t xml:space="preserve"> est noté que le Secrétariat de l</w:t>
      </w:r>
      <w:r w:rsidR="00664AC3">
        <w:t>’</w:t>
      </w:r>
      <w:r>
        <w:t>OMPI établira une proposition détaillée concernant les modalités applicables à l</w:t>
      </w:r>
      <w:r w:rsidR="00664AC3">
        <w:t>’</w:t>
      </w:r>
      <w:r>
        <w:t>Équipe subsidiaire d</w:t>
      </w:r>
      <w:r w:rsidR="00664AC3">
        <w:t>’</w:t>
      </w:r>
      <w:r>
        <w:t>experts techniques, pour examen à la quarante</w:t>
      </w:r>
      <w:r w:rsidR="00D552DA">
        <w:noBreakHyphen/>
      </w:r>
      <w:r>
        <w:t>huit</w:t>
      </w:r>
      <w:r w:rsidR="00664AC3">
        <w:t>ième session</w:t>
      </w:r>
      <w:r>
        <w:t xml:space="preserve"> de l</w:t>
      </w:r>
      <w:r w:rsidR="00664AC3">
        <w:t>’</w:t>
      </w:r>
      <w:r>
        <w:t>IGC.</w:t>
      </w:r>
    </w:p>
    <w:p w:rsidR="00664AC3" w:rsidRDefault="00FD0CC3" w:rsidP="000C06FE">
      <w:pPr>
        <w:pStyle w:val="ONUMFS"/>
        <w:keepNext/>
        <w:keepLines/>
        <w:numPr>
          <w:ilvl w:val="0"/>
          <w:numId w:val="15"/>
        </w:numPr>
        <w:ind w:left="1134" w:hanging="567"/>
      </w:pPr>
      <w:r>
        <w:t>Les experts approuvent le format des réunions virtuelles d</w:t>
      </w:r>
      <w:r w:rsidR="00664AC3">
        <w:t>’</w:t>
      </w:r>
      <w:r>
        <w:t>experts et recommandent que cet outil soit prochainement déployé par l</w:t>
      </w:r>
      <w:r w:rsidR="00664AC3">
        <w:t>’</w:t>
      </w:r>
      <w:r>
        <w:t>IGC à d</w:t>
      </w:r>
      <w:r w:rsidR="00664AC3">
        <w:t>’</w:t>
      </w:r>
      <w:r>
        <w:t>autres sujets.</w:t>
      </w:r>
    </w:p>
    <w:p w:rsidR="00FD0CC3" w:rsidRPr="00D552DA" w:rsidRDefault="00FD0CC3" w:rsidP="000C06FE">
      <w:pPr>
        <w:pStyle w:val="Heading1"/>
      </w:pPr>
      <w:r w:rsidRPr="00D552DA">
        <w:t>Réunions virtuelles d</w:t>
      </w:r>
      <w:r w:rsidR="00664AC3" w:rsidRPr="00D552DA">
        <w:t>’</w:t>
      </w:r>
      <w:r w:rsidRPr="00D552DA">
        <w:t>experts sur les éventuelles exigences en matière de divulgation</w:t>
      </w:r>
    </w:p>
    <w:p w:rsidR="00664AC3" w:rsidRPr="00D552DA" w:rsidRDefault="00D552DA" w:rsidP="00D552DA">
      <w:pPr>
        <w:pStyle w:val="ONUMFS"/>
      </w:pPr>
      <w:r w:rsidRPr="00D552DA">
        <w:t>L</w:t>
      </w:r>
      <w:r w:rsidR="00FD0CC3" w:rsidRPr="00D552DA">
        <w:t>e Secrétariat a organisé des réunions virtuelles d</w:t>
      </w:r>
      <w:r w:rsidR="00664AC3" w:rsidRPr="00D552DA">
        <w:t>’</w:t>
      </w:r>
      <w:r w:rsidR="00FD0CC3" w:rsidRPr="00D552DA">
        <w:t>experts sur les éventuelles exigences en matière de divulgation.</w:t>
      </w:r>
    </w:p>
    <w:p w:rsidR="00D552DA" w:rsidRDefault="00FD0CC3" w:rsidP="00D552DA">
      <w:pPr>
        <w:pStyle w:val="ONUMFS"/>
      </w:pPr>
      <w:r w:rsidRPr="00D552DA">
        <w:t>L</w:t>
      </w:r>
      <w:r w:rsidR="00664AC3" w:rsidRPr="00D552DA">
        <w:t>’</w:t>
      </w:r>
      <w:r w:rsidRPr="00D552DA">
        <w:t>objectif de ces réunions d</w:t>
      </w:r>
      <w:r w:rsidR="00664AC3" w:rsidRPr="00D552DA">
        <w:t>’</w:t>
      </w:r>
      <w:r w:rsidRPr="00D552DA">
        <w:t>experts était d</w:t>
      </w:r>
      <w:r w:rsidR="00664AC3" w:rsidRPr="00D552DA">
        <w:t>’</w:t>
      </w:r>
      <w:r w:rsidRPr="00D552DA">
        <w:t>analyser et d</w:t>
      </w:r>
      <w:r w:rsidR="00664AC3" w:rsidRPr="00D552DA">
        <w:t>’</w:t>
      </w:r>
      <w:r w:rsidRPr="00D552DA">
        <w:t>examiner les questions de fond relatives aux éventuelles exigences en matière de divulgation afin de réduire les écarts et de parvenir à une communauté de vues sur les questions essentielles, l</w:t>
      </w:r>
      <w:r w:rsidR="00664AC3" w:rsidRPr="00D552DA">
        <w:t>’</w:t>
      </w:r>
      <w:r w:rsidRPr="00D552DA">
        <w:t>idée étant de faciliter les négociations de l</w:t>
      </w:r>
      <w:r w:rsidR="00664AC3" w:rsidRPr="00D552DA">
        <w:t>’</w:t>
      </w:r>
      <w:r w:rsidRPr="00D552DA">
        <w:t xml:space="preserve">IGC conformément à son mandat </w:t>
      </w:r>
      <w:r w:rsidR="00664AC3" w:rsidRPr="00D552DA">
        <w:t>pour 2022</w:t>
      </w:r>
      <w:r w:rsidR="00D552DA">
        <w:noBreakHyphen/>
      </w:r>
      <w:r w:rsidRPr="00D552DA">
        <w:t>2023.  Les experts ont été invités à faire des suggestions à l</w:t>
      </w:r>
      <w:r w:rsidR="00664AC3" w:rsidRPr="00D552DA">
        <w:t>’</w:t>
      </w:r>
      <w:r w:rsidRPr="00D552DA">
        <w:t>IGC quant au libellé des projets d</w:t>
      </w:r>
      <w:r w:rsidR="00664AC3" w:rsidRPr="00D552DA">
        <w:t>’</w:t>
      </w:r>
      <w:r w:rsidRPr="00D552DA">
        <w:t>instruments juridiques internationaux sur les ressources génétiques et les savoirs traditionnels connexes, notamment le Texte du président sur le projet d</w:t>
      </w:r>
      <w:r w:rsidR="00664AC3" w:rsidRPr="00D552DA">
        <w:t>’</w:t>
      </w:r>
      <w:r w:rsidRPr="00D552DA">
        <w:t>instrument juridique international sur la propriété intellectuelle relative aux ressources génétiques et aux savoirs traditionnels associés aux ressources génétiques.</w:t>
      </w:r>
    </w:p>
    <w:p w:rsidR="00FD0CC3" w:rsidRPr="00D552DA" w:rsidRDefault="00FD0CC3" w:rsidP="009205BC">
      <w:pPr>
        <w:pStyle w:val="ONUMFS"/>
        <w:keepNext/>
        <w:numPr>
          <w:ilvl w:val="0"/>
          <w:numId w:val="12"/>
        </w:numPr>
        <w:spacing w:after="0"/>
        <w:ind w:left="1134" w:hanging="567"/>
      </w:pPr>
      <w:r w:rsidRPr="00D552DA">
        <w:t>La première</w:t>
      </w:r>
      <w:r w:rsidR="00D552DA">
        <w:t> </w:t>
      </w:r>
      <w:r w:rsidRPr="00D552DA">
        <w:t>réunion, qui s</w:t>
      </w:r>
      <w:r w:rsidR="00664AC3" w:rsidRPr="00D552DA">
        <w:t>’</w:t>
      </w:r>
      <w:r w:rsidRPr="00D552DA">
        <w:t>est tenue du</w:t>
      </w:r>
      <w:r w:rsidR="00D552DA">
        <w:t> </w:t>
      </w:r>
      <w:r w:rsidRPr="00D552DA">
        <w:t>13 au</w:t>
      </w:r>
      <w:r w:rsidR="00D552DA">
        <w:t> </w:t>
      </w:r>
      <w:r w:rsidRPr="00D552DA">
        <w:t>1</w:t>
      </w:r>
      <w:r w:rsidR="00664AC3" w:rsidRPr="00D552DA">
        <w:t>6 mars 20</w:t>
      </w:r>
      <w:r w:rsidRPr="00D552DA">
        <w:t>23, a examiné les questions ci</w:t>
      </w:r>
      <w:r w:rsidR="00D552DA">
        <w:noBreakHyphen/>
      </w:r>
      <w:r w:rsidRPr="00D552DA">
        <w:t>après</w:t>
      </w:r>
      <w:r w:rsidR="00664AC3" w:rsidRPr="00D552DA">
        <w:t> :</w:t>
      </w:r>
    </w:p>
    <w:p w:rsidR="00664AC3" w:rsidRPr="00D552DA" w:rsidRDefault="00FD0CC3" w:rsidP="009205BC">
      <w:pPr>
        <w:pStyle w:val="ONUMFS"/>
        <w:keepNext/>
        <w:numPr>
          <w:ilvl w:val="0"/>
          <w:numId w:val="18"/>
        </w:numPr>
        <w:spacing w:after="0"/>
        <w:ind w:left="1701" w:hanging="567"/>
      </w:pPr>
      <w:r w:rsidRPr="00D552DA">
        <w:t>inclusion des savoirs traditionnels associés</w:t>
      </w:r>
      <w:r w:rsidR="00D552DA">
        <w:t>;</w:t>
      </w:r>
    </w:p>
    <w:p w:rsidR="00FD0CC3" w:rsidRPr="00D552DA" w:rsidRDefault="00FD0CC3" w:rsidP="00D552DA">
      <w:pPr>
        <w:pStyle w:val="ONUMFS"/>
        <w:numPr>
          <w:ilvl w:val="0"/>
          <w:numId w:val="18"/>
        </w:numPr>
        <w:spacing w:after="0"/>
        <w:ind w:left="1701" w:hanging="567"/>
      </w:pPr>
      <w:r w:rsidRPr="00D552DA">
        <w:t>élément déclencheur de la divulgation</w:t>
      </w:r>
      <w:r w:rsidR="00D552DA">
        <w:t>;</w:t>
      </w:r>
    </w:p>
    <w:p w:rsidR="00FD0CC3" w:rsidRPr="00D552DA" w:rsidRDefault="00FD0CC3" w:rsidP="00D552DA">
      <w:pPr>
        <w:pStyle w:val="ONUMFS"/>
        <w:numPr>
          <w:ilvl w:val="0"/>
          <w:numId w:val="18"/>
        </w:numPr>
        <w:ind w:left="1701" w:hanging="567"/>
      </w:pPr>
      <w:r w:rsidRPr="00D552DA">
        <w:t>contenu de la divulgation</w:t>
      </w:r>
      <w:r w:rsidR="00D552DA">
        <w:t>.</w:t>
      </w:r>
    </w:p>
    <w:p w:rsidR="00FD0CC3" w:rsidRPr="00D552DA" w:rsidRDefault="00FD0CC3" w:rsidP="00D552DA">
      <w:pPr>
        <w:pStyle w:val="ONUMFS"/>
        <w:numPr>
          <w:ilvl w:val="0"/>
          <w:numId w:val="12"/>
        </w:numPr>
        <w:spacing w:after="0"/>
        <w:ind w:left="1134" w:hanging="567"/>
      </w:pPr>
      <w:r w:rsidRPr="00D552DA">
        <w:t>La deuxième</w:t>
      </w:r>
      <w:r w:rsidR="00D552DA">
        <w:t> </w:t>
      </w:r>
      <w:r w:rsidRPr="00D552DA">
        <w:t>réunion, qui s</w:t>
      </w:r>
      <w:r w:rsidR="00664AC3" w:rsidRPr="00D552DA">
        <w:t>’</w:t>
      </w:r>
      <w:r w:rsidRPr="00D552DA">
        <w:t>est tenue du</w:t>
      </w:r>
      <w:r w:rsidR="00664AC3" w:rsidRPr="00D552DA">
        <w:t xml:space="preserve"> 1</w:t>
      </w:r>
      <w:r w:rsidR="00664AC3" w:rsidRPr="00D552DA">
        <w:rPr>
          <w:vertAlign w:val="superscript"/>
        </w:rPr>
        <w:t>er</w:t>
      </w:r>
      <w:r w:rsidR="00664AC3" w:rsidRPr="00D552DA">
        <w:t> </w:t>
      </w:r>
      <w:r w:rsidRPr="00D552DA">
        <w:t>au</w:t>
      </w:r>
      <w:r w:rsidR="00D552DA">
        <w:t> </w:t>
      </w:r>
      <w:r w:rsidR="00664AC3" w:rsidRPr="00D552DA">
        <w:t>3 mai 20</w:t>
      </w:r>
      <w:r w:rsidRPr="00D552DA">
        <w:t>23, a porté sur les questions ci</w:t>
      </w:r>
      <w:r w:rsidR="00D552DA">
        <w:noBreakHyphen/>
      </w:r>
      <w:r w:rsidRPr="00D552DA">
        <w:t>après</w:t>
      </w:r>
      <w:r w:rsidR="00664AC3" w:rsidRPr="00D552DA">
        <w:t> :</w:t>
      </w:r>
    </w:p>
    <w:p w:rsidR="00FD0CC3" w:rsidRPr="00D552DA" w:rsidRDefault="00FD0CC3" w:rsidP="00D552DA">
      <w:pPr>
        <w:pStyle w:val="ONUMFS"/>
        <w:numPr>
          <w:ilvl w:val="0"/>
          <w:numId w:val="19"/>
        </w:numPr>
        <w:spacing w:after="0"/>
        <w:ind w:left="1701" w:hanging="567"/>
      </w:pPr>
      <w:r w:rsidRPr="00D552DA">
        <w:t>sanctions</w:t>
      </w:r>
    </w:p>
    <w:p w:rsidR="00FD0CC3" w:rsidRPr="00D552DA" w:rsidRDefault="00FD0CC3" w:rsidP="00D552DA">
      <w:pPr>
        <w:pStyle w:val="ONUMFS"/>
        <w:numPr>
          <w:ilvl w:val="0"/>
          <w:numId w:val="19"/>
        </w:numPr>
        <w:spacing w:after="0"/>
        <w:ind w:left="1701" w:hanging="567"/>
      </w:pPr>
      <w:r w:rsidRPr="00D552DA">
        <w:t>relations avec les systèmes d</w:t>
      </w:r>
      <w:r w:rsidR="00664AC3" w:rsidRPr="00D552DA">
        <w:t>’</w:t>
      </w:r>
      <w:r w:rsidRPr="00D552DA">
        <w:t>information</w:t>
      </w:r>
    </w:p>
    <w:p w:rsidR="00FD0CC3" w:rsidRPr="00D552DA" w:rsidRDefault="00FD0CC3" w:rsidP="00D552DA">
      <w:pPr>
        <w:pStyle w:val="ONUMFS"/>
        <w:numPr>
          <w:ilvl w:val="0"/>
          <w:numId w:val="19"/>
        </w:numPr>
        <w:ind w:left="1701" w:hanging="567"/>
      </w:pPr>
      <w:r w:rsidRPr="00D552DA">
        <w:t>relation avec les autres instruments.</w:t>
      </w:r>
    </w:p>
    <w:p w:rsidR="00FD0CC3" w:rsidRPr="00D552DA" w:rsidRDefault="00FD0CC3" w:rsidP="009205BC">
      <w:pPr>
        <w:pStyle w:val="ONUMFS"/>
      </w:pPr>
      <w:r w:rsidRPr="00D552DA">
        <w:t>M.</w:t>
      </w:r>
      <w:r w:rsidR="007057FA" w:rsidRPr="00D552DA">
        <w:t> </w:t>
      </w:r>
      <w:r w:rsidRPr="00D552DA">
        <w:t>Felipe</w:t>
      </w:r>
      <w:r w:rsidR="00887C90" w:rsidRPr="00D552DA">
        <w:t> </w:t>
      </w:r>
      <w:r w:rsidRPr="00D552DA">
        <w:t>Carino, l</w:t>
      </w:r>
      <w:r w:rsidR="00664AC3" w:rsidRPr="00D552DA">
        <w:t>’</w:t>
      </w:r>
      <w:r w:rsidRPr="00D552DA">
        <w:t>un des vice</w:t>
      </w:r>
      <w:r w:rsidR="009205BC">
        <w:noBreakHyphen/>
      </w:r>
      <w:r w:rsidRPr="00D552DA">
        <w:t>présidents de l</w:t>
      </w:r>
      <w:r w:rsidR="00664AC3" w:rsidRPr="00D552DA">
        <w:t>’</w:t>
      </w:r>
      <w:r w:rsidRPr="00D552DA">
        <w:t>IGC, a présidé les réunions.</w:t>
      </w:r>
    </w:p>
    <w:p w:rsidR="00FD0CC3" w:rsidRPr="00D552DA" w:rsidRDefault="00FD0CC3" w:rsidP="00D552DA">
      <w:pPr>
        <w:pStyle w:val="ONUMFS"/>
      </w:pPr>
      <w:r w:rsidRPr="00D552DA">
        <w:t>Les États membres et les observateurs accrédités ont été invités à désigner des experts en soumettant le nom et les coordonnées complètes de la ou des personne(s) désignée(s), ainsi qu</w:t>
      </w:r>
      <w:r w:rsidR="00664AC3" w:rsidRPr="00D552DA">
        <w:t>’</w:t>
      </w:r>
      <w:r w:rsidRPr="00D552DA">
        <w:t>un curriculum vitae indiquant leur domaine d</w:t>
      </w:r>
      <w:r w:rsidR="00664AC3" w:rsidRPr="00D552DA">
        <w:t>’</w:t>
      </w:r>
      <w:r w:rsidRPr="00D552DA">
        <w:t>experti</w:t>
      </w:r>
      <w:r w:rsidR="00A25AD2" w:rsidRPr="00D552DA">
        <w:t>se.  Le</w:t>
      </w:r>
      <w:r w:rsidRPr="00D552DA">
        <w:t xml:space="preserve"> Secrétariat a sélectionné les experts en fonction de leurs compétences et de leur expérience, en tenant compte de l</w:t>
      </w:r>
      <w:r w:rsidR="00664AC3" w:rsidRPr="00D552DA">
        <w:t>’</w:t>
      </w:r>
      <w:r w:rsidRPr="00D552DA">
        <w:t>équilibre entre les régions et les sex</w:t>
      </w:r>
      <w:r w:rsidR="00A25AD2" w:rsidRPr="00D552DA">
        <w:t>es.  Ou</w:t>
      </w:r>
      <w:r w:rsidRPr="00D552DA">
        <w:t>tre les experts sélectionnés parmi les États membres et les observateurs, l</w:t>
      </w:r>
      <w:r w:rsidR="00664AC3" w:rsidRPr="00D552DA">
        <w:t>’</w:t>
      </w:r>
      <w:r w:rsidRPr="00D552DA">
        <w:t>OMPI a invité Mme</w:t>
      </w:r>
      <w:r w:rsidR="007057FA" w:rsidRPr="00D552DA">
        <w:t> </w:t>
      </w:r>
      <w:r w:rsidRPr="00D552DA">
        <w:t>Margo</w:t>
      </w:r>
      <w:r w:rsidR="009205BC">
        <w:t> </w:t>
      </w:r>
      <w:r w:rsidRPr="00D552DA">
        <w:t>Bagley, de la Faculté de droit de l</w:t>
      </w:r>
      <w:r w:rsidR="00664AC3" w:rsidRPr="00D552DA">
        <w:t>’</w:t>
      </w:r>
      <w:r w:rsidRPr="00D552DA">
        <w:t>Université</w:t>
      </w:r>
      <w:r w:rsidR="009205BC">
        <w:t> </w:t>
      </w:r>
      <w:r w:rsidRPr="00D552DA">
        <w:t>Emory (États</w:t>
      </w:r>
      <w:r w:rsidR="009205BC">
        <w:noBreakHyphen/>
      </w:r>
      <w:r w:rsidRPr="00D552DA">
        <w:t>Unis d</w:t>
      </w:r>
      <w:r w:rsidR="00664AC3" w:rsidRPr="00D552DA">
        <w:t>’</w:t>
      </w:r>
      <w:r w:rsidRPr="00D552DA">
        <w:t xml:space="preserve">Amérique); </w:t>
      </w:r>
      <w:r w:rsidR="007057FA" w:rsidRPr="00D552DA">
        <w:t xml:space="preserve"> </w:t>
      </w:r>
      <w:r w:rsidRPr="00D552DA">
        <w:t>M.</w:t>
      </w:r>
      <w:r w:rsidR="007057FA" w:rsidRPr="00D552DA">
        <w:t> </w:t>
      </w:r>
      <w:r w:rsidRPr="00D552DA">
        <w:t>Nilce</w:t>
      </w:r>
      <w:r w:rsidR="009205BC">
        <w:t> </w:t>
      </w:r>
      <w:r w:rsidRPr="00D552DA">
        <w:t>Ekandzi, Raymond</w:t>
      </w:r>
      <w:r w:rsidR="009205BC">
        <w:t> </w:t>
      </w:r>
      <w:r w:rsidRPr="00D552DA">
        <w:t>Chabot</w:t>
      </w:r>
      <w:r w:rsidR="009205BC">
        <w:t> </w:t>
      </w:r>
      <w:r w:rsidRPr="00D552DA">
        <w:t>Grant</w:t>
      </w:r>
      <w:r w:rsidR="009205BC">
        <w:t> </w:t>
      </w:r>
      <w:r w:rsidRPr="00D552DA">
        <w:t xml:space="preserve">Thornton (Canada); </w:t>
      </w:r>
      <w:r w:rsidR="007057FA" w:rsidRPr="00D552DA">
        <w:t xml:space="preserve"> </w:t>
      </w:r>
      <w:r w:rsidRPr="00D552DA">
        <w:t>et M.</w:t>
      </w:r>
      <w:r w:rsidR="007057FA" w:rsidRPr="00D552DA">
        <w:t> </w:t>
      </w:r>
      <w:r w:rsidRPr="00D552DA">
        <w:t>Frederic</w:t>
      </w:r>
      <w:r w:rsidR="00887C90" w:rsidRPr="00D552DA">
        <w:t> </w:t>
      </w:r>
      <w:r w:rsidRPr="00D552DA">
        <w:t>Perron</w:t>
      </w:r>
      <w:r w:rsidR="009205BC">
        <w:noBreakHyphen/>
      </w:r>
      <w:r w:rsidRPr="00D552DA">
        <w:t>Welch, Centre</w:t>
      </w:r>
      <w:r w:rsidR="009205BC">
        <w:t> </w:t>
      </w:r>
      <w:r w:rsidRPr="00D552DA">
        <w:t>Grotius pour les études juridiques internationales, Université de Leiden (Pays</w:t>
      </w:r>
      <w:r w:rsidR="009205BC">
        <w:noBreakHyphen/>
      </w:r>
      <w:r w:rsidRPr="00D552DA">
        <w:t>Bas) à participer aux réunions en qualité d</w:t>
      </w:r>
      <w:r w:rsidR="00664AC3" w:rsidRPr="00D552DA">
        <w:t>’</w:t>
      </w:r>
      <w:r w:rsidRPr="00D552DA">
        <w:t>exper</w:t>
      </w:r>
      <w:r w:rsidR="00A25AD2" w:rsidRPr="00D552DA">
        <w:t>ts.  La</w:t>
      </w:r>
      <w:r w:rsidRPr="00D552DA">
        <w:t xml:space="preserve"> liste des experts participant à la réunion figure dans l</w:t>
      </w:r>
      <w:r w:rsidR="00664AC3" w:rsidRPr="00D552DA">
        <w:t>’annexe I</w:t>
      </w:r>
      <w:r w:rsidRPr="00D552DA">
        <w:t>I.</w:t>
      </w:r>
    </w:p>
    <w:p w:rsidR="00FD0CC3" w:rsidRPr="00D552DA" w:rsidRDefault="00FD0CC3" w:rsidP="00D552DA">
      <w:pPr>
        <w:pStyle w:val="ONUMFS"/>
      </w:pPr>
      <w:r w:rsidRPr="00D552DA">
        <w:t>Les experts ont participé à titre individu</w:t>
      </w:r>
      <w:r w:rsidR="00A25AD2" w:rsidRPr="00D552DA">
        <w:t>el.  Le</w:t>
      </w:r>
      <w:r w:rsidRPr="00D552DA">
        <w:t>s règles de Chatham</w:t>
      </w:r>
      <w:r w:rsidR="009205BC">
        <w:t> </w:t>
      </w:r>
      <w:r w:rsidRPr="00D552DA">
        <w:t>House, selon lesquelles “les participants sont libres d</w:t>
      </w:r>
      <w:r w:rsidR="00664AC3" w:rsidRPr="00D552DA">
        <w:t>’</w:t>
      </w:r>
      <w:r w:rsidRPr="00D552DA">
        <w:t>utiliser les informations reçues, mais ils ne doivent révéler ni l</w:t>
      </w:r>
      <w:r w:rsidR="00664AC3" w:rsidRPr="00D552DA">
        <w:t>’</w:t>
      </w:r>
      <w:r w:rsidRPr="00D552DA">
        <w:t>identité ni l</w:t>
      </w:r>
      <w:r w:rsidR="00664AC3" w:rsidRPr="00D552DA">
        <w:t>’</w:t>
      </w:r>
      <w:r w:rsidRPr="00D552DA">
        <w:t>affiliation des conférenciers, de même qu</w:t>
      </w:r>
      <w:r w:rsidR="00664AC3" w:rsidRPr="00D552DA">
        <w:t>’</w:t>
      </w:r>
      <w:r w:rsidRPr="00D552DA">
        <w:t>ils ne doivent pas révéler l</w:t>
      </w:r>
      <w:r w:rsidR="00664AC3" w:rsidRPr="00D552DA">
        <w:t>’</w:t>
      </w:r>
      <w:r w:rsidRPr="00D552DA">
        <w:t>identité des autres participants” ont été appliquées aux réunio</w:t>
      </w:r>
      <w:r w:rsidR="00A25AD2" w:rsidRPr="00D552DA">
        <w:t>ns.  To</w:t>
      </w:r>
      <w:r w:rsidRPr="00D552DA">
        <w:t>us les experts ont également été priés de respecter le caractère officieux des réunions et de s</w:t>
      </w:r>
      <w:r w:rsidR="00664AC3" w:rsidRPr="00D552DA">
        <w:t>’</w:t>
      </w:r>
      <w:r w:rsidRPr="00D552DA">
        <w:t>abstenir de divulguer au public, que ce soit “en direct” ou à tout moment par la suite, le contenu ou la nature des discussions qui ont lieu durant les réunions, que ce soit en termes généraux ou en citant les propos de tel ou tel expert.</w:t>
      </w:r>
    </w:p>
    <w:p w:rsidR="00FD0CC3" w:rsidRPr="00D552DA" w:rsidRDefault="00FD0CC3" w:rsidP="00D552DA">
      <w:pPr>
        <w:pStyle w:val="ONUMFS"/>
      </w:pPr>
      <w:r w:rsidRPr="00D552DA">
        <w:t>Chaque réunion a duré quatre</w:t>
      </w:r>
      <w:r w:rsidR="007057FA" w:rsidRPr="00D552DA">
        <w:t> </w:t>
      </w:r>
      <w:r w:rsidRPr="00D552DA">
        <w:t>jours, à raison de deux heures et demie par jour.</w:t>
      </w:r>
    </w:p>
    <w:p w:rsidR="009205BC" w:rsidRDefault="00FD0CC3" w:rsidP="009205BC">
      <w:pPr>
        <w:pStyle w:val="ONUMFS"/>
      </w:pPr>
      <w:r w:rsidRPr="00D552DA">
        <w:t>Les réunions n</w:t>
      </w:r>
      <w:r w:rsidR="00664AC3" w:rsidRPr="00D552DA">
        <w:t>’</w:t>
      </w:r>
      <w:r w:rsidRPr="00D552DA">
        <w:t>ont été ni diffusées sur le</w:t>
      </w:r>
      <w:r w:rsidR="009205BC">
        <w:t> </w:t>
      </w:r>
      <w:r w:rsidRPr="00D552DA">
        <w:t>Web ni enregistrées</w:t>
      </w:r>
      <w:r w:rsidR="009205BC">
        <w:t>.</w:t>
      </w:r>
    </w:p>
    <w:p w:rsidR="00FD0CC3" w:rsidRPr="009205BC" w:rsidRDefault="00FD0CC3" w:rsidP="009205BC">
      <w:pPr>
        <w:pStyle w:val="ONUMFS"/>
      </w:pPr>
      <w:r>
        <w:t>L</w:t>
      </w:r>
      <w:r w:rsidR="00664AC3">
        <w:t>’</w:t>
      </w:r>
      <w:r>
        <w:t>interprétation a été assurée en anglais et en espagnol.</w:t>
      </w:r>
    </w:p>
    <w:p w:rsidR="00FD0CC3" w:rsidRPr="00BF32D8" w:rsidRDefault="00FD0CC3" w:rsidP="00A94663">
      <w:pPr>
        <w:pStyle w:val="ONUMFS"/>
        <w:numPr>
          <w:ilvl w:val="0"/>
          <w:numId w:val="0"/>
        </w:numPr>
        <w:rPr>
          <w:szCs w:val="22"/>
        </w:rPr>
      </w:pPr>
      <w:r>
        <w:t>21.</w:t>
      </w:r>
      <w:r>
        <w:tab/>
        <w:t>Les experts ont axé leurs discussions sur le Texte du président sur le projet d</w:t>
      </w:r>
      <w:r w:rsidR="00664AC3">
        <w:t>’</w:t>
      </w:r>
      <w:r>
        <w:t>instrument juridique international sur la propriété intellectuelle relative aux ressources génétiques et aux savoirs traditionnels associés aux ressources génétiques (</w:t>
      </w:r>
      <w:r w:rsidR="009205BC">
        <w:t>document </w:t>
      </w:r>
      <w:r>
        <w:t>WIPO/GRTKF/IC/43/5</w:t>
      </w:r>
      <w:r>
        <w:rPr>
          <w:rStyle w:val="Hyperlink"/>
          <w:color w:val="auto"/>
          <w:u w:val="none"/>
        </w:rPr>
        <w:t>), et les discussions peuvent être résumées comme suit</w:t>
      </w:r>
      <w:r w:rsidR="00664AC3">
        <w:t> :</w:t>
      </w:r>
    </w:p>
    <w:p w:rsidR="00664AC3" w:rsidRDefault="00FD0CC3" w:rsidP="009205BC">
      <w:pPr>
        <w:pStyle w:val="ONUMFS"/>
        <w:numPr>
          <w:ilvl w:val="0"/>
          <w:numId w:val="20"/>
        </w:numPr>
        <w:ind w:left="1134" w:hanging="567"/>
        <w:rPr>
          <w:rStyle w:val="Hyperlink"/>
          <w:color w:val="auto"/>
          <w:u w:val="none"/>
        </w:rPr>
      </w:pPr>
      <w:r>
        <w:t>Les experts sont convenus que les “savoirs traditionnels associés aux ressources génétiques” doivent être inclus dans le texte du préside</w:t>
      </w:r>
      <w:r w:rsidR="00A25AD2">
        <w:t xml:space="preserve">nt.  </w:t>
      </w:r>
      <w:r w:rsidR="00A25AD2">
        <w:rPr>
          <w:rStyle w:val="Hyperlink"/>
          <w:color w:val="auto"/>
          <w:u w:val="none"/>
        </w:rPr>
        <w:t>Un</w:t>
      </w:r>
      <w:r>
        <w:rPr>
          <w:rStyle w:val="Hyperlink"/>
          <w:color w:val="auto"/>
          <w:u w:val="none"/>
        </w:rPr>
        <w:t>e définition claire des “savoirs traditionnels associés aux ressources génétiques” doit néanmoins être prévue.</w:t>
      </w:r>
    </w:p>
    <w:p w:rsidR="00664AC3" w:rsidRDefault="00FD0CC3" w:rsidP="009205BC">
      <w:pPr>
        <w:pStyle w:val="ONUMFS"/>
        <w:numPr>
          <w:ilvl w:val="0"/>
          <w:numId w:val="20"/>
        </w:numPr>
        <w:ind w:left="1134" w:hanging="567"/>
      </w:pPr>
      <w:r>
        <w:t>La plupart des experts sont convenus que les exigences de divulgation ne doivent pas être étendues aux données sur les séquences numériqu</w:t>
      </w:r>
      <w:r w:rsidR="00A25AD2">
        <w:t>es.  La</w:t>
      </w:r>
      <w:r>
        <w:t xml:space="preserve"> question des données sur les séquences numériques peut être abordée dans le cadre de l</w:t>
      </w:r>
      <w:r w:rsidR="00664AC3">
        <w:t>’</w:t>
      </w:r>
      <w:r>
        <w:t>examen de la portée et du contenu de l</w:t>
      </w:r>
      <w:r w:rsidR="00664AC3">
        <w:t>’</w:t>
      </w:r>
      <w:r>
        <w:t>instrument, conformément à l</w:t>
      </w:r>
      <w:r w:rsidR="00664AC3">
        <w:t>’article 9</w:t>
      </w:r>
      <w:r>
        <w:t>.</w:t>
      </w:r>
    </w:p>
    <w:p w:rsidR="00FD0CC3" w:rsidRDefault="00FD0CC3" w:rsidP="000C06FE">
      <w:pPr>
        <w:pStyle w:val="ONUMFS"/>
        <w:numPr>
          <w:ilvl w:val="0"/>
          <w:numId w:val="20"/>
        </w:numPr>
        <w:ind w:left="1134" w:hanging="567"/>
      </w:pPr>
      <w:r>
        <w:t xml:space="preserve">Les propositions de modifications du libellé des </w:t>
      </w:r>
      <w:r w:rsidR="00664AC3">
        <w:t>articles 2</w:t>
      </w:r>
      <w:r>
        <w:t>, 3.1 et</w:t>
      </w:r>
      <w:r w:rsidR="009205BC">
        <w:t> </w:t>
      </w:r>
      <w:r>
        <w:t>3.2 du texte du président concernant l</w:t>
      </w:r>
      <w:r w:rsidR="00664AC3">
        <w:t>’</w:t>
      </w:r>
      <w:r>
        <w:t>élément déclencheur et le contenu de la divulgation sont les suivantes</w:t>
      </w:r>
      <w:r w:rsidR="00664AC3">
        <w:t> :</w:t>
      </w:r>
    </w:p>
    <w:p w:rsidR="009205BC" w:rsidRPr="009205BC" w:rsidRDefault="009205BC" w:rsidP="00A94663">
      <w:pPr>
        <w:spacing w:before="220" w:after="220"/>
        <w:jc w:val="center"/>
        <w:rPr>
          <w:b/>
          <w:caps/>
        </w:rPr>
      </w:pPr>
      <w:r w:rsidRPr="009205BC">
        <w:rPr>
          <w:b/>
          <w:caps/>
        </w:rPr>
        <w:t>Article 3</w:t>
      </w:r>
    </w:p>
    <w:p w:rsidR="00FD0CC3" w:rsidRPr="009205BC" w:rsidRDefault="009205BC" w:rsidP="009205BC">
      <w:pPr>
        <w:spacing w:after="220"/>
        <w:jc w:val="center"/>
        <w:rPr>
          <w:b/>
          <w:caps/>
        </w:rPr>
      </w:pPr>
      <w:r w:rsidRPr="009205BC">
        <w:rPr>
          <w:b/>
          <w:caps/>
        </w:rPr>
        <w:t>Exigence de divulgation</w:t>
      </w:r>
    </w:p>
    <w:p w:rsidR="00FD0CC3" w:rsidRDefault="00FD0CC3" w:rsidP="000C06FE">
      <w:pPr>
        <w:pStyle w:val="ONUMFS"/>
        <w:numPr>
          <w:ilvl w:val="0"/>
          <w:numId w:val="0"/>
        </w:numPr>
        <w:ind w:left="1134" w:hanging="567"/>
      </w:pPr>
      <w:r>
        <w:t>3.</w:t>
      </w:r>
      <w:r w:rsidRPr="0099271B">
        <w:t>1</w:t>
      </w:r>
      <w:r w:rsidR="0099271B">
        <w:tab/>
      </w:r>
      <w:r w:rsidRPr="0099271B">
        <w:t>Lorsque l</w:t>
      </w:r>
      <w:r w:rsidR="00664AC3" w:rsidRPr="0099271B">
        <w:t>’</w:t>
      </w:r>
      <w:r w:rsidRPr="0099271B">
        <w:t xml:space="preserve">invention revendiquée dans une demande de brevet est </w:t>
      </w:r>
      <w:r w:rsidRPr="0099271B">
        <w:rPr>
          <w:i/>
        </w:rPr>
        <w:t>sensiblement</w:t>
      </w:r>
      <w:r w:rsidR="00887C90" w:rsidRPr="0099271B">
        <w:t xml:space="preserve"> </w:t>
      </w:r>
      <w:r w:rsidRPr="0099271B">
        <w:t xml:space="preserve">et </w:t>
      </w:r>
      <w:r w:rsidRPr="0099271B">
        <w:rPr>
          <w:i/>
        </w:rPr>
        <w:t>directement</w:t>
      </w:r>
      <w:r w:rsidRPr="0099271B">
        <w:t xml:space="preserve"> fondée sur des ressources génétiques, chaque partie contractante exige du déposant qu</w:t>
      </w:r>
      <w:r w:rsidR="00664AC3" w:rsidRPr="0099271B">
        <w:t>’</w:t>
      </w:r>
      <w:r w:rsidRPr="0099271B">
        <w:t>il divulgue</w:t>
      </w:r>
      <w:r w:rsidR="00664AC3" w:rsidRPr="0099271B">
        <w:t> :</w:t>
      </w:r>
    </w:p>
    <w:p w:rsidR="00FD0CC3" w:rsidRPr="0099271B" w:rsidRDefault="00FD0CC3" w:rsidP="000C06FE">
      <w:pPr>
        <w:pStyle w:val="ListParagraph"/>
        <w:numPr>
          <w:ilvl w:val="0"/>
          <w:numId w:val="24"/>
        </w:numPr>
        <w:spacing w:after="220"/>
        <w:ind w:left="1701" w:hanging="567"/>
        <w:contextualSpacing w:val="0"/>
        <w:rPr>
          <w:szCs w:val="22"/>
        </w:rPr>
      </w:pPr>
      <w:r>
        <w:t>le pays d</w:t>
      </w:r>
      <w:r w:rsidR="00664AC3">
        <w:t>’</w:t>
      </w:r>
      <w:r>
        <w:t xml:space="preserve">origine où les ressources génétiques ont été obtenues; </w:t>
      </w:r>
      <w:r w:rsidR="007057FA">
        <w:t xml:space="preserve"> </w:t>
      </w:r>
      <w:r>
        <w:t>ou</w:t>
      </w:r>
    </w:p>
    <w:p w:rsidR="00FD0CC3" w:rsidRPr="0099271B" w:rsidRDefault="00FD0CC3" w:rsidP="000C06FE">
      <w:pPr>
        <w:pStyle w:val="ListParagraph"/>
        <w:numPr>
          <w:ilvl w:val="0"/>
          <w:numId w:val="24"/>
        </w:numPr>
        <w:spacing w:after="220"/>
        <w:ind w:left="1701" w:hanging="567"/>
        <w:rPr>
          <w:szCs w:val="22"/>
        </w:rPr>
      </w:pPr>
      <w:r>
        <w:t>dans les cas où l</w:t>
      </w:r>
      <w:r w:rsidR="00664AC3">
        <w:t>’</w:t>
      </w:r>
      <w:r>
        <w:t>information visée au sous</w:t>
      </w:r>
      <w:r w:rsidR="0099271B">
        <w:noBreakHyphen/>
      </w:r>
      <w:r w:rsidR="00664AC3">
        <w:t>alinéa a)</w:t>
      </w:r>
      <w:r>
        <w:t xml:space="preserve"> n</w:t>
      </w:r>
      <w:r w:rsidR="00664AC3">
        <w:t>’</w:t>
      </w:r>
      <w:r>
        <w:t>est pas connue du déposant, ou lorsque le sous</w:t>
      </w:r>
      <w:r w:rsidR="0099271B">
        <w:noBreakHyphen/>
      </w:r>
      <w:r w:rsidR="00664AC3">
        <w:t>alinéa a)</w:t>
      </w:r>
      <w:r>
        <w:t xml:space="preserve"> ne s</w:t>
      </w:r>
      <w:r w:rsidR="00664AC3">
        <w:t>’</w:t>
      </w:r>
      <w:r>
        <w:t>applique pas, la source des ressources génétiques.</w:t>
      </w:r>
    </w:p>
    <w:p w:rsidR="0099271B" w:rsidRDefault="0099271B" w:rsidP="000C06FE">
      <w:pPr>
        <w:spacing w:after="220"/>
        <w:ind w:left="1134" w:hanging="567"/>
      </w:pPr>
      <w:r>
        <w:t>3.2</w:t>
      </w:r>
      <w:r>
        <w:tab/>
      </w:r>
      <w:r w:rsidR="00FD0CC3" w:rsidRPr="0099271B">
        <w:t>Lorsque l</w:t>
      </w:r>
      <w:r w:rsidR="00664AC3" w:rsidRPr="0099271B">
        <w:t>’</w:t>
      </w:r>
      <w:r w:rsidR="00FD0CC3" w:rsidRPr="0099271B">
        <w:t xml:space="preserve">invention revendiquée dans une demande de brevet est </w:t>
      </w:r>
      <w:r w:rsidR="00FD0CC3" w:rsidRPr="000C06FE">
        <w:rPr>
          <w:i/>
        </w:rPr>
        <w:t>sensiblement</w:t>
      </w:r>
      <w:r w:rsidR="00FD0CC3" w:rsidRPr="0099271B">
        <w:t xml:space="preserve"> et </w:t>
      </w:r>
      <w:r w:rsidR="00FD0CC3" w:rsidRPr="000C06FE">
        <w:rPr>
          <w:i/>
        </w:rPr>
        <w:t>directement</w:t>
      </w:r>
      <w:r w:rsidR="00FD0CC3" w:rsidRPr="0099271B">
        <w:t xml:space="preserve"> fondée sur des savoirs traditionnels connexes, chaque partie contractante exige du déposant qu</w:t>
      </w:r>
      <w:r w:rsidR="00664AC3" w:rsidRPr="0099271B">
        <w:t>’</w:t>
      </w:r>
      <w:r w:rsidR="00FD0CC3" w:rsidRPr="0099271B">
        <w:t>il divulgue</w:t>
      </w:r>
      <w:r w:rsidR="00664AC3" w:rsidRPr="0099271B">
        <w:t> :</w:t>
      </w:r>
    </w:p>
    <w:p w:rsidR="00FD0CC3" w:rsidRDefault="00FD0CC3" w:rsidP="000C06FE">
      <w:pPr>
        <w:pStyle w:val="ListParagraph"/>
        <w:numPr>
          <w:ilvl w:val="0"/>
          <w:numId w:val="25"/>
        </w:numPr>
        <w:spacing w:after="220"/>
        <w:ind w:left="1701" w:hanging="567"/>
        <w:contextualSpacing w:val="0"/>
      </w:pPr>
      <w:r>
        <w:t xml:space="preserve">le peuple autochtone ou la communauté locale qui a fourni les savoirs traditionnels connexes; </w:t>
      </w:r>
      <w:r w:rsidR="007057FA">
        <w:t xml:space="preserve"> </w:t>
      </w:r>
      <w:r>
        <w:t>ou</w:t>
      </w:r>
    </w:p>
    <w:p w:rsidR="00FD0CC3" w:rsidRPr="001A40B1" w:rsidRDefault="00FD0CC3" w:rsidP="000C06FE">
      <w:pPr>
        <w:pStyle w:val="ListParagraph"/>
        <w:numPr>
          <w:ilvl w:val="0"/>
          <w:numId w:val="25"/>
        </w:numPr>
        <w:spacing w:after="220"/>
        <w:ind w:left="1701" w:hanging="567"/>
      </w:pPr>
      <w:r>
        <w:t>dans les cas où l</w:t>
      </w:r>
      <w:r w:rsidR="00664AC3">
        <w:t>’</w:t>
      </w:r>
      <w:r>
        <w:t>information visée au sous</w:t>
      </w:r>
      <w:r w:rsidR="0099271B">
        <w:noBreakHyphen/>
      </w:r>
      <w:r w:rsidR="00664AC3">
        <w:t>alinéa a)</w:t>
      </w:r>
      <w:r>
        <w:t xml:space="preserve"> n</w:t>
      </w:r>
      <w:r w:rsidR="00664AC3">
        <w:t>’</w:t>
      </w:r>
      <w:r>
        <w:t>est pas connue du déposant, ou lorsque le sous</w:t>
      </w:r>
      <w:r w:rsidR="0099271B">
        <w:noBreakHyphen/>
      </w:r>
      <w:r w:rsidR="00664AC3">
        <w:t>alinéa a)</w:t>
      </w:r>
      <w:r>
        <w:t xml:space="preserve"> ne s</w:t>
      </w:r>
      <w:r w:rsidR="00664AC3">
        <w:t>’</w:t>
      </w:r>
      <w:r>
        <w:t>applique pas, la source des savoirs traditionnels connexes.</w:t>
      </w:r>
    </w:p>
    <w:p w:rsidR="00FD0CC3" w:rsidRDefault="00FD0CC3" w:rsidP="009D3316">
      <w:pPr>
        <w:spacing w:after="220"/>
        <w:ind w:left="1134"/>
      </w:pPr>
      <w:r>
        <w:t>En ce qui concerne les définitions pertinentes de l</w:t>
      </w:r>
      <w:r w:rsidR="00664AC3">
        <w:t>’article 2</w:t>
      </w:r>
      <w:r>
        <w:t>, on entend par</w:t>
      </w:r>
      <w:r w:rsidR="00664AC3">
        <w:t> :</w:t>
      </w:r>
    </w:p>
    <w:p w:rsidR="00664AC3" w:rsidRDefault="00FD0CC3" w:rsidP="009D3316">
      <w:pPr>
        <w:spacing w:after="220"/>
        <w:ind w:left="1134"/>
      </w:pPr>
      <w:r>
        <w:rPr>
          <w:b/>
          <w:i/>
        </w:rPr>
        <w:t>“pays d</w:t>
      </w:r>
      <w:r w:rsidR="00664AC3">
        <w:rPr>
          <w:b/>
          <w:i/>
        </w:rPr>
        <w:t>’</w:t>
      </w:r>
      <w:r>
        <w:rPr>
          <w:b/>
          <w:i/>
        </w:rPr>
        <w:t>origine”</w:t>
      </w:r>
      <w:r>
        <w:t xml:space="preserve"> le pays qui possède des ressources génétiques dans des conditions </w:t>
      </w:r>
      <w:r>
        <w:rPr>
          <w:i/>
        </w:rPr>
        <w:t>in situ</w:t>
      </w:r>
      <w:r>
        <w:t>;</w:t>
      </w:r>
    </w:p>
    <w:p w:rsidR="00664AC3" w:rsidRDefault="00FD0CC3" w:rsidP="009D3316">
      <w:pPr>
        <w:spacing w:after="220"/>
        <w:ind w:left="1134"/>
      </w:pPr>
      <w:r>
        <w:rPr>
          <w:b/>
          <w:i/>
        </w:rPr>
        <w:t>“sensiblement et directement fondé sur”</w:t>
      </w:r>
      <w:r>
        <w:t xml:space="preserve"> que les ressources génétiques ou savoirs traditionnels connexes doivent </w:t>
      </w:r>
      <w:r>
        <w:rPr>
          <w:i/>
        </w:rPr>
        <w:t>s</w:t>
      </w:r>
      <w:r w:rsidR="00664AC3">
        <w:rPr>
          <w:i/>
        </w:rPr>
        <w:t>’</w:t>
      </w:r>
      <w:r>
        <w:rPr>
          <w:i/>
        </w:rPr>
        <w:t>être avérés nécessaires ou importants pour l</w:t>
      </w:r>
      <w:r w:rsidR="00664AC3">
        <w:rPr>
          <w:i/>
        </w:rPr>
        <w:t>’</w:t>
      </w:r>
      <w:r>
        <w:rPr>
          <w:i/>
        </w:rPr>
        <w:t>invention revendiquée</w:t>
      </w:r>
      <w:r>
        <w:t xml:space="preserve">, et que </w:t>
      </w:r>
      <w:r>
        <w:rPr>
          <w:i/>
        </w:rPr>
        <w:t>l</w:t>
      </w:r>
      <w:r w:rsidR="00664AC3">
        <w:rPr>
          <w:i/>
        </w:rPr>
        <w:t>’</w:t>
      </w:r>
      <w:r>
        <w:rPr>
          <w:i/>
        </w:rPr>
        <w:t>invention revendiquée doit dépendre des propriétés spécifiques des ressources génétiques ou des connaissances tirées des savoirs traditionnels connexes;</w:t>
      </w:r>
    </w:p>
    <w:p w:rsidR="00FD0CC3" w:rsidRPr="00192771" w:rsidRDefault="00FD0CC3" w:rsidP="009D3316">
      <w:pPr>
        <w:spacing w:after="220"/>
        <w:ind w:left="1134"/>
      </w:pPr>
      <w:r>
        <w:rPr>
          <w:b/>
          <w:i/>
        </w:rPr>
        <w:t>“source des ressources génétiques”</w:t>
      </w:r>
      <w:r>
        <w:t xml:space="preserve"> se rapporte à toute source auprès de laquelle le déposant a obtenu les ressources génétiques, par exemple les peuples autochtones et les communautés locales, un centre de recherche, une banque de gènes, le Système multilatéral du Traité international sur les ressources phytogénétiques pour l</w:t>
      </w:r>
      <w:r w:rsidR="00664AC3">
        <w:t>’</w:t>
      </w:r>
      <w:r>
        <w:t>alimentation et l</w:t>
      </w:r>
      <w:r w:rsidR="00664AC3">
        <w:t>’</w:t>
      </w:r>
      <w:r>
        <w:t xml:space="preserve">agriculture ou toute autre collection ou tout autre dépôt de ressources génétiques </w:t>
      </w:r>
      <w:r>
        <w:rPr>
          <w:i/>
          <w:iCs/>
        </w:rPr>
        <w:t>ex</w:t>
      </w:r>
      <w:r w:rsidR="0099271B">
        <w:rPr>
          <w:i/>
          <w:iCs/>
        </w:rPr>
        <w:t> </w:t>
      </w:r>
      <w:r>
        <w:rPr>
          <w:i/>
          <w:iCs/>
        </w:rPr>
        <w:t>situ</w:t>
      </w:r>
      <w:r>
        <w:t>;</w:t>
      </w:r>
    </w:p>
    <w:p w:rsidR="00FD0CC3" w:rsidRDefault="00FD0CC3" w:rsidP="009D3316">
      <w:pPr>
        <w:pStyle w:val="ListParagraph"/>
        <w:keepNext/>
        <w:numPr>
          <w:ilvl w:val="0"/>
          <w:numId w:val="20"/>
        </w:numPr>
        <w:spacing w:after="220"/>
        <w:ind w:left="1134" w:hanging="567"/>
        <w:contextualSpacing w:val="0"/>
      </w:pPr>
      <w:r>
        <w:t>En ce qui concerne l</w:t>
      </w:r>
      <w:r w:rsidR="00664AC3">
        <w:t>’article 6</w:t>
      </w:r>
      <w:r>
        <w:t xml:space="preserve"> du texte du prési</w:t>
      </w:r>
      <w:r w:rsidR="0099271B">
        <w:t>dent (Sanctions et réparations) :</w:t>
      </w:r>
    </w:p>
    <w:p w:rsidR="0099271B" w:rsidRDefault="00FD0CC3" w:rsidP="0099271B">
      <w:pPr>
        <w:pStyle w:val="ListParagraph"/>
        <w:numPr>
          <w:ilvl w:val="0"/>
          <w:numId w:val="26"/>
        </w:numPr>
        <w:ind w:left="1701" w:hanging="567"/>
      </w:pPr>
      <w:r>
        <w:t>certains experts ont suggéré d</w:t>
      </w:r>
      <w:r w:rsidR="00664AC3">
        <w:t>’</w:t>
      </w:r>
      <w:r>
        <w:t>ajouter à l</w:t>
      </w:r>
      <w:r w:rsidR="00664AC3">
        <w:t>’article 6</w:t>
      </w:r>
      <w:r>
        <w:t>.2 la possibilité de corriger des informations erronées, en plus de la possibilité de rectifier toute non</w:t>
      </w:r>
      <w:r w:rsidR="00144FAC">
        <w:noBreakHyphen/>
      </w:r>
      <w:r>
        <w:t>communica</w:t>
      </w:r>
      <w:r w:rsidR="009F4714">
        <w:t>tion des informations minimales;</w:t>
      </w:r>
    </w:p>
    <w:p w:rsidR="009F4714" w:rsidRDefault="009F4714" w:rsidP="0099271B">
      <w:pPr>
        <w:pStyle w:val="ListParagraph"/>
        <w:numPr>
          <w:ilvl w:val="0"/>
          <w:numId w:val="26"/>
        </w:numPr>
        <w:ind w:left="1701" w:hanging="567"/>
      </w:pPr>
      <w:r>
        <w:t>s</w:t>
      </w:r>
      <w:r w:rsidR="00FD0CC3">
        <w:t>i la plupart des experts étaient opposés à la révocation, certai</w:t>
      </w:r>
      <w:r>
        <w:t>ns experts y étaient favorables;</w:t>
      </w:r>
    </w:p>
    <w:p w:rsidR="009F4714" w:rsidRDefault="009F4714" w:rsidP="0099271B">
      <w:pPr>
        <w:pStyle w:val="ListParagraph"/>
        <w:numPr>
          <w:ilvl w:val="0"/>
          <w:numId w:val="26"/>
        </w:numPr>
        <w:ind w:left="1701" w:hanging="567"/>
      </w:pPr>
      <w:r>
        <w:t>d</w:t>
      </w:r>
      <w:r w:rsidR="00FD0CC3">
        <w:t>e l</w:t>
      </w:r>
      <w:r w:rsidR="00664AC3">
        <w:t>’</w:t>
      </w:r>
      <w:r w:rsidR="00FD0CC3">
        <w:t>avis général, il convient d</w:t>
      </w:r>
      <w:r w:rsidR="00664AC3">
        <w:t>’</w:t>
      </w:r>
      <w:r w:rsidR="00FD0CC3">
        <w:t>inverser l</w:t>
      </w:r>
      <w:r w:rsidR="00664AC3">
        <w:t>’</w:t>
      </w:r>
      <w:r w:rsidR="00FD0CC3">
        <w:t xml:space="preserve">ordre des </w:t>
      </w:r>
      <w:r w:rsidR="00664AC3">
        <w:t>articles 6</w:t>
      </w:r>
      <w:r>
        <w:t>.3 et 6.4;</w:t>
      </w:r>
    </w:p>
    <w:p w:rsidR="009F4714" w:rsidRDefault="009F4714" w:rsidP="0099271B">
      <w:pPr>
        <w:pStyle w:val="ListParagraph"/>
        <w:numPr>
          <w:ilvl w:val="0"/>
          <w:numId w:val="26"/>
        </w:numPr>
        <w:ind w:left="1701" w:hanging="567"/>
      </w:pPr>
      <w:r>
        <w:t>c</w:t>
      </w:r>
      <w:r w:rsidR="00FD0CC3">
        <w:t>ertains experts se sont demandé s</w:t>
      </w:r>
      <w:r w:rsidR="00664AC3">
        <w:t>’</w:t>
      </w:r>
      <w:r w:rsidR="00FD0CC3">
        <w:t>il était nécessaire d</w:t>
      </w:r>
      <w:r w:rsidR="00664AC3">
        <w:t>’</w:t>
      </w:r>
      <w:r w:rsidR="00FD0CC3">
        <w:t xml:space="preserve">inclure le terme </w:t>
      </w:r>
      <w:r w:rsidR="00664AC3">
        <w:t>“s</w:t>
      </w:r>
      <w:r w:rsidR="00FD0CC3">
        <w:t>eu</w:t>
      </w:r>
      <w:r w:rsidR="00664AC3">
        <w:t>l”</w:t>
      </w:r>
      <w:r w:rsidR="00FD0CC3">
        <w:t xml:space="preserve"> à l</w:t>
      </w:r>
      <w:r w:rsidR="00664AC3">
        <w:t>’article 6</w:t>
      </w:r>
      <w:r>
        <w:t>.3;</w:t>
      </w:r>
    </w:p>
    <w:p w:rsidR="009F4714" w:rsidRDefault="009F4714" w:rsidP="0099271B">
      <w:pPr>
        <w:pStyle w:val="ListParagraph"/>
        <w:numPr>
          <w:ilvl w:val="0"/>
          <w:numId w:val="26"/>
        </w:numPr>
        <w:ind w:left="1701" w:hanging="567"/>
      </w:pPr>
      <w:r>
        <w:t>l</w:t>
      </w:r>
      <w:r w:rsidR="00FD0CC3">
        <w:t>es experts ont examiné l</w:t>
      </w:r>
      <w:r w:rsidR="00664AC3">
        <w:t>’</w:t>
      </w:r>
      <w:r w:rsidR="00FD0CC3">
        <w:t>utilisation de l</w:t>
      </w:r>
      <w:r w:rsidR="00664AC3">
        <w:t>’</w:t>
      </w:r>
      <w:r w:rsidR="00FD0CC3">
        <w:t>expression “intention frauduleuse” à l</w:t>
      </w:r>
      <w:r w:rsidR="00664AC3">
        <w:t>’article 6</w:t>
      </w:r>
      <w:r w:rsidR="00FD0CC3">
        <w:t xml:space="preserve">.4. </w:t>
      </w:r>
      <w:r w:rsidR="007057FA">
        <w:t xml:space="preserve"> </w:t>
      </w:r>
      <w:r w:rsidR="00FD0CC3">
        <w:t>Les experts n</w:t>
      </w:r>
      <w:r w:rsidR="00664AC3">
        <w:t>’</w:t>
      </w:r>
      <w:r w:rsidR="00FD0CC3">
        <w:t>ont pas tous la même compréhension de cette expressi</w:t>
      </w:r>
      <w:r w:rsidR="00A25AD2">
        <w:t>on.  Ce</w:t>
      </w:r>
      <w:r w:rsidR="00FD0CC3">
        <w:t xml:space="preserve">rtains experts ont suggéré de la remplacer par </w:t>
      </w:r>
      <w:r w:rsidR="00664AC3">
        <w:t>“i</w:t>
      </w:r>
      <w:r w:rsidR="00FD0CC3">
        <w:t>ntention frauduleuse ou délibéré</w:t>
      </w:r>
      <w:r w:rsidR="00664AC3">
        <w:t>e”</w:t>
      </w:r>
      <w:r>
        <w:t>;</w:t>
      </w:r>
    </w:p>
    <w:p w:rsidR="009F4714" w:rsidRDefault="009F4714" w:rsidP="0099271B">
      <w:pPr>
        <w:pStyle w:val="ListParagraph"/>
        <w:numPr>
          <w:ilvl w:val="0"/>
          <w:numId w:val="26"/>
        </w:numPr>
        <w:ind w:left="1701" w:hanging="567"/>
      </w:pPr>
      <w:r>
        <w:t>c</w:t>
      </w:r>
      <w:r w:rsidR="00FD0CC3">
        <w:t>ertains experts ont exprimé leur préoccupation quant à l</w:t>
      </w:r>
      <w:r w:rsidR="00664AC3">
        <w:t>’</w:t>
      </w:r>
      <w:r w:rsidR="00FD0CC3">
        <w:t>utilisation de l</w:t>
      </w:r>
      <w:r w:rsidR="00664AC3">
        <w:t>’</w:t>
      </w:r>
      <w:r w:rsidR="00FD0CC3">
        <w:t xml:space="preserve">expression </w:t>
      </w:r>
      <w:r w:rsidR="00664AC3">
        <w:t>“s</w:t>
      </w:r>
      <w:r w:rsidR="00FD0CC3">
        <w:t>anctions après la délivrance du breve</w:t>
      </w:r>
      <w:r w:rsidR="00664AC3">
        <w:t>t”</w:t>
      </w:r>
      <w:r w:rsidR="00FD0CC3">
        <w:t xml:space="preserve"> à l</w:t>
      </w:r>
      <w:r w:rsidR="00664AC3">
        <w:t>’article 6</w:t>
      </w:r>
      <w:r>
        <w:t>.4;</w:t>
      </w:r>
    </w:p>
    <w:p w:rsidR="00664AC3" w:rsidRDefault="009F4714" w:rsidP="009F4714">
      <w:pPr>
        <w:pStyle w:val="ListParagraph"/>
        <w:numPr>
          <w:ilvl w:val="0"/>
          <w:numId w:val="26"/>
        </w:numPr>
        <w:spacing w:after="220"/>
        <w:ind w:left="1701" w:hanging="567"/>
        <w:contextualSpacing w:val="0"/>
      </w:pPr>
      <w:r>
        <w:t>c</w:t>
      </w:r>
      <w:r w:rsidR="00FD0CC3">
        <w:t>ertains experts ont suggéré de supprimer l</w:t>
      </w:r>
      <w:r w:rsidR="00664AC3">
        <w:t>’article 6</w:t>
      </w:r>
      <w:r w:rsidR="00FD0CC3">
        <w:t>.5, estimant qu</w:t>
      </w:r>
      <w:r w:rsidR="00664AC3">
        <w:t>’</w:t>
      </w:r>
      <w:r w:rsidR="00FD0CC3">
        <w:t>il n</w:t>
      </w:r>
      <w:r w:rsidR="00664AC3">
        <w:t>’</w:t>
      </w:r>
      <w:r w:rsidR="00FD0CC3">
        <w:t>était pas utile dans le contexte d</w:t>
      </w:r>
      <w:r w:rsidR="00664AC3">
        <w:t>’</w:t>
      </w:r>
      <w:r w:rsidR="00FD0CC3">
        <w:t>une mesure de transparen</w:t>
      </w:r>
      <w:r w:rsidR="00A25AD2">
        <w:t>ce.  La</w:t>
      </w:r>
      <w:r w:rsidR="00FD0CC3">
        <w:t xml:space="preserve"> plupart des experts ont néanmoins estimé que l</w:t>
      </w:r>
      <w:r w:rsidR="00664AC3">
        <w:t>’article 6</w:t>
      </w:r>
      <w:r w:rsidR="00FD0CC3">
        <w:t>.5 était utile dans la mesure où il encourage le règlement extrajudiciaire des litig</w:t>
      </w:r>
      <w:r w:rsidR="00A25AD2">
        <w:t>es.  Ce</w:t>
      </w:r>
      <w:r w:rsidR="00FD0CC3">
        <w:t xml:space="preserve">rtains experts ont suggéré de remplacer </w:t>
      </w:r>
      <w:r w:rsidR="00664AC3">
        <w:t>“m</w:t>
      </w:r>
      <w:r w:rsidR="00FD0CC3">
        <w:t>ettent en plac</w:t>
      </w:r>
      <w:r w:rsidR="00664AC3">
        <w:t>e”</w:t>
      </w:r>
      <w:r w:rsidR="00FD0CC3">
        <w:t xml:space="preserve"> par </w:t>
      </w:r>
      <w:r w:rsidR="00664AC3">
        <w:t>“p</w:t>
      </w:r>
      <w:r w:rsidR="00FD0CC3">
        <w:t>euvent mettre en plac</w:t>
      </w:r>
      <w:r w:rsidR="00664AC3">
        <w:t>e”</w:t>
      </w:r>
      <w:r w:rsidR="00FD0CC3">
        <w:t xml:space="preserve">, </w:t>
      </w:r>
      <w:r w:rsidR="00664AC3">
        <w:t>“m</w:t>
      </w:r>
      <w:r w:rsidR="00FD0CC3">
        <w:t>odes adéquats de règlement des litige</w:t>
      </w:r>
      <w:r w:rsidR="00664AC3">
        <w:t>s”</w:t>
      </w:r>
      <w:r w:rsidR="00FD0CC3">
        <w:t xml:space="preserve"> par </w:t>
      </w:r>
      <w:r w:rsidR="00664AC3">
        <w:t>“m</w:t>
      </w:r>
      <w:r w:rsidR="00FD0CC3">
        <w:t>odes extrajudiciaires de règlement des litige</w:t>
      </w:r>
      <w:r w:rsidR="00664AC3">
        <w:t>s”</w:t>
      </w:r>
      <w:r w:rsidR="00FD0CC3">
        <w:t xml:space="preserve"> et </w:t>
      </w:r>
      <w:r w:rsidR="00664AC3">
        <w:t>“t</w:t>
      </w:r>
      <w:r w:rsidR="00FD0CC3">
        <w:t>outes les parties concernée</w:t>
      </w:r>
      <w:r w:rsidR="00664AC3">
        <w:t>s”</w:t>
      </w:r>
      <w:r w:rsidR="00FD0CC3">
        <w:t xml:space="preserve"> par </w:t>
      </w:r>
      <w:r w:rsidR="00664AC3">
        <w:t>“l</w:t>
      </w:r>
      <w:r w:rsidR="00FD0CC3">
        <w:t>es parties concernée</w:t>
      </w:r>
      <w:r w:rsidR="00664AC3">
        <w:t>s”</w:t>
      </w:r>
      <w:r w:rsidR="00FD0CC3">
        <w:t>.</w:t>
      </w:r>
    </w:p>
    <w:p w:rsidR="009F4714" w:rsidRDefault="00FD0CC3" w:rsidP="009F4714">
      <w:pPr>
        <w:pStyle w:val="ListParagraph"/>
        <w:numPr>
          <w:ilvl w:val="0"/>
          <w:numId w:val="20"/>
        </w:numPr>
        <w:spacing w:after="220"/>
        <w:ind w:left="1134" w:hanging="567"/>
        <w:contextualSpacing w:val="0"/>
      </w:pPr>
      <w:r>
        <w:t>En ce qui concerne l</w:t>
      </w:r>
      <w:r w:rsidR="00664AC3">
        <w:t>’article 7</w:t>
      </w:r>
      <w:r>
        <w:t xml:space="preserve"> du texte du président sur les systèmes d</w:t>
      </w:r>
      <w:r w:rsidR="00664AC3">
        <w:t>’</w:t>
      </w:r>
      <w:r>
        <w:t>information, les experts ont pris note des propositions de libellé formulées par les experts ayant participé aux réunions techniques virtuelles sur les systèmes d</w:t>
      </w:r>
      <w:r w:rsidR="00664AC3">
        <w:t>’</w:t>
      </w:r>
      <w:r>
        <w:t>information, les registres et les bas</w:t>
      </w:r>
      <w:bookmarkStart w:id="5" w:name="_GoBack"/>
      <w:bookmarkEnd w:id="5"/>
      <w:r>
        <w:t>es de données relatives aux ressources génétiques, aux savoirs traditionnels et aux expressions culturelles traditionnelles, et ont généralement approuvé ces propositio</w:t>
      </w:r>
      <w:r w:rsidR="00A25AD2">
        <w:t>ns.  Un</w:t>
      </w:r>
      <w:r>
        <w:t>e suggestion supplémentaire consistait à mettre l</w:t>
      </w:r>
      <w:r w:rsidR="00664AC3">
        <w:t>’</w:t>
      </w:r>
      <w:r>
        <w:t xml:space="preserve">accent sur la participation des peuples autochtones et des communautés locales en remplaçant </w:t>
      </w:r>
      <w:r w:rsidR="00664AC3">
        <w:t>“e</w:t>
      </w:r>
      <w:r>
        <w:t>n consultation avec les parties prenantes concernée</w:t>
      </w:r>
      <w:r w:rsidR="00664AC3">
        <w:t>s”</w:t>
      </w:r>
      <w:r>
        <w:t xml:space="preserve"> par </w:t>
      </w:r>
      <w:r w:rsidR="00664AC3">
        <w:t>“e</w:t>
      </w:r>
      <w:r>
        <w:t>n consultation avec les peuples autochtones et les communautés locales et autres parties prenante</w:t>
      </w:r>
      <w:r w:rsidR="00664AC3">
        <w:t>s”</w:t>
      </w:r>
      <w:r>
        <w:t>.  Les experts sont également convenus que les savoirs traditionnels secrets ne devraient pas être inclus dans les bases de données.</w:t>
      </w:r>
    </w:p>
    <w:p w:rsidR="00664AC3" w:rsidRDefault="00FD0CC3" w:rsidP="0099271B">
      <w:pPr>
        <w:pStyle w:val="ListParagraph"/>
        <w:numPr>
          <w:ilvl w:val="0"/>
          <w:numId w:val="20"/>
        </w:numPr>
        <w:spacing w:after="220"/>
        <w:ind w:left="1134" w:hanging="567"/>
      </w:pPr>
      <w:r>
        <w:t>S</w:t>
      </w:r>
      <w:r w:rsidR="00664AC3">
        <w:t>’</w:t>
      </w:r>
      <w:r>
        <w:t>agissant de l</w:t>
      </w:r>
      <w:r w:rsidR="00664AC3">
        <w:t>’article 8</w:t>
      </w:r>
      <w:r>
        <w:t xml:space="preserve"> du texte du président sur la relation avec d</w:t>
      </w:r>
      <w:r w:rsidR="00664AC3">
        <w:t>’</w:t>
      </w:r>
      <w:r>
        <w:t>autres accords internationaux, les experts sont convenus de supprimer la note de bas de page relative à l</w:t>
      </w:r>
      <w:r w:rsidR="00664AC3">
        <w:t>’article 8</w:t>
      </w:r>
      <w:r>
        <w:t xml:space="preserve">.  Certains experts ont suggéré de remplacer “complémentaire” par </w:t>
      </w:r>
      <w:r w:rsidR="00664AC3">
        <w:t>“c</w:t>
      </w:r>
      <w:r>
        <w:t>ohérent</w:t>
      </w:r>
      <w:r w:rsidR="00664AC3">
        <w:t>e”</w:t>
      </w:r>
      <w:r>
        <w:t>.</w:t>
      </w:r>
    </w:p>
    <w:p w:rsidR="00664AC3" w:rsidRDefault="00FD0CC3" w:rsidP="009F4714">
      <w:pPr>
        <w:pStyle w:val="ONUMFS"/>
        <w:numPr>
          <w:ilvl w:val="0"/>
          <w:numId w:val="0"/>
        </w:numPr>
        <w:ind w:left="5533"/>
        <w:rPr>
          <w:i/>
        </w:rPr>
      </w:pPr>
      <w:r w:rsidRPr="009F4714">
        <w:t>22</w:t>
      </w:r>
      <w:r>
        <w:rPr>
          <w:i/>
        </w:rPr>
        <w:t>.</w:t>
      </w:r>
      <w:r>
        <w:rPr>
          <w:i/>
        </w:rPr>
        <w:tab/>
      </w:r>
      <w:r w:rsidRPr="009F4714">
        <w:rPr>
          <w:i/>
        </w:rPr>
        <w:t>Le comité est invité à prendre note du présent document, à examiner la recommandation relative à la création d</w:t>
      </w:r>
      <w:r w:rsidR="00664AC3" w:rsidRPr="009F4714">
        <w:rPr>
          <w:i/>
        </w:rPr>
        <w:t>’</w:t>
      </w:r>
      <w:r w:rsidRPr="009F4714">
        <w:rPr>
          <w:i/>
        </w:rPr>
        <w:t>une Équipe subsidiaire d</w:t>
      </w:r>
      <w:r w:rsidR="00664AC3" w:rsidRPr="009F4714">
        <w:rPr>
          <w:i/>
        </w:rPr>
        <w:t>’</w:t>
      </w:r>
      <w:r w:rsidRPr="009F4714">
        <w:rPr>
          <w:i/>
        </w:rPr>
        <w:t>experts techniques sur les systèmes d</w:t>
      </w:r>
      <w:r w:rsidR="00664AC3" w:rsidRPr="009F4714">
        <w:rPr>
          <w:i/>
        </w:rPr>
        <w:t>’</w:t>
      </w:r>
      <w:r w:rsidRPr="009F4714">
        <w:rPr>
          <w:i/>
        </w:rPr>
        <w:t>information et à envisager de transmettre ce document à la session spéciale de l</w:t>
      </w:r>
      <w:r w:rsidR="00664AC3" w:rsidRPr="009F4714">
        <w:rPr>
          <w:i/>
        </w:rPr>
        <w:t>’</w:t>
      </w:r>
      <w:r w:rsidRPr="009F4714">
        <w:rPr>
          <w:i/>
        </w:rPr>
        <w:t>IGC.</w:t>
      </w:r>
    </w:p>
    <w:p w:rsidR="00FD0CC3" w:rsidRPr="00D12EE0" w:rsidRDefault="00FD0CC3" w:rsidP="009F4714">
      <w:pPr>
        <w:pStyle w:val="Endofdocument-Annex"/>
        <w:spacing w:before="720"/>
        <w:rPr>
          <w:lang w:val="fr-CH"/>
        </w:rPr>
      </w:pPr>
      <w:r w:rsidRPr="00D12EE0">
        <w:rPr>
          <w:lang w:val="fr-CH"/>
        </w:rPr>
        <w:t>[Les annexes suivent]</w:t>
      </w:r>
    </w:p>
    <w:p w:rsidR="00FD0CC3" w:rsidRDefault="00FD0CC3" w:rsidP="00FD0CC3">
      <w:pPr>
        <w:pStyle w:val="ONUME"/>
        <w:numPr>
          <w:ilvl w:val="0"/>
          <w:numId w:val="0"/>
        </w:numPr>
        <w:spacing w:after="0"/>
        <w:ind w:left="720"/>
      </w:pPr>
    </w:p>
    <w:p w:rsidR="00FD0CC3" w:rsidRDefault="00FD0CC3" w:rsidP="00FD0CC3">
      <w:pPr>
        <w:pStyle w:val="ONUME"/>
        <w:numPr>
          <w:ilvl w:val="0"/>
          <w:numId w:val="0"/>
        </w:numPr>
        <w:spacing w:after="0"/>
        <w:ind w:left="720"/>
        <w:sectPr w:rsidR="00FD0CC3" w:rsidSect="00847D82">
          <w:headerReference w:type="default" r:id="rId10"/>
          <w:endnotePr>
            <w:numFmt w:val="decimal"/>
          </w:endnotePr>
          <w:pgSz w:w="11907" w:h="16840" w:code="9"/>
          <w:pgMar w:top="567" w:right="1134" w:bottom="1418" w:left="1418" w:header="510" w:footer="1021" w:gutter="0"/>
          <w:cols w:space="720"/>
          <w:titlePg/>
          <w:docGrid w:linePitch="299"/>
        </w:sectPr>
      </w:pPr>
    </w:p>
    <w:p w:rsidR="00FD0CC3" w:rsidRPr="00D12EE0" w:rsidRDefault="00D12EE0" w:rsidP="00D12EE0">
      <w:pPr>
        <w:pStyle w:val="ONUME"/>
        <w:numPr>
          <w:ilvl w:val="0"/>
          <w:numId w:val="0"/>
        </w:numPr>
        <w:jc w:val="center"/>
        <w:rPr>
          <w:caps/>
        </w:rPr>
      </w:pPr>
      <w:r w:rsidRPr="00D12EE0">
        <w:rPr>
          <w:caps/>
        </w:rPr>
        <w:t>Annexe </w:t>
      </w:r>
      <w:r>
        <w:rPr>
          <w:caps/>
        </w:rPr>
        <w:t>I</w:t>
      </w:r>
    </w:p>
    <w:p w:rsidR="00FD0CC3" w:rsidRPr="00D12EE0" w:rsidRDefault="00D12EE0" w:rsidP="00D12EE0">
      <w:pPr>
        <w:spacing w:after="220"/>
        <w:jc w:val="center"/>
        <w:rPr>
          <w:caps/>
        </w:rPr>
      </w:pPr>
      <w:r w:rsidRPr="00D12EE0">
        <w:rPr>
          <w:caps/>
        </w:rPr>
        <w:t>Liste des experts</w:t>
      </w:r>
    </w:p>
    <w:p w:rsidR="00FD0CC3" w:rsidRPr="00D12EE0" w:rsidRDefault="00D12EE0" w:rsidP="00D12EE0">
      <w:pPr>
        <w:spacing w:after="480"/>
        <w:jc w:val="center"/>
        <w:rPr>
          <w:caps/>
        </w:rPr>
      </w:pPr>
      <w:r w:rsidRPr="00D12EE0">
        <w:rPr>
          <w:caps/>
        </w:rPr>
        <w:t>Réunions techniques virtuelles sur les systèmes d</w:t>
      </w:r>
      <w:r w:rsidR="00664AC3" w:rsidRPr="00D12EE0">
        <w:rPr>
          <w:caps/>
        </w:rPr>
        <w:t>’</w:t>
      </w:r>
      <w:r w:rsidRPr="00D12EE0">
        <w:rPr>
          <w:caps/>
        </w:rPr>
        <w:t>information, les registres et les bases de données sur les ressources génétiques</w:t>
      </w:r>
      <w:r w:rsidR="00FD0CC3" w:rsidRPr="00D12EE0">
        <w:rPr>
          <w:caps/>
        </w:rPr>
        <w:t xml:space="preserve">, </w:t>
      </w:r>
      <w:r w:rsidRPr="00D12EE0">
        <w:rPr>
          <w:caps/>
        </w:rPr>
        <w:t>les savoirs traditionnels et les expressions culturelles traditionnelles</w:t>
      </w:r>
    </w:p>
    <w:p w:rsidR="00FD0CC3" w:rsidRDefault="00FD0CC3" w:rsidP="00D12EE0">
      <w:pPr>
        <w:pStyle w:val="NoSpacing"/>
        <w:spacing w:after="220"/>
      </w:pPr>
      <w:r>
        <w:t>Yassine</w:t>
      </w:r>
      <w:r w:rsidR="00887C90">
        <w:t> </w:t>
      </w:r>
      <w:r>
        <w:t>Alla</w:t>
      </w:r>
      <w:r w:rsidR="00D12EE0">
        <w:t> </w:t>
      </w:r>
      <w:r>
        <w:t>Ou</w:t>
      </w:r>
      <w:r w:rsidR="00D12EE0">
        <w:t> </w:t>
      </w:r>
      <w:r>
        <w:t>Lhadj (M.), Office marocain de la propriété industrielle et commerciale</w:t>
      </w:r>
      <w:r w:rsidR="00D12EE0">
        <w:t> </w:t>
      </w:r>
      <w:r>
        <w:t>(Maroc)</w:t>
      </w:r>
    </w:p>
    <w:p w:rsidR="00FD0CC3" w:rsidRDefault="00FD0CC3" w:rsidP="00D12EE0">
      <w:pPr>
        <w:pStyle w:val="NoSpacing"/>
        <w:spacing w:after="220"/>
      </w:pPr>
      <w:r>
        <w:t>Jane</w:t>
      </w:r>
      <w:r w:rsidR="00D12EE0">
        <w:t> </w:t>
      </w:r>
      <w:r>
        <w:t>Anderson (Mme), International Science Council</w:t>
      </w:r>
      <w:r w:rsidR="00D12EE0">
        <w:t> </w:t>
      </w:r>
      <w:r>
        <w:t>(États</w:t>
      </w:r>
      <w:r w:rsidR="00D12EE0">
        <w:noBreakHyphen/>
      </w:r>
      <w:r>
        <w:t>Unis d</w:t>
      </w:r>
      <w:r w:rsidR="00664AC3">
        <w:t>’</w:t>
      </w:r>
      <w:r>
        <w:t>Amérique)</w:t>
      </w:r>
    </w:p>
    <w:p w:rsidR="00FD0CC3" w:rsidRDefault="00FD0CC3" w:rsidP="00D12EE0">
      <w:pPr>
        <w:pStyle w:val="NoSpacing"/>
        <w:spacing w:after="220"/>
      </w:pPr>
      <w:r>
        <w:t>Andres</w:t>
      </w:r>
      <w:r w:rsidR="00D12EE0">
        <w:t> </w:t>
      </w:r>
      <w:r>
        <w:t>Valladolid</w:t>
      </w:r>
      <w:r w:rsidR="00887C90">
        <w:t> </w:t>
      </w:r>
      <w:r>
        <w:t>Cavero (M.), Institut national pour la défense de la concurrence et la protection de la propriété intellectuelle</w:t>
      </w:r>
      <w:r w:rsidR="00D12EE0">
        <w:t> </w:t>
      </w:r>
      <w:r>
        <w:t>(INDECOPI)</w:t>
      </w:r>
      <w:r w:rsidR="00D12EE0">
        <w:t> (Pérou)</w:t>
      </w:r>
    </w:p>
    <w:p w:rsidR="00FD0CC3" w:rsidRDefault="00FD0CC3" w:rsidP="00D12EE0">
      <w:pPr>
        <w:pStyle w:val="NoSpacing"/>
        <w:spacing w:after="220"/>
      </w:pPr>
      <w:r>
        <w:t>Kamal</w:t>
      </w:r>
      <w:r w:rsidR="00D12EE0">
        <w:t> </w:t>
      </w:r>
      <w:r>
        <w:t>Eralp (M.), Office turc des brevets et des marques</w:t>
      </w:r>
      <w:r w:rsidR="00D12EE0">
        <w:t> </w:t>
      </w:r>
      <w:r>
        <w:t>(Turquie)</w:t>
      </w:r>
    </w:p>
    <w:p w:rsidR="00FD0CC3" w:rsidRDefault="00FD0CC3" w:rsidP="00D12EE0">
      <w:pPr>
        <w:pStyle w:val="NoSpacing"/>
        <w:spacing w:after="220"/>
      </w:pPr>
      <w:r>
        <w:t>Dominic</w:t>
      </w:r>
      <w:r w:rsidR="00887C90">
        <w:t> </w:t>
      </w:r>
      <w:r>
        <w:t>Keating (M.), Office des brevets et des marques des États</w:t>
      </w:r>
      <w:r w:rsidR="003C6FDA">
        <w:noBreakHyphen/>
      </w:r>
      <w:r>
        <w:t>Unis d</w:t>
      </w:r>
      <w:r w:rsidR="00664AC3">
        <w:t>’</w:t>
      </w:r>
      <w:r>
        <w:t>Amérique</w:t>
      </w:r>
      <w:r w:rsidR="003C6FDA">
        <w:t> </w:t>
      </w:r>
      <w:r>
        <w:t>(États</w:t>
      </w:r>
      <w:r w:rsidR="003C6FDA">
        <w:noBreakHyphen/>
      </w:r>
      <w:r>
        <w:t>Unis d</w:t>
      </w:r>
      <w:r w:rsidR="00664AC3">
        <w:t>’</w:t>
      </w:r>
      <w:r>
        <w:t>Amérique)</w:t>
      </w:r>
    </w:p>
    <w:p w:rsidR="00FD0CC3" w:rsidRDefault="00FD0CC3" w:rsidP="00D12EE0">
      <w:pPr>
        <w:pStyle w:val="NoSpacing"/>
        <w:spacing w:after="220"/>
      </w:pPr>
      <w:r>
        <w:t>Atsushi</w:t>
      </w:r>
      <w:r w:rsidR="003C6FDA">
        <w:t> </w:t>
      </w:r>
      <w:r>
        <w:t>Kukuu (M.), Office des brevets du Japon, Ministère de l</w:t>
      </w:r>
      <w:r w:rsidR="00664AC3">
        <w:t>’</w:t>
      </w:r>
      <w:r>
        <w:t>économie, du commerce et de l</w:t>
      </w:r>
      <w:r w:rsidR="00664AC3">
        <w:t>’</w:t>
      </w:r>
      <w:r>
        <w:t>industrie</w:t>
      </w:r>
      <w:r w:rsidR="003C6FDA">
        <w:t> </w:t>
      </w:r>
      <w:r>
        <w:t>(Japon)</w:t>
      </w:r>
    </w:p>
    <w:p w:rsidR="00664AC3" w:rsidRDefault="00FD0CC3" w:rsidP="00D12EE0">
      <w:pPr>
        <w:pStyle w:val="NoSpacing"/>
        <w:spacing w:after="220"/>
        <w:rPr>
          <w:lang w:val="en-US"/>
        </w:rPr>
      </w:pPr>
      <w:r w:rsidRPr="003038B7">
        <w:rPr>
          <w:lang w:val="en-US"/>
        </w:rPr>
        <w:t>Jianfeng</w:t>
      </w:r>
      <w:r w:rsidR="003C6FDA">
        <w:rPr>
          <w:lang w:val="en-US"/>
        </w:rPr>
        <w:t> </w:t>
      </w:r>
      <w:r w:rsidRPr="003038B7">
        <w:rPr>
          <w:lang w:val="en-US"/>
        </w:rPr>
        <w:t>Liu (M.), Institute for the History of Chinese Medicine and Medical Literature</w:t>
      </w:r>
      <w:r w:rsidR="003C6FDA">
        <w:rPr>
          <w:lang w:val="en-US"/>
        </w:rPr>
        <w:t> </w:t>
      </w:r>
      <w:r w:rsidRPr="003038B7">
        <w:rPr>
          <w:lang w:val="en-US"/>
        </w:rPr>
        <w:t>(Chine)</w:t>
      </w:r>
    </w:p>
    <w:p w:rsidR="00FD0CC3" w:rsidRPr="003038B7" w:rsidRDefault="00FD0CC3" w:rsidP="00D12EE0">
      <w:pPr>
        <w:pStyle w:val="NoSpacing"/>
        <w:spacing w:after="220"/>
        <w:rPr>
          <w:lang w:val="en-US"/>
        </w:rPr>
      </w:pPr>
      <w:r w:rsidRPr="003038B7">
        <w:rPr>
          <w:lang w:val="en-US"/>
        </w:rPr>
        <w:t>Academy of Chinese Medical Sciences</w:t>
      </w:r>
      <w:r w:rsidR="003C6FDA">
        <w:rPr>
          <w:lang w:val="en-US"/>
        </w:rPr>
        <w:t> </w:t>
      </w:r>
      <w:r w:rsidRPr="003038B7">
        <w:rPr>
          <w:lang w:val="en-US"/>
        </w:rPr>
        <w:t>(Chine)</w:t>
      </w:r>
    </w:p>
    <w:p w:rsidR="00FD0CC3" w:rsidRPr="003038B7" w:rsidRDefault="00FD0CC3" w:rsidP="00D12EE0">
      <w:pPr>
        <w:pStyle w:val="NoSpacing"/>
        <w:spacing w:after="220"/>
        <w:rPr>
          <w:lang w:val="en-US"/>
        </w:rPr>
      </w:pPr>
      <w:r w:rsidRPr="003038B7">
        <w:rPr>
          <w:lang w:val="en-US"/>
        </w:rPr>
        <w:t>Wen</w:t>
      </w:r>
      <w:r w:rsidR="003C6FDA">
        <w:rPr>
          <w:lang w:val="en-US"/>
        </w:rPr>
        <w:t> </w:t>
      </w:r>
      <w:r w:rsidRPr="003038B7">
        <w:rPr>
          <w:lang w:val="en-US"/>
        </w:rPr>
        <w:t>Long (M.), Intellectual Property Publishing House</w:t>
      </w:r>
      <w:r w:rsidR="003C6FDA">
        <w:rPr>
          <w:lang w:val="en-US"/>
        </w:rPr>
        <w:t> </w:t>
      </w:r>
      <w:r w:rsidRPr="003038B7">
        <w:rPr>
          <w:lang w:val="en-US"/>
        </w:rPr>
        <w:t>(Chine)</w:t>
      </w:r>
    </w:p>
    <w:p w:rsidR="00664AC3" w:rsidRDefault="00FD0CC3" w:rsidP="00D12EE0">
      <w:pPr>
        <w:pStyle w:val="NoSpacing"/>
        <w:spacing w:after="220"/>
      </w:pPr>
      <w:r>
        <w:t>Aroha</w:t>
      </w:r>
      <w:r w:rsidR="003C6FDA">
        <w:t> </w:t>
      </w:r>
      <w:r>
        <w:t>Mead (Mme), International Science Council</w:t>
      </w:r>
      <w:r w:rsidR="003C6FDA">
        <w:t> </w:t>
      </w:r>
      <w:r>
        <w:t>(Nouvell</w:t>
      </w:r>
      <w:r w:rsidR="003C6FDA">
        <w:t>e</w:t>
      </w:r>
      <w:r w:rsidR="003C6FDA">
        <w:noBreakHyphen/>
      </w:r>
      <w:r>
        <w:t>Zélande)</w:t>
      </w:r>
    </w:p>
    <w:p w:rsidR="00FD0CC3" w:rsidRPr="003038B7" w:rsidRDefault="00FD0CC3" w:rsidP="00D12EE0">
      <w:pPr>
        <w:pStyle w:val="NoSpacing"/>
        <w:spacing w:after="220"/>
        <w:rPr>
          <w:lang w:val="en-US"/>
        </w:rPr>
      </w:pPr>
      <w:r w:rsidRPr="003038B7">
        <w:rPr>
          <w:lang w:val="en-US"/>
        </w:rPr>
        <w:t>Paul</w:t>
      </w:r>
      <w:r w:rsidR="003C6FDA">
        <w:rPr>
          <w:lang w:val="en-US"/>
        </w:rPr>
        <w:t> </w:t>
      </w:r>
      <w:r w:rsidRPr="003038B7">
        <w:rPr>
          <w:lang w:val="en-US"/>
        </w:rPr>
        <w:t>Oldham (M.), One</w:t>
      </w:r>
      <w:r w:rsidR="003C6FDA">
        <w:rPr>
          <w:lang w:val="en-US"/>
        </w:rPr>
        <w:t> </w:t>
      </w:r>
      <w:r w:rsidRPr="003038B7">
        <w:rPr>
          <w:lang w:val="en-US"/>
        </w:rPr>
        <w:t>World</w:t>
      </w:r>
      <w:r w:rsidR="003C6FDA">
        <w:rPr>
          <w:lang w:val="en-US"/>
        </w:rPr>
        <w:t> </w:t>
      </w:r>
      <w:r w:rsidRPr="003038B7">
        <w:rPr>
          <w:lang w:val="en-US"/>
        </w:rPr>
        <w:t>Analytics (Royaume</w:t>
      </w:r>
      <w:r w:rsidR="003C6FDA">
        <w:rPr>
          <w:lang w:val="en-US"/>
        </w:rPr>
        <w:noBreakHyphen/>
      </w:r>
      <w:r w:rsidRPr="003038B7">
        <w:rPr>
          <w:lang w:val="en-US"/>
        </w:rPr>
        <w:t>Uni)</w:t>
      </w:r>
    </w:p>
    <w:p w:rsidR="00FD0CC3" w:rsidRDefault="00FD0CC3" w:rsidP="00D12EE0">
      <w:pPr>
        <w:pStyle w:val="NoSpacing"/>
        <w:spacing w:after="220"/>
      </w:pPr>
      <w:r>
        <w:t>Shumi</w:t>
      </w:r>
      <w:r w:rsidR="003C6FDA">
        <w:t> </w:t>
      </w:r>
      <w:r>
        <w:t>Pango (Mme), Ministère de la science et de l</w:t>
      </w:r>
      <w:r w:rsidR="00664AC3">
        <w:t>’</w:t>
      </w:r>
      <w:r>
        <w:t>innovation</w:t>
      </w:r>
      <w:r w:rsidR="003C6FDA">
        <w:t> </w:t>
      </w:r>
      <w:r>
        <w:t>(Afrique du Sud)</w:t>
      </w:r>
    </w:p>
    <w:p w:rsidR="00FD0CC3" w:rsidRDefault="00FD0CC3" w:rsidP="00D12EE0">
      <w:pPr>
        <w:pStyle w:val="NoSpacing"/>
        <w:spacing w:after="220"/>
      </w:pPr>
      <w:r>
        <w:t>Alejandro</w:t>
      </w:r>
      <w:r w:rsidR="003C6FDA">
        <w:t> </w:t>
      </w:r>
      <w:r>
        <w:t>Perticari (M.), Institut national de technologie agricole</w:t>
      </w:r>
      <w:r w:rsidR="003C6FDA">
        <w:t> </w:t>
      </w:r>
      <w:r>
        <w:t>(INTA)</w:t>
      </w:r>
      <w:r w:rsidR="003C6FDA">
        <w:t> </w:t>
      </w:r>
      <w:r>
        <w:t>(Argentine)</w:t>
      </w:r>
    </w:p>
    <w:p w:rsidR="00FD0CC3" w:rsidRDefault="00FD0CC3" w:rsidP="00D12EE0">
      <w:pPr>
        <w:pStyle w:val="NoSpacing"/>
        <w:spacing w:after="220"/>
      </w:pPr>
      <w:r>
        <w:t>Pwint</w:t>
      </w:r>
      <w:r w:rsidR="003C6FDA">
        <w:t> </w:t>
      </w:r>
      <w:r>
        <w:t>Phyo</w:t>
      </w:r>
      <w:r w:rsidR="003C6FDA">
        <w:t> </w:t>
      </w:r>
      <w:r>
        <w:t>Win (Mme), Département de la propriété intellectuelle, Ministère du commerce</w:t>
      </w:r>
      <w:r w:rsidR="003C6FDA">
        <w:t> </w:t>
      </w:r>
      <w:r>
        <w:t>(Myanmar)</w:t>
      </w:r>
    </w:p>
    <w:p w:rsidR="00FD0CC3" w:rsidRDefault="00FD0CC3" w:rsidP="00D12EE0">
      <w:pPr>
        <w:pStyle w:val="NoSpacing"/>
        <w:spacing w:after="220"/>
      </w:pPr>
      <w:r>
        <w:t>Rekha</w:t>
      </w:r>
      <w:r w:rsidR="003C6FDA">
        <w:t> </w:t>
      </w:r>
      <w:r>
        <w:t>Vijayam (Mme), Bureau du contrôleur général des brevets, des dessins et modèles et des marques</w:t>
      </w:r>
      <w:r w:rsidR="003C6FDA">
        <w:t> </w:t>
      </w:r>
      <w:r>
        <w:t>(Inde)</w:t>
      </w:r>
    </w:p>
    <w:p w:rsidR="00FD0CC3" w:rsidRPr="001E534D" w:rsidRDefault="00FD0CC3" w:rsidP="00D12EE0">
      <w:pPr>
        <w:pStyle w:val="NoSpacing"/>
        <w:spacing w:after="220"/>
      </w:pPr>
      <w:r>
        <w:t>Andreas</w:t>
      </w:r>
      <w:r w:rsidR="00887C90">
        <w:t> </w:t>
      </w:r>
      <w:r>
        <w:t>Wieber (M.), Association allemande pour la protection de la propriété intellectuelle</w:t>
      </w:r>
      <w:r w:rsidR="003C6FDA">
        <w:t> </w:t>
      </w:r>
      <w:r>
        <w:t>(Allemagne)</w:t>
      </w:r>
    </w:p>
    <w:p w:rsidR="00FD0CC3" w:rsidRDefault="00FD0CC3" w:rsidP="00FD0CC3">
      <w:pPr>
        <w:jc w:val="center"/>
      </w:pPr>
    </w:p>
    <w:p w:rsidR="00FD0CC3" w:rsidRDefault="00FD0CC3" w:rsidP="00FD0CC3">
      <w:pPr>
        <w:jc w:val="center"/>
        <w:sectPr w:rsidR="00FD0CC3" w:rsidSect="00847D82">
          <w:headerReference w:type="first" r:id="rId11"/>
          <w:endnotePr>
            <w:numFmt w:val="decimal"/>
          </w:endnotePr>
          <w:pgSz w:w="11907" w:h="16840" w:code="9"/>
          <w:pgMar w:top="567" w:right="1134" w:bottom="1418" w:left="1418" w:header="510" w:footer="1021" w:gutter="0"/>
          <w:cols w:space="720"/>
          <w:titlePg/>
          <w:docGrid w:linePitch="299"/>
        </w:sectPr>
      </w:pPr>
    </w:p>
    <w:p w:rsidR="00FD0CC3" w:rsidRPr="003C6FDA" w:rsidRDefault="003C6FDA" w:rsidP="003C6FDA">
      <w:pPr>
        <w:spacing w:after="220"/>
        <w:jc w:val="center"/>
        <w:rPr>
          <w:caps/>
        </w:rPr>
      </w:pPr>
      <w:r w:rsidRPr="003C6FDA">
        <w:rPr>
          <w:caps/>
        </w:rPr>
        <w:t>Annexe</w:t>
      </w:r>
      <w:r w:rsidR="00887C90" w:rsidRPr="003C6FDA">
        <w:rPr>
          <w:caps/>
        </w:rPr>
        <w:t> </w:t>
      </w:r>
      <w:r>
        <w:rPr>
          <w:caps/>
        </w:rPr>
        <w:t>II</w:t>
      </w:r>
    </w:p>
    <w:p w:rsidR="00FD0CC3" w:rsidRPr="003C6FDA" w:rsidRDefault="003C6FDA" w:rsidP="003C6FDA">
      <w:pPr>
        <w:spacing w:after="220"/>
        <w:jc w:val="center"/>
        <w:rPr>
          <w:caps/>
        </w:rPr>
      </w:pPr>
      <w:r w:rsidRPr="003C6FDA">
        <w:rPr>
          <w:caps/>
        </w:rPr>
        <w:t>Liste des experts</w:t>
      </w:r>
    </w:p>
    <w:p w:rsidR="00FD0CC3" w:rsidRPr="003C6FDA" w:rsidRDefault="003C6FDA" w:rsidP="003C6FDA">
      <w:pPr>
        <w:spacing w:after="480"/>
        <w:jc w:val="center"/>
        <w:rPr>
          <w:caps/>
        </w:rPr>
      </w:pPr>
      <w:r w:rsidRPr="003C6FDA">
        <w:rPr>
          <w:caps/>
        </w:rPr>
        <w:t>Réunions virtuelles d</w:t>
      </w:r>
      <w:r w:rsidR="00664AC3" w:rsidRPr="003C6FDA">
        <w:rPr>
          <w:caps/>
        </w:rPr>
        <w:t>’</w:t>
      </w:r>
      <w:r w:rsidRPr="003C6FDA">
        <w:rPr>
          <w:caps/>
        </w:rPr>
        <w:t>experts sur les éventuelles exigences en matière de divulgation</w:t>
      </w:r>
    </w:p>
    <w:p w:rsidR="00FD0CC3" w:rsidRDefault="003C6FDA" w:rsidP="003C6FDA">
      <w:pPr>
        <w:spacing w:after="220"/>
      </w:pPr>
      <w:r>
        <w:t>Margo </w:t>
      </w:r>
      <w:r w:rsidR="00FD0CC3">
        <w:t>Bagley (Mme), Faculté de droit de l</w:t>
      </w:r>
      <w:r w:rsidR="00664AC3">
        <w:t>’</w:t>
      </w:r>
      <w:r w:rsidR="00FD0CC3">
        <w:t>Université</w:t>
      </w:r>
      <w:r>
        <w:t> </w:t>
      </w:r>
      <w:r w:rsidR="00FD0CC3">
        <w:t>Emory</w:t>
      </w:r>
      <w:r>
        <w:t> </w:t>
      </w:r>
      <w:r w:rsidR="00FD0CC3">
        <w:t>(États</w:t>
      </w:r>
      <w:r>
        <w:noBreakHyphen/>
      </w:r>
      <w:r w:rsidR="00FD0CC3">
        <w:t>Unis d</w:t>
      </w:r>
      <w:r w:rsidR="00664AC3">
        <w:t>’</w:t>
      </w:r>
      <w:r w:rsidR="00FD0CC3">
        <w:t>Amérique)</w:t>
      </w:r>
    </w:p>
    <w:p w:rsidR="00FD0CC3" w:rsidRDefault="00FD0CC3" w:rsidP="003C6FDA">
      <w:pPr>
        <w:spacing w:after="220"/>
      </w:pPr>
      <w:r>
        <w:t>Micaela</w:t>
      </w:r>
      <w:r w:rsidR="003C6FDA">
        <w:t> </w:t>
      </w:r>
      <w:r>
        <w:t>Anabel</w:t>
      </w:r>
      <w:r w:rsidR="003C6FDA">
        <w:t> </w:t>
      </w:r>
      <w:r>
        <w:t>Bonafina (Mme), Direction nationale de la biodiversité, Ministère de l</w:t>
      </w:r>
      <w:r w:rsidR="00664AC3">
        <w:t>’</w:t>
      </w:r>
      <w:r>
        <w:t>environnement et du développement durable</w:t>
      </w:r>
      <w:r w:rsidR="003C6FDA">
        <w:t> </w:t>
      </w:r>
      <w:r>
        <w:t>(Argentine)</w:t>
      </w:r>
    </w:p>
    <w:p w:rsidR="00FD0CC3" w:rsidRDefault="00FD0CC3" w:rsidP="003C6FDA">
      <w:pPr>
        <w:spacing w:after="220"/>
      </w:pPr>
      <w:r>
        <w:t>Axel</w:t>
      </w:r>
      <w:r w:rsidR="00887C90">
        <w:t> </w:t>
      </w:r>
      <w:r>
        <w:t>Braun (M.), Fédération internationale des associations et fabricants de produits pharmaceutiques</w:t>
      </w:r>
      <w:r w:rsidR="003C6FDA">
        <w:t> </w:t>
      </w:r>
      <w:r>
        <w:t>(IFPMA)</w:t>
      </w:r>
      <w:r w:rsidR="003C6FDA">
        <w:t> </w:t>
      </w:r>
      <w:r>
        <w:t>(Suisse)</w:t>
      </w:r>
    </w:p>
    <w:p w:rsidR="00FD0CC3" w:rsidRDefault="00FD0CC3" w:rsidP="003C6FDA">
      <w:pPr>
        <w:spacing w:after="220"/>
      </w:pPr>
      <w:r>
        <w:t>Marco</w:t>
      </w:r>
      <w:r w:rsidR="003C6FDA">
        <w:t> </w:t>
      </w:r>
      <w:r>
        <w:t>D</w:t>
      </w:r>
      <w:r w:rsidR="00664AC3">
        <w:t>’</w:t>
      </w:r>
      <w:r>
        <w:t>Alessandro (M.), Institut fédéral de la propriété intellectuelle</w:t>
      </w:r>
      <w:r w:rsidR="003C6FDA">
        <w:t> </w:t>
      </w:r>
      <w:r>
        <w:t>(Suisse)</w:t>
      </w:r>
    </w:p>
    <w:p w:rsidR="00FD0CC3" w:rsidRDefault="00FD0CC3" w:rsidP="003C6FDA">
      <w:pPr>
        <w:spacing w:after="220"/>
      </w:pPr>
      <w:r>
        <w:t>Nilce</w:t>
      </w:r>
      <w:r w:rsidR="003C6FDA">
        <w:t> </w:t>
      </w:r>
      <w:r>
        <w:t>Ekandzi (M.), Confidentialité des données, Raymond</w:t>
      </w:r>
      <w:r w:rsidR="003C6FDA">
        <w:t> </w:t>
      </w:r>
      <w:r>
        <w:t>Chabot</w:t>
      </w:r>
      <w:r w:rsidR="003C6FDA">
        <w:t> Grant </w:t>
      </w:r>
      <w:r>
        <w:t>Thornton</w:t>
      </w:r>
      <w:r w:rsidR="003C6FDA">
        <w:t> </w:t>
      </w:r>
      <w:r>
        <w:t>(Canada)</w:t>
      </w:r>
    </w:p>
    <w:p w:rsidR="00FD0CC3" w:rsidRDefault="00FD0CC3" w:rsidP="003C6FDA">
      <w:pPr>
        <w:spacing w:after="220"/>
      </w:pPr>
      <w:r>
        <w:t>Kazuhide</w:t>
      </w:r>
      <w:r w:rsidR="003C6FDA">
        <w:t> </w:t>
      </w:r>
      <w:r>
        <w:t>Fujita (M.), Office des brevets du Japon, Ministère de l</w:t>
      </w:r>
      <w:r w:rsidR="00664AC3">
        <w:t>’</w:t>
      </w:r>
      <w:r>
        <w:t>économie, du commerce et de l</w:t>
      </w:r>
      <w:r w:rsidR="00664AC3">
        <w:t>’</w:t>
      </w:r>
      <w:r>
        <w:t>industrie</w:t>
      </w:r>
      <w:r w:rsidR="003C6FDA">
        <w:t> </w:t>
      </w:r>
      <w:r>
        <w:t>(Japon)</w:t>
      </w:r>
    </w:p>
    <w:p w:rsidR="00FD0CC3" w:rsidRDefault="00FD0CC3" w:rsidP="003C6FDA">
      <w:pPr>
        <w:spacing w:after="220"/>
      </w:pPr>
      <w:r>
        <w:t>Zulay</w:t>
      </w:r>
      <w:r w:rsidR="003C6FDA">
        <w:t> </w:t>
      </w:r>
      <w:r>
        <w:t>Poggy</w:t>
      </w:r>
      <w:r w:rsidR="003C6FDA">
        <w:t> </w:t>
      </w:r>
      <w:r>
        <w:t>Gonzalez (Mme), Service de la propriété intellectuelle</w:t>
      </w:r>
      <w:r w:rsidR="003C6FDA">
        <w:t> </w:t>
      </w:r>
      <w:r>
        <w:t>(Venezuela)</w:t>
      </w:r>
    </w:p>
    <w:p w:rsidR="00FD0CC3" w:rsidRDefault="00FD0CC3" w:rsidP="003C6FDA">
      <w:pPr>
        <w:spacing w:after="220"/>
      </w:pPr>
      <w:r>
        <w:t>Weiwei</w:t>
      </w:r>
      <w:r w:rsidR="003C6FDA">
        <w:t> </w:t>
      </w:r>
      <w:r>
        <w:t>Han (Mme), Association chinoise de la protection par brevet</w:t>
      </w:r>
      <w:r w:rsidR="003C6FDA">
        <w:t> </w:t>
      </w:r>
      <w:r>
        <w:t>(Chine)</w:t>
      </w:r>
    </w:p>
    <w:p w:rsidR="00FD0CC3" w:rsidRDefault="00FD0CC3" w:rsidP="003C6FDA">
      <w:pPr>
        <w:spacing w:after="220"/>
      </w:pPr>
      <w:r>
        <w:t>Preston</w:t>
      </w:r>
      <w:r w:rsidR="003C6FDA">
        <w:t> </w:t>
      </w:r>
      <w:r>
        <w:t>Hardison (M.), Tebtebba</w:t>
      </w:r>
      <w:r w:rsidR="003C6FDA">
        <w:t> </w:t>
      </w:r>
      <w:r>
        <w:t>Foundation (États</w:t>
      </w:r>
      <w:r w:rsidR="003C6FDA">
        <w:noBreakHyphen/>
      </w:r>
      <w:r>
        <w:t>Unis d</w:t>
      </w:r>
      <w:r w:rsidR="00664AC3">
        <w:t>’</w:t>
      </w:r>
      <w:r>
        <w:t>Amérique)</w:t>
      </w:r>
    </w:p>
    <w:p w:rsidR="00FD0CC3" w:rsidRDefault="00FD0CC3" w:rsidP="003C6FDA">
      <w:pPr>
        <w:spacing w:after="220"/>
      </w:pPr>
      <w:r>
        <w:t>Arais</w:t>
      </w:r>
      <w:r w:rsidR="003C6FDA">
        <w:t> </w:t>
      </w:r>
      <w:r>
        <w:t>Fernandez</w:t>
      </w:r>
      <w:r w:rsidR="00887C90">
        <w:t> </w:t>
      </w:r>
      <w:r>
        <w:t>Herrera (M.), Office de la propriété industrielle</w:t>
      </w:r>
      <w:r w:rsidR="003C6FDA">
        <w:t> </w:t>
      </w:r>
      <w:r>
        <w:t>(Cuba)</w:t>
      </w:r>
    </w:p>
    <w:p w:rsidR="00FD0CC3" w:rsidRDefault="00FD0CC3" w:rsidP="003C6FDA">
      <w:pPr>
        <w:spacing w:after="220"/>
      </w:pPr>
      <w:r>
        <w:t>Dominic</w:t>
      </w:r>
      <w:r w:rsidR="00887C90">
        <w:t> </w:t>
      </w:r>
      <w:r>
        <w:t>Keating (M.), Office des brevets et des marques des États</w:t>
      </w:r>
      <w:r w:rsidR="003C6FDA">
        <w:noBreakHyphen/>
      </w:r>
      <w:r>
        <w:t>Unis d</w:t>
      </w:r>
      <w:r w:rsidR="00664AC3">
        <w:t>’</w:t>
      </w:r>
      <w:r>
        <w:t>Amérique (États</w:t>
      </w:r>
      <w:r w:rsidR="003C6FDA">
        <w:noBreakHyphen/>
      </w:r>
      <w:r>
        <w:t>Unis d</w:t>
      </w:r>
      <w:r w:rsidR="00664AC3">
        <w:t>’</w:t>
      </w:r>
      <w:r>
        <w:t>Amérique)</w:t>
      </w:r>
    </w:p>
    <w:p w:rsidR="00FD0CC3" w:rsidRDefault="00FD0CC3" w:rsidP="003C6FDA">
      <w:pPr>
        <w:spacing w:after="220"/>
      </w:pPr>
      <w:r>
        <w:t>Evgeniia</w:t>
      </w:r>
      <w:r w:rsidR="003C6FDA">
        <w:t> </w:t>
      </w:r>
      <w:r>
        <w:t>Korobenkova (Mme), Division de la coopération multilatérale, Service fédéral pour la propriété intellectuelle</w:t>
      </w:r>
      <w:r w:rsidR="003C6FDA">
        <w:t> </w:t>
      </w:r>
      <w:r>
        <w:t>(Rospatent)</w:t>
      </w:r>
      <w:r w:rsidR="003C6FDA">
        <w:t> </w:t>
      </w:r>
      <w:r>
        <w:t>(Fédération de Russie)</w:t>
      </w:r>
    </w:p>
    <w:p w:rsidR="00FD0CC3" w:rsidRDefault="00FD0CC3" w:rsidP="003C6FDA">
      <w:pPr>
        <w:spacing w:after="220"/>
      </w:pPr>
      <w:r>
        <w:t>Chidi</w:t>
      </w:r>
      <w:r w:rsidR="003C6FDA">
        <w:t> </w:t>
      </w:r>
      <w:r>
        <w:t>Oguamanam (M.), Faculté de droit, Université d</w:t>
      </w:r>
      <w:r w:rsidR="00664AC3">
        <w:t>’</w:t>
      </w:r>
      <w:r>
        <w:t>Ottawa (Canada)</w:t>
      </w:r>
    </w:p>
    <w:p w:rsidR="00664AC3" w:rsidRDefault="00FD0CC3" w:rsidP="003C6FDA">
      <w:pPr>
        <w:spacing w:after="220"/>
      </w:pPr>
      <w:r>
        <w:t>Frederic</w:t>
      </w:r>
      <w:r w:rsidR="003C6FDA">
        <w:t> </w:t>
      </w:r>
      <w:r>
        <w:t>Perron</w:t>
      </w:r>
      <w:r w:rsidR="003C6FDA">
        <w:noBreakHyphen/>
      </w:r>
      <w:r>
        <w:t>Welch (M.), Centre</w:t>
      </w:r>
      <w:r w:rsidR="003C6FDA">
        <w:t> </w:t>
      </w:r>
      <w:r>
        <w:t>Grotius pour les études juridiques internationales, Université de Leiden (Pays</w:t>
      </w:r>
      <w:r w:rsidR="003C6FDA">
        <w:noBreakHyphen/>
      </w:r>
      <w:r>
        <w:t>Bas)</w:t>
      </w:r>
    </w:p>
    <w:p w:rsidR="00FD0CC3" w:rsidRDefault="00FD0CC3" w:rsidP="003C6FDA">
      <w:pPr>
        <w:spacing w:after="220"/>
      </w:pPr>
      <w:r>
        <w:t>Thomas</w:t>
      </w:r>
      <w:r w:rsidR="00887C90">
        <w:t> </w:t>
      </w:r>
      <w:r>
        <w:t>Reitinger (M.), Office allemand des brevets et des marques</w:t>
      </w:r>
      <w:r w:rsidR="003C6FDA">
        <w:t> </w:t>
      </w:r>
      <w:r>
        <w:t>(Allemagne)</w:t>
      </w:r>
    </w:p>
    <w:p w:rsidR="00FD0CC3" w:rsidRDefault="00FD0CC3" w:rsidP="003C6FDA">
      <w:pPr>
        <w:spacing w:after="220"/>
      </w:pPr>
      <w:r>
        <w:t>Ann</w:t>
      </w:r>
      <w:r w:rsidR="003C6FDA">
        <w:t> </w:t>
      </w:r>
      <w:r>
        <w:t>Ruth</w:t>
      </w:r>
      <w:r w:rsidR="00887C90">
        <w:t> </w:t>
      </w:r>
      <w:r>
        <w:t>Reyes (Mme), Office de propriété intellectuelle des Philippines</w:t>
      </w:r>
      <w:r w:rsidR="003C6FDA">
        <w:t> </w:t>
      </w:r>
      <w:r>
        <w:t>(IPOPHIL)</w:t>
      </w:r>
      <w:r w:rsidR="003C6FDA">
        <w:t> </w:t>
      </w:r>
      <w:r>
        <w:t>(Philippines)</w:t>
      </w:r>
    </w:p>
    <w:p w:rsidR="00FD0CC3" w:rsidRDefault="00FD0CC3" w:rsidP="003C6FDA">
      <w:pPr>
        <w:spacing w:after="220"/>
      </w:pPr>
      <w:r>
        <w:t>Olivier</w:t>
      </w:r>
      <w:r w:rsidR="003C6FDA">
        <w:t> </w:t>
      </w:r>
      <w:r>
        <w:t>Sauvageot (M.), International Seed Federation</w:t>
      </w:r>
      <w:r w:rsidR="003C6FDA">
        <w:t> </w:t>
      </w:r>
      <w:r>
        <w:t>(Suisse)</w:t>
      </w:r>
    </w:p>
    <w:p w:rsidR="00FD0CC3" w:rsidRDefault="00FD0CC3" w:rsidP="003C6FDA">
      <w:pPr>
        <w:spacing w:after="220"/>
      </w:pPr>
      <w:r>
        <w:t>Nadja</w:t>
      </w:r>
      <w:r w:rsidR="003C6FDA">
        <w:t> </w:t>
      </w:r>
      <w:r>
        <w:t>Seibel</w:t>
      </w:r>
      <w:r w:rsidR="00887C90">
        <w:t> </w:t>
      </w:r>
      <w:r>
        <w:t>Thomsen (Mme), Chambre de commerce internationale</w:t>
      </w:r>
      <w:r w:rsidR="003C6FDA">
        <w:t> </w:t>
      </w:r>
      <w:r>
        <w:t>(CCI)</w:t>
      </w:r>
      <w:r w:rsidR="003C6FDA">
        <w:t> (France)</w:t>
      </w:r>
    </w:p>
    <w:p w:rsidR="00FD0CC3" w:rsidRDefault="00FD0CC3" w:rsidP="003C6FDA">
      <w:pPr>
        <w:spacing w:after="220"/>
      </w:pPr>
      <w:r>
        <w:t>Henry</w:t>
      </w:r>
      <w:r w:rsidR="003C6FDA">
        <w:t> </w:t>
      </w:r>
      <w:r>
        <w:t>Kafunjo</w:t>
      </w:r>
      <w:r w:rsidR="003C6FDA">
        <w:t> </w:t>
      </w:r>
      <w:r>
        <w:t>Twinomujuni (M.), Bureau des services d</w:t>
      </w:r>
      <w:r w:rsidR="00664AC3">
        <w:t>’</w:t>
      </w:r>
      <w:r>
        <w:t>enregistrement de l</w:t>
      </w:r>
      <w:r w:rsidR="00664AC3">
        <w:t>’</w:t>
      </w:r>
      <w:r>
        <w:t>Ouganda</w:t>
      </w:r>
      <w:r w:rsidR="003C6FDA">
        <w:t> </w:t>
      </w:r>
      <w:r>
        <w:t>(Ouganda)</w:t>
      </w:r>
    </w:p>
    <w:p w:rsidR="00FD0CC3" w:rsidRDefault="00FD0CC3" w:rsidP="003C6FDA">
      <w:pPr>
        <w:spacing w:after="220"/>
      </w:pPr>
      <w:r>
        <w:t>Rekha</w:t>
      </w:r>
      <w:r w:rsidR="003C6FDA">
        <w:t> </w:t>
      </w:r>
      <w:r>
        <w:t>Vijayam (Mme), Bureau du contrôleur général des brevets, des dessins et modèles et des marques</w:t>
      </w:r>
      <w:r w:rsidR="003C6FDA">
        <w:t> </w:t>
      </w:r>
      <w:r>
        <w:t>(Inde)</w:t>
      </w:r>
    </w:p>
    <w:p w:rsidR="00FD0CC3" w:rsidRDefault="00FD0CC3" w:rsidP="003C6FDA">
      <w:pPr>
        <w:spacing w:after="220"/>
      </w:pPr>
      <w:r>
        <w:t>Lucie</w:t>
      </w:r>
      <w:r w:rsidR="003C6FDA">
        <w:t> </w:t>
      </w:r>
      <w:r>
        <w:t>Zamykalová (Mme) Property Office de la propriété industrielle</w:t>
      </w:r>
      <w:r w:rsidR="003C6FDA">
        <w:t> </w:t>
      </w:r>
      <w:r>
        <w:t>(République tchèque)</w:t>
      </w:r>
    </w:p>
    <w:p w:rsidR="00FD0CC3" w:rsidRDefault="00FD0CC3" w:rsidP="00FD0CC3">
      <w:r>
        <w:t>Fuwei</w:t>
      </w:r>
      <w:r w:rsidR="00EA2934">
        <w:t> </w:t>
      </w:r>
      <w:r>
        <w:t>Zhao (M.), Nanjing Institute of Environmental Sciences, Ministère de l</w:t>
      </w:r>
      <w:r w:rsidR="00664AC3">
        <w:t>’</w:t>
      </w:r>
      <w:r>
        <w:t>écologie et de l</w:t>
      </w:r>
      <w:r w:rsidR="00664AC3">
        <w:t>’</w:t>
      </w:r>
      <w:r>
        <w:t>environnement</w:t>
      </w:r>
      <w:r w:rsidR="00EA2934">
        <w:t> </w:t>
      </w:r>
      <w:r>
        <w:t>(Chine)</w:t>
      </w:r>
    </w:p>
    <w:p w:rsidR="00FD0CC3" w:rsidRDefault="00FD0CC3" w:rsidP="00EA2934">
      <w:pPr>
        <w:pStyle w:val="Endofdocument-Annex"/>
        <w:spacing w:before="720"/>
      </w:pPr>
      <w:r>
        <w:t>[Fin des annexes et du document]</w:t>
      </w:r>
    </w:p>
    <w:sectPr w:rsidR="00FD0CC3" w:rsidSect="003C6FD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C3" w:rsidRDefault="00FD0CC3">
      <w:r>
        <w:separator/>
      </w:r>
    </w:p>
  </w:endnote>
  <w:endnote w:type="continuationSeparator" w:id="0">
    <w:p w:rsidR="00FD0CC3" w:rsidRPr="009D30E6" w:rsidRDefault="00FD0CC3" w:rsidP="00D45252">
      <w:pPr>
        <w:rPr>
          <w:sz w:val="17"/>
          <w:szCs w:val="17"/>
        </w:rPr>
      </w:pPr>
      <w:r w:rsidRPr="009D30E6">
        <w:rPr>
          <w:sz w:val="17"/>
          <w:szCs w:val="17"/>
        </w:rPr>
        <w:separator/>
      </w:r>
    </w:p>
    <w:p w:rsidR="00FD0CC3" w:rsidRPr="009D30E6" w:rsidRDefault="00FD0CC3" w:rsidP="00D45252">
      <w:pPr>
        <w:spacing w:after="60"/>
        <w:rPr>
          <w:sz w:val="17"/>
          <w:szCs w:val="17"/>
        </w:rPr>
      </w:pPr>
      <w:r w:rsidRPr="009D30E6">
        <w:rPr>
          <w:sz w:val="17"/>
          <w:szCs w:val="17"/>
        </w:rPr>
        <w:t>[Suite de la note de la page précédente]</w:t>
      </w:r>
    </w:p>
  </w:endnote>
  <w:endnote w:type="continuationNotice" w:id="1">
    <w:p w:rsidR="00FD0CC3" w:rsidRPr="009D30E6" w:rsidRDefault="00FD0CC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C3" w:rsidRDefault="00FD0CC3">
      <w:r>
        <w:separator/>
      </w:r>
    </w:p>
  </w:footnote>
  <w:footnote w:type="continuationSeparator" w:id="0">
    <w:p w:rsidR="00FD0CC3" w:rsidRDefault="00FD0CC3" w:rsidP="007461F1">
      <w:r>
        <w:separator/>
      </w:r>
    </w:p>
    <w:p w:rsidR="00FD0CC3" w:rsidRPr="009D30E6" w:rsidRDefault="00FD0CC3" w:rsidP="007461F1">
      <w:pPr>
        <w:spacing w:after="60"/>
        <w:rPr>
          <w:sz w:val="17"/>
          <w:szCs w:val="17"/>
        </w:rPr>
      </w:pPr>
      <w:r w:rsidRPr="009D30E6">
        <w:rPr>
          <w:sz w:val="17"/>
          <w:szCs w:val="17"/>
        </w:rPr>
        <w:t>[Suite de la note de la page précédente]</w:t>
      </w:r>
    </w:p>
  </w:footnote>
  <w:footnote w:type="continuationNotice" w:id="1">
    <w:p w:rsidR="00FD0CC3" w:rsidRPr="009D30E6" w:rsidRDefault="00FD0CC3" w:rsidP="007461F1">
      <w:pPr>
        <w:spacing w:before="60"/>
        <w:jc w:val="right"/>
        <w:rPr>
          <w:sz w:val="17"/>
          <w:szCs w:val="17"/>
        </w:rPr>
      </w:pPr>
      <w:r w:rsidRPr="009D30E6">
        <w:rPr>
          <w:sz w:val="17"/>
          <w:szCs w:val="17"/>
        </w:rPr>
        <w:t>[Suite de la note page suivante]</w:t>
      </w:r>
    </w:p>
  </w:footnote>
  <w:footnote w:id="2">
    <w:p w:rsidR="00FD0CC3" w:rsidRPr="002A2C4E" w:rsidRDefault="00FD0CC3" w:rsidP="00FD0CC3">
      <w:pPr>
        <w:pStyle w:val="FootnoteText"/>
      </w:pPr>
      <w:r>
        <w:rPr>
          <w:rStyle w:val="FootnoteReference"/>
        </w:rPr>
        <w:footnoteRef/>
      </w:r>
      <w:r>
        <w:t xml:space="preserve"> </w:t>
      </w:r>
      <w:r w:rsidR="008A2E11">
        <w:tab/>
      </w:r>
      <w:r>
        <w:t>Les crochets indiquent les parties du texte qui ont été suggérées par plusieurs experts, mais qui n</w:t>
      </w:r>
      <w:r w:rsidR="00EA49D3">
        <w:t>’</w:t>
      </w:r>
      <w:r>
        <w:t>ont pas été approuvées par tous.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C3" w:rsidRPr="002326AB" w:rsidRDefault="00FD0CC3" w:rsidP="00477D6B">
    <w:pPr>
      <w:jc w:val="right"/>
      <w:rPr>
        <w:caps/>
      </w:rPr>
    </w:pPr>
    <w:r>
      <w:rPr>
        <w:caps/>
      </w:rPr>
      <w:t>WIPO/GRTKF/IC/47/13</w:t>
    </w:r>
  </w:p>
  <w:p w:rsidR="00FD0CC3" w:rsidRDefault="00FD0CC3" w:rsidP="00390B25">
    <w:pPr>
      <w:spacing w:after="480"/>
      <w:jc w:val="right"/>
    </w:pPr>
    <w:r>
      <w:t>page</w:t>
    </w:r>
    <w:r w:rsidR="00887C90">
      <w:t> </w:t>
    </w:r>
    <w:r>
      <w:fldChar w:fldCharType="begin"/>
    </w:r>
    <w:r>
      <w:instrText xml:space="preserve"> PAGE  \* MERGEFORMAT </w:instrText>
    </w:r>
    <w:r>
      <w:fldChar w:fldCharType="separate"/>
    </w:r>
    <w:r w:rsidR="009D3316">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E0" w:rsidRPr="00D12EE0" w:rsidRDefault="00D12EE0" w:rsidP="00D12EE0">
    <w:pPr>
      <w:pStyle w:val="Header"/>
      <w:jc w:val="right"/>
      <w:rPr>
        <w:lang w:val="en-US"/>
      </w:rPr>
    </w:pPr>
    <w:r w:rsidRPr="00D12EE0">
      <w:rPr>
        <w:lang w:val="en-US"/>
      </w:rPr>
      <w:t>WIPO/GRTKF/IC/47/13</w:t>
    </w:r>
  </w:p>
  <w:p w:rsidR="00FD0CC3" w:rsidRPr="00D12EE0" w:rsidRDefault="00D12EE0" w:rsidP="00D12EE0">
    <w:pPr>
      <w:pStyle w:val="Header"/>
      <w:spacing w:after="480"/>
      <w:jc w:val="right"/>
      <w:rPr>
        <w:lang w:val="en-US"/>
      </w:rPr>
    </w:pPr>
    <w:r w:rsidRPr="00D12EE0">
      <w:rPr>
        <w:lang w:val="en-US"/>
      </w:rPr>
      <w:t>ANNEX</w:t>
    </w:r>
    <w:r w:rsidRPr="00D12EE0">
      <w:rPr>
        <w:lang w:val="en-US"/>
      </w:rPr>
      <w:t>E </w:t>
    </w:r>
    <w:r w:rsidRPr="00D12EE0">
      <w:rPr>
        <w:lang w:val="en-US"/>
      </w:rPr>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90087"/>
      <w:docPartObj>
        <w:docPartGallery w:val="Page Numbers (Top of Page)"/>
        <w:docPartUnique/>
      </w:docPartObj>
    </w:sdtPr>
    <w:sdtEndPr>
      <w:rPr>
        <w:noProof/>
      </w:rPr>
    </w:sdtEndPr>
    <w:sdtContent>
      <w:p w:rsidR="003C6FDA" w:rsidRPr="003C6FDA" w:rsidRDefault="003C6FDA" w:rsidP="003C6FDA">
        <w:pPr>
          <w:pStyle w:val="Header"/>
          <w:jc w:val="right"/>
        </w:pPr>
        <w:r w:rsidRPr="003C6FDA">
          <w:t>WIPO/GRTKF/IC/47/13</w:t>
        </w:r>
      </w:p>
      <w:p w:rsidR="003C6FDA" w:rsidRPr="003C6FDA" w:rsidRDefault="003C6FDA" w:rsidP="003C6FDA">
        <w:pPr>
          <w:pStyle w:val="Header"/>
          <w:spacing w:after="480"/>
          <w:jc w:val="right"/>
        </w:pPr>
        <w:r w:rsidRPr="003C6FDA">
          <w:t>A</w:t>
        </w:r>
        <w:r>
          <w:t>nnexe</w:t>
        </w:r>
        <w:r w:rsidRPr="003C6FDA">
          <w:t> II</w:t>
        </w:r>
        <w:r w:rsidRPr="003C6FDA">
          <w:t>, page </w:t>
        </w:r>
        <w:r>
          <w:fldChar w:fldCharType="begin"/>
        </w:r>
        <w:r>
          <w:instrText xml:space="preserve"> PAGE   \* MERGEFORMAT </w:instrText>
        </w:r>
        <w:r>
          <w:fldChar w:fldCharType="separate"/>
        </w:r>
        <w:r w:rsidR="00EC067F">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FDA" w:rsidRPr="00D12EE0" w:rsidRDefault="003C6FDA" w:rsidP="00D12EE0">
    <w:pPr>
      <w:pStyle w:val="Header"/>
      <w:jc w:val="right"/>
      <w:rPr>
        <w:lang w:val="en-US"/>
      </w:rPr>
    </w:pPr>
    <w:r w:rsidRPr="00D12EE0">
      <w:rPr>
        <w:lang w:val="en-US"/>
      </w:rPr>
      <w:t>WIPO/GRTKF/IC/47/13</w:t>
    </w:r>
  </w:p>
  <w:p w:rsidR="003C6FDA" w:rsidRPr="00D12EE0" w:rsidRDefault="003C6FDA" w:rsidP="00D12EE0">
    <w:pPr>
      <w:pStyle w:val="Header"/>
      <w:spacing w:after="480"/>
      <w:jc w:val="right"/>
      <w:rPr>
        <w:lang w:val="en-US"/>
      </w:rPr>
    </w:pPr>
    <w:r w:rsidRPr="00D12EE0">
      <w:rPr>
        <w:lang w:val="en-US"/>
      </w:rPr>
      <w:t>ANNEX</w:t>
    </w:r>
    <w:r w:rsidRPr="00D12EE0">
      <w:rPr>
        <w:lang w:val="en-US"/>
      </w:rPr>
      <w:t>E </w:t>
    </w:r>
    <w:r w:rsidRPr="00D12EE0">
      <w:rPr>
        <w:lang w:val="en-US"/>
      </w:rPr>
      <w:t>I</w:t>
    </w:r>
    <w:r>
      <w:rPr>
        <w:lang w:val="en-US"/>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F04364"/>
    <w:multiLevelType w:val="hybridMultilevel"/>
    <w:tmpl w:val="E3AE22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680C01"/>
    <w:multiLevelType w:val="hybridMultilevel"/>
    <w:tmpl w:val="85801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230CB"/>
    <w:multiLevelType w:val="hybridMultilevel"/>
    <w:tmpl w:val="4D7A94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D65E1"/>
    <w:multiLevelType w:val="hybridMultilevel"/>
    <w:tmpl w:val="417A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D2634"/>
    <w:multiLevelType w:val="hybridMultilevel"/>
    <w:tmpl w:val="2954E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52EBC"/>
    <w:multiLevelType w:val="hybridMultilevel"/>
    <w:tmpl w:val="30F6D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3128D"/>
    <w:multiLevelType w:val="hybridMultilevel"/>
    <w:tmpl w:val="8FD68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62E25"/>
    <w:multiLevelType w:val="multilevel"/>
    <w:tmpl w:val="4900FA36"/>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5606D58"/>
    <w:multiLevelType w:val="hybridMultilevel"/>
    <w:tmpl w:val="40EAB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C3517"/>
    <w:multiLevelType w:val="hybridMultilevel"/>
    <w:tmpl w:val="04B6113E"/>
    <w:lvl w:ilvl="0" w:tplc="04090017">
      <w:start w:val="1"/>
      <w:numFmt w:val="lowerLetter"/>
      <w:lvlText w:val="%1)"/>
      <w:lvlJc w:val="left"/>
      <w:pPr>
        <w:ind w:left="720" w:hanging="360"/>
      </w:pPr>
    </w:lvl>
    <w:lvl w:ilvl="1" w:tplc="02DC1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E41C0"/>
    <w:multiLevelType w:val="hybridMultilevel"/>
    <w:tmpl w:val="3976E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685DDE"/>
    <w:multiLevelType w:val="hybridMultilevel"/>
    <w:tmpl w:val="981E321A"/>
    <w:lvl w:ilvl="0" w:tplc="02DC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CB5A29"/>
    <w:multiLevelType w:val="hybridMultilevel"/>
    <w:tmpl w:val="5582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13E0C"/>
    <w:multiLevelType w:val="hybridMultilevel"/>
    <w:tmpl w:val="100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D6B15"/>
    <w:multiLevelType w:val="hybridMultilevel"/>
    <w:tmpl w:val="B8F42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02FF1"/>
    <w:multiLevelType w:val="hybridMultilevel"/>
    <w:tmpl w:val="EA1A9B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6F4DFA"/>
    <w:multiLevelType w:val="hybridMultilevel"/>
    <w:tmpl w:val="B32040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D4393"/>
    <w:multiLevelType w:val="hybridMultilevel"/>
    <w:tmpl w:val="58181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7104E"/>
    <w:multiLevelType w:val="multilevel"/>
    <w:tmpl w:val="1F068ADC"/>
    <w:lvl w:ilvl="0">
      <w:start w:val="1"/>
      <w:numFmt w:val="decimal"/>
      <w:lvlText w:val="%1."/>
      <w:lvlJc w:val="left"/>
      <w:pPr>
        <w:ind w:left="72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17"/>
  </w:num>
  <w:num w:numId="3">
    <w:abstractNumId w:val="0"/>
  </w:num>
  <w:num w:numId="4">
    <w:abstractNumId w:val="19"/>
  </w:num>
  <w:num w:numId="5">
    <w:abstractNumId w:val="2"/>
  </w:num>
  <w:num w:numId="6">
    <w:abstractNumId w:val="6"/>
  </w:num>
  <w:num w:numId="7">
    <w:abstractNumId w:val="18"/>
  </w:num>
  <w:num w:numId="8">
    <w:abstractNumId w:val="20"/>
  </w:num>
  <w:num w:numId="9">
    <w:abstractNumId w:val="25"/>
  </w:num>
  <w:num w:numId="10">
    <w:abstractNumId w:val="16"/>
  </w:num>
  <w:num w:numId="11">
    <w:abstractNumId w:val="15"/>
  </w:num>
  <w:num w:numId="12">
    <w:abstractNumId w:val="7"/>
  </w:num>
  <w:num w:numId="13">
    <w:abstractNumId w:val="1"/>
  </w:num>
  <w:num w:numId="14">
    <w:abstractNumId w:val="23"/>
  </w:num>
  <w:num w:numId="15">
    <w:abstractNumId w:val="8"/>
  </w:num>
  <w:num w:numId="16">
    <w:abstractNumId w:val="14"/>
  </w:num>
  <w:num w:numId="17">
    <w:abstractNumId w:val="10"/>
  </w:num>
  <w:num w:numId="18">
    <w:abstractNumId w:val="3"/>
  </w:num>
  <w:num w:numId="19">
    <w:abstractNumId w:val="21"/>
  </w:num>
  <w:num w:numId="20">
    <w:abstractNumId w:val="11"/>
  </w:num>
  <w:num w:numId="21">
    <w:abstractNumId w:val="22"/>
  </w:num>
  <w:num w:numId="22">
    <w:abstractNumId w:val="5"/>
  </w:num>
  <w:num w:numId="23">
    <w:abstractNumId w:val="13"/>
  </w:num>
  <w:num w:numId="24">
    <w:abstractNumId w:val="24"/>
  </w:num>
  <w:num w:numId="25">
    <w:abstractNumId w:val="12"/>
  </w:num>
  <w:num w:numId="26">
    <w:abstractNumId w:val="9"/>
  </w:num>
  <w:num w:numId="27">
    <w:abstractNumId w:val="6"/>
  </w:num>
  <w:num w:numId="28">
    <w:abstractNumId w:val="6"/>
  </w:num>
  <w:num w:numId="29">
    <w:abstractNumId w:val="6"/>
  </w:num>
  <w:num w:numId="30">
    <w:abstractNumId w:val="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C3"/>
    <w:rsid w:val="00011B7D"/>
    <w:rsid w:val="0006249F"/>
    <w:rsid w:val="00075432"/>
    <w:rsid w:val="0009458A"/>
    <w:rsid w:val="000C06FE"/>
    <w:rsid w:val="000F5E56"/>
    <w:rsid w:val="001362EE"/>
    <w:rsid w:val="00144FAC"/>
    <w:rsid w:val="001832A6"/>
    <w:rsid w:val="00195C6E"/>
    <w:rsid w:val="001B266A"/>
    <w:rsid w:val="001B488E"/>
    <w:rsid w:val="001C6508"/>
    <w:rsid w:val="001D3D56"/>
    <w:rsid w:val="00240654"/>
    <w:rsid w:val="002634C4"/>
    <w:rsid w:val="002934A3"/>
    <w:rsid w:val="002956DE"/>
    <w:rsid w:val="002E4D1A"/>
    <w:rsid w:val="002F16BC"/>
    <w:rsid w:val="002F4E68"/>
    <w:rsid w:val="00322C0B"/>
    <w:rsid w:val="00381798"/>
    <w:rsid w:val="003845C1"/>
    <w:rsid w:val="00390B25"/>
    <w:rsid w:val="003A67A3"/>
    <w:rsid w:val="003C6FDA"/>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64AC3"/>
    <w:rsid w:val="006B0DB5"/>
    <w:rsid w:val="007057FA"/>
    <w:rsid w:val="007461F1"/>
    <w:rsid w:val="00797438"/>
    <w:rsid w:val="007D6961"/>
    <w:rsid w:val="007F07CB"/>
    <w:rsid w:val="00810CEF"/>
    <w:rsid w:val="0081208D"/>
    <w:rsid w:val="00887C90"/>
    <w:rsid w:val="008A2E11"/>
    <w:rsid w:val="008B2CC1"/>
    <w:rsid w:val="008E7930"/>
    <w:rsid w:val="0090731E"/>
    <w:rsid w:val="009205BC"/>
    <w:rsid w:val="00966A22"/>
    <w:rsid w:val="00974CD6"/>
    <w:rsid w:val="0099271B"/>
    <w:rsid w:val="00992AE4"/>
    <w:rsid w:val="009D30E6"/>
    <w:rsid w:val="009D3316"/>
    <w:rsid w:val="009E3F6F"/>
    <w:rsid w:val="009F4714"/>
    <w:rsid w:val="009F499F"/>
    <w:rsid w:val="00A11D74"/>
    <w:rsid w:val="00A25AD2"/>
    <w:rsid w:val="00A511F6"/>
    <w:rsid w:val="00A94663"/>
    <w:rsid w:val="00AC0AE4"/>
    <w:rsid w:val="00AD61DB"/>
    <w:rsid w:val="00B1090C"/>
    <w:rsid w:val="00B35AF5"/>
    <w:rsid w:val="00B45C15"/>
    <w:rsid w:val="00BE0BE0"/>
    <w:rsid w:val="00C664C8"/>
    <w:rsid w:val="00CF0460"/>
    <w:rsid w:val="00D12EE0"/>
    <w:rsid w:val="00D43E0F"/>
    <w:rsid w:val="00D45252"/>
    <w:rsid w:val="00D552DA"/>
    <w:rsid w:val="00D71B4D"/>
    <w:rsid w:val="00D75C1E"/>
    <w:rsid w:val="00D93D55"/>
    <w:rsid w:val="00DB1C48"/>
    <w:rsid w:val="00DC5035"/>
    <w:rsid w:val="00DD4917"/>
    <w:rsid w:val="00DD6A16"/>
    <w:rsid w:val="00E0091A"/>
    <w:rsid w:val="00E203AA"/>
    <w:rsid w:val="00E5217A"/>
    <w:rsid w:val="00E527A5"/>
    <w:rsid w:val="00E76456"/>
    <w:rsid w:val="00EA2934"/>
    <w:rsid w:val="00EA49D3"/>
    <w:rsid w:val="00EC067F"/>
    <w:rsid w:val="00EE71CB"/>
    <w:rsid w:val="00F16975"/>
    <w:rsid w:val="00F66152"/>
    <w:rsid w:val="00FD0CC3"/>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4A6FA"/>
  <w15:docId w15:val="{A733CCEB-6CEA-4BDE-B58C-20849449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797438"/>
    <w:pPr>
      <w:spacing w:before="480" w:after="220"/>
      <w:outlineLvl w:val="0"/>
    </w:pPr>
    <w:rPr>
      <w:caps/>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unhideWhenUsed/>
    <w:rsid w:val="00FD0CC3"/>
    <w:rPr>
      <w:color w:val="0000FF" w:themeColor="hyperlink"/>
      <w:u w:val="single"/>
    </w:rPr>
  </w:style>
  <w:style w:type="paragraph" w:styleId="ListParagraph">
    <w:name w:val="List Paragraph"/>
    <w:basedOn w:val="Normal"/>
    <w:uiPriority w:val="34"/>
    <w:qFormat/>
    <w:rsid w:val="00FD0CC3"/>
    <w:pPr>
      <w:ind w:left="720"/>
      <w:contextualSpacing/>
    </w:pPr>
    <w:rPr>
      <w:rFonts w:eastAsiaTheme="minorEastAsia"/>
      <w:lang w:val="fr-FR"/>
    </w:rPr>
  </w:style>
  <w:style w:type="character" w:customStyle="1" w:styleId="FootnoteTextChar">
    <w:name w:val="Footnote Text Char"/>
    <w:basedOn w:val="DefaultParagraphFont"/>
    <w:link w:val="FootnoteText"/>
    <w:uiPriority w:val="99"/>
    <w:semiHidden/>
    <w:rsid w:val="00FD0CC3"/>
    <w:rPr>
      <w:rFonts w:ascii="Arial" w:eastAsia="SimSun" w:hAnsi="Arial" w:cs="Arial"/>
      <w:sz w:val="18"/>
      <w:lang w:eastAsia="zh-CN"/>
    </w:rPr>
  </w:style>
  <w:style w:type="character" w:styleId="FootnoteReference">
    <w:name w:val="footnote reference"/>
    <w:basedOn w:val="DefaultParagraphFont"/>
    <w:uiPriority w:val="99"/>
    <w:semiHidden/>
    <w:unhideWhenUsed/>
    <w:rsid w:val="00FD0CC3"/>
    <w:rPr>
      <w:vertAlign w:val="superscript"/>
    </w:rPr>
  </w:style>
  <w:style w:type="character" w:customStyle="1" w:styleId="ONUMEChar">
    <w:name w:val="ONUM E Char"/>
    <w:basedOn w:val="DefaultParagraphFont"/>
    <w:link w:val="ONUME"/>
    <w:rsid w:val="00FD0CC3"/>
    <w:rPr>
      <w:rFonts w:ascii="Arial" w:eastAsia="SimSun" w:hAnsi="Arial" w:cs="Arial"/>
      <w:sz w:val="22"/>
      <w:lang w:eastAsia="zh-CN"/>
    </w:rPr>
  </w:style>
  <w:style w:type="paragraph" w:styleId="NormalWeb">
    <w:name w:val="Normal (Web)"/>
    <w:basedOn w:val="Normal"/>
    <w:uiPriority w:val="99"/>
    <w:unhideWhenUsed/>
    <w:rsid w:val="00FD0CC3"/>
    <w:pPr>
      <w:spacing w:before="100" w:beforeAutospacing="1" w:after="100" w:afterAutospacing="1"/>
    </w:pPr>
    <w:rPr>
      <w:rFonts w:ascii="Times New Roman" w:eastAsia="Times New Roman" w:hAnsi="Times New Roman" w:cs="Times New Roman"/>
      <w:sz w:val="24"/>
      <w:szCs w:val="24"/>
      <w:lang w:val="fr-FR" w:eastAsia="en-US"/>
    </w:rPr>
  </w:style>
  <w:style w:type="paragraph" w:styleId="NoSpacing">
    <w:name w:val="No Spacing"/>
    <w:uiPriority w:val="1"/>
    <w:qFormat/>
    <w:rsid w:val="00FD0CC3"/>
    <w:rPr>
      <w:rFonts w:ascii="Arial" w:eastAsia="SimSun" w:hAnsi="Arial" w:cs="Arial"/>
      <w:sz w:val="22"/>
      <w:lang w:val="fr-FR" w:eastAsia="zh-CN"/>
    </w:rPr>
  </w:style>
  <w:style w:type="character" w:styleId="FollowedHyperlink">
    <w:name w:val="FollowedHyperlink"/>
    <w:basedOn w:val="DefaultParagraphFont"/>
    <w:semiHidden/>
    <w:unhideWhenUsed/>
    <w:rsid w:val="00390B25"/>
    <w:rPr>
      <w:color w:val="800080" w:themeColor="followedHyperlink"/>
      <w:u w:val="single"/>
    </w:rPr>
  </w:style>
  <w:style w:type="character" w:customStyle="1" w:styleId="HeaderChar">
    <w:name w:val="Header Char"/>
    <w:basedOn w:val="DefaultParagraphFont"/>
    <w:link w:val="Header"/>
    <w:uiPriority w:val="99"/>
    <w:rsid w:val="003C6FD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fr/igc/consultation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E5D9-648D-481F-8343-A0488C65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(F).dotm</Template>
  <TotalTime>139</TotalTime>
  <Pages>11</Pages>
  <Words>3936</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AUBERT Annaelle</dc:creator>
  <cp:keywords>FOR OFFICIAL USE ONLY</cp:keywords>
  <cp:lastModifiedBy>Annaelle Aubert</cp:lastModifiedBy>
  <cp:revision>12</cp:revision>
  <cp:lastPrinted>2011-05-19T12:37:00Z</cp:lastPrinted>
  <dcterms:created xsi:type="dcterms:W3CDTF">2023-05-26T12:52:00Z</dcterms:created>
  <dcterms:modified xsi:type="dcterms:W3CDTF">2023-05-30T07:20:00Z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2023-05-30T05:41:15Z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a66ce054-d0c0-4435-939d-4028a882823d</vt:lpwstr>
  </property>
  <property fmtid="{D5CDD505-2E9C-101B-9397-08002B2CF9AE}" pid="14" name="MSIP_Label_20773ee6-353b-4fb9-a59d-0b94c8c67bea_ContentBits">
    <vt:lpwstr>0</vt:lpwstr>
  </property>
</Properties>
</file>