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BDE0C" w14:textId="77777777" w:rsidR="00E352BF" w:rsidRPr="0040540C" w:rsidRDefault="00E352BF" w:rsidP="00E352BF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1805842" wp14:editId="13C6C554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6DEB" w14:textId="77777777" w:rsidR="00E352BF" w:rsidRPr="00F96ABE" w:rsidRDefault="00E352BF" w:rsidP="00E352BF">
      <w:pPr>
        <w:jc w:val="right"/>
        <w:rPr>
          <w:rFonts w:ascii="Arial Black" w:hAnsi="Arial Black"/>
          <w:caps/>
          <w:sz w:val="15"/>
        </w:rPr>
      </w:pPr>
      <w:r w:rsidRPr="00F96ABE">
        <w:rPr>
          <w:rFonts w:ascii="Arial Black" w:hAnsi="Arial Black"/>
          <w:caps/>
          <w:sz w:val="15"/>
        </w:rPr>
        <w:t>wipo/grtkf/ic/45/</w:t>
      </w:r>
      <w:bookmarkStart w:id="0" w:name="Code"/>
      <w:bookmarkEnd w:id="0"/>
      <w:r w:rsidRPr="00F96ABE">
        <w:rPr>
          <w:rFonts w:ascii="Arial Black" w:hAnsi="Arial Black"/>
          <w:caps/>
          <w:sz w:val="15"/>
        </w:rPr>
        <w:t>2</w:t>
      </w:r>
    </w:p>
    <w:p w14:paraId="30EF9801" w14:textId="514EE3F8" w:rsidR="00E352BF" w:rsidRPr="00F96ABE" w:rsidRDefault="00E352BF" w:rsidP="00E352BF">
      <w:pPr>
        <w:jc w:val="right"/>
      </w:pPr>
      <w:r w:rsidRPr="00F96AB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> :</w:t>
      </w:r>
      <w:r w:rsidRPr="00F96ABE">
        <w:rPr>
          <w:rFonts w:ascii="Arial Black" w:hAnsi="Arial Black"/>
          <w:caps/>
          <w:sz w:val="15"/>
        </w:rPr>
        <w:t xml:space="preserve"> </w:t>
      </w:r>
      <w:bookmarkStart w:id="1" w:name="Original"/>
      <w:r w:rsidRPr="00F96ABE">
        <w:rPr>
          <w:rFonts w:ascii="Arial Black" w:hAnsi="Arial Black"/>
          <w:caps/>
          <w:sz w:val="15"/>
        </w:rPr>
        <w:t>anglais</w:t>
      </w:r>
    </w:p>
    <w:bookmarkEnd w:id="1"/>
    <w:p w14:paraId="72A72AB6" w14:textId="6EB69B8C" w:rsidR="00E352BF" w:rsidRPr="00F96ABE" w:rsidRDefault="00E352BF" w:rsidP="00E352BF">
      <w:pPr>
        <w:spacing w:after="1200"/>
        <w:jc w:val="right"/>
      </w:pPr>
      <w:r w:rsidRPr="00F96AB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> :</w:t>
      </w:r>
      <w:r w:rsidRPr="00F96ABE">
        <w:rPr>
          <w:rFonts w:ascii="Arial Black" w:hAnsi="Arial Black"/>
          <w:caps/>
          <w:sz w:val="15"/>
        </w:rPr>
        <w:t xml:space="preserve"> </w:t>
      </w:r>
      <w:bookmarkStart w:id="2" w:name="Date"/>
      <w:r w:rsidRPr="00F96ABE">
        <w:rPr>
          <w:rFonts w:ascii="Arial Black" w:hAnsi="Arial Black"/>
          <w:caps/>
          <w:sz w:val="15"/>
        </w:rPr>
        <w:t>16</w:t>
      </w:r>
      <w:r>
        <w:rPr>
          <w:rFonts w:ascii="Arial Black" w:hAnsi="Arial Black"/>
          <w:caps/>
          <w:sz w:val="15"/>
        </w:rPr>
        <w:t> </w:t>
      </w:r>
      <w:r w:rsidRPr="00F96ABE">
        <w:rPr>
          <w:rFonts w:ascii="Arial Black" w:hAnsi="Arial Black"/>
          <w:caps/>
          <w:sz w:val="15"/>
        </w:rPr>
        <w:t>novembre</w:t>
      </w:r>
      <w:r>
        <w:rPr>
          <w:rFonts w:ascii="Arial Black" w:hAnsi="Arial Black"/>
          <w:caps/>
          <w:sz w:val="15"/>
        </w:rPr>
        <w:t> </w:t>
      </w:r>
      <w:r w:rsidRPr="00F96ABE">
        <w:rPr>
          <w:rFonts w:ascii="Arial Black" w:hAnsi="Arial Black"/>
          <w:caps/>
          <w:sz w:val="15"/>
        </w:rPr>
        <w:t>2022</w:t>
      </w:r>
    </w:p>
    <w:bookmarkEnd w:id="2"/>
    <w:p w14:paraId="121E8BD8" w14:textId="77777777" w:rsidR="00E352BF" w:rsidRPr="00F96ABE" w:rsidRDefault="00E352BF" w:rsidP="00E352BF">
      <w:pPr>
        <w:pStyle w:val="Heading1"/>
        <w:spacing w:before="0" w:after="480"/>
      </w:pPr>
      <w:r w:rsidRPr="00F96ABE">
        <w:rPr>
          <w:caps w:val="0"/>
          <w:sz w:val="28"/>
        </w:rPr>
        <w:t>Comité intergouvernemental de la propriété intellectuelle relative aux ressources génétiques, aux savoirs traditionnels et au folklore</w:t>
      </w:r>
    </w:p>
    <w:p w14:paraId="38E79D88" w14:textId="339274D8" w:rsidR="00E352BF" w:rsidRDefault="00E352BF" w:rsidP="00E352BF">
      <w:pPr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>Quarante</w:t>
      </w:r>
      <w:r w:rsidR="005E3BFA">
        <w:rPr>
          <w:b/>
          <w:sz w:val="24"/>
          <w:szCs w:val="24"/>
        </w:rPr>
        <w:noBreakHyphen/>
      </w:r>
      <w:r w:rsidRPr="008D41C3">
        <w:rPr>
          <w:b/>
          <w:sz w:val="24"/>
          <w:szCs w:val="24"/>
        </w:rPr>
        <w:t>cinqu</w:t>
      </w:r>
      <w:r>
        <w:rPr>
          <w:b/>
          <w:sz w:val="24"/>
          <w:szCs w:val="24"/>
        </w:rPr>
        <w:t>ième session</w:t>
      </w:r>
    </w:p>
    <w:p w14:paraId="28934FDC" w14:textId="349336E3" w:rsidR="00E352BF" w:rsidRPr="003845C1" w:rsidRDefault="00E352BF" w:rsidP="00E352BF">
      <w:pPr>
        <w:spacing w:after="720"/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>Genève, 5 – 9</w:t>
      </w:r>
      <w:r>
        <w:rPr>
          <w:b/>
          <w:sz w:val="24"/>
          <w:szCs w:val="24"/>
        </w:rPr>
        <w:t> </w:t>
      </w:r>
      <w:r w:rsidRPr="008D41C3">
        <w:rPr>
          <w:b/>
          <w:sz w:val="24"/>
          <w:szCs w:val="24"/>
        </w:rPr>
        <w:t>décembre</w:t>
      </w:r>
      <w:r>
        <w:rPr>
          <w:b/>
          <w:sz w:val="24"/>
          <w:szCs w:val="24"/>
        </w:rPr>
        <w:t> </w:t>
      </w:r>
      <w:r w:rsidRPr="008D41C3">
        <w:rPr>
          <w:b/>
          <w:sz w:val="24"/>
          <w:szCs w:val="24"/>
        </w:rPr>
        <w:t>2022</w:t>
      </w:r>
    </w:p>
    <w:p w14:paraId="366B8284" w14:textId="505B960F" w:rsidR="00E352BF" w:rsidRPr="003845C1" w:rsidRDefault="00E352BF" w:rsidP="00E352BF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Mise à jour de la liste des organisations non gouvernementales admises en qualité d’observatrices ad</w:t>
      </w:r>
      <w:r w:rsidR="001A5DAB">
        <w:rPr>
          <w:caps/>
          <w:sz w:val="24"/>
        </w:rPr>
        <w:t> </w:t>
      </w:r>
      <w:r>
        <w:rPr>
          <w:caps/>
          <w:sz w:val="24"/>
        </w:rPr>
        <w:t>hoc auprès du Comité intergouvernemental de la propriété intellectuelle relative aux ressources génétiques, aux savoirs traditionnels et au folklore</w:t>
      </w:r>
    </w:p>
    <w:p w14:paraId="557AC264" w14:textId="77777777" w:rsidR="00E352BF" w:rsidRPr="008B2CC1" w:rsidRDefault="00E352BF" w:rsidP="00E352BF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Secrétariat</w:t>
      </w:r>
    </w:p>
    <w:p w14:paraId="561CFA17" w14:textId="77777777" w:rsidR="00F10663" w:rsidRDefault="00F10663" w:rsidP="005E3BFA">
      <w:pPr>
        <w:pStyle w:val="Heading2"/>
      </w:pPr>
      <w:r>
        <w:t>Introduction</w:t>
      </w:r>
      <w:bookmarkStart w:id="5" w:name="_GoBack"/>
      <w:bookmarkEnd w:id="5"/>
    </w:p>
    <w:p w14:paraId="6565F5A2" w14:textId="1785CB81" w:rsidR="00F10663" w:rsidRDefault="00F10663" w:rsidP="005E3BFA">
      <w:pPr>
        <w:pStyle w:val="ONUMFS"/>
      </w:pPr>
      <w:r>
        <w:t>Le présent document contient une analyse de l</w:t>
      </w:r>
      <w:r w:rsidR="00E352BF">
        <w:t>’</w:t>
      </w:r>
      <w:r>
        <w:t>augmentation du nombre d</w:t>
      </w:r>
      <w:r w:rsidR="00E352BF">
        <w:t>’</w:t>
      </w:r>
      <w:r>
        <w:t>organisations non gouvernementales (ONG) admises en qualité d</w:t>
      </w:r>
      <w:r w:rsidR="00E352BF">
        <w:t>’</w:t>
      </w:r>
      <w:r>
        <w:t>observatrices ad</w:t>
      </w:r>
      <w:r w:rsidR="001A5DAB">
        <w:t> </w:t>
      </w:r>
      <w:r>
        <w:t>hoc auprès du Comité intergouvernemental de la propriété intellectuelle relative aux ressources génétiques, aux savoirs traditionnels et au folklore (IGC).  Il met en évidence l</w:t>
      </w:r>
      <w:r w:rsidR="00E352BF">
        <w:t>’</w:t>
      </w:r>
      <w:r>
        <w:t>augmentation de leur nombre depuis la création de l</w:t>
      </w:r>
      <w:r w:rsidR="00E352BF">
        <w:t>’</w:t>
      </w:r>
      <w:r>
        <w:t>IGC ainsi que les questions que cette augmentation soulè</w:t>
      </w:r>
      <w:r w:rsidR="005E3BFA">
        <w:t>ve</w:t>
      </w:r>
      <w:r w:rsidR="005E3BFA">
        <w:t xml:space="preserve">.  </w:t>
      </w:r>
      <w:r w:rsidR="005E3BFA">
        <w:t>En</w:t>
      </w:r>
      <w:r>
        <w:t xml:space="preserve"> conclusion, il présente une procédure d</w:t>
      </w:r>
      <w:r w:rsidR="00E352BF">
        <w:t>’</w:t>
      </w:r>
      <w:r>
        <w:t>actualisation de la liste</w:t>
      </w:r>
      <w:r w:rsidR="00E352BF">
        <w:t xml:space="preserve"> des ONG</w:t>
      </w:r>
      <w:r>
        <w:t xml:space="preserve"> dotées du statut d</w:t>
      </w:r>
      <w:r w:rsidR="00E352BF">
        <w:t>’</w:t>
      </w:r>
      <w:r>
        <w:t>observateur visant à répondre à ces questions.</w:t>
      </w:r>
    </w:p>
    <w:p w14:paraId="29B3E511" w14:textId="5390D478" w:rsidR="00F10663" w:rsidRDefault="00F10663" w:rsidP="005E3BFA">
      <w:pPr>
        <w:pStyle w:val="Heading2"/>
      </w:pPr>
      <w:r>
        <w:t>Augmentation du nombre d</w:t>
      </w:r>
      <w:r w:rsidR="00E352BF">
        <w:t>’</w:t>
      </w:r>
      <w:r>
        <w:t>organisations non gouvernementales admises en qualité d</w:t>
      </w:r>
      <w:r w:rsidR="00E352BF">
        <w:t>’</w:t>
      </w:r>
      <w:r>
        <w:t>observatrices et participation aux sessions de l</w:t>
      </w:r>
      <w:r w:rsidR="00E352BF">
        <w:t>’</w:t>
      </w:r>
      <w:r>
        <w:t>IGC</w:t>
      </w:r>
    </w:p>
    <w:p w14:paraId="20CEB500" w14:textId="12309A0B" w:rsidR="00F10663" w:rsidRDefault="00F10663" w:rsidP="005E3BFA">
      <w:pPr>
        <w:pStyle w:val="ONUMFS"/>
      </w:pPr>
      <w:r>
        <w:t>Au cours des 22</w:t>
      </w:r>
      <w:r w:rsidR="005E3BFA">
        <w:t> </w:t>
      </w:r>
      <w:r>
        <w:t>dernières années, le nombre d</w:t>
      </w:r>
      <w:r w:rsidR="00E352BF">
        <w:t>’</w:t>
      </w:r>
      <w:r>
        <w:t>ONG admises en qualité d</w:t>
      </w:r>
      <w:r w:rsidR="00E352BF">
        <w:t>’</w:t>
      </w:r>
      <w:r>
        <w:t>observatrices ad</w:t>
      </w:r>
      <w:r w:rsidR="001A5DAB">
        <w:t> </w:t>
      </w:r>
      <w:r>
        <w:t>hoc auprès de l</w:t>
      </w:r>
      <w:r w:rsidR="00E352BF">
        <w:t>’</w:t>
      </w:r>
      <w:r>
        <w:t>IGC a sensiblement augmen</w:t>
      </w:r>
      <w:r w:rsidR="005E3BFA">
        <w:t>té</w:t>
      </w:r>
      <w:r w:rsidR="005E3BFA">
        <w:t xml:space="preserve">.  </w:t>
      </w:r>
      <w:r w:rsidR="005E3BFA">
        <w:t>Le</w:t>
      </w:r>
      <w:r>
        <w:t xml:space="preserve"> nombre d</w:t>
      </w:r>
      <w:r w:rsidR="00E352BF">
        <w:t>’</w:t>
      </w:r>
      <w:r>
        <w:t>ONG ayant le statut d</w:t>
      </w:r>
      <w:r w:rsidR="00E352BF">
        <w:t>’</w:t>
      </w:r>
      <w:r>
        <w:t>observateur s</w:t>
      </w:r>
      <w:r w:rsidR="00E352BF">
        <w:t>’</w:t>
      </w:r>
      <w:r>
        <w:t>est accru de 417 (de 19 à la 1</w:t>
      </w:r>
      <w:r w:rsidRPr="005E3BFA">
        <w:rPr>
          <w:vertAlign w:val="superscript"/>
        </w:rPr>
        <w:t>re</w:t>
      </w:r>
      <w:r w:rsidR="005E3BFA">
        <w:t> </w:t>
      </w:r>
      <w:r>
        <w:t>session de l</w:t>
      </w:r>
      <w:r w:rsidR="00E352BF">
        <w:t>’</w:t>
      </w:r>
      <w:r>
        <w:t>IGC à 436 à la quarante</w:t>
      </w:r>
      <w:r w:rsidR="005E3BFA">
        <w:noBreakHyphen/>
      </w:r>
      <w:r>
        <w:t>quatr</w:t>
      </w:r>
      <w:r w:rsidR="00E352BF">
        <w:t>ième session</w:t>
      </w:r>
      <w:r>
        <w:t>).</w:t>
      </w:r>
    </w:p>
    <w:p w14:paraId="3C35273B" w14:textId="39E424F5" w:rsidR="00F10663" w:rsidRDefault="00F10663" w:rsidP="005E3BFA">
      <w:pPr>
        <w:pStyle w:val="ONUMFS"/>
      </w:pPr>
      <w:r>
        <w:t>Toutefois, le nombre d</w:t>
      </w:r>
      <w:r w:rsidR="00E352BF">
        <w:t>’</w:t>
      </w:r>
      <w:r>
        <w:t>ONG ayant participé aux sessions de l</w:t>
      </w:r>
      <w:r w:rsidR="00E352BF">
        <w:t>’</w:t>
      </w:r>
      <w:r>
        <w:t>IGC en qualité d</w:t>
      </w:r>
      <w:r w:rsidR="00E352BF">
        <w:t>’</w:t>
      </w:r>
      <w:r>
        <w:t>observatrices est resté relativement stab</w:t>
      </w:r>
      <w:r w:rsidR="005E3BFA">
        <w:t>le</w:t>
      </w:r>
      <w:r w:rsidR="005E3BFA">
        <w:t xml:space="preserve">.  </w:t>
      </w:r>
      <w:r w:rsidR="005E3BFA">
        <w:t xml:space="preserve">À </w:t>
      </w:r>
      <w:r>
        <w:t>titre d</w:t>
      </w:r>
      <w:r w:rsidR="00E352BF">
        <w:t>’</w:t>
      </w:r>
      <w:r>
        <w:t>exemple, entre la trente</w:t>
      </w:r>
      <w:r w:rsidR="005E3BFA">
        <w:noBreakHyphen/>
      </w:r>
      <w:r>
        <w:t xml:space="preserve">cinquième et la </w:t>
      </w:r>
      <w:r>
        <w:lastRenderedPageBreak/>
        <w:t>quarante</w:t>
      </w:r>
      <w:r w:rsidR="005E3BFA">
        <w:noBreakHyphen/>
      </w:r>
      <w:r>
        <w:t>quatr</w:t>
      </w:r>
      <w:r w:rsidR="00E352BF">
        <w:t>ième session</w:t>
      </w:r>
      <w:r>
        <w:t xml:space="preserve"> de l</w:t>
      </w:r>
      <w:r w:rsidR="00E352BF">
        <w:t>’</w:t>
      </w:r>
      <w:r>
        <w:t>IGC, en moyenne, 23,1</w:t>
      </w:r>
      <w:r w:rsidR="005E3BFA">
        <w:t> </w:t>
      </w:r>
      <w:r>
        <w:t>ONG ayant la qualité d</w:t>
      </w:r>
      <w:r w:rsidR="00E352BF">
        <w:t>’</w:t>
      </w:r>
      <w:r>
        <w:t>observatrices (</w:t>
      </w:r>
      <w:r w:rsidR="00E352BF">
        <w:t>y compris</w:t>
      </w:r>
      <w:r>
        <w:t xml:space="preserve"> les observateurs permanents auprès de l</w:t>
      </w:r>
      <w:r w:rsidR="00E352BF">
        <w:t>’</w:t>
      </w:r>
      <w:r>
        <w:t>OMPI et les observateurs ad</w:t>
      </w:r>
      <w:r w:rsidR="001A5DAB">
        <w:t> </w:t>
      </w:r>
      <w:r>
        <w:t>hoc auprès de l</w:t>
      </w:r>
      <w:r w:rsidR="00E352BF">
        <w:t>’</w:t>
      </w:r>
      <w:r>
        <w:t>IGC) ont participé à chaque session.</w:t>
      </w:r>
    </w:p>
    <w:p w14:paraId="473DF5AB" w14:textId="77777777" w:rsidR="00F10663" w:rsidRPr="005E3BFA" w:rsidRDefault="00F10663" w:rsidP="005E3BFA">
      <w:pPr>
        <w:pStyle w:val="Heading2"/>
      </w:pPr>
      <w:r w:rsidRPr="005E3BFA">
        <w:t>Questions soulevées</w:t>
      </w:r>
    </w:p>
    <w:p w14:paraId="2965617C" w14:textId="4670D86C" w:rsidR="00F10663" w:rsidRDefault="00F10663" w:rsidP="005E3BFA">
      <w:pPr>
        <w:pStyle w:val="ONUMFS"/>
      </w:pPr>
      <w:r>
        <w:t>La forte augmentation du nombre d</w:t>
      </w:r>
      <w:r w:rsidR="00E352BF">
        <w:t>’</w:t>
      </w:r>
      <w:r>
        <w:t>ONG admises en qualité d</w:t>
      </w:r>
      <w:r w:rsidR="00E352BF">
        <w:t>’</w:t>
      </w:r>
      <w:r>
        <w:t>observatrices auprès de l</w:t>
      </w:r>
      <w:r w:rsidR="00E352BF">
        <w:t>’</w:t>
      </w:r>
      <w:r>
        <w:t>IGC soulève la question de savoir si la liste reflète fidèlement le nombre réel d</w:t>
      </w:r>
      <w:r w:rsidR="00E352BF">
        <w:t>’</w:t>
      </w:r>
      <w:r>
        <w:t>organisations qui existent encore ou qui souhaitent toujours participer aux négociations menées dans le cadre du comité.</w:t>
      </w:r>
    </w:p>
    <w:p w14:paraId="56DC43E1" w14:textId="61ADC3AC" w:rsidR="00F10663" w:rsidRDefault="00F10663" w:rsidP="005E3BFA">
      <w:pPr>
        <w:pStyle w:val="ONUMFS"/>
      </w:pPr>
      <w:r>
        <w:t>Comme indiqué plus haut, en moyenne, entre la trente</w:t>
      </w:r>
      <w:r w:rsidR="005E3BFA">
        <w:noBreakHyphen/>
      </w:r>
      <w:r>
        <w:t>cinquième et la quarante</w:t>
      </w:r>
      <w:r w:rsidR="005E3BFA">
        <w:noBreakHyphen/>
      </w:r>
      <w:r>
        <w:t>quatr</w:t>
      </w:r>
      <w:r w:rsidR="00E352BF">
        <w:t>ième session</w:t>
      </w:r>
      <w:r>
        <w:t xml:space="preserve"> de l</w:t>
      </w:r>
      <w:r w:rsidR="00E352BF">
        <w:t>’</w:t>
      </w:r>
      <w:r>
        <w:t>IGC, seules 23,1</w:t>
      </w:r>
      <w:r w:rsidR="005E3BFA">
        <w:t> </w:t>
      </w:r>
      <w:r>
        <w:t>ONG, soit 5,3% d</w:t>
      </w:r>
      <w:r w:rsidR="00E352BF">
        <w:t>’</w:t>
      </w:r>
      <w:r>
        <w:t>entre elles, ont participé aux sessions du comité.</w:t>
      </w:r>
    </w:p>
    <w:p w14:paraId="335437EB" w14:textId="7456C10F" w:rsidR="00F10663" w:rsidRDefault="00F10663" w:rsidP="005E3BFA">
      <w:pPr>
        <w:pStyle w:val="ONUMFS"/>
      </w:pPr>
      <w:r>
        <w:t>Ainsi, il se peut qu</w:t>
      </w:r>
      <w:r w:rsidR="00E352BF">
        <w:t>’</w:t>
      </w:r>
      <w:r>
        <w:t>un grand nombre d</w:t>
      </w:r>
      <w:r w:rsidR="00E352BF">
        <w:t>’</w:t>
      </w:r>
      <w:r>
        <w:t>ONG dont le nom figure dans la liste disponible à l</w:t>
      </w:r>
      <w:r w:rsidR="00E352BF">
        <w:t>’</w:t>
      </w:r>
      <w:r>
        <w:t xml:space="preserve">adresse </w:t>
      </w:r>
      <w:hyperlink r:id="rId9" w:history="1">
        <w:r>
          <w:rPr>
            <w:rStyle w:val="Hyperlink"/>
          </w:rPr>
          <w:t>https://www.wipo.int/export/sites/www/tk/en/igc/docs/igc_observers.pdf</w:t>
        </w:r>
      </w:hyperlink>
      <w:r>
        <w:t xml:space="preserve"> aient cessé d</w:t>
      </w:r>
      <w:r w:rsidR="00E352BF">
        <w:t>’</w:t>
      </w:r>
      <w:r>
        <w:t>exister ou ne souhaitent plus participer aux sessions de l</w:t>
      </w:r>
      <w:r w:rsidR="00E352BF">
        <w:t>’</w:t>
      </w:r>
      <w:r w:rsidR="005E3BFA">
        <w:t>IGC</w:t>
      </w:r>
      <w:r w:rsidR="005E3BFA">
        <w:t xml:space="preserve">.  </w:t>
      </w:r>
      <w:r w:rsidR="005E3BFA">
        <w:t>Au</w:t>
      </w:r>
      <w:r>
        <w:t xml:space="preserve"> sein de l</w:t>
      </w:r>
      <w:r w:rsidR="00E352BF">
        <w:t>’</w:t>
      </w:r>
      <w:r>
        <w:t>IGC, aucune procédure ne permet actuellement de vérifier, lorsque notification n</w:t>
      </w:r>
      <w:r w:rsidR="00E352BF">
        <w:t>’</w:t>
      </w:r>
      <w:r>
        <w:t>en est pas faite par</w:t>
      </w:r>
      <w:r w:rsidR="00E352BF">
        <w:t xml:space="preserve"> les ONG</w:t>
      </w:r>
      <w:r>
        <w:t xml:space="preserve"> elles</w:t>
      </w:r>
      <w:r w:rsidR="005E3BFA">
        <w:noBreakHyphen/>
      </w:r>
      <w:r>
        <w:t>mêmes, si ces organisations ont cessé d</w:t>
      </w:r>
      <w:r w:rsidR="00E352BF">
        <w:t>’</w:t>
      </w:r>
      <w:r>
        <w:t>exist</w:t>
      </w:r>
      <w:r w:rsidR="005E3BFA">
        <w:t>er</w:t>
      </w:r>
      <w:r w:rsidR="005E3BFA">
        <w:t xml:space="preserve">.  </w:t>
      </w:r>
      <w:r w:rsidR="005E3BFA">
        <w:t>Af</w:t>
      </w:r>
      <w:r>
        <w:t>in de mettre en place un moyen plus efficace de tenir à jour la liste des observateurs et d</w:t>
      </w:r>
      <w:r w:rsidR="00E352BF">
        <w:t>’</w:t>
      </w:r>
      <w:r>
        <w:t>éviter des dysfonctionnements tels que la non</w:t>
      </w:r>
      <w:r w:rsidR="005E3BFA">
        <w:noBreakHyphen/>
      </w:r>
      <w:r>
        <w:t>distribution du courrier, le secrétariat de l</w:t>
      </w:r>
      <w:r w:rsidR="00E352BF">
        <w:t>’</w:t>
      </w:r>
      <w:r>
        <w:t>IGC actualisera la liste des observateurs ad</w:t>
      </w:r>
      <w:r w:rsidR="001A5DAB">
        <w:t> </w:t>
      </w:r>
      <w:r>
        <w:t>hoc en suivant la procédure exposée ci</w:t>
      </w:r>
      <w:r w:rsidR="005E3BFA">
        <w:noBreakHyphen/>
      </w:r>
      <w:r>
        <w:t>après.</w:t>
      </w:r>
    </w:p>
    <w:p w14:paraId="0C7287EF" w14:textId="77777777" w:rsidR="00E352BF" w:rsidRDefault="00F10663" w:rsidP="005E3BFA">
      <w:pPr>
        <w:pStyle w:val="Heading2"/>
      </w:pPr>
      <w:r>
        <w:t>Actualisation de la liste des organisations non gouvernementales</w:t>
      </w:r>
    </w:p>
    <w:p w14:paraId="71DB52CA" w14:textId="1940E3E5" w:rsidR="00F10663" w:rsidRDefault="00F10663" w:rsidP="005E3BFA">
      <w:pPr>
        <w:pStyle w:val="ONUMFS"/>
      </w:pPr>
      <w:r>
        <w:t>En vue de recenser, parmi</w:t>
      </w:r>
      <w:r w:rsidR="00E352BF">
        <w:t xml:space="preserve"> les ONG</w:t>
      </w:r>
      <w:r>
        <w:t xml:space="preserve"> admises en qualité d</w:t>
      </w:r>
      <w:r w:rsidR="00E352BF">
        <w:t>’</w:t>
      </w:r>
      <w:r>
        <w:t>observatrices ad</w:t>
      </w:r>
      <w:r w:rsidR="001A5DAB">
        <w:t> </w:t>
      </w:r>
      <w:r>
        <w:t>hoc auprès de l</w:t>
      </w:r>
      <w:r w:rsidR="00E352BF">
        <w:t>’</w:t>
      </w:r>
      <w:r>
        <w:t>IGC, celles qui ont cessé d</w:t>
      </w:r>
      <w:r w:rsidR="00E352BF">
        <w:t>’</w:t>
      </w:r>
      <w:r>
        <w:t>exister ou qui ne souhaitent plus participer aux sessions du comité, le secrétariat mettra à jour la liste actuelle des observateurs</w:t>
      </w:r>
      <w:r w:rsidR="00E352BF">
        <w:t> :</w:t>
      </w:r>
    </w:p>
    <w:p w14:paraId="3A188377" w14:textId="15F09CFD" w:rsidR="00E352BF" w:rsidRDefault="00F10663" w:rsidP="005E3BFA">
      <w:pPr>
        <w:pStyle w:val="ListParagraph"/>
        <w:numPr>
          <w:ilvl w:val="0"/>
          <w:numId w:val="12"/>
        </w:numPr>
        <w:spacing w:after="220"/>
        <w:ind w:left="1134" w:hanging="567"/>
        <w:contextualSpacing w:val="0"/>
      </w:pPr>
      <w:proofErr w:type="gramStart"/>
      <w:r>
        <w:t>en</w:t>
      </w:r>
      <w:proofErr w:type="gramEnd"/>
      <w:r>
        <w:t xml:space="preserve"> distribuant un questionnaire demandant aux observateurs ad</w:t>
      </w:r>
      <w:r w:rsidR="001A5DAB">
        <w:t> </w:t>
      </w:r>
      <w:r>
        <w:t>hoc n</w:t>
      </w:r>
      <w:r w:rsidR="00E352BF">
        <w:t>’</w:t>
      </w:r>
      <w:r>
        <w:t>ayant pas participé aux sessions de l</w:t>
      </w:r>
      <w:r w:rsidR="00E352BF">
        <w:t>’</w:t>
      </w:r>
      <w:r>
        <w:t>IGC au cours des cinq</w:t>
      </w:r>
      <w:r w:rsidR="001A5DAB">
        <w:t> </w:t>
      </w:r>
      <w:r>
        <w:t>dernières années de confirmer qu</w:t>
      </w:r>
      <w:r w:rsidR="00E352BF">
        <w:t>’</w:t>
      </w:r>
      <w:r>
        <w:t>ils sont toujours intéressés par les travaux menés au sein du comité et qu</w:t>
      </w:r>
      <w:r w:rsidR="00E352BF">
        <w:t>’</w:t>
      </w:r>
      <w:r>
        <w:t>ils souhaitent conserver leur statut d</w:t>
      </w:r>
      <w:r w:rsidR="00E352BF">
        <w:t>’</w:t>
      </w:r>
      <w:r>
        <w:t>observateur ad</w:t>
      </w:r>
      <w:r w:rsidR="001A5DAB">
        <w:t> </w:t>
      </w:r>
      <w:r>
        <w:t>hoc,</w:t>
      </w:r>
    </w:p>
    <w:p w14:paraId="37E607E2" w14:textId="0D439205" w:rsidR="00F10663" w:rsidRDefault="00F10663" w:rsidP="005E3BFA">
      <w:pPr>
        <w:pStyle w:val="ListParagraph"/>
        <w:numPr>
          <w:ilvl w:val="0"/>
          <w:numId w:val="12"/>
        </w:numPr>
        <w:spacing w:after="220"/>
        <w:ind w:left="1134" w:hanging="567"/>
        <w:contextualSpacing w:val="0"/>
      </w:pPr>
      <w:proofErr w:type="gramStart"/>
      <w:r>
        <w:t>en</w:t>
      </w:r>
      <w:proofErr w:type="gramEnd"/>
      <w:r>
        <w:t xml:space="preserve"> révisant la liste des observateurs après réception des réponses au questionnai</w:t>
      </w:r>
      <w:r w:rsidR="005E3BFA">
        <w:t>re</w:t>
      </w:r>
      <w:r w:rsidR="005E3BFA">
        <w:t xml:space="preserve">.  </w:t>
      </w:r>
      <w:r w:rsidR="005E3BFA">
        <w:t>Le</w:t>
      </w:r>
      <w:r>
        <w:t xml:space="preserve"> secrétariat enverra également un rappel</w:t>
      </w:r>
      <w:r w:rsidR="00E352BF">
        <w:t xml:space="preserve"> aux ONG</w:t>
      </w:r>
      <w:r>
        <w:t xml:space="preserve"> qui n</w:t>
      </w:r>
      <w:r w:rsidR="00E352BF">
        <w:t>’</w:t>
      </w:r>
      <w:r>
        <w:t>auront pas répondu au questionnaire à la suite de la première deman</w:t>
      </w:r>
      <w:r w:rsidR="005E3BFA">
        <w:t>de</w:t>
      </w:r>
      <w:r w:rsidR="005E3BFA">
        <w:t xml:space="preserve">.  </w:t>
      </w:r>
      <w:r w:rsidR="005E3BFA">
        <w:t>Le</w:t>
      </w:r>
      <w:r>
        <w:t>s étapes suivantes consisteraient</w:t>
      </w:r>
      <w:r w:rsidR="00E352BF">
        <w:t> :</w:t>
      </w:r>
    </w:p>
    <w:p w14:paraId="57EF222E" w14:textId="742909A5" w:rsidR="00F10663" w:rsidRPr="005E3BFA" w:rsidRDefault="00F10663" w:rsidP="005E3BFA">
      <w:pPr>
        <w:pStyle w:val="ListParagraph"/>
        <w:numPr>
          <w:ilvl w:val="0"/>
          <w:numId w:val="13"/>
        </w:numPr>
        <w:spacing w:after="220"/>
        <w:ind w:left="1701" w:hanging="567"/>
        <w:contextualSpacing w:val="0"/>
      </w:pPr>
      <w:proofErr w:type="gramStart"/>
      <w:r>
        <w:t>à</w:t>
      </w:r>
      <w:proofErr w:type="gramEnd"/>
      <w:r>
        <w:t xml:space="preserve"> actualiser les coordonnées</w:t>
      </w:r>
      <w:r w:rsidR="00E352BF">
        <w:t xml:space="preserve"> des ONG</w:t>
      </w:r>
      <w:r>
        <w:t xml:space="preserve"> admises en qualité d</w:t>
      </w:r>
      <w:r w:rsidR="00E352BF">
        <w:t>’</w:t>
      </w:r>
      <w:r>
        <w:t>observatrices ad</w:t>
      </w:r>
      <w:r w:rsidR="001A5DAB">
        <w:t> </w:t>
      </w:r>
      <w:r>
        <w:t>hoc qui auront confirmé leur souhait de conserver leur statut, et</w:t>
      </w:r>
    </w:p>
    <w:p w14:paraId="58825B2C" w14:textId="0999287F" w:rsidR="00F10663" w:rsidRPr="005E3BFA" w:rsidRDefault="00F10663" w:rsidP="005E3BFA">
      <w:pPr>
        <w:pStyle w:val="ListParagraph"/>
        <w:numPr>
          <w:ilvl w:val="0"/>
          <w:numId w:val="13"/>
        </w:numPr>
        <w:spacing w:after="220"/>
        <w:ind w:left="1701" w:hanging="567"/>
        <w:contextualSpacing w:val="0"/>
        <w:rPr>
          <w:i/>
        </w:rPr>
      </w:pPr>
      <w:proofErr w:type="gramStart"/>
      <w:r>
        <w:t>à</w:t>
      </w:r>
      <w:proofErr w:type="gramEnd"/>
      <w:r>
        <w:t xml:space="preserve"> retirer de la liste</w:t>
      </w:r>
      <w:r w:rsidR="00E352BF">
        <w:t xml:space="preserve"> les ONG</w:t>
      </w:r>
      <w:r>
        <w:t xml:space="preserve"> admises en qualité d</w:t>
      </w:r>
      <w:r w:rsidR="00E352BF">
        <w:t>’</w:t>
      </w:r>
      <w:r>
        <w:t>observatrices qui n</w:t>
      </w:r>
      <w:r w:rsidR="00E352BF">
        <w:t>’</w:t>
      </w:r>
      <w:r>
        <w:t>auront pas confirmé leur souhait de conserver leur statut soit en l</w:t>
      </w:r>
      <w:r w:rsidR="00E352BF">
        <w:t>’</w:t>
      </w:r>
      <w:r>
        <w:t>indiquant expressément soit en ne répondant pas au questionnaire.</w:t>
      </w:r>
    </w:p>
    <w:p w14:paraId="77C5BF75" w14:textId="121801E6" w:rsidR="00E352BF" w:rsidRDefault="00F10663" w:rsidP="005E3BFA">
      <w:pPr>
        <w:pStyle w:val="ListParagraph"/>
        <w:numPr>
          <w:ilvl w:val="0"/>
          <w:numId w:val="12"/>
        </w:numPr>
        <w:spacing w:after="220"/>
        <w:ind w:left="1134" w:hanging="567"/>
        <w:contextualSpacing w:val="0"/>
      </w:pPr>
      <w:proofErr w:type="gramStart"/>
      <w:r>
        <w:t>en</w:t>
      </w:r>
      <w:proofErr w:type="gramEnd"/>
      <w:r>
        <w:t xml:space="preserve"> faisant rapport à l</w:t>
      </w:r>
      <w:r w:rsidR="00E352BF">
        <w:t>’</w:t>
      </w:r>
      <w:r>
        <w:t>IGC à sa quarante</w:t>
      </w:r>
      <w:r w:rsidR="005E3BFA">
        <w:noBreakHyphen/>
      </w:r>
      <w:r>
        <w:t>sept</w:t>
      </w:r>
      <w:r w:rsidR="00E352BF">
        <w:t>ième session</w:t>
      </w:r>
      <w:r>
        <w:t xml:space="preserve"> sur les résultats de la mise à jour, </w:t>
      </w:r>
      <w:r w:rsidR="00E352BF">
        <w:t>à savoir</w:t>
      </w:r>
      <w:r>
        <w:t xml:space="preserve"> les réponses au questionnaire, ainsi que sur toute révision qui serait apportée à la liste des observateurs ad</w:t>
      </w:r>
      <w:r w:rsidR="001A5DAB">
        <w:t> </w:t>
      </w:r>
      <w:r>
        <w:t>hoc.</w:t>
      </w:r>
    </w:p>
    <w:p w14:paraId="26C9AC05" w14:textId="2DABCDED" w:rsidR="00F10663" w:rsidRDefault="00F10663" w:rsidP="005E3BFA">
      <w:pPr>
        <w:pStyle w:val="ListParagraph"/>
        <w:numPr>
          <w:ilvl w:val="0"/>
          <w:numId w:val="12"/>
        </w:numPr>
        <w:spacing w:after="220"/>
        <w:ind w:left="1134" w:hanging="567"/>
        <w:contextualSpacing w:val="0"/>
      </w:pPr>
      <w:r>
        <w:t xml:space="preserve">La procédure définie aux </w:t>
      </w:r>
      <w:r w:rsidR="00E352BF">
        <w:t>points a)</w:t>
      </w:r>
      <w:r>
        <w:t xml:space="preserve"> à c) sera réalisée tous les cinq</w:t>
      </w:r>
      <w:r w:rsidR="001A5DAB">
        <w:t> </w:t>
      </w:r>
      <w:r>
        <w:t>ans, selon qu</w:t>
      </w:r>
      <w:r w:rsidR="00E352BF">
        <w:t>’</w:t>
      </w:r>
      <w:r>
        <w:t>il conviendra.</w:t>
      </w:r>
    </w:p>
    <w:p w14:paraId="1B88F49A" w14:textId="4AC84637" w:rsidR="00F10663" w:rsidRPr="005E3BFA" w:rsidRDefault="00F10663" w:rsidP="005E3BFA">
      <w:pPr>
        <w:pStyle w:val="ONUMFS"/>
        <w:ind w:left="5533"/>
        <w:rPr>
          <w:i/>
        </w:rPr>
      </w:pPr>
      <w:r w:rsidRPr="005E3BFA">
        <w:rPr>
          <w:i/>
        </w:rPr>
        <w:t>L</w:t>
      </w:r>
      <w:r w:rsidR="00E352BF" w:rsidRPr="005E3BFA">
        <w:rPr>
          <w:i/>
        </w:rPr>
        <w:t>’</w:t>
      </w:r>
      <w:r w:rsidRPr="005E3BFA">
        <w:rPr>
          <w:i/>
        </w:rPr>
        <w:t>IGC est invité à prendre note du présent document et à présenter toutes les observations qu</w:t>
      </w:r>
      <w:r w:rsidR="00E352BF" w:rsidRPr="005E3BFA">
        <w:rPr>
          <w:i/>
        </w:rPr>
        <w:t>’</w:t>
      </w:r>
      <w:r w:rsidRPr="005E3BFA">
        <w:rPr>
          <w:i/>
        </w:rPr>
        <w:t>il peut souhaiter formuler au sujet de la procédure envisagée.</w:t>
      </w:r>
    </w:p>
    <w:p w14:paraId="4C4D7F02" w14:textId="77777777" w:rsidR="002928D3" w:rsidRDefault="00AE6473" w:rsidP="005E3BFA">
      <w:pPr>
        <w:pStyle w:val="Endofdocument-Annex"/>
        <w:spacing w:before="720"/>
      </w:pPr>
      <w:r>
        <w:t>[Fin du document]</w:t>
      </w:r>
    </w:p>
    <w:sectPr w:rsidR="002928D3" w:rsidSect="00E352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89D5" w14:textId="77777777" w:rsidR="00AC14FD" w:rsidRDefault="00AC14FD">
      <w:r>
        <w:separator/>
      </w:r>
    </w:p>
  </w:endnote>
  <w:endnote w:type="continuationSeparator" w:id="0">
    <w:p w14:paraId="3F6CBD94" w14:textId="77777777" w:rsidR="00AC14FD" w:rsidRDefault="00AC14FD" w:rsidP="003B38C1">
      <w:r>
        <w:separator/>
      </w:r>
    </w:p>
    <w:p w14:paraId="49B1A18B" w14:textId="77777777" w:rsidR="00AC14FD" w:rsidRPr="00E352BF" w:rsidRDefault="00AC14FD" w:rsidP="003B38C1">
      <w:pPr>
        <w:spacing w:after="60"/>
        <w:rPr>
          <w:sz w:val="17"/>
          <w:lang w:val="en-US"/>
        </w:rPr>
      </w:pPr>
      <w:r w:rsidRPr="00E352BF">
        <w:rPr>
          <w:sz w:val="17"/>
          <w:lang w:val="en-US"/>
        </w:rPr>
        <w:t>[Endnote continued from previous page]</w:t>
      </w:r>
    </w:p>
  </w:endnote>
  <w:endnote w:type="continuationNotice" w:id="1">
    <w:p w14:paraId="1716818D" w14:textId="77777777" w:rsidR="00AC14FD" w:rsidRPr="00E352BF" w:rsidRDefault="00AC14FD" w:rsidP="003B38C1">
      <w:pPr>
        <w:spacing w:before="60"/>
        <w:jc w:val="right"/>
        <w:rPr>
          <w:sz w:val="17"/>
          <w:szCs w:val="17"/>
          <w:lang w:val="en-US"/>
        </w:rPr>
      </w:pPr>
      <w:r w:rsidRPr="00E352B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BEC8" w14:textId="77777777" w:rsidR="00AE1F6C" w:rsidRDefault="00AE1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54DC" w14:textId="77777777" w:rsidR="00AE1F6C" w:rsidRDefault="00AE1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2EE" w14:textId="77777777" w:rsidR="00AE1F6C" w:rsidRDefault="00AE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1E6E" w14:textId="77777777" w:rsidR="00AC14FD" w:rsidRDefault="00AC14FD">
      <w:r>
        <w:separator/>
      </w:r>
    </w:p>
  </w:footnote>
  <w:footnote w:type="continuationSeparator" w:id="0">
    <w:p w14:paraId="42A962E7" w14:textId="77777777" w:rsidR="00AC14FD" w:rsidRDefault="00AC14FD" w:rsidP="008B60B2">
      <w:r>
        <w:separator/>
      </w:r>
    </w:p>
    <w:p w14:paraId="7743FF06" w14:textId="77777777" w:rsidR="00AC14FD" w:rsidRPr="00E352BF" w:rsidRDefault="00AC14FD" w:rsidP="008B60B2">
      <w:pPr>
        <w:spacing w:after="60"/>
        <w:rPr>
          <w:sz w:val="17"/>
          <w:szCs w:val="17"/>
          <w:lang w:val="en-US"/>
        </w:rPr>
      </w:pPr>
      <w:r w:rsidRPr="00E352B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45D4F88" w14:textId="77777777" w:rsidR="00AC14FD" w:rsidRPr="00E352BF" w:rsidRDefault="00AC14FD" w:rsidP="008B60B2">
      <w:pPr>
        <w:spacing w:before="60"/>
        <w:jc w:val="right"/>
        <w:rPr>
          <w:sz w:val="17"/>
          <w:szCs w:val="17"/>
          <w:lang w:val="en-US"/>
        </w:rPr>
      </w:pPr>
      <w:r w:rsidRPr="00E352B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C112" w14:textId="77777777" w:rsidR="00AE1F6C" w:rsidRDefault="00AE1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5869" w14:textId="77777777" w:rsidR="00EC4E49" w:rsidRDefault="00AC14FD" w:rsidP="00477D6B">
    <w:pPr>
      <w:jc w:val="right"/>
    </w:pPr>
    <w:bookmarkStart w:id="6" w:name="Code2"/>
    <w:bookmarkEnd w:id="6"/>
    <w:r>
      <w:t>WIPO/GRTKF/IC/45/2</w:t>
    </w:r>
  </w:p>
  <w:p w14:paraId="145F5D15" w14:textId="08977186" w:rsidR="00B50B99" w:rsidRDefault="00EC4E49" w:rsidP="005E3BFA">
    <w:pPr>
      <w:spacing w:after="480"/>
      <w:jc w:val="right"/>
    </w:pPr>
    <w:r>
      <w:t>page</w:t>
    </w:r>
    <w:r w:rsidR="005E3BF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E3BF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C721" w14:textId="77777777" w:rsidR="00AE1F6C" w:rsidRDefault="00AE1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C054B"/>
    <w:multiLevelType w:val="hybridMultilevel"/>
    <w:tmpl w:val="FE0813D2"/>
    <w:lvl w:ilvl="0" w:tplc="D2E2D9D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559917AD"/>
    <w:multiLevelType w:val="hybridMultilevel"/>
    <w:tmpl w:val="77DEEA7C"/>
    <w:lvl w:ilvl="0" w:tplc="9C90CB64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4A12"/>
    <w:multiLevelType w:val="hybridMultilevel"/>
    <w:tmpl w:val="658C1EFC"/>
    <w:lvl w:ilvl="0" w:tplc="0409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D"/>
    <w:rsid w:val="0001647B"/>
    <w:rsid w:val="00043CAA"/>
    <w:rsid w:val="00075432"/>
    <w:rsid w:val="000968ED"/>
    <w:rsid w:val="000F5E56"/>
    <w:rsid w:val="001024FE"/>
    <w:rsid w:val="001362EE"/>
    <w:rsid w:val="00142868"/>
    <w:rsid w:val="00165EE1"/>
    <w:rsid w:val="001832A6"/>
    <w:rsid w:val="001A5DAB"/>
    <w:rsid w:val="001C6808"/>
    <w:rsid w:val="002121FA"/>
    <w:rsid w:val="002634C4"/>
    <w:rsid w:val="002928D3"/>
    <w:rsid w:val="002D3427"/>
    <w:rsid w:val="002F1FE6"/>
    <w:rsid w:val="002F4E68"/>
    <w:rsid w:val="003011B3"/>
    <w:rsid w:val="00312F7F"/>
    <w:rsid w:val="003228B7"/>
    <w:rsid w:val="003508A3"/>
    <w:rsid w:val="003673CF"/>
    <w:rsid w:val="00375609"/>
    <w:rsid w:val="003845C1"/>
    <w:rsid w:val="00396346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D39C4"/>
    <w:rsid w:val="004E2E6E"/>
    <w:rsid w:val="0053057A"/>
    <w:rsid w:val="00560A29"/>
    <w:rsid w:val="005909D1"/>
    <w:rsid w:val="00594D27"/>
    <w:rsid w:val="005E3BFA"/>
    <w:rsid w:val="00601760"/>
    <w:rsid w:val="00605827"/>
    <w:rsid w:val="00605896"/>
    <w:rsid w:val="00646050"/>
    <w:rsid w:val="006475FF"/>
    <w:rsid w:val="00657795"/>
    <w:rsid w:val="006713CA"/>
    <w:rsid w:val="00676C5C"/>
    <w:rsid w:val="00695558"/>
    <w:rsid w:val="006D5E0F"/>
    <w:rsid w:val="007058FB"/>
    <w:rsid w:val="007935C2"/>
    <w:rsid w:val="007B6A58"/>
    <w:rsid w:val="007B7299"/>
    <w:rsid w:val="007D1613"/>
    <w:rsid w:val="007D605D"/>
    <w:rsid w:val="00873EE5"/>
    <w:rsid w:val="00897B0D"/>
    <w:rsid w:val="008B2CC1"/>
    <w:rsid w:val="008B4B5E"/>
    <w:rsid w:val="008B60B2"/>
    <w:rsid w:val="0090731E"/>
    <w:rsid w:val="00916EE2"/>
    <w:rsid w:val="00953DD1"/>
    <w:rsid w:val="00966A22"/>
    <w:rsid w:val="0096722F"/>
    <w:rsid w:val="00980843"/>
    <w:rsid w:val="009A6DD0"/>
    <w:rsid w:val="009E2791"/>
    <w:rsid w:val="009E3F6F"/>
    <w:rsid w:val="009F3BF9"/>
    <w:rsid w:val="009F499F"/>
    <w:rsid w:val="00A42DAF"/>
    <w:rsid w:val="00A45BD8"/>
    <w:rsid w:val="00A46A0D"/>
    <w:rsid w:val="00A778BF"/>
    <w:rsid w:val="00A85B8E"/>
    <w:rsid w:val="00AB413B"/>
    <w:rsid w:val="00AC14FD"/>
    <w:rsid w:val="00AC205C"/>
    <w:rsid w:val="00AC421E"/>
    <w:rsid w:val="00AE1F6C"/>
    <w:rsid w:val="00AE6473"/>
    <w:rsid w:val="00AF0E73"/>
    <w:rsid w:val="00AF3489"/>
    <w:rsid w:val="00AF5C73"/>
    <w:rsid w:val="00B05A69"/>
    <w:rsid w:val="00B40598"/>
    <w:rsid w:val="00B50B99"/>
    <w:rsid w:val="00B62CD9"/>
    <w:rsid w:val="00B9734B"/>
    <w:rsid w:val="00C11BFE"/>
    <w:rsid w:val="00C94629"/>
    <w:rsid w:val="00CE65D4"/>
    <w:rsid w:val="00D45252"/>
    <w:rsid w:val="00D7151D"/>
    <w:rsid w:val="00D71B4D"/>
    <w:rsid w:val="00D93D55"/>
    <w:rsid w:val="00DB41BB"/>
    <w:rsid w:val="00E161A2"/>
    <w:rsid w:val="00E335FE"/>
    <w:rsid w:val="00E352BF"/>
    <w:rsid w:val="00E5021F"/>
    <w:rsid w:val="00E671A6"/>
    <w:rsid w:val="00E72EAB"/>
    <w:rsid w:val="00EC4E49"/>
    <w:rsid w:val="00ED77FB"/>
    <w:rsid w:val="00EF0DE3"/>
    <w:rsid w:val="00F021A6"/>
    <w:rsid w:val="00F10663"/>
    <w:rsid w:val="00F11D94"/>
    <w:rsid w:val="00F61A95"/>
    <w:rsid w:val="00F66152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EAB7F2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E3BFA"/>
    <w:pPr>
      <w:keepNext/>
      <w:spacing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fr-FR" w:eastAsia="zh-CN"/>
    </w:rPr>
  </w:style>
  <w:style w:type="character" w:styleId="FootnoteReference">
    <w:name w:val="footnote reference"/>
    <w:basedOn w:val="DefaultParagraphFont"/>
    <w:rsid w:val="00F106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0663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AB41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2E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058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89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5896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05896"/>
    <w:rPr>
      <w:rFonts w:ascii="Arial" w:eastAsia="SimSun" w:hAnsi="Arial" w:cs="Arial"/>
      <w:b/>
      <w:bCs/>
      <w:sz w:val="18"/>
      <w:lang w:val="fr-FR" w:eastAsia="zh-CN"/>
    </w:rPr>
  </w:style>
  <w:style w:type="paragraph" w:styleId="BalloonText">
    <w:name w:val="Balloon Text"/>
    <w:basedOn w:val="Normal"/>
    <w:link w:val="BalloonTextChar"/>
    <w:semiHidden/>
    <w:unhideWhenUsed/>
    <w:rsid w:val="00605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896"/>
    <w:rPr>
      <w:rFonts w:ascii="Segoe UI" w:eastAsia="SimSu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k/en/igc/docs/igc_observer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A2F1-678F-4A7D-8FBC-19E76775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(E).dotm</Template>
  <TotalTime>13</TotalTime>
  <Pages>3</Pages>
  <Words>733</Words>
  <Characters>4196</Characters>
  <Application>Microsoft Office Word</Application>
  <DocSecurity>0</DocSecurity>
  <Lines>220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BERNARD Nadège</cp:lastModifiedBy>
  <cp:revision>11</cp:revision>
  <cp:lastPrinted>2011-02-15T11:56:00Z</cp:lastPrinted>
  <dcterms:created xsi:type="dcterms:W3CDTF">2022-11-17T12:52:00Z</dcterms:created>
  <dcterms:modified xsi:type="dcterms:W3CDTF">2022-11-22T10:58:00Z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f3b29c87-6f41-484c-95b0-8b11b42681f0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