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DCD" w:rsidRPr="008B2CC1" w:rsidRDefault="00D71DCD" w:rsidP="00D71DCD">
      <w:pPr>
        <w:spacing w:after="120"/>
        <w:jc w:val="right"/>
      </w:pPr>
      <w:r>
        <w:rPr>
          <w:noProof/>
          <w:lang w:val="en-US" w:eastAsia="en-US"/>
        </w:rPr>
        <w:drawing>
          <wp:inline distT="0" distB="0" distL="0" distR="0" wp14:anchorId="1A29841C" wp14:editId="45BDD65A">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1ED50CAB" wp14:editId="6E53CB0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89602F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D71DCD" w:rsidRPr="0005368B" w:rsidRDefault="00D71DCD" w:rsidP="00D71DCD">
      <w:pPr>
        <w:jc w:val="right"/>
        <w:rPr>
          <w:rFonts w:ascii="Arial Black" w:hAnsi="Arial Black"/>
          <w:caps/>
          <w:sz w:val="15"/>
          <w:szCs w:val="15"/>
        </w:rPr>
      </w:pPr>
      <w:r>
        <w:rPr>
          <w:rFonts w:ascii="Arial Black" w:hAnsi="Arial Black"/>
          <w:caps/>
          <w:sz w:val="15"/>
          <w:szCs w:val="15"/>
        </w:rPr>
        <w:t>WIPO/GRTKF/IC/44</w:t>
      </w:r>
      <w:r w:rsidRPr="0005368B">
        <w:rPr>
          <w:rFonts w:ascii="Arial Black" w:hAnsi="Arial Black"/>
          <w:caps/>
          <w:sz w:val="15"/>
          <w:szCs w:val="15"/>
        </w:rPr>
        <w:t>/INF/7</w:t>
      </w:r>
    </w:p>
    <w:p w:rsidR="00D71DCD" w:rsidRPr="0005368B" w:rsidRDefault="00D71DCD" w:rsidP="00D71DCD">
      <w:pPr>
        <w:jc w:val="right"/>
        <w:rPr>
          <w:rFonts w:ascii="Arial Black" w:hAnsi="Arial Black"/>
          <w:caps/>
          <w:sz w:val="15"/>
          <w:szCs w:val="15"/>
        </w:rPr>
      </w:pPr>
      <w:r w:rsidRPr="0005368B">
        <w:rPr>
          <w:rFonts w:ascii="Arial Black" w:hAnsi="Arial Black"/>
          <w:caps/>
          <w:sz w:val="15"/>
          <w:szCs w:val="15"/>
        </w:rPr>
        <w:t>Original</w:t>
      </w:r>
      <w:r w:rsidR="00D91476">
        <w:rPr>
          <w:rFonts w:ascii="Arial Black" w:hAnsi="Arial Black"/>
          <w:caps/>
          <w:sz w:val="15"/>
          <w:szCs w:val="15"/>
        </w:rPr>
        <w:t> :</w:t>
      </w:r>
      <w:r w:rsidRPr="0005368B">
        <w:rPr>
          <w:rFonts w:ascii="Arial Black" w:hAnsi="Arial Black"/>
          <w:caps/>
          <w:sz w:val="15"/>
          <w:szCs w:val="15"/>
        </w:rPr>
        <w:t xml:space="preserve"> anglais</w:t>
      </w:r>
    </w:p>
    <w:p w:rsidR="00D71DCD" w:rsidRPr="0005368B" w:rsidRDefault="00D71DCD" w:rsidP="00D71DCD">
      <w:pPr>
        <w:spacing w:after="1200"/>
        <w:jc w:val="right"/>
        <w:rPr>
          <w:rFonts w:ascii="Arial Black" w:hAnsi="Arial Black"/>
          <w:caps/>
          <w:sz w:val="15"/>
          <w:szCs w:val="15"/>
        </w:rPr>
      </w:pPr>
      <w:r w:rsidRPr="0005368B">
        <w:rPr>
          <w:rFonts w:ascii="Arial Black" w:hAnsi="Arial Black"/>
          <w:caps/>
          <w:sz w:val="15"/>
          <w:szCs w:val="15"/>
        </w:rPr>
        <w:t>date</w:t>
      </w:r>
      <w:r w:rsidR="00D91476">
        <w:rPr>
          <w:rFonts w:ascii="Arial Black" w:hAnsi="Arial Black"/>
          <w:caps/>
          <w:sz w:val="15"/>
          <w:szCs w:val="15"/>
        </w:rPr>
        <w:t> :</w:t>
      </w:r>
      <w:r w:rsidRPr="0005368B">
        <w:rPr>
          <w:rFonts w:ascii="Arial Black" w:hAnsi="Arial Black"/>
          <w:caps/>
          <w:sz w:val="15"/>
          <w:szCs w:val="15"/>
        </w:rPr>
        <w:t xml:space="preserve"> 2</w:t>
      </w:r>
      <w:r w:rsidR="00A60A7C">
        <w:rPr>
          <w:rFonts w:ascii="Arial Black" w:hAnsi="Arial Black"/>
          <w:caps/>
          <w:sz w:val="15"/>
          <w:szCs w:val="15"/>
        </w:rPr>
        <w:t>6</w:t>
      </w:r>
      <w:r w:rsidR="00D91476">
        <w:rPr>
          <w:rFonts w:ascii="Arial Black" w:hAnsi="Arial Black"/>
          <w:caps/>
          <w:sz w:val="15"/>
          <w:szCs w:val="15"/>
        </w:rPr>
        <w:t> </w:t>
      </w:r>
      <w:r w:rsidR="00D91476" w:rsidRPr="0005368B">
        <w:rPr>
          <w:rFonts w:ascii="Arial Black" w:hAnsi="Arial Black"/>
          <w:caps/>
          <w:sz w:val="15"/>
          <w:szCs w:val="15"/>
        </w:rPr>
        <w:t>juillet</w:t>
      </w:r>
      <w:r w:rsidR="00D91476">
        <w:rPr>
          <w:rFonts w:ascii="Arial Black" w:hAnsi="Arial Black"/>
          <w:caps/>
          <w:sz w:val="15"/>
          <w:szCs w:val="15"/>
        </w:rPr>
        <w:t> </w:t>
      </w:r>
      <w:r w:rsidR="00D91476" w:rsidRPr="0005368B">
        <w:rPr>
          <w:rFonts w:ascii="Arial Black" w:hAnsi="Arial Black"/>
          <w:caps/>
          <w:sz w:val="15"/>
          <w:szCs w:val="15"/>
        </w:rPr>
        <w:t>20</w:t>
      </w:r>
      <w:r w:rsidRPr="0005368B">
        <w:rPr>
          <w:rFonts w:ascii="Arial Black" w:hAnsi="Arial Black"/>
          <w:caps/>
          <w:sz w:val="15"/>
          <w:szCs w:val="15"/>
        </w:rPr>
        <w:t>22</w:t>
      </w:r>
    </w:p>
    <w:p w:rsidR="00D71DCD" w:rsidRPr="00DB0349" w:rsidRDefault="00D71DCD" w:rsidP="00D71DCD">
      <w:pPr>
        <w:spacing w:after="720"/>
        <w:rPr>
          <w:b/>
          <w:sz w:val="28"/>
          <w:szCs w:val="28"/>
        </w:rPr>
      </w:pPr>
      <w:r w:rsidRPr="008E4813">
        <w:rPr>
          <w:b/>
          <w:sz w:val="28"/>
          <w:szCs w:val="28"/>
        </w:rPr>
        <w:t>Comité intergouvernemental de la propriété intellectuelle relative aux ressources génétiques, aux savoirs traditionnels et au folklore</w:t>
      </w:r>
    </w:p>
    <w:p w:rsidR="00D71DCD" w:rsidRPr="003845C1" w:rsidRDefault="00D71DCD" w:rsidP="00D71DCD">
      <w:pPr>
        <w:rPr>
          <w:b/>
          <w:sz w:val="24"/>
          <w:szCs w:val="24"/>
        </w:rPr>
      </w:pPr>
      <w:r>
        <w:rPr>
          <w:b/>
          <w:sz w:val="24"/>
          <w:szCs w:val="24"/>
        </w:rPr>
        <w:t>Quarante</w:t>
      </w:r>
      <w:r w:rsidR="00400337">
        <w:rPr>
          <w:b/>
          <w:sz w:val="24"/>
          <w:szCs w:val="24"/>
        </w:rPr>
        <w:noBreakHyphen/>
      </w:r>
      <w:r>
        <w:rPr>
          <w:b/>
          <w:sz w:val="24"/>
          <w:szCs w:val="24"/>
        </w:rPr>
        <w:t>quatr</w:t>
      </w:r>
      <w:r w:rsidR="00D91476">
        <w:rPr>
          <w:b/>
          <w:sz w:val="24"/>
          <w:szCs w:val="24"/>
        </w:rPr>
        <w:t>ième session</w:t>
      </w:r>
    </w:p>
    <w:p w:rsidR="00D71DCD" w:rsidRPr="003845C1" w:rsidRDefault="00D71DCD" w:rsidP="00D71DCD">
      <w:pPr>
        <w:spacing w:after="720"/>
        <w:rPr>
          <w:b/>
          <w:sz w:val="24"/>
          <w:szCs w:val="24"/>
        </w:rPr>
      </w:pPr>
      <w:r w:rsidRPr="008E4813">
        <w:rPr>
          <w:b/>
          <w:sz w:val="24"/>
          <w:szCs w:val="24"/>
        </w:rPr>
        <w:t xml:space="preserve">Genève, </w:t>
      </w:r>
      <w:r>
        <w:rPr>
          <w:b/>
          <w:sz w:val="24"/>
          <w:szCs w:val="24"/>
        </w:rPr>
        <w:t>12</w:t>
      </w:r>
      <w:r w:rsidRPr="008E4813">
        <w:rPr>
          <w:b/>
          <w:sz w:val="24"/>
          <w:szCs w:val="24"/>
        </w:rPr>
        <w:t xml:space="preserve"> – </w:t>
      </w:r>
      <w:r>
        <w:rPr>
          <w:b/>
          <w:sz w:val="24"/>
          <w:szCs w:val="24"/>
        </w:rPr>
        <w:t>16 septembre </w:t>
      </w:r>
      <w:r w:rsidRPr="008E4813">
        <w:rPr>
          <w:b/>
          <w:sz w:val="24"/>
          <w:szCs w:val="24"/>
        </w:rPr>
        <w:t>2022</w:t>
      </w:r>
    </w:p>
    <w:p w:rsidR="00D71DCD" w:rsidRPr="00842A13" w:rsidRDefault="00D71DCD" w:rsidP="00D71DCD">
      <w:pPr>
        <w:spacing w:after="360"/>
        <w:rPr>
          <w:caps/>
          <w:sz w:val="24"/>
        </w:rPr>
      </w:pPr>
      <w:r>
        <w:rPr>
          <w:caps/>
          <w:sz w:val="24"/>
        </w:rPr>
        <w:t>Glossaire des principaux termes relatifs à la propriété intellectuelle et aux ressources génétiques, aux savoirs traditionnels et aux expressions culturelles traditionnelles</w:t>
      </w:r>
    </w:p>
    <w:p w:rsidR="00D71DCD" w:rsidRPr="00842A13" w:rsidRDefault="00D71DCD" w:rsidP="00D71DCD">
      <w:pPr>
        <w:spacing w:after="960"/>
      </w:pPr>
      <w:r>
        <w:rPr>
          <w:i/>
        </w:rPr>
        <w:t>Document établi par le Secrétariat</w:t>
      </w:r>
    </w:p>
    <w:p w:rsidR="00D05100" w:rsidRPr="00D71DCD" w:rsidRDefault="0051068B" w:rsidP="00D71DCD">
      <w:pPr>
        <w:pStyle w:val="Heading1"/>
        <w:spacing w:after="220"/>
      </w:pPr>
      <w:r w:rsidRPr="00D71DCD">
        <w:t>Introduction</w:t>
      </w:r>
    </w:p>
    <w:p w:rsidR="00D05100" w:rsidRPr="00E8642C" w:rsidRDefault="00AF32FD" w:rsidP="00EF6794">
      <w:pPr>
        <w:pStyle w:val="ONUMFS"/>
      </w:pPr>
      <w:bookmarkStart w:id="0" w:name="Code"/>
      <w:bookmarkStart w:id="1" w:name="Original"/>
      <w:bookmarkStart w:id="2" w:name="Date"/>
      <w:bookmarkStart w:id="3" w:name="TitleOfDoc"/>
      <w:bookmarkStart w:id="4" w:name="Prepared"/>
      <w:bookmarkEnd w:id="0"/>
      <w:bookmarkEnd w:id="1"/>
      <w:bookmarkEnd w:id="2"/>
      <w:bookmarkEnd w:id="3"/>
      <w:bookmarkEnd w:id="4"/>
      <w:r w:rsidRPr="00E8642C">
        <w:t>À ses seizième et dix</w:t>
      </w:r>
      <w:r w:rsidR="00400337">
        <w:noBreakHyphen/>
      </w:r>
      <w:r w:rsidRPr="00E8642C">
        <w:t>sept</w:t>
      </w:r>
      <w:r w:rsidR="00D91476">
        <w:t>ième session</w:t>
      </w:r>
      <w:r w:rsidRPr="00E8642C">
        <w:t>s, tenues du 3 au 7 mai 2010 et du 6 au 10 décembre 2010 respectivement, le Comité intergouvernemental de la propriété intellectuelle relative aux ressources génétiques, aux savoirs traditionnels et au folklore (ci</w:t>
      </w:r>
      <w:r w:rsidR="00400337">
        <w:noBreakHyphen/>
      </w:r>
      <w:r w:rsidRPr="00E8642C">
        <w:t>après dénommé “IGC”) a demandé au Secrétariat d</w:t>
      </w:r>
      <w:r w:rsidR="00D91476">
        <w:t>’</w:t>
      </w:r>
      <w:r w:rsidRPr="00E8642C">
        <w:t xml:space="preserve">élaborer, en tant que </w:t>
      </w:r>
      <w:r w:rsidRPr="00E8642C">
        <w:rPr>
          <w:lang w:eastAsia="en-US" w:bidi="th-TH"/>
        </w:rPr>
        <w:t>documents d</w:t>
      </w:r>
      <w:r w:rsidR="00D91476">
        <w:rPr>
          <w:lang w:eastAsia="en-US" w:bidi="th-TH"/>
        </w:rPr>
        <w:t>’</w:t>
      </w:r>
      <w:r w:rsidRPr="00E8642C">
        <w:rPr>
          <w:lang w:eastAsia="en-US" w:bidi="th-TH"/>
        </w:rPr>
        <w:t xml:space="preserve">information, trois glossaires des principaux termes relatifs à la </w:t>
      </w:r>
      <w:r w:rsidRPr="00E8642C">
        <w:t xml:space="preserve">propriété intellectuelle et aux ressources génétiques, aux savoirs traditionnels </w:t>
      </w:r>
      <w:r w:rsidRPr="00E8642C">
        <w:rPr>
          <w:lang w:eastAsia="en-US" w:bidi="th-TH"/>
        </w:rPr>
        <w:t xml:space="preserve">et aux expressions culturelles </w:t>
      </w:r>
      <w:r w:rsidRPr="00E8642C">
        <w:t>traditionnelles</w:t>
      </w:r>
      <w:r w:rsidRPr="00E8642C">
        <w:rPr>
          <w:rStyle w:val="FootnoteReference"/>
          <w:szCs w:val="22"/>
        </w:rPr>
        <w:footnoteReference w:id="2"/>
      </w:r>
      <w:r w:rsidRPr="00E8642C">
        <w:t xml:space="preserve"> et de les mettre à la disposition de l</w:t>
      </w:r>
      <w:r w:rsidR="00D91476">
        <w:t>’</w:t>
      </w:r>
      <w:r w:rsidRPr="00E8642C">
        <w:t>IGC.</w:t>
      </w:r>
    </w:p>
    <w:p w:rsidR="00D05100" w:rsidRPr="00E8642C" w:rsidRDefault="007019FF" w:rsidP="00EF6794">
      <w:pPr>
        <w:pStyle w:val="ONUMFS"/>
        <w:rPr>
          <w:szCs w:val="22"/>
          <w:lang w:eastAsia="en-US"/>
        </w:rPr>
      </w:pPr>
      <w:r w:rsidRPr="00E8642C">
        <w:t>À sa dix</w:t>
      </w:r>
      <w:r w:rsidR="00400337">
        <w:noBreakHyphen/>
      </w:r>
      <w:r w:rsidRPr="00E8642C">
        <w:t>neuv</w:t>
      </w:r>
      <w:r w:rsidR="00D91476">
        <w:t>ième session</w:t>
      </w:r>
      <w:r w:rsidR="00C72D25" w:rsidRPr="00E8642C">
        <w:t>,</w:t>
      </w:r>
      <w:r w:rsidRPr="00E8642C">
        <w:t xml:space="preserve"> tenue du 18 au 22 juillet </w:t>
      </w:r>
      <w:r w:rsidR="00C72D25" w:rsidRPr="00E8642C">
        <w:t>2011, l</w:t>
      </w:r>
      <w:r w:rsidR="00D91476">
        <w:t>’</w:t>
      </w:r>
      <w:r w:rsidR="00C72D25" w:rsidRPr="00E8642C">
        <w:t xml:space="preserve">IGC a invité le Secrétariat à mettre à jour les glossaires disponibles dans les </w:t>
      </w:r>
      <w:r w:rsidR="004D2AA1" w:rsidRPr="00E8642C">
        <w:t>documents</w:t>
      </w:r>
      <w:r w:rsidR="004D2AA1">
        <w:t xml:space="preserve"> </w:t>
      </w:r>
      <w:r w:rsidR="004D2AA1" w:rsidRPr="00E8642C">
        <w:t>WI</w:t>
      </w:r>
      <w:r w:rsidR="00C72D25" w:rsidRPr="00E8642C">
        <w:t>PO/GRTKF/IC/19/INF/7 (intitulé “Glossaire des principaux termes relatifs à la propriété intellectuelle et aux expressions culturelles traditionnelles</w:t>
      </w:r>
      <w:r w:rsidR="00F41777" w:rsidRPr="00E8642C">
        <w:t>”)</w:t>
      </w:r>
      <w:r w:rsidR="00C72D25" w:rsidRPr="00E8642C">
        <w:rPr>
          <w:szCs w:val="22"/>
          <w:lang w:eastAsia="en-US"/>
        </w:rPr>
        <w:t>, WIPO/GRTKF/IC/19/INF/8 (intitulé “Glossaire des principaux termes relatifs à la propriété intellectuelle et aux savoirs traditionnels”)</w:t>
      </w:r>
      <w:r w:rsidRPr="00E8642C">
        <w:rPr>
          <w:szCs w:val="22"/>
          <w:lang w:eastAsia="en-US"/>
        </w:rPr>
        <w:t xml:space="preserve"> et </w:t>
      </w:r>
      <w:r w:rsidR="00C72D25" w:rsidRPr="00E8642C">
        <w:rPr>
          <w:szCs w:val="22"/>
          <w:lang w:eastAsia="en-US"/>
        </w:rPr>
        <w:t xml:space="preserve">WIPO/GRTKF/IC/19/INF/9 </w:t>
      </w:r>
      <w:r w:rsidR="00C72D25" w:rsidRPr="00E8642C">
        <w:rPr>
          <w:szCs w:val="22"/>
          <w:lang w:eastAsia="en-US"/>
        </w:rPr>
        <w:lastRenderedPageBreak/>
        <w:t>(intitulé “Glossaire des principaux termes relatifs à la propriété intellectuelle et aux ressources génétiques”), à les regrouper dans un seul document et à publi</w:t>
      </w:r>
      <w:r w:rsidRPr="00E8642C">
        <w:rPr>
          <w:szCs w:val="22"/>
          <w:lang w:eastAsia="en-US"/>
        </w:rPr>
        <w:t>er ce glossaire sous la forme d</w:t>
      </w:r>
      <w:r w:rsidR="00D91476">
        <w:rPr>
          <w:szCs w:val="22"/>
          <w:lang w:eastAsia="en-US"/>
        </w:rPr>
        <w:t>’</w:t>
      </w:r>
      <w:r w:rsidRPr="00E8642C">
        <w:rPr>
          <w:szCs w:val="22"/>
          <w:lang w:eastAsia="en-US"/>
        </w:rPr>
        <w:t>un document d</w:t>
      </w:r>
      <w:r w:rsidR="00D91476">
        <w:rPr>
          <w:szCs w:val="22"/>
          <w:lang w:eastAsia="en-US"/>
        </w:rPr>
        <w:t>’</w:t>
      </w:r>
      <w:r w:rsidR="00C72D25" w:rsidRPr="00E8642C">
        <w:rPr>
          <w:szCs w:val="22"/>
          <w:lang w:eastAsia="en-US"/>
        </w:rPr>
        <w:t>information à la prochaine session du comité</w:t>
      </w:r>
      <w:r w:rsidR="0047417E" w:rsidRPr="00E8642C">
        <w:rPr>
          <w:szCs w:val="22"/>
          <w:lang w:eastAsia="en-US"/>
        </w:rPr>
        <w:t>)</w:t>
      </w:r>
      <w:r w:rsidR="0047417E" w:rsidRPr="00E8642C">
        <w:rPr>
          <w:rStyle w:val="FootnoteReference"/>
          <w:szCs w:val="22"/>
          <w:lang w:eastAsia="en-US"/>
        </w:rPr>
        <w:footnoteReference w:id="3"/>
      </w:r>
      <w:r w:rsidR="0047417E" w:rsidRPr="00E8642C">
        <w:rPr>
          <w:szCs w:val="22"/>
          <w:lang w:eastAsia="en-US"/>
        </w:rPr>
        <w:t>.</w:t>
      </w:r>
    </w:p>
    <w:p w:rsidR="00D05100" w:rsidRPr="00E8642C" w:rsidRDefault="001E0485" w:rsidP="00EF6794">
      <w:pPr>
        <w:pStyle w:val="ONUMFS"/>
        <w:rPr>
          <w:lang w:eastAsia="en-US"/>
        </w:rPr>
      </w:pPr>
      <w:r w:rsidRPr="00E8642C">
        <w:t>À la suite de cette décision, et co</w:t>
      </w:r>
      <w:r w:rsidR="00AF32FD" w:rsidRPr="00E8642C">
        <w:t>mpte tenu du fait que certains termes contenus dans ces glossaires se rapport</w:t>
      </w:r>
      <w:r w:rsidR="00FC3D53" w:rsidRPr="00E8642C">
        <w:t>ai</w:t>
      </w:r>
      <w:r w:rsidR="00AF32FD" w:rsidRPr="00E8642C">
        <w:t xml:space="preserve">ent aux trois thèmes, le Secrétariat a regroupé les trois glossaires en un seul </w:t>
      </w:r>
      <w:r w:rsidRPr="00E8642C">
        <w:t>et a mis à jour certaines des définitions qui y figuraie</w:t>
      </w:r>
      <w:r w:rsidR="001F3AEE" w:rsidRPr="00E8642C">
        <w:t>nt</w:t>
      </w:r>
      <w:r w:rsidR="001F3AEE">
        <w:t xml:space="preserve">.  </w:t>
      </w:r>
      <w:r w:rsidR="001F3AEE" w:rsidRPr="00E8642C">
        <w:rPr>
          <w:lang w:eastAsia="en-US"/>
        </w:rPr>
        <w:t>Le</w:t>
      </w:r>
      <w:r w:rsidRPr="00E8642C">
        <w:rPr>
          <w:lang w:eastAsia="en-US"/>
        </w:rPr>
        <w:t xml:space="preserve"> </w:t>
      </w:r>
      <w:r w:rsidRPr="00E8642C">
        <w:t xml:space="preserve">glossaire unifié </w:t>
      </w:r>
      <w:r w:rsidR="00AF32FD" w:rsidRPr="00E8642C">
        <w:t xml:space="preserve">a </w:t>
      </w:r>
      <w:r w:rsidRPr="00E8642C">
        <w:t xml:space="preserve">été mis à disposition </w:t>
      </w:r>
      <w:r w:rsidR="00FC3D53" w:rsidRPr="00E8642C">
        <w:t>en tant que document d</w:t>
      </w:r>
      <w:r w:rsidR="00D91476">
        <w:t>’</w:t>
      </w:r>
      <w:r w:rsidR="00FC3D53" w:rsidRPr="00E8642C">
        <w:t>information aux</w:t>
      </w:r>
      <w:r w:rsidRPr="00E8642C">
        <w:t xml:space="preserve"> précédentes</w:t>
      </w:r>
      <w:r w:rsidR="00FC3D53" w:rsidRPr="00E8642C">
        <w:t xml:space="preserve"> sessions de l</w:t>
      </w:r>
      <w:r w:rsidR="00D91476">
        <w:t>’</w:t>
      </w:r>
      <w:r w:rsidR="001F3AEE" w:rsidRPr="00E8642C">
        <w:t>IGC</w:t>
      </w:r>
      <w:r w:rsidR="001F3AEE">
        <w:t>.  Il</w:t>
      </w:r>
      <w:r w:rsidR="00AF32FD" w:rsidRPr="00E8642C">
        <w:t xml:space="preserve"> fait l</w:t>
      </w:r>
      <w:r w:rsidR="00D91476">
        <w:t>’</w:t>
      </w:r>
      <w:r w:rsidR="00AF32FD" w:rsidRPr="00E8642C">
        <w:t>objet de l</w:t>
      </w:r>
      <w:r w:rsidR="00D91476">
        <w:t>’</w:t>
      </w:r>
      <w:r w:rsidR="00AF32FD" w:rsidRPr="00E8642C">
        <w:t>annexe du présent docume</w:t>
      </w:r>
      <w:r w:rsidR="001F3AEE" w:rsidRPr="00E8642C">
        <w:t>nt</w:t>
      </w:r>
      <w:r w:rsidR="001F3AEE">
        <w:t>.  Un</w:t>
      </w:r>
      <w:r w:rsidR="00750750">
        <w:t xml:space="preserve"> index est inclus pour plus de commodité.</w:t>
      </w:r>
    </w:p>
    <w:p w:rsidR="00D05100" w:rsidRPr="00E8642C" w:rsidRDefault="00AF32FD" w:rsidP="00EF6794">
      <w:pPr>
        <w:pStyle w:val="ONUMFS"/>
      </w:pPr>
      <w:r w:rsidRPr="00E8642C">
        <w:t>Le glossaire s</w:t>
      </w:r>
      <w:r w:rsidR="00D91476">
        <w:t>’</w:t>
      </w:r>
      <w:r w:rsidRPr="00E8642C">
        <w:t>inspire autant que possible des précédents glossaires établis par l</w:t>
      </w:r>
      <w:r w:rsidR="00D91476">
        <w:t>’</w:t>
      </w:r>
      <w:r w:rsidRPr="00E8642C">
        <w:t xml:space="preserve">IGC et des instruments existants des </w:t>
      </w:r>
      <w:r w:rsidR="00D91476">
        <w:t>Nations Unies</w:t>
      </w:r>
      <w:r w:rsidRPr="00E8642C">
        <w:t xml:space="preserve"> et d</w:t>
      </w:r>
      <w:r w:rsidR="00D91476">
        <w:t>’</w:t>
      </w:r>
      <w:r w:rsidRPr="00E8642C">
        <w:t>autres instruments internationa</w:t>
      </w:r>
      <w:r w:rsidR="001F3AEE" w:rsidRPr="00E8642C">
        <w:t>ux</w:t>
      </w:r>
      <w:r w:rsidR="001F3AEE">
        <w:t xml:space="preserve">.  </w:t>
      </w:r>
      <w:r w:rsidR="001F3AEE" w:rsidRPr="00E8642C">
        <w:t>Il</w:t>
      </w:r>
      <w:r w:rsidRPr="00E8642C">
        <w:t xml:space="preserve"> tient également compte des définitions et des glossaires que l</w:t>
      </w:r>
      <w:r w:rsidR="00D91476">
        <w:t>’</w:t>
      </w:r>
      <w:r w:rsidRPr="00E8642C">
        <w:t>on peut trouver dans les lois et projets de lois nationales et régionales, les instruments multilatéraux, dans les autres organisations et processus ainsi que dans les dictionnair</w:t>
      </w:r>
      <w:r w:rsidR="001F3AEE" w:rsidRPr="00E8642C">
        <w:t>es</w:t>
      </w:r>
      <w:r w:rsidR="001F3AEE">
        <w:t xml:space="preserve">.  </w:t>
      </w:r>
      <w:r w:rsidR="001F3AEE" w:rsidRPr="00E8642C">
        <w:t>Pa</w:t>
      </w:r>
      <w:r w:rsidRPr="00E8642C">
        <w:t>r ailleurs, les définitions sont fondées sur les documents de travail de l</w:t>
      </w:r>
      <w:r w:rsidR="00D91476">
        <w:t>’</w:t>
      </w:r>
      <w:r w:rsidRPr="00E8642C">
        <w:t>IGC, sur d</w:t>
      </w:r>
      <w:r w:rsidR="00D91476">
        <w:t>’</w:t>
      </w:r>
      <w:r w:rsidRPr="00E8642C">
        <w:t>autres documents de l</w:t>
      </w:r>
      <w:r w:rsidR="00D91476">
        <w:t>’</w:t>
      </w:r>
      <w:r w:rsidRPr="00E8642C">
        <w:t>OMPI et sur les documents établis au titre d</w:t>
      </w:r>
      <w:r w:rsidR="00D91476">
        <w:t>’</w:t>
      </w:r>
      <w:r w:rsidRPr="00E8642C">
        <w:t>autres programmes de travail de l</w:t>
      </w:r>
      <w:r w:rsidR="00D91476">
        <w:t>’</w:t>
      </w:r>
      <w:r w:rsidRPr="00E8642C">
        <w:t>O</w:t>
      </w:r>
      <w:r w:rsidR="001F3AEE" w:rsidRPr="00E8642C">
        <w:t>MPI</w:t>
      </w:r>
      <w:r w:rsidR="001F3AEE">
        <w:t xml:space="preserve">.  </w:t>
      </w:r>
      <w:r w:rsidR="001F3AEE" w:rsidRPr="00E8642C">
        <w:t>Ce</w:t>
      </w:r>
      <w:r w:rsidRPr="00E8642C">
        <w:t>la étant, les définitions proposées ne sont pas exhaustiv</w:t>
      </w:r>
      <w:r w:rsidR="001F3AEE" w:rsidRPr="00E8642C">
        <w:t>es</w:t>
      </w:r>
      <w:r w:rsidR="001F3AEE">
        <w:t xml:space="preserve">.  </w:t>
      </w:r>
      <w:r w:rsidR="001F3AEE" w:rsidRPr="00E8642C">
        <w:t>D</w:t>
      </w:r>
      <w:r w:rsidR="001F3AEE">
        <w:t>’</w:t>
      </w:r>
      <w:r w:rsidR="001F3AEE" w:rsidRPr="00E8642C">
        <w:t>a</w:t>
      </w:r>
      <w:r w:rsidRPr="00E8642C">
        <w:t>utres termes peuvent aussi se rapporter à la propriété intellectuelle et aux ressources génétiques, aux savoirs traditionnels et aux expressions culturelles traditionnelles, et les termes retenus peuvent également être définis d</w:t>
      </w:r>
      <w:r w:rsidR="00D91476">
        <w:t>’</w:t>
      </w:r>
      <w:r w:rsidRPr="00E8642C">
        <w:t>autres manières.</w:t>
      </w:r>
    </w:p>
    <w:p w:rsidR="00D05100" w:rsidRPr="00E8642C" w:rsidRDefault="00AF32FD" w:rsidP="00EF6794">
      <w:pPr>
        <w:pStyle w:val="ONUMFS"/>
      </w:pPr>
      <w:r w:rsidRPr="00E8642C">
        <w:t xml:space="preserve">Les termes retenus dans ce glossaire sont ceux qui sont le plus fréquemment utilisés dans les projets </w:t>
      </w:r>
      <w:r w:rsidR="00BE7E0E" w:rsidRPr="00E8642C">
        <w:t>de textes de l</w:t>
      </w:r>
      <w:r w:rsidR="00D91476">
        <w:t>’</w:t>
      </w:r>
      <w:r w:rsidR="00BE7E0E" w:rsidRPr="00E8642C">
        <w:t>IGC</w:t>
      </w:r>
      <w:r w:rsidRPr="00E8642C">
        <w:t xml:space="preserve"> et d</w:t>
      </w:r>
      <w:r w:rsidR="00D91476">
        <w:t>’</w:t>
      </w:r>
      <w:r w:rsidRPr="00E8642C">
        <w:t>autres documents connex</w:t>
      </w:r>
      <w:r w:rsidR="001F3AEE" w:rsidRPr="00E8642C">
        <w:t>es</w:t>
      </w:r>
      <w:r w:rsidR="001F3AEE">
        <w:t xml:space="preserve">.  </w:t>
      </w:r>
      <w:r w:rsidR="001F3AEE" w:rsidRPr="00E8642C">
        <w:t>Le</w:t>
      </w:r>
      <w:r w:rsidRPr="00E8642C">
        <w:t xml:space="preserve"> choix et la définition des termes indiqués dans l</w:t>
      </w:r>
      <w:r w:rsidR="00D91476">
        <w:t>’</w:t>
      </w:r>
      <w:r w:rsidRPr="00E8642C">
        <w:t>annexe sont sans préjudice de tout autre glossaire ou définition figurant dans de précédents documents de l</w:t>
      </w:r>
      <w:r w:rsidR="00D91476">
        <w:t>’</w:t>
      </w:r>
      <w:r w:rsidRPr="00E8642C">
        <w:t>IGC ou provenant de tout autre instrument ou organisme international, régional ou nation</w:t>
      </w:r>
      <w:r w:rsidR="001F3AEE" w:rsidRPr="00E8642C">
        <w:t>al</w:t>
      </w:r>
      <w:r w:rsidR="001F3AEE">
        <w:t xml:space="preserve">.  </w:t>
      </w:r>
      <w:r w:rsidR="001F3AEE" w:rsidRPr="00E8642C">
        <w:t>Il</w:t>
      </w:r>
      <w:r w:rsidRPr="00E8642C">
        <w:t>s ne doivent pas être interprétés comme étant nécessairement approuvés par les participants de l</w:t>
      </w:r>
      <w:r w:rsidR="00D91476">
        <w:t>’</w:t>
      </w:r>
      <w:r w:rsidR="001F3AEE" w:rsidRPr="00E8642C">
        <w:t>IGC</w:t>
      </w:r>
      <w:r w:rsidR="001F3AEE">
        <w:t xml:space="preserve">.  </w:t>
      </w:r>
      <w:r w:rsidR="001F3AEE" w:rsidRPr="00E8642C">
        <w:t>Il</w:t>
      </w:r>
      <w:r w:rsidRPr="00E8642C">
        <w:t xml:space="preserve"> s</w:t>
      </w:r>
      <w:r w:rsidR="00D91476">
        <w:t>’</w:t>
      </w:r>
      <w:r w:rsidRPr="00E8642C">
        <w:t>agit d</w:t>
      </w:r>
      <w:r w:rsidR="00D91476">
        <w:t>’</w:t>
      </w:r>
      <w:r w:rsidRPr="00E8642C">
        <w:t>un document d</w:t>
      </w:r>
      <w:r w:rsidR="00D91476">
        <w:t>’</w:t>
      </w:r>
      <w:r w:rsidRPr="00E8642C">
        <w:t>information et l</w:t>
      </w:r>
      <w:r w:rsidR="00D91476">
        <w:t>’</w:t>
      </w:r>
      <w:r w:rsidRPr="00E8642C">
        <w:t>IGC n</w:t>
      </w:r>
      <w:r w:rsidR="00D91476">
        <w:t>’</w:t>
      </w:r>
      <w:r w:rsidRPr="00E8642C">
        <w:t>est invité ni à approuver ni à adopter le choix des termes ni les définitions proposées.</w:t>
      </w:r>
    </w:p>
    <w:p w:rsidR="00D05100" w:rsidRPr="00E8642C" w:rsidRDefault="00AF32FD" w:rsidP="00EF6794">
      <w:pPr>
        <w:pStyle w:val="ONUMFS"/>
        <w:ind w:left="5533"/>
        <w:rPr>
          <w:i/>
        </w:rPr>
      </w:pPr>
      <w:r w:rsidRPr="00E8642C">
        <w:rPr>
          <w:i/>
          <w:iCs/>
        </w:rPr>
        <w:t>L</w:t>
      </w:r>
      <w:r w:rsidR="00D91476">
        <w:rPr>
          <w:i/>
          <w:iCs/>
        </w:rPr>
        <w:t>’</w:t>
      </w:r>
      <w:r w:rsidRPr="00E8642C">
        <w:rPr>
          <w:i/>
          <w:iCs/>
        </w:rPr>
        <w:t>IGC est invité à prendre note du présent document et de son annexe</w:t>
      </w:r>
      <w:r w:rsidRPr="00E8642C">
        <w:rPr>
          <w:i/>
        </w:rPr>
        <w:t>.</w:t>
      </w:r>
    </w:p>
    <w:p w:rsidR="00AF32FD" w:rsidRPr="00E8642C" w:rsidRDefault="00AF32FD" w:rsidP="00D71DCD">
      <w:pPr>
        <w:pStyle w:val="Endofdocument"/>
        <w:spacing w:before="720" w:after="0" w:line="240" w:lineRule="auto"/>
        <w:ind w:left="5533"/>
        <w:rPr>
          <w:rFonts w:cs="Arial"/>
          <w:szCs w:val="22"/>
        </w:rPr>
        <w:sectPr w:rsidR="00AF32FD" w:rsidRPr="00E8642C" w:rsidSect="00D23D81">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567" w:right="1134" w:bottom="1418" w:left="1418" w:header="510" w:footer="1021" w:gutter="0"/>
          <w:pgNumType w:start="1"/>
          <w:cols w:space="720"/>
          <w:titlePg/>
          <w:docGrid w:linePitch="299"/>
        </w:sectPr>
      </w:pPr>
      <w:r w:rsidRPr="00E8642C">
        <w:rPr>
          <w:szCs w:val="22"/>
        </w:rPr>
        <w:t>[L</w:t>
      </w:r>
      <w:r w:rsidR="00D91476">
        <w:rPr>
          <w:szCs w:val="22"/>
        </w:rPr>
        <w:t>’</w:t>
      </w:r>
      <w:r w:rsidRPr="00E8642C">
        <w:rPr>
          <w:szCs w:val="22"/>
        </w:rPr>
        <w:t>annexe suit]</w:t>
      </w:r>
    </w:p>
    <w:p w:rsidR="00E506BC" w:rsidRPr="00D23D81" w:rsidRDefault="00D71DCD" w:rsidP="00D23D81">
      <w:pPr>
        <w:pStyle w:val="Heading1"/>
        <w:spacing w:after="480"/>
        <w:rPr>
          <w:rFonts w:cs="Arial"/>
          <w:b w:val="0"/>
          <w:szCs w:val="22"/>
        </w:rPr>
      </w:pPr>
      <w:r w:rsidRPr="00D23D81">
        <w:rPr>
          <w:b w:val="0"/>
        </w:rPr>
        <w:t>Glossaire des principaux termes relatifs à la propriété intellectuelle et aux ressources génétiques, aux savoirs traditionnels et aux expressions culturelles traditionnelles</w:t>
      </w:r>
    </w:p>
    <w:p w:rsidR="00C67D83" w:rsidRDefault="00D55594">
      <w:pPr>
        <w:pStyle w:val="TOC1"/>
        <w:tabs>
          <w:tab w:val="right" w:leader="dot" w:pos="9345"/>
        </w:tabs>
        <w:rPr>
          <w:rFonts w:asciiTheme="minorHAnsi" w:eastAsiaTheme="minorEastAsia" w:hAnsiTheme="minorHAnsi" w:cstheme="minorBidi"/>
          <w:noProof/>
          <w:szCs w:val="22"/>
          <w:lang w:eastAsia="fr-FR"/>
        </w:rPr>
      </w:pPr>
      <w:r>
        <w:fldChar w:fldCharType="begin"/>
      </w:r>
      <w:r>
        <w:instrText xml:space="preserve"> TOC \t "Heading 2;1" </w:instrText>
      </w:r>
      <w:r>
        <w:fldChar w:fldCharType="separate"/>
      </w:r>
      <w:r w:rsidR="00C67D83">
        <w:rPr>
          <w:noProof/>
        </w:rPr>
        <w:t>Accès et partage des avantages</w:t>
      </w:r>
      <w:bookmarkStart w:id="5" w:name="_GoBack"/>
      <w:bookmarkEnd w:id="5"/>
      <w:r w:rsidR="00C67D83">
        <w:rPr>
          <w:noProof/>
        </w:rPr>
        <w:tab/>
      </w:r>
      <w:r w:rsidR="00C67D83">
        <w:rPr>
          <w:noProof/>
        </w:rPr>
        <w:fldChar w:fldCharType="begin"/>
      </w:r>
      <w:r w:rsidR="00C67D83">
        <w:rPr>
          <w:noProof/>
        </w:rPr>
        <w:instrText xml:space="preserve"> PAGEREF _Toc7772485 \h </w:instrText>
      </w:r>
      <w:r w:rsidR="00C67D83">
        <w:rPr>
          <w:noProof/>
        </w:rPr>
      </w:r>
      <w:r w:rsidR="00C67D83">
        <w:rPr>
          <w:noProof/>
        </w:rPr>
        <w:fldChar w:fldCharType="separate"/>
      </w:r>
      <w:r w:rsidR="00C67D83">
        <w:rPr>
          <w:noProof/>
        </w:rPr>
        <w:t>5</w:t>
      </w:r>
      <w:r w:rsidR="00C67D83">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Accord de transfert de matériel</w:t>
      </w:r>
      <w:r>
        <w:rPr>
          <w:noProof/>
        </w:rPr>
        <w:tab/>
      </w:r>
      <w:r>
        <w:rPr>
          <w:noProof/>
        </w:rPr>
        <w:fldChar w:fldCharType="begin"/>
      </w:r>
      <w:r>
        <w:rPr>
          <w:noProof/>
        </w:rPr>
        <w:instrText xml:space="preserve"> PAGEREF _Toc7772486 \h </w:instrText>
      </w:r>
      <w:r>
        <w:rPr>
          <w:noProof/>
        </w:rPr>
      </w:r>
      <w:r>
        <w:rPr>
          <w:noProof/>
        </w:rPr>
        <w:fldChar w:fldCharType="separate"/>
      </w:r>
      <w:r>
        <w:rPr>
          <w:noProof/>
        </w:rPr>
        <w:t>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Accord et participation</w:t>
      </w:r>
      <w:r>
        <w:rPr>
          <w:noProof/>
        </w:rPr>
        <w:tab/>
      </w:r>
      <w:r>
        <w:rPr>
          <w:noProof/>
        </w:rPr>
        <w:fldChar w:fldCharType="begin"/>
      </w:r>
      <w:r>
        <w:rPr>
          <w:noProof/>
        </w:rPr>
        <w:instrText xml:space="preserve"> PAGEREF _Toc7772487 \h </w:instrText>
      </w:r>
      <w:r>
        <w:rPr>
          <w:noProof/>
        </w:rPr>
      </w:r>
      <w:r>
        <w:rPr>
          <w:noProof/>
        </w:rPr>
        <w:fldChar w:fldCharType="separate"/>
      </w:r>
      <w:r>
        <w:rPr>
          <w:noProof/>
        </w:rPr>
        <w:t>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Activité inventive</w:t>
      </w:r>
      <w:r>
        <w:rPr>
          <w:noProof/>
        </w:rPr>
        <w:tab/>
      </w:r>
      <w:r>
        <w:rPr>
          <w:noProof/>
        </w:rPr>
        <w:fldChar w:fldCharType="begin"/>
      </w:r>
      <w:r>
        <w:rPr>
          <w:noProof/>
        </w:rPr>
        <w:instrText xml:space="preserve"> PAGEREF _Toc7772488 \h </w:instrText>
      </w:r>
      <w:r>
        <w:rPr>
          <w:noProof/>
        </w:rPr>
      </w:r>
      <w:r>
        <w:rPr>
          <w:noProof/>
        </w:rPr>
        <w:fldChar w:fldCharType="separate"/>
      </w:r>
      <w:r>
        <w:rPr>
          <w:noProof/>
        </w:rPr>
        <w:t>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Adaptation</w:t>
      </w:r>
      <w:r>
        <w:rPr>
          <w:noProof/>
        </w:rPr>
        <w:tab/>
      </w:r>
      <w:r>
        <w:rPr>
          <w:noProof/>
        </w:rPr>
        <w:fldChar w:fldCharType="begin"/>
      </w:r>
      <w:r>
        <w:rPr>
          <w:noProof/>
        </w:rPr>
        <w:instrText xml:space="preserve"> PAGEREF _Toc7772489 \h </w:instrText>
      </w:r>
      <w:r>
        <w:rPr>
          <w:noProof/>
        </w:rPr>
      </w:r>
      <w:r>
        <w:rPr>
          <w:noProof/>
        </w:rPr>
        <w:fldChar w:fldCharType="separate"/>
      </w:r>
      <w:r>
        <w:rPr>
          <w:noProof/>
        </w:rPr>
        <w:t>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Appropriation illicite</w:t>
      </w:r>
      <w:r>
        <w:rPr>
          <w:noProof/>
        </w:rPr>
        <w:tab/>
      </w:r>
      <w:r>
        <w:rPr>
          <w:noProof/>
        </w:rPr>
        <w:fldChar w:fldCharType="begin"/>
      </w:r>
      <w:r>
        <w:rPr>
          <w:noProof/>
        </w:rPr>
        <w:instrText xml:space="preserve"> PAGEREF _Toc7772490 \h </w:instrText>
      </w:r>
      <w:r>
        <w:rPr>
          <w:noProof/>
        </w:rPr>
      </w:r>
      <w:r>
        <w:rPr>
          <w:noProof/>
        </w:rPr>
        <w:fldChar w:fldCharType="separate"/>
      </w:r>
      <w:r>
        <w:rPr>
          <w:noProof/>
        </w:rPr>
        <w:t>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Atteinte (“derogatory action” en anglais)</w:t>
      </w:r>
      <w:r>
        <w:rPr>
          <w:noProof/>
        </w:rPr>
        <w:tab/>
      </w:r>
      <w:r>
        <w:rPr>
          <w:noProof/>
        </w:rPr>
        <w:fldChar w:fldCharType="begin"/>
      </w:r>
      <w:r>
        <w:rPr>
          <w:noProof/>
        </w:rPr>
        <w:instrText xml:space="preserve"> PAGEREF _Toc7772491 \h </w:instrText>
      </w:r>
      <w:r>
        <w:rPr>
          <w:noProof/>
        </w:rPr>
      </w:r>
      <w:r>
        <w:rPr>
          <w:noProof/>
        </w:rPr>
        <w:fldChar w:fldCharType="separate"/>
      </w:r>
      <w:r>
        <w:rPr>
          <w:noProof/>
        </w:rPr>
        <w:t>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Atteinte (“infringement” en anglais)</w:t>
      </w:r>
      <w:r>
        <w:rPr>
          <w:noProof/>
        </w:rPr>
        <w:tab/>
      </w:r>
      <w:r>
        <w:rPr>
          <w:noProof/>
        </w:rPr>
        <w:fldChar w:fldCharType="begin"/>
      </w:r>
      <w:r>
        <w:rPr>
          <w:noProof/>
        </w:rPr>
        <w:instrText xml:space="preserve"> PAGEREF _Toc7772492 \h </w:instrText>
      </w:r>
      <w:r>
        <w:rPr>
          <w:noProof/>
        </w:rPr>
      </w:r>
      <w:r>
        <w:rPr>
          <w:noProof/>
        </w:rPr>
        <w:fldChar w:fldCharType="separate"/>
      </w:r>
      <w:r>
        <w:rPr>
          <w:noProof/>
        </w:rPr>
        <w:t>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Base de données des accords d</w:t>
      </w:r>
      <w:r w:rsidR="00D91476">
        <w:rPr>
          <w:noProof/>
        </w:rPr>
        <w:t>’</w:t>
      </w:r>
      <w:r>
        <w:rPr>
          <w:noProof/>
        </w:rPr>
        <w:t>accès et de partage des avantages en matière de biodiversité</w:t>
      </w:r>
      <w:r>
        <w:rPr>
          <w:noProof/>
        </w:rPr>
        <w:tab/>
      </w:r>
      <w:r>
        <w:rPr>
          <w:noProof/>
        </w:rPr>
        <w:fldChar w:fldCharType="begin"/>
      </w:r>
      <w:r>
        <w:rPr>
          <w:noProof/>
        </w:rPr>
        <w:instrText xml:space="preserve"> PAGEREF _Toc7772493 \h </w:instrText>
      </w:r>
      <w:r>
        <w:rPr>
          <w:noProof/>
        </w:rPr>
      </w:r>
      <w:r>
        <w:rPr>
          <w:noProof/>
        </w:rPr>
        <w:fldChar w:fldCharType="separate"/>
      </w:r>
      <w:r>
        <w:rPr>
          <w:noProof/>
        </w:rPr>
        <w:t>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Bénéficiaires</w:t>
      </w:r>
      <w:r>
        <w:rPr>
          <w:noProof/>
        </w:rPr>
        <w:tab/>
      </w:r>
      <w:r>
        <w:rPr>
          <w:noProof/>
        </w:rPr>
        <w:fldChar w:fldCharType="begin"/>
      </w:r>
      <w:r>
        <w:rPr>
          <w:noProof/>
        </w:rPr>
        <w:instrText xml:space="preserve"> PAGEREF _Toc7772494 \h </w:instrText>
      </w:r>
      <w:r>
        <w:rPr>
          <w:noProof/>
        </w:rPr>
      </w:r>
      <w:r>
        <w:rPr>
          <w:noProof/>
        </w:rPr>
        <w:fldChar w:fldCharType="separate"/>
      </w:r>
      <w:r>
        <w:rPr>
          <w:noProof/>
        </w:rPr>
        <w:t>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Bibliothèque numérique des savoirs traditionnels</w:t>
      </w:r>
      <w:r>
        <w:rPr>
          <w:noProof/>
        </w:rPr>
        <w:tab/>
      </w:r>
      <w:r>
        <w:rPr>
          <w:noProof/>
        </w:rPr>
        <w:fldChar w:fldCharType="begin"/>
      </w:r>
      <w:r>
        <w:rPr>
          <w:noProof/>
        </w:rPr>
        <w:instrText xml:space="preserve"> PAGEREF _Toc7772495 \h </w:instrText>
      </w:r>
      <w:r>
        <w:rPr>
          <w:noProof/>
        </w:rPr>
      </w:r>
      <w:r>
        <w:rPr>
          <w:noProof/>
        </w:rPr>
        <w:fldChar w:fldCharType="separate"/>
      </w:r>
      <w:r>
        <w:rPr>
          <w:noProof/>
        </w:rPr>
        <w:t>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sidRPr="002810B8">
        <w:rPr>
          <w:noProof/>
        </w:rPr>
        <w:t>Biotechnologie</w:t>
      </w:r>
      <w:r>
        <w:rPr>
          <w:noProof/>
        </w:rPr>
        <w:tab/>
      </w:r>
      <w:r>
        <w:rPr>
          <w:noProof/>
        </w:rPr>
        <w:fldChar w:fldCharType="begin"/>
      </w:r>
      <w:r>
        <w:rPr>
          <w:noProof/>
        </w:rPr>
        <w:instrText xml:space="preserve"> PAGEREF _Toc7772496 \h </w:instrText>
      </w:r>
      <w:r>
        <w:rPr>
          <w:noProof/>
        </w:rPr>
      </w:r>
      <w:r>
        <w:rPr>
          <w:noProof/>
        </w:rPr>
        <w:fldChar w:fldCharType="separate"/>
      </w:r>
      <w:r>
        <w:rPr>
          <w:noProof/>
        </w:rPr>
        <w:t>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Bons usages</w:t>
      </w:r>
      <w:r>
        <w:rPr>
          <w:noProof/>
        </w:rPr>
        <w:tab/>
      </w:r>
      <w:r>
        <w:rPr>
          <w:noProof/>
        </w:rPr>
        <w:fldChar w:fldCharType="begin"/>
      </w:r>
      <w:r>
        <w:rPr>
          <w:noProof/>
        </w:rPr>
        <w:instrText xml:space="preserve"> PAGEREF _Toc7772497 \h </w:instrText>
      </w:r>
      <w:r>
        <w:rPr>
          <w:noProof/>
        </w:rPr>
      </w:r>
      <w:r>
        <w:rPr>
          <w:noProof/>
        </w:rPr>
        <w:fldChar w:fldCharType="separate"/>
      </w:r>
      <w:r>
        <w:rPr>
          <w:noProof/>
        </w:rPr>
        <w:t>10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Brevet</w:t>
      </w:r>
      <w:r>
        <w:rPr>
          <w:noProof/>
        </w:rPr>
        <w:tab/>
      </w:r>
      <w:r>
        <w:rPr>
          <w:noProof/>
        </w:rPr>
        <w:fldChar w:fldCharType="begin"/>
      </w:r>
      <w:r>
        <w:rPr>
          <w:noProof/>
        </w:rPr>
        <w:instrText xml:space="preserve"> PAGEREF _Toc7772498 \h </w:instrText>
      </w:r>
      <w:r>
        <w:rPr>
          <w:noProof/>
        </w:rPr>
      </w:r>
      <w:r>
        <w:rPr>
          <w:noProof/>
        </w:rPr>
        <w:fldChar w:fldCharType="separate"/>
      </w:r>
      <w:r>
        <w:rPr>
          <w:noProof/>
        </w:rPr>
        <w:t>10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Classification des ressources en savoirs traditionnels</w:t>
      </w:r>
      <w:r>
        <w:rPr>
          <w:noProof/>
        </w:rPr>
        <w:tab/>
      </w:r>
      <w:r>
        <w:rPr>
          <w:noProof/>
        </w:rPr>
        <w:fldChar w:fldCharType="begin"/>
      </w:r>
      <w:r>
        <w:rPr>
          <w:noProof/>
        </w:rPr>
        <w:instrText xml:space="preserve"> PAGEREF _Toc7772499 \h </w:instrText>
      </w:r>
      <w:r>
        <w:rPr>
          <w:noProof/>
        </w:rPr>
      </w:r>
      <w:r>
        <w:rPr>
          <w:noProof/>
        </w:rPr>
        <w:fldChar w:fldCharType="separate"/>
      </w:r>
      <w:r>
        <w:rPr>
          <w:noProof/>
        </w:rPr>
        <w:t>11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Classification internationale des brevets</w:t>
      </w:r>
      <w:r>
        <w:rPr>
          <w:noProof/>
        </w:rPr>
        <w:tab/>
      </w:r>
      <w:r>
        <w:rPr>
          <w:noProof/>
        </w:rPr>
        <w:fldChar w:fldCharType="begin"/>
      </w:r>
      <w:r>
        <w:rPr>
          <w:noProof/>
        </w:rPr>
        <w:instrText xml:space="preserve"> PAGEREF _Toc7772500 \h </w:instrText>
      </w:r>
      <w:r>
        <w:rPr>
          <w:noProof/>
        </w:rPr>
      </w:r>
      <w:r>
        <w:rPr>
          <w:noProof/>
        </w:rPr>
        <w:fldChar w:fldCharType="separate"/>
      </w:r>
      <w:r>
        <w:rPr>
          <w:noProof/>
        </w:rPr>
        <w:t>11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Communauté culturelle</w:t>
      </w:r>
      <w:r>
        <w:rPr>
          <w:noProof/>
        </w:rPr>
        <w:tab/>
      </w:r>
      <w:r>
        <w:rPr>
          <w:noProof/>
        </w:rPr>
        <w:fldChar w:fldCharType="begin"/>
      </w:r>
      <w:r>
        <w:rPr>
          <w:noProof/>
        </w:rPr>
        <w:instrText xml:space="preserve"> PAGEREF _Toc7772501 \h </w:instrText>
      </w:r>
      <w:r>
        <w:rPr>
          <w:noProof/>
        </w:rPr>
      </w:r>
      <w:r>
        <w:rPr>
          <w:noProof/>
        </w:rPr>
        <w:fldChar w:fldCharType="separate"/>
      </w:r>
      <w:r>
        <w:rPr>
          <w:noProof/>
        </w:rPr>
        <w:t>11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Communautés autochtones et locales</w:t>
      </w:r>
      <w:r>
        <w:rPr>
          <w:noProof/>
        </w:rPr>
        <w:tab/>
      </w:r>
      <w:r>
        <w:rPr>
          <w:noProof/>
        </w:rPr>
        <w:fldChar w:fldCharType="begin"/>
      </w:r>
      <w:r>
        <w:rPr>
          <w:noProof/>
        </w:rPr>
        <w:instrText xml:space="preserve"> PAGEREF _Toc7772502 \h </w:instrText>
      </w:r>
      <w:r>
        <w:rPr>
          <w:noProof/>
        </w:rPr>
      </w:r>
      <w:r>
        <w:rPr>
          <w:noProof/>
        </w:rPr>
        <w:fldChar w:fldCharType="separate"/>
      </w:r>
      <w:r>
        <w:rPr>
          <w:noProof/>
        </w:rPr>
        <w:t>12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Concurrence déloyale</w:t>
      </w:r>
      <w:r>
        <w:rPr>
          <w:noProof/>
        </w:rPr>
        <w:tab/>
      </w:r>
      <w:r>
        <w:rPr>
          <w:noProof/>
        </w:rPr>
        <w:fldChar w:fldCharType="begin"/>
      </w:r>
      <w:r>
        <w:rPr>
          <w:noProof/>
        </w:rPr>
        <w:instrText xml:space="preserve"> PAGEREF _Toc7772503 \h </w:instrText>
      </w:r>
      <w:r>
        <w:rPr>
          <w:noProof/>
        </w:rPr>
      </w:r>
      <w:r>
        <w:rPr>
          <w:noProof/>
        </w:rPr>
        <w:fldChar w:fldCharType="separate"/>
      </w:r>
      <w:r>
        <w:rPr>
          <w:noProof/>
        </w:rPr>
        <w:t>13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Conditions convenues d</w:t>
      </w:r>
      <w:r w:rsidR="00D91476">
        <w:rPr>
          <w:noProof/>
        </w:rPr>
        <w:t>’</w:t>
      </w:r>
      <w:r>
        <w:rPr>
          <w:noProof/>
        </w:rPr>
        <w:t>un commun accord</w:t>
      </w:r>
      <w:r>
        <w:rPr>
          <w:noProof/>
        </w:rPr>
        <w:tab/>
      </w:r>
      <w:r>
        <w:rPr>
          <w:noProof/>
        </w:rPr>
        <w:fldChar w:fldCharType="begin"/>
      </w:r>
      <w:r>
        <w:rPr>
          <w:noProof/>
        </w:rPr>
        <w:instrText xml:space="preserve"> PAGEREF _Toc7772504 \h </w:instrText>
      </w:r>
      <w:r>
        <w:rPr>
          <w:noProof/>
        </w:rPr>
      </w:r>
      <w:r>
        <w:rPr>
          <w:noProof/>
        </w:rPr>
        <w:fldChar w:fldCharType="separate"/>
      </w:r>
      <w:r>
        <w:rPr>
          <w:noProof/>
        </w:rPr>
        <w:t>13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Conditions</w:t>
      </w:r>
      <w:r w:rsidRPr="002810B8">
        <w:rPr>
          <w:i/>
          <w:noProof/>
        </w:rPr>
        <w:t xml:space="preserve"> in situ</w:t>
      </w:r>
      <w:r>
        <w:rPr>
          <w:noProof/>
        </w:rPr>
        <w:tab/>
      </w:r>
      <w:r>
        <w:rPr>
          <w:noProof/>
        </w:rPr>
        <w:fldChar w:fldCharType="begin"/>
      </w:r>
      <w:r>
        <w:rPr>
          <w:noProof/>
        </w:rPr>
        <w:instrText xml:space="preserve"> PAGEREF _Toc7772505 \h </w:instrText>
      </w:r>
      <w:r>
        <w:rPr>
          <w:noProof/>
        </w:rPr>
      </w:r>
      <w:r>
        <w:rPr>
          <w:noProof/>
        </w:rPr>
        <w:fldChar w:fldCharType="separate"/>
      </w:r>
      <w:r>
        <w:rPr>
          <w:noProof/>
        </w:rPr>
        <w:t>14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Connaissances écologiques traditionnelles/connaissances environnementales traditionnelles</w:t>
      </w:r>
      <w:r>
        <w:rPr>
          <w:noProof/>
        </w:rPr>
        <w:tab/>
      </w:r>
      <w:r>
        <w:rPr>
          <w:noProof/>
        </w:rPr>
        <w:fldChar w:fldCharType="begin"/>
      </w:r>
      <w:r>
        <w:rPr>
          <w:noProof/>
        </w:rPr>
        <w:instrText xml:space="preserve"> PAGEREF _Toc7772506 \h </w:instrText>
      </w:r>
      <w:r>
        <w:rPr>
          <w:noProof/>
        </w:rPr>
      </w:r>
      <w:r>
        <w:rPr>
          <w:noProof/>
        </w:rPr>
        <w:fldChar w:fldCharType="separate"/>
      </w:r>
      <w:r>
        <w:rPr>
          <w:noProof/>
        </w:rPr>
        <w:t>14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Consentement préalable en connaissance de cause</w:t>
      </w:r>
      <w:r>
        <w:rPr>
          <w:noProof/>
        </w:rPr>
        <w:tab/>
      </w:r>
      <w:r>
        <w:rPr>
          <w:noProof/>
        </w:rPr>
        <w:fldChar w:fldCharType="begin"/>
      </w:r>
      <w:r>
        <w:rPr>
          <w:noProof/>
        </w:rPr>
        <w:instrText xml:space="preserve"> PAGEREF _Toc7772507 \h </w:instrText>
      </w:r>
      <w:r>
        <w:rPr>
          <w:noProof/>
        </w:rPr>
      </w:r>
      <w:r>
        <w:rPr>
          <w:noProof/>
        </w:rPr>
        <w:fldChar w:fldCharType="separate"/>
      </w:r>
      <w:r>
        <w:rPr>
          <w:noProof/>
        </w:rPr>
        <w:t>14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Conservation</w:t>
      </w:r>
      <w:r w:rsidRPr="002810B8">
        <w:rPr>
          <w:i/>
          <w:noProof/>
        </w:rPr>
        <w:t xml:space="preserve"> ex situ</w:t>
      </w:r>
      <w:r>
        <w:rPr>
          <w:noProof/>
        </w:rPr>
        <w:tab/>
      </w:r>
      <w:r>
        <w:rPr>
          <w:noProof/>
        </w:rPr>
        <w:fldChar w:fldCharType="begin"/>
      </w:r>
      <w:r>
        <w:rPr>
          <w:noProof/>
        </w:rPr>
        <w:instrText xml:space="preserve"> PAGEREF _Toc7772508 \h </w:instrText>
      </w:r>
      <w:r>
        <w:rPr>
          <w:noProof/>
        </w:rPr>
      </w:r>
      <w:r>
        <w:rPr>
          <w:noProof/>
        </w:rPr>
        <w:fldChar w:fldCharType="separate"/>
      </w:r>
      <w:r>
        <w:rPr>
          <w:noProof/>
        </w:rPr>
        <w:t>16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Consultation</w:t>
      </w:r>
      <w:r>
        <w:rPr>
          <w:noProof/>
        </w:rPr>
        <w:tab/>
      </w:r>
      <w:r>
        <w:rPr>
          <w:noProof/>
        </w:rPr>
        <w:fldChar w:fldCharType="begin"/>
      </w:r>
      <w:r>
        <w:rPr>
          <w:noProof/>
        </w:rPr>
        <w:instrText xml:space="preserve"> PAGEREF _Toc7772509 \h </w:instrText>
      </w:r>
      <w:r>
        <w:rPr>
          <w:noProof/>
        </w:rPr>
      </w:r>
      <w:r>
        <w:rPr>
          <w:noProof/>
        </w:rPr>
        <w:fldChar w:fldCharType="separate"/>
      </w:r>
      <w:r>
        <w:rPr>
          <w:noProof/>
        </w:rPr>
        <w:t>16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Contexte coutumier</w:t>
      </w:r>
      <w:r>
        <w:rPr>
          <w:noProof/>
        </w:rPr>
        <w:tab/>
      </w:r>
      <w:r>
        <w:rPr>
          <w:noProof/>
        </w:rPr>
        <w:fldChar w:fldCharType="begin"/>
      </w:r>
      <w:r>
        <w:rPr>
          <w:noProof/>
        </w:rPr>
        <w:instrText xml:space="preserve"> PAGEREF _Toc7772510 \h </w:instrText>
      </w:r>
      <w:r>
        <w:rPr>
          <w:noProof/>
        </w:rPr>
      </w:r>
      <w:r>
        <w:rPr>
          <w:noProof/>
        </w:rPr>
        <w:fldChar w:fldCharType="separate"/>
      </w:r>
      <w:r>
        <w:rPr>
          <w:noProof/>
        </w:rPr>
        <w:t>16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Contexte traditionnel</w:t>
      </w:r>
      <w:r>
        <w:rPr>
          <w:noProof/>
        </w:rPr>
        <w:tab/>
      </w:r>
      <w:r>
        <w:rPr>
          <w:noProof/>
        </w:rPr>
        <w:fldChar w:fldCharType="begin"/>
      </w:r>
      <w:r>
        <w:rPr>
          <w:noProof/>
        </w:rPr>
        <w:instrText xml:space="preserve"> PAGEREF _Toc7772511 \h </w:instrText>
      </w:r>
      <w:r>
        <w:rPr>
          <w:noProof/>
        </w:rPr>
      </w:r>
      <w:r>
        <w:rPr>
          <w:noProof/>
        </w:rPr>
        <w:fldChar w:fldCharType="separate"/>
      </w:r>
      <w:r>
        <w:rPr>
          <w:noProof/>
        </w:rPr>
        <w:t>16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Contrats de licence</w:t>
      </w:r>
      <w:r>
        <w:rPr>
          <w:noProof/>
        </w:rPr>
        <w:tab/>
      </w:r>
      <w:r>
        <w:rPr>
          <w:noProof/>
        </w:rPr>
        <w:fldChar w:fldCharType="begin"/>
      </w:r>
      <w:r>
        <w:rPr>
          <w:noProof/>
        </w:rPr>
        <w:instrText xml:space="preserve"> PAGEREF _Toc7772512 \h </w:instrText>
      </w:r>
      <w:r>
        <w:rPr>
          <w:noProof/>
        </w:rPr>
      </w:r>
      <w:r>
        <w:rPr>
          <w:noProof/>
        </w:rPr>
        <w:fldChar w:fldCharType="separate"/>
      </w:r>
      <w:r>
        <w:rPr>
          <w:noProof/>
        </w:rPr>
        <w:t>17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Convention de l</w:t>
      </w:r>
      <w:r w:rsidR="00D91476">
        <w:rPr>
          <w:noProof/>
        </w:rPr>
        <w:t>’</w:t>
      </w:r>
      <w:r>
        <w:rPr>
          <w:noProof/>
        </w:rPr>
        <w:t>UNESCO concernant les mesures à prendre pour interdire et empêcher l</w:t>
      </w:r>
      <w:r w:rsidR="00D91476">
        <w:rPr>
          <w:noProof/>
        </w:rPr>
        <w:t>’</w:t>
      </w:r>
      <w:r>
        <w:rPr>
          <w:noProof/>
        </w:rPr>
        <w:t>importation, l</w:t>
      </w:r>
      <w:r w:rsidR="00D91476">
        <w:rPr>
          <w:noProof/>
        </w:rPr>
        <w:t>’</w:t>
      </w:r>
      <w:r>
        <w:rPr>
          <w:noProof/>
        </w:rPr>
        <w:t>exportation et le transfert de propriété illicites des biens culturels</w:t>
      </w:r>
      <w:r>
        <w:rPr>
          <w:noProof/>
        </w:rPr>
        <w:tab/>
      </w:r>
      <w:r>
        <w:rPr>
          <w:noProof/>
        </w:rPr>
        <w:fldChar w:fldCharType="begin"/>
      </w:r>
      <w:r>
        <w:rPr>
          <w:noProof/>
        </w:rPr>
        <w:instrText xml:space="preserve"> PAGEREF _Toc7772513 \h </w:instrText>
      </w:r>
      <w:r>
        <w:rPr>
          <w:noProof/>
        </w:rPr>
      </w:r>
      <w:r>
        <w:rPr>
          <w:noProof/>
        </w:rPr>
        <w:fldChar w:fldCharType="separate"/>
      </w:r>
      <w:r>
        <w:rPr>
          <w:noProof/>
        </w:rPr>
        <w:t>17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Convention de l</w:t>
      </w:r>
      <w:r w:rsidR="00D91476">
        <w:rPr>
          <w:noProof/>
        </w:rPr>
        <w:t>’</w:t>
      </w:r>
      <w:r>
        <w:rPr>
          <w:noProof/>
        </w:rPr>
        <w:t>UNESCO pour la sauvegarde du patrimoine culturel immatériel</w:t>
      </w:r>
      <w:r>
        <w:rPr>
          <w:noProof/>
        </w:rPr>
        <w:tab/>
      </w:r>
      <w:r>
        <w:rPr>
          <w:noProof/>
        </w:rPr>
        <w:fldChar w:fldCharType="begin"/>
      </w:r>
      <w:r>
        <w:rPr>
          <w:noProof/>
        </w:rPr>
        <w:instrText xml:space="preserve"> PAGEREF _Toc7772514 \h </w:instrText>
      </w:r>
      <w:r>
        <w:rPr>
          <w:noProof/>
        </w:rPr>
      </w:r>
      <w:r>
        <w:rPr>
          <w:noProof/>
        </w:rPr>
        <w:fldChar w:fldCharType="separate"/>
      </w:r>
      <w:r>
        <w:rPr>
          <w:noProof/>
        </w:rPr>
        <w:t>18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Convention de l</w:t>
      </w:r>
      <w:r w:rsidR="00D91476">
        <w:rPr>
          <w:noProof/>
        </w:rPr>
        <w:t>’</w:t>
      </w:r>
      <w:r>
        <w:rPr>
          <w:noProof/>
        </w:rPr>
        <w:t>UNESCO sur la protection et la promotion de la diversité des expressions culturelles</w:t>
      </w:r>
      <w:r>
        <w:rPr>
          <w:noProof/>
        </w:rPr>
        <w:tab/>
      </w:r>
      <w:r>
        <w:rPr>
          <w:noProof/>
        </w:rPr>
        <w:fldChar w:fldCharType="begin"/>
      </w:r>
      <w:r>
        <w:rPr>
          <w:noProof/>
        </w:rPr>
        <w:instrText xml:space="preserve"> PAGEREF _Toc7772515 \h </w:instrText>
      </w:r>
      <w:r>
        <w:rPr>
          <w:noProof/>
        </w:rPr>
      </w:r>
      <w:r>
        <w:rPr>
          <w:noProof/>
        </w:rPr>
        <w:fldChar w:fldCharType="separate"/>
      </w:r>
      <w:r>
        <w:rPr>
          <w:noProof/>
        </w:rPr>
        <w:t>18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Convention sur la diversité biologique</w:t>
      </w:r>
      <w:r>
        <w:rPr>
          <w:noProof/>
        </w:rPr>
        <w:tab/>
      </w:r>
      <w:r>
        <w:rPr>
          <w:noProof/>
        </w:rPr>
        <w:fldChar w:fldCharType="begin"/>
      </w:r>
      <w:r>
        <w:rPr>
          <w:noProof/>
        </w:rPr>
        <w:instrText xml:space="preserve"> PAGEREF _Toc7772516 \h </w:instrText>
      </w:r>
      <w:r>
        <w:rPr>
          <w:noProof/>
        </w:rPr>
      </w:r>
      <w:r>
        <w:rPr>
          <w:noProof/>
        </w:rPr>
        <w:fldChar w:fldCharType="separate"/>
      </w:r>
      <w:r>
        <w:rPr>
          <w:noProof/>
        </w:rPr>
        <w:t>18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Créations et innovations fondées sur les traditions</w:t>
      </w:r>
      <w:r>
        <w:rPr>
          <w:noProof/>
        </w:rPr>
        <w:tab/>
      </w:r>
      <w:r>
        <w:rPr>
          <w:noProof/>
        </w:rPr>
        <w:fldChar w:fldCharType="begin"/>
      </w:r>
      <w:r>
        <w:rPr>
          <w:noProof/>
        </w:rPr>
        <w:instrText xml:space="preserve"> PAGEREF _Toc7772517 \h </w:instrText>
      </w:r>
      <w:r>
        <w:rPr>
          <w:noProof/>
        </w:rPr>
      </w:r>
      <w:r>
        <w:rPr>
          <w:noProof/>
        </w:rPr>
        <w:fldChar w:fldCharType="separate"/>
      </w:r>
      <w:r>
        <w:rPr>
          <w:noProof/>
        </w:rPr>
        <w:t>18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Cultures traditionnelles</w:t>
      </w:r>
      <w:r>
        <w:rPr>
          <w:noProof/>
        </w:rPr>
        <w:tab/>
      </w:r>
      <w:r>
        <w:rPr>
          <w:noProof/>
        </w:rPr>
        <w:fldChar w:fldCharType="begin"/>
      </w:r>
      <w:r>
        <w:rPr>
          <w:noProof/>
        </w:rPr>
        <w:instrText xml:space="preserve"> PAGEREF _Toc7772518 \h </w:instrText>
      </w:r>
      <w:r>
        <w:rPr>
          <w:noProof/>
        </w:rPr>
      </w:r>
      <w:r>
        <w:rPr>
          <w:noProof/>
        </w:rPr>
        <w:fldChar w:fldCharType="separate"/>
      </w:r>
      <w:r>
        <w:rPr>
          <w:noProof/>
        </w:rPr>
        <w:t>19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 xml:space="preserve">Déclaration des </w:t>
      </w:r>
      <w:r w:rsidR="00D91476">
        <w:rPr>
          <w:noProof/>
        </w:rPr>
        <w:t>Nations Unies</w:t>
      </w:r>
      <w:r>
        <w:rPr>
          <w:noProof/>
        </w:rPr>
        <w:t xml:space="preserve"> sur les droits des peuples autochtones</w:t>
      </w:r>
      <w:r>
        <w:rPr>
          <w:noProof/>
        </w:rPr>
        <w:tab/>
      </w:r>
      <w:r>
        <w:rPr>
          <w:noProof/>
        </w:rPr>
        <w:fldChar w:fldCharType="begin"/>
      </w:r>
      <w:r>
        <w:rPr>
          <w:noProof/>
        </w:rPr>
        <w:instrText xml:space="preserve"> PAGEREF _Toc7772519 \h </w:instrText>
      </w:r>
      <w:r>
        <w:rPr>
          <w:noProof/>
        </w:rPr>
      </w:r>
      <w:r>
        <w:rPr>
          <w:noProof/>
        </w:rPr>
        <w:fldChar w:fldCharType="separate"/>
      </w:r>
      <w:r>
        <w:rPr>
          <w:noProof/>
        </w:rPr>
        <w:t>19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Déclaration universelle des droits de l</w:t>
      </w:r>
      <w:r w:rsidR="00D91476">
        <w:rPr>
          <w:noProof/>
        </w:rPr>
        <w:t>’</w:t>
      </w:r>
      <w:r>
        <w:rPr>
          <w:noProof/>
        </w:rPr>
        <w:t>homme</w:t>
      </w:r>
      <w:r>
        <w:rPr>
          <w:noProof/>
        </w:rPr>
        <w:tab/>
      </w:r>
      <w:r>
        <w:rPr>
          <w:noProof/>
        </w:rPr>
        <w:fldChar w:fldCharType="begin"/>
      </w:r>
      <w:r>
        <w:rPr>
          <w:noProof/>
        </w:rPr>
        <w:instrText xml:space="preserve"> PAGEREF _Toc7772520 \h </w:instrText>
      </w:r>
      <w:r>
        <w:rPr>
          <w:noProof/>
        </w:rPr>
      </w:r>
      <w:r>
        <w:rPr>
          <w:noProof/>
        </w:rPr>
        <w:fldChar w:fldCharType="separate"/>
      </w:r>
      <w:r>
        <w:rPr>
          <w:noProof/>
        </w:rPr>
        <w:t>20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Dépositaire</w:t>
      </w:r>
      <w:r>
        <w:rPr>
          <w:noProof/>
        </w:rPr>
        <w:tab/>
      </w:r>
      <w:r>
        <w:rPr>
          <w:noProof/>
        </w:rPr>
        <w:fldChar w:fldCharType="begin"/>
      </w:r>
      <w:r>
        <w:rPr>
          <w:noProof/>
        </w:rPr>
        <w:instrText xml:space="preserve"> PAGEREF _Toc7772521 \h </w:instrText>
      </w:r>
      <w:r>
        <w:rPr>
          <w:noProof/>
        </w:rPr>
      </w:r>
      <w:r>
        <w:rPr>
          <w:noProof/>
        </w:rPr>
        <w:fldChar w:fldCharType="separate"/>
      </w:r>
      <w:r>
        <w:rPr>
          <w:noProof/>
        </w:rPr>
        <w:t>20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Dérivé</w:t>
      </w:r>
      <w:r>
        <w:rPr>
          <w:noProof/>
        </w:rPr>
        <w:tab/>
      </w:r>
      <w:r>
        <w:rPr>
          <w:noProof/>
        </w:rPr>
        <w:fldChar w:fldCharType="begin"/>
      </w:r>
      <w:r>
        <w:rPr>
          <w:noProof/>
        </w:rPr>
        <w:instrText xml:space="preserve"> PAGEREF _Toc7772522 \h </w:instrText>
      </w:r>
      <w:r>
        <w:rPr>
          <w:noProof/>
        </w:rPr>
      </w:r>
      <w:r>
        <w:rPr>
          <w:noProof/>
        </w:rPr>
        <w:fldChar w:fldCharType="separate"/>
      </w:r>
      <w:r>
        <w:rPr>
          <w:noProof/>
        </w:rPr>
        <w:t>20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Détenteur</w:t>
      </w:r>
      <w:r>
        <w:rPr>
          <w:noProof/>
        </w:rPr>
        <w:tab/>
      </w:r>
      <w:r>
        <w:rPr>
          <w:noProof/>
        </w:rPr>
        <w:fldChar w:fldCharType="begin"/>
      </w:r>
      <w:r>
        <w:rPr>
          <w:noProof/>
        </w:rPr>
        <w:instrText xml:space="preserve"> PAGEREF _Toc7772523 \h </w:instrText>
      </w:r>
      <w:r>
        <w:rPr>
          <w:noProof/>
        </w:rPr>
      </w:r>
      <w:r>
        <w:rPr>
          <w:noProof/>
        </w:rPr>
        <w:fldChar w:fldCharType="separate"/>
      </w:r>
      <w:r>
        <w:rPr>
          <w:noProof/>
        </w:rPr>
        <w:t>20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Diligence requise</w:t>
      </w:r>
      <w:r>
        <w:rPr>
          <w:noProof/>
        </w:rPr>
        <w:tab/>
      </w:r>
      <w:r>
        <w:rPr>
          <w:noProof/>
        </w:rPr>
        <w:fldChar w:fldCharType="begin"/>
      </w:r>
      <w:r>
        <w:rPr>
          <w:noProof/>
        </w:rPr>
        <w:instrText xml:space="preserve"> PAGEREF _Toc7772524 \h </w:instrText>
      </w:r>
      <w:r>
        <w:rPr>
          <w:noProof/>
        </w:rPr>
      </w:r>
      <w:r>
        <w:rPr>
          <w:noProof/>
        </w:rPr>
        <w:fldChar w:fldCharType="separate"/>
      </w:r>
      <w:r>
        <w:rPr>
          <w:noProof/>
        </w:rPr>
        <w:t>21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Dispositions types OMPI</w:t>
      </w:r>
      <w:r w:rsidR="00400337">
        <w:rPr>
          <w:noProof/>
        </w:rPr>
        <w:noBreakHyphen/>
      </w:r>
      <w:r>
        <w:rPr>
          <w:noProof/>
        </w:rPr>
        <w:t>UNESCO de législation nationale sur la protection des expressions du folklore contre leur exploitation illicite et autres actions dommageables</w:t>
      </w:r>
      <w:r>
        <w:rPr>
          <w:noProof/>
        </w:rPr>
        <w:tab/>
      </w:r>
      <w:r>
        <w:rPr>
          <w:noProof/>
        </w:rPr>
        <w:fldChar w:fldCharType="begin"/>
      </w:r>
      <w:r>
        <w:rPr>
          <w:noProof/>
        </w:rPr>
        <w:instrText xml:space="preserve"> PAGEREF _Toc7772525 \h </w:instrText>
      </w:r>
      <w:r>
        <w:rPr>
          <w:noProof/>
        </w:rPr>
      </w:r>
      <w:r>
        <w:rPr>
          <w:noProof/>
        </w:rPr>
        <w:fldChar w:fldCharType="separate"/>
      </w:r>
      <w:r>
        <w:rPr>
          <w:noProof/>
        </w:rPr>
        <w:t>21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Diversité biologique</w:t>
      </w:r>
      <w:r>
        <w:rPr>
          <w:noProof/>
        </w:rPr>
        <w:tab/>
      </w:r>
      <w:r>
        <w:rPr>
          <w:noProof/>
        </w:rPr>
        <w:fldChar w:fldCharType="begin"/>
      </w:r>
      <w:r>
        <w:rPr>
          <w:noProof/>
        </w:rPr>
        <w:instrText xml:space="preserve"> PAGEREF _Toc7772526 \h </w:instrText>
      </w:r>
      <w:r>
        <w:rPr>
          <w:noProof/>
        </w:rPr>
      </w:r>
      <w:r>
        <w:rPr>
          <w:noProof/>
        </w:rPr>
        <w:fldChar w:fldCharType="separate"/>
      </w:r>
      <w:r>
        <w:rPr>
          <w:noProof/>
        </w:rPr>
        <w:t>21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Diversité culturelle</w:t>
      </w:r>
      <w:r>
        <w:rPr>
          <w:noProof/>
        </w:rPr>
        <w:tab/>
      </w:r>
      <w:r>
        <w:rPr>
          <w:noProof/>
        </w:rPr>
        <w:fldChar w:fldCharType="begin"/>
      </w:r>
      <w:r>
        <w:rPr>
          <w:noProof/>
        </w:rPr>
        <w:instrText xml:space="preserve"> PAGEREF _Toc7772527 \h </w:instrText>
      </w:r>
      <w:r>
        <w:rPr>
          <w:noProof/>
        </w:rPr>
      </w:r>
      <w:r>
        <w:rPr>
          <w:noProof/>
        </w:rPr>
        <w:fldChar w:fldCharType="separate"/>
      </w:r>
      <w:r>
        <w:rPr>
          <w:noProof/>
        </w:rPr>
        <w:t>21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Divulgation</w:t>
      </w:r>
      <w:r>
        <w:rPr>
          <w:noProof/>
        </w:rPr>
        <w:tab/>
      </w:r>
      <w:r>
        <w:rPr>
          <w:noProof/>
        </w:rPr>
        <w:fldChar w:fldCharType="begin"/>
      </w:r>
      <w:r>
        <w:rPr>
          <w:noProof/>
        </w:rPr>
        <w:instrText xml:space="preserve"> PAGEREF _Toc7772528 \h </w:instrText>
      </w:r>
      <w:r>
        <w:rPr>
          <w:noProof/>
        </w:rPr>
      </w:r>
      <w:r>
        <w:rPr>
          <w:noProof/>
        </w:rPr>
        <w:fldChar w:fldCharType="separate"/>
      </w:r>
      <w:r>
        <w:rPr>
          <w:noProof/>
        </w:rPr>
        <w:t>22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Documentation minimale du PCT</w:t>
      </w:r>
      <w:r>
        <w:rPr>
          <w:noProof/>
        </w:rPr>
        <w:tab/>
      </w:r>
      <w:r>
        <w:rPr>
          <w:noProof/>
        </w:rPr>
        <w:fldChar w:fldCharType="begin"/>
      </w:r>
      <w:r>
        <w:rPr>
          <w:noProof/>
        </w:rPr>
        <w:instrText xml:space="preserve"> PAGEREF _Toc7772529 \h </w:instrText>
      </w:r>
      <w:r>
        <w:rPr>
          <w:noProof/>
        </w:rPr>
      </w:r>
      <w:r>
        <w:rPr>
          <w:noProof/>
        </w:rPr>
        <w:fldChar w:fldCharType="separate"/>
      </w:r>
      <w:r>
        <w:rPr>
          <w:noProof/>
        </w:rPr>
        <w:t>22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Domaine public</w:t>
      </w:r>
      <w:r>
        <w:rPr>
          <w:noProof/>
        </w:rPr>
        <w:tab/>
      </w:r>
      <w:r>
        <w:rPr>
          <w:noProof/>
        </w:rPr>
        <w:fldChar w:fldCharType="begin"/>
      </w:r>
      <w:r>
        <w:rPr>
          <w:noProof/>
        </w:rPr>
        <w:instrText xml:space="preserve"> PAGEREF _Toc7772530 \h </w:instrText>
      </w:r>
      <w:r>
        <w:rPr>
          <w:noProof/>
        </w:rPr>
      </w:r>
      <w:r>
        <w:rPr>
          <w:noProof/>
        </w:rPr>
        <w:fldChar w:fldCharType="separate"/>
      </w:r>
      <w:r>
        <w:rPr>
          <w:noProof/>
        </w:rPr>
        <w:t>23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Droit et protocoles coutumiers</w:t>
      </w:r>
      <w:r>
        <w:rPr>
          <w:noProof/>
        </w:rPr>
        <w:tab/>
      </w:r>
      <w:r>
        <w:rPr>
          <w:noProof/>
        </w:rPr>
        <w:fldChar w:fldCharType="begin"/>
      </w:r>
      <w:r>
        <w:rPr>
          <w:noProof/>
        </w:rPr>
        <w:instrText xml:space="preserve"> PAGEREF _Toc7772531 \h </w:instrText>
      </w:r>
      <w:r>
        <w:rPr>
          <w:noProof/>
        </w:rPr>
      </w:r>
      <w:r>
        <w:rPr>
          <w:noProof/>
        </w:rPr>
        <w:fldChar w:fldCharType="separate"/>
      </w:r>
      <w:r>
        <w:rPr>
          <w:noProof/>
        </w:rPr>
        <w:t>23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Droits des agriculteurs</w:t>
      </w:r>
      <w:r>
        <w:rPr>
          <w:noProof/>
        </w:rPr>
        <w:tab/>
      </w:r>
      <w:r>
        <w:rPr>
          <w:noProof/>
        </w:rPr>
        <w:fldChar w:fldCharType="begin"/>
      </w:r>
      <w:r>
        <w:rPr>
          <w:noProof/>
        </w:rPr>
        <w:instrText xml:space="preserve"> PAGEREF _Toc7772532 \h </w:instrText>
      </w:r>
      <w:r>
        <w:rPr>
          <w:noProof/>
        </w:rPr>
      </w:r>
      <w:r>
        <w:rPr>
          <w:noProof/>
        </w:rPr>
        <w:fldChar w:fldCharType="separate"/>
      </w:r>
      <w:r>
        <w:rPr>
          <w:noProof/>
        </w:rPr>
        <w:t>24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État de la technique</w:t>
      </w:r>
      <w:r>
        <w:rPr>
          <w:noProof/>
        </w:rPr>
        <w:tab/>
      </w:r>
      <w:r>
        <w:rPr>
          <w:noProof/>
        </w:rPr>
        <w:fldChar w:fldCharType="begin"/>
      </w:r>
      <w:r>
        <w:rPr>
          <w:noProof/>
        </w:rPr>
        <w:instrText xml:space="preserve"> PAGEREF _Toc7772533 \h </w:instrText>
      </w:r>
      <w:r>
        <w:rPr>
          <w:noProof/>
        </w:rPr>
      </w:r>
      <w:r>
        <w:rPr>
          <w:noProof/>
        </w:rPr>
        <w:fldChar w:fldCharType="separate"/>
      </w:r>
      <w:r>
        <w:rPr>
          <w:noProof/>
        </w:rPr>
        <w:t>25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Exception</w:t>
      </w:r>
      <w:r>
        <w:rPr>
          <w:noProof/>
        </w:rPr>
        <w:tab/>
      </w:r>
      <w:r>
        <w:rPr>
          <w:noProof/>
        </w:rPr>
        <w:fldChar w:fldCharType="begin"/>
      </w:r>
      <w:r>
        <w:rPr>
          <w:noProof/>
        </w:rPr>
        <w:instrText xml:space="preserve"> PAGEREF _Toc7772534 \h </w:instrText>
      </w:r>
      <w:r>
        <w:rPr>
          <w:noProof/>
        </w:rPr>
      </w:r>
      <w:r>
        <w:rPr>
          <w:noProof/>
        </w:rPr>
        <w:fldChar w:fldCharType="separate"/>
      </w:r>
      <w:r>
        <w:rPr>
          <w:noProof/>
        </w:rPr>
        <w:t>26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Exigences de divulgation</w:t>
      </w:r>
      <w:r>
        <w:rPr>
          <w:noProof/>
        </w:rPr>
        <w:tab/>
      </w:r>
      <w:r>
        <w:rPr>
          <w:noProof/>
        </w:rPr>
        <w:fldChar w:fldCharType="begin"/>
      </w:r>
      <w:r>
        <w:rPr>
          <w:noProof/>
        </w:rPr>
        <w:instrText xml:space="preserve"> PAGEREF _Toc7772535 \h </w:instrText>
      </w:r>
      <w:r>
        <w:rPr>
          <w:noProof/>
        </w:rPr>
      </w:r>
      <w:r>
        <w:rPr>
          <w:noProof/>
        </w:rPr>
        <w:fldChar w:fldCharType="separate"/>
      </w:r>
      <w:r>
        <w:rPr>
          <w:noProof/>
        </w:rPr>
        <w:t>26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 par l</w:t>
      </w:r>
      <w:r w:rsidR="00D91476">
        <w:rPr>
          <w:noProof/>
        </w:rPr>
        <w:t>’</w:t>
      </w:r>
      <w:r>
        <w:rPr>
          <w:noProof/>
        </w:rPr>
        <w:t>action</w:t>
      </w:r>
      <w:r>
        <w:rPr>
          <w:noProof/>
        </w:rPr>
        <w:tab/>
      </w:r>
      <w:r>
        <w:rPr>
          <w:noProof/>
        </w:rPr>
        <w:fldChar w:fldCharType="begin"/>
      </w:r>
      <w:r>
        <w:rPr>
          <w:noProof/>
        </w:rPr>
        <w:instrText xml:space="preserve"> PAGEREF _Toc7772536 \h </w:instrText>
      </w:r>
      <w:r>
        <w:rPr>
          <w:noProof/>
        </w:rPr>
      </w:r>
      <w:r>
        <w:rPr>
          <w:noProof/>
        </w:rPr>
        <w:fldChar w:fldCharType="separate"/>
      </w:r>
      <w:r>
        <w:rPr>
          <w:noProof/>
        </w:rPr>
        <w:t>27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Expressions culturelles</w:t>
      </w:r>
      <w:r>
        <w:rPr>
          <w:noProof/>
        </w:rPr>
        <w:tab/>
      </w:r>
      <w:r>
        <w:rPr>
          <w:noProof/>
        </w:rPr>
        <w:fldChar w:fldCharType="begin"/>
      </w:r>
      <w:r>
        <w:rPr>
          <w:noProof/>
        </w:rPr>
        <w:instrText xml:space="preserve"> PAGEREF _Toc7772537 \h </w:instrText>
      </w:r>
      <w:r>
        <w:rPr>
          <w:noProof/>
        </w:rPr>
      </w:r>
      <w:r>
        <w:rPr>
          <w:noProof/>
        </w:rPr>
        <w:fldChar w:fldCharType="separate"/>
      </w:r>
      <w:r>
        <w:rPr>
          <w:noProof/>
        </w:rPr>
        <w:t>27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Expressions culturelles traditionnelles</w:t>
      </w:r>
      <w:r>
        <w:rPr>
          <w:noProof/>
        </w:rPr>
        <w:tab/>
      </w:r>
      <w:r>
        <w:rPr>
          <w:noProof/>
        </w:rPr>
        <w:fldChar w:fldCharType="begin"/>
      </w:r>
      <w:r>
        <w:rPr>
          <w:noProof/>
        </w:rPr>
        <w:instrText xml:space="preserve"> PAGEREF _Toc7772538 \h </w:instrText>
      </w:r>
      <w:r>
        <w:rPr>
          <w:noProof/>
        </w:rPr>
      </w:r>
      <w:r>
        <w:rPr>
          <w:noProof/>
        </w:rPr>
        <w:fldChar w:fldCharType="separate"/>
      </w:r>
      <w:r>
        <w:rPr>
          <w:noProof/>
        </w:rPr>
        <w:t>27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Expressions du folklore</w:t>
      </w:r>
      <w:r>
        <w:rPr>
          <w:noProof/>
        </w:rPr>
        <w:tab/>
      </w:r>
      <w:r>
        <w:rPr>
          <w:noProof/>
        </w:rPr>
        <w:fldChar w:fldCharType="begin"/>
      </w:r>
      <w:r>
        <w:rPr>
          <w:noProof/>
        </w:rPr>
        <w:instrText xml:space="preserve"> PAGEREF _Toc7772539 \h </w:instrText>
      </w:r>
      <w:r>
        <w:rPr>
          <w:noProof/>
        </w:rPr>
      </w:r>
      <w:r>
        <w:rPr>
          <w:noProof/>
        </w:rPr>
        <w:fldChar w:fldCharType="separate"/>
      </w:r>
      <w:r>
        <w:rPr>
          <w:noProof/>
        </w:rPr>
        <w:t>28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Expressions tangibles</w:t>
      </w:r>
      <w:r>
        <w:rPr>
          <w:noProof/>
        </w:rPr>
        <w:tab/>
      </w:r>
      <w:r>
        <w:rPr>
          <w:noProof/>
        </w:rPr>
        <w:fldChar w:fldCharType="begin"/>
      </w:r>
      <w:r>
        <w:rPr>
          <w:noProof/>
        </w:rPr>
        <w:instrText xml:space="preserve"> PAGEREF _Toc7772540 \h </w:instrText>
      </w:r>
      <w:r>
        <w:rPr>
          <w:noProof/>
        </w:rPr>
      </w:r>
      <w:r>
        <w:rPr>
          <w:noProof/>
        </w:rPr>
        <w:fldChar w:fldCharType="separate"/>
      </w:r>
      <w:r>
        <w:rPr>
          <w:noProof/>
        </w:rPr>
        <w:t>28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Fixation (“documentation” en anglais)</w:t>
      </w:r>
      <w:r>
        <w:rPr>
          <w:noProof/>
        </w:rPr>
        <w:tab/>
      </w:r>
      <w:r>
        <w:rPr>
          <w:noProof/>
        </w:rPr>
        <w:fldChar w:fldCharType="begin"/>
      </w:r>
      <w:r>
        <w:rPr>
          <w:noProof/>
        </w:rPr>
        <w:instrText xml:space="preserve"> PAGEREF _Toc7772541 \h </w:instrText>
      </w:r>
      <w:r>
        <w:rPr>
          <w:noProof/>
        </w:rPr>
      </w:r>
      <w:r>
        <w:rPr>
          <w:noProof/>
        </w:rPr>
        <w:fldChar w:fldCharType="separate"/>
      </w:r>
      <w:r>
        <w:rPr>
          <w:noProof/>
        </w:rPr>
        <w:t>29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Fixation (“fixation” en anglais)</w:t>
      </w:r>
      <w:r>
        <w:rPr>
          <w:noProof/>
        </w:rPr>
        <w:tab/>
      </w:r>
      <w:r>
        <w:rPr>
          <w:noProof/>
        </w:rPr>
        <w:fldChar w:fldCharType="begin"/>
      </w:r>
      <w:r>
        <w:rPr>
          <w:noProof/>
        </w:rPr>
        <w:instrText xml:space="preserve"> PAGEREF _Toc7772542 \h </w:instrText>
      </w:r>
      <w:r>
        <w:rPr>
          <w:noProof/>
        </w:rPr>
      </w:r>
      <w:r>
        <w:rPr>
          <w:noProof/>
        </w:rPr>
        <w:fldChar w:fldCharType="separate"/>
      </w:r>
      <w:r>
        <w:rPr>
          <w:noProof/>
        </w:rPr>
        <w:t>29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Folklore</w:t>
      </w:r>
      <w:r>
        <w:rPr>
          <w:noProof/>
        </w:rPr>
        <w:tab/>
      </w:r>
      <w:r>
        <w:rPr>
          <w:noProof/>
        </w:rPr>
        <w:fldChar w:fldCharType="begin"/>
      </w:r>
      <w:r>
        <w:rPr>
          <w:noProof/>
        </w:rPr>
        <w:instrText xml:space="preserve"> PAGEREF _Toc7772543 \h </w:instrText>
      </w:r>
      <w:r>
        <w:rPr>
          <w:noProof/>
        </w:rPr>
      </w:r>
      <w:r>
        <w:rPr>
          <w:noProof/>
        </w:rPr>
        <w:fldChar w:fldCharType="separate"/>
      </w:r>
      <w:r>
        <w:rPr>
          <w:noProof/>
        </w:rPr>
        <w:t>29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Formalité</w:t>
      </w:r>
      <w:r>
        <w:rPr>
          <w:noProof/>
        </w:rPr>
        <w:tab/>
      </w:r>
      <w:r>
        <w:rPr>
          <w:noProof/>
        </w:rPr>
        <w:fldChar w:fldCharType="begin"/>
      </w:r>
      <w:r>
        <w:rPr>
          <w:noProof/>
        </w:rPr>
        <w:instrText xml:space="preserve"> PAGEREF _Toc7772544 \h </w:instrText>
      </w:r>
      <w:r>
        <w:rPr>
          <w:noProof/>
        </w:rPr>
      </w:r>
      <w:r>
        <w:rPr>
          <w:noProof/>
        </w:rPr>
        <w:fldChar w:fldCharType="separate"/>
      </w:r>
      <w:r>
        <w:rPr>
          <w:noProof/>
        </w:rPr>
        <w:t>30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Fournisseurs et destinataires de ressources génétiques</w:t>
      </w:r>
      <w:r>
        <w:rPr>
          <w:noProof/>
        </w:rPr>
        <w:tab/>
      </w:r>
      <w:r>
        <w:rPr>
          <w:noProof/>
        </w:rPr>
        <w:fldChar w:fldCharType="begin"/>
      </w:r>
      <w:r>
        <w:rPr>
          <w:noProof/>
        </w:rPr>
        <w:instrText xml:space="preserve"> PAGEREF _Toc7772545 \h </w:instrText>
      </w:r>
      <w:r>
        <w:rPr>
          <w:noProof/>
        </w:rPr>
      </w:r>
      <w:r>
        <w:rPr>
          <w:noProof/>
        </w:rPr>
        <w:fldChar w:fldCharType="separate"/>
      </w:r>
      <w:r>
        <w:rPr>
          <w:noProof/>
        </w:rPr>
        <w:t>31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Identité culturelle</w:t>
      </w:r>
      <w:r>
        <w:rPr>
          <w:noProof/>
        </w:rPr>
        <w:tab/>
      </w:r>
      <w:r>
        <w:rPr>
          <w:noProof/>
        </w:rPr>
        <w:fldChar w:fldCharType="begin"/>
      </w:r>
      <w:r>
        <w:rPr>
          <w:noProof/>
        </w:rPr>
        <w:instrText xml:space="preserve"> PAGEREF _Toc7772546 \h </w:instrText>
      </w:r>
      <w:r>
        <w:rPr>
          <w:noProof/>
        </w:rPr>
      </w:r>
      <w:r>
        <w:rPr>
          <w:noProof/>
        </w:rPr>
        <w:fldChar w:fldCharType="separate"/>
      </w:r>
      <w:r>
        <w:rPr>
          <w:noProof/>
        </w:rPr>
        <w:t>31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Instrument de l</w:t>
      </w:r>
      <w:r w:rsidR="00D91476">
        <w:rPr>
          <w:noProof/>
        </w:rPr>
        <w:t>’</w:t>
      </w:r>
      <w:r>
        <w:rPr>
          <w:noProof/>
        </w:rPr>
        <w:t>OMPI sur la fixation des savoirs traditionnels (Instrument d</w:t>
      </w:r>
      <w:r w:rsidR="00D91476">
        <w:rPr>
          <w:noProof/>
        </w:rPr>
        <w:t>’</w:t>
      </w:r>
      <w:r>
        <w:rPr>
          <w:noProof/>
        </w:rPr>
        <w:t>aide à la fixation des savoirs traditionnels)</w:t>
      </w:r>
      <w:r>
        <w:rPr>
          <w:noProof/>
        </w:rPr>
        <w:tab/>
      </w:r>
      <w:r>
        <w:rPr>
          <w:noProof/>
        </w:rPr>
        <w:fldChar w:fldCharType="begin"/>
      </w:r>
      <w:r>
        <w:rPr>
          <w:noProof/>
        </w:rPr>
        <w:instrText xml:space="preserve"> PAGEREF _Toc7772547 \h </w:instrText>
      </w:r>
      <w:r>
        <w:rPr>
          <w:noProof/>
        </w:rPr>
      </w:r>
      <w:r>
        <w:rPr>
          <w:noProof/>
        </w:rPr>
        <w:fldChar w:fldCharType="separate"/>
      </w:r>
      <w:r>
        <w:rPr>
          <w:noProof/>
        </w:rPr>
        <w:t>31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Intégrité</w:t>
      </w:r>
      <w:r>
        <w:rPr>
          <w:noProof/>
        </w:rPr>
        <w:tab/>
      </w:r>
      <w:r>
        <w:rPr>
          <w:noProof/>
        </w:rPr>
        <w:fldChar w:fldCharType="begin"/>
      </w:r>
      <w:r>
        <w:rPr>
          <w:noProof/>
        </w:rPr>
        <w:instrText xml:space="preserve"> PAGEREF _Toc7772548 \h </w:instrText>
      </w:r>
      <w:r>
        <w:rPr>
          <w:noProof/>
        </w:rPr>
      </w:r>
      <w:r>
        <w:rPr>
          <w:noProof/>
        </w:rPr>
        <w:fldChar w:fldCharType="separate"/>
      </w:r>
      <w:r>
        <w:rPr>
          <w:noProof/>
        </w:rPr>
        <w:t>32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Inventions biotechnologiques</w:t>
      </w:r>
      <w:r>
        <w:rPr>
          <w:noProof/>
        </w:rPr>
        <w:tab/>
      </w:r>
      <w:r>
        <w:rPr>
          <w:noProof/>
        </w:rPr>
        <w:fldChar w:fldCharType="begin"/>
      </w:r>
      <w:r>
        <w:rPr>
          <w:noProof/>
        </w:rPr>
        <w:instrText xml:space="preserve"> PAGEREF _Toc7772549 \h </w:instrText>
      </w:r>
      <w:r>
        <w:rPr>
          <w:noProof/>
        </w:rPr>
      </w:r>
      <w:r>
        <w:rPr>
          <w:noProof/>
        </w:rPr>
        <w:fldChar w:fldCharType="separate"/>
      </w:r>
      <w:r>
        <w:rPr>
          <w:noProof/>
        </w:rPr>
        <w:t>32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Lignes directrices de Bonn sur l</w:t>
      </w:r>
      <w:r w:rsidR="00D91476">
        <w:rPr>
          <w:noProof/>
        </w:rPr>
        <w:t>’</w:t>
      </w:r>
      <w:r>
        <w:rPr>
          <w:noProof/>
        </w:rPr>
        <w:t>accès aux ressources génétiques et le partage juste et équitable des avantages résultant de leur utilisation</w:t>
      </w:r>
      <w:r>
        <w:rPr>
          <w:noProof/>
        </w:rPr>
        <w:tab/>
      </w:r>
      <w:r>
        <w:rPr>
          <w:noProof/>
        </w:rPr>
        <w:fldChar w:fldCharType="begin"/>
      </w:r>
      <w:r>
        <w:rPr>
          <w:noProof/>
        </w:rPr>
        <w:instrText xml:space="preserve"> PAGEREF _Toc7772550 \h </w:instrText>
      </w:r>
      <w:r>
        <w:rPr>
          <w:noProof/>
        </w:rPr>
      </w:r>
      <w:r>
        <w:rPr>
          <w:noProof/>
        </w:rPr>
        <w:fldChar w:fldCharType="separate"/>
      </w:r>
      <w:r>
        <w:rPr>
          <w:noProof/>
        </w:rPr>
        <w:t>32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Limitations</w:t>
      </w:r>
      <w:r>
        <w:rPr>
          <w:noProof/>
        </w:rPr>
        <w:tab/>
      </w:r>
      <w:r>
        <w:rPr>
          <w:noProof/>
        </w:rPr>
        <w:fldChar w:fldCharType="begin"/>
      </w:r>
      <w:r>
        <w:rPr>
          <w:noProof/>
        </w:rPr>
        <w:instrText xml:space="preserve"> PAGEREF _Toc7772551 \h </w:instrText>
      </w:r>
      <w:r>
        <w:rPr>
          <w:noProof/>
        </w:rPr>
      </w:r>
      <w:r>
        <w:rPr>
          <w:noProof/>
        </w:rPr>
        <w:fldChar w:fldCharType="separate"/>
      </w:r>
      <w:r>
        <w:rPr>
          <w:noProof/>
        </w:rPr>
        <w:t>32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Matériel génétique</w:t>
      </w:r>
      <w:r>
        <w:rPr>
          <w:noProof/>
        </w:rPr>
        <w:tab/>
      </w:r>
      <w:r>
        <w:rPr>
          <w:noProof/>
        </w:rPr>
        <w:fldChar w:fldCharType="begin"/>
      </w:r>
      <w:r>
        <w:rPr>
          <w:noProof/>
        </w:rPr>
        <w:instrText xml:space="preserve"> PAGEREF _Toc7772552 \h </w:instrText>
      </w:r>
      <w:r>
        <w:rPr>
          <w:noProof/>
        </w:rPr>
      </w:r>
      <w:r>
        <w:rPr>
          <w:noProof/>
        </w:rPr>
        <w:fldChar w:fldCharType="separate"/>
      </w:r>
      <w:r>
        <w:rPr>
          <w:noProof/>
        </w:rPr>
        <w:t>33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Mécanisme d</w:t>
      </w:r>
      <w:r w:rsidR="00D91476">
        <w:rPr>
          <w:noProof/>
        </w:rPr>
        <w:t>’</w:t>
      </w:r>
      <w:r>
        <w:rPr>
          <w:noProof/>
        </w:rPr>
        <w:t>échange d</w:t>
      </w:r>
      <w:r w:rsidR="00D91476">
        <w:rPr>
          <w:noProof/>
        </w:rPr>
        <w:t>’</w:t>
      </w:r>
      <w:r>
        <w:rPr>
          <w:noProof/>
        </w:rPr>
        <w:t>information</w:t>
      </w:r>
      <w:r>
        <w:rPr>
          <w:noProof/>
        </w:rPr>
        <w:tab/>
      </w:r>
      <w:r>
        <w:rPr>
          <w:noProof/>
        </w:rPr>
        <w:fldChar w:fldCharType="begin"/>
      </w:r>
      <w:r>
        <w:rPr>
          <w:noProof/>
        </w:rPr>
        <w:instrText xml:space="preserve"> PAGEREF _Toc7772553 \h </w:instrText>
      </w:r>
      <w:r>
        <w:rPr>
          <w:noProof/>
        </w:rPr>
      </w:r>
      <w:r>
        <w:rPr>
          <w:noProof/>
        </w:rPr>
        <w:fldChar w:fldCharType="separate"/>
      </w:r>
      <w:r>
        <w:rPr>
          <w:noProof/>
        </w:rPr>
        <w:t>33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Médecine traditionnelle</w:t>
      </w:r>
      <w:r>
        <w:rPr>
          <w:noProof/>
        </w:rPr>
        <w:tab/>
      </w:r>
      <w:r>
        <w:rPr>
          <w:noProof/>
        </w:rPr>
        <w:fldChar w:fldCharType="begin"/>
      </w:r>
      <w:r>
        <w:rPr>
          <w:noProof/>
        </w:rPr>
        <w:instrText xml:space="preserve"> PAGEREF _Toc7772554 \h </w:instrText>
      </w:r>
      <w:r>
        <w:rPr>
          <w:noProof/>
        </w:rPr>
      </w:r>
      <w:r>
        <w:rPr>
          <w:noProof/>
        </w:rPr>
        <w:fldChar w:fldCharType="separate"/>
      </w:r>
      <w:r>
        <w:rPr>
          <w:noProof/>
        </w:rPr>
        <w:t>33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Minorité</w:t>
      </w:r>
      <w:r>
        <w:rPr>
          <w:noProof/>
        </w:rPr>
        <w:tab/>
      </w:r>
      <w:r>
        <w:rPr>
          <w:noProof/>
        </w:rPr>
        <w:fldChar w:fldCharType="begin"/>
      </w:r>
      <w:r>
        <w:rPr>
          <w:noProof/>
        </w:rPr>
        <w:instrText xml:space="preserve"> PAGEREF _Toc7772555 \h </w:instrText>
      </w:r>
      <w:r>
        <w:rPr>
          <w:noProof/>
        </w:rPr>
      </w:r>
      <w:r>
        <w:rPr>
          <w:noProof/>
        </w:rPr>
        <w:fldChar w:fldCharType="separate"/>
      </w:r>
      <w:r>
        <w:rPr>
          <w:noProof/>
        </w:rPr>
        <w:t>34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Modification</w:t>
      </w:r>
      <w:r>
        <w:rPr>
          <w:noProof/>
        </w:rPr>
        <w:tab/>
      </w:r>
      <w:r>
        <w:rPr>
          <w:noProof/>
        </w:rPr>
        <w:fldChar w:fldCharType="begin"/>
      </w:r>
      <w:r>
        <w:rPr>
          <w:noProof/>
        </w:rPr>
        <w:instrText xml:space="preserve"> PAGEREF _Toc7772556 \h </w:instrText>
      </w:r>
      <w:r>
        <w:rPr>
          <w:noProof/>
        </w:rPr>
      </w:r>
      <w:r>
        <w:rPr>
          <w:noProof/>
        </w:rPr>
        <w:fldChar w:fldCharType="separate"/>
      </w:r>
      <w:r>
        <w:rPr>
          <w:noProof/>
        </w:rPr>
        <w:t>34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Mutilation</w:t>
      </w:r>
      <w:r>
        <w:rPr>
          <w:noProof/>
        </w:rPr>
        <w:tab/>
      </w:r>
      <w:r>
        <w:rPr>
          <w:noProof/>
        </w:rPr>
        <w:fldChar w:fldCharType="begin"/>
      </w:r>
      <w:r>
        <w:rPr>
          <w:noProof/>
        </w:rPr>
        <w:instrText xml:space="preserve"> PAGEREF _Toc7772557 \h </w:instrText>
      </w:r>
      <w:r>
        <w:rPr>
          <w:noProof/>
        </w:rPr>
      </w:r>
      <w:r>
        <w:rPr>
          <w:noProof/>
        </w:rPr>
        <w:fldChar w:fldCharType="separate"/>
      </w:r>
      <w:r>
        <w:rPr>
          <w:noProof/>
        </w:rPr>
        <w:t>34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Nation</w:t>
      </w:r>
      <w:r>
        <w:rPr>
          <w:noProof/>
        </w:rPr>
        <w:tab/>
      </w:r>
      <w:r>
        <w:rPr>
          <w:noProof/>
        </w:rPr>
        <w:fldChar w:fldCharType="begin"/>
      </w:r>
      <w:r>
        <w:rPr>
          <w:noProof/>
        </w:rPr>
        <w:instrText xml:space="preserve"> PAGEREF _Toc7772558 \h </w:instrText>
      </w:r>
      <w:r>
        <w:rPr>
          <w:noProof/>
        </w:rPr>
      </w:r>
      <w:r>
        <w:rPr>
          <w:noProof/>
        </w:rPr>
        <w:fldChar w:fldCharType="separate"/>
      </w:r>
      <w:r>
        <w:rPr>
          <w:noProof/>
        </w:rPr>
        <w:t>35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Nouveauté</w:t>
      </w:r>
      <w:r>
        <w:rPr>
          <w:noProof/>
        </w:rPr>
        <w:tab/>
      </w:r>
      <w:r>
        <w:rPr>
          <w:noProof/>
        </w:rPr>
        <w:fldChar w:fldCharType="begin"/>
      </w:r>
      <w:r>
        <w:rPr>
          <w:noProof/>
        </w:rPr>
        <w:instrText xml:space="preserve"> PAGEREF _Toc7772559 \h </w:instrText>
      </w:r>
      <w:r>
        <w:rPr>
          <w:noProof/>
        </w:rPr>
      </w:r>
      <w:r>
        <w:rPr>
          <w:noProof/>
        </w:rPr>
        <w:fldChar w:fldCharType="separate"/>
      </w:r>
      <w:r>
        <w:rPr>
          <w:noProof/>
        </w:rPr>
        <w:t>35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Œuvre dérivée</w:t>
      </w:r>
      <w:r>
        <w:rPr>
          <w:noProof/>
        </w:rPr>
        <w:tab/>
      </w:r>
      <w:r>
        <w:rPr>
          <w:noProof/>
        </w:rPr>
        <w:fldChar w:fldCharType="begin"/>
      </w:r>
      <w:r>
        <w:rPr>
          <w:noProof/>
        </w:rPr>
        <w:instrText xml:space="preserve"> PAGEREF _Toc7772560 \h </w:instrText>
      </w:r>
      <w:r>
        <w:rPr>
          <w:noProof/>
        </w:rPr>
      </w:r>
      <w:r>
        <w:rPr>
          <w:noProof/>
        </w:rPr>
        <w:fldChar w:fldCharType="separate"/>
      </w:r>
      <w:r>
        <w:rPr>
          <w:noProof/>
        </w:rPr>
        <w:t>36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Offensant</w:t>
      </w:r>
      <w:r>
        <w:rPr>
          <w:noProof/>
        </w:rPr>
        <w:tab/>
      </w:r>
      <w:r>
        <w:rPr>
          <w:noProof/>
        </w:rPr>
        <w:fldChar w:fldCharType="begin"/>
      </w:r>
      <w:r>
        <w:rPr>
          <w:noProof/>
        </w:rPr>
        <w:instrText xml:space="preserve"> PAGEREF _Toc7772561 \h </w:instrText>
      </w:r>
      <w:r>
        <w:rPr>
          <w:noProof/>
        </w:rPr>
      </w:r>
      <w:r>
        <w:rPr>
          <w:noProof/>
        </w:rPr>
        <w:fldChar w:fldCharType="separate"/>
      </w:r>
      <w:r>
        <w:rPr>
          <w:noProof/>
        </w:rPr>
        <w:t>36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Patrimoine (des peuples autochtones)</w:t>
      </w:r>
      <w:r>
        <w:rPr>
          <w:noProof/>
        </w:rPr>
        <w:tab/>
      </w:r>
      <w:r>
        <w:rPr>
          <w:noProof/>
        </w:rPr>
        <w:fldChar w:fldCharType="begin"/>
      </w:r>
      <w:r>
        <w:rPr>
          <w:noProof/>
        </w:rPr>
        <w:instrText xml:space="preserve"> PAGEREF _Toc7772562 \h </w:instrText>
      </w:r>
      <w:r>
        <w:rPr>
          <w:noProof/>
        </w:rPr>
      </w:r>
      <w:r>
        <w:rPr>
          <w:noProof/>
        </w:rPr>
        <w:fldChar w:fldCharType="separate"/>
      </w:r>
      <w:r>
        <w:rPr>
          <w:noProof/>
        </w:rPr>
        <w:t>37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Patrimoine culturel</w:t>
      </w:r>
      <w:r>
        <w:rPr>
          <w:noProof/>
        </w:rPr>
        <w:tab/>
      </w:r>
      <w:r>
        <w:rPr>
          <w:noProof/>
        </w:rPr>
        <w:fldChar w:fldCharType="begin"/>
      </w:r>
      <w:r>
        <w:rPr>
          <w:noProof/>
        </w:rPr>
        <w:instrText xml:space="preserve"> PAGEREF _Toc7772563 \h </w:instrText>
      </w:r>
      <w:r>
        <w:rPr>
          <w:noProof/>
        </w:rPr>
      </w:r>
      <w:r>
        <w:rPr>
          <w:noProof/>
        </w:rPr>
        <w:fldChar w:fldCharType="separate"/>
      </w:r>
      <w:r>
        <w:rPr>
          <w:noProof/>
        </w:rPr>
        <w:t>37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Patrimoine culturel immatériel</w:t>
      </w:r>
      <w:r>
        <w:rPr>
          <w:noProof/>
        </w:rPr>
        <w:tab/>
      </w:r>
      <w:r>
        <w:rPr>
          <w:noProof/>
        </w:rPr>
        <w:fldChar w:fldCharType="begin"/>
      </w:r>
      <w:r>
        <w:rPr>
          <w:noProof/>
        </w:rPr>
        <w:instrText xml:space="preserve"> PAGEREF _Toc7772564 \h </w:instrText>
      </w:r>
      <w:r>
        <w:rPr>
          <w:noProof/>
        </w:rPr>
      </w:r>
      <w:r>
        <w:rPr>
          <w:noProof/>
        </w:rPr>
        <w:fldChar w:fldCharType="separate"/>
      </w:r>
      <w:r>
        <w:rPr>
          <w:noProof/>
        </w:rPr>
        <w:t>38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Pays d</w:t>
      </w:r>
      <w:r w:rsidR="00D91476">
        <w:rPr>
          <w:noProof/>
        </w:rPr>
        <w:t>’</w:t>
      </w:r>
      <w:r>
        <w:rPr>
          <w:noProof/>
        </w:rPr>
        <w:t>origine des ressources génétiques</w:t>
      </w:r>
      <w:r>
        <w:rPr>
          <w:noProof/>
        </w:rPr>
        <w:tab/>
      </w:r>
      <w:r>
        <w:rPr>
          <w:noProof/>
        </w:rPr>
        <w:fldChar w:fldCharType="begin"/>
      </w:r>
      <w:r>
        <w:rPr>
          <w:noProof/>
        </w:rPr>
        <w:instrText xml:space="preserve"> PAGEREF _Toc7772565 \h </w:instrText>
      </w:r>
      <w:r>
        <w:rPr>
          <w:noProof/>
        </w:rPr>
      </w:r>
      <w:r>
        <w:rPr>
          <w:noProof/>
        </w:rPr>
        <w:fldChar w:fldCharType="separate"/>
      </w:r>
      <w:r>
        <w:rPr>
          <w:noProof/>
        </w:rPr>
        <w:t>38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Pays fournisseur de ressources génétiques</w:t>
      </w:r>
      <w:r>
        <w:rPr>
          <w:noProof/>
        </w:rPr>
        <w:tab/>
      </w:r>
      <w:r>
        <w:rPr>
          <w:noProof/>
        </w:rPr>
        <w:fldChar w:fldCharType="begin"/>
      </w:r>
      <w:r>
        <w:rPr>
          <w:noProof/>
        </w:rPr>
        <w:instrText xml:space="preserve"> PAGEREF _Toc7772566 \h </w:instrText>
      </w:r>
      <w:r>
        <w:rPr>
          <w:noProof/>
        </w:rPr>
      </w:r>
      <w:r>
        <w:rPr>
          <w:noProof/>
        </w:rPr>
        <w:fldChar w:fldCharType="separate"/>
      </w:r>
      <w:r>
        <w:rPr>
          <w:noProof/>
        </w:rPr>
        <w:t>38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Peuples autochtones</w:t>
      </w:r>
      <w:r>
        <w:rPr>
          <w:noProof/>
        </w:rPr>
        <w:tab/>
      </w:r>
      <w:r>
        <w:rPr>
          <w:noProof/>
        </w:rPr>
        <w:fldChar w:fldCharType="begin"/>
      </w:r>
      <w:r>
        <w:rPr>
          <w:noProof/>
        </w:rPr>
        <w:instrText xml:space="preserve"> PAGEREF _Toc7772567 \h </w:instrText>
      </w:r>
      <w:r>
        <w:rPr>
          <w:noProof/>
        </w:rPr>
      </w:r>
      <w:r>
        <w:rPr>
          <w:noProof/>
        </w:rPr>
        <w:fldChar w:fldCharType="separate"/>
      </w:r>
      <w:r>
        <w:rPr>
          <w:noProof/>
        </w:rPr>
        <w:t>39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Pratiques coutumières</w:t>
      </w:r>
      <w:r>
        <w:rPr>
          <w:noProof/>
        </w:rPr>
        <w:tab/>
      </w:r>
      <w:r>
        <w:rPr>
          <w:noProof/>
        </w:rPr>
        <w:fldChar w:fldCharType="begin"/>
      </w:r>
      <w:r>
        <w:rPr>
          <w:noProof/>
        </w:rPr>
        <w:instrText xml:space="preserve"> PAGEREF _Toc7772568 \h </w:instrText>
      </w:r>
      <w:r>
        <w:rPr>
          <w:noProof/>
        </w:rPr>
      </w:r>
      <w:r>
        <w:rPr>
          <w:noProof/>
        </w:rPr>
        <w:fldChar w:fldCharType="separate"/>
      </w:r>
      <w:r>
        <w:rPr>
          <w:noProof/>
        </w:rPr>
        <w:t>42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Préservation</w:t>
      </w:r>
      <w:r>
        <w:rPr>
          <w:noProof/>
        </w:rPr>
        <w:tab/>
      </w:r>
      <w:r>
        <w:rPr>
          <w:noProof/>
        </w:rPr>
        <w:fldChar w:fldCharType="begin"/>
      </w:r>
      <w:r>
        <w:rPr>
          <w:noProof/>
        </w:rPr>
        <w:instrText xml:space="preserve"> PAGEREF _Toc7772569 \h </w:instrText>
      </w:r>
      <w:r>
        <w:rPr>
          <w:noProof/>
        </w:rPr>
      </w:r>
      <w:r>
        <w:rPr>
          <w:noProof/>
        </w:rPr>
        <w:fldChar w:fldCharType="separate"/>
      </w:r>
      <w:r>
        <w:rPr>
          <w:noProof/>
        </w:rPr>
        <w:t>42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Principes directeurs de propriété intellectuelle applicables aux contrats concernant l</w:t>
      </w:r>
      <w:r w:rsidR="00D91476">
        <w:rPr>
          <w:noProof/>
        </w:rPr>
        <w:t>’</w:t>
      </w:r>
      <w:r>
        <w:rPr>
          <w:noProof/>
        </w:rPr>
        <w:t>accès et le partage des avantages</w:t>
      </w:r>
      <w:r>
        <w:rPr>
          <w:noProof/>
        </w:rPr>
        <w:tab/>
      </w:r>
      <w:r>
        <w:rPr>
          <w:noProof/>
        </w:rPr>
        <w:fldChar w:fldCharType="begin"/>
      </w:r>
      <w:r>
        <w:rPr>
          <w:noProof/>
        </w:rPr>
        <w:instrText xml:space="preserve"> PAGEREF _Toc7772570 \h </w:instrText>
      </w:r>
      <w:r>
        <w:rPr>
          <w:noProof/>
        </w:rPr>
      </w:r>
      <w:r>
        <w:rPr>
          <w:noProof/>
        </w:rPr>
        <w:fldChar w:fldCharType="separate"/>
      </w:r>
      <w:r>
        <w:rPr>
          <w:noProof/>
        </w:rPr>
        <w:t>42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Propriété culturelle</w:t>
      </w:r>
      <w:r>
        <w:rPr>
          <w:noProof/>
        </w:rPr>
        <w:tab/>
      </w:r>
      <w:r>
        <w:rPr>
          <w:noProof/>
        </w:rPr>
        <w:fldChar w:fldCharType="begin"/>
      </w:r>
      <w:r>
        <w:rPr>
          <w:noProof/>
        </w:rPr>
        <w:instrText xml:space="preserve"> PAGEREF _Toc7772571 \h </w:instrText>
      </w:r>
      <w:r>
        <w:rPr>
          <w:noProof/>
        </w:rPr>
      </w:r>
      <w:r>
        <w:rPr>
          <w:noProof/>
        </w:rPr>
        <w:fldChar w:fldCharType="separate"/>
      </w:r>
      <w:r>
        <w:rPr>
          <w:noProof/>
        </w:rPr>
        <w:t>43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Protection</w:t>
      </w:r>
      <w:r>
        <w:rPr>
          <w:noProof/>
        </w:rPr>
        <w:tab/>
      </w:r>
      <w:r>
        <w:rPr>
          <w:noProof/>
        </w:rPr>
        <w:fldChar w:fldCharType="begin"/>
      </w:r>
      <w:r>
        <w:rPr>
          <w:noProof/>
        </w:rPr>
        <w:instrText xml:space="preserve"> PAGEREF _Toc7772572 \h </w:instrText>
      </w:r>
      <w:r>
        <w:rPr>
          <w:noProof/>
        </w:rPr>
      </w:r>
      <w:r>
        <w:rPr>
          <w:noProof/>
        </w:rPr>
        <w:fldChar w:fldCharType="separate"/>
      </w:r>
      <w:r>
        <w:rPr>
          <w:noProof/>
        </w:rPr>
        <w:t>44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Protocole</w:t>
      </w:r>
      <w:r>
        <w:rPr>
          <w:noProof/>
        </w:rPr>
        <w:tab/>
      </w:r>
      <w:r>
        <w:rPr>
          <w:noProof/>
        </w:rPr>
        <w:fldChar w:fldCharType="begin"/>
      </w:r>
      <w:r>
        <w:rPr>
          <w:noProof/>
        </w:rPr>
        <w:instrText xml:space="preserve"> PAGEREF _Toc7772573 \h </w:instrText>
      </w:r>
      <w:r>
        <w:rPr>
          <w:noProof/>
        </w:rPr>
      </w:r>
      <w:r>
        <w:rPr>
          <w:noProof/>
        </w:rPr>
        <w:fldChar w:fldCharType="separate"/>
      </w:r>
      <w:r>
        <w:rPr>
          <w:noProof/>
        </w:rPr>
        <w:t>44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Protocole de Nagoya sur l</w:t>
      </w:r>
      <w:r w:rsidR="00D91476">
        <w:rPr>
          <w:noProof/>
        </w:rPr>
        <w:t>’</w:t>
      </w:r>
      <w:r>
        <w:rPr>
          <w:noProof/>
        </w:rPr>
        <w:t>accès aux ressources génétiques et le partage juste et équitable des avantages découlant de leur utilisation relatif à la Convention sur la diversité biologique (2010)</w:t>
      </w:r>
      <w:r>
        <w:rPr>
          <w:noProof/>
        </w:rPr>
        <w:tab/>
      </w:r>
      <w:r>
        <w:rPr>
          <w:noProof/>
        </w:rPr>
        <w:fldChar w:fldCharType="begin"/>
      </w:r>
      <w:r>
        <w:rPr>
          <w:noProof/>
        </w:rPr>
        <w:instrText xml:space="preserve"> PAGEREF _Toc7772574 \h </w:instrText>
      </w:r>
      <w:r>
        <w:rPr>
          <w:noProof/>
        </w:rPr>
      </w:r>
      <w:r>
        <w:rPr>
          <w:noProof/>
        </w:rPr>
        <w:fldChar w:fldCharType="separate"/>
      </w:r>
      <w:r>
        <w:rPr>
          <w:noProof/>
        </w:rPr>
        <w:t>45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Protocole de Swakopmund relatif à la protection des savoirs traditionnels et des expressions du folklore</w:t>
      </w:r>
      <w:r>
        <w:rPr>
          <w:noProof/>
        </w:rPr>
        <w:tab/>
      </w:r>
      <w:r>
        <w:rPr>
          <w:noProof/>
        </w:rPr>
        <w:fldChar w:fldCharType="begin"/>
      </w:r>
      <w:r>
        <w:rPr>
          <w:noProof/>
        </w:rPr>
        <w:instrText xml:space="preserve"> PAGEREF _Toc7772575 \h </w:instrText>
      </w:r>
      <w:r>
        <w:rPr>
          <w:noProof/>
        </w:rPr>
      </w:r>
      <w:r>
        <w:rPr>
          <w:noProof/>
        </w:rPr>
        <w:fldChar w:fldCharType="separate"/>
      </w:r>
      <w:r>
        <w:rPr>
          <w:noProof/>
        </w:rPr>
        <w:t>45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Publiquement disponible</w:t>
      </w:r>
      <w:r>
        <w:rPr>
          <w:noProof/>
        </w:rPr>
        <w:tab/>
      </w:r>
      <w:r>
        <w:rPr>
          <w:noProof/>
        </w:rPr>
        <w:fldChar w:fldCharType="begin"/>
      </w:r>
      <w:r>
        <w:rPr>
          <w:noProof/>
        </w:rPr>
        <w:instrText xml:space="preserve"> PAGEREF _Toc7772576 \h </w:instrText>
      </w:r>
      <w:r>
        <w:rPr>
          <w:noProof/>
        </w:rPr>
      </w:r>
      <w:r>
        <w:rPr>
          <w:noProof/>
        </w:rPr>
        <w:fldChar w:fldCharType="separate"/>
      </w:r>
      <w:r>
        <w:rPr>
          <w:noProof/>
        </w:rPr>
        <w:t>45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Registres de savoirs traditionnels</w:t>
      </w:r>
      <w:r>
        <w:rPr>
          <w:noProof/>
        </w:rPr>
        <w:tab/>
      </w:r>
      <w:r>
        <w:rPr>
          <w:noProof/>
        </w:rPr>
        <w:fldChar w:fldCharType="begin"/>
      </w:r>
      <w:r>
        <w:rPr>
          <w:noProof/>
        </w:rPr>
        <w:instrText xml:space="preserve"> PAGEREF _Toc7772577 \h </w:instrText>
      </w:r>
      <w:r>
        <w:rPr>
          <w:noProof/>
        </w:rPr>
      </w:r>
      <w:r>
        <w:rPr>
          <w:noProof/>
        </w:rPr>
        <w:fldChar w:fldCharType="separate"/>
      </w:r>
      <w:r>
        <w:rPr>
          <w:noProof/>
        </w:rPr>
        <w:t>46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Règlement extrajudiciaire des litiges</w:t>
      </w:r>
      <w:r>
        <w:rPr>
          <w:noProof/>
        </w:rPr>
        <w:tab/>
      </w:r>
      <w:r>
        <w:rPr>
          <w:noProof/>
        </w:rPr>
        <w:fldChar w:fldCharType="begin"/>
      </w:r>
      <w:r>
        <w:rPr>
          <w:noProof/>
        </w:rPr>
        <w:instrText xml:space="preserve"> PAGEREF _Toc7772578 \h </w:instrText>
      </w:r>
      <w:r>
        <w:rPr>
          <w:noProof/>
        </w:rPr>
      </w:r>
      <w:r>
        <w:rPr>
          <w:noProof/>
        </w:rPr>
        <w:fldChar w:fldCharType="separate"/>
      </w:r>
      <w:r>
        <w:rPr>
          <w:noProof/>
        </w:rPr>
        <w:t>47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Rémunération équitable</w:t>
      </w:r>
      <w:r>
        <w:rPr>
          <w:noProof/>
        </w:rPr>
        <w:tab/>
      </w:r>
      <w:r>
        <w:rPr>
          <w:noProof/>
        </w:rPr>
        <w:fldChar w:fldCharType="begin"/>
      </w:r>
      <w:r>
        <w:rPr>
          <w:noProof/>
        </w:rPr>
        <w:instrText xml:space="preserve"> PAGEREF _Toc7772579 \h </w:instrText>
      </w:r>
      <w:r>
        <w:rPr>
          <w:noProof/>
        </w:rPr>
      </w:r>
      <w:r>
        <w:rPr>
          <w:noProof/>
        </w:rPr>
        <w:fldChar w:fldCharType="separate"/>
      </w:r>
      <w:r>
        <w:rPr>
          <w:noProof/>
        </w:rPr>
        <w:t>48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Réputation</w:t>
      </w:r>
      <w:r>
        <w:rPr>
          <w:noProof/>
        </w:rPr>
        <w:tab/>
      </w:r>
      <w:r>
        <w:rPr>
          <w:noProof/>
        </w:rPr>
        <w:fldChar w:fldCharType="begin"/>
      </w:r>
      <w:r>
        <w:rPr>
          <w:noProof/>
        </w:rPr>
        <w:instrText xml:space="preserve"> PAGEREF _Toc7772580 \h </w:instrText>
      </w:r>
      <w:r>
        <w:rPr>
          <w:noProof/>
        </w:rPr>
      </w:r>
      <w:r>
        <w:rPr>
          <w:noProof/>
        </w:rPr>
        <w:fldChar w:fldCharType="separate"/>
      </w:r>
      <w:r>
        <w:rPr>
          <w:noProof/>
        </w:rPr>
        <w:t>48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Respect mutuel</w:t>
      </w:r>
      <w:r>
        <w:rPr>
          <w:noProof/>
        </w:rPr>
        <w:tab/>
      </w:r>
      <w:r>
        <w:rPr>
          <w:noProof/>
        </w:rPr>
        <w:fldChar w:fldCharType="begin"/>
      </w:r>
      <w:r>
        <w:rPr>
          <w:noProof/>
        </w:rPr>
        <w:instrText xml:space="preserve"> PAGEREF _Toc7772581 \h </w:instrText>
      </w:r>
      <w:r>
        <w:rPr>
          <w:noProof/>
        </w:rPr>
      </w:r>
      <w:r>
        <w:rPr>
          <w:noProof/>
        </w:rPr>
        <w:fldChar w:fldCharType="separate"/>
      </w:r>
      <w:r>
        <w:rPr>
          <w:noProof/>
        </w:rPr>
        <w:t>48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Ressources biologiques</w:t>
      </w:r>
      <w:r>
        <w:rPr>
          <w:noProof/>
        </w:rPr>
        <w:tab/>
      </w:r>
      <w:r>
        <w:rPr>
          <w:noProof/>
        </w:rPr>
        <w:fldChar w:fldCharType="begin"/>
      </w:r>
      <w:r>
        <w:rPr>
          <w:noProof/>
        </w:rPr>
        <w:instrText xml:space="preserve"> PAGEREF _Toc7772582 \h </w:instrText>
      </w:r>
      <w:r>
        <w:rPr>
          <w:noProof/>
        </w:rPr>
      </w:r>
      <w:r>
        <w:rPr>
          <w:noProof/>
        </w:rPr>
        <w:fldChar w:fldCharType="separate"/>
      </w:r>
      <w:r>
        <w:rPr>
          <w:noProof/>
        </w:rPr>
        <w:t>48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sidRPr="002810B8">
        <w:rPr>
          <w:noProof/>
        </w:rPr>
        <w:t>Ressources génétiques</w:t>
      </w:r>
      <w:r>
        <w:rPr>
          <w:noProof/>
        </w:rPr>
        <w:tab/>
      </w:r>
      <w:r>
        <w:rPr>
          <w:noProof/>
        </w:rPr>
        <w:fldChar w:fldCharType="begin"/>
      </w:r>
      <w:r>
        <w:rPr>
          <w:noProof/>
        </w:rPr>
        <w:instrText xml:space="preserve"> PAGEREF _Toc7772583 \h </w:instrText>
      </w:r>
      <w:r>
        <w:rPr>
          <w:noProof/>
        </w:rPr>
      </w:r>
      <w:r>
        <w:rPr>
          <w:noProof/>
        </w:rPr>
        <w:fldChar w:fldCharType="separate"/>
      </w:r>
      <w:r>
        <w:rPr>
          <w:noProof/>
        </w:rPr>
        <w:t>49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Sacré</w:t>
      </w:r>
      <w:r>
        <w:rPr>
          <w:noProof/>
        </w:rPr>
        <w:tab/>
      </w:r>
      <w:r>
        <w:rPr>
          <w:noProof/>
        </w:rPr>
        <w:fldChar w:fldCharType="begin"/>
      </w:r>
      <w:r>
        <w:rPr>
          <w:noProof/>
        </w:rPr>
        <w:instrText xml:space="preserve"> PAGEREF _Toc7772584 \h </w:instrText>
      </w:r>
      <w:r>
        <w:rPr>
          <w:noProof/>
        </w:rPr>
      </w:r>
      <w:r>
        <w:rPr>
          <w:noProof/>
        </w:rPr>
        <w:fldChar w:fldCharType="separate"/>
      </w:r>
      <w:r>
        <w:rPr>
          <w:noProof/>
        </w:rPr>
        <w:t>50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Sauvegarde</w:t>
      </w:r>
      <w:r>
        <w:rPr>
          <w:noProof/>
        </w:rPr>
        <w:tab/>
      </w:r>
      <w:r>
        <w:rPr>
          <w:noProof/>
        </w:rPr>
        <w:fldChar w:fldCharType="begin"/>
      </w:r>
      <w:r>
        <w:rPr>
          <w:noProof/>
        </w:rPr>
        <w:instrText xml:space="preserve"> PAGEREF _Toc7772585 \h </w:instrText>
      </w:r>
      <w:r>
        <w:rPr>
          <w:noProof/>
        </w:rPr>
      </w:r>
      <w:r>
        <w:rPr>
          <w:noProof/>
        </w:rPr>
        <w:fldChar w:fldCharType="separate"/>
      </w:r>
      <w:r>
        <w:rPr>
          <w:noProof/>
        </w:rPr>
        <w:t>51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Savoirs autochtones</w:t>
      </w:r>
      <w:r>
        <w:rPr>
          <w:noProof/>
        </w:rPr>
        <w:tab/>
      </w:r>
      <w:r>
        <w:rPr>
          <w:noProof/>
        </w:rPr>
        <w:fldChar w:fldCharType="begin"/>
      </w:r>
      <w:r>
        <w:rPr>
          <w:noProof/>
        </w:rPr>
        <w:instrText xml:space="preserve"> PAGEREF _Toc7772586 \h </w:instrText>
      </w:r>
      <w:r>
        <w:rPr>
          <w:noProof/>
        </w:rPr>
      </w:r>
      <w:r>
        <w:rPr>
          <w:noProof/>
        </w:rPr>
        <w:fldChar w:fldCharType="separate"/>
      </w:r>
      <w:r>
        <w:rPr>
          <w:noProof/>
        </w:rPr>
        <w:t>51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Savoirs traditionnels</w:t>
      </w:r>
      <w:r>
        <w:rPr>
          <w:noProof/>
        </w:rPr>
        <w:tab/>
      </w:r>
      <w:r>
        <w:rPr>
          <w:noProof/>
        </w:rPr>
        <w:fldChar w:fldCharType="begin"/>
      </w:r>
      <w:r>
        <w:rPr>
          <w:noProof/>
        </w:rPr>
        <w:instrText xml:space="preserve"> PAGEREF _Toc7772587 \h </w:instrText>
      </w:r>
      <w:r>
        <w:rPr>
          <w:noProof/>
        </w:rPr>
      </w:r>
      <w:r>
        <w:rPr>
          <w:noProof/>
        </w:rPr>
        <w:fldChar w:fldCharType="separate"/>
      </w:r>
      <w:r>
        <w:rPr>
          <w:noProof/>
        </w:rPr>
        <w:t>51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Savoirs traditionnels codifiés</w:t>
      </w:r>
      <w:r>
        <w:rPr>
          <w:noProof/>
        </w:rPr>
        <w:tab/>
      </w:r>
      <w:r>
        <w:rPr>
          <w:noProof/>
        </w:rPr>
        <w:fldChar w:fldCharType="begin"/>
      </w:r>
      <w:r>
        <w:rPr>
          <w:noProof/>
        </w:rPr>
        <w:instrText xml:space="preserve"> PAGEREF _Toc7772588 \h </w:instrText>
      </w:r>
      <w:r>
        <w:rPr>
          <w:noProof/>
        </w:rPr>
      </w:r>
      <w:r>
        <w:rPr>
          <w:noProof/>
        </w:rPr>
        <w:fldChar w:fldCharType="separate"/>
      </w:r>
      <w:r>
        <w:rPr>
          <w:noProof/>
        </w:rPr>
        <w:t>52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Savoirs traditionnels divulgués</w:t>
      </w:r>
      <w:r>
        <w:rPr>
          <w:noProof/>
        </w:rPr>
        <w:tab/>
      </w:r>
      <w:r>
        <w:rPr>
          <w:noProof/>
        </w:rPr>
        <w:fldChar w:fldCharType="begin"/>
      </w:r>
      <w:r>
        <w:rPr>
          <w:noProof/>
        </w:rPr>
        <w:instrText xml:space="preserve"> PAGEREF _Toc7772589 \h </w:instrText>
      </w:r>
      <w:r>
        <w:rPr>
          <w:noProof/>
        </w:rPr>
      </w:r>
      <w:r>
        <w:rPr>
          <w:noProof/>
        </w:rPr>
        <w:fldChar w:fldCharType="separate"/>
      </w:r>
      <w:r>
        <w:rPr>
          <w:noProof/>
        </w:rPr>
        <w:t>53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Secret</w:t>
      </w:r>
      <w:r>
        <w:rPr>
          <w:noProof/>
        </w:rPr>
        <w:tab/>
      </w:r>
      <w:r>
        <w:rPr>
          <w:noProof/>
        </w:rPr>
        <w:fldChar w:fldCharType="begin"/>
      </w:r>
      <w:r>
        <w:rPr>
          <w:noProof/>
        </w:rPr>
        <w:instrText xml:space="preserve"> PAGEREF _Toc7772590 \h </w:instrText>
      </w:r>
      <w:r>
        <w:rPr>
          <w:noProof/>
        </w:rPr>
      </w:r>
      <w:r>
        <w:rPr>
          <w:noProof/>
        </w:rPr>
        <w:fldChar w:fldCharType="separate"/>
      </w:r>
      <w:r>
        <w:rPr>
          <w:noProof/>
        </w:rPr>
        <w:t>53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Source de ressources génétiques</w:t>
      </w:r>
      <w:r>
        <w:rPr>
          <w:noProof/>
        </w:rPr>
        <w:tab/>
      </w:r>
      <w:r>
        <w:rPr>
          <w:noProof/>
        </w:rPr>
        <w:fldChar w:fldCharType="begin"/>
      </w:r>
      <w:r>
        <w:rPr>
          <w:noProof/>
        </w:rPr>
        <w:instrText xml:space="preserve"> PAGEREF _Toc7772591 \h </w:instrText>
      </w:r>
      <w:r>
        <w:rPr>
          <w:noProof/>
        </w:rPr>
      </w:r>
      <w:r>
        <w:rPr>
          <w:noProof/>
        </w:rPr>
        <w:fldChar w:fldCharType="separate"/>
      </w:r>
      <w:r>
        <w:rPr>
          <w:noProof/>
        </w:rPr>
        <w:t>53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sidRPr="002810B8">
        <w:rPr>
          <w:i/>
          <w:noProof/>
        </w:rPr>
        <w:t>Sui generis</w:t>
      </w:r>
      <w:r>
        <w:rPr>
          <w:noProof/>
        </w:rPr>
        <w:tab/>
      </w:r>
      <w:r>
        <w:rPr>
          <w:noProof/>
        </w:rPr>
        <w:fldChar w:fldCharType="begin"/>
      </w:r>
      <w:r>
        <w:rPr>
          <w:noProof/>
        </w:rPr>
        <w:instrText xml:space="preserve"> PAGEREF _Toc7772592 \h </w:instrText>
      </w:r>
      <w:r>
        <w:rPr>
          <w:noProof/>
        </w:rPr>
      </w:r>
      <w:r>
        <w:rPr>
          <w:noProof/>
        </w:rPr>
        <w:fldChar w:fldCharType="separate"/>
      </w:r>
      <w:r>
        <w:rPr>
          <w:noProof/>
        </w:rPr>
        <w:t>53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Traité international sur les ressources phytogénétiques pour l</w:t>
      </w:r>
      <w:r w:rsidR="00D91476">
        <w:rPr>
          <w:noProof/>
        </w:rPr>
        <w:t>’</w:t>
      </w:r>
      <w:r>
        <w:rPr>
          <w:noProof/>
        </w:rPr>
        <w:t>alimentation et l</w:t>
      </w:r>
      <w:r w:rsidR="00D91476">
        <w:rPr>
          <w:noProof/>
        </w:rPr>
        <w:t>’</w:t>
      </w:r>
      <w:r>
        <w:rPr>
          <w:noProof/>
        </w:rPr>
        <w:t>agriculture</w:t>
      </w:r>
      <w:r>
        <w:rPr>
          <w:noProof/>
        </w:rPr>
        <w:tab/>
      </w:r>
      <w:r>
        <w:rPr>
          <w:noProof/>
        </w:rPr>
        <w:fldChar w:fldCharType="begin"/>
      </w:r>
      <w:r>
        <w:rPr>
          <w:noProof/>
        </w:rPr>
        <w:instrText xml:space="preserve"> PAGEREF _Toc7772593 \h </w:instrText>
      </w:r>
      <w:r>
        <w:rPr>
          <w:noProof/>
        </w:rPr>
      </w:r>
      <w:r>
        <w:rPr>
          <w:noProof/>
        </w:rPr>
        <w:fldChar w:fldCharType="separate"/>
      </w:r>
      <w:r>
        <w:rPr>
          <w:noProof/>
        </w:rPr>
        <w:t>54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Utilisation</w:t>
      </w:r>
      <w:r>
        <w:rPr>
          <w:noProof/>
        </w:rPr>
        <w:tab/>
      </w:r>
      <w:r>
        <w:rPr>
          <w:noProof/>
        </w:rPr>
        <w:fldChar w:fldCharType="begin"/>
      </w:r>
      <w:r>
        <w:rPr>
          <w:noProof/>
        </w:rPr>
        <w:instrText xml:space="preserve"> PAGEREF _Toc7772594 \h </w:instrText>
      </w:r>
      <w:r>
        <w:rPr>
          <w:noProof/>
        </w:rPr>
      </w:r>
      <w:r>
        <w:rPr>
          <w:noProof/>
        </w:rPr>
        <w:fldChar w:fldCharType="separate"/>
      </w:r>
      <w:r>
        <w:rPr>
          <w:noProof/>
        </w:rPr>
        <w:t>54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Utilisation des expressions culturelles traditionnelles/savoirs traditionnels</w:t>
      </w:r>
      <w:r>
        <w:rPr>
          <w:noProof/>
        </w:rPr>
        <w:tab/>
      </w:r>
      <w:r>
        <w:rPr>
          <w:noProof/>
        </w:rPr>
        <w:fldChar w:fldCharType="begin"/>
      </w:r>
      <w:r>
        <w:rPr>
          <w:noProof/>
        </w:rPr>
        <w:instrText xml:space="preserve"> PAGEREF _Toc7772595 \h </w:instrText>
      </w:r>
      <w:r>
        <w:rPr>
          <w:noProof/>
        </w:rPr>
      </w:r>
      <w:r>
        <w:rPr>
          <w:noProof/>
        </w:rPr>
        <w:fldChar w:fldCharType="separate"/>
      </w:r>
      <w:r>
        <w:rPr>
          <w:noProof/>
        </w:rPr>
        <w:t>54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Utilisation illicite</w:t>
      </w:r>
      <w:r>
        <w:rPr>
          <w:noProof/>
        </w:rPr>
        <w:tab/>
      </w:r>
      <w:r>
        <w:rPr>
          <w:noProof/>
        </w:rPr>
        <w:fldChar w:fldCharType="begin"/>
      </w:r>
      <w:r>
        <w:rPr>
          <w:noProof/>
        </w:rPr>
        <w:instrText xml:space="preserve"> PAGEREF _Toc7772596 \h </w:instrText>
      </w:r>
      <w:r>
        <w:rPr>
          <w:noProof/>
        </w:rPr>
      </w:r>
      <w:r>
        <w:rPr>
          <w:noProof/>
        </w:rPr>
        <w:fldChar w:fldCharType="separate"/>
      </w:r>
      <w:r>
        <w:rPr>
          <w:noProof/>
        </w:rPr>
        <w:t>56</w:t>
      </w:r>
      <w:r>
        <w:rPr>
          <w:noProof/>
        </w:rPr>
        <w:fldChar w:fldCharType="end"/>
      </w:r>
    </w:p>
    <w:p w:rsidR="00F9045F" w:rsidRDefault="00D55594">
      <w:r>
        <w:fldChar w:fldCharType="end"/>
      </w:r>
    </w:p>
    <w:p w:rsidR="00D55594" w:rsidRDefault="00D55594">
      <w:r>
        <w:br w:type="page"/>
      </w:r>
    </w:p>
    <w:p w:rsidR="00D23D81" w:rsidRDefault="00DD607D" w:rsidP="00D23D81">
      <w:pPr>
        <w:pStyle w:val="Heading2"/>
        <w:spacing w:after="220"/>
      </w:pPr>
      <w:bookmarkStart w:id="6" w:name="_Toc7772485"/>
      <w:r w:rsidRPr="00E8642C">
        <w:t>Accès et partage des avantages</w:t>
      </w:r>
      <w:bookmarkEnd w:id="6"/>
    </w:p>
    <w:p w:rsidR="00D23D81" w:rsidRDefault="00DD607D" w:rsidP="00D23D81">
      <w:pPr>
        <w:pStyle w:val="CommentText"/>
        <w:spacing w:after="220"/>
        <w:rPr>
          <w:rFonts w:cs="Arial"/>
          <w:snapToGrid w:val="0"/>
          <w:szCs w:val="22"/>
        </w:rPr>
      </w:pPr>
      <w:r w:rsidRPr="00E8642C">
        <w:rPr>
          <w:rFonts w:cs="Arial"/>
          <w:snapToGrid w:val="0"/>
          <w:szCs w:val="22"/>
        </w:rPr>
        <w:t>L</w:t>
      </w:r>
      <w:r w:rsidR="00D91476">
        <w:rPr>
          <w:rFonts w:cs="Arial"/>
          <w:snapToGrid w:val="0"/>
          <w:szCs w:val="22"/>
        </w:rPr>
        <w:t>’</w:t>
      </w:r>
      <w:r w:rsidRPr="00E8642C">
        <w:rPr>
          <w:rFonts w:cs="Arial"/>
          <w:snapToGrid w:val="0"/>
          <w:szCs w:val="22"/>
        </w:rPr>
        <w:t xml:space="preserve">article premier de la </w:t>
      </w:r>
      <w:r w:rsidRPr="00E8642C">
        <w:rPr>
          <w:rFonts w:cs="Arial"/>
          <w:i/>
          <w:snapToGrid w:val="0"/>
          <w:szCs w:val="22"/>
        </w:rPr>
        <w:t>Convention sur la diversité biologique</w:t>
      </w:r>
      <w:r w:rsidRPr="00E8642C">
        <w:rPr>
          <w:rFonts w:cs="Arial"/>
          <w:snapToGrid w:val="0"/>
          <w:szCs w:val="22"/>
        </w:rPr>
        <w:t xml:space="preserve"> (1992) prévoit “le partage juste et équitable des avantages découlant de l</w:t>
      </w:r>
      <w:r w:rsidR="00D91476">
        <w:rPr>
          <w:rFonts w:cs="Arial"/>
          <w:snapToGrid w:val="0"/>
          <w:szCs w:val="22"/>
        </w:rPr>
        <w:t>’</w:t>
      </w:r>
      <w:r w:rsidRPr="00E8642C">
        <w:rPr>
          <w:rFonts w:cs="Arial"/>
          <w:snapToGrid w:val="0"/>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p>
    <w:p w:rsidR="00D23D81" w:rsidRDefault="00DD607D" w:rsidP="00D23D81">
      <w:pPr>
        <w:spacing w:after="220"/>
        <w:rPr>
          <w:rFonts w:cs="Arial"/>
          <w:szCs w:val="22"/>
          <w:lang w:eastAsia="zh-CN"/>
        </w:rPr>
      </w:pPr>
      <w:r w:rsidRPr="00E8642C">
        <w:rPr>
          <w:rFonts w:cs="Arial"/>
          <w:szCs w:val="22"/>
          <w:lang w:eastAsia="zh-CN"/>
        </w:rPr>
        <w:t>L</w:t>
      </w:r>
      <w:r w:rsidR="00D91476">
        <w:rPr>
          <w:rFonts w:cs="Arial"/>
          <w:szCs w:val="22"/>
          <w:lang w:eastAsia="zh-CN"/>
        </w:rPr>
        <w:t>’</w:t>
      </w:r>
      <w:r w:rsidRPr="00E8642C">
        <w:rPr>
          <w:rFonts w:cs="Arial"/>
          <w:szCs w:val="22"/>
          <w:lang w:eastAsia="zh-CN"/>
        </w:rPr>
        <w:t xml:space="preserve">objectif du </w:t>
      </w:r>
      <w:r w:rsidRPr="00E8642C">
        <w:rPr>
          <w:rFonts w:cs="Arial"/>
          <w:i/>
          <w:szCs w:val="22"/>
          <w:lang w:eastAsia="zh-CN"/>
        </w:rPr>
        <w:t>Protocole de Nagoya sur l</w:t>
      </w:r>
      <w:r w:rsidR="00D91476">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est “</w:t>
      </w:r>
      <w:r w:rsidRPr="00E8642C">
        <w:rPr>
          <w:rFonts w:cs="Arial"/>
          <w:iCs/>
          <w:szCs w:val="22"/>
          <w:lang w:eastAsia="zh-CN"/>
        </w:rPr>
        <w:t>le partage juste et équitable des avantages découlant de l</w:t>
      </w:r>
      <w:r w:rsidR="00D91476">
        <w:rPr>
          <w:rFonts w:cs="Arial"/>
          <w:iCs/>
          <w:szCs w:val="22"/>
          <w:lang w:eastAsia="zh-CN"/>
        </w:rPr>
        <w:t>’</w:t>
      </w:r>
      <w:r w:rsidRPr="00E8642C">
        <w:rPr>
          <w:rFonts w:cs="Arial"/>
          <w:iCs/>
          <w:szCs w:val="22"/>
          <w:lang w:eastAsia="zh-CN"/>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D91476">
        <w:rPr>
          <w:rFonts w:cs="Arial"/>
          <w:iCs/>
          <w:szCs w:val="22"/>
          <w:lang w:eastAsia="zh-CN"/>
        </w:rPr>
        <w:t>’</w:t>
      </w:r>
      <w:r w:rsidRPr="00E8642C">
        <w:rPr>
          <w:rFonts w:cs="Arial"/>
          <w:iCs/>
          <w:szCs w:val="22"/>
          <w:lang w:eastAsia="zh-CN"/>
        </w:rPr>
        <w:t>utilisation durable de ses éléments constitutifs</w:t>
      </w:r>
      <w:r w:rsidRPr="00E8642C">
        <w:rPr>
          <w:rFonts w:cs="Arial"/>
          <w:szCs w:val="22"/>
          <w:lang w:eastAsia="zh-CN"/>
        </w:rPr>
        <w:t>”.  Selon l</w:t>
      </w:r>
      <w:r w:rsidR="00D91476">
        <w:rPr>
          <w:rFonts w:cs="Arial"/>
          <w:szCs w:val="22"/>
          <w:lang w:eastAsia="zh-CN"/>
        </w:rPr>
        <w:t>’</w:t>
      </w:r>
      <w:r w:rsidRPr="00E8642C">
        <w:rPr>
          <w:rFonts w:cs="Arial"/>
          <w:szCs w:val="22"/>
          <w:lang w:eastAsia="zh-CN"/>
        </w:rPr>
        <w:t>article 3, le protocole “</w:t>
      </w:r>
      <w:r w:rsidRPr="00E8642C">
        <w:rPr>
          <w:rFonts w:cs="Arial"/>
          <w:iCs/>
          <w:szCs w:val="22"/>
          <w:lang w:eastAsia="zh-CN"/>
        </w:rPr>
        <w:t>s</w:t>
      </w:r>
      <w:r w:rsidR="00D91476">
        <w:rPr>
          <w:rFonts w:cs="Arial"/>
          <w:iCs/>
          <w:szCs w:val="22"/>
          <w:lang w:eastAsia="zh-CN"/>
        </w:rPr>
        <w:t>’</w:t>
      </w:r>
      <w:r w:rsidRPr="00E8642C">
        <w:rPr>
          <w:rFonts w:cs="Arial"/>
          <w:iCs/>
          <w:szCs w:val="22"/>
          <w:lang w:eastAsia="zh-CN"/>
        </w:rPr>
        <w:t>applique également aux connaissances traditionnelles associées aux ressources génétiques relevant de la compétence de la Convention et aux avantages découlant de l</w:t>
      </w:r>
      <w:r w:rsidR="00D91476">
        <w:rPr>
          <w:rFonts w:cs="Arial"/>
          <w:iCs/>
          <w:szCs w:val="22"/>
          <w:lang w:eastAsia="zh-CN"/>
        </w:rPr>
        <w:t>’</w:t>
      </w:r>
      <w:r w:rsidRPr="00E8642C">
        <w:rPr>
          <w:rFonts w:cs="Arial"/>
          <w:iCs/>
          <w:szCs w:val="22"/>
          <w:lang w:eastAsia="zh-CN"/>
        </w:rPr>
        <w:t>utilisation de ces connaissances</w:t>
      </w:r>
      <w:r w:rsidRPr="00E8642C">
        <w:rPr>
          <w:rFonts w:cs="Arial"/>
          <w:szCs w:val="22"/>
          <w:lang w:eastAsia="zh-CN"/>
        </w:rPr>
        <w:t>”.</w:t>
      </w:r>
    </w:p>
    <w:p w:rsidR="00D23D81" w:rsidRDefault="00DD607D" w:rsidP="00D23D81">
      <w:pPr>
        <w:spacing w:after="220"/>
        <w:rPr>
          <w:rFonts w:cs="Arial"/>
          <w:szCs w:val="22"/>
        </w:rPr>
      </w:pPr>
      <w:r w:rsidRPr="00E8642C">
        <w:rPr>
          <w:rFonts w:cs="Arial"/>
          <w:szCs w:val="22"/>
        </w:rPr>
        <w:t xml:space="preserve">En ce qui concerne les ressources </w:t>
      </w:r>
      <w:proofErr w:type="spellStart"/>
      <w:r w:rsidRPr="00E8642C">
        <w:rPr>
          <w:rFonts w:cs="Arial"/>
          <w:szCs w:val="22"/>
        </w:rPr>
        <w:t>phytogénétiques</w:t>
      </w:r>
      <w:proofErr w:type="spellEnd"/>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 xml:space="preserve">agriculture, le </w:t>
      </w:r>
      <w:r w:rsidRPr="00E8642C">
        <w:rPr>
          <w:rFonts w:cs="Arial"/>
          <w:i/>
          <w:szCs w:val="22"/>
        </w:rPr>
        <w:t xml:space="preserve">Traité international sur les ressources </w:t>
      </w:r>
      <w:proofErr w:type="spellStart"/>
      <w:r w:rsidRPr="00E8642C">
        <w:rPr>
          <w:rFonts w:cs="Arial"/>
          <w:i/>
          <w:szCs w:val="22"/>
        </w:rPr>
        <w:t>phytogénétiques</w:t>
      </w:r>
      <w:proofErr w:type="spellEnd"/>
      <w:r w:rsidRPr="00E8642C">
        <w:rPr>
          <w:rFonts w:cs="Arial"/>
          <w:i/>
          <w:szCs w:val="22"/>
        </w:rPr>
        <w:t xml:space="preserve"> pour l</w:t>
      </w:r>
      <w:r w:rsidR="00D91476">
        <w:rPr>
          <w:rFonts w:cs="Arial"/>
          <w:i/>
          <w:szCs w:val="22"/>
        </w:rPr>
        <w:t>’</w:t>
      </w:r>
      <w:r w:rsidRPr="00E8642C">
        <w:rPr>
          <w:rFonts w:cs="Arial"/>
          <w:i/>
          <w:szCs w:val="22"/>
        </w:rPr>
        <w:t>alimentation et l</w:t>
      </w:r>
      <w:r w:rsidR="00D91476">
        <w:rPr>
          <w:rFonts w:cs="Arial"/>
          <w:i/>
          <w:szCs w:val="22"/>
        </w:rPr>
        <w:t>’</w:t>
      </w:r>
      <w:r w:rsidRPr="00E8642C">
        <w:rPr>
          <w:rFonts w:cs="Arial"/>
          <w:i/>
          <w:szCs w:val="22"/>
        </w:rPr>
        <w:t>agriculture</w:t>
      </w:r>
      <w:r w:rsidRPr="00E8642C">
        <w:rPr>
          <w:rFonts w:cs="Arial"/>
          <w:szCs w:val="22"/>
        </w:rPr>
        <w:t xml:space="preserve">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 (FAO) exige en son article premier “</w:t>
      </w:r>
      <w:r w:rsidRPr="00E8642C">
        <w:rPr>
          <w:rFonts w:cs="Arial"/>
          <w:iCs/>
          <w:szCs w:val="22"/>
        </w:rPr>
        <w:t>le partage juste et équitable des avantages découlant de leur utilisation en harmonie avec la Convention sur la diversité biologique, pour une agriculture durable et pour la sécurité alimentaire</w:t>
      </w:r>
      <w:r w:rsidRPr="00E8642C">
        <w:rPr>
          <w:rFonts w:cs="Arial"/>
          <w:szCs w:val="22"/>
        </w:rPr>
        <w:t>”.</w:t>
      </w:r>
    </w:p>
    <w:p w:rsidR="00D23D81"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D91476">
        <w:rPr>
          <w:rFonts w:cs="Arial"/>
          <w:i/>
          <w:szCs w:val="22"/>
        </w:rPr>
        <w:t>’</w:t>
      </w:r>
      <w:r w:rsidRPr="00E8642C">
        <w:rPr>
          <w:rFonts w:cs="Arial"/>
          <w:i/>
          <w:szCs w:val="22"/>
        </w:rPr>
        <w:t>accès aux ressources génétiques de la Communauté andine</w:t>
      </w:r>
      <w:r w:rsidRPr="00E8642C">
        <w:rPr>
          <w:rFonts w:cs="Arial"/>
          <w:szCs w:val="22"/>
        </w:rPr>
        <w:t xml:space="preserve"> (1996) définit l</w:t>
      </w:r>
      <w:r w:rsidR="00D91476">
        <w:rPr>
          <w:rFonts w:cs="Arial"/>
          <w:szCs w:val="22"/>
        </w:rPr>
        <w:t>’</w:t>
      </w:r>
      <w:r w:rsidRPr="00E8642C">
        <w:rPr>
          <w:rFonts w:cs="Arial"/>
          <w:szCs w:val="22"/>
        </w:rPr>
        <w:t>“accès” comme “</w:t>
      </w:r>
      <w:r w:rsidRPr="00E8642C">
        <w:rPr>
          <w:rFonts w:cs="Arial"/>
          <w:iCs/>
          <w:szCs w:val="22"/>
        </w:rPr>
        <w:t>l</w:t>
      </w:r>
      <w:r w:rsidR="00D91476">
        <w:rPr>
          <w:rFonts w:cs="Arial"/>
          <w:iCs/>
          <w:szCs w:val="22"/>
        </w:rPr>
        <w:t>’</w:t>
      </w:r>
      <w:r w:rsidRPr="00E8642C">
        <w:rPr>
          <w:rFonts w:cs="Arial"/>
          <w:iCs/>
          <w:szCs w:val="22"/>
        </w:rPr>
        <w:t xml:space="preserve">obtention de ressources génétiques conservées dans des conditions </w:t>
      </w:r>
      <w:r w:rsidRPr="00E8642C">
        <w:rPr>
          <w:rFonts w:cs="Arial"/>
          <w:i/>
          <w:iCs/>
          <w:szCs w:val="22"/>
        </w:rPr>
        <w:t>ex situ</w:t>
      </w:r>
      <w:r w:rsidRPr="00E8642C">
        <w:rPr>
          <w:rFonts w:cs="Arial"/>
          <w:iCs/>
          <w:szCs w:val="22"/>
        </w:rPr>
        <w:t xml:space="preserve"> et </w:t>
      </w:r>
      <w:r w:rsidRPr="00E8642C">
        <w:rPr>
          <w:rFonts w:cs="Arial"/>
          <w:i/>
          <w:iCs/>
          <w:szCs w:val="22"/>
        </w:rPr>
        <w:t>in situ</w:t>
      </w:r>
      <w:r w:rsidRPr="00E8642C">
        <w:rPr>
          <w:rFonts w:cs="Arial"/>
          <w:iCs/>
          <w:szCs w:val="22"/>
        </w:rPr>
        <w:t>, de leurs dérivés et, le cas échéant, de leurs éléments intangibles, et leur utilisation, notamment à des fins de recherche, de prospection biologique, de conservation ou d</w:t>
      </w:r>
      <w:r w:rsidR="00D91476">
        <w:rPr>
          <w:rFonts w:cs="Arial"/>
          <w:iCs/>
          <w:szCs w:val="22"/>
        </w:rPr>
        <w:t>’</w:t>
      </w:r>
      <w:r w:rsidRPr="00E8642C">
        <w:rPr>
          <w:rFonts w:cs="Arial"/>
          <w:iCs/>
          <w:szCs w:val="22"/>
        </w:rPr>
        <w:t>application industrielle et commerciale</w:t>
      </w:r>
      <w:r w:rsidRPr="00E8642C">
        <w:rPr>
          <w:rFonts w:cs="Arial"/>
          <w:szCs w:val="22"/>
        </w:rPr>
        <w:t>”.</w:t>
      </w:r>
    </w:p>
    <w:p w:rsidR="00D23D81" w:rsidRDefault="00DD607D" w:rsidP="00D23D81">
      <w:pPr>
        <w:pStyle w:val="CommentText"/>
        <w:spacing w:after="220"/>
        <w:rPr>
          <w:rFonts w:cs="Arial"/>
          <w:szCs w:val="22"/>
        </w:rPr>
      </w:pPr>
      <w:r w:rsidRPr="00E8642C">
        <w:rPr>
          <w:rFonts w:cs="Arial"/>
          <w:szCs w:val="22"/>
        </w:rPr>
        <w:t>Les avantages peuvent inclure mais ne sont pas limités aux avantages monétaires et non monétaires énumérés à l</w:t>
      </w:r>
      <w:r w:rsidR="00D91476">
        <w:rPr>
          <w:rFonts w:cs="Arial"/>
          <w:szCs w:val="22"/>
        </w:rPr>
        <w:t>’</w:t>
      </w:r>
      <w:r w:rsidRPr="00E8642C">
        <w:rPr>
          <w:rFonts w:cs="Arial"/>
          <w:szCs w:val="22"/>
        </w:rPr>
        <w:t xml:space="preserve">annexe du </w:t>
      </w:r>
      <w:r w:rsidRPr="00E8642C">
        <w:rPr>
          <w:rFonts w:cs="Arial"/>
          <w:i/>
          <w:szCs w:val="22"/>
        </w:rPr>
        <w:t>Protocole de Nagoya</w:t>
      </w:r>
      <w:r w:rsidRPr="00E8642C">
        <w:rPr>
          <w:rStyle w:val="FootnoteReference"/>
          <w:rFonts w:cs="Arial"/>
          <w:szCs w:val="22"/>
        </w:rPr>
        <w:footnoteReference w:id="4"/>
      </w:r>
      <w:r w:rsidRPr="00E8642C">
        <w:rPr>
          <w:rFonts w:cs="Arial"/>
          <w:szCs w:val="22"/>
        </w:rPr>
        <w:t>.  Les étapes du processus d</w:t>
      </w:r>
      <w:r w:rsidR="00D91476">
        <w:rPr>
          <w:rFonts w:cs="Arial"/>
          <w:szCs w:val="22"/>
        </w:rPr>
        <w:t>’</w:t>
      </w:r>
      <w:r w:rsidRPr="00E8642C">
        <w:rPr>
          <w:rFonts w:cs="Arial"/>
          <w:szCs w:val="22"/>
        </w:rPr>
        <w:t>obtention de l</w:t>
      </w:r>
      <w:r w:rsidR="00D91476">
        <w:rPr>
          <w:rFonts w:cs="Arial"/>
          <w:szCs w:val="22"/>
        </w:rPr>
        <w:t>’</w:t>
      </w:r>
      <w:r w:rsidRPr="00E8642C">
        <w:rPr>
          <w:rFonts w:cs="Arial"/>
          <w:szCs w:val="22"/>
        </w:rPr>
        <w:t>accès aux ressources génétiques et du partage des avantages peuvent comprendre des activités antérieures à l</w:t>
      </w:r>
      <w:r w:rsidR="00D91476">
        <w:rPr>
          <w:rFonts w:cs="Arial"/>
          <w:szCs w:val="22"/>
        </w:rPr>
        <w:t>’</w:t>
      </w:r>
      <w:r w:rsidRPr="00E8642C">
        <w:rPr>
          <w:rFonts w:cs="Arial"/>
          <w:szCs w:val="22"/>
        </w:rPr>
        <w:t>accès, des travaux de recherche et de mise en valeur sur les ressources génétiques ainsi que la commercialisation et d</w:t>
      </w:r>
      <w:r w:rsidR="00D91476">
        <w:rPr>
          <w:rFonts w:cs="Arial"/>
          <w:szCs w:val="22"/>
        </w:rPr>
        <w:t>’</w:t>
      </w:r>
      <w:r w:rsidRPr="00E8642C">
        <w:rPr>
          <w:rFonts w:cs="Arial"/>
          <w:szCs w:val="22"/>
        </w:rPr>
        <w:t>autres utilisations de celles</w:t>
      </w:r>
      <w:r w:rsidR="00400337">
        <w:rPr>
          <w:rFonts w:cs="Arial"/>
          <w:szCs w:val="22"/>
        </w:rPr>
        <w:noBreakHyphen/>
      </w:r>
      <w:r w:rsidRPr="00E8642C">
        <w:rPr>
          <w:rFonts w:cs="Arial"/>
          <w:szCs w:val="22"/>
        </w:rPr>
        <w:t xml:space="preserve">ci, </w:t>
      </w:r>
      <w:r w:rsidR="00D91476">
        <w:rPr>
          <w:rFonts w:cs="Arial"/>
          <w:szCs w:val="22"/>
        </w:rPr>
        <w:t>y compris</w:t>
      </w:r>
      <w:r w:rsidRPr="00E8642C">
        <w:rPr>
          <w:rFonts w:cs="Arial"/>
          <w:szCs w:val="22"/>
        </w:rPr>
        <w:t xml:space="preserve"> le partage des avantages</w:t>
      </w:r>
      <w:r w:rsidRPr="00E8642C">
        <w:rPr>
          <w:rStyle w:val="FootnoteReference"/>
          <w:rFonts w:cs="Arial"/>
          <w:szCs w:val="22"/>
        </w:rPr>
        <w:footnoteReference w:id="5"/>
      </w:r>
      <w:r w:rsidRPr="00E8642C">
        <w:rPr>
          <w:rFonts w:cs="Arial"/>
          <w:szCs w:val="22"/>
        </w:rPr>
        <w:t>.</w:t>
      </w:r>
    </w:p>
    <w:p w:rsidR="00D23D81" w:rsidRDefault="00DD607D" w:rsidP="00D23D81">
      <w:pPr>
        <w:pStyle w:val="Heading2"/>
        <w:spacing w:after="220" w:line="240" w:lineRule="auto"/>
      </w:pPr>
      <w:bookmarkStart w:id="7" w:name="_Toc7772486"/>
      <w:r w:rsidRPr="00E8642C">
        <w:t>Accord de transfert de matériel</w:t>
      </w:r>
      <w:bookmarkEnd w:id="7"/>
    </w:p>
    <w:p w:rsidR="00DD607D" w:rsidRPr="00E8642C" w:rsidRDefault="00DD607D" w:rsidP="00D23D81">
      <w:pPr>
        <w:spacing w:after="220"/>
        <w:rPr>
          <w:rFonts w:cs="Arial"/>
          <w:szCs w:val="22"/>
        </w:rPr>
      </w:pPr>
      <w:r w:rsidRPr="00E8642C">
        <w:rPr>
          <w:rFonts w:cs="Arial"/>
          <w:iCs/>
          <w:szCs w:val="22"/>
        </w:rPr>
        <w:t xml:space="preserve">Les accords de transfert de matériel sont des partenariats de recherche commerciale et universitaire portant sur le transfert de matériel biologique, tel que </w:t>
      </w:r>
      <w:proofErr w:type="spellStart"/>
      <w:r w:rsidRPr="00E8642C">
        <w:rPr>
          <w:rFonts w:cs="Arial"/>
          <w:iCs/>
          <w:szCs w:val="22"/>
        </w:rPr>
        <w:t>germoplasme</w:t>
      </w:r>
      <w:proofErr w:type="spellEnd"/>
      <w:r w:rsidRPr="00E8642C">
        <w:rPr>
          <w:rFonts w:cs="Arial"/>
          <w:iCs/>
          <w:szCs w:val="22"/>
        </w:rPr>
        <w:t>, micro</w:t>
      </w:r>
      <w:r w:rsidR="00400337">
        <w:rPr>
          <w:rFonts w:cs="Arial"/>
          <w:iCs/>
          <w:szCs w:val="22"/>
        </w:rPr>
        <w:noBreakHyphen/>
      </w:r>
      <w:r w:rsidRPr="00E8642C">
        <w:rPr>
          <w:rFonts w:cs="Arial"/>
          <w:iCs/>
          <w:szCs w:val="22"/>
        </w:rPr>
        <w:t>organismes et cultures cellulaires, entre le fournisseur et le bénéficiaire et fixant les conditions d</w:t>
      </w:r>
      <w:r w:rsidR="00D91476">
        <w:rPr>
          <w:rFonts w:cs="Arial"/>
          <w:iCs/>
          <w:szCs w:val="22"/>
        </w:rPr>
        <w:t>’</w:t>
      </w:r>
      <w:r w:rsidRPr="00E8642C">
        <w:rPr>
          <w:rFonts w:cs="Arial"/>
          <w:iCs/>
          <w:szCs w:val="22"/>
        </w:rPr>
        <w:t xml:space="preserve">accès du public aux collections de </w:t>
      </w:r>
      <w:proofErr w:type="spellStart"/>
      <w:r w:rsidRPr="00E8642C">
        <w:rPr>
          <w:rFonts w:cs="Arial"/>
          <w:iCs/>
          <w:szCs w:val="22"/>
        </w:rPr>
        <w:t>germoplasme</w:t>
      </w:r>
      <w:proofErr w:type="spellEnd"/>
      <w:r w:rsidRPr="00E8642C">
        <w:rPr>
          <w:rFonts w:cs="Arial"/>
          <w:iCs/>
          <w:szCs w:val="22"/>
        </w:rPr>
        <w:t xml:space="preserve">, aux banques de semences ou aux ressources génétiques </w:t>
      </w:r>
      <w:r w:rsidRPr="00E8642C">
        <w:rPr>
          <w:rFonts w:cs="Arial"/>
          <w:i/>
          <w:iCs/>
          <w:szCs w:val="22"/>
        </w:rPr>
        <w:t>in situ</w:t>
      </w:r>
      <w:r w:rsidRPr="00E8642C">
        <w:rPr>
          <w:rStyle w:val="FootnoteReference"/>
          <w:rFonts w:cs="Arial"/>
          <w:szCs w:val="22"/>
        </w:rPr>
        <w:footnoteReference w:id="6"/>
      </w:r>
      <w:r w:rsidRPr="00E8642C">
        <w:rPr>
          <w:rFonts w:cs="Arial"/>
          <w:iCs/>
          <w:szCs w:val="22"/>
        </w:rPr>
        <w:t xml:space="preserve">.  </w:t>
      </w:r>
      <w:r w:rsidRPr="00E8642C">
        <w:rPr>
          <w:rFonts w:cs="Arial"/>
          <w:szCs w:val="22"/>
        </w:rPr>
        <w:t>L</w:t>
      </w:r>
      <w:r w:rsidR="00D91476">
        <w:rPr>
          <w:rFonts w:cs="Arial"/>
          <w:szCs w:val="22"/>
        </w:rPr>
        <w:t>’</w:t>
      </w:r>
      <w:r w:rsidRPr="00E8642C">
        <w:rPr>
          <w:rFonts w:cs="Arial"/>
          <w:szCs w:val="22"/>
        </w:rPr>
        <w:t>OMPI a élaboré la base de données des accords d</w:t>
      </w:r>
      <w:r w:rsidR="00D91476">
        <w:rPr>
          <w:rFonts w:cs="Arial"/>
          <w:szCs w:val="22"/>
        </w:rPr>
        <w:t>’</w:t>
      </w:r>
      <w:r w:rsidRPr="00E8642C">
        <w:rPr>
          <w:rFonts w:cs="Arial"/>
          <w:szCs w:val="22"/>
        </w:rPr>
        <w:t>accès et de partage des avantages en matière de biodiversité contenant les clauses contractuelles relatives au transfert et à l</w:t>
      </w:r>
      <w:r w:rsidR="00D91476">
        <w:rPr>
          <w:rFonts w:cs="Arial"/>
          <w:szCs w:val="22"/>
        </w:rPr>
        <w:t>’</w:t>
      </w:r>
      <w:r w:rsidRPr="00E8642C">
        <w:rPr>
          <w:rFonts w:cs="Arial"/>
          <w:szCs w:val="22"/>
        </w:rPr>
        <w:t>utilisation des ressources génétiques</w:t>
      </w:r>
      <w:r w:rsidRPr="00E8642C">
        <w:rPr>
          <w:rStyle w:val="FootnoteReference"/>
          <w:rFonts w:cs="Arial"/>
          <w:szCs w:val="22"/>
        </w:rPr>
        <w:footnoteReference w:id="7"/>
      </w:r>
      <w:r w:rsidRPr="00E8642C">
        <w:rPr>
          <w:rFonts w:cs="Arial"/>
          <w:szCs w:val="22"/>
        </w:rPr>
        <w:t>.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 xml:space="preserve">agriculture (FAO) a élaboré et adopté en 2006 un Accord type de transfert de matériel dans le cadre de la mise en œuvre du Traité international sur les ressources </w:t>
      </w:r>
      <w:proofErr w:type="spellStart"/>
      <w:r w:rsidRPr="00E8642C">
        <w:rPr>
          <w:rFonts w:cs="Arial"/>
          <w:szCs w:val="22"/>
        </w:rPr>
        <w:t>phytogénétiques</w:t>
      </w:r>
      <w:proofErr w:type="spellEnd"/>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 (2001)</w:t>
      </w:r>
      <w:r w:rsidRPr="00E8642C">
        <w:rPr>
          <w:rStyle w:val="FootnoteReference"/>
          <w:rFonts w:cs="Arial"/>
          <w:bCs/>
          <w:szCs w:val="22"/>
        </w:rPr>
        <w:footnoteReference w:id="8"/>
      </w:r>
      <w:r w:rsidRPr="00E8642C">
        <w:rPr>
          <w:rFonts w:cs="Arial"/>
          <w:szCs w:val="22"/>
        </w:rPr>
        <w:t xml:space="preserve">.  </w:t>
      </w:r>
      <w:r w:rsidRPr="00E8642C">
        <w:rPr>
          <w:rFonts w:cs="Arial"/>
          <w:bCs/>
          <w:szCs w:val="22"/>
        </w:rPr>
        <w:t>L</w:t>
      </w:r>
      <w:r w:rsidR="00D91476">
        <w:rPr>
          <w:rFonts w:cs="Arial"/>
          <w:bCs/>
          <w:szCs w:val="22"/>
        </w:rPr>
        <w:t>’</w:t>
      </w:r>
      <w:r w:rsidRPr="00E8642C">
        <w:rPr>
          <w:rFonts w:cs="Arial"/>
          <w:bCs/>
          <w:szCs w:val="22"/>
        </w:rPr>
        <w:t xml:space="preserve">appendice I des </w:t>
      </w:r>
      <w:r w:rsidRPr="00E8642C">
        <w:rPr>
          <w:rFonts w:cs="Arial"/>
          <w:bCs/>
          <w:i/>
          <w:szCs w:val="22"/>
        </w:rPr>
        <w:t>Lignes directrices de Bonn sur l</w:t>
      </w:r>
      <w:r w:rsidR="00D91476">
        <w:rPr>
          <w:rFonts w:cs="Arial"/>
          <w:bCs/>
          <w:i/>
          <w:szCs w:val="22"/>
        </w:rPr>
        <w:t>’</w:t>
      </w:r>
      <w:r w:rsidRPr="00E8642C">
        <w:rPr>
          <w:rFonts w:cs="Arial"/>
          <w:bCs/>
          <w:i/>
          <w:szCs w:val="22"/>
        </w:rPr>
        <w:t>accès aux ressources génétiques et le partage juste et équitable des avantages résultant de leur utilisation</w:t>
      </w:r>
      <w:r w:rsidRPr="00E8642C">
        <w:rPr>
          <w:rFonts w:cs="Arial"/>
          <w:bCs/>
          <w:szCs w:val="22"/>
        </w:rPr>
        <w:t xml:space="preserve"> contient des éléments suggérés pour les accords de transfert de matériel.</w:t>
      </w:r>
    </w:p>
    <w:p w:rsidR="00D23D81" w:rsidRDefault="00DD607D" w:rsidP="00D23D81">
      <w:pPr>
        <w:pStyle w:val="Heading2"/>
        <w:spacing w:after="220" w:line="240" w:lineRule="auto"/>
      </w:pPr>
      <w:bookmarkStart w:id="8" w:name="_Toc7772487"/>
      <w:r w:rsidRPr="00E8642C">
        <w:t>Accord et participation</w:t>
      </w:r>
      <w:bookmarkEnd w:id="8"/>
    </w:p>
    <w:p w:rsidR="00D23D81" w:rsidRDefault="00DD607D" w:rsidP="00D23D81">
      <w:pPr>
        <w:spacing w:after="220"/>
        <w:rPr>
          <w:rFonts w:cs="Arial"/>
          <w:szCs w:val="22"/>
        </w:rPr>
      </w:pPr>
      <w:r w:rsidRPr="00E8642C">
        <w:rPr>
          <w:rFonts w:cs="Arial"/>
          <w:szCs w:val="22"/>
        </w:rPr>
        <w:t>Il n</w:t>
      </w:r>
      <w:r w:rsidR="00D91476">
        <w:rPr>
          <w:rFonts w:cs="Arial"/>
          <w:szCs w:val="22"/>
        </w:rPr>
        <w:t>’</w:t>
      </w:r>
      <w:r w:rsidRPr="00E8642C">
        <w:rPr>
          <w:rFonts w:cs="Arial"/>
          <w:szCs w:val="22"/>
        </w:rPr>
        <w:t>existe pas de définition universellement acceptée de cette expressi</w:t>
      </w:r>
      <w:r w:rsidR="001F3AEE" w:rsidRPr="00E8642C">
        <w:rPr>
          <w:rFonts w:cs="Arial"/>
          <w:szCs w:val="22"/>
        </w:rPr>
        <w:t>on</w:t>
      </w:r>
      <w:r w:rsidR="001F3AEE">
        <w:rPr>
          <w:rFonts w:cs="Arial"/>
          <w:szCs w:val="22"/>
        </w:rPr>
        <w:t xml:space="preserve">.  </w:t>
      </w:r>
      <w:r w:rsidR="001F3AEE" w:rsidRPr="00E8642C">
        <w:rPr>
          <w:rFonts w:cs="Arial"/>
          <w:szCs w:val="22"/>
        </w:rPr>
        <w:t>Il</w:t>
      </w:r>
      <w:r w:rsidRPr="00E8642C">
        <w:rPr>
          <w:rFonts w:cs="Arial"/>
          <w:szCs w:val="22"/>
        </w:rPr>
        <w:t xml:space="preserve"> a été suggéré dans un contexte que, bien que l</w:t>
      </w:r>
      <w:r w:rsidR="00D91476">
        <w:rPr>
          <w:rFonts w:cs="Arial"/>
          <w:szCs w:val="22"/>
        </w:rPr>
        <w:t>’</w:t>
      </w:r>
      <w:r w:rsidRPr="00E8642C">
        <w:rPr>
          <w:rFonts w:cs="Arial"/>
          <w:szCs w:val="22"/>
        </w:rPr>
        <w:t xml:space="preserve">article 8.j) de la </w:t>
      </w:r>
      <w:r w:rsidRPr="00E8642C">
        <w:rPr>
          <w:rFonts w:cs="Arial"/>
          <w:i/>
          <w:szCs w:val="22"/>
        </w:rPr>
        <w:t>Convention sur la diversité biologique</w:t>
      </w:r>
      <w:r w:rsidRPr="00E8642C">
        <w:rPr>
          <w:rFonts w:cs="Arial"/>
          <w:szCs w:val="22"/>
        </w:rPr>
        <w:t xml:space="preserve"> (1992) contienne l</w:t>
      </w:r>
      <w:r w:rsidR="00D91476">
        <w:rPr>
          <w:rFonts w:cs="Arial"/>
          <w:szCs w:val="22"/>
        </w:rPr>
        <w:t>’</w:t>
      </w:r>
      <w:r w:rsidRPr="00E8642C">
        <w:rPr>
          <w:rFonts w:cs="Arial"/>
          <w:szCs w:val="22"/>
        </w:rPr>
        <w:t>expression “accord et participation”, plusieurs décisions fondées sur l</w:t>
      </w:r>
      <w:r w:rsidR="00D91476">
        <w:rPr>
          <w:rFonts w:cs="Arial"/>
          <w:szCs w:val="22"/>
        </w:rPr>
        <w:t>’</w:t>
      </w:r>
      <w:r w:rsidRPr="00E8642C">
        <w:rPr>
          <w:rFonts w:cs="Arial"/>
          <w:szCs w:val="22"/>
        </w:rPr>
        <w:t>article 8.j) ont systématiquement interprété cette expression comme signifiant “consentement préalable donné en connaissance de cause”</w:t>
      </w:r>
      <w:r w:rsidRPr="00E8642C">
        <w:rPr>
          <w:rStyle w:val="FootnoteReference"/>
          <w:rFonts w:cs="Arial"/>
          <w:szCs w:val="22"/>
        </w:rPr>
        <w:footnoteReference w:id="9"/>
      </w:r>
      <w:r w:rsidRPr="00E8642C">
        <w:rPr>
          <w:rFonts w:cs="Arial"/>
          <w:szCs w:val="22"/>
        </w:rPr>
        <w:t>.</w:t>
      </w:r>
    </w:p>
    <w:p w:rsidR="00D23D81" w:rsidRDefault="00DD607D" w:rsidP="00D23D81">
      <w:pPr>
        <w:pStyle w:val="Heading2"/>
        <w:spacing w:after="220" w:line="240" w:lineRule="auto"/>
      </w:pPr>
      <w:bookmarkStart w:id="9" w:name="_Toc7772488"/>
      <w:r w:rsidRPr="00E8642C">
        <w:t>Activité inventive</w:t>
      </w:r>
      <w:bookmarkEnd w:id="9"/>
    </w:p>
    <w:p w:rsidR="00D23D81" w:rsidRDefault="00DD607D" w:rsidP="00D23D81">
      <w:pPr>
        <w:autoSpaceDE w:val="0"/>
        <w:autoSpaceDN w:val="0"/>
        <w:adjustRightInd w:val="0"/>
        <w:spacing w:after="220"/>
        <w:rPr>
          <w:rFonts w:cs="Arial"/>
          <w:bCs/>
          <w:szCs w:val="22"/>
        </w:rPr>
      </w:pPr>
      <w:r w:rsidRPr="00E8642C">
        <w:rPr>
          <w:rFonts w:cs="Arial"/>
          <w:bCs/>
          <w:szCs w:val="22"/>
        </w:rPr>
        <w:t>L</w:t>
      </w:r>
      <w:r w:rsidR="00D91476">
        <w:rPr>
          <w:rFonts w:cs="Arial"/>
          <w:bCs/>
          <w:szCs w:val="22"/>
        </w:rPr>
        <w:t>’</w:t>
      </w:r>
      <w:r w:rsidRPr="00E8642C">
        <w:rPr>
          <w:rFonts w:cs="Arial"/>
          <w:bCs/>
          <w:szCs w:val="22"/>
        </w:rPr>
        <w:t>activité inventive (également dénommée “non</w:t>
      </w:r>
      <w:r w:rsidR="00400337">
        <w:rPr>
          <w:rFonts w:cs="Arial"/>
          <w:bCs/>
          <w:szCs w:val="22"/>
        </w:rPr>
        <w:noBreakHyphen/>
      </w:r>
      <w:r w:rsidRPr="00E8642C">
        <w:rPr>
          <w:rFonts w:cs="Arial"/>
          <w:bCs/>
          <w:szCs w:val="22"/>
        </w:rPr>
        <w:t>évidence”) est l</w:t>
      </w:r>
      <w:r w:rsidR="00D91476">
        <w:rPr>
          <w:rFonts w:cs="Arial"/>
          <w:bCs/>
          <w:szCs w:val="22"/>
        </w:rPr>
        <w:t>’</w:t>
      </w:r>
      <w:r w:rsidRPr="00E8642C">
        <w:rPr>
          <w:rFonts w:cs="Arial"/>
          <w:bCs/>
          <w:szCs w:val="22"/>
        </w:rPr>
        <w:t>un des critères de brevetabilité et se rapporte à la question de savoir si l</w:t>
      </w:r>
      <w:r w:rsidR="00D91476">
        <w:rPr>
          <w:rFonts w:cs="Arial"/>
          <w:bCs/>
          <w:szCs w:val="22"/>
        </w:rPr>
        <w:t>’</w:t>
      </w:r>
      <w:r w:rsidRPr="00E8642C">
        <w:rPr>
          <w:rFonts w:cs="Arial"/>
          <w:bCs/>
          <w:szCs w:val="22"/>
        </w:rPr>
        <w:t>invention aurait été évidente pour un homme du métier moyen</w:t>
      </w:r>
      <w:r w:rsidRPr="00E8642C">
        <w:rPr>
          <w:rStyle w:val="FootnoteReference"/>
          <w:rFonts w:cs="Arial"/>
          <w:szCs w:val="22"/>
        </w:rPr>
        <w:footnoteReference w:id="10"/>
      </w:r>
      <w:r w:rsidRPr="00E8642C">
        <w:rPr>
          <w:rFonts w:cs="Arial"/>
          <w:bCs/>
          <w:szCs w:val="22"/>
        </w:rPr>
        <w:t>.</w:t>
      </w:r>
    </w:p>
    <w:p w:rsidR="00D23D81" w:rsidRDefault="00DD607D" w:rsidP="00D23D81">
      <w:pPr>
        <w:autoSpaceDE w:val="0"/>
        <w:autoSpaceDN w:val="0"/>
        <w:adjustRightInd w:val="0"/>
        <w:spacing w:after="220"/>
        <w:rPr>
          <w:rFonts w:cs="Arial"/>
          <w:bCs/>
          <w:szCs w:val="22"/>
        </w:rPr>
      </w:pPr>
      <w:r w:rsidRPr="00E8642C">
        <w:rPr>
          <w:rFonts w:cs="Arial"/>
          <w:bCs/>
          <w:szCs w:val="22"/>
        </w:rPr>
        <w:t>Aux termes de l</w:t>
      </w:r>
      <w:r w:rsidR="00D91476">
        <w:rPr>
          <w:rFonts w:cs="Arial"/>
          <w:bCs/>
          <w:szCs w:val="22"/>
        </w:rPr>
        <w:t>’</w:t>
      </w:r>
      <w:r w:rsidRPr="00E8642C">
        <w:rPr>
          <w:rFonts w:cs="Arial"/>
          <w:bCs/>
          <w:szCs w:val="22"/>
        </w:rPr>
        <w:t>article 33 du PCT, une invention dont la protection est demandée est considérée comme impliquant une activité inventive “</w:t>
      </w:r>
      <w:r w:rsidRPr="00E8642C">
        <w:rPr>
          <w:rFonts w:cs="Arial"/>
          <w:bCs/>
          <w:iCs/>
          <w:szCs w:val="22"/>
        </w:rPr>
        <w:t>si, compte tenu de l</w:t>
      </w:r>
      <w:r w:rsidR="00D91476">
        <w:rPr>
          <w:rFonts w:cs="Arial"/>
          <w:bCs/>
          <w:iCs/>
          <w:szCs w:val="22"/>
        </w:rPr>
        <w:t>’</w:t>
      </w:r>
      <w:r w:rsidRPr="00E8642C">
        <w:rPr>
          <w:rFonts w:cs="Arial"/>
          <w:bCs/>
          <w:iCs/>
          <w:szCs w:val="22"/>
        </w:rPr>
        <w:t>état de la technique tel qu</w:t>
      </w:r>
      <w:r w:rsidR="00D91476">
        <w:rPr>
          <w:rFonts w:cs="Arial"/>
          <w:bCs/>
          <w:iCs/>
          <w:szCs w:val="22"/>
        </w:rPr>
        <w:t>’</w:t>
      </w:r>
      <w:r w:rsidRPr="00E8642C">
        <w:rPr>
          <w:rFonts w:cs="Arial"/>
          <w:bCs/>
          <w:iCs/>
          <w:szCs w:val="22"/>
        </w:rPr>
        <w:t>il est défini dans le règlement d</w:t>
      </w:r>
      <w:r w:rsidR="00D91476">
        <w:rPr>
          <w:rFonts w:cs="Arial"/>
          <w:bCs/>
          <w:iCs/>
          <w:szCs w:val="22"/>
        </w:rPr>
        <w:t>’</w:t>
      </w:r>
      <w:r w:rsidRPr="00E8642C">
        <w:rPr>
          <w:rFonts w:cs="Arial"/>
          <w:bCs/>
          <w:iCs/>
          <w:szCs w:val="22"/>
        </w:rPr>
        <w:t>exécution, elle n</w:t>
      </w:r>
      <w:r w:rsidR="00D91476">
        <w:rPr>
          <w:rFonts w:cs="Arial"/>
          <w:bCs/>
          <w:iCs/>
          <w:szCs w:val="22"/>
        </w:rPr>
        <w:t>’</w:t>
      </w:r>
      <w:r w:rsidRPr="00E8642C">
        <w:rPr>
          <w:rFonts w:cs="Arial"/>
          <w:bCs/>
          <w:iCs/>
          <w:szCs w:val="22"/>
        </w:rPr>
        <w:t>est pas, à la date pertinente prescrite, évidente pour un homme du métier</w:t>
      </w:r>
      <w:r w:rsidRPr="00E8642C">
        <w:rPr>
          <w:rFonts w:cs="Arial"/>
          <w:bCs/>
          <w:szCs w:val="22"/>
        </w:rPr>
        <w:t>”.</w:t>
      </w:r>
    </w:p>
    <w:p w:rsidR="00D23D81" w:rsidRDefault="00DD607D" w:rsidP="00D23D81">
      <w:pPr>
        <w:autoSpaceDE w:val="0"/>
        <w:autoSpaceDN w:val="0"/>
        <w:adjustRightInd w:val="0"/>
        <w:spacing w:after="220"/>
        <w:rPr>
          <w:rFonts w:cs="Arial"/>
          <w:bCs/>
          <w:szCs w:val="22"/>
        </w:rPr>
      </w:pPr>
      <w:r w:rsidRPr="00E8642C">
        <w:rPr>
          <w:rFonts w:cs="Arial"/>
          <w:bCs/>
          <w:szCs w:val="22"/>
        </w:rPr>
        <w:t>L</w:t>
      </w:r>
      <w:r w:rsidR="00D91476">
        <w:rPr>
          <w:rFonts w:cs="Arial"/>
          <w:bCs/>
          <w:szCs w:val="22"/>
        </w:rPr>
        <w:t>’</w:t>
      </w:r>
      <w:r w:rsidRPr="00E8642C">
        <w:rPr>
          <w:rFonts w:cs="Arial"/>
          <w:bCs/>
          <w:szCs w:val="22"/>
        </w:rPr>
        <w:t xml:space="preserve">article 56 de la </w:t>
      </w:r>
      <w:r w:rsidRPr="00E8642C">
        <w:rPr>
          <w:rFonts w:cs="Arial"/>
          <w:bCs/>
          <w:i/>
          <w:szCs w:val="22"/>
        </w:rPr>
        <w:t>Convention sur le brevet européen</w:t>
      </w:r>
      <w:r w:rsidRPr="00E8642C">
        <w:rPr>
          <w:rFonts w:cs="Arial"/>
          <w:bCs/>
          <w:szCs w:val="22"/>
        </w:rPr>
        <w:t xml:space="preserve"> et l</w:t>
      </w:r>
      <w:r w:rsidR="00D91476">
        <w:rPr>
          <w:rFonts w:cs="Arial"/>
          <w:bCs/>
          <w:szCs w:val="22"/>
        </w:rPr>
        <w:t>’</w:t>
      </w:r>
      <w:r w:rsidRPr="00E8642C">
        <w:rPr>
          <w:rFonts w:cs="Arial"/>
          <w:bCs/>
          <w:szCs w:val="22"/>
        </w:rPr>
        <w:t>article 103 du titre 35 du Code des États</w:t>
      </w:r>
      <w:r w:rsidR="00400337">
        <w:rPr>
          <w:rFonts w:cs="Arial"/>
          <w:bCs/>
          <w:szCs w:val="22"/>
        </w:rPr>
        <w:noBreakHyphen/>
      </w:r>
      <w:r w:rsidRPr="00E8642C">
        <w:rPr>
          <w:rFonts w:cs="Arial"/>
          <w:bCs/>
          <w:szCs w:val="22"/>
        </w:rPr>
        <w:t>Unis d</w:t>
      </w:r>
      <w:r w:rsidR="00D91476">
        <w:rPr>
          <w:rFonts w:cs="Arial"/>
          <w:bCs/>
          <w:szCs w:val="22"/>
        </w:rPr>
        <w:t>’</w:t>
      </w:r>
      <w:r w:rsidRPr="00E8642C">
        <w:rPr>
          <w:rFonts w:cs="Arial"/>
          <w:bCs/>
          <w:szCs w:val="22"/>
        </w:rPr>
        <w:t>Amérique contiennent des définitions similair</w:t>
      </w:r>
      <w:r w:rsidR="001F3AEE" w:rsidRPr="00E8642C">
        <w:rPr>
          <w:rFonts w:cs="Arial"/>
          <w:bCs/>
          <w:szCs w:val="22"/>
        </w:rPr>
        <w:t>es</w:t>
      </w:r>
      <w:r w:rsidR="001F3AEE">
        <w:rPr>
          <w:rFonts w:cs="Arial"/>
          <w:bCs/>
          <w:szCs w:val="22"/>
        </w:rPr>
        <w:t xml:space="preserve">.  </w:t>
      </w:r>
      <w:r w:rsidR="001F3AEE" w:rsidRPr="00E8642C">
        <w:rPr>
          <w:rFonts w:cs="Arial"/>
          <w:bCs/>
          <w:szCs w:val="22"/>
        </w:rPr>
        <w:t>L</w:t>
      </w:r>
      <w:r w:rsidR="001F3AEE">
        <w:rPr>
          <w:rFonts w:cs="Arial"/>
          <w:bCs/>
          <w:szCs w:val="22"/>
        </w:rPr>
        <w:t>’</w:t>
      </w:r>
      <w:r w:rsidR="001F3AEE" w:rsidRPr="00E8642C">
        <w:rPr>
          <w:rFonts w:cs="Arial"/>
          <w:bCs/>
          <w:szCs w:val="22"/>
        </w:rPr>
        <w:t>a</w:t>
      </w:r>
      <w:r w:rsidRPr="00E8642C">
        <w:rPr>
          <w:rFonts w:cs="Arial"/>
          <w:bCs/>
          <w:szCs w:val="22"/>
        </w:rPr>
        <w:t>rticle 103 du titre 35 du Code des États</w:t>
      </w:r>
      <w:r w:rsidR="00400337">
        <w:rPr>
          <w:rFonts w:cs="Arial"/>
          <w:bCs/>
          <w:szCs w:val="22"/>
        </w:rPr>
        <w:noBreakHyphen/>
      </w:r>
      <w:r w:rsidRPr="00E8642C">
        <w:rPr>
          <w:rFonts w:cs="Arial"/>
          <w:bCs/>
          <w:szCs w:val="22"/>
        </w:rPr>
        <w:t>Unis d</w:t>
      </w:r>
      <w:r w:rsidR="00D91476">
        <w:rPr>
          <w:rFonts w:cs="Arial"/>
          <w:bCs/>
          <w:szCs w:val="22"/>
        </w:rPr>
        <w:t>’</w:t>
      </w:r>
      <w:r w:rsidRPr="00E8642C">
        <w:rPr>
          <w:rFonts w:cs="Arial"/>
          <w:bCs/>
          <w:szCs w:val="22"/>
        </w:rPr>
        <w:t>Amérique utilise le terme équivalent de “non</w:t>
      </w:r>
      <w:r w:rsidR="00400337">
        <w:rPr>
          <w:rFonts w:cs="Arial"/>
          <w:bCs/>
          <w:szCs w:val="22"/>
        </w:rPr>
        <w:noBreakHyphen/>
      </w:r>
      <w:r w:rsidRPr="00E8642C">
        <w:rPr>
          <w:rFonts w:cs="Arial"/>
          <w:bCs/>
          <w:szCs w:val="22"/>
        </w:rPr>
        <w:t>évidence”</w:t>
      </w:r>
      <w:r w:rsidRPr="00E8642C">
        <w:rPr>
          <w:rStyle w:val="FootnoteReference"/>
          <w:szCs w:val="22"/>
          <w:lang w:eastAsia="en-US" w:bidi="th-TH"/>
        </w:rPr>
        <w:footnoteReference w:id="11"/>
      </w:r>
      <w:r w:rsidRPr="00E8642C">
        <w:rPr>
          <w:rFonts w:cs="Arial"/>
          <w:bCs/>
          <w:szCs w:val="22"/>
        </w:rPr>
        <w:t>.</w:t>
      </w:r>
    </w:p>
    <w:p w:rsidR="00D23D81" w:rsidRDefault="00DD607D" w:rsidP="00D23D81">
      <w:pPr>
        <w:pStyle w:val="Heading2"/>
        <w:spacing w:after="220" w:line="240" w:lineRule="auto"/>
      </w:pPr>
      <w:bookmarkStart w:id="10" w:name="_Toc7772489"/>
      <w:r w:rsidRPr="00E8642C">
        <w:t>Adaptation</w:t>
      </w:r>
      <w:bookmarkEnd w:id="10"/>
    </w:p>
    <w:p w:rsidR="00D23D81"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adaptation est l</w:t>
      </w:r>
      <w:r w:rsidR="00D91476">
        <w:rPr>
          <w:rFonts w:cs="Arial"/>
          <w:szCs w:val="22"/>
        </w:rPr>
        <w:t>’</w:t>
      </w:r>
      <w:r w:rsidRPr="00E8642C">
        <w:rPr>
          <w:rFonts w:cs="Arial"/>
          <w:szCs w:val="22"/>
        </w:rPr>
        <w:t>action de modifier une œuvre préexistante (protégée ou tombée dans le domaine public) ou une expression culturelle traditionnelle pour qu</w:t>
      </w:r>
      <w:r w:rsidR="00D91476">
        <w:rPr>
          <w:rFonts w:cs="Arial"/>
          <w:szCs w:val="22"/>
        </w:rPr>
        <w:t>’</w:t>
      </w:r>
      <w:r w:rsidRPr="00E8642C">
        <w:rPr>
          <w:rFonts w:cs="Arial"/>
          <w:szCs w:val="22"/>
        </w:rPr>
        <w:t>elle serve à des fins autres que celles qu</w:t>
      </w:r>
      <w:r w:rsidR="00D91476">
        <w:rPr>
          <w:rFonts w:cs="Arial"/>
          <w:szCs w:val="22"/>
        </w:rPr>
        <w:t>’</w:t>
      </w:r>
      <w:r w:rsidRPr="00E8642C">
        <w:rPr>
          <w:rFonts w:cs="Arial"/>
          <w:szCs w:val="22"/>
        </w:rPr>
        <w:t>elle avait à l</w:t>
      </w:r>
      <w:r w:rsidR="00D91476">
        <w:rPr>
          <w:rFonts w:cs="Arial"/>
          <w:szCs w:val="22"/>
        </w:rPr>
        <w:t>’</w:t>
      </w:r>
      <w:r w:rsidRPr="00E8642C">
        <w:rPr>
          <w:rFonts w:cs="Arial"/>
          <w:szCs w:val="22"/>
        </w:rPr>
        <w:t>origine et de manière à réaliser une œuvre nouvelle fusionnant les éléments de l</w:t>
      </w:r>
      <w:r w:rsidR="00D91476">
        <w:rPr>
          <w:rFonts w:cs="Arial"/>
          <w:szCs w:val="22"/>
        </w:rPr>
        <w:t>’</w:t>
      </w:r>
      <w:r w:rsidRPr="00E8642C">
        <w:rPr>
          <w:rFonts w:cs="Arial"/>
          <w:szCs w:val="22"/>
        </w:rPr>
        <w:t>œuvre première et les nouveaux – ceux qui sont ajoutés du fait de la modification</w:t>
      </w:r>
      <w:bookmarkStart w:id="11" w:name="_Ref289433821"/>
      <w:r w:rsidRPr="00E8642C">
        <w:rPr>
          <w:rStyle w:val="FootnoteReference"/>
          <w:rFonts w:cs="Arial"/>
          <w:szCs w:val="22"/>
        </w:rPr>
        <w:footnoteReference w:id="12"/>
      </w:r>
      <w:bookmarkEnd w:id="11"/>
      <w:r w:rsidRPr="00E8642C">
        <w:rPr>
          <w:rFonts w:cs="Arial"/>
          <w:szCs w:val="22"/>
        </w:rPr>
        <w:t>.  L</w:t>
      </w:r>
      <w:r w:rsidR="00D91476">
        <w:rPr>
          <w:rFonts w:cs="Arial"/>
          <w:szCs w:val="22"/>
        </w:rPr>
        <w:t>’</w:t>
      </w:r>
      <w:r w:rsidRPr="00E8642C">
        <w:rPr>
          <w:rFonts w:cs="Arial"/>
          <w:szCs w:val="22"/>
        </w:rPr>
        <w:t xml:space="preserve">article 12 de la </w:t>
      </w:r>
      <w:r w:rsidRPr="00E8642C">
        <w:rPr>
          <w:rFonts w:cs="Arial"/>
          <w:i/>
          <w:szCs w:val="22"/>
        </w:rPr>
        <w:t>Convention de Berne pour la protection des œuvres littéraires et artistiques</w:t>
      </w:r>
      <w:r w:rsidRPr="00E8642C">
        <w:rPr>
          <w:rFonts w:cs="Arial"/>
          <w:szCs w:val="22"/>
        </w:rPr>
        <w:t xml:space="preserve"> (1971) dispose que les auteurs d</w:t>
      </w:r>
      <w:r w:rsidR="00D91476">
        <w:rPr>
          <w:rFonts w:cs="Arial"/>
          <w:szCs w:val="22"/>
        </w:rPr>
        <w:t>’</w:t>
      </w:r>
      <w:r w:rsidRPr="00E8642C">
        <w:rPr>
          <w:rFonts w:cs="Arial"/>
          <w:szCs w:val="22"/>
        </w:rPr>
        <w:t>œuvres littéraires ou artistiques jouissent du droit exclusif d</w:t>
      </w:r>
      <w:r w:rsidR="00D91476">
        <w:rPr>
          <w:rFonts w:cs="Arial"/>
          <w:szCs w:val="22"/>
        </w:rPr>
        <w:t>’</w:t>
      </w:r>
      <w:r w:rsidRPr="00E8642C">
        <w:rPr>
          <w:rFonts w:cs="Arial"/>
          <w:szCs w:val="22"/>
        </w:rPr>
        <w:t>autoriser les adaptations, arrangements et autres transformations de leurs œuvr</w:t>
      </w:r>
      <w:r w:rsidR="001F3AEE" w:rsidRPr="00E8642C">
        <w:rPr>
          <w:rFonts w:cs="Arial"/>
          <w:szCs w:val="22"/>
        </w:rPr>
        <w:t>es</w:t>
      </w:r>
      <w:r w:rsidR="001F3AEE">
        <w:rPr>
          <w:rFonts w:cs="Arial"/>
          <w:szCs w:val="22"/>
        </w:rPr>
        <w:t xml:space="preserve">.  </w:t>
      </w:r>
      <w:r w:rsidR="001F3AEE" w:rsidRPr="00E8642C">
        <w:rPr>
          <w:rFonts w:cs="Arial"/>
          <w:szCs w:val="22"/>
        </w:rPr>
        <w:t>Le</w:t>
      </w:r>
      <w:r w:rsidRPr="00E8642C">
        <w:rPr>
          <w:rFonts w:cs="Arial"/>
          <w:szCs w:val="22"/>
        </w:rPr>
        <w:t xml:space="preserv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Style w:val="FootnoteReference"/>
          <w:rFonts w:cs="Arial"/>
          <w:szCs w:val="22"/>
        </w:rPr>
        <w:footnoteReference w:id="13"/>
      </w:r>
      <w:r w:rsidRPr="00E8642C">
        <w:rPr>
          <w:rFonts w:cs="Arial"/>
          <w:szCs w:val="22"/>
        </w:rPr>
        <w:t xml:space="preserve"> prévoit que les titulaires du droit d</w:t>
      </w:r>
      <w:r w:rsidR="00D91476">
        <w:rPr>
          <w:rFonts w:cs="Arial"/>
          <w:szCs w:val="22"/>
        </w:rPr>
        <w:t>’</w:t>
      </w:r>
      <w:r w:rsidRPr="00E8642C">
        <w:rPr>
          <w:rFonts w:cs="Arial"/>
          <w:szCs w:val="22"/>
        </w:rPr>
        <w:t>auteur ont des droits exclusifs sur les œuvres dérivées ou les adaptations de l</w:t>
      </w:r>
      <w:r w:rsidR="00D91476">
        <w:rPr>
          <w:rFonts w:cs="Arial"/>
          <w:szCs w:val="22"/>
        </w:rPr>
        <w:t>’</w:t>
      </w:r>
      <w:r w:rsidRPr="00E8642C">
        <w:rPr>
          <w:rFonts w:cs="Arial"/>
          <w:szCs w:val="22"/>
        </w:rPr>
        <w:t>œuvre protégée.</w:t>
      </w:r>
    </w:p>
    <w:p w:rsidR="00D23D81" w:rsidRDefault="00DD607D" w:rsidP="00D23D81">
      <w:pPr>
        <w:pStyle w:val="Heading2"/>
        <w:spacing w:after="220" w:line="240" w:lineRule="auto"/>
      </w:pPr>
      <w:bookmarkStart w:id="12" w:name="_Toc7772490"/>
      <w:r w:rsidRPr="00E8642C">
        <w:t>Appropriation illicite</w:t>
      </w:r>
      <w:bookmarkEnd w:id="12"/>
    </w:p>
    <w:p w:rsidR="00D23D81" w:rsidRDefault="00DD607D" w:rsidP="00D23D81">
      <w:pPr>
        <w:autoSpaceDE w:val="0"/>
        <w:autoSpaceDN w:val="0"/>
        <w:adjustRightInd w:val="0"/>
        <w:spacing w:after="220"/>
        <w:rPr>
          <w:rFonts w:cs="Arial"/>
          <w:szCs w:val="22"/>
        </w:rPr>
      </w:pPr>
      <w:r w:rsidRPr="00E8642C">
        <w:rPr>
          <w:rFonts w:cs="Arial"/>
          <w:szCs w:val="22"/>
        </w:rPr>
        <w:t xml:space="preserve">Dans le domaine de la propriété intellectuelle,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“appropriation illicite” de la manière suivante</w:t>
      </w:r>
      <w:r w:rsidR="00D91476">
        <w:rPr>
          <w:rFonts w:cs="Arial"/>
          <w:szCs w:val="22"/>
        </w:rPr>
        <w:t> :</w:t>
      </w:r>
      <w:r w:rsidRPr="00E8642C">
        <w:rPr>
          <w:rFonts w:cs="Arial"/>
          <w:szCs w:val="22"/>
        </w:rPr>
        <w:t xml:space="preserve"> “un délit en </w:t>
      </w:r>
      <w:proofErr w:type="spellStart"/>
      <w:r w:rsidRPr="00007531">
        <w:rPr>
          <w:i/>
        </w:rPr>
        <w:t>common</w:t>
      </w:r>
      <w:proofErr w:type="spellEnd"/>
      <w:r w:rsidRPr="00007531">
        <w:rPr>
          <w:i/>
        </w:rPr>
        <w:t> </w:t>
      </w:r>
      <w:proofErr w:type="spellStart"/>
      <w:r w:rsidRPr="00007531">
        <w:rPr>
          <w:i/>
        </w:rPr>
        <w:t>law</w:t>
      </w:r>
      <w:proofErr w:type="spellEnd"/>
      <w:r w:rsidRPr="00E8642C">
        <w:rPr>
          <w:rFonts w:cs="Arial"/>
          <w:szCs w:val="22"/>
        </w:rPr>
        <w:t xml:space="preserve"> consistant à utiliser des informations ou des idées ne pouvant être couvertes par le droit d</w:t>
      </w:r>
      <w:r w:rsidR="00D91476">
        <w:rPr>
          <w:rFonts w:cs="Arial"/>
          <w:szCs w:val="22"/>
        </w:rPr>
        <w:t>’</w:t>
      </w:r>
      <w:r w:rsidRPr="00E8642C">
        <w:rPr>
          <w:rFonts w:cs="Arial"/>
          <w:szCs w:val="22"/>
        </w:rPr>
        <w:t>auteur, qu</w:t>
      </w:r>
      <w:r w:rsidR="00D91476">
        <w:rPr>
          <w:rFonts w:cs="Arial"/>
          <w:szCs w:val="22"/>
        </w:rPr>
        <w:t>’</w:t>
      </w:r>
      <w:r w:rsidRPr="00E8642C">
        <w:rPr>
          <w:rFonts w:cs="Arial"/>
          <w:szCs w:val="22"/>
        </w:rPr>
        <w:t>une organisation collecte ou diffuse pour en tirer un avantage, pour concurrencer cette organisation de manière déloyale, ou à copier une œuvre sur laquelle le créateur n</w:t>
      </w:r>
      <w:r w:rsidR="00D91476">
        <w:rPr>
          <w:rFonts w:cs="Arial"/>
          <w:szCs w:val="22"/>
        </w:rPr>
        <w:t>’</w:t>
      </w:r>
      <w:r w:rsidRPr="00E8642C">
        <w:rPr>
          <w:rFonts w:cs="Arial"/>
          <w:szCs w:val="22"/>
        </w:rPr>
        <w:t>a pas encore revendiqué de droits ou des droits exclusifs n</w:t>
      </w:r>
      <w:r w:rsidR="00D91476">
        <w:rPr>
          <w:rFonts w:cs="Arial"/>
          <w:szCs w:val="22"/>
        </w:rPr>
        <w:t>’</w:t>
      </w:r>
      <w:r w:rsidRPr="00E8642C">
        <w:rPr>
          <w:rFonts w:cs="Arial"/>
          <w:szCs w:val="22"/>
        </w:rPr>
        <w:t>ont pas encore été octroyés.  […] Les éléments de l</w:t>
      </w:r>
      <w:r w:rsidR="00D91476">
        <w:rPr>
          <w:rFonts w:cs="Arial"/>
          <w:szCs w:val="22"/>
        </w:rPr>
        <w:t>’</w:t>
      </w:r>
      <w:r w:rsidRPr="00E8642C">
        <w:rPr>
          <w:rFonts w:cs="Arial"/>
          <w:szCs w:val="22"/>
        </w:rPr>
        <w:t>appropriation illicite sont les suivants</w:t>
      </w:r>
      <w:r w:rsidR="00D91476">
        <w:rPr>
          <w:rFonts w:cs="Arial"/>
          <w:szCs w:val="22"/>
        </w:rPr>
        <w:t> :</w:t>
      </w:r>
      <w:r w:rsidRPr="00E8642C">
        <w:rPr>
          <w:rFonts w:cs="Arial"/>
          <w:szCs w:val="22"/>
        </w:rPr>
        <w:t xml:space="preserve"> 1) le demandeur doit avoir investi du temps, de l</w:t>
      </w:r>
      <w:r w:rsidR="00D91476">
        <w:rPr>
          <w:rFonts w:cs="Arial"/>
          <w:szCs w:val="22"/>
        </w:rPr>
        <w:t>’</w:t>
      </w:r>
      <w:r w:rsidRPr="00E8642C">
        <w:rPr>
          <w:rFonts w:cs="Arial"/>
          <w:szCs w:val="22"/>
        </w:rPr>
        <w:t>argent ou des efforts pour extraire les informations, 2) le défendeur doit s</w:t>
      </w:r>
      <w:r w:rsidR="00D91476">
        <w:rPr>
          <w:rFonts w:cs="Arial"/>
          <w:szCs w:val="22"/>
        </w:rPr>
        <w:t>’</w:t>
      </w:r>
      <w:r w:rsidRPr="00E8642C">
        <w:rPr>
          <w:rFonts w:cs="Arial"/>
          <w:szCs w:val="22"/>
        </w:rPr>
        <w:t>être procuré les informations sans aucun investissement similaire, et 3) le plaignant doit avoir subi un préjudice concurrentiel en raison de cette appropriation”.</w:t>
      </w:r>
    </w:p>
    <w:p w:rsidR="00D23D81" w:rsidRDefault="00DD607D" w:rsidP="00D23D81">
      <w:pPr>
        <w:autoSpaceDE w:val="0"/>
        <w:autoSpaceDN w:val="0"/>
        <w:adjustRightInd w:val="0"/>
        <w:spacing w:after="220"/>
        <w:rPr>
          <w:rFonts w:cs="Arial"/>
          <w:szCs w:val="22"/>
        </w:rPr>
      </w:pPr>
      <w:r w:rsidRPr="00E8642C">
        <w:rPr>
          <w:rFonts w:cs="Arial"/>
          <w:szCs w:val="22"/>
        </w:rPr>
        <w:t>Le délit d</w:t>
      </w:r>
      <w:r w:rsidR="00D91476">
        <w:rPr>
          <w:rFonts w:cs="Arial"/>
          <w:szCs w:val="22"/>
        </w:rPr>
        <w:t>’</w:t>
      </w:r>
      <w:r w:rsidRPr="00E8642C">
        <w:rPr>
          <w:rFonts w:cs="Arial"/>
          <w:szCs w:val="22"/>
        </w:rPr>
        <w:t xml:space="preserve">appropriation illicite est inscrit dans la loi sur la concurrence déloyale dans le système de </w:t>
      </w:r>
      <w:proofErr w:type="spellStart"/>
      <w:r w:rsidRPr="00007531">
        <w:rPr>
          <w:i/>
        </w:rPr>
        <w:t>common</w:t>
      </w:r>
      <w:proofErr w:type="spellEnd"/>
      <w:r w:rsidRPr="00007531">
        <w:rPr>
          <w:i/>
        </w:rPr>
        <w:t> </w:t>
      </w:r>
      <w:proofErr w:type="spellStart"/>
      <w:r w:rsidRPr="00007531">
        <w:rPr>
          <w:i/>
        </w:rPr>
        <w:t>l</w:t>
      </w:r>
      <w:r w:rsidR="001F3AEE" w:rsidRPr="00007531">
        <w:rPr>
          <w:i/>
        </w:rPr>
        <w:t>aw</w:t>
      </w:r>
      <w:proofErr w:type="spellEnd"/>
      <w:r w:rsidR="001F3AEE">
        <w:rPr>
          <w:i/>
        </w:rPr>
        <w:t xml:space="preserve">.  </w:t>
      </w:r>
      <w:r w:rsidR="001F3AEE" w:rsidRPr="00E8642C">
        <w:rPr>
          <w:rFonts w:cs="Arial"/>
          <w:szCs w:val="22"/>
        </w:rPr>
        <w:t>L</w:t>
      </w:r>
      <w:r w:rsidR="001F3AEE">
        <w:rPr>
          <w:rFonts w:cs="Arial"/>
          <w:szCs w:val="22"/>
        </w:rPr>
        <w:t>’</w:t>
      </w:r>
      <w:r w:rsidR="001F3AEE" w:rsidRPr="00E8642C">
        <w:rPr>
          <w:rFonts w:cs="Arial"/>
          <w:szCs w:val="22"/>
        </w:rPr>
        <w:t>a</w:t>
      </w:r>
      <w:r w:rsidRPr="00E8642C">
        <w:rPr>
          <w:rFonts w:cs="Arial"/>
          <w:szCs w:val="22"/>
        </w:rPr>
        <w:t>ppropriation illicite comprend ainsi l</w:t>
      </w:r>
      <w:r w:rsidR="00D91476">
        <w:rPr>
          <w:rFonts w:cs="Arial"/>
          <w:szCs w:val="22"/>
        </w:rPr>
        <w:t>’</w:t>
      </w:r>
      <w:r w:rsidRPr="00E8642C">
        <w:rPr>
          <w:rFonts w:cs="Arial"/>
          <w:szCs w:val="22"/>
        </w:rPr>
        <w:t>utilisation ou l</w:t>
      </w:r>
      <w:r w:rsidR="00D91476">
        <w:rPr>
          <w:rFonts w:cs="Arial"/>
          <w:szCs w:val="22"/>
        </w:rPr>
        <w:t>’</w:t>
      </w:r>
      <w:r w:rsidRPr="00E8642C">
        <w:rPr>
          <w:rFonts w:cs="Arial"/>
          <w:szCs w:val="22"/>
        </w:rPr>
        <w:t>appropriation illicite ou abusive de la propriété d</w:t>
      </w:r>
      <w:r w:rsidR="00D91476">
        <w:rPr>
          <w:rFonts w:cs="Arial"/>
          <w:szCs w:val="22"/>
        </w:rPr>
        <w:t>’</w:t>
      </w:r>
      <w:r w:rsidRPr="00E8642C">
        <w:rPr>
          <w:rFonts w:cs="Arial"/>
          <w:szCs w:val="22"/>
        </w:rPr>
        <w:t>une personne, et est souvent utilisée pour fonder une action dans des cas où aucune atteinte n</w:t>
      </w:r>
      <w:r w:rsidR="00D91476">
        <w:rPr>
          <w:rFonts w:cs="Arial"/>
          <w:szCs w:val="22"/>
        </w:rPr>
        <w:t>’</w:t>
      </w:r>
      <w:r w:rsidRPr="00E8642C">
        <w:rPr>
          <w:rFonts w:cs="Arial"/>
          <w:szCs w:val="22"/>
        </w:rPr>
        <w:t>a été portée à un droit de propriété à proprement parl</w:t>
      </w:r>
      <w:r w:rsidR="001F3AEE" w:rsidRPr="00E8642C">
        <w:rPr>
          <w:rFonts w:cs="Arial"/>
          <w:szCs w:val="22"/>
        </w:rPr>
        <w:t>er</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a</w:t>
      </w:r>
      <w:r w:rsidRPr="00E8642C">
        <w:rPr>
          <w:rFonts w:cs="Arial"/>
          <w:szCs w:val="22"/>
        </w:rPr>
        <w:t>ppropriation illicite peut renvoyer à un emprunt illicite ou à l</w:t>
      </w:r>
      <w:r w:rsidR="00D91476">
        <w:rPr>
          <w:rFonts w:cs="Arial"/>
          <w:szCs w:val="22"/>
        </w:rPr>
        <w:t>’</w:t>
      </w:r>
      <w:r w:rsidRPr="00E8642C">
        <w:rPr>
          <w:rFonts w:cs="Arial"/>
          <w:szCs w:val="22"/>
        </w:rPr>
        <w:t>appropriation frauduleuse de fonds ou de propriété confiés à la garde d</w:t>
      </w:r>
      <w:r w:rsidR="00D91476">
        <w:rPr>
          <w:rFonts w:cs="Arial"/>
          <w:szCs w:val="22"/>
        </w:rPr>
        <w:t>’</w:t>
      </w:r>
      <w:r w:rsidRPr="00E8642C">
        <w:rPr>
          <w:rFonts w:cs="Arial"/>
          <w:szCs w:val="22"/>
        </w:rPr>
        <w:t>une personne mais détenus dans les faits par une autre personne.</w:t>
      </w:r>
    </w:p>
    <w:p w:rsidR="00D23D81" w:rsidRDefault="00DD607D" w:rsidP="00D23D81">
      <w:pPr>
        <w:autoSpaceDE w:val="0"/>
        <w:autoSpaceDN w:val="0"/>
        <w:adjustRightInd w:val="0"/>
        <w:spacing w:after="220"/>
        <w:rPr>
          <w:rFonts w:cs="Arial"/>
          <w:szCs w:val="22"/>
        </w:rPr>
      </w:pPr>
      <w:r w:rsidRPr="00E8642C">
        <w:rPr>
          <w:rFonts w:cs="Arial"/>
          <w:szCs w:val="22"/>
        </w:rPr>
        <w:t>L</w:t>
      </w:r>
      <w:r w:rsidR="00D91476">
        <w:rPr>
          <w:rFonts w:cs="Arial"/>
          <w:szCs w:val="22"/>
        </w:rPr>
        <w:t>’</w:t>
      </w:r>
      <w:r w:rsidRPr="00E8642C">
        <w:rPr>
          <w:rFonts w:cs="Arial"/>
          <w:szCs w:val="22"/>
        </w:rPr>
        <w:t>article 3 du projet de loi intitulé “</w:t>
      </w:r>
      <w:r w:rsidRPr="00E8642C">
        <w:rPr>
          <w:rFonts w:cs="Arial"/>
          <w:i/>
          <w:szCs w:val="22"/>
        </w:rPr>
        <w:t>Un cadre juridique de la protection des savoirs traditionnels à Sri Lanka</w:t>
      </w:r>
      <w:r w:rsidRPr="00E8642C">
        <w:rPr>
          <w:rFonts w:cs="Arial"/>
          <w:szCs w:val="22"/>
        </w:rPr>
        <w:t>”, de 2009, définit le terme “appropriation illicite” de la manière suivante</w:t>
      </w:r>
      <w:r w:rsidR="00D91476">
        <w:rPr>
          <w:rFonts w:cs="Arial"/>
          <w:szCs w:val="22"/>
        </w:rPr>
        <w:t> :</w:t>
      </w:r>
      <w:r w:rsidRPr="00E8642C">
        <w:rPr>
          <w:rFonts w:cs="Arial"/>
          <w:szCs w:val="22"/>
        </w:rPr>
        <w:t xml:space="preserve"> “i) l</w:t>
      </w:r>
      <w:r w:rsidR="00D91476">
        <w:rPr>
          <w:rFonts w:cs="Arial"/>
          <w:szCs w:val="22"/>
        </w:rPr>
        <w:t>’</w:t>
      </w:r>
      <w:r w:rsidRPr="00E8642C">
        <w:rPr>
          <w:rFonts w:cs="Arial"/>
          <w:szCs w:val="22"/>
        </w:rPr>
        <w:t>acquisition, l</w:t>
      </w:r>
      <w:r w:rsidR="00D91476">
        <w:rPr>
          <w:rFonts w:cs="Arial"/>
          <w:szCs w:val="22"/>
        </w:rPr>
        <w:t>’</w:t>
      </w:r>
      <w:r w:rsidRPr="00E8642C">
        <w:rPr>
          <w:rFonts w:cs="Arial"/>
          <w:szCs w:val="22"/>
        </w:rPr>
        <w:t>appropriation ou l</w:t>
      </w:r>
      <w:r w:rsidR="00D91476">
        <w:rPr>
          <w:rFonts w:cs="Arial"/>
          <w:szCs w:val="22"/>
        </w:rPr>
        <w:t>’</w:t>
      </w:r>
      <w:r w:rsidRPr="00E8642C">
        <w:rPr>
          <w:rFonts w:cs="Arial"/>
          <w:szCs w:val="22"/>
        </w:rPr>
        <w:t>utilisation de savoirs traditionnels en violation des dispositions du présent acte, ii) le fait de tirer des avantages de l</w:t>
      </w:r>
      <w:r w:rsidR="00D91476">
        <w:rPr>
          <w:rFonts w:cs="Arial"/>
          <w:szCs w:val="22"/>
        </w:rPr>
        <w:t>’</w:t>
      </w:r>
      <w:r w:rsidRPr="00E8642C">
        <w:rPr>
          <w:rFonts w:cs="Arial"/>
          <w:szCs w:val="22"/>
        </w:rPr>
        <w:t>acquisition, de l</w:t>
      </w:r>
      <w:r w:rsidR="00D91476">
        <w:rPr>
          <w:rFonts w:cs="Arial"/>
          <w:szCs w:val="22"/>
        </w:rPr>
        <w:t>’</w:t>
      </w:r>
      <w:r w:rsidRPr="00E8642C">
        <w:rPr>
          <w:rFonts w:cs="Arial"/>
          <w:szCs w:val="22"/>
        </w:rPr>
        <w:t>appropriation ou de l</w:t>
      </w:r>
      <w:r w:rsidR="00D91476">
        <w:rPr>
          <w:rFonts w:cs="Arial"/>
          <w:szCs w:val="22"/>
        </w:rPr>
        <w:t>’</w:t>
      </w:r>
      <w:r w:rsidRPr="00E8642C">
        <w:rPr>
          <w:rFonts w:cs="Arial"/>
          <w:szCs w:val="22"/>
        </w:rPr>
        <w:t>utilisation de savoirs traditionnels lorsque la personne qui acquiert, qui s</w:t>
      </w:r>
      <w:r w:rsidR="00D91476">
        <w:rPr>
          <w:rFonts w:cs="Arial"/>
          <w:szCs w:val="22"/>
        </w:rPr>
        <w:t>’</w:t>
      </w:r>
      <w:r w:rsidRPr="00E8642C">
        <w:rPr>
          <w:rFonts w:cs="Arial"/>
          <w:szCs w:val="22"/>
        </w:rPr>
        <w:t>approprie ou qui utilise les savoirs traditionnels a conscience ou ne pourrait pas avoir conscience ou a fait preuve de négligence pour avoir conscience du fait que les savoirs traditionnels avaient été acquis, appropriés ou utilisés par des moyens déloyaux et iii) toute activité commerciale contraire aux pratiques honnêtes ayant permis de tirer des avantages déloyaux ou inéquitables des savoirs traditionnels”</w:t>
      </w:r>
      <w:r w:rsidRPr="00E8642C">
        <w:rPr>
          <w:rStyle w:val="FootnoteReference"/>
          <w:rFonts w:cs="Arial"/>
          <w:szCs w:val="22"/>
        </w:rPr>
        <w:footnoteReference w:id="14"/>
      </w:r>
      <w:r w:rsidRPr="00E8642C">
        <w:rPr>
          <w:rFonts w:cs="Arial"/>
          <w:szCs w:val="22"/>
        </w:rPr>
        <w:t>.</w:t>
      </w:r>
    </w:p>
    <w:p w:rsidR="00D23D81" w:rsidRDefault="00DD607D" w:rsidP="00D23D81">
      <w:pPr>
        <w:pStyle w:val="Heading2"/>
        <w:spacing w:after="220" w:line="240" w:lineRule="auto"/>
      </w:pPr>
      <w:bookmarkStart w:id="13" w:name="_Toc7772491"/>
      <w:r w:rsidRPr="00E8642C">
        <w:t>Atteinte (“</w:t>
      </w:r>
      <w:proofErr w:type="spellStart"/>
      <w:r w:rsidRPr="00E8642C">
        <w:t>derogatory</w:t>
      </w:r>
      <w:proofErr w:type="spellEnd"/>
      <w:r w:rsidRPr="00E8642C">
        <w:t xml:space="preserve"> action” en anglais)</w:t>
      </w:r>
      <w:bookmarkEnd w:id="13"/>
    </w:p>
    <w:p w:rsidR="00D23D81" w:rsidRDefault="00DD607D" w:rsidP="00D23D81">
      <w:pPr>
        <w:pStyle w:val="CommentText"/>
        <w:spacing w:after="220"/>
        <w:rPr>
          <w:szCs w:val="22"/>
        </w:rPr>
      </w:pPr>
      <w:r w:rsidRPr="00E8642C">
        <w:rPr>
          <w:szCs w:val="22"/>
        </w:rPr>
        <w:t>Le terme “atteinte” renvoie à une atteinte à l</w:t>
      </w:r>
      <w:r w:rsidR="00D91476">
        <w:rPr>
          <w:szCs w:val="22"/>
        </w:rPr>
        <w:t>’</w:t>
      </w:r>
      <w:r w:rsidRPr="00E8642C">
        <w:rPr>
          <w:szCs w:val="22"/>
        </w:rPr>
        <w:t>honneur ou à la réputation conformément à l</w:t>
      </w:r>
      <w:r w:rsidR="00D91476">
        <w:rPr>
          <w:szCs w:val="22"/>
        </w:rPr>
        <w:t>’</w:t>
      </w:r>
      <w:r w:rsidRPr="00E8642C">
        <w:rPr>
          <w:szCs w:val="22"/>
        </w:rPr>
        <w:t>article 6</w:t>
      </w:r>
      <w:r w:rsidRPr="00E8642C">
        <w:rPr>
          <w:i/>
          <w:iCs/>
          <w:szCs w:val="22"/>
        </w:rPr>
        <w:t xml:space="preserve">bis </w:t>
      </w:r>
      <w:r w:rsidRPr="00E8642C">
        <w:rPr>
          <w:szCs w:val="22"/>
        </w:rPr>
        <w:t xml:space="preserve">de la </w:t>
      </w:r>
      <w:r w:rsidRPr="00E8642C">
        <w:rPr>
          <w:i/>
          <w:szCs w:val="22"/>
        </w:rPr>
        <w:t xml:space="preserve">Convention de Berne pour la protection des œuvres littéraires et artistiques </w:t>
      </w:r>
      <w:r w:rsidRPr="00E8642C">
        <w:rPr>
          <w:szCs w:val="22"/>
        </w:rPr>
        <w:t>(1971).  Une atteinte se distingue d</w:t>
      </w:r>
      <w:r w:rsidR="00D91476">
        <w:rPr>
          <w:szCs w:val="22"/>
        </w:rPr>
        <w:t>’</w:t>
      </w:r>
      <w:r w:rsidRPr="00E8642C">
        <w:rPr>
          <w:szCs w:val="22"/>
        </w:rPr>
        <w:t>une modification effective ou d</w:t>
      </w:r>
      <w:r w:rsidR="00D91476">
        <w:rPr>
          <w:szCs w:val="22"/>
        </w:rPr>
        <w:t>’</w:t>
      </w:r>
      <w:r w:rsidRPr="00E8642C">
        <w:rPr>
          <w:szCs w:val="22"/>
        </w:rPr>
        <w:t>une interférence avec l</w:t>
      </w:r>
      <w:r w:rsidR="00D91476">
        <w:rPr>
          <w:szCs w:val="22"/>
        </w:rPr>
        <w:t>’</w:t>
      </w:r>
      <w:r w:rsidRPr="00E8642C">
        <w:rPr>
          <w:szCs w:val="22"/>
        </w:rPr>
        <w:t>œuvre elle</w:t>
      </w:r>
      <w:r w:rsidR="00400337">
        <w:rPr>
          <w:szCs w:val="22"/>
        </w:rPr>
        <w:noBreakHyphen/>
      </w:r>
      <w:r w:rsidRPr="00E8642C">
        <w:rPr>
          <w:szCs w:val="22"/>
        </w:rPr>
        <w:t>mê</w:t>
      </w:r>
      <w:r w:rsidR="001F3AEE" w:rsidRPr="00E8642C">
        <w:rPr>
          <w:szCs w:val="22"/>
        </w:rPr>
        <w:t>me</w:t>
      </w:r>
      <w:r w:rsidR="001F3AEE">
        <w:rPr>
          <w:szCs w:val="22"/>
        </w:rPr>
        <w:t xml:space="preserve">.  </w:t>
      </w:r>
      <w:r w:rsidR="001F3AEE" w:rsidRPr="00E8642C">
        <w:rPr>
          <w:szCs w:val="22"/>
        </w:rPr>
        <w:t>Il</w:t>
      </w:r>
      <w:r w:rsidRPr="00E8642C">
        <w:rPr>
          <w:szCs w:val="22"/>
        </w:rPr>
        <w:t xml:space="preserve"> s</w:t>
      </w:r>
      <w:r w:rsidR="00D91476">
        <w:rPr>
          <w:szCs w:val="22"/>
        </w:rPr>
        <w:t>’</w:t>
      </w:r>
      <w:r w:rsidRPr="00E8642C">
        <w:rPr>
          <w:szCs w:val="22"/>
        </w:rPr>
        <w:t>agit d</w:t>
      </w:r>
      <w:r w:rsidR="00D91476">
        <w:rPr>
          <w:szCs w:val="22"/>
        </w:rPr>
        <w:t>’</w:t>
      </w:r>
      <w:r w:rsidRPr="00E8642C">
        <w:rPr>
          <w:szCs w:val="22"/>
        </w:rPr>
        <w:t>un acte “en rapport avec” l</w:t>
      </w:r>
      <w:r w:rsidR="00D91476">
        <w:rPr>
          <w:szCs w:val="22"/>
        </w:rPr>
        <w:t>’</w:t>
      </w:r>
      <w:r w:rsidRPr="00E8642C">
        <w:rPr>
          <w:szCs w:val="22"/>
        </w:rPr>
        <w:t>œuv</w:t>
      </w:r>
      <w:r w:rsidR="001F3AEE" w:rsidRPr="00E8642C">
        <w:rPr>
          <w:szCs w:val="22"/>
        </w:rPr>
        <w:t>re</w:t>
      </w:r>
      <w:r w:rsidR="001F3AEE">
        <w:rPr>
          <w:szCs w:val="22"/>
        </w:rPr>
        <w:t xml:space="preserve">.  </w:t>
      </w:r>
      <w:r w:rsidR="001F3AEE" w:rsidRPr="00E8642C">
        <w:rPr>
          <w:szCs w:val="22"/>
        </w:rPr>
        <w:t>Ce</w:t>
      </w:r>
      <w:r w:rsidRPr="00E8642C">
        <w:rPr>
          <w:szCs w:val="22"/>
        </w:rPr>
        <w:t xml:space="preserve"> terme a été incorporé dans la Convention de Berne à la suite de la révision ayant eu lieu à Bruxelles afin d</w:t>
      </w:r>
      <w:r w:rsidR="00D91476">
        <w:rPr>
          <w:szCs w:val="22"/>
        </w:rPr>
        <w:t>’</w:t>
      </w:r>
      <w:r w:rsidRPr="00E8642C">
        <w:rPr>
          <w:szCs w:val="22"/>
        </w:rPr>
        <w:t>englober les utilisations de l</w:t>
      </w:r>
      <w:r w:rsidR="00D91476">
        <w:rPr>
          <w:szCs w:val="22"/>
        </w:rPr>
        <w:t>’</w:t>
      </w:r>
      <w:r w:rsidRPr="00E8642C">
        <w:rPr>
          <w:szCs w:val="22"/>
        </w:rPr>
        <w:t>œuvre préjudiciables à l</w:t>
      </w:r>
      <w:r w:rsidR="00D91476">
        <w:rPr>
          <w:szCs w:val="22"/>
        </w:rPr>
        <w:t>’</w:t>
      </w:r>
      <w:r w:rsidRPr="00E8642C">
        <w:rPr>
          <w:szCs w:val="22"/>
        </w:rPr>
        <w:t>aute</w:t>
      </w:r>
      <w:r w:rsidR="001F3AEE" w:rsidRPr="00E8642C">
        <w:rPr>
          <w:szCs w:val="22"/>
        </w:rPr>
        <w:t>ur</w:t>
      </w:r>
      <w:r w:rsidR="001F3AEE">
        <w:rPr>
          <w:szCs w:val="22"/>
        </w:rPr>
        <w:t xml:space="preserve">.  </w:t>
      </w:r>
      <w:r w:rsidR="001F3AEE" w:rsidRPr="00E8642C">
        <w:rPr>
          <w:szCs w:val="22"/>
        </w:rPr>
        <w:t>Il</w:t>
      </w:r>
      <w:r w:rsidRPr="00E8642C">
        <w:rPr>
          <w:szCs w:val="22"/>
        </w:rPr>
        <w:t xml:space="preserve"> renvoie à des situations où la communication d</w:t>
      </w:r>
      <w:r w:rsidR="00D91476">
        <w:rPr>
          <w:szCs w:val="22"/>
        </w:rPr>
        <w:t>’</w:t>
      </w:r>
      <w:r w:rsidRPr="00E8642C">
        <w:rPr>
          <w:szCs w:val="22"/>
        </w:rPr>
        <w:t>une œuvre s</w:t>
      </w:r>
      <w:r w:rsidR="00D91476">
        <w:rPr>
          <w:szCs w:val="22"/>
        </w:rPr>
        <w:t>’</w:t>
      </w:r>
      <w:r w:rsidRPr="00E8642C">
        <w:rPr>
          <w:szCs w:val="22"/>
        </w:rPr>
        <w:t>effectue de manière à porter préjudice à l</w:t>
      </w:r>
      <w:r w:rsidR="00D91476">
        <w:rPr>
          <w:szCs w:val="22"/>
        </w:rPr>
        <w:t>’</w:t>
      </w:r>
      <w:r w:rsidRPr="00E8642C">
        <w:rPr>
          <w:szCs w:val="22"/>
        </w:rPr>
        <w:t>auteur</w:t>
      </w:r>
      <w:r w:rsidRPr="00E8642C">
        <w:rPr>
          <w:rStyle w:val="FootnoteReference"/>
          <w:szCs w:val="22"/>
        </w:rPr>
        <w:footnoteReference w:id="15"/>
      </w:r>
      <w:r w:rsidRPr="00E8642C">
        <w:rPr>
          <w:szCs w:val="22"/>
        </w:rPr>
        <w:t>.</w:t>
      </w:r>
    </w:p>
    <w:p w:rsidR="00D23D81" w:rsidRDefault="00DD607D" w:rsidP="00D23D81">
      <w:pPr>
        <w:pStyle w:val="Heading2"/>
        <w:spacing w:after="220" w:line="240" w:lineRule="auto"/>
      </w:pPr>
      <w:bookmarkStart w:id="14" w:name="_Toc7772492"/>
      <w:r w:rsidRPr="00E8642C">
        <w:t>Atteinte (“</w:t>
      </w:r>
      <w:proofErr w:type="spellStart"/>
      <w:r w:rsidRPr="00E8642C">
        <w:t>infringement</w:t>
      </w:r>
      <w:proofErr w:type="spellEnd"/>
      <w:r w:rsidRPr="00E8642C">
        <w:t>” en anglais)</w:t>
      </w:r>
      <w:bookmarkEnd w:id="14"/>
    </w:p>
    <w:p w:rsidR="00D23D81" w:rsidRDefault="00DD607D" w:rsidP="00D23D81">
      <w:pPr>
        <w:spacing w:after="220"/>
        <w:rPr>
          <w:rFonts w:cs="Arial"/>
          <w:szCs w:val="22"/>
        </w:rPr>
      </w:pPr>
      <w:r w:rsidRPr="00E8642C">
        <w:rPr>
          <w:rFonts w:cs="Arial"/>
          <w:szCs w:val="22"/>
        </w:rPr>
        <w:t xml:space="preserve">Selon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une atteinte est un acte accompli </w:t>
      </w:r>
      <w:r w:rsidR="00D91476">
        <w:rPr>
          <w:rFonts w:cs="Arial"/>
          <w:szCs w:val="22"/>
        </w:rPr>
        <w:t>à l’égard</w:t>
      </w:r>
      <w:r w:rsidRPr="00E8642C">
        <w:rPr>
          <w:rFonts w:cs="Arial"/>
          <w:szCs w:val="22"/>
        </w:rPr>
        <w:t xml:space="preserve"> d</w:t>
      </w:r>
      <w:r w:rsidR="00D91476">
        <w:rPr>
          <w:rFonts w:cs="Arial"/>
          <w:szCs w:val="22"/>
        </w:rPr>
        <w:t>’</w:t>
      </w:r>
      <w:r w:rsidRPr="00E8642C">
        <w:rPr>
          <w:rFonts w:cs="Arial"/>
          <w:szCs w:val="22"/>
        </w:rPr>
        <w:t>une œuvre protégée par le droit d</w:t>
      </w:r>
      <w:r w:rsidR="00D91476">
        <w:rPr>
          <w:rFonts w:cs="Arial"/>
          <w:szCs w:val="22"/>
        </w:rPr>
        <w:t>’</w:t>
      </w:r>
      <w:r w:rsidRPr="00E8642C">
        <w:rPr>
          <w:rFonts w:cs="Arial"/>
          <w:szCs w:val="22"/>
        </w:rPr>
        <w:t>auteur ou d</w:t>
      </w:r>
      <w:r w:rsidR="00D91476">
        <w:rPr>
          <w:rFonts w:cs="Arial"/>
          <w:szCs w:val="22"/>
        </w:rPr>
        <w:t>’</w:t>
      </w:r>
      <w:r w:rsidRPr="00E8642C">
        <w:rPr>
          <w:rFonts w:cs="Arial"/>
          <w:szCs w:val="22"/>
        </w:rPr>
        <w:t>un objet de droits connexes sans l</w:t>
      </w:r>
      <w:r w:rsidR="00D91476">
        <w:rPr>
          <w:rFonts w:cs="Arial"/>
          <w:szCs w:val="22"/>
        </w:rPr>
        <w:t>’</w:t>
      </w:r>
      <w:r w:rsidRPr="00E8642C">
        <w:rPr>
          <w:rFonts w:cs="Arial"/>
          <w:szCs w:val="22"/>
        </w:rPr>
        <w:t>autorisation du titulaire du droit d</w:t>
      </w:r>
      <w:r w:rsidR="00D91476">
        <w:rPr>
          <w:rFonts w:cs="Arial"/>
          <w:szCs w:val="22"/>
        </w:rPr>
        <w:t>’</w:t>
      </w:r>
      <w:r w:rsidRPr="00E8642C">
        <w:rPr>
          <w:rFonts w:cs="Arial"/>
          <w:szCs w:val="22"/>
        </w:rPr>
        <w:t>auteur ou des droits connexes sur l</w:t>
      </w:r>
      <w:r w:rsidR="00D91476">
        <w:rPr>
          <w:rFonts w:cs="Arial"/>
          <w:szCs w:val="22"/>
        </w:rPr>
        <w:t>’</w:t>
      </w:r>
      <w:r w:rsidRPr="00E8642C">
        <w:rPr>
          <w:rFonts w:cs="Arial"/>
          <w:szCs w:val="22"/>
        </w:rPr>
        <w:t>œuvre ou l</w:t>
      </w:r>
      <w:r w:rsidR="00D91476">
        <w:rPr>
          <w:rFonts w:cs="Arial"/>
          <w:szCs w:val="22"/>
        </w:rPr>
        <w:t>’</w:t>
      </w:r>
      <w:r w:rsidRPr="00E8642C">
        <w:rPr>
          <w:rFonts w:cs="Arial"/>
          <w:szCs w:val="22"/>
        </w:rPr>
        <w:t>objet en question, lorsque cette autorisation est requi</w:t>
      </w:r>
      <w:r w:rsidR="001F3AEE" w:rsidRPr="00E8642C">
        <w:rPr>
          <w:rFonts w:cs="Arial"/>
          <w:szCs w:val="22"/>
        </w:rPr>
        <w:t>se</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a</w:t>
      </w:r>
      <w:r w:rsidRPr="00E8642C">
        <w:rPr>
          <w:rFonts w:cs="Arial"/>
          <w:szCs w:val="22"/>
        </w:rPr>
        <w:t>uteur de l</w:t>
      </w:r>
      <w:r w:rsidR="00D91476">
        <w:rPr>
          <w:rFonts w:cs="Arial"/>
          <w:szCs w:val="22"/>
        </w:rPr>
        <w:t>’</w:t>
      </w:r>
      <w:r w:rsidRPr="00E8642C">
        <w:rPr>
          <w:rFonts w:cs="Arial"/>
          <w:szCs w:val="22"/>
        </w:rPr>
        <w:t>atteinte peut voir sa responsabilité engagée non seulement de façon directe (en raison de l</w:t>
      </w:r>
      <w:r w:rsidR="00D91476">
        <w:rPr>
          <w:rFonts w:cs="Arial"/>
          <w:szCs w:val="22"/>
        </w:rPr>
        <w:t>’</w:t>
      </w:r>
      <w:r w:rsidRPr="00E8642C">
        <w:rPr>
          <w:rFonts w:cs="Arial"/>
          <w:szCs w:val="22"/>
        </w:rPr>
        <w:t>accomplissement de l</w:t>
      </w:r>
      <w:r w:rsidR="00D91476">
        <w:rPr>
          <w:rFonts w:cs="Arial"/>
          <w:szCs w:val="22"/>
        </w:rPr>
        <w:t>’</w:t>
      </w:r>
      <w:r w:rsidRPr="00E8642C">
        <w:rPr>
          <w:rFonts w:cs="Arial"/>
          <w:szCs w:val="22"/>
        </w:rPr>
        <w:t>acte illicite lui</w:t>
      </w:r>
      <w:r w:rsidR="00400337">
        <w:rPr>
          <w:rFonts w:cs="Arial"/>
          <w:szCs w:val="22"/>
        </w:rPr>
        <w:noBreakHyphen/>
      </w:r>
      <w:r w:rsidRPr="00E8642C">
        <w:rPr>
          <w:rFonts w:cs="Arial"/>
          <w:szCs w:val="22"/>
        </w:rPr>
        <w:t>même), mais aussi au titre de la “responsabilité indirecte” ou de la “responsabilité du fait d</w:t>
      </w:r>
      <w:r w:rsidR="00D91476">
        <w:rPr>
          <w:rFonts w:cs="Arial"/>
          <w:szCs w:val="22"/>
        </w:rPr>
        <w:t>’</w:t>
      </w:r>
      <w:r w:rsidRPr="00E8642C">
        <w:rPr>
          <w:rFonts w:cs="Arial"/>
          <w:szCs w:val="22"/>
        </w:rPr>
        <w:t>autrui”</w:t>
      </w:r>
      <w:r w:rsidRPr="00E8642C">
        <w:rPr>
          <w:rStyle w:val="FootnoteReference"/>
          <w:rFonts w:cs="Arial"/>
          <w:szCs w:val="22"/>
        </w:rPr>
        <w:footnoteReference w:id="16"/>
      </w:r>
      <w:r w:rsidRPr="00E8642C">
        <w:rPr>
          <w:rFonts w:cs="Arial"/>
          <w:szCs w:val="22"/>
        </w:rPr>
        <w:t>.</w:t>
      </w:r>
    </w:p>
    <w:p w:rsidR="00D23D81" w:rsidRDefault="00DD607D" w:rsidP="00D23D81">
      <w:pPr>
        <w:pStyle w:val="Heading2"/>
        <w:spacing w:after="220" w:line="240" w:lineRule="auto"/>
      </w:pPr>
      <w:bookmarkStart w:id="15" w:name="_Toc7772493"/>
      <w:r w:rsidRPr="00E8642C">
        <w:t>Base de données des accords d</w:t>
      </w:r>
      <w:r w:rsidR="00D91476">
        <w:t>’</w:t>
      </w:r>
      <w:r w:rsidRPr="00E8642C">
        <w:t>accès et de partage des avantages en matière de biodiversité</w:t>
      </w:r>
      <w:bookmarkEnd w:id="15"/>
    </w:p>
    <w:p w:rsidR="00D23D81" w:rsidRDefault="00DD607D" w:rsidP="00D23D81">
      <w:pPr>
        <w:pStyle w:val="BodyText"/>
        <w:spacing w:after="220"/>
        <w:rPr>
          <w:rFonts w:cs="Arial"/>
          <w:szCs w:val="22"/>
        </w:rPr>
      </w:pPr>
      <w:r w:rsidRPr="00E8642C">
        <w:rPr>
          <w:rFonts w:cs="Arial"/>
          <w:szCs w:val="22"/>
        </w:rPr>
        <w:t>La Base de données des accords d</w:t>
      </w:r>
      <w:r w:rsidR="00D91476">
        <w:rPr>
          <w:rFonts w:cs="Arial"/>
          <w:szCs w:val="22"/>
        </w:rPr>
        <w:t>’</w:t>
      </w:r>
      <w:r w:rsidRPr="00E8642C">
        <w:rPr>
          <w:rFonts w:cs="Arial"/>
          <w:szCs w:val="22"/>
        </w:rPr>
        <w:t>accès et de partage des avantages en matière de biodiversité de l</w:t>
      </w:r>
      <w:r w:rsidR="00D91476">
        <w:rPr>
          <w:rFonts w:cs="Arial"/>
          <w:szCs w:val="22"/>
        </w:rPr>
        <w:t>’</w:t>
      </w:r>
      <w:r w:rsidRPr="00E8642C">
        <w:rPr>
          <w:rFonts w:cs="Arial"/>
          <w:szCs w:val="22"/>
        </w:rPr>
        <w:t>OMPI est un recueil électronique en ligne “</w:t>
      </w:r>
      <w:r w:rsidRPr="00E8642C">
        <w:rPr>
          <w:rFonts w:cs="Arial"/>
          <w:iCs/>
          <w:szCs w:val="22"/>
        </w:rPr>
        <w:t>des</w:t>
      </w:r>
      <w:r w:rsidRPr="00E8642C">
        <w:rPr>
          <w:rFonts w:cs="Arial"/>
          <w:szCs w:val="22"/>
        </w:rPr>
        <w:t xml:space="preserve"> </w:t>
      </w:r>
      <w:r w:rsidRPr="00E8642C">
        <w:rPr>
          <w:rFonts w:cs="Arial"/>
          <w:iCs/>
          <w:szCs w:val="22"/>
        </w:rPr>
        <w:t>pratiques contractuelles recommandées, des principes directeurs et des clauses types de propriété intellectuelle pour les arrangements contractuels concernant l</w:t>
      </w:r>
      <w:r w:rsidR="00D91476">
        <w:rPr>
          <w:rFonts w:cs="Arial"/>
          <w:iCs/>
          <w:szCs w:val="22"/>
        </w:rPr>
        <w:t>’</w:t>
      </w:r>
      <w:r w:rsidRPr="00E8642C">
        <w:rPr>
          <w:rFonts w:cs="Arial"/>
          <w:iCs/>
          <w:szCs w:val="22"/>
        </w:rPr>
        <w:t>accès aux ressources génétiques et le partage des avantages qui en découlent, en prenant en considération la nature spécifique et les besoins des différentes parties prenantes, les différentes ressources génétiques et les différents modes de transfert dans les différents secteurs couverts par la politique en matière de ressources génétiques</w:t>
      </w:r>
      <w:r w:rsidRPr="00E8642C">
        <w:rPr>
          <w:rFonts w:cs="Arial"/>
          <w:szCs w:val="22"/>
        </w:rPr>
        <w:t>”</w:t>
      </w:r>
      <w:r w:rsidRPr="00E8642C">
        <w:rPr>
          <w:rStyle w:val="FootnoteReference"/>
          <w:rFonts w:cs="Arial"/>
          <w:bCs/>
          <w:szCs w:val="22"/>
        </w:rPr>
        <w:footnoteReference w:id="17"/>
      </w:r>
      <w:r w:rsidRPr="00E8642C">
        <w:rPr>
          <w:rFonts w:cs="Arial"/>
          <w:szCs w:val="22"/>
        </w:rPr>
        <w:t>.  En tant qu</w:t>
      </w:r>
      <w:r w:rsidR="00D91476">
        <w:rPr>
          <w:rFonts w:cs="Arial"/>
          <w:szCs w:val="22"/>
        </w:rPr>
        <w:t>’</w:t>
      </w:r>
      <w:r w:rsidRPr="00E8642C">
        <w:rPr>
          <w:rFonts w:cs="Arial"/>
          <w:szCs w:val="22"/>
        </w:rPr>
        <w:t>outil de renforcement des capacités, elle vise à mettre ces sources d</w:t>
      </w:r>
      <w:r w:rsidR="00D91476">
        <w:rPr>
          <w:rFonts w:cs="Arial"/>
          <w:szCs w:val="22"/>
        </w:rPr>
        <w:t>’</w:t>
      </w:r>
      <w:r w:rsidRPr="00E8642C">
        <w:rPr>
          <w:rFonts w:cs="Arial"/>
          <w:szCs w:val="22"/>
        </w:rPr>
        <w:t>information à la disposition de personnes qui cherchent des renseignements sur les pratiques actuelles en matière de propriété intellectuelle, d</w:t>
      </w:r>
      <w:r w:rsidR="00D91476">
        <w:rPr>
          <w:rFonts w:cs="Arial"/>
          <w:szCs w:val="22"/>
        </w:rPr>
        <w:t>’</w:t>
      </w:r>
      <w:r w:rsidRPr="00E8642C">
        <w:rPr>
          <w:rFonts w:cs="Arial"/>
          <w:szCs w:val="22"/>
        </w:rPr>
        <w:t>accès, de partage des avantages et de ressources génétiques et, sur une base empirique, elle vise à contribuer à l</w:t>
      </w:r>
      <w:r w:rsidR="00D91476">
        <w:rPr>
          <w:rFonts w:cs="Arial"/>
          <w:szCs w:val="22"/>
        </w:rPr>
        <w:t>’</w:t>
      </w:r>
      <w:r w:rsidRPr="00E8642C">
        <w:rPr>
          <w:rFonts w:cs="Arial"/>
          <w:szCs w:val="22"/>
        </w:rPr>
        <w:t>élaboration par l</w:t>
      </w:r>
      <w:r w:rsidR="00D91476">
        <w:rPr>
          <w:rFonts w:cs="Arial"/>
          <w:szCs w:val="22"/>
        </w:rPr>
        <w:t>’</w:t>
      </w:r>
      <w:r w:rsidRPr="00E8642C">
        <w:rPr>
          <w:rFonts w:cs="Arial"/>
          <w:szCs w:val="22"/>
        </w:rPr>
        <w:t>OMPI de principes directeurs sur l</w:t>
      </w:r>
      <w:r w:rsidR="00D91476">
        <w:rPr>
          <w:rFonts w:cs="Arial"/>
          <w:szCs w:val="22"/>
        </w:rPr>
        <w:t>’</w:t>
      </w:r>
      <w:r w:rsidRPr="00E8642C">
        <w:rPr>
          <w:rFonts w:cs="Arial"/>
          <w:szCs w:val="22"/>
        </w:rPr>
        <w:t>accès aux ressources génétiques et le partage des avantages</w:t>
      </w:r>
      <w:r w:rsidRPr="00E8642C">
        <w:rPr>
          <w:rStyle w:val="FootnoteReference"/>
          <w:rFonts w:cs="Arial"/>
          <w:szCs w:val="22"/>
        </w:rPr>
        <w:footnoteReference w:id="18"/>
      </w:r>
      <w:r w:rsidRPr="00E8642C">
        <w:rPr>
          <w:rFonts w:cs="Arial"/>
          <w:szCs w:val="22"/>
        </w:rPr>
        <w:t>.</w:t>
      </w:r>
    </w:p>
    <w:p w:rsidR="00D23D81" w:rsidRDefault="00DD607D" w:rsidP="00D23D81">
      <w:pPr>
        <w:pStyle w:val="Heading2"/>
        <w:spacing w:after="220" w:line="240" w:lineRule="auto"/>
      </w:pPr>
      <w:bookmarkStart w:id="16" w:name="_Toc7772494"/>
      <w:r w:rsidRPr="00E8642C">
        <w:t>Bénéficiaires</w:t>
      </w:r>
      <w:bookmarkEnd w:id="16"/>
    </w:p>
    <w:p w:rsidR="00D23D81" w:rsidRDefault="00DD607D" w:rsidP="00D23D81">
      <w:pPr>
        <w:spacing w:after="220"/>
      </w:pPr>
      <w:r w:rsidRPr="00E8642C">
        <w:t>Il n</w:t>
      </w:r>
      <w:r w:rsidR="00D91476">
        <w:t>’</w:t>
      </w:r>
      <w:r w:rsidRPr="00E8642C">
        <w:t>existe pas de définition universellement acceptée de cette expressi</w:t>
      </w:r>
      <w:r w:rsidR="001F3AEE" w:rsidRPr="00E8642C">
        <w:t>on</w:t>
      </w:r>
      <w:r w:rsidR="001F3AEE">
        <w:t xml:space="preserve">.  </w:t>
      </w:r>
      <w:r w:rsidR="001F3AEE" w:rsidRPr="00E8642C">
        <w:t>To</w:t>
      </w:r>
      <w:r w:rsidRPr="00E8642C">
        <w:t>utefois, il a été soutenu par de nombreuses parties prenantes que les expressions culturelles traditionnelles sont généralement considérées comme une émanation et une propriété collectives, de sorte que tout droit ou intérêt sur ce site devrait être conféré aux communautés plutôt qu</w:t>
      </w:r>
      <w:r w:rsidR="00D91476">
        <w:t>’</w:t>
      </w:r>
      <w:r w:rsidRPr="00E8642C">
        <w:t>aux individ</w:t>
      </w:r>
      <w:r w:rsidR="001F3AEE" w:rsidRPr="00E8642C">
        <w:t>us</w:t>
      </w:r>
      <w:r w:rsidR="001F3AEE">
        <w:t xml:space="preserve">.  </w:t>
      </w:r>
      <w:r w:rsidR="001F3AEE" w:rsidRPr="00E8642C">
        <w:t>Da</w:t>
      </w:r>
      <w:r w:rsidRPr="00E8642C">
        <w:t>ns certains cas, cependant, certains individus, tels que les guérisseurs traditionnels, peuvent être considérés comme les détenteurs de savoirs traditionnels ou d</w:t>
      </w:r>
      <w:r w:rsidR="00D91476">
        <w:t>’</w:t>
      </w:r>
      <w:r w:rsidRPr="00E8642C">
        <w:t>expressions culturelles traditionnelles et comme les bénéficiaires de la protection</w:t>
      </w:r>
      <w:r w:rsidRPr="00E8642C">
        <w:rPr>
          <w:rStyle w:val="FootnoteReference"/>
          <w:rFonts w:cs="Arial"/>
          <w:szCs w:val="22"/>
        </w:rPr>
        <w:footnoteReference w:id="19"/>
      </w:r>
      <w:r w:rsidRPr="00E8642C">
        <w:t>.</w:t>
      </w:r>
    </w:p>
    <w:p w:rsidR="00D23D81" w:rsidRDefault="00DD607D" w:rsidP="00D23D81">
      <w:pPr>
        <w:spacing w:after="220"/>
      </w:pPr>
      <w:r w:rsidRPr="00E8642C">
        <w:t>Certaines législations nationales ou régionales de protection des savoirs traditionnels et des expressions culturelles traditionnelles confèrent des droits directement aux peuples et communautés concern</w:t>
      </w:r>
      <w:r w:rsidR="001F3AEE" w:rsidRPr="00E8642C">
        <w:t>és</w:t>
      </w:r>
      <w:r w:rsidR="001F3AEE">
        <w:t xml:space="preserve">.  </w:t>
      </w:r>
      <w:r w:rsidR="001F3AEE" w:rsidRPr="00E8642C">
        <w:t>En</w:t>
      </w:r>
      <w:r w:rsidRPr="00E8642C">
        <w:t> revanche, de nombreuses autres confèrent plutôt ces droits à une autorité gouvernementale et prévoient souvent que les bénéfices de l</w:t>
      </w:r>
      <w:r w:rsidR="00D91476">
        <w:t>’</w:t>
      </w:r>
      <w:r w:rsidRPr="00E8642C">
        <w:t>octroi des droits d</w:t>
      </w:r>
      <w:r w:rsidR="00D91476">
        <w:t>’</w:t>
      </w:r>
      <w:r w:rsidRPr="00E8642C">
        <w:t>utilisation des savoirs traditionnels ou des expressions culturelles traditionnelles doivent être versés à des programmes nationaux d</w:t>
      </w:r>
      <w:r w:rsidR="00D91476">
        <w:t>’</w:t>
      </w:r>
      <w:r w:rsidRPr="00E8642C">
        <w:t>éducation, de développement durable, de préservation du patrimoine et autres programmes sociaux et culturels.</w:t>
      </w:r>
    </w:p>
    <w:p w:rsidR="00D23D81" w:rsidRDefault="00DD607D" w:rsidP="00D23D81">
      <w:pPr>
        <w:spacing w:after="220"/>
      </w:pPr>
      <w:r w:rsidRPr="00E8642C">
        <w:t>Il est ressorti des discussions à cet égard que ce terme devrait englober les peuples autochtones, les communautés autochtones, les communautés locales, les communautés traditionnelles, les communautés culturelles, les nations, les particuliers, les groupes, les familles et les minorités.</w:t>
      </w:r>
    </w:p>
    <w:p w:rsidR="00D23D81" w:rsidRDefault="00DD607D" w:rsidP="00D23D81">
      <w:pPr>
        <w:pStyle w:val="Heading2"/>
        <w:keepLines/>
        <w:spacing w:after="220" w:line="240" w:lineRule="auto"/>
      </w:pPr>
      <w:bookmarkStart w:id="17" w:name="_Toc7772495"/>
      <w:r w:rsidRPr="00E8642C">
        <w:t>Bibliothèque numérique des savoirs traditionnels</w:t>
      </w:r>
      <w:bookmarkEnd w:id="17"/>
    </w:p>
    <w:p w:rsidR="00D23D81" w:rsidRDefault="00DD607D" w:rsidP="00D23D81">
      <w:pPr>
        <w:spacing w:after="220"/>
        <w:rPr>
          <w:rFonts w:cs="Arial"/>
          <w:szCs w:val="22"/>
        </w:rPr>
      </w:pPr>
      <w:r w:rsidRPr="00E8642C">
        <w:rPr>
          <w:rFonts w:cs="Arial"/>
          <w:szCs w:val="22"/>
        </w:rPr>
        <w:t>La Bibliothèque numérique des savoirs traditionnels est une initiative novatrice de l</w:t>
      </w:r>
      <w:r w:rsidR="00D91476">
        <w:rPr>
          <w:rFonts w:cs="Arial"/>
          <w:szCs w:val="22"/>
        </w:rPr>
        <w:t>’</w:t>
      </w:r>
      <w:r w:rsidRPr="00E8642C">
        <w:rPr>
          <w:rFonts w:cs="Arial"/>
          <w:szCs w:val="22"/>
        </w:rPr>
        <w:t>Inde visant à empêcher l</w:t>
      </w:r>
      <w:r w:rsidR="00D91476">
        <w:rPr>
          <w:rFonts w:cs="Arial"/>
          <w:szCs w:val="22"/>
        </w:rPr>
        <w:t>’</w:t>
      </w:r>
      <w:r w:rsidRPr="00E8642C">
        <w:rPr>
          <w:rFonts w:cs="Arial"/>
          <w:szCs w:val="22"/>
        </w:rPr>
        <w:t>appropriation illicite des connaissances du pays en matière de médecine traditionnel</w:t>
      </w:r>
      <w:r w:rsidR="001F3AEE" w:rsidRPr="00E8642C">
        <w:rPr>
          <w:rFonts w:cs="Arial"/>
          <w:szCs w:val="22"/>
        </w:rPr>
        <w:t>le</w:t>
      </w:r>
      <w:r w:rsidR="001F3AEE">
        <w:rPr>
          <w:rFonts w:cs="Arial"/>
          <w:szCs w:val="22"/>
        </w:rPr>
        <w:t xml:space="preserve">.  </w:t>
      </w:r>
      <w:r w:rsidR="001F3AEE" w:rsidRPr="00E8642C">
        <w:rPr>
          <w:rFonts w:cs="Arial"/>
          <w:szCs w:val="22"/>
        </w:rPr>
        <w:t>Un</w:t>
      </w:r>
      <w:r w:rsidRPr="00E8642C">
        <w:rPr>
          <w:rFonts w:cs="Arial"/>
          <w:szCs w:val="22"/>
        </w:rPr>
        <w:t>e équipe interdisciplinaire d</w:t>
      </w:r>
      <w:r w:rsidR="00D91476">
        <w:rPr>
          <w:rFonts w:cs="Arial"/>
          <w:szCs w:val="22"/>
        </w:rPr>
        <w:t>’</w:t>
      </w:r>
      <w:r w:rsidRPr="00E8642C">
        <w:rPr>
          <w:rFonts w:cs="Arial"/>
          <w:szCs w:val="22"/>
        </w:rPr>
        <w:t xml:space="preserve">experts en médecine traditionnelle (Ayurveda, </w:t>
      </w:r>
      <w:proofErr w:type="spellStart"/>
      <w:r w:rsidRPr="00E8642C">
        <w:rPr>
          <w:rFonts w:cs="Arial"/>
          <w:szCs w:val="22"/>
        </w:rPr>
        <w:t>Unani</w:t>
      </w:r>
      <w:proofErr w:type="spellEnd"/>
      <w:r w:rsidRPr="00E8642C">
        <w:rPr>
          <w:rFonts w:cs="Arial"/>
          <w:szCs w:val="22"/>
        </w:rPr>
        <w:t>, Siddha et Yoga), d</w:t>
      </w:r>
      <w:r w:rsidR="00D91476">
        <w:rPr>
          <w:rFonts w:cs="Arial"/>
          <w:szCs w:val="22"/>
        </w:rPr>
        <w:t>’</w:t>
      </w:r>
      <w:r w:rsidRPr="00E8642C">
        <w:rPr>
          <w:rFonts w:cs="Arial"/>
          <w:szCs w:val="22"/>
        </w:rPr>
        <w:t>examinateurs de brevets, d</w:t>
      </w:r>
      <w:r w:rsidR="00D91476">
        <w:rPr>
          <w:rFonts w:cs="Arial"/>
          <w:szCs w:val="22"/>
        </w:rPr>
        <w:t>’</w:t>
      </w:r>
      <w:r w:rsidRPr="00E8642C">
        <w:rPr>
          <w:rFonts w:cs="Arial"/>
          <w:szCs w:val="22"/>
        </w:rPr>
        <w:t>experts en informatique, de scientifiques et de techniciens ont participé à la mise en place de la Bibliothèque numérique sur les savoirs traditionnels pour les systèmes indiens de médeci</w:t>
      </w:r>
      <w:r w:rsidR="001F3AEE" w:rsidRPr="00E8642C">
        <w:rPr>
          <w:rFonts w:cs="Arial"/>
          <w:szCs w:val="22"/>
        </w:rPr>
        <w:t>ne</w:t>
      </w:r>
      <w:r w:rsidR="001F3AEE">
        <w:rPr>
          <w:rFonts w:cs="Arial"/>
          <w:szCs w:val="22"/>
        </w:rPr>
        <w:t xml:space="preserve">.  </w:t>
      </w:r>
      <w:r w:rsidR="001F3AEE" w:rsidRPr="00E8642C">
        <w:rPr>
          <w:rFonts w:cs="Arial"/>
          <w:szCs w:val="22"/>
        </w:rPr>
        <w:t>Ce</w:t>
      </w:r>
      <w:r w:rsidRPr="00E8642C">
        <w:rPr>
          <w:rFonts w:cs="Arial"/>
          <w:szCs w:val="22"/>
        </w:rPr>
        <w:t> projet vise à réunir les documents relatifs aux savoirs traditionnels disponibles dans le domaine public sous forme de littérature existante en rapport avec l</w:t>
      </w:r>
      <w:r w:rsidR="00D91476">
        <w:rPr>
          <w:rFonts w:cs="Arial"/>
          <w:szCs w:val="22"/>
        </w:rPr>
        <w:t>’</w:t>
      </w:r>
      <w:r w:rsidRPr="00E8642C">
        <w:rPr>
          <w:rFonts w:cs="Arial"/>
          <w:szCs w:val="22"/>
        </w:rPr>
        <w:t>Ayurveda, l</w:t>
      </w:r>
      <w:r w:rsidR="00D91476">
        <w:rPr>
          <w:rFonts w:cs="Arial"/>
          <w:szCs w:val="22"/>
        </w:rPr>
        <w:t>’</w:t>
      </w:r>
      <w:proofErr w:type="spellStart"/>
      <w:r w:rsidRPr="00E8642C">
        <w:rPr>
          <w:rFonts w:cs="Arial"/>
          <w:szCs w:val="22"/>
        </w:rPr>
        <w:t>Unani</w:t>
      </w:r>
      <w:proofErr w:type="spellEnd"/>
      <w:r w:rsidRPr="00E8642C">
        <w:rPr>
          <w:rFonts w:cs="Arial"/>
          <w:szCs w:val="22"/>
        </w:rPr>
        <w:t>, le </w:t>
      </w:r>
      <w:proofErr w:type="spellStart"/>
      <w:r w:rsidRPr="00E8642C">
        <w:rPr>
          <w:rFonts w:cs="Arial"/>
          <w:szCs w:val="22"/>
        </w:rPr>
        <w:t>Siddha</w:t>
      </w:r>
      <w:proofErr w:type="spellEnd"/>
      <w:r w:rsidRPr="00E8642C">
        <w:rPr>
          <w:rFonts w:cs="Arial"/>
          <w:szCs w:val="22"/>
        </w:rPr>
        <w:t xml:space="preserve"> et le Yoga, au format numérique et dans cinq langues internationales qui sont l</w:t>
      </w:r>
      <w:r w:rsidR="00D91476">
        <w:rPr>
          <w:rFonts w:cs="Arial"/>
          <w:szCs w:val="22"/>
        </w:rPr>
        <w:t>’</w:t>
      </w:r>
      <w:r w:rsidRPr="00E8642C">
        <w:rPr>
          <w:rFonts w:cs="Arial"/>
          <w:szCs w:val="22"/>
        </w:rPr>
        <w:t>anglais, l</w:t>
      </w:r>
      <w:r w:rsidR="00D91476">
        <w:rPr>
          <w:rFonts w:cs="Arial"/>
          <w:szCs w:val="22"/>
        </w:rPr>
        <w:t>’</w:t>
      </w:r>
      <w:r w:rsidRPr="00E8642C">
        <w:rPr>
          <w:rFonts w:cs="Arial"/>
          <w:szCs w:val="22"/>
        </w:rPr>
        <w:t>allemand, le français, le japonais et l</w:t>
      </w:r>
      <w:r w:rsidR="00D91476">
        <w:rPr>
          <w:rFonts w:cs="Arial"/>
          <w:szCs w:val="22"/>
        </w:rPr>
        <w:t>’</w:t>
      </w:r>
      <w:r w:rsidRPr="00E8642C">
        <w:rPr>
          <w:rFonts w:cs="Arial"/>
          <w:szCs w:val="22"/>
        </w:rPr>
        <w:t>espagnol.</w:t>
      </w:r>
    </w:p>
    <w:p w:rsidR="00D23D81" w:rsidRDefault="00DD607D" w:rsidP="00D23D81">
      <w:pPr>
        <w:spacing w:after="220"/>
        <w:rPr>
          <w:rFonts w:cs="Arial"/>
          <w:szCs w:val="22"/>
        </w:rPr>
      </w:pPr>
      <w:r w:rsidRPr="00E8642C">
        <w:rPr>
          <w:rFonts w:cs="Arial"/>
          <w:szCs w:val="22"/>
        </w:rPr>
        <w:t>La bibliothèque fournit des informations sur les savoirs traditionnels existant dans le pays, dans des langues et dans un format compréhensibles par les examinateurs de brevets travaillant dans les offices de brevets internationaux, afin d</w:t>
      </w:r>
      <w:r w:rsidR="00D91476">
        <w:rPr>
          <w:rFonts w:cs="Arial"/>
          <w:szCs w:val="22"/>
        </w:rPr>
        <w:t>’</w:t>
      </w:r>
      <w:r w:rsidRPr="00E8642C">
        <w:rPr>
          <w:rFonts w:cs="Arial"/>
          <w:szCs w:val="22"/>
        </w:rPr>
        <w:t>éviter que des brevets soient délivrés par erreur</w:t>
      </w:r>
      <w:r w:rsidRPr="00E8642C">
        <w:rPr>
          <w:rFonts w:cs="Arial"/>
          <w:szCs w:val="22"/>
          <w:vertAlign w:val="superscript"/>
        </w:rPr>
        <w:footnoteReference w:id="20"/>
      </w:r>
      <w:r w:rsidRPr="00E8642C">
        <w:rPr>
          <w:rFonts w:cs="Arial"/>
          <w:szCs w:val="22"/>
        </w:rPr>
        <w:t>.</w:t>
      </w:r>
    </w:p>
    <w:p w:rsidR="00D23D81" w:rsidRDefault="00DD607D" w:rsidP="00D23D81">
      <w:pPr>
        <w:spacing w:after="220"/>
        <w:rPr>
          <w:rFonts w:cs="Arial"/>
          <w:szCs w:val="22"/>
        </w:rPr>
      </w:pPr>
      <w:r w:rsidRPr="00E8642C">
        <w:rPr>
          <w:rFonts w:cs="Arial"/>
          <w:szCs w:val="22"/>
        </w:rPr>
        <w:t xml:space="preserve">La bibliothèque numérique sur les savoirs traditionnels </w:t>
      </w:r>
      <w:proofErr w:type="gramStart"/>
      <w:r w:rsidRPr="00E8642C">
        <w:rPr>
          <w:rFonts w:cs="Arial"/>
          <w:szCs w:val="22"/>
        </w:rPr>
        <w:t>a</w:t>
      </w:r>
      <w:proofErr w:type="gramEnd"/>
      <w:r w:rsidRPr="00E8642C">
        <w:rPr>
          <w:rFonts w:cs="Arial"/>
          <w:szCs w:val="22"/>
        </w:rPr>
        <w:t xml:space="preserve"> un double object</w:t>
      </w:r>
      <w:r w:rsidR="001F3AEE" w:rsidRPr="00E8642C">
        <w:rPr>
          <w:rFonts w:cs="Arial"/>
          <w:szCs w:val="22"/>
        </w:rPr>
        <w:t>if</w:t>
      </w:r>
      <w:r w:rsidR="001F3AEE">
        <w:rPr>
          <w:rFonts w:cs="Arial"/>
          <w:szCs w:val="22"/>
        </w:rPr>
        <w:t xml:space="preserve">.  </w:t>
      </w:r>
      <w:r w:rsidR="001F3AEE" w:rsidRPr="00E8642C">
        <w:rPr>
          <w:rFonts w:cs="Arial"/>
          <w:szCs w:val="22"/>
        </w:rPr>
        <w:t>Da</w:t>
      </w:r>
      <w:r w:rsidRPr="00E8642C">
        <w:rPr>
          <w:rFonts w:cs="Arial"/>
          <w:szCs w:val="22"/>
        </w:rPr>
        <w:t>ns un premier temps, elle vise à éviter que ne soient délivrés des brevets sur des produits élaborés à partir de savoirs traditionnels avec une activité inventive moindre, voire nul</w:t>
      </w:r>
      <w:r w:rsidR="001F3AEE" w:rsidRPr="00E8642C">
        <w:rPr>
          <w:rFonts w:cs="Arial"/>
          <w:szCs w:val="22"/>
        </w:rPr>
        <w:t>le</w:t>
      </w:r>
      <w:r w:rsidR="001F3AEE">
        <w:rPr>
          <w:rFonts w:cs="Arial"/>
          <w:szCs w:val="22"/>
        </w:rPr>
        <w:t xml:space="preserve">.  </w:t>
      </w:r>
      <w:r w:rsidR="001F3AEE" w:rsidRPr="00E8642C">
        <w:rPr>
          <w:rFonts w:cs="Arial"/>
          <w:szCs w:val="22"/>
        </w:rPr>
        <w:t>En</w:t>
      </w:r>
      <w:r w:rsidRPr="00E8642C">
        <w:rPr>
          <w:rFonts w:cs="Arial"/>
          <w:szCs w:val="22"/>
        </w:rPr>
        <w:t>suite, elle vise à rapprocher la science moderne et les savoirs traditionnels et peut être utilisée pour lancer des recherches poussées qui s</w:t>
      </w:r>
      <w:r w:rsidR="00D91476">
        <w:rPr>
          <w:rFonts w:cs="Arial"/>
          <w:szCs w:val="22"/>
        </w:rPr>
        <w:t>’</w:t>
      </w:r>
      <w:r w:rsidRPr="00E8642C">
        <w:rPr>
          <w:rFonts w:cs="Arial"/>
          <w:szCs w:val="22"/>
        </w:rPr>
        <w:t>appuient sur des informations fondées sur des savoirs traditionnels pour développer de nouveaux médicamen</w:t>
      </w:r>
      <w:r w:rsidR="001F3AEE" w:rsidRPr="00E8642C">
        <w:rPr>
          <w:rFonts w:cs="Arial"/>
          <w:szCs w:val="22"/>
        </w:rPr>
        <w:t>ts</w:t>
      </w:r>
      <w:r w:rsidR="001F3AEE">
        <w:rPr>
          <w:rFonts w:cs="Arial"/>
          <w:szCs w:val="22"/>
        </w:rPr>
        <w:t xml:space="preserve">.  </w:t>
      </w:r>
      <w:r w:rsidR="001F3AEE" w:rsidRPr="00E8642C">
        <w:rPr>
          <w:rFonts w:cs="Arial"/>
          <w:szCs w:val="22"/>
        </w:rPr>
        <w:t>El</w:t>
      </w:r>
      <w:r w:rsidRPr="00E8642C">
        <w:rPr>
          <w:rFonts w:cs="Arial"/>
          <w:szCs w:val="22"/>
        </w:rPr>
        <w:t>le vise également à rapprocher les </w:t>
      </w:r>
      <w:proofErr w:type="spellStart"/>
      <w:r w:rsidRPr="00E8642C">
        <w:rPr>
          <w:rFonts w:cs="Arial"/>
          <w:szCs w:val="22"/>
        </w:rPr>
        <w:t>Slokas</w:t>
      </w:r>
      <w:proofErr w:type="spellEnd"/>
      <w:r w:rsidRPr="00E8642C">
        <w:rPr>
          <w:rFonts w:cs="Arial"/>
          <w:szCs w:val="22"/>
        </w:rPr>
        <w:t xml:space="preserve"> sanskrits anciens et les examinateurs de brevets à l</w:t>
      </w:r>
      <w:r w:rsidR="00D91476">
        <w:rPr>
          <w:rFonts w:cs="Arial"/>
          <w:szCs w:val="22"/>
        </w:rPr>
        <w:t>’</w:t>
      </w:r>
      <w:r w:rsidRPr="00E8642C">
        <w:rPr>
          <w:rFonts w:cs="Arial"/>
          <w:szCs w:val="22"/>
        </w:rPr>
        <w:t xml:space="preserve">échelle mondiale, car cette base de données fournira des informations sur des noms modernes et également locaux dans une langue et dans </w:t>
      </w:r>
      <w:proofErr w:type="gramStart"/>
      <w:r w:rsidRPr="00E8642C">
        <w:rPr>
          <w:rFonts w:cs="Arial"/>
          <w:szCs w:val="22"/>
        </w:rPr>
        <w:t>un format compréhensibles</w:t>
      </w:r>
      <w:proofErr w:type="gramEnd"/>
      <w:r w:rsidRPr="00E8642C">
        <w:rPr>
          <w:rFonts w:cs="Arial"/>
          <w:szCs w:val="22"/>
        </w:rPr>
        <w:t xml:space="preserve"> par les examinateurs de breve</w:t>
      </w:r>
      <w:r w:rsidR="001F3AEE" w:rsidRPr="00E8642C">
        <w:rPr>
          <w:rFonts w:cs="Arial"/>
          <w:szCs w:val="22"/>
        </w:rPr>
        <w:t>ts</w:t>
      </w:r>
      <w:r w:rsidR="001F3AEE">
        <w:rPr>
          <w:rFonts w:cs="Arial"/>
          <w:szCs w:val="22"/>
        </w:rPr>
        <w:t xml:space="preserve">.  </w:t>
      </w:r>
      <w:r w:rsidR="001F3AEE" w:rsidRPr="00E8642C">
        <w:rPr>
          <w:rFonts w:cs="Arial"/>
          <w:szCs w:val="22"/>
        </w:rPr>
        <w:t>Ce</w:t>
      </w:r>
      <w:r w:rsidRPr="00E8642C">
        <w:rPr>
          <w:rFonts w:cs="Arial"/>
          <w:szCs w:val="22"/>
        </w:rPr>
        <w:t>tte base de données devrait permettre de réduire le fossé en ce qui concerne le manque de connaissances sur l</w:t>
      </w:r>
      <w:r w:rsidR="00D91476">
        <w:rPr>
          <w:rFonts w:cs="Arial"/>
          <w:szCs w:val="22"/>
        </w:rPr>
        <w:t>’</w:t>
      </w:r>
      <w:r w:rsidRPr="00E8642C">
        <w:rPr>
          <w:rFonts w:cs="Arial"/>
          <w:szCs w:val="22"/>
        </w:rPr>
        <w:t>état de la techniq</w:t>
      </w:r>
      <w:r w:rsidR="001F3AEE" w:rsidRPr="00E8642C">
        <w:rPr>
          <w:rFonts w:cs="Arial"/>
          <w:szCs w:val="22"/>
        </w:rPr>
        <w:t>ue</w:t>
      </w:r>
      <w:r w:rsidR="001F3AEE">
        <w:rPr>
          <w:rFonts w:cs="Arial"/>
          <w:szCs w:val="22"/>
        </w:rPr>
        <w:t xml:space="preserve">.  </w:t>
      </w:r>
      <w:r w:rsidR="001F3AEE" w:rsidRPr="00E8642C">
        <w:rPr>
          <w:rFonts w:cs="Arial"/>
          <w:szCs w:val="22"/>
        </w:rPr>
        <w:t>El</w:t>
      </w:r>
      <w:r w:rsidRPr="00E8642C">
        <w:rPr>
          <w:rFonts w:cs="Arial"/>
          <w:szCs w:val="22"/>
        </w:rPr>
        <w:t>le contiendra suffisamment de précisions sur des définitions, des principes et des notions pour réduire au minimum la possibilité que ne soient brevetées des “inventions” concernant des modifications mineures ou insignifiantes</w:t>
      </w:r>
      <w:r w:rsidRPr="00E8642C">
        <w:rPr>
          <w:rStyle w:val="FootnoteReference"/>
          <w:rFonts w:cs="Arial"/>
          <w:szCs w:val="22"/>
        </w:rPr>
        <w:footnoteReference w:id="21"/>
      </w:r>
      <w:r w:rsidRPr="00E8642C">
        <w:rPr>
          <w:rFonts w:cs="Arial"/>
          <w:szCs w:val="22"/>
        </w:rPr>
        <w:t>.</w:t>
      </w:r>
    </w:p>
    <w:p w:rsidR="00D23D81" w:rsidRDefault="000D5705" w:rsidP="00D23D81">
      <w:pPr>
        <w:pStyle w:val="Heading2"/>
        <w:keepLines/>
        <w:spacing w:after="220" w:line="240" w:lineRule="auto"/>
        <w:rPr>
          <w:bCs w:val="0"/>
        </w:rPr>
      </w:pPr>
      <w:bookmarkStart w:id="18" w:name="_Toc7772496"/>
      <w:r w:rsidRPr="00E8642C">
        <w:rPr>
          <w:bCs w:val="0"/>
        </w:rPr>
        <w:t>B</w:t>
      </w:r>
      <w:r w:rsidR="006B600F">
        <w:rPr>
          <w:bCs w:val="0"/>
        </w:rPr>
        <w:t>iotechnologie</w:t>
      </w:r>
      <w:bookmarkEnd w:id="18"/>
    </w:p>
    <w:p w:rsidR="00D23D81" w:rsidRDefault="00DD607D" w:rsidP="00D23D81">
      <w:pPr>
        <w:spacing w:after="220"/>
        <w:rPr>
          <w:rStyle w:val="Emphasis"/>
          <w:rFonts w:cs="Arial"/>
          <w:i w:val="0"/>
          <w:szCs w:val="22"/>
        </w:rPr>
      </w:pPr>
      <w:r w:rsidRPr="00E8642C">
        <w:rPr>
          <w:rFonts w:cs="Arial"/>
          <w:szCs w:val="22"/>
        </w:rPr>
        <w:t>L</w:t>
      </w:r>
      <w:r w:rsidR="00D91476">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définit ce terme comme “</w:t>
      </w:r>
      <w:r w:rsidRPr="00E8642C">
        <w:rPr>
          <w:rFonts w:cs="Arial"/>
          <w:iCs/>
          <w:szCs w:val="22"/>
        </w:rPr>
        <w:t>toute application technologique qui utilise des systèmes biologiques, des organismes vivants, ou des dérivés de ceux</w:t>
      </w:r>
      <w:r w:rsidR="00400337">
        <w:rPr>
          <w:rFonts w:cs="Arial"/>
          <w:iCs/>
          <w:szCs w:val="22"/>
        </w:rPr>
        <w:noBreakHyphen/>
      </w:r>
      <w:r w:rsidRPr="00E8642C">
        <w:rPr>
          <w:rFonts w:cs="Arial"/>
          <w:iCs/>
          <w:szCs w:val="22"/>
        </w:rPr>
        <w:t>ci, pour réaliser ou modifier des produits ou des procédés à usage spécifique”.</w:t>
      </w:r>
      <w:r w:rsidRPr="00E8642C">
        <w:rPr>
          <w:rFonts w:cs="Arial"/>
          <w:szCs w:val="22"/>
        </w:rPr>
        <w:t xml:space="preserve">  </w:t>
      </w:r>
      <w:r w:rsidRPr="00E8642C">
        <w:rPr>
          <w:rFonts w:cs="Arial"/>
          <w:iCs/>
          <w:szCs w:val="22"/>
        </w:rPr>
        <w:t>L</w:t>
      </w:r>
      <w:r w:rsidR="00D91476">
        <w:rPr>
          <w:rFonts w:cs="Arial"/>
          <w:iCs/>
          <w:szCs w:val="22"/>
        </w:rPr>
        <w:t>’</w:t>
      </w:r>
      <w:r w:rsidRPr="00E8642C">
        <w:rPr>
          <w:rFonts w:cs="Arial"/>
          <w:iCs/>
          <w:szCs w:val="22"/>
        </w:rPr>
        <w:t xml:space="preserve">article 2 du </w:t>
      </w:r>
      <w:r w:rsidRPr="00E8642C">
        <w:rPr>
          <w:rFonts w:cs="Arial"/>
          <w:i/>
          <w:iCs/>
          <w:szCs w:val="22"/>
        </w:rPr>
        <w:t>Protocole de Nagoya sur l</w:t>
      </w:r>
      <w:r w:rsidR="00D91476">
        <w:rPr>
          <w:rFonts w:cs="Arial"/>
          <w:i/>
          <w:iCs/>
          <w:szCs w:val="22"/>
        </w:rPr>
        <w:t>’</w:t>
      </w:r>
      <w:r w:rsidRPr="00E8642C">
        <w:rPr>
          <w:rFonts w:cs="Arial"/>
          <w:i/>
          <w:iCs/>
          <w:szCs w:val="22"/>
        </w:rPr>
        <w:t xml:space="preserve">accès aux ressources génétiques et le partage juste et équitable des avantages découlant de leur utilisation à la Convention sur la diversité biologique </w:t>
      </w:r>
      <w:r w:rsidRPr="00E8642C">
        <w:rPr>
          <w:rFonts w:cs="Arial"/>
          <w:iCs/>
          <w:szCs w:val="22"/>
        </w:rPr>
        <w:t>(2010) reprend cette définition.</w:t>
      </w:r>
    </w:p>
    <w:p w:rsidR="00D23D81" w:rsidRDefault="00DD607D" w:rsidP="00D23D81">
      <w:pPr>
        <w:autoSpaceDE w:val="0"/>
        <w:autoSpaceDN w:val="0"/>
        <w:adjustRightInd w:val="0"/>
        <w:spacing w:after="220"/>
        <w:rPr>
          <w:rFonts w:cs="Arial"/>
          <w:snapToGrid w:val="0"/>
          <w:szCs w:val="22"/>
        </w:rPr>
      </w:pPr>
      <w:r w:rsidRPr="00E8642C">
        <w:rPr>
          <w:rFonts w:cs="Arial"/>
          <w:szCs w:val="22"/>
        </w:rPr>
        <w:t>Selon la Déclaration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 (FAO) sur les biotechnologies de 2000, “</w:t>
      </w:r>
      <w:r w:rsidRPr="00E8642C">
        <w:rPr>
          <w:rFonts w:cs="Arial"/>
          <w:iCs/>
          <w:szCs w:val="22"/>
        </w:rPr>
        <w:t>Interprétée</w:t>
      </w:r>
      <w:r w:rsidRPr="00E8642C">
        <w:rPr>
          <w:rFonts w:cs="Arial"/>
          <w:szCs w:val="22"/>
        </w:rPr>
        <w:t xml:space="preserve"> lato sensu, </w:t>
      </w:r>
      <w:r w:rsidRPr="00E8642C">
        <w:rPr>
          <w:rFonts w:cs="Arial"/>
          <w:iCs/>
          <w:szCs w:val="22"/>
        </w:rPr>
        <w:t>la définition des biotechnologies englobe de nombreux outils et techniques qui sont d</w:t>
      </w:r>
      <w:r w:rsidR="00D91476">
        <w:rPr>
          <w:rFonts w:cs="Arial"/>
          <w:iCs/>
          <w:szCs w:val="22"/>
        </w:rPr>
        <w:t>’</w:t>
      </w:r>
      <w:r w:rsidRPr="00E8642C">
        <w:rPr>
          <w:rFonts w:cs="Arial"/>
          <w:iCs/>
          <w:szCs w:val="22"/>
        </w:rPr>
        <w:t>usage courant dans le secteur agroalimentai</w:t>
      </w:r>
      <w:r w:rsidR="001F3AEE" w:rsidRPr="00E8642C">
        <w:rPr>
          <w:rFonts w:cs="Arial"/>
          <w:iCs/>
          <w:szCs w:val="22"/>
        </w:rPr>
        <w:t>re</w:t>
      </w:r>
      <w:r w:rsidR="001F3AEE">
        <w:rPr>
          <w:rFonts w:cs="Arial"/>
          <w:iCs/>
          <w:szCs w:val="22"/>
        </w:rPr>
        <w:t xml:space="preserve">.  </w:t>
      </w:r>
      <w:r w:rsidR="001F3AEE" w:rsidRPr="00E8642C">
        <w:rPr>
          <w:rFonts w:cs="Arial"/>
          <w:iCs/>
          <w:szCs w:val="22"/>
        </w:rPr>
        <w:t>In</w:t>
      </w:r>
      <w:r w:rsidRPr="00E8642C">
        <w:rPr>
          <w:rFonts w:cs="Arial"/>
          <w:iCs/>
          <w:szCs w:val="22"/>
        </w:rPr>
        <w:t xml:space="preserve">terprétée </w:t>
      </w:r>
      <w:r w:rsidRPr="00E8642C">
        <w:rPr>
          <w:rFonts w:cs="Arial"/>
          <w:szCs w:val="22"/>
        </w:rPr>
        <w:t xml:space="preserve">stricto sensu, </w:t>
      </w:r>
      <w:r w:rsidRPr="00E8642C">
        <w:rPr>
          <w:rFonts w:cs="Arial"/>
          <w:iCs/>
          <w:szCs w:val="22"/>
        </w:rPr>
        <w:t>comprenant les nouvelles techniques de l</w:t>
      </w:r>
      <w:r w:rsidR="00D91476">
        <w:rPr>
          <w:rFonts w:cs="Arial"/>
          <w:iCs/>
          <w:szCs w:val="22"/>
        </w:rPr>
        <w:t>’</w:t>
      </w:r>
      <w:r w:rsidRPr="00E8642C">
        <w:rPr>
          <w:rFonts w:cs="Arial"/>
          <w:iCs/>
          <w:szCs w:val="22"/>
        </w:rPr>
        <w:t>ADN, la biologie moléculaire et les applications génétiques, la définition couvre diverses technologies telles que la manipulation et le transfert de gènes, le typage de l</w:t>
      </w:r>
      <w:r w:rsidR="00D91476">
        <w:rPr>
          <w:rFonts w:cs="Arial"/>
          <w:iCs/>
          <w:szCs w:val="22"/>
        </w:rPr>
        <w:t>’</w:t>
      </w:r>
      <w:r w:rsidRPr="00E8642C">
        <w:rPr>
          <w:rFonts w:cs="Arial"/>
          <w:iCs/>
          <w:szCs w:val="22"/>
        </w:rPr>
        <w:t>ADN et le clonage de végétaux et d</w:t>
      </w:r>
      <w:r w:rsidR="00D91476">
        <w:rPr>
          <w:rFonts w:cs="Arial"/>
          <w:iCs/>
          <w:szCs w:val="22"/>
        </w:rPr>
        <w:t>’</w:t>
      </w:r>
      <w:r w:rsidRPr="00E8642C">
        <w:rPr>
          <w:rFonts w:cs="Arial"/>
          <w:iCs/>
          <w:szCs w:val="22"/>
        </w:rPr>
        <w:t>animaux</w:t>
      </w:r>
      <w:r w:rsidRPr="00E8642C">
        <w:rPr>
          <w:rFonts w:cs="Arial"/>
          <w:szCs w:val="22"/>
        </w:rPr>
        <w:t>”</w:t>
      </w:r>
      <w:r w:rsidRPr="00E8642C">
        <w:rPr>
          <w:rStyle w:val="FootnoteReference"/>
          <w:rFonts w:cs="Arial"/>
          <w:szCs w:val="22"/>
          <w:lang w:eastAsia="en-US" w:bidi="th-TH"/>
        </w:rPr>
        <w:footnoteReference w:id="22"/>
      </w:r>
      <w:r w:rsidRPr="00E8642C">
        <w:rPr>
          <w:rFonts w:cs="Arial"/>
          <w:szCs w:val="22"/>
        </w:rPr>
        <w:t>.</w:t>
      </w:r>
    </w:p>
    <w:p w:rsidR="00D23D81" w:rsidRDefault="00DD607D" w:rsidP="00D23D81">
      <w:pPr>
        <w:autoSpaceDE w:val="0"/>
        <w:autoSpaceDN w:val="0"/>
        <w:adjustRightInd w:val="0"/>
        <w:spacing w:after="220"/>
        <w:rPr>
          <w:rFonts w:cs="Arial"/>
          <w:snapToGrid w:val="0"/>
          <w:szCs w:val="22"/>
        </w:rPr>
      </w:pPr>
      <w:r w:rsidRPr="00E8642C">
        <w:rPr>
          <w:rFonts w:cs="Arial"/>
          <w:snapToGrid w:val="0"/>
          <w:szCs w:val="22"/>
        </w:rPr>
        <w:t>Aux termes de l</w:t>
      </w:r>
      <w:r w:rsidR="00D91476">
        <w:rPr>
          <w:rFonts w:cs="Arial"/>
          <w:snapToGrid w:val="0"/>
          <w:szCs w:val="22"/>
        </w:rPr>
        <w:t>’</w:t>
      </w:r>
      <w:r w:rsidRPr="00E8642C">
        <w:rPr>
          <w:rFonts w:cs="Arial"/>
          <w:snapToGrid w:val="0"/>
          <w:szCs w:val="22"/>
        </w:rPr>
        <w:t xml:space="preserve">article 3 du </w:t>
      </w:r>
      <w:r w:rsidRPr="00E8642C">
        <w:rPr>
          <w:rFonts w:cs="Arial"/>
          <w:i/>
          <w:snapToGrid w:val="0"/>
          <w:szCs w:val="22"/>
        </w:rPr>
        <w:t>Protocole de Cartagena sur la prévention des risques biotechnologiques relatif à la Convention sur la diversité biologique</w:t>
      </w:r>
      <w:r w:rsidRPr="00E8642C">
        <w:rPr>
          <w:rFonts w:cs="Arial"/>
          <w:snapToGrid w:val="0"/>
          <w:szCs w:val="22"/>
        </w:rPr>
        <w:t>, adopté en 2000, la “biotechnologie moderne” s</w:t>
      </w:r>
      <w:r w:rsidR="00D91476">
        <w:rPr>
          <w:rFonts w:cs="Arial"/>
          <w:snapToGrid w:val="0"/>
          <w:szCs w:val="22"/>
        </w:rPr>
        <w:t>’</w:t>
      </w:r>
      <w:r w:rsidRPr="00E8642C">
        <w:rPr>
          <w:rFonts w:cs="Arial"/>
          <w:snapToGrid w:val="0"/>
          <w:szCs w:val="22"/>
        </w:rPr>
        <w:t>entend</w:t>
      </w:r>
      <w:r w:rsidR="00D91476">
        <w:rPr>
          <w:rFonts w:cs="Arial"/>
          <w:snapToGrid w:val="0"/>
          <w:szCs w:val="22"/>
        </w:rPr>
        <w:t> :</w:t>
      </w:r>
      <w:r w:rsidRPr="00E8642C">
        <w:rPr>
          <w:rFonts w:cs="Arial"/>
          <w:iCs/>
          <w:snapToGrid w:val="0"/>
          <w:szCs w:val="22"/>
        </w:rPr>
        <w:t xml:space="preserve"> “a) de l</w:t>
      </w:r>
      <w:r w:rsidR="00D91476">
        <w:rPr>
          <w:rFonts w:cs="Arial"/>
          <w:iCs/>
          <w:snapToGrid w:val="0"/>
          <w:szCs w:val="22"/>
        </w:rPr>
        <w:t>’</w:t>
      </w:r>
      <w:r w:rsidRPr="00E8642C">
        <w:rPr>
          <w:rFonts w:cs="Arial"/>
          <w:iCs/>
          <w:snapToGrid w:val="0"/>
          <w:szCs w:val="22"/>
        </w:rPr>
        <w:t xml:space="preserve">application de techniques in vitro aux acides nucléiques, </w:t>
      </w:r>
      <w:r w:rsidR="00D91476">
        <w:rPr>
          <w:rFonts w:cs="Arial"/>
          <w:iCs/>
          <w:snapToGrid w:val="0"/>
          <w:szCs w:val="22"/>
        </w:rPr>
        <w:t>y compris</w:t>
      </w:r>
      <w:r w:rsidRPr="00E8642C">
        <w:rPr>
          <w:rFonts w:cs="Arial"/>
          <w:iCs/>
          <w:snapToGrid w:val="0"/>
          <w:szCs w:val="22"/>
        </w:rPr>
        <w:t xml:space="preserve"> la recombinaison de l</w:t>
      </w:r>
      <w:r w:rsidR="00D91476">
        <w:rPr>
          <w:rFonts w:cs="Arial"/>
          <w:iCs/>
          <w:snapToGrid w:val="0"/>
          <w:szCs w:val="22"/>
        </w:rPr>
        <w:t>’</w:t>
      </w:r>
      <w:r w:rsidRPr="00E8642C">
        <w:rPr>
          <w:rFonts w:cs="Arial"/>
          <w:iCs/>
          <w:snapToGrid w:val="0"/>
          <w:szCs w:val="22"/>
        </w:rPr>
        <w:t>acide désoxyribonucléique (ADN) et l</w:t>
      </w:r>
      <w:r w:rsidR="00D91476">
        <w:rPr>
          <w:rFonts w:cs="Arial"/>
          <w:iCs/>
          <w:snapToGrid w:val="0"/>
          <w:szCs w:val="22"/>
        </w:rPr>
        <w:t>’</w:t>
      </w:r>
      <w:r w:rsidRPr="00E8642C">
        <w:rPr>
          <w:rFonts w:cs="Arial"/>
          <w:iCs/>
          <w:snapToGrid w:val="0"/>
          <w:szCs w:val="22"/>
        </w:rPr>
        <w:t>introduction directe d</w:t>
      </w:r>
      <w:r w:rsidR="00D91476">
        <w:rPr>
          <w:rFonts w:cs="Arial"/>
          <w:iCs/>
          <w:snapToGrid w:val="0"/>
          <w:szCs w:val="22"/>
        </w:rPr>
        <w:t>’</w:t>
      </w:r>
      <w:r w:rsidRPr="00E8642C">
        <w:rPr>
          <w:rFonts w:cs="Arial"/>
          <w:iCs/>
          <w:snapToGrid w:val="0"/>
          <w:szCs w:val="22"/>
        </w:rPr>
        <w:t>acides nucléiques dans des cellules ou organites;  et b) de la fusion cellulaire d</w:t>
      </w:r>
      <w:r w:rsidR="00D91476">
        <w:rPr>
          <w:rFonts w:cs="Arial"/>
          <w:iCs/>
          <w:snapToGrid w:val="0"/>
          <w:szCs w:val="22"/>
        </w:rPr>
        <w:t>’</w:t>
      </w:r>
      <w:r w:rsidRPr="00E8642C">
        <w:rPr>
          <w:rFonts w:cs="Arial"/>
          <w:iCs/>
          <w:snapToGrid w:val="0"/>
          <w:szCs w:val="22"/>
        </w:rPr>
        <w:t>organismes n</w:t>
      </w:r>
      <w:r w:rsidR="00D91476">
        <w:rPr>
          <w:rFonts w:cs="Arial"/>
          <w:iCs/>
          <w:snapToGrid w:val="0"/>
          <w:szCs w:val="22"/>
        </w:rPr>
        <w:t>’</w:t>
      </w:r>
      <w:r w:rsidRPr="00E8642C">
        <w:rPr>
          <w:rFonts w:cs="Arial"/>
          <w:iCs/>
          <w:snapToGrid w:val="0"/>
          <w:szCs w:val="22"/>
        </w:rPr>
        <w:t>appartenant pas à une même famille taxonomique, qui surmontent les barrières naturelles de la physiologie de la reproduction ou de la recombinaison et qui ne sont pas des techniques utilisées pour la reproduction et la sélection de type classique</w:t>
      </w:r>
      <w:r w:rsidRPr="00E8642C">
        <w:rPr>
          <w:rFonts w:cs="Arial"/>
          <w:snapToGrid w:val="0"/>
          <w:szCs w:val="22"/>
        </w:rPr>
        <w:t>”.</w:t>
      </w:r>
    </w:p>
    <w:p w:rsidR="00D23D81" w:rsidRDefault="00DD607D" w:rsidP="00D23D81">
      <w:pPr>
        <w:tabs>
          <w:tab w:val="left" w:pos="1000"/>
        </w:tabs>
        <w:spacing w:after="220"/>
        <w:rPr>
          <w:rFonts w:cs="Arial"/>
          <w:iCs/>
          <w:szCs w:val="22"/>
        </w:rPr>
      </w:pPr>
      <w:r w:rsidRPr="00E8642C">
        <w:rPr>
          <w:rFonts w:cs="Arial"/>
          <w:snapToGrid w:val="0"/>
          <w:szCs w:val="22"/>
        </w:rPr>
        <w:t>L</w:t>
      </w:r>
      <w:r w:rsidR="00D91476">
        <w:rPr>
          <w:rFonts w:cs="Arial"/>
          <w:snapToGrid w:val="0"/>
          <w:szCs w:val="22"/>
        </w:rPr>
        <w:t>’</w:t>
      </w:r>
      <w:r w:rsidRPr="00E8642C">
        <w:rPr>
          <w:rFonts w:cs="Arial"/>
          <w:snapToGrid w:val="0"/>
          <w:szCs w:val="22"/>
        </w:rPr>
        <w:t>Organisation de coopération et de développement économiques (OCDE) utilise une définition délibérément large, couvrant toute la biotechnologie moderne mais également de nombreuses activités traditionnelles ou intermédiair</w:t>
      </w:r>
      <w:r w:rsidR="001F3AEE" w:rsidRPr="00E8642C">
        <w:rPr>
          <w:rFonts w:cs="Arial"/>
          <w:snapToGrid w:val="0"/>
          <w:szCs w:val="22"/>
        </w:rPr>
        <w:t>es</w:t>
      </w:r>
      <w:r w:rsidR="001F3AEE">
        <w:rPr>
          <w:rFonts w:cs="Arial"/>
          <w:snapToGrid w:val="0"/>
          <w:szCs w:val="22"/>
        </w:rPr>
        <w:t xml:space="preserve">.  </w:t>
      </w:r>
      <w:r w:rsidR="001F3AEE" w:rsidRPr="00E8642C">
        <w:rPr>
          <w:rFonts w:cs="Arial"/>
          <w:snapToGrid w:val="0"/>
          <w:szCs w:val="22"/>
        </w:rPr>
        <w:t>La</w:t>
      </w:r>
      <w:r w:rsidRPr="00E8642C">
        <w:rPr>
          <w:rFonts w:cs="Arial"/>
          <w:snapToGrid w:val="0"/>
          <w:szCs w:val="22"/>
        </w:rPr>
        <w:t xml:space="preserve"> biotechnologie désigne “</w:t>
      </w:r>
      <w:r w:rsidRPr="00E8642C">
        <w:rPr>
          <w:rFonts w:cs="Arial"/>
          <w:iCs/>
          <w:snapToGrid w:val="0"/>
          <w:szCs w:val="22"/>
        </w:rPr>
        <w:t>l</w:t>
      </w:r>
      <w:r w:rsidR="00D91476">
        <w:rPr>
          <w:rFonts w:cs="Arial"/>
          <w:iCs/>
          <w:snapToGrid w:val="0"/>
          <w:szCs w:val="22"/>
        </w:rPr>
        <w:t>’</w:t>
      </w:r>
      <w:r w:rsidRPr="00E8642C">
        <w:rPr>
          <w:rFonts w:cs="Arial"/>
          <w:iCs/>
          <w:snapToGrid w:val="0"/>
          <w:szCs w:val="22"/>
        </w:rPr>
        <w:t>application des sciences et des techniques à des organismes vivants ainsi qu</w:t>
      </w:r>
      <w:r w:rsidR="00D91476">
        <w:rPr>
          <w:rFonts w:cs="Arial"/>
          <w:iCs/>
          <w:snapToGrid w:val="0"/>
          <w:szCs w:val="22"/>
        </w:rPr>
        <w:t>’</w:t>
      </w:r>
      <w:r w:rsidRPr="00E8642C">
        <w:rPr>
          <w:rFonts w:cs="Arial"/>
          <w:iCs/>
          <w:snapToGrid w:val="0"/>
          <w:szCs w:val="22"/>
        </w:rPr>
        <w:t>à des parties, à des produits ou à des types d</w:t>
      </w:r>
      <w:r w:rsidR="00D91476">
        <w:rPr>
          <w:rFonts w:cs="Arial"/>
          <w:iCs/>
          <w:snapToGrid w:val="0"/>
          <w:szCs w:val="22"/>
        </w:rPr>
        <w:t>’</w:t>
      </w:r>
      <w:r w:rsidRPr="00E8642C">
        <w:rPr>
          <w:rFonts w:cs="Arial"/>
          <w:iCs/>
          <w:snapToGrid w:val="0"/>
          <w:szCs w:val="22"/>
        </w:rPr>
        <w:t>organismes vivants en vue de modifier le matériel vivant ou non aux fins de la production d</w:t>
      </w:r>
      <w:r w:rsidR="00D91476">
        <w:rPr>
          <w:rFonts w:cs="Arial"/>
          <w:iCs/>
          <w:snapToGrid w:val="0"/>
          <w:szCs w:val="22"/>
        </w:rPr>
        <w:t>’</w:t>
      </w:r>
      <w:r w:rsidRPr="00E8642C">
        <w:rPr>
          <w:rFonts w:cs="Arial"/>
          <w:iCs/>
          <w:snapToGrid w:val="0"/>
          <w:szCs w:val="22"/>
        </w:rPr>
        <w:t xml:space="preserve">un savoir, de produits et de services” en association avec une </w:t>
      </w:r>
      <w:r w:rsidRPr="00E8642C">
        <w:rPr>
          <w:rFonts w:cs="Arial"/>
          <w:snapToGrid w:val="0"/>
          <w:szCs w:val="22"/>
        </w:rPr>
        <w:t>liste de techniques biotechniques comprenant notamment les termes “</w:t>
      </w:r>
      <w:r w:rsidRPr="00E8642C">
        <w:rPr>
          <w:rFonts w:cs="Arial"/>
          <w:iCs/>
          <w:snapToGrid w:val="0"/>
          <w:szCs w:val="22"/>
        </w:rPr>
        <w:t xml:space="preserve">génie génétique”, “bioréacteur à fermentation”, “thérapie génique”, </w:t>
      </w:r>
      <w:r w:rsidRPr="00C27F71">
        <w:rPr>
          <w:rFonts w:cs="Arial"/>
          <w:b/>
          <w:iCs/>
          <w:snapToGrid w:val="0"/>
          <w:szCs w:val="22"/>
        </w:rPr>
        <w:t>“</w:t>
      </w:r>
      <w:r w:rsidRPr="00C27F71">
        <w:rPr>
          <w:rFonts w:cs="Arial"/>
          <w:b/>
          <w:bCs/>
          <w:iCs/>
          <w:snapToGrid w:val="0"/>
          <w:szCs w:val="22"/>
        </w:rPr>
        <w:t>bio</w:t>
      </w:r>
      <w:r w:rsidR="00400337">
        <w:rPr>
          <w:rFonts w:cs="Arial"/>
          <w:b/>
          <w:bCs/>
          <w:iCs/>
          <w:snapToGrid w:val="0"/>
          <w:szCs w:val="22"/>
        </w:rPr>
        <w:noBreakHyphen/>
      </w:r>
      <w:r w:rsidRPr="00C27F71">
        <w:rPr>
          <w:rFonts w:cs="Arial"/>
          <w:b/>
          <w:bCs/>
          <w:iCs/>
          <w:snapToGrid w:val="0"/>
          <w:szCs w:val="22"/>
        </w:rPr>
        <w:t>informatique” et “</w:t>
      </w:r>
      <w:proofErr w:type="spellStart"/>
      <w:r w:rsidRPr="00C27F71">
        <w:rPr>
          <w:rFonts w:cs="Arial"/>
          <w:b/>
          <w:bCs/>
          <w:iCs/>
          <w:snapToGrid w:val="0"/>
          <w:szCs w:val="22"/>
        </w:rPr>
        <w:t>nanobiotechnologie</w:t>
      </w:r>
      <w:proofErr w:type="spellEnd"/>
      <w:r w:rsidRPr="00C27F71">
        <w:rPr>
          <w:rFonts w:cs="Arial"/>
          <w:b/>
          <w:bCs/>
          <w:iCs/>
          <w:snapToGrid w:val="0"/>
          <w:szCs w:val="22"/>
        </w:rPr>
        <w:t>”</w:t>
      </w:r>
      <w:r w:rsidRPr="00E8642C">
        <w:rPr>
          <w:rStyle w:val="FootnoteReference"/>
          <w:rFonts w:cs="Arial"/>
          <w:szCs w:val="22"/>
        </w:rPr>
        <w:footnoteReference w:id="23"/>
      </w:r>
      <w:r w:rsidRPr="00E8642C">
        <w:rPr>
          <w:rFonts w:cs="Arial"/>
          <w:bCs/>
          <w:iCs/>
          <w:snapToGrid w:val="0"/>
          <w:szCs w:val="22"/>
        </w:rPr>
        <w:t>.</w:t>
      </w:r>
    </w:p>
    <w:p w:rsidR="00D23D81" w:rsidRDefault="00DD607D" w:rsidP="00D23D81">
      <w:pPr>
        <w:pStyle w:val="Heading2"/>
        <w:spacing w:after="220" w:line="240" w:lineRule="auto"/>
      </w:pPr>
      <w:bookmarkStart w:id="19" w:name="_Toc7772497"/>
      <w:r w:rsidRPr="00E8642C">
        <w:t>Bons usages</w:t>
      </w:r>
      <w:bookmarkEnd w:id="19"/>
    </w:p>
    <w:p w:rsidR="00D23D81" w:rsidRDefault="00DD607D" w:rsidP="00D23D81">
      <w:pPr>
        <w:spacing w:after="220"/>
        <w:rPr>
          <w:rFonts w:cs="Arial"/>
          <w:szCs w:val="22"/>
        </w:rPr>
      </w:pPr>
      <w:r w:rsidRPr="00E8642C">
        <w:rPr>
          <w:rFonts w:cs="Arial"/>
          <w:szCs w:val="22"/>
        </w:rPr>
        <w:t xml:space="preserve">La </w:t>
      </w:r>
      <w:r w:rsidRPr="00E8642C">
        <w:rPr>
          <w:rFonts w:cs="Arial"/>
          <w:i/>
          <w:szCs w:val="22"/>
        </w:rPr>
        <w:t xml:space="preserve">Convention de Berne pour la protection des œuvres littéraires et artistiques </w:t>
      </w:r>
      <w:r w:rsidRPr="00E8642C">
        <w:rPr>
          <w:rFonts w:cs="Arial"/>
          <w:szCs w:val="22"/>
        </w:rPr>
        <w:t>(1971) comprend l</w:t>
      </w:r>
      <w:r w:rsidR="00D91476">
        <w:rPr>
          <w:rFonts w:cs="Arial"/>
          <w:szCs w:val="22"/>
        </w:rPr>
        <w:t>’</w:t>
      </w:r>
      <w:r w:rsidRPr="00E8642C">
        <w:rPr>
          <w:rFonts w:cs="Arial"/>
          <w:szCs w:val="22"/>
        </w:rPr>
        <w:t>expression “bons usages” dans certaines dispositions sur les exceptions à la protection du droit d</w:t>
      </w:r>
      <w:r w:rsidR="00D91476">
        <w:rPr>
          <w:rFonts w:cs="Arial"/>
          <w:szCs w:val="22"/>
        </w:rPr>
        <w:t>’</w:t>
      </w:r>
      <w:r w:rsidRPr="00E8642C">
        <w:rPr>
          <w:rFonts w:cs="Arial"/>
          <w:szCs w:val="22"/>
        </w:rPr>
        <w:t>auteur (voir l</w:t>
      </w:r>
      <w:r w:rsidR="00D91476">
        <w:rPr>
          <w:rFonts w:cs="Arial"/>
          <w:szCs w:val="22"/>
        </w:rPr>
        <w:t>’</w:t>
      </w:r>
      <w:r w:rsidRPr="00E8642C">
        <w:rPr>
          <w:rFonts w:cs="Arial"/>
          <w:szCs w:val="22"/>
        </w:rPr>
        <w:t>article 10.1) sur les citations et l</w:t>
      </w:r>
      <w:r w:rsidR="00D91476">
        <w:rPr>
          <w:rFonts w:cs="Arial"/>
          <w:szCs w:val="22"/>
        </w:rPr>
        <w:t>’</w:t>
      </w:r>
      <w:r w:rsidRPr="00E8642C">
        <w:rPr>
          <w:rFonts w:cs="Arial"/>
          <w:szCs w:val="22"/>
        </w:rPr>
        <w:t>article 10.2) sur la libre utilisation des œuvres – dans la mesure justifiée par le but à atteindre – à titre d</w:t>
      </w:r>
      <w:r w:rsidR="00D91476">
        <w:rPr>
          <w:rFonts w:cs="Arial"/>
          <w:szCs w:val="22"/>
        </w:rPr>
        <w:t>’</w:t>
      </w:r>
      <w:r w:rsidRPr="00E8642C">
        <w:rPr>
          <w:rFonts w:cs="Arial"/>
          <w:szCs w:val="22"/>
        </w:rPr>
        <w:t>illustration de l</w:t>
      </w:r>
      <w:r w:rsidR="00D91476">
        <w:rPr>
          <w:rFonts w:cs="Arial"/>
          <w:szCs w:val="22"/>
        </w:rPr>
        <w:t>’</w:t>
      </w:r>
      <w:r w:rsidRPr="00E8642C">
        <w:rPr>
          <w:rFonts w:cs="Arial"/>
          <w:szCs w:val="22"/>
        </w:rPr>
        <w:t>enseigneme</w:t>
      </w:r>
      <w:r w:rsidR="001F3AEE" w:rsidRPr="00E8642C">
        <w:rPr>
          <w:rFonts w:cs="Arial"/>
          <w:szCs w:val="22"/>
        </w:rPr>
        <w:t>nt)</w:t>
      </w:r>
      <w:r w:rsidR="001F3AEE">
        <w:rPr>
          <w:rFonts w:cs="Arial"/>
          <w:szCs w:val="22"/>
        </w:rPr>
        <w:t xml:space="preserve">.  </w:t>
      </w:r>
      <w:r w:rsidR="001F3AEE" w:rsidRPr="00E8642C">
        <w:rPr>
          <w:rFonts w:cs="Arial"/>
          <w:szCs w:val="22"/>
        </w:rPr>
        <w:t>Le</w:t>
      </w:r>
      <w:r w:rsidRPr="00E8642C">
        <w:rPr>
          <w:rFonts w:cs="Arial"/>
          <w:szCs w:val="22"/>
        </w:rPr>
        <w:t>s conditions du “triple critère” doivent être prises en considération dans l</w:t>
      </w:r>
      <w:r w:rsidR="00D91476">
        <w:rPr>
          <w:rFonts w:cs="Arial"/>
          <w:szCs w:val="22"/>
        </w:rPr>
        <w:t>’</w:t>
      </w:r>
      <w:r w:rsidRPr="00E8642C">
        <w:rPr>
          <w:rFonts w:cs="Arial"/>
          <w:szCs w:val="22"/>
        </w:rPr>
        <w:t>appréciation du type de pratique constituant des “bons usages”</w:t>
      </w:r>
      <w:r w:rsidRPr="00E8642C">
        <w:rPr>
          <w:rStyle w:val="FootnoteReference"/>
          <w:rFonts w:cs="Arial"/>
          <w:szCs w:val="22"/>
        </w:rPr>
        <w:footnoteReference w:id="24"/>
      </w:r>
      <w:r w:rsidRPr="00E8642C">
        <w:rPr>
          <w:rFonts w:cs="Arial"/>
          <w:szCs w:val="22"/>
        </w:rPr>
        <w:t>.</w:t>
      </w:r>
    </w:p>
    <w:p w:rsidR="00D23D81" w:rsidRDefault="00DD607D" w:rsidP="00D23D81">
      <w:pPr>
        <w:pStyle w:val="Heading2"/>
        <w:spacing w:after="220" w:line="240" w:lineRule="auto"/>
      </w:pPr>
      <w:bookmarkStart w:id="20" w:name="_Toc7772498"/>
      <w:r w:rsidRPr="00E8642C">
        <w:t>Brevet</w:t>
      </w:r>
      <w:bookmarkEnd w:id="20"/>
    </w:p>
    <w:p w:rsidR="00D23D81" w:rsidRDefault="00DD607D" w:rsidP="00D23D81">
      <w:pPr>
        <w:spacing w:after="220"/>
        <w:rPr>
          <w:rFonts w:cs="Arial"/>
          <w:iCs/>
          <w:szCs w:val="22"/>
        </w:rPr>
      </w:pPr>
      <w:r w:rsidRPr="00E8642C">
        <w:rPr>
          <w:rFonts w:cs="Arial"/>
          <w:szCs w:val="22"/>
        </w:rPr>
        <w:t xml:space="preserve">Un brevet se définit comme </w:t>
      </w:r>
      <w:r w:rsidRPr="00E8642C">
        <w:rPr>
          <w:rFonts w:cs="Arial"/>
          <w:iCs/>
          <w:szCs w:val="22"/>
        </w:rPr>
        <w:t>“un document décrivant une invention qui peut être fabriquée, utilisée et vendue avec l</w:t>
      </w:r>
      <w:r w:rsidR="00D91476">
        <w:rPr>
          <w:rFonts w:cs="Arial"/>
          <w:iCs/>
          <w:szCs w:val="22"/>
        </w:rPr>
        <w:t>’</w:t>
      </w:r>
      <w:r w:rsidRPr="00E8642C">
        <w:rPr>
          <w:rFonts w:cs="Arial"/>
          <w:iCs/>
          <w:szCs w:val="22"/>
        </w:rPr>
        <w:t>autorisation du titulaire du brev</w:t>
      </w:r>
      <w:r w:rsidR="001F3AEE" w:rsidRPr="00E8642C">
        <w:rPr>
          <w:rFonts w:cs="Arial"/>
          <w:iCs/>
          <w:szCs w:val="22"/>
        </w:rPr>
        <w:t>et</w:t>
      </w:r>
      <w:r w:rsidR="001F3AEE">
        <w:rPr>
          <w:rFonts w:cs="Arial"/>
          <w:iCs/>
          <w:szCs w:val="22"/>
        </w:rPr>
        <w:t xml:space="preserve">.  </w:t>
      </w:r>
      <w:r w:rsidR="001F3AEE" w:rsidRPr="00E8642C">
        <w:rPr>
          <w:rFonts w:cs="Arial"/>
          <w:iCs/>
          <w:szCs w:val="22"/>
        </w:rPr>
        <w:t>Un</w:t>
      </w:r>
      <w:r w:rsidRPr="00E8642C">
        <w:rPr>
          <w:rFonts w:cs="Arial"/>
          <w:iCs/>
          <w:szCs w:val="22"/>
        </w:rPr>
        <w:t>e invention est une solution apportée à un problème technique préc</w:t>
      </w:r>
      <w:r w:rsidR="001F3AEE" w:rsidRPr="00E8642C">
        <w:rPr>
          <w:rFonts w:cs="Arial"/>
          <w:iCs/>
          <w:szCs w:val="22"/>
        </w:rPr>
        <w:t>is</w:t>
      </w:r>
      <w:r w:rsidR="001F3AEE">
        <w:rPr>
          <w:rFonts w:cs="Arial"/>
          <w:iCs/>
          <w:szCs w:val="22"/>
        </w:rPr>
        <w:t xml:space="preserve">.  </w:t>
      </w:r>
      <w:r w:rsidR="001F3AEE" w:rsidRPr="00E8642C">
        <w:rPr>
          <w:rFonts w:cs="Arial"/>
          <w:iCs/>
          <w:szCs w:val="22"/>
        </w:rPr>
        <w:t>En</w:t>
      </w:r>
      <w:r w:rsidRPr="00E8642C">
        <w:rPr>
          <w:rFonts w:cs="Arial"/>
          <w:iCs/>
          <w:szCs w:val="22"/>
        </w:rPr>
        <w:t xml:space="preserve"> règle générale, un document de brevet contient au moins une revendication, le texte intégral de la description de l</w:t>
      </w:r>
      <w:r w:rsidR="00D91476">
        <w:rPr>
          <w:rFonts w:cs="Arial"/>
          <w:iCs/>
          <w:szCs w:val="22"/>
        </w:rPr>
        <w:t>’</w:t>
      </w:r>
      <w:r w:rsidRPr="00E8642C">
        <w:rPr>
          <w:rFonts w:cs="Arial"/>
          <w:iCs/>
          <w:szCs w:val="22"/>
        </w:rPr>
        <w:t>invention, ainsi que des renseignements bibliographiques tels que le nom du déposa</w:t>
      </w:r>
      <w:r w:rsidR="001F3AEE" w:rsidRPr="00E8642C">
        <w:rPr>
          <w:rFonts w:cs="Arial"/>
          <w:iCs/>
          <w:szCs w:val="22"/>
        </w:rPr>
        <w:t>nt</w:t>
      </w:r>
      <w:r w:rsidR="001F3AEE">
        <w:rPr>
          <w:rFonts w:cs="Arial"/>
          <w:iCs/>
          <w:szCs w:val="22"/>
        </w:rPr>
        <w:t xml:space="preserve">.  </w:t>
      </w:r>
      <w:r w:rsidR="001F3AEE" w:rsidRPr="00E8642C">
        <w:rPr>
          <w:rFonts w:cs="Arial"/>
          <w:iCs/>
          <w:szCs w:val="22"/>
        </w:rPr>
        <w:t>La</w:t>
      </w:r>
      <w:r w:rsidRPr="00E8642C">
        <w:rPr>
          <w:rFonts w:cs="Arial"/>
          <w:iCs/>
          <w:szCs w:val="22"/>
        </w:rPr>
        <w:t xml:space="preserve"> protection conférée par un brevet est limitée dans le temps (en règle générale, sa durée est de 15 à 20 ans à compter de la date du dépôt de la demande ou de la délivrance du tit</w:t>
      </w:r>
      <w:r w:rsidR="001F3AEE" w:rsidRPr="00E8642C">
        <w:rPr>
          <w:rFonts w:cs="Arial"/>
          <w:iCs/>
          <w:szCs w:val="22"/>
        </w:rPr>
        <w:t>re)</w:t>
      </w:r>
      <w:r w:rsidR="001F3AEE">
        <w:rPr>
          <w:rFonts w:cs="Arial"/>
          <w:iCs/>
          <w:szCs w:val="22"/>
        </w:rPr>
        <w:t xml:space="preserve">.  </w:t>
      </w:r>
      <w:r w:rsidR="001F3AEE" w:rsidRPr="00E8642C">
        <w:rPr>
          <w:rFonts w:cs="Arial"/>
          <w:iCs/>
          <w:szCs w:val="22"/>
        </w:rPr>
        <w:t>El</w:t>
      </w:r>
      <w:r w:rsidRPr="00E8642C">
        <w:rPr>
          <w:rFonts w:cs="Arial"/>
          <w:iCs/>
          <w:szCs w:val="22"/>
        </w:rPr>
        <w:t>le est aussi limitée au territoire du ou des pays intéress</w:t>
      </w:r>
      <w:r w:rsidR="001F3AEE" w:rsidRPr="00E8642C">
        <w:rPr>
          <w:rFonts w:cs="Arial"/>
          <w:iCs/>
          <w:szCs w:val="22"/>
        </w:rPr>
        <w:t>és</w:t>
      </w:r>
      <w:r w:rsidR="001F3AEE">
        <w:rPr>
          <w:rFonts w:cs="Arial"/>
          <w:iCs/>
          <w:szCs w:val="22"/>
        </w:rPr>
        <w:t xml:space="preserve">.  </w:t>
      </w:r>
      <w:r w:rsidR="001F3AEE" w:rsidRPr="00E8642C">
        <w:rPr>
          <w:rFonts w:cs="Arial"/>
          <w:iCs/>
          <w:szCs w:val="22"/>
        </w:rPr>
        <w:t>Un</w:t>
      </w:r>
      <w:r w:rsidRPr="00E8642C">
        <w:rPr>
          <w:rFonts w:cs="Arial"/>
          <w:iCs/>
          <w:szCs w:val="22"/>
        </w:rPr>
        <w:t xml:space="preserve"> brevet est un accord conclu entre un inventeur et un pa</w:t>
      </w:r>
      <w:r w:rsidR="001F3AEE" w:rsidRPr="00E8642C">
        <w:rPr>
          <w:rFonts w:cs="Arial"/>
          <w:iCs/>
          <w:szCs w:val="22"/>
        </w:rPr>
        <w:t>ys</w:t>
      </w:r>
      <w:r w:rsidR="001F3AEE">
        <w:rPr>
          <w:rFonts w:cs="Arial"/>
          <w:iCs/>
          <w:szCs w:val="22"/>
        </w:rPr>
        <w:t xml:space="preserve">.  </w:t>
      </w:r>
      <w:r w:rsidR="001F3AEE" w:rsidRPr="00E8642C">
        <w:rPr>
          <w:rFonts w:cs="Arial"/>
          <w:iCs/>
          <w:szCs w:val="22"/>
        </w:rPr>
        <w:t>L</w:t>
      </w:r>
      <w:r w:rsidR="001F3AEE">
        <w:rPr>
          <w:rFonts w:cs="Arial"/>
          <w:iCs/>
          <w:szCs w:val="22"/>
        </w:rPr>
        <w:t>’</w:t>
      </w:r>
      <w:r w:rsidR="001F3AEE" w:rsidRPr="00E8642C">
        <w:rPr>
          <w:rFonts w:cs="Arial"/>
          <w:iCs/>
          <w:szCs w:val="22"/>
        </w:rPr>
        <w:t>a</w:t>
      </w:r>
      <w:r w:rsidRPr="00E8642C">
        <w:rPr>
          <w:rFonts w:cs="Arial"/>
          <w:iCs/>
          <w:szCs w:val="22"/>
        </w:rPr>
        <w:t>ccord permet au titulaire du brevet d</w:t>
      </w:r>
      <w:r w:rsidR="00D91476">
        <w:rPr>
          <w:rFonts w:cs="Arial"/>
          <w:iCs/>
          <w:szCs w:val="22"/>
        </w:rPr>
        <w:t>’</w:t>
      </w:r>
      <w:r w:rsidRPr="00E8642C">
        <w:rPr>
          <w:rFonts w:cs="Arial"/>
          <w:iCs/>
          <w:szCs w:val="22"/>
        </w:rPr>
        <w:t>empêcher des tiers de fabriquer, d</w:t>
      </w:r>
      <w:r w:rsidR="00D91476">
        <w:rPr>
          <w:rFonts w:cs="Arial"/>
          <w:iCs/>
          <w:szCs w:val="22"/>
        </w:rPr>
        <w:t>’</w:t>
      </w:r>
      <w:r w:rsidRPr="00E8642C">
        <w:rPr>
          <w:rFonts w:cs="Arial"/>
          <w:iCs/>
          <w:szCs w:val="22"/>
        </w:rPr>
        <w:t>utiliser ou de vendre l</w:t>
      </w:r>
      <w:r w:rsidR="00D91476">
        <w:rPr>
          <w:rFonts w:cs="Arial"/>
          <w:iCs/>
          <w:szCs w:val="22"/>
        </w:rPr>
        <w:t>’</w:t>
      </w:r>
      <w:r w:rsidRPr="00E8642C">
        <w:rPr>
          <w:rFonts w:cs="Arial"/>
          <w:iCs/>
          <w:szCs w:val="22"/>
        </w:rPr>
        <w:t>invention revendiquée</w:t>
      </w:r>
      <w:r w:rsidRPr="00E8642C">
        <w:rPr>
          <w:rFonts w:cs="Arial"/>
          <w:szCs w:val="22"/>
        </w:rPr>
        <w:t>”</w:t>
      </w:r>
      <w:r w:rsidRPr="00E8642C">
        <w:rPr>
          <w:rFonts w:cs="Arial"/>
          <w:szCs w:val="22"/>
          <w:vertAlign w:val="superscript"/>
        </w:rPr>
        <w:footnoteReference w:id="25"/>
      </w:r>
      <w:r w:rsidRPr="00E8642C">
        <w:rPr>
          <w:rFonts w:cs="Arial"/>
          <w:szCs w:val="22"/>
        </w:rPr>
        <w:t>.</w:t>
      </w:r>
    </w:p>
    <w:p w:rsidR="00D23D81" w:rsidRDefault="00DD607D" w:rsidP="00D23D81">
      <w:pPr>
        <w:spacing w:after="220"/>
        <w:rPr>
          <w:rFonts w:cs="Arial"/>
          <w:iCs/>
          <w:szCs w:val="22"/>
        </w:rPr>
      </w:pPr>
      <w:r w:rsidRPr="00E8642C">
        <w:rPr>
          <w:rFonts w:cs="Arial"/>
          <w:szCs w:val="22"/>
        </w:rPr>
        <w:t>L</w:t>
      </w:r>
      <w:r w:rsidR="00D91476">
        <w:rPr>
          <w:rFonts w:cs="Arial"/>
          <w:szCs w:val="22"/>
        </w:rPr>
        <w:t>’</w:t>
      </w:r>
      <w:r w:rsidRPr="00E8642C">
        <w:rPr>
          <w:rFonts w:cs="Arial"/>
          <w:szCs w:val="22"/>
        </w:rPr>
        <w:t>article 27.1 de l</w:t>
      </w:r>
      <w:r w:rsidR="00D91476">
        <w:rPr>
          <w:rFonts w:cs="Arial"/>
          <w:szCs w:val="22"/>
        </w:rPr>
        <w:t>’</w:t>
      </w:r>
      <w:r w:rsidRPr="00E8642C">
        <w:rPr>
          <w:rFonts w:cs="Arial"/>
          <w:i/>
          <w:szCs w:val="22"/>
        </w:rPr>
        <w:t>Accord sur les aspects des droits de propriété intellectuelle qui touchent au commerce</w:t>
      </w:r>
      <w:r w:rsidRPr="00E8642C">
        <w:rPr>
          <w:rFonts w:cs="Arial"/>
          <w:szCs w:val="22"/>
        </w:rPr>
        <w:t xml:space="preserve"> (Accord sur les ADPIC) de l</w:t>
      </w:r>
      <w:r w:rsidR="00D91476">
        <w:rPr>
          <w:rFonts w:cs="Arial"/>
          <w:szCs w:val="22"/>
        </w:rPr>
        <w:t>’</w:t>
      </w:r>
      <w:r w:rsidRPr="00E8642C">
        <w:rPr>
          <w:rFonts w:cs="Arial"/>
          <w:szCs w:val="22"/>
        </w:rPr>
        <w:t xml:space="preserve">Organisation mondiale du commerce (OMC) stipule que </w:t>
      </w:r>
      <w:proofErr w:type="gramStart"/>
      <w:r w:rsidRPr="00E8642C">
        <w:rPr>
          <w:rFonts w:cs="Arial"/>
          <w:iCs/>
          <w:szCs w:val="22"/>
        </w:rPr>
        <w:t>“[</w:t>
      </w:r>
      <w:proofErr w:type="gramEnd"/>
      <w:r w:rsidRPr="00E8642C">
        <w:rPr>
          <w:rFonts w:cs="Arial"/>
          <w:iCs/>
          <w:szCs w:val="22"/>
        </w:rPr>
        <w:t>…] un brevet pourra être obtenu pour toute invention, de produit ou de procédé, dans tous les domaines technologiques, à condition qu</w:t>
      </w:r>
      <w:r w:rsidR="00D91476">
        <w:rPr>
          <w:rFonts w:cs="Arial"/>
          <w:iCs/>
          <w:szCs w:val="22"/>
        </w:rPr>
        <w:t>’</w:t>
      </w:r>
      <w:r w:rsidRPr="00E8642C">
        <w:rPr>
          <w:rFonts w:cs="Arial"/>
          <w:iCs/>
          <w:szCs w:val="22"/>
        </w:rPr>
        <w:t>elle soit nouvelle, qu</w:t>
      </w:r>
      <w:r w:rsidR="00D91476">
        <w:rPr>
          <w:rFonts w:cs="Arial"/>
          <w:iCs/>
          <w:szCs w:val="22"/>
        </w:rPr>
        <w:t>’</w:t>
      </w:r>
      <w:r w:rsidRPr="00E8642C">
        <w:rPr>
          <w:rFonts w:cs="Arial"/>
          <w:iCs/>
          <w:szCs w:val="22"/>
        </w:rPr>
        <w:t>elle implique une activité inventive et qu</w:t>
      </w:r>
      <w:r w:rsidR="00D91476">
        <w:rPr>
          <w:rFonts w:cs="Arial"/>
          <w:iCs/>
          <w:szCs w:val="22"/>
        </w:rPr>
        <w:t>’</w:t>
      </w:r>
      <w:r w:rsidRPr="00E8642C">
        <w:rPr>
          <w:rFonts w:cs="Arial"/>
          <w:iCs/>
          <w:szCs w:val="22"/>
        </w:rPr>
        <w:t>elle soit susceptible d</w:t>
      </w:r>
      <w:r w:rsidR="00D91476">
        <w:rPr>
          <w:rFonts w:cs="Arial"/>
          <w:iCs/>
          <w:szCs w:val="22"/>
        </w:rPr>
        <w:t>’</w:t>
      </w:r>
      <w:r w:rsidRPr="00E8642C">
        <w:rPr>
          <w:rFonts w:cs="Arial"/>
          <w:iCs/>
          <w:szCs w:val="22"/>
        </w:rPr>
        <w:t>application industrielle.  […] des brevets pourront être obtenus et il sera possible de jouir de droits de brevet sans discrimination quant au lieu d</w:t>
      </w:r>
      <w:r w:rsidR="00D91476">
        <w:rPr>
          <w:rFonts w:cs="Arial"/>
          <w:iCs/>
          <w:szCs w:val="22"/>
        </w:rPr>
        <w:t>’</w:t>
      </w:r>
      <w:r w:rsidRPr="00E8642C">
        <w:rPr>
          <w:rFonts w:cs="Arial"/>
          <w:iCs/>
          <w:szCs w:val="22"/>
        </w:rPr>
        <w:t>origine de l</w:t>
      </w:r>
      <w:r w:rsidR="00D91476">
        <w:rPr>
          <w:rFonts w:cs="Arial"/>
          <w:iCs/>
          <w:szCs w:val="22"/>
        </w:rPr>
        <w:t>’</w:t>
      </w:r>
      <w:r w:rsidRPr="00E8642C">
        <w:rPr>
          <w:rFonts w:cs="Arial"/>
          <w:iCs/>
          <w:szCs w:val="22"/>
        </w:rPr>
        <w:t>invention, au domaine technologique et au fait que les produits sont importés ou sont d</w:t>
      </w:r>
      <w:r w:rsidR="00D91476">
        <w:rPr>
          <w:rFonts w:cs="Arial"/>
          <w:iCs/>
          <w:szCs w:val="22"/>
        </w:rPr>
        <w:t>’</w:t>
      </w:r>
      <w:r w:rsidRPr="00E8642C">
        <w:rPr>
          <w:rFonts w:cs="Arial"/>
          <w:iCs/>
          <w:szCs w:val="22"/>
        </w:rPr>
        <w:t>origine nationale”.</w:t>
      </w:r>
    </w:p>
    <w:p w:rsidR="00D23D81" w:rsidRDefault="00DD607D" w:rsidP="00D23D81">
      <w:pPr>
        <w:pStyle w:val="Heading2"/>
        <w:spacing w:after="220" w:line="240" w:lineRule="auto"/>
      </w:pPr>
      <w:bookmarkStart w:id="21" w:name="_Toc7772499"/>
      <w:r w:rsidRPr="00E8642C">
        <w:t>Classification des ressources en savoirs traditionnels</w:t>
      </w:r>
      <w:bookmarkEnd w:id="21"/>
    </w:p>
    <w:p w:rsidR="00D23D81" w:rsidRDefault="00DD607D" w:rsidP="00D23D81">
      <w:pPr>
        <w:spacing w:after="220"/>
        <w:rPr>
          <w:rFonts w:cs="Arial"/>
          <w:szCs w:val="22"/>
        </w:rPr>
      </w:pPr>
      <w:r w:rsidRPr="00E8642C">
        <w:rPr>
          <w:rFonts w:cs="Arial"/>
          <w:szCs w:val="22"/>
        </w:rPr>
        <w:t>La classification des ressources en savoirs traditionnels est un système structuré de classement novateur permettant la disposition systématique, la diffusion et l</w:t>
      </w:r>
      <w:r w:rsidR="00D91476">
        <w:rPr>
          <w:rFonts w:cs="Arial"/>
          <w:szCs w:val="22"/>
        </w:rPr>
        <w:t>’</w:t>
      </w:r>
      <w:r w:rsidRPr="00E8642C">
        <w:rPr>
          <w:rFonts w:cs="Arial"/>
          <w:szCs w:val="22"/>
        </w:rPr>
        <w:t>extraction des données, comprenant quelque 5000 sous</w:t>
      </w:r>
      <w:r w:rsidR="00400337">
        <w:rPr>
          <w:rFonts w:cs="Arial"/>
          <w:szCs w:val="22"/>
        </w:rPr>
        <w:noBreakHyphen/>
      </w:r>
      <w:r w:rsidRPr="00E8642C">
        <w:rPr>
          <w:rFonts w:cs="Arial"/>
          <w:szCs w:val="22"/>
        </w:rPr>
        <w:t>groupes, contre un seul groupe dans la classification internationale des brevets (CIB)</w:t>
      </w:r>
      <w:r w:rsidRPr="00E8642C">
        <w:rPr>
          <w:rStyle w:val="FootnoteReference"/>
          <w:rFonts w:cs="Arial"/>
          <w:szCs w:val="22"/>
        </w:rPr>
        <w:footnoteReference w:id="26"/>
      </w:r>
      <w:r w:rsidRPr="00E8642C">
        <w:rPr>
          <w:rFonts w:cs="Arial"/>
          <w:szCs w:val="22"/>
        </w:rPr>
        <w:t xml:space="preserve">.  Cette classification a été créée pour les systèmes indiens de médecine (Ayurveda, </w:t>
      </w:r>
      <w:proofErr w:type="spellStart"/>
      <w:r w:rsidRPr="00E8642C">
        <w:rPr>
          <w:rFonts w:cs="Arial"/>
          <w:szCs w:val="22"/>
        </w:rPr>
        <w:t>Unani</w:t>
      </w:r>
      <w:proofErr w:type="spellEnd"/>
      <w:r w:rsidRPr="00E8642C">
        <w:rPr>
          <w:rFonts w:cs="Arial"/>
          <w:szCs w:val="22"/>
        </w:rPr>
        <w:t>, Siddha et Yo</w:t>
      </w:r>
      <w:r w:rsidR="001F3AEE" w:rsidRPr="00E8642C">
        <w:rPr>
          <w:rFonts w:cs="Arial"/>
          <w:szCs w:val="22"/>
        </w:rPr>
        <w:t>ga)</w:t>
      </w:r>
      <w:r w:rsidR="001F3AEE">
        <w:rPr>
          <w:rFonts w:cs="Arial"/>
          <w:szCs w:val="22"/>
        </w:rPr>
        <w:t xml:space="preserve">.  </w:t>
      </w:r>
      <w:r w:rsidR="001F3AEE" w:rsidRPr="00E8642C">
        <w:rPr>
          <w:rFonts w:cs="Arial"/>
          <w:szCs w:val="22"/>
        </w:rPr>
        <w:t>Ay</w:t>
      </w:r>
      <w:r w:rsidRPr="00E8642C">
        <w:rPr>
          <w:rFonts w:cs="Arial"/>
          <w:szCs w:val="22"/>
        </w:rPr>
        <w:t>ant acquis une renommée internationale et étant liée à la CIB, elle devrait contribuer à faire connaître davantage les systèmes de savoirs traditionnels en s</w:t>
      </w:r>
      <w:r w:rsidR="00D91476">
        <w:rPr>
          <w:rFonts w:cs="Arial"/>
          <w:szCs w:val="22"/>
        </w:rPr>
        <w:t>’</w:t>
      </w:r>
      <w:r w:rsidRPr="00E8642C">
        <w:rPr>
          <w:rFonts w:cs="Arial"/>
          <w:szCs w:val="22"/>
        </w:rPr>
        <w:t>appuyant sur les systèmes modernes de diffusion, c</w:t>
      </w:r>
      <w:r w:rsidR="00D91476">
        <w:rPr>
          <w:rFonts w:cs="Arial"/>
          <w:szCs w:val="22"/>
        </w:rPr>
        <w:t>’</w:t>
      </w:r>
      <w:r w:rsidRPr="00E8642C">
        <w:rPr>
          <w:rFonts w:cs="Arial"/>
          <w:szCs w:val="22"/>
        </w:rPr>
        <w:t>est</w:t>
      </w:r>
      <w:r w:rsidR="00400337">
        <w:rPr>
          <w:rFonts w:cs="Arial"/>
          <w:szCs w:val="22"/>
        </w:rPr>
        <w:noBreakHyphen/>
      </w:r>
      <w:r w:rsidRPr="00E8642C">
        <w:rPr>
          <w:rFonts w:cs="Arial"/>
          <w:szCs w:val="22"/>
        </w:rPr>
        <w:t>à</w:t>
      </w:r>
      <w:r w:rsidR="00400337">
        <w:rPr>
          <w:rFonts w:cs="Arial"/>
          <w:szCs w:val="22"/>
        </w:rPr>
        <w:noBreakHyphen/>
      </w:r>
      <w:r w:rsidRPr="00E8642C">
        <w:rPr>
          <w:rFonts w:cs="Arial"/>
          <w:szCs w:val="22"/>
        </w:rPr>
        <w:t>dire les moyens informatiques, en particulier l</w:t>
      </w:r>
      <w:r w:rsidR="00D91476">
        <w:rPr>
          <w:rFonts w:cs="Arial"/>
          <w:szCs w:val="22"/>
        </w:rPr>
        <w:t>’</w:t>
      </w:r>
      <w:r w:rsidRPr="00E8642C">
        <w:rPr>
          <w:rFonts w:cs="Arial"/>
          <w:szCs w:val="22"/>
        </w:rPr>
        <w:t>Internet et les technologies fondées sur le W</w:t>
      </w:r>
      <w:r w:rsidR="001F3AEE" w:rsidRPr="00E8642C">
        <w:rPr>
          <w:rFonts w:cs="Arial"/>
          <w:szCs w:val="22"/>
        </w:rPr>
        <w:t>eb</w:t>
      </w:r>
      <w:r w:rsidR="001F3AEE">
        <w:rPr>
          <w:rFonts w:cs="Arial"/>
          <w:szCs w:val="22"/>
        </w:rPr>
        <w:t xml:space="preserve">.  </w:t>
      </w:r>
      <w:r w:rsidR="001F3AEE" w:rsidRPr="00E8642C">
        <w:rPr>
          <w:rFonts w:cs="Arial"/>
          <w:szCs w:val="22"/>
        </w:rPr>
        <w:t>On</w:t>
      </w:r>
      <w:r w:rsidRPr="00E8642C">
        <w:rPr>
          <w:rFonts w:cs="Arial"/>
          <w:szCs w:val="22"/>
        </w:rPr>
        <w:t xml:space="preserve"> prévoit que la classification des ressources en savoirs traditionnels, de par sa structure et son contenu, suscitera l</w:t>
      </w:r>
      <w:r w:rsidR="00D91476">
        <w:rPr>
          <w:rFonts w:cs="Arial"/>
          <w:szCs w:val="22"/>
        </w:rPr>
        <w:t>’</w:t>
      </w:r>
      <w:r w:rsidRPr="00E8642C">
        <w:rPr>
          <w:rFonts w:cs="Arial"/>
          <w:szCs w:val="22"/>
        </w:rPr>
        <w:t>intérêt des pays qui sont concernés par le problème des brevets délivrés par erreur sur des découvertes qui ne sont pas originales concernant des systèmes de savoirs traditionnels</w:t>
      </w:r>
      <w:r w:rsidRPr="00E8642C">
        <w:rPr>
          <w:rFonts w:cs="Arial"/>
          <w:szCs w:val="22"/>
          <w:vertAlign w:val="superscript"/>
        </w:rPr>
        <w:footnoteReference w:id="27"/>
      </w:r>
      <w:r w:rsidRPr="00E8642C">
        <w:rPr>
          <w:rFonts w:cs="Arial"/>
          <w:szCs w:val="22"/>
        </w:rPr>
        <w:t>.</w:t>
      </w:r>
    </w:p>
    <w:p w:rsidR="00D23D81" w:rsidRDefault="00DD607D" w:rsidP="00D23D81">
      <w:pPr>
        <w:pStyle w:val="Heading2"/>
        <w:spacing w:after="220" w:line="240" w:lineRule="auto"/>
      </w:pPr>
      <w:bookmarkStart w:id="22" w:name="_Toc7772500"/>
      <w:r w:rsidRPr="00E8642C">
        <w:t>Classification internationale des brevets</w:t>
      </w:r>
      <w:bookmarkEnd w:id="22"/>
    </w:p>
    <w:p w:rsidR="00D23D81" w:rsidRDefault="00DD607D" w:rsidP="00D23D81">
      <w:pPr>
        <w:spacing w:after="220"/>
        <w:rPr>
          <w:rFonts w:cs="Arial"/>
          <w:szCs w:val="22"/>
        </w:rPr>
      </w:pPr>
      <w:r w:rsidRPr="00E8642C">
        <w:rPr>
          <w:rFonts w:cs="Arial"/>
          <w:szCs w:val="22"/>
        </w:rPr>
        <w:t>La classification internationale des brevets (CIB) est un “</w:t>
      </w:r>
      <w:r w:rsidRPr="00E8642C">
        <w:rPr>
          <w:rFonts w:cs="Arial"/>
          <w:iCs/>
          <w:szCs w:val="22"/>
        </w:rPr>
        <w:t>système hiérarchique dans lequel l</w:t>
      </w:r>
      <w:r w:rsidR="00D91476">
        <w:rPr>
          <w:rFonts w:cs="Arial"/>
          <w:iCs/>
          <w:szCs w:val="22"/>
        </w:rPr>
        <w:t>’</w:t>
      </w:r>
      <w:r w:rsidRPr="00E8642C">
        <w:rPr>
          <w:rFonts w:cs="Arial"/>
          <w:iCs/>
          <w:szCs w:val="22"/>
        </w:rPr>
        <w:t>ensemble de la technologie est subdivisé en une série de sections, classes, sous</w:t>
      </w:r>
      <w:r w:rsidR="00400337">
        <w:rPr>
          <w:rFonts w:cs="Arial"/>
          <w:iCs/>
          <w:szCs w:val="22"/>
        </w:rPr>
        <w:noBreakHyphen/>
      </w:r>
      <w:r w:rsidRPr="00E8642C">
        <w:rPr>
          <w:rFonts w:cs="Arial"/>
          <w:iCs/>
          <w:szCs w:val="22"/>
        </w:rPr>
        <w:t>classes et group</w:t>
      </w:r>
      <w:r w:rsidR="001F3AEE" w:rsidRPr="00E8642C">
        <w:rPr>
          <w:rFonts w:cs="Arial"/>
          <w:iCs/>
          <w:szCs w:val="22"/>
        </w:rPr>
        <w:t>es</w:t>
      </w:r>
      <w:r w:rsidR="001F3AEE">
        <w:rPr>
          <w:rFonts w:cs="Arial"/>
          <w:iCs/>
          <w:szCs w:val="22"/>
        </w:rPr>
        <w:t xml:space="preserve">.  </w:t>
      </w:r>
      <w:r w:rsidR="001F3AEE" w:rsidRPr="00E8642C">
        <w:rPr>
          <w:rFonts w:cs="Arial"/>
          <w:iCs/>
          <w:szCs w:val="22"/>
        </w:rPr>
        <w:t>La</w:t>
      </w:r>
      <w:r w:rsidRPr="00E8642C">
        <w:rPr>
          <w:rFonts w:cs="Arial"/>
          <w:iCs/>
          <w:szCs w:val="22"/>
        </w:rPr>
        <w:t xml:space="preserve"> classification est un instrument indépendant des langues indispensable pour retrouver les documents de brevet dans le cadre de la recherche sur </w:t>
      </w:r>
      <w:r w:rsidR="00D91476">
        <w:rPr>
          <w:rFonts w:cs="Arial"/>
          <w:iCs/>
          <w:szCs w:val="22"/>
        </w:rPr>
        <w:t>‘</w:t>
      </w:r>
      <w:r w:rsidRPr="00E8642C">
        <w:rPr>
          <w:rFonts w:cs="Arial"/>
          <w:iCs/>
          <w:szCs w:val="22"/>
        </w:rPr>
        <w:t>l</w:t>
      </w:r>
      <w:r w:rsidR="00D91476">
        <w:rPr>
          <w:rFonts w:cs="Arial"/>
          <w:iCs/>
          <w:szCs w:val="22"/>
        </w:rPr>
        <w:t>’</w:t>
      </w:r>
      <w:r w:rsidRPr="00E8642C">
        <w:rPr>
          <w:rFonts w:cs="Arial"/>
          <w:iCs/>
          <w:szCs w:val="22"/>
        </w:rPr>
        <w:t>état de la technique</w:t>
      </w:r>
      <w:r w:rsidR="00D91476">
        <w:rPr>
          <w:rFonts w:cs="Arial"/>
          <w:iCs/>
          <w:szCs w:val="22"/>
        </w:rPr>
        <w:t>’</w:t>
      </w:r>
      <w:r w:rsidRPr="00E8642C">
        <w:rPr>
          <w:rFonts w:cs="Arial"/>
          <w:szCs w:val="22"/>
        </w:rPr>
        <w:t>”</w:t>
      </w:r>
      <w:r w:rsidRPr="00E8642C">
        <w:rPr>
          <w:rStyle w:val="FootnoteReference"/>
          <w:rFonts w:cs="Arial"/>
          <w:szCs w:val="22"/>
        </w:rPr>
        <w:footnoteReference w:id="28"/>
      </w:r>
      <w:r w:rsidRPr="00E8642C">
        <w:rPr>
          <w:rFonts w:cs="Arial"/>
          <w:szCs w:val="22"/>
        </w:rPr>
        <w:t>.</w:t>
      </w:r>
    </w:p>
    <w:p w:rsidR="00D23D81" w:rsidRDefault="00DD607D" w:rsidP="00D23D81">
      <w:pPr>
        <w:spacing w:after="220"/>
        <w:rPr>
          <w:rFonts w:cs="Arial"/>
          <w:szCs w:val="22"/>
        </w:rPr>
      </w:pPr>
      <w:r w:rsidRPr="00E8642C">
        <w:rPr>
          <w:rFonts w:cs="Arial"/>
          <w:szCs w:val="22"/>
        </w:rPr>
        <w:t>La CIB a été établie par l</w:t>
      </w:r>
      <w:r w:rsidR="00D91476">
        <w:rPr>
          <w:rFonts w:cs="Arial"/>
          <w:szCs w:val="22"/>
        </w:rPr>
        <w:t>’</w:t>
      </w:r>
      <w:r w:rsidRPr="00E8642C">
        <w:rPr>
          <w:rFonts w:cs="Arial"/>
          <w:i/>
          <w:szCs w:val="22"/>
        </w:rPr>
        <w:t xml:space="preserve">Arrangement de Strasbourg concernant la classification internationale des brevets </w:t>
      </w:r>
      <w:r w:rsidRPr="00E8642C">
        <w:rPr>
          <w:rFonts w:cs="Arial"/>
          <w:szCs w:val="22"/>
        </w:rPr>
        <w:t>(1971).  Selon l</w:t>
      </w:r>
      <w:r w:rsidR="00D91476">
        <w:rPr>
          <w:rFonts w:cs="Arial"/>
          <w:szCs w:val="22"/>
        </w:rPr>
        <w:t>’</w:t>
      </w:r>
      <w:r w:rsidRPr="00E8642C">
        <w:rPr>
          <w:rFonts w:cs="Arial"/>
          <w:szCs w:val="22"/>
        </w:rPr>
        <w:t xml:space="preserve">article 2.1), </w:t>
      </w:r>
      <w:r w:rsidRPr="00E8642C">
        <w:rPr>
          <w:rFonts w:cs="Arial"/>
          <w:iCs/>
          <w:szCs w:val="22"/>
        </w:rPr>
        <w:t>“[l]a classification est constituée par</w:t>
      </w:r>
      <w:r w:rsidR="00D91476">
        <w:rPr>
          <w:rFonts w:cs="Arial"/>
          <w:iCs/>
          <w:szCs w:val="22"/>
        </w:rPr>
        <w:t> :</w:t>
      </w:r>
      <w:r w:rsidRPr="00E8642C">
        <w:rPr>
          <w:rFonts w:cs="Arial"/>
          <w:iCs/>
          <w:szCs w:val="22"/>
        </w:rPr>
        <w:t xml:space="preserve"> i) le texte qui a été établi conformément aux dispositions de la Convention européenne sur la classification internationale des brevets d</w:t>
      </w:r>
      <w:r w:rsidR="00D91476">
        <w:rPr>
          <w:rFonts w:cs="Arial"/>
          <w:iCs/>
          <w:szCs w:val="22"/>
        </w:rPr>
        <w:t>’</w:t>
      </w:r>
      <w:r w:rsidRPr="00E8642C">
        <w:rPr>
          <w:rFonts w:cs="Arial"/>
          <w:iCs/>
          <w:szCs w:val="22"/>
        </w:rPr>
        <w:t>invention, du 19 décembre 1954 (dénommée ci</w:t>
      </w:r>
      <w:r w:rsidR="00400337">
        <w:rPr>
          <w:rFonts w:cs="Arial"/>
          <w:iCs/>
          <w:szCs w:val="22"/>
        </w:rPr>
        <w:noBreakHyphen/>
      </w:r>
      <w:r w:rsidRPr="00E8642C">
        <w:rPr>
          <w:rFonts w:cs="Arial"/>
          <w:iCs/>
          <w:szCs w:val="22"/>
        </w:rPr>
        <w:t xml:space="preserve">après </w:t>
      </w:r>
      <w:r w:rsidR="00D91476">
        <w:rPr>
          <w:rFonts w:cs="Arial"/>
          <w:iCs/>
          <w:szCs w:val="22"/>
        </w:rPr>
        <w:t>‘</w:t>
      </w:r>
      <w:r w:rsidRPr="00E8642C">
        <w:rPr>
          <w:rFonts w:cs="Arial"/>
          <w:iCs/>
          <w:szCs w:val="22"/>
        </w:rPr>
        <w:t>Convention européenne</w:t>
      </w:r>
      <w:r w:rsidR="00D91476">
        <w:rPr>
          <w:rFonts w:cs="Arial"/>
          <w:iCs/>
          <w:szCs w:val="22"/>
        </w:rPr>
        <w:t>’</w:t>
      </w:r>
      <w:r w:rsidRPr="00E8642C">
        <w:rPr>
          <w:rFonts w:cs="Arial"/>
          <w:iCs/>
          <w:szCs w:val="22"/>
        </w:rPr>
        <w:t>), et qui est entré en vigueur et a été publié par le Secrétaire général du Conseil de l</w:t>
      </w:r>
      <w:r w:rsidR="00D91476">
        <w:rPr>
          <w:rFonts w:cs="Arial"/>
          <w:iCs/>
          <w:szCs w:val="22"/>
        </w:rPr>
        <w:t>’</w:t>
      </w:r>
      <w:r w:rsidRPr="00E8642C">
        <w:rPr>
          <w:rFonts w:cs="Arial"/>
          <w:iCs/>
          <w:szCs w:val="22"/>
        </w:rPr>
        <w:t>Europe le</w:t>
      </w:r>
      <w:r w:rsidR="00D91476">
        <w:rPr>
          <w:rFonts w:cs="Arial"/>
          <w:iCs/>
          <w:szCs w:val="22"/>
        </w:rPr>
        <w:t xml:space="preserve"> 1</w:t>
      </w:r>
      <w:r w:rsidR="00D91476" w:rsidRPr="00D91476">
        <w:rPr>
          <w:rFonts w:cs="Arial"/>
          <w:iCs/>
          <w:szCs w:val="22"/>
          <w:vertAlign w:val="superscript"/>
        </w:rPr>
        <w:t>er</w:t>
      </w:r>
      <w:r w:rsidR="00D91476">
        <w:rPr>
          <w:rFonts w:cs="Arial"/>
          <w:iCs/>
          <w:szCs w:val="22"/>
        </w:rPr>
        <w:t> </w:t>
      </w:r>
      <w:r w:rsidRPr="00E8642C">
        <w:rPr>
          <w:rFonts w:cs="Arial"/>
          <w:iCs/>
          <w:szCs w:val="22"/>
        </w:rPr>
        <w:t>septembre 1968;  ii) les modifications qui sont entrées en vigueur en vertu de l</w:t>
      </w:r>
      <w:r w:rsidR="00D91476">
        <w:rPr>
          <w:rFonts w:cs="Arial"/>
          <w:iCs/>
          <w:szCs w:val="22"/>
        </w:rPr>
        <w:t>’</w:t>
      </w:r>
      <w:r w:rsidRPr="00E8642C">
        <w:rPr>
          <w:rFonts w:cs="Arial"/>
          <w:iCs/>
          <w:szCs w:val="22"/>
        </w:rPr>
        <w:t>article 2.2) de la Convention européenne avant l</w:t>
      </w:r>
      <w:r w:rsidR="00D91476">
        <w:rPr>
          <w:rFonts w:cs="Arial"/>
          <w:iCs/>
          <w:szCs w:val="22"/>
        </w:rPr>
        <w:t>’</w:t>
      </w:r>
      <w:r w:rsidRPr="00E8642C">
        <w:rPr>
          <w:rFonts w:cs="Arial"/>
          <w:iCs/>
          <w:szCs w:val="22"/>
        </w:rPr>
        <w:t>entrée en vigueur du présent arrangement;  iii) les modifications apportées par la suite en vertu de l</w:t>
      </w:r>
      <w:r w:rsidR="00D91476">
        <w:rPr>
          <w:rFonts w:cs="Arial"/>
          <w:iCs/>
          <w:szCs w:val="22"/>
        </w:rPr>
        <w:t>’</w:t>
      </w:r>
      <w:r w:rsidRPr="00E8642C">
        <w:rPr>
          <w:rFonts w:cs="Arial"/>
          <w:iCs/>
          <w:szCs w:val="22"/>
        </w:rPr>
        <w:t>article 5 et qui entrent en vigueur conformément à l</w:t>
      </w:r>
      <w:r w:rsidR="00D91476">
        <w:rPr>
          <w:rFonts w:cs="Arial"/>
          <w:iCs/>
          <w:szCs w:val="22"/>
        </w:rPr>
        <w:t>’</w:t>
      </w:r>
      <w:r w:rsidRPr="00E8642C">
        <w:rPr>
          <w:rFonts w:cs="Arial"/>
          <w:iCs/>
          <w:szCs w:val="22"/>
        </w:rPr>
        <w:t>article 6”.</w:t>
      </w:r>
    </w:p>
    <w:p w:rsidR="00D23D81" w:rsidRDefault="00DD607D" w:rsidP="00D23D81">
      <w:pPr>
        <w:pStyle w:val="Heading2"/>
        <w:spacing w:after="220" w:line="240" w:lineRule="auto"/>
      </w:pPr>
      <w:bookmarkStart w:id="23" w:name="_Toc7772501"/>
      <w:r w:rsidRPr="00E8642C">
        <w:t>Communauté culturelle</w:t>
      </w:r>
      <w:bookmarkEnd w:id="23"/>
    </w:p>
    <w:p w:rsidR="00D23D81" w:rsidRDefault="00DD607D" w:rsidP="00D23D81">
      <w:pPr>
        <w:pStyle w:val="FootnoteText"/>
        <w:spacing w:after="220"/>
        <w:ind w:left="0" w:firstLine="0"/>
        <w:rPr>
          <w:rFonts w:cs="Arial"/>
          <w:szCs w:val="22"/>
        </w:rPr>
      </w:pPr>
      <w:r w:rsidRPr="00E8642C">
        <w:rPr>
          <w:rFonts w:cs="Arial"/>
          <w:szCs w:val="22"/>
        </w:rPr>
        <w:t>La communauté culturelle a été définie comme un groupe social fortement soudé dont les membres éprouvent un sentiment d</w:t>
      </w:r>
      <w:r w:rsidR="00D91476">
        <w:rPr>
          <w:rFonts w:cs="Arial"/>
          <w:szCs w:val="22"/>
        </w:rPr>
        <w:t>’</w:t>
      </w:r>
      <w:r w:rsidRPr="00E8642C">
        <w:rPr>
          <w:rFonts w:cs="Arial"/>
          <w:szCs w:val="22"/>
        </w:rPr>
        <w:t>unité et de solidarité, qui se distingue des autres communautés par sa propre culture ou sa propre conception culturelle ou par une variante de la culture générique</w:t>
      </w:r>
      <w:bookmarkStart w:id="24" w:name="_Ref289689074"/>
      <w:r w:rsidRPr="00E8642C">
        <w:rPr>
          <w:rStyle w:val="FootnoteReference"/>
          <w:rFonts w:cs="Arial"/>
          <w:szCs w:val="22"/>
        </w:rPr>
        <w:footnoteReference w:id="29"/>
      </w:r>
      <w:bookmarkEnd w:id="24"/>
      <w:r w:rsidRPr="00E8642C">
        <w:rPr>
          <w:rFonts w:cs="Arial"/>
          <w:szCs w:val="22"/>
        </w:rPr>
        <w:t>.</w:t>
      </w:r>
    </w:p>
    <w:p w:rsidR="00D23D81" w:rsidRDefault="00DD607D" w:rsidP="00D23D81">
      <w:pPr>
        <w:pStyle w:val="Heading2"/>
        <w:spacing w:after="220" w:line="240" w:lineRule="auto"/>
      </w:pPr>
      <w:bookmarkStart w:id="25" w:name="_Toc7772502"/>
      <w:r w:rsidRPr="00E8642C">
        <w:t>Communautés autochtones et locales</w:t>
      </w:r>
      <w:bookmarkEnd w:id="25"/>
    </w:p>
    <w:p w:rsidR="00D23D81"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expression “communautés autochtones et locales” a fait l</w:t>
      </w:r>
      <w:r w:rsidR="00D91476">
        <w:rPr>
          <w:rFonts w:cs="Arial"/>
          <w:szCs w:val="22"/>
        </w:rPr>
        <w:t>’</w:t>
      </w:r>
      <w:r w:rsidRPr="00E8642C">
        <w:rPr>
          <w:rFonts w:cs="Arial"/>
          <w:szCs w:val="22"/>
        </w:rPr>
        <w:t>objet d</w:t>
      </w:r>
      <w:r w:rsidR="00D91476">
        <w:rPr>
          <w:rFonts w:cs="Arial"/>
          <w:szCs w:val="22"/>
        </w:rPr>
        <w:t>’</w:t>
      </w:r>
      <w:r w:rsidRPr="00E8642C">
        <w:rPr>
          <w:rFonts w:cs="Arial"/>
          <w:szCs w:val="22"/>
        </w:rPr>
        <w:t>un nombre considérable de discussions et d</w:t>
      </w:r>
      <w:r w:rsidR="00D91476">
        <w:rPr>
          <w:rFonts w:cs="Arial"/>
          <w:szCs w:val="22"/>
        </w:rPr>
        <w:t>’</w:t>
      </w:r>
      <w:r w:rsidRPr="00E8642C">
        <w:rPr>
          <w:rFonts w:cs="Arial"/>
          <w:szCs w:val="22"/>
        </w:rPr>
        <w:t>études et il n</w:t>
      </w:r>
      <w:r w:rsidR="00D91476">
        <w:rPr>
          <w:rFonts w:cs="Arial"/>
          <w:szCs w:val="22"/>
        </w:rPr>
        <w:t>’</w:t>
      </w:r>
      <w:r w:rsidRPr="00E8642C">
        <w:rPr>
          <w:rFonts w:cs="Arial"/>
          <w:szCs w:val="22"/>
        </w:rPr>
        <w:t>existe pour l</w:t>
      </w:r>
      <w:r w:rsidR="00D91476">
        <w:rPr>
          <w:rFonts w:cs="Arial"/>
          <w:szCs w:val="22"/>
        </w:rPr>
        <w:t>’</w:t>
      </w:r>
      <w:r w:rsidRPr="00E8642C">
        <w:rPr>
          <w:rFonts w:cs="Arial"/>
          <w:szCs w:val="22"/>
        </w:rPr>
        <w:t>heure aucune définition universelle standard pour celle</w:t>
      </w:r>
      <w:r w:rsidR="00400337">
        <w:rPr>
          <w:rFonts w:cs="Arial"/>
          <w:szCs w:val="22"/>
        </w:rPr>
        <w:noBreakHyphen/>
      </w:r>
      <w:r w:rsidR="001F3AEE" w:rsidRPr="00E8642C">
        <w:rPr>
          <w:rFonts w:cs="Arial"/>
          <w:szCs w:val="22"/>
        </w:rPr>
        <w:t>ci</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e</w:t>
      </w:r>
      <w:r w:rsidRPr="00E8642C">
        <w:rPr>
          <w:rFonts w:cs="Arial"/>
          <w:szCs w:val="22"/>
        </w:rPr>
        <w:t xml:space="preserve">xpression “communautés autochtones et locales” est utilisée dans la </w:t>
      </w:r>
      <w:r w:rsidRPr="00E8642C">
        <w:rPr>
          <w:rFonts w:cs="Arial"/>
          <w:i/>
          <w:szCs w:val="22"/>
        </w:rPr>
        <w:t>Convention sur la diversité biologique</w:t>
      </w:r>
      <w:r w:rsidRPr="00E8642C">
        <w:rPr>
          <w:rFonts w:cs="Arial"/>
          <w:iCs/>
          <w:szCs w:val="22"/>
        </w:rPr>
        <w:t xml:space="preserve"> (1992)</w:t>
      </w:r>
      <w:r w:rsidRPr="00E8642C">
        <w:rPr>
          <w:rFonts w:cs="Arial"/>
          <w:szCs w:val="22"/>
        </w:rPr>
        <w:t>.  Par exemple, l</w:t>
      </w:r>
      <w:r w:rsidR="00D91476">
        <w:rPr>
          <w:rFonts w:cs="Arial"/>
          <w:szCs w:val="22"/>
        </w:rPr>
        <w:t>’</w:t>
      </w:r>
      <w:r w:rsidRPr="00E8642C">
        <w:rPr>
          <w:rFonts w:cs="Arial"/>
          <w:szCs w:val="22"/>
        </w:rPr>
        <w:t>article 8.j) indique que “[c]</w:t>
      </w:r>
      <w:proofErr w:type="spellStart"/>
      <w:r w:rsidRPr="00E8642C">
        <w:rPr>
          <w:rFonts w:cs="Arial"/>
          <w:szCs w:val="22"/>
        </w:rPr>
        <w:t>haque</w:t>
      </w:r>
      <w:proofErr w:type="spellEnd"/>
      <w:r w:rsidRPr="00E8642C">
        <w:rPr>
          <w:rFonts w:cs="Arial"/>
          <w:szCs w:val="22"/>
        </w:rPr>
        <w:t xml:space="preserve"> Partie contractante, dans la mesure du possible et selon qu</w:t>
      </w:r>
      <w:r w:rsidR="00D91476">
        <w:rPr>
          <w:rFonts w:cs="Arial"/>
          <w:szCs w:val="22"/>
        </w:rPr>
        <w:t>’</w:t>
      </w:r>
      <w:r w:rsidRPr="00E8642C">
        <w:rPr>
          <w:rFonts w:cs="Arial"/>
          <w:szCs w:val="22"/>
        </w:rPr>
        <w:t>il conviendra</w:t>
      </w:r>
      <w:r w:rsidR="00D91476">
        <w:rPr>
          <w:rFonts w:cs="Arial"/>
          <w:szCs w:val="22"/>
        </w:rPr>
        <w:t> :</w:t>
      </w:r>
      <w:r w:rsidRPr="00E8642C">
        <w:rPr>
          <w:rFonts w:cs="Arial"/>
          <w:szCs w:val="22"/>
        </w:rPr>
        <w:t xml:space="preserve"> j) Sous réserve des dispositions de sa législation nationale, respecte, préserve et maintient les connaissances, innovations et pratiques des communautés autochtones et locales qui incarnent des modes de vie traditionnels présentant un intérêt pour la conservation et l</w:t>
      </w:r>
      <w:r w:rsidR="00D91476">
        <w:rPr>
          <w:rFonts w:cs="Arial"/>
          <w:szCs w:val="22"/>
        </w:rPr>
        <w:t>’</w:t>
      </w:r>
      <w:r w:rsidRPr="00E8642C">
        <w:rPr>
          <w:rFonts w:cs="Arial"/>
          <w:szCs w:val="22"/>
        </w:rPr>
        <w:t>utilisation durable de la diversité biologique et en favorise l</w:t>
      </w:r>
      <w:r w:rsidR="00D91476">
        <w:rPr>
          <w:rFonts w:cs="Arial"/>
          <w:szCs w:val="22"/>
        </w:rPr>
        <w:t>’</w:t>
      </w:r>
      <w:r w:rsidRPr="00E8642C">
        <w:rPr>
          <w:rFonts w:cs="Arial"/>
          <w:szCs w:val="22"/>
        </w:rPr>
        <w:t>application sur une plus grande échelle, avec l</w:t>
      </w:r>
      <w:r w:rsidR="00D91476">
        <w:rPr>
          <w:rFonts w:cs="Arial"/>
          <w:szCs w:val="22"/>
        </w:rPr>
        <w:t>’</w:t>
      </w:r>
      <w:r w:rsidRPr="00E8642C">
        <w:rPr>
          <w:rFonts w:cs="Arial"/>
          <w:szCs w:val="22"/>
        </w:rPr>
        <w:t xml:space="preserve">accord et la participation des dépositaires de ces connaissances, innovations et pratiques;  </w:t>
      </w:r>
      <w:r w:rsidRPr="00E8642C">
        <w:rPr>
          <w:rFonts w:cs="Arial"/>
          <w:i/>
          <w:iCs/>
          <w:szCs w:val="22"/>
        </w:rPr>
        <w:t>…</w:t>
      </w:r>
      <w:r w:rsidRPr="001F3AEE">
        <w:rPr>
          <w:i/>
        </w:rPr>
        <w:t xml:space="preserve">”  </w:t>
      </w:r>
      <w:r w:rsidRPr="00E8642C">
        <w:rPr>
          <w:rFonts w:cs="Arial"/>
          <w:szCs w:val="22"/>
        </w:rPr>
        <w:t>La même expression est utilisée dans le </w:t>
      </w:r>
      <w:r w:rsidRPr="00E8642C">
        <w:rPr>
          <w:rFonts w:cs="Arial"/>
          <w:i/>
          <w:szCs w:val="22"/>
        </w:rPr>
        <w:t>Protocole de Nagoya sur l</w:t>
      </w:r>
      <w:r w:rsidR="00D91476">
        <w:rPr>
          <w:rFonts w:cs="Arial"/>
          <w:i/>
          <w:szCs w:val="22"/>
        </w:rPr>
        <w:t>’</w:t>
      </w:r>
      <w:r w:rsidRPr="00E8642C">
        <w:rPr>
          <w:rFonts w:cs="Arial"/>
          <w:i/>
          <w:szCs w:val="22"/>
        </w:rPr>
        <w:t xml:space="preserve">accès aux ressources génétiques et le partage juste et équitable des avantages résultant de </w:t>
      </w:r>
      <w:proofErr w:type="gramStart"/>
      <w:r w:rsidRPr="00E8642C">
        <w:rPr>
          <w:rFonts w:cs="Arial"/>
          <w:i/>
          <w:szCs w:val="22"/>
        </w:rPr>
        <w:t>leur utilisation relatif</w:t>
      </w:r>
      <w:proofErr w:type="gramEnd"/>
      <w:r w:rsidRPr="00E8642C">
        <w:rPr>
          <w:rFonts w:cs="Arial"/>
          <w:i/>
          <w:szCs w:val="22"/>
        </w:rPr>
        <w:t xml:space="preserve"> à la Convention sur la diversité biologique</w:t>
      </w:r>
      <w:r w:rsidRPr="00E8642C">
        <w:rPr>
          <w:rFonts w:cs="Arial"/>
          <w:szCs w:val="22"/>
        </w:rPr>
        <w:t xml:space="preserve"> (2010).</w:t>
      </w:r>
    </w:p>
    <w:p w:rsidR="00D23D81" w:rsidRDefault="00DD607D" w:rsidP="00D23D81">
      <w:pPr>
        <w:spacing w:after="220"/>
        <w:rPr>
          <w:rFonts w:cs="Arial"/>
          <w:szCs w:val="22"/>
        </w:rPr>
      </w:pPr>
      <w:r w:rsidRPr="00E8642C">
        <w:rPr>
          <w:rFonts w:cs="Arial"/>
          <w:szCs w:val="22"/>
        </w:rPr>
        <w:t xml:space="preserve">La </w:t>
      </w:r>
      <w:r w:rsidRPr="00E8642C">
        <w:rPr>
          <w:rFonts w:cs="Arial"/>
          <w:i/>
          <w:szCs w:val="22"/>
        </w:rPr>
        <w:t>Convention sur la diversité biologique</w:t>
      </w:r>
      <w:r w:rsidRPr="00E8642C">
        <w:rPr>
          <w:rFonts w:cs="Arial"/>
          <w:szCs w:val="22"/>
        </w:rPr>
        <w:t xml:space="preserve"> (1992) utilise l</w:t>
      </w:r>
      <w:r w:rsidR="00D91476">
        <w:rPr>
          <w:rFonts w:cs="Arial"/>
          <w:szCs w:val="22"/>
        </w:rPr>
        <w:t>’</w:t>
      </w:r>
      <w:r w:rsidRPr="00E8642C">
        <w:rPr>
          <w:rFonts w:cs="Arial"/>
          <w:szCs w:val="22"/>
        </w:rPr>
        <w:t>expression “communautés autochtones et locales” eu égard aux communautés ayant un lien ancestral avec les terres et les eaux sur lesquelles elles ont traditionnellement vécu ou qu</w:t>
      </w:r>
      <w:r w:rsidR="00D91476">
        <w:rPr>
          <w:rFonts w:cs="Arial"/>
          <w:szCs w:val="22"/>
        </w:rPr>
        <w:t>’</w:t>
      </w:r>
      <w:r w:rsidRPr="00E8642C">
        <w:rPr>
          <w:rFonts w:cs="Arial"/>
          <w:szCs w:val="22"/>
        </w:rPr>
        <w:t>elles ont traditionnellement utilisées</w:t>
      </w:r>
      <w:r w:rsidRPr="00E8642C">
        <w:rPr>
          <w:rStyle w:val="FootnoteReference"/>
          <w:rFonts w:cs="Arial"/>
          <w:szCs w:val="22"/>
        </w:rPr>
        <w:footnoteReference w:id="30"/>
      </w:r>
      <w:r w:rsidRPr="00E8642C">
        <w:rPr>
          <w:rFonts w:cs="Arial"/>
          <w:szCs w:val="22"/>
        </w:rPr>
        <w:t>.  Une “communauté locale” peut être définie comme “la population humaine d</w:t>
      </w:r>
      <w:r w:rsidR="00D91476">
        <w:rPr>
          <w:rFonts w:cs="Arial"/>
          <w:szCs w:val="22"/>
        </w:rPr>
        <w:t>’</w:t>
      </w:r>
      <w:r w:rsidRPr="00E8642C">
        <w:rPr>
          <w:rFonts w:cs="Arial"/>
          <w:szCs w:val="22"/>
        </w:rPr>
        <w:t>une zone écologique distincte qui dépend directement de sa biodiversité et de ses produits et services de l</w:t>
      </w:r>
      <w:r w:rsidR="00D91476">
        <w:rPr>
          <w:rFonts w:cs="Arial"/>
          <w:szCs w:val="22"/>
        </w:rPr>
        <w:t>’</w:t>
      </w:r>
      <w:r w:rsidRPr="00E8642C">
        <w:rPr>
          <w:rFonts w:cs="Arial"/>
          <w:szCs w:val="22"/>
        </w:rPr>
        <w:t>écosystème pour l</w:t>
      </w:r>
      <w:r w:rsidR="00D91476">
        <w:rPr>
          <w:rFonts w:cs="Arial"/>
          <w:szCs w:val="22"/>
        </w:rPr>
        <w:t>’</w:t>
      </w:r>
      <w:r w:rsidRPr="00E8642C">
        <w:rPr>
          <w:rFonts w:cs="Arial"/>
          <w:szCs w:val="22"/>
        </w:rPr>
        <w:t>intégralité ou une partie de ses moyens de subsistance et qui a mis au point ou acquis des savoirs traditionnels à la suite de cette dépendance, dont des agriculteurs, des pêcheurs, des pasteurs, des habitants des forêts et d</w:t>
      </w:r>
      <w:r w:rsidR="00D91476">
        <w:rPr>
          <w:rFonts w:cs="Arial"/>
          <w:szCs w:val="22"/>
        </w:rPr>
        <w:t>’</w:t>
      </w:r>
      <w:r w:rsidRPr="00E8642C">
        <w:rPr>
          <w:rFonts w:cs="Arial"/>
          <w:szCs w:val="22"/>
        </w:rPr>
        <w:t>autres”</w:t>
      </w:r>
      <w:r w:rsidRPr="00E8642C">
        <w:rPr>
          <w:rStyle w:val="FootnoteReference"/>
          <w:rFonts w:cs="Arial"/>
          <w:szCs w:val="22"/>
        </w:rPr>
        <w:footnoteReference w:id="31"/>
      </w:r>
      <w:r w:rsidRPr="00E8642C">
        <w:rPr>
          <w:rFonts w:cs="Arial"/>
          <w:szCs w:val="22"/>
        </w:rPr>
        <w:t>.</w:t>
      </w:r>
    </w:p>
    <w:p w:rsidR="00D23D81" w:rsidRDefault="00DD607D" w:rsidP="00D23D81">
      <w:pPr>
        <w:spacing w:after="220"/>
        <w:rPr>
          <w:rFonts w:cs="Arial"/>
          <w:szCs w:val="22"/>
        </w:rPr>
      </w:pPr>
      <w:r w:rsidRPr="00E8642C">
        <w:rPr>
          <w:rFonts w:cs="Arial"/>
          <w:szCs w:val="22"/>
        </w:rPr>
        <w:t xml:space="preserve">Cette expression est également utilisée dans le </w:t>
      </w:r>
      <w:r w:rsidRPr="00E8642C">
        <w:rPr>
          <w:rFonts w:cs="Arial"/>
          <w:i/>
          <w:szCs w:val="22"/>
        </w:rPr>
        <w:t xml:space="preserve">Traité international sur les ressources </w:t>
      </w:r>
      <w:proofErr w:type="spellStart"/>
      <w:r w:rsidRPr="00E8642C">
        <w:rPr>
          <w:rFonts w:cs="Arial"/>
          <w:i/>
          <w:szCs w:val="22"/>
        </w:rPr>
        <w:t>phytogénétiques</w:t>
      </w:r>
      <w:proofErr w:type="spellEnd"/>
      <w:r w:rsidRPr="00E8642C">
        <w:rPr>
          <w:rFonts w:cs="Arial"/>
          <w:i/>
          <w:szCs w:val="22"/>
        </w:rPr>
        <w:t xml:space="preserve"> pour l</w:t>
      </w:r>
      <w:r w:rsidR="00D91476">
        <w:rPr>
          <w:rFonts w:cs="Arial"/>
          <w:i/>
          <w:szCs w:val="22"/>
        </w:rPr>
        <w:t>’</w:t>
      </w:r>
      <w:r w:rsidRPr="00E8642C">
        <w:rPr>
          <w:rFonts w:cs="Arial"/>
          <w:i/>
          <w:szCs w:val="22"/>
        </w:rPr>
        <w:t>alimentation et l</w:t>
      </w:r>
      <w:r w:rsidR="00D91476">
        <w:rPr>
          <w:rFonts w:cs="Arial"/>
          <w:i/>
          <w:szCs w:val="22"/>
        </w:rPr>
        <w:t>’</w:t>
      </w:r>
      <w:r w:rsidRPr="00E8642C">
        <w:rPr>
          <w:rFonts w:cs="Arial"/>
          <w:i/>
          <w:szCs w:val="22"/>
        </w:rPr>
        <w:t>agriculture</w:t>
      </w:r>
      <w:r w:rsidRPr="00E8642C">
        <w:rPr>
          <w:rFonts w:cs="Arial"/>
          <w:szCs w:val="22"/>
        </w:rPr>
        <w:t xml:space="preserve">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 (FAO).  L</w:t>
      </w:r>
      <w:r w:rsidR="00D91476">
        <w:rPr>
          <w:rFonts w:cs="Arial"/>
          <w:szCs w:val="22"/>
        </w:rPr>
        <w:t>’</w:t>
      </w:r>
      <w:r w:rsidRPr="00E8642C">
        <w:rPr>
          <w:rFonts w:cs="Arial"/>
          <w:szCs w:val="22"/>
        </w:rPr>
        <w:t>article 5.1) indique que “[c]</w:t>
      </w:r>
      <w:proofErr w:type="spellStart"/>
      <w:r w:rsidRPr="00E8642C">
        <w:rPr>
          <w:rFonts w:cs="Arial"/>
          <w:szCs w:val="22"/>
        </w:rPr>
        <w:t>haque</w:t>
      </w:r>
      <w:proofErr w:type="spellEnd"/>
      <w:r w:rsidRPr="00E8642C">
        <w:rPr>
          <w:rFonts w:cs="Arial"/>
          <w:szCs w:val="22"/>
        </w:rPr>
        <w:t xml:space="preserve"> Partie contractante… s</w:t>
      </w:r>
      <w:r w:rsidR="00D91476">
        <w:rPr>
          <w:rFonts w:cs="Arial"/>
          <w:szCs w:val="22"/>
        </w:rPr>
        <w:t>’</w:t>
      </w:r>
      <w:r w:rsidRPr="00E8642C">
        <w:rPr>
          <w:rFonts w:cs="Arial"/>
          <w:szCs w:val="22"/>
        </w:rPr>
        <w:t>emploie en particulier, selon qu</w:t>
      </w:r>
      <w:r w:rsidR="00D91476">
        <w:rPr>
          <w:rFonts w:cs="Arial"/>
          <w:szCs w:val="22"/>
        </w:rPr>
        <w:t>’</w:t>
      </w:r>
      <w:r w:rsidRPr="00E8642C">
        <w:rPr>
          <w:rFonts w:cs="Arial"/>
          <w:szCs w:val="22"/>
        </w:rPr>
        <w:t>il convient, à</w:t>
      </w:r>
      <w:r w:rsidR="00D91476">
        <w:rPr>
          <w:rFonts w:cs="Arial"/>
          <w:szCs w:val="22"/>
        </w:rPr>
        <w:t> :</w:t>
      </w:r>
      <w:r w:rsidRPr="00E8642C">
        <w:rPr>
          <w:rFonts w:cs="Arial"/>
          <w:szCs w:val="22"/>
        </w:rPr>
        <w:t xml:space="preserve"> … d) Promouvoir la conservation </w:t>
      </w:r>
      <w:r w:rsidRPr="00E8642C">
        <w:rPr>
          <w:rFonts w:cs="Arial"/>
          <w:i/>
          <w:szCs w:val="22"/>
        </w:rPr>
        <w:t>in situ</w:t>
      </w:r>
      <w:r w:rsidRPr="00E8642C">
        <w:rPr>
          <w:rFonts w:cs="Arial"/>
          <w:szCs w:val="22"/>
        </w:rPr>
        <w:t xml:space="preserve"> des espèces sauvages apparentées à des plantes cultivées et des espèces sauvages pour la production alimentaire, </w:t>
      </w:r>
      <w:r w:rsidR="00D91476">
        <w:rPr>
          <w:rFonts w:cs="Arial"/>
          <w:szCs w:val="22"/>
        </w:rPr>
        <w:t>y compris</w:t>
      </w:r>
      <w:r w:rsidRPr="00E8642C">
        <w:rPr>
          <w:rFonts w:cs="Arial"/>
          <w:szCs w:val="22"/>
        </w:rPr>
        <w:t xml:space="preserve"> dans les zones protégées, en appuyant, notamment, les efforts des communautés locales et autochtones …”.  L</w:t>
      </w:r>
      <w:r w:rsidR="00D91476">
        <w:rPr>
          <w:rFonts w:cs="Arial"/>
          <w:szCs w:val="22"/>
        </w:rPr>
        <w:t>’</w:t>
      </w:r>
      <w:r w:rsidRPr="00E8642C">
        <w:rPr>
          <w:rFonts w:cs="Arial"/>
          <w:szCs w:val="22"/>
        </w:rPr>
        <w:t>expression “communautés locales et autochtones” est utilisée à l</w:t>
      </w:r>
      <w:r w:rsidR="00D91476">
        <w:rPr>
          <w:rFonts w:cs="Arial"/>
          <w:szCs w:val="22"/>
        </w:rPr>
        <w:t>’</w:t>
      </w:r>
      <w:r w:rsidRPr="00E8642C">
        <w:rPr>
          <w:rFonts w:cs="Arial"/>
          <w:szCs w:val="22"/>
        </w:rPr>
        <w:t>article 9.1</w:t>
      </w:r>
      <w:r w:rsidR="00D91476">
        <w:rPr>
          <w:rFonts w:cs="Arial"/>
          <w:szCs w:val="22"/>
        </w:rPr>
        <w:t> :</w:t>
      </w:r>
      <w:r w:rsidRPr="00E8642C">
        <w:rPr>
          <w:rFonts w:cs="Arial"/>
          <w:szCs w:val="22"/>
        </w:rPr>
        <w:t xml:space="preserve"> “[l]es Parties contractantes reconnaissent l</w:t>
      </w:r>
      <w:r w:rsidR="00D91476">
        <w:rPr>
          <w:rFonts w:cs="Arial"/>
          <w:szCs w:val="22"/>
        </w:rPr>
        <w:t>’</w:t>
      </w:r>
      <w:r w:rsidRPr="00E8642C">
        <w:rPr>
          <w:rFonts w:cs="Arial"/>
          <w:szCs w:val="22"/>
        </w:rPr>
        <w:t>énorme contribution que les communautés locales et autochtones, ainsi que les agriculteurs de toutes les régions du monde …”.  L</w:t>
      </w:r>
      <w:r w:rsidR="00D91476">
        <w:rPr>
          <w:rFonts w:cs="Arial"/>
          <w:szCs w:val="22"/>
        </w:rPr>
        <w:t>’</w:t>
      </w:r>
      <w:r w:rsidRPr="00E8642C">
        <w:rPr>
          <w:rFonts w:cs="Arial"/>
          <w:szCs w:val="22"/>
        </w:rPr>
        <w:t>expression “communautés locales” est utilisée à l</w:t>
      </w:r>
      <w:r w:rsidR="00D91476">
        <w:rPr>
          <w:rFonts w:cs="Arial"/>
          <w:szCs w:val="22"/>
        </w:rPr>
        <w:t>’</w:t>
      </w:r>
      <w:r w:rsidRPr="00E8642C">
        <w:rPr>
          <w:rFonts w:cs="Arial"/>
          <w:szCs w:val="22"/>
        </w:rPr>
        <w:t>article 5.1</w:t>
      </w:r>
      <w:r w:rsidR="00D91476">
        <w:rPr>
          <w:rFonts w:cs="Arial"/>
          <w:szCs w:val="22"/>
        </w:rPr>
        <w:t> :</w:t>
      </w:r>
      <w:r w:rsidRPr="00E8642C">
        <w:rPr>
          <w:rFonts w:cs="Arial"/>
          <w:szCs w:val="22"/>
        </w:rPr>
        <w:t xml:space="preserve"> “[c]</w:t>
      </w:r>
      <w:proofErr w:type="spellStart"/>
      <w:r w:rsidRPr="00E8642C">
        <w:rPr>
          <w:rFonts w:cs="Arial"/>
          <w:szCs w:val="22"/>
        </w:rPr>
        <w:t>haque</w:t>
      </w:r>
      <w:proofErr w:type="spellEnd"/>
      <w:r w:rsidRPr="00E8642C">
        <w:rPr>
          <w:rFonts w:cs="Arial"/>
          <w:szCs w:val="22"/>
        </w:rPr>
        <w:t xml:space="preserve"> Partie contractante … s</w:t>
      </w:r>
      <w:r w:rsidR="00D91476">
        <w:rPr>
          <w:rFonts w:cs="Arial"/>
          <w:szCs w:val="22"/>
        </w:rPr>
        <w:t>’</w:t>
      </w:r>
      <w:r w:rsidRPr="00E8642C">
        <w:rPr>
          <w:rFonts w:cs="Arial"/>
          <w:szCs w:val="22"/>
        </w:rPr>
        <w:t>emploie en particulier, selon qu</w:t>
      </w:r>
      <w:r w:rsidR="00D91476">
        <w:rPr>
          <w:rFonts w:cs="Arial"/>
          <w:szCs w:val="22"/>
        </w:rPr>
        <w:t>’</w:t>
      </w:r>
      <w:r w:rsidRPr="00E8642C">
        <w:rPr>
          <w:rFonts w:cs="Arial"/>
          <w:szCs w:val="22"/>
        </w:rPr>
        <w:t>il convient, à</w:t>
      </w:r>
      <w:r w:rsidR="00D91476">
        <w:rPr>
          <w:rFonts w:cs="Arial"/>
          <w:szCs w:val="22"/>
        </w:rPr>
        <w:t> :</w:t>
      </w:r>
      <w:r w:rsidRPr="00E8642C">
        <w:rPr>
          <w:rFonts w:cs="Arial"/>
          <w:szCs w:val="22"/>
        </w:rPr>
        <w:t> … c) [e]</w:t>
      </w:r>
      <w:proofErr w:type="spellStart"/>
      <w:r w:rsidRPr="00E8642C">
        <w:rPr>
          <w:rFonts w:cs="Arial"/>
          <w:szCs w:val="22"/>
        </w:rPr>
        <w:t>ncourager</w:t>
      </w:r>
      <w:proofErr w:type="spellEnd"/>
      <w:r w:rsidRPr="00E8642C">
        <w:rPr>
          <w:rFonts w:cs="Arial"/>
          <w:szCs w:val="22"/>
        </w:rPr>
        <w:t xml:space="preserve"> ou soutenir, selon qu</w:t>
      </w:r>
      <w:r w:rsidR="00D91476">
        <w:rPr>
          <w:rFonts w:cs="Arial"/>
          <w:szCs w:val="22"/>
        </w:rPr>
        <w:t>’</w:t>
      </w:r>
      <w:r w:rsidRPr="00E8642C">
        <w:rPr>
          <w:rFonts w:cs="Arial"/>
          <w:szCs w:val="22"/>
        </w:rPr>
        <w:t xml:space="preserve">il convient, les efforts des agriculteurs et des communautés locales pour gérer et conserver à la ferme leurs ressources </w:t>
      </w:r>
      <w:proofErr w:type="spellStart"/>
      <w:r w:rsidRPr="00E8642C">
        <w:rPr>
          <w:rFonts w:cs="Arial"/>
          <w:szCs w:val="22"/>
        </w:rPr>
        <w:t>phytogénétiques</w:t>
      </w:r>
      <w:proofErr w:type="spellEnd"/>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w:t>
      </w:r>
      <w:r w:rsidRPr="00E8642C">
        <w:rPr>
          <w:rFonts w:cs="Arial"/>
          <w:iCs/>
          <w:szCs w:val="22"/>
        </w:rPr>
        <w:t xml:space="preserve"> …</w:t>
      </w:r>
      <w:r w:rsidRPr="00E8642C">
        <w:rPr>
          <w:rFonts w:cs="Arial"/>
          <w:szCs w:val="22"/>
        </w:rPr>
        <w:t>”.</w:t>
      </w:r>
    </w:p>
    <w:p w:rsidR="00D23D81" w:rsidRDefault="00DD607D" w:rsidP="00D23D81">
      <w:pPr>
        <w:spacing w:after="220"/>
        <w:rPr>
          <w:rFonts w:cs="Arial"/>
          <w:szCs w:val="22"/>
        </w:rPr>
      </w:pPr>
      <w:r w:rsidRPr="00E8642C">
        <w:rPr>
          <w:rFonts w:cs="Arial"/>
          <w:szCs w:val="22"/>
        </w:rPr>
        <w:t>D</w:t>
      </w:r>
      <w:r w:rsidR="00D91476">
        <w:rPr>
          <w:rFonts w:cs="Arial"/>
          <w:szCs w:val="22"/>
        </w:rPr>
        <w:t>’</w:t>
      </w:r>
      <w:r w:rsidRPr="00E8642C">
        <w:rPr>
          <w:rFonts w:cs="Arial"/>
          <w:szCs w:val="22"/>
        </w:rPr>
        <w:t>autres instruments juridiques utilisent des expressions différentes</w:t>
      </w:r>
      <w:r w:rsidR="00D91476">
        <w:rPr>
          <w:rFonts w:cs="Arial"/>
          <w:szCs w:val="22"/>
        </w:rPr>
        <w:t> :</w:t>
      </w:r>
      <w:r w:rsidRPr="00E8642C">
        <w:rPr>
          <w:rFonts w:cs="Arial"/>
          <w:szCs w:val="22"/>
        </w:rPr>
        <w:t xml:space="preserve"> l</w:t>
      </w:r>
      <w:r w:rsidR="00D91476">
        <w:rPr>
          <w:rFonts w:cs="Arial"/>
          <w:szCs w:val="22"/>
        </w:rPr>
        <w:t>’</w:t>
      </w:r>
      <w:r w:rsidRPr="00E8642C">
        <w:rPr>
          <w:rFonts w:cs="Arial"/>
          <w:szCs w:val="22"/>
        </w:rPr>
        <w:t xml:space="preserve">expression “communauté locale ou autochtone” est utilisée dans le </w:t>
      </w:r>
      <w:r w:rsidRPr="00E8642C">
        <w:rPr>
          <w:rFonts w:cs="Arial"/>
          <w:i/>
          <w:szCs w:val="22"/>
        </w:rPr>
        <w:t>Protocole de Swakopmund relatif à la protection des savoirs traditionnels et des expressions du folklore</w:t>
      </w:r>
      <w:r w:rsidRPr="00E8642C">
        <w:rPr>
          <w:rFonts w:cs="Arial"/>
          <w:szCs w:val="22"/>
        </w:rPr>
        <w:t xml:space="preserve"> (2010) de l</w:t>
      </w:r>
      <w:r w:rsidR="00D91476">
        <w:rPr>
          <w:rFonts w:cs="Arial"/>
          <w:szCs w:val="22"/>
        </w:rPr>
        <w:t>’</w:t>
      </w:r>
      <w:r w:rsidRPr="00E8642C">
        <w:rPr>
          <w:rFonts w:cs="Arial"/>
          <w:szCs w:val="22"/>
        </w:rPr>
        <w:t>Organisation régionale africaine de la propriété intellectuelle (ARIPO).  L</w:t>
      </w:r>
      <w:r w:rsidR="00D91476">
        <w:rPr>
          <w:rFonts w:cs="Arial"/>
          <w:szCs w:val="22"/>
        </w:rPr>
        <w:t>’</w:t>
      </w:r>
      <w:r w:rsidRPr="00E8642C">
        <w:rPr>
          <w:rFonts w:cs="Arial"/>
          <w:szCs w:val="22"/>
        </w:rPr>
        <w:t>article 2.1) indique que “</w:t>
      </w:r>
      <w:r w:rsidRPr="00E8642C">
        <w:rPr>
          <w:rFonts w:cs="Arial"/>
          <w:iCs/>
          <w:szCs w:val="22"/>
        </w:rPr>
        <w:t xml:space="preserve">le terme </w:t>
      </w:r>
      <w:r w:rsidR="00D91476">
        <w:rPr>
          <w:rFonts w:cs="Arial"/>
          <w:iCs/>
          <w:szCs w:val="22"/>
        </w:rPr>
        <w:t>‘</w:t>
      </w:r>
      <w:r w:rsidRPr="00E8642C">
        <w:rPr>
          <w:rFonts w:cs="Arial"/>
          <w:iCs/>
          <w:szCs w:val="22"/>
        </w:rPr>
        <w:t>communauté</w:t>
      </w:r>
      <w:r w:rsidR="00D91476">
        <w:rPr>
          <w:rFonts w:cs="Arial"/>
          <w:iCs/>
          <w:szCs w:val="22"/>
        </w:rPr>
        <w:t>’</w:t>
      </w:r>
      <w:r w:rsidRPr="00E8642C">
        <w:rPr>
          <w:rFonts w:cs="Arial"/>
          <w:iCs/>
          <w:szCs w:val="22"/>
        </w:rPr>
        <w:t>, lorsque le contexte le permet, renvoie à une communauté locale ou autochtone</w:t>
      </w:r>
      <w:r w:rsidRPr="00E8642C">
        <w:rPr>
          <w:rFonts w:cs="Arial"/>
          <w:szCs w:val="22"/>
        </w:rPr>
        <w:t>”.</w:t>
      </w:r>
    </w:p>
    <w:p w:rsidR="00D23D81"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D91476">
        <w:rPr>
          <w:rFonts w:cs="Arial"/>
          <w:i/>
          <w:szCs w:val="22"/>
        </w:rPr>
        <w:t>’</w:t>
      </w:r>
      <w:r w:rsidRPr="00E8642C">
        <w:rPr>
          <w:rFonts w:cs="Arial"/>
          <w:i/>
          <w:szCs w:val="22"/>
        </w:rPr>
        <w:t>accès aux ressources génétiques de la Communauté andine</w:t>
      </w:r>
      <w:r w:rsidRPr="00E8642C">
        <w:rPr>
          <w:rFonts w:cs="Arial"/>
          <w:szCs w:val="22"/>
        </w:rPr>
        <w:t xml:space="preserve"> (1996) définit l</w:t>
      </w:r>
      <w:r w:rsidR="00D91476">
        <w:rPr>
          <w:rFonts w:cs="Arial"/>
          <w:szCs w:val="22"/>
        </w:rPr>
        <w:t>’</w:t>
      </w:r>
      <w:r w:rsidRPr="00E8642C">
        <w:rPr>
          <w:rFonts w:cs="Arial"/>
          <w:szCs w:val="22"/>
        </w:rPr>
        <w:t>expression “communauté autochtone, afro</w:t>
      </w:r>
      <w:r w:rsidR="00400337">
        <w:rPr>
          <w:rFonts w:cs="Arial"/>
          <w:szCs w:val="22"/>
        </w:rPr>
        <w:noBreakHyphen/>
      </w:r>
      <w:r w:rsidRPr="00E8642C">
        <w:rPr>
          <w:rFonts w:cs="Arial"/>
          <w:szCs w:val="22"/>
        </w:rPr>
        <w:t>américaine ou locale” de la manière suivante</w:t>
      </w:r>
      <w:r w:rsidR="00D91476">
        <w:rPr>
          <w:rFonts w:cs="Arial"/>
          <w:szCs w:val="22"/>
        </w:rPr>
        <w:t> :</w:t>
      </w:r>
      <w:r w:rsidRPr="00E8642C">
        <w:rPr>
          <w:rFonts w:cs="Arial"/>
          <w:szCs w:val="22"/>
        </w:rPr>
        <w:t xml:space="preserve"> “</w:t>
      </w:r>
      <w:r w:rsidRPr="00E8642C">
        <w:rPr>
          <w:rFonts w:cs="Arial"/>
          <w:iCs/>
          <w:szCs w:val="22"/>
        </w:rPr>
        <w:t>un groupe humain dont les conditions sociales, culturelles et économiques le distinguent des autres secteurs de la collectivité nationale, qui est régi, entièrement ou partiellement, par ses propres coutumes ou traditions ou par une législation spéciale et qui conserve, indépendamment de sa situation juridique, ses propres institutions sociales, économiques, culturelles et politiques ou une partie de celles</w:t>
      </w:r>
      <w:r w:rsidR="00400337">
        <w:rPr>
          <w:rFonts w:cs="Arial"/>
          <w:iCs/>
          <w:szCs w:val="22"/>
        </w:rPr>
        <w:noBreakHyphen/>
      </w:r>
      <w:r w:rsidRPr="00E8642C">
        <w:rPr>
          <w:rFonts w:cs="Arial"/>
          <w:iCs/>
          <w:szCs w:val="22"/>
        </w:rPr>
        <w:t>ci</w:t>
      </w:r>
      <w:r w:rsidRPr="00E8642C">
        <w:rPr>
          <w:rFonts w:cs="Arial"/>
          <w:szCs w:val="22"/>
        </w:rPr>
        <w:t>”.</w:t>
      </w:r>
    </w:p>
    <w:p w:rsidR="00D23D81"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article 7.III de la loi brésilienne provisoire n° 2,186</w:t>
      </w:r>
      <w:r w:rsidR="00400337">
        <w:rPr>
          <w:rFonts w:cs="Arial"/>
          <w:szCs w:val="22"/>
        </w:rPr>
        <w:noBreakHyphen/>
      </w:r>
      <w:r w:rsidRPr="00E8642C">
        <w:rPr>
          <w:rFonts w:cs="Arial"/>
          <w:szCs w:val="22"/>
        </w:rPr>
        <w:t>16, du 23 août 2001, définit l</w:t>
      </w:r>
      <w:r w:rsidR="00D91476">
        <w:rPr>
          <w:rFonts w:cs="Arial"/>
          <w:szCs w:val="22"/>
        </w:rPr>
        <w:t>’</w:t>
      </w:r>
      <w:r w:rsidRPr="00E8642C">
        <w:rPr>
          <w:rFonts w:cs="Arial"/>
          <w:szCs w:val="22"/>
        </w:rPr>
        <w:t>expression “communauté locale” de la manière suivante</w:t>
      </w:r>
      <w:r w:rsidR="00D91476">
        <w:rPr>
          <w:rFonts w:cs="Arial"/>
          <w:szCs w:val="22"/>
        </w:rPr>
        <w:t> :</w:t>
      </w:r>
      <w:r w:rsidRPr="00E8642C">
        <w:rPr>
          <w:rFonts w:cs="Arial"/>
          <w:szCs w:val="22"/>
        </w:rPr>
        <w:t xml:space="preserve"> “</w:t>
      </w:r>
      <w:r w:rsidRPr="00E8642C">
        <w:rPr>
          <w:rFonts w:cs="Arial"/>
          <w:iCs/>
          <w:szCs w:val="22"/>
        </w:rPr>
        <w:t xml:space="preserve">groupe humain, comprenant les descendants des communautés </w:t>
      </w:r>
      <w:proofErr w:type="spellStart"/>
      <w:r w:rsidRPr="00E8642C">
        <w:rPr>
          <w:rFonts w:cs="Arial"/>
          <w:iCs/>
          <w:szCs w:val="22"/>
        </w:rPr>
        <w:t>Quilombo</w:t>
      </w:r>
      <w:proofErr w:type="spellEnd"/>
      <w:r w:rsidRPr="00E8642C">
        <w:rPr>
          <w:rFonts w:cs="Arial"/>
          <w:iCs/>
          <w:szCs w:val="22"/>
        </w:rPr>
        <w:t>, différent de par sa culture, qui s</w:t>
      </w:r>
      <w:r w:rsidR="00D91476">
        <w:rPr>
          <w:rFonts w:cs="Arial"/>
          <w:iCs/>
          <w:szCs w:val="22"/>
        </w:rPr>
        <w:t>’</w:t>
      </w:r>
      <w:r w:rsidRPr="00E8642C">
        <w:rPr>
          <w:rFonts w:cs="Arial"/>
          <w:iCs/>
          <w:szCs w:val="22"/>
        </w:rPr>
        <w:t>organise, traditionnellement, par générations successives et coutumes propres et qui conserve ses institutions sociales et économiques</w:t>
      </w:r>
      <w:r w:rsidRPr="00E8642C">
        <w:rPr>
          <w:rFonts w:cs="Arial"/>
          <w:szCs w:val="22"/>
        </w:rPr>
        <w:t>”</w:t>
      </w:r>
      <w:r w:rsidRPr="00E8642C">
        <w:rPr>
          <w:rFonts w:cs="Arial"/>
          <w:iCs/>
          <w:szCs w:val="22"/>
        </w:rPr>
        <w:t>.</w:t>
      </w:r>
    </w:p>
    <w:p w:rsidR="00D23D81" w:rsidRDefault="00DD607D" w:rsidP="00D23D81">
      <w:pPr>
        <w:pStyle w:val="Heading2"/>
        <w:spacing w:after="220" w:line="240" w:lineRule="auto"/>
      </w:pPr>
      <w:bookmarkStart w:id="26" w:name="_Toc7772503"/>
      <w:r w:rsidRPr="00E8642C">
        <w:t>Concurrence déloyale</w:t>
      </w:r>
      <w:bookmarkEnd w:id="26"/>
    </w:p>
    <w:p w:rsidR="00D23D81" w:rsidRDefault="00DD607D" w:rsidP="00D23D81">
      <w:pPr>
        <w:spacing w:after="220"/>
        <w:rPr>
          <w:rFonts w:cs="Arial"/>
          <w:szCs w:val="22"/>
        </w:rPr>
      </w:pPr>
      <w:r w:rsidRPr="00E8642C">
        <w:rPr>
          <w:rFonts w:cs="Arial"/>
          <w:szCs w:val="22"/>
        </w:rPr>
        <w:t xml:space="preserve">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la “concurrence déloyale” comme “tout acte de concurrence déloyale ou illicite en matière de </w:t>
      </w:r>
      <w:proofErr w:type="gramStart"/>
      <w:r w:rsidRPr="00E8642C">
        <w:rPr>
          <w:rFonts w:cs="Arial"/>
          <w:szCs w:val="22"/>
        </w:rPr>
        <w:t>commerce;  spécialement</w:t>
      </w:r>
      <w:proofErr w:type="gramEnd"/>
      <w:r w:rsidRPr="00E8642C">
        <w:rPr>
          <w:rFonts w:cs="Arial"/>
          <w:szCs w:val="22"/>
        </w:rPr>
        <w:t xml:space="preserve"> toute pratique visant à faire passer ses biens ou produits pour ceux d</w:t>
      </w:r>
      <w:r w:rsidR="00D91476">
        <w:rPr>
          <w:rFonts w:cs="Arial"/>
          <w:szCs w:val="22"/>
        </w:rPr>
        <w:t>’</w:t>
      </w:r>
      <w:r w:rsidRPr="00E8642C">
        <w:rPr>
          <w:rFonts w:cs="Arial"/>
          <w:szCs w:val="22"/>
        </w:rPr>
        <w:t>un autre sur le marché en imitant ou en contrefaisant le nom, la marque, la taille, la forme ou d</w:t>
      </w:r>
      <w:r w:rsidR="00D91476">
        <w:rPr>
          <w:rFonts w:cs="Arial"/>
          <w:szCs w:val="22"/>
        </w:rPr>
        <w:t>’</w:t>
      </w:r>
      <w:r w:rsidRPr="00E8642C">
        <w:rPr>
          <w:rFonts w:cs="Arial"/>
          <w:szCs w:val="22"/>
        </w:rPr>
        <w:t>autres éléments distinctifs de l</w:t>
      </w:r>
      <w:r w:rsidR="00D91476">
        <w:rPr>
          <w:rFonts w:cs="Arial"/>
          <w:szCs w:val="22"/>
        </w:rPr>
        <w:t>’</w:t>
      </w:r>
      <w:r w:rsidRPr="00E8642C">
        <w:rPr>
          <w:rFonts w:cs="Arial"/>
          <w:szCs w:val="22"/>
        </w:rPr>
        <w:t>article ou de son emballage”.</w:t>
      </w:r>
    </w:p>
    <w:p w:rsidR="00D23D81"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alinéa 2 de l</w:t>
      </w:r>
      <w:r w:rsidR="00D91476">
        <w:rPr>
          <w:rFonts w:cs="Arial"/>
          <w:szCs w:val="22"/>
        </w:rPr>
        <w:t>’</w:t>
      </w:r>
      <w:r w:rsidRPr="00E8642C">
        <w:rPr>
          <w:rFonts w:cs="Arial"/>
          <w:szCs w:val="22"/>
        </w:rPr>
        <w:t>article 10</w:t>
      </w:r>
      <w:r w:rsidRPr="00E8642C">
        <w:rPr>
          <w:rFonts w:cs="Arial"/>
          <w:i/>
          <w:iCs/>
          <w:szCs w:val="22"/>
        </w:rPr>
        <w:t xml:space="preserve">bis </w:t>
      </w:r>
      <w:r w:rsidRPr="00E8642C">
        <w:rPr>
          <w:rFonts w:cs="Arial"/>
          <w:szCs w:val="22"/>
        </w:rPr>
        <w:t xml:space="preserve">de la </w:t>
      </w:r>
      <w:r w:rsidRPr="00E8642C">
        <w:rPr>
          <w:rFonts w:cs="Arial"/>
          <w:i/>
          <w:szCs w:val="22"/>
        </w:rPr>
        <w:t>Convention de Paris pour la protection de la propriété industrielle</w:t>
      </w:r>
      <w:r w:rsidRPr="00E8642C">
        <w:rPr>
          <w:rFonts w:cs="Arial"/>
          <w:szCs w:val="22"/>
        </w:rPr>
        <w:t xml:space="preserve"> (1883) indique ce qui suit</w:t>
      </w:r>
      <w:r w:rsidR="00D91476">
        <w:rPr>
          <w:rFonts w:cs="Arial"/>
          <w:szCs w:val="22"/>
        </w:rPr>
        <w:t> :</w:t>
      </w:r>
      <w:r w:rsidRPr="00E8642C">
        <w:rPr>
          <w:rFonts w:cs="Arial"/>
          <w:szCs w:val="22"/>
        </w:rPr>
        <w:t xml:space="preserve"> “Constitue un acte de concurrence déloyale tout acte de concurrence contraire aux usages honnêtes en matière industrielle ou commerciale”.  L</w:t>
      </w:r>
      <w:r w:rsidR="00D91476">
        <w:rPr>
          <w:rFonts w:cs="Arial"/>
          <w:szCs w:val="22"/>
        </w:rPr>
        <w:t>’</w:t>
      </w:r>
      <w:r w:rsidRPr="00E8642C">
        <w:rPr>
          <w:rFonts w:cs="Arial"/>
          <w:szCs w:val="22"/>
        </w:rPr>
        <w:t>alinéa 3 de l</w:t>
      </w:r>
      <w:r w:rsidR="00D91476">
        <w:rPr>
          <w:rFonts w:cs="Arial"/>
          <w:szCs w:val="22"/>
        </w:rPr>
        <w:t>’</w:t>
      </w:r>
      <w:r w:rsidRPr="00E8642C">
        <w:rPr>
          <w:rFonts w:cs="Arial"/>
          <w:szCs w:val="22"/>
        </w:rPr>
        <w:t>article 10</w:t>
      </w:r>
      <w:r w:rsidRPr="00E8642C">
        <w:rPr>
          <w:rFonts w:cs="Arial"/>
          <w:i/>
          <w:iCs/>
          <w:szCs w:val="22"/>
        </w:rPr>
        <w:t>bis</w:t>
      </w:r>
      <w:r w:rsidRPr="00E8642C">
        <w:rPr>
          <w:rFonts w:cs="Arial"/>
          <w:szCs w:val="22"/>
        </w:rPr>
        <w:t xml:space="preserve"> précise que “[n]</w:t>
      </w:r>
      <w:proofErr w:type="spellStart"/>
      <w:r w:rsidRPr="00E8642C">
        <w:rPr>
          <w:rFonts w:cs="Arial"/>
          <w:szCs w:val="22"/>
        </w:rPr>
        <w:t>otamment</w:t>
      </w:r>
      <w:proofErr w:type="spellEnd"/>
      <w:r w:rsidRPr="00E8642C">
        <w:rPr>
          <w:rFonts w:cs="Arial"/>
          <w:szCs w:val="22"/>
        </w:rPr>
        <w:t xml:space="preserve"> devront être interdits</w:t>
      </w:r>
      <w:r w:rsidR="00D91476">
        <w:rPr>
          <w:rFonts w:cs="Arial"/>
          <w:szCs w:val="22"/>
        </w:rPr>
        <w:t> :</w:t>
      </w:r>
      <w:r w:rsidRPr="00E8642C">
        <w:rPr>
          <w:rFonts w:cs="Arial"/>
          <w:szCs w:val="22"/>
        </w:rPr>
        <w:t xml:space="preserve"> i) tous faits quelconques de nature à créer une confusion par n</w:t>
      </w:r>
      <w:r w:rsidR="00D91476">
        <w:rPr>
          <w:rFonts w:cs="Arial"/>
          <w:szCs w:val="22"/>
        </w:rPr>
        <w:t>’</w:t>
      </w:r>
      <w:r w:rsidRPr="00E8642C">
        <w:rPr>
          <w:rFonts w:cs="Arial"/>
          <w:szCs w:val="22"/>
        </w:rPr>
        <w:t>importe quel moyen avec l</w:t>
      </w:r>
      <w:r w:rsidR="00D91476">
        <w:rPr>
          <w:rFonts w:cs="Arial"/>
          <w:szCs w:val="22"/>
        </w:rPr>
        <w:t>’</w:t>
      </w:r>
      <w:r w:rsidRPr="00E8642C">
        <w:rPr>
          <w:rFonts w:cs="Arial"/>
          <w:szCs w:val="22"/>
        </w:rPr>
        <w:t>établissement, les produits ou l</w:t>
      </w:r>
      <w:r w:rsidR="00D91476">
        <w:rPr>
          <w:rFonts w:cs="Arial"/>
          <w:szCs w:val="22"/>
        </w:rPr>
        <w:t>’</w:t>
      </w:r>
      <w:r w:rsidRPr="00E8642C">
        <w:rPr>
          <w:rFonts w:cs="Arial"/>
          <w:szCs w:val="22"/>
        </w:rPr>
        <w:t>activité industrielle ou commerciale d</w:t>
      </w:r>
      <w:r w:rsidR="00D91476">
        <w:rPr>
          <w:rFonts w:cs="Arial"/>
          <w:szCs w:val="22"/>
        </w:rPr>
        <w:t>’</w:t>
      </w:r>
      <w:r w:rsidRPr="00E8642C">
        <w:rPr>
          <w:rFonts w:cs="Arial"/>
          <w:szCs w:val="22"/>
        </w:rPr>
        <w:t>un concurrent;  ii) les allégations fausses, dans l</w:t>
      </w:r>
      <w:r w:rsidR="00D91476">
        <w:rPr>
          <w:rFonts w:cs="Arial"/>
          <w:szCs w:val="22"/>
        </w:rPr>
        <w:t>’</w:t>
      </w:r>
      <w:r w:rsidRPr="00E8642C">
        <w:rPr>
          <w:rFonts w:cs="Arial"/>
          <w:szCs w:val="22"/>
        </w:rPr>
        <w:t>exercice du commerce, de nature à discréditer l</w:t>
      </w:r>
      <w:r w:rsidR="00D91476">
        <w:rPr>
          <w:rFonts w:cs="Arial"/>
          <w:szCs w:val="22"/>
        </w:rPr>
        <w:t>’</w:t>
      </w:r>
      <w:r w:rsidRPr="00E8642C">
        <w:rPr>
          <w:rFonts w:cs="Arial"/>
          <w:szCs w:val="22"/>
        </w:rPr>
        <w:t>établissement, les produits ou l</w:t>
      </w:r>
      <w:r w:rsidR="00D91476">
        <w:rPr>
          <w:rFonts w:cs="Arial"/>
          <w:szCs w:val="22"/>
        </w:rPr>
        <w:t>’</w:t>
      </w:r>
      <w:r w:rsidRPr="00E8642C">
        <w:rPr>
          <w:rFonts w:cs="Arial"/>
          <w:szCs w:val="22"/>
        </w:rPr>
        <w:t>activité industrielle ou commerciale d</w:t>
      </w:r>
      <w:r w:rsidR="00D91476">
        <w:rPr>
          <w:rFonts w:cs="Arial"/>
          <w:szCs w:val="22"/>
        </w:rPr>
        <w:t>’</w:t>
      </w:r>
      <w:r w:rsidRPr="00E8642C">
        <w:rPr>
          <w:rFonts w:cs="Arial"/>
          <w:szCs w:val="22"/>
        </w:rPr>
        <w:t>un concurrent;  iii) les indications ou allégations dont l</w:t>
      </w:r>
      <w:r w:rsidR="00D91476">
        <w:rPr>
          <w:rFonts w:cs="Arial"/>
          <w:szCs w:val="22"/>
        </w:rPr>
        <w:t>’</w:t>
      </w:r>
      <w:r w:rsidRPr="00E8642C">
        <w:rPr>
          <w:rFonts w:cs="Arial"/>
          <w:szCs w:val="22"/>
        </w:rPr>
        <w:t>usage, dans l</w:t>
      </w:r>
      <w:r w:rsidR="00D91476">
        <w:rPr>
          <w:rFonts w:cs="Arial"/>
          <w:szCs w:val="22"/>
        </w:rPr>
        <w:t>’</w:t>
      </w:r>
      <w:r w:rsidRPr="00E8642C">
        <w:rPr>
          <w:rFonts w:cs="Arial"/>
          <w:szCs w:val="22"/>
        </w:rPr>
        <w:t>exercice du commerce, est susceptible d</w:t>
      </w:r>
      <w:r w:rsidR="00D91476">
        <w:rPr>
          <w:rFonts w:cs="Arial"/>
          <w:szCs w:val="22"/>
        </w:rPr>
        <w:t>’</w:t>
      </w:r>
      <w:r w:rsidRPr="00E8642C">
        <w:rPr>
          <w:rFonts w:cs="Arial"/>
          <w:szCs w:val="22"/>
        </w:rPr>
        <w:t>induire le public en erreur sur la nature, le mode de fabrication, les caractéristiques, l</w:t>
      </w:r>
      <w:r w:rsidR="00D91476">
        <w:rPr>
          <w:rFonts w:cs="Arial"/>
          <w:szCs w:val="22"/>
        </w:rPr>
        <w:t>’</w:t>
      </w:r>
      <w:r w:rsidRPr="00E8642C">
        <w:rPr>
          <w:rFonts w:cs="Arial"/>
          <w:szCs w:val="22"/>
        </w:rPr>
        <w:t>aptitude à l</w:t>
      </w:r>
      <w:r w:rsidR="00D91476">
        <w:rPr>
          <w:rFonts w:cs="Arial"/>
          <w:szCs w:val="22"/>
        </w:rPr>
        <w:t>’</w:t>
      </w:r>
      <w:r w:rsidRPr="00E8642C">
        <w:rPr>
          <w:rFonts w:cs="Arial"/>
          <w:szCs w:val="22"/>
        </w:rPr>
        <w:t>emploi ou la quantité des marchandises”.</w:t>
      </w:r>
    </w:p>
    <w:p w:rsidR="00D23D81" w:rsidRDefault="00DD607D" w:rsidP="00D23D81">
      <w:pPr>
        <w:pStyle w:val="Heading2"/>
        <w:spacing w:after="220" w:line="240" w:lineRule="auto"/>
      </w:pPr>
      <w:bookmarkStart w:id="27" w:name="_Toc7772504"/>
      <w:r w:rsidRPr="00E8642C">
        <w:t>Conditions convenues d</w:t>
      </w:r>
      <w:r w:rsidR="00D91476">
        <w:t>’</w:t>
      </w:r>
      <w:r w:rsidRPr="00E8642C">
        <w:t>un commun accord</w:t>
      </w:r>
      <w:bookmarkEnd w:id="27"/>
    </w:p>
    <w:p w:rsidR="00D23D81" w:rsidRDefault="00DD607D" w:rsidP="00D23D81">
      <w:pPr>
        <w:pStyle w:val="Header"/>
        <w:spacing w:after="220"/>
        <w:rPr>
          <w:rFonts w:cs="Arial"/>
          <w:szCs w:val="22"/>
        </w:rPr>
      </w:pPr>
      <w:r w:rsidRPr="00E8642C">
        <w:rPr>
          <w:rFonts w:cs="Arial"/>
          <w:szCs w:val="22"/>
        </w:rPr>
        <w:t>Tout en reconnaissant le pouvoir des gouvernements nationaux de régir l</w:t>
      </w:r>
      <w:r w:rsidR="00D91476">
        <w:rPr>
          <w:rFonts w:cs="Arial"/>
          <w:szCs w:val="22"/>
        </w:rPr>
        <w:t>’</w:t>
      </w:r>
      <w:r w:rsidRPr="00E8642C">
        <w:rPr>
          <w:rFonts w:cs="Arial"/>
          <w:szCs w:val="22"/>
        </w:rPr>
        <w:t>accès aux ressources génétiques, l</w:t>
      </w:r>
      <w:r w:rsidR="00D91476">
        <w:rPr>
          <w:rFonts w:cs="Arial"/>
          <w:szCs w:val="22"/>
        </w:rPr>
        <w:t>’</w:t>
      </w:r>
      <w:r w:rsidRPr="00E8642C">
        <w:rPr>
          <w:rFonts w:cs="Arial"/>
          <w:szCs w:val="22"/>
        </w:rPr>
        <w:t>article 15.4) de la </w:t>
      </w:r>
      <w:r w:rsidRPr="00E8642C">
        <w:rPr>
          <w:rFonts w:cs="Arial"/>
          <w:i/>
          <w:iCs/>
          <w:szCs w:val="22"/>
        </w:rPr>
        <w:t>Convention sur la diversité biologique</w:t>
      </w:r>
      <w:r w:rsidRPr="00E8642C">
        <w:rPr>
          <w:rFonts w:cs="Arial"/>
          <w:szCs w:val="22"/>
        </w:rPr>
        <w:t xml:space="preserve"> (1992) prévoit que “</w:t>
      </w:r>
      <w:r w:rsidRPr="00E8642C">
        <w:rPr>
          <w:rFonts w:cs="Arial"/>
          <w:iCs/>
          <w:szCs w:val="22"/>
        </w:rPr>
        <w:t>l</w:t>
      </w:r>
      <w:r w:rsidR="00D91476">
        <w:rPr>
          <w:rFonts w:cs="Arial"/>
          <w:iCs/>
          <w:szCs w:val="22"/>
        </w:rPr>
        <w:t>’</w:t>
      </w:r>
      <w:r w:rsidRPr="00E8642C">
        <w:rPr>
          <w:rFonts w:cs="Arial"/>
          <w:iCs/>
          <w:szCs w:val="22"/>
        </w:rPr>
        <w:t>accès, lorsqu</w:t>
      </w:r>
      <w:r w:rsidR="00D91476">
        <w:rPr>
          <w:rFonts w:cs="Arial"/>
          <w:iCs/>
          <w:szCs w:val="22"/>
        </w:rPr>
        <w:t>’</w:t>
      </w:r>
      <w:r w:rsidRPr="00E8642C">
        <w:rPr>
          <w:rFonts w:cs="Arial"/>
          <w:iCs/>
          <w:szCs w:val="22"/>
        </w:rPr>
        <w:t>il est accordé, est régi par des conditions convenues d</w:t>
      </w:r>
      <w:r w:rsidR="00D91476">
        <w:rPr>
          <w:rFonts w:cs="Arial"/>
          <w:iCs/>
          <w:szCs w:val="22"/>
        </w:rPr>
        <w:t>’</w:t>
      </w:r>
      <w:r w:rsidRPr="00E8642C">
        <w:rPr>
          <w:rFonts w:cs="Arial"/>
          <w:iCs/>
          <w:szCs w:val="22"/>
        </w:rPr>
        <w:t>un commun accord et est soumis aux dispositions du présent article</w:t>
      </w:r>
      <w:r w:rsidRPr="00E8642C">
        <w:rPr>
          <w:rFonts w:cs="Arial"/>
          <w:szCs w:val="22"/>
        </w:rPr>
        <w:t xml:space="preserve">”.  Le secrétaire exécutif de la convention a relevé que </w:t>
      </w:r>
      <w:r w:rsidRPr="00E8642C">
        <w:rPr>
          <w:rFonts w:cs="Arial"/>
          <w:iCs/>
          <w:szCs w:val="22"/>
        </w:rPr>
        <w:t>les contrats constituent le moyen le plus courant de coucher sur le papier la teneur des conditions convenues d</w:t>
      </w:r>
      <w:r w:rsidR="00D91476">
        <w:rPr>
          <w:rFonts w:cs="Arial"/>
          <w:iCs/>
          <w:szCs w:val="22"/>
        </w:rPr>
        <w:t>’</w:t>
      </w:r>
      <w:r w:rsidRPr="00E8642C">
        <w:rPr>
          <w:rFonts w:cs="Arial"/>
          <w:iCs/>
          <w:szCs w:val="22"/>
        </w:rPr>
        <w:t>un commun accord</w:t>
      </w:r>
      <w:r w:rsidRPr="00E8642C">
        <w:rPr>
          <w:rStyle w:val="FootnoteReference"/>
          <w:rFonts w:cs="Arial"/>
          <w:szCs w:val="22"/>
        </w:rPr>
        <w:footnoteReference w:id="32"/>
      </w:r>
      <w:r w:rsidRPr="00E8642C">
        <w:rPr>
          <w:rFonts w:cs="Arial"/>
          <w:szCs w:val="22"/>
        </w:rPr>
        <w:t xml:space="preserve">.  Les </w:t>
      </w:r>
      <w:r w:rsidRPr="00F26BC9">
        <w:rPr>
          <w:rFonts w:cs="Arial"/>
          <w:b/>
          <w:i/>
          <w:szCs w:val="22"/>
        </w:rPr>
        <w:t>Lignes directrices de Bonn sur l</w:t>
      </w:r>
      <w:r w:rsidR="00D91476">
        <w:rPr>
          <w:rFonts w:cs="Arial"/>
          <w:b/>
          <w:i/>
          <w:szCs w:val="22"/>
        </w:rPr>
        <w:t>’</w:t>
      </w:r>
      <w:r w:rsidRPr="00F26BC9">
        <w:rPr>
          <w:rFonts w:cs="Arial"/>
          <w:b/>
          <w:i/>
          <w:szCs w:val="22"/>
        </w:rPr>
        <w:t>accès aux ressources génétiques et le partage juste et équitable des avantages résultant de leur utilisation</w:t>
      </w:r>
      <w:r w:rsidRPr="00E8642C">
        <w:rPr>
          <w:rFonts w:cs="Arial"/>
          <w:szCs w:val="22"/>
        </w:rPr>
        <w:t xml:space="preserve"> indiquent, en leurs paragraphes 41 à 44, certaines exigences fondamentales applicables aux conditions convenues d</w:t>
      </w:r>
      <w:r w:rsidR="00D91476">
        <w:rPr>
          <w:rFonts w:cs="Arial"/>
          <w:szCs w:val="22"/>
        </w:rPr>
        <w:t>’</w:t>
      </w:r>
      <w:r w:rsidRPr="00E8642C">
        <w:rPr>
          <w:rFonts w:cs="Arial"/>
          <w:szCs w:val="22"/>
        </w:rPr>
        <w:t>un commun accord.</w:t>
      </w:r>
    </w:p>
    <w:p w:rsidR="00D23D81" w:rsidRDefault="00DD607D" w:rsidP="00D23D81">
      <w:pPr>
        <w:spacing w:after="220"/>
      </w:pPr>
      <w:r w:rsidRPr="00E8642C">
        <w:t>L</w:t>
      </w:r>
      <w:r w:rsidR="00D91476">
        <w:t>’</w:t>
      </w:r>
      <w:r w:rsidRPr="00E8642C">
        <w:t>article 18 du Protocole de Nagoya sur l</w:t>
      </w:r>
      <w:r w:rsidR="00D91476">
        <w:t>’</w:t>
      </w:r>
      <w:r w:rsidRPr="00E8642C">
        <w:t xml:space="preserve">accès aux ressources génétiques et le partage juste et équitable des avantages découlant de </w:t>
      </w:r>
      <w:proofErr w:type="gramStart"/>
      <w:r w:rsidRPr="00E8642C">
        <w:t>leur utilisation relatif</w:t>
      </w:r>
      <w:proofErr w:type="gramEnd"/>
      <w:r w:rsidRPr="00E8642C">
        <w:t xml:space="preserve"> à la Convention sur la diversité biologique (2010) traite spécifiquement de la conformité aux conditions convenues d</w:t>
      </w:r>
      <w:r w:rsidR="00D91476">
        <w:t>’</w:t>
      </w:r>
      <w:r w:rsidRPr="00E8642C">
        <w:t>un commun accord et indique à cet égard</w:t>
      </w:r>
      <w:r w:rsidR="00D91476">
        <w:t> :</w:t>
      </w:r>
      <w:r w:rsidRPr="00E8642C">
        <w:t xml:space="preserve"> </w:t>
      </w:r>
      <w:r w:rsidRPr="00E8642C">
        <w:rPr>
          <w:iCs/>
        </w:rPr>
        <w:t>“1.  En appliquant le paragraphe 3.g)i) de l</w:t>
      </w:r>
      <w:r w:rsidR="00D91476">
        <w:rPr>
          <w:iCs/>
        </w:rPr>
        <w:t>’</w:t>
      </w:r>
      <w:r w:rsidRPr="00E8642C">
        <w:rPr>
          <w:iCs/>
        </w:rPr>
        <w:t>article 6 et l</w:t>
      </w:r>
      <w:r w:rsidR="00D91476">
        <w:rPr>
          <w:iCs/>
        </w:rPr>
        <w:t>’</w:t>
      </w:r>
      <w:r w:rsidRPr="00E8642C">
        <w:rPr>
          <w:iCs/>
        </w:rPr>
        <w:t>article 7, chaque Partie encourage les fournisseurs et les utilisateurs de ressources génétiques et/ou de connaissances traditionnelles associées aux ressources génétiques à inclure dans les conditions convenues d</w:t>
      </w:r>
      <w:r w:rsidR="00D91476">
        <w:rPr>
          <w:iCs/>
        </w:rPr>
        <w:t>’</w:t>
      </w:r>
      <w:r w:rsidRPr="00E8642C">
        <w:rPr>
          <w:iCs/>
        </w:rPr>
        <w:t>un commun accord des dispositions pour couvrir, le cas échéant, le règlement des différends, notamment</w:t>
      </w:r>
      <w:r w:rsidR="00D91476">
        <w:rPr>
          <w:iCs/>
        </w:rPr>
        <w:t> :</w:t>
      </w:r>
      <w:r w:rsidRPr="00E8642C">
        <w:rPr>
          <w:iCs/>
        </w:rPr>
        <w:t xml:space="preserve"> a) la juridiction à laquelle elles soumettront les procédures de règlement des différends;  b) la loi applicable;  et/ou c) les possibilités de règlement extrajudiciaire des différends, telles que la médiation et l</w:t>
      </w:r>
      <w:r w:rsidR="00D91476">
        <w:rPr>
          <w:iCs/>
        </w:rPr>
        <w:t>’</w:t>
      </w:r>
      <w:r w:rsidRPr="00E8642C">
        <w:rPr>
          <w:iCs/>
        </w:rPr>
        <w:t>arbitrage.  2.  Chaque Partie veille à garantir la possibilité de recours dans leurs systèmes juridiques, conformément aux conditions juridictionnelles applicables, en cas de différend concernant les conditions convenues d</w:t>
      </w:r>
      <w:r w:rsidR="00D91476">
        <w:rPr>
          <w:iCs/>
        </w:rPr>
        <w:t>’</w:t>
      </w:r>
      <w:r w:rsidRPr="00E8642C">
        <w:rPr>
          <w:iCs/>
        </w:rPr>
        <w:t>un commun accord.  3.  Chaque Partie prend les mesures efficaces nécessaires concernant</w:t>
      </w:r>
      <w:r w:rsidR="00D91476">
        <w:rPr>
          <w:iCs/>
        </w:rPr>
        <w:t> :</w:t>
      </w:r>
      <w:r w:rsidRPr="00E8642C">
        <w:rPr>
          <w:iCs/>
        </w:rPr>
        <w:t xml:space="preserve"> a) l</w:t>
      </w:r>
      <w:r w:rsidR="00D91476">
        <w:rPr>
          <w:iCs/>
        </w:rPr>
        <w:t>’</w:t>
      </w:r>
      <w:r w:rsidRPr="00E8642C">
        <w:rPr>
          <w:iCs/>
        </w:rPr>
        <w:t xml:space="preserve">accès à la </w:t>
      </w:r>
      <w:proofErr w:type="gramStart"/>
      <w:r w:rsidRPr="00E8642C">
        <w:rPr>
          <w:iCs/>
        </w:rPr>
        <w:t>justice;  et</w:t>
      </w:r>
      <w:proofErr w:type="gramEnd"/>
      <w:r w:rsidRPr="00E8642C">
        <w:rPr>
          <w:iCs/>
        </w:rPr>
        <w:t xml:space="preserve"> b) l</w:t>
      </w:r>
      <w:r w:rsidR="00D91476">
        <w:rPr>
          <w:iCs/>
        </w:rPr>
        <w:t>’</w:t>
      </w:r>
      <w:r w:rsidRPr="00E8642C">
        <w:rPr>
          <w:iCs/>
        </w:rPr>
        <w:t>utilisation de mécanismes de reconnaissance mutuelle et d</w:t>
      </w:r>
      <w:r w:rsidR="00D91476">
        <w:rPr>
          <w:iCs/>
        </w:rPr>
        <w:t>’</w:t>
      </w:r>
      <w:r w:rsidRPr="00E8642C">
        <w:rPr>
          <w:iCs/>
        </w:rPr>
        <w:t>application des décisions arbitrales et des jugements étrangers.  4.  La Conférence des Parties siégeant en tant que réunion des Parties au Protocole évalue l</w:t>
      </w:r>
      <w:r w:rsidR="00D91476">
        <w:rPr>
          <w:iCs/>
        </w:rPr>
        <w:t>’</w:t>
      </w:r>
      <w:r w:rsidRPr="00E8642C">
        <w:rPr>
          <w:iCs/>
        </w:rPr>
        <w:t>efficacité de cet article, conformément à l</w:t>
      </w:r>
      <w:r w:rsidR="00D91476">
        <w:rPr>
          <w:iCs/>
        </w:rPr>
        <w:t>’</w:t>
      </w:r>
      <w:r w:rsidRPr="00E8642C">
        <w:rPr>
          <w:iCs/>
        </w:rPr>
        <w:t>article 31 du présent Protocole</w:t>
      </w:r>
      <w:r w:rsidRPr="00E8642C">
        <w:t>”.</w:t>
      </w:r>
    </w:p>
    <w:p w:rsidR="00D23D81" w:rsidRDefault="00DD607D" w:rsidP="00D23D81">
      <w:pPr>
        <w:pStyle w:val="Heading2"/>
        <w:keepLines/>
        <w:spacing w:after="220" w:line="240" w:lineRule="auto"/>
        <w:rPr>
          <w:i/>
        </w:rPr>
      </w:pPr>
      <w:bookmarkStart w:id="28" w:name="_Toc7772505"/>
      <w:r w:rsidRPr="00E8642C">
        <w:t>Conditions</w:t>
      </w:r>
      <w:r w:rsidRPr="00E8642C">
        <w:rPr>
          <w:i/>
        </w:rPr>
        <w:t xml:space="preserve"> in situ</w:t>
      </w:r>
      <w:bookmarkEnd w:id="28"/>
    </w:p>
    <w:p w:rsidR="00D23D81" w:rsidRDefault="00DD607D" w:rsidP="00D23D81">
      <w:pPr>
        <w:keepNext/>
        <w:keepLines/>
        <w:spacing w:after="220"/>
        <w:rPr>
          <w:rFonts w:cs="Arial"/>
          <w:bCs/>
          <w:snapToGrid w:val="0"/>
          <w:szCs w:val="22"/>
        </w:rPr>
      </w:pPr>
      <w:r w:rsidRPr="00E8642C">
        <w:rPr>
          <w:rFonts w:cs="Arial"/>
          <w:bCs/>
          <w:snapToGrid w:val="0"/>
          <w:szCs w:val="22"/>
        </w:rPr>
        <w:t>Aux termes de l</w:t>
      </w:r>
      <w:r w:rsidR="00D91476">
        <w:rPr>
          <w:rFonts w:cs="Arial"/>
          <w:bCs/>
          <w:snapToGrid w:val="0"/>
          <w:szCs w:val="22"/>
        </w:rPr>
        <w:t>’</w:t>
      </w:r>
      <w:r w:rsidRPr="00E8642C">
        <w:rPr>
          <w:rFonts w:cs="Arial"/>
          <w:bCs/>
          <w:snapToGrid w:val="0"/>
          <w:szCs w:val="22"/>
        </w:rPr>
        <w:t xml:space="preserve">article 2 de la </w:t>
      </w:r>
      <w:r w:rsidRPr="00E8642C">
        <w:rPr>
          <w:rFonts w:cs="Arial"/>
          <w:bCs/>
          <w:i/>
          <w:snapToGrid w:val="0"/>
          <w:szCs w:val="22"/>
        </w:rPr>
        <w:t xml:space="preserve">Convention sur la diversité biologique </w:t>
      </w:r>
      <w:r w:rsidRPr="00E8642C">
        <w:rPr>
          <w:rFonts w:cs="Arial"/>
          <w:bCs/>
          <w:snapToGrid w:val="0"/>
          <w:szCs w:val="22"/>
        </w:rPr>
        <w:t xml:space="preserve">(1992), les “conditions </w:t>
      </w:r>
      <w:r w:rsidRPr="00E8642C">
        <w:rPr>
          <w:rFonts w:cs="Arial"/>
          <w:bCs/>
          <w:i/>
          <w:snapToGrid w:val="0"/>
          <w:szCs w:val="22"/>
        </w:rPr>
        <w:t>in situ</w:t>
      </w:r>
      <w:r w:rsidRPr="00E8642C">
        <w:rPr>
          <w:rFonts w:cs="Arial"/>
          <w:bCs/>
          <w:snapToGrid w:val="0"/>
          <w:szCs w:val="22"/>
        </w:rPr>
        <w:t>” désignent des “</w:t>
      </w:r>
      <w:r w:rsidRPr="00E8642C">
        <w:rPr>
          <w:rFonts w:cs="Arial"/>
          <w:bCs/>
          <w:iCs/>
          <w:snapToGrid w:val="0"/>
          <w:szCs w:val="22"/>
        </w:rPr>
        <w:t>conditions caractérisées par l</w:t>
      </w:r>
      <w:r w:rsidR="00D91476">
        <w:rPr>
          <w:rFonts w:cs="Arial"/>
          <w:bCs/>
          <w:iCs/>
          <w:snapToGrid w:val="0"/>
          <w:szCs w:val="22"/>
        </w:rPr>
        <w:t>’</w:t>
      </w:r>
      <w:r w:rsidRPr="00E8642C">
        <w:rPr>
          <w:rFonts w:cs="Arial"/>
          <w:bCs/>
          <w:iCs/>
          <w:snapToGrid w:val="0"/>
          <w:szCs w:val="22"/>
        </w:rPr>
        <w:t>existence de ressources génétiques au sein d</w:t>
      </w:r>
      <w:r w:rsidR="00D91476">
        <w:rPr>
          <w:rFonts w:cs="Arial"/>
          <w:bCs/>
          <w:iCs/>
          <w:snapToGrid w:val="0"/>
          <w:szCs w:val="22"/>
        </w:rPr>
        <w:t>’</w:t>
      </w:r>
      <w:r w:rsidRPr="00E8642C">
        <w:rPr>
          <w:rFonts w:cs="Arial"/>
          <w:bCs/>
          <w:iCs/>
          <w:snapToGrid w:val="0"/>
          <w:szCs w:val="22"/>
        </w:rPr>
        <w:t>écosystèmes et d</w:t>
      </w:r>
      <w:r w:rsidR="00D91476">
        <w:rPr>
          <w:rFonts w:cs="Arial"/>
          <w:bCs/>
          <w:iCs/>
          <w:snapToGrid w:val="0"/>
          <w:szCs w:val="22"/>
        </w:rPr>
        <w:t>’</w:t>
      </w:r>
      <w:r w:rsidRPr="00E8642C">
        <w:rPr>
          <w:rFonts w:cs="Arial"/>
          <w:bCs/>
          <w:iCs/>
          <w:snapToGrid w:val="0"/>
          <w:szCs w:val="22"/>
        </w:rPr>
        <w:t>habitats naturels et, dans le cas des espèces domestiquées et cultivées, dans le milieu où se sont développés leurs caractères distinctifs</w:t>
      </w:r>
      <w:r w:rsidRPr="00E8642C">
        <w:rPr>
          <w:rFonts w:cs="Arial"/>
          <w:bCs/>
          <w:snapToGrid w:val="0"/>
          <w:szCs w:val="22"/>
        </w:rPr>
        <w:t>”.</w:t>
      </w:r>
    </w:p>
    <w:p w:rsidR="00D23D81" w:rsidRDefault="00DD607D" w:rsidP="00D23D81">
      <w:pPr>
        <w:pStyle w:val="Heading2"/>
        <w:spacing w:after="220" w:line="240" w:lineRule="auto"/>
      </w:pPr>
      <w:bookmarkStart w:id="29" w:name="_Toc7772506"/>
      <w:r w:rsidRPr="00E8642C">
        <w:t>Connaissances écologiques traditionnelles/connaissances environnementales traditionnelles</w:t>
      </w:r>
      <w:bookmarkEnd w:id="29"/>
    </w:p>
    <w:p w:rsidR="00D23D81" w:rsidRDefault="00DD607D" w:rsidP="00D23D81">
      <w:pPr>
        <w:spacing w:after="220"/>
        <w:rPr>
          <w:rFonts w:cs="Arial"/>
          <w:szCs w:val="22"/>
        </w:rPr>
      </w:pPr>
      <w:r w:rsidRPr="00E8642C">
        <w:rPr>
          <w:rFonts w:cs="Arial"/>
          <w:szCs w:val="22"/>
        </w:rPr>
        <w:t xml:space="preserve">Le </w:t>
      </w:r>
      <w:proofErr w:type="spellStart"/>
      <w:r w:rsidRPr="00E8642C">
        <w:rPr>
          <w:rFonts w:cs="Arial"/>
          <w:szCs w:val="22"/>
        </w:rPr>
        <w:t>Dene</w:t>
      </w:r>
      <w:proofErr w:type="spellEnd"/>
      <w:r w:rsidRPr="00E8642C">
        <w:rPr>
          <w:rFonts w:cs="Arial"/>
          <w:szCs w:val="22"/>
        </w:rPr>
        <w:t xml:space="preserve"> Cultural Institute définit les “connaissances environnementales” comme “</w:t>
      </w:r>
      <w:r w:rsidRPr="00E8642C">
        <w:rPr>
          <w:rFonts w:cs="Arial"/>
          <w:iCs/>
          <w:szCs w:val="22"/>
        </w:rPr>
        <w:t>un ensemble de connaissances et de croyances transmises par tradition orale et par expérience personnel</w:t>
      </w:r>
      <w:r w:rsidR="001F3AEE" w:rsidRPr="00E8642C">
        <w:rPr>
          <w:rFonts w:cs="Arial"/>
          <w:iCs/>
          <w:szCs w:val="22"/>
        </w:rPr>
        <w:t>le</w:t>
      </w:r>
      <w:r w:rsidR="001F3AEE">
        <w:rPr>
          <w:rFonts w:cs="Arial"/>
          <w:iCs/>
          <w:szCs w:val="22"/>
        </w:rPr>
        <w:t xml:space="preserve">.  </w:t>
      </w:r>
      <w:r w:rsidR="001F3AEE" w:rsidRPr="00E8642C">
        <w:rPr>
          <w:rFonts w:cs="Arial"/>
          <w:iCs/>
          <w:szCs w:val="22"/>
        </w:rPr>
        <w:t>El</w:t>
      </w:r>
      <w:r w:rsidRPr="00E8642C">
        <w:rPr>
          <w:rFonts w:cs="Arial"/>
          <w:iCs/>
          <w:szCs w:val="22"/>
        </w:rPr>
        <w:t>les comprennent un système de classification, un ensemble d</w:t>
      </w:r>
      <w:r w:rsidR="00D91476">
        <w:rPr>
          <w:rFonts w:cs="Arial"/>
          <w:iCs/>
          <w:szCs w:val="22"/>
        </w:rPr>
        <w:t>’</w:t>
      </w:r>
      <w:r w:rsidRPr="00E8642C">
        <w:rPr>
          <w:rFonts w:cs="Arial"/>
          <w:iCs/>
          <w:szCs w:val="22"/>
        </w:rPr>
        <w:t>observations empiriques sur l</w:t>
      </w:r>
      <w:r w:rsidR="00D91476">
        <w:rPr>
          <w:rFonts w:cs="Arial"/>
          <w:iCs/>
          <w:szCs w:val="22"/>
        </w:rPr>
        <w:t>’</w:t>
      </w:r>
      <w:r w:rsidRPr="00E8642C">
        <w:rPr>
          <w:rFonts w:cs="Arial"/>
          <w:iCs/>
          <w:szCs w:val="22"/>
        </w:rPr>
        <w:t>environnement local et un système d</w:t>
      </w:r>
      <w:r w:rsidR="00D91476">
        <w:rPr>
          <w:rFonts w:cs="Arial"/>
          <w:iCs/>
          <w:szCs w:val="22"/>
        </w:rPr>
        <w:t>’</w:t>
      </w:r>
      <w:r w:rsidRPr="00E8642C">
        <w:rPr>
          <w:rFonts w:cs="Arial"/>
          <w:iCs/>
          <w:szCs w:val="22"/>
        </w:rPr>
        <w:t>autogestion qui régit l</w:t>
      </w:r>
      <w:r w:rsidR="00D91476">
        <w:rPr>
          <w:rFonts w:cs="Arial"/>
          <w:iCs/>
          <w:szCs w:val="22"/>
        </w:rPr>
        <w:t>’</w:t>
      </w:r>
      <w:r w:rsidRPr="00E8642C">
        <w:rPr>
          <w:rFonts w:cs="Arial"/>
          <w:iCs/>
          <w:szCs w:val="22"/>
        </w:rPr>
        <w:t>utilisation des ressourc</w:t>
      </w:r>
      <w:r w:rsidR="001F3AEE" w:rsidRPr="00E8642C">
        <w:rPr>
          <w:rFonts w:cs="Arial"/>
          <w:iCs/>
          <w:szCs w:val="22"/>
        </w:rPr>
        <w:t>es</w:t>
      </w:r>
      <w:r w:rsidR="001F3AEE">
        <w:rPr>
          <w:rFonts w:cs="Arial"/>
          <w:iCs/>
          <w:szCs w:val="22"/>
        </w:rPr>
        <w:t xml:space="preserve">.  </w:t>
      </w:r>
      <w:r w:rsidR="001F3AEE" w:rsidRPr="00E8642C">
        <w:rPr>
          <w:rFonts w:cs="Arial"/>
          <w:iCs/>
          <w:szCs w:val="22"/>
        </w:rPr>
        <w:t>Le</w:t>
      </w:r>
      <w:r w:rsidRPr="00E8642C">
        <w:rPr>
          <w:rFonts w:cs="Arial"/>
          <w:iCs/>
          <w:szCs w:val="22"/>
        </w:rPr>
        <w:t>s aspects écologiques sont étroitement liés aux aspects sociaux et spirituels du système de connaissanc</w:t>
      </w:r>
      <w:r w:rsidR="001F3AEE" w:rsidRPr="00E8642C">
        <w:rPr>
          <w:rFonts w:cs="Arial"/>
          <w:iCs/>
          <w:szCs w:val="22"/>
        </w:rPr>
        <w:t>es</w:t>
      </w:r>
      <w:r w:rsidR="001F3AEE">
        <w:rPr>
          <w:rFonts w:cs="Arial"/>
          <w:iCs/>
          <w:szCs w:val="22"/>
        </w:rPr>
        <w:t xml:space="preserve">.  </w:t>
      </w:r>
      <w:r w:rsidR="001F3AEE" w:rsidRPr="00E8642C">
        <w:rPr>
          <w:rFonts w:cs="Arial"/>
          <w:iCs/>
          <w:szCs w:val="22"/>
        </w:rPr>
        <w:t>Le</w:t>
      </w:r>
      <w:r w:rsidRPr="00E8642C">
        <w:rPr>
          <w:rFonts w:cs="Arial"/>
          <w:iCs/>
          <w:szCs w:val="22"/>
        </w:rPr>
        <w:t>ur quantité et leur qualité varient d</w:t>
      </w:r>
      <w:r w:rsidR="00D91476">
        <w:rPr>
          <w:rFonts w:cs="Arial"/>
          <w:iCs/>
          <w:szCs w:val="22"/>
        </w:rPr>
        <w:t>’</w:t>
      </w:r>
      <w:r w:rsidRPr="00E8642C">
        <w:rPr>
          <w:rFonts w:cs="Arial"/>
          <w:iCs/>
          <w:szCs w:val="22"/>
        </w:rPr>
        <w:t>un membre de la communauté à l</w:t>
      </w:r>
      <w:r w:rsidR="00D91476">
        <w:rPr>
          <w:rFonts w:cs="Arial"/>
          <w:iCs/>
          <w:szCs w:val="22"/>
        </w:rPr>
        <w:t>’</w:t>
      </w:r>
      <w:r w:rsidRPr="00E8642C">
        <w:rPr>
          <w:rFonts w:cs="Arial"/>
          <w:iCs/>
          <w:szCs w:val="22"/>
        </w:rPr>
        <w:t>autre, en fonction du sexe, de l</w:t>
      </w:r>
      <w:r w:rsidR="00D91476">
        <w:rPr>
          <w:rFonts w:cs="Arial"/>
          <w:iCs/>
          <w:szCs w:val="22"/>
        </w:rPr>
        <w:t>’</w:t>
      </w:r>
      <w:r w:rsidRPr="00E8642C">
        <w:rPr>
          <w:rFonts w:cs="Arial"/>
          <w:iCs/>
          <w:szCs w:val="22"/>
        </w:rPr>
        <w:t>âge, du statut social, des capacités intellectuelles et de la profession (chasseur, guide spirituel, guérisseur, etc.).  Alors que les origines de ces connaissances sont solidement ancrées dans le passé, ces connaissances sont à la fois cumulatives et dynamiques en ce sens qu</w:t>
      </w:r>
      <w:r w:rsidR="00D91476">
        <w:rPr>
          <w:rFonts w:cs="Arial"/>
          <w:iCs/>
          <w:szCs w:val="22"/>
        </w:rPr>
        <w:t>’</w:t>
      </w:r>
      <w:r w:rsidRPr="00E8642C">
        <w:rPr>
          <w:rFonts w:cs="Arial"/>
          <w:iCs/>
          <w:szCs w:val="22"/>
        </w:rPr>
        <w:t>elles s</w:t>
      </w:r>
      <w:r w:rsidR="00D91476">
        <w:rPr>
          <w:rFonts w:cs="Arial"/>
          <w:iCs/>
          <w:szCs w:val="22"/>
        </w:rPr>
        <w:t>’</w:t>
      </w:r>
      <w:r w:rsidRPr="00E8642C">
        <w:rPr>
          <w:rFonts w:cs="Arial"/>
          <w:iCs/>
          <w:szCs w:val="22"/>
        </w:rPr>
        <w:t>appuient sur l</w:t>
      </w:r>
      <w:r w:rsidR="00D91476">
        <w:rPr>
          <w:rFonts w:cs="Arial"/>
          <w:iCs/>
          <w:szCs w:val="22"/>
        </w:rPr>
        <w:t>’</w:t>
      </w:r>
      <w:r w:rsidRPr="00E8642C">
        <w:rPr>
          <w:rFonts w:cs="Arial"/>
          <w:iCs/>
          <w:szCs w:val="22"/>
        </w:rPr>
        <w:t>expérience des générations précédentes et s</w:t>
      </w:r>
      <w:r w:rsidR="00D91476">
        <w:rPr>
          <w:rFonts w:cs="Arial"/>
          <w:iCs/>
          <w:szCs w:val="22"/>
        </w:rPr>
        <w:t>’</w:t>
      </w:r>
      <w:r w:rsidRPr="00E8642C">
        <w:rPr>
          <w:rFonts w:cs="Arial"/>
          <w:iCs/>
          <w:szCs w:val="22"/>
        </w:rPr>
        <w:t>adaptent aux nouvelles évolutions techniques et socioéconomiques actuelles”</w:t>
      </w:r>
      <w:r w:rsidRPr="00E8642C">
        <w:rPr>
          <w:rFonts w:cs="Arial"/>
          <w:szCs w:val="22"/>
          <w:vertAlign w:val="superscript"/>
        </w:rPr>
        <w:footnoteReference w:id="33"/>
      </w:r>
      <w:r w:rsidRPr="00E8642C">
        <w:rPr>
          <w:rFonts w:cs="Arial"/>
          <w:iCs/>
          <w:szCs w:val="22"/>
        </w:rPr>
        <w:t>.</w:t>
      </w:r>
    </w:p>
    <w:p w:rsidR="00D23D81" w:rsidRDefault="00DD607D" w:rsidP="00D23D81">
      <w:pPr>
        <w:spacing w:after="220"/>
        <w:rPr>
          <w:rFonts w:cs="Arial"/>
          <w:iCs/>
          <w:szCs w:val="22"/>
        </w:rPr>
      </w:pPr>
      <w:r w:rsidRPr="00E8642C">
        <w:rPr>
          <w:rFonts w:cs="Arial"/>
          <w:szCs w:val="22"/>
        </w:rPr>
        <w:t>Les connaissances écologiques traditionnelles sont également définies comme “</w:t>
      </w:r>
      <w:r w:rsidRPr="00E8642C">
        <w:rPr>
          <w:rFonts w:cs="Arial"/>
          <w:iCs/>
          <w:szCs w:val="22"/>
        </w:rPr>
        <w:t>une accumulation de connaissances et de croyances, passant d</w:t>
      </w:r>
      <w:r w:rsidR="00D91476">
        <w:rPr>
          <w:rFonts w:cs="Arial"/>
          <w:iCs/>
          <w:szCs w:val="22"/>
        </w:rPr>
        <w:t>’</w:t>
      </w:r>
      <w:r w:rsidRPr="00E8642C">
        <w:rPr>
          <w:rFonts w:cs="Arial"/>
          <w:iCs/>
          <w:szCs w:val="22"/>
        </w:rPr>
        <w:t>une génération à l</w:t>
      </w:r>
      <w:r w:rsidR="00D91476">
        <w:rPr>
          <w:rFonts w:cs="Arial"/>
          <w:iCs/>
          <w:szCs w:val="22"/>
        </w:rPr>
        <w:t>’</w:t>
      </w:r>
      <w:r w:rsidRPr="00E8642C">
        <w:rPr>
          <w:rFonts w:cs="Arial"/>
          <w:iCs/>
          <w:szCs w:val="22"/>
        </w:rPr>
        <w:t>autre par transmission culturelle, concernant la relation entre les êtres vivants (</w:t>
      </w:r>
      <w:r w:rsidR="00D91476">
        <w:rPr>
          <w:rFonts w:cs="Arial"/>
          <w:iCs/>
          <w:szCs w:val="22"/>
        </w:rPr>
        <w:t>y compris</w:t>
      </w:r>
      <w:r w:rsidRPr="00E8642C">
        <w:rPr>
          <w:rFonts w:cs="Arial"/>
          <w:iCs/>
          <w:szCs w:val="22"/>
        </w:rPr>
        <w:t xml:space="preserve"> les êtres humains) et entre les êtres vivants et leur environneme</w:t>
      </w:r>
      <w:r w:rsidR="001F3AEE" w:rsidRPr="00E8642C">
        <w:rPr>
          <w:rFonts w:cs="Arial"/>
          <w:iCs/>
          <w:szCs w:val="22"/>
        </w:rPr>
        <w:t>nt</w:t>
      </w:r>
      <w:r w:rsidR="001F3AEE">
        <w:rPr>
          <w:rFonts w:cs="Arial"/>
          <w:iCs/>
          <w:szCs w:val="22"/>
        </w:rPr>
        <w:t xml:space="preserve">.  </w:t>
      </w:r>
      <w:r w:rsidR="001F3AEE" w:rsidRPr="00E8642C">
        <w:rPr>
          <w:rFonts w:cs="Arial"/>
          <w:iCs/>
          <w:szCs w:val="22"/>
        </w:rPr>
        <w:t>En</w:t>
      </w:r>
      <w:r w:rsidRPr="00E8642C">
        <w:rPr>
          <w:rFonts w:cs="Arial"/>
          <w:iCs/>
          <w:szCs w:val="22"/>
        </w:rPr>
        <w:t xml:space="preserve"> outre, ces connaissances sont un attribut des sociétés qui jouissent d</w:t>
      </w:r>
      <w:r w:rsidR="00D91476">
        <w:rPr>
          <w:rFonts w:cs="Arial"/>
          <w:iCs/>
          <w:szCs w:val="22"/>
        </w:rPr>
        <w:t>’</w:t>
      </w:r>
      <w:r w:rsidRPr="00E8642C">
        <w:rPr>
          <w:rFonts w:cs="Arial"/>
          <w:iCs/>
          <w:szCs w:val="22"/>
        </w:rPr>
        <w:t>une continuité historique en ce qui concerne les pratiques d</w:t>
      </w:r>
      <w:r w:rsidR="00D91476">
        <w:rPr>
          <w:rFonts w:cs="Arial"/>
          <w:iCs/>
          <w:szCs w:val="22"/>
        </w:rPr>
        <w:t>’</w:t>
      </w:r>
      <w:r w:rsidRPr="00E8642C">
        <w:rPr>
          <w:rFonts w:cs="Arial"/>
          <w:iCs/>
          <w:szCs w:val="22"/>
        </w:rPr>
        <w:t>utilisation des ressources;  dans l</w:t>
      </w:r>
      <w:r w:rsidR="00D91476">
        <w:rPr>
          <w:rFonts w:cs="Arial"/>
          <w:iCs/>
          <w:szCs w:val="22"/>
        </w:rPr>
        <w:t>’</w:t>
      </w:r>
      <w:r w:rsidRPr="00E8642C">
        <w:rPr>
          <w:rFonts w:cs="Arial"/>
          <w:iCs/>
          <w:szCs w:val="22"/>
        </w:rPr>
        <w:t>ensemble, ces sociétés ne sont pas industrialisées ou sont moins avancées sur le plan technique, la plupart d</w:t>
      </w:r>
      <w:r w:rsidR="00D91476">
        <w:rPr>
          <w:rFonts w:cs="Arial"/>
          <w:iCs/>
          <w:szCs w:val="22"/>
        </w:rPr>
        <w:t>’</w:t>
      </w:r>
      <w:r w:rsidRPr="00E8642C">
        <w:rPr>
          <w:rFonts w:cs="Arial"/>
          <w:iCs/>
          <w:szCs w:val="22"/>
        </w:rPr>
        <w:t>entre elles étant autochtones ou tribales</w:t>
      </w:r>
      <w:r w:rsidRPr="00E8642C">
        <w:rPr>
          <w:rFonts w:cs="Arial"/>
          <w:szCs w:val="22"/>
        </w:rPr>
        <w:t>”</w:t>
      </w:r>
      <w:r w:rsidRPr="00E8642C">
        <w:rPr>
          <w:rFonts w:cs="Arial"/>
          <w:szCs w:val="22"/>
          <w:vertAlign w:val="superscript"/>
        </w:rPr>
        <w:footnoteReference w:id="34"/>
      </w:r>
      <w:r w:rsidRPr="00E8642C">
        <w:rPr>
          <w:rFonts w:cs="Arial"/>
          <w:szCs w:val="22"/>
        </w:rPr>
        <w:t>.</w:t>
      </w:r>
    </w:p>
    <w:p w:rsidR="00D23D81" w:rsidRDefault="00DD607D" w:rsidP="00D23D81">
      <w:pPr>
        <w:pStyle w:val="Heading2"/>
        <w:spacing w:after="220" w:line="240" w:lineRule="auto"/>
      </w:pPr>
      <w:bookmarkStart w:id="30" w:name="_Toc7772507"/>
      <w:r w:rsidRPr="00E8642C">
        <w:t>Consentement préalable en connaissance de cause</w:t>
      </w:r>
      <w:bookmarkEnd w:id="30"/>
    </w:p>
    <w:p w:rsidR="00D23D81" w:rsidRDefault="00DD607D" w:rsidP="00D23D81">
      <w:pPr>
        <w:autoSpaceDE w:val="0"/>
        <w:autoSpaceDN w:val="0"/>
        <w:adjustRightInd w:val="0"/>
        <w:spacing w:after="220"/>
        <w:rPr>
          <w:rFonts w:cs="Arial"/>
          <w:szCs w:val="22"/>
        </w:rPr>
      </w:pPr>
      <w:r w:rsidRPr="00E8642C">
        <w:rPr>
          <w:rFonts w:cs="Arial"/>
          <w:szCs w:val="22"/>
        </w:rPr>
        <w:t>Un droit ou principe de “consentement préalable en connaissance de cause”, parfois dénommé “consentement préalable, libre et éclairé”, est mentionné ou sous</w:t>
      </w:r>
      <w:r w:rsidR="00400337">
        <w:rPr>
          <w:rFonts w:cs="Arial"/>
          <w:szCs w:val="22"/>
        </w:rPr>
        <w:noBreakHyphen/>
      </w:r>
      <w:r w:rsidRPr="00E8642C">
        <w:rPr>
          <w:rFonts w:cs="Arial"/>
          <w:szCs w:val="22"/>
        </w:rPr>
        <w:t>entendu dans plusieurs instruments internationaux, notamment dans le domaine environnemental, par exemple à l</w:t>
      </w:r>
      <w:r w:rsidR="00D91476">
        <w:rPr>
          <w:rFonts w:cs="Arial"/>
          <w:szCs w:val="22"/>
        </w:rPr>
        <w:t>’</w:t>
      </w:r>
      <w:r w:rsidRPr="00E8642C">
        <w:rPr>
          <w:rFonts w:cs="Arial"/>
          <w:szCs w:val="22"/>
        </w:rPr>
        <w:t xml:space="preserve">article 6.4) de la </w:t>
      </w:r>
      <w:r w:rsidRPr="00E8642C">
        <w:rPr>
          <w:rFonts w:cs="Arial"/>
          <w:i/>
          <w:szCs w:val="22"/>
        </w:rPr>
        <w:t>Convention de Bâle de 1989 sur le contrôle des mouvements transfrontières de déchets dangereux</w:t>
      </w:r>
      <w:r w:rsidRPr="00E8642C">
        <w:rPr>
          <w:rFonts w:cs="Arial"/>
          <w:szCs w:val="22"/>
        </w:rPr>
        <w:t xml:space="preserve"> et dans la </w:t>
      </w:r>
      <w:r w:rsidRPr="00E8642C">
        <w:rPr>
          <w:rFonts w:cs="Arial"/>
          <w:i/>
          <w:szCs w:val="22"/>
        </w:rPr>
        <w:t>Convention sur la diversité biologique</w:t>
      </w:r>
      <w:r w:rsidRPr="00E8642C">
        <w:rPr>
          <w:rFonts w:cs="Arial"/>
          <w:szCs w:val="22"/>
        </w:rPr>
        <w:t xml:space="preserve"> (1992).</w:t>
      </w:r>
    </w:p>
    <w:p w:rsidR="00D23D81" w:rsidRDefault="00DD607D" w:rsidP="00D23D81">
      <w:pPr>
        <w:spacing w:after="220"/>
        <w:rPr>
          <w:rFonts w:cs="Arial"/>
          <w:bCs/>
          <w:szCs w:val="22"/>
        </w:rPr>
      </w:pPr>
      <w:r w:rsidRPr="00E8642C">
        <w:rPr>
          <w:rFonts w:cs="Arial"/>
          <w:bCs/>
          <w:szCs w:val="22"/>
        </w:rPr>
        <w:t>En ce qui concerne l</w:t>
      </w:r>
      <w:r w:rsidR="00D91476">
        <w:rPr>
          <w:rFonts w:cs="Arial"/>
          <w:bCs/>
          <w:szCs w:val="22"/>
        </w:rPr>
        <w:t>’</w:t>
      </w:r>
      <w:r w:rsidRPr="00E8642C">
        <w:rPr>
          <w:rFonts w:cs="Arial"/>
          <w:bCs/>
          <w:szCs w:val="22"/>
        </w:rPr>
        <w:t>accès aux ressources génétiques, la </w:t>
      </w:r>
      <w:r w:rsidRPr="00E8642C">
        <w:rPr>
          <w:rFonts w:cs="Arial"/>
          <w:bCs/>
          <w:i/>
          <w:szCs w:val="22"/>
        </w:rPr>
        <w:t>Convention sur la diversité biologique</w:t>
      </w:r>
      <w:r w:rsidRPr="00E8642C">
        <w:rPr>
          <w:rFonts w:cs="Arial"/>
          <w:bCs/>
          <w:szCs w:val="22"/>
        </w:rPr>
        <w:t xml:space="preserve"> (1992) prévoit en son article 15.5) qu</w:t>
      </w:r>
      <w:r w:rsidR="00D91476">
        <w:rPr>
          <w:rFonts w:cs="Arial"/>
          <w:bCs/>
          <w:szCs w:val="22"/>
        </w:rPr>
        <w:t>’</w:t>
      </w:r>
      <w:r w:rsidRPr="00E8642C">
        <w:rPr>
          <w:rFonts w:cs="Arial"/>
          <w:bCs/>
          <w:szCs w:val="22"/>
        </w:rPr>
        <w:t>il est “</w:t>
      </w:r>
      <w:r w:rsidRPr="00E8642C">
        <w:rPr>
          <w:rFonts w:cs="Arial"/>
          <w:bCs/>
          <w:iCs/>
          <w:szCs w:val="22"/>
        </w:rPr>
        <w:t>soumis au consentement préalable donné en connaissance de cause de la Partie contractante qui fournit lesdites ressources, sauf décision contraire de cette Partie</w:t>
      </w:r>
      <w:r w:rsidRPr="00E8642C">
        <w:rPr>
          <w:rFonts w:cs="Arial"/>
          <w:bCs/>
          <w:szCs w:val="22"/>
        </w:rPr>
        <w:t>”.</w:t>
      </w:r>
    </w:p>
    <w:p w:rsidR="00D23D81" w:rsidRDefault="00DD607D" w:rsidP="00D23D81">
      <w:pPr>
        <w:spacing w:after="220"/>
      </w:pPr>
      <w:r w:rsidRPr="00E8642C">
        <w:t>L</w:t>
      </w:r>
      <w:r w:rsidR="00D91476">
        <w:t>’</w:t>
      </w:r>
      <w:r w:rsidRPr="00E8642C">
        <w:t>article 16.1) du Protocole de Nagoya sur l</w:t>
      </w:r>
      <w:r w:rsidR="00D91476">
        <w:t>’</w:t>
      </w:r>
      <w:r w:rsidRPr="00E8642C">
        <w:t>accès aux ressources génétiques et le partage juste et équitable des avantages découlant de leur utilisation relatif à la Convention sur la diversité biologique (2010) prévoit que “</w:t>
      </w:r>
      <w:r w:rsidRPr="00E8642C">
        <w:rPr>
          <w:iCs/>
        </w:rPr>
        <w:t>[c]</w:t>
      </w:r>
      <w:proofErr w:type="spellStart"/>
      <w:r w:rsidRPr="00E8642C">
        <w:rPr>
          <w:iCs/>
        </w:rPr>
        <w:t>haque</w:t>
      </w:r>
      <w:proofErr w:type="spellEnd"/>
      <w:r w:rsidRPr="00E8642C">
        <w:rPr>
          <w:iCs/>
        </w:rPr>
        <w:t xml:space="preserve"> Partie prend les mesures législatives, administratives ou de politique nécessaires pour assurer que l</w:t>
      </w:r>
      <w:r w:rsidR="00D91476">
        <w:rPr>
          <w:iCs/>
        </w:rPr>
        <w:t>’</w:t>
      </w:r>
      <w:r w:rsidRPr="00E8642C">
        <w:rPr>
          <w:iCs/>
        </w:rPr>
        <w:t>accès aux connaissances traditionnelles associées aux ressources génétiques exploitées dans leur juridiction a été soumis au consentement préalable donné en connaissance de cause ou à l</w:t>
      </w:r>
      <w:r w:rsidR="00D91476">
        <w:rPr>
          <w:iCs/>
        </w:rPr>
        <w:t>’</w:t>
      </w:r>
      <w:r w:rsidRPr="00E8642C">
        <w:rPr>
          <w:iCs/>
        </w:rPr>
        <w:t>accord et à la participation des communautés autochtones et locales et que des conditions convenues d</w:t>
      </w:r>
      <w:r w:rsidR="00D91476">
        <w:rPr>
          <w:iCs/>
        </w:rPr>
        <w:t>’</w:t>
      </w:r>
      <w:r w:rsidRPr="00E8642C">
        <w:rPr>
          <w:iCs/>
        </w:rPr>
        <w:t>un commun accord ont été établies, conformément à la législation ou aux exigences internes relatives à l</w:t>
      </w:r>
      <w:r w:rsidR="00D91476">
        <w:rPr>
          <w:iCs/>
        </w:rPr>
        <w:t>’</w:t>
      </w:r>
      <w:r w:rsidRPr="00E8642C">
        <w:rPr>
          <w:iCs/>
        </w:rPr>
        <w:t>accès et au partage des avantages de l</w:t>
      </w:r>
      <w:r w:rsidR="00D91476">
        <w:rPr>
          <w:iCs/>
        </w:rPr>
        <w:t>’</w:t>
      </w:r>
      <w:r w:rsidRPr="00E8642C">
        <w:rPr>
          <w:iCs/>
        </w:rPr>
        <w:t>autre Partie où ces communautés autochtones et locales sont situées</w:t>
      </w:r>
      <w:r w:rsidRPr="00E8642C">
        <w:t>”.</w:t>
      </w:r>
    </w:p>
    <w:p w:rsidR="00D23D81" w:rsidRDefault="00DD607D" w:rsidP="00D23D81">
      <w:pPr>
        <w:spacing w:after="220"/>
        <w:rPr>
          <w:rFonts w:cs="Arial"/>
          <w:szCs w:val="22"/>
        </w:rPr>
      </w:pPr>
      <w:r w:rsidRPr="00E8642C">
        <w:rPr>
          <w:rFonts w:cs="Arial"/>
          <w:szCs w:val="22"/>
        </w:rPr>
        <w:t>Cette notion est tirée à l</w:t>
      </w:r>
      <w:r w:rsidR="00D91476">
        <w:rPr>
          <w:rFonts w:cs="Arial"/>
          <w:szCs w:val="22"/>
        </w:rPr>
        <w:t>’</w:t>
      </w:r>
      <w:r w:rsidRPr="00E8642C">
        <w:rPr>
          <w:rFonts w:cs="Arial"/>
          <w:szCs w:val="22"/>
        </w:rPr>
        <w:t>origine de la déontologie médicale, qui reconnaît au patient le droit de décider de suivre ou non un traitement médical après avoir été pleinement informé des risques et des avantages de ce traiteme</w:t>
      </w:r>
      <w:r w:rsidR="001F3AEE" w:rsidRPr="00E8642C">
        <w:rPr>
          <w:rFonts w:cs="Arial"/>
          <w:szCs w:val="22"/>
        </w:rPr>
        <w:t>nt</w:t>
      </w:r>
      <w:r w:rsidR="001F3AEE">
        <w:rPr>
          <w:rFonts w:cs="Arial"/>
          <w:szCs w:val="22"/>
        </w:rPr>
        <w:t xml:space="preserve">.  </w:t>
      </w:r>
      <w:r w:rsidR="001F3AEE" w:rsidRPr="00E8642C">
        <w:rPr>
          <w:rFonts w:cs="Arial"/>
          <w:szCs w:val="22"/>
        </w:rPr>
        <w:t>Ai</w:t>
      </w:r>
      <w:r w:rsidRPr="00E8642C">
        <w:rPr>
          <w:rFonts w:cs="Arial"/>
          <w:szCs w:val="22"/>
        </w:rPr>
        <w:t xml:space="preserve">nsi, la </w:t>
      </w:r>
      <w:r w:rsidRPr="00E8642C">
        <w:rPr>
          <w:rFonts w:cs="Arial"/>
          <w:i/>
          <w:szCs w:val="22"/>
        </w:rPr>
        <w:t>Déclaration universelle sur le génome humain et les droits de l</w:t>
      </w:r>
      <w:r w:rsidR="00D91476">
        <w:rPr>
          <w:rFonts w:cs="Arial"/>
          <w:i/>
          <w:szCs w:val="22"/>
        </w:rPr>
        <w:t>’</w:t>
      </w:r>
      <w:r w:rsidRPr="00E8642C">
        <w:rPr>
          <w:rFonts w:cs="Arial"/>
          <w:i/>
          <w:szCs w:val="22"/>
        </w:rPr>
        <w:t>homme</w:t>
      </w:r>
      <w:r w:rsidRPr="00E8642C">
        <w:rPr>
          <w:rFonts w:cs="Arial"/>
          <w:szCs w:val="22"/>
        </w:rPr>
        <w:t xml:space="preserve"> de 1997 prévoit en son article 5 que, dans tous les cas, une recherche, un traitement ou un diagnostic portant sur le génome d</w:t>
      </w:r>
      <w:r w:rsidR="00D91476">
        <w:rPr>
          <w:rFonts w:cs="Arial"/>
          <w:szCs w:val="22"/>
        </w:rPr>
        <w:t>’</w:t>
      </w:r>
      <w:r w:rsidRPr="00E8642C">
        <w:rPr>
          <w:rFonts w:cs="Arial"/>
          <w:szCs w:val="22"/>
        </w:rPr>
        <w:t>un individu ne peut être effectué qu</w:t>
      </w:r>
      <w:r w:rsidR="00D91476">
        <w:rPr>
          <w:rFonts w:cs="Arial"/>
          <w:szCs w:val="22"/>
        </w:rPr>
        <w:t>’</w:t>
      </w:r>
      <w:r w:rsidRPr="00E8642C">
        <w:rPr>
          <w:rFonts w:cs="Arial"/>
          <w:szCs w:val="22"/>
        </w:rPr>
        <w:t>après une évaluation des risques et avantages potentiels fondée sur “le consentement préalable, libre et éclairé de l</w:t>
      </w:r>
      <w:r w:rsidR="00D91476">
        <w:rPr>
          <w:rFonts w:cs="Arial"/>
          <w:szCs w:val="22"/>
        </w:rPr>
        <w:t>’</w:t>
      </w:r>
      <w:r w:rsidRPr="00E8642C">
        <w:rPr>
          <w:rFonts w:cs="Arial"/>
          <w:szCs w:val="22"/>
        </w:rPr>
        <w:t>intéressé”.  L</w:t>
      </w:r>
      <w:r w:rsidR="00D91476">
        <w:rPr>
          <w:rFonts w:cs="Arial"/>
          <w:szCs w:val="22"/>
        </w:rPr>
        <w:t>’</w:t>
      </w:r>
      <w:r w:rsidRPr="00E8642C">
        <w:rPr>
          <w:rFonts w:cs="Arial"/>
          <w:szCs w:val="22"/>
        </w:rPr>
        <w:t xml:space="preserve">article 6 de la </w:t>
      </w:r>
      <w:r w:rsidRPr="00E8642C">
        <w:rPr>
          <w:rFonts w:cs="Arial"/>
          <w:i/>
          <w:szCs w:val="22"/>
        </w:rPr>
        <w:t>Déclaration sur la bioéthique et les droits de l</w:t>
      </w:r>
      <w:r w:rsidR="00D91476">
        <w:rPr>
          <w:rFonts w:cs="Arial"/>
          <w:i/>
          <w:szCs w:val="22"/>
        </w:rPr>
        <w:t>’</w:t>
      </w:r>
      <w:r w:rsidRPr="00E8642C">
        <w:rPr>
          <w:rFonts w:cs="Arial"/>
          <w:i/>
          <w:szCs w:val="22"/>
        </w:rPr>
        <w:t>homme</w:t>
      </w:r>
      <w:r w:rsidRPr="00E8642C">
        <w:rPr>
          <w:rFonts w:cs="Arial"/>
          <w:szCs w:val="22"/>
        </w:rPr>
        <w:t xml:space="preserve"> de 2005 </w:t>
      </w:r>
      <w:r w:rsidRPr="00E8642C">
        <w:rPr>
          <w:rFonts w:cs="Arial"/>
          <w:iCs/>
          <w:szCs w:val="22"/>
        </w:rPr>
        <w:t>de l</w:t>
      </w:r>
      <w:r w:rsidR="00D91476">
        <w:rPr>
          <w:rFonts w:cs="Arial"/>
          <w:iCs/>
          <w:szCs w:val="22"/>
        </w:rPr>
        <w:t>’</w:t>
      </w:r>
      <w:r w:rsidRPr="00E8642C">
        <w:rPr>
          <w:rFonts w:cs="Arial"/>
          <w:iCs/>
          <w:szCs w:val="22"/>
        </w:rPr>
        <w:t xml:space="preserve">Organisation des </w:t>
      </w:r>
      <w:r w:rsidR="00D91476">
        <w:rPr>
          <w:rFonts w:cs="Arial"/>
          <w:iCs/>
          <w:szCs w:val="22"/>
        </w:rPr>
        <w:t>Nations Unies</w:t>
      </w:r>
      <w:r w:rsidRPr="00E8642C">
        <w:rPr>
          <w:rFonts w:cs="Arial"/>
          <w:iCs/>
          <w:szCs w:val="22"/>
        </w:rPr>
        <w:t xml:space="preserve"> pour l</w:t>
      </w:r>
      <w:r w:rsidR="00D91476">
        <w:rPr>
          <w:rFonts w:cs="Arial"/>
          <w:iCs/>
          <w:szCs w:val="22"/>
        </w:rPr>
        <w:t>’</w:t>
      </w:r>
      <w:r w:rsidRPr="00E8642C">
        <w:rPr>
          <w:rFonts w:cs="Arial"/>
          <w:iCs/>
          <w:szCs w:val="22"/>
        </w:rPr>
        <w:t>éducation, la science et la culture (UNESCO)</w:t>
      </w:r>
      <w:r w:rsidRPr="00E8642C">
        <w:rPr>
          <w:rFonts w:cs="Arial"/>
          <w:i/>
          <w:szCs w:val="22"/>
        </w:rPr>
        <w:t xml:space="preserve"> </w:t>
      </w:r>
      <w:r w:rsidRPr="00E8642C">
        <w:rPr>
          <w:rFonts w:cs="Arial"/>
          <w:szCs w:val="22"/>
        </w:rPr>
        <w:t>exige “le consentement préalable, libre et éclairé de la personne concernée” pour toute “intervention médicale de caractère préventif, diagnostique ou thérapeutique” ou pour les “recherches scientifiques”.</w:t>
      </w:r>
    </w:p>
    <w:p w:rsidR="00D23D81" w:rsidRDefault="00DD607D" w:rsidP="00D23D81">
      <w:pPr>
        <w:spacing w:after="220"/>
        <w:rPr>
          <w:rFonts w:cs="Arial"/>
          <w:szCs w:val="22"/>
        </w:rPr>
      </w:pPr>
      <w:r w:rsidRPr="00E8642C">
        <w:rPr>
          <w:rFonts w:cs="Arial"/>
          <w:szCs w:val="22"/>
        </w:rPr>
        <w:t>Ce terme est tiré de l</w:t>
      </w:r>
      <w:r w:rsidR="00D91476">
        <w:rPr>
          <w:rFonts w:cs="Arial"/>
          <w:szCs w:val="22"/>
        </w:rPr>
        <w:t>’</w:t>
      </w:r>
      <w:r w:rsidRPr="00E8642C">
        <w:rPr>
          <w:rFonts w:cs="Arial"/>
          <w:szCs w:val="22"/>
        </w:rPr>
        <w:t>application du principe général de la participation des peuples autochtones à la prise de décision, à l</w:t>
      </w:r>
      <w:r w:rsidR="00D91476">
        <w:rPr>
          <w:rFonts w:cs="Arial"/>
          <w:szCs w:val="22"/>
        </w:rPr>
        <w:t>’</w:t>
      </w:r>
      <w:r w:rsidRPr="00E8642C">
        <w:rPr>
          <w:rFonts w:cs="Arial"/>
          <w:szCs w:val="22"/>
        </w:rPr>
        <w:t>élaboration, à la mise en œuvre et à l</w:t>
      </w:r>
      <w:r w:rsidR="00D91476">
        <w:rPr>
          <w:rFonts w:cs="Arial"/>
          <w:szCs w:val="22"/>
        </w:rPr>
        <w:t>’</w:t>
      </w:r>
      <w:r w:rsidRPr="00E8642C">
        <w:rPr>
          <w:rFonts w:cs="Arial"/>
          <w:szCs w:val="22"/>
        </w:rPr>
        <w:t>évaluation des programmes qui les intéressent</w:t>
      </w:r>
      <w:r w:rsidRPr="00E8642C">
        <w:rPr>
          <w:rStyle w:val="FootnoteReference"/>
          <w:rFonts w:cs="Arial"/>
          <w:szCs w:val="22"/>
        </w:rPr>
        <w:footnoteReference w:id="35"/>
      </w:r>
      <w:r w:rsidRPr="00E8642C">
        <w:rPr>
          <w:rFonts w:cs="Arial"/>
          <w:szCs w:val="22"/>
        </w:rPr>
        <w:t>.</w:t>
      </w:r>
    </w:p>
    <w:p w:rsidR="00D23D81"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utilisation de l</w:t>
      </w:r>
      <w:r w:rsidR="00D91476">
        <w:rPr>
          <w:rFonts w:cs="Arial"/>
          <w:szCs w:val="22"/>
        </w:rPr>
        <w:t>’</w:t>
      </w:r>
      <w:r w:rsidRPr="00E8642C">
        <w:rPr>
          <w:rFonts w:cs="Arial"/>
          <w:szCs w:val="22"/>
        </w:rPr>
        <w:t>adjectif “libre” vise à garantir qu</w:t>
      </w:r>
      <w:r w:rsidR="00D91476">
        <w:rPr>
          <w:rFonts w:cs="Arial"/>
          <w:szCs w:val="22"/>
        </w:rPr>
        <w:t>’</w:t>
      </w:r>
      <w:r w:rsidRPr="00E8642C">
        <w:rPr>
          <w:rFonts w:cs="Arial"/>
          <w:szCs w:val="22"/>
        </w:rPr>
        <w:t>aucune contrainte ni aucune manipulation n</w:t>
      </w:r>
      <w:r w:rsidR="00D91476">
        <w:rPr>
          <w:rFonts w:cs="Arial"/>
          <w:szCs w:val="22"/>
        </w:rPr>
        <w:t>’</w:t>
      </w:r>
      <w:r w:rsidRPr="00E8642C">
        <w:rPr>
          <w:rFonts w:cs="Arial"/>
          <w:szCs w:val="22"/>
        </w:rPr>
        <w:t>est exercée dans le cadre des négociations, tandis que le terme “préalable” marque la prise en considération de l</w:t>
      </w:r>
      <w:r w:rsidR="00D91476">
        <w:rPr>
          <w:rFonts w:cs="Arial"/>
          <w:szCs w:val="22"/>
        </w:rPr>
        <w:t>’</w:t>
      </w:r>
      <w:r w:rsidRPr="00E8642C">
        <w:rPr>
          <w:rFonts w:cs="Arial"/>
          <w:szCs w:val="22"/>
        </w:rPr>
        <w:t>importance qu</w:t>
      </w:r>
      <w:r w:rsidR="00D91476">
        <w:rPr>
          <w:rFonts w:cs="Arial"/>
          <w:szCs w:val="22"/>
        </w:rPr>
        <w:t>’</w:t>
      </w:r>
      <w:r w:rsidRPr="00E8642C">
        <w:rPr>
          <w:rFonts w:cs="Arial"/>
          <w:szCs w:val="22"/>
        </w:rPr>
        <w:t>il y a à accorder du temps aux peuples autochtones pour leur permettre d</w:t>
      </w:r>
      <w:r w:rsidR="00D91476">
        <w:rPr>
          <w:rFonts w:cs="Arial"/>
          <w:szCs w:val="22"/>
        </w:rPr>
        <w:t>’</w:t>
      </w:r>
      <w:r w:rsidRPr="00E8642C">
        <w:rPr>
          <w:rFonts w:cs="Arial"/>
          <w:szCs w:val="22"/>
        </w:rPr>
        <w:t>examiner pleinement les propositions dans les délais fixés pour parvenir à un consens</w:t>
      </w:r>
      <w:r w:rsidR="001F3AEE" w:rsidRPr="00E8642C">
        <w:rPr>
          <w:rFonts w:cs="Arial"/>
          <w:szCs w:val="22"/>
        </w:rPr>
        <w:t>us</w:t>
      </w:r>
      <w:r w:rsidR="001F3AEE">
        <w:rPr>
          <w:rFonts w:cs="Arial"/>
          <w:szCs w:val="22"/>
        </w:rPr>
        <w:t xml:space="preserve">.  </w:t>
      </w:r>
      <w:r w:rsidR="001F3AEE" w:rsidRPr="00E8642C">
        <w:rPr>
          <w:rFonts w:cs="Arial"/>
          <w:szCs w:val="22"/>
        </w:rPr>
        <w:t>Il</w:t>
      </w:r>
      <w:r w:rsidRPr="00E8642C">
        <w:rPr>
          <w:rFonts w:cs="Arial"/>
          <w:szCs w:val="22"/>
        </w:rPr>
        <w:t xml:space="preserve"> anticipe aussi sur le fait que les décisions, en particulier celles qui concernent des investissements importants en matière de développement, sont souvent prises à l</w:t>
      </w:r>
      <w:r w:rsidR="00D91476">
        <w:rPr>
          <w:rFonts w:cs="Arial"/>
          <w:szCs w:val="22"/>
        </w:rPr>
        <w:t>’</w:t>
      </w:r>
      <w:r w:rsidRPr="00E8642C">
        <w:rPr>
          <w:rFonts w:cs="Arial"/>
          <w:szCs w:val="22"/>
        </w:rPr>
        <w:t>avance avec les peuples autochton</w:t>
      </w:r>
      <w:r w:rsidR="001F3AEE" w:rsidRPr="00E8642C">
        <w:rPr>
          <w:rFonts w:cs="Arial"/>
          <w:szCs w:val="22"/>
        </w:rPr>
        <w:t>es</w:t>
      </w:r>
      <w:r w:rsidR="001F3AEE">
        <w:rPr>
          <w:rFonts w:cs="Arial"/>
          <w:szCs w:val="22"/>
        </w:rPr>
        <w:t xml:space="preserve">.  </w:t>
      </w:r>
      <w:r w:rsidR="001F3AEE" w:rsidRPr="00E8642C">
        <w:rPr>
          <w:rFonts w:cs="Arial"/>
          <w:szCs w:val="22"/>
        </w:rPr>
        <w:t>La</w:t>
      </w:r>
      <w:r w:rsidRPr="00E8642C">
        <w:rPr>
          <w:rFonts w:cs="Arial"/>
          <w:szCs w:val="22"/>
        </w:rPr>
        <w:t xml:space="preserve"> notion de consentement “éclairé” illustre le fait qu</w:t>
      </w:r>
      <w:r w:rsidR="00D91476">
        <w:rPr>
          <w:rFonts w:cs="Arial"/>
          <w:szCs w:val="22"/>
        </w:rPr>
        <w:t>’</w:t>
      </w:r>
      <w:r w:rsidRPr="00E8642C">
        <w:rPr>
          <w:rFonts w:cs="Arial"/>
          <w:szCs w:val="22"/>
        </w:rPr>
        <w:t>il est de plus en plus largement admis que l</w:t>
      </w:r>
      <w:r w:rsidR="00D91476">
        <w:rPr>
          <w:rFonts w:cs="Arial"/>
          <w:szCs w:val="22"/>
        </w:rPr>
        <w:t>’</w:t>
      </w:r>
      <w:r w:rsidRPr="00E8642C">
        <w:rPr>
          <w:rFonts w:cs="Arial"/>
          <w:szCs w:val="22"/>
        </w:rPr>
        <w:t>évaluation de l</w:t>
      </w:r>
      <w:r w:rsidR="00D91476">
        <w:rPr>
          <w:rFonts w:cs="Arial"/>
          <w:szCs w:val="22"/>
        </w:rPr>
        <w:t>’</w:t>
      </w:r>
      <w:r w:rsidRPr="00E8642C">
        <w:rPr>
          <w:rFonts w:cs="Arial"/>
          <w:szCs w:val="22"/>
        </w:rPr>
        <w:t>impact social et environnemental constitue une condition préalable à tout processus de négociation et permet à toutes les parties de prendre des décisions équilibrées.</w:t>
      </w:r>
    </w:p>
    <w:p w:rsidR="00D23D81" w:rsidRDefault="00DD607D" w:rsidP="00D23D81">
      <w:pPr>
        <w:spacing w:after="220"/>
        <w:rPr>
          <w:rFonts w:cs="Arial"/>
          <w:szCs w:val="22"/>
        </w:rPr>
      </w:pPr>
      <w:r w:rsidRPr="00E8642C">
        <w:rPr>
          <w:rFonts w:cs="Arial"/>
          <w:szCs w:val="22"/>
        </w:rPr>
        <w:t>Le “consentement” est un processus d</w:t>
      </w:r>
      <w:r w:rsidR="00D91476">
        <w:rPr>
          <w:rFonts w:cs="Arial"/>
          <w:szCs w:val="22"/>
        </w:rPr>
        <w:t>’</w:t>
      </w:r>
      <w:r w:rsidRPr="00E8642C">
        <w:rPr>
          <w:rFonts w:cs="Arial"/>
          <w:szCs w:val="22"/>
        </w:rPr>
        <w:t>autorisation fondé sur la relation entre les parties ou la confian</w:t>
      </w:r>
      <w:r w:rsidR="001F3AEE" w:rsidRPr="00E8642C">
        <w:rPr>
          <w:rFonts w:cs="Arial"/>
          <w:szCs w:val="22"/>
        </w:rPr>
        <w:t>ce</w:t>
      </w:r>
      <w:r w:rsidR="001F3AEE">
        <w:rPr>
          <w:rFonts w:cs="Arial"/>
          <w:szCs w:val="22"/>
        </w:rPr>
        <w:t xml:space="preserve">.  </w:t>
      </w:r>
      <w:r w:rsidR="001F3AEE" w:rsidRPr="00E8642C">
        <w:rPr>
          <w:rFonts w:cs="Arial"/>
          <w:szCs w:val="22"/>
        </w:rPr>
        <w:t>Le</w:t>
      </w:r>
      <w:r w:rsidRPr="00E8642C">
        <w:rPr>
          <w:rFonts w:cs="Arial"/>
          <w:szCs w:val="22"/>
        </w:rPr>
        <w:t xml:space="preserve"> consentement éclairé signifie que des explications claires sont fournies, accompagnées d</w:t>
      </w:r>
      <w:r w:rsidR="00D91476">
        <w:rPr>
          <w:rFonts w:cs="Arial"/>
          <w:szCs w:val="22"/>
        </w:rPr>
        <w:t>’</w:t>
      </w:r>
      <w:r w:rsidRPr="00E8642C">
        <w:rPr>
          <w:rFonts w:cs="Arial"/>
          <w:szCs w:val="22"/>
        </w:rPr>
        <w:t>informations détaillées sur le contrat, les avantages éventuels, les incidences et les utilisations futur</w:t>
      </w:r>
      <w:r w:rsidR="001F3AEE" w:rsidRPr="00E8642C">
        <w:rPr>
          <w:rFonts w:cs="Arial"/>
          <w:szCs w:val="22"/>
        </w:rPr>
        <w:t>es</w:t>
      </w:r>
      <w:r w:rsidR="001F3AEE">
        <w:rPr>
          <w:rFonts w:cs="Arial"/>
          <w:szCs w:val="22"/>
        </w:rPr>
        <w:t xml:space="preserve">.  </w:t>
      </w:r>
      <w:r w:rsidR="001F3AEE" w:rsidRPr="00E8642C">
        <w:rPr>
          <w:rFonts w:cs="Arial"/>
          <w:szCs w:val="22"/>
        </w:rPr>
        <w:t>Le</w:t>
      </w:r>
      <w:r w:rsidRPr="00E8642C">
        <w:rPr>
          <w:rFonts w:cs="Arial"/>
          <w:szCs w:val="22"/>
        </w:rPr>
        <w:t xml:space="preserve"> processus doit être transparent et le texte pleinement compris par les peuples autochtones</w:t>
      </w:r>
      <w:r w:rsidRPr="00E8642C">
        <w:rPr>
          <w:rStyle w:val="FootnoteReference"/>
          <w:rFonts w:cs="Arial"/>
          <w:szCs w:val="22"/>
        </w:rPr>
        <w:footnoteReference w:id="36"/>
      </w:r>
      <w:r w:rsidRPr="00E8642C">
        <w:rPr>
          <w:rFonts w:cs="Arial"/>
          <w:szCs w:val="22"/>
        </w:rPr>
        <w:t>.</w:t>
      </w:r>
    </w:p>
    <w:p w:rsidR="00D23D81" w:rsidRDefault="00DD607D" w:rsidP="00D23D81">
      <w:pPr>
        <w:pStyle w:val="Heading2"/>
        <w:keepLines/>
        <w:spacing w:after="220" w:line="240" w:lineRule="auto"/>
        <w:rPr>
          <w:i/>
        </w:rPr>
      </w:pPr>
      <w:bookmarkStart w:id="31" w:name="_Toc7772508"/>
      <w:r w:rsidRPr="00E8642C">
        <w:t>Conservation</w:t>
      </w:r>
      <w:r w:rsidRPr="00E8642C">
        <w:rPr>
          <w:i/>
        </w:rPr>
        <w:t xml:space="preserve"> ex situ</w:t>
      </w:r>
      <w:bookmarkEnd w:id="31"/>
    </w:p>
    <w:p w:rsidR="00D23D81" w:rsidRDefault="00DD607D" w:rsidP="00D23D81">
      <w:pPr>
        <w:keepNext/>
        <w:keepLines/>
        <w:spacing w:after="220"/>
        <w:rPr>
          <w:rFonts w:cs="Arial"/>
          <w:bCs/>
          <w:szCs w:val="22"/>
        </w:rPr>
      </w:pPr>
      <w:r w:rsidRPr="00E8642C">
        <w:rPr>
          <w:rFonts w:cs="Arial"/>
          <w:bCs/>
          <w:szCs w:val="22"/>
        </w:rPr>
        <w:t>Il peut être déduit de la définition de l</w:t>
      </w:r>
      <w:r w:rsidR="00D91476">
        <w:rPr>
          <w:rFonts w:cs="Arial"/>
          <w:bCs/>
          <w:szCs w:val="22"/>
        </w:rPr>
        <w:t>’</w:t>
      </w:r>
      <w:r w:rsidRPr="00E8642C">
        <w:rPr>
          <w:rFonts w:cs="Arial"/>
          <w:bCs/>
          <w:szCs w:val="22"/>
        </w:rPr>
        <w:t xml:space="preserve">expression “conservation </w:t>
      </w:r>
      <w:r w:rsidRPr="00E8642C">
        <w:rPr>
          <w:rFonts w:cs="Arial"/>
          <w:bCs/>
          <w:i/>
          <w:iCs/>
          <w:szCs w:val="22"/>
        </w:rPr>
        <w:t>ex situ</w:t>
      </w:r>
      <w:r w:rsidRPr="00E8642C">
        <w:rPr>
          <w:rFonts w:cs="Arial"/>
          <w:bCs/>
          <w:szCs w:val="22"/>
        </w:rPr>
        <w:t>” figurant à l</w:t>
      </w:r>
      <w:r w:rsidR="00D91476">
        <w:rPr>
          <w:rFonts w:cs="Arial"/>
          <w:bCs/>
          <w:szCs w:val="22"/>
        </w:rPr>
        <w:t>’</w:t>
      </w:r>
      <w:r w:rsidRPr="00E8642C">
        <w:rPr>
          <w:rFonts w:cs="Arial"/>
          <w:bCs/>
          <w:szCs w:val="22"/>
        </w:rPr>
        <w:t>article 2 de la </w:t>
      </w:r>
      <w:r w:rsidRPr="00E8642C">
        <w:rPr>
          <w:rFonts w:cs="Arial"/>
          <w:bCs/>
          <w:i/>
          <w:szCs w:val="22"/>
        </w:rPr>
        <w:t xml:space="preserve">Convention sur la diversité biologique </w:t>
      </w:r>
      <w:r w:rsidRPr="00E8642C">
        <w:rPr>
          <w:rFonts w:cs="Arial"/>
          <w:bCs/>
          <w:szCs w:val="22"/>
        </w:rPr>
        <w:t>(1992) que le terme “</w:t>
      </w:r>
      <w:r w:rsidRPr="00E8642C">
        <w:rPr>
          <w:rFonts w:cs="Arial"/>
          <w:bCs/>
          <w:i/>
          <w:iCs/>
          <w:szCs w:val="22"/>
        </w:rPr>
        <w:t>ex situ</w:t>
      </w:r>
      <w:r w:rsidRPr="00E8642C">
        <w:rPr>
          <w:rFonts w:cs="Arial"/>
          <w:bCs/>
          <w:szCs w:val="22"/>
        </w:rPr>
        <w:t>” se rapporte à “</w:t>
      </w:r>
      <w:r w:rsidRPr="00E8642C">
        <w:rPr>
          <w:rFonts w:cs="Arial"/>
          <w:bCs/>
          <w:iCs/>
          <w:szCs w:val="22"/>
        </w:rPr>
        <w:t>des éléments constitutifs de la diversité biologique en dehors de leur milieu naturel</w:t>
      </w:r>
      <w:r w:rsidRPr="00E8642C">
        <w:rPr>
          <w:rFonts w:cs="Arial"/>
          <w:bCs/>
          <w:szCs w:val="22"/>
        </w:rPr>
        <w:t>”.</w:t>
      </w:r>
    </w:p>
    <w:p w:rsidR="00DD607D" w:rsidRPr="00E8642C" w:rsidRDefault="00DD607D" w:rsidP="00D23D81">
      <w:pPr>
        <w:pStyle w:val="Heading2"/>
        <w:spacing w:after="220" w:line="240" w:lineRule="auto"/>
      </w:pPr>
      <w:bookmarkStart w:id="32" w:name="_Toc7772509"/>
      <w:r w:rsidRPr="00E8642C">
        <w:t>Consultation</w:t>
      </w:r>
      <w:bookmarkEnd w:id="32"/>
    </w:p>
    <w:p w:rsidR="00D23D81" w:rsidRDefault="00DD607D" w:rsidP="00D23D81">
      <w:pPr>
        <w:pStyle w:val="FootnoteText"/>
        <w:spacing w:after="220"/>
        <w:ind w:left="0" w:firstLine="0"/>
        <w:rPr>
          <w:rFonts w:cs="Arial"/>
          <w:szCs w:val="22"/>
        </w:rPr>
      </w:pPr>
      <w:r w:rsidRPr="00E8642C">
        <w:rPr>
          <w:rFonts w:cs="Arial"/>
          <w:szCs w:val="22"/>
        </w:rPr>
        <w:t xml:space="preserve">Selon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la consultation est l</w:t>
      </w:r>
      <w:r w:rsidR="00D91476">
        <w:rPr>
          <w:rFonts w:cs="Arial"/>
          <w:szCs w:val="22"/>
        </w:rPr>
        <w:t>’</w:t>
      </w:r>
      <w:r w:rsidRPr="00E8642C">
        <w:rPr>
          <w:rFonts w:cs="Arial"/>
          <w:szCs w:val="22"/>
        </w:rPr>
        <w:t>acte consistant à demander l</w:t>
      </w:r>
      <w:r w:rsidR="00D91476">
        <w:rPr>
          <w:rFonts w:cs="Arial"/>
          <w:szCs w:val="22"/>
        </w:rPr>
        <w:t>’</w:t>
      </w:r>
      <w:r w:rsidRPr="00E8642C">
        <w:rPr>
          <w:rFonts w:cs="Arial"/>
          <w:szCs w:val="22"/>
        </w:rPr>
        <w:t>avis ou l</w:t>
      </w:r>
      <w:r w:rsidR="00D91476">
        <w:rPr>
          <w:rFonts w:cs="Arial"/>
          <w:szCs w:val="22"/>
        </w:rPr>
        <w:t>’</w:t>
      </w:r>
      <w:r w:rsidRPr="00E8642C">
        <w:rPr>
          <w:rFonts w:cs="Arial"/>
          <w:szCs w:val="22"/>
        </w:rPr>
        <w:t>opinion de quelqu</w:t>
      </w:r>
      <w:r w:rsidR="00D91476">
        <w:rPr>
          <w:rFonts w:cs="Arial"/>
          <w:szCs w:val="22"/>
        </w:rPr>
        <w:t>’</w:t>
      </w:r>
      <w:r w:rsidRPr="00E8642C">
        <w:rPr>
          <w:rFonts w:cs="Arial"/>
          <w:szCs w:val="22"/>
        </w:rPr>
        <w:t>un (par exemple, un juriste).</w:t>
      </w:r>
    </w:p>
    <w:p w:rsidR="00D23D81" w:rsidRDefault="00DD607D" w:rsidP="00D23D81">
      <w:pPr>
        <w:pStyle w:val="FootnoteText"/>
        <w:spacing w:after="220"/>
        <w:ind w:left="0" w:firstLine="0"/>
        <w:rPr>
          <w:rFonts w:cs="Arial"/>
          <w:szCs w:val="22"/>
        </w:rPr>
      </w:pPr>
      <w:r w:rsidRPr="00E8642C">
        <w:rPr>
          <w:rFonts w:cs="Arial"/>
          <w:szCs w:val="22"/>
        </w:rPr>
        <w:t>Une source indique que la consultation renvoie au processus selon lequel les gens échangent des vues et des informatio</w:t>
      </w:r>
      <w:r w:rsidR="001F3AEE" w:rsidRPr="00E8642C">
        <w:rPr>
          <w:rFonts w:cs="Arial"/>
          <w:szCs w:val="22"/>
        </w:rPr>
        <w:t>ns</w:t>
      </w:r>
      <w:r w:rsidR="001F3AEE">
        <w:rPr>
          <w:rFonts w:cs="Arial"/>
          <w:szCs w:val="22"/>
        </w:rPr>
        <w:t xml:space="preserve">.  </w:t>
      </w:r>
      <w:r w:rsidR="001F3AEE" w:rsidRPr="00E8642C">
        <w:rPr>
          <w:rFonts w:cs="Arial"/>
          <w:szCs w:val="22"/>
        </w:rPr>
        <w:t>Il</w:t>
      </w:r>
      <w:r w:rsidRPr="00E8642C">
        <w:rPr>
          <w:rFonts w:cs="Arial"/>
          <w:szCs w:val="22"/>
        </w:rPr>
        <w:t xml:space="preserve"> ne s</w:t>
      </w:r>
      <w:r w:rsidR="00D91476">
        <w:rPr>
          <w:rFonts w:cs="Arial"/>
          <w:szCs w:val="22"/>
        </w:rPr>
        <w:t>’</w:t>
      </w:r>
      <w:r w:rsidRPr="00E8642C">
        <w:rPr>
          <w:rFonts w:cs="Arial"/>
          <w:szCs w:val="22"/>
        </w:rPr>
        <w:t>agit pas d</w:t>
      </w:r>
      <w:r w:rsidR="00D91476">
        <w:rPr>
          <w:rFonts w:cs="Arial"/>
          <w:szCs w:val="22"/>
        </w:rPr>
        <w:t>’</w:t>
      </w:r>
      <w:r w:rsidRPr="00E8642C">
        <w:rPr>
          <w:rFonts w:cs="Arial"/>
          <w:szCs w:val="22"/>
        </w:rPr>
        <w:t>un processus à sens unique mais d</w:t>
      </w:r>
      <w:r w:rsidR="00D91476">
        <w:rPr>
          <w:rFonts w:cs="Arial"/>
          <w:szCs w:val="22"/>
        </w:rPr>
        <w:t>’</w:t>
      </w:r>
      <w:r w:rsidRPr="00E8642C">
        <w:rPr>
          <w:rFonts w:cs="Arial"/>
          <w:szCs w:val="22"/>
        </w:rPr>
        <w:t>un processus de partage des savoirs et des opinio</w:t>
      </w:r>
      <w:r w:rsidR="001F3AEE" w:rsidRPr="00E8642C">
        <w:rPr>
          <w:rFonts w:cs="Arial"/>
          <w:szCs w:val="22"/>
        </w:rPr>
        <w:t>ns</w:t>
      </w:r>
      <w:r w:rsidR="001F3AEE">
        <w:rPr>
          <w:rFonts w:cs="Arial"/>
          <w:szCs w:val="22"/>
        </w:rPr>
        <w:t xml:space="preserve">.  </w:t>
      </w:r>
      <w:r w:rsidR="001F3AEE" w:rsidRPr="00E8642C">
        <w:rPr>
          <w:rFonts w:cs="Arial"/>
          <w:szCs w:val="22"/>
        </w:rPr>
        <w:t>La</w:t>
      </w:r>
      <w:r w:rsidRPr="00E8642C">
        <w:rPr>
          <w:rFonts w:cs="Arial"/>
          <w:szCs w:val="22"/>
        </w:rPr>
        <w:t xml:space="preserve"> consultation signifie travailler ensemble, écouter ce que l</w:t>
      </w:r>
      <w:r w:rsidR="00D91476">
        <w:rPr>
          <w:rFonts w:cs="Arial"/>
          <w:szCs w:val="22"/>
        </w:rPr>
        <w:t>’</w:t>
      </w:r>
      <w:r w:rsidRPr="00E8642C">
        <w:rPr>
          <w:rFonts w:cs="Arial"/>
          <w:szCs w:val="22"/>
        </w:rPr>
        <w:t>autre partie a à dire et réagir en fonction de ce qui a été d</w:t>
      </w:r>
      <w:r w:rsidR="001F3AEE" w:rsidRPr="00E8642C">
        <w:rPr>
          <w:rFonts w:cs="Arial"/>
          <w:szCs w:val="22"/>
        </w:rPr>
        <w:t>it</w:t>
      </w:r>
      <w:r w:rsidR="001F3AEE">
        <w:rPr>
          <w:rFonts w:cs="Arial"/>
          <w:szCs w:val="22"/>
        </w:rPr>
        <w:t xml:space="preserve">.  </w:t>
      </w:r>
      <w:bookmarkStart w:id="33" w:name="_Ref292464692"/>
      <w:r w:rsidR="001F3AEE" w:rsidRPr="00E8642C">
        <w:rPr>
          <w:rFonts w:cs="Arial"/>
          <w:szCs w:val="22"/>
        </w:rPr>
        <w:t>Se</w:t>
      </w:r>
      <w:r w:rsidRPr="00E8642C">
        <w:rPr>
          <w:rFonts w:cs="Arial"/>
          <w:szCs w:val="22"/>
        </w:rPr>
        <w:t>lon certains, la consultation et le consentement des communautés autochtones sont li</w:t>
      </w:r>
      <w:r w:rsidR="001F3AEE" w:rsidRPr="00E8642C">
        <w:rPr>
          <w:rFonts w:cs="Arial"/>
          <w:szCs w:val="22"/>
        </w:rPr>
        <w:t>és</w:t>
      </w:r>
      <w:r w:rsidR="001F3AEE">
        <w:rPr>
          <w:rFonts w:cs="Arial"/>
          <w:szCs w:val="22"/>
        </w:rPr>
        <w:t xml:space="preserve">.  </w:t>
      </w:r>
      <w:r w:rsidR="001F3AEE" w:rsidRPr="00E8642C">
        <w:rPr>
          <w:rFonts w:cs="Arial"/>
          <w:szCs w:val="22"/>
        </w:rPr>
        <w:t>Pa</w:t>
      </w:r>
      <w:r w:rsidRPr="00E8642C">
        <w:rPr>
          <w:rFonts w:cs="Arial"/>
          <w:szCs w:val="22"/>
        </w:rPr>
        <w:t>r la consultation, un utilisateur tiers peut arriver à comprendre ce qui appelle un consentement et le peuple adéquat auquel le donner, et le peuple qui donne le consentement peut mieux comprendre ce à quoi il consent</w:t>
      </w:r>
      <w:r w:rsidRPr="00E8642C">
        <w:rPr>
          <w:rStyle w:val="FootnoteReference"/>
          <w:rFonts w:cs="Arial"/>
          <w:szCs w:val="22"/>
        </w:rPr>
        <w:footnoteReference w:id="37"/>
      </w:r>
      <w:bookmarkEnd w:id="33"/>
      <w:r w:rsidRPr="00E8642C">
        <w:rPr>
          <w:rFonts w:cs="Arial"/>
          <w:szCs w:val="22"/>
        </w:rPr>
        <w:t>.</w:t>
      </w:r>
    </w:p>
    <w:p w:rsidR="00D23D81" w:rsidRDefault="00DD607D" w:rsidP="00D23D81">
      <w:pPr>
        <w:pStyle w:val="FootnoteText"/>
        <w:spacing w:after="220"/>
        <w:ind w:left="0" w:firstLine="0"/>
        <w:rPr>
          <w:rFonts w:cs="Arial"/>
          <w:snapToGrid w:val="0"/>
          <w:szCs w:val="22"/>
        </w:rPr>
      </w:pPr>
      <w:r w:rsidRPr="00E8642C">
        <w:rPr>
          <w:rFonts w:cs="Arial"/>
          <w:snapToGrid w:val="0"/>
          <w:szCs w:val="22"/>
        </w:rPr>
        <w:t xml:space="preserve">La </w:t>
      </w:r>
      <w:r w:rsidRPr="00E8642C">
        <w:rPr>
          <w:rFonts w:cs="Arial"/>
          <w:i/>
          <w:snapToGrid w:val="0"/>
          <w:szCs w:val="22"/>
        </w:rPr>
        <w:t>Convention n° 169</w:t>
      </w:r>
      <w:r w:rsidRPr="00E8642C">
        <w:rPr>
          <w:rFonts w:cs="Arial"/>
          <w:snapToGrid w:val="0"/>
          <w:szCs w:val="22"/>
        </w:rPr>
        <w:t xml:space="preserve"> </w:t>
      </w:r>
      <w:r w:rsidRPr="00E8642C">
        <w:rPr>
          <w:rFonts w:cs="Arial"/>
          <w:i/>
          <w:snapToGrid w:val="0"/>
          <w:szCs w:val="22"/>
        </w:rPr>
        <w:t>concernant les peuples indigènes et tribaux dans les pays indépendants</w:t>
      </w:r>
      <w:r w:rsidRPr="00E8642C">
        <w:rPr>
          <w:rFonts w:cs="Arial"/>
          <w:snapToGrid w:val="0"/>
          <w:szCs w:val="22"/>
        </w:rPr>
        <w:t xml:space="preserve"> (1989) du Bureau international du Travail (BIT) prévoit que les consultations doivent être menées “de bonne foi et sous une forme appropriée aux circonstances, en vue de parvenir à un accord ou d</w:t>
      </w:r>
      <w:r w:rsidR="00D91476">
        <w:rPr>
          <w:rFonts w:cs="Arial"/>
          <w:snapToGrid w:val="0"/>
          <w:szCs w:val="22"/>
        </w:rPr>
        <w:t>’</w:t>
      </w:r>
      <w:r w:rsidRPr="00E8642C">
        <w:rPr>
          <w:rFonts w:cs="Arial"/>
          <w:snapToGrid w:val="0"/>
          <w:szCs w:val="22"/>
        </w:rPr>
        <w:t>obtenir un consentement au sujet des mesures envisagées” (article 6.2)).</w:t>
      </w:r>
    </w:p>
    <w:p w:rsidR="00D23D81" w:rsidRDefault="00DD607D" w:rsidP="00D23D81">
      <w:pPr>
        <w:pStyle w:val="Heading2"/>
        <w:spacing w:after="220" w:line="240" w:lineRule="auto"/>
      </w:pPr>
      <w:bookmarkStart w:id="34" w:name="_Toc7772510"/>
      <w:r w:rsidRPr="00E8642C">
        <w:t>Contexte coutumier</w:t>
      </w:r>
      <w:bookmarkEnd w:id="34"/>
    </w:p>
    <w:p w:rsidR="00D23D81" w:rsidRDefault="00DD607D" w:rsidP="00D23D81">
      <w:pPr>
        <w:pStyle w:val="FootnoteText"/>
        <w:keepNext/>
        <w:spacing w:after="220"/>
        <w:ind w:left="0" w:firstLine="0"/>
        <w:rPr>
          <w:rFonts w:cs="Arial"/>
          <w:szCs w:val="22"/>
        </w:rPr>
      </w:pPr>
      <w:r w:rsidRPr="00E8642C">
        <w:rPr>
          <w:rFonts w:cs="Arial"/>
          <w:szCs w:val="22"/>
        </w:rPr>
        <w:t>Par “contexte coutumier”, il faut entendre la façon d</w:t>
      </w:r>
      <w:r w:rsidR="00D91476">
        <w:rPr>
          <w:rFonts w:cs="Arial"/>
          <w:szCs w:val="22"/>
        </w:rPr>
        <w:t>’</w:t>
      </w:r>
      <w:r w:rsidRPr="00E8642C">
        <w:rPr>
          <w:rFonts w:cs="Arial"/>
          <w:szCs w:val="22"/>
        </w:rPr>
        <w:t>utiliser une expression culturelle traditionnelle selon les pratiques de la vie quotidienne de la communauté, par exemple la façon dont les artisans locaux vendent habituellement des exemplaires d</w:t>
      </w:r>
      <w:r w:rsidR="00D91476">
        <w:rPr>
          <w:rFonts w:cs="Arial"/>
          <w:szCs w:val="22"/>
        </w:rPr>
        <w:t>’</w:t>
      </w:r>
      <w:r w:rsidRPr="00E8642C">
        <w:rPr>
          <w:rFonts w:cs="Arial"/>
          <w:szCs w:val="22"/>
        </w:rPr>
        <w:t>expressions tangibles du folklore</w:t>
      </w:r>
      <w:r w:rsidRPr="00E8642C">
        <w:rPr>
          <w:rStyle w:val="FootnoteReference"/>
          <w:rFonts w:cs="Arial"/>
          <w:szCs w:val="22"/>
        </w:rPr>
        <w:footnoteReference w:id="38"/>
      </w:r>
      <w:r w:rsidRPr="00E8642C">
        <w:rPr>
          <w:rFonts w:cs="Arial"/>
          <w:szCs w:val="22"/>
        </w:rPr>
        <w:t>.</w:t>
      </w:r>
    </w:p>
    <w:p w:rsidR="00D23D81" w:rsidRDefault="00DD607D" w:rsidP="00D23D81">
      <w:pPr>
        <w:pStyle w:val="Heading2"/>
        <w:spacing w:after="220" w:line="240" w:lineRule="auto"/>
      </w:pPr>
      <w:bookmarkStart w:id="35" w:name="_Toc7772511"/>
      <w:r w:rsidRPr="00E8642C">
        <w:t>Contexte traditionnel</w:t>
      </w:r>
      <w:bookmarkEnd w:id="35"/>
    </w:p>
    <w:p w:rsidR="00D23D81" w:rsidRDefault="00DD607D" w:rsidP="00D23D81">
      <w:pPr>
        <w:spacing w:after="220"/>
        <w:rPr>
          <w:rFonts w:cs="Arial"/>
          <w:szCs w:val="22"/>
        </w:rPr>
      </w:pPr>
      <w:r w:rsidRPr="00E8642C">
        <w:rPr>
          <w:rFonts w:cs="Arial"/>
          <w:szCs w:val="22"/>
        </w:rPr>
        <w:t>Le terme “traditionnel” signifie que les savoirs traditionnels ou expressions culturelles traditionnelles sont créés conformément aux règles, aux protocoles et aux coutumes d</w:t>
      </w:r>
      <w:r w:rsidR="00D91476">
        <w:rPr>
          <w:rFonts w:cs="Arial"/>
          <w:szCs w:val="22"/>
        </w:rPr>
        <w:t>’</w:t>
      </w:r>
      <w:r w:rsidRPr="00E8642C">
        <w:rPr>
          <w:rFonts w:cs="Arial"/>
          <w:szCs w:val="22"/>
        </w:rPr>
        <w:t>une certaine communauté, et non pas qu</w:t>
      </w:r>
      <w:r w:rsidR="00D91476">
        <w:rPr>
          <w:rFonts w:cs="Arial"/>
          <w:szCs w:val="22"/>
        </w:rPr>
        <w:t>’</w:t>
      </w:r>
      <w:r w:rsidRPr="00E8642C">
        <w:rPr>
          <w:rFonts w:cs="Arial"/>
          <w:szCs w:val="22"/>
        </w:rPr>
        <w:t>ils sont ancie</w:t>
      </w:r>
      <w:r w:rsidR="001F3AEE" w:rsidRPr="00E8642C">
        <w:rPr>
          <w:rFonts w:cs="Arial"/>
          <w:szCs w:val="22"/>
        </w:rPr>
        <w:t>ns</w:t>
      </w:r>
      <w:r w:rsidR="001F3AEE">
        <w:rPr>
          <w:rFonts w:cs="Arial"/>
          <w:szCs w:val="22"/>
        </w:rPr>
        <w:t xml:space="preserve">.  </w:t>
      </w:r>
      <w:r w:rsidR="001F3AEE" w:rsidRPr="00E8642C">
        <w:rPr>
          <w:rFonts w:cs="Arial"/>
          <w:szCs w:val="22"/>
        </w:rPr>
        <w:t>En</w:t>
      </w:r>
      <w:r w:rsidRPr="00E8642C">
        <w:rPr>
          <w:rFonts w:cs="Arial"/>
          <w:szCs w:val="22"/>
        </w:rPr>
        <w:t> d</w:t>
      </w:r>
      <w:r w:rsidR="00D91476">
        <w:rPr>
          <w:rFonts w:cs="Arial"/>
          <w:szCs w:val="22"/>
        </w:rPr>
        <w:t>’</w:t>
      </w:r>
      <w:r w:rsidRPr="00E8642C">
        <w:rPr>
          <w:rFonts w:cs="Arial"/>
          <w:szCs w:val="22"/>
        </w:rPr>
        <w:t>autres termes, l</w:t>
      </w:r>
      <w:r w:rsidR="00D91476">
        <w:rPr>
          <w:rFonts w:cs="Arial"/>
          <w:szCs w:val="22"/>
        </w:rPr>
        <w:t>’</w:t>
      </w:r>
      <w:r w:rsidRPr="00E8642C">
        <w:rPr>
          <w:rFonts w:cs="Arial"/>
          <w:szCs w:val="22"/>
        </w:rPr>
        <w:t>adjectif “traditionnel” qualifie la méthode de création des savoirs traditionnels ou expressions culturelles traditionnelles et non pas les savoirs ou expressions à proprement parler</w:t>
      </w:r>
      <w:r w:rsidRPr="00E8642C">
        <w:rPr>
          <w:rStyle w:val="FootnoteReference"/>
          <w:rFonts w:cs="Arial"/>
          <w:szCs w:val="22"/>
        </w:rPr>
        <w:footnoteReference w:id="39"/>
      </w:r>
      <w:r w:rsidRPr="00E8642C">
        <w:t xml:space="preserve">.  </w:t>
      </w:r>
      <w:r w:rsidRPr="00E8642C">
        <w:rPr>
          <w:rFonts w:cs="Arial"/>
          <w:szCs w:val="22"/>
        </w:rPr>
        <w:t>Le terme “traditionnel” signifie que les savoirs traditionnels ou expressions culturelles découlent de la tradition ou sont fondés sur la tradition, définissent une population autochtone ou traditionnelle ou sont associés à cette population et peuvent être pratiqués de façon traditionnelle</w:t>
      </w:r>
      <w:r w:rsidRPr="00E8642C">
        <w:rPr>
          <w:rStyle w:val="FootnoteReference"/>
          <w:rFonts w:cs="Arial"/>
          <w:szCs w:val="22"/>
        </w:rPr>
        <w:footnoteReference w:id="40"/>
      </w:r>
      <w:r w:rsidRPr="00E8642C">
        <w:rPr>
          <w:rFonts w:cs="Arial"/>
          <w:szCs w:val="22"/>
        </w:rPr>
        <w:t>.  Le “contexte traditionnel” vise la façon d</w:t>
      </w:r>
      <w:r w:rsidR="00D91476">
        <w:rPr>
          <w:rFonts w:cs="Arial"/>
          <w:szCs w:val="22"/>
        </w:rPr>
        <w:t>’</w:t>
      </w:r>
      <w:r w:rsidRPr="00E8642C">
        <w:rPr>
          <w:rFonts w:cs="Arial"/>
          <w:szCs w:val="22"/>
        </w:rPr>
        <w:t>utiliser des savoirs traditionnels ou expressions culturelles traditionnelles dans leur cadre artistique normal, conformément à l</w:t>
      </w:r>
      <w:r w:rsidR="00D91476">
        <w:rPr>
          <w:rFonts w:cs="Arial"/>
          <w:szCs w:val="22"/>
        </w:rPr>
        <w:t>’</w:t>
      </w:r>
      <w:r w:rsidRPr="00E8642C">
        <w:rPr>
          <w:rFonts w:cs="Arial"/>
          <w:szCs w:val="22"/>
        </w:rPr>
        <w:t>usage constant de la communau</w:t>
      </w:r>
      <w:r w:rsidR="001F3AEE" w:rsidRPr="00E8642C">
        <w:rPr>
          <w:rFonts w:cs="Arial"/>
          <w:szCs w:val="22"/>
        </w:rPr>
        <w:t>té</w:t>
      </w:r>
      <w:r w:rsidR="001F3AEE">
        <w:rPr>
          <w:rFonts w:cs="Arial"/>
          <w:szCs w:val="22"/>
        </w:rPr>
        <w:t xml:space="preserve">.  </w:t>
      </w:r>
      <w:r w:rsidR="001F3AEE" w:rsidRPr="00E8642C">
        <w:rPr>
          <w:rFonts w:cs="Arial"/>
          <w:szCs w:val="22"/>
        </w:rPr>
        <w:t>On</w:t>
      </w:r>
      <w:r w:rsidRPr="00E8642C">
        <w:rPr>
          <w:rFonts w:cs="Arial"/>
          <w:szCs w:val="22"/>
        </w:rPr>
        <w:t xml:space="preserve"> pourrait donner comme exemple l</w:t>
      </w:r>
      <w:r w:rsidR="00D91476">
        <w:rPr>
          <w:rFonts w:cs="Arial"/>
          <w:szCs w:val="22"/>
        </w:rPr>
        <w:t>’</w:t>
      </w:r>
      <w:r w:rsidRPr="00E8642C">
        <w:rPr>
          <w:rFonts w:cs="Arial"/>
          <w:szCs w:val="22"/>
        </w:rPr>
        <w:t>exécution d</w:t>
      </w:r>
      <w:r w:rsidR="00D91476">
        <w:rPr>
          <w:rFonts w:cs="Arial"/>
          <w:szCs w:val="22"/>
        </w:rPr>
        <w:t>’</w:t>
      </w:r>
      <w:r w:rsidRPr="00E8642C">
        <w:rPr>
          <w:rFonts w:cs="Arial"/>
          <w:szCs w:val="22"/>
        </w:rPr>
        <w:t>une danse rituelle dans son contexte traditionnel, c</w:t>
      </w:r>
      <w:r w:rsidR="00D91476">
        <w:rPr>
          <w:rFonts w:cs="Arial"/>
          <w:szCs w:val="22"/>
        </w:rPr>
        <w:t>’</w:t>
      </w:r>
      <w:r w:rsidRPr="00E8642C">
        <w:rPr>
          <w:rFonts w:cs="Arial"/>
          <w:szCs w:val="22"/>
        </w:rPr>
        <w:t>est</w:t>
      </w:r>
      <w:r w:rsidR="00400337">
        <w:rPr>
          <w:rFonts w:cs="Arial"/>
          <w:szCs w:val="22"/>
        </w:rPr>
        <w:noBreakHyphen/>
      </w:r>
      <w:r w:rsidRPr="00E8642C">
        <w:rPr>
          <w:rFonts w:cs="Arial"/>
          <w:szCs w:val="22"/>
        </w:rPr>
        <w:t>à</w:t>
      </w:r>
      <w:r w:rsidR="00400337">
        <w:rPr>
          <w:rFonts w:cs="Arial"/>
          <w:szCs w:val="22"/>
        </w:rPr>
        <w:noBreakHyphen/>
      </w:r>
      <w:r w:rsidRPr="00E8642C">
        <w:rPr>
          <w:rFonts w:cs="Arial"/>
          <w:szCs w:val="22"/>
        </w:rPr>
        <w:t>dire son exécution dans le cadre réel de l</w:t>
      </w:r>
      <w:r w:rsidR="00D91476">
        <w:rPr>
          <w:rFonts w:cs="Arial"/>
          <w:szCs w:val="22"/>
        </w:rPr>
        <w:t>’</w:t>
      </w:r>
      <w:r w:rsidRPr="00E8642C">
        <w:rPr>
          <w:rFonts w:cs="Arial"/>
          <w:szCs w:val="22"/>
        </w:rPr>
        <w:t>accomplissement du rite</w:t>
      </w:r>
      <w:r w:rsidRPr="00E8642C">
        <w:rPr>
          <w:rStyle w:val="FootnoteReference"/>
          <w:rFonts w:cs="Arial"/>
          <w:szCs w:val="22"/>
        </w:rPr>
        <w:footnoteReference w:id="41"/>
      </w:r>
      <w:r w:rsidRPr="00E8642C">
        <w:rPr>
          <w:rFonts w:cs="Arial"/>
          <w:szCs w:val="22"/>
        </w:rPr>
        <w:t>.</w:t>
      </w:r>
    </w:p>
    <w:p w:rsidR="00D23D81" w:rsidRDefault="00DD607D" w:rsidP="00D23D81">
      <w:pPr>
        <w:spacing w:after="220"/>
        <w:rPr>
          <w:rFonts w:cs="Arial"/>
          <w:szCs w:val="22"/>
        </w:rPr>
      </w:pPr>
      <w:r w:rsidRPr="00E8642C">
        <w:rPr>
          <w:rFonts w:cs="Arial"/>
          <w:szCs w:val="22"/>
        </w:rPr>
        <w:t>Comme il est indiqué dans le document intitulé “Éléments constitutifs d</w:t>
      </w:r>
      <w:r w:rsidR="00D91476">
        <w:rPr>
          <w:rFonts w:cs="Arial"/>
          <w:szCs w:val="22"/>
        </w:rPr>
        <w:t>’</w:t>
      </w:r>
      <w:r w:rsidRPr="00E8642C">
        <w:rPr>
          <w:rFonts w:cs="Arial"/>
          <w:szCs w:val="22"/>
        </w:rPr>
        <w:t xml:space="preserve">un système </w:t>
      </w:r>
      <w:r w:rsidRPr="00E8642C">
        <w:rPr>
          <w:rFonts w:cs="Arial"/>
          <w:i/>
          <w:iCs/>
          <w:szCs w:val="22"/>
        </w:rPr>
        <w:t xml:space="preserve">sui generis </w:t>
      </w:r>
      <w:r w:rsidRPr="00E8642C">
        <w:rPr>
          <w:rFonts w:cs="Arial"/>
          <w:szCs w:val="22"/>
        </w:rPr>
        <w:t>de protection des savoirs traditionnels” (WIPO/GRTKF/IC/4/8), les savoirs traditionnels sont “traditionnels” car ils sont l</w:t>
      </w:r>
      <w:r w:rsidR="00D91476">
        <w:rPr>
          <w:rFonts w:cs="Arial"/>
          <w:szCs w:val="22"/>
        </w:rPr>
        <w:t>’</w:t>
      </w:r>
      <w:r w:rsidRPr="00E8642C">
        <w:rPr>
          <w:rFonts w:cs="Arial"/>
          <w:szCs w:val="22"/>
        </w:rPr>
        <w:t>expression des traditions des communaut</w:t>
      </w:r>
      <w:r w:rsidR="001F3AEE" w:rsidRPr="00E8642C">
        <w:rPr>
          <w:rFonts w:cs="Arial"/>
          <w:szCs w:val="22"/>
        </w:rPr>
        <w:t>és</w:t>
      </w:r>
      <w:r w:rsidR="001F3AEE">
        <w:rPr>
          <w:rFonts w:cs="Arial"/>
          <w:szCs w:val="22"/>
        </w:rPr>
        <w:t xml:space="preserve">.  </w:t>
      </w:r>
      <w:r w:rsidR="001F3AEE" w:rsidRPr="00E8642C">
        <w:rPr>
          <w:rFonts w:cs="Arial"/>
          <w:szCs w:val="22"/>
        </w:rPr>
        <w:t>Pa</w:t>
      </w:r>
      <w:r w:rsidRPr="00E8642C">
        <w:rPr>
          <w:rFonts w:cs="Arial"/>
          <w:szCs w:val="22"/>
        </w:rPr>
        <w:t>r conséquent, le terme “traditionnel” ne se rapporte pas nécessairement à la nature des savoirs, mais à la façon dont les savoirs sont créés, préservés et transmis</w:t>
      </w:r>
      <w:r w:rsidRPr="00E8642C">
        <w:rPr>
          <w:rStyle w:val="FootnoteReference"/>
          <w:rFonts w:cs="Arial"/>
          <w:szCs w:val="22"/>
        </w:rPr>
        <w:footnoteReference w:id="42"/>
      </w:r>
      <w:r w:rsidRPr="00E8642C">
        <w:rPr>
          <w:rFonts w:cs="Arial"/>
          <w:szCs w:val="22"/>
        </w:rPr>
        <w:t>.</w:t>
      </w:r>
    </w:p>
    <w:p w:rsidR="00D23D81" w:rsidRDefault="00DD607D" w:rsidP="00D23D81">
      <w:pPr>
        <w:pStyle w:val="Heading2"/>
        <w:spacing w:after="220" w:line="240" w:lineRule="auto"/>
      </w:pPr>
      <w:bookmarkStart w:id="36" w:name="_Toc7772512"/>
      <w:r w:rsidRPr="00E8642C">
        <w:t>Contrats de licence</w:t>
      </w:r>
      <w:bookmarkEnd w:id="36"/>
    </w:p>
    <w:p w:rsidR="00D23D81" w:rsidRDefault="00DD607D" w:rsidP="00D23D81">
      <w:pPr>
        <w:pStyle w:val="BodyText"/>
        <w:tabs>
          <w:tab w:val="left" w:pos="567"/>
        </w:tabs>
        <w:spacing w:after="220"/>
        <w:rPr>
          <w:rFonts w:cs="Arial"/>
          <w:szCs w:val="22"/>
        </w:rPr>
      </w:pPr>
      <w:r w:rsidRPr="00E8642C">
        <w:rPr>
          <w:rFonts w:cs="Arial"/>
          <w:iCs/>
          <w:szCs w:val="22"/>
        </w:rPr>
        <w:t>Les contrats de licence sont décrits comme des accords définissant l</w:t>
      </w:r>
      <w:r w:rsidR="00D91476">
        <w:rPr>
          <w:rFonts w:cs="Arial"/>
          <w:iCs/>
          <w:szCs w:val="22"/>
        </w:rPr>
        <w:t>’</w:t>
      </w:r>
      <w:r w:rsidRPr="00E8642C">
        <w:rPr>
          <w:rFonts w:cs="Arial"/>
          <w:iCs/>
          <w:szCs w:val="22"/>
        </w:rPr>
        <w:t>utilisation qui peut être faite du matériel ou les droits que le fournisseur peut concéder concernant par exemple l</w:t>
      </w:r>
      <w:r w:rsidR="00D91476">
        <w:rPr>
          <w:rFonts w:cs="Arial"/>
          <w:iCs/>
          <w:szCs w:val="22"/>
        </w:rPr>
        <w:t>’</w:t>
      </w:r>
      <w:r w:rsidRPr="00E8642C">
        <w:rPr>
          <w:rFonts w:cs="Arial"/>
          <w:iCs/>
          <w:szCs w:val="22"/>
        </w:rPr>
        <w:t>utilisation des ressources génétiques en tant qu</w:t>
      </w:r>
      <w:r w:rsidR="00D91476">
        <w:rPr>
          <w:rFonts w:cs="Arial"/>
          <w:iCs/>
          <w:szCs w:val="22"/>
        </w:rPr>
        <w:t>’</w:t>
      </w:r>
      <w:r w:rsidRPr="00E8642C">
        <w:rPr>
          <w:rFonts w:cs="Arial"/>
          <w:iCs/>
          <w:szCs w:val="22"/>
        </w:rPr>
        <w:t>outils de recherche, l</w:t>
      </w:r>
      <w:r w:rsidR="00D91476">
        <w:rPr>
          <w:rFonts w:cs="Arial"/>
          <w:iCs/>
          <w:szCs w:val="22"/>
        </w:rPr>
        <w:t>’</w:t>
      </w:r>
      <w:r w:rsidRPr="00E8642C">
        <w:rPr>
          <w:rFonts w:cs="Arial"/>
          <w:iCs/>
          <w:szCs w:val="22"/>
        </w:rPr>
        <w:t>utilisation des savoirs traditionnels associés ou d</w:t>
      </w:r>
      <w:r w:rsidR="00D91476">
        <w:rPr>
          <w:rFonts w:cs="Arial"/>
          <w:iCs/>
          <w:szCs w:val="22"/>
        </w:rPr>
        <w:t>’</w:t>
      </w:r>
      <w:r w:rsidRPr="00E8642C">
        <w:rPr>
          <w:rFonts w:cs="Arial"/>
          <w:iCs/>
          <w:szCs w:val="22"/>
        </w:rPr>
        <w:t>autres droits de propriété intellectuelle</w:t>
      </w:r>
      <w:r w:rsidRPr="00E8642C">
        <w:rPr>
          <w:rStyle w:val="FootnoteReference"/>
          <w:rFonts w:cs="Arial"/>
          <w:szCs w:val="22"/>
        </w:rPr>
        <w:footnoteReference w:id="43"/>
      </w:r>
      <w:r w:rsidRPr="00E8642C">
        <w:rPr>
          <w:rFonts w:cs="Arial"/>
          <w:iCs/>
          <w:szCs w:val="22"/>
        </w:rPr>
        <w:t>.</w:t>
      </w:r>
    </w:p>
    <w:p w:rsidR="00D23D81" w:rsidRDefault="00DD607D" w:rsidP="00D23D81">
      <w:pPr>
        <w:pStyle w:val="Heading2"/>
        <w:spacing w:after="220" w:line="240" w:lineRule="auto"/>
      </w:pPr>
      <w:bookmarkStart w:id="37" w:name="_Toc7772513"/>
      <w:r w:rsidRPr="00E8642C">
        <w:t>Convention de l</w:t>
      </w:r>
      <w:r w:rsidR="00D91476">
        <w:t>’</w:t>
      </w:r>
      <w:r w:rsidRPr="00E8642C">
        <w:t>UNESCO concernant les mesures à prendre pour interdire et empêcher l</w:t>
      </w:r>
      <w:r w:rsidR="00D91476">
        <w:t>’</w:t>
      </w:r>
      <w:r w:rsidRPr="00E8642C">
        <w:t>importation, l</w:t>
      </w:r>
      <w:r w:rsidR="00D91476">
        <w:t>’</w:t>
      </w:r>
      <w:r w:rsidRPr="00E8642C">
        <w:t>exportation et le transfert de propriété illicites des biens culturels</w:t>
      </w:r>
      <w:bookmarkEnd w:id="37"/>
    </w:p>
    <w:p w:rsidR="00D23D81" w:rsidRDefault="00DD607D" w:rsidP="00D23D81">
      <w:pPr>
        <w:spacing w:after="220"/>
        <w:rPr>
          <w:rFonts w:cs="Arial"/>
          <w:b/>
          <w:szCs w:val="22"/>
        </w:rPr>
      </w:pPr>
      <w:r w:rsidRPr="00E8642C">
        <w:rPr>
          <w:rFonts w:cs="Arial"/>
          <w:szCs w:val="22"/>
        </w:rPr>
        <w:t>La convention a été adoptée par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éducation, la science et la culture (UNESCO) en 1970</w:t>
      </w:r>
      <w:r w:rsidRPr="00E8642C">
        <w:rPr>
          <w:rFonts w:cs="Arial"/>
          <w:b/>
          <w:bCs/>
          <w:szCs w:val="22"/>
        </w:rPr>
        <w:t xml:space="preserve"> </w:t>
      </w:r>
      <w:r w:rsidRPr="00E8642C">
        <w:rPr>
          <w:rFonts w:cs="Arial"/>
          <w:szCs w:val="22"/>
        </w:rPr>
        <w:t>pour protéger les biens culturels sur les territoires des États contre les risques de vol, de fouilles clandestines et d</w:t>
      </w:r>
      <w:r w:rsidR="00D91476">
        <w:rPr>
          <w:rFonts w:cs="Arial"/>
          <w:szCs w:val="22"/>
        </w:rPr>
        <w:t>’</w:t>
      </w:r>
      <w:r w:rsidRPr="00E8642C">
        <w:rPr>
          <w:rFonts w:cs="Arial"/>
          <w:szCs w:val="22"/>
        </w:rPr>
        <w:t>exportation illici</w:t>
      </w:r>
      <w:r w:rsidR="001F3AEE" w:rsidRPr="00E8642C">
        <w:rPr>
          <w:rFonts w:cs="Arial"/>
          <w:szCs w:val="22"/>
        </w:rPr>
        <w:t>te</w:t>
      </w:r>
      <w:r w:rsidR="001F3AEE">
        <w:rPr>
          <w:rFonts w:cs="Arial"/>
          <w:szCs w:val="22"/>
        </w:rPr>
        <w:t xml:space="preserve">.  </w:t>
      </w:r>
      <w:r w:rsidR="001F3AEE" w:rsidRPr="00E8642C">
        <w:rPr>
          <w:rFonts w:cs="Arial"/>
          <w:szCs w:val="22"/>
        </w:rPr>
        <w:t>El</w:t>
      </w:r>
      <w:r w:rsidRPr="00E8642C">
        <w:rPr>
          <w:rFonts w:cs="Arial"/>
          <w:szCs w:val="22"/>
        </w:rPr>
        <w:t>le est entrée en vigueur en 1972.</w:t>
      </w:r>
    </w:p>
    <w:p w:rsidR="00D23D81" w:rsidRDefault="00DD607D" w:rsidP="00D23D81">
      <w:pPr>
        <w:spacing w:after="220"/>
        <w:rPr>
          <w:rFonts w:cs="Arial"/>
          <w:szCs w:val="22"/>
        </w:rPr>
      </w:pPr>
      <w:r w:rsidRPr="00E8642C">
        <w:rPr>
          <w:rFonts w:cs="Arial"/>
          <w:szCs w:val="22"/>
        </w:rPr>
        <w:t>La convention exige des États parties qu</w:t>
      </w:r>
      <w:r w:rsidR="00D91476">
        <w:rPr>
          <w:rFonts w:cs="Arial"/>
          <w:szCs w:val="22"/>
        </w:rPr>
        <w:t>’</w:t>
      </w:r>
      <w:r w:rsidRPr="00E8642C">
        <w:rPr>
          <w:rFonts w:cs="Arial"/>
          <w:szCs w:val="22"/>
        </w:rPr>
        <w:t>ils prennent des mesures dans les trois principaux domaines d</w:t>
      </w:r>
      <w:r w:rsidR="00D91476">
        <w:rPr>
          <w:rFonts w:cs="Arial"/>
          <w:szCs w:val="22"/>
        </w:rPr>
        <w:t>’</w:t>
      </w:r>
      <w:r w:rsidRPr="00E8642C">
        <w:rPr>
          <w:rFonts w:cs="Arial"/>
          <w:szCs w:val="22"/>
        </w:rPr>
        <w:t>action ci</w:t>
      </w:r>
      <w:r w:rsidR="00400337">
        <w:rPr>
          <w:rFonts w:cs="Arial"/>
          <w:szCs w:val="22"/>
        </w:rPr>
        <w:noBreakHyphen/>
      </w:r>
      <w:r w:rsidRPr="00E8642C">
        <w:rPr>
          <w:rFonts w:cs="Arial"/>
          <w:szCs w:val="22"/>
        </w:rPr>
        <w:t>après.</w:t>
      </w:r>
    </w:p>
    <w:p w:rsidR="00D23D81" w:rsidRDefault="00DD607D" w:rsidP="00D23D81">
      <w:pPr>
        <w:spacing w:after="220"/>
        <w:ind w:left="567"/>
        <w:rPr>
          <w:rFonts w:cs="Arial"/>
          <w:szCs w:val="22"/>
        </w:rPr>
      </w:pPr>
      <w:r w:rsidRPr="00E8642C">
        <w:rPr>
          <w:rFonts w:cs="Arial"/>
          <w:szCs w:val="22"/>
        </w:rPr>
        <w:t>1</w:t>
      </w:r>
      <w:r w:rsidR="00D050A0">
        <w:rPr>
          <w:rFonts w:cs="Arial"/>
          <w:szCs w:val="22"/>
        </w:rPr>
        <w:t>–</w:t>
      </w:r>
      <w:r w:rsidRPr="00E8642C">
        <w:rPr>
          <w:rFonts w:cs="Arial"/>
          <w:szCs w:val="22"/>
        </w:rPr>
        <w:t xml:space="preserve"> Mesures préventives</w:t>
      </w:r>
      <w:r w:rsidR="00D91476">
        <w:rPr>
          <w:rFonts w:cs="Arial"/>
          <w:szCs w:val="22"/>
        </w:rPr>
        <w:t> :</w:t>
      </w:r>
      <w:r w:rsidRPr="00E8642C">
        <w:rPr>
          <w:rFonts w:cs="Arial"/>
          <w:szCs w:val="22"/>
        </w:rPr>
        <w:t xml:space="preserve"> inventaires, certificats d</w:t>
      </w:r>
      <w:r w:rsidR="00D91476">
        <w:rPr>
          <w:rFonts w:cs="Arial"/>
          <w:szCs w:val="22"/>
        </w:rPr>
        <w:t>’</w:t>
      </w:r>
      <w:r w:rsidRPr="00E8642C">
        <w:rPr>
          <w:rFonts w:cs="Arial"/>
          <w:szCs w:val="22"/>
        </w:rPr>
        <w:t>exportation, contrôle des échanges commerciaux, application de sanctions pénales ou administratives, campagnes d</w:t>
      </w:r>
      <w:r w:rsidR="00D91476">
        <w:rPr>
          <w:rFonts w:cs="Arial"/>
          <w:szCs w:val="22"/>
        </w:rPr>
        <w:t>’</w:t>
      </w:r>
      <w:r w:rsidRPr="00E8642C">
        <w:rPr>
          <w:rFonts w:cs="Arial"/>
          <w:szCs w:val="22"/>
        </w:rPr>
        <w:t>éducation, etc.</w:t>
      </w:r>
    </w:p>
    <w:p w:rsidR="00D23D81" w:rsidRDefault="00DD607D" w:rsidP="00D23D81">
      <w:pPr>
        <w:spacing w:after="220"/>
        <w:ind w:left="567"/>
        <w:rPr>
          <w:rFonts w:cs="Arial"/>
          <w:szCs w:val="22"/>
        </w:rPr>
      </w:pPr>
      <w:r w:rsidRPr="00E8642C">
        <w:rPr>
          <w:rFonts w:cs="Arial"/>
          <w:szCs w:val="22"/>
        </w:rPr>
        <w:t>2</w:t>
      </w:r>
      <w:r w:rsidR="00D050A0">
        <w:rPr>
          <w:rFonts w:cs="Arial"/>
          <w:szCs w:val="22"/>
        </w:rPr>
        <w:t>–</w:t>
      </w:r>
      <w:r w:rsidRPr="00E8642C">
        <w:rPr>
          <w:rFonts w:cs="Arial"/>
          <w:szCs w:val="22"/>
        </w:rPr>
        <w:t xml:space="preserve"> Dispositions relatives à la restitution</w:t>
      </w:r>
      <w:r w:rsidR="00D91476">
        <w:rPr>
          <w:rFonts w:cs="Arial"/>
          <w:szCs w:val="22"/>
        </w:rPr>
        <w:t> :</w:t>
      </w:r>
      <w:r w:rsidRPr="00E8642C">
        <w:rPr>
          <w:rFonts w:cs="Arial"/>
          <w:szCs w:val="22"/>
        </w:rPr>
        <w:t xml:space="preserve"> en vertu de l</w:t>
      </w:r>
      <w:r w:rsidR="00D91476">
        <w:rPr>
          <w:rFonts w:cs="Arial"/>
          <w:szCs w:val="22"/>
        </w:rPr>
        <w:t>’</w:t>
      </w:r>
      <w:r w:rsidRPr="00E8642C">
        <w:rPr>
          <w:rFonts w:cs="Arial"/>
          <w:szCs w:val="22"/>
        </w:rPr>
        <w:t>article 7.b).ii) de la convention, les États parties s</w:t>
      </w:r>
      <w:r w:rsidR="00D91476">
        <w:rPr>
          <w:rFonts w:cs="Arial"/>
          <w:szCs w:val="22"/>
        </w:rPr>
        <w:t>’</w:t>
      </w:r>
      <w:r w:rsidRPr="00E8642C">
        <w:rPr>
          <w:rFonts w:cs="Arial"/>
          <w:szCs w:val="22"/>
        </w:rPr>
        <w:t>engagent à prendre des mesures appropriées pour saisir et restituer à la requête de l</w:t>
      </w:r>
      <w:r w:rsidR="00D91476">
        <w:rPr>
          <w:rFonts w:cs="Arial"/>
          <w:szCs w:val="22"/>
        </w:rPr>
        <w:t>’</w:t>
      </w:r>
      <w:r w:rsidRPr="00E8642C">
        <w:rPr>
          <w:rFonts w:cs="Arial"/>
          <w:szCs w:val="22"/>
        </w:rPr>
        <w:t>État d</w:t>
      </w:r>
      <w:r w:rsidR="00D91476">
        <w:rPr>
          <w:rFonts w:cs="Arial"/>
          <w:szCs w:val="22"/>
        </w:rPr>
        <w:t>’</w:t>
      </w:r>
      <w:r w:rsidRPr="00E8642C">
        <w:rPr>
          <w:rFonts w:cs="Arial"/>
          <w:szCs w:val="22"/>
        </w:rPr>
        <w:t>origine partie à la convention tout bien culturel ainsi volé et importé après l</w:t>
      </w:r>
      <w:r w:rsidR="00D91476">
        <w:rPr>
          <w:rFonts w:cs="Arial"/>
          <w:szCs w:val="22"/>
        </w:rPr>
        <w:t>’</w:t>
      </w:r>
      <w:r w:rsidRPr="00E8642C">
        <w:rPr>
          <w:rFonts w:cs="Arial"/>
          <w:szCs w:val="22"/>
        </w:rPr>
        <w:t xml:space="preserve">entrée en vigueur de la convention </w:t>
      </w:r>
      <w:r w:rsidR="00D91476">
        <w:rPr>
          <w:rFonts w:cs="Arial"/>
          <w:szCs w:val="22"/>
        </w:rPr>
        <w:t>à l’égard</w:t>
      </w:r>
      <w:r w:rsidRPr="00E8642C">
        <w:rPr>
          <w:rFonts w:cs="Arial"/>
          <w:szCs w:val="22"/>
        </w:rPr>
        <w:t xml:space="preserve"> des deux États concernés, à condition que l</w:t>
      </w:r>
      <w:r w:rsidR="00D91476">
        <w:rPr>
          <w:rFonts w:cs="Arial"/>
          <w:szCs w:val="22"/>
        </w:rPr>
        <w:t>’</w:t>
      </w:r>
      <w:r w:rsidRPr="00E8642C">
        <w:rPr>
          <w:rFonts w:cs="Arial"/>
          <w:szCs w:val="22"/>
        </w:rPr>
        <w:t>État le requérant verse une indemnité équitable à la personne qui est acquéreur de bonne foi ou qui détient légalement la propriété de ce bi</w:t>
      </w:r>
      <w:r w:rsidR="001F3AEE" w:rsidRPr="00E8642C">
        <w:rPr>
          <w:rFonts w:cs="Arial"/>
          <w:szCs w:val="22"/>
        </w:rPr>
        <w:t>en</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a</w:t>
      </w:r>
      <w:r w:rsidRPr="00E8642C">
        <w:rPr>
          <w:rFonts w:cs="Arial"/>
          <w:szCs w:val="22"/>
        </w:rPr>
        <w:t>rticle 13 de la convention contient aussi des dispositions sur la restitution et la coopération.</w:t>
      </w:r>
    </w:p>
    <w:p w:rsidR="00D23D81" w:rsidRDefault="00DD607D" w:rsidP="00D23D81">
      <w:pPr>
        <w:spacing w:after="220"/>
        <w:ind w:left="567"/>
        <w:rPr>
          <w:rFonts w:cs="Arial"/>
          <w:szCs w:val="22"/>
        </w:rPr>
      </w:pPr>
      <w:r w:rsidRPr="00E8642C">
        <w:rPr>
          <w:rFonts w:cs="Arial"/>
          <w:szCs w:val="22"/>
        </w:rPr>
        <w:t>3</w:t>
      </w:r>
      <w:r w:rsidR="00D050A0">
        <w:rPr>
          <w:rFonts w:cs="Arial"/>
          <w:szCs w:val="22"/>
        </w:rPr>
        <w:t>–</w:t>
      </w:r>
      <w:r w:rsidRPr="00E8642C">
        <w:rPr>
          <w:rFonts w:cs="Arial"/>
          <w:szCs w:val="22"/>
        </w:rPr>
        <w:t xml:space="preserve"> Cadre de coopération international</w:t>
      </w:r>
      <w:r w:rsidR="00D91476">
        <w:rPr>
          <w:rFonts w:cs="Arial"/>
          <w:szCs w:val="22"/>
        </w:rPr>
        <w:t> :</w:t>
      </w:r>
      <w:r w:rsidRPr="00E8642C">
        <w:rPr>
          <w:rFonts w:cs="Arial"/>
          <w:szCs w:val="22"/>
        </w:rPr>
        <w:t xml:space="preserve"> l</w:t>
      </w:r>
      <w:r w:rsidR="00D91476">
        <w:rPr>
          <w:rFonts w:cs="Arial"/>
          <w:szCs w:val="22"/>
        </w:rPr>
        <w:t>’</w:t>
      </w:r>
      <w:r w:rsidRPr="00E8642C">
        <w:rPr>
          <w:rFonts w:cs="Arial"/>
          <w:szCs w:val="22"/>
        </w:rPr>
        <w:t>idée de renforcer la coopération entre les États parties est présente tout au long de la conventi</w:t>
      </w:r>
      <w:r w:rsidR="001F3AEE" w:rsidRPr="00E8642C">
        <w:rPr>
          <w:rFonts w:cs="Arial"/>
          <w:szCs w:val="22"/>
        </w:rPr>
        <w:t>on</w:t>
      </w:r>
      <w:r w:rsidR="001F3AEE">
        <w:rPr>
          <w:rFonts w:cs="Arial"/>
          <w:szCs w:val="22"/>
        </w:rPr>
        <w:t xml:space="preserve">.  </w:t>
      </w:r>
      <w:r w:rsidR="001F3AEE" w:rsidRPr="00E8642C">
        <w:rPr>
          <w:rFonts w:cs="Arial"/>
          <w:szCs w:val="22"/>
        </w:rPr>
        <w:t>Lo</w:t>
      </w:r>
      <w:r w:rsidRPr="00E8642C">
        <w:rPr>
          <w:rFonts w:cs="Arial"/>
          <w:szCs w:val="22"/>
        </w:rPr>
        <w:t>rsque le patrimoine culturel est mis en danger par des pillages, l</w:t>
      </w:r>
      <w:r w:rsidR="00D91476">
        <w:rPr>
          <w:rFonts w:cs="Arial"/>
          <w:szCs w:val="22"/>
        </w:rPr>
        <w:t>’</w:t>
      </w:r>
      <w:r w:rsidRPr="00E8642C">
        <w:rPr>
          <w:rFonts w:cs="Arial"/>
          <w:szCs w:val="22"/>
        </w:rPr>
        <w:t>article 9 ouvre la voie à des mesures plus spécifiques telles que l</w:t>
      </w:r>
      <w:r w:rsidR="00D91476">
        <w:rPr>
          <w:rFonts w:cs="Arial"/>
          <w:szCs w:val="22"/>
        </w:rPr>
        <w:t>’</w:t>
      </w:r>
      <w:r w:rsidRPr="00E8642C">
        <w:rPr>
          <w:rFonts w:cs="Arial"/>
          <w:szCs w:val="22"/>
        </w:rPr>
        <w:t>appel au contrôle de l</w:t>
      </w:r>
      <w:r w:rsidR="00D91476">
        <w:rPr>
          <w:rFonts w:cs="Arial"/>
          <w:szCs w:val="22"/>
        </w:rPr>
        <w:t>’</w:t>
      </w:r>
      <w:r w:rsidRPr="00E8642C">
        <w:rPr>
          <w:rFonts w:cs="Arial"/>
          <w:szCs w:val="22"/>
        </w:rPr>
        <w:t>importation et de l</w:t>
      </w:r>
      <w:r w:rsidR="00D91476">
        <w:rPr>
          <w:rFonts w:cs="Arial"/>
          <w:szCs w:val="22"/>
        </w:rPr>
        <w:t>’</w:t>
      </w:r>
      <w:r w:rsidRPr="00E8642C">
        <w:rPr>
          <w:rFonts w:cs="Arial"/>
          <w:szCs w:val="22"/>
        </w:rPr>
        <w:t>exportation.</w:t>
      </w:r>
    </w:p>
    <w:p w:rsidR="00D23D81" w:rsidRDefault="00DD607D" w:rsidP="00D23D81">
      <w:pPr>
        <w:pStyle w:val="Heading2"/>
        <w:spacing w:after="220" w:line="240" w:lineRule="auto"/>
      </w:pPr>
      <w:bookmarkStart w:id="38" w:name="_Toc7772514"/>
      <w:r w:rsidRPr="00E8642C">
        <w:t>Convention de l</w:t>
      </w:r>
      <w:r w:rsidR="00D91476">
        <w:t>’</w:t>
      </w:r>
      <w:r w:rsidRPr="00E8642C">
        <w:t>UNESCO pour la sauvegarde du patrimoine culturel immatériel</w:t>
      </w:r>
      <w:bookmarkEnd w:id="38"/>
    </w:p>
    <w:p w:rsidR="00D23D81" w:rsidRDefault="00DD607D" w:rsidP="00D23D81">
      <w:pPr>
        <w:spacing w:after="220"/>
        <w:rPr>
          <w:rFonts w:cs="Arial"/>
          <w:szCs w:val="22"/>
        </w:rPr>
      </w:pPr>
      <w:r w:rsidRPr="00E8642C">
        <w:rPr>
          <w:rFonts w:cs="Arial"/>
          <w:szCs w:val="22"/>
        </w:rPr>
        <w:t>La convention a été adoptée par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éducation, la science et la culture (UNESCO) en 2003 et elle est entrée en vigueur le 20 avril 2006.  Elle vise à sauvegarder le patrimoine culturel immatériel, à faire respecter le patrimoine culturel immatériel des communautés, des groupes et des individus, à sensibiliser à l</w:t>
      </w:r>
      <w:r w:rsidR="00D91476">
        <w:rPr>
          <w:rFonts w:cs="Arial"/>
          <w:szCs w:val="22"/>
        </w:rPr>
        <w:t>’</w:t>
      </w:r>
      <w:r w:rsidRPr="00E8642C">
        <w:rPr>
          <w:rFonts w:cs="Arial"/>
          <w:szCs w:val="22"/>
        </w:rPr>
        <w:t>importance du patrimoine culturel immatériel et à son appréciation mutuelle, et à fournir une coopération et une assistance internationales.</w:t>
      </w:r>
    </w:p>
    <w:p w:rsidR="00D23D81" w:rsidRDefault="00DD607D" w:rsidP="00D23D81">
      <w:pPr>
        <w:pStyle w:val="Heading2"/>
        <w:spacing w:after="220" w:line="240" w:lineRule="auto"/>
      </w:pPr>
      <w:bookmarkStart w:id="39" w:name="_Toc7772515"/>
      <w:r w:rsidRPr="00E8642C">
        <w:t>Convention de l</w:t>
      </w:r>
      <w:r w:rsidR="00D91476">
        <w:t>’</w:t>
      </w:r>
      <w:r w:rsidRPr="00E8642C">
        <w:t>UNESCO sur la protection et la promotion de la diversité des expressions culturelles</w:t>
      </w:r>
      <w:bookmarkEnd w:id="39"/>
    </w:p>
    <w:p w:rsidR="00D23D81" w:rsidRDefault="00DD607D" w:rsidP="00D23D81">
      <w:pPr>
        <w:spacing w:after="220"/>
        <w:rPr>
          <w:rFonts w:cs="Arial"/>
          <w:szCs w:val="22"/>
        </w:rPr>
      </w:pPr>
      <w:r w:rsidRPr="00E8642C">
        <w:rPr>
          <w:rFonts w:cs="Arial"/>
          <w:szCs w:val="22"/>
        </w:rPr>
        <w:t xml:space="preserve">La </w:t>
      </w:r>
      <w:r w:rsidRPr="00E8642C">
        <w:rPr>
          <w:rFonts w:cs="Arial"/>
          <w:i/>
          <w:szCs w:val="22"/>
        </w:rPr>
        <w:t>Convention sur la diversité culturelle</w:t>
      </w:r>
      <w:r w:rsidRPr="00E8642C">
        <w:rPr>
          <w:rFonts w:cs="Arial"/>
          <w:szCs w:val="22"/>
        </w:rPr>
        <w:t xml:space="preserve">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éducation, la science et la culture (UNESCO) est une convention internationale qui a été adoptée par l</w:t>
      </w:r>
      <w:r w:rsidR="00D91476">
        <w:rPr>
          <w:rFonts w:cs="Arial"/>
          <w:szCs w:val="22"/>
        </w:rPr>
        <w:t>’</w:t>
      </w:r>
      <w:r w:rsidRPr="00E8642C">
        <w:rPr>
          <w:rFonts w:cs="Arial"/>
          <w:szCs w:val="22"/>
        </w:rPr>
        <w:t>UNESCO en 2005.  Elle est entrée en vigueur le 18 mars 2007.</w:t>
      </w:r>
    </w:p>
    <w:p w:rsidR="00D23D81" w:rsidRDefault="00DD607D" w:rsidP="00D23D81">
      <w:pPr>
        <w:spacing w:after="220"/>
        <w:rPr>
          <w:rFonts w:cs="Arial"/>
          <w:szCs w:val="22"/>
        </w:rPr>
      </w:pPr>
      <w:r w:rsidRPr="00E8642C">
        <w:rPr>
          <w:rFonts w:cs="Arial"/>
          <w:szCs w:val="22"/>
        </w:rPr>
        <w:t xml:space="preserve">La Convention établit plusieurs objectifs, qui sont définis dans son article premier, </w:t>
      </w:r>
      <w:r w:rsidR="00D91476">
        <w:rPr>
          <w:rFonts w:cs="Arial"/>
          <w:szCs w:val="22"/>
        </w:rPr>
        <w:t>à savoir</w:t>
      </w:r>
      <w:r w:rsidRPr="00E8642C">
        <w:rPr>
          <w:rFonts w:cs="Arial"/>
          <w:szCs w:val="22"/>
        </w:rPr>
        <w:t xml:space="preserve"> a) de protéger et promouvoir la diversité des expressions culturelles;  b) de créer les conditions permettant aux cultures de s</w:t>
      </w:r>
      <w:r w:rsidR="00D91476">
        <w:rPr>
          <w:rFonts w:cs="Arial"/>
          <w:szCs w:val="22"/>
        </w:rPr>
        <w:t>’</w:t>
      </w:r>
      <w:r w:rsidRPr="00E8642C">
        <w:rPr>
          <w:rFonts w:cs="Arial"/>
          <w:szCs w:val="22"/>
        </w:rPr>
        <w:t>épanouir et interagir librement de manière à s</w:t>
      </w:r>
      <w:r w:rsidR="00D91476">
        <w:rPr>
          <w:rFonts w:cs="Arial"/>
          <w:szCs w:val="22"/>
        </w:rPr>
        <w:t>’</w:t>
      </w:r>
      <w:r w:rsidRPr="00E8642C">
        <w:rPr>
          <w:rFonts w:cs="Arial"/>
          <w:szCs w:val="22"/>
        </w:rPr>
        <w:t>enrichir mutuellement;  c) d</w:t>
      </w:r>
      <w:r w:rsidR="00D91476">
        <w:rPr>
          <w:rFonts w:cs="Arial"/>
          <w:szCs w:val="22"/>
        </w:rPr>
        <w:t>’</w:t>
      </w:r>
      <w:r w:rsidRPr="00E8642C">
        <w:rPr>
          <w:rFonts w:cs="Arial"/>
          <w:szCs w:val="22"/>
        </w:rPr>
        <w:t>encourager le dialogue entre les cultures afin d</w:t>
      </w:r>
      <w:r w:rsidR="00D91476">
        <w:rPr>
          <w:rFonts w:cs="Arial"/>
          <w:szCs w:val="22"/>
        </w:rPr>
        <w:t>’</w:t>
      </w:r>
      <w:r w:rsidRPr="00E8642C">
        <w:rPr>
          <w:rFonts w:cs="Arial"/>
          <w:szCs w:val="22"/>
        </w:rPr>
        <w:t>assurer des échanges culturels plus intenses et équilibrés dans le monde en faveur du respect interculturel et d</w:t>
      </w:r>
      <w:r w:rsidR="00D91476">
        <w:rPr>
          <w:rFonts w:cs="Arial"/>
          <w:szCs w:val="22"/>
        </w:rPr>
        <w:t>’</w:t>
      </w:r>
      <w:r w:rsidRPr="00E8642C">
        <w:rPr>
          <w:rFonts w:cs="Arial"/>
          <w:szCs w:val="22"/>
        </w:rPr>
        <w:t>une culture de la paix;  d) de stimuler l</w:t>
      </w:r>
      <w:r w:rsidR="00D91476">
        <w:rPr>
          <w:rFonts w:cs="Arial"/>
          <w:szCs w:val="22"/>
        </w:rPr>
        <w:t>’</w:t>
      </w:r>
      <w:r w:rsidRPr="00E8642C">
        <w:rPr>
          <w:rFonts w:cs="Arial"/>
          <w:szCs w:val="22"/>
        </w:rPr>
        <w:t>interculturalité afin de développer l</w:t>
      </w:r>
      <w:r w:rsidR="00D91476">
        <w:rPr>
          <w:rFonts w:cs="Arial"/>
          <w:szCs w:val="22"/>
        </w:rPr>
        <w:t>’</w:t>
      </w:r>
      <w:r w:rsidRPr="00E8642C">
        <w:rPr>
          <w:rFonts w:cs="Arial"/>
          <w:szCs w:val="22"/>
        </w:rPr>
        <w:t>interaction culturelle dans l</w:t>
      </w:r>
      <w:r w:rsidR="00D91476">
        <w:rPr>
          <w:rFonts w:cs="Arial"/>
          <w:szCs w:val="22"/>
        </w:rPr>
        <w:t>’</w:t>
      </w:r>
      <w:r w:rsidRPr="00E8642C">
        <w:rPr>
          <w:rFonts w:cs="Arial"/>
          <w:szCs w:val="22"/>
        </w:rPr>
        <w:t>esprit de bâtir des passerelles entre les peuples;  e) de promouvoir le respect de la diversité des expressions culturelles et la prise de conscience de sa valeur aux niveaux local, national et international;  f) de réaffirmer l</w:t>
      </w:r>
      <w:r w:rsidR="00D91476">
        <w:rPr>
          <w:rFonts w:cs="Arial"/>
          <w:szCs w:val="22"/>
        </w:rPr>
        <w:t>’</w:t>
      </w:r>
      <w:r w:rsidRPr="00E8642C">
        <w:rPr>
          <w:rFonts w:cs="Arial"/>
          <w:szCs w:val="22"/>
        </w:rPr>
        <w:t>importance du lien entre culture et développement pour tous les pays, en particulier les pays en développement, et d</w:t>
      </w:r>
      <w:r w:rsidR="00D91476">
        <w:rPr>
          <w:rFonts w:cs="Arial"/>
          <w:szCs w:val="22"/>
        </w:rPr>
        <w:t>’</w:t>
      </w:r>
      <w:r w:rsidRPr="00E8642C">
        <w:rPr>
          <w:rFonts w:cs="Arial"/>
          <w:szCs w:val="22"/>
        </w:rPr>
        <w:t>encourager les actions menées aux plans national et international pour que soit reconnue la véritable valeur de ce lien;  g) de reconnaître la nature spécifique des activités, biens et services culturels en tant que porteurs d</w:t>
      </w:r>
      <w:r w:rsidR="00D91476">
        <w:rPr>
          <w:rFonts w:cs="Arial"/>
          <w:szCs w:val="22"/>
        </w:rPr>
        <w:t>’</w:t>
      </w:r>
      <w:r w:rsidRPr="00E8642C">
        <w:rPr>
          <w:rFonts w:cs="Arial"/>
          <w:szCs w:val="22"/>
        </w:rPr>
        <w:t>identité, de valeurs et de sens;  h) de réaffirmer le droit souverain des États de conserver, d</w:t>
      </w:r>
      <w:r w:rsidR="00D91476">
        <w:rPr>
          <w:rFonts w:cs="Arial"/>
          <w:szCs w:val="22"/>
        </w:rPr>
        <w:t>’</w:t>
      </w:r>
      <w:r w:rsidRPr="00E8642C">
        <w:rPr>
          <w:rFonts w:cs="Arial"/>
          <w:szCs w:val="22"/>
        </w:rPr>
        <w:t>adopter et de mettre en œuvre les politiques et mesures qu</w:t>
      </w:r>
      <w:r w:rsidR="00D91476">
        <w:rPr>
          <w:rFonts w:cs="Arial"/>
          <w:szCs w:val="22"/>
        </w:rPr>
        <w:t>’</w:t>
      </w:r>
      <w:r w:rsidRPr="00E8642C">
        <w:rPr>
          <w:rFonts w:cs="Arial"/>
          <w:szCs w:val="22"/>
        </w:rPr>
        <w:t>ils jugent appropriées pour la protection et la promotion de la diversité des expressions culturelles sur leur territoire;  i) de renforcer la coopération et la solidarité internationales dans un esprit de partenariat afin, notamment, d</w:t>
      </w:r>
      <w:r w:rsidR="00D91476">
        <w:rPr>
          <w:rFonts w:cs="Arial"/>
          <w:szCs w:val="22"/>
        </w:rPr>
        <w:t>’</w:t>
      </w:r>
      <w:r w:rsidRPr="00E8642C">
        <w:rPr>
          <w:rFonts w:cs="Arial"/>
          <w:szCs w:val="22"/>
        </w:rPr>
        <w:t>accroître les capacités des pays en développement de protéger et promouvoir la diversité des expressions culturelles.</w:t>
      </w:r>
    </w:p>
    <w:p w:rsidR="00D23D81" w:rsidRDefault="00DD607D" w:rsidP="00D23D81">
      <w:pPr>
        <w:pStyle w:val="Heading2"/>
        <w:spacing w:after="220" w:line="240" w:lineRule="auto"/>
      </w:pPr>
      <w:bookmarkStart w:id="40" w:name="_Toc7772516"/>
      <w:r w:rsidRPr="00E8642C">
        <w:t>Convention sur la diversité biologique</w:t>
      </w:r>
      <w:bookmarkEnd w:id="40"/>
    </w:p>
    <w:p w:rsidR="00D23D81" w:rsidRDefault="00DD607D" w:rsidP="00D23D81">
      <w:pPr>
        <w:spacing w:after="220"/>
        <w:rPr>
          <w:rFonts w:cs="Arial"/>
          <w:szCs w:val="22"/>
        </w:rPr>
      </w:pPr>
      <w:r w:rsidRPr="00E8642C">
        <w:rPr>
          <w:rFonts w:cs="Arial"/>
          <w:snapToGrid w:val="0"/>
          <w:szCs w:val="22"/>
        </w:rPr>
        <w:t xml:space="preserve">La </w:t>
      </w:r>
      <w:r w:rsidRPr="00E8642C">
        <w:rPr>
          <w:rFonts w:cs="Arial"/>
          <w:i/>
          <w:snapToGrid w:val="0"/>
          <w:szCs w:val="22"/>
        </w:rPr>
        <w:t>Convention sur la diversité biologique</w:t>
      </w:r>
      <w:r w:rsidRPr="00E8642C">
        <w:rPr>
          <w:rFonts w:cs="Arial"/>
          <w:snapToGrid w:val="0"/>
          <w:szCs w:val="22"/>
        </w:rPr>
        <w:t xml:space="preserve"> (CDB)</w:t>
      </w:r>
      <w:r w:rsidRPr="00E8642C">
        <w:rPr>
          <w:rFonts w:cs="Arial"/>
          <w:szCs w:val="22"/>
        </w:rPr>
        <w:t xml:space="preserve"> est une convention internationale adoptée en juin 1992 lors de la Conférence des </w:t>
      </w:r>
      <w:r w:rsidR="00D91476">
        <w:rPr>
          <w:rFonts w:cs="Arial"/>
          <w:szCs w:val="22"/>
        </w:rPr>
        <w:t>Nations Unies</w:t>
      </w:r>
      <w:r w:rsidRPr="00E8642C">
        <w:rPr>
          <w:rFonts w:cs="Arial"/>
          <w:szCs w:val="22"/>
        </w:rPr>
        <w:t xml:space="preserve"> sur l</w:t>
      </w:r>
      <w:r w:rsidR="00D91476">
        <w:rPr>
          <w:rFonts w:cs="Arial"/>
          <w:szCs w:val="22"/>
        </w:rPr>
        <w:t>’</w:t>
      </w:r>
      <w:r w:rsidRPr="00E8642C">
        <w:rPr>
          <w:rFonts w:cs="Arial"/>
          <w:szCs w:val="22"/>
        </w:rPr>
        <w:t>environnement et le développement tenue à Rio de Janeiro (Brés</w:t>
      </w:r>
      <w:r w:rsidR="001F3AEE" w:rsidRPr="00E8642C">
        <w:rPr>
          <w:rFonts w:cs="Arial"/>
          <w:szCs w:val="22"/>
        </w:rPr>
        <w:t>il)</w:t>
      </w:r>
      <w:r w:rsidR="001F3AEE">
        <w:rPr>
          <w:rFonts w:cs="Arial"/>
          <w:szCs w:val="22"/>
        </w:rPr>
        <w:t xml:space="preserve">.  </w:t>
      </w:r>
      <w:r w:rsidR="001F3AEE" w:rsidRPr="00E8642C">
        <w:rPr>
          <w:rFonts w:cs="Arial"/>
          <w:szCs w:val="22"/>
        </w:rPr>
        <w:t>Se</w:t>
      </w:r>
      <w:r w:rsidRPr="00E8642C">
        <w:rPr>
          <w:rFonts w:cs="Arial"/>
          <w:szCs w:val="22"/>
        </w:rPr>
        <w:t>lon l</w:t>
      </w:r>
      <w:r w:rsidR="00D91476">
        <w:rPr>
          <w:rFonts w:cs="Arial"/>
          <w:szCs w:val="22"/>
        </w:rPr>
        <w:t>’</w:t>
      </w:r>
      <w:r w:rsidRPr="00E8642C">
        <w:rPr>
          <w:rFonts w:cs="Arial"/>
          <w:szCs w:val="22"/>
        </w:rPr>
        <w:t>article premier de la CDB, la convention a pour objectifs “</w:t>
      </w:r>
      <w:r w:rsidRPr="00E8642C">
        <w:rPr>
          <w:rFonts w:cs="Arial"/>
          <w:iCs/>
          <w:szCs w:val="22"/>
        </w:rPr>
        <w:t>la conservation de la diversité biologique, l</w:t>
      </w:r>
      <w:r w:rsidR="00D91476">
        <w:rPr>
          <w:rFonts w:cs="Arial"/>
          <w:iCs/>
          <w:szCs w:val="22"/>
        </w:rPr>
        <w:t>’</w:t>
      </w:r>
      <w:r w:rsidRPr="00E8642C">
        <w:rPr>
          <w:rFonts w:cs="Arial"/>
          <w:iCs/>
          <w:szCs w:val="22"/>
        </w:rPr>
        <w:t>utilisation durable de ses éléments et le partage juste et équitable des avantages découlant de l</w:t>
      </w:r>
      <w:r w:rsidR="00D91476">
        <w:rPr>
          <w:rFonts w:cs="Arial"/>
          <w:iCs/>
          <w:szCs w:val="22"/>
        </w:rPr>
        <w:t>’</w:t>
      </w:r>
      <w:r w:rsidRPr="00E8642C">
        <w:rPr>
          <w:rFonts w:cs="Arial"/>
          <w:iCs/>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r w:rsidRPr="00E8642C">
        <w:rPr>
          <w:rFonts w:cs="Arial"/>
          <w:szCs w:val="22"/>
        </w:rPr>
        <w:t>”.  Elle est entrée en vigueur le 29 décembre 1993.</w:t>
      </w:r>
    </w:p>
    <w:p w:rsidR="00D23D81" w:rsidRDefault="00DD607D" w:rsidP="00D23D81">
      <w:pPr>
        <w:pStyle w:val="Heading2"/>
        <w:spacing w:after="220" w:line="240" w:lineRule="auto"/>
      </w:pPr>
      <w:bookmarkStart w:id="41" w:name="_Toc7772517"/>
      <w:r w:rsidRPr="00E8642C">
        <w:t>Créations et innovations fondées sur les traditions</w:t>
      </w:r>
      <w:bookmarkEnd w:id="41"/>
    </w:p>
    <w:p w:rsidR="00D23D81" w:rsidRDefault="00DD607D" w:rsidP="00D23D81">
      <w:pPr>
        <w:spacing w:after="220"/>
        <w:rPr>
          <w:rFonts w:cs="Arial"/>
          <w:szCs w:val="22"/>
        </w:rPr>
      </w:pPr>
      <w:r w:rsidRPr="00E8642C">
        <w:rPr>
          <w:rFonts w:cs="Arial"/>
          <w:szCs w:val="22"/>
        </w:rPr>
        <w:t>Les traditions sont constituées d</w:t>
      </w:r>
      <w:r w:rsidR="00D91476">
        <w:rPr>
          <w:rFonts w:cs="Arial"/>
          <w:szCs w:val="22"/>
        </w:rPr>
        <w:t>’</w:t>
      </w:r>
      <w:r w:rsidRPr="00E8642C">
        <w:rPr>
          <w:rFonts w:cs="Arial"/>
          <w:szCs w:val="22"/>
        </w:rPr>
        <w:t>une série de pratiques culturelles et d</w:t>
      </w:r>
      <w:r w:rsidR="00D91476">
        <w:rPr>
          <w:rFonts w:cs="Arial"/>
          <w:szCs w:val="22"/>
        </w:rPr>
        <w:t>’</w:t>
      </w:r>
      <w:r w:rsidRPr="00E8642C">
        <w:rPr>
          <w:rFonts w:cs="Arial"/>
          <w:szCs w:val="22"/>
        </w:rPr>
        <w:t>idées, qui sont considérées comme appartenant au passé et qui se voient reconnaître un certain stat</w:t>
      </w:r>
      <w:r w:rsidR="001F3AEE" w:rsidRPr="00E8642C">
        <w:rPr>
          <w:rFonts w:cs="Arial"/>
          <w:szCs w:val="22"/>
        </w:rPr>
        <w:t>ut</w:t>
      </w:r>
      <w:r w:rsidR="001F3AEE">
        <w:rPr>
          <w:rFonts w:cs="Arial"/>
          <w:szCs w:val="22"/>
        </w:rPr>
        <w:t xml:space="preserve">.  </w:t>
      </w:r>
      <w:r w:rsidR="001F3AEE" w:rsidRPr="00E8642C">
        <w:rPr>
          <w:rFonts w:cs="Arial"/>
          <w:szCs w:val="22"/>
        </w:rPr>
        <w:t>Le</w:t>
      </w:r>
      <w:r w:rsidRPr="00E8642C">
        <w:rPr>
          <w:rFonts w:cs="Arial"/>
          <w:szCs w:val="22"/>
        </w:rPr>
        <w:t xml:space="preserve">s créations et innovations fondées sur les traditions désignent les innovations et les créations fondées sur les savoirs traditionnels </w:t>
      </w:r>
      <w:r w:rsidRPr="00E8642C">
        <w:rPr>
          <w:rFonts w:cs="Arial"/>
          <w:i/>
          <w:szCs w:val="22"/>
        </w:rPr>
        <w:t>en tant que tels</w:t>
      </w:r>
      <w:r w:rsidRPr="00E8642C">
        <w:rPr>
          <w:rFonts w:cs="Arial"/>
          <w:szCs w:val="22"/>
        </w:rPr>
        <w:t>, conçues et créées en dehors d</w:t>
      </w:r>
      <w:r w:rsidR="00D91476">
        <w:rPr>
          <w:rFonts w:cs="Arial"/>
          <w:szCs w:val="22"/>
        </w:rPr>
        <w:t>’</w:t>
      </w:r>
      <w:r w:rsidRPr="00E8642C">
        <w:rPr>
          <w:rFonts w:cs="Arial"/>
          <w:szCs w:val="22"/>
        </w:rPr>
        <w:t>un contexte traditionnel</w:t>
      </w:r>
      <w:r w:rsidRPr="00E8642C">
        <w:rPr>
          <w:rFonts w:cs="Arial"/>
          <w:szCs w:val="22"/>
          <w:vertAlign w:val="superscript"/>
        </w:rPr>
        <w:footnoteReference w:id="44"/>
      </w:r>
      <w:r w:rsidRPr="00E8642C">
        <w:rPr>
          <w:rFonts w:cs="Arial"/>
          <w:szCs w:val="22"/>
        </w:rPr>
        <w:t xml:space="preserve">.  Les savoirs traditionnels </w:t>
      </w:r>
      <w:r w:rsidRPr="00E8642C">
        <w:rPr>
          <w:rFonts w:cs="Arial"/>
          <w:i/>
          <w:szCs w:val="22"/>
        </w:rPr>
        <w:t xml:space="preserve">en tant que tels </w:t>
      </w:r>
      <w:r w:rsidRPr="00E8642C">
        <w:rPr>
          <w:rFonts w:cs="Arial"/>
          <w:szCs w:val="22"/>
        </w:rPr>
        <w:t>concernent “les systèmes de savoirs, les créations, les innovations et les expressions culturelles qui se transmettent généralement de génération en génération, sont généralement considérés comme appartenant à un peuple particulier ou à son territoire, ont généralement été mis au point de manière non systématique et sont en mutation constante dans un environnement en évolution”</w:t>
      </w:r>
      <w:r w:rsidRPr="00E8642C">
        <w:rPr>
          <w:rStyle w:val="FootnoteReference"/>
          <w:rFonts w:cs="Arial"/>
          <w:szCs w:val="22"/>
        </w:rPr>
        <w:footnoteReference w:id="45"/>
      </w:r>
      <w:r w:rsidRPr="00E8642C">
        <w:rPr>
          <w:rFonts w:cs="Arial"/>
          <w:szCs w:val="22"/>
        </w:rPr>
        <w:t>.  L</w:t>
      </w:r>
      <w:r w:rsidR="00D91476">
        <w:rPr>
          <w:rFonts w:cs="Arial"/>
          <w:szCs w:val="22"/>
        </w:rPr>
        <w:t>’</w:t>
      </w:r>
      <w:r w:rsidRPr="00E8642C">
        <w:rPr>
          <w:rFonts w:cs="Arial"/>
          <w:szCs w:val="22"/>
        </w:rPr>
        <w:t>innovation fondée sur les traditions vise le cas où les traditions constituent une source d</w:t>
      </w:r>
      <w:r w:rsidR="00D91476">
        <w:rPr>
          <w:rFonts w:cs="Arial"/>
          <w:szCs w:val="22"/>
        </w:rPr>
        <w:t>’</w:t>
      </w:r>
      <w:r w:rsidRPr="00E8642C">
        <w:rPr>
          <w:rFonts w:cs="Arial"/>
          <w:szCs w:val="22"/>
        </w:rPr>
        <w:t>innovation pour les membres d</w:t>
      </w:r>
      <w:r w:rsidR="00D91476">
        <w:rPr>
          <w:rFonts w:cs="Arial"/>
          <w:szCs w:val="22"/>
        </w:rPr>
        <w:t>’</w:t>
      </w:r>
      <w:r w:rsidRPr="00E8642C">
        <w:rPr>
          <w:rFonts w:cs="Arial"/>
          <w:szCs w:val="22"/>
        </w:rPr>
        <w:t>une communauté culturelle donnée ou pour des personnes étrangères à cette communauté, et peut également mettre en évidence d</w:t>
      </w:r>
      <w:r w:rsidR="00D91476">
        <w:rPr>
          <w:rFonts w:cs="Arial"/>
          <w:szCs w:val="22"/>
        </w:rPr>
        <w:t>’</w:t>
      </w:r>
      <w:r w:rsidRPr="00E8642C">
        <w:rPr>
          <w:rFonts w:cs="Arial"/>
          <w:szCs w:val="22"/>
        </w:rPr>
        <w:t>autres utilisations des traditions qui sont pertinentes dans le cadre d</w:t>
      </w:r>
      <w:r w:rsidR="00D91476">
        <w:rPr>
          <w:rFonts w:cs="Arial"/>
          <w:szCs w:val="22"/>
        </w:rPr>
        <w:t>’</w:t>
      </w:r>
      <w:r w:rsidRPr="00E8642C">
        <w:rPr>
          <w:rFonts w:cs="Arial"/>
          <w:szCs w:val="22"/>
        </w:rPr>
        <w:t>une analyse relative à la propriété intellectuelle</w:t>
      </w:r>
      <w:r w:rsidRPr="00E8642C">
        <w:rPr>
          <w:rStyle w:val="FootnoteReference"/>
          <w:rFonts w:cs="Arial"/>
          <w:szCs w:val="22"/>
        </w:rPr>
        <w:footnoteReference w:id="46"/>
      </w:r>
      <w:r w:rsidRPr="00E8642C">
        <w:rPr>
          <w:rFonts w:cs="Arial"/>
          <w:szCs w:val="22"/>
        </w:rPr>
        <w:t>.  La “Liste et explication technique succincte des différentes formes sous lesquelles les savoirs traditionnels peuvent se présenter” (WIPO/GRTKF/IC/17/INF/9) examine plus en détail les savoirs traditionnels “en tant que tels” et les innovations et créations fondées sur des savoirs traditionnels</w:t>
      </w:r>
      <w:r w:rsidRPr="00E8642C">
        <w:rPr>
          <w:rStyle w:val="FootnoteReference"/>
          <w:rFonts w:cs="Arial"/>
          <w:szCs w:val="22"/>
        </w:rPr>
        <w:footnoteReference w:id="47"/>
      </w:r>
      <w:r w:rsidRPr="00E8642C">
        <w:rPr>
          <w:rFonts w:cs="Arial"/>
          <w:szCs w:val="22"/>
        </w:rPr>
        <w:t>.</w:t>
      </w:r>
    </w:p>
    <w:p w:rsidR="00D23D81" w:rsidRDefault="00DD607D" w:rsidP="00D23D81">
      <w:pPr>
        <w:pStyle w:val="Heading2"/>
        <w:spacing w:after="220" w:line="240" w:lineRule="auto"/>
      </w:pPr>
      <w:bookmarkStart w:id="42" w:name="_Toc7772518"/>
      <w:r w:rsidRPr="00E8642C">
        <w:t>Cultures traditionnelles</w:t>
      </w:r>
      <w:bookmarkEnd w:id="42"/>
    </w:p>
    <w:p w:rsidR="00D23D81" w:rsidRDefault="00DD607D" w:rsidP="00D23D81">
      <w:pPr>
        <w:spacing w:after="220"/>
        <w:rPr>
          <w:rFonts w:cs="Arial"/>
          <w:szCs w:val="22"/>
        </w:rPr>
      </w:pPr>
      <w:r w:rsidRPr="00E8642C">
        <w:rPr>
          <w:rFonts w:cs="Arial"/>
          <w:szCs w:val="22"/>
        </w:rPr>
        <w:t xml:space="preserve">Selon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les traditions font référence aux coutumes et usages anciens qui influencent ou régissent les actes ou pratiques actue</w:t>
      </w:r>
      <w:r w:rsidR="001F3AEE" w:rsidRPr="00E8642C">
        <w:rPr>
          <w:rFonts w:cs="Arial"/>
          <w:szCs w:val="22"/>
        </w:rPr>
        <w:t>ls</w:t>
      </w:r>
      <w:r w:rsidR="001F3AEE">
        <w:rPr>
          <w:rFonts w:cs="Arial"/>
          <w:szCs w:val="22"/>
        </w:rPr>
        <w:t xml:space="preserve">.  </w:t>
      </w:r>
      <w:r w:rsidR="001F3AEE" w:rsidRPr="00E8642C">
        <w:rPr>
          <w:rFonts w:cs="Arial"/>
          <w:szCs w:val="22"/>
        </w:rPr>
        <w:t>La</w:t>
      </w:r>
      <w:r w:rsidRPr="00E8642C">
        <w:rPr>
          <w:rFonts w:cs="Arial"/>
          <w:szCs w:val="22"/>
        </w:rPr>
        <w:t xml:space="preserve"> législation sur la propriété intellectuelle établit une distinction entre la culture traditionnelle (qui peut être désignée par les termes “culture traditionnelle” ou “folklore” au sens strict) et les expressions culturelles modernes en évolution, créées par les générations actuelles d</w:t>
      </w:r>
      <w:r w:rsidR="00D91476">
        <w:rPr>
          <w:rFonts w:cs="Arial"/>
          <w:szCs w:val="22"/>
        </w:rPr>
        <w:t>’</w:t>
      </w:r>
      <w:r w:rsidRPr="00E8642C">
        <w:rPr>
          <w:rFonts w:cs="Arial"/>
          <w:szCs w:val="22"/>
        </w:rPr>
        <w:t>une société donnée et fondées sur la culture ou le folklore traditionnels préexistants ou encore inspirées de cette culture ou de ce folklore</w:t>
      </w:r>
      <w:r w:rsidRPr="00E8642C">
        <w:rPr>
          <w:rStyle w:val="FootnoteReference"/>
          <w:rFonts w:cs="Arial"/>
          <w:szCs w:val="22"/>
        </w:rPr>
        <w:footnoteReference w:id="48"/>
      </w:r>
      <w:r w:rsidRPr="00E8642C">
        <w:rPr>
          <w:rFonts w:cs="Arial"/>
          <w:szCs w:val="22"/>
        </w:rPr>
        <w:t>.</w:t>
      </w:r>
    </w:p>
    <w:p w:rsidR="00D23D81" w:rsidRDefault="00DD607D" w:rsidP="00D23D81">
      <w:pPr>
        <w:pStyle w:val="Heading2"/>
        <w:spacing w:after="220" w:line="240" w:lineRule="auto"/>
      </w:pPr>
      <w:bookmarkStart w:id="43" w:name="_Toc7772519"/>
      <w:r w:rsidRPr="00E8642C">
        <w:t xml:space="preserve">Déclaration des </w:t>
      </w:r>
      <w:r w:rsidR="00D91476">
        <w:t>Nations Unies</w:t>
      </w:r>
      <w:r w:rsidRPr="00E8642C">
        <w:t xml:space="preserve"> sur les droits des peuples autochtones</w:t>
      </w:r>
      <w:bookmarkEnd w:id="43"/>
    </w:p>
    <w:p w:rsidR="00DD607D" w:rsidRPr="00E8642C"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 xml:space="preserve">Assemblée générale des </w:t>
      </w:r>
      <w:r w:rsidR="00D91476">
        <w:rPr>
          <w:rFonts w:cs="Arial"/>
          <w:szCs w:val="22"/>
        </w:rPr>
        <w:t>Nations Unies</w:t>
      </w:r>
      <w:r w:rsidRPr="00E8642C">
        <w:rPr>
          <w:rFonts w:cs="Arial"/>
          <w:szCs w:val="22"/>
        </w:rPr>
        <w:t xml:space="preserve"> a adopté la Déclaration </w:t>
      </w:r>
      <w:r w:rsidRPr="00E8642C">
        <w:rPr>
          <w:rFonts w:cs="Arial"/>
          <w:i/>
          <w:szCs w:val="22"/>
        </w:rPr>
        <w:t xml:space="preserve">des </w:t>
      </w:r>
      <w:r w:rsidR="00D91476">
        <w:rPr>
          <w:rFonts w:cs="Arial"/>
          <w:i/>
          <w:szCs w:val="22"/>
        </w:rPr>
        <w:t>Nations Unies</w:t>
      </w:r>
      <w:r w:rsidRPr="00E8642C">
        <w:rPr>
          <w:rFonts w:cs="Arial"/>
          <w:i/>
          <w:szCs w:val="22"/>
        </w:rPr>
        <w:t xml:space="preserve"> sur les droits des peuples autochtones</w:t>
      </w:r>
      <w:r w:rsidRPr="00E8642C">
        <w:rPr>
          <w:rFonts w:cs="Arial"/>
          <w:szCs w:val="22"/>
        </w:rPr>
        <w:t xml:space="preserve"> en 2007.  Cette déclaration reconnaît les droits humains égaux des peuples autochtones contre la discrimination culturelle et vise à promouvoir le respect mutuel et les relations harmonieuses entre les peuples autochtones et les États.</w:t>
      </w:r>
    </w:p>
    <w:p w:rsidR="00D23D81" w:rsidRDefault="00DD607D" w:rsidP="00D23D81">
      <w:pPr>
        <w:spacing w:after="220"/>
        <w:rPr>
          <w:rFonts w:cs="Arial"/>
          <w:szCs w:val="22"/>
        </w:rPr>
      </w:pPr>
      <w:r w:rsidRPr="00E8642C">
        <w:rPr>
          <w:rFonts w:cs="Arial"/>
          <w:bCs/>
          <w:szCs w:val="22"/>
        </w:rPr>
        <w:t>En ce qui concerne les savoirs traditionnels, les expressions culturelles traditionnelles et les ressources génétiques, l</w:t>
      </w:r>
      <w:r w:rsidR="00D91476">
        <w:rPr>
          <w:rFonts w:cs="Arial"/>
          <w:bCs/>
          <w:szCs w:val="22"/>
        </w:rPr>
        <w:t>’</w:t>
      </w:r>
      <w:r w:rsidRPr="00E8642C">
        <w:rPr>
          <w:rFonts w:cs="Arial"/>
          <w:bCs/>
          <w:szCs w:val="22"/>
        </w:rPr>
        <w:t xml:space="preserve">article 31.1) indique que </w:t>
      </w:r>
      <w:r w:rsidRPr="00E8642C">
        <w:rPr>
          <w:rFonts w:cs="Arial"/>
          <w:bCs/>
          <w:iCs/>
          <w:szCs w:val="22"/>
        </w:rPr>
        <w:t>“[l]</w:t>
      </w:r>
      <w:r w:rsidRPr="00E8642C">
        <w:rPr>
          <w:rFonts w:cs="Arial"/>
          <w:iCs/>
          <w:szCs w:val="22"/>
        </w:rPr>
        <w:t xml:space="preserve">es peuples autochtones ont le droit de préserver, de contrôler, de protéger et de développer leur patrimoine culturel, leur savoir traditionnel et leurs expressions culturelles traditionnelles ainsi que les manifestations de leurs sciences, techniques et culture, </w:t>
      </w:r>
      <w:r w:rsidR="00D91476">
        <w:rPr>
          <w:rFonts w:cs="Arial"/>
          <w:iCs/>
          <w:szCs w:val="22"/>
        </w:rPr>
        <w:t>y compris</w:t>
      </w:r>
      <w:r w:rsidRPr="00E8642C">
        <w:rPr>
          <w:rFonts w:cs="Arial"/>
          <w:iCs/>
          <w:szCs w:val="22"/>
        </w:rPr>
        <w:t xml:space="preserve"> leurs ressources humaines et génétiques, leurs semences, leur pharmacopée, leur connaissance des propriétés de la faune et de la flore, leurs traditions orales, leur littérature, leur esthétique, leurs sports et leurs jeux traditionnels et leurs arts visuels et du spectac</w:t>
      </w:r>
      <w:r w:rsidR="001F3AEE" w:rsidRPr="00E8642C">
        <w:rPr>
          <w:rFonts w:cs="Arial"/>
          <w:iCs/>
          <w:szCs w:val="22"/>
        </w:rPr>
        <w:t>le</w:t>
      </w:r>
      <w:r w:rsidR="001F3AEE">
        <w:rPr>
          <w:rFonts w:cs="Arial"/>
          <w:iCs/>
          <w:szCs w:val="22"/>
        </w:rPr>
        <w:t xml:space="preserve">.  </w:t>
      </w:r>
      <w:r w:rsidR="001F3AEE" w:rsidRPr="00E8642C">
        <w:rPr>
          <w:rFonts w:cs="Arial"/>
          <w:iCs/>
          <w:szCs w:val="22"/>
        </w:rPr>
        <w:t>Il</w:t>
      </w:r>
      <w:r w:rsidRPr="00E8642C">
        <w:rPr>
          <w:rFonts w:cs="Arial"/>
          <w:iCs/>
          <w:szCs w:val="22"/>
        </w:rPr>
        <w:t xml:space="preserve">s ont également le droit de préserver, de contrôler, de protéger et de développer leur propriété intellectuelle collective de ce patrimoine culturel, de ce savoir traditionnel et de ces expressions culturelles traditionnelles”.  </w:t>
      </w:r>
      <w:r w:rsidRPr="00E8642C">
        <w:rPr>
          <w:rFonts w:cs="Arial"/>
          <w:szCs w:val="22"/>
        </w:rPr>
        <w:t>L</w:t>
      </w:r>
      <w:r w:rsidR="00D91476">
        <w:rPr>
          <w:rFonts w:cs="Arial"/>
          <w:szCs w:val="22"/>
        </w:rPr>
        <w:t>’</w:t>
      </w:r>
      <w:r w:rsidRPr="00E8642C">
        <w:rPr>
          <w:rFonts w:cs="Arial"/>
          <w:szCs w:val="22"/>
        </w:rPr>
        <w:t xml:space="preserve">article 31.2) ajoute que </w:t>
      </w:r>
      <w:r w:rsidRPr="00E8642C">
        <w:rPr>
          <w:rFonts w:cs="Arial"/>
          <w:iCs/>
          <w:szCs w:val="22"/>
        </w:rPr>
        <w:t>“[e]n concertation avec les peuples autochtones, les États prennent des mesures efficaces pour reconnaître ces droits et en protéger l</w:t>
      </w:r>
      <w:r w:rsidR="00D91476">
        <w:rPr>
          <w:rFonts w:cs="Arial"/>
          <w:iCs/>
          <w:szCs w:val="22"/>
        </w:rPr>
        <w:t>’</w:t>
      </w:r>
      <w:r w:rsidRPr="00E8642C">
        <w:rPr>
          <w:rFonts w:cs="Arial"/>
          <w:iCs/>
          <w:szCs w:val="22"/>
        </w:rPr>
        <w:t>exercice</w:t>
      </w:r>
      <w:r w:rsidRPr="00E8642C">
        <w:rPr>
          <w:rFonts w:cs="Arial"/>
          <w:szCs w:val="22"/>
        </w:rPr>
        <w:t>”.  En ce qui concerne la médecine traditionnelle, l</w:t>
      </w:r>
      <w:r w:rsidR="00D91476">
        <w:rPr>
          <w:rFonts w:cs="Arial"/>
          <w:szCs w:val="22"/>
        </w:rPr>
        <w:t>’</w:t>
      </w:r>
      <w:r w:rsidRPr="00E8642C">
        <w:rPr>
          <w:rFonts w:cs="Arial"/>
          <w:szCs w:val="22"/>
        </w:rPr>
        <w:t xml:space="preserve">article 24 indique que </w:t>
      </w:r>
      <w:r w:rsidRPr="00E8642C">
        <w:rPr>
          <w:rFonts w:cs="Arial"/>
          <w:iCs/>
          <w:szCs w:val="22"/>
        </w:rPr>
        <w:t>“[l]es peuples autochtones ont droit à leur pharmacopée traditionnelle et ils ont le droit de conserver leurs pratiques médicales, notamment de préserver leurs plantes médicinales, animaux et minéraux d</w:t>
      </w:r>
      <w:r w:rsidR="00D91476">
        <w:rPr>
          <w:rFonts w:cs="Arial"/>
          <w:iCs/>
          <w:szCs w:val="22"/>
        </w:rPr>
        <w:t>’</w:t>
      </w:r>
      <w:r w:rsidRPr="00E8642C">
        <w:rPr>
          <w:rFonts w:cs="Arial"/>
          <w:iCs/>
          <w:szCs w:val="22"/>
        </w:rPr>
        <w:t>intérêt vital”</w:t>
      </w:r>
      <w:r w:rsidRPr="00E8642C">
        <w:rPr>
          <w:rFonts w:cs="Arial"/>
          <w:szCs w:val="22"/>
        </w:rPr>
        <w:t>.</w:t>
      </w:r>
    </w:p>
    <w:p w:rsidR="00D23D81" w:rsidRDefault="00DD607D" w:rsidP="00D23D81">
      <w:pPr>
        <w:pStyle w:val="Heading2"/>
        <w:spacing w:after="220"/>
      </w:pPr>
      <w:bookmarkStart w:id="44" w:name="_Toc7772520"/>
      <w:r w:rsidRPr="00E8642C">
        <w:t>Déclaration universelle des droits de l</w:t>
      </w:r>
      <w:r w:rsidR="00D91476">
        <w:t>’</w:t>
      </w:r>
      <w:r w:rsidRPr="00E8642C">
        <w:t>homme</w:t>
      </w:r>
      <w:bookmarkEnd w:id="44"/>
    </w:p>
    <w:p w:rsidR="00D23D81" w:rsidRDefault="00DD607D" w:rsidP="00D23D81">
      <w:pPr>
        <w:spacing w:after="220"/>
      </w:pPr>
      <w:r w:rsidRPr="00E8642C">
        <w:t>La Déclaration universelle des droits de l</w:t>
      </w:r>
      <w:r w:rsidR="00D91476">
        <w:t>’</w:t>
      </w:r>
      <w:r w:rsidRPr="00E8642C">
        <w:t>homme est un document majeur dans l</w:t>
      </w:r>
      <w:r w:rsidR="00D91476">
        <w:t>’</w:t>
      </w:r>
      <w:r w:rsidRPr="00E8642C">
        <w:t>histoire des droits de l</w:t>
      </w:r>
      <w:r w:rsidR="00D91476">
        <w:t>’</w:t>
      </w:r>
      <w:r w:rsidRPr="00E8642C">
        <w:t>hom</w:t>
      </w:r>
      <w:r w:rsidR="001F3AEE" w:rsidRPr="00E8642C">
        <w:t>me</w:t>
      </w:r>
      <w:r w:rsidR="001F3AEE">
        <w:t xml:space="preserve">.  </w:t>
      </w:r>
      <w:r w:rsidR="001F3AEE" w:rsidRPr="00E8642C">
        <w:t>Ré</w:t>
      </w:r>
      <w:r w:rsidRPr="00E8642C">
        <w:t>digée par des représentants ayant une formation juridique et une culture différentes, de toutes les régions du monde, la déclaration a été proclamée par l</w:t>
      </w:r>
      <w:r w:rsidR="00D91476">
        <w:t>’</w:t>
      </w:r>
      <w:r w:rsidRPr="00E8642C">
        <w:t xml:space="preserve">Assemblée générale des </w:t>
      </w:r>
      <w:r w:rsidR="00D91476">
        <w:t>Nations Unies</w:t>
      </w:r>
      <w:r w:rsidRPr="00E8642C">
        <w:t xml:space="preserve"> à Paris le 10 décembre 1948 comme l</w:t>
      </w:r>
      <w:r w:rsidR="00D91476">
        <w:t>’</w:t>
      </w:r>
      <w:r w:rsidRPr="00E8642C">
        <w:t>idéal commun à atteindre par tous les peuples et toutes les natio</w:t>
      </w:r>
      <w:r w:rsidR="001F3AEE" w:rsidRPr="00E8642C">
        <w:t>ns</w:t>
      </w:r>
      <w:r w:rsidR="001F3AEE">
        <w:t xml:space="preserve">.  </w:t>
      </w:r>
      <w:r w:rsidR="001F3AEE" w:rsidRPr="00E8642C">
        <w:t>El</w:t>
      </w:r>
      <w:r w:rsidRPr="00E8642C">
        <w:t>le énonce pour la première fois les droits fondamentaux de l</w:t>
      </w:r>
      <w:r w:rsidR="00D91476">
        <w:t>’</w:t>
      </w:r>
      <w:r w:rsidRPr="00E8642C">
        <w:t>homme à protéger universellement</w:t>
      </w:r>
      <w:r w:rsidRPr="00E8642C">
        <w:rPr>
          <w:rStyle w:val="FootnoteReference"/>
          <w:szCs w:val="22"/>
        </w:rPr>
        <w:footnoteReference w:id="49"/>
      </w:r>
      <w:r w:rsidRPr="00E8642C">
        <w:t>.</w:t>
      </w:r>
    </w:p>
    <w:p w:rsidR="00D23D81" w:rsidRDefault="00DD607D" w:rsidP="00D23D81">
      <w:pPr>
        <w:pStyle w:val="Heading2"/>
        <w:spacing w:after="220" w:line="240" w:lineRule="auto"/>
      </w:pPr>
      <w:bookmarkStart w:id="45" w:name="_Toc7772521"/>
      <w:r w:rsidRPr="00E8642C">
        <w:t>Dépositaire</w:t>
      </w:r>
      <w:bookmarkEnd w:id="45"/>
    </w:p>
    <w:p w:rsidR="00D23D81" w:rsidRDefault="00DD607D" w:rsidP="00D23D81">
      <w:pPr>
        <w:pStyle w:val="FootnoteText"/>
        <w:spacing w:after="220"/>
        <w:ind w:left="0" w:firstLine="0"/>
        <w:rPr>
          <w:rFonts w:cs="Arial"/>
          <w:szCs w:val="22"/>
        </w:rPr>
      </w:pPr>
      <w:r w:rsidRPr="00E8642C">
        <w:rPr>
          <w:rFonts w:cs="Arial"/>
          <w:szCs w:val="22"/>
        </w:rPr>
        <w:t xml:space="preserve">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“dépositaire” de la manière suivante</w:t>
      </w:r>
      <w:r w:rsidR="00D91476">
        <w:rPr>
          <w:rFonts w:cs="Arial"/>
          <w:szCs w:val="22"/>
        </w:rPr>
        <w:t> :</w:t>
      </w:r>
      <w:r w:rsidRPr="00E8642C">
        <w:rPr>
          <w:rFonts w:cs="Arial"/>
          <w:szCs w:val="22"/>
        </w:rPr>
        <w:t xml:space="preserve"> “[toute] personne ou institution qui a à sa charge une chose ou une personne ou qui en est responsable (un enfant, une propriété, des documents ou tout autre objet de valeur)”.  Selon la même source, la “garde” fait référence à la protection et à la surveillance d</w:t>
      </w:r>
      <w:r w:rsidR="00D91476">
        <w:rPr>
          <w:rFonts w:cs="Arial"/>
          <w:szCs w:val="22"/>
        </w:rPr>
        <w:t>’</w:t>
      </w:r>
      <w:r w:rsidRPr="00E8642C">
        <w:rPr>
          <w:rFonts w:cs="Arial"/>
          <w:szCs w:val="22"/>
        </w:rPr>
        <w:t>une chose ou d</w:t>
      </w:r>
      <w:r w:rsidR="00D91476">
        <w:rPr>
          <w:rFonts w:cs="Arial"/>
          <w:szCs w:val="22"/>
        </w:rPr>
        <w:t>’</w:t>
      </w:r>
      <w:r w:rsidRPr="00E8642C">
        <w:rPr>
          <w:rFonts w:cs="Arial"/>
          <w:szCs w:val="22"/>
        </w:rPr>
        <w:t>une personne à des fins d</w:t>
      </w:r>
      <w:r w:rsidR="00D91476">
        <w:rPr>
          <w:rFonts w:cs="Arial"/>
          <w:szCs w:val="22"/>
        </w:rPr>
        <w:t>’</w:t>
      </w:r>
      <w:r w:rsidRPr="00E8642C">
        <w:rPr>
          <w:rFonts w:cs="Arial"/>
          <w:szCs w:val="22"/>
        </w:rPr>
        <w:t>inspection, de préservation ou de sécuri</w:t>
      </w:r>
      <w:r w:rsidR="001F3AEE" w:rsidRPr="00E8642C">
        <w:rPr>
          <w:rFonts w:cs="Arial"/>
          <w:szCs w:val="22"/>
        </w:rPr>
        <w:t>té</w:t>
      </w:r>
      <w:r w:rsidR="001F3AEE">
        <w:rPr>
          <w:rFonts w:cs="Arial"/>
          <w:szCs w:val="22"/>
        </w:rPr>
        <w:t xml:space="preserve">.  </w:t>
      </w:r>
      <w:r w:rsidR="001F3AEE" w:rsidRPr="00E8642C">
        <w:rPr>
          <w:rFonts w:cs="Arial"/>
          <w:szCs w:val="22"/>
        </w:rPr>
        <w:t>Le</w:t>
      </w:r>
      <w:r w:rsidRPr="00E8642C">
        <w:rPr>
          <w:rFonts w:cs="Arial"/>
          <w:szCs w:val="22"/>
        </w:rPr>
        <w:t xml:space="preserve"> Oxford English </w:t>
      </w:r>
      <w:proofErr w:type="spellStart"/>
      <w:r w:rsidRPr="00E8642C">
        <w:rPr>
          <w:rFonts w:cs="Arial"/>
          <w:szCs w:val="22"/>
        </w:rPr>
        <w:t>Dictionary</w:t>
      </w:r>
      <w:proofErr w:type="spellEnd"/>
      <w:r w:rsidRPr="00E8642C">
        <w:rPr>
          <w:rFonts w:cs="Arial"/>
          <w:szCs w:val="22"/>
        </w:rPr>
        <w:t xml:space="preserve"> définit le terme “dépositaire” de la manière suivante</w:t>
      </w:r>
      <w:r w:rsidR="00D91476">
        <w:rPr>
          <w:rFonts w:cs="Arial"/>
          <w:szCs w:val="22"/>
        </w:rPr>
        <w:t> :</w:t>
      </w:r>
      <w:r w:rsidRPr="00E8642C">
        <w:rPr>
          <w:rFonts w:cs="Arial"/>
          <w:szCs w:val="22"/>
        </w:rPr>
        <w:t xml:space="preserve"> “toute personne ou organisation ayant la garde ou la responsabilité d</w:t>
      </w:r>
      <w:r w:rsidR="00D91476">
        <w:rPr>
          <w:rFonts w:cs="Arial"/>
          <w:szCs w:val="22"/>
        </w:rPr>
        <w:t>’</w:t>
      </w:r>
      <w:r w:rsidRPr="00E8642C">
        <w:rPr>
          <w:rFonts w:cs="Arial"/>
          <w:szCs w:val="22"/>
        </w:rPr>
        <w:t>une chose ou d</w:t>
      </w:r>
      <w:r w:rsidR="00D91476">
        <w:rPr>
          <w:rFonts w:cs="Arial"/>
          <w:szCs w:val="22"/>
        </w:rPr>
        <w:t>’</w:t>
      </w:r>
      <w:r w:rsidRPr="00E8642C">
        <w:rPr>
          <w:rFonts w:cs="Arial"/>
          <w:szCs w:val="22"/>
        </w:rPr>
        <w:t xml:space="preserve">une </w:t>
      </w:r>
      <w:proofErr w:type="gramStart"/>
      <w:r w:rsidRPr="00E8642C">
        <w:rPr>
          <w:rFonts w:cs="Arial"/>
          <w:szCs w:val="22"/>
        </w:rPr>
        <w:t>personne;  un</w:t>
      </w:r>
      <w:proofErr w:type="gramEnd"/>
      <w:r w:rsidRPr="00E8642C">
        <w:rPr>
          <w:rFonts w:cs="Arial"/>
          <w:szCs w:val="22"/>
        </w:rPr>
        <w:t xml:space="preserve"> gardien”.  Le </w:t>
      </w:r>
      <w:proofErr w:type="spellStart"/>
      <w:r w:rsidRPr="00E8642C">
        <w:rPr>
          <w:rFonts w:cs="Arial"/>
          <w:szCs w:val="22"/>
        </w:rPr>
        <w:t>Merriam</w:t>
      </w:r>
      <w:proofErr w:type="spellEnd"/>
      <w:r w:rsidR="00400337">
        <w:rPr>
          <w:rFonts w:cs="Arial"/>
          <w:szCs w:val="22"/>
        </w:rPr>
        <w:noBreakHyphen/>
      </w:r>
      <w:r w:rsidRPr="00E8642C">
        <w:rPr>
          <w:rFonts w:cs="Arial"/>
          <w:szCs w:val="22"/>
        </w:rPr>
        <w:t>Webster</w:t>
      </w:r>
      <w:r w:rsidR="00D050A0">
        <w:rPr>
          <w:rFonts w:cs="Arial"/>
          <w:szCs w:val="22"/>
        </w:rPr>
        <w:t> </w:t>
      </w:r>
      <w:proofErr w:type="spellStart"/>
      <w:r w:rsidRPr="00E8642C">
        <w:rPr>
          <w:rFonts w:cs="Arial"/>
          <w:szCs w:val="22"/>
        </w:rPr>
        <w:t>Dictionary</w:t>
      </w:r>
      <w:proofErr w:type="spellEnd"/>
      <w:r w:rsidRPr="00E8642C">
        <w:rPr>
          <w:rFonts w:cs="Arial"/>
          <w:szCs w:val="22"/>
        </w:rPr>
        <w:t xml:space="preserve"> indique ce qui suit</w:t>
      </w:r>
      <w:r w:rsidR="00D91476">
        <w:rPr>
          <w:rFonts w:cs="Arial"/>
          <w:szCs w:val="22"/>
        </w:rPr>
        <w:t> :</w:t>
      </w:r>
      <w:r w:rsidRPr="00E8642C">
        <w:rPr>
          <w:rFonts w:cs="Arial"/>
          <w:szCs w:val="22"/>
        </w:rPr>
        <w:t xml:space="preserve"> “celui qui garde et protège ou maintient”.  Le terme “dépositaire” dans le contexte des savoirs traditionnels renvoie aux communautés, aux peuples, aux individus et autres entités qui, selon les lois coutumières et autres pratiques, préservent, utilisent ou développent les savoirs traditionne</w:t>
      </w:r>
      <w:r w:rsidR="001F3AEE" w:rsidRPr="00E8642C">
        <w:rPr>
          <w:rFonts w:cs="Arial"/>
          <w:szCs w:val="22"/>
        </w:rPr>
        <w:t>ls</w:t>
      </w:r>
      <w:r w:rsidR="001F3AEE">
        <w:rPr>
          <w:rFonts w:cs="Arial"/>
          <w:szCs w:val="22"/>
        </w:rPr>
        <w:t xml:space="preserve">.  </w:t>
      </w:r>
      <w:r w:rsidR="001F3AEE" w:rsidRPr="00E8642C">
        <w:rPr>
          <w:rFonts w:cs="Arial"/>
          <w:szCs w:val="22"/>
        </w:rPr>
        <w:t>Il</w:t>
      </w:r>
      <w:r w:rsidRPr="00E8642C">
        <w:rPr>
          <w:rFonts w:cs="Arial"/>
          <w:szCs w:val="22"/>
        </w:rPr>
        <w:t xml:space="preserve"> renvoie à une notion différente de celle de “détenteur” à proprement parler, car il est porteur du sens de responsabilité pour garantir que les savoirs traditionnels sont utilisés dans le respect des valeurs communautaires et du droit coutumier.</w:t>
      </w:r>
    </w:p>
    <w:p w:rsidR="00D23D81" w:rsidRDefault="00DD607D" w:rsidP="00D23D81">
      <w:pPr>
        <w:pStyle w:val="Heading2"/>
        <w:spacing w:after="220" w:line="240" w:lineRule="auto"/>
      </w:pPr>
      <w:bookmarkStart w:id="46" w:name="_Toc7772522"/>
      <w:r w:rsidRPr="00E8642C">
        <w:t>Dérivé</w:t>
      </w:r>
      <w:bookmarkEnd w:id="46"/>
    </w:p>
    <w:p w:rsidR="00D23D81"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 xml:space="preserve">article 2.e) </w:t>
      </w:r>
      <w:r w:rsidRPr="00E8642C">
        <w:rPr>
          <w:rFonts w:cs="Arial"/>
          <w:szCs w:val="22"/>
          <w:lang w:eastAsia="zh-CN"/>
        </w:rPr>
        <w:t xml:space="preserve">du </w:t>
      </w:r>
      <w:r w:rsidRPr="00E8642C">
        <w:rPr>
          <w:rFonts w:cs="Arial"/>
          <w:i/>
          <w:szCs w:val="22"/>
          <w:lang w:eastAsia="zh-CN"/>
        </w:rPr>
        <w:t>Protocole de Nagoya sur l</w:t>
      </w:r>
      <w:r w:rsidR="00D91476">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donne la définition suivante</w:t>
      </w:r>
      <w:r w:rsidR="00D91476">
        <w:rPr>
          <w:rFonts w:cs="Arial"/>
          <w:szCs w:val="22"/>
          <w:lang w:eastAsia="zh-CN"/>
        </w:rPr>
        <w:t> :</w:t>
      </w:r>
      <w:r w:rsidRPr="00E8642C">
        <w:rPr>
          <w:rFonts w:cs="Arial"/>
          <w:szCs w:val="22"/>
        </w:rPr>
        <w:t xml:space="preserve"> “tout composé biochimique qui existe à l</w:t>
      </w:r>
      <w:r w:rsidR="00D91476">
        <w:rPr>
          <w:rFonts w:cs="Arial"/>
          <w:szCs w:val="22"/>
        </w:rPr>
        <w:t>’</w:t>
      </w:r>
      <w:r w:rsidRPr="00E8642C">
        <w:rPr>
          <w:rFonts w:cs="Arial"/>
          <w:szCs w:val="22"/>
        </w:rPr>
        <w:t>état naturel résultant de l</w:t>
      </w:r>
      <w:r w:rsidR="00D91476">
        <w:rPr>
          <w:rFonts w:cs="Arial"/>
          <w:szCs w:val="22"/>
        </w:rPr>
        <w:t>’</w:t>
      </w:r>
      <w:r w:rsidRPr="00E8642C">
        <w:rPr>
          <w:rFonts w:cs="Arial"/>
          <w:szCs w:val="22"/>
        </w:rPr>
        <w:t>expression génétique ou du métabolisme de ressources biologiques ou génétiques, même s</w:t>
      </w:r>
      <w:r w:rsidR="00D91476">
        <w:rPr>
          <w:rFonts w:cs="Arial"/>
          <w:szCs w:val="22"/>
        </w:rPr>
        <w:t>’</w:t>
      </w:r>
      <w:r w:rsidRPr="00E8642C">
        <w:rPr>
          <w:rFonts w:cs="Arial"/>
          <w:szCs w:val="22"/>
        </w:rPr>
        <w:t>il ne contient pas d</w:t>
      </w:r>
      <w:r w:rsidR="00D91476">
        <w:rPr>
          <w:rFonts w:cs="Arial"/>
          <w:szCs w:val="22"/>
        </w:rPr>
        <w:t>’</w:t>
      </w:r>
      <w:r w:rsidRPr="00E8642C">
        <w:rPr>
          <w:rFonts w:cs="Arial"/>
          <w:szCs w:val="22"/>
        </w:rPr>
        <w:t>unités fonctionnelles d</w:t>
      </w:r>
      <w:r w:rsidR="00D91476">
        <w:rPr>
          <w:rFonts w:cs="Arial"/>
          <w:szCs w:val="22"/>
        </w:rPr>
        <w:t>’</w:t>
      </w:r>
      <w:r w:rsidRPr="00E8642C">
        <w:rPr>
          <w:rFonts w:cs="Arial"/>
          <w:szCs w:val="22"/>
        </w:rPr>
        <w:t>hérédité”.</w:t>
      </w:r>
    </w:p>
    <w:p w:rsidR="00D23D81" w:rsidRDefault="00DD607D" w:rsidP="00D23D81">
      <w:pPr>
        <w:pStyle w:val="Heading2"/>
        <w:spacing w:after="220" w:line="240" w:lineRule="auto"/>
      </w:pPr>
      <w:bookmarkStart w:id="47" w:name="_Toc7772523"/>
      <w:r w:rsidRPr="00E8642C">
        <w:t>Détenteur</w:t>
      </w:r>
      <w:bookmarkEnd w:id="47"/>
    </w:p>
    <w:p w:rsidR="00D23D81" w:rsidRDefault="00DD607D" w:rsidP="00D23D81">
      <w:pPr>
        <w:spacing w:after="220"/>
        <w:rPr>
          <w:rFonts w:cs="Arial"/>
          <w:szCs w:val="22"/>
        </w:rPr>
      </w:pPr>
      <w:r w:rsidRPr="00E8642C">
        <w:rPr>
          <w:rFonts w:cs="Arial"/>
          <w:szCs w:val="22"/>
        </w:rPr>
        <w:t xml:space="preserve">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“détenteur” de la manière suivante</w:t>
      </w:r>
      <w:r w:rsidR="00D91476">
        <w:rPr>
          <w:rFonts w:cs="Arial"/>
          <w:szCs w:val="22"/>
        </w:rPr>
        <w:t> :</w:t>
      </w:r>
      <w:r w:rsidRPr="00E8642C">
        <w:rPr>
          <w:rFonts w:cs="Arial"/>
          <w:szCs w:val="22"/>
        </w:rPr>
        <w:t xml:space="preserve"> “</w:t>
      </w:r>
      <w:r w:rsidRPr="00E8642C">
        <w:rPr>
          <w:rFonts w:cs="Arial"/>
          <w:iCs/>
          <w:szCs w:val="22"/>
        </w:rPr>
        <w:t>toute personne qui, en vertu de la loi, a en sa possession un instrument négociable et a le droit d</w:t>
      </w:r>
      <w:r w:rsidR="00D91476">
        <w:rPr>
          <w:rFonts w:cs="Arial"/>
          <w:iCs/>
          <w:szCs w:val="22"/>
        </w:rPr>
        <w:t>’</w:t>
      </w:r>
      <w:r w:rsidRPr="00E8642C">
        <w:rPr>
          <w:rFonts w:cs="Arial"/>
          <w:iCs/>
          <w:szCs w:val="22"/>
        </w:rPr>
        <w:t>être rémunérée en échange de son utilisation</w:t>
      </w:r>
      <w:r w:rsidRPr="00E8642C">
        <w:rPr>
          <w:rFonts w:cs="Arial"/>
          <w:szCs w:val="22"/>
        </w:rPr>
        <w:t>”.  L</w:t>
      </w:r>
      <w:r w:rsidR="00D91476">
        <w:rPr>
          <w:rFonts w:cs="Arial"/>
          <w:szCs w:val="22"/>
        </w:rPr>
        <w:t>’</w:t>
      </w:r>
      <w:r w:rsidRPr="00E8642C">
        <w:rPr>
          <w:rFonts w:cs="Arial"/>
          <w:szCs w:val="22"/>
        </w:rPr>
        <w:t>OMPI utilise cette expression pour désigner toutes les personnes qui créent, engendrent, élaborent ou pratiquent des savoirs traditionnels dans un cadre et un environnement traditionne</w:t>
      </w:r>
      <w:r w:rsidR="001F3AEE" w:rsidRPr="00E8642C">
        <w:rPr>
          <w:rFonts w:cs="Arial"/>
          <w:szCs w:val="22"/>
        </w:rPr>
        <w:t>ls</w:t>
      </w:r>
      <w:r w:rsidR="001F3AEE">
        <w:rPr>
          <w:rFonts w:cs="Arial"/>
          <w:szCs w:val="22"/>
        </w:rPr>
        <w:t xml:space="preserve">.  </w:t>
      </w:r>
      <w:r w:rsidR="001F3AEE" w:rsidRPr="00E8642C">
        <w:rPr>
          <w:rFonts w:cs="Arial"/>
          <w:szCs w:val="22"/>
        </w:rPr>
        <w:t>Le</w:t>
      </w:r>
      <w:r w:rsidRPr="00E8642C">
        <w:rPr>
          <w:rFonts w:cs="Arial"/>
          <w:szCs w:val="22"/>
        </w:rPr>
        <w:t>s communautés, peuples et nations autochtones sont des détenteurs de savoirs traditionnels mais tous les détenteurs de savoirs traditionnels ne sont pas des autochtones</w:t>
      </w:r>
      <w:r w:rsidRPr="00E8642C">
        <w:rPr>
          <w:rFonts w:cs="Arial"/>
          <w:szCs w:val="22"/>
          <w:vertAlign w:val="superscript"/>
        </w:rPr>
        <w:footnoteReference w:id="50"/>
      </w:r>
      <w:r w:rsidRPr="00E8642C">
        <w:rPr>
          <w:rFonts w:cs="Arial"/>
          <w:szCs w:val="22"/>
        </w:rPr>
        <w:t>.  Dans ce contexte, l</w:t>
      </w:r>
      <w:r w:rsidR="00D91476">
        <w:rPr>
          <w:rFonts w:cs="Arial"/>
          <w:szCs w:val="22"/>
        </w:rPr>
        <w:t>’</w:t>
      </w:r>
      <w:r w:rsidRPr="00E8642C">
        <w:rPr>
          <w:rFonts w:cs="Arial"/>
          <w:szCs w:val="22"/>
        </w:rPr>
        <w:t>expression “savoirs traditionnels” renvoie à la fois aux savoirs traditionnels au sens strict du terme et aux expressions culturelles traditionnelles.</w:t>
      </w:r>
    </w:p>
    <w:p w:rsidR="00D23D81" w:rsidRDefault="00DD607D" w:rsidP="00D23D81">
      <w:pPr>
        <w:spacing w:after="220"/>
        <w:rPr>
          <w:rFonts w:cs="Arial"/>
          <w:szCs w:val="22"/>
        </w:rPr>
      </w:pPr>
      <w:r w:rsidRPr="00E8642C">
        <w:rPr>
          <w:rFonts w:cs="Arial"/>
          <w:szCs w:val="22"/>
        </w:rPr>
        <w:t>Comme cela est indiqué dans le document intitulé “Liste et explication technique succincte des différentes formes sous lesquelles les savoirs traditionnels peuvent se présenter” (WIPO/GRTKF/IC/17/INF/9), “[e]n règle générale, les savoirs traditionnels sont conçus collectivement ou considérés comme appartenant collectivement à une communauté autochtone ou locale, ou à des groupes de personnes au sein de cette communauté.  […] Cela étant, un membre donné d</w:t>
      </w:r>
      <w:r w:rsidR="00D91476">
        <w:rPr>
          <w:rFonts w:cs="Arial"/>
          <w:szCs w:val="22"/>
        </w:rPr>
        <w:t>’</w:t>
      </w:r>
      <w:r w:rsidRPr="00E8642C">
        <w:rPr>
          <w:rFonts w:cs="Arial"/>
          <w:szCs w:val="22"/>
        </w:rPr>
        <w:t>une communauté, tel qu</w:t>
      </w:r>
      <w:r w:rsidR="00D91476">
        <w:rPr>
          <w:rFonts w:cs="Arial"/>
          <w:szCs w:val="22"/>
        </w:rPr>
        <w:t>’</w:t>
      </w:r>
      <w:r w:rsidRPr="00E8642C">
        <w:rPr>
          <w:rFonts w:cs="Arial"/>
          <w:szCs w:val="22"/>
        </w:rPr>
        <w:t>un guérisseur traditionnel ou un agriculteur, peut détenir un savoir particulier”</w:t>
      </w:r>
      <w:r w:rsidRPr="00E8642C">
        <w:rPr>
          <w:rFonts w:cs="Arial"/>
          <w:szCs w:val="22"/>
          <w:vertAlign w:val="superscript"/>
        </w:rPr>
        <w:footnoteReference w:id="51"/>
      </w:r>
      <w:r w:rsidRPr="00E8642C">
        <w:rPr>
          <w:rFonts w:cs="Arial"/>
          <w:szCs w:val="22"/>
        </w:rPr>
        <w:t>.</w:t>
      </w:r>
    </w:p>
    <w:p w:rsidR="00D23D81" w:rsidRDefault="00DD607D" w:rsidP="00D23D81">
      <w:pPr>
        <w:pStyle w:val="Heading2"/>
        <w:spacing w:after="220" w:line="240" w:lineRule="auto"/>
      </w:pPr>
      <w:bookmarkStart w:id="48" w:name="_Toc7772524"/>
      <w:r w:rsidRPr="00E8642C">
        <w:t>Diligence requise</w:t>
      </w:r>
      <w:bookmarkEnd w:id="48"/>
    </w:p>
    <w:p w:rsidR="00D23D81" w:rsidRDefault="00DD607D" w:rsidP="00D23D81">
      <w:pPr>
        <w:spacing w:after="220"/>
      </w:pPr>
      <w:r w:rsidRPr="00E8642C">
        <w:rPr>
          <w:color w:val="000000"/>
        </w:rPr>
        <w:t xml:space="preserve">Le </w:t>
      </w:r>
      <w:proofErr w:type="spellStart"/>
      <w:r w:rsidRPr="00E8642C">
        <w:rPr>
          <w:color w:val="000000"/>
        </w:rPr>
        <w:t>Black</w:t>
      </w:r>
      <w:r w:rsidR="00D91476">
        <w:rPr>
          <w:color w:val="000000"/>
        </w:rPr>
        <w:t>’</w:t>
      </w:r>
      <w:r w:rsidRPr="00E8642C">
        <w:rPr>
          <w:color w:val="000000"/>
        </w:rPr>
        <w:t>s</w:t>
      </w:r>
      <w:proofErr w:type="spellEnd"/>
      <w:r w:rsidRPr="00E8642C">
        <w:rPr>
          <w:color w:val="000000"/>
        </w:rPr>
        <w:t xml:space="preserve"> Law </w:t>
      </w:r>
      <w:proofErr w:type="spellStart"/>
      <w:r w:rsidRPr="00E8642C">
        <w:rPr>
          <w:color w:val="000000"/>
        </w:rPr>
        <w:t>Dictionary</w:t>
      </w:r>
      <w:proofErr w:type="spellEnd"/>
      <w:r w:rsidRPr="00E8642C">
        <w:rPr>
          <w:color w:val="000000"/>
        </w:rPr>
        <w:t xml:space="preserve"> définit la </w:t>
      </w:r>
      <w:r w:rsidRPr="00E8642C">
        <w:rPr>
          <w:rFonts w:cs="Arial"/>
          <w:szCs w:val="22"/>
        </w:rPr>
        <w:t>“</w:t>
      </w:r>
      <w:r w:rsidRPr="00E8642C">
        <w:rPr>
          <w:color w:val="000000"/>
        </w:rPr>
        <w:t>diligence requise</w:t>
      </w:r>
      <w:r w:rsidRPr="00E8642C">
        <w:rPr>
          <w:rFonts w:cs="Arial"/>
          <w:szCs w:val="22"/>
        </w:rPr>
        <w:t>”</w:t>
      </w:r>
      <w:r w:rsidRPr="00E8642C">
        <w:rPr>
          <w:color w:val="000000"/>
        </w:rPr>
        <w:t xml:space="preserve"> comme la diligence raisonnablement attendue d</w:t>
      </w:r>
      <w:r w:rsidR="00D91476">
        <w:rPr>
          <w:color w:val="000000"/>
        </w:rPr>
        <w:t>’</w:t>
      </w:r>
      <w:r w:rsidRPr="00E8642C">
        <w:rPr>
          <w:color w:val="000000"/>
        </w:rPr>
        <w:t>une personne souhaitant respecter une exigence légale ou s</w:t>
      </w:r>
      <w:r w:rsidR="00D91476">
        <w:rPr>
          <w:color w:val="000000"/>
        </w:rPr>
        <w:t>’</w:t>
      </w:r>
      <w:r w:rsidRPr="00E8642C">
        <w:rPr>
          <w:color w:val="000000"/>
        </w:rPr>
        <w:t>acquitter d</w:t>
      </w:r>
      <w:r w:rsidR="00D91476">
        <w:rPr>
          <w:color w:val="000000"/>
        </w:rPr>
        <w:t>’</w:t>
      </w:r>
      <w:r w:rsidRPr="00E8642C">
        <w:rPr>
          <w:color w:val="000000"/>
        </w:rPr>
        <w:t>une obligation, ou la diligence habituellement exercée par une telle personne.</w:t>
      </w:r>
    </w:p>
    <w:p w:rsidR="00D23D81" w:rsidRDefault="00DD607D" w:rsidP="00D23D81">
      <w:pPr>
        <w:pStyle w:val="Heading2"/>
        <w:spacing w:after="220" w:line="240" w:lineRule="auto"/>
      </w:pPr>
      <w:bookmarkStart w:id="49" w:name="_Toc7772525"/>
      <w:r w:rsidRPr="00E8642C">
        <w:t>Dispositions types OMPI</w:t>
      </w:r>
      <w:r w:rsidR="00400337">
        <w:noBreakHyphen/>
      </w:r>
      <w:r w:rsidRPr="00E8642C">
        <w:t>UNESCO de législation nationale sur la protection des expressions du folklore contre leur exploitation illicite et autres actions dommageables</w:t>
      </w:r>
      <w:bookmarkEnd w:id="49"/>
    </w:p>
    <w:p w:rsidR="00D23D81" w:rsidRDefault="00DD607D" w:rsidP="00D23D81">
      <w:pPr>
        <w:spacing w:after="220"/>
        <w:rPr>
          <w:rFonts w:cs="Arial"/>
          <w:snapToGrid w:val="0"/>
          <w:szCs w:val="22"/>
        </w:rPr>
      </w:pPr>
      <w:r w:rsidRPr="00E8642C">
        <w:rPr>
          <w:rFonts w:cs="Arial"/>
          <w:snapToGrid w:val="0"/>
          <w:szCs w:val="22"/>
        </w:rPr>
        <w:t xml:space="preserve">Les </w:t>
      </w:r>
      <w:r w:rsidRPr="00E8642C">
        <w:rPr>
          <w:rFonts w:cs="Arial"/>
          <w:i/>
          <w:snapToGrid w:val="0"/>
          <w:szCs w:val="22"/>
        </w:rPr>
        <w:t>dispositions types</w:t>
      </w:r>
      <w:r w:rsidRPr="00E8642C">
        <w:rPr>
          <w:rFonts w:cs="Arial"/>
          <w:snapToGrid w:val="0"/>
          <w:szCs w:val="22"/>
        </w:rPr>
        <w:t xml:space="preserve"> ont été adoptées en 1982 par un comité d</w:t>
      </w:r>
      <w:r w:rsidR="00D91476">
        <w:rPr>
          <w:rFonts w:cs="Arial"/>
          <w:snapToGrid w:val="0"/>
          <w:szCs w:val="22"/>
        </w:rPr>
        <w:t>’</w:t>
      </w:r>
      <w:r w:rsidRPr="00E8642C">
        <w:rPr>
          <w:rFonts w:cs="Arial"/>
          <w:snapToGrid w:val="0"/>
          <w:szCs w:val="22"/>
        </w:rPr>
        <w:t>experts gouvernementaux, réuni à l</w:t>
      </w:r>
      <w:r w:rsidR="00D91476">
        <w:rPr>
          <w:rFonts w:cs="Arial"/>
          <w:snapToGrid w:val="0"/>
          <w:szCs w:val="22"/>
        </w:rPr>
        <w:t>’</w:t>
      </w:r>
      <w:r w:rsidRPr="00E8642C">
        <w:rPr>
          <w:rFonts w:cs="Arial"/>
          <w:snapToGrid w:val="0"/>
          <w:szCs w:val="22"/>
        </w:rPr>
        <w:t>initiative commune de l</w:t>
      </w:r>
      <w:r w:rsidR="00D91476">
        <w:rPr>
          <w:rFonts w:cs="Arial"/>
          <w:snapToGrid w:val="0"/>
          <w:szCs w:val="22"/>
        </w:rPr>
        <w:t>’</w:t>
      </w:r>
      <w:r w:rsidRPr="00E8642C">
        <w:rPr>
          <w:rFonts w:cs="Arial"/>
          <w:snapToGrid w:val="0"/>
          <w:szCs w:val="22"/>
        </w:rPr>
        <w:t>OMPI et de l</w:t>
      </w:r>
      <w:r w:rsidR="00D91476">
        <w:rPr>
          <w:rFonts w:cs="Arial"/>
          <w:snapToGrid w:val="0"/>
          <w:szCs w:val="22"/>
        </w:rPr>
        <w:t>’</w:t>
      </w:r>
      <w:r w:rsidRPr="00E8642C">
        <w:rPr>
          <w:rFonts w:cs="Arial"/>
          <w:snapToGrid w:val="0"/>
          <w:szCs w:val="22"/>
        </w:rPr>
        <w:t xml:space="preserve">Organisation des </w:t>
      </w:r>
      <w:r w:rsidR="00D91476">
        <w:rPr>
          <w:rFonts w:cs="Arial"/>
          <w:snapToGrid w:val="0"/>
          <w:szCs w:val="22"/>
        </w:rPr>
        <w:t>Nations Unies</w:t>
      </w:r>
      <w:r w:rsidRPr="00E8642C">
        <w:rPr>
          <w:rFonts w:cs="Arial"/>
          <w:snapToGrid w:val="0"/>
          <w:szCs w:val="22"/>
        </w:rPr>
        <w:t xml:space="preserve"> pour l</w:t>
      </w:r>
      <w:r w:rsidR="00D91476">
        <w:rPr>
          <w:rFonts w:cs="Arial"/>
          <w:snapToGrid w:val="0"/>
          <w:szCs w:val="22"/>
        </w:rPr>
        <w:t>’</w:t>
      </w:r>
      <w:r w:rsidRPr="00E8642C">
        <w:rPr>
          <w:rFonts w:cs="Arial"/>
          <w:snapToGrid w:val="0"/>
          <w:szCs w:val="22"/>
        </w:rPr>
        <w:t xml:space="preserve">éducation, la science et la culture (UNESCO).  Les dispositions prévoient un modèle de protection </w:t>
      </w:r>
      <w:r w:rsidRPr="00E8642C">
        <w:rPr>
          <w:rFonts w:cs="Arial"/>
          <w:i/>
          <w:iCs/>
          <w:snapToGrid w:val="0"/>
          <w:szCs w:val="22"/>
        </w:rPr>
        <w:t xml:space="preserve">sui generis </w:t>
      </w:r>
      <w:r w:rsidRPr="00E8642C">
        <w:rPr>
          <w:rFonts w:cs="Arial"/>
          <w:snapToGrid w:val="0"/>
          <w:szCs w:val="22"/>
        </w:rPr>
        <w:t>apparenté aux droits de propriété intellectuelle</w:t>
      </w:r>
      <w:r w:rsidRPr="00E8642C">
        <w:rPr>
          <w:rFonts w:cs="Arial"/>
          <w:i/>
          <w:iCs/>
          <w:snapToGrid w:val="0"/>
          <w:szCs w:val="22"/>
        </w:rPr>
        <w:t xml:space="preserve"> </w:t>
      </w:r>
      <w:r w:rsidRPr="00E8642C">
        <w:rPr>
          <w:rFonts w:cs="Arial"/>
          <w:snapToGrid w:val="0"/>
          <w:szCs w:val="22"/>
        </w:rPr>
        <w:t>pour les expressions culturelles traditionnelles/expressions du folklore qui a été assez largement utilisé par les États membres de l</w:t>
      </w:r>
      <w:r w:rsidR="00D91476">
        <w:rPr>
          <w:rFonts w:cs="Arial"/>
          <w:snapToGrid w:val="0"/>
          <w:szCs w:val="22"/>
        </w:rPr>
        <w:t>’</w:t>
      </w:r>
      <w:r w:rsidRPr="00E8642C">
        <w:rPr>
          <w:rFonts w:cs="Arial"/>
          <w:snapToGrid w:val="0"/>
          <w:szCs w:val="22"/>
        </w:rPr>
        <w:t>OMPI.</w:t>
      </w:r>
    </w:p>
    <w:p w:rsidR="00D23D81" w:rsidRDefault="00DD607D" w:rsidP="00D23D81">
      <w:pPr>
        <w:spacing w:after="220"/>
        <w:rPr>
          <w:rFonts w:cs="Arial"/>
          <w:snapToGrid w:val="0"/>
          <w:szCs w:val="22"/>
        </w:rPr>
      </w:pPr>
      <w:r w:rsidRPr="00E8642C">
        <w:rPr>
          <w:rFonts w:cs="Arial"/>
          <w:snapToGrid w:val="0"/>
          <w:szCs w:val="22"/>
        </w:rPr>
        <w:t xml:space="preserve">Les </w:t>
      </w:r>
      <w:r w:rsidRPr="00E8642C">
        <w:rPr>
          <w:rFonts w:cs="Arial"/>
          <w:i/>
          <w:snapToGrid w:val="0"/>
          <w:szCs w:val="22"/>
        </w:rPr>
        <w:t>dispositions types</w:t>
      </w:r>
      <w:r w:rsidRPr="00E8642C">
        <w:rPr>
          <w:rFonts w:cs="Arial"/>
          <w:snapToGrid w:val="0"/>
          <w:szCs w:val="22"/>
        </w:rPr>
        <w:t xml:space="preserve"> ont pour objet de maintenir un équilibre entre la protection contre les utilisations abusives des expressions du folklore, d</w:t>
      </w:r>
      <w:r w:rsidR="00D91476">
        <w:rPr>
          <w:rFonts w:cs="Arial"/>
          <w:snapToGrid w:val="0"/>
          <w:szCs w:val="22"/>
        </w:rPr>
        <w:t>’</w:t>
      </w:r>
      <w:r w:rsidRPr="00E8642C">
        <w:rPr>
          <w:rFonts w:cs="Arial"/>
          <w:snapToGrid w:val="0"/>
          <w:szCs w:val="22"/>
        </w:rPr>
        <w:t>une part, et la liberté de développer et de diffuser les expressions du folklore et les incitations en la matière, d</w:t>
      </w:r>
      <w:r w:rsidR="00D91476">
        <w:rPr>
          <w:rFonts w:cs="Arial"/>
          <w:snapToGrid w:val="0"/>
          <w:szCs w:val="22"/>
        </w:rPr>
        <w:t>’</w:t>
      </w:r>
      <w:r w:rsidRPr="00E8642C">
        <w:rPr>
          <w:rFonts w:cs="Arial"/>
          <w:snapToGrid w:val="0"/>
          <w:szCs w:val="22"/>
        </w:rPr>
        <w:t>autre pa</w:t>
      </w:r>
      <w:r w:rsidR="001F3AEE" w:rsidRPr="00E8642C">
        <w:rPr>
          <w:rFonts w:cs="Arial"/>
          <w:snapToGrid w:val="0"/>
          <w:szCs w:val="22"/>
        </w:rPr>
        <w:t>rt</w:t>
      </w:r>
      <w:r w:rsidR="001F3AEE">
        <w:rPr>
          <w:rFonts w:cs="Arial"/>
          <w:snapToGrid w:val="0"/>
          <w:szCs w:val="22"/>
        </w:rPr>
        <w:t xml:space="preserve">.  </w:t>
      </w:r>
      <w:r w:rsidR="001F3AEE" w:rsidRPr="00E8642C">
        <w:rPr>
          <w:rFonts w:cs="Arial"/>
          <w:snapToGrid w:val="0"/>
          <w:szCs w:val="22"/>
        </w:rPr>
        <w:t>Ce</w:t>
      </w:r>
      <w:r w:rsidRPr="00E8642C">
        <w:rPr>
          <w:rFonts w:cs="Arial"/>
          <w:snapToGrid w:val="0"/>
          <w:szCs w:val="22"/>
        </w:rPr>
        <w:t>s dispositions tiennent compte du fait que les expressions du folklore constituent un élément vivant de la culture humaine qu</w:t>
      </w:r>
      <w:r w:rsidR="00D91476">
        <w:rPr>
          <w:rFonts w:cs="Arial"/>
          <w:snapToGrid w:val="0"/>
          <w:szCs w:val="22"/>
        </w:rPr>
        <w:t>’</w:t>
      </w:r>
      <w:r w:rsidRPr="00E8642C">
        <w:rPr>
          <w:rFonts w:cs="Arial"/>
          <w:snapToGrid w:val="0"/>
          <w:szCs w:val="22"/>
        </w:rPr>
        <w:t>il ne faut pas étouffer par une protection trop rigide.</w:t>
      </w:r>
    </w:p>
    <w:p w:rsidR="00D23D81" w:rsidRDefault="00DD607D" w:rsidP="00D23D81">
      <w:pPr>
        <w:spacing w:after="220"/>
        <w:rPr>
          <w:rFonts w:cs="Arial"/>
          <w:snapToGrid w:val="0"/>
          <w:szCs w:val="22"/>
        </w:rPr>
      </w:pPr>
      <w:r w:rsidRPr="00E8642C">
        <w:rPr>
          <w:rFonts w:cs="Arial"/>
          <w:snapToGrid w:val="0"/>
          <w:szCs w:val="22"/>
        </w:rPr>
        <w:t xml:space="preserve">Selon les </w:t>
      </w:r>
      <w:r w:rsidRPr="00E8642C">
        <w:rPr>
          <w:rFonts w:cs="Arial"/>
          <w:i/>
          <w:snapToGrid w:val="0"/>
          <w:szCs w:val="22"/>
        </w:rPr>
        <w:t>dispositions types</w:t>
      </w:r>
      <w:r w:rsidRPr="00E8642C">
        <w:rPr>
          <w:rFonts w:cs="Arial"/>
          <w:snapToGrid w:val="0"/>
          <w:szCs w:val="22"/>
        </w:rPr>
        <w:t>, les expressions culturelles traditionnelles/expressions du folklore sont protégées contre “l</w:t>
      </w:r>
      <w:r w:rsidR="00D91476">
        <w:rPr>
          <w:rFonts w:cs="Arial"/>
          <w:snapToGrid w:val="0"/>
          <w:szCs w:val="22"/>
        </w:rPr>
        <w:t>’</w:t>
      </w:r>
      <w:r w:rsidRPr="00E8642C">
        <w:rPr>
          <w:rFonts w:cs="Arial"/>
          <w:snapToGrid w:val="0"/>
          <w:szCs w:val="22"/>
        </w:rPr>
        <w:t>exploitation illicite et autres actions dommageables”.  En 2000 et 2001, l</w:t>
      </w:r>
      <w:r w:rsidR="00D91476">
        <w:rPr>
          <w:rFonts w:cs="Arial"/>
          <w:snapToGrid w:val="0"/>
          <w:szCs w:val="22"/>
        </w:rPr>
        <w:t>’</w:t>
      </w:r>
      <w:r w:rsidRPr="00E8642C">
        <w:rPr>
          <w:rFonts w:cs="Arial"/>
          <w:snapToGrid w:val="0"/>
          <w:szCs w:val="22"/>
        </w:rPr>
        <w:t>OMPI a mené une enquête sur l</w:t>
      </w:r>
      <w:r w:rsidR="00D91476">
        <w:rPr>
          <w:rFonts w:cs="Arial"/>
          <w:snapToGrid w:val="0"/>
          <w:szCs w:val="22"/>
        </w:rPr>
        <w:t>’</w:t>
      </w:r>
      <w:r w:rsidRPr="00E8642C">
        <w:rPr>
          <w:rFonts w:cs="Arial"/>
          <w:snapToGrid w:val="0"/>
          <w:szCs w:val="22"/>
        </w:rPr>
        <w:t>expérience acquise par les États concernant l</w:t>
      </w:r>
      <w:r w:rsidR="00D91476">
        <w:rPr>
          <w:rFonts w:cs="Arial"/>
          <w:snapToGrid w:val="0"/>
          <w:szCs w:val="22"/>
        </w:rPr>
        <w:t>’</w:t>
      </w:r>
      <w:r w:rsidRPr="00E8642C">
        <w:rPr>
          <w:rFonts w:cs="Arial"/>
          <w:snapToGrid w:val="0"/>
          <w:szCs w:val="22"/>
        </w:rPr>
        <w:t>utilisation et la mise en œuvre des dispositions typ</w:t>
      </w:r>
      <w:r w:rsidR="001F3AEE" w:rsidRPr="00E8642C">
        <w:rPr>
          <w:rFonts w:cs="Arial"/>
          <w:snapToGrid w:val="0"/>
          <w:szCs w:val="22"/>
        </w:rPr>
        <w:t>es</w:t>
      </w:r>
      <w:r w:rsidR="001F3AEE">
        <w:rPr>
          <w:rFonts w:cs="Arial"/>
          <w:snapToGrid w:val="0"/>
          <w:szCs w:val="22"/>
        </w:rPr>
        <w:t xml:space="preserve">.  </w:t>
      </w:r>
      <w:r w:rsidR="001F3AEE" w:rsidRPr="00E8642C">
        <w:rPr>
          <w:rFonts w:cs="Arial"/>
          <w:snapToGrid w:val="0"/>
          <w:szCs w:val="22"/>
        </w:rPr>
        <w:t>Un</w:t>
      </w:r>
      <w:r w:rsidRPr="00E8642C">
        <w:rPr>
          <w:rFonts w:cs="Arial"/>
          <w:snapToGrid w:val="0"/>
          <w:szCs w:val="22"/>
        </w:rPr>
        <w:t xml:space="preserve"> rapport figure dans le </w:t>
      </w:r>
      <w:r w:rsidR="004D2AA1" w:rsidRPr="00E8642C">
        <w:rPr>
          <w:rFonts w:cs="Arial"/>
          <w:snapToGrid w:val="0"/>
          <w:szCs w:val="22"/>
        </w:rPr>
        <w:t>document</w:t>
      </w:r>
      <w:r w:rsidR="004D2AA1">
        <w:rPr>
          <w:rFonts w:cs="Arial"/>
          <w:snapToGrid w:val="0"/>
          <w:szCs w:val="22"/>
        </w:rPr>
        <w:t xml:space="preserve"> </w:t>
      </w:r>
      <w:r w:rsidR="004D2AA1" w:rsidRPr="00E8642C">
        <w:rPr>
          <w:rFonts w:cs="Arial"/>
          <w:snapToGrid w:val="0"/>
          <w:szCs w:val="22"/>
        </w:rPr>
        <w:t>WI</w:t>
      </w:r>
      <w:r w:rsidRPr="00E8642C">
        <w:rPr>
          <w:rFonts w:cs="Arial"/>
          <w:snapToGrid w:val="0"/>
          <w:szCs w:val="22"/>
        </w:rPr>
        <w:t>PO/GRTKF/IC/3/10.</w:t>
      </w:r>
    </w:p>
    <w:p w:rsidR="00D23D81" w:rsidRDefault="000D5705" w:rsidP="00D23D81">
      <w:pPr>
        <w:pStyle w:val="Heading2"/>
        <w:spacing w:after="220" w:line="240" w:lineRule="auto"/>
      </w:pPr>
      <w:bookmarkStart w:id="50" w:name="_Toc7772526"/>
      <w:r w:rsidRPr="00E8642C">
        <w:t>D</w:t>
      </w:r>
      <w:r w:rsidR="006B600F">
        <w:t>iversité biologique</w:t>
      </w:r>
      <w:bookmarkEnd w:id="50"/>
    </w:p>
    <w:p w:rsidR="00D23D81"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définit le terme “diversité biologique”, souvent abrégé en “biodiversité”, de la manière suivante</w:t>
      </w:r>
      <w:r w:rsidR="00D91476">
        <w:rPr>
          <w:rFonts w:cs="Arial"/>
          <w:szCs w:val="22"/>
        </w:rPr>
        <w:t> :</w:t>
      </w:r>
      <w:r w:rsidRPr="00E8642C">
        <w:rPr>
          <w:rFonts w:cs="Arial"/>
          <w:szCs w:val="22"/>
        </w:rPr>
        <w:t xml:space="preserve"> </w:t>
      </w:r>
      <w:r w:rsidRPr="00E8642C">
        <w:rPr>
          <w:rFonts w:cs="Arial"/>
          <w:iCs/>
          <w:szCs w:val="22"/>
        </w:rPr>
        <w:t xml:space="preserve">“Variabilité des organismes vivants de toute origine </w:t>
      </w:r>
      <w:r w:rsidR="00D91476">
        <w:rPr>
          <w:rFonts w:cs="Arial"/>
          <w:iCs/>
          <w:szCs w:val="22"/>
        </w:rPr>
        <w:t>y compris</w:t>
      </w:r>
      <w:r w:rsidRPr="00E8642C">
        <w:rPr>
          <w:rFonts w:cs="Arial"/>
          <w:iCs/>
          <w:szCs w:val="22"/>
        </w:rPr>
        <w:t xml:space="preserve">, entre autres, les écosystèmes terrestres, marins et autres écosystèmes aquatiques et les complexes écologiques dont ils font </w:t>
      </w:r>
      <w:proofErr w:type="gramStart"/>
      <w:r w:rsidRPr="00E8642C">
        <w:rPr>
          <w:rFonts w:cs="Arial"/>
          <w:iCs/>
          <w:szCs w:val="22"/>
        </w:rPr>
        <w:t>partie;  cela</w:t>
      </w:r>
      <w:proofErr w:type="gramEnd"/>
      <w:r w:rsidRPr="00E8642C">
        <w:rPr>
          <w:rFonts w:cs="Arial"/>
          <w:iCs/>
          <w:szCs w:val="22"/>
        </w:rPr>
        <w:t xml:space="preserve"> comprend la diversité au sein des espèces et entre espèces ainsi que celle des écosystèmes”.</w:t>
      </w:r>
    </w:p>
    <w:p w:rsidR="00D23D81" w:rsidRDefault="00DD607D" w:rsidP="00D23D81">
      <w:pPr>
        <w:pStyle w:val="Heading2"/>
        <w:spacing w:after="220" w:line="240" w:lineRule="auto"/>
      </w:pPr>
      <w:bookmarkStart w:id="51" w:name="_Toc7772527"/>
      <w:r w:rsidRPr="00E8642C">
        <w:t>Diversité culturelle</w:t>
      </w:r>
      <w:bookmarkEnd w:id="51"/>
    </w:p>
    <w:p w:rsidR="00D23D81" w:rsidRDefault="00DD607D" w:rsidP="00D23D81">
      <w:pPr>
        <w:pStyle w:val="FootnoteText"/>
        <w:spacing w:after="220"/>
        <w:ind w:left="0" w:firstLine="0"/>
        <w:rPr>
          <w:rFonts w:cs="Arial"/>
          <w:szCs w:val="22"/>
        </w:rPr>
      </w:pPr>
      <w:r w:rsidRPr="00E8642C">
        <w:rPr>
          <w:rFonts w:cs="Arial"/>
          <w:szCs w:val="22"/>
        </w:rPr>
        <w:t xml:space="preserve">Selon la </w:t>
      </w:r>
      <w:r w:rsidRPr="00E8642C">
        <w:rPr>
          <w:rFonts w:cs="Arial"/>
          <w:i/>
          <w:szCs w:val="22"/>
        </w:rPr>
        <w:t>Convention sur la protection et la promotion de la diversité des expressions culturelles</w:t>
      </w:r>
      <w:r w:rsidRPr="00E8642C">
        <w:rPr>
          <w:rFonts w:cs="Arial"/>
          <w:szCs w:val="22"/>
        </w:rPr>
        <w:t xml:space="preserve"> (2005)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éducation, la science et la culture (UNESCO), la diversité culturelle renvoie à la multiplicité des formes par lesquelles les cultures des groupes et des sociétés trouvent leur expressi</w:t>
      </w:r>
      <w:r w:rsidR="001F3AEE" w:rsidRPr="00E8642C">
        <w:rPr>
          <w:rFonts w:cs="Arial"/>
          <w:szCs w:val="22"/>
        </w:rPr>
        <w:t>on</w:t>
      </w:r>
      <w:r w:rsidR="001F3AEE">
        <w:rPr>
          <w:rFonts w:cs="Arial"/>
          <w:szCs w:val="22"/>
        </w:rPr>
        <w:t xml:space="preserve">.  </w:t>
      </w:r>
      <w:r w:rsidR="001F3AEE" w:rsidRPr="00E8642C">
        <w:rPr>
          <w:rFonts w:cs="Arial"/>
          <w:szCs w:val="22"/>
        </w:rPr>
        <w:t>Ce</w:t>
      </w:r>
      <w:r w:rsidRPr="00E8642C">
        <w:rPr>
          <w:rFonts w:cs="Arial"/>
          <w:szCs w:val="22"/>
        </w:rPr>
        <w:t>s expressions se transmettent au sein des groupes et des sociétés et d</w:t>
      </w:r>
      <w:r w:rsidR="00D91476">
        <w:rPr>
          <w:rFonts w:cs="Arial"/>
          <w:szCs w:val="22"/>
        </w:rPr>
        <w:t>’</w:t>
      </w:r>
      <w:r w:rsidRPr="00E8642C">
        <w:rPr>
          <w:rFonts w:cs="Arial"/>
          <w:szCs w:val="22"/>
        </w:rPr>
        <w:t>un groupe ou d</w:t>
      </w:r>
      <w:r w:rsidR="00D91476">
        <w:rPr>
          <w:rFonts w:cs="Arial"/>
          <w:szCs w:val="22"/>
        </w:rPr>
        <w:t>’</w:t>
      </w:r>
      <w:r w:rsidRPr="00E8642C">
        <w:rPr>
          <w:rFonts w:cs="Arial"/>
          <w:szCs w:val="22"/>
        </w:rPr>
        <w:t>une société à l</w:t>
      </w:r>
      <w:r w:rsidR="00D91476">
        <w:rPr>
          <w:rFonts w:cs="Arial"/>
          <w:szCs w:val="22"/>
        </w:rPr>
        <w:t>’</w:t>
      </w:r>
      <w:r w:rsidRPr="00E8642C">
        <w:rPr>
          <w:rFonts w:cs="Arial"/>
          <w:szCs w:val="22"/>
        </w:rPr>
        <w:t>autre</w:t>
      </w:r>
      <w:r w:rsidRPr="00E8642C">
        <w:rPr>
          <w:rStyle w:val="FootnoteReference"/>
          <w:rFonts w:cs="Arial"/>
          <w:szCs w:val="22"/>
        </w:rPr>
        <w:footnoteReference w:id="52"/>
      </w:r>
      <w:r w:rsidRPr="00E8642C">
        <w:rPr>
          <w:rFonts w:cs="Arial"/>
          <w:szCs w:val="22"/>
        </w:rPr>
        <w:t>.</w:t>
      </w:r>
    </w:p>
    <w:p w:rsidR="00D23D81" w:rsidRDefault="00DD607D" w:rsidP="00D23D81">
      <w:pPr>
        <w:pStyle w:val="Heading2"/>
        <w:spacing w:after="220" w:line="240" w:lineRule="auto"/>
      </w:pPr>
      <w:bookmarkStart w:id="52" w:name="_Toc7772528"/>
      <w:r w:rsidRPr="00E8642C">
        <w:t>Divulgation</w:t>
      </w:r>
      <w:bookmarkEnd w:id="52"/>
    </w:p>
    <w:p w:rsidR="00D23D81" w:rsidRDefault="00DD607D" w:rsidP="00D23D81">
      <w:pPr>
        <w:pStyle w:val="CommentText"/>
        <w:spacing w:after="220"/>
        <w:rPr>
          <w:rFonts w:cs="Arial"/>
          <w:szCs w:val="22"/>
        </w:rPr>
      </w:pPr>
      <w:r w:rsidRPr="00E8642C">
        <w:rPr>
          <w:rFonts w:cs="Arial"/>
          <w:szCs w:val="22"/>
        </w:rPr>
        <w:t xml:space="preserve">Selon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une “divulgation” est une révélation de faits ou un acte ou un processus permettant de faire connaître quelque chose auparavant incon</w:t>
      </w:r>
      <w:r w:rsidR="001F3AEE" w:rsidRPr="00E8642C">
        <w:rPr>
          <w:rFonts w:cs="Arial"/>
          <w:szCs w:val="22"/>
        </w:rPr>
        <w:t>nu</w:t>
      </w:r>
      <w:r w:rsidR="001F3AEE">
        <w:rPr>
          <w:rFonts w:cs="Arial"/>
          <w:szCs w:val="22"/>
        </w:rPr>
        <w:t xml:space="preserve">.  </w:t>
      </w:r>
      <w:r w:rsidR="001F3AEE" w:rsidRPr="00E8642C">
        <w:rPr>
          <w:rFonts w:cs="Arial"/>
          <w:szCs w:val="22"/>
        </w:rPr>
        <w:t>Da</w:t>
      </w:r>
      <w:r w:rsidRPr="00E8642C">
        <w:rPr>
          <w:rFonts w:cs="Arial"/>
          <w:szCs w:val="22"/>
        </w:rPr>
        <w:t>ns le domaine du droit d</w:t>
      </w:r>
      <w:r w:rsidR="00D91476">
        <w:rPr>
          <w:rFonts w:cs="Arial"/>
          <w:szCs w:val="22"/>
        </w:rPr>
        <w:t>’</w:t>
      </w:r>
      <w:r w:rsidRPr="00E8642C">
        <w:rPr>
          <w:rFonts w:cs="Arial"/>
          <w:szCs w:val="22"/>
        </w:rPr>
        <w:t>auteur, la “divulgation” peut s</w:t>
      </w:r>
      <w:r w:rsidR="00D91476">
        <w:rPr>
          <w:rFonts w:cs="Arial"/>
          <w:szCs w:val="22"/>
        </w:rPr>
        <w:t>’</w:t>
      </w:r>
      <w:r w:rsidRPr="00E8642C">
        <w:rPr>
          <w:rFonts w:cs="Arial"/>
          <w:szCs w:val="22"/>
        </w:rPr>
        <w:t>entendre du fait de mettre une œuvre à la disposition du public pour la première fo</w:t>
      </w:r>
      <w:r w:rsidR="001F3AEE" w:rsidRPr="00E8642C">
        <w:rPr>
          <w:rFonts w:cs="Arial"/>
          <w:szCs w:val="22"/>
        </w:rPr>
        <w:t>is</w:t>
      </w:r>
      <w:r w:rsidR="001F3AEE">
        <w:rPr>
          <w:rFonts w:cs="Arial"/>
          <w:szCs w:val="22"/>
        </w:rPr>
        <w:t xml:space="preserve">.  </w:t>
      </w:r>
      <w:r w:rsidR="001F3AEE" w:rsidRPr="00E8642C">
        <w:rPr>
          <w:rFonts w:cs="Arial"/>
          <w:szCs w:val="22"/>
        </w:rPr>
        <w:t>La</w:t>
      </w:r>
      <w:r w:rsidRPr="00E8642C">
        <w:rPr>
          <w:rFonts w:cs="Arial"/>
          <w:szCs w:val="22"/>
        </w:rPr>
        <w:t xml:space="preserve"> première publication d</w:t>
      </w:r>
      <w:r w:rsidR="00D91476">
        <w:rPr>
          <w:rFonts w:cs="Arial"/>
          <w:szCs w:val="22"/>
        </w:rPr>
        <w:t>’</w:t>
      </w:r>
      <w:r w:rsidRPr="00E8642C">
        <w:rPr>
          <w:rFonts w:cs="Arial"/>
          <w:szCs w:val="22"/>
        </w:rPr>
        <w:t>une œuvre est l</w:t>
      </w:r>
      <w:r w:rsidR="00D91476">
        <w:rPr>
          <w:rFonts w:cs="Arial"/>
          <w:szCs w:val="22"/>
        </w:rPr>
        <w:t>’</w:t>
      </w:r>
      <w:r w:rsidRPr="00E8642C">
        <w:rPr>
          <w:rFonts w:cs="Arial"/>
          <w:szCs w:val="22"/>
        </w:rPr>
        <w:t>une – mais pas la seule – forme possible de divulgation puisque les œuvres peuvent aussi être divulguées par l</w:t>
      </w:r>
      <w:r w:rsidR="00D91476">
        <w:rPr>
          <w:rFonts w:cs="Arial"/>
          <w:szCs w:val="22"/>
        </w:rPr>
        <w:t>’</w:t>
      </w:r>
      <w:r w:rsidRPr="00E8642C">
        <w:rPr>
          <w:rFonts w:cs="Arial"/>
          <w:szCs w:val="22"/>
        </w:rPr>
        <w:t>intermédiaire d</w:t>
      </w:r>
      <w:r w:rsidR="00D91476">
        <w:rPr>
          <w:rFonts w:cs="Arial"/>
          <w:szCs w:val="22"/>
        </w:rPr>
        <w:t>’</w:t>
      </w:r>
      <w:r w:rsidRPr="00E8642C">
        <w:rPr>
          <w:rFonts w:cs="Arial"/>
          <w:szCs w:val="22"/>
        </w:rPr>
        <w:t>actes non en rapport avec la copie, tels que les interprétations et exécutions publiques ou la radiodiffusion au public par le câble</w:t>
      </w:r>
      <w:r w:rsidRPr="00E8642C">
        <w:rPr>
          <w:rStyle w:val="FootnoteReference"/>
          <w:rFonts w:cs="Arial"/>
          <w:szCs w:val="22"/>
        </w:rPr>
        <w:footnoteReference w:id="53"/>
      </w:r>
      <w:r w:rsidRPr="00E8642C">
        <w:rPr>
          <w:rStyle w:val="FootnoteReference"/>
          <w:vertAlign w:val="baseline"/>
        </w:rPr>
        <w:t xml:space="preserve">.  </w:t>
      </w:r>
      <w:r w:rsidRPr="00E8642C">
        <w:rPr>
          <w:rFonts w:cs="Arial"/>
          <w:szCs w:val="22"/>
        </w:rPr>
        <w:t>La reconnaissance d</w:t>
      </w:r>
      <w:r w:rsidR="00D91476">
        <w:rPr>
          <w:rFonts w:cs="Arial"/>
          <w:szCs w:val="22"/>
        </w:rPr>
        <w:t>’</w:t>
      </w:r>
      <w:r w:rsidRPr="00E8642C">
        <w:rPr>
          <w:rFonts w:cs="Arial"/>
          <w:szCs w:val="22"/>
        </w:rPr>
        <w:t>un tel droit ne constitue pas une obligation en vertu des normes internationales sur le droit d</w:t>
      </w:r>
      <w:r w:rsidR="00D91476">
        <w:rPr>
          <w:rFonts w:cs="Arial"/>
          <w:szCs w:val="22"/>
        </w:rPr>
        <w:t>’</w:t>
      </w:r>
      <w:r w:rsidRPr="00E8642C">
        <w:rPr>
          <w:rFonts w:cs="Arial"/>
          <w:szCs w:val="22"/>
        </w:rPr>
        <w:t>aute</w:t>
      </w:r>
      <w:r w:rsidR="001F3AEE" w:rsidRPr="00E8642C">
        <w:rPr>
          <w:rFonts w:cs="Arial"/>
          <w:szCs w:val="22"/>
        </w:rPr>
        <w:t>ur</w:t>
      </w:r>
      <w:r w:rsidR="001F3AEE">
        <w:rPr>
          <w:rFonts w:cs="Arial"/>
          <w:szCs w:val="22"/>
        </w:rPr>
        <w:t xml:space="preserve">.  </w:t>
      </w:r>
      <w:r w:rsidR="001F3AEE" w:rsidRPr="00E8642C">
        <w:rPr>
          <w:rFonts w:cs="Arial"/>
          <w:szCs w:val="22"/>
        </w:rPr>
        <w:t>La</w:t>
      </w:r>
      <w:r w:rsidRPr="00E8642C">
        <w:rPr>
          <w:rFonts w:cs="Arial"/>
          <w:szCs w:val="22"/>
        </w:rPr>
        <w:t> </w:t>
      </w:r>
      <w:r w:rsidRPr="00E8642C">
        <w:rPr>
          <w:rFonts w:cs="Arial"/>
          <w:i/>
          <w:szCs w:val="22"/>
        </w:rPr>
        <w:t>Convention de Berne</w:t>
      </w:r>
      <w:r w:rsidRPr="00E8642C">
        <w:rPr>
          <w:rFonts w:cs="Arial"/>
          <w:szCs w:val="22"/>
        </w:rPr>
        <w:t xml:space="preserve"> </w:t>
      </w:r>
      <w:r w:rsidRPr="00E8642C">
        <w:rPr>
          <w:rFonts w:cs="Arial"/>
          <w:i/>
          <w:szCs w:val="22"/>
        </w:rPr>
        <w:t xml:space="preserve">pour la protection des œuvres littéraires et artistiques </w:t>
      </w:r>
      <w:r w:rsidRPr="00E8642C">
        <w:rPr>
          <w:rFonts w:cs="Arial"/>
          <w:szCs w:val="22"/>
        </w:rPr>
        <w:t>(1971) renvoie à l</w:t>
      </w:r>
      <w:r w:rsidR="00D91476">
        <w:rPr>
          <w:rFonts w:cs="Arial"/>
          <w:szCs w:val="22"/>
        </w:rPr>
        <w:t>’</w:t>
      </w:r>
      <w:r w:rsidRPr="00E8642C">
        <w:rPr>
          <w:rFonts w:cs="Arial"/>
          <w:szCs w:val="22"/>
        </w:rPr>
        <w:t>utilisation d</w:t>
      </w:r>
      <w:r w:rsidR="00D91476">
        <w:rPr>
          <w:rFonts w:cs="Arial"/>
          <w:szCs w:val="22"/>
        </w:rPr>
        <w:t>’</w:t>
      </w:r>
      <w:r w:rsidRPr="00E8642C">
        <w:rPr>
          <w:rFonts w:cs="Arial"/>
          <w:szCs w:val="22"/>
        </w:rPr>
        <w:t>œuvres publiquement divulguées dans le cadre d</w:t>
      </w:r>
      <w:r w:rsidR="00D91476">
        <w:rPr>
          <w:rFonts w:cs="Arial"/>
          <w:szCs w:val="22"/>
        </w:rPr>
        <w:t>’</w:t>
      </w:r>
      <w:r w:rsidRPr="00E8642C">
        <w:rPr>
          <w:rFonts w:cs="Arial"/>
          <w:szCs w:val="22"/>
        </w:rPr>
        <w:t>exceptio</w:t>
      </w:r>
      <w:r w:rsidR="001F3AEE" w:rsidRPr="00E8642C">
        <w:rPr>
          <w:rFonts w:cs="Arial"/>
          <w:szCs w:val="22"/>
        </w:rPr>
        <w:t>ns</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a</w:t>
      </w:r>
      <w:r w:rsidRPr="00E8642C">
        <w:rPr>
          <w:rFonts w:cs="Arial"/>
          <w:szCs w:val="22"/>
        </w:rPr>
        <w:t>uteur a le droit de divulguer son œuvre au monde</w:t>
      </w:r>
      <w:r w:rsidRPr="00E8642C">
        <w:rPr>
          <w:rStyle w:val="FootnoteReference"/>
          <w:rFonts w:cs="Arial"/>
          <w:szCs w:val="22"/>
        </w:rPr>
        <w:footnoteReference w:id="54"/>
      </w:r>
      <w:r w:rsidRPr="00E8642C">
        <w:rPr>
          <w:rFonts w:cs="Arial"/>
          <w:szCs w:val="22"/>
        </w:rPr>
        <w:t>.  Dans certaines législations nationales, le “droit de divulgation” est un droit moral.</w:t>
      </w:r>
    </w:p>
    <w:p w:rsidR="00D23D81" w:rsidRDefault="00DD607D" w:rsidP="00D23D81">
      <w:pPr>
        <w:pStyle w:val="Heading2"/>
        <w:spacing w:after="220" w:line="240" w:lineRule="auto"/>
      </w:pPr>
      <w:bookmarkStart w:id="53" w:name="_Toc7772529"/>
      <w:r w:rsidRPr="00E8642C">
        <w:t>Documentation minimale du PCT</w:t>
      </w:r>
      <w:bookmarkEnd w:id="53"/>
    </w:p>
    <w:p w:rsidR="00D23D81" w:rsidRDefault="00DD607D" w:rsidP="00D23D81">
      <w:pPr>
        <w:autoSpaceDE w:val="0"/>
        <w:autoSpaceDN w:val="0"/>
        <w:adjustRightInd w:val="0"/>
        <w:spacing w:after="220"/>
        <w:rPr>
          <w:rFonts w:cs="Arial"/>
          <w:szCs w:val="22"/>
          <w:lang w:eastAsia="en-US" w:bidi="th-TH"/>
        </w:rPr>
      </w:pPr>
      <w:r w:rsidRPr="00E8642C">
        <w:rPr>
          <w:rFonts w:cs="Arial"/>
          <w:szCs w:val="22"/>
          <w:lang w:eastAsia="en-US" w:bidi="th-TH"/>
        </w:rPr>
        <w:t>Selon le glossaire du PCT établi par l</w:t>
      </w:r>
      <w:r w:rsidR="00D91476">
        <w:rPr>
          <w:rFonts w:cs="Arial"/>
          <w:szCs w:val="22"/>
          <w:lang w:eastAsia="en-US" w:bidi="th-TH"/>
        </w:rPr>
        <w:t>’</w:t>
      </w:r>
      <w:r w:rsidRPr="00E8642C">
        <w:rPr>
          <w:rFonts w:cs="Arial"/>
          <w:szCs w:val="22"/>
          <w:lang w:eastAsia="en-US" w:bidi="th-TH"/>
        </w:rPr>
        <w:t>OMPI, la documentation minimale du PCT désigne les “</w:t>
      </w:r>
      <w:r w:rsidRPr="00E8642C">
        <w:rPr>
          <w:rFonts w:cs="Arial"/>
          <w:iCs/>
          <w:szCs w:val="22"/>
          <w:lang w:eastAsia="en-US" w:bidi="th-TH"/>
        </w:rPr>
        <w:t>[d]</w:t>
      </w:r>
      <w:proofErr w:type="spellStart"/>
      <w:r w:rsidRPr="00E8642C">
        <w:rPr>
          <w:rFonts w:cs="Arial"/>
          <w:iCs/>
          <w:szCs w:val="22"/>
          <w:lang w:eastAsia="en-US" w:bidi="th-TH"/>
        </w:rPr>
        <w:t>ocuments</w:t>
      </w:r>
      <w:proofErr w:type="spellEnd"/>
      <w:r w:rsidRPr="00E8642C">
        <w:rPr>
          <w:rFonts w:cs="Arial"/>
          <w:iCs/>
          <w:szCs w:val="22"/>
          <w:lang w:eastAsia="en-US" w:bidi="th-TH"/>
        </w:rPr>
        <w:t xml:space="preserve"> dans lesquels l</w:t>
      </w:r>
      <w:r w:rsidR="00D91476">
        <w:rPr>
          <w:rFonts w:cs="Arial"/>
          <w:iCs/>
          <w:szCs w:val="22"/>
          <w:lang w:eastAsia="en-US" w:bidi="th-TH"/>
        </w:rPr>
        <w:t>’</w:t>
      </w:r>
      <w:r w:rsidRPr="00E8642C">
        <w:rPr>
          <w:rFonts w:cs="Arial"/>
          <w:iCs/>
          <w:szCs w:val="22"/>
          <w:lang w:eastAsia="en-US" w:bidi="th-TH"/>
        </w:rPr>
        <w:t>administration chargée de la recherche internationale doit effectuer des recherches en vue de découvrir l</w:t>
      </w:r>
      <w:r w:rsidR="00D91476">
        <w:rPr>
          <w:rFonts w:cs="Arial"/>
          <w:iCs/>
          <w:szCs w:val="22"/>
          <w:lang w:eastAsia="en-US" w:bidi="th-TH"/>
        </w:rPr>
        <w:t>’</w:t>
      </w:r>
      <w:r w:rsidRPr="00E8642C">
        <w:rPr>
          <w:rFonts w:cs="Arial"/>
          <w:iCs/>
          <w:szCs w:val="22"/>
          <w:lang w:eastAsia="en-US" w:bidi="th-TH"/>
        </w:rPr>
        <w:t>état de la technique pertinent”.  Cette documentation s</w:t>
      </w:r>
      <w:r w:rsidR="00D91476">
        <w:rPr>
          <w:rFonts w:cs="Arial"/>
          <w:iCs/>
          <w:szCs w:val="22"/>
          <w:lang w:eastAsia="en-US" w:bidi="th-TH"/>
        </w:rPr>
        <w:t>’</w:t>
      </w:r>
      <w:r w:rsidRPr="00E8642C">
        <w:rPr>
          <w:rFonts w:cs="Arial"/>
          <w:iCs/>
          <w:szCs w:val="22"/>
          <w:lang w:eastAsia="en-US" w:bidi="th-TH"/>
        </w:rPr>
        <w:t>applique également aux administrations chargées de l</w:t>
      </w:r>
      <w:r w:rsidR="00D91476">
        <w:rPr>
          <w:rFonts w:cs="Arial"/>
          <w:iCs/>
          <w:szCs w:val="22"/>
          <w:lang w:eastAsia="en-US" w:bidi="th-TH"/>
        </w:rPr>
        <w:t>’</w:t>
      </w:r>
      <w:r w:rsidRPr="00E8642C">
        <w:rPr>
          <w:rFonts w:cs="Arial"/>
          <w:iCs/>
          <w:szCs w:val="22"/>
          <w:lang w:eastAsia="en-US" w:bidi="th-TH"/>
        </w:rPr>
        <w:t>examen préliminaire international aux fins de l</w:t>
      </w:r>
      <w:r w:rsidR="00D91476">
        <w:rPr>
          <w:rFonts w:cs="Arial"/>
          <w:iCs/>
          <w:szCs w:val="22"/>
          <w:lang w:eastAsia="en-US" w:bidi="th-TH"/>
        </w:rPr>
        <w:t>’</w:t>
      </w:r>
      <w:r w:rsidRPr="00E8642C">
        <w:rPr>
          <w:rFonts w:cs="Arial"/>
          <w:iCs/>
          <w:szCs w:val="22"/>
          <w:lang w:eastAsia="en-US" w:bidi="th-TH"/>
        </w:rPr>
        <w:t>exam</w:t>
      </w:r>
      <w:r w:rsidR="001F3AEE" w:rsidRPr="00E8642C">
        <w:rPr>
          <w:rFonts w:cs="Arial"/>
          <w:iCs/>
          <w:szCs w:val="22"/>
          <w:lang w:eastAsia="en-US" w:bidi="th-TH"/>
        </w:rPr>
        <w:t>en</w:t>
      </w:r>
      <w:r w:rsidR="001F3AEE">
        <w:rPr>
          <w:rFonts w:cs="Arial"/>
          <w:iCs/>
          <w:szCs w:val="22"/>
          <w:lang w:eastAsia="en-US" w:bidi="th-TH"/>
        </w:rPr>
        <w:t xml:space="preserve">.  </w:t>
      </w:r>
      <w:r w:rsidR="001F3AEE" w:rsidRPr="00E8642C">
        <w:rPr>
          <w:rFonts w:cs="Arial"/>
          <w:iCs/>
          <w:szCs w:val="22"/>
          <w:lang w:eastAsia="en-US" w:bidi="th-TH"/>
        </w:rPr>
        <w:t>El</w:t>
      </w:r>
      <w:r w:rsidRPr="00E8642C">
        <w:rPr>
          <w:rFonts w:cs="Arial"/>
          <w:iCs/>
          <w:szCs w:val="22"/>
          <w:lang w:eastAsia="en-US" w:bidi="th-TH"/>
        </w:rPr>
        <w:t>le comprend certains documents de brevet publiés et la littérature autre que celle des brevets contenue dans une liste publiée par le Bureau internation</w:t>
      </w:r>
      <w:r w:rsidR="001F3AEE" w:rsidRPr="00E8642C">
        <w:rPr>
          <w:rFonts w:cs="Arial"/>
          <w:iCs/>
          <w:szCs w:val="22"/>
          <w:lang w:eastAsia="en-US" w:bidi="th-TH"/>
        </w:rPr>
        <w:t>al</w:t>
      </w:r>
      <w:r w:rsidR="001F3AEE">
        <w:rPr>
          <w:rFonts w:cs="Arial"/>
          <w:iCs/>
          <w:szCs w:val="22"/>
          <w:lang w:eastAsia="en-US" w:bidi="th-TH"/>
        </w:rPr>
        <w:t xml:space="preserve">.  </w:t>
      </w:r>
      <w:r w:rsidR="001F3AEE" w:rsidRPr="00E8642C">
        <w:rPr>
          <w:rFonts w:cs="Arial"/>
          <w:iCs/>
          <w:szCs w:val="22"/>
          <w:lang w:eastAsia="en-US" w:bidi="th-TH"/>
        </w:rPr>
        <w:t>La</w:t>
      </w:r>
      <w:r w:rsidRPr="00E8642C">
        <w:rPr>
          <w:rFonts w:cs="Arial"/>
          <w:iCs/>
          <w:szCs w:val="22"/>
          <w:lang w:eastAsia="en-US" w:bidi="th-TH"/>
        </w:rPr>
        <w:t xml:space="preserve"> documentation minimale est déterminée par la règle 34 du règlement d</w:t>
      </w:r>
      <w:r w:rsidR="00D91476">
        <w:rPr>
          <w:rFonts w:cs="Arial"/>
          <w:iCs/>
          <w:szCs w:val="22"/>
          <w:lang w:eastAsia="en-US" w:bidi="th-TH"/>
        </w:rPr>
        <w:t>’</w:t>
      </w:r>
      <w:r w:rsidRPr="00E8642C">
        <w:rPr>
          <w:rFonts w:cs="Arial"/>
          <w:iCs/>
          <w:szCs w:val="22"/>
          <w:lang w:eastAsia="en-US" w:bidi="th-TH"/>
        </w:rPr>
        <w:t>exécution du PCT</w:t>
      </w:r>
      <w:r w:rsidRPr="00E8642C">
        <w:rPr>
          <w:rStyle w:val="FootnoteReference"/>
          <w:rFonts w:cs="Arial"/>
          <w:szCs w:val="22"/>
          <w:lang w:eastAsia="en-US" w:bidi="th-TH"/>
        </w:rPr>
        <w:footnoteReference w:id="55"/>
      </w:r>
      <w:r w:rsidRPr="00E8642C">
        <w:rPr>
          <w:rFonts w:cs="Arial"/>
          <w:iCs/>
          <w:szCs w:val="22"/>
          <w:lang w:eastAsia="en-US" w:bidi="th-TH"/>
        </w:rPr>
        <w:t>.</w:t>
      </w:r>
    </w:p>
    <w:p w:rsidR="00D23D81" w:rsidRDefault="00DD607D" w:rsidP="00D23D81">
      <w:pPr>
        <w:autoSpaceDE w:val="0"/>
        <w:autoSpaceDN w:val="0"/>
        <w:adjustRightInd w:val="0"/>
        <w:spacing w:after="220"/>
        <w:rPr>
          <w:rFonts w:cs="Arial"/>
          <w:szCs w:val="22"/>
        </w:rPr>
      </w:pPr>
      <w:r w:rsidRPr="00E8642C">
        <w:rPr>
          <w:rFonts w:cs="Arial"/>
          <w:szCs w:val="22"/>
        </w:rPr>
        <w:t>Dans les Directives concernant la recherche internationale selon le PCT, la documentation minimale aux fins de la recherche internationale est définie comme “</w:t>
      </w:r>
      <w:r w:rsidRPr="00E8642C">
        <w:rPr>
          <w:rFonts w:cs="Arial"/>
          <w:iCs/>
          <w:szCs w:val="22"/>
        </w:rPr>
        <w:t>une collection de documents classés de manière systématique (ou systématiquement accessibles d</w:t>
      </w:r>
      <w:r w:rsidR="00D91476">
        <w:rPr>
          <w:rFonts w:cs="Arial"/>
          <w:iCs/>
          <w:szCs w:val="22"/>
        </w:rPr>
        <w:t>’</w:t>
      </w:r>
      <w:r w:rsidRPr="00E8642C">
        <w:rPr>
          <w:rFonts w:cs="Arial"/>
          <w:iCs/>
          <w:szCs w:val="22"/>
        </w:rPr>
        <w:t>une autre manière) aux fins de la recherche selon leur conte</w:t>
      </w:r>
      <w:r w:rsidR="001F3AEE" w:rsidRPr="00E8642C">
        <w:rPr>
          <w:rFonts w:cs="Arial"/>
          <w:iCs/>
          <w:szCs w:val="22"/>
        </w:rPr>
        <w:t>nu</w:t>
      </w:r>
      <w:r w:rsidR="001F3AEE">
        <w:rPr>
          <w:rFonts w:cs="Arial"/>
          <w:iCs/>
          <w:szCs w:val="22"/>
        </w:rPr>
        <w:t xml:space="preserve">.  </w:t>
      </w:r>
      <w:r w:rsidR="001F3AEE" w:rsidRPr="00E8642C">
        <w:rPr>
          <w:rFonts w:cs="Arial"/>
          <w:iCs/>
          <w:szCs w:val="22"/>
        </w:rPr>
        <w:t>Ce</w:t>
      </w:r>
      <w:r w:rsidRPr="00E8642C">
        <w:rPr>
          <w:rFonts w:cs="Arial"/>
          <w:iCs/>
          <w:szCs w:val="22"/>
        </w:rPr>
        <w:t>s documents sont, pour l</w:t>
      </w:r>
      <w:r w:rsidR="00D91476">
        <w:rPr>
          <w:rFonts w:cs="Arial"/>
          <w:iCs/>
          <w:szCs w:val="22"/>
        </w:rPr>
        <w:t>’</w:t>
      </w:r>
      <w:r w:rsidRPr="00E8642C">
        <w:rPr>
          <w:rFonts w:cs="Arial"/>
          <w:iCs/>
          <w:szCs w:val="22"/>
        </w:rPr>
        <w:t>essentiel, des documents de brevet de différents pays, complétés par des articles extraits de revues et d</w:t>
      </w:r>
      <w:r w:rsidR="00D91476">
        <w:rPr>
          <w:rFonts w:cs="Arial"/>
          <w:iCs/>
          <w:szCs w:val="22"/>
        </w:rPr>
        <w:t>’</w:t>
      </w:r>
      <w:r w:rsidRPr="00E8642C">
        <w:rPr>
          <w:rFonts w:cs="Arial"/>
          <w:iCs/>
          <w:szCs w:val="22"/>
        </w:rPr>
        <w:t>autres éléments de la littérature non</w:t>
      </w:r>
      <w:r w:rsidR="00400337">
        <w:rPr>
          <w:rFonts w:cs="Arial"/>
          <w:iCs/>
          <w:szCs w:val="22"/>
        </w:rPr>
        <w:noBreakHyphen/>
      </w:r>
      <w:r w:rsidRPr="00E8642C">
        <w:rPr>
          <w:rFonts w:cs="Arial"/>
          <w:iCs/>
          <w:szCs w:val="22"/>
        </w:rPr>
        <w:t>brevet”</w:t>
      </w:r>
      <w:r w:rsidRPr="00E8642C">
        <w:rPr>
          <w:rStyle w:val="FootnoteReference"/>
          <w:rFonts w:cs="Arial"/>
          <w:szCs w:val="22"/>
        </w:rPr>
        <w:footnoteReference w:id="56"/>
      </w:r>
      <w:r w:rsidRPr="00E8642C">
        <w:rPr>
          <w:rFonts w:cs="Arial"/>
          <w:szCs w:val="22"/>
        </w:rPr>
        <w:t>.</w:t>
      </w:r>
    </w:p>
    <w:p w:rsidR="00D23D81" w:rsidRDefault="00DD607D" w:rsidP="00D23D81">
      <w:pPr>
        <w:autoSpaceDE w:val="0"/>
        <w:autoSpaceDN w:val="0"/>
        <w:adjustRightInd w:val="0"/>
        <w:spacing w:after="220"/>
        <w:rPr>
          <w:rFonts w:cs="Arial"/>
          <w:szCs w:val="22"/>
        </w:rPr>
      </w:pPr>
      <w:r w:rsidRPr="00E8642C">
        <w:rPr>
          <w:rFonts w:cs="Arial"/>
          <w:szCs w:val="22"/>
          <w:lang w:eastAsia="zh-CN"/>
        </w:rPr>
        <w:t>Lors de la septième Réunion des administrations internationales du PCT tenue en février 2003, il a été convenu en principe que la documentation en matière de savoirs traditionnels devrait figurer dans la partie littérature non</w:t>
      </w:r>
      <w:r w:rsidR="00400337">
        <w:rPr>
          <w:rFonts w:cs="Arial"/>
          <w:szCs w:val="22"/>
          <w:lang w:eastAsia="zh-CN"/>
        </w:rPr>
        <w:noBreakHyphen/>
      </w:r>
      <w:r w:rsidRPr="00E8642C">
        <w:rPr>
          <w:rFonts w:cs="Arial"/>
          <w:szCs w:val="22"/>
          <w:lang w:eastAsia="zh-CN"/>
        </w:rPr>
        <w:t>brevet de la documentation minimale du PCT</w:t>
      </w:r>
      <w:r w:rsidRPr="00E8642C">
        <w:rPr>
          <w:rStyle w:val="FootnoteReference"/>
          <w:rFonts w:cs="Arial"/>
          <w:szCs w:val="22"/>
          <w:lang w:eastAsia="zh-CN"/>
        </w:rPr>
        <w:footnoteReference w:id="57"/>
      </w:r>
      <w:r w:rsidRPr="00E8642C">
        <w:rPr>
          <w:rFonts w:cs="Arial"/>
          <w:szCs w:val="22"/>
          <w:lang w:eastAsia="zh-CN"/>
        </w:rPr>
        <w:t>.  Par exemple, l</w:t>
      </w:r>
      <w:r w:rsidR="00D91476">
        <w:rPr>
          <w:rFonts w:cs="Arial"/>
          <w:szCs w:val="22"/>
          <w:lang w:eastAsia="zh-CN"/>
        </w:rPr>
        <w:t>’</w:t>
      </w:r>
      <w:proofErr w:type="spellStart"/>
      <w:r w:rsidRPr="00E8642C">
        <w:rPr>
          <w:rFonts w:cs="Arial"/>
          <w:i/>
          <w:iCs/>
          <w:szCs w:val="22"/>
          <w:lang w:eastAsia="zh-CN"/>
        </w:rPr>
        <w:t>Indian</w:t>
      </w:r>
      <w:proofErr w:type="spellEnd"/>
      <w:r w:rsidRPr="00E8642C">
        <w:rPr>
          <w:rFonts w:cs="Arial"/>
          <w:i/>
          <w:iCs/>
          <w:szCs w:val="22"/>
          <w:lang w:eastAsia="zh-CN"/>
        </w:rPr>
        <w:t xml:space="preserve"> Journal of Traditional Knowledge </w:t>
      </w:r>
      <w:r w:rsidRPr="00E8642C">
        <w:rPr>
          <w:rFonts w:cs="Arial"/>
          <w:szCs w:val="22"/>
          <w:lang w:eastAsia="zh-CN"/>
        </w:rPr>
        <w:t>et le</w:t>
      </w:r>
      <w:r w:rsidRPr="00E8642C">
        <w:rPr>
          <w:rFonts w:cs="Arial"/>
          <w:i/>
          <w:iCs/>
          <w:szCs w:val="22"/>
          <w:lang w:eastAsia="zh-CN"/>
        </w:rPr>
        <w:t xml:space="preserve"> </w:t>
      </w:r>
      <w:proofErr w:type="spellStart"/>
      <w:r w:rsidRPr="00E8642C">
        <w:rPr>
          <w:rFonts w:cs="Arial"/>
          <w:i/>
          <w:iCs/>
          <w:szCs w:val="22"/>
          <w:lang w:eastAsia="zh-CN"/>
        </w:rPr>
        <w:t>Korean</w:t>
      </w:r>
      <w:proofErr w:type="spellEnd"/>
      <w:r w:rsidRPr="00E8642C">
        <w:rPr>
          <w:rFonts w:cs="Arial"/>
          <w:i/>
          <w:iCs/>
          <w:szCs w:val="22"/>
          <w:lang w:eastAsia="zh-CN"/>
        </w:rPr>
        <w:t xml:space="preserve"> Journal of Traditional Knowledge</w:t>
      </w:r>
      <w:r w:rsidRPr="00E8642C">
        <w:rPr>
          <w:rFonts w:cs="Arial"/>
          <w:szCs w:val="22"/>
          <w:lang w:eastAsia="zh-CN"/>
        </w:rPr>
        <w:t xml:space="preserve"> sont indiqués comme de la littérature non</w:t>
      </w:r>
      <w:r w:rsidR="00400337">
        <w:rPr>
          <w:rFonts w:cs="Arial"/>
          <w:szCs w:val="22"/>
          <w:lang w:eastAsia="zh-CN"/>
        </w:rPr>
        <w:noBreakHyphen/>
      </w:r>
      <w:r w:rsidRPr="00E8642C">
        <w:rPr>
          <w:rFonts w:cs="Arial"/>
          <w:szCs w:val="22"/>
          <w:lang w:eastAsia="zh-CN"/>
        </w:rPr>
        <w:t>brevet dans la liste de périodiques à utiliser pour la recherche et l</w:t>
      </w:r>
      <w:r w:rsidR="00D91476">
        <w:rPr>
          <w:rFonts w:cs="Arial"/>
          <w:szCs w:val="22"/>
          <w:lang w:eastAsia="zh-CN"/>
        </w:rPr>
        <w:t>’</w:t>
      </w:r>
      <w:r w:rsidRPr="00E8642C">
        <w:rPr>
          <w:rFonts w:cs="Arial"/>
          <w:szCs w:val="22"/>
          <w:lang w:eastAsia="zh-CN"/>
        </w:rPr>
        <w:t>examen de la documentation minimale du PCT.</w:t>
      </w:r>
    </w:p>
    <w:p w:rsidR="00D23D81" w:rsidRDefault="00DD607D" w:rsidP="00D23D81">
      <w:pPr>
        <w:pStyle w:val="Heading2"/>
        <w:spacing w:after="220" w:line="240" w:lineRule="auto"/>
      </w:pPr>
      <w:bookmarkStart w:id="54" w:name="_Toc7772530"/>
      <w:r w:rsidRPr="00E8642C">
        <w:t>Domaine public</w:t>
      </w:r>
      <w:bookmarkEnd w:id="54"/>
    </w:p>
    <w:p w:rsidR="00D23D81" w:rsidRDefault="00DD607D" w:rsidP="00D23D81">
      <w:pPr>
        <w:spacing w:after="220"/>
        <w:rPr>
          <w:rFonts w:cs="Arial"/>
          <w:szCs w:val="22"/>
        </w:rPr>
      </w:pPr>
      <w:r w:rsidRPr="00E8642C">
        <w:rPr>
          <w:rFonts w:cs="Arial"/>
          <w:szCs w:val="22"/>
        </w:rPr>
        <w:t>En règle générale, une œuvre est considérée comme faisant partie du domaine public s</w:t>
      </w:r>
      <w:r w:rsidR="00D91476">
        <w:rPr>
          <w:rFonts w:cs="Arial"/>
          <w:szCs w:val="22"/>
        </w:rPr>
        <w:t>’</w:t>
      </w:r>
      <w:r w:rsidRPr="00E8642C">
        <w:rPr>
          <w:rFonts w:cs="Arial"/>
          <w:szCs w:val="22"/>
        </w:rPr>
        <w:t>il n</w:t>
      </w:r>
      <w:r w:rsidR="00D91476">
        <w:rPr>
          <w:rFonts w:cs="Arial"/>
          <w:szCs w:val="22"/>
        </w:rPr>
        <w:t>’</w:t>
      </w:r>
      <w:r w:rsidRPr="00E8642C">
        <w:rPr>
          <w:rFonts w:cs="Arial"/>
          <w:szCs w:val="22"/>
        </w:rPr>
        <w:t>y a aucune restriction légale à son utilisation par le public</w:t>
      </w:r>
      <w:r w:rsidRPr="00E8642C">
        <w:rPr>
          <w:rStyle w:val="FootnoteReference"/>
          <w:rFonts w:cs="Arial"/>
          <w:szCs w:val="22"/>
        </w:rPr>
        <w:footnoteReference w:id="58"/>
      </w:r>
      <w:r w:rsidRPr="00E8642C">
        <w:rPr>
          <w:rFonts w:cs="Arial"/>
          <w:szCs w:val="22"/>
        </w:rPr>
        <w:t>.</w:t>
      </w:r>
    </w:p>
    <w:p w:rsidR="00D23D81" w:rsidRDefault="00DD607D" w:rsidP="00D23D81">
      <w:pPr>
        <w:autoSpaceDE w:val="0"/>
        <w:autoSpaceDN w:val="0"/>
        <w:adjustRightInd w:val="0"/>
        <w:spacing w:after="220"/>
        <w:rPr>
          <w:rFonts w:cs="Arial"/>
          <w:szCs w:val="22"/>
        </w:rPr>
      </w:pPr>
      <w:r w:rsidRPr="00E8642C">
        <w:rPr>
          <w:rFonts w:cs="Arial"/>
          <w:szCs w:val="22"/>
        </w:rPr>
        <w:t xml:space="preserve">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domaine public comme “</w:t>
      </w:r>
      <w:r w:rsidRPr="00E8642C">
        <w:rPr>
          <w:rFonts w:cs="Arial"/>
          <w:iCs/>
          <w:szCs w:val="22"/>
        </w:rPr>
        <w:t>[l]</w:t>
      </w:r>
      <w:r w:rsidR="00D91476">
        <w:rPr>
          <w:rFonts w:cs="Arial"/>
          <w:iCs/>
          <w:szCs w:val="22"/>
        </w:rPr>
        <w:t>’</w:t>
      </w:r>
      <w:r w:rsidRPr="00E8642C">
        <w:rPr>
          <w:rFonts w:cs="Arial"/>
          <w:iCs/>
          <w:szCs w:val="22"/>
        </w:rPr>
        <w:t>ensemble des inventions et des œuvres de création qui ne sont pas protégées par des droits de propriété intellectuelle et qui peuvent donc être utilisées gratuitement par quiconq</w:t>
      </w:r>
      <w:r w:rsidR="001F3AEE" w:rsidRPr="00E8642C">
        <w:rPr>
          <w:rFonts w:cs="Arial"/>
          <w:iCs/>
          <w:szCs w:val="22"/>
        </w:rPr>
        <w:t>ue</w:t>
      </w:r>
      <w:r w:rsidR="001F3AEE">
        <w:rPr>
          <w:rFonts w:cs="Arial"/>
          <w:iCs/>
          <w:szCs w:val="22"/>
        </w:rPr>
        <w:t xml:space="preserve">.  </w:t>
      </w:r>
      <w:r w:rsidR="001F3AEE" w:rsidRPr="00E8642C">
        <w:rPr>
          <w:rFonts w:cs="Arial"/>
          <w:iCs/>
          <w:szCs w:val="22"/>
        </w:rPr>
        <w:t xml:space="preserve">À </w:t>
      </w:r>
      <w:r w:rsidRPr="00E8642C">
        <w:rPr>
          <w:rFonts w:cs="Arial"/>
          <w:iCs/>
          <w:szCs w:val="22"/>
        </w:rPr>
        <w:t>l</w:t>
      </w:r>
      <w:r w:rsidR="00D91476">
        <w:rPr>
          <w:rFonts w:cs="Arial"/>
          <w:iCs/>
          <w:szCs w:val="22"/>
        </w:rPr>
        <w:t>’</w:t>
      </w:r>
      <w:r w:rsidRPr="00E8642C">
        <w:rPr>
          <w:rFonts w:cs="Arial"/>
          <w:iCs/>
          <w:szCs w:val="22"/>
        </w:rPr>
        <w:t>expiration ou à la déchéance du droit d</w:t>
      </w:r>
      <w:r w:rsidR="00D91476">
        <w:rPr>
          <w:rFonts w:cs="Arial"/>
          <w:iCs/>
          <w:szCs w:val="22"/>
        </w:rPr>
        <w:t>’</w:t>
      </w:r>
      <w:r w:rsidRPr="00E8642C">
        <w:rPr>
          <w:rFonts w:cs="Arial"/>
          <w:iCs/>
          <w:szCs w:val="22"/>
        </w:rPr>
        <w:t>auteur, du droit sur les marques, du droit de brevet ou du secret commercial, les objets de propriété intellectuelle qu</w:t>
      </w:r>
      <w:r w:rsidR="00D91476">
        <w:rPr>
          <w:rFonts w:cs="Arial"/>
          <w:iCs/>
          <w:szCs w:val="22"/>
        </w:rPr>
        <w:t>’</w:t>
      </w:r>
      <w:r w:rsidRPr="00E8642C">
        <w:rPr>
          <w:rFonts w:cs="Arial"/>
          <w:iCs/>
          <w:szCs w:val="22"/>
        </w:rPr>
        <w:t>ils protégeaient tombent dans le domaine public et chacun peut se les approprier sans être accusé de contrefaçon</w:t>
      </w:r>
      <w:r w:rsidRPr="00E8642C">
        <w:rPr>
          <w:rFonts w:cs="Arial"/>
          <w:szCs w:val="22"/>
        </w:rPr>
        <w:t>”.</w:t>
      </w:r>
    </w:p>
    <w:p w:rsidR="00D23D81" w:rsidRDefault="00DD607D" w:rsidP="00D23D81">
      <w:pPr>
        <w:spacing w:after="220"/>
        <w:rPr>
          <w:rFonts w:cs="Arial"/>
          <w:szCs w:val="22"/>
        </w:rPr>
      </w:pPr>
      <w:r w:rsidRPr="00E8642C">
        <w:rPr>
          <w:rFonts w:cs="Arial"/>
          <w:szCs w:val="22"/>
        </w:rPr>
        <w:t>Dans la sphère du droit d</w:t>
      </w:r>
      <w:r w:rsidR="00D91476">
        <w:rPr>
          <w:rFonts w:cs="Arial"/>
          <w:szCs w:val="22"/>
        </w:rPr>
        <w:t>’</w:t>
      </w:r>
      <w:r w:rsidRPr="00E8642C">
        <w:rPr>
          <w:rFonts w:cs="Arial"/>
          <w:szCs w:val="22"/>
        </w:rPr>
        <w:t>auteur et des droits connexes, le domaine public a été défini comme englobant “</w:t>
      </w:r>
      <w:r w:rsidRPr="00E8642C">
        <w:rPr>
          <w:rFonts w:cs="Arial"/>
          <w:iCs/>
          <w:szCs w:val="22"/>
        </w:rPr>
        <w:t>les œuvres et objets de droits connexes qui – généralement parce que leur délai de protection est venu à expiration ou parce que leur protection dans le pays dont il s</w:t>
      </w:r>
      <w:r w:rsidR="00D91476">
        <w:rPr>
          <w:rFonts w:cs="Arial"/>
          <w:iCs/>
          <w:szCs w:val="22"/>
        </w:rPr>
        <w:t>’</w:t>
      </w:r>
      <w:r w:rsidRPr="00E8642C">
        <w:rPr>
          <w:rFonts w:cs="Arial"/>
          <w:iCs/>
          <w:szCs w:val="22"/>
        </w:rPr>
        <w:t>agit n</w:t>
      </w:r>
      <w:r w:rsidR="00D91476">
        <w:rPr>
          <w:rFonts w:cs="Arial"/>
          <w:iCs/>
          <w:szCs w:val="22"/>
        </w:rPr>
        <w:t>’</w:t>
      </w:r>
      <w:r w:rsidRPr="00E8642C">
        <w:rPr>
          <w:rFonts w:cs="Arial"/>
          <w:iCs/>
          <w:szCs w:val="22"/>
        </w:rPr>
        <w:t>est pas assurée par un traité international – peuvent être utilisés et exploités par quiconque sans le consentement des titulaires du droit d</w:t>
      </w:r>
      <w:r w:rsidR="00D91476">
        <w:rPr>
          <w:rFonts w:cs="Arial"/>
          <w:iCs/>
          <w:szCs w:val="22"/>
        </w:rPr>
        <w:t>’</w:t>
      </w:r>
      <w:r w:rsidRPr="00E8642C">
        <w:rPr>
          <w:rFonts w:cs="Arial"/>
          <w:iCs/>
          <w:szCs w:val="22"/>
        </w:rPr>
        <w:t>auteur et des droits connexes concernés et sans qu</w:t>
      </w:r>
      <w:r w:rsidR="00D91476">
        <w:rPr>
          <w:rFonts w:cs="Arial"/>
          <w:iCs/>
          <w:szCs w:val="22"/>
        </w:rPr>
        <w:t>’</w:t>
      </w:r>
      <w:r w:rsidRPr="00E8642C">
        <w:rPr>
          <w:rFonts w:cs="Arial"/>
          <w:iCs/>
          <w:szCs w:val="22"/>
        </w:rPr>
        <w:t>il soit nécessaire de verser à ces derniers une rémunération</w:t>
      </w:r>
      <w:r w:rsidRPr="00E8642C">
        <w:rPr>
          <w:rFonts w:cs="Arial"/>
          <w:szCs w:val="22"/>
        </w:rPr>
        <w:t>”</w:t>
      </w:r>
      <w:r w:rsidRPr="00E8642C">
        <w:rPr>
          <w:rStyle w:val="FootnoteReference"/>
          <w:rFonts w:cs="Arial"/>
          <w:szCs w:val="22"/>
        </w:rPr>
        <w:footnoteReference w:id="59"/>
      </w:r>
      <w:r w:rsidRPr="00E8642C">
        <w:rPr>
          <w:rFonts w:cs="Arial"/>
          <w:szCs w:val="22"/>
        </w:rPr>
        <w:t>.</w:t>
      </w:r>
    </w:p>
    <w:p w:rsidR="00D23D81" w:rsidRDefault="00DD607D" w:rsidP="00D23D81">
      <w:pPr>
        <w:spacing w:after="220"/>
        <w:rPr>
          <w:rFonts w:cs="Arial"/>
          <w:szCs w:val="22"/>
        </w:rPr>
      </w:pPr>
      <w:r w:rsidRPr="00E8642C">
        <w:rPr>
          <w:rFonts w:cs="Arial"/>
          <w:szCs w:val="22"/>
        </w:rPr>
        <w:t>D</w:t>
      </w:r>
      <w:r w:rsidR="00D91476">
        <w:rPr>
          <w:rFonts w:cs="Arial"/>
          <w:szCs w:val="22"/>
        </w:rPr>
        <w:t>’</w:t>
      </w:r>
      <w:r w:rsidRPr="00E8642C">
        <w:rPr>
          <w:rFonts w:cs="Arial"/>
          <w:szCs w:val="22"/>
        </w:rPr>
        <w:t>une manière générale, le domaine public sur le plan du droit des brevets recouvre les connaissances, les idées et les innovations sur lesquelles personne (individu ou organisation) n</w:t>
      </w:r>
      <w:r w:rsidR="00D91476">
        <w:rPr>
          <w:rFonts w:cs="Arial"/>
          <w:szCs w:val="22"/>
        </w:rPr>
        <w:t>’</w:t>
      </w:r>
      <w:r w:rsidRPr="00E8642C">
        <w:rPr>
          <w:rFonts w:cs="Arial"/>
          <w:szCs w:val="22"/>
        </w:rPr>
        <w:t>a de droit de proprié</w:t>
      </w:r>
      <w:r w:rsidR="001F3AEE" w:rsidRPr="00E8642C">
        <w:rPr>
          <w:rFonts w:cs="Arial"/>
          <w:szCs w:val="22"/>
        </w:rPr>
        <w:t>té</w:t>
      </w:r>
      <w:r w:rsidR="001F3AEE">
        <w:rPr>
          <w:rFonts w:cs="Arial"/>
          <w:szCs w:val="22"/>
        </w:rPr>
        <w:t xml:space="preserve">.  </w:t>
      </w:r>
      <w:r w:rsidR="001F3AEE" w:rsidRPr="00E8642C">
        <w:rPr>
          <w:rFonts w:cs="Arial"/>
          <w:szCs w:val="22"/>
        </w:rPr>
        <w:t>Le</w:t>
      </w:r>
      <w:r w:rsidRPr="00E8642C">
        <w:rPr>
          <w:rFonts w:cs="Arial"/>
          <w:szCs w:val="22"/>
        </w:rPr>
        <w:t>s connaissances, les idées et les innovations sont dans le domaine public dès lors qu</w:t>
      </w:r>
      <w:r w:rsidR="00D91476">
        <w:rPr>
          <w:rFonts w:cs="Arial"/>
          <w:szCs w:val="22"/>
        </w:rPr>
        <w:t>’</w:t>
      </w:r>
      <w:r w:rsidRPr="00E8642C">
        <w:rPr>
          <w:rFonts w:cs="Arial"/>
          <w:szCs w:val="22"/>
        </w:rPr>
        <w:t>elles ne font l</w:t>
      </w:r>
      <w:r w:rsidR="00D91476">
        <w:rPr>
          <w:rFonts w:cs="Arial"/>
          <w:szCs w:val="22"/>
        </w:rPr>
        <w:t>’</w:t>
      </w:r>
      <w:r w:rsidRPr="00E8642C">
        <w:rPr>
          <w:rFonts w:cs="Arial"/>
          <w:szCs w:val="22"/>
        </w:rPr>
        <w:t>objet d</w:t>
      </w:r>
      <w:r w:rsidR="00D91476">
        <w:rPr>
          <w:rFonts w:cs="Arial"/>
          <w:szCs w:val="22"/>
        </w:rPr>
        <w:t>’</w:t>
      </w:r>
      <w:r w:rsidRPr="00E8642C">
        <w:rPr>
          <w:rFonts w:cs="Arial"/>
          <w:szCs w:val="22"/>
        </w:rPr>
        <w:t>aucune restriction d</w:t>
      </w:r>
      <w:r w:rsidR="00D91476">
        <w:rPr>
          <w:rFonts w:cs="Arial"/>
          <w:szCs w:val="22"/>
        </w:rPr>
        <w:t>’</w:t>
      </w:r>
      <w:r w:rsidRPr="00E8642C">
        <w:rPr>
          <w:rFonts w:cs="Arial"/>
          <w:szCs w:val="22"/>
        </w:rPr>
        <w:t>utilisation légale (à cet égard, les législations varient, donnant naissance à des domaines publics différents), à l</w:t>
      </w:r>
      <w:r w:rsidR="00D91476">
        <w:rPr>
          <w:rFonts w:cs="Arial"/>
          <w:szCs w:val="22"/>
        </w:rPr>
        <w:t>’</w:t>
      </w:r>
      <w:r w:rsidRPr="00E8642C">
        <w:rPr>
          <w:rFonts w:cs="Arial"/>
          <w:szCs w:val="22"/>
        </w:rPr>
        <w:t>expiration des brevets (généralement, après une période de 20 ans), par suite d</w:t>
      </w:r>
      <w:r w:rsidR="00D91476">
        <w:rPr>
          <w:rFonts w:cs="Arial"/>
          <w:szCs w:val="22"/>
        </w:rPr>
        <w:t>’</w:t>
      </w:r>
      <w:r w:rsidRPr="00E8642C">
        <w:rPr>
          <w:rFonts w:cs="Arial"/>
          <w:szCs w:val="22"/>
        </w:rPr>
        <w:t>un non</w:t>
      </w:r>
      <w:r w:rsidR="00400337">
        <w:rPr>
          <w:rFonts w:cs="Arial"/>
          <w:szCs w:val="22"/>
        </w:rPr>
        <w:noBreakHyphen/>
      </w:r>
      <w:r w:rsidRPr="00E8642C">
        <w:rPr>
          <w:rFonts w:cs="Arial"/>
          <w:szCs w:val="22"/>
        </w:rPr>
        <w:t>renouvellement, d</w:t>
      </w:r>
      <w:r w:rsidR="00D91476">
        <w:rPr>
          <w:rFonts w:cs="Arial"/>
          <w:szCs w:val="22"/>
        </w:rPr>
        <w:t>’</w:t>
      </w:r>
      <w:r w:rsidRPr="00E8642C">
        <w:rPr>
          <w:rFonts w:cs="Arial"/>
          <w:szCs w:val="22"/>
        </w:rPr>
        <w:t>une révocation ou d</w:t>
      </w:r>
      <w:r w:rsidR="00D91476">
        <w:rPr>
          <w:rFonts w:cs="Arial"/>
          <w:szCs w:val="22"/>
        </w:rPr>
        <w:t>’</w:t>
      </w:r>
      <w:r w:rsidRPr="00E8642C">
        <w:rPr>
          <w:rFonts w:cs="Arial"/>
          <w:szCs w:val="22"/>
        </w:rPr>
        <w:t>une invalidation</w:t>
      </w:r>
      <w:r w:rsidRPr="00E8642C">
        <w:rPr>
          <w:rStyle w:val="FootnoteReference"/>
          <w:rFonts w:cs="Arial"/>
          <w:szCs w:val="22"/>
        </w:rPr>
        <w:footnoteReference w:id="60"/>
      </w:r>
      <w:r w:rsidRPr="00E8642C">
        <w:rPr>
          <w:rFonts w:cs="Arial"/>
          <w:szCs w:val="22"/>
        </w:rPr>
        <w:t>.</w:t>
      </w:r>
    </w:p>
    <w:p w:rsidR="00D23D81" w:rsidRDefault="00DD607D" w:rsidP="00D23D81">
      <w:pPr>
        <w:spacing w:after="220"/>
        <w:rPr>
          <w:rFonts w:cs="Arial"/>
          <w:szCs w:val="22"/>
        </w:rPr>
      </w:pPr>
      <w:r w:rsidRPr="00E8642C">
        <w:rPr>
          <w:rFonts w:cs="Arial"/>
          <w:szCs w:val="22"/>
        </w:rPr>
        <w:t>Le rôle, le cadre et les limites du “domaine public” font l</w:t>
      </w:r>
      <w:r w:rsidR="00D91476">
        <w:rPr>
          <w:rFonts w:cs="Arial"/>
          <w:szCs w:val="22"/>
        </w:rPr>
        <w:t>’</w:t>
      </w:r>
      <w:r w:rsidRPr="00E8642C">
        <w:rPr>
          <w:rFonts w:cs="Arial"/>
          <w:szCs w:val="22"/>
        </w:rPr>
        <w:t>objet de discussions intensives au sein de plusieurs instances, en particulier à l</w:t>
      </w:r>
      <w:r w:rsidR="00D91476">
        <w:rPr>
          <w:rFonts w:cs="Arial"/>
          <w:szCs w:val="22"/>
        </w:rPr>
        <w:t>’</w:t>
      </w:r>
      <w:r w:rsidRPr="00E8642C">
        <w:rPr>
          <w:rFonts w:cs="Arial"/>
          <w:szCs w:val="22"/>
        </w:rPr>
        <w:t>OMPI dans le cadre de l</w:t>
      </w:r>
      <w:r w:rsidR="00D91476">
        <w:rPr>
          <w:rFonts w:cs="Arial"/>
          <w:szCs w:val="22"/>
        </w:rPr>
        <w:t>’</w:t>
      </w:r>
      <w:r w:rsidR="001F3AEE" w:rsidRPr="00E8642C">
        <w:rPr>
          <w:rFonts w:cs="Arial"/>
          <w:szCs w:val="22"/>
        </w:rPr>
        <w:t>IGC</w:t>
      </w:r>
      <w:r w:rsidR="001F3AEE">
        <w:rPr>
          <w:rFonts w:cs="Arial"/>
          <w:szCs w:val="22"/>
        </w:rPr>
        <w:t xml:space="preserve">.  </w:t>
      </w:r>
      <w:r w:rsidR="001F3AEE" w:rsidRPr="00E8642C">
        <w:rPr>
          <w:rFonts w:cs="Arial"/>
          <w:szCs w:val="22"/>
        </w:rPr>
        <w:t>Le</w:t>
      </w:r>
      <w:r w:rsidRPr="00E8642C">
        <w:rPr>
          <w:rFonts w:cs="Arial"/>
          <w:szCs w:val="22"/>
        </w:rPr>
        <w:t xml:space="preserve"> document intitulé “Note sur les significations du terme </w:t>
      </w:r>
      <w:r w:rsidR="00D91476">
        <w:rPr>
          <w:rFonts w:cs="Arial"/>
          <w:szCs w:val="22"/>
        </w:rPr>
        <w:t>‘</w:t>
      </w:r>
      <w:r w:rsidRPr="00E8642C">
        <w:rPr>
          <w:rFonts w:cs="Arial"/>
          <w:szCs w:val="22"/>
        </w:rPr>
        <w:t>domaine public</w:t>
      </w:r>
      <w:r w:rsidR="00D91476">
        <w:rPr>
          <w:rFonts w:cs="Arial"/>
          <w:szCs w:val="22"/>
        </w:rPr>
        <w:t>’</w:t>
      </w:r>
      <w:r w:rsidRPr="00E8642C">
        <w:rPr>
          <w:rFonts w:cs="Arial"/>
          <w:szCs w:val="22"/>
        </w:rPr>
        <w:t xml:space="preserve"> dans le système de la propriété intellectuelle, traitant en particulier de la protection des savoirs traditionnels et des expressions culturelles traditionnelles ou expressions du folklore” (document WIPO/GRTKF/IC/</w:t>
      </w:r>
      <w:r w:rsidR="00871F09">
        <w:rPr>
          <w:rFonts w:cs="Arial"/>
          <w:szCs w:val="22"/>
        </w:rPr>
        <w:t>1</w:t>
      </w:r>
      <w:r w:rsidRPr="00E8642C">
        <w:rPr>
          <w:rFonts w:cs="Arial"/>
          <w:szCs w:val="22"/>
        </w:rPr>
        <w:t>7/INF/8) analyse de manière plus approfondie ce que signifie le “domaine public” eu égard aux savoirs traditionnels et aux expressions culturelles traditionnelles.</w:t>
      </w:r>
    </w:p>
    <w:p w:rsidR="00D23D81" w:rsidRDefault="00DD607D" w:rsidP="00D23D81">
      <w:pPr>
        <w:pStyle w:val="Heading2"/>
        <w:spacing w:after="220" w:line="240" w:lineRule="auto"/>
      </w:pPr>
      <w:bookmarkStart w:id="55" w:name="_Toc7772531"/>
      <w:r w:rsidRPr="00E8642C">
        <w:t>Droit et protocoles coutumiers</w:t>
      </w:r>
      <w:bookmarkEnd w:id="55"/>
    </w:p>
    <w:p w:rsidR="00D23D81" w:rsidRDefault="00DD607D" w:rsidP="00D23D81">
      <w:pPr>
        <w:pStyle w:val="FootnoteText"/>
        <w:spacing w:after="220"/>
        <w:ind w:left="0" w:firstLine="0"/>
        <w:rPr>
          <w:rFonts w:cs="Arial"/>
          <w:szCs w:val="22"/>
        </w:rPr>
      </w:pPr>
      <w:r w:rsidRPr="00E8642C">
        <w:rPr>
          <w:rFonts w:cs="Arial"/>
        </w:rPr>
        <w:t xml:space="preserve">Le </w:t>
      </w:r>
      <w:proofErr w:type="spellStart"/>
      <w:r w:rsidRPr="00E8642C">
        <w:rPr>
          <w:rFonts w:cs="Arial"/>
        </w:rPr>
        <w:t>Black</w:t>
      </w:r>
      <w:r w:rsidR="00D91476">
        <w:rPr>
          <w:rFonts w:cs="Arial"/>
        </w:rPr>
        <w:t>’</w:t>
      </w:r>
      <w:r w:rsidRPr="00E8642C">
        <w:rPr>
          <w:rFonts w:cs="Arial"/>
        </w:rPr>
        <w:t>s</w:t>
      </w:r>
      <w:proofErr w:type="spellEnd"/>
      <w:r w:rsidRPr="00E8642C">
        <w:rPr>
          <w:rFonts w:cs="Arial"/>
        </w:rPr>
        <w:t xml:space="preserve"> Law </w:t>
      </w:r>
      <w:proofErr w:type="spellStart"/>
      <w:r w:rsidRPr="00E8642C">
        <w:rPr>
          <w:rFonts w:cs="Arial"/>
        </w:rPr>
        <w:t>Dictionary</w:t>
      </w:r>
      <w:proofErr w:type="spellEnd"/>
      <w:r w:rsidRPr="00E8642C">
        <w:rPr>
          <w:rFonts w:cs="Arial"/>
        </w:rPr>
        <w:t xml:space="preserve"> définit le “droit coutumier” de la manière suivante</w:t>
      </w:r>
      <w:r w:rsidR="00D91476">
        <w:rPr>
          <w:rFonts w:cs="Arial"/>
        </w:rPr>
        <w:t> :</w:t>
      </w:r>
      <w:r w:rsidRPr="00E8642C">
        <w:rPr>
          <w:rFonts w:cs="Arial"/>
        </w:rPr>
        <w:t xml:space="preserve"> “[e]</w:t>
      </w:r>
      <w:proofErr w:type="spellStart"/>
      <w:r w:rsidRPr="00E8642C">
        <w:rPr>
          <w:rFonts w:cs="Arial"/>
        </w:rPr>
        <w:t>nsemble</w:t>
      </w:r>
      <w:proofErr w:type="spellEnd"/>
      <w:r w:rsidRPr="00E8642C">
        <w:rPr>
          <w:rFonts w:cs="Arial"/>
        </w:rPr>
        <w:t xml:space="preserve"> d</w:t>
      </w:r>
      <w:r w:rsidR="00D91476">
        <w:rPr>
          <w:rFonts w:cs="Arial"/>
        </w:rPr>
        <w:t>’</w:t>
      </w:r>
      <w:r w:rsidRPr="00E8642C">
        <w:rPr>
          <w:rFonts w:cs="Arial"/>
        </w:rPr>
        <w:t xml:space="preserve">usages acceptés comme des obligations légales ou des règles de conduite </w:t>
      </w:r>
      <w:proofErr w:type="gramStart"/>
      <w:r w:rsidRPr="00E8642C">
        <w:rPr>
          <w:rFonts w:cs="Arial"/>
        </w:rPr>
        <w:t>obligatoires;  pratiques</w:t>
      </w:r>
      <w:proofErr w:type="gramEnd"/>
      <w:r w:rsidRPr="00E8642C">
        <w:rPr>
          <w:rFonts w:cs="Arial"/>
        </w:rPr>
        <w:t xml:space="preserve"> et croyances qui sont vitales et font partie intégrante du système social et économique à tel point qu</w:t>
      </w:r>
      <w:r w:rsidR="00D91476">
        <w:rPr>
          <w:rFonts w:cs="Arial"/>
        </w:rPr>
        <w:t>’</w:t>
      </w:r>
      <w:r w:rsidRPr="00E8642C">
        <w:rPr>
          <w:rFonts w:cs="Arial"/>
        </w:rPr>
        <w:t xml:space="preserve">elles sont traitées comme des lois”.  </w:t>
      </w:r>
      <w:r w:rsidRPr="00E8642C">
        <w:rPr>
          <w:rFonts w:cs="Arial"/>
          <w:szCs w:val="22"/>
        </w:rPr>
        <w:t>Le droit coutumier a également été défini comme “des principes reconnus localement, et des normes ou des règles plus spécifiques, qui sont maintenus et transmis par voie orale, et appliqués par des institutions communautaires pour régir ou orienter au niveau interne tous les aspects de la vie”</w:t>
      </w:r>
      <w:r w:rsidRPr="00E8642C">
        <w:rPr>
          <w:rFonts w:cs="Arial"/>
          <w:szCs w:val="22"/>
          <w:vertAlign w:val="superscript"/>
        </w:rPr>
        <w:footnoteReference w:id="61"/>
      </w:r>
      <w:r w:rsidRPr="00E8642C">
        <w:rPr>
          <w:rFonts w:cs="Arial"/>
          <w:szCs w:val="22"/>
        </w:rPr>
        <w:t>.  Ces lois coutumières se présentent sous différentes form</w:t>
      </w:r>
      <w:r w:rsidR="001F3AEE" w:rsidRPr="00E8642C">
        <w:rPr>
          <w:rFonts w:cs="Arial"/>
          <w:szCs w:val="22"/>
        </w:rPr>
        <w:t>es</w:t>
      </w:r>
      <w:r w:rsidR="001F3AEE">
        <w:rPr>
          <w:rFonts w:cs="Arial"/>
          <w:szCs w:val="22"/>
        </w:rPr>
        <w:t xml:space="preserve">.  </w:t>
      </w:r>
      <w:r w:rsidR="001F3AEE" w:rsidRPr="00E8642C">
        <w:rPr>
          <w:rFonts w:cs="Arial"/>
          <w:szCs w:val="22"/>
        </w:rPr>
        <w:t>Pa</w:t>
      </w:r>
      <w:r w:rsidRPr="00E8642C">
        <w:rPr>
          <w:rFonts w:cs="Arial"/>
          <w:szCs w:val="22"/>
        </w:rPr>
        <w:t>r exemple, ces lois peuvent être codifiées, écrites ou orales, énoncées expressément dans des pratiques traditionnell</w:t>
      </w:r>
      <w:r w:rsidR="001F3AEE" w:rsidRPr="00E8642C">
        <w:rPr>
          <w:rFonts w:cs="Arial"/>
          <w:szCs w:val="22"/>
        </w:rPr>
        <w:t>es</w:t>
      </w:r>
      <w:r w:rsidR="001F3AEE">
        <w:rPr>
          <w:rFonts w:cs="Arial"/>
          <w:szCs w:val="22"/>
        </w:rPr>
        <w:t xml:space="preserve">.  </w:t>
      </w:r>
      <w:r w:rsidR="001F3AEE" w:rsidRPr="00E8642C">
        <w:rPr>
          <w:rFonts w:cs="Arial"/>
          <w:szCs w:val="22"/>
        </w:rPr>
        <w:t>Il</w:t>
      </w:r>
      <w:r w:rsidRPr="00E8642C">
        <w:rPr>
          <w:rFonts w:cs="Arial"/>
          <w:szCs w:val="22"/>
        </w:rPr>
        <w:t xml:space="preserve"> est également important de déterminer si ces lois sont reconnues “formellement” dans le cadre des systèmes juridiques nationaux du pays dans lequel réside une communauté ou si elles sont liées à ces systèm</w:t>
      </w:r>
      <w:r w:rsidR="001F3AEE" w:rsidRPr="00E8642C">
        <w:rPr>
          <w:rFonts w:cs="Arial"/>
          <w:szCs w:val="22"/>
        </w:rPr>
        <w:t>es</w:t>
      </w:r>
      <w:r w:rsidR="001F3AEE">
        <w:rPr>
          <w:rFonts w:cs="Arial"/>
          <w:szCs w:val="22"/>
        </w:rPr>
        <w:t xml:space="preserve">.  </w:t>
      </w:r>
      <w:r w:rsidR="001F3AEE" w:rsidRPr="00E8642C">
        <w:rPr>
          <w:rFonts w:cs="Arial"/>
          <w:szCs w:val="22"/>
        </w:rPr>
        <w:t>Un</w:t>
      </w:r>
      <w:r w:rsidRPr="00E8642C">
        <w:rPr>
          <w:rFonts w:cs="Arial"/>
          <w:szCs w:val="22"/>
        </w:rPr>
        <w:t xml:space="preserve"> facteur essentiel pour déterminer si certains usages ont un statut de loi consiste à vérifier s</w:t>
      </w:r>
      <w:r w:rsidR="00D91476">
        <w:rPr>
          <w:rFonts w:cs="Arial"/>
          <w:szCs w:val="22"/>
        </w:rPr>
        <w:t>’</w:t>
      </w:r>
      <w:r w:rsidRPr="00E8642C">
        <w:rPr>
          <w:rFonts w:cs="Arial"/>
          <w:szCs w:val="22"/>
        </w:rPr>
        <w:t>ils sont considérés par la communauté comme ayant un effet contraignant, ou s</w:t>
      </w:r>
      <w:r w:rsidR="00D91476">
        <w:rPr>
          <w:rFonts w:cs="Arial"/>
          <w:szCs w:val="22"/>
        </w:rPr>
        <w:t>’</w:t>
      </w:r>
      <w:r w:rsidRPr="00E8642C">
        <w:rPr>
          <w:rFonts w:cs="Arial"/>
          <w:szCs w:val="22"/>
        </w:rPr>
        <w:t>ils décrivent simplement des pratiques concrètes.</w:t>
      </w:r>
    </w:p>
    <w:p w:rsidR="00D23D81" w:rsidRDefault="00DD607D" w:rsidP="00D23D81">
      <w:pPr>
        <w:pStyle w:val="FootnoteText"/>
        <w:spacing w:after="220"/>
        <w:ind w:left="0" w:firstLine="0"/>
        <w:rPr>
          <w:rFonts w:cs="Arial"/>
          <w:szCs w:val="22"/>
        </w:rPr>
      </w:pPr>
      <w:r w:rsidRPr="00E8642C">
        <w:rPr>
          <w:rFonts w:cs="Arial"/>
          <w:szCs w:val="22"/>
        </w:rPr>
        <w:t>Les lois coutumières peuvent définir les droits et les responsabilités des membres sur des aspects importants de leur vie, de leur culture et de leur conception du monde</w:t>
      </w:r>
      <w:r w:rsidR="00D91476">
        <w:rPr>
          <w:rFonts w:cs="Arial"/>
          <w:szCs w:val="22"/>
        </w:rPr>
        <w:t> :</w:t>
      </w:r>
      <w:r w:rsidRPr="00E8642C">
        <w:rPr>
          <w:rFonts w:cs="Arial"/>
          <w:szCs w:val="22"/>
        </w:rPr>
        <w:t xml:space="preserve"> utilisation des ressources naturelles et accès à celles</w:t>
      </w:r>
      <w:r w:rsidR="00400337">
        <w:rPr>
          <w:rFonts w:cs="Arial"/>
          <w:szCs w:val="22"/>
        </w:rPr>
        <w:noBreakHyphen/>
      </w:r>
      <w:r w:rsidRPr="00E8642C">
        <w:rPr>
          <w:rFonts w:cs="Arial"/>
          <w:szCs w:val="22"/>
        </w:rPr>
        <w:t>ci;  droits et obligations en matière foncière, d</w:t>
      </w:r>
      <w:r w:rsidR="00D91476">
        <w:rPr>
          <w:rFonts w:cs="Arial"/>
          <w:szCs w:val="22"/>
        </w:rPr>
        <w:t>’</w:t>
      </w:r>
      <w:r w:rsidRPr="00E8642C">
        <w:rPr>
          <w:rFonts w:cs="Arial"/>
          <w:szCs w:val="22"/>
        </w:rPr>
        <w:t>héritage et de propriété;  conduite de la vie spirituelle;  entretien du patrimoine culturel et des systèmes de connaissances;  et bien d</w:t>
      </w:r>
      <w:r w:rsidR="00D91476">
        <w:rPr>
          <w:rFonts w:cs="Arial"/>
          <w:szCs w:val="22"/>
        </w:rPr>
        <w:t>’</w:t>
      </w:r>
      <w:r w:rsidRPr="00E8642C">
        <w:rPr>
          <w:rFonts w:cs="Arial"/>
          <w:szCs w:val="22"/>
        </w:rPr>
        <w:t>autres questions</w:t>
      </w:r>
      <w:r w:rsidRPr="00E8642C">
        <w:rPr>
          <w:rStyle w:val="FootnoteReference"/>
          <w:rFonts w:cs="Arial"/>
          <w:szCs w:val="22"/>
        </w:rPr>
        <w:footnoteReference w:id="62"/>
      </w:r>
      <w:r w:rsidRPr="00E8642C">
        <w:rPr>
          <w:rFonts w:cs="Arial"/>
          <w:szCs w:val="22"/>
        </w:rPr>
        <w:t>.  Il a été avancé que le droit coutumier comprend des coutumes autochtones pratiquées par des communautés traditionnelles, assorties de sanctions locales en cas de violati</w:t>
      </w:r>
      <w:r w:rsidR="001F3AEE" w:rsidRPr="00E8642C">
        <w:rPr>
          <w:rFonts w:cs="Arial"/>
          <w:szCs w:val="22"/>
        </w:rPr>
        <w:t>on</w:t>
      </w:r>
      <w:r w:rsidR="001F3AEE">
        <w:rPr>
          <w:rFonts w:cs="Arial"/>
          <w:szCs w:val="22"/>
        </w:rPr>
        <w:t xml:space="preserve">.  </w:t>
      </w:r>
      <w:r w:rsidR="001F3AEE" w:rsidRPr="00E8642C">
        <w:rPr>
          <w:rFonts w:cs="Arial"/>
          <w:szCs w:val="22"/>
        </w:rPr>
        <w:t>La</w:t>
      </w:r>
      <w:r w:rsidRPr="00E8642C">
        <w:rPr>
          <w:rFonts w:cs="Arial"/>
          <w:szCs w:val="22"/>
        </w:rPr>
        <w:t xml:space="preserve"> plupart des règles de droit coutumier ne sont pas écrites et ne sont pas homogènes entre groupes ethniqu</w:t>
      </w:r>
      <w:r w:rsidR="001F3AEE" w:rsidRPr="00E8642C">
        <w:rPr>
          <w:rFonts w:cs="Arial"/>
          <w:szCs w:val="22"/>
        </w:rPr>
        <w:t>es</w:t>
      </w:r>
      <w:r w:rsidR="001F3AEE">
        <w:rPr>
          <w:rFonts w:cs="Arial"/>
          <w:szCs w:val="22"/>
        </w:rPr>
        <w:t xml:space="preserve">.  </w:t>
      </w:r>
      <w:r w:rsidR="001F3AEE" w:rsidRPr="00E8642C">
        <w:rPr>
          <w:rFonts w:cs="Arial"/>
          <w:szCs w:val="22"/>
        </w:rPr>
        <w:t>Le</w:t>
      </w:r>
      <w:r w:rsidRPr="00E8642C">
        <w:rPr>
          <w:rFonts w:cs="Arial"/>
          <w:szCs w:val="22"/>
        </w:rPr>
        <w:t>s différences de droit coutumier constatées d</w:t>
      </w:r>
      <w:r w:rsidR="00D91476">
        <w:rPr>
          <w:rFonts w:cs="Arial"/>
          <w:szCs w:val="22"/>
        </w:rPr>
        <w:t>’</w:t>
      </w:r>
      <w:r w:rsidRPr="00E8642C">
        <w:rPr>
          <w:rFonts w:cs="Arial"/>
          <w:szCs w:val="22"/>
        </w:rPr>
        <w:t>un groupe ethnique à l</w:t>
      </w:r>
      <w:r w:rsidR="00D91476">
        <w:rPr>
          <w:rFonts w:cs="Arial"/>
          <w:szCs w:val="22"/>
        </w:rPr>
        <w:t>’</w:t>
      </w:r>
      <w:r w:rsidRPr="00E8642C">
        <w:rPr>
          <w:rFonts w:cs="Arial"/>
          <w:szCs w:val="22"/>
        </w:rPr>
        <w:t>autre s</w:t>
      </w:r>
      <w:r w:rsidR="00D91476">
        <w:rPr>
          <w:rFonts w:cs="Arial"/>
          <w:szCs w:val="22"/>
        </w:rPr>
        <w:t>’</w:t>
      </w:r>
      <w:r w:rsidRPr="00E8642C">
        <w:rPr>
          <w:rFonts w:cs="Arial"/>
          <w:szCs w:val="22"/>
        </w:rPr>
        <w:t>expliquent par différents facteurs tels que la langue, la proximité, l</w:t>
      </w:r>
      <w:r w:rsidR="00D91476">
        <w:rPr>
          <w:rFonts w:cs="Arial"/>
          <w:szCs w:val="22"/>
        </w:rPr>
        <w:t>’</w:t>
      </w:r>
      <w:r w:rsidRPr="00E8642C">
        <w:rPr>
          <w:rFonts w:cs="Arial"/>
          <w:szCs w:val="22"/>
        </w:rPr>
        <w:t>origine, l</w:t>
      </w:r>
      <w:r w:rsidR="00D91476">
        <w:rPr>
          <w:rFonts w:cs="Arial"/>
          <w:szCs w:val="22"/>
        </w:rPr>
        <w:t>’</w:t>
      </w:r>
      <w:r w:rsidRPr="00E8642C">
        <w:rPr>
          <w:rFonts w:cs="Arial"/>
          <w:szCs w:val="22"/>
        </w:rPr>
        <w:t>histoire, la structure sociale et l</w:t>
      </w:r>
      <w:r w:rsidR="00D91476">
        <w:rPr>
          <w:rFonts w:cs="Arial"/>
          <w:szCs w:val="22"/>
        </w:rPr>
        <w:t>’</w:t>
      </w:r>
      <w:r w:rsidRPr="00E8642C">
        <w:rPr>
          <w:rFonts w:cs="Arial"/>
          <w:szCs w:val="22"/>
        </w:rPr>
        <w:t>économ</w:t>
      </w:r>
      <w:r w:rsidR="001F3AEE" w:rsidRPr="00E8642C">
        <w:rPr>
          <w:rFonts w:cs="Arial"/>
          <w:szCs w:val="22"/>
        </w:rPr>
        <w:t>ie</w:t>
      </w:r>
      <w:r w:rsidR="001F3AEE">
        <w:rPr>
          <w:rFonts w:cs="Arial"/>
          <w:szCs w:val="22"/>
        </w:rPr>
        <w:t xml:space="preserve">.  </w:t>
      </w:r>
      <w:r w:rsidR="001F3AEE" w:rsidRPr="00E8642C">
        <w:rPr>
          <w:rFonts w:cs="Arial"/>
          <w:szCs w:val="22"/>
        </w:rPr>
        <w:t>Le</w:t>
      </w:r>
      <w:r w:rsidRPr="00E8642C">
        <w:rPr>
          <w:rFonts w:cs="Arial"/>
          <w:szCs w:val="22"/>
        </w:rPr>
        <w:t xml:space="preserve"> droit coutumier n</w:t>
      </w:r>
      <w:r w:rsidR="00D91476">
        <w:rPr>
          <w:rFonts w:cs="Arial"/>
          <w:szCs w:val="22"/>
        </w:rPr>
        <w:t>’</w:t>
      </w:r>
      <w:r w:rsidRPr="00E8642C">
        <w:rPr>
          <w:rFonts w:cs="Arial"/>
          <w:szCs w:val="22"/>
        </w:rPr>
        <w:t>est pas statique mais dynamique;  ses règles changent de temps à autre pour tenir compte de l</w:t>
      </w:r>
      <w:r w:rsidR="00D91476">
        <w:rPr>
          <w:rFonts w:cs="Arial"/>
          <w:szCs w:val="22"/>
        </w:rPr>
        <w:t>’</w:t>
      </w:r>
      <w:r w:rsidRPr="00E8642C">
        <w:rPr>
          <w:rFonts w:cs="Arial"/>
          <w:szCs w:val="22"/>
        </w:rPr>
        <w:t>évolution des conditions sociales et économiques</w:t>
      </w:r>
      <w:r w:rsidRPr="00E8642C">
        <w:rPr>
          <w:rStyle w:val="FootnoteReference"/>
          <w:rFonts w:cs="Arial"/>
          <w:szCs w:val="22"/>
        </w:rPr>
        <w:footnoteReference w:id="63"/>
      </w:r>
      <w:r w:rsidRPr="00E8642C">
        <w:rPr>
          <w:rFonts w:cs="Arial"/>
          <w:szCs w:val="22"/>
        </w:rPr>
        <w:t>.</w:t>
      </w:r>
    </w:p>
    <w:p w:rsidR="00D23D81" w:rsidRDefault="00DD607D" w:rsidP="00D23D81">
      <w:pPr>
        <w:pStyle w:val="FootnoteText"/>
        <w:spacing w:after="220"/>
        <w:ind w:left="0" w:firstLine="0"/>
        <w:rPr>
          <w:rFonts w:cs="Arial"/>
          <w:szCs w:val="22"/>
        </w:rPr>
      </w:pPr>
      <w:r w:rsidRPr="00E8642C">
        <w:rPr>
          <w:rFonts w:cs="Arial"/>
          <w:szCs w:val="22"/>
        </w:rPr>
        <w:t>Certains des documents de travail de l</w:t>
      </w:r>
      <w:r w:rsidR="00D91476">
        <w:rPr>
          <w:rFonts w:cs="Arial"/>
          <w:szCs w:val="22"/>
        </w:rPr>
        <w:t>’</w:t>
      </w:r>
      <w:r w:rsidRPr="00E8642C">
        <w:rPr>
          <w:rFonts w:cs="Arial"/>
          <w:szCs w:val="22"/>
        </w:rPr>
        <w:t>IGC renvoient au droit et aux protocoles coutumiers et certains indiquent que ceux</w:t>
      </w:r>
      <w:r w:rsidR="00400337">
        <w:rPr>
          <w:rFonts w:cs="Arial"/>
          <w:szCs w:val="22"/>
        </w:rPr>
        <w:noBreakHyphen/>
      </w:r>
      <w:r w:rsidRPr="00E8642C">
        <w:rPr>
          <w:rFonts w:cs="Arial"/>
          <w:szCs w:val="22"/>
        </w:rPr>
        <w:t>ci devraient être pris en considération dans l</w:t>
      </w:r>
      <w:r w:rsidR="00D91476">
        <w:rPr>
          <w:rFonts w:cs="Arial"/>
          <w:szCs w:val="22"/>
        </w:rPr>
        <w:t>’</w:t>
      </w:r>
      <w:r w:rsidRPr="00E8642C">
        <w:rPr>
          <w:rFonts w:cs="Arial"/>
          <w:szCs w:val="22"/>
        </w:rPr>
        <w:t>élaboration d</w:t>
      </w:r>
      <w:r w:rsidR="00D91476">
        <w:rPr>
          <w:rFonts w:cs="Arial"/>
          <w:szCs w:val="22"/>
        </w:rPr>
        <w:t>’</w:t>
      </w:r>
      <w:r w:rsidRPr="00E8642C">
        <w:rPr>
          <w:rFonts w:cs="Arial"/>
          <w:szCs w:val="22"/>
        </w:rPr>
        <w:t>un nouveau système pour la protection des savoirs traditionnels ou des expressions culturelles traditionnelles.</w:t>
      </w:r>
    </w:p>
    <w:p w:rsidR="00D23D81" w:rsidRDefault="00DD607D" w:rsidP="00D23D81">
      <w:pPr>
        <w:pStyle w:val="Heading2"/>
        <w:keepLines/>
        <w:spacing w:after="220" w:line="240" w:lineRule="auto"/>
      </w:pPr>
      <w:bookmarkStart w:id="56" w:name="_Toc7772532"/>
      <w:r w:rsidRPr="00E8642C">
        <w:t>Droits des agriculteurs</w:t>
      </w:r>
      <w:bookmarkEnd w:id="56"/>
    </w:p>
    <w:p w:rsidR="00D23D81"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 xml:space="preserve">article 9.1 du </w:t>
      </w:r>
      <w:r w:rsidRPr="00E8642C">
        <w:rPr>
          <w:rFonts w:cs="Arial"/>
          <w:i/>
          <w:szCs w:val="22"/>
        </w:rPr>
        <w:t xml:space="preserve">Traité international sur les ressources </w:t>
      </w:r>
      <w:proofErr w:type="spellStart"/>
      <w:r w:rsidRPr="00E8642C">
        <w:rPr>
          <w:rFonts w:cs="Arial"/>
          <w:i/>
          <w:szCs w:val="22"/>
        </w:rPr>
        <w:t>phytogénétiques</w:t>
      </w:r>
      <w:proofErr w:type="spellEnd"/>
      <w:r w:rsidRPr="00E8642C">
        <w:rPr>
          <w:rFonts w:cs="Arial"/>
          <w:i/>
          <w:szCs w:val="22"/>
        </w:rPr>
        <w:t xml:space="preserve"> pour l</w:t>
      </w:r>
      <w:r w:rsidR="00D91476">
        <w:rPr>
          <w:rFonts w:cs="Arial"/>
          <w:i/>
          <w:szCs w:val="22"/>
        </w:rPr>
        <w:t>’</w:t>
      </w:r>
      <w:r w:rsidRPr="00E8642C">
        <w:rPr>
          <w:rFonts w:cs="Arial"/>
          <w:i/>
          <w:szCs w:val="22"/>
        </w:rPr>
        <w:t>alimentation et l</w:t>
      </w:r>
      <w:r w:rsidR="00D91476">
        <w:rPr>
          <w:rFonts w:cs="Arial"/>
          <w:i/>
          <w:szCs w:val="22"/>
        </w:rPr>
        <w:t>’</w:t>
      </w:r>
      <w:r w:rsidRPr="00E8642C">
        <w:rPr>
          <w:rFonts w:cs="Arial"/>
          <w:i/>
          <w:szCs w:val="22"/>
        </w:rPr>
        <w:t>agriculture</w:t>
      </w:r>
      <w:r w:rsidRPr="00E8642C">
        <w:rPr>
          <w:rFonts w:cs="Arial"/>
          <w:szCs w:val="22"/>
        </w:rPr>
        <w:t xml:space="preserve">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 xml:space="preserve">agriculture (FAO) indique que les Parties contractantes reconnaissent </w:t>
      </w:r>
      <w:r w:rsidRPr="00E8642C">
        <w:rPr>
          <w:rFonts w:cs="Arial"/>
          <w:iCs/>
          <w:szCs w:val="22"/>
        </w:rPr>
        <w:t>“l</w:t>
      </w:r>
      <w:r w:rsidR="00D91476">
        <w:rPr>
          <w:rFonts w:cs="Arial"/>
          <w:iCs/>
          <w:szCs w:val="22"/>
        </w:rPr>
        <w:t>’</w:t>
      </w:r>
      <w:r w:rsidRPr="00E8642C">
        <w:rPr>
          <w:rFonts w:cs="Arial"/>
          <w:iCs/>
          <w:szCs w:val="22"/>
        </w:rPr>
        <w:t>énorme contribution que les communautés locales et autochtones ainsi que les agriculteurs de toutes les régions du monde, et spécialement ceux des centres d</w:t>
      </w:r>
      <w:r w:rsidR="00D91476">
        <w:rPr>
          <w:rFonts w:cs="Arial"/>
          <w:iCs/>
          <w:szCs w:val="22"/>
        </w:rPr>
        <w:t>’</w:t>
      </w:r>
      <w:r w:rsidRPr="00E8642C">
        <w:rPr>
          <w:rFonts w:cs="Arial"/>
          <w:iCs/>
          <w:szCs w:val="22"/>
        </w:rPr>
        <w:t>origine et de diversité des plantes cultivées, ont apportée et continueront d</w:t>
      </w:r>
      <w:r w:rsidR="00D91476">
        <w:rPr>
          <w:rFonts w:cs="Arial"/>
          <w:iCs/>
          <w:szCs w:val="22"/>
        </w:rPr>
        <w:t>’</w:t>
      </w:r>
      <w:r w:rsidRPr="00E8642C">
        <w:rPr>
          <w:rFonts w:cs="Arial"/>
          <w:iCs/>
          <w:szCs w:val="22"/>
        </w:rPr>
        <w:t xml:space="preserve">apporter à la conservation et à la mise en valeur des ressources </w:t>
      </w:r>
      <w:proofErr w:type="spellStart"/>
      <w:r w:rsidRPr="00E8642C">
        <w:rPr>
          <w:rFonts w:cs="Arial"/>
          <w:iCs/>
          <w:szCs w:val="22"/>
        </w:rPr>
        <w:t>phytogénétiques</w:t>
      </w:r>
      <w:proofErr w:type="spellEnd"/>
      <w:r w:rsidRPr="00E8642C">
        <w:rPr>
          <w:rFonts w:cs="Arial"/>
          <w:iCs/>
          <w:szCs w:val="22"/>
        </w:rPr>
        <w:t xml:space="preserve"> qui constituent la base de la production alimentaire et agricole dans le monde entier</w:t>
      </w:r>
      <w:r w:rsidRPr="00E8642C">
        <w:rPr>
          <w:rFonts w:cs="Arial"/>
          <w:szCs w:val="22"/>
        </w:rPr>
        <w:t>”.  L</w:t>
      </w:r>
      <w:r w:rsidR="00D91476">
        <w:rPr>
          <w:rFonts w:cs="Arial"/>
          <w:szCs w:val="22"/>
        </w:rPr>
        <w:t>’</w:t>
      </w:r>
      <w:r w:rsidRPr="00E8642C">
        <w:rPr>
          <w:rFonts w:cs="Arial"/>
          <w:szCs w:val="22"/>
        </w:rPr>
        <w:t>article 9.2 définit les “droits des agriculteurs” de la manière suivante</w:t>
      </w:r>
      <w:r w:rsidR="00D91476">
        <w:rPr>
          <w:rFonts w:cs="Arial"/>
          <w:szCs w:val="22"/>
        </w:rPr>
        <w:t> :</w:t>
      </w:r>
      <w:r w:rsidRPr="00E8642C">
        <w:rPr>
          <w:rFonts w:cs="Arial"/>
          <w:szCs w:val="22"/>
        </w:rPr>
        <w:t xml:space="preserve"> “</w:t>
      </w:r>
      <w:r w:rsidRPr="00E8642C">
        <w:rPr>
          <w:rFonts w:cs="Arial"/>
          <w:iCs/>
          <w:szCs w:val="22"/>
        </w:rPr>
        <w:t xml:space="preserve">a) la protection des connaissances traditionnelles présentant un intérêt pour les ressources </w:t>
      </w:r>
      <w:proofErr w:type="spellStart"/>
      <w:r w:rsidRPr="00E8642C">
        <w:rPr>
          <w:rFonts w:cs="Arial"/>
          <w:iCs/>
          <w:szCs w:val="22"/>
        </w:rPr>
        <w:t>phytogénétiques</w:t>
      </w:r>
      <w:proofErr w:type="spellEnd"/>
      <w:r w:rsidRPr="00E8642C">
        <w:rPr>
          <w:rFonts w:cs="Arial"/>
          <w:iCs/>
          <w:szCs w:val="22"/>
        </w:rPr>
        <w:t xml:space="preserve"> pour l</w:t>
      </w:r>
      <w:r w:rsidR="00D91476">
        <w:rPr>
          <w:rFonts w:cs="Arial"/>
          <w:iCs/>
          <w:szCs w:val="22"/>
        </w:rPr>
        <w:t>’</w:t>
      </w:r>
      <w:r w:rsidRPr="00E8642C">
        <w:rPr>
          <w:rFonts w:cs="Arial"/>
          <w:iCs/>
          <w:szCs w:val="22"/>
        </w:rPr>
        <w:t>alimentation et l</w:t>
      </w:r>
      <w:r w:rsidR="00D91476">
        <w:rPr>
          <w:rFonts w:cs="Arial"/>
          <w:iCs/>
          <w:szCs w:val="22"/>
        </w:rPr>
        <w:t>’</w:t>
      </w:r>
      <w:r w:rsidRPr="00E8642C">
        <w:rPr>
          <w:rFonts w:cs="Arial"/>
          <w:iCs/>
          <w:szCs w:val="22"/>
        </w:rPr>
        <w:t>agriculture;  b) le droit de participer équitablement au partage des avantages découlant de l</w:t>
      </w:r>
      <w:r w:rsidR="00D91476">
        <w:rPr>
          <w:rFonts w:cs="Arial"/>
          <w:iCs/>
          <w:szCs w:val="22"/>
        </w:rPr>
        <w:t>’</w:t>
      </w:r>
      <w:r w:rsidRPr="00E8642C">
        <w:rPr>
          <w:rFonts w:cs="Arial"/>
          <w:iCs/>
          <w:szCs w:val="22"/>
        </w:rPr>
        <w:t xml:space="preserve">utilisation des ressources </w:t>
      </w:r>
      <w:proofErr w:type="spellStart"/>
      <w:r w:rsidRPr="00E8642C">
        <w:rPr>
          <w:rFonts w:cs="Arial"/>
          <w:iCs/>
          <w:szCs w:val="22"/>
        </w:rPr>
        <w:t>phytogénétiques</w:t>
      </w:r>
      <w:proofErr w:type="spellEnd"/>
      <w:r w:rsidRPr="00E8642C">
        <w:rPr>
          <w:rFonts w:cs="Arial"/>
          <w:iCs/>
          <w:szCs w:val="22"/>
        </w:rPr>
        <w:t xml:space="preserve"> pour l</w:t>
      </w:r>
      <w:r w:rsidR="00D91476">
        <w:rPr>
          <w:rFonts w:cs="Arial"/>
          <w:iCs/>
          <w:szCs w:val="22"/>
        </w:rPr>
        <w:t>’</w:t>
      </w:r>
      <w:r w:rsidRPr="00E8642C">
        <w:rPr>
          <w:rFonts w:cs="Arial"/>
          <w:iCs/>
          <w:szCs w:val="22"/>
        </w:rPr>
        <w:t>alimentation et l</w:t>
      </w:r>
      <w:r w:rsidR="00D91476">
        <w:rPr>
          <w:rFonts w:cs="Arial"/>
          <w:iCs/>
          <w:szCs w:val="22"/>
        </w:rPr>
        <w:t>’</w:t>
      </w:r>
      <w:r w:rsidRPr="00E8642C">
        <w:rPr>
          <w:rFonts w:cs="Arial"/>
          <w:iCs/>
          <w:szCs w:val="22"/>
        </w:rPr>
        <w:t>agriculture;  c) le droit de participer à la prise de décisions, au niveau national, sur les questions relatives à la conservation et à l</w:t>
      </w:r>
      <w:r w:rsidR="00D91476">
        <w:rPr>
          <w:rFonts w:cs="Arial"/>
          <w:iCs/>
          <w:szCs w:val="22"/>
        </w:rPr>
        <w:t>’</w:t>
      </w:r>
      <w:r w:rsidRPr="00E8642C">
        <w:rPr>
          <w:rFonts w:cs="Arial"/>
          <w:iCs/>
          <w:szCs w:val="22"/>
        </w:rPr>
        <w:t xml:space="preserve">utilisation durable des ressources </w:t>
      </w:r>
      <w:proofErr w:type="spellStart"/>
      <w:r w:rsidRPr="00E8642C">
        <w:rPr>
          <w:rFonts w:cs="Arial"/>
          <w:iCs/>
          <w:szCs w:val="22"/>
        </w:rPr>
        <w:t>phytogénétiques</w:t>
      </w:r>
      <w:proofErr w:type="spellEnd"/>
      <w:r w:rsidRPr="00E8642C">
        <w:rPr>
          <w:rFonts w:cs="Arial"/>
          <w:iCs/>
          <w:szCs w:val="22"/>
        </w:rPr>
        <w:t xml:space="preserve"> pour l</w:t>
      </w:r>
      <w:r w:rsidR="00D91476">
        <w:rPr>
          <w:rFonts w:cs="Arial"/>
          <w:iCs/>
          <w:szCs w:val="22"/>
        </w:rPr>
        <w:t>’</w:t>
      </w:r>
      <w:r w:rsidRPr="00E8642C">
        <w:rPr>
          <w:rFonts w:cs="Arial"/>
          <w:iCs/>
          <w:szCs w:val="22"/>
        </w:rPr>
        <w:t>alimentation et l</w:t>
      </w:r>
      <w:r w:rsidR="00D91476">
        <w:rPr>
          <w:rFonts w:cs="Arial"/>
          <w:iCs/>
          <w:szCs w:val="22"/>
        </w:rPr>
        <w:t>’</w:t>
      </w:r>
      <w:r w:rsidRPr="00E8642C">
        <w:rPr>
          <w:rFonts w:cs="Arial"/>
          <w:iCs/>
          <w:szCs w:val="22"/>
        </w:rPr>
        <w:t>agriculture</w:t>
      </w:r>
      <w:r w:rsidRPr="00E8642C">
        <w:rPr>
          <w:rFonts w:cs="Arial"/>
          <w:szCs w:val="22"/>
        </w:rPr>
        <w:t>”.  L</w:t>
      </w:r>
      <w:r w:rsidR="00D91476">
        <w:rPr>
          <w:rFonts w:cs="Arial"/>
          <w:szCs w:val="22"/>
        </w:rPr>
        <w:t>’</w:t>
      </w:r>
      <w:r w:rsidRPr="00E8642C">
        <w:rPr>
          <w:rFonts w:cs="Arial"/>
          <w:szCs w:val="22"/>
        </w:rPr>
        <w:t xml:space="preserve">article 2 du </w:t>
      </w:r>
      <w:r w:rsidRPr="00E8642C">
        <w:rPr>
          <w:rFonts w:cs="Arial"/>
          <w:i/>
          <w:szCs w:val="22"/>
        </w:rPr>
        <w:t xml:space="preserve">Code international de conduite pour la collecte et le transfert de matériel </w:t>
      </w:r>
      <w:proofErr w:type="spellStart"/>
      <w:r w:rsidRPr="00E8642C">
        <w:rPr>
          <w:rFonts w:cs="Arial"/>
          <w:i/>
          <w:szCs w:val="22"/>
        </w:rPr>
        <w:t>phytogénétique</w:t>
      </w:r>
      <w:proofErr w:type="spellEnd"/>
      <w:r w:rsidRPr="00E8642C">
        <w:rPr>
          <w:rFonts w:cs="Arial"/>
          <w:szCs w:val="22"/>
        </w:rPr>
        <w:t xml:space="preserve">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 (FAO) définit ce terme de la manière suivante</w:t>
      </w:r>
      <w:r w:rsidR="00D91476">
        <w:rPr>
          <w:rFonts w:cs="Arial"/>
          <w:szCs w:val="22"/>
        </w:rPr>
        <w:t> :</w:t>
      </w:r>
      <w:r w:rsidRPr="00E8642C">
        <w:rPr>
          <w:rFonts w:cs="Arial"/>
          <w:szCs w:val="22"/>
        </w:rPr>
        <w:t xml:space="preserve"> “</w:t>
      </w:r>
      <w:r w:rsidRPr="00E8642C">
        <w:rPr>
          <w:rFonts w:cs="Arial"/>
          <w:iCs/>
          <w:szCs w:val="22"/>
        </w:rPr>
        <w:t>droits que confèrent aux agriculteurs, et particulièrement à ceux des centres d</w:t>
      </w:r>
      <w:r w:rsidR="00D91476">
        <w:rPr>
          <w:rFonts w:cs="Arial"/>
          <w:iCs/>
          <w:szCs w:val="22"/>
        </w:rPr>
        <w:t>’</w:t>
      </w:r>
      <w:r w:rsidRPr="00E8642C">
        <w:rPr>
          <w:rFonts w:cs="Arial"/>
          <w:iCs/>
          <w:szCs w:val="22"/>
        </w:rPr>
        <w:t>origine et de diversité des ressources génétiques, leurs contributions passées, présentes et futures à la conservation, à l</w:t>
      </w:r>
      <w:r w:rsidR="00D91476">
        <w:rPr>
          <w:rFonts w:cs="Arial"/>
          <w:iCs/>
          <w:szCs w:val="22"/>
        </w:rPr>
        <w:t>’</w:t>
      </w:r>
      <w:r w:rsidRPr="00E8642C">
        <w:rPr>
          <w:rFonts w:cs="Arial"/>
          <w:iCs/>
          <w:szCs w:val="22"/>
        </w:rPr>
        <w:t>amélioration et à la disponibilité de ces ressourc</w:t>
      </w:r>
      <w:r w:rsidR="001F3AEE" w:rsidRPr="00E8642C">
        <w:rPr>
          <w:rFonts w:cs="Arial"/>
          <w:iCs/>
          <w:szCs w:val="22"/>
        </w:rPr>
        <w:t>es</w:t>
      </w:r>
      <w:r w:rsidR="001F3AEE">
        <w:rPr>
          <w:rFonts w:cs="Arial"/>
          <w:iCs/>
          <w:szCs w:val="22"/>
        </w:rPr>
        <w:t xml:space="preserve">.  </w:t>
      </w:r>
      <w:r w:rsidR="001F3AEE" w:rsidRPr="00E8642C">
        <w:rPr>
          <w:rFonts w:cs="Arial"/>
          <w:iCs/>
          <w:szCs w:val="22"/>
        </w:rPr>
        <w:t>Ce</w:t>
      </w:r>
      <w:r w:rsidRPr="00E8642C">
        <w:rPr>
          <w:rFonts w:cs="Arial"/>
          <w:iCs/>
          <w:szCs w:val="22"/>
        </w:rPr>
        <w:t>s droits sont dévolus à la communauté internationale qui, en tant que dépositaire pour les générations présentes et futures d</w:t>
      </w:r>
      <w:r w:rsidR="00D91476">
        <w:rPr>
          <w:rFonts w:cs="Arial"/>
          <w:iCs/>
          <w:szCs w:val="22"/>
        </w:rPr>
        <w:t>’</w:t>
      </w:r>
      <w:r w:rsidRPr="00E8642C">
        <w:rPr>
          <w:rFonts w:cs="Arial"/>
          <w:iCs/>
          <w:szCs w:val="22"/>
        </w:rPr>
        <w:t>agriculteurs, doit assurer à ces derniers tous les bénéfices qui leur reviennent, les aider à poursuivre leur action et appuyer la réalisation des objectifs globaux de l</w:t>
      </w:r>
      <w:r w:rsidR="00D91476">
        <w:rPr>
          <w:rFonts w:cs="Arial"/>
          <w:iCs/>
          <w:szCs w:val="22"/>
        </w:rPr>
        <w:t>’</w:t>
      </w:r>
      <w:r w:rsidRPr="00E8642C">
        <w:rPr>
          <w:rFonts w:cs="Arial"/>
          <w:iCs/>
          <w:szCs w:val="22"/>
        </w:rPr>
        <w:t>Engagement international</w:t>
      </w:r>
      <w:r w:rsidRPr="00E8642C">
        <w:rPr>
          <w:rFonts w:cs="Arial"/>
          <w:szCs w:val="22"/>
        </w:rPr>
        <w:t>”.</w:t>
      </w:r>
    </w:p>
    <w:p w:rsidR="00D23D81" w:rsidRDefault="00DD607D" w:rsidP="00D23D81">
      <w:pPr>
        <w:pStyle w:val="Heading2"/>
        <w:spacing w:after="220" w:line="240" w:lineRule="auto"/>
      </w:pPr>
      <w:bookmarkStart w:id="57" w:name="_Toc7772533"/>
      <w:r w:rsidRPr="00E8642C">
        <w:t>État de la technique</w:t>
      </w:r>
      <w:bookmarkEnd w:id="57"/>
    </w:p>
    <w:p w:rsidR="00D23D81"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état de la technique désigne, en général, toutes les connaissances qui existaient avant la date de dépôt ou de priorité pertinente d</w:t>
      </w:r>
      <w:r w:rsidR="00D91476">
        <w:rPr>
          <w:rFonts w:cs="Arial"/>
          <w:szCs w:val="22"/>
        </w:rPr>
        <w:t>’</w:t>
      </w:r>
      <w:r w:rsidRPr="00E8642C">
        <w:rPr>
          <w:rFonts w:cs="Arial"/>
          <w:szCs w:val="22"/>
        </w:rPr>
        <w:t>une demande de brevet, qu</w:t>
      </w:r>
      <w:r w:rsidR="00D91476">
        <w:rPr>
          <w:rFonts w:cs="Arial"/>
          <w:szCs w:val="22"/>
        </w:rPr>
        <w:t>’</w:t>
      </w:r>
      <w:r w:rsidRPr="00E8642C">
        <w:rPr>
          <w:rFonts w:cs="Arial"/>
          <w:szCs w:val="22"/>
        </w:rPr>
        <w:t>elles aient fait l</w:t>
      </w:r>
      <w:r w:rsidR="00D91476">
        <w:rPr>
          <w:rFonts w:cs="Arial"/>
          <w:szCs w:val="22"/>
        </w:rPr>
        <w:t>’</w:t>
      </w:r>
      <w:r w:rsidRPr="00E8642C">
        <w:rPr>
          <w:rFonts w:cs="Arial"/>
          <w:szCs w:val="22"/>
        </w:rPr>
        <w:t>objet d</w:t>
      </w:r>
      <w:r w:rsidR="00D91476">
        <w:rPr>
          <w:rFonts w:cs="Arial"/>
          <w:szCs w:val="22"/>
        </w:rPr>
        <w:t>’</w:t>
      </w:r>
      <w:r w:rsidRPr="00E8642C">
        <w:rPr>
          <w:rFonts w:cs="Arial"/>
          <w:szCs w:val="22"/>
        </w:rPr>
        <w:t>une divulgation écrite ou ora</w:t>
      </w:r>
      <w:r w:rsidR="001F3AEE" w:rsidRPr="00E8642C">
        <w:rPr>
          <w:rFonts w:cs="Arial"/>
          <w:szCs w:val="22"/>
        </w:rPr>
        <w:t>le</w:t>
      </w:r>
      <w:r w:rsidR="001F3AEE">
        <w:rPr>
          <w:rFonts w:cs="Arial"/>
          <w:szCs w:val="22"/>
        </w:rPr>
        <w:t xml:space="preserve">.  </w:t>
      </w:r>
      <w:r w:rsidR="001F3AEE" w:rsidRPr="00E8642C">
        <w:rPr>
          <w:rFonts w:cs="Arial"/>
          <w:szCs w:val="22"/>
        </w:rPr>
        <w:t>Ce</w:t>
      </w:r>
      <w:r w:rsidRPr="00E8642C">
        <w:rPr>
          <w:rFonts w:cs="Arial"/>
          <w:szCs w:val="22"/>
        </w:rPr>
        <w:t>rtains instruments juridiques établissent une distinction entre publications imprimées, divulgations orales et utilisation antérieure et en fonction de l</w:t>
      </w:r>
      <w:r w:rsidR="00D91476">
        <w:rPr>
          <w:rFonts w:cs="Arial"/>
          <w:szCs w:val="22"/>
        </w:rPr>
        <w:t>’</w:t>
      </w:r>
      <w:r w:rsidRPr="00E8642C">
        <w:rPr>
          <w:rFonts w:cs="Arial"/>
          <w:szCs w:val="22"/>
        </w:rPr>
        <w:t>endroit où ces publications ou divulgations ont eu lieu</w:t>
      </w:r>
      <w:r w:rsidRPr="00E8642C">
        <w:rPr>
          <w:rStyle w:val="FootnoteReference"/>
          <w:rFonts w:cs="Arial"/>
          <w:szCs w:val="22"/>
        </w:rPr>
        <w:footnoteReference w:id="64"/>
      </w:r>
      <w:r w:rsidRPr="00E8642C">
        <w:rPr>
          <w:rFonts w:cs="Arial"/>
          <w:szCs w:val="22"/>
        </w:rPr>
        <w:t>.</w:t>
      </w:r>
    </w:p>
    <w:p w:rsidR="00D23D81" w:rsidRDefault="00DD607D" w:rsidP="00D23D81">
      <w:pPr>
        <w:spacing w:after="220"/>
        <w:rPr>
          <w:rFonts w:cs="Arial"/>
          <w:szCs w:val="22"/>
        </w:rPr>
      </w:pPr>
      <w:r w:rsidRPr="00E8642C">
        <w:rPr>
          <w:rFonts w:cs="Arial"/>
          <w:szCs w:val="22"/>
        </w:rPr>
        <w:t>Aux fins du PCT, la règle 33.1 du règlement d</w:t>
      </w:r>
      <w:r w:rsidR="00D91476">
        <w:rPr>
          <w:rFonts w:cs="Arial"/>
          <w:szCs w:val="22"/>
        </w:rPr>
        <w:t>’</w:t>
      </w:r>
      <w:r w:rsidRPr="00E8642C">
        <w:rPr>
          <w:rFonts w:cs="Arial"/>
          <w:szCs w:val="22"/>
        </w:rPr>
        <w:t>exécution du PCT définit l</w:t>
      </w:r>
      <w:r w:rsidR="00D91476">
        <w:rPr>
          <w:rFonts w:cs="Arial"/>
          <w:szCs w:val="22"/>
        </w:rPr>
        <w:t>’</w:t>
      </w:r>
      <w:r w:rsidRPr="00E8642C">
        <w:rPr>
          <w:rFonts w:cs="Arial"/>
          <w:szCs w:val="22"/>
        </w:rPr>
        <w:t>état de la technique comme “</w:t>
      </w:r>
      <w:r w:rsidRPr="00E8642C">
        <w:rPr>
          <w:rFonts w:cs="Arial"/>
          <w:iCs/>
          <w:szCs w:val="22"/>
        </w:rPr>
        <w:t>tout ce qui a été rendu accessible au public en tous lieux du monde par une divulgation écrite (</w:t>
      </w:r>
      <w:r w:rsidR="00D91476">
        <w:rPr>
          <w:rFonts w:cs="Arial"/>
          <w:iCs/>
          <w:szCs w:val="22"/>
        </w:rPr>
        <w:t>y compris</w:t>
      </w:r>
      <w:r w:rsidRPr="00E8642C">
        <w:rPr>
          <w:rFonts w:cs="Arial"/>
          <w:iCs/>
          <w:szCs w:val="22"/>
        </w:rPr>
        <w:t xml:space="preserve"> des dessins et autres illustrations) et qui est susceptible d</w:t>
      </w:r>
      <w:r w:rsidR="00D91476">
        <w:rPr>
          <w:rFonts w:cs="Arial"/>
          <w:iCs/>
          <w:szCs w:val="22"/>
        </w:rPr>
        <w:t>’</w:t>
      </w:r>
      <w:r w:rsidRPr="00E8642C">
        <w:rPr>
          <w:rFonts w:cs="Arial"/>
          <w:iCs/>
          <w:szCs w:val="22"/>
        </w:rPr>
        <w:t>aider à déterminer si l</w:t>
      </w:r>
      <w:r w:rsidR="00D91476">
        <w:rPr>
          <w:rFonts w:cs="Arial"/>
          <w:iCs/>
          <w:szCs w:val="22"/>
        </w:rPr>
        <w:t>’</w:t>
      </w:r>
      <w:r w:rsidRPr="00E8642C">
        <w:rPr>
          <w:rFonts w:cs="Arial"/>
          <w:iCs/>
          <w:szCs w:val="22"/>
        </w:rPr>
        <w:t>invention dont la protection est demandée est nouvelle ou non et si elle implique ou non une activité inventive (c</w:t>
      </w:r>
      <w:r w:rsidR="00D91476">
        <w:rPr>
          <w:rFonts w:cs="Arial"/>
          <w:iCs/>
          <w:szCs w:val="22"/>
        </w:rPr>
        <w:t>’</w:t>
      </w:r>
      <w:r w:rsidRPr="00E8642C">
        <w:rPr>
          <w:rFonts w:cs="Arial"/>
          <w:iCs/>
          <w:szCs w:val="22"/>
        </w:rPr>
        <w:t>est</w:t>
      </w:r>
      <w:r w:rsidR="00400337">
        <w:rPr>
          <w:rFonts w:cs="Arial"/>
          <w:iCs/>
          <w:szCs w:val="22"/>
        </w:rPr>
        <w:noBreakHyphen/>
      </w:r>
      <w:r w:rsidRPr="00E8642C">
        <w:rPr>
          <w:rFonts w:cs="Arial"/>
          <w:iCs/>
          <w:szCs w:val="22"/>
        </w:rPr>
        <w:t>à</w:t>
      </w:r>
      <w:r w:rsidR="00400337">
        <w:rPr>
          <w:rFonts w:cs="Arial"/>
          <w:iCs/>
          <w:szCs w:val="22"/>
        </w:rPr>
        <w:noBreakHyphen/>
      </w:r>
      <w:r w:rsidRPr="00E8642C">
        <w:rPr>
          <w:rFonts w:cs="Arial"/>
          <w:iCs/>
          <w:szCs w:val="22"/>
        </w:rPr>
        <w:t>dire si elle est évidente ou non), à condition que la mise à la disposition du public ait eu lieu avant la date du dépôt international</w:t>
      </w:r>
      <w:r w:rsidRPr="00E8642C">
        <w:rPr>
          <w:rFonts w:cs="Arial"/>
          <w:szCs w:val="22"/>
        </w:rPr>
        <w:t>”.</w:t>
      </w:r>
    </w:p>
    <w:p w:rsidR="00D23D81" w:rsidRDefault="00DD607D" w:rsidP="00D23D81">
      <w:pPr>
        <w:autoSpaceDE w:val="0"/>
        <w:autoSpaceDN w:val="0"/>
        <w:adjustRightInd w:val="0"/>
        <w:spacing w:after="220"/>
        <w:rPr>
          <w:rFonts w:cs="Arial"/>
          <w:szCs w:val="22"/>
        </w:rPr>
      </w:pPr>
      <w:r w:rsidRPr="00E8642C">
        <w:rPr>
          <w:rFonts w:cs="Arial"/>
          <w:szCs w:val="22"/>
          <w:lang w:eastAsia="en-US" w:bidi="th-TH"/>
        </w:rPr>
        <w:t>En Europe, l</w:t>
      </w:r>
      <w:r w:rsidR="00D91476">
        <w:rPr>
          <w:rFonts w:cs="Arial"/>
          <w:szCs w:val="22"/>
          <w:lang w:eastAsia="en-US" w:bidi="th-TH"/>
        </w:rPr>
        <w:t>’</w:t>
      </w:r>
      <w:r w:rsidRPr="00E8642C">
        <w:rPr>
          <w:rFonts w:cs="Arial"/>
          <w:szCs w:val="22"/>
          <w:lang w:eastAsia="en-US" w:bidi="th-TH"/>
        </w:rPr>
        <w:t xml:space="preserve">article 54.2) de la </w:t>
      </w:r>
      <w:r w:rsidRPr="00E8642C">
        <w:rPr>
          <w:rFonts w:cs="Arial"/>
          <w:i/>
          <w:szCs w:val="22"/>
          <w:lang w:eastAsia="en-US" w:bidi="th-TH"/>
        </w:rPr>
        <w:t>Convention sur le brevet européen</w:t>
      </w:r>
      <w:r w:rsidRPr="00E8642C">
        <w:rPr>
          <w:rFonts w:cs="Arial"/>
          <w:szCs w:val="22"/>
          <w:lang w:eastAsia="en-US" w:bidi="th-TH"/>
        </w:rPr>
        <w:t xml:space="preserve"> (CBE) définit l</w:t>
      </w:r>
      <w:r w:rsidR="00D91476">
        <w:rPr>
          <w:rFonts w:cs="Arial"/>
          <w:szCs w:val="22"/>
          <w:lang w:eastAsia="en-US" w:bidi="th-TH"/>
        </w:rPr>
        <w:t>’</w:t>
      </w:r>
      <w:r w:rsidRPr="00E8642C">
        <w:rPr>
          <w:rFonts w:cs="Arial"/>
          <w:szCs w:val="22"/>
          <w:lang w:eastAsia="en-US" w:bidi="th-TH"/>
        </w:rPr>
        <w:t>état de la technique comme comprenant “</w:t>
      </w:r>
      <w:r w:rsidRPr="00E8642C">
        <w:rPr>
          <w:rFonts w:cs="Arial"/>
          <w:iCs/>
          <w:szCs w:val="22"/>
          <w:lang w:eastAsia="en-US" w:bidi="th-TH"/>
        </w:rPr>
        <w:t>tout ce qui a été rendu accessible au public avant la date de dépôt de la demande de brevet européen par une description écrite ou orale, un usage ou tout autre moyen</w:t>
      </w:r>
      <w:r w:rsidRPr="00E8642C">
        <w:rPr>
          <w:rFonts w:cs="Arial"/>
          <w:szCs w:val="22"/>
          <w:lang w:eastAsia="en-US" w:bidi="th-TH"/>
        </w:rPr>
        <w:t xml:space="preserve">”.  En ce qui concerne cette disposition de la CBE, les </w:t>
      </w:r>
      <w:r w:rsidRPr="00E8642C">
        <w:rPr>
          <w:rFonts w:cs="Arial"/>
          <w:i/>
          <w:szCs w:val="22"/>
          <w:lang w:eastAsia="en-US" w:bidi="th-TH"/>
        </w:rPr>
        <w:t>Directives concernant l</w:t>
      </w:r>
      <w:r w:rsidR="00D91476">
        <w:rPr>
          <w:rFonts w:cs="Arial"/>
          <w:i/>
          <w:szCs w:val="22"/>
          <w:lang w:eastAsia="en-US" w:bidi="th-TH"/>
        </w:rPr>
        <w:t>’</w:t>
      </w:r>
      <w:r w:rsidRPr="00E8642C">
        <w:rPr>
          <w:rFonts w:cs="Arial"/>
          <w:i/>
          <w:szCs w:val="22"/>
          <w:lang w:eastAsia="en-US" w:bidi="th-TH"/>
        </w:rPr>
        <w:t>examen à l</w:t>
      </w:r>
      <w:r w:rsidR="00D91476">
        <w:rPr>
          <w:rFonts w:cs="Arial"/>
          <w:i/>
          <w:szCs w:val="22"/>
          <w:lang w:eastAsia="en-US" w:bidi="th-TH"/>
        </w:rPr>
        <w:t>’</w:t>
      </w:r>
      <w:r w:rsidRPr="00E8642C">
        <w:rPr>
          <w:rFonts w:cs="Arial"/>
          <w:i/>
          <w:szCs w:val="22"/>
          <w:lang w:eastAsia="en-US" w:bidi="th-TH"/>
        </w:rPr>
        <w:t>Office européen des brevets</w:t>
      </w:r>
      <w:r w:rsidRPr="00E8642C">
        <w:rPr>
          <w:rFonts w:cs="Arial"/>
          <w:szCs w:val="22"/>
          <w:lang w:eastAsia="en-US" w:bidi="th-TH"/>
        </w:rPr>
        <w:t xml:space="preserve"> (OEB) soulignent qu</w:t>
      </w:r>
      <w:r w:rsidR="00D91476">
        <w:rPr>
          <w:rFonts w:cs="Arial"/>
          <w:szCs w:val="22"/>
          <w:lang w:eastAsia="en-US" w:bidi="th-TH"/>
        </w:rPr>
        <w:t>’</w:t>
      </w:r>
      <w:r w:rsidRPr="00E8642C">
        <w:rPr>
          <w:rFonts w:cs="Arial"/>
          <w:szCs w:val="22"/>
          <w:lang w:eastAsia="en-US" w:bidi="th-TH"/>
        </w:rPr>
        <w:t>“</w:t>
      </w:r>
      <w:r w:rsidRPr="00E8642C">
        <w:rPr>
          <w:rFonts w:cs="Arial"/>
          <w:iCs/>
          <w:szCs w:val="22"/>
          <w:lang w:eastAsia="en-US" w:bidi="th-TH"/>
        </w:rPr>
        <w:t>il convient de noter combien cette définition est large”.  On notera qu</w:t>
      </w:r>
      <w:r w:rsidR="00D91476">
        <w:rPr>
          <w:rFonts w:cs="Arial"/>
          <w:iCs/>
          <w:szCs w:val="22"/>
          <w:lang w:eastAsia="en-US" w:bidi="th-TH"/>
        </w:rPr>
        <w:t>’</w:t>
      </w:r>
      <w:r w:rsidRPr="00E8642C">
        <w:rPr>
          <w:rFonts w:cs="Arial"/>
          <w:iCs/>
          <w:szCs w:val="22"/>
          <w:lang w:eastAsia="en-US" w:bidi="th-TH"/>
        </w:rPr>
        <w:t>aucune restriction n</w:t>
      </w:r>
      <w:r w:rsidR="00D91476">
        <w:rPr>
          <w:rFonts w:cs="Arial"/>
          <w:iCs/>
          <w:szCs w:val="22"/>
          <w:lang w:eastAsia="en-US" w:bidi="th-TH"/>
        </w:rPr>
        <w:t>’</w:t>
      </w:r>
      <w:r w:rsidRPr="00E8642C">
        <w:rPr>
          <w:rFonts w:cs="Arial"/>
          <w:iCs/>
          <w:szCs w:val="22"/>
          <w:lang w:eastAsia="en-US" w:bidi="th-TH"/>
        </w:rPr>
        <w:t>a été prévue en ce qui concerne le lieu géographique où l</w:t>
      </w:r>
      <w:r w:rsidR="00D91476">
        <w:rPr>
          <w:rFonts w:cs="Arial"/>
          <w:iCs/>
          <w:szCs w:val="22"/>
          <w:lang w:eastAsia="en-US" w:bidi="th-TH"/>
        </w:rPr>
        <w:t>’</w:t>
      </w:r>
      <w:r w:rsidRPr="00E8642C">
        <w:rPr>
          <w:rFonts w:cs="Arial"/>
          <w:iCs/>
          <w:szCs w:val="22"/>
          <w:lang w:eastAsia="en-US" w:bidi="th-TH"/>
        </w:rPr>
        <w:t>état de la technique a été rendu accessible au public, la façon dont il l</w:t>
      </w:r>
      <w:r w:rsidR="00D91476">
        <w:rPr>
          <w:rFonts w:cs="Arial"/>
          <w:iCs/>
          <w:szCs w:val="22"/>
          <w:lang w:eastAsia="en-US" w:bidi="th-TH"/>
        </w:rPr>
        <w:t>’</w:t>
      </w:r>
      <w:r w:rsidRPr="00E8642C">
        <w:rPr>
          <w:rFonts w:cs="Arial"/>
          <w:iCs/>
          <w:szCs w:val="22"/>
          <w:lang w:eastAsia="en-US" w:bidi="th-TH"/>
        </w:rPr>
        <w:t>a été et la langue dans laquelle il l</w:t>
      </w:r>
      <w:r w:rsidR="00D91476">
        <w:rPr>
          <w:rFonts w:cs="Arial"/>
          <w:iCs/>
          <w:szCs w:val="22"/>
          <w:lang w:eastAsia="en-US" w:bidi="th-TH"/>
        </w:rPr>
        <w:t>’</w:t>
      </w:r>
      <w:r w:rsidRPr="00E8642C">
        <w:rPr>
          <w:rFonts w:cs="Arial"/>
          <w:iCs/>
          <w:szCs w:val="22"/>
          <w:lang w:eastAsia="en-US" w:bidi="th-TH"/>
        </w:rPr>
        <w:t xml:space="preserve">a </w:t>
      </w:r>
      <w:proofErr w:type="gramStart"/>
      <w:r w:rsidRPr="00E8642C">
        <w:rPr>
          <w:rFonts w:cs="Arial"/>
          <w:iCs/>
          <w:szCs w:val="22"/>
          <w:lang w:eastAsia="en-US" w:bidi="th-TH"/>
        </w:rPr>
        <w:t>été;  par</w:t>
      </w:r>
      <w:proofErr w:type="gramEnd"/>
      <w:r w:rsidRPr="00E8642C">
        <w:rPr>
          <w:rFonts w:cs="Arial"/>
          <w:iCs/>
          <w:szCs w:val="22"/>
          <w:lang w:eastAsia="en-US" w:bidi="th-TH"/>
        </w:rPr>
        <w:t xml:space="preserve"> ailleurs, aucune limite d</w:t>
      </w:r>
      <w:r w:rsidR="00D91476">
        <w:rPr>
          <w:rFonts w:cs="Arial"/>
          <w:iCs/>
          <w:szCs w:val="22"/>
          <w:lang w:eastAsia="en-US" w:bidi="th-TH"/>
        </w:rPr>
        <w:t>’</w:t>
      </w:r>
      <w:r w:rsidRPr="00E8642C">
        <w:rPr>
          <w:rFonts w:cs="Arial"/>
          <w:iCs/>
          <w:szCs w:val="22"/>
          <w:lang w:eastAsia="en-US" w:bidi="th-TH"/>
        </w:rPr>
        <w:t>ancienneté n</w:t>
      </w:r>
      <w:r w:rsidR="00D91476">
        <w:rPr>
          <w:rFonts w:cs="Arial"/>
          <w:iCs/>
          <w:szCs w:val="22"/>
          <w:lang w:eastAsia="en-US" w:bidi="th-TH"/>
        </w:rPr>
        <w:t>’</w:t>
      </w:r>
      <w:r w:rsidRPr="00E8642C">
        <w:rPr>
          <w:rFonts w:cs="Arial"/>
          <w:iCs/>
          <w:szCs w:val="22"/>
          <w:lang w:eastAsia="en-US" w:bidi="th-TH"/>
        </w:rPr>
        <w:t>a été fixée en ce qui concerne les documents constituant l</w:t>
      </w:r>
      <w:r w:rsidR="00D91476">
        <w:rPr>
          <w:rFonts w:cs="Arial"/>
          <w:iCs/>
          <w:szCs w:val="22"/>
          <w:lang w:eastAsia="en-US" w:bidi="th-TH"/>
        </w:rPr>
        <w:t>’</w:t>
      </w:r>
      <w:r w:rsidRPr="00E8642C">
        <w:rPr>
          <w:rFonts w:cs="Arial"/>
          <w:iCs/>
          <w:szCs w:val="22"/>
          <w:lang w:eastAsia="en-US" w:bidi="th-TH"/>
        </w:rPr>
        <w:t>état de la techniq</w:t>
      </w:r>
      <w:r w:rsidR="001F3AEE" w:rsidRPr="00E8642C">
        <w:rPr>
          <w:rFonts w:cs="Arial"/>
          <w:iCs/>
          <w:szCs w:val="22"/>
          <w:lang w:eastAsia="en-US" w:bidi="th-TH"/>
        </w:rPr>
        <w:t>ue</w:t>
      </w:r>
      <w:r w:rsidR="001F3AEE">
        <w:rPr>
          <w:rFonts w:cs="Arial"/>
          <w:iCs/>
          <w:szCs w:val="22"/>
          <w:lang w:eastAsia="en-US" w:bidi="th-TH"/>
        </w:rPr>
        <w:t xml:space="preserve">.  </w:t>
      </w:r>
      <w:r w:rsidR="001F3AEE" w:rsidRPr="00E8642C">
        <w:rPr>
          <w:rFonts w:cs="Arial"/>
          <w:iCs/>
          <w:szCs w:val="22"/>
          <w:lang w:eastAsia="en-US" w:bidi="th-TH"/>
        </w:rPr>
        <w:t>Il</w:t>
      </w:r>
      <w:r w:rsidRPr="00E8642C">
        <w:rPr>
          <w:rFonts w:cs="Arial"/>
          <w:iCs/>
          <w:szCs w:val="22"/>
          <w:lang w:eastAsia="en-US" w:bidi="th-TH"/>
        </w:rPr>
        <w:t xml:space="preserve"> existe toutefois certaines restrictions particulières (cf. </w:t>
      </w:r>
      <w:r w:rsidR="003F6300">
        <w:rPr>
          <w:rFonts w:cs="Arial"/>
          <w:iCs/>
          <w:szCs w:val="22"/>
          <w:lang w:eastAsia="en-US" w:bidi="th-TH"/>
        </w:rPr>
        <w:t xml:space="preserve"> </w:t>
      </w:r>
      <w:r w:rsidRPr="00E8642C">
        <w:rPr>
          <w:rFonts w:cs="Arial"/>
          <w:iCs/>
          <w:szCs w:val="22"/>
          <w:lang w:eastAsia="en-US" w:bidi="th-TH"/>
        </w:rPr>
        <w:t>G – V)</w:t>
      </w:r>
      <w:r w:rsidRPr="00E8642C">
        <w:rPr>
          <w:rFonts w:cs="Arial"/>
          <w:szCs w:val="22"/>
        </w:rPr>
        <w:t>.</w:t>
      </w:r>
    </w:p>
    <w:p w:rsidR="00D23D81" w:rsidRDefault="00DD607D" w:rsidP="00D23D81">
      <w:pPr>
        <w:autoSpaceDE w:val="0"/>
        <w:autoSpaceDN w:val="0"/>
        <w:adjustRightInd w:val="0"/>
        <w:spacing w:after="220"/>
        <w:rPr>
          <w:rFonts w:cs="Arial"/>
          <w:szCs w:val="22"/>
          <w:lang w:eastAsia="en-US" w:bidi="th-TH"/>
        </w:rPr>
      </w:pPr>
      <w:r w:rsidRPr="00E8642C">
        <w:rPr>
          <w:rFonts w:cs="Arial"/>
          <w:szCs w:val="22"/>
          <w:lang w:eastAsia="en-US" w:bidi="th-TH"/>
        </w:rPr>
        <w:t>L</w:t>
      </w:r>
      <w:r w:rsidR="00D91476">
        <w:rPr>
          <w:rFonts w:cs="Arial"/>
          <w:szCs w:val="22"/>
          <w:lang w:eastAsia="en-US" w:bidi="th-TH"/>
        </w:rPr>
        <w:t>’</w:t>
      </w:r>
      <w:r w:rsidRPr="00E8642C">
        <w:rPr>
          <w:rFonts w:cs="Arial"/>
          <w:szCs w:val="22"/>
          <w:lang w:eastAsia="en-US" w:bidi="th-TH"/>
        </w:rPr>
        <w:t>article 102 du titre 35 du Code des États</w:t>
      </w:r>
      <w:r w:rsidR="00400337">
        <w:rPr>
          <w:rFonts w:cs="Arial"/>
          <w:szCs w:val="22"/>
          <w:lang w:eastAsia="en-US" w:bidi="th-TH"/>
        </w:rPr>
        <w:noBreakHyphen/>
      </w:r>
      <w:r w:rsidRPr="00E8642C">
        <w:rPr>
          <w:rFonts w:cs="Arial"/>
          <w:szCs w:val="22"/>
          <w:lang w:eastAsia="en-US" w:bidi="th-TH"/>
        </w:rPr>
        <w:t>Unis d</w:t>
      </w:r>
      <w:r w:rsidR="00D91476">
        <w:rPr>
          <w:rFonts w:cs="Arial"/>
          <w:szCs w:val="22"/>
          <w:lang w:eastAsia="en-US" w:bidi="th-TH"/>
        </w:rPr>
        <w:t>’</w:t>
      </w:r>
      <w:r w:rsidRPr="00E8642C">
        <w:rPr>
          <w:rFonts w:cs="Arial"/>
          <w:szCs w:val="22"/>
          <w:lang w:eastAsia="en-US" w:bidi="th-TH"/>
        </w:rPr>
        <w:t>Amérique définit l</w:t>
      </w:r>
      <w:r w:rsidR="00D91476">
        <w:rPr>
          <w:rFonts w:cs="Arial"/>
          <w:szCs w:val="22"/>
          <w:lang w:eastAsia="en-US" w:bidi="th-TH"/>
        </w:rPr>
        <w:t>’</w:t>
      </w:r>
      <w:r w:rsidRPr="00E8642C">
        <w:rPr>
          <w:rFonts w:cs="Arial"/>
          <w:szCs w:val="22"/>
          <w:lang w:eastAsia="en-US" w:bidi="th-TH"/>
        </w:rPr>
        <w:t>état de la technique indirectement par l</w:t>
      </w:r>
      <w:r w:rsidR="00D91476">
        <w:rPr>
          <w:rFonts w:cs="Arial"/>
          <w:szCs w:val="22"/>
          <w:lang w:eastAsia="en-US" w:bidi="th-TH"/>
        </w:rPr>
        <w:t>’</w:t>
      </w:r>
      <w:r w:rsidRPr="00E8642C">
        <w:rPr>
          <w:rFonts w:cs="Arial"/>
          <w:szCs w:val="22"/>
          <w:lang w:eastAsia="en-US" w:bidi="th-TH"/>
        </w:rPr>
        <w:t>intermédiaire de la notion de nouveauté comme désignant toute chose “</w:t>
      </w:r>
      <w:r w:rsidRPr="00E8642C">
        <w:rPr>
          <w:rFonts w:cs="Arial"/>
          <w:iCs/>
          <w:szCs w:val="22"/>
          <w:lang w:eastAsia="en-US" w:bidi="th-TH"/>
        </w:rPr>
        <w:t>brevetée ou décrite dans une publication imprimée</w:t>
      </w:r>
      <w:r w:rsidRPr="00E8642C">
        <w:t xml:space="preserve"> ou faisant l</w:t>
      </w:r>
      <w:r w:rsidR="00D91476">
        <w:t>’</w:t>
      </w:r>
      <w:r w:rsidRPr="00E8642C">
        <w:t>objet d</w:t>
      </w:r>
      <w:r w:rsidR="00D91476">
        <w:t>’</w:t>
      </w:r>
      <w:r w:rsidRPr="00E8642C">
        <w:t xml:space="preserve">un usage </w:t>
      </w:r>
      <w:r w:rsidRPr="00E8642C">
        <w:rPr>
          <w:rFonts w:cs="Arial"/>
          <w:iCs/>
          <w:szCs w:val="22"/>
          <w:lang w:eastAsia="en-US" w:bidi="th-TH"/>
        </w:rPr>
        <w:t>public, en vente ou mise à la disposition du public d</w:t>
      </w:r>
      <w:r w:rsidR="00D91476">
        <w:rPr>
          <w:rFonts w:cs="Arial"/>
          <w:iCs/>
          <w:szCs w:val="22"/>
          <w:lang w:eastAsia="en-US" w:bidi="th-TH"/>
        </w:rPr>
        <w:t>’</w:t>
      </w:r>
      <w:r w:rsidRPr="00E8642C">
        <w:rPr>
          <w:rFonts w:cs="Arial"/>
          <w:iCs/>
          <w:szCs w:val="22"/>
          <w:lang w:eastAsia="en-US" w:bidi="th-TH"/>
        </w:rPr>
        <w:t>une autre manière avant la date de dépôt effective de l</w:t>
      </w:r>
      <w:r w:rsidR="00D91476">
        <w:rPr>
          <w:rFonts w:cs="Arial"/>
          <w:iCs/>
          <w:szCs w:val="22"/>
          <w:lang w:eastAsia="en-US" w:bidi="th-TH"/>
        </w:rPr>
        <w:t>’</w:t>
      </w:r>
      <w:r w:rsidRPr="00E8642C">
        <w:rPr>
          <w:rFonts w:cs="Arial"/>
          <w:iCs/>
          <w:szCs w:val="22"/>
          <w:lang w:eastAsia="en-US" w:bidi="th-TH"/>
        </w:rPr>
        <w:t>invention revendiquée;  ou comme 2) l</w:t>
      </w:r>
      <w:r w:rsidR="00D91476">
        <w:rPr>
          <w:rFonts w:cs="Arial"/>
          <w:iCs/>
          <w:szCs w:val="22"/>
          <w:lang w:eastAsia="en-US" w:bidi="th-TH"/>
        </w:rPr>
        <w:t>’</w:t>
      </w:r>
      <w:r w:rsidRPr="00E8642C">
        <w:rPr>
          <w:rFonts w:cs="Arial"/>
          <w:iCs/>
          <w:szCs w:val="22"/>
          <w:lang w:eastAsia="en-US" w:bidi="th-TH"/>
        </w:rPr>
        <w:t>invention revendiquée décrite dans un brevet délivré en vertu de l</w:t>
      </w:r>
      <w:r w:rsidR="00D91476">
        <w:rPr>
          <w:rFonts w:cs="Arial"/>
          <w:iCs/>
          <w:szCs w:val="22"/>
          <w:lang w:eastAsia="en-US" w:bidi="th-TH"/>
        </w:rPr>
        <w:t>’</w:t>
      </w:r>
      <w:r w:rsidRPr="00E8642C">
        <w:rPr>
          <w:rFonts w:cs="Arial"/>
          <w:iCs/>
          <w:szCs w:val="22"/>
          <w:lang w:eastAsia="en-US" w:bidi="th-TH"/>
        </w:rPr>
        <w:t>article 151 ou dans une demande de brevet publiée ou réputée publiée en vertu de l</w:t>
      </w:r>
      <w:r w:rsidR="00D91476">
        <w:rPr>
          <w:rFonts w:cs="Arial"/>
          <w:iCs/>
          <w:szCs w:val="22"/>
          <w:lang w:eastAsia="en-US" w:bidi="th-TH"/>
        </w:rPr>
        <w:t>’</w:t>
      </w:r>
      <w:r w:rsidRPr="00E8642C">
        <w:rPr>
          <w:rFonts w:cs="Arial"/>
          <w:iCs/>
          <w:szCs w:val="22"/>
          <w:lang w:eastAsia="en-US" w:bidi="th-TH"/>
        </w:rPr>
        <w:t>article122.b), lorsque le brevet ou la demande, selon le cas, désigne un autre inventeur et a effectivement été déposé avant la date de dépôt effective de l</w:t>
      </w:r>
      <w:r w:rsidR="00D91476">
        <w:rPr>
          <w:rFonts w:cs="Arial"/>
          <w:iCs/>
          <w:szCs w:val="22"/>
          <w:lang w:eastAsia="en-US" w:bidi="th-TH"/>
        </w:rPr>
        <w:t>’</w:t>
      </w:r>
      <w:r w:rsidRPr="00E8642C">
        <w:rPr>
          <w:rFonts w:cs="Arial"/>
          <w:iCs/>
          <w:szCs w:val="22"/>
          <w:lang w:eastAsia="en-US" w:bidi="th-TH"/>
        </w:rPr>
        <w:t>invention revendiquée</w:t>
      </w:r>
      <w:r w:rsidRPr="00E8642C">
        <w:rPr>
          <w:rFonts w:cs="Arial"/>
          <w:szCs w:val="22"/>
          <w:lang w:eastAsia="en-US" w:bidi="th-TH"/>
        </w:rPr>
        <w:t>”</w:t>
      </w:r>
      <w:r w:rsidRPr="00E8642C">
        <w:rPr>
          <w:rStyle w:val="FootnoteReference"/>
          <w:iCs/>
          <w:szCs w:val="22"/>
          <w:lang w:eastAsia="en-US" w:bidi="th-TH"/>
        </w:rPr>
        <w:footnoteReference w:id="65"/>
      </w:r>
      <w:r w:rsidRPr="00E8642C">
        <w:rPr>
          <w:rFonts w:cs="Arial"/>
          <w:szCs w:val="22"/>
          <w:lang w:eastAsia="en-US" w:bidi="th-TH"/>
        </w:rPr>
        <w:t>.</w:t>
      </w:r>
    </w:p>
    <w:p w:rsidR="00D23D81" w:rsidRDefault="00DD607D" w:rsidP="00D23D81">
      <w:pPr>
        <w:autoSpaceDE w:val="0"/>
        <w:autoSpaceDN w:val="0"/>
        <w:adjustRightInd w:val="0"/>
        <w:spacing w:after="220"/>
        <w:rPr>
          <w:rFonts w:cs="Arial"/>
          <w:szCs w:val="22"/>
          <w:lang w:eastAsia="en-US"/>
        </w:rPr>
      </w:pPr>
      <w:r w:rsidRPr="00E8642C">
        <w:rPr>
          <w:rFonts w:cs="Arial"/>
          <w:szCs w:val="22"/>
          <w:lang w:eastAsia="en-US"/>
        </w:rPr>
        <w:t>L</w:t>
      </w:r>
      <w:r w:rsidR="00D91476">
        <w:rPr>
          <w:rFonts w:cs="Arial"/>
          <w:szCs w:val="22"/>
          <w:lang w:eastAsia="en-US"/>
        </w:rPr>
        <w:t>’</w:t>
      </w:r>
      <w:r w:rsidRPr="00E8642C">
        <w:rPr>
          <w:rFonts w:cs="Arial"/>
          <w:szCs w:val="22"/>
          <w:lang w:eastAsia="en-US"/>
        </w:rPr>
        <w:t>article 29 de la loi japonaise sur les brevets définit indirectement l</w:t>
      </w:r>
      <w:r w:rsidR="00D91476">
        <w:rPr>
          <w:rFonts w:cs="Arial"/>
          <w:szCs w:val="22"/>
          <w:lang w:eastAsia="en-US"/>
        </w:rPr>
        <w:t>’</w:t>
      </w:r>
      <w:r w:rsidRPr="00E8642C">
        <w:rPr>
          <w:rFonts w:cs="Arial"/>
          <w:szCs w:val="22"/>
          <w:lang w:eastAsia="en-US"/>
        </w:rPr>
        <w:t>état de la technique comme englobant “</w:t>
      </w:r>
      <w:r w:rsidRPr="00E8642C">
        <w:rPr>
          <w:rFonts w:cs="Arial"/>
          <w:iCs/>
          <w:szCs w:val="22"/>
          <w:lang w:eastAsia="en-US"/>
        </w:rPr>
        <w:t>i) les inventions qui étaient publiquement connues au Japon ou à l</w:t>
      </w:r>
      <w:r w:rsidR="00D91476">
        <w:rPr>
          <w:rFonts w:cs="Arial"/>
          <w:iCs/>
          <w:szCs w:val="22"/>
          <w:lang w:eastAsia="en-US"/>
        </w:rPr>
        <w:t>’</w:t>
      </w:r>
      <w:r w:rsidRPr="00E8642C">
        <w:rPr>
          <w:rFonts w:cs="Arial"/>
          <w:iCs/>
          <w:szCs w:val="22"/>
          <w:lang w:eastAsia="en-US"/>
        </w:rPr>
        <w:t>étranger avant la date de dépôt de la demande de brevet;  ii) les inventions qui étaient publiquement utilisées au Japon ou à l</w:t>
      </w:r>
      <w:r w:rsidR="00D91476">
        <w:rPr>
          <w:rFonts w:cs="Arial"/>
          <w:iCs/>
          <w:szCs w:val="22"/>
          <w:lang w:eastAsia="en-US"/>
        </w:rPr>
        <w:t>’</w:t>
      </w:r>
      <w:r w:rsidRPr="00E8642C">
        <w:rPr>
          <w:rFonts w:cs="Arial"/>
          <w:iCs/>
          <w:szCs w:val="22"/>
          <w:lang w:eastAsia="en-US"/>
        </w:rPr>
        <w:t>étranger avant la date de dépôt de la demande de brevet;  ou iii) les inventions qui étaient décrites dans une publication diffusée, ou les inventions qui étaient mises à la disposition du public au moyen d</w:t>
      </w:r>
      <w:r w:rsidR="00D91476">
        <w:rPr>
          <w:rFonts w:cs="Arial"/>
          <w:iCs/>
          <w:szCs w:val="22"/>
          <w:lang w:eastAsia="en-US"/>
        </w:rPr>
        <w:t>’</w:t>
      </w:r>
      <w:r w:rsidRPr="00E8642C">
        <w:rPr>
          <w:rFonts w:cs="Arial"/>
          <w:iCs/>
          <w:szCs w:val="22"/>
          <w:lang w:eastAsia="en-US"/>
        </w:rPr>
        <w:t>une ligne de télécommunication électrique au Japon ou à l</w:t>
      </w:r>
      <w:r w:rsidR="00D91476">
        <w:rPr>
          <w:rFonts w:cs="Arial"/>
          <w:iCs/>
          <w:szCs w:val="22"/>
          <w:lang w:eastAsia="en-US"/>
        </w:rPr>
        <w:t>’</w:t>
      </w:r>
      <w:r w:rsidRPr="00E8642C">
        <w:rPr>
          <w:rFonts w:cs="Arial"/>
          <w:iCs/>
          <w:szCs w:val="22"/>
          <w:lang w:eastAsia="en-US"/>
        </w:rPr>
        <w:t>étranger avant la date de dépôt de la demande de brevet</w:t>
      </w:r>
      <w:r w:rsidRPr="00E8642C">
        <w:rPr>
          <w:rFonts w:cs="Arial"/>
          <w:szCs w:val="22"/>
          <w:lang w:eastAsia="en-US"/>
        </w:rPr>
        <w:t>”</w:t>
      </w:r>
      <w:r w:rsidRPr="00E8642C">
        <w:rPr>
          <w:rStyle w:val="FootnoteReference"/>
          <w:lang w:eastAsia="en-US" w:bidi="th-TH"/>
        </w:rPr>
        <w:footnoteReference w:id="66"/>
      </w:r>
      <w:r w:rsidRPr="00E8642C">
        <w:rPr>
          <w:rFonts w:cs="Arial"/>
          <w:szCs w:val="22"/>
          <w:lang w:eastAsia="en-US"/>
        </w:rPr>
        <w:t>.</w:t>
      </w:r>
    </w:p>
    <w:p w:rsidR="00D23D81" w:rsidRDefault="00DD607D" w:rsidP="00D23D81">
      <w:pPr>
        <w:pStyle w:val="Heading2"/>
        <w:spacing w:after="220" w:line="240" w:lineRule="auto"/>
      </w:pPr>
      <w:bookmarkStart w:id="58" w:name="_Toc7772534"/>
      <w:r w:rsidRPr="00E8642C">
        <w:t>Exception</w:t>
      </w:r>
      <w:bookmarkEnd w:id="58"/>
    </w:p>
    <w:p w:rsidR="00D23D81" w:rsidRDefault="00DD607D" w:rsidP="00D23D81">
      <w:pPr>
        <w:pStyle w:val="CommentText"/>
        <w:spacing w:after="220"/>
        <w:rPr>
          <w:rFonts w:cs="Arial"/>
          <w:szCs w:val="22"/>
        </w:rPr>
      </w:pPr>
      <w:r w:rsidRPr="00E8642C">
        <w:rPr>
          <w:rFonts w:cs="Arial"/>
          <w:szCs w:val="22"/>
        </w:rPr>
        <w:t>Le terme “exception” fixe les limites de l</w:t>
      </w:r>
      <w:r w:rsidR="00D91476">
        <w:rPr>
          <w:rFonts w:cs="Arial"/>
          <w:szCs w:val="22"/>
        </w:rPr>
        <w:t>’</w:t>
      </w:r>
      <w:r w:rsidRPr="00E8642C">
        <w:rPr>
          <w:rFonts w:cs="Arial"/>
          <w:szCs w:val="22"/>
        </w:rPr>
        <w:t>utilisation d</w:t>
      </w:r>
      <w:r w:rsidR="00D91476">
        <w:rPr>
          <w:rFonts w:cs="Arial"/>
          <w:szCs w:val="22"/>
        </w:rPr>
        <w:t>’</w:t>
      </w:r>
      <w:r w:rsidRPr="00E8642C">
        <w:rPr>
          <w:rFonts w:cs="Arial"/>
          <w:szCs w:val="22"/>
        </w:rPr>
        <w:t>une œuvre protégée par le droit d</w:t>
      </w:r>
      <w:r w:rsidR="00D91476">
        <w:rPr>
          <w:rFonts w:cs="Arial"/>
          <w:szCs w:val="22"/>
        </w:rPr>
        <w:t>’</w:t>
      </w:r>
      <w:r w:rsidRPr="00E8642C">
        <w:rPr>
          <w:rFonts w:cs="Arial"/>
          <w:szCs w:val="22"/>
        </w:rPr>
        <w:t>aute</w:t>
      </w:r>
      <w:r w:rsidR="001F3AEE" w:rsidRPr="00E8642C">
        <w:rPr>
          <w:rFonts w:cs="Arial"/>
          <w:szCs w:val="22"/>
        </w:rPr>
        <w:t>ur</w:t>
      </w:r>
      <w:r w:rsidR="001F3AEE">
        <w:rPr>
          <w:rFonts w:cs="Arial"/>
          <w:szCs w:val="22"/>
        </w:rPr>
        <w:t xml:space="preserve">.  </w:t>
      </w:r>
      <w:r w:rsidR="001F3AEE" w:rsidRPr="00E8642C">
        <w:rPr>
          <w:rFonts w:cs="Arial"/>
          <w:szCs w:val="22"/>
        </w:rPr>
        <w:t>Le</w:t>
      </w:r>
      <w:r w:rsidRPr="00E8642C">
        <w:rPr>
          <w:rFonts w:cs="Arial"/>
          <w:szCs w:val="22"/>
        </w:rPr>
        <w:t>s exceptions sont étroitement liées aux actes en rapport avec les éléments protég</w:t>
      </w:r>
      <w:r w:rsidR="001F3AEE" w:rsidRPr="00E8642C">
        <w:rPr>
          <w:rFonts w:cs="Arial"/>
          <w:szCs w:val="22"/>
        </w:rPr>
        <w:t>és</w:t>
      </w:r>
      <w:r w:rsidR="001F3AEE">
        <w:rPr>
          <w:rFonts w:cs="Arial"/>
          <w:szCs w:val="22"/>
        </w:rPr>
        <w:t xml:space="preserve">.  </w:t>
      </w:r>
      <w:r w:rsidR="001F3AEE" w:rsidRPr="00E8642C">
        <w:rPr>
          <w:rFonts w:cs="Arial"/>
          <w:szCs w:val="22"/>
        </w:rPr>
        <w:t>Pa</w:t>
      </w:r>
      <w:r w:rsidRPr="00E8642C">
        <w:rPr>
          <w:rFonts w:cs="Arial"/>
          <w:szCs w:val="22"/>
        </w:rPr>
        <w:t>rfois, le terme “exception” englobe des décisions législatives supprimant certaines créations originales du monopole du titulaire ou propriétaire (textes de lois ou décisions judiciaires, par exemple) mais, dans l</w:t>
      </w:r>
      <w:r w:rsidR="00D91476">
        <w:rPr>
          <w:rFonts w:cs="Arial"/>
          <w:szCs w:val="22"/>
        </w:rPr>
        <w:t>’</w:t>
      </w:r>
      <w:r w:rsidRPr="00E8642C">
        <w:rPr>
          <w:rFonts w:cs="Arial"/>
          <w:szCs w:val="22"/>
        </w:rPr>
        <w:t>ensemble, il s</w:t>
      </w:r>
      <w:r w:rsidR="00D91476">
        <w:rPr>
          <w:rFonts w:cs="Arial"/>
          <w:szCs w:val="22"/>
        </w:rPr>
        <w:t>’</w:t>
      </w:r>
      <w:r w:rsidRPr="00E8642C">
        <w:rPr>
          <w:rFonts w:cs="Arial"/>
          <w:szCs w:val="22"/>
        </w:rPr>
        <w:t>agit de déterminer quelles utilisations d</w:t>
      </w:r>
      <w:r w:rsidR="00D91476">
        <w:rPr>
          <w:rFonts w:cs="Arial"/>
          <w:szCs w:val="22"/>
        </w:rPr>
        <w:t>’</w:t>
      </w:r>
      <w:r w:rsidRPr="00E8642C">
        <w:rPr>
          <w:rFonts w:cs="Arial"/>
          <w:szCs w:val="22"/>
        </w:rPr>
        <w:t>éléments protégés ne sont soumises à aucune autorisation ni rémunération</w:t>
      </w:r>
      <w:r w:rsidRPr="00E8642C">
        <w:rPr>
          <w:rStyle w:val="FootnoteReference"/>
          <w:rFonts w:cs="Arial"/>
          <w:szCs w:val="22"/>
        </w:rPr>
        <w:footnoteReference w:id="67"/>
      </w:r>
      <w:r w:rsidRPr="00E8642C">
        <w:rPr>
          <w:rFonts w:cs="Arial"/>
          <w:szCs w:val="22"/>
        </w:rPr>
        <w:t xml:space="preserve">.  La </w:t>
      </w:r>
      <w:r w:rsidRPr="00E8642C">
        <w:rPr>
          <w:rFonts w:cs="Arial"/>
          <w:i/>
          <w:szCs w:val="22"/>
        </w:rPr>
        <w:t xml:space="preserve">Convention de Berne pour la protection des œuvres littéraires et artistiques </w:t>
      </w:r>
      <w:r w:rsidRPr="00E8642C">
        <w:rPr>
          <w:rFonts w:cs="Arial"/>
          <w:szCs w:val="22"/>
        </w:rPr>
        <w:t>(1971) prévoit l</w:t>
      </w:r>
      <w:r w:rsidR="00D91476">
        <w:rPr>
          <w:rFonts w:cs="Arial"/>
          <w:szCs w:val="22"/>
        </w:rPr>
        <w:t>’</w:t>
      </w:r>
      <w:r w:rsidRPr="00E8642C">
        <w:rPr>
          <w:rFonts w:cs="Arial"/>
          <w:szCs w:val="22"/>
        </w:rPr>
        <w:t>application d</w:t>
      </w:r>
      <w:r w:rsidR="00D91476">
        <w:rPr>
          <w:rFonts w:cs="Arial"/>
          <w:szCs w:val="22"/>
        </w:rPr>
        <w:t>’</w:t>
      </w:r>
      <w:r w:rsidRPr="00E8642C">
        <w:rPr>
          <w:rFonts w:cs="Arial"/>
          <w:szCs w:val="22"/>
        </w:rPr>
        <w:t>un triple critère pour déterminer la possibilité d</w:t>
      </w:r>
      <w:r w:rsidR="00D91476">
        <w:rPr>
          <w:rFonts w:cs="Arial"/>
          <w:szCs w:val="22"/>
        </w:rPr>
        <w:t>’</w:t>
      </w:r>
      <w:r w:rsidRPr="00E8642C">
        <w:rPr>
          <w:rFonts w:cs="Arial"/>
          <w:szCs w:val="22"/>
        </w:rPr>
        <w:t>exception</w:t>
      </w:r>
      <w:r w:rsidR="00D91476">
        <w:rPr>
          <w:rFonts w:cs="Arial"/>
          <w:szCs w:val="22"/>
        </w:rPr>
        <w:t> :</w:t>
      </w:r>
      <w:r w:rsidRPr="00E8642C">
        <w:rPr>
          <w:rFonts w:cs="Arial"/>
          <w:szCs w:val="22"/>
        </w:rPr>
        <w:t xml:space="preserve"> i) l</w:t>
      </w:r>
      <w:r w:rsidR="00D91476">
        <w:rPr>
          <w:rFonts w:cs="Arial"/>
          <w:szCs w:val="22"/>
        </w:rPr>
        <w:t>’</w:t>
      </w:r>
      <w:r w:rsidRPr="00E8642C">
        <w:rPr>
          <w:rFonts w:cs="Arial"/>
          <w:szCs w:val="22"/>
        </w:rPr>
        <w:t>exception peut s</w:t>
      </w:r>
      <w:r w:rsidR="00D91476">
        <w:rPr>
          <w:rFonts w:cs="Arial"/>
          <w:szCs w:val="22"/>
        </w:rPr>
        <w:t>’</w:t>
      </w:r>
      <w:r w:rsidRPr="00E8642C">
        <w:rPr>
          <w:rFonts w:cs="Arial"/>
          <w:szCs w:val="22"/>
        </w:rPr>
        <w:t>appliquer uniquement à certains cas spéciaux;  ii) l</w:t>
      </w:r>
      <w:r w:rsidR="00D91476">
        <w:rPr>
          <w:rFonts w:cs="Arial"/>
          <w:szCs w:val="22"/>
        </w:rPr>
        <w:t>’</w:t>
      </w:r>
      <w:r w:rsidRPr="00E8642C">
        <w:rPr>
          <w:rFonts w:cs="Arial"/>
          <w:szCs w:val="22"/>
        </w:rPr>
        <w:t>exception ne doit pas porter atteinte à l</w:t>
      </w:r>
      <w:r w:rsidR="00D91476">
        <w:rPr>
          <w:rFonts w:cs="Arial"/>
          <w:szCs w:val="22"/>
        </w:rPr>
        <w:t>’</w:t>
      </w:r>
      <w:r w:rsidRPr="00E8642C">
        <w:rPr>
          <w:rFonts w:cs="Arial"/>
          <w:szCs w:val="22"/>
        </w:rPr>
        <w:t>exploitation normale de l</w:t>
      </w:r>
      <w:r w:rsidR="00D91476">
        <w:rPr>
          <w:rFonts w:cs="Arial"/>
          <w:szCs w:val="22"/>
        </w:rPr>
        <w:t>’</w:t>
      </w:r>
      <w:r w:rsidRPr="00E8642C">
        <w:rPr>
          <w:rFonts w:cs="Arial"/>
          <w:szCs w:val="22"/>
        </w:rPr>
        <w:t>œuvre ni iii) causer un préjudice injustifié aux intérêts légitimes de l</w:t>
      </w:r>
      <w:r w:rsidR="00D91476">
        <w:rPr>
          <w:rFonts w:cs="Arial"/>
          <w:szCs w:val="22"/>
        </w:rPr>
        <w:t>’</w:t>
      </w:r>
      <w:r w:rsidRPr="00E8642C">
        <w:rPr>
          <w:rFonts w:cs="Arial"/>
          <w:szCs w:val="22"/>
        </w:rPr>
        <w:t>auteur</w:t>
      </w:r>
      <w:r w:rsidRPr="00E8642C">
        <w:rPr>
          <w:rStyle w:val="FootnoteReference"/>
          <w:rFonts w:cs="Arial"/>
          <w:szCs w:val="22"/>
        </w:rPr>
        <w:footnoteReference w:id="68"/>
      </w:r>
      <w:r w:rsidRPr="00E8642C">
        <w:rPr>
          <w:rFonts w:cs="Arial"/>
          <w:szCs w:val="22"/>
        </w:rPr>
        <w:t>.</w:t>
      </w:r>
    </w:p>
    <w:p w:rsidR="00D23D81" w:rsidRDefault="00DD607D" w:rsidP="00D23D81">
      <w:pPr>
        <w:pStyle w:val="Heading2"/>
        <w:spacing w:after="220" w:line="240" w:lineRule="auto"/>
      </w:pPr>
      <w:bookmarkStart w:id="59" w:name="_Toc7772535"/>
      <w:r w:rsidRPr="00E8642C">
        <w:t>Exigences de divulgation</w:t>
      </w:r>
      <w:bookmarkEnd w:id="59"/>
    </w:p>
    <w:p w:rsidR="00D23D81" w:rsidRDefault="00DD607D" w:rsidP="00D23D81">
      <w:pPr>
        <w:spacing w:after="220"/>
        <w:rPr>
          <w:rFonts w:cs="Arial"/>
          <w:szCs w:val="22"/>
        </w:rPr>
      </w:pPr>
      <w:r w:rsidRPr="00E8642C">
        <w:rPr>
          <w:rFonts w:cs="Arial"/>
          <w:szCs w:val="22"/>
        </w:rPr>
        <w:t>La divulgation fait partie des principes fondamentaux du droit des brevets</w:t>
      </w:r>
      <w:r w:rsidRPr="00E8642C">
        <w:rPr>
          <w:rFonts w:cs="Arial"/>
          <w:szCs w:val="22"/>
          <w:vertAlign w:val="superscript"/>
        </w:rPr>
        <w:footnoteReference w:id="69"/>
      </w:r>
      <w:r w:rsidRPr="00E8642C">
        <w:rPr>
          <w:rFonts w:cs="Arial"/>
          <w:szCs w:val="22"/>
        </w:rPr>
        <w:t>.  Comme l</w:t>
      </w:r>
      <w:r w:rsidR="00D91476">
        <w:rPr>
          <w:rFonts w:cs="Arial"/>
          <w:szCs w:val="22"/>
        </w:rPr>
        <w:t>’</w:t>
      </w:r>
      <w:r w:rsidRPr="00E8642C">
        <w:rPr>
          <w:rFonts w:cs="Arial"/>
          <w:szCs w:val="22"/>
        </w:rPr>
        <w:t>indique l</w:t>
      </w:r>
      <w:r w:rsidR="00D91476">
        <w:rPr>
          <w:rFonts w:cs="Arial"/>
          <w:szCs w:val="22"/>
        </w:rPr>
        <w:t>’</w:t>
      </w:r>
      <w:r w:rsidRPr="00E8642C">
        <w:rPr>
          <w:rFonts w:cs="Arial"/>
          <w:szCs w:val="22"/>
        </w:rPr>
        <w:t xml:space="preserve">article 5 du </w:t>
      </w:r>
      <w:r w:rsidRPr="00E8642C">
        <w:rPr>
          <w:rFonts w:cs="Arial"/>
          <w:i/>
          <w:szCs w:val="22"/>
        </w:rPr>
        <w:t>Traité de coopération en matière de brevets (PCT)</w:t>
      </w:r>
      <w:r w:rsidRPr="00E8642C">
        <w:rPr>
          <w:rFonts w:cs="Arial"/>
          <w:szCs w:val="22"/>
        </w:rPr>
        <w:t>, le droit des brevets impose aux déposants de demandes de brevet l</w:t>
      </w:r>
      <w:r w:rsidR="00D91476">
        <w:rPr>
          <w:rFonts w:cs="Arial"/>
          <w:szCs w:val="22"/>
        </w:rPr>
        <w:t>’</w:t>
      </w:r>
      <w:r w:rsidRPr="00E8642C">
        <w:rPr>
          <w:rFonts w:cs="Arial"/>
          <w:szCs w:val="22"/>
        </w:rPr>
        <w:t>obligation générale “</w:t>
      </w:r>
      <w:r w:rsidRPr="00E8642C">
        <w:rPr>
          <w:rFonts w:cs="Arial"/>
          <w:iCs/>
          <w:szCs w:val="22"/>
        </w:rPr>
        <w:t>d</w:t>
      </w:r>
      <w:r w:rsidR="00D91476">
        <w:rPr>
          <w:rFonts w:cs="Arial"/>
          <w:iCs/>
          <w:szCs w:val="22"/>
        </w:rPr>
        <w:t>’</w:t>
      </w:r>
      <w:r w:rsidRPr="00E8642C">
        <w:rPr>
          <w:rFonts w:cs="Arial"/>
          <w:iCs/>
          <w:szCs w:val="22"/>
        </w:rPr>
        <w:t>exposer l</w:t>
      </w:r>
      <w:r w:rsidR="00D91476">
        <w:rPr>
          <w:rFonts w:cs="Arial"/>
          <w:iCs/>
          <w:szCs w:val="22"/>
        </w:rPr>
        <w:t>’</w:t>
      </w:r>
      <w:r w:rsidRPr="00E8642C">
        <w:rPr>
          <w:rFonts w:cs="Arial"/>
          <w:iCs/>
          <w:szCs w:val="22"/>
        </w:rPr>
        <w:t>invention d</w:t>
      </w:r>
      <w:r w:rsidR="00D91476">
        <w:rPr>
          <w:rFonts w:cs="Arial"/>
          <w:iCs/>
          <w:szCs w:val="22"/>
        </w:rPr>
        <w:t>’</w:t>
      </w:r>
      <w:r w:rsidRPr="00E8642C">
        <w:rPr>
          <w:rFonts w:cs="Arial"/>
          <w:iCs/>
          <w:szCs w:val="22"/>
        </w:rPr>
        <w:t>une manière suffisamment claire et complète pour qu</w:t>
      </w:r>
      <w:r w:rsidR="00D91476">
        <w:rPr>
          <w:rFonts w:cs="Arial"/>
          <w:iCs/>
          <w:szCs w:val="22"/>
        </w:rPr>
        <w:t>’</w:t>
      </w:r>
      <w:r w:rsidRPr="00E8642C">
        <w:rPr>
          <w:rFonts w:cs="Arial"/>
          <w:iCs/>
          <w:szCs w:val="22"/>
        </w:rPr>
        <w:t>un homme du métier puisse l</w:t>
      </w:r>
      <w:r w:rsidR="00D91476">
        <w:rPr>
          <w:rFonts w:cs="Arial"/>
          <w:iCs/>
          <w:szCs w:val="22"/>
        </w:rPr>
        <w:t>’</w:t>
      </w:r>
      <w:r w:rsidRPr="00E8642C">
        <w:rPr>
          <w:rFonts w:cs="Arial"/>
          <w:iCs/>
          <w:szCs w:val="22"/>
        </w:rPr>
        <w:t>exécuter</w:t>
      </w:r>
      <w:r w:rsidRPr="00E8642C">
        <w:rPr>
          <w:rFonts w:cs="Arial"/>
          <w:szCs w:val="22"/>
        </w:rPr>
        <w:t>”.  Cela étant, le terme “exigences de divulgation” est utilisé récemment d</w:t>
      </w:r>
      <w:r w:rsidR="00D91476">
        <w:rPr>
          <w:rFonts w:cs="Arial"/>
          <w:szCs w:val="22"/>
        </w:rPr>
        <w:t>’</w:t>
      </w:r>
      <w:r w:rsidRPr="00E8642C">
        <w:rPr>
          <w:rFonts w:cs="Arial"/>
          <w:szCs w:val="22"/>
        </w:rPr>
        <w:t>une manière générale pour les modifications apportées au droit des brevets à l</w:t>
      </w:r>
      <w:r w:rsidR="00D91476">
        <w:rPr>
          <w:rFonts w:cs="Arial"/>
          <w:szCs w:val="22"/>
        </w:rPr>
        <w:t>’</w:t>
      </w:r>
      <w:r w:rsidRPr="00E8642C">
        <w:rPr>
          <w:rFonts w:cs="Arial"/>
          <w:szCs w:val="22"/>
        </w:rPr>
        <w:t>échelle régionale ou nationale et pour les propositions de réforme du droit international des brevets visant à obliger expressément les déposants de demandes de brevet à révéler plusieurs éléments d</w:t>
      </w:r>
      <w:r w:rsidR="00D91476">
        <w:rPr>
          <w:rFonts w:cs="Arial"/>
          <w:szCs w:val="22"/>
        </w:rPr>
        <w:t>’</w:t>
      </w:r>
      <w:r w:rsidRPr="00E8642C">
        <w:rPr>
          <w:rFonts w:cs="Arial"/>
          <w:szCs w:val="22"/>
        </w:rPr>
        <w:t>information concernant les savoirs traditionnels ou les ressources génétiques utilisés dans la mise au point de l</w:t>
      </w:r>
      <w:r w:rsidR="00D91476">
        <w:rPr>
          <w:rFonts w:cs="Arial"/>
          <w:szCs w:val="22"/>
        </w:rPr>
        <w:t>’</w:t>
      </w:r>
      <w:r w:rsidRPr="00E8642C">
        <w:rPr>
          <w:rFonts w:cs="Arial"/>
          <w:szCs w:val="22"/>
        </w:rPr>
        <w:t>invention revendiquée dans un brevet ou une demande de brevet</w:t>
      </w:r>
      <w:r w:rsidRPr="00E8642C">
        <w:rPr>
          <w:rFonts w:cs="Arial"/>
          <w:szCs w:val="22"/>
          <w:vertAlign w:val="superscript"/>
        </w:rPr>
        <w:footnoteReference w:id="70"/>
      </w:r>
      <w:r w:rsidRPr="00E8642C">
        <w:rPr>
          <w:rFonts w:cs="Arial"/>
          <w:szCs w:val="22"/>
        </w:rPr>
        <w:t>.</w:t>
      </w:r>
    </w:p>
    <w:p w:rsidR="00D23D81" w:rsidRDefault="00DD607D" w:rsidP="00D23D81">
      <w:pPr>
        <w:spacing w:after="220"/>
        <w:rPr>
          <w:rFonts w:cs="Arial"/>
          <w:szCs w:val="22"/>
        </w:rPr>
      </w:pPr>
      <w:r w:rsidRPr="00E8642C">
        <w:rPr>
          <w:rFonts w:cs="Arial"/>
          <w:szCs w:val="22"/>
        </w:rPr>
        <w:t>Trois fonctions générales ont été prises en considération pour élaborer des méthodes de divulgation relatives aux ressources génétiques et savoirs traditionnels</w:t>
      </w:r>
      <w:r w:rsidR="00D91476">
        <w:rPr>
          <w:rFonts w:cs="Arial"/>
          <w:szCs w:val="22"/>
        </w:rPr>
        <w:t> :</w:t>
      </w:r>
    </w:p>
    <w:p w:rsidR="00D23D81" w:rsidRDefault="00DD607D" w:rsidP="00D23D81">
      <w:pPr>
        <w:numPr>
          <w:ilvl w:val="0"/>
          <w:numId w:val="24"/>
        </w:numPr>
        <w:tabs>
          <w:tab w:val="clear" w:pos="3082"/>
        </w:tabs>
        <w:spacing w:after="220"/>
        <w:ind w:left="567" w:firstLine="0"/>
        <w:rPr>
          <w:rFonts w:cs="Arial"/>
          <w:szCs w:val="22"/>
        </w:rPr>
      </w:pPr>
      <w:proofErr w:type="gramStart"/>
      <w:r w:rsidRPr="00E8642C">
        <w:rPr>
          <w:rFonts w:cs="Arial"/>
          <w:szCs w:val="22"/>
        </w:rPr>
        <w:t>divulguer</w:t>
      </w:r>
      <w:proofErr w:type="gramEnd"/>
      <w:r w:rsidRPr="00E8642C">
        <w:rPr>
          <w:rFonts w:cs="Arial"/>
          <w:szCs w:val="22"/>
        </w:rPr>
        <w:t xml:space="preserve"> toute ressource génétique ou savoir traditionnel effectivement utilisé au cours de la mise au point de l</w:t>
      </w:r>
      <w:r w:rsidR="00D91476">
        <w:rPr>
          <w:rFonts w:cs="Arial"/>
          <w:szCs w:val="22"/>
        </w:rPr>
        <w:t>’</w:t>
      </w:r>
      <w:r w:rsidRPr="00E8642C">
        <w:rPr>
          <w:rFonts w:cs="Arial"/>
          <w:szCs w:val="22"/>
        </w:rPr>
        <w:t>invention (fonction descriptive ou relative à la transparence, liée à la ressource génétique ou au savoir traditionnel lui</w:t>
      </w:r>
      <w:r w:rsidR="00400337">
        <w:rPr>
          <w:rFonts w:cs="Arial"/>
          <w:szCs w:val="22"/>
        </w:rPr>
        <w:noBreakHyphen/>
      </w:r>
      <w:r w:rsidRPr="00E8642C">
        <w:rPr>
          <w:rFonts w:cs="Arial"/>
          <w:szCs w:val="22"/>
        </w:rPr>
        <w:t>même et à son rapport avec l</w:t>
      </w:r>
      <w:r w:rsidR="00D91476">
        <w:rPr>
          <w:rFonts w:cs="Arial"/>
          <w:szCs w:val="22"/>
        </w:rPr>
        <w:t>’</w:t>
      </w:r>
      <w:r w:rsidRPr="00E8642C">
        <w:rPr>
          <w:rFonts w:cs="Arial"/>
          <w:szCs w:val="22"/>
        </w:rPr>
        <w:t>invention);</w:t>
      </w:r>
    </w:p>
    <w:p w:rsidR="00D23D81" w:rsidRDefault="00DD607D" w:rsidP="00D23D81">
      <w:pPr>
        <w:numPr>
          <w:ilvl w:val="0"/>
          <w:numId w:val="24"/>
        </w:numPr>
        <w:tabs>
          <w:tab w:val="clear" w:pos="3082"/>
        </w:tabs>
        <w:spacing w:after="220"/>
        <w:ind w:left="567" w:firstLine="0"/>
        <w:rPr>
          <w:rFonts w:cs="Arial"/>
          <w:szCs w:val="22"/>
        </w:rPr>
      </w:pPr>
      <w:proofErr w:type="gramStart"/>
      <w:r w:rsidRPr="00E8642C">
        <w:rPr>
          <w:rFonts w:cs="Arial"/>
          <w:szCs w:val="22"/>
        </w:rPr>
        <w:t>divulguer</w:t>
      </w:r>
      <w:proofErr w:type="gramEnd"/>
      <w:r w:rsidRPr="00E8642C">
        <w:rPr>
          <w:rFonts w:cs="Arial"/>
          <w:szCs w:val="22"/>
        </w:rPr>
        <w:t xml:space="preserve"> la source effective de la ressource génétique ou du savoir traditionnel (fonction de divulgation relative au lieu où la ressource génétique ou le savoir traditionnel a été obtenu), ce qui peut concerner le pays d</w:t>
      </w:r>
      <w:r w:rsidR="00D91476">
        <w:rPr>
          <w:rFonts w:cs="Arial"/>
          <w:szCs w:val="22"/>
        </w:rPr>
        <w:t>’</w:t>
      </w:r>
      <w:r w:rsidRPr="00E8642C">
        <w:rPr>
          <w:rFonts w:cs="Arial"/>
          <w:szCs w:val="22"/>
        </w:rPr>
        <w:t>origine (afin de préciser la juridiction dans laquelle le matériel d</w:t>
      </w:r>
      <w:r w:rsidR="00D91476">
        <w:rPr>
          <w:rFonts w:cs="Arial"/>
          <w:szCs w:val="22"/>
        </w:rPr>
        <w:t>’</w:t>
      </w:r>
      <w:r w:rsidRPr="00E8642C">
        <w:rPr>
          <w:rFonts w:cs="Arial"/>
          <w:szCs w:val="22"/>
        </w:rPr>
        <w:t>origine a été obtenu), ou une localisation plus précise (par exemple, afin d</w:t>
      </w:r>
      <w:r w:rsidR="00D91476">
        <w:rPr>
          <w:rFonts w:cs="Arial"/>
          <w:szCs w:val="22"/>
        </w:rPr>
        <w:t>’</w:t>
      </w:r>
      <w:r w:rsidRPr="00E8642C">
        <w:rPr>
          <w:rFonts w:cs="Arial"/>
          <w:szCs w:val="22"/>
        </w:rPr>
        <w:t>assurer que les ressources génétiques soient accessibles aux fins de la duplication ou de la reproduction de l</w:t>
      </w:r>
      <w:r w:rsidR="00D91476">
        <w:rPr>
          <w:rFonts w:cs="Arial"/>
          <w:szCs w:val="22"/>
        </w:rPr>
        <w:t>’</w:t>
      </w:r>
      <w:r w:rsidRPr="00E8642C">
        <w:rPr>
          <w:rFonts w:cs="Arial"/>
          <w:szCs w:val="22"/>
        </w:rPr>
        <w:t>invention);  et</w:t>
      </w:r>
    </w:p>
    <w:p w:rsidR="00D23D81" w:rsidRDefault="00DD607D" w:rsidP="00D23D81">
      <w:pPr>
        <w:numPr>
          <w:ilvl w:val="0"/>
          <w:numId w:val="24"/>
        </w:numPr>
        <w:tabs>
          <w:tab w:val="clear" w:pos="3082"/>
        </w:tabs>
        <w:spacing w:after="220"/>
        <w:ind w:left="567" w:firstLine="0"/>
        <w:rPr>
          <w:rFonts w:cs="Arial"/>
          <w:szCs w:val="22"/>
        </w:rPr>
      </w:pPr>
      <w:r w:rsidRPr="00E8642C">
        <w:rPr>
          <w:rFonts w:cs="Arial"/>
          <w:szCs w:val="22"/>
        </w:rPr>
        <w:t>fournir un engagement ou une preuve du consentement préalable en connaissance de cause (fonction de respect de l</w:t>
      </w:r>
      <w:r w:rsidR="00D91476">
        <w:rPr>
          <w:rFonts w:cs="Arial"/>
          <w:szCs w:val="22"/>
        </w:rPr>
        <w:t>’</w:t>
      </w:r>
      <w:r w:rsidRPr="00E8642C">
        <w:rPr>
          <w:rFonts w:cs="Arial"/>
          <w:szCs w:val="22"/>
        </w:rPr>
        <w:t>obligation, relative à la légalité des actes régissant l</w:t>
      </w:r>
      <w:r w:rsidR="00D91476">
        <w:rPr>
          <w:rFonts w:cs="Arial"/>
          <w:szCs w:val="22"/>
        </w:rPr>
        <w:t>’</w:t>
      </w:r>
      <w:r w:rsidRPr="00E8642C">
        <w:rPr>
          <w:rFonts w:cs="Arial"/>
          <w:szCs w:val="22"/>
        </w:rPr>
        <w:t>accès au matériel d</w:t>
      </w:r>
      <w:r w:rsidR="00D91476">
        <w:rPr>
          <w:rFonts w:cs="Arial"/>
          <w:szCs w:val="22"/>
        </w:rPr>
        <w:t>’</w:t>
      </w:r>
      <w:r w:rsidRPr="00E8642C">
        <w:rPr>
          <w:rFonts w:cs="Arial"/>
          <w:szCs w:val="22"/>
        </w:rPr>
        <w:t>origine de la ressource génétique ou du savoir traditionnel), ce qui peut entraîner l</w:t>
      </w:r>
      <w:r w:rsidR="00D91476">
        <w:rPr>
          <w:rFonts w:cs="Arial"/>
          <w:szCs w:val="22"/>
        </w:rPr>
        <w:t>’</w:t>
      </w:r>
      <w:r w:rsidRPr="00E8642C">
        <w:rPr>
          <w:rFonts w:cs="Arial"/>
          <w:szCs w:val="22"/>
        </w:rPr>
        <w:t>obligation de démontrer que la ressource génétique ou le savoir traditionnel utilisé dans l</w:t>
      </w:r>
      <w:r w:rsidR="00D91476">
        <w:rPr>
          <w:rFonts w:cs="Arial"/>
          <w:szCs w:val="22"/>
        </w:rPr>
        <w:t>’</w:t>
      </w:r>
      <w:r w:rsidRPr="00E8642C">
        <w:rPr>
          <w:rFonts w:cs="Arial"/>
          <w:szCs w:val="22"/>
        </w:rPr>
        <w:t>invention a été obtenu et utilisé conformément aux lois applicables dans le pays d</w:t>
      </w:r>
      <w:r w:rsidR="00D91476">
        <w:rPr>
          <w:rFonts w:cs="Arial"/>
          <w:szCs w:val="22"/>
        </w:rPr>
        <w:t>’</w:t>
      </w:r>
      <w:r w:rsidRPr="00E8642C">
        <w:rPr>
          <w:rFonts w:cs="Arial"/>
          <w:szCs w:val="22"/>
        </w:rPr>
        <w:t>origine ou conformément aux termes de tout accord particulier consignant le consentement préalable en connaissance de cause;  ou de démontrer que l</w:t>
      </w:r>
      <w:r w:rsidR="00D91476">
        <w:rPr>
          <w:rFonts w:cs="Arial"/>
          <w:szCs w:val="22"/>
        </w:rPr>
        <w:t>’</w:t>
      </w:r>
      <w:r w:rsidRPr="00E8642C">
        <w:rPr>
          <w:rFonts w:cs="Arial"/>
          <w:szCs w:val="22"/>
        </w:rPr>
        <w:t>acte de demander un brevet est accompli conformément à un consentement préalable en connaissance de cause</w:t>
      </w:r>
      <w:r w:rsidRPr="00E8642C">
        <w:rPr>
          <w:rFonts w:cs="Arial"/>
          <w:szCs w:val="22"/>
          <w:vertAlign w:val="superscript"/>
        </w:rPr>
        <w:footnoteReference w:id="71"/>
      </w:r>
      <w:r w:rsidRPr="00E8642C">
        <w:rPr>
          <w:rFonts w:cs="Arial"/>
          <w:szCs w:val="22"/>
        </w:rPr>
        <w:t>.</w:t>
      </w:r>
    </w:p>
    <w:p w:rsidR="00D23D81" w:rsidRDefault="00DD607D" w:rsidP="00D23D81">
      <w:pPr>
        <w:spacing w:after="220"/>
        <w:rPr>
          <w:rFonts w:cs="Arial"/>
          <w:szCs w:val="22"/>
        </w:rPr>
      </w:pPr>
      <w:r w:rsidRPr="00E8642C">
        <w:rPr>
          <w:rFonts w:cs="Arial"/>
          <w:szCs w:val="22"/>
        </w:rPr>
        <w:t>D</w:t>
      </w:r>
      <w:r w:rsidR="00D91476">
        <w:rPr>
          <w:rFonts w:cs="Arial"/>
          <w:szCs w:val="22"/>
        </w:rPr>
        <w:t>’</w:t>
      </w:r>
      <w:r w:rsidRPr="00E8642C">
        <w:rPr>
          <w:rFonts w:cs="Arial"/>
          <w:szCs w:val="22"/>
        </w:rPr>
        <w:t>autres mécanismes ont également été proposés</w:t>
      </w:r>
      <w:r w:rsidRPr="00E8642C">
        <w:rPr>
          <w:rFonts w:cs="Arial"/>
          <w:szCs w:val="22"/>
          <w:vertAlign w:val="superscript"/>
        </w:rPr>
        <w:footnoteReference w:id="72"/>
      </w:r>
      <w:r w:rsidRPr="00E8642C">
        <w:rPr>
          <w:rFonts w:cs="Arial"/>
          <w:szCs w:val="22"/>
        </w:rPr>
        <w:t>.  L</w:t>
      </w:r>
      <w:r w:rsidR="00D91476">
        <w:rPr>
          <w:rFonts w:cs="Arial"/>
          <w:szCs w:val="22"/>
        </w:rPr>
        <w:t>’</w:t>
      </w:r>
      <w:r w:rsidRPr="00E8642C">
        <w:rPr>
          <w:rFonts w:cs="Arial"/>
          <w:szCs w:val="22"/>
        </w:rPr>
        <w:t>initiative internationale relative au projet d</w:t>
      </w:r>
      <w:r w:rsidR="00D91476">
        <w:rPr>
          <w:rFonts w:cs="Arial"/>
          <w:szCs w:val="22"/>
        </w:rPr>
        <w:t>’</w:t>
      </w:r>
      <w:r w:rsidRPr="00E8642C">
        <w:rPr>
          <w:rFonts w:cs="Arial"/>
          <w:szCs w:val="22"/>
        </w:rPr>
        <w:t>article 29</w:t>
      </w:r>
      <w:r w:rsidRPr="00E8642C">
        <w:rPr>
          <w:rFonts w:cs="Arial"/>
          <w:i/>
          <w:szCs w:val="22"/>
        </w:rPr>
        <w:t xml:space="preserve">bis </w:t>
      </w:r>
      <w:r w:rsidRPr="00E8642C">
        <w:rPr>
          <w:rFonts w:cs="Arial"/>
          <w:szCs w:val="22"/>
        </w:rPr>
        <w:t>de l</w:t>
      </w:r>
      <w:r w:rsidR="00D91476">
        <w:rPr>
          <w:rFonts w:cs="Arial"/>
          <w:szCs w:val="22"/>
        </w:rPr>
        <w:t>’</w:t>
      </w:r>
      <w:r w:rsidRPr="00E8642C">
        <w:rPr>
          <w:rFonts w:cs="Arial"/>
          <w:i/>
          <w:szCs w:val="22"/>
        </w:rPr>
        <w:t>Accord sur les aspects des droits de propriété intellectuelle qui touchent au commerce</w:t>
      </w:r>
      <w:r w:rsidRPr="00E8642C">
        <w:rPr>
          <w:rFonts w:cs="Arial"/>
          <w:szCs w:val="22"/>
        </w:rPr>
        <w:t xml:space="preserve"> (1994) (Accord sur les ADPIC) de l</w:t>
      </w:r>
      <w:r w:rsidR="00D91476">
        <w:rPr>
          <w:rFonts w:cs="Arial"/>
          <w:szCs w:val="22"/>
        </w:rPr>
        <w:t>’</w:t>
      </w:r>
      <w:r w:rsidRPr="00E8642C">
        <w:rPr>
          <w:rFonts w:cs="Arial"/>
          <w:szCs w:val="22"/>
        </w:rPr>
        <w:t>Organisation mondiale du commerce (OMC) mise en avant par un certain nombre de pays en est un exemple</w:t>
      </w:r>
      <w:r w:rsidRPr="00E8642C">
        <w:rPr>
          <w:rFonts w:cs="Arial"/>
          <w:szCs w:val="22"/>
          <w:vertAlign w:val="superscript"/>
        </w:rPr>
        <w:footnoteReference w:id="73"/>
      </w:r>
      <w:r w:rsidRPr="00E8642C">
        <w:rPr>
          <w:rFonts w:cs="Arial"/>
          <w:szCs w:val="22"/>
        </w:rPr>
        <w:t>.</w:t>
      </w:r>
    </w:p>
    <w:p w:rsidR="00D23D81" w:rsidRDefault="00DD607D" w:rsidP="00D23D81">
      <w:pPr>
        <w:pStyle w:val="Heading2"/>
        <w:spacing w:after="220" w:line="240" w:lineRule="auto"/>
      </w:pPr>
      <w:bookmarkStart w:id="60" w:name="_Toc7772536"/>
      <w:r w:rsidRPr="00E8642C">
        <w:t>Expression par l</w:t>
      </w:r>
      <w:r w:rsidR="00D91476">
        <w:t>’</w:t>
      </w:r>
      <w:r w:rsidRPr="00E8642C">
        <w:t>action</w:t>
      </w:r>
      <w:bookmarkEnd w:id="60"/>
    </w:p>
    <w:p w:rsidR="00D23D81" w:rsidRDefault="00DD607D" w:rsidP="00D23D81">
      <w:pPr>
        <w:pStyle w:val="CommentText"/>
        <w:spacing w:after="220"/>
        <w:rPr>
          <w:rFonts w:cs="Arial"/>
          <w:szCs w:val="22"/>
        </w:rPr>
      </w:pPr>
      <w:r w:rsidRPr="00E8642C">
        <w:rPr>
          <w:rFonts w:cs="Arial"/>
          <w:szCs w:val="22"/>
        </w:rPr>
        <w:t>“Expression par l</w:t>
      </w:r>
      <w:r w:rsidR="00D91476">
        <w:rPr>
          <w:rFonts w:cs="Arial"/>
          <w:szCs w:val="22"/>
        </w:rPr>
        <w:t>’</w:t>
      </w:r>
      <w:r w:rsidRPr="00E8642C">
        <w:rPr>
          <w:rFonts w:cs="Arial"/>
          <w:szCs w:val="22"/>
        </w:rPr>
        <w:t>action” renvoie à des expressions du corps humain</w:t>
      </w:r>
      <w:r w:rsidRPr="00E8642C">
        <w:rPr>
          <w:rStyle w:val="FootnoteReference"/>
          <w:rFonts w:cs="Arial"/>
          <w:szCs w:val="22"/>
        </w:rPr>
        <w:footnoteReference w:id="74"/>
      </w:r>
      <w:r w:rsidRPr="00E8642C">
        <w:rPr>
          <w:rFonts w:cs="Arial"/>
          <w:szCs w:val="22"/>
        </w:rPr>
        <w:t>.  Elles peuvent comprendre des danses folkloriques, des pièces de théâtre et des formes artistiques de rituels, et ne doivent pas nécessairement être réduites à une forme matérielle, par exemple être écrites dans une notation chorégraphique</w:t>
      </w:r>
      <w:r w:rsidRPr="00E8642C">
        <w:rPr>
          <w:rStyle w:val="FootnoteReference"/>
          <w:rFonts w:cs="Arial"/>
          <w:szCs w:val="22"/>
        </w:rPr>
        <w:footnoteReference w:id="75"/>
      </w:r>
      <w:r w:rsidRPr="00E8642C">
        <w:rPr>
          <w:rFonts w:cs="Arial"/>
          <w:szCs w:val="22"/>
        </w:rPr>
        <w:t>.</w:t>
      </w:r>
    </w:p>
    <w:p w:rsidR="00D23D81" w:rsidRDefault="00DD607D" w:rsidP="00D23D81">
      <w:pPr>
        <w:pStyle w:val="Heading2"/>
        <w:spacing w:after="220" w:line="240" w:lineRule="auto"/>
      </w:pPr>
      <w:bookmarkStart w:id="61" w:name="_Toc7772537"/>
      <w:r w:rsidRPr="00E8642C">
        <w:t>Expressions culturelles</w:t>
      </w:r>
      <w:bookmarkEnd w:id="61"/>
    </w:p>
    <w:p w:rsidR="00D23D81" w:rsidRDefault="00DD607D" w:rsidP="00D23D81">
      <w:pPr>
        <w:pStyle w:val="FootnoteText"/>
        <w:spacing w:after="220"/>
        <w:ind w:left="0" w:firstLine="0"/>
        <w:rPr>
          <w:rFonts w:cs="Arial"/>
          <w:szCs w:val="22"/>
        </w:rPr>
      </w:pPr>
      <w:r w:rsidRPr="00E8642C">
        <w:rPr>
          <w:rFonts w:cs="Arial"/>
          <w:szCs w:val="22"/>
        </w:rPr>
        <w:t xml:space="preserve">La </w:t>
      </w:r>
      <w:r w:rsidRPr="00E8642C">
        <w:rPr>
          <w:rFonts w:cs="Arial"/>
          <w:i/>
          <w:szCs w:val="22"/>
        </w:rPr>
        <w:t>Convention sur la protection et la promotion de la diversité des expressions culturelles</w:t>
      </w:r>
      <w:r w:rsidRPr="00E8642C">
        <w:rPr>
          <w:rFonts w:cs="Arial"/>
          <w:szCs w:val="22"/>
        </w:rPr>
        <w:t xml:space="preserve"> (2005)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éducation, la science et la culture (UNESCO) définit les expressions culturelles comme “les expressions qui résultent de la créativité des individus, des groupes et des sociétés, et qui ont un contenu culturel”</w:t>
      </w:r>
      <w:r w:rsidRPr="00E8642C">
        <w:rPr>
          <w:rStyle w:val="FootnoteReference"/>
          <w:rFonts w:cs="Arial"/>
          <w:szCs w:val="22"/>
        </w:rPr>
        <w:footnoteReference w:id="76"/>
      </w:r>
      <w:r w:rsidRPr="00E8642C">
        <w:rPr>
          <w:rFonts w:cs="Arial"/>
          <w:szCs w:val="22"/>
        </w:rPr>
        <w:t>.</w:t>
      </w:r>
    </w:p>
    <w:p w:rsidR="00D23D81" w:rsidRDefault="00DD607D" w:rsidP="00D23D81">
      <w:pPr>
        <w:pStyle w:val="Heading2"/>
        <w:spacing w:after="220" w:line="240" w:lineRule="auto"/>
      </w:pPr>
      <w:bookmarkStart w:id="62" w:name="_Toc7772538"/>
      <w:r w:rsidRPr="00E8642C">
        <w:t>Expressions culturelles traditionnelles</w:t>
      </w:r>
      <w:bookmarkEnd w:id="62"/>
    </w:p>
    <w:p w:rsidR="00D23D81"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OMPI utilise les termes “expressions culturelles traditionnelles” et “expressions du folklore” pour désigner les formes tangibles et intangibles dans lesquelles les savoirs traditionnels et les cultures traditionnelles sont exprimés, communiqués ou présent</w:t>
      </w:r>
      <w:r w:rsidR="001F3AEE" w:rsidRPr="00E8642C">
        <w:rPr>
          <w:rFonts w:cs="Arial"/>
          <w:szCs w:val="22"/>
        </w:rPr>
        <w:t>és</w:t>
      </w:r>
      <w:r w:rsidR="001F3AEE">
        <w:rPr>
          <w:rFonts w:cs="Arial"/>
          <w:szCs w:val="22"/>
        </w:rPr>
        <w:t xml:space="preserve">.  </w:t>
      </w:r>
      <w:r w:rsidR="001F3AEE" w:rsidRPr="00E8642C">
        <w:rPr>
          <w:rFonts w:cs="Arial"/>
          <w:szCs w:val="22"/>
        </w:rPr>
        <w:t>On</w:t>
      </w:r>
      <w:r w:rsidRPr="00E8642C">
        <w:rPr>
          <w:rFonts w:cs="Arial"/>
          <w:szCs w:val="22"/>
        </w:rPr>
        <w:t xml:space="preserve"> peut donner comme exemples la musique, les interprétations et exécutions, les récits, les noms et les symboles, les dessins et les ouvrages d</w:t>
      </w:r>
      <w:r w:rsidR="00D91476">
        <w:rPr>
          <w:rFonts w:cs="Arial"/>
          <w:szCs w:val="22"/>
        </w:rPr>
        <w:t>’</w:t>
      </w:r>
      <w:r w:rsidRPr="00E8642C">
        <w:rPr>
          <w:rFonts w:cs="Arial"/>
          <w:szCs w:val="22"/>
        </w:rPr>
        <w:t>architecture traditionne</w:t>
      </w:r>
      <w:r w:rsidR="001F3AEE" w:rsidRPr="00E8642C">
        <w:rPr>
          <w:rFonts w:cs="Arial"/>
          <w:szCs w:val="22"/>
        </w:rPr>
        <w:t>ls</w:t>
      </w:r>
      <w:r w:rsidR="001F3AEE">
        <w:rPr>
          <w:rFonts w:cs="Arial"/>
          <w:szCs w:val="22"/>
        </w:rPr>
        <w:t xml:space="preserve">.  </w:t>
      </w:r>
      <w:r w:rsidR="001F3AEE" w:rsidRPr="00E8642C">
        <w:rPr>
          <w:rFonts w:cs="Arial"/>
          <w:szCs w:val="22"/>
        </w:rPr>
        <w:t>Le</w:t>
      </w:r>
      <w:r w:rsidRPr="00E8642C">
        <w:rPr>
          <w:rFonts w:cs="Arial"/>
          <w:szCs w:val="22"/>
        </w:rPr>
        <w:t>s termes “expressions culturelles traditionnelles” et “expressions du folklore” sont utilisés comme des synonymes interchangeables et peuvent être désignés par le seul terme “expressions culturelles traditionnelles”.  L</w:t>
      </w:r>
      <w:r w:rsidR="00D91476">
        <w:rPr>
          <w:rFonts w:cs="Arial"/>
          <w:szCs w:val="22"/>
        </w:rPr>
        <w:t>’</w:t>
      </w:r>
      <w:r w:rsidRPr="00E8642C">
        <w:rPr>
          <w:rFonts w:cs="Arial"/>
          <w:szCs w:val="22"/>
        </w:rPr>
        <w:t>utilisation de ces termes ne tend pas à suggérer l</w:t>
      </w:r>
      <w:r w:rsidR="00D91476">
        <w:rPr>
          <w:rFonts w:cs="Arial"/>
          <w:szCs w:val="22"/>
        </w:rPr>
        <w:t>’</w:t>
      </w:r>
      <w:r w:rsidRPr="00E8642C">
        <w:rPr>
          <w:rFonts w:cs="Arial"/>
          <w:szCs w:val="22"/>
        </w:rPr>
        <w:t>existence d</w:t>
      </w:r>
      <w:r w:rsidR="00D91476">
        <w:rPr>
          <w:rFonts w:cs="Arial"/>
          <w:szCs w:val="22"/>
        </w:rPr>
        <w:t>’</w:t>
      </w:r>
      <w:r w:rsidRPr="00E8642C">
        <w:rPr>
          <w:rFonts w:cs="Arial"/>
          <w:szCs w:val="22"/>
        </w:rPr>
        <w:t>un quelconque consensus entre les États membres de l</w:t>
      </w:r>
      <w:r w:rsidR="00D91476">
        <w:rPr>
          <w:rFonts w:cs="Arial"/>
          <w:szCs w:val="22"/>
        </w:rPr>
        <w:t>’</w:t>
      </w:r>
      <w:r w:rsidRPr="00E8642C">
        <w:rPr>
          <w:rFonts w:cs="Arial"/>
          <w:szCs w:val="22"/>
        </w:rPr>
        <w:t>OMPI quant à la validité ou à l</w:t>
      </w:r>
      <w:r w:rsidR="00D91476">
        <w:rPr>
          <w:rFonts w:cs="Arial"/>
          <w:szCs w:val="22"/>
        </w:rPr>
        <w:t>’</w:t>
      </w:r>
      <w:r w:rsidRPr="00E8642C">
        <w:rPr>
          <w:rFonts w:cs="Arial"/>
          <w:szCs w:val="22"/>
        </w:rPr>
        <w:t>opportunité de ces termes ou d</w:t>
      </w:r>
      <w:r w:rsidR="00D91476">
        <w:rPr>
          <w:rFonts w:cs="Arial"/>
          <w:szCs w:val="22"/>
        </w:rPr>
        <w:t>’</w:t>
      </w:r>
      <w:r w:rsidRPr="00E8642C">
        <w:rPr>
          <w:rFonts w:cs="Arial"/>
          <w:szCs w:val="22"/>
        </w:rPr>
        <w:t xml:space="preserve">autres </w:t>
      </w:r>
      <w:proofErr w:type="gramStart"/>
      <w:r w:rsidRPr="00E8642C">
        <w:rPr>
          <w:rFonts w:cs="Arial"/>
          <w:szCs w:val="22"/>
        </w:rPr>
        <w:t>termes;  par</w:t>
      </w:r>
      <w:proofErr w:type="gramEnd"/>
      <w:r w:rsidRPr="00E8642C">
        <w:rPr>
          <w:rFonts w:cs="Arial"/>
          <w:szCs w:val="22"/>
        </w:rPr>
        <w:t xml:space="preserve"> ailleurs, elle n</w:t>
      </w:r>
      <w:r w:rsidR="00D91476">
        <w:rPr>
          <w:rFonts w:cs="Arial"/>
          <w:szCs w:val="22"/>
        </w:rPr>
        <w:t>’</w:t>
      </w:r>
      <w:r w:rsidRPr="00E8642C">
        <w:rPr>
          <w:rFonts w:cs="Arial"/>
          <w:szCs w:val="22"/>
        </w:rPr>
        <w:t>affecte en rien ni ne limite l</w:t>
      </w:r>
      <w:r w:rsidR="00D91476">
        <w:rPr>
          <w:rFonts w:cs="Arial"/>
          <w:szCs w:val="22"/>
        </w:rPr>
        <w:t>’</w:t>
      </w:r>
      <w:r w:rsidRPr="00E8642C">
        <w:rPr>
          <w:rFonts w:cs="Arial"/>
          <w:szCs w:val="22"/>
        </w:rPr>
        <w:t>utilisation d</w:t>
      </w:r>
      <w:r w:rsidR="00D91476">
        <w:rPr>
          <w:rFonts w:cs="Arial"/>
          <w:szCs w:val="22"/>
        </w:rPr>
        <w:t>’</w:t>
      </w:r>
      <w:r w:rsidRPr="00E8642C">
        <w:rPr>
          <w:rFonts w:cs="Arial"/>
          <w:szCs w:val="22"/>
        </w:rPr>
        <w:t>autres termes dans les législations nationales ou régionales.</w:t>
      </w:r>
    </w:p>
    <w:p w:rsidR="00D23D81" w:rsidRDefault="00DD607D" w:rsidP="00D23D81">
      <w:pPr>
        <w:pStyle w:val="Heading2"/>
        <w:spacing w:after="220" w:line="240" w:lineRule="auto"/>
      </w:pPr>
      <w:bookmarkStart w:id="63" w:name="_Toc7772539"/>
      <w:r w:rsidRPr="00E8642C">
        <w:t>Expressions du folklore</w:t>
      </w:r>
      <w:bookmarkEnd w:id="63"/>
    </w:p>
    <w:p w:rsidR="00D23D81" w:rsidRDefault="00DD607D" w:rsidP="00D23D81">
      <w:pPr>
        <w:pStyle w:val="CommentText"/>
        <w:spacing w:after="220"/>
        <w:rPr>
          <w:rFonts w:cs="Arial"/>
          <w:szCs w:val="22"/>
        </w:rPr>
      </w:pPr>
      <w:r w:rsidRPr="00E8642C">
        <w:rPr>
          <w:rFonts w:cs="Arial"/>
          <w:szCs w:val="22"/>
        </w:rPr>
        <w:t xml:space="preserve">Dans les </w:t>
      </w:r>
      <w:r w:rsidRPr="00E8642C">
        <w:rPr>
          <w:rFonts w:cs="Arial"/>
          <w:i/>
          <w:szCs w:val="22"/>
        </w:rPr>
        <w:t>dispositions types OMPI</w:t>
      </w:r>
      <w:r w:rsidR="00400337">
        <w:rPr>
          <w:rFonts w:cs="Arial"/>
          <w:i/>
          <w:szCs w:val="22"/>
        </w:rPr>
        <w:noBreakHyphen/>
      </w:r>
      <w:r w:rsidRPr="00E8642C">
        <w:rPr>
          <w:rFonts w:cs="Arial"/>
          <w:i/>
          <w:szCs w:val="22"/>
        </w:rPr>
        <w:t>UNESCO</w:t>
      </w:r>
      <w:r w:rsidRPr="00E8642C">
        <w:rPr>
          <w:rFonts w:cs="Arial"/>
          <w:szCs w:val="22"/>
        </w:rPr>
        <w:t xml:space="preserve"> (1982), on entend par “expressions du folklore”, les productions se composant d</w:t>
      </w:r>
      <w:r w:rsidR="00D91476">
        <w:rPr>
          <w:rFonts w:cs="Arial"/>
          <w:szCs w:val="22"/>
        </w:rPr>
        <w:t>’</w:t>
      </w:r>
      <w:r w:rsidRPr="00E8642C">
        <w:rPr>
          <w:rFonts w:cs="Arial"/>
          <w:szCs w:val="22"/>
        </w:rPr>
        <w:t>éléments caractéristiques du patrimoine artistique traditionnel développé et perpétué par une communauté d</w:t>
      </w:r>
      <w:r w:rsidR="00D91476">
        <w:rPr>
          <w:rFonts w:cs="Arial"/>
          <w:szCs w:val="22"/>
        </w:rPr>
        <w:t>’</w:t>
      </w:r>
      <w:r w:rsidRPr="00E8642C">
        <w:rPr>
          <w:rFonts w:cs="Arial"/>
          <w:szCs w:val="22"/>
        </w:rPr>
        <w:t>un pays ou par des individus reconnus comme répondant aux aspirations artistiques traditionnelles de cette communauté, en particulier</w:t>
      </w:r>
      <w:r w:rsidR="00D91476">
        <w:rPr>
          <w:rFonts w:cs="Arial"/>
          <w:szCs w:val="22"/>
        </w:rPr>
        <w:t> :</w:t>
      </w:r>
    </w:p>
    <w:p w:rsidR="00DD607D" w:rsidRPr="00E8642C" w:rsidRDefault="00DD607D" w:rsidP="00EF6794">
      <w:pPr>
        <w:numPr>
          <w:ilvl w:val="0"/>
          <w:numId w:val="19"/>
        </w:numPr>
        <w:autoSpaceDE w:val="0"/>
        <w:autoSpaceDN w:val="0"/>
        <w:adjustRightInd w:val="0"/>
        <w:spacing w:after="120"/>
        <w:rPr>
          <w:rFonts w:cs="Arial"/>
          <w:szCs w:val="22"/>
        </w:rPr>
      </w:pPr>
      <w:proofErr w:type="gramStart"/>
      <w:r w:rsidRPr="00E8642C">
        <w:rPr>
          <w:rFonts w:cs="Arial"/>
          <w:szCs w:val="22"/>
        </w:rPr>
        <w:t>les</w:t>
      </w:r>
      <w:proofErr w:type="gramEnd"/>
      <w:r w:rsidRPr="00E8642C">
        <w:rPr>
          <w:rFonts w:cs="Arial"/>
          <w:szCs w:val="22"/>
        </w:rPr>
        <w:t xml:space="preserve"> expressions verbales telles que les contes populaires, la poésie populaire et les énigmes;</w:t>
      </w:r>
    </w:p>
    <w:p w:rsidR="00DD607D" w:rsidRPr="00E8642C" w:rsidRDefault="00DD607D" w:rsidP="00EF6794">
      <w:pPr>
        <w:numPr>
          <w:ilvl w:val="0"/>
          <w:numId w:val="19"/>
        </w:numPr>
        <w:autoSpaceDE w:val="0"/>
        <w:autoSpaceDN w:val="0"/>
        <w:adjustRightInd w:val="0"/>
        <w:spacing w:after="120"/>
        <w:rPr>
          <w:rFonts w:cs="Arial"/>
          <w:szCs w:val="22"/>
        </w:rPr>
      </w:pPr>
      <w:proofErr w:type="gramStart"/>
      <w:r w:rsidRPr="00E8642C">
        <w:rPr>
          <w:rFonts w:cs="Arial"/>
          <w:szCs w:val="22"/>
        </w:rPr>
        <w:t>les</w:t>
      </w:r>
      <w:proofErr w:type="gramEnd"/>
      <w:r w:rsidRPr="00E8642C">
        <w:rPr>
          <w:rFonts w:cs="Arial"/>
          <w:szCs w:val="22"/>
        </w:rPr>
        <w:t xml:space="preserve"> expressions musicales telles que les chansons et la musique instrumentale populaire;</w:t>
      </w:r>
    </w:p>
    <w:p w:rsidR="00DD607D" w:rsidRPr="00E8642C" w:rsidRDefault="00DD607D" w:rsidP="00EF6794">
      <w:pPr>
        <w:numPr>
          <w:ilvl w:val="0"/>
          <w:numId w:val="19"/>
        </w:numPr>
        <w:autoSpaceDE w:val="0"/>
        <w:autoSpaceDN w:val="0"/>
        <w:adjustRightInd w:val="0"/>
        <w:spacing w:after="120"/>
        <w:rPr>
          <w:rFonts w:cs="Arial"/>
          <w:szCs w:val="22"/>
        </w:rPr>
      </w:pPr>
      <w:proofErr w:type="gramStart"/>
      <w:r w:rsidRPr="00E8642C">
        <w:rPr>
          <w:rFonts w:cs="Arial"/>
          <w:szCs w:val="22"/>
        </w:rPr>
        <w:t>les</w:t>
      </w:r>
      <w:proofErr w:type="gramEnd"/>
      <w:r w:rsidRPr="00E8642C">
        <w:rPr>
          <w:rFonts w:cs="Arial"/>
          <w:szCs w:val="22"/>
        </w:rPr>
        <w:t xml:space="preserve"> expressions corporelles;  telles que les danses folkloriques, les pièces de théâtre et les formes artistiques de rituels;  qu</w:t>
      </w:r>
      <w:r w:rsidR="00D91476">
        <w:rPr>
          <w:rFonts w:cs="Arial"/>
          <w:szCs w:val="22"/>
        </w:rPr>
        <w:t>’</w:t>
      </w:r>
      <w:r w:rsidRPr="00E8642C">
        <w:rPr>
          <w:rFonts w:cs="Arial"/>
          <w:szCs w:val="22"/>
        </w:rPr>
        <w:t>elles soient ou non réduites à une forme matérielle;  et</w:t>
      </w:r>
    </w:p>
    <w:p w:rsidR="00DD607D" w:rsidRPr="00E8642C" w:rsidRDefault="00DD607D" w:rsidP="009243A6">
      <w:pPr>
        <w:numPr>
          <w:ilvl w:val="0"/>
          <w:numId w:val="19"/>
        </w:numPr>
        <w:autoSpaceDE w:val="0"/>
        <w:autoSpaceDN w:val="0"/>
        <w:adjustRightInd w:val="0"/>
        <w:spacing w:after="220"/>
        <w:rPr>
          <w:rFonts w:cs="Arial"/>
          <w:szCs w:val="22"/>
        </w:rPr>
      </w:pPr>
      <w:r w:rsidRPr="00E8642C">
        <w:rPr>
          <w:rFonts w:cs="Arial"/>
          <w:szCs w:val="22"/>
        </w:rPr>
        <w:t>les expressions tangibles</w:t>
      </w:r>
      <w:r w:rsidRPr="00E8642C">
        <w:rPr>
          <w:rStyle w:val="FootnoteReference"/>
          <w:rFonts w:cs="Arial"/>
          <w:szCs w:val="22"/>
        </w:rPr>
        <w:footnoteReference w:id="77"/>
      </w:r>
      <w:r w:rsidRPr="00E8642C">
        <w:rPr>
          <w:rFonts w:cs="Arial"/>
          <w:szCs w:val="22"/>
        </w:rPr>
        <w:t>.</w:t>
      </w:r>
    </w:p>
    <w:p w:rsidR="00DD607D" w:rsidRPr="00E8642C" w:rsidRDefault="00DD607D" w:rsidP="009243A6">
      <w:pPr>
        <w:pStyle w:val="CommentText"/>
        <w:spacing w:after="220"/>
        <w:rPr>
          <w:rFonts w:cs="Arial"/>
          <w:szCs w:val="22"/>
        </w:rPr>
      </w:pPr>
      <w:r w:rsidRPr="00E8642C">
        <w:rPr>
          <w:rFonts w:cs="Arial"/>
          <w:szCs w:val="22"/>
        </w:rPr>
        <w:t>Aux fins des travaux de l</w:t>
      </w:r>
      <w:r w:rsidR="00D91476">
        <w:rPr>
          <w:rFonts w:cs="Arial"/>
          <w:szCs w:val="22"/>
        </w:rPr>
        <w:t>’</w:t>
      </w:r>
      <w:r w:rsidRPr="00E8642C">
        <w:rPr>
          <w:rFonts w:cs="Arial"/>
          <w:szCs w:val="22"/>
        </w:rPr>
        <w:t>IGC, les expressions “expressions culturelles traditionnelles” et “expressions du folklore” sont synonymes et utilisées alternativement.</w:t>
      </w:r>
    </w:p>
    <w:p w:rsidR="00DD607D" w:rsidRPr="00E8642C" w:rsidRDefault="00DD607D" w:rsidP="009243A6">
      <w:pPr>
        <w:pStyle w:val="Heading2"/>
        <w:spacing w:after="220" w:line="240" w:lineRule="auto"/>
      </w:pPr>
      <w:bookmarkStart w:id="64" w:name="_Toc7772540"/>
      <w:r w:rsidRPr="00E8642C">
        <w:t>Expressions tangibles</w:t>
      </w:r>
      <w:bookmarkEnd w:id="64"/>
    </w:p>
    <w:p w:rsidR="00DD607D" w:rsidRPr="00E8642C" w:rsidRDefault="00DD607D" w:rsidP="009243A6">
      <w:pPr>
        <w:spacing w:after="220"/>
        <w:rPr>
          <w:rFonts w:cs="Arial"/>
          <w:szCs w:val="22"/>
        </w:rPr>
      </w:pPr>
      <w:r w:rsidRPr="00E8642C">
        <w:rPr>
          <w:rFonts w:cs="Arial"/>
          <w:szCs w:val="22"/>
        </w:rPr>
        <w:t xml:space="preserve">Le terme “tangible” caractérise ce qui peut être touché et </w:t>
      </w:r>
      <w:proofErr w:type="gramStart"/>
      <w:r w:rsidRPr="00E8642C">
        <w:rPr>
          <w:rFonts w:cs="Arial"/>
          <w:szCs w:val="22"/>
        </w:rPr>
        <w:t>vu;  est</w:t>
      </w:r>
      <w:proofErr w:type="gramEnd"/>
      <w:r w:rsidRPr="00E8642C">
        <w:rPr>
          <w:rFonts w:cs="Arial"/>
          <w:szCs w:val="22"/>
        </w:rPr>
        <w:t xml:space="preserve"> perceptible au toucher, peut être possédé ou obte</w:t>
      </w:r>
      <w:r w:rsidR="001F3AEE" w:rsidRPr="00E8642C">
        <w:rPr>
          <w:rFonts w:cs="Arial"/>
          <w:szCs w:val="22"/>
        </w:rPr>
        <w:t>nu</w:t>
      </w:r>
      <w:r w:rsidR="001F3AEE">
        <w:rPr>
          <w:rFonts w:cs="Arial"/>
          <w:szCs w:val="22"/>
        </w:rPr>
        <w:t xml:space="preserve">.  </w:t>
      </w:r>
      <w:r w:rsidR="001F3AEE" w:rsidRPr="00E8642C">
        <w:rPr>
          <w:rFonts w:cs="Arial"/>
          <w:szCs w:val="22"/>
        </w:rPr>
        <w:t>Le</w:t>
      </w:r>
      <w:r w:rsidRPr="00E8642C">
        <w:rPr>
          <w:rFonts w:cs="Arial"/>
          <w:szCs w:val="22"/>
        </w:rPr>
        <w:t xml:space="preserve"> terme “tangible” s</w:t>
      </w:r>
      <w:r w:rsidR="00D91476">
        <w:rPr>
          <w:rFonts w:cs="Arial"/>
          <w:szCs w:val="22"/>
        </w:rPr>
        <w:t>’</w:t>
      </w:r>
      <w:r w:rsidRPr="00E8642C">
        <w:rPr>
          <w:rFonts w:cs="Arial"/>
          <w:szCs w:val="22"/>
        </w:rPr>
        <w:t>oppose au terme “intangible” qui se rapporte à quelque chose qui n</w:t>
      </w:r>
      <w:r w:rsidR="00D91476">
        <w:rPr>
          <w:rFonts w:cs="Arial"/>
          <w:szCs w:val="22"/>
        </w:rPr>
        <w:t>’</w:t>
      </w:r>
      <w:r w:rsidRPr="00E8642C">
        <w:rPr>
          <w:rFonts w:cs="Arial"/>
          <w:szCs w:val="22"/>
        </w:rPr>
        <w:t>a pas de forme matérielle, ne peut pas être touché, est impalpable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w:t>
      </w:r>
    </w:p>
    <w:p w:rsidR="00DD607D" w:rsidRPr="00E8642C" w:rsidRDefault="00DD607D" w:rsidP="009243A6">
      <w:pPr>
        <w:spacing w:after="220"/>
        <w:rPr>
          <w:rFonts w:cs="Arial"/>
          <w:szCs w:val="22"/>
        </w:rPr>
      </w:pPr>
      <w:r w:rsidRPr="00E8642C">
        <w:rPr>
          <w:rFonts w:cs="Arial"/>
          <w:szCs w:val="22"/>
        </w:rPr>
        <w:t>Les expressions tangibles sont des objets concrets</w:t>
      </w:r>
      <w:r w:rsidRPr="00E8642C">
        <w:rPr>
          <w:rStyle w:val="FootnoteReference"/>
          <w:rFonts w:cs="Arial"/>
          <w:szCs w:val="22"/>
        </w:rPr>
        <w:footnoteReference w:id="78"/>
      </w:r>
      <w:r w:rsidRPr="00E8642C">
        <w:rPr>
          <w:rFonts w:cs="Arial"/>
          <w:szCs w:val="22"/>
        </w:rPr>
        <w:t>.  Il n</w:t>
      </w:r>
      <w:r w:rsidR="00D91476">
        <w:rPr>
          <w:rFonts w:cs="Arial"/>
          <w:szCs w:val="22"/>
        </w:rPr>
        <w:t>’</w:t>
      </w:r>
      <w:r w:rsidRPr="00E8642C">
        <w:rPr>
          <w:rFonts w:cs="Arial"/>
          <w:szCs w:val="22"/>
        </w:rPr>
        <w:t>est pas nécessaire qu</w:t>
      </w:r>
      <w:r w:rsidR="00D91476">
        <w:rPr>
          <w:rFonts w:cs="Arial"/>
          <w:szCs w:val="22"/>
        </w:rPr>
        <w:t>’</w:t>
      </w:r>
      <w:r w:rsidRPr="00E8642C">
        <w:rPr>
          <w:rFonts w:cs="Arial"/>
          <w:szCs w:val="22"/>
        </w:rPr>
        <w:t>elles soient fixées sur un support mais elles doivent être fixées sur un matériau durable comme la pierre, le bois, le textile, l</w:t>
      </w:r>
      <w:r w:rsidR="00D91476">
        <w:rPr>
          <w:rFonts w:cs="Arial"/>
          <w:szCs w:val="22"/>
        </w:rPr>
        <w:t>’</w:t>
      </w:r>
      <w:r w:rsidRPr="00E8642C">
        <w:rPr>
          <w:rFonts w:cs="Arial"/>
          <w:szCs w:val="22"/>
        </w:rPr>
        <w:t>or, e</w:t>
      </w:r>
      <w:r w:rsidR="001F3AEE" w:rsidRPr="00E8642C">
        <w:rPr>
          <w:rFonts w:cs="Arial"/>
          <w:szCs w:val="22"/>
        </w:rPr>
        <w:t>tc</w:t>
      </w:r>
      <w:r w:rsidR="001F3AEE">
        <w:rPr>
          <w:rFonts w:cs="Arial"/>
          <w:szCs w:val="22"/>
        </w:rPr>
        <w:t xml:space="preserve">.  </w:t>
      </w:r>
      <w:r w:rsidR="001F3AEE" w:rsidRPr="00E8642C">
        <w:rPr>
          <w:rFonts w:cs="Arial"/>
          <w:szCs w:val="22"/>
        </w:rPr>
        <w:t>Le</w:t>
      </w:r>
      <w:r w:rsidRPr="00E8642C">
        <w:rPr>
          <w:rFonts w:cs="Arial"/>
          <w:szCs w:val="22"/>
        </w:rPr>
        <w:t>s expressions tangibles peuvent prétendre à la protection au titre des expressions du folklo</w:t>
      </w:r>
      <w:r w:rsidR="001F3AEE" w:rsidRPr="00E8642C">
        <w:rPr>
          <w:rFonts w:cs="Arial"/>
          <w:szCs w:val="22"/>
        </w:rPr>
        <w:t>re</w:t>
      </w:r>
      <w:r w:rsidR="001F3AEE">
        <w:rPr>
          <w:rFonts w:cs="Arial"/>
          <w:szCs w:val="22"/>
        </w:rPr>
        <w:t xml:space="preserve">.  </w:t>
      </w:r>
      <w:r w:rsidR="001F3AEE" w:rsidRPr="00E8642C">
        <w:rPr>
          <w:rFonts w:cs="Arial"/>
          <w:szCs w:val="22"/>
        </w:rPr>
        <w:t>On</w:t>
      </w:r>
      <w:r w:rsidRPr="00E8642C">
        <w:rPr>
          <w:rFonts w:cs="Arial"/>
          <w:szCs w:val="22"/>
        </w:rPr>
        <w:t xml:space="preserve"> peut donner les exemples ci</w:t>
      </w:r>
      <w:r w:rsidR="00400337">
        <w:rPr>
          <w:rFonts w:cs="Arial"/>
          <w:szCs w:val="22"/>
        </w:rPr>
        <w:noBreakHyphen/>
      </w:r>
      <w:r w:rsidRPr="00E8642C">
        <w:rPr>
          <w:rFonts w:cs="Arial"/>
          <w:szCs w:val="22"/>
        </w:rPr>
        <w:t>après d</w:t>
      </w:r>
      <w:r w:rsidR="00D91476">
        <w:rPr>
          <w:rFonts w:cs="Arial"/>
          <w:szCs w:val="22"/>
        </w:rPr>
        <w:t>’</w:t>
      </w:r>
      <w:r w:rsidRPr="00E8642C">
        <w:rPr>
          <w:rFonts w:cs="Arial"/>
          <w:szCs w:val="22"/>
        </w:rPr>
        <w:t>éléments constitutifs d</w:t>
      </w:r>
      <w:r w:rsidR="00D91476">
        <w:rPr>
          <w:rFonts w:cs="Arial"/>
          <w:szCs w:val="22"/>
        </w:rPr>
        <w:t>’</w:t>
      </w:r>
      <w:r w:rsidRPr="00E8642C">
        <w:rPr>
          <w:rFonts w:cs="Arial"/>
          <w:szCs w:val="22"/>
        </w:rPr>
        <w:t>expressions tangibles</w:t>
      </w:r>
      <w:r w:rsidR="00D91476">
        <w:rPr>
          <w:rFonts w:cs="Arial"/>
          <w:szCs w:val="22"/>
        </w:rPr>
        <w:t> :</w:t>
      </w:r>
    </w:p>
    <w:p w:rsidR="00DD607D" w:rsidRPr="00E8642C" w:rsidRDefault="00DD607D" w:rsidP="00C21AB4">
      <w:pPr>
        <w:numPr>
          <w:ilvl w:val="2"/>
          <w:numId w:val="5"/>
        </w:numPr>
        <w:autoSpaceDE w:val="0"/>
        <w:autoSpaceDN w:val="0"/>
        <w:adjustRightInd w:val="0"/>
        <w:spacing w:after="120"/>
        <w:ind w:left="567"/>
        <w:rPr>
          <w:rFonts w:cs="Arial"/>
          <w:szCs w:val="22"/>
        </w:rPr>
      </w:pPr>
      <w:proofErr w:type="gramStart"/>
      <w:r w:rsidRPr="00E8642C">
        <w:rPr>
          <w:rFonts w:cs="Arial"/>
          <w:szCs w:val="22"/>
        </w:rPr>
        <w:t>les</w:t>
      </w:r>
      <w:proofErr w:type="gramEnd"/>
      <w:r w:rsidRPr="00E8642C">
        <w:rPr>
          <w:rFonts w:cs="Arial"/>
          <w:szCs w:val="22"/>
        </w:rPr>
        <w:t xml:space="preserve"> ouvrages d</w:t>
      </w:r>
      <w:r w:rsidR="00D91476">
        <w:rPr>
          <w:rFonts w:cs="Arial"/>
          <w:szCs w:val="22"/>
        </w:rPr>
        <w:t>’</w:t>
      </w:r>
      <w:r w:rsidRPr="00E8642C">
        <w:rPr>
          <w:rFonts w:cs="Arial"/>
          <w:szCs w:val="22"/>
        </w:rPr>
        <w:t>art populaire, notamment les dessins, peintures, ciselures, sculptures, poteries, terres cuites, mosaïques, travaux sur bois, objets métalliques, bijoux, vanneries, travaux d</w:t>
      </w:r>
      <w:r w:rsidR="00D91476">
        <w:rPr>
          <w:rFonts w:cs="Arial"/>
          <w:szCs w:val="22"/>
        </w:rPr>
        <w:t>’</w:t>
      </w:r>
      <w:r w:rsidRPr="00E8642C">
        <w:rPr>
          <w:rFonts w:cs="Arial"/>
          <w:szCs w:val="22"/>
        </w:rPr>
        <w:t>aiguille, textiles, tapis, costumes;</w:t>
      </w:r>
    </w:p>
    <w:p w:rsidR="00DD607D" w:rsidRPr="00E8642C" w:rsidRDefault="00DD607D" w:rsidP="00C21AB4">
      <w:pPr>
        <w:numPr>
          <w:ilvl w:val="2"/>
          <w:numId w:val="5"/>
        </w:numPr>
        <w:autoSpaceDE w:val="0"/>
        <w:autoSpaceDN w:val="0"/>
        <w:adjustRightInd w:val="0"/>
        <w:spacing w:after="120"/>
        <w:ind w:left="567"/>
        <w:rPr>
          <w:rFonts w:cs="Arial"/>
          <w:szCs w:val="22"/>
        </w:rPr>
      </w:pPr>
      <w:proofErr w:type="gramStart"/>
      <w:r w:rsidRPr="00E8642C">
        <w:rPr>
          <w:rFonts w:cs="Arial"/>
          <w:szCs w:val="22"/>
        </w:rPr>
        <w:t>les</w:t>
      </w:r>
      <w:proofErr w:type="gramEnd"/>
      <w:r w:rsidRPr="00E8642C">
        <w:rPr>
          <w:rFonts w:cs="Arial"/>
          <w:szCs w:val="22"/>
        </w:rPr>
        <w:t xml:space="preserve"> instruments de musique;</w:t>
      </w:r>
    </w:p>
    <w:p w:rsidR="009243A6" w:rsidRDefault="00DD607D" w:rsidP="009243A6">
      <w:pPr>
        <w:numPr>
          <w:ilvl w:val="2"/>
          <w:numId w:val="5"/>
        </w:numPr>
        <w:autoSpaceDE w:val="0"/>
        <w:autoSpaceDN w:val="0"/>
        <w:adjustRightInd w:val="0"/>
        <w:spacing w:after="220"/>
        <w:ind w:left="567"/>
        <w:rPr>
          <w:rFonts w:cs="Arial"/>
          <w:szCs w:val="22"/>
        </w:rPr>
      </w:pPr>
      <w:r w:rsidRPr="00E8642C">
        <w:rPr>
          <w:rFonts w:cs="Arial"/>
          <w:szCs w:val="22"/>
        </w:rPr>
        <w:t>les ouvrages d</w:t>
      </w:r>
      <w:r w:rsidR="00D91476">
        <w:rPr>
          <w:rFonts w:cs="Arial"/>
          <w:szCs w:val="22"/>
        </w:rPr>
        <w:t>’</w:t>
      </w:r>
      <w:r w:rsidRPr="00E8642C">
        <w:rPr>
          <w:rFonts w:cs="Arial"/>
          <w:szCs w:val="22"/>
        </w:rPr>
        <w:t>architecture</w:t>
      </w:r>
      <w:r w:rsidRPr="00E8642C">
        <w:rPr>
          <w:rStyle w:val="FootnoteReference"/>
          <w:rFonts w:cs="Arial"/>
          <w:szCs w:val="22"/>
        </w:rPr>
        <w:footnoteReference w:id="79"/>
      </w:r>
      <w:r w:rsidRPr="00E8642C">
        <w:rPr>
          <w:rFonts w:cs="Arial"/>
          <w:szCs w:val="22"/>
        </w:rPr>
        <w:t>.</w:t>
      </w:r>
    </w:p>
    <w:p w:rsidR="009243A6" w:rsidRDefault="00DD607D" w:rsidP="009243A6">
      <w:pPr>
        <w:pStyle w:val="Heading2"/>
        <w:keepLines/>
        <w:spacing w:after="220" w:line="240" w:lineRule="auto"/>
      </w:pPr>
      <w:bookmarkStart w:id="65" w:name="_Toc7772541"/>
      <w:r w:rsidRPr="00E8642C">
        <w:t>Fixation (“documentation” en anglais)</w:t>
      </w:r>
      <w:bookmarkEnd w:id="65"/>
    </w:p>
    <w:p w:rsidR="009243A6" w:rsidRDefault="00DD607D" w:rsidP="009243A6">
      <w:pPr>
        <w:keepNext/>
        <w:keepLines/>
        <w:spacing w:after="220"/>
        <w:rPr>
          <w:rFonts w:cs="Arial"/>
          <w:szCs w:val="22"/>
        </w:rPr>
      </w:pPr>
      <w:r w:rsidRPr="00E8642C">
        <w:rPr>
          <w:rFonts w:cs="Arial"/>
          <w:szCs w:val="22"/>
        </w:rPr>
        <w:t>L</w:t>
      </w:r>
      <w:r w:rsidR="00D91476">
        <w:rPr>
          <w:rFonts w:cs="Arial"/>
          <w:szCs w:val="22"/>
        </w:rPr>
        <w:t>’</w:t>
      </w:r>
      <w:r w:rsidRPr="00E8642C">
        <w:rPr>
          <w:rFonts w:cs="Arial"/>
          <w:szCs w:val="22"/>
        </w:rPr>
        <w:t xml:space="preserve">Oxford English </w:t>
      </w:r>
      <w:proofErr w:type="spellStart"/>
      <w:r w:rsidRPr="00E8642C">
        <w:rPr>
          <w:rFonts w:cs="Arial"/>
          <w:szCs w:val="22"/>
        </w:rPr>
        <w:t>Dictionary</w:t>
      </w:r>
      <w:proofErr w:type="spellEnd"/>
      <w:r w:rsidRPr="00E8642C">
        <w:rPr>
          <w:rFonts w:cs="Arial"/>
          <w:szCs w:val="22"/>
        </w:rPr>
        <w:t xml:space="preserve"> définit la fixation comme l</w:t>
      </w:r>
      <w:r w:rsidR="00D91476">
        <w:rPr>
          <w:rFonts w:cs="Arial"/>
          <w:szCs w:val="22"/>
        </w:rPr>
        <w:t>’</w:t>
      </w:r>
      <w:r w:rsidRPr="00E8642C">
        <w:rPr>
          <w:rFonts w:cs="Arial"/>
          <w:szCs w:val="22"/>
        </w:rPr>
        <w:t xml:space="preserve">accumulation, le classement et la diffusion de </w:t>
      </w:r>
      <w:proofErr w:type="gramStart"/>
      <w:r w:rsidRPr="00E8642C">
        <w:rPr>
          <w:rFonts w:cs="Arial"/>
          <w:szCs w:val="22"/>
        </w:rPr>
        <w:t>l</w:t>
      </w:r>
      <w:r w:rsidR="00D91476">
        <w:rPr>
          <w:rFonts w:cs="Arial"/>
          <w:szCs w:val="22"/>
        </w:rPr>
        <w:t>’</w:t>
      </w:r>
      <w:r w:rsidRPr="00E8642C">
        <w:rPr>
          <w:rFonts w:cs="Arial"/>
          <w:szCs w:val="22"/>
        </w:rPr>
        <w:t>information;  le</w:t>
      </w:r>
      <w:proofErr w:type="gramEnd"/>
      <w:r w:rsidRPr="00E8642C">
        <w:rPr>
          <w:rFonts w:cs="Arial"/>
          <w:szCs w:val="22"/>
        </w:rPr>
        <w:t xml:space="preserve"> matériel ainsi recueil</w:t>
      </w:r>
      <w:r w:rsidR="001F3AEE" w:rsidRPr="00E8642C">
        <w:rPr>
          <w:rFonts w:cs="Arial"/>
          <w:szCs w:val="22"/>
        </w:rPr>
        <w:t>li</w:t>
      </w:r>
      <w:r w:rsidR="001F3AEE">
        <w:rPr>
          <w:rFonts w:cs="Arial"/>
          <w:szCs w:val="22"/>
        </w:rPr>
        <w:t xml:space="preserve">.  </w:t>
      </w:r>
      <w:r w:rsidR="001F3AEE" w:rsidRPr="00E8642C">
        <w:rPr>
          <w:rFonts w:cs="Arial"/>
          <w:szCs w:val="22"/>
        </w:rPr>
        <w:t>Fi</w:t>
      </w:r>
      <w:r w:rsidRPr="00E8642C">
        <w:rPr>
          <w:rFonts w:cs="Arial"/>
          <w:szCs w:val="22"/>
        </w:rPr>
        <w:t>xer des expressions culturelles traditionnelles peut inclure de les enregistrer, de les écrire, de les photographier ou de les filmer, soit tout ce qui suppose de les enregistrer d</w:t>
      </w:r>
      <w:r w:rsidR="00D91476">
        <w:rPr>
          <w:rFonts w:cs="Arial"/>
          <w:szCs w:val="22"/>
        </w:rPr>
        <w:t>’</w:t>
      </w:r>
      <w:r w:rsidRPr="00E8642C">
        <w:rPr>
          <w:rFonts w:cs="Arial"/>
          <w:szCs w:val="22"/>
        </w:rPr>
        <w:t>une manière qui les préserve et qui peut les mettre à la disposition d</w:t>
      </w:r>
      <w:r w:rsidR="00D91476">
        <w:rPr>
          <w:rFonts w:cs="Arial"/>
          <w:szCs w:val="22"/>
        </w:rPr>
        <w:t>’</w:t>
      </w:r>
      <w:r w:rsidRPr="00E8642C">
        <w:rPr>
          <w:rFonts w:cs="Arial"/>
          <w:szCs w:val="22"/>
        </w:rPr>
        <w:t>autr</w:t>
      </w:r>
      <w:r w:rsidR="001F3AEE" w:rsidRPr="00E8642C">
        <w:rPr>
          <w:rFonts w:cs="Arial"/>
          <w:szCs w:val="22"/>
        </w:rPr>
        <w:t>es</w:t>
      </w:r>
      <w:r w:rsidR="001F3AEE">
        <w:rPr>
          <w:rFonts w:cs="Arial"/>
          <w:szCs w:val="22"/>
        </w:rPr>
        <w:t xml:space="preserve">.  </w:t>
      </w:r>
      <w:r w:rsidR="001F3AEE" w:rsidRPr="00E8642C">
        <w:rPr>
          <w:rFonts w:cs="Arial"/>
          <w:szCs w:val="22"/>
        </w:rPr>
        <w:t>C</w:t>
      </w:r>
      <w:r w:rsidR="001F3AEE">
        <w:rPr>
          <w:rFonts w:cs="Arial"/>
          <w:szCs w:val="22"/>
        </w:rPr>
        <w:t>’</w:t>
      </w:r>
      <w:r w:rsidR="001F3AEE" w:rsidRPr="00E8642C">
        <w:rPr>
          <w:rFonts w:cs="Arial"/>
          <w:szCs w:val="22"/>
        </w:rPr>
        <w:t>e</w:t>
      </w:r>
      <w:r w:rsidRPr="00E8642C">
        <w:rPr>
          <w:rFonts w:cs="Arial"/>
          <w:szCs w:val="22"/>
        </w:rPr>
        <w:t>st différent des façons traditionnelles de préserver et de transmettre les expressions culturelles traditionnelles au sein de la communauté.</w:t>
      </w:r>
    </w:p>
    <w:p w:rsidR="009243A6" w:rsidRDefault="00DD607D" w:rsidP="009243A6">
      <w:pPr>
        <w:spacing w:after="220"/>
        <w:rPr>
          <w:rFonts w:cs="Arial"/>
          <w:szCs w:val="22"/>
        </w:rPr>
      </w:pPr>
      <w:r w:rsidRPr="00E8642C">
        <w:rPr>
          <w:rFonts w:cs="Arial"/>
          <w:szCs w:val="22"/>
        </w:rPr>
        <w:t>La fixation est particulièrement importante parce que, souvent, elle offre aux personnes en dehors des milieux traditionnels un accès aux savoirs traditionnels</w:t>
      </w:r>
      <w:r w:rsidRPr="00E8642C">
        <w:rPr>
          <w:rStyle w:val="FootnoteReference"/>
        </w:rPr>
        <w:footnoteReference w:id="80"/>
      </w:r>
      <w:r w:rsidRPr="00E8642C">
        <w:rPr>
          <w:rFonts w:cs="Arial"/>
          <w:szCs w:val="22"/>
        </w:rPr>
        <w:t>.  La “Liste et explication technique succincte des différentes formes sous lesquelles les savoirs traditionnels peuvent se présenter” (WIPO/GRTKF/IC/17/INF/9) examine plus en détail les savoirs traditionnels fixés et les savoirs traditionnels non fixés.</w:t>
      </w:r>
    </w:p>
    <w:p w:rsidR="009243A6" w:rsidRDefault="00DD607D" w:rsidP="009243A6">
      <w:pPr>
        <w:pStyle w:val="Heading2"/>
        <w:spacing w:after="220" w:line="240" w:lineRule="auto"/>
      </w:pPr>
      <w:bookmarkStart w:id="66" w:name="_Toc7772542"/>
      <w:r w:rsidRPr="00E8642C">
        <w:t>Fixation (“fixation” en anglais)</w:t>
      </w:r>
      <w:bookmarkEnd w:id="66"/>
    </w:p>
    <w:p w:rsidR="009243A6" w:rsidRDefault="00DD607D" w:rsidP="009243A6">
      <w:pPr>
        <w:spacing w:after="220"/>
        <w:rPr>
          <w:rFonts w:cs="Arial"/>
          <w:szCs w:val="22"/>
        </w:rPr>
      </w:pPr>
      <w:r w:rsidRPr="00E8642C">
        <w:rPr>
          <w:rFonts w:cs="Arial"/>
          <w:szCs w:val="22"/>
        </w:rPr>
        <w:t>La fixation est le processus ou le résultat de l</w:t>
      </w:r>
      <w:r w:rsidR="00D91476">
        <w:rPr>
          <w:rFonts w:cs="Arial"/>
          <w:szCs w:val="22"/>
        </w:rPr>
        <w:t>’</w:t>
      </w:r>
      <w:r w:rsidRPr="00E8642C">
        <w:rPr>
          <w:rFonts w:cs="Arial"/>
          <w:szCs w:val="22"/>
        </w:rPr>
        <w:t>enregistrement d</w:t>
      </w:r>
      <w:r w:rsidR="00D91476">
        <w:rPr>
          <w:rFonts w:cs="Arial"/>
          <w:szCs w:val="22"/>
        </w:rPr>
        <w:t>’</w:t>
      </w:r>
      <w:r w:rsidRPr="00E8642C">
        <w:rPr>
          <w:rFonts w:cs="Arial"/>
          <w:szCs w:val="22"/>
        </w:rPr>
        <w:t>une œuvre originale sous forme tangible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w:t>
      </w:r>
      <w:r w:rsidR="001F3AEE" w:rsidRPr="00E8642C">
        <w:rPr>
          <w:rFonts w:cs="Arial"/>
          <w:szCs w:val="22"/>
        </w:rPr>
        <w:t>ry</w:t>
      </w:r>
      <w:proofErr w:type="spellEnd"/>
      <w:r w:rsidR="001F3AEE" w:rsidRPr="00E8642C">
        <w:rPr>
          <w:rFonts w:cs="Arial"/>
          <w:szCs w:val="22"/>
        </w:rPr>
        <w:t>)</w:t>
      </w:r>
      <w:r w:rsidR="001F3AEE">
        <w:rPr>
          <w:rFonts w:cs="Arial"/>
          <w:szCs w:val="22"/>
        </w:rPr>
        <w:t xml:space="preserve">.  </w:t>
      </w:r>
      <w:r w:rsidR="001F3AEE" w:rsidRPr="00E8642C">
        <w:rPr>
          <w:rFonts w:cs="Arial"/>
          <w:szCs w:val="22"/>
        </w:rPr>
        <w:t>La</w:t>
      </w:r>
      <w:r w:rsidRPr="00E8642C">
        <w:rPr>
          <w:rFonts w:cs="Arial"/>
          <w:szCs w:val="22"/>
        </w:rPr>
        <w:t xml:space="preserve"> fixation d</w:t>
      </w:r>
      <w:r w:rsidR="00D91476">
        <w:rPr>
          <w:rFonts w:cs="Arial"/>
          <w:szCs w:val="22"/>
        </w:rPr>
        <w:t>’</w:t>
      </w:r>
      <w:r w:rsidRPr="00E8642C">
        <w:rPr>
          <w:rFonts w:cs="Arial"/>
          <w:szCs w:val="22"/>
        </w:rPr>
        <w:t>une œuvre ou d</w:t>
      </w:r>
      <w:r w:rsidR="00D91476">
        <w:rPr>
          <w:rFonts w:cs="Arial"/>
          <w:szCs w:val="22"/>
        </w:rPr>
        <w:t>’</w:t>
      </w:r>
      <w:r w:rsidRPr="00E8642C">
        <w:rPr>
          <w:rFonts w:cs="Arial"/>
          <w:szCs w:val="22"/>
        </w:rPr>
        <w:t>un objet de droits connexes sur un support matériel (</w:t>
      </w:r>
      <w:r w:rsidR="00D91476">
        <w:rPr>
          <w:rFonts w:cs="Arial"/>
          <w:szCs w:val="22"/>
        </w:rPr>
        <w:t>y compris</w:t>
      </w:r>
      <w:r w:rsidRPr="00E8642C">
        <w:rPr>
          <w:rFonts w:cs="Arial"/>
          <w:szCs w:val="22"/>
        </w:rPr>
        <w:t xml:space="preserve"> par stockage dans une mémoire électronique) (d</w:t>
      </w:r>
      <w:r w:rsidR="00D91476">
        <w:rPr>
          <w:rFonts w:cs="Arial"/>
          <w:szCs w:val="22"/>
        </w:rPr>
        <w:t>’</w:t>
      </w:r>
      <w:r w:rsidRPr="00E8642C">
        <w:rPr>
          <w:rFonts w:cs="Arial"/>
          <w:szCs w:val="22"/>
        </w:rPr>
        <w:t>ordinateur)), doit être effectuée d</w:t>
      </w:r>
      <w:r w:rsidR="00D91476">
        <w:rPr>
          <w:rFonts w:cs="Arial"/>
          <w:szCs w:val="22"/>
        </w:rPr>
        <w:t>’</w:t>
      </w:r>
      <w:r w:rsidRPr="00E8642C">
        <w:rPr>
          <w:rFonts w:cs="Arial"/>
          <w:szCs w:val="22"/>
        </w:rPr>
        <w:t>une manière suffisamment durable pour permettre la perception, la reproduction ou la communication au public de ladite œuvre ou dudit objet de droits connexes</w:t>
      </w:r>
      <w:r w:rsidRPr="00E8642C">
        <w:rPr>
          <w:rStyle w:val="FootnoteReference"/>
          <w:rFonts w:cs="Arial"/>
          <w:szCs w:val="22"/>
        </w:rPr>
        <w:footnoteReference w:id="81"/>
      </w:r>
      <w:r w:rsidRPr="00E8642C">
        <w:rPr>
          <w:rFonts w:cs="Arial"/>
          <w:szCs w:val="22"/>
        </w:rPr>
        <w:t>.  La fixation sur support numérique n</w:t>
      </w:r>
      <w:r w:rsidR="00D91476">
        <w:rPr>
          <w:rFonts w:cs="Arial"/>
          <w:szCs w:val="22"/>
        </w:rPr>
        <w:t>’</w:t>
      </w:r>
      <w:r w:rsidRPr="00E8642C">
        <w:rPr>
          <w:rFonts w:cs="Arial"/>
          <w:szCs w:val="22"/>
        </w:rPr>
        <w:t>est pas toujours une condition préalable nécessaire à l</w:t>
      </w:r>
      <w:r w:rsidR="00D91476">
        <w:rPr>
          <w:rFonts w:cs="Arial"/>
          <w:szCs w:val="22"/>
        </w:rPr>
        <w:t>’</w:t>
      </w:r>
      <w:r w:rsidRPr="00E8642C">
        <w:rPr>
          <w:rFonts w:cs="Arial"/>
          <w:szCs w:val="22"/>
        </w:rPr>
        <w:t>octroi d</w:t>
      </w:r>
      <w:r w:rsidR="00D91476">
        <w:rPr>
          <w:rFonts w:cs="Arial"/>
          <w:szCs w:val="22"/>
        </w:rPr>
        <w:t>’</w:t>
      </w:r>
      <w:r w:rsidRPr="00E8642C">
        <w:rPr>
          <w:rFonts w:cs="Arial"/>
          <w:szCs w:val="22"/>
        </w:rPr>
        <w:t xml:space="preserve">une protection mais la </w:t>
      </w:r>
      <w:r w:rsidRPr="00E8642C">
        <w:rPr>
          <w:rFonts w:cs="Arial"/>
          <w:i/>
          <w:szCs w:val="22"/>
        </w:rPr>
        <w:t xml:space="preserve">Convention de Berne pour la protection des œuvres littéraires et artistiques </w:t>
      </w:r>
      <w:r w:rsidRPr="00E8642C">
        <w:rPr>
          <w:rFonts w:cs="Arial"/>
          <w:szCs w:val="22"/>
        </w:rPr>
        <w:t>(1971) réserve toutefois aux législations nationales sur le droit d</w:t>
      </w:r>
      <w:r w:rsidR="00D91476">
        <w:rPr>
          <w:rFonts w:cs="Arial"/>
          <w:szCs w:val="22"/>
        </w:rPr>
        <w:t>’</w:t>
      </w:r>
      <w:r w:rsidRPr="00E8642C">
        <w:rPr>
          <w:rFonts w:cs="Arial"/>
          <w:szCs w:val="22"/>
        </w:rPr>
        <w:t>auteur la faculté de faire de cette fixation une condition</w:t>
      </w:r>
      <w:r w:rsidRPr="00E8642C">
        <w:rPr>
          <w:rStyle w:val="FootnoteReference"/>
          <w:rFonts w:cs="Arial"/>
          <w:szCs w:val="22"/>
        </w:rPr>
        <w:footnoteReference w:id="82"/>
      </w:r>
      <w:r w:rsidRPr="00E8642C">
        <w:rPr>
          <w:rFonts w:cs="Arial"/>
          <w:szCs w:val="22"/>
        </w:rPr>
        <w:t xml:space="preserve">.  </w:t>
      </w:r>
      <w:bookmarkStart w:id="67" w:name="_Ref289444051"/>
      <w:r w:rsidRPr="00E8642C">
        <w:rPr>
          <w:rFonts w:cs="Arial"/>
          <w:szCs w:val="22"/>
        </w:rPr>
        <w:t>La fixation d</w:t>
      </w:r>
      <w:r w:rsidR="00D91476">
        <w:rPr>
          <w:rFonts w:cs="Arial"/>
          <w:szCs w:val="22"/>
        </w:rPr>
        <w:t>’</w:t>
      </w:r>
      <w:r w:rsidRPr="00E8642C">
        <w:rPr>
          <w:rFonts w:cs="Arial"/>
          <w:szCs w:val="22"/>
        </w:rPr>
        <w:t>expressions culturelles traditionnelles sur un support matériel fait naître de nouveaux droits de propriété intellectuelle sur la fixation et ces droits peuvent être utilisés indirectement pour protéger les expressions culturelles traditionnelles en soi – une telle stratégie a été utilisée pour protéger des peintures rupestres antiques</w:t>
      </w:r>
      <w:r w:rsidRPr="00E8642C">
        <w:rPr>
          <w:rStyle w:val="FootnoteReference"/>
          <w:rFonts w:cs="Arial"/>
          <w:szCs w:val="22"/>
        </w:rPr>
        <w:footnoteReference w:id="83"/>
      </w:r>
      <w:bookmarkEnd w:id="67"/>
      <w:r w:rsidRPr="00E8642C">
        <w:rPr>
          <w:rFonts w:cs="Arial"/>
          <w:szCs w:val="22"/>
        </w:rPr>
        <w:t>.  Il a été fait valoir que l</w:t>
      </w:r>
      <w:r w:rsidR="00D91476">
        <w:rPr>
          <w:rFonts w:cs="Arial"/>
          <w:szCs w:val="22"/>
        </w:rPr>
        <w:t>’</w:t>
      </w:r>
      <w:r w:rsidRPr="00E8642C">
        <w:rPr>
          <w:rFonts w:cs="Arial"/>
          <w:szCs w:val="22"/>
        </w:rPr>
        <w:t>utilisation du terme “expression” pouvait donner l</w:t>
      </w:r>
      <w:r w:rsidR="00D91476">
        <w:rPr>
          <w:rFonts w:cs="Arial"/>
          <w:szCs w:val="22"/>
        </w:rPr>
        <w:t>’</w:t>
      </w:r>
      <w:r w:rsidRPr="00E8642C">
        <w:rPr>
          <w:rFonts w:cs="Arial"/>
          <w:szCs w:val="22"/>
        </w:rPr>
        <w:t>impression que l</w:t>
      </w:r>
      <w:r w:rsidR="00D91476">
        <w:rPr>
          <w:rFonts w:cs="Arial"/>
          <w:szCs w:val="22"/>
        </w:rPr>
        <w:t>’</w:t>
      </w:r>
      <w:r w:rsidRPr="00E8642C">
        <w:rPr>
          <w:rFonts w:cs="Arial"/>
          <w:szCs w:val="22"/>
        </w:rPr>
        <w:t>une des conditions à remplir pour que les expressions culturelles traditionnelles bénéficient d</w:t>
      </w:r>
      <w:r w:rsidR="00D91476">
        <w:rPr>
          <w:rFonts w:cs="Arial"/>
          <w:szCs w:val="22"/>
        </w:rPr>
        <w:t>’</w:t>
      </w:r>
      <w:r w:rsidRPr="00E8642C">
        <w:rPr>
          <w:rFonts w:cs="Arial"/>
          <w:szCs w:val="22"/>
        </w:rPr>
        <w:t>une protection était qu</w:t>
      </w:r>
      <w:r w:rsidR="00D91476">
        <w:rPr>
          <w:rFonts w:cs="Arial"/>
          <w:szCs w:val="22"/>
        </w:rPr>
        <w:t>’</w:t>
      </w:r>
      <w:r w:rsidRPr="00E8642C">
        <w:rPr>
          <w:rFonts w:cs="Arial"/>
          <w:szCs w:val="22"/>
        </w:rPr>
        <w:t>elles satisfassent le critère de fixation</w:t>
      </w:r>
      <w:r w:rsidRPr="00E8642C">
        <w:rPr>
          <w:rStyle w:val="FootnoteReference"/>
          <w:rFonts w:cs="Arial"/>
          <w:szCs w:val="22"/>
        </w:rPr>
        <w:footnoteReference w:id="84"/>
      </w:r>
      <w:r w:rsidRPr="00E8642C">
        <w:rPr>
          <w:rFonts w:cs="Arial"/>
          <w:szCs w:val="22"/>
        </w:rPr>
        <w:t>.</w:t>
      </w:r>
    </w:p>
    <w:p w:rsidR="009243A6" w:rsidRDefault="00DD607D" w:rsidP="009243A6">
      <w:pPr>
        <w:pStyle w:val="Heading2"/>
        <w:spacing w:after="220" w:line="240" w:lineRule="auto"/>
      </w:pPr>
      <w:bookmarkStart w:id="68" w:name="_Toc7772543"/>
      <w:r w:rsidRPr="00E8642C">
        <w:t>Folklore</w:t>
      </w:r>
      <w:bookmarkEnd w:id="68"/>
    </w:p>
    <w:p w:rsidR="009243A6" w:rsidRDefault="00DD607D" w:rsidP="009243A6">
      <w:pPr>
        <w:spacing w:after="220"/>
        <w:rPr>
          <w:rFonts w:cs="Arial"/>
          <w:snapToGrid w:val="0"/>
          <w:szCs w:val="22"/>
        </w:rPr>
      </w:pPr>
      <w:r w:rsidRPr="00E8642C">
        <w:rPr>
          <w:rFonts w:cs="Arial"/>
          <w:snapToGrid w:val="0"/>
          <w:szCs w:val="22"/>
        </w:rPr>
        <w:t xml:space="preserve">La </w:t>
      </w:r>
      <w:r w:rsidRPr="00E8642C">
        <w:rPr>
          <w:rFonts w:cs="Arial"/>
          <w:i/>
          <w:snapToGrid w:val="0"/>
          <w:szCs w:val="22"/>
        </w:rPr>
        <w:t>recommandation</w:t>
      </w:r>
      <w:r w:rsidRPr="00E8642C">
        <w:rPr>
          <w:rFonts w:cs="Arial"/>
          <w:snapToGrid w:val="0"/>
          <w:szCs w:val="22"/>
        </w:rPr>
        <w:t xml:space="preserve"> </w:t>
      </w:r>
      <w:r w:rsidRPr="00E8642C">
        <w:rPr>
          <w:rFonts w:cs="Arial"/>
          <w:i/>
          <w:snapToGrid w:val="0"/>
          <w:szCs w:val="22"/>
        </w:rPr>
        <w:t>sur la sauvegarde de la culture traditionnelle et populaire</w:t>
      </w:r>
      <w:r w:rsidRPr="00E8642C">
        <w:rPr>
          <w:rFonts w:cs="Arial"/>
          <w:snapToGrid w:val="0"/>
          <w:szCs w:val="22"/>
        </w:rPr>
        <w:t xml:space="preserve"> du 15 novembre 1989 de l</w:t>
      </w:r>
      <w:r w:rsidR="00D91476">
        <w:rPr>
          <w:rFonts w:cs="Arial"/>
          <w:snapToGrid w:val="0"/>
          <w:szCs w:val="22"/>
        </w:rPr>
        <w:t>’</w:t>
      </w:r>
      <w:r w:rsidRPr="00E8642C">
        <w:rPr>
          <w:rFonts w:cs="Arial"/>
          <w:snapToGrid w:val="0"/>
          <w:szCs w:val="22"/>
        </w:rPr>
        <w:t xml:space="preserve">Organisation des </w:t>
      </w:r>
      <w:r w:rsidR="00D91476">
        <w:rPr>
          <w:rFonts w:cs="Arial"/>
          <w:snapToGrid w:val="0"/>
          <w:szCs w:val="22"/>
        </w:rPr>
        <w:t>Nations Unies</w:t>
      </w:r>
      <w:r w:rsidRPr="00E8642C">
        <w:rPr>
          <w:rFonts w:cs="Arial"/>
          <w:snapToGrid w:val="0"/>
          <w:szCs w:val="22"/>
        </w:rPr>
        <w:t xml:space="preserve"> pour l</w:t>
      </w:r>
      <w:r w:rsidR="00D91476">
        <w:rPr>
          <w:rFonts w:cs="Arial"/>
          <w:snapToGrid w:val="0"/>
          <w:szCs w:val="22"/>
        </w:rPr>
        <w:t>’</w:t>
      </w:r>
      <w:r w:rsidRPr="00E8642C">
        <w:rPr>
          <w:rFonts w:cs="Arial"/>
          <w:snapToGrid w:val="0"/>
          <w:szCs w:val="22"/>
        </w:rPr>
        <w:t>éducation, la science et la culture (UNESCO) définit le folklore (ou la culture traditionnelle et populaire) en ces termes</w:t>
      </w:r>
      <w:r w:rsidR="00D91476">
        <w:rPr>
          <w:rFonts w:cs="Arial"/>
          <w:snapToGrid w:val="0"/>
          <w:szCs w:val="22"/>
        </w:rPr>
        <w:t> :</w:t>
      </w:r>
      <w:r w:rsidRPr="00E8642C">
        <w:rPr>
          <w:rFonts w:cs="Arial"/>
          <w:snapToGrid w:val="0"/>
          <w:szCs w:val="22"/>
        </w:rPr>
        <w:t xml:space="preserve"> “ensemble des créations émanant d</w:t>
      </w:r>
      <w:r w:rsidR="00D91476">
        <w:rPr>
          <w:rFonts w:cs="Arial"/>
          <w:snapToGrid w:val="0"/>
          <w:szCs w:val="22"/>
        </w:rPr>
        <w:t>’</w:t>
      </w:r>
      <w:r w:rsidRPr="00E8642C">
        <w:rPr>
          <w:rFonts w:cs="Arial"/>
          <w:snapToGrid w:val="0"/>
          <w:szCs w:val="22"/>
        </w:rPr>
        <w:t>une communauté culturelle fondées sur la tradition, exprimées par un groupe ou par des individus et reconnues comme répondant aux attentes de la communauté en tant qu</w:t>
      </w:r>
      <w:r w:rsidR="00D91476">
        <w:rPr>
          <w:rFonts w:cs="Arial"/>
          <w:snapToGrid w:val="0"/>
          <w:szCs w:val="22"/>
        </w:rPr>
        <w:t>’</w:t>
      </w:r>
      <w:r w:rsidRPr="00E8642C">
        <w:rPr>
          <w:rFonts w:cs="Arial"/>
          <w:snapToGrid w:val="0"/>
          <w:szCs w:val="22"/>
        </w:rPr>
        <w:t>expression de l</w:t>
      </w:r>
      <w:r w:rsidR="00D91476">
        <w:rPr>
          <w:rFonts w:cs="Arial"/>
          <w:snapToGrid w:val="0"/>
          <w:szCs w:val="22"/>
        </w:rPr>
        <w:t>’</w:t>
      </w:r>
      <w:r w:rsidRPr="00E8642C">
        <w:rPr>
          <w:rFonts w:cs="Arial"/>
          <w:snapToGrid w:val="0"/>
          <w:szCs w:val="22"/>
        </w:rPr>
        <w:t>identité culturelle et sociale de celle</w:t>
      </w:r>
      <w:r w:rsidR="00400337">
        <w:rPr>
          <w:rFonts w:cs="Arial"/>
          <w:snapToGrid w:val="0"/>
          <w:szCs w:val="22"/>
        </w:rPr>
        <w:noBreakHyphen/>
      </w:r>
      <w:r w:rsidRPr="00E8642C">
        <w:rPr>
          <w:rFonts w:cs="Arial"/>
          <w:snapToGrid w:val="0"/>
          <w:szCs w:val="22"/>
        </w:rPr>
        <w:t>ci, les normes et les valeurs se transmettant oralement, par imitation ou par d</w:t>
      </w:r>
      <w:r w:rsidR="00D91476">
        <w:rPr>
          <w:rFonts w:cs="Arial"/>
          <w:snapToGrid w:val="0"/>
          <w:szCs w:val="22"/>
        </w:rPr>
        <w:t>’</w:t>
      </w:r>
      <w:r w:rsidRPr="00E8642C">
        <w:rPr>
          <w:rFonts w:cs="Arial"/>
          <w:snapToGrid w:val="0"/>
          <w:szCs w:val="22"/>
        </w:rPr>
        <w:t>autres manièr</w:t>
      </w:r>
      <w:r w:rsidR="001F3AEE" w:rsidRPr="00E8642C">
        <w:rPr>
          <w:rFonts w:cs="Arial"/>
          <w:snapToGrid w:val="0"/>
          <w:szCs w:val="22"/>
        </w:rPr>
        <w:t>es</w:t>
      </w:r>
      <w:r w:rsidR="001F3AEE">
        <w:rPr>
          <w:rFonts w:cs="Arial"/>
          <w:snapToGrid w:val="0"/>
          <w:szCs w:val="22"/>
        </w:rPr>
        <w:t xml:space="preserve">.  </w:t>
      </w:r>
      <w:r w:rsidR="001F3AEE" w:rsidRPr="00E8642C">
        <w:rPr>
          <w:rFonts w:cs="Arial"/>
          <w:snapToGrid w:val="0"/>
          <w:szCs w:val="22"/>
        </w:rPr>
        <w:t>Se</w:t>
      </w:r>
      <w:r w:rsidRPr="00E8642C">
        <w:rPr>
          <w:rFonts w:cs="Arial"/>
          <w:snapToGrid w:val="0"/>
          <w:szCs w:val="22"/>
        </w:rPr>
        <w:t>s formes comprennent, entre autres, la langue, la littérature, la musique, la danse, les jeux, la mythologie, les rites, les coutumes, l</w:t>
      </w:r>
      <w:r w:rsidR="00D91476">
        <w:rPr>
          <w:rFonts w:cs="Arial"/>
          <w:snapToGrid w:val="0"/>
          <w:szCs w:val="22"/>
        </w:rPr>
        <w:t>’</w:t>
      </w:r>
      <w:r w:rsidRPr="00E8642C">
        <w:rPr>
          <w:rFonts w:cs="Arial"/>
          <w:snapToGrid w:val="0"/>
          <w:szCs w:val="22"/>
        </w:rPr>
        <w:t>artisanat, l</w:t>
      </w:r>
      <w:r w:rsidR="00D91476">
        <w:rPr>
          <w:rFonts w:cs="Arial"/>
          <w:snapToGrid w:val="0"/>
          <w:szCs w:val="22"/>
        </w:rPr>
        <w:t>’</w:t>
      </w:r>
      <w:r w:rsidRPr="00E8642C">
        <w:rPr>
          <w:rFonts w:cs="Arial"/>
          <w:snapToGrid w:val="0"/>
          <w:szCs w:val="22"/>
        </w:rPr>
        <w:t>architecture et d</w:t>
      </w:r>
      <w:r w:rsidR="00D91476">
        <w:rPr>
          <w:rFonts w:cs="Arial"/>
          <w:snapToGrid w:val="0"/>
          <w:szCs w:val="22"/>
        </w:rPr>
        <w:t>’</w:t>
      </w:r>
      <w:r w:rsidRPr="00E8642C">
        <w:rPr>
          <w:rFonts w:cs="Arial"/>
          <w:snapToGrid w:val="0"/>
          <w:szCs w:val="22"/>
        </w:rPr>
        <w:t>autres arts”.</w:t>
      </w:r>
    </w:p>
    <w:p w:rsidR="009243A6" w:rsidRDefault="00DD607D" w:rsidP="009243A6">
      <w:pPr>
        <w:spacing w:after="220"/>
        <w:rPr>
          <w:rFonts w:cs="Arial"/>
          <w:spacing w:val="-2"/>
          <w:szCs w:val="22"/>
        </w:rPr>
      </w:pPr>
      <w:r w:rsidRPr="00AA3C26">
        <w:rPr>
          <w:rFonts w:cs="Arial"/>
          <w:snapToGrid w:val="0"/>
          <w:spacing w:val="-2"/>
          <w:szCs w:val="22"/>
        </w:rPr>
        <w:t>Les premières tentatives de réglementation explicite de l</w:t>
      </w:r>
      <w:r w:rsidR="00D91476">
        <w:rPr>
          <w:rFonts w:cs="Arial"/>
          <w:snapToGrid w:val="0"/>
          <w:spacing w:val="-2"/>
          <w:szCs w:val="22"/>
        </w:rPr>
        <w:t>’</w:t>
      </w:r>
      <w:r w:rsidRPr="00AA3C26">
        <w:rPr>
          <w:rFonts w:cs="Arial"/>
          <w:snapToGrid w:val="0"/>
          <w:spacing w:val="-2"/>
          <w:szCs w:val="22"/>
        </w:rPr>
        <w:t>utilisation des créations du folklore ont eu lieu dans le cadre de plusieurs législations sur le droit d</w:t>
      </w:r>
      <w:r w:rsidR="00D91476">
        <w:rPr>
          <w:rFonts w:cs="Arial"/>
          <w:snapToGrid w:val="0"/>
          <w:spacing w:val="-2"/>
          <w:szCs w:val="22"/>
        </w:rPr>
        <w:t>’</w:t>
      </w:r>
      <w:r w:rsidRPr="00AA3C26">
        <w:rPr>
          <w:rFonts w:cs="Arial"/>
          <w:snapToGrid w:val="0"/>
          <w:spacing w:val="-2"/>
          <w:szCs w:val="22"/>
        </w:rPr>
        <w:t>auteur (Tunisie</w:t>
      </w:r>
      <w:r w:rsidR="00D91476">
        <w:rPr>
          <w:rFonts w:cs="Arial"/>
          <w:snapToGrid w:val="0"/>
          <w:spacing w:val="-2"/>
          <w:szCs w:val="22"/>
        </w:rPr>
        <w:t> :</w:t>
      </w:r>
      <w:r w:rsidRPr="00AA3C26">
        <w:rPr>
          <w:rFonts w:cs="Arial"/>
          <w:snapToGrid w:val="0"/>
          <w:spacing w:val="-2"/>
          <w:szCs w:val="22"/>
        </w:rPr>
        <w:t xml:space="preserve"> 1967;  Bolivie</w:t>
      </w:r>
      <w:r w:rsidR="00D91476">
        <w:rPr>
          <w:rFonts w:cs="Arial"/>
          <w:snapToGrid w:val="0"/>
          <w:spacing w:val="-2"/>
          <w:szCs w:val="22"/>
        </w:rPr>
        <w:t> :</w:t>
      </w:r>
      <w:r w:rsidRPr="00AA3C26">
        <w:rPr>
          <w:rFonts w:cs="Arial"/>
          <w:snapToGrid w:val="0"/>
          <w:spacing w:val="-2"/>
          <w:szCs w:val="22"/>
        </w:rPr>
        <w:t xml:space="preserve"> 1968 (uniquement pour le folklore musical);  Chili</w:t>
      </w:r>
      <w:r w:rsidR="00D91476">
        <w:rPr>
          <w:rFonts w:cs="Arial"/>
          <w:snapToGrid w:val="0"/>
          <w:spacing w:val="-2"/>
          <w:szCs w:val="22"/>
        </w:rPr>
        <w:t> :</w:t>
      </w:r>
      <w:r w:rsidRPr="00AA3C26">
        <w:rPr>
          <w:rFonts w:cs="Arial"/>
          <w:snapToGrid w:val="0"/>
          <w:spacing w:val="-2"/>
          <w:szCs w:val="22"/>
        </w:rPr>
        <w:t xml:space="preserve"> 1970;  Maroc</w:t>
      </w:r>
      <w:r w:rsidR="00D91476">
        <w:rPr>
          <w:rFonts w:cs="Arial"/>
          <w:snapToGrid w:val="0"/>
          <w:spacing w:val="-2"/>
          <w:szCs w:val="22"/>
        </w:rPr>
        <w:t> :</w:t>
      </w:r>
      <w:r w:rsidRPr="00AA3C26">
        <w:rPr>
          <w:rFonts w:cs="Arial"/>
          <w:snapToGrid w:val="0"/>
          <w:spacing w:val="-2"/>
          <w:szCs w:val="22"/>
        </w:rPr>
        <w:t xml:space="preserve"> 1970;  Algérie</w:t>
      </w:r>
      <w:r w:rsidR="00D91476">
        <w:rPr>
          <w:rFonts w:cs="Arial"/>
          <w:snapToGrid w:val="0"/>
          <w:spacing w:val="-2"/>
          <w:szCs w:val="22"/>
        </w:rPr>
        <w:t> :</w:t>
      </w:r>
      <w:r w:rsidRPr="00AA3C26">
        <w:rPr>
          <w:rFonts w:cs="Arial"/>
          <w:snapToGrid w:val="0"/>
          <w:spacing w:val="-2"/>
          <w:szCs w:val="22"/>
        </w:rPr>
        <w:t xml:space="preserve"> 1973;  Sénégal</w:t>
      </w:r>
      <w:r w:rsidR="00D91476">
        <w:rPr>
          <w:rFonts w:cs="Arial"/>
          <w:snapToGrid w:val="0"/>
          <w:spacing w:val="-2"/>
          <w:szCs w:val="22"/>
        </w:rPr>
        <w:t> :</w:t>
      </w:r>
      <w:r w:rsidRPr="00AA3C26">
        <w:rPr>
          <w:rFonts w:cs="Arial"/>
          <w:snapToGrid w:val="0"/>
          <w:spacing w:val="-2"/>
          <w:szCs w:val="22"/>
        </w:rPr>
        <w:t xml:space="preserve"> 1973;  Kenya</w:t>
      </w:r>
      <w:r w:rsidR="00D91476">
        <w:rPr>
          <w:rFonts w:cs="Arial"/>
          <w:snapToGrid w:val="0"/>
          <w:spacing w:val="-2"/>
          <w:szCs w:val="22"/>
        </w:rPr>
        <w:t> :</w:t>
      </w:r>
      <w:r w:rsidRPr="00AA3C26">
        <w:rPr>
          <w:rFonts w:cs="Arial"/>
          <w:snapToGrid w:val="0"/>
          <w:spacing w:val="-2"/>
          <w:szCs w:val="22"/>
        </w:rPr>
        <w:t xml:space="preserve"> 1975;  Mali</w:t>
      </w:r>
      <w:r w:rsidR="00D91476">
        <w:rPr>
          <w:rFonts w:cs="Arial"/>
          <w:snapToGrid w:val="0"/>
          <w:spacing w:val="-2"/>
          <w:szCs w:val="22"/>
        </w:rPr>
        <w:t> :</w:t>
      </w:r>
      <w:r w:rsidRPr="00AA3C26">
        <w:rPr>
          <w:rFonts w:cs="Arial"/>
          <w:snapToGrid w:val="0"/>
          <w:spacing w:val="-2"/>
          <w:szCs w:val="22"/>
        </w:rPr>
        <w:t xml:space="preserve"> 1977;  Burundi</w:t>
      </w:r>
      <w:r w:rsidR="00D91476">
        <w:rPr>
          <w:rFonts w:cs="Arial"/>
          <w:snapToGrid w:val="0"/>
          <w:spacing w:val="-2"/>
          <w:szCs w:val="22"/>
        </w:rPr>
        <w:t> :</w:t>
      </w:r>
      <w:r w:rsidRPr="00AA3C26">
        <w:rPr>
          <w:rFonts w:cs="Arial"/>
          <w:snapToGrid w:val="0"/>
          <w:spacing w:val="-2"/>
          <w:szCs w:val="22"/>
        </w:rPr>
        <w:t xml:space="preserve"> 1978;  Côte d</w:t>
      </w:r>
      <w:r w:rsidR="00D91476">
        <w:rPr>
          <w:rFonts w:cs="Arial"/>
          <w:snapToGrid w:val="0"/>
          <w:spacing w:val="-2"/>
          <w:szCs w:val="22"/>
        </w:rPr>
        <w:t>’</w:t>
      </w:r>
      <w:r w:rsidRPr="00AA3C26">
        <w:rPr>
          <w:rFonts w:cs="Arial"/>
          <w:snapToGrid w:val="0"/>
          <w:spacing w:val="-2"/>
          <w:szCs w:val="22"/>
        </w:rPr>
        <w:t>Ivoire</w:t>
      </w:r>
      <w:r w:rsidR="00D91476">
        <w:rPr>
          <w:rFonts w:cs="Arial"/>
          <w:snapToGrid w:val="0"/>
          <w:spacing w:val="-2"/>
          <w:szCs w:val="22"/>
        </w:rPr>
        <w:t> :</w:t>
      </w:r>
      <w:r w:rsidRPr="00AA3C26">
        <w:rPr>
          <w:rFonts w:cs="Arial"/>
          <w:snapToGrid w:val="0"/>
          <w:spacing w:val="-2"/>
          <w:szCs w:val="22"/>
        </w:rPr>
        <w:t xml:space="preserve"> 1978;  Guinée</w:t>
      </w:r>
      <w:r w:rsidR="00D91476">
        <w:rPr>
          <w:rFonts w:cs="Arial"/>
          <w:snapToGrid w:val="0"/>
          <w:spacing w:val="-2"/>
          <w:szCs w:val="22"/>
        </w:rPr>
        <w:t> :</w:t>
      </w:r>
      <w:r w:rsidRPr="00AA3C26">
        <w:rPr>
          <w:rFonts w:cs="Arial"/>
          <w:snapToGrid w:val="0"/>
          <w:spacing w:val="-2"/>
          <w:szCs w:val="22"/>
        </w:rPr>
        <w:t xml:space="preserve"> 1980;  loi type de Tunis sur le droit d</w:t>
      </w:r>
      <w:r w:rsidR="00D91476">
        <w:rPr>
          <w:rFonts w:cs="Arial"/>
          <w:snapToGrid w:val="0"/>
          <w:spacing w:val="-2"/>
          <w:szCs w:val="22"/>
        </w:rPr>
        <w:t>’</w:t>
      </w:r>
      <w:r w:rsidRPr="00AA3C26">
        <w:rPr>
          <w:rFonts w:cs="Arial"/>
          <w:snapToGrid w:val="0"/>
          <w:spacing w:val="-2"/>
          <w:szCs w:val="22"/>
        </w:rPr>
        <w:t>auteur à l</w:t>
      </w:r>
      <w:r w:rsidR="00D91476">
        <w:rPr>
          <w:rFonts w:cs="Arial"/>
          <w:snapToGrid w:val="0"/>
          <w:spacing w:val="-2"/>
          <w:szCs w:val="22"/>
        </w:rPr>
        <w:t>’</w:t>
      </w:r>
      <w:r w:rsidRPr="00AA3C26">
        <w:rPr>
          <w:rFonts w:cs="Arial"/>
          <w:snapToGrid w:val="0"/>
          <w:spacing w:val="-2"/>
          <w:szCs w:val="22"/>
        </w:rPr>
        <w:t>usage des pays en développement</w:t>
      </w:r>
      <w:r w:rsidR="00D050A0">
        <w:rPr>
          <w:rFonts w:cs="Arial"/>
          <w:snapToGrid w:val="0"/>
          <w:spacing w:val="-2"/>
          <w:szCs w:val="22"/>
        </w:rPr>
        <w:t> </w:t>
      </w:r>
      <w:r w:rsidRPr="00AA3C26">
        <w:rPr>
          <w:rFonts w:cs="Arial"/>
          <w:snapToGrid w:val="0"/>
          <w:spacing w:val="-2"/>
          <w:szCs w:val="22"/>
        </w:rPr>
        <w:t>1976) et un traité international (texte de Bangui de 1977 de la Convention concernant l</w:t>
      </w:r>
      <w:r w:rsidR="00D91476">
        <w:rPr>
          <w:rFonts w:cs="Arial"/>
          <w:snapToGrid w:val="0"/>
          <w:spacing w:val="-2"/>
          <w:szCs w:val="22"/>
        </w:rPr>
        <w:t>’</w:t>
      </w:r>
      <w:r w:rsidRPr="00AA3C26">
        <w:rPr>
          <w:rFonts w:cs="Arial"/>
          <w:snapToGrid w:val="0"/>
          <w:spacing w:val="-2"/>
          <w:szCs w:val="22"/>
        </w:rPr>
        <w:t>Organisation africaine de la propriété intellectuelle, ci</w:t>
      </w:r>
      <w:r w:rsidR="00400337">
        <w:rPr>
          <w:rFonts w:cs="Arial"/>
          <w:snapToGrid w:val="0"/>
          <w:spacing w:val="-2"/>
          <w:szCs w:val="22"/>
        </w:rPr>
        <w:noBreakHyphen/>
      </w:r>
      <w:r w:rsidRPr="00AA3C26">
        <w:rPr>
          <w:rFonts w:cs="Arial"/>
          <w:snapToGrid w:val="0"/>
          <w:spacing w:val="-2"/>
          <w:szCs w:val="22"/>
        </w:rPr>
        <w:t>après dénommée “Convention OAPI”).  Dans tous ces textes, les œuvres du folklore sont considérées comme faisant partie du patrimoine culturel de la nation (“patrimoine traditionnel”, “patrimoine culturel</w:t>
      </w:r>
      <w:proofErr w:type="gramStart"/>
      <w:r w:rsidRPr="00AA3C26">
        <w:rPr>
          <w:rFonts w:cs="Arial"/>
          <w:snapToGrid w:val="0"/>
          <w:spacing w:val="-2"/>
          <w:szCs w:val="22"/>
        </w:rPr>
        <w:t>”;  au</w:t>
      </w:r>
      <w:proofErr w:type="gramEnd"/>
      <w:r w:rsidRPr="00AA3C26">
        <w:rPr>
          <w:rFonts w:cs="Arial"/>
          <w:snapToGrid w:val="0"/>
          <w:spacing w:val="-2"/>
          <w:szCs w:val="22"/>
        </w:rPr>
        <w:t> Chili</w:t>
      </w:r>
      <w:r w:rsidR="00D91476">
        <w:rPr>
          <w:rFonts w:cs="Arial"/>
          <w:snapToGrid w:val="0"/>
          <w:spacing w:val="-2"/>
          <w:szCs w:val="22"/>
        </w:rPr>
        <w:t> :</w:t>
      </w:r>
      <w:r w:rsidRPr="00AA3C26">
        <w:rPr>
          <w:rFonts w:cs="Arial"/>
          <w:snapToGrid w:val="0"/>
          <w:spacing w:val="-2"/>
          <w:szCs w:val="22"/>
        </w:rPr>
        <w:t xml:space="preserve"> “domaine public culturel” dont l</w:t>
      </w:r>
      <w:r w:rsidR="00D91476">
        <w:rPr>
          <w:rFonts w:cs="Arial"/>
          <w:snapToGrid w:val="0"/>
          <w:spacing w:val="-2"/>
          <w:szCs w:val="22"/>
        </w:rPr>
        <w:t>’</w:t>
      </w:r>
      <w:r w:rsidRPr="00AA3C26">
        <w:rPr>
          <w:rFonts w:cs="Arial"/>
          <w:snapToGrid w:val="0"/>
          <w:spacing w:val="-2"/>
          <w:szCs w:val="22"/>
        </w:rPr>
        <w:t>utilisation est soumise à paieme</w:t>
      </w:r>
      <w:r w:rsidR="001F3AEE" w:rsidRPr="00AA3C26">
        <w:rPr>
          <w:rFonts w:cs="Arial"/>
          <w:snapToGrid w:val="0"/>
          <w:spacing w:val="-2"/>
          <w:szCs w:val="22"/>
        </w:rPr>
        <w:t>nt)</w:t>
      </w:r>
      <w:r w:rsidR="001F3AEE">
        <w:rPr>
          <w:rFonts w:cs="Arial"/>
          <w:snapToGrid w:val="0"/>
          <w:spacing w:val="-2"/>
          <w:szCs w:val="22"/>
        </w:rPr>
        <w:t xml:space="preserve">.  </w:t>
      </w:r>
      <w:r w:rsidR="001F3AEE" w:rsidRPr="00AA3C26">
        <w:rPr>
          <w:rFonts w:cs="Arial"/>
          <w:snapToGrid w:val="0"/>
          <w:spacing w:val="-2"/>
          <w:szCs w:val="22"/>
        </w:rPr>
        <w:t>Le</w:t>
      </w:r>
      <w:r w:rsidRPr="00AA3C26">
        <w:rPr>
          <w:rFonts w:cs="Arial"/>
          <w:snapToGrid w:val="0"/>
          <w:spacing w:val="-2"/>
          <w:szCs w:val="22"/>
        </w:rPr>
        <w:t> sens du mot folklore, dans les textes susmentionnés, se comprend toutefois de différentes manièr</w:t>
      </w:r>
      <w:r w:rsidR="001F3AEE" w:rsidRPr="00AA3C26">
        <w:rPr>
          <w:rFonts w:cs="Arial"/>
          <w:snapToGrid w:val="0"/>
          <w:spacing w:val="-2"/>
          <w:szCs w:val="22"/>
        </w:rPr>
        <w:t>es</w:t>
      </w:r>
      <w:r w:rsidR="001F3AEE">
        <w:rPr>
          <w:rFonts w:cs="Arial"/>
          <w:snapToGrid w:val="0"/>
          <w:spacing w:val="-2"/>
          <w:szCs w:val="22"/>
        </w:rPr>
        <w:t xml:space="preserve">.  </w:t>
      </w:r>
      <w:r w:rsidR="001F3AEE" w:rsidRPr="00AA3C26">
        <w:rPr>
          <w:rFonts w:cs="Arial"/>
          <w:snapToGrid w:val="0"/>
          <w:spacing w:val="-2"/>
          <w:szCs w:val="22"/>
        </w:rPr>
        <w:t>Un</w:t>
      </w:r>
      <w:r w:rsidRPr="00AA3C26">
        <w:rPr>
          <w:rFonts w:cs="Arial"/>
          <w:snapToGrid w:val="0"/>
          <w:spacing w:val="-2"/>
          <w:szCs w:val="22"/>
        </w:rPr>
        <w:t> élément commun important relevant du droit d</w:t>
      </w:r>
      <w:r w:rsidR="00D91476">
        <w:rPr>
          <w:rFonts w:cs="Arial"/>
          <w:snapToGrid w:val="0"/>
          <w:spacing w:val="-2"/>
          <w:szCs w:val="22"/>
        </w:rPr>
        <w:t>’</w:t>
      </w:r>
      <w:r w:rsidRPr="00AA3C26">
        <w:rPr>
          <w:rFonts w:cs="Arial"/>
          <w:snapToGrid w:val="0"/>
          <w:spacing w:val="-2"/>
          <w:szCs w:val="22"/>
        </w:rPr>
        <w:t>auteur dans la définition de ces lois (à l</w:t>
      </w:r>
      <w:r w:rsidR="00D91476">
        <w:rPr>
          <w:rFonts w:cs="Arial"/>
          <w:snapToGrid w:val="0"/>
          <w:spacing w:val="-2"/>
          <w:szCs w:val="22"/>
        </w:rPr>
        <w:t>’</w:t>
      </w:r>
      <w:r w:rsidRPr="00AA3C26">
        <w:rPr>
          <w:rFonts w:cs="Arial"/>
          <w:snapToGrid w:val="0"/>
          <w:spacing w:val="-2"/>
          <w:szCs w:val="22"/>
        </w:rPr>
        <w:t xml:space="preserve">exception de la </w:t>
      </w:r>
      <w:r w:rsidRPr="00AA3C26">
        <w:rPr>
          <w:rFonts w:cs="Arial"/>
          <w:i/>
          <w:snapToGrid w:val="0"/>
          <w:spacing w:val="-2"/>
          <w:szCs w:val="22"/>
        </w:rPr>
        <w:t>loi type de Tunis</w:t>
      </w:r>
      <w:r w:rsidRPr="00AA3C26">
        <w:rPr>
          <w:rFonts w:cs="Arial"/>
          <w:snapToGrid w:val="0"/>
          <w:spacing w:val="-2"/>
          <w:szCs w:val="22"/>
        </w:rPr>
        <w:t xml:space="preserve"> qui ne contient pas de définition) est que le folklore doit avoir été créé par des auteurs dont l</w:t>
      </w:r>
      <w:r w:rsidR="00D91476">
        <w:rPr>
          <w:rFonts w:cs="Arial"/>
          <w:snapToGrid w:val="0"/>
          <w:spacing w:val="-2"/>
          <w:szCs w:val="22"/>
        </w:rPr>
        <w:t>’</w:t>
      </w:r>
      <w:r w:rsidRPr="00AA3C26">
        <w:rPr>
          <w:rFonts w:cs="Arial"/>
          <w:snapToGrid w:val="0"/>
          <w:spacing w:val="-2"/>
          <w:szCs w:val="22"/>
        </w:rPr>
        <w:t>identité est inconnue mais qui sont vraisemblablement ou qui ont été des ressortissants du pa</w:t>
      </w:r>
      <w:r w:rsidR="001F3AEE" w:rsidRPr="00AA3C26">
        <w:rPr>
          <w:rFonts w:cs="Arial"/>
          <w:snapToGrid w:val="0"/>
          <w:spacing w:val="-2"/>
          <w:szCs w:val="22"/>
        </w:rPr>
        <w:t>ys</w:t>
      </w:r>
      <w:r w:rsidR="001F3AEE">
        <w:rPr>
          <w:rFonts w:cs="Arial"/>
          <w:snapToGrid w:val="0"/>
          <w:spacing w:val="-2"/>
          <w:szCs w:val="22"/>
        </w:rPr>
        <w:t xml:space="preserve">.  </w:t>
      </w:r>
      <w:r w:rsidR="001F3AEE"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Convention de l</w:t>
      </w:r>
      <w:r w:rsidR="00D91476">
        <w:rPr>
          <w:rFonts w:cs="Arial"/>
          <w:i/>
          <w:snapToGrid w:val="0"/>
          <w:spacing w:val="-2"/>
          <w:szCs w:val="22"/>
        </w:rPr>
        <w:t>’</w:t>
      </w:r>
      <w:r w:rsidRPr="00AA3C26">
        <w:rPr>
          <w:rFonts w:cs="Arial"/>
          <w:i/>
          <w:snapToGrid w:val="0"/>
          <w:spacing w:val="-2"/>
          <w:szCs w:val="22"/>
        </w:rPr>
        <w:t>OAPI</w:t>
      </w:r>
      <w:r w:rsidRPr="00AA3C26">
        <w:rPr>
          <w:rFonts w:cs="Arial"/>
          <w:snapToGrid w:val="0"/>
          <w:spacing w:val="-2"/>
          <w:szCs w:val="22"/>
        </w:rPr>
        <w:t xml:space="preserve"> mentionne la création par des “communautés” plutôt que par des auteurs, ce qui permet de délimiter les créations du folklore par rapport aux œuvres protégées par le droit d</w:t>
      </w:r>
      <w:r w:rsidR="00D91476">
        <w:rPr>
          <w:rFonts w:cs="Arial"/>
          <w:snapToGrid w:val="0"/>
          <w:spacing w:val="-2"/>
          <w:szCs w:val="22"/>
        </w:rPr>
        <w:t>’</w:t>
      </w:r>
      <w:r w:rsidRPr="00AA3C26">
        <w:rPr>
          <w:rFonts w:cs="Arial"/>
          <w:snapToGrid w:val="0"/>
          <w:spacing w:val="-2"/>
          <w:szCs w:val="22"/>
        </w:rPr>
        <w:t>auteur traditionn</w:t>
      </w:r>
      <w:r w:rsidR="001F3AEE" w:rsidRPr="00AA3C26">
        <w:rPr>
          <w:rFonts w:cs="Arial"/>
          <w:snapToGrid w:val="0"/>
          <w:spacing w:val="-2"/>
          <w:szCs w:val="22"/>
        </w:rPr>
        <w:t>el</w:t>
      </w:r>
      <w:r w:rsidR="001F3AEE">
        <w:rPr>
          <w:rFonts w:cs="Arial"/>
          <w:snapToGrid w:val="0"/>
          <w:spacing w:val="-2"/>
          <w:szCs w:val="22"/>
        </w:rPr>
        <w:t xml:space="preserve">.  </w:t>
      </w:r>
      <w:r w:rsidR="001F3AEE"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loi type de Tunis</w:t>
      </w:r>
      <w:r w:rsidRPr="00AA3C26">
        <w:rPr>
          <w:rFonts w:cs="Arial"/>
          <w:snapToGrid w:val="0"/>
          <w:spacing w:val="-2"/>
          <w:szCs w:val="22"/>
        </w:rPr>
        <w:t xml:space="preserve"> définit le folklore à l</w:t>
      </w:r>
      <w:r w:rsidR="00D91476">
        <w:rPr>
          <w:rFonts w:cs="Arial"/>
          <w:snapToGrid w:val="0"/>
          <w:spacing w:val="-2"/>
          <w:szCs w:val="22"/>
        </w:rPr>
        <w:t>’</w:t>
      </w:r>
      <w:r w:rsidRPr="00AA3C26">
        <w:rPr>
          <w:rFonts w:cs="Arial"/>
          <w:snapToGrid w:val="0"/>
          <w:spacing w:val="-2"/>
          <w:szCs w:val="22"/>
        </w:rPr>
        <w:t>aide de ces deux variantes, et estime que cela signifie des créations “par des auteurs présumés être originaires du pays concerné ou par des communautés ethniques”.  Selon la législation marocaine, le folklore comprend “toutes les œuvres non publiées de ce type” alors que les législations algérienne et tunisienne ne limitent pas la portée du folklore aux œuvres non publié</w:t>
      </w:r>
      <w:r w:rsidR="001F3AEE" w:rsidRPr="00AA3C26">
        <w:rPr>
          <w:rFonts w:cs="Arial"/>
          <w:snapToGrid w:val="0"/>
          <w:spacing w:val="-2"/>
          <w:szCs w:val="22"/>
        </w:rPr>
        <w:t>es</w:t>
      </w:r>
      <w:r w:rsidR="001F3AEE">
        <w:rPr>
          <w:rFonts w:cs="Arial"/>
          <w:snapToGrid w:val="0"/>
          <w:spacing w:val="-2"/>
          <w:szCs w:val="22"/>
        </w:rPr>
        <w:t xml:space="preserve">.  </w:t>
      </w:r>
      <w:r w:rsidR="001F3AEE" w:rsidRPr="00AA3C26">
        <w:rPr>
          <w:rFonts w:cs="Arial"/>
          <w:snapToGrid w:val="0"/>
          <w:spacing w:val="-2"/>
          <w:szCs w:val="22"/>
        </w:rPr>
        <w:t>La</w:t>
      </w:r>
      <w:r w:rsidRPr="00AA3C26">
        <w:rPr>
          <w:rFonts w:cs="Arial"/>
          <w:snapToGrid w:val="0"/>
          <w:spacing w:val="-2"/>
          <w:szCs w:val="22"/>
        </w:rPr>
        <w:t xml:space="preserve"> législation sénégalaise part explicitement du principe que la notion de folklore comprend à la fois des œuvres littéraires et des œuvres artistiqu</w:t>
      </w:r>
      <w:r w:rsidR="001F3AEE" w:rsidRPr="00AA3C26">
        <w:rPr>
          <w:rFonts w:cs="Arial"/>
          <w:snapToGrid w:val="0"/>
          <w:spacing w:val="-2"/>
          <w:szCs w:val="22"/>
        </w:rPr>
        <w:t>es</w:t>
      </w:r>
      <w:r w:rsidR="001F3AEE">
        <w:rPr>
          <w:rFonts w:cs="Arial"/>
          <w:snapToGrid w:val="0"/>
          <w:spacing w:val="-2"/>
          <w:szCs w:val="22"/>
        </w:rPr>
        <w:t xml:space="preserve">.  </w:t>
      </w:r>
      <w:r w:rsidR="001F3AEE"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Convention de l</w:t>
      </w:r>
      <w:r w:rsidR="00D91476">
        <w:rPr>
          <w:rFonts w:cs="Arial"/>
          <w:i/>
          <w:snapToGrid w:val="0"/>
          <w:spacing w:val="-2"/>
          <w:szCs w:val="22"/>
        </w:rPr>
        <w:t>’</w:t>
      </w:r>
      <w:r w:rsidRPr="00AA3C26">
        <w:rPr>
          <w:rFonts w:cs="Arial"/>
          <w:i/>
          <w:snapToGrid w:val="0"/>
          <w:spacing w:val="-2"/>
          <w:szCs w:val="22"/>
        </w:rPr>
        <w:t>OAPI</w:t>
      </w:r>
      <w:r w:rsidRPr="00AA3C26">
        <w:rPr>
          <w:rFonts w:cs="Arial"/>
          <w:snapToGrid w:val="0"/>
          <w:spacing w:val="-2"/>
          <w:szCs w:val="22"/>
        </w:rPr>
        <w:t xml:space="preserve"> et la </w:t>
      </w:r>
      <w:r w:rsidRPr="00AA3C26">
        <w:rPr>
          <w:rFonts w:cs="Arial"/>
          <w:i/>
          <w:snapToGrid w:val="0"/>
          <w:spacing w:val="-2"/>
          <w:szCs w:val="22"/>
        </w:rPr>
        <w:t>loi type de Tunis</w:t>
      </w:r>
      <w:r w:rsidRPr="00AA3C26">
        <w:rPr>
          <w:rFonts w:cs="Arial"/>
          <w:snapToGrid w:val="0"/>
          <w:spacing w:val="-2"/>
          <w:szCs w:val="22"/>
        </w:rPr>
        <w:t xml:space="preserve"> prévoient que le folklore comprend aussi des œuvres scientifiqu</w:t>
      </w:r>
      <w:r w:rsidR="001F3AEE" w:rsidRPr="00AA3C26">
        <w:rPr>
          <w:rFonts w:cs="Arial"/>
          <w:snapToGrid w:val="0"/>
          <w:spacing w:val="-2"/>
          <w:szCs w:val="22"/>
        </w:rPr>
        <w:t>es</w:t>
      </w:r>
      <w:r w:rsidR="001F3AEE">
        <w:rPr>
          <w:rFonts w:cs="Arial"/>
          <w:snapToGrid w:val="0"/>
          <w:spacing w:val="-2"/>
          <w:szCs w:val="22"/>
        </w:rPr>
        <w:t xml:space="preserve">.  </w:t>
      </w:r>
      <w:r w:rsidR="001F3AEE" w:rsidRPr="00AA3C26">
        <w:rPr>
          <w:rFonts w:cs="Arial"/>
          <w:snapToGrid w:val="0"/>
          <w:spacing w:val="-2"/>
          <w:szCs w:val="22"/>
        </w:rPr>
        <w:t>La</w:t>
      </w:r>
      <w:r w:rsidRPr="00AA3C26">
        <w:rPr>
          <w:rFonts w:cs="Arial"/>
          <w:snapToGrid w:val="0"/>
          <w:spacing w:val="-2"/>
          <w:szCs w:val="22"/>
        </w:rPr>
        <w:t xml:space="preserve"> plupart des règles en question reconnaissent les “œuvres inspirées </w:t>
      </w:r>
      <w:r w:rsidRPr="00AA3C26">
        <w:rPr>
          <w:rFonts w:cs="Arial"/>
          <w:i/>
          <w:iCs/>
          <w:snapToGrid w:val="0"/>
          <w:spacing w:val="-2"/>
          <w:szCs w:val="22"/>
        </w:rPr>
        <w:t xml:space="preserve">par </w:t>
      </w:r>
      <w:r w:rsidRPr="00AA3C26">
        <w:rPr>
          <w:rFonts w:cs="Arial"/>
          <w:snapToGrid w:val="0"/>
          <w:spacing w:val="-2"/>
          <w:szCs w:val="22"/>
        </w:rPr>
        <w:t>le folklore” comme une catégorie distincte d</w:t>
      </w:r>
      <w:r w:rsidR="00D91476">
        <w:rPr>
          <w:rFonts w:cs="Arial"/>
          <w:snapToGrid w:val="0"/>
          <w:spacing w:val="-2"/>
          <w:szCs w:val="22"/>
        </w:rPr>
        <w:t>’</w:t>
      </w:r>
      <w:r w:rsidRPr="00AA3C26">
        <w:rPr>
          <w:rFonts w:cs="Arial"/>
          <w:snapToGrid w:val="0"/>
          <w:spacing w:val="-2"/>
          <w:szCs w:val="22"/>
        </w:rPr>
        <w:t>œuvres dont l</w:t>
      </w:r>
      <w:r w:rsidR="00D91476">
        <w:rPr>
          <w:rFonts w:cs="Arial"/>
          <w:snapToGrid w:val="0"/>
          <w:spacing w:val="-2"/>
          <w:szCs w:val="22"/>
        </w:rPr>
        <w:t>’</w:t>
      </w:r>
      <w:r w:rsidRPr="00AA3C26">
        <w:rPr>
          <w:rFonts w:cs="Arial"/>
          <w:snapToGrid w:val="0"/>
          <w:spacing w:val="-2"/>
          <w:szCs w:val="22"/>
        </w:rPr>
        <w:t>utilisation à des fins commerciales exige l</w:t>
      </w:r>
      <w:r w:rsidR="00D91476">
        <w:rPr>
          <w:rFonts w:cs="Arial"/>
          <w:snapToGrid w:val="0"/>
          <w:spacing w:val="-2"/>
          <w:szCs w:val="22"/>
        </w:rPr>
        <w:t>’</w:t>
      </w:r>
      <w:r w:rsidRPr="00AA3C26">
        <w:rPr>
          <w:rFonts w:cs="Arial"/>
          <w:snapToGrid w:val="0"/>
          <w:spacing w:val="-2"/>
          <w:szCs w:val="22"/>
        </w:rPr>
        <w:t>approbation d</w:t>
      </w:r>
      <w:r w:rsidR="00D91476">
        <w:rPr>
          <w:rFonts w:cs="Arial"/>
          <w:snapToGrid w:val="0"/>
          <w:spacing w:val="-2"/>
          <w:szCs w:val="22"/>
        </w:rPr>
        <w:t>’</w:t>
      </w:r>
      <w:r w:rsidRPr="00AA3C26">
        <w:rPr>
          <w:rFonts w:cs="Arial"/>
          <w:snapToGrid w:val="0"/>
          <w:spacing w:val="-2"/>
          <w:szCs w:val="22"/>
        </w:rPr>
        <w:t>un organe compétent</w:t>
      </w:r>
      <w:r w:rsidRPr="00AA3C26">
        <w:rPr>
          <w:rStyle w:val="FootnoteReference"/>
          <w:rFonts w:cs="Arial"/>
          <w:spacing w:val="-2"/>
          <w:szCs w:val="22"/>
        </w:rPr>
        <w:footnoteReference w:id="85"/>
      </w:r>
      <w:r w:rsidRPr="00AA3C26">
        <w:rPr>
          <w:rFonts w:cs="Arial"/>
          <w:snapToGrid w:val="0"/>
          <w:spacing w:val="-2"/>
          <w:szCs w:val="22"/>
        </w:rPr>
        <w:t>.</w:t>
      </w:r>
    </w:p>
    <w:p w:rsidR="009243A6" w:rsidRDefault="00DD607D" w:rsidP="009243A6">
      <w:pPr>
        <w:pStyle w:val="Heading2"/>
        <w:spacing w:after="220" w:line="240" w:lineRule="auto"/>
      </w:pPr>
      <w:bookmarkStart w:id="69" w:name="_Toc7772544"/>
      <w:r w:rsidRPr="00E8642C">
        <w:t>Formalité</w:t>
      </w:r>
      <w:bookmarkEnd w:id="69"/>
    </w:p>
    <w:p w:rsidR="009243A6" w:rsidRDefault="00DD607D" w:rsidP="009243A6">
      <w:pPr>
        <w:spacing w:after="220"/>
        <w:rPr>
          <w:rFonts w:cs="Arial"/>
          <w:snapToGrid w:val="0"/>
          <w:szCs w:val="22"/>
        </w:rPr>
      </w:pPr>
      <w:r w:rsidRPr="00AA3C26">
        <w:rPr>
          <w:rFonts w:cs="Arial"/>
          <w:snapToGrid w:val="0"/>
          <w:szCs w:val="22"/>
        </w:rPr>
        <w:t xml:space="preserve">Le </w:t>
      </w:r>
      <w:proofErr w:type="spellStart"/>
      <w:r w:rsidRPr="00AA3C26">
        <w:rPr>
          <w:rFonts w:cs="Arial"/>
          <w:snapToGrid w:val="0"/>
          <w:szCs w:val="22"/>
        </w:rPr>
        <w:t>Black</w:t>
      </w:r>
      <w:r w:rsidR="00D91476">
        <w:rPr>
          <w:rFonts w:cs="Arial"/>
          <w:snapToGrid w:val="0"/>
          <w:szCs w:val="22"/>
        </w:rPr>
        <w:t>’</w:t>
      </w:r>
      <w:r w:rsidRPr="00AA3C26">
        <w:rPr>
          <w:rFonts w:cs="Arial"/>
          <w:snapToGrid w:val="0"/>
          <w:szCs w:val="22"/>
        </w:rPr>
        <w:t>s</w:t>
      </w:r>
      <w:proofErr w:type="spellEnd"/>
      <w:r w:rsidRPr="00AA3C26">
        <w:rPr>
          <w:rFonts w:cs="Arial"/>
          <w:snapToGrid w:val="0"/>
          <w:szCs w:val="22"/>
        </w:rPr>
        <w:t xml:space="preserve"> Law </w:t>
      </w:r>
      <w:proofErr w:type="spellStart"/>
      <w:r w:rsidRPr="00AA3C26">
        <w:rPr>
          <w:rFonts w:cs="Arial"/>
          <w:snapToGrid w:val="0"/>
          <w:szCs w:val="22"/>
        </w:rPr>
        <w:t>Dictionary</w:t>
      </w:r>
      <w:proofErr w:type="spellEnd"/>
      <w:r w:rsidRPr="00AA3C26">
        <w:rPr>
          <w:rFonts w:cs="Arial"/>
          <w:snapToGrid w:val="0"/>
          <w:szCs w:val="22"/>
        </w:rPr>
        <w:t xml:space="preserve"> définit une formalité comme un acte qui doit être effectué, selon une forme définie ou une procédure établie, pour donner un caractère légal à quelque cho</w:t>
      </w:r>
      <w:r w:rsidR="001F3AEE" w:rsidRPr="00AA3C26">
        <w:rPr>
          <w:rFonts w:cs="Arial"/>
          <w:snapToGrid w:val="0"/>
          <w:szCs w:val="22"/>
        </w:rPr>
        <w:t>se</w:t>
      </w:r>
      <w:r w:rsidR="001F3AEE">
        <w:rPr>
          <w:rFonts w:cs="Arial"/>
          <w:snapToGrid w:val="0"/>
          <w:szCs w:val="22"/>
        </w:rPr>
        <w:t xml:space="preserve">.  </w:t>
      </w:r>
      <w:r w:rsidR="001F3AEE" w:rsidRPr="00AA3C26">
        <w:rPr>
          <w:rFonts w:cs="Arial"/>
          <w:snapToGrid w:val="0"/>
          <w:szCs w:val="22"/>
        </w:rPr>
        <w:t>Da</w:t>
      </w:r>
      <w:r w:rsidRPr="00AA3C26">
        <w:rPr>
          <w:rFonts w:cs="Arial"/>
          <w:snapToGrid w:val="0"/>
          <w:szCs w:val="22"/>
        </w:rPr>
        <w:t>ns le contexte du droit d</w:t>
      </w:r>
      <w:r w:rsidR="00D91476">
        <w:rPr>
          <w:rFonts w:cs="Arial"/>
          <w:snapToGrid w:val="0"/>
          <w:szCs w:val="22"/>
        </w:rPr>
        <w:t>’</w:t>
      </w:r>
      <w:r w:rsidRPr="00AA3C26">
        <w:rPr>
          <w:rFonts w:cs="Arial"/>
          <w:snapToGrid w:val="0"/>
          <w:szCs w:val="22"/>
        </w:rPr>
        <w:t>auteur, le terme “formalités” renvoie à une condition de procédure ou une condition administrative, telle que l</w:t>
      </w:r>
      <w:r w:rsidR="00D91476">
        <w:rPr>
          <w:rFonts w:cs="Arial"/>
          <w:snapToGrid w:val="0"/>
          <w:szCs w:val="22"/>
        </w:rPr>
        <w:t>’</w:t>
      </w:r>
      <w:r w:rsidRPr="00AA3C26">
        <w:rPr>
          <w:rFonts w:cs="Arial"/>
          <w:snapToGrid w:val="0"/>
          <w:szCs w:val="22"/>
        </w:rPr>
        <w:t>insertion d</w:t>
      </w:r>
      <w:r w:rsidR="00D91476">
        <w:rPr>
          <w:rFonts w:cs="Arial"/>
          <w:snapToGrid w:val="0"/>
          <w:szCs w:val="22"/>
        </w:rPr>
        <w:t>’</w:t>
      </w:r>
      <w:r w:rsidRPr="00AA3C26">
        <w:rPr>
          <w:rFonts w:cs="Arial"/>
          <w:snapToGrid w:val="0"/>
          <w:szCs w:val="22"/>
        </w:rPr>
        <w:t>une mention de réserve du droit d</w:t>
      </w:r>
      <w:r w:rsidR="00D91476">
        <w:rPr>
          <w:rFonts w:cs="Arial"/>
          <w:snapToGrid w:val="0"/>
          <w:szCs w:val="22"/>
        </w:rPr>
        <w:t>’</w:t>
      </w:r>
      <w:r w:rsidRPr="00AA3C26">
        <w:rPr>
          <w:rFonts w:cs="Arial"/>
          <w:snapToGrid w:val="0"/>
          <w:szCs w:val="22"/>
        </w:rPr>
        <w:t>auteur, le dépôt d</w:t>
      </w:r>
      <w:r w:rsidR="00D91476">
        <w:rPr>
          <w:rFonts w:cs="Arial"/>
          <w:snapToGrid w:val="0"/>
          <w:szCs w:val="22"/>
        </w:rPr>
        <w:t>’</w:t>
      </w:r>
      <w:r w:rsidRPr="00AA3C26">
        <w:rPr>
          <w:rFonts w:cs="Arial"/>
          <w:snapToGrid w:val="0"/>
          <w:szCs w:val="22"/>
        </w:rPr>
        <w:t>exemplaires ou l</w:t>
      </w:r>
      <w:r w:rsidR="00D91476">
        <w:rPr>
          <w:rFonts w:cs="Arial"/>
          <w:snapToGrid w:val="0"/>
          <w:szCs w:val="22"/>
        </w:rPr>
        <w:t>’</w:t>
      </w:r>
      <w:r w:rsidRPr="00AA3C26">
        <w:rPr>
          <w:rFonts w:cs="Arial"/>
          <w:snapToGrid w:val="0"/>
          <w:szCs w:val="22"/>
        </w:rPr>
        <w:t>enregistrement, auxquels sont subordonnés l</w:t>
      </w:r>
      <w:r w:rsidR="00D91476">
        <w:rPr>
          <w:rFonts w:cs="Arial"/>
          <w:snapToGrid w:val="0"/>
          <w:szCs w:val="22"/>
        </w:rPr>
        <w:t>’</w:t>
      </w:r>
      <w:r w:rsidRPr="00AA3C26">
        <w:rPr>
          <w:rFonts w:cs="Arial"/>
          <w:snapToGrid w:val="0"/>
          <w:szCs w:val="22"/>
        </w:rPr>
        <w:t>acquisition, la jouissance et l</w:t>
      </w:r>
      <w:r w:rsidR="00D91476">
        <w:rPr>
          <w:rFonts w:cs="Arial"/>
          <w:snapToGrid w:val="0"/>
          <w:szCs w:val="22"/>
        </w:rPr>
        <w:t>’</w:t>
      </w:r>
      <w:r w:rsidRPr="00AA3C26">
        <w:rPr>
          <w:rFonts w:cs="Arial"/>
          <w:snapToGrid w:val="0"/>
          <w:szCs w:val="22"/>
        </w:rPr>
        <w:t>exercice (notamment l</w:t>
      </w:r>
      <w:r w:rsidR="00D91476">
        <w:rPr>
          <w:rFonts w:cs="Arial"/>
          <w:snapToGrid w:val="0"/>
          <w:szCs w:val="22"/>
        </w:rPr>
        <w:t>’</w:t>
      </w:r>
      <w:r w:rsidRPr="00AA3C26">
        <w:rPr>
          <w:rFonts w:cs="Arial"/>
          <w:snapToGrid w:val="0"/>
          <w:szCs w:val="22"/>
        </w:rPr>
        <w:t>opposabilité) du droit d</w:t>
      </w:r>
      <w:r w:rsidR="00D91476">
        <w:rPr>
          <w:rFonts w:cs="Arial"/>
          <w:snapToGrid w:val="0"/>
          <w:szCs w:val="22"/>
        </w:rPr>
        <w:t>’</w:t>
      </w:r>
      <w:r w:rsidRPr="00AA3C26">
        <w:rPr>
          <w:rFonts w:cs="Arial"/>
          <w:snapToGrid w:val="0"/>
          <w:szCs w:val="22"/>
        </w:rPr>
        <w:t>auteur ou des droits connexes</w:t>
      </w:r>
      <w:r w:rsidRPr="00AA3C26">
        <w:rPr>
          <w:rStyle w:val="FootnoteReference"/>
          <w:rFonts w:cs="Arial"/>
          <w:szCs w:val="22"/>
        </w:rPr>
        <w:footnoteReference w:id="86"/>
      </w:r>
      <w:r w:rsidRPr="00AA3C26">
        <w:rPr>
          <w:rFonts w:cs="Arial"/>
          <w:snapToGrid w:val="0"/>
          <w:szCs w:val="22"/>
        </w:rPr>
        <w:t xml:space="preserve">.  Selon la </w:t>
      </w:r>
      <w:r w:rsidRPr="00AA3C26">
        <w:rPr>
          <w:rFonts w:cs="Arial"/>
          <w:i/>
          <w:snapToGrid w:val="0"/>
          <w:szCs w:val="22"/>
        </w:rPr>
        <w:t xml:space="preserve">Convention de Berne pour la protection des œuvres littéraires et artistiques </w:t>
      </w:r>
      <w:r w:rsidRPr="00AA3C26">
        <w:rPr>
          <w:rFonts w:cs="Arial"/>
          <w:snapToGrid w:val="0"/>
          <w:szCs w:val="22"/>
        </w:rPr>
        <w:t>(1971), l</w:t>
      </w:r>
      <w:r w:rsidR="00D91476">
        <w:rPr>
          <w:rFonts w:cs="Arial"/>
          <w:snapToGrid w:val="0"/>
          <w:szCs w:val="22"/>
        </w:rPr>
        <w:t>’</w:t>
      </w:r>
      <w:r w:rsidRPr="00AA3C26">
        <w:rPr>
          <w:rFonts w:cs="Arial"/>
          <w:i/>
          <w:snapToGrid w:val="0"/>
          <w:szCs w:val="22"/>
        </w:rPr>
        <w:t>Accord sur les aspects des droits de propriété intellectuelle qui touchent au commerce</w:t>
      </w:r>
      <w:r w:rsidRPr="00AA3C26">
        <w:rPr>
          <w:rFonts w:cs="Arial"/>
          <w:snapToGrid w:val="0"/>
          <w:szCs w:val="22"/>
        </w:rPr>
        <w:t xml:space="preserve"> (Accord sur les ADPIC) de l</w:t>
      </w:r>
      <w:r w:rsidR="00D91476">
        <w:rPr>
          <w:rFonts w:cs="Arial"/>
          <w:snapToGrid w:val="0"/>
          <w:szCs w:val="22"/>
        </w:rPr>
        <w:t>’</w:t>
      </w:r>
      <w:r w:rsidRPr="00AA3C26">
        <w:rPr>
          <w:rFonts w:cs="Arial"/>
          <w:snapToGrid w:val="0"/>
          <w:szCs w:val="22"/>
        </w:rPr>
        <w:t>Organisation mondiale du commerce (OMC), le </w:t>
      </w:r>
      <w:r w:rsidRPr="00AA3C26">
        <w:rPr>
          <w:rFonts w:cs="Arial"/>
          <w:i/>
          <w:snapToGrid w:val="0"/>
          <w:szCs w:val="22"/>
        </w:rPr>
        <w:t>Traité de l</w:t>
      </w:r>
      <w:r w:rsidR="00D91476">
        <w:rPr>
          <w:rFonts w:cs="Arial"/>
          <w:i/>
          <w:snapToGrid w:val="0"/>
          <w:szCs w:val="22"/>
        </w:rPr>
        <w:t>’</w:t>
      </w:r>
      <w:r w:rsidRPr="00AA3C26">
        <w:rPr>
          <w:rFonts w:cs="Arial"/>
          <w:i/>
          <w:snapToGrid w:val="0"/>
          <w:szCs w:val="22"/>
        </w:rPr>
        <w:t>OMPI sur le droit d</w:t>
      </w:r>
      <w:r w:rsidR="00D91476">
        <w:rPr>
          <w:rFonts w:cs="Arial"/>
          <w:i/>
          <w:snapToGrid w:val="0"/>
          <w:szCs w:val="22"/>
        </w:rPr>
        <w:t>’</w:t>
      </w:r>
      <w:r w:rsidRPr="00AA3C26">
        <w:rPr>
          <w:rFonts w:cs="Arial"/>
          <w:i/>
          <w:snapToGrid w:val="0"/>
          <w:szCs w:val="22"/>
        </w:rPr>
        <w:t>auteur</w:t>
      </w:r>
      <w:r w:rsidRPr="00AA3C26">
        <w:rPr>
          <w:rFonts w:cs="Arial"/>
          <w:snapToGrid w:val="0"/>
          <w:szCs w:val="22"/>
        </w:rPr>
        <w:t xml:space="preserve"> (WCT) et le </w:t>
      </w:r>
      <w:r w:rsidRPr="00AA3C26">
        <w:rPr>
          <w:rFonts w:cs="Arial"/>
          <w:i/>
          <w:snapToGrid w:val="0"/>
          <w:szCs w:val="22"/>
        </w:rPr>
        <w:t>Traité de l</w:t>
      </w:r>
      <w:r w:rsidR="00D91476">
        <w:rPr>
          <w:rFonts w:cs="Arial"/>
          <w:i/>
          <w:snapToGrid w:val="0"/>
          <w:szCs w:val="22"/>
        </w:rPr>
        <w:t>’</w:t>
      </w:r>
      <w:r w:rsidRPr="00AA3C26">
        <w:rPr>
          <w:rFonts w:cs="Arial"/>
          <w:i/>
          <w:snapToGrid w:val="0"/>
          <w:szCs w:val="22"/>
        </w:rPr>
        <w:t>OMPI sur les interprétations et exécutions et les phonogrammes</w:t>
      </w:r>
      <w:r w:rsidRPr="00AA3C26">
        <w:rPr>
          <w:rFonts w:cs="Arial"/>
          <w:snapToGrid w:val="0"/>
          <w:szCs w:val="22"/>
        </w:rPr>
        <w:t xml:space="preserve"> (WPPT), la jouissance et l</w:t>
      </w:r>
      <w:r w:rsidR="00D91476">
        <w:rPr>
          <w:rFonts w:cs="Arial"/>
          <w:snapToGrid w:val="0"/>
          <w:szCs w:val="22"/>
        </w:rPr>
        <w:t>’</w:t>
      </w:r>
      <w:r w:rsidRPr="00AA3C26">
        <w:rPr>
          <w:rFonts w:cs="Arial"/>
          <w:snapToGrid w:val="0"/>
          <w:szCs w:val="22"/>
        </w:rPr>
        <w:t>exercice de ces droits peuvent n</w:t>
      </w:r>
      <w:r w:rsidR="00D91476">
        <w:rPr>
          <w:rFonts w:cs="Arial"/>
          <w:snapToGrid w:val="0"/>
          <w:szCs w:val="22"/>
        </w:rPr>
        <w:t>’</w:t>
      </w:r>
      <w:r w:rsidRPr="00AA3C26">
        <w:rPr>
          <w:rFonts w:cs="Arial"/>
          <w:snapToGrid w:val="0"/>
          <w:szCs w:val="22"/>
        </w:rPr>
        <w:t>être subordonnés à aucune formalité</w:t>
      </w:r>
      <w:r w:rsidRPr="00AA3C26">
        <w:rPr>
          <w:rFonts w:cs="Arial"/>
          <w:snapToGrid w:val="0"/>
          <w:szCs w:val="22"/>
          <w:vertAlign w:val="superscript"/>
        </w:rPr>
        <w:footnoteReference w:id="87"/>
      </w:r>
      <w:r w:rsidRPr="00AA3C26">
        <w:rPr>
          <w:rFonts w:cs="Arial"/>
          <w:snapToGrid w:val="0"/>
          <w:szCs w:val="22"/>
        </w:rPr>
        <w:t>.</w:t>
      </w:r>
    </w:p>
    <w:p w:rsidR="009243A6" w:rsidRDefault="00DD607D" w:rsidP="009243A6">
      <w:pPr>
        <w:pStyle w:val="Heading2"/>
        <w:keepLines/>
        <w:spacing w:after="220" w:line="240" w:lineRule="auto"/>
      </w:pPr>
      <w:bookmarkStart w:id="70" w:name="_Toc7772545"/>
      <w:r w:rsidRPr="00E8642C">
        <w:t>Fournisseurs et destinataires de ressources génétiques</w:t>
      </w:r>
      <w:bookmarkEnd w:id="70"/>
    </w:p>
    <w:p w:rsidR="009243A6" w:rsidRDefault="00DD607D" w:rsidP="009243A6">
      <w:pPr>
        <w:pStyle w:val="BodyText"/>
        <w:tabs>
          <w:tab w:val="left" w:pos="567"/>
        </w:tabs>
        <w:spacing w:after="220"/>
        <w:rPr>
          <w:rFonts w:cs="Arial"/>
          <w:szCs w:val="22"/>
        </w:rPr>
      </w:pPr>
      <w:r w:rsidRPr="00E8642C">
        <w:rPr>
          <w:rFonts w:cs="Arial"/>
          <w:szCs w:val="22"/>
        </w:rPr>
        <w:t xml:space="preserve">Parmi les fournisseurs et destinataires de ressources génétiques, on peut citer le secteur public (par exemple les ministères, les organismes publics (nationaux, régionaux ou locaux), </w:t>
      </w:r>
      <w:r w:rsidR="00D91476">
        <w:rPr>
          <w:rFonts w:cs="Arial"/>
          <w:szCs w:val="22"/>
        </w:rPr>
        <w:t>y compris</w:t>
      </w:r>
      <w:r w:rsidRPr="00E8642C">
        <w:rPr>
          <w:rFonts w:cs="Arial"/>
          <w:szCs w:val="22"/>
        </w:rPr>
        <w:t xml:space="preserve"> les responsables de l</w:t>
      </w:r>
      <w:r w:rsidR="00D91476">
        <w:rPr>
          <w:rFonts w:cs="Arial"/>
          <w:szCs w:val="22"/>
        </w:rPr>
        <w:t>’</w:t>
      </w:r>
      <w:r w:rsidRPr="00E8642C">
        <w:rPr>
          <w:rFonts w:cs="Arial"/>
          <w:szCs w:val="22"/>
        </w:rPr>
        <w:t>administration des parcs nationaux et des terrains publics);  les établissements commerciaux ou industriels (par exemple, des entreprises pharmaceutiques, agroalimentaires, horticoles ou cosmétiques);  les instituts de recherche (par exemple, des universités, des banques de gènes, des jardins botaniques, des collections microbiennes);  les dépositaires de ressources génétiques et les détenteurs de savoirs traditionnels (par exemple, des associations de guérisseurs, des peuples autochtones ou des communautés locales, des organisations populaires, des communautés agricoles traditionnelles);  et d</w:t>
      </w:r>
      <w:r w:rsidR="00D91476">
        <w:rPr>
          <w:rFonts w:cs="Arial"/>
          <w:szCs w:val="22"/>
        </w:rPr>
        <w:t>’</w:t>
      </w:r>
      <w:r w:rsidRPr="00E8642C">
        <w:rPr>
          <w:rFonts w:cs="Arial"/>
          <w:szCs w:val="22"/>
        </w:rPr>
        <w:t>autres (par exemple, un ou plusieurs propriétaires fonciers privés, un ou plusieurs groupes de conservation, etc.)</w:t>
      </w:r>
      <w:r w:rsidRPr="00E8642C">
        <w:rPr>
          <w:rStyle w:val="FootnoteReference"/>
          <w:rFonts w:cs="Arial"/>
          <w:szCs w:val="22"/>
        </w:rPr>
        <w:footnoteReference w:id="88"/>
      </w:r>
      <w:r w:rsidRPr="00E8642C">
        <w:rPr>
          <w:rFonts w:cs="Arial"/>
          <w:szCs w:val="22"/>
        </w:rPr>
        <w:t>.</w:t>
      </w:r>
    </w:p>
    <w:p w:rsidR="009243A6" w:rsidRDefault="00DD607D" w:rsidP="009243A6">
      <w:pPr>
        <w:pStyle w:val="Heading2"/>
        <w:spacing w:after="220" w:line="240" w:lineRule="auto"/>
      </w:pPr>
      <w:bookmarkStart w:id="71" w:name="_Toc7772546"/>
      <w:r w:rsidRPr="00E8642C">
        <w:t>Identité culturelle</w:t>
      </w:r>
      <w:bookmarkEnd w:id="71"/>
    </w:p>
    <w:p w:rsidR="009243A6" w:rsidRDefault="00DD607D" w:rsidP="009243A6">
      <w:pPr>
        <w:pStyle w:val="FootnoteText"/>
        <w:spacing w:after="220"/>
        <w:ind w:left="0" w:firstLine="0"/>
        <w:rPr>
          <w:rFonts w:cs="Arial"/>
          <w:szCs w:val="22"/>
        </w:rPr>
      </w:pPr>
      <w:r w:rsidRPr="00E8642C">
        <w:rPr>
          <w:rFonts w:cs="Arial"/>
          <w:szCs w:val="22"/>
        </w:rPr>
        <w:t>L</w:t>
      </w:r>
      <w:r w:rsidR="00D91476">
        <w:rPr>
          <w:rFonts w:cs="Arial"/>
          <w:szCs w:val="22"/>
        </w:rPr>
        <w:t>’</w:t>
      </w:r>
      <w:r w:rsidRPr="00E8642C">
        <w:rPr>
          <w:rFonts w:cs="Arial"/>
          <w:szCs w:val="22"/>
        </w:rPr>
        <w:t>identité culturelle révèle la correspondance qui existe entre une communauté – nationale, ethnique, linguistique, etc.</w:t>
      </w:r>
      <w:r w:rsidR="003F6300">
        <w:rPr>
          <w:rFonts w:cs="Arial"/>
          <w:szCs w:val="22"/>
        </w:rPr>
        <w:t xml:space="preserve"> </w:t>
      </w:r>
      <w:r w:rsidRPr="00E8642C">
        <w:rPr>
          <w:rFonts w:cs="Arial"/>
          <w:szCs w:val="22"/>
        </w:rPr>
        <w:t>– et sa vie culturelle, ainsi que le droit de chaque communauté à sa propre culture</w:t>
      </w:r>
      <w:r w:rsidRPr="00E8642C">
        <w:rPr>
          <w:rStyle w:val="FootnoteReference"/>
          <w:rFonts w:cs="Arial"/>
          <w:szCs w:val="22"/>
        </w:rPr>
        <w:footnoteReference w:id="89"/>
      </w:r>
      <w:r w:rsidRPr="00E8642C">
        <w:rPr>
          <w:rFonts w:cs="Arial"/>
          <w:szCs w:val="22"/>
        </w:rPr>
        <w:t xml:space="preserve">.  </w:t>
      </w:r>
      <w:r w:rsidRPr="00E8642C">
        <w:rPr>
          <w:rFonts w:cs="Arial"/>
        </w:rPr>
        <w:t xml:space="preserve">La </w:t>
      </w:r>
      <w:r w:rsidRPr="00E8642C">
        <w:rPr>
          <w:rFonts w:cs="Arial"/>
          <w:i/>
        </w:rPr>
        <w:t>Convention n° 169 concernant les peuples indigènes et tribaux dans les pays indépendants</w:t>
      </w:r>
      <w:r w:rsidRPr="00E8642C">
        <w:rPr>
          <w:rFonts w:cs="Arial"/>
        </w:rPr>
        <w:t xml:space="preserve"> (1989) du Bureau international du travail (BIT) prévoit que les gouvernements doivent “promouvoir la pleine réalisation des droits sociaux, économiques et culturels de ces peuples, dans le respect de leur identité sociale et culturelle, de leurs coutumes et traditions et de leurs institutions”</w:t>
      </w:r>
      <w:r w:rsidRPr="00E8642C">
        <w:rPr>
          <w:rStyle w:val="FootnoteReference"/>
          <w:rFonts w:cs="Arial"/>
          <w:szCs w:val="22"/>
        </w:rPr>
        <w:footnoteReference w:id="90"/>
      </w:r>
      <w:r w:rsidRPr="00E8642C">
        <w:rPr>
          <w:rFonts w:cs="Arial"/>
        </w:rPr>
        <w:t>.</w:t>
      </w:r>
    </w:p>
    <w:p w:rsidR="009243A6" w:rsidRDefault="00DD607D" w:rsidP="009243A6">
      <w:pPr>
        <w:pStyle w:val="Heading2"/>
        <w:spacing w:after="220" w:line="240" w:lineRule="auto"/>
      </w:pPr>
      <w:bookmarkStart w:id="72" w:name="_Toc7772547"/>
      <w:r w:rsidRPr="00E8642C">
        <w:t>Instrument de l</w:t>
      </w:r>
      <w:r w:rsidR="00D91476">
        <w:t>’</w:t>
      </w:r>
      <w:r w:rsidRPr="00E8642C">
        <w:t>OMPI sur la fixation des savoirs traditionnels (Instrument d</w:t>
      </w:r>
      <w:r w:rsidR="00D91476">
        <w:t>’</w:t>
      </w:r>
      <w:r w:rsidRPr="00E8642C">
        <w:t>aide à la fixation des savoirs traditionnels)</w:t>
      </w:r>
      <w:bookmarkEnd w:id="72"/>
    </w:p>
    <w:p w:rsidR="009243A6" w:rsidRDefault="00DD607D" w:rsidP="009243A6">
      <w:pPr>
        <w:spacing w:after="220"/>
        <w:rPr>
          <w:rFonts w:cs="Arial"/>
          <w:szCs w:val="22"/>
        </w:rPr>
      </w:pPr>
      <w:r w:rsidRPr="00E8642C">
        <w:rPr>
          <w:rFonts w:cs="Arial"/>
          <w:szCs w:val="22"/>
        </w:rPr>
        <w:t>Les programmes de fixation peuvent poser des problèmes en matière de propriété intellectuelle aux détenteurs de savoirs traditionne</w:t>
      </w:r>
      <w:r w:rsidR="001F3AEE" w:rsidRPr="00E8642C">
        <w:rPr>
          <w:rFonts w:cs="Arial"/>
          <w:szCs w:val="22"/>
        </w:rPr>
        <w:t>ls</w:t>
      </w:r>
      <w:r w:rsidR="001F3AEE">
        <w:rPr>
          <w:rFonts w:cs="Arial"/>
          <w:szCs w:val="22"/>
        </w:rPr>
        <w:t xml:space="preserve">.  </w:t>
      </w:r>
      <w:r w:rsidR="001F3AEE" w:rsidRPr="00E8642C">
        <w:rPr>
          <w:rFonts w:cs="Arial"/>
          <w:szCs w:val="22"/>
        </w:rPr>
        <w:t>Il</w:t>
      </w:r>
      <w:r w:rsidRPr="00E8642C">
        <w:rPr>
          <w:rFonts w:cs="Arial"/>
          <w:szCs w:val="22"/>
        </w:rPr>
        <w:t xml:space="preserve"> convient de prêter particulièrement attention aux incidences en matière de propriété intellectuelle au cours du processus de fixati</w:t>
      </w:r>
      <w:r w:rsidR="001F3AEE" w:rsidRPr="00E8642C">
        <w:rPr>
          <w:rFonts w:cs="Arial"/>
          <w:szCs w:val="22"/>
        </w:rPr>
        <w:t>on</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i</w:t>
      </w:r>
      <w:r w:rsidRPr="00E8642C">
        <w:rPr>
          <w:rFonts w:cs="Arial"/>
          <w:szCs w:val="22"/>
        </w:rPr>
        <w:t>nstrument de l</w:t>
      </w:r>
      <w:r w:rsidR="00D91476">
        <w:rPr>
          <w:rFonts w:cs="Arial"/>
          <w:szCs w:val="22"/>
        </w:rPr>
        <w:t>’</w:t>
      </w:r>
      <w:r w:rsidRPr="00E8642C">
        <w:rPr>
          <w:rFonts w:cs="Arial"/>
          <w:szCs w:val="22"/>
        </w:rPr>
        <w:t>OMPI sur la fixation des savoirs traditionnels est axé sur la gestion des questions de propriété intellectuelle au cours du processus de fixation, qui est considéré comme le point de départ d</w:t>
      </w:r>
      <w:r w:rsidR="00D91476">
        <w:rPr>
          <w:rFonts w:cs="Arial"/>
          <w:szCs w:val="22"/>
        </w:rPr>
        <w:t>’</w:t>
      </w:r>
      <w:r w:rsidRPr="00E8642C">
        <w:rPr>
          <w:rFonts w:cs="Arial"/>
          <w:szCs w:val="22"/>
        </w:rPr>
        <w:t>une gestion plus avantageuse des savoirs traditionnels en tant qu</w:t>
      </w:r>
      <w:r w:rsidR="00D91476">
        <w:rPr>
          <w:rFonts w:cs="Arial"/>
          <w:szCs w:val="22"/>
        </w:rPr>
        <w:t>’</w:t>
      </w:r>
      <w:r w:rsidRPr="00E8642C">
        <w:rPr>
          <w:rFonts w:cs="Arial"/>
          <w:szCs w:val="22"/>
        </w:rPr>
        <w:t>actifs intellectuels et culturels d</w:t>
      </w:r>
      <w:r w:rsidR="00D91476">
        <w:rPr>
          <w:rFonts w:cs="Arial"/>
          <w:szCs w:val="22"/>
        </w:rPr>
        <w:t>’</w:t>
      </w:r>
      <w:r w:rsidRPr="00E8642C">
        <w:rPr>
          <w:rFonts w:cs="Arial"/>
          <w:szCs w:val="22"/>
        </w:rPr>
        <w:t>une communauté</w:t>
      </w:r>
      <w:r w:rsidRPr="00E8642C">
        <w:rPr>
          <w:szCs w:val="22"/>
          <w:vertAlign w:val="superscript"/>
        </w:rPr>
        <w:footnoteReference w:id="91"/>
      </w:r>
      <w:r w:rsidRPr="00E8642C">
        <w:rPr>
          <w:rFonts w:cs="Arial"/>
          <w:szCs w:val="22"/>
        </w:rPr>
        <w:t>.</w:t>
      </w:r>
    </w:p>
    <w:p w:rsidR="009243A6" w:rsidRDefault="00DD607D" w:rsidP="009243A6">
      <w:pPr>
        <w:spacing w:after="220"/>
        <w:rPr>
          <w:rFonts w:cs="Arial"/>
          <w:szCs w:val="22"/>
        </w:rPr>
      </w:pPr>
      <w:r w:rsidRPr="00E8642C">
        <w:rPr>
          <w:rFonts w:cs="Arial"/>
          <w:szCs w:val="22"/>
        </w:rPr>
        <w:t>L</w:t>
      </w:r>
      <w:r w:rsidR="00D91476">
        <w:rPr>
          <w:rFonts w:cs="Arial"/>
          <w:szCs w:val="22"/>
        </w:rPr>
        <w:t>’</w:t>
      </w:r>
      <w:r w:rsidRPr="00E8642C">
        <w:rPr>
          <w:rFonts w:cs="Arial"/>
          <w:szCs w:val="22"/>
        </w:rPr>
        <w:t>instrument de l</w:t>
      </w:r>
      <w:r w:rsidR="00D91476">
        <w:rPr>
          <w:rFonts w:cs="Arial"/>
          <w:szCs w:val="22"/>
        </w:rPr>
        <w:t>’</w:t>
      </w:r>
      <w:r w:rsidRPr="00E8642C">
        <w:rPr>
          <w:rFonts w:cs="Arial"/>
          <w:szCs w:val="22"/>
        </w:rPr>
        <w:t>OMPI sur la fixation des savoirs traditionnels qui est soumis à consultation est destiné en particulier à être utilisé par les peuples autochtones et les communautés local</w:t>
      </w:r>
      <w:r w:rsidR="001F3AEE" w:rsidRPr="00E8642C">
        <w:rPr>
          <w:rFonts w:cs="Arial"/>
          <w:szCs w:val="22"/>
        </w:rPr>
        <w:t>es</w:t>
      </w:r>
      <w:r w:rsidR="001F3AEE">
        <w:rPr>
          <w:rFonts w:cs="Arial"/>
          <w:szCs w:val="22"/>
        </w:rPr>
        <w:t xml:space="preserve">.  </w:t>
      </w:r>
      <w:r w:rsidR="001F3AEE" w:rsidRPr="00E8642C">
        <w:rPr>
          <w:rFonts w:cs="Arial"/>
          <w:szCs w:val="22"/>
        </w:rPr>
        <w:t>Il</w:t>
      </w:r>
      <w:r w:rsidRPr="00E8642C">
        <w:rPr>
          <w:rFonts w:cs="Arial"/>
          <w:szCs w:val="22"/>
        </w:rPr>
        <w:t xml:space="preserve"> peut aussi être utile à ceux qui appartiennent à l</w:t>
      </w:r>
      <w:r w:rsidR="00D91476">
        <w:rPr>
          <w:rFonts w:cs="Arial"/>
          <w:szCs w:val="22"/>
        </w:rPr>
        <w:t>’</w:t>
      </w:r>
      <w:r w:rsidRPr="00E8642C">
        <w:rPr>
          <w:rFonts w:cs="Arial"/>
          <w:szCs w:val="22"/>
        </w:rPr>
        <w:t>une des catégories suivantes</w:t>
      </w:r>
      <w:r w:rsidR="00D91476">
        <w:rPr>
          <w:rFonts w:cs="Arial"/>
          <w:szCs w:val="22"/>
        </w:rPr>
        <w:t> :</w:t>
      </w:r>
      <w:r w:rsidRPr="00E8642C">
        <w:rPr>
          <w:rFonts w:cs="Arial"/>
          <w:szCs w:val="22"/>
        </w:rPr>
        <w:t xml:space="preserve"> les fonctionnaires des offices de propriété intellectuelle, les décideurs en général, les instituts de recherche et les institutions culturelles engagés dans des projets de fixation, etc.</w:t>
      </w:r>
    </w:p>
    <w:p w:rsidR="009243A6" w:rsidRDefault="00DD607D" w:rsidP="009243A6">
      <w:pPr>
        <w:spacing w:after="220"/>
        <w:rPr>
          <w:rFonts w:cs="Arial"/>
          <w:szCs w:val="22"/>
        </w:rPr>
      </w:pPr>
      <w:r w:rsidRPr="00AA3C26">
        <w:rPr>
          <w:rFonts w:cs="Arial"/>
          <w:szCs w:val="22"/>
        </w:rPr>
        <w:t>Les droits de propriété intellectuelle et d</w:t>
      </w:r>
      <w:r w:rsidR="00D91476">
        <w:rPr>
          <w:rFonts w:cs="Arial"/>
          <w:szCs w:val="22"/>
        </w:rPr>
        <w:t>’</w:t>
      </w:r>
      <w:r w:rsidRPr="00AA3C26">
        <w:rPr>
          <w:rFonts w:cs="Arial"/>
          <w:szCs w:val="22"/>
        </w:rPr>
        <w:t>autres instruments juridiques peuvent permettre de protéger les savoirs lorsqu</w:t>
      </w:r>
      <w:r w:rsidR="00D91476">
        <w:rPr>
          <w:rFonts w:cs="Arial"/>
          <w:szCs w:val="22"/>
        </w:rPr>
        <w:t>’</w:t>
      </w:r>
      <w:r w:rsidRPr="00AA3C26">
        <w:rPr>
          <w:rFonts w:cs="Arial"/>
          <w:szCs w:val="22"/>
        </w:rPr>
        <w:t>ils sont fixés, mais uniquement si des mesures adéquates ont été prises au cours du processus de fixati</w:t>
      </w:r>
      <w:r w:rsidR="001F3AEE" w:rsidRPr="00AA3C26">
        <w:rPr>
          <w:rFonts w:cs="Arial"/>
          <w:szCs w:val="22"/>
        </w:rPr>
        <w:t>on</w:t>
      </w:r>
      <w:r w:rsidR="001F3AEE">
        <w:rPr>
          <w:rFonts w:cs="Arial"/>
          <w:szCs w:val="22"/>
        </w:rPr>
        <w:t xml:space="preserve">.  </w:t>
      </w:r>
      <w:r w:rsidR="001F3AEE" w:rsidRPr="00AA3C26">
        <w:rPr>
          <w:rFonts w:cs="Arial"/>
          <w:szCs w:val="22"/>
        </w:rPr>
        <w:t>L</w:t>
      </w:r>
      <w:r w:rsidR="001F3AEE">
        <w:rPr>
          <w:rFonts w:cs="Arial"/>
          <w:szCs w:val="22"/>
        </w:rPr>
        <w:t>’</w:t>
      </w:r>
      <w:r w:rsidR="001F3AEE" w:rsidRPr="00AA3C26">
        <w:rPr>
          <w:rFonts w:cs="Arial"/>
          <w:szCs w:val="22"/>
        </w:rPr>
        <w:t>i</w:t>
      </w:r>
      <w:r w:rsidRPr="00AA3C26">
        <w:rPr>
          <w:rFonts w:cs="Arial"/>
          <w:szCs w:val="22"/>
        </w:rPr>
        <w:t>nstrument de l</w:t>
      </w:r>
      <w:r w:rsidR="00D91476">
        <w:rPr>
          <w:rFonts w:cs="Arial"/>
          <w:szCs w:val="22"/>
        </w:rPr>
        <w:t>’</w:t>
      </w:r>
      <w:r w:rsidRPr="00AA3C26">
        <w:rPr>
          <w:rFonts w:cs="Arial"/>
          <w:szCs w:val="22"/>
        </w:rPr>
        <w:t>OMPI sur la fixation des savoirs traditionnels qui est soumis à consultation aidera à évaluer les options en matière de propriété intellectuelle, ainsi qu</w:t>
      </w:r>
      <w:r w:rsidR="00D91476">
        <w:rPr>
          <w:rFonts w:cs="Arial"/>
          <w:szCs w:val="22"/>
        </w:rPr>
        <w:t>’</w:t>
      </w:r>
      <w:r w:rsidRPr="00AA3C26">
        <w:rPr>
          <w:rFonts w:cs="Arial"/>
          <w:szCs w:val="22"/>
        </w:rPr>
        <w:t>à planifier et à mettre en œuvre les choix et stratégies lors de la fixation des savoirs traditionnels.</w:t>
      </w:r>
    </w:p>
    <w:p w:rsidR="009243A6" w:rsidRDefault="00DD607D" w:rsidP="009243A6">
      <w:pPr>
        <w:pStyle w:val="Heading2"/>
        <w:spacing w:after="220" w:line="240" w:lineRule="auto"/>
      </w:pPr>
      <w:bookmarkStart w:id="73" w:name="_Toc7772548"/>
      <w:r w:rsidRPr="00E8642C">
        <w:t>Intégrité</w:t>
      </w:r>
      <w:bookmarkEnd w:id="73"/>
    </w:p>
    <w:p w:rsidR="009243A6" w:rsidRDefault="00DD607D" w:rsidP="009243A6">
      <w:pPr>
        <w:spacing w:after="220"/>
        <w:rPr>
          <w:szCs w:val="22"/>
        </w:rPr>
      </w:pPr>
      <w:r w:rsidRPr="00E8642C">
        <w:rPr>
          <w:szCs w:val="22"/>
        </w:rPr>
        <w:t>Le droit à l</w:t>
      </w:r>
      <w:r w:rsidR="00D91476">
        <w:rPr>
          <w:szCs w:val="22"/>
        </w:rPr>
        <w:t>’</w:t>
      </w:r>
      <w:r w:rsidRPr="00E8642C">
        <w:rPr>
          <w:szCs w:val="22"/>
        </w:rPr>
        <w:t>intégrité est le droit de s</w:t>
      </w:r>
      <w:r w:rsidR="00D91476">
        <w:rPr>
          <w:szCs w:val="22"/>
        </w:rPr>
        <w:t>’</w:t>
      </w:r>
      <w:r w:rsidRPr="00E8642C">
        <w:rPr>
          <w:szCs w:val="22"/>
        </w:rPr>
        <w:t>opposer à des modifications et des changements non autorisés des œuvres</w:t>
      </w:r>
      <w:r w:rsidRPr="00E8642C">
        <w:rPr>
          <w:rStyle w:val="FootnoteReference"/>
          <w:szCs w:val="22"/>
        </w:rPr>
        <w:footnoteReference w:id="92"/>
      </w:r>
      <w:r w:rsidRPr="00E8642C">
        <w:rPr>
          <w:szCs w:val="22"/>
        </w:rPr>
        <w:t xml:space="preserve">.  Après la révision à Bruxelles en 1949 de la </w:t>
      </w:r>
      <w:r w:rsidRPr="00E8642C">
        <w:rPr>
          <w:i/>
          <w:iCs/>
          <w:szCs w:val="22"/>
        </w:rPr>
        <w:t>Convention de Berne pour la protection des œuvres littéraires et artistiques</w:t>
      </w:r>
      <w:r w:rsidRPr="00E8642C">
        <w:rPr>
          <w:szCs w:val="22"/>
        </w:rPr>
        <w:t xml:space="preserve"> (1971), l</w:t>
      </w:r>
      <w:r w:rsidR="00D91476">
        <w:rPr>
          <w:szCs w:val="22"/>
        </w:rPr>
        <w:t>’</w:t>
      </w:r>
      <w:r w:rsidRPr="00E8642C">
        <w:rPr>
          <w:szCs w:val="22"/>
        </w:rPr>
        <w:t>interdiction d</w:t>
      </w:r>
      <w:r w:rsidR="00D91476">
        <w:rPr>
          <w:szCs w:val="22"/>
        </w:rPr>
        <w:t>’</w:t>
      </w:r>
      <w:r w:rsidRPr="00E8642C">
        <w:rPr>
          <w:szCs w:val="22"/>
        </w:rPr>
        <w:t>autres atteintes à l</w:t>
      </w:r>
      <w:r w:rsidR="00D91476">
        <w:rPr>
          <w:szCs w:val="22"/>
        </w:rPr>
        <w:t>’</w:t>
      </w:r>
      <w:r w:rsidRPr="00E8642C">
        <w:rPr>
          <w:szCs w:val="22"/>
        </w:rPr>
        <w:t>œuvre préjudiciables à l</w:t>
      </w:r>
      <w:r w:rsidR="00D91476">
        <w:rPr>
          <w:szCs w:val="22"/>
        </w:rPr>
        <w:t>’</w:t>
      </w:r>
      <w:r w:rsidRPr="00E8642C">
        <w:rPr>
          <w:szCs w:val="22"/>
        </w:rPr>
        <w:t>honneur ou à la réputation de l</w:t>
      </w:r>
      <w:r w:rsidR="00D91476">
        <w:rPr>
          <w:szCs w:val="22"/>
        </w:rPr>
        <w:t>’</w:t>
      </w:r>
      <w:r w:rsidRPr="00E8642C">
        <w:rPr>
          <w:szCs w:val="22"/>
        </w:rPr>
        <w:t>auteur a été ajoutée (article 6</w:t>
      </w:r>
      <w:r w:rsidRPr="00E8642C">
        <w:rPr>
          <w:i/>
          <w:szCs w:val="22"/>
        </w:rPr>
        <w:t>bis</w:t>
      </w:r>
      <w:r w:rsidRPr="00E8642C">
        <w:rPr>
          <w:szCs w:val="22"/>
        </w:rPr>
        <w:t>).</w:t>
      </w:r>
    </w:p>
    <w:p w:rsidR="009243A6" w:rsidRDefault="00DD607D" w:rsidP="009243A6">
      <w:pPr>
        <w:pStyle w:val="Heading2"/>
        <w:spacing w:after="220" w:line="240" w:lineRule="auto"/>
      </w:pPr>
      <w:bookmarkStart w:id="74" w:name="_Toc7772549"/>
      <w:r w:rsidRPr="00E8642C">
        <w:t>Inventions biotechnologiques</w:t>
      </w:r>
      <w:bookmarkEnd w:id="74"/>
    </w:p>
    <w:p w:rsidR="009243A6" w:rsidRDefault="00DD607D" w:rsidP="009243A6">
      <w:pPr>
        <w:keepNext/>
        <w:spacing w:after="220"/>
        <w:rPr>
          <w:rFonts w:cs="Arial"/>
          <w:szCs w:val="22"/>
        </w:rPr>
      </w:pPr>
      <w:r w:rsidRPr="00E8642C">
        <w:rPr>
          <w:rFonts w:cs="Arial"/>
          <w:snapToGrid w:val="0"/>
          <w:szCs w:val="22"/>
        </w:rPr>
        <w:t xml:space="preserve">Ce terme est défini dans la </w:t>
      </w:r>
      <w:r w:rsidRPr="00E8642C">
        <w:rPr>
          <w:rFonts w:cs="Arial"/>
          <w:i/>
          <w:snapToGrid w:val="0"/>
          <w:szCs w:val="22"/>
        </w:rPr>
        <w:t>Directive de l</w:t>
      </w:r>
      <w:r w:rsidR="00D91476">
        <w:rPr>
          <w:rFonts w:cs="Arial"/>
          <w:i/>
          <w:snapToGrid w:val="0"/>
          <w:szCs w:val="22"/>
        </w:rPr>
        <w:t>’</w:t>
      </w:r>
      <w:r w:rsidRPr="00E8642C">
        <w:rPr>
          <w:rFonts w:cs="Arial"/>
          <w:i/>
          <w:snapToGrid w:val="0"/>
          <w:szCs w:val="22"/>
        </w:rPr>
        <w:t>Union européenne relative à la protection juridique des inventions biotechnologiques</w:t>
      </w:r>
      <w:r w:rsidRPr="00E8642C">
        <w:rPr>
          <w:rFonts w:cs="Arial"/>
          <w:snapToGrid w:val="0"/>
          <w:szCs w:val="22"/>
        </w:rPr>
        <w:t xml:space="preserve"> comme désignant les inventions qui “</w:t>
      </w:r>
      <w:r w:rsidRPr="00E8642C">
        <w:rPr>
          <w:rFonts w:cs="Arial"/>
          <w:iCs/>
          <w:snapToGrid w:val="0"/>
          <w:szCs w:val="22"/>
        </w:rPr>
        <w:t>portent sur un produit composé de matière biologique ou en contenant, ou sur un procédé permettant de produire, de traiter ou d</w:t>
      </w:r>
      <w:r w:rsidR="00D91476">
        <w:rPr>
          <w:rFonts w:cs="Arial"/>
          <w:iCs/>
          <w:snapToGrid w:val="0"/>
          <w:szCs w:val="22"/>
        </w:rPr>
        <w:t>’</w:t>
      </w:r>
      <w:r w:rsidRPr="00E8642C">
        <w:rPr>
          <w:rFonts w:cs="Arial"/>
          <w:iCs/>
          <w:snapToGrid w:val="0"/>
          <w:szCs w:val="22"/>
        </w:rPr>
        <w:t>utiliser de la matière biologique</w:t>
      </w:r>
      <w:r w:rsidRPr="00E8642C">
        <w:rPr>
          <w:rFonts w:cs="Arial"/>
          <w:snapToGrid w:val="0"/>
          <w:szCs w:val="22"/>
        </w:rPr>
        <w:t>”</w:t>
      </w:r>
      <w:r w:rsidRPr="00E8642C">
        <w:rPr>
          <w:rStyle w:val="FootnoteReference"/>
          <w:rFonts w:cs="Arial"/>
          <w:szCs w:val="22"/>
        </w:rPr>
        <w:footnoteReference w:id="93"/>
      </w:r>
      <w:r w:rsidRPr="00E8642C">
        <w:rPr>
          <w:rFonts w:cs="Arial"/>
          <w:snapToGrid w:val="0"/>
          <w:szCs w:val="22"/>
        </w:rPr>
        <w:t xml:space="preserve">.  </w:t>
      </w:r>
      <w:r w:rsidRPr="00E8642C">
        <w:rPr>
          <w:rFonts w:cs="Arial"/>
          <w:szCs w:val="22"/>
        </w:rPr>
        <w:t>Les inventions biotechnologiques se répartissent en trois catégories</w:t>
      </w:r>
      <w:r w:rsidR="00D91476">
        <w:rPr>
          <w:rFonts w:cs="Arial"/>
          <w:szCs w:val="22"/>
        </w:rPr>
        <w:t> :</w:t>
      </w:r>
      <w:r w:rsidRPr="00E8642C">
        <w:rPr>
          <w:rFonts w:cs="Arial"/>
          <w:szCs w:val="22"/>
        </w:rPr>
        <w:t xml:space="preserve"> elles représentent à la fois les procédés de création ou de modification d</w:t>
      </w:r>
      <w:r w:rsidR="00D91476">
        <w:rPr>
          <w:rFonts w:cs="Arial"/>
          <w:szCs w:val="22"/>
        </w:rPr>
        <w:t>’</w:t>
      </w:r>
      <w:r w:rsidRPr="00E8642C">
        <w:rPr>
          <w:rFonts w:cs="Arial"/>
          <w:szCs w:val="22"/>
        </w:rPr>
        <w:t>organismes vivants et de matériel biologique, les résultats de ces procédés et l</w:t>
      </w:r>
      <w:r w:rsidR="00D91476">
        <w:rPr>
          <w:rFonts w:cs="Arial"/>
          <w:szCs w:val="22"/>
        </w:rPr>
        <w:t>’</w:t>
      </w:r>
      <w:r w:rsidRPr="00E8642C">
        <w:rPr>
          <w:rFonts w:cs="Arial"/>
          <w:szCs w:val="22"/>
        </w:rPr>
        <w:t>utilisation qui est faite de ces résultats</w:t>
      </w:r>
      <w:r w:rsidRPr="00E8642C">
        <w:rPr>
          <w:rStyle w:val="FootnoteReference"/>
          <w:rFonts w:cs="Arial"/>
          <w:szCs w:val="22"/>
        </w:rPr>
        <w:footnoteReference w:id="94"/>
      </w:r>
      <w:r w:rsidRPr="00E8642C">
        <w:rPr>
          <w:rFonts w:cs="Arial"/>
          <w:szCs w:val="22"/>
        </w:rPr>
        <w:t>.</w:t>
      </w:r>
    </w:p>
    <w:p w:rsidR="009243A6" w:rsidRDefault="006B600F" w:rsidP="009243A6">
      <w:pPr>
        <w:pStyle w:val="Heading2"/>
        <w:spacing w:after="220" w:line="240" w:lineRule="auto"/>
        <w:rPr>
          <w:rStyle w:val="Strong"/>
          <w:b/>
          <w:bCs/>
          <w:caps/>
        </w:rPr>
      </w:pPr>
      <w:bookmarkStart w:id="75" w:name="_Toc7772550"/>
      <w:r w:rsidRPr="00E8642C">
        <w:t xml:space="preserve">Lignes directrices de </w:t>
      </w:r>
      <w:r>
        <w:t>B</w:t>
      </w:r>
      <w:r w:rsidRPr="00E8642C">
        <w:t>onn sur l</w:t>
      </w:r>
      <w:r w:rsidR="00D91476">
        <w:t>’</w:t>
      </w:r>
      <w:r w:rsidRPr="00E8642C">
        <w:t>acc</w:t>
      </w:r>
      <w:r>
        <w:t>è</w:t>
      </w:r>
      <w:r w:rsidRPr="00E8642C">
        <w:t>s aux ressources g</w:t>
      </w:r>
      <w:r>
        <w:t>é</w:t>
      </w:r>
      <w:r w:rsidRPr="00E8642C">
        <w:t>n</w:t>
      </w:r>
      <w:r>
        <w:t>é</w:t>
      </w:r>
      <w:r w:rsidRPr="00E8642C">
        <w:t xml:space="preserve">tiques et le partage juste et </w:t>
      </w:r>
      <w:r>
        <w:t>é</w:t>
      </w:r>
      <w:r w:rsidRPr="00E8642C">
        <w:t>quitable des avantages r</w:t>
      </w:r>
      <w:r>
        <w:t>é</w:t>
      </w:r>
      <w:r w:rsidRPr="00E8642C">
        <w:t>sultant de leur utilisation</w:t>
      </w:r>
      <w:bookmarkEnd w:id="75"/>
    </w:p>
    <w:p w:rsidR="009243A6" w:rsidRDefault="00DD607D" w:rsidP="009243A6">
      <w:pPr>
        <w:tabs>
          <w:tab w:val="num" w:pos="1440"/>
        </w:tabs>
        <w:spacing w:after="220"/>
        <w:rPr>
          <w:rFonts w:cs="Arial"/>
          <w:bCs/>
          <w:szCs w:val="22"/>
        </w:rPr>
      </w:pPr>
      <w:r w:rsidRPr="00E8642C">
        <w:rPr>
          <w:rFonts w:cs="Arial"/>
          <w:szCs w:val="22"/>
        </w:rPr>
        <w:t xml:space="preserve">Les </w:t>
      </w:r>
      <w:r w:rsidRPr="00E8642C">
        <w:rPr>
          <w:rFonts w:cs="Arial"/>
          <w:i/>
          <w:szCs w:val="22"/>
        </w:rPr>
        <w:t>Lignes directrices de Bonn sur l</w:t>
      </w:r>
      <w:r w:rsidR="00D91476">
        <w:rPr>
          <w:rFonts w:cs="Arial"/>
          <w:i/>
          <w:szCs w:val="22"/>
        </w:rPr>
        <w:t>’</w:t>
      </w:r>
      <w:r w:rsidRPr="00E8642C">
        <w:rPr>
          <w:rFonts w:cs="Arial"/>
          <w:i/>
          <w:szCs w:val="22"/>
        </w:rPr>
        <w:t>accès aux ressources génétiques et le partage juste et équitable des avantages résultant de leur utilisation</w:t>
      </w:r>
      <w:r w:rsidRPr="00E8642C">
        <w:rPr>
          <w:rFonts w:cs="Arial"/>
          <w:szCs w:val="22"/>
        </w:rPr>
        <w:t xml:space="preserve"> ont été adoptées en 2002 par la Conférence des Parties à la </w:t>
      </w:r>
      <w:r w:rsidRPr="00E8642C">
        <w:rPr>
          <w:rFonts w:cs="Arial"/>
          <w:i/>
          <w:szCs w:val="22"/>
        </w:rPr>
        <w:t>Convention sur la diversité biologique</w:t>
      </w:r>
      <w:r w:rsidRPr="00E8642C">
        <w:rPr>
          <w:rFonts w:cs="Arial"/>
          <w:szCs w:val="22"/>
        </w:rPr>
        <w:t xml:space="preserve"> pour fournir des précisions sur l</w:t>
      </w:r>
      <w:r w:rsidR="00D91476">
        <w:rPr>
          <w:rFonts w:cs="Arial"/>
          <w:szCs w:val="22"/>
        </w:rPr>
        <w:t>’</w:t>
      </w:r>
      <w:r w:rsidRPr="00E8642C">
        <w:rPr>
          <w:rFonts w:cs="Arial"/>
          <w:szCs w:val="22"/>
        </w:rPr>
        <w:t>application des dispositions des articles 8 j), 10 c), 15, 16 et 19 de la </w:t>
      </w:r>
      <w:r w:rsidRPr="00E8642C">
        <w:rPr>
          <w:rFonts w:cs="Arial"/>
          <w:i/>
          <w:szCs w:val="22"/>
        </w:rPr>
        <w:t>Convention</w:t>
      </w:r>
      <w:r w:rsidRPr="00E8642C">
        <w:rPr>
          <w:rFonts w:cs="Arial"/>
          <w:szCs w:val="22"/>
        </w:rPr>
        <w:t xml:space="preserve"> relatives à l</w:t>
      </w:r>
      <w:r w:rsidR="00D91476">
        <w:rPr>
          <w:rFonts w:cs="Arial"/>
          <w:szCs w:val="22"/>
        </w:rPr>
        <w:t>’</w:t>
      </w:r>
      <w:r w:rsidRPr="00E8642C">
        <w:rPr>
          <w:rFonts w:cs="Arial"/>
          <w:szCs w:val="22"/>
        </w:rPr>
        <w:t>accès aux ressources génétiques et au partage des avantag</w:t>
      </w:r>
      <w:r w:rsidR="001F3AEE" w:rsidRPr="00E8642C">
        <w:rPr>
          <w:rFonts w:cs="Arial"/>
          <w:szCs w:val="22"/>
        </w:rPr>
        <w:t>es</w:t>
      </w:r>
      <w:r w:rsidR="001F3AEE">
        <w:rPr>
          <w:rFonts w:cs="Arial"/>
          <w:szCs w:val="22"/>
        </w:rPr>
        <w:t xml:space="preserve">.  </w:t>
      </w:r>
      <w:r w:rsidR="001F3AEE" w:rsidRPr="00E8642C">
        <w:rPr>
          <w:rFonts w:cs="Arial"/>
          <w:szCs w:val="22"/>
        </w:rPr>
        <w:t>Ce</w:t>
      </w:r>
      <w:r w:rsidRPr="00E8642C">
        <w:rPr>
          <w:rFonts w:cs="Arial"/>
          <w:szCs w:val="22"/>
        </w:rPr>
        <w:t>s lignes directrices sont d</w:t>
      </w:r>
      <w:r w:rsidR="00D91476">
        <w:rPr>
          <w:rFonts w:cs="Arial"/>
          <w:szCs w:val="22"/>
        </w:rPr>
        <w:t>’</w:t>
      </w:r>
      <w:r w:rsidRPr="00E8642C">
        <w:rPr>
          <w:rFonts w:cs="Arial"/>
          <w:szCs w:val="22"/>
        </w:rPr>
        <w:t>application volontaire et s</w:t>
      </w:r>
      <w:r w:rsidR="00D91476">
        <w:rPr>
          <w:rFonts w:cs="Arial"/>
          <w:szCs w:val="22"/>
        </w:rPr>
        <w:t>’</w:t>
      </w:r>
      <w:r w:rsidRPr="00E8642C">
        <w:rPr>
          <w:rFonts w:cs="Arial"/>
          <w:szCs w:val="22"/>
        </w:rPr>
        <w:t>adressent à un large éventail de parties prenantes</w:t>
      </w:r>
      <w:r w:rsidRPr="00E8642C">
        <w:rPr>
          <w:rStyle w:val="FootnoteReference"/>
          <w:rFonts w:cs="Arial"/>
          <w:szCs w:val="22"/>
        </w:rPr>
        <w:footnoteReference w:id="95"/>
      </w:r>
      <w:r w:rsidRPr="00E8642C">
        <w:rPr>
          <w:rFonts w:cs="Arial"/>
          <w:szCs w:val="22"/>
        </w:rPr>
        <w:t>.  Elles portent sur des questions de procédure et de réglementation, concernant notamment le consentement préalable en connaissance de cause, et recensent des mécanismes monétaires et non monétaires de partage des avantages</w:t>
      </w:r>
      <w:r w:rsidRPr="00E8642C">
        <w:rPr>
          <w:rStyle w:val="FootnoteReference"/>
          <w:rFonts w:cs="Arial"/>
          <w:szCs w:val="22"/>
        </w:rPr>
        <w:footnoteReference w:id="96"/>
      </w:r>
      <w:r w:rsidRPr="00E8642C">
        <w:rPr>
          <w:rFonts w:cs="Arial"/>
          <w:szCs w:val="22"/>
        </w:rPr>
        <w:t>.</w:t>
      </w:r>
    </w:p>
    <w:p w:rsidR="009243A6" w:rsidRDefault="00DD607D" w:rsidP="009243A6">
      <w:pPr>
        <w:pStyle w:val="Heading2"/>
        <w:spacing w:after="220" w:line="240" w:lineRule="auto"/>
      </w:pPr>
      <w:bookmarkStart w:id="76" w:name="_Toc7772551"/>
      <w:r w:rsidRPr="00E8642C">
        <w:t>Limitations</w:t>
      </w:r>
      <w:bookmarkEnd w:id="76"/>
    </w:p>
    <w:p w:rsidR="00AA3C26" w:rsidRDefault="00DD607D" w:rsidP="009243A6">
      <w:pPr>
        <w:spacing w:after="220"/>
        <w:rPr>
          <w:rFonts w:cs="Arial"/>
          <w:szCs w:val="22"/>
        </w:rPr>
      </w:pPr>
      <w:r w:rsidRPr="00E8642C">
        <w:rPr>
          <w:rFonts w:cs="Arial"/>
          <w:szCs w:val="22"/>
        </w:rPr>
        <w:t xml:space="preserve">“Limitation”, selon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renvoie à l</w:t>
      </w:r>
      <w:r w:rsidR="00D91476">
        <w:rPr>
          <w:rFonts w:cs="Arial"/>
          <w:szCs w:val="22"/>
        </w:rPr>
        <w:t>’</w:t>
      </w:r>
      <w:r w:rsidRPr="00E8642C">
        <w:rPr>
          <w:rFonts w:cs="Arial"/>
          <w:szCs w:val="22"/>
        </w:rPr>
        <w:t>acte de limiter, à la qualité, l</w:t>
      </w:r>
      <w:r w:rsidR="00D91476">
        <w:rPr>
          <w:rFonts w:cs="Arial"/>
          <w:szCs w:val="22"/>
        </w:rPr>
        <w:t>’</w:t>
      </w:r>
      <w:r w:rsidRPr="00E8642C">
        <w:rPr>
          <w:rFonts w:cs="Arial"/>
          <w:szCs w:val="22"/>
        </w:rPr>
        <w:t>état ou la condition conféré par le fait d</w:t>
      </w:r>
      <w:r w:rsidR="00D91476">
        <w:rPr>
          <w:rFonts w:cs="Arial"/>
          <w:szCs w:val="22"/>
        </w:rPr>
        <w:t>’</w:t>
      </w:r>
      <w:r w:rsidRPr="00E8642C">
        <w:rPr>
          <w:rFonts w:cs="Arial"/>
          <w:szCs w:val="22"/>
        </w:rPr>
        <w:t>être limité, à une restricti</w:t>
      </w:r>
      <w:r w:rsidR="001F3AEE" w:rsidRPr="00E8642C">
        <w:rPr>
          <w:rFonts w:cs="Arial"/>
          <w:szCs w:val="22"/>
        </w:rPr>
        <w:t>on</w:t>
      </w:r>
      <w:r w:rsidR="001F3AEE">
        <w:rPr>
          <w:rFonts w:cs="Arial"/>
          <w:szCs w:val="22"/>
        </w:rPr>
        <w:t xml:space="preserve">.  </w:t>
      </w:r>
      <w:r w:rsidR="001F3AEE" w:rsidRPr="00E8642C">
        <w:rPr>
          <w:rFonts w:cs="Arial"/>
          <w:szCs w:val="22"/>
        </w:rPr>
        <w:t>Le</w:t>
      </w:r>
      <w:r w:rsidRPr="00E8642C">
        <w:rPr>
          <w:rFonts w:cs="Arial"/>
          <w:szCs w:val="22"/>
        </w:rPr>
        <w:t xml:space="preserve"> mot “limites”, en sus du mot “exceptions”, renvoie à des “frontières” ou des “restrictions”</w:t>
      </w:r>
      <w:r w:rsidRPr="00E8642C">
        <w:rPr>
          <w:rStyle w:val="FootnoteReference"/>
          <w:rFonts w:cs="Arial"/>
          <w:szCs w:val="22"/>
        </w:rPr>
        <w:footnoteReference w:id="97"/>
      </w:r>
      <w:r w:rsidRPr="00E8642C">
        <w:rPr>
          <w:rFonts w:cs="Arial"/>
          <w:szCs w:val="22"/>
        </w:rPr>
        <w:t>.  Afin de maintenir un équilibre approprié entre les intérêts des titulaires de droits et les utilisateurs d</w:t>
      </w:r>
      <w:r w:rsidR="00D91476">
        <w:rPr>
          <w:rFonts w:cs="Arial"/>
          <w:szCs w:val="22"/>
        </w:rPr>
        <w:t>’</w:t>
      </w:r>
      <w:r w:rsidRPr="00E8642C">
        <w:rPr>
          <w:rFonts w:cs="Arial"/>
          <w:szCs w:val="22"/>
        </w:rPr>
        <w:t>œuvres protégées, les législations sur le droit d</w:t>
      </w:r>
      <w:r w:rsidR="00D91476">
        <w:rPr>
          <w:rFonts w:cs="Arial"/>
          <w:szCs w:val="22"/>
        </w:rPr>
        <w:t>’</w:t>
      </w:r>
      <w:r w:rsidRPr="00E8642C">
        <w:rPr>
          <w:rFonts w:cs="Arial"/>
          <w:szCs w:val="22"/>
        </w:rPr>
        <w:t>auteur autorisent certaines limitations aux droits patrimoniaux, c</w:t>
      </w:r>
      <w:r w:rsidR="00D91476">
        <w:rPr>
          <w:rFonts w:cs="Arial"/>
          <w:szCs w:val="22"/>
        </w:rPr>
        <w:t>’</w:t>
      </w:r>
      <w:r w:rsidRPr="00E8642C">
        <w:rPr>
          <w:rFonts w:cs="Arial"/>
          <w:szCs w:val="22"/>
        </w:rPr>
        <w:t>est</w:t>
      </w:r>
      <w:r w:rsidR="00400337">
        <w:rPr>
          <w:rFonts w:cs="Arial"/>
          <w:szCs w:val="22"/>
        </w:rPr>
        <w:noBreakHyphen/>
      </w:r>
      <w:r w:rsidRPr="00E8642C">
        <w:rPr>
          <w:rFonts w:cs="Arial"/>
          <w:szCs w:val="22"/>
        </w:rPr>
        <w:t>à</w:t>
      </w:r>
      <w:r w:rsidR="00400337">
        <w:rPr>
          <w:rFonts w:cs="Arial"/>
          <w:szCs w:val="22"/>
        </w:rPr>
        <w:noBreakHyphen/>
      </w:r>
      <w:r w:rsidRPr="00E8642C">
        <w:rPr>
          <w:rFonts w:cs="Arial"/>
          <w:szCs w:val="22"/>
        </w:rPr>
        <w:t>dire qu</w:t>
      </w:r>
      <w:r w:rsidR="00D91476">
        <w:rPr>
          <w:rFonts w:cs="Arial"/>
          <w:szCs w:val="22"/>
        </w:rPr>
        <w:t>’</w:t>
      </w:r>
      <w:r w:rsidRPr="00E8642C">
        <w:rPr>
          <w:rFonts w:cs="Arial"/>
          <w:szCs w:val="22"/>
        </w:rPr>
        <w:t>il existe des cas où les œuvres protégées peuvent être utilisées sans l</w:t>
      </w:r>
      <w:r w:rsidR="00D91476">
        <w:rPr>
          <w:rFonts w:cs="Arial"/>
          <w:szCs w:val="22"/>
        </w:rPr>
        <w:t>’</w:t>
      </w:r>
      <w:r w:rsidRPr="00E8642C">
        <w:rPr>
          <w:rFonts w:cs="Arial"/>
          <w:szCs w:val="22"/>
        </w:rPr>
        <w:t>autorisation du titulaire du droit et avec ou sans paiement d</w:t>
      </w:r>
      <w:r w:rsidR="00D91476">
        <w:rPr>
          <w:rFonts w:cs="Arial"/>
          <w:szCs w:val="22"/>
        </w:rPr>
        <w:t>’</w:t>
      </w:r>
      <w:r w:rsidRPr="00E8642C">
        <w:rPr>
          <w:rFonts w:cs="Arial"/>
          <w:szCs w:val="22"/>
        </w:rPr>
        <w:t>une compensation</w:t>
      </w:r>
      <w:r w:rsidRPr="00E8642C">
        <w:rPr>
          <w:rStyle w:val="FootnoteReference"/>
          <w:rFonts w:cs="Arial"/>
          <w:szCs w:val="22"/>
        </w:rPr>
        <w:footnoteReference w:id="98"/>
      </w:r>
      <w:r w:rsidRPr="00E8642C">
        <w:rPr>
          <w:rFonts w:cs="Arial"/>
          <w:szCs w:val="22"/>
        </w:rPr>
        <w:t>.</w:t>
      </w:r>
    </w:p>
    <w:p w:rsidR="009243A6" w:rsidRDefault="00DD607D" w:rsidP="009243A6">
      <w:pPr>
        <w:spacing w:after="220"/>
        <w:rPr>
          <w:rFonts w:cs="Arial"/>
          <w:szCs w:val="22"/>
        </w:rPr>
      </w:pPr>
      <w:r w:rsidRPr="00E8642C">
        <w:rPr>
          <w:rFonts w:cs="Arial"/>
          <w:szCs w:val="22"/>
        </w:rPr>
        <w:t xml:space="preserve">La </w:t>
      </w:r>
      <w:r w:rsidRPr="00E8642C">
        <w:rPr>
          <w:rFonts w:cs="Arial"/>
          <w:i/>
          <w:szCs w:val="22"/>
        </w:rPr>
        <w:t>Convention de Berne pour la protection des œuvres littéraires et artistiques</w:t>
      </w:r>
      <w:r w:rsidRPr="00E8642C">
        <w:rPr>
          <w:rFonts w:cs="Arial"/>
          <w:szCs w:val="22"/>
        </w:rPr>
        <w:t xml:space="preserve"> (1971) fixe les conditions auxquelles le droit d</w:t>
      </w:r>
      <w:r w:rsidR="00D91476">
        <w:rPr>
          <w:rFonts w:cs="Arial"/>
          <w:szCs w:val="22"/>
        </w:rPr>
        <w:t>’</w:t>
      </w:r>
      <w:r w:rsidRPr="00E8642C">
        <w:rPr>
          <w:rFonts w:cs="Arial"/>
          <w:szCs w:val="22"/>
        </w:rPr>
        <w:t>auteur peut être limité, et les libres utilisations par conséquent permises</w:t>
      </w:r>
      <w:r w:rsidRPr="00E8642C">
        <w:rPr>
          <w:rStyle w:val="FootnoteReference"/>
          <w:rFonts w:cs="Arial"/>
          <w:szCs w:val="22"/>
        </w:rPr>
        <w:footnoteReference w:id="99"/>
      </w:r>
      <w:r w:rsidRPr="00E8642C">
        <w:rPr>
          <w:rFonts w:cs="Arial"/>
          <w:szCs w:val="22"/>
        </w:rPr>
        <w:t>.  Un triple critère a été mis au point pour déterminer les conditions auxquelles un acte de limitation peut être réalisé</w:t>
      </w:r>
      <w:r w:rsidRPr="00E8642C">
        <w:rPr>
          <w:rStyle w:val="FootnoteReference"/>
          <w:rFonts w:cs="Arial"/>
          <w:szCs w:val="22"/>
        </w:rPr>
        <w:footnoteReference w:id="100"/>
      </w:r>
      <w:r w:rsidRPr="00E8642C">
        <w:rPr>
          <w:rFonts w:cs="Arial"/>
          <w:szCs w:val="22"/>
        </w:rPr>
        <w:t>.  Ce critère a été étendu à l</w:t>
      </w:r>
      <w:r w:rsidR="00D91476">
        <w:rPr>
          <w:rFonts w:cs="Arial"/>
          <w:szCs w:val="22"/>
        </w:rPr>
        <w:t>’</w:t>
      </w:r>
      <w:r w:rsidRPr="00E8642C">
        <w:rPr>
          <w:rFonts w:cs="Arial"/>
          <w:szCs w:val="22"/>
        </w:rPr>
        <w:t>article 13 de l</w:t>
      </w:r>
      <w:r w:rsidR="00D91476">
        <w:rPr>
          <w:rFonts w:cs="Arial"/>
          <w:szCs w:val="22"/>
        </w:rPr>
        <w:t>’</w:t>
      </w:r>
      <w:r w:rsidRPr="00E8642C">
        <w:rPr>
          <w:rFonts w:cs="Arial"/>
          <w:i/>
          <w:szCs w:val="22"/>
        </w:rPr>
        <w:t xml:space="preserve">Accord sur les aspects des droits de propriété intellectuelle qui touchent au commerce </w:t>
      </w:r>
      <w:r w:rsidRPr="00E8642C">
        <w:rPr>
          <w:rFonts w:cs="Arial"/>
          <w:szCs w:val="22"/>
        </w:rPr>
        <w:t>(Accord sur les ADPIC) de l</w:t>
      </w:r>
      <w:r w:rsidR="00D91476">
        <w:rPr>
          <w:rFonts w:cs="Arial"/>
          <w:szCs w:val="22"/>
        </w:rPr>
        <w:t>’</w:t>
      </w:r>
      <w:r w:rsidRPr="00E8642C">
        <w:rPr>
          <w:rFonts w:cs="Arial"/>
          <w:szCs w:val="22"/>
        </w:rPr>
        <w:t>Organisation mondiale du commerce (OMC), à l</w:t>
      </w:r>
      <w:r w:rsidR="00D91476">
        <w:rPr>
          <w:rFonts w:cs="Arial"/>
          <w:szCs w:val="22"/>
        </w:rPr>
        <w:t>’</w:t>
      </w:r>
      <w:r w:rsidRPr="00E8642C">
        <w:rPr>
          <w:rFonts w:cs="Arial"/>
          <w:szCs w:val="22"/>
        </w:rPr>
        <w:t>article 10 du </w:t>
      </w:r>
      <w:r w:rsidRPr="00E8642C">
        <w:rPr>
          <w:rFonts w:cs="Arial"/>
          <w:i/>
          <w:szCs w:val="22"/>
        </w:rPr>
        <w:t>Traité de l</w:t>
      </w:r>
      <w:r w:rsidR="00D91476">
        <w:rPr>
          <w:rFonts w:cs="Arial"/>
          <w:i/>
          <w:szCs w:val="22"/>
        </w:rPr>
        <w:t>’</w:t>
      </w:r>
      <w:r w:rsidRPr="00E8642C">
        <w:rPr>
          <w:rFonts w:cs="Arial"/>
          <w:i/>
          <w:szCs w:val="22"/>
        </w:rPr>
        <w:t>OMPI sur le droit d</w:t>
      </w:r>
      <w:r w:rsidR="00D91476">
        <w:rPr>
          <w:rFonts w:cs="Arial"/>
          <w:i/>
          <w:szCs w:val="22"/>
        </w:rPr>
        <w:t>’</w:t>
      </w:r>
      <w:r w:rsidRPr="00E8642C">
        <w:rPr>
          <w:rFonts w:cs="Arial"/>
          <w:i/>
          <w:szCs w:val="22"/>
        </w:rPr>
        <w:t>auteur</w:t>
      </w:r>
      <w:r w:rsidRPr="00E8642C">
        <w:rPr>
          <w:rFonts w:cs="Arial"/>
          <w:szCs w:val="22"/>
        </w:rPr>
        <w:t xml:space="preserve"> (WCT), à titre d</w:t>
      </w:r>
      <w:r w:rsidR="00D91476">
        <w:rPr>
          <w:rFonts w:cs="Arial"/>
          <w:szCs w:val="22"/>
        </w:rPr>
        <w:t>’</w:t>
      </w:r>
      <w:r w:rsidRPr="00E8642C">
        <w:rPr>
          <w:rFonts w:cs="Arial"/>
          <w:szCs w:val="22"/>
        </w:rPr>
        <w:t>essai pour les exceptions à tous les droits patrimoniaux prévus au titre du droit d</w:t>
      </w:r>
      <w:r w:rsidR="00D91476">
        <w:rPr>
          <w:rFonts w:cs="Arial"/>
          <w:szCs w:val="22"/>
        </w:rPr>
        <w:t>’</w:t>
      </w:r>
      <w:r w:rsidRPr="00E8642C">
        <w:rPr>
          <w:rFonts w:cs="Arial"/>
          <w:szCs w:val="22"/>
        </w:rPr>
        <w:t>auteur et des limitations de ces droi</w:t>
      </w:r>
      <w:r w:rsidR="001F3AEE" w:rsidRPr="00E8642C">
        <w:rPr>
          <w:rFonts w:cs="Arial"/>
          <w:szCs w:val="22"/>
        </w:rPr>
        <w:t>ts</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a</w:t>
      </w:r>
      <w:r w:rsidRPr="00E8642C">
        <w:rPr>
          <w:rFonts w:cs="Arial"/>
          <w:szCs w:val="22"/>
        </w:rPr>
        <w:t xml:space="preserve">rticle 16 du </w:t>
      </w:r>
      <w:r w:rsidRPr="00E8642C">
        <w:rPr>
          <w:rFonts w:cs="Arial"/>
          <w:i/>
          <w:szCs w:val="22"/>
        </w:rPr>
        <w:t>Traité de l</w:t>
      </w:r>
      <w:r w:rsidR="00D91476">
        <w:rPr>
          <w:rFonts w:cs="Arial"/>
          <w:i/>
          <w:szCs w:val="22"/>
        </w:rPr>
        <w:t>’</w:t>
      </w:r>
      <w:r w:rsidRPr="00E8642C">
        <w:rPr>
          <w:rFonts w:cs="Arial"/>
          <w:i/>
          <w:szCs w:val="22"/>
        </w:rPr>
        <w:t xml:space="preserve">OMPI sur les interprétations et exécutions et les phonogrammes </w:t>
      </w:r>
      <w:r w:rsidRPr="00E8642C">
        <w:rPr>
          <w:rFonts w:cs="Arial"/>
          <w:szCs w:val="22"/>
        </w:rPr>
        <w:t>(WPPT) l</w:t>
      </w:r>
      <w:r w:rsidR="00D91476">
        <w:rPr>
          <w:rFonts w:cs="Arial"/>
          <w:szCs w:val="22"/>
        </w:rPr>
        <w:t>’</w:t>
      </w:r>
      <w:r w:rsidRPr="00E8642C">
        <w:rPr>
          <w:rFonts w:cs="Arial"/>
          <w:szCs w:val="22"/>
        </w:rPr>
        <w:t>étend aux droits des artistes interprètes et exécutants et des producteurs de phonogrammes visés par ce traité</w:t>
      </w:r>
      <w:r w:rsidRPr="00E8642C">
        <w:rPr>
          <w:rStyle w:val="FootnoteReference"/>
          <w:rFonts w:cs="Arial"/>
          <w:szCs w:val="22"/>
        </w:rPr>
        <w:footnoteReference w:id="101"/>
      </w:r>
      <w:r w:rsidRPr="00E8642C">
        <w:rPr>
          <w:rFonts w:cs="Arial"/>
          <w:szCs w:val="22"/>
        </w:rPr>
        <w:t>.</w:t>
      </w:r>
    </w:p>
    <w:p w:rsidR="009243A6" w:rsidRDefault="006B600F" w:rsidP="009243A6">
      <w:pPr>
        <w:pStyle w:val="Heading2"/>
        <w:spacing w:after="220" w:line="240" w:lineRule="auto"/>
      </w:pPr>
      <w:bookmarkStart w:id="77" w:name="_Toc7772552"/>
      <w:r w:rsidRPr="00E8642C">
        <w:t>Mat</w:t>
      </w:r>
      <w:r>
        <w:t>é</w:t>
      </w:r>
      <w:r w:rsidRPr="00E8642C">
        <w:t>riel g</w:t>
      </w:r>
      <w:r>
        <w:t>é</w:t>
      </w:r>
      <w:r w:rsidRPr="00E8642C">
        <w:t>n</w:t>
      </w:r>
      <w:r>
        <w:t>é</w:t>
      </w:r>
      <w:r w:rsidRPr="00E8642C">
        <w:t>tique</w:t>
      </w:r>
      <w:bookmarkEnd w:id="77"/>
    </w:p>
    <w:p w:rsidR="009243A6" w:rsidRDefault="00DD607D" w:rsidP="009243A6">
      <w:pPr>
        <w:spacing w:after="220"/>
        <w:rPr>
          <w:rFonts w:cs="Arial"/>
          <w:szCs w:val="22"/>
        </w:rPr>
      </w:pPr>
      <w:r w:rsidRPr="00E8642C">
        <w:rPr>
          <w:rFonts w:cs="Arial"/>
          <w:szCs w:val="22"/>
        </w:rPr>
        <w:t>Aux termes de l</w:t>
      </w:r>
      <w:r w:rsidR="00D91476">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 “matériel génétique” s</w:t>
      </w:r>
      <w:r w:rsidR="00D91476">
        <w:rPr>
          <w:rFonts w:cs="Arial"/>
          <w:szCs w:val="22"/>
        </w:rPr>
        <w:t>’</w:t>
      </w:r>
      <w:r w:rsidRPr="00E8642C">
        <w:rPr>
          <w:rFonts w:cs="Arial"/>
          <w:szCs w:val="22"/>
        </w:rPr>
        <w:t>entend de tout “</w:t>
      </w:r>
      <w:r w:rsidRPr="00E8642C">
        <w:rPr>
          <w:rFonts w:cs="Arial"/>
          <w:iCs/>
          <w:szCs w:val="22"/>
        </w:rPr>
        <w:t>matériel d</w:t>
      </w:r>
      <w:r w:rsidR="00D91476">
        <w:rPr>
          <w:rFonts w:cs="Arial"/>
          <w:iCs/>
          <w:szCs w:val="22"/>
        </w:rPr>
        <w:t>’</w:t>
      </w:r>
      <w:r w:rsidRPr="00E8642C">
        <w:rPr>
          <w:rFonts w:cs="Arial"/>
          <w:iCs/>
          <w:szCs w:val="22"/>
        </w:rPr>
        <w:t>origine végétale, animale, microbienne ou autre, contenant des unités fonctionnelles de l</w:t>
      </w:r>
      <w:r w:rsidR="00D91476">
        <w:rPr>
          <w:rFonts w:cs="Arial"/>
          <w:iCs/>
          <w:szCs w:val="22"/>
        </w:rPr>
        <w:t>’</w:t>
      </w:r>
      <w:r w:rsidRPr="00E8642C">
        <w:rPr>
          <w:rFonts w:cs="Arial"/>
          <w:iCs/>
          <w:szCs w:val="22"/>
        </w:rPr>
        <w:t xml:space="preserve">hérédité”.  </w:t>
      </w:r>
      <w:r w:rsidRPr="00E8642C">
        <w:rPr>
          <w:rFonts w:cs="Arial"/>
          <w:szCs w:val="22"/>
        </w:rPr>
        <w:t>Il a également été suggéré que le terme “matériel génétique” pouvait être interprété comme désignant “</w:t>
      </w:r>
      <w:r w:rsidRPr="00E8642C">
        <w:rPr>
          <w:rFonts w:cs="Arial"/>
          <w:iCs/>
          <w:szCs w:val="22"/>
        </w:rPr>
        <w:t>du matériel de toute origine biologique où les unités de l</w:t>
      </w:r>
      <w:r w:rsidR="00D91476">
        <w:rPr>
          <w:rFonts w:cs="Arial"/>
          <w:iCs/>
          <w:szCs w:val="22"/>
        </w:rPr>
        <w:t>’</w:t>
      </w:r>
      <w:r w:rsidRPr="00E8642C">
        <w:rPr>
          <w:rFonts w:cs="Arial"/>
          <w:iCs/>
          <w:szCs w:val="22"/>
        </w:rPr>
        <w:t>hérédité sont à l</w:t>
      </w:r>
      <w:r w:rsidR="00D91476">
        <w:rPr>
          <w:rFonts w:cs="Arial"/>
          <w:iCs/>
          <w:szCs w:val="22"/>
        </w:rPr>
        <w:t>’</w:t>
      </w:r>
      <w:r w:rsidRPr="00E8642C">
        <w:rPr>
          <w:rFonts w:cs="Arial"/>
          <w:iCs/>
          <w:szCs w:val="22"/>
        </w:rPr>
        <w:t>œuvre ou ont une fonction</w:t>
      </w:r>
      <w:r w:rsidRPr="00E8642C">
        <w:rPr>
          <w:rFonts w:cs="Arial"/>
          <w:szCs w:val="22"/>
        </w:rPr>
        <w:t>”</w:t>
      </w:r>
      <w:r w:rsidRPr="00E8642C">
        <w:rPr>
          <w:rStyle w:val="FootnoteReference"/>
          <w:rFonts w:cs="Arial"/>
          <w:szCs w:val="22"/>
        </w:rPr>
        <w:footnoteReference w:id="102"/>
      </w:r>
      <w:r w:rsidRPr="00E8642C">
        <w:rPr>
          <w:rFonts w:cs="Arial"/>
          <w:szCs w:val="22"/>
        </w:rPr>
        <w:t>.</w:t>
      </w:r>
    </w:p>
    <w:p w:rsidR="009243A6" w:rsidRDefault="00DD607D" w:rsidP="009243A6">
      <w:pPr>
        <w:pStyle w:val="Heading2"/>
        <w:spacing w:after="220" w:line="240" w:lineRule="auto"/>
      </w:pPr>
      <w:bookmarkStart w:id="78" w:name="_Toc7772553"/>
      <w:r w:rsidRPr="00E8642C">
        <w:t>Mécanisme d</w:t>
      </w:r>
      <w:r w:rsidR="00D91476">
        <w:t>’</w:t>
      </w:r>
      <w:r w:rsidRPr="00E8642C">
        <w:t>échange d</w:t>
      </w:r>
      <w:r w:rsidR="00D91476">
        <w:t>’</w:t>
      </w:r>
      <w:r w:rsidRPr="00E8642C">
        <w:t>information</w:t>
      </w:r>
      <w:bookmarkEnd w:id="78"/>
    </w:p>
    <w:p w:rsidR="009243A6" w:rsidRDefault="00DD607D" w:rsidP="009243A6">
      <w:pPr>
        <w:pStyle w:val="FootnoteText"/>
        <w:spacing w:after="220"/>
        <w:ind w:left="0" w:firstLine="0"/>
        <w:rPr>
          <w:rFonts w:cs="Arial"/>
          <w:szCs w:val="22"/>
        </w:rPr>
      </w:pPr>
      <w:r w:rsidRPr="00E8642C">
        <w:rPr>
          <w:rFonts w:cs="Arial"/>
          <w:szCs w:val="22"/>
        </w:rPr>
        <w:t xml:space="preserve">Selon le glossaire utilisé par le Programme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environnement (PNUE), le Mécanisme d</w:t>
      </w:r>
      <w:r w:rsidR="00D91476">
        <w:rPr>
          <w:rFonts w:cs="Arial"/>
          <w:szCs w:val="22"/>
        </w:rPr>
        <w:t>’</w:t>
      </w:r>
      <w:r w:rsidRPr="00E8642C">
        <w:rPr>
          <w:rFonts w:cs="Arial"/>
          <w:szCs w:val="22"/>
        </w:rPr>
        <w:t>échange d</w:t>
      </w:r>
      <w:r w:rsidR="00D91476">
        <w:rPr>
          <w:rFonts w:cs="Arial"/>
          <w:szCs w:val="22"/>
        </w:rPr>
        <w:t>’</w:t>
      </w:r>
      <w:r w:rsidRPr="00E8642C">
        <w:rPr>
          <w:rFonts w:cs="Arial"/>
          <w:szCs w:val="22"/>
        </w:rPr>
        <w:t>information désignait initialement un établissement financier chargé de procéder à la compensation des chèques et lettres de change entre banques membres, de façon à ce que seuls les soldes nets soient réglés en espèc</w:t>
      </w:r>
      <w:r w:rsidR="001F3AEE" w:rsidRPr="00E8642C">
        <w:rPr>
          <w:rFonts w:cs="Arial"/>
          <w:szCs w:val="22"/>
        </w:rPr>
        <w:t>es</w:t>
      </w:r>
      <w:r w:rsidR="001F3AEE">
        <w:rPr>
          <w:rFonts w:cs="Arial"/>
          <w:szCs w:val="22"/>
        </w:rPr>
        <w:t xml:space="preserve">.  </w:t>
      </w:r>
      <w:r w:rsidR="001F3AEE" w:rsidRPr="00E8642C">
        <w:rPr>
          <w:rFonts w:cs="Arial"/>
          <w:color w:val="000000"/>
          <w:szCs w:val="22"/>
        </w:rPr>
        <w:t>Au</w:t>
      </w:r>
      <w:r w:rsidRPr="00E8642C">
        <w:rPr>
          <w:rFonts w:cs="Arial"/>
          <w:color w:val="000000"/>
          <w:szCs w:val="22"/>
        </w:rPr>
        <w:t>jourd</w:t>
      </w:r>
      <w:r w:rsidR="00D91476">
        <w:rPr>
          <w:rFonts w:cs="Arial"/>
          <w:color w:val="000000"/>
          <w:szCs w:val="22"/>
        </w:rPr>
        <w:t>’</w:t>
      </w:r>
      <w:r w:rsidRPr="00E8642C">
        <w:rPr>
          <w:rFonts w:cs="Arial"/>
          <w:color w:val="000000"/>
          <w:szCs w:val="22"/>
        </w:rPr>
        <w:t>hui, ce sens a été étendu pour inclure toute institution mettant en relation des demandeurs et des fournisseurs de produits, de services ou d</w:t>
      </w:r>
      <w:r w:rsidR="00D91476">
        <w:rPr>
          <w:rFonts w:cs="Arial"/>
          <w:color w:val="000000"/>
          <w:szCs w:val="22"/>
        </w:rPr>
        <w:t>’</w:t>
      </w:r>
      <w:r w:rsidRPr="00E8642C">
        <w:rPr>
          <w:rFonts w:cs="Arial"/>
          <w:color w:val="000000"/>
          <w:szCs w:val="22"/>
        </w:rPr>
        <w:t>information, rapprochant ainsi l</w:t>
      </w:r>
      <w:r w:rsidR="00D91476">
        <w:rPr>
          <w:rFonts w:cs="Arial"/>
          <w:color w:val="000000"/>
          <w:szCs w:val="22"/>
        </w:rPr>
        <w:t>’</w:t>
      </w:r>
      <w:r w:rsidRPr="00E8642C">
        <w:rPr>
          <w:rFonts w:cs="Arial"/>
          <w:color w:val="000000"/>
          <w:szCs w:val="22"/>
        </w:rPr>
        <w:t>offre et la deman</w:t>
      </w:r>
      <w:r w:rsidR="001F3AEE" w:rsidRPr="00E8642C">
        <w:rPr>
          <w:rFonts w:cs="Arial"/>
          <w:color w:val="000000"/>
          <w:szCs w:val="22"/>
        </w:rPr>
        <w:t>de</w:t>
      </w:r>
      <w:r w:rsidR="001F3AEE">
        <w:rPr>
          <w:rFonts w:cs="Arial"/>
          <w:color w:val="000000"/>
          <w:szCs w:val="22"/>
        </w:rPr>
        <w:t xml:space="preserve">.  </w:t>
      </w:r>
      <w:r w:rsidR="001F3AEE" w:rsidRPr="00E8642C">
        <w:rPr>
          <w:color w:val="161513"/>
          <w:szCs w:val="22"/>
        </w:rPr>
        <w:t>La</w:t>
      </w:r>
      <w:r w:rsidRPr="00E8642C">
        <w:rPr>
          <w:color w:val="161513"/>
          <w:szCs w:val="22"/>
        </w:rPr>
        <w:t> CDB a créé un Centre d</w:t>
      </w:r>
      <w:r w:rsidR="00D91476">
        <w:rPr>
          <w:color w:val="161513"/>
          <w:szCs w:val="22"/>
        </w:rPr>
        <w:t>’</w:t>
      </w:r>
      <w:r w:rsidRPr="00E8642C">
        <w:rPr>
          <w:color w:val="161513"/>
          <w:szCs w:val="22"/>
        </w:rPr>
        <w:t>échange pour faire en sorte que tous les gouvernements aient accès à l</w:t>
      </w:r>
      <w:r w:rsidR="00D91476">
        <w:rPr>
          <w:color w:val="161513"/>
          <w:szCs w:val="22"/>
        </w:rPr>
        <w:t>’</w:t>
      </w:r>
      <w:r w:rsidRPr="00E8642C">
        <w:rPr>
          <w:color w:val="161513"/>
          <w:szCs w:val="22"/>
        </w:rPr>
        <w:t>information et aux technologies dont ils ont besoin pour leurs travaux sur la biodiversité</w:t>
      </w:r>
      <w:r w:rsidRPr="00E8642C">
        <w:rPr>
          <w:rStyle w:val="FootnoteReference"/>
          <w:color w:val="000000"/>
          <w:szCs w:val="22"/>
        </w:rPr>
        <w:footnoteReference w:id="103"/>
      </w:r>
      <w:r w:rsidRPr="00E8642C">
        <w:rPr>
          <w:color w:val="000000"/>
          <w:szCs w:val="22"/>
        </w:rPr>
        <w:t>.</w:t>
      </w:r>
    </w:p>
    <w:p w:rsidR="009243A6" w:rsidRDefault="00DD607D" w:rsidP="009243A6">
      <w:pPr>
        <w:pStyle w:val="Heading2"/>
        <w:spacing w:after="220" w:line="240" w:lineRule="auto"/>
      </w:pPr>
      <w:bookmarkStart w:id="79" w:name="_Toc7772554"/>
      <w:r w:rsidRPr="00E8642C">
        <w:t>Médecine traditionnelle</w:t>
      </w:r>
      <w:bookmarkEnd w:id="79"/>
    </w:p>
    <w:p w:rsidR="009243A6" w:rsidRDefault="00DD607D" w:rsidP="009243A6">
      <w:pPr>
        <w:spacing w:after="220"/>
        <w:rPr>
          <w:rFonts w:cs="Arial"/>
          <w:szCs w:val="22"/>
        </w:rPr>
      </w:pPr>
      <w:r w:rsidRPr="00E8642C">
        <w:rPr>
          <w:rFonts w:cs="Arial"/>
          <w:szCs w:val="22"/>
        </w:rPr>
        <w:t>L</w:t>
      </w:r>
      <w:r w:rsidR="00D91476">
        <w:rPr>
          <w:rFonts w:cs="Arial"/>
          <w:szCs w:val="22"/>
        </w:rPr>
        <w:t>’</w:t>
      </w:r>
      <w:r w:rsidRPr="00E8642C">
        <w:rPr>
          <w:rFonts w:cs="Arial"/>
          <w:szCs w:val="22"/>
        </w:rPr>
        <w:t>OMS définit ce terme comme “la somme totale des connaissances, compétences et pratiques qui reposent, rationnellement ou non, sur les théories, croyances et expériences propres à une culture et qui sont utilisées pour maintenir les êtres humains en santé ainsi que pour prévenir, diagnostiquer, traiter et guérir des maladies physiques et mentales”</w:t>
      </w:r>
      <w:r w:rsidRPr="00E8642C">
        <w:rPr>
          <w:rFonts w:cs="Arial"/>
          <w:szCs w:val="22"/>
          <w:vertAlign w:val="superscript"/>
        </w:rPr>
        <w:footnoteReference w:id="104"/>
      </w:r>
      <w:r w:rsidRPr="00E8642C">
        <w:rPr>
          <w:rFonts w:cs="Arial"/>
          <w:szCs w:val="22"/>
        </w:rPr>
        <w:t>.  L</w:t>
      </w:r>
      <w:r w:rsidR="00D91476">
        <w:rPr>
          <w:rFonts w:cs="Arial"/>
          <w:szCs w:val="22"/>
        </w:rPr>
        <w:t>’</w:t>
      </w:r>
      <w:r w:rsidRPr="00E8642C">
        <w:rPr>
          <w:rFonts w:cs="Arial"/>
          <w:szCs w:val="22"/>
        </w:rPr>
        <w:t>OMS définit également la “médecine traditionnelle” comme “comprenant diverses pratiques, approches, connaissances et croyances sanitaires intégrant des médicaments à base de plantes, d</w:t>
      </w:r>
      <w:r w:rsidR="00D91476">
        <w:rPr>
          <w:rFonts w:cs="Arial"/>
          <w:szCs w:val="22"/>
        </w:rPr>
        <w:t>’</w:t>
      </w:r>
      <w:r w:rsidRPr="00E8642C">
        <w:rPr>
          <w:rFonts w:cs="Arial"/>
          <w:szCs w:val="22"/>
        </w:rPr>
        <w:t>animaux et/ou de minéraux, des traitements spirituels, des techniques manuelles et exercices, appliqués seuls ou en association afin de maintenir le bien</w:t>
      </w:r>
      <w:r w:rsidR="00400337">
        <w:rPr>
          <w:rFonts w:cs="Arial"/>
          <w:szCs w:val="22"/>
        </w:rPr>
        <w:noBreakHyphen/>
      </w:r>
      <w:r w:rsidRPr="00E8642C">
        <w:rPr>
          <w:rFonts w:cs="Arial"/>
          <w:szCs w:val="22"/>
        </w:rPr>
        <w:t>être et traiter, diagnostiquer ou prévenir la maladie”</w:t>
      </w:r>
      <w:r w:rsidRPr="00E8642C">
        <w:rPr>
          <w:rFonts w:cs="Arial"/>
          <w:szCs w:val="22"/>
          <w:vertAlign w:val="superscript"/>
        </w:rPr>
        <w:footnoteReference w:id="105"/>
      </w:r>
      <w:r w:rsidRPr="00E8642C">
        <w:rPr>
          <w:rFonts w:cs="Arial"/>
          <w:szCs w:val="22"/>
        </w:rPr>
        <w:t>.</w:t>
      </w:r>
    </w:p>
    <w:p w:rsidR="009243A6" w:rsidRDefault="00DD607D" w:rsidP="009243A6">
      <w:pPr>
        <w:pStyle w:val="Heading2"/>
        <w:spacing w:after="220" w:line="240" w:lineRule="auto"/>
      </w:pPr>
      <w:bookmarkStart w:id="80" w:name="_Toc7772555"/>
      <w:r w:rsidRPr="00E8642C">
        <w:t>Minorité</w:t>
      </w:r>
      <w:bookmarkEnd w:id="80"/>
    </w:p>
    <w:p w:rsidR="00DD607D" w:rsidRPr="00E8642C" w:rsidRDefault="00DD607D" w:rsidP="009243A6">
      <w:pPr>
        <w:autoSpaceDE w:val="0"/>
        <w:autoSpaceDN w:val="0"/>
        <w:adjustRightInd w:val="0"/>
        <w:spacing w:after="220"/>
        <w:rPr>
          <w:rFonts w:cs="Arial"/>
          <w:szCs w:val="22"/>
        </w:rPr>
      </w:pPr>
      <w:r w:rsidRPr="00E8642C">
        <w:rPr>
          <w:rFonts w:cs="Arial"/>
          <w:szCs w:val="22"/>
        </w:rPr>
        <w:t xml:space="preserve">Selon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“minorité” renvoie à un groupe différent à certains égards de la majorité, en conséquence parfois traité différemment.</w:t>
      </w:r>
    </w:p>
    <w:p w:rsidR="009243A6" w:rsidRDefault="00DD607D" w:rsidP="009243A6">
      <w:pPr>
        <w:autoSpaceDE w:val="0"/>
        <w:autoSpaceDN w:val="0"/>
        <w:adjustRightInd w:val="0"/>
        <w:spacing w:after="220"/>
        <w:rPr>
          <w:rFonts w:cs="Arial"/>
          <w:szCs w:val="22"/>
        </w:rPr>
      </w:pPr>
      <w:r w:rsidRPr="00E8642C">
        <w:rPr>
          <w:rFonts w:cs="Arial"/>
          <w:iCs/>
          <w:szCs w:val="22"/>
        </w:rPr>
        <w:t>Une minorité est un groupe numériquement inférieur au restant de la population d</w:t>
      </w:r>
      <w:r w:rsidR="00D91476">
        <w:rPr>
          <w:rFonts w:cs="Arial"/>
          <w:iCs/>
          <w:szCs w:val="22"/>
        </w:rPr>
        <w:t>’</w:t>
      </w:r>
      <w:r w:rsidRPr="00E8642C">
        <w:rPr>
          <w:rFonts w:cs="Arial"/>
          <w:iCs/>
          <w:szCs w:val="22"/>
        </w:rPr>
        <w:t>un État, dans une position non dominante, dont les membres possèdent des caractéristiques ethniques, religieuses ou linguistiques qui diffèrent de celles du restant de la population et qui, même si ce n</w:t>
      </w:r>
      <w:r w:rsidR="00D91476">
        <w:rPr>
          <w:rFonts w:cs="Arial"/>
          <w:iCs/>
          <w:szCs w:val="22"/>
        </w:rPr>
        <w:t>’</w:t>
      </w:r>
      <w:r w:rsidRPr="00E8642C">
        <w:rPr>
          <w:rFonts w:cs="Arial"/>
          <w:iCs/>
          <w:szCs w:val="22"/>
        </w:rPr>
        <w:t>est que tacitement, maintiennent un esprit de solidarité visant à préserver leurs culture, traditions, religion ou langue</w:t>
      </w:r>
      <w:r w:rsidRPr="00E8642C">
        <w:rPr>
          <w:rStyle w:val="FootnoteReference"/>
          <w:rFonts w:cs="Arial"/>
          <w:szCs w:val="22"/>
        </w:rPr>
        <w:footnoteReference w:id="106"/>
      </w:r>
      <w:r w:rsidRPr="00E8642C">
        <w:rPr>
          <w:rFonts w:cs="Arial"/>
          <w:iCs/>
          <w:szCs w:val="22"/>
        </w:rPr>
        <w:t>.</w:t>
      </w:r>
    </w:p>
    <w:p w:rsidR="009243A6" w:rsidRDefault="00DD607D" w:rsidP="009243A6">
      <w:pPr>
        <w:autoSpaceDE w:val="0"/>
        <w:autoSpaceDN w:val="0"/>
        <w:adjustRightInd w:val="0"/>
        <w:spacing w:after="220"/>
        <w:rPr>
          <w:rFonts w:cs="Arial"/>
          <w:szCs w:val="22"/>
        </w:rPr>
      </w:pPr>
      <w:r w:rsidRPr="00AA3C26">
        <w:rPr>
          <w:rFonts w:cs="Arial"/>
          <w:szCs w:val="22"/>
        </w:rPr>
        <w:t xml:space="preserve">Selon la </w:t>
      </w:r>
      <w:r w:rsidRPr="00AA3C26">
        <w:rPr>
          <w:rFonts w:cs="Arial"/>
          <w:i/>
          <w:szCs w:val="22"/>
        </w:rPr>
        <w:t>Déclaration des droits des personnes appartenant à des minorités nationales ou ethniques, religieuses et linguistiques</w:t>
      </w:r>
      <w:r w:rsidRPr="00AA3C26">
        <w:rPr>
          <w:rFonts w:cs="Arial"/>
          <w:szCs w:val="22"/>
        </w:rPr>
        <w:t xml:space="preserve"> (1992), les minorités ont le droit de jouir de leur propre culture, librement et sans ingérence ni discrimination quelconque</w:t>
      </w:r>
      <w:r w:rsidRPr="00AA3C26">
        <w:rPr>
          <w:rStyle w:val="FootnoteReference"/>
          <w:rFonts w:cs="Arial"/>
          <w:szCs w:val="22"/>
        </w:rPr>
        <w:footnoteReference w:id="107"/>
      </w:r>
      <w:r w:rsidRPr="00AA3C26">
        <w:rPr>
          <w:rFonts w:cs="Arial"/>
          <w:szCs w:val="22"/>
        </w:rPr>
        <w:t>.  Les États protègent l</w:t>
      </w:r>
      <w:r w:rsidR="00D91476">
        <w:rPr>
          <w:rFonts w:cs="Arial"/>
          <w:szCs w:val="22"/>
        </w:rPr>
        <w:t>’</w:t>
      </w:r>
      <w:r w:rsidRPr="00AA3C26">
        <w:rPr>
          <w:rFonts w:cs="Arial"/>
          <w:szCs w:val="22"/>
        </w:rPr>
        <w:t>existence et l</w:t>
      </w:r>
      <w:r w:rsidR="00D91476">
        <w:rPr>
          <w:rFonts w:cs="Arial"/>
          <w:szCs w:val="22"/>
        </w:rPr>
        <w:t>’</w:t>
      </w:r>
      <w:r w:rsidRPr="00AA3C26">
        <w:rPr>
          <w:rFonts w:cs="Arial"/>
          <w:szCs w:val="22"/>
        </w:rPr>
        <w:t>identité nationale ou ethnique, culturelle, religieuse ou linguistique des minorités, sur leurs territoires respectifs, et favorisent l</w:t>
      </w:r>
      <w:r w:rsidR="00D91476">
        <w:rPr>
          <w:rFonts w:cs="Arial"/>
          <w:szCs w:val="22"/>
        </w:rPr>
        <w:t>’</w:t>
      </w:r>
      <w:r w:rsidRPr="00AA3C26">
        <w:rPr>
          <w:rFonts w:cs="Arial"/>
          <w:szCs w:val="22"/>
        </w:rPr>
        <w:t>instauration des conditions propres à promouvoir cette identité</w:t>
      </w:r>
      <w:r w:rsidRPr="00AA3C26">
        <w:rPr>
          <w:rStyle w:val="FootnoteReference"/>
          <w:rFonts w:cs="Arial"/>
          <w:szCs w:val="22"/>
        </w:rPr>
        <w:footnoteReference w:id="108"/>
      </w:r>
      <w:r w:rsidRPr="00AA3C26">
        <w:rPr>
          <w:rFonts w:cs="Arial"/>
          <w:szCs w:val="22"/>
        </w:rPr>
        <w:t>.</w:t>
      </w:r>
    </w:p>
    <w:p w:rsidR="009243A6" w:rsidRDefault="00DD607D" w:rsidP="009243A6">
      <w:pPr>
        <w:autoSpaceDE w:val="0"/>
        <w:autoSpaceDN w:val="0"/>
        <w:adjustRightInd w:val="0"/>
        <w:spacing w:after="220"/>
        <w:rPr>
          <w:rFonts w:cs="Arial"/>
          <w:szCs w:val="22"/>
        </w:rPr>
      </w:pPr>
      <w:r w:rsidRPr="00AA3C26">
        <w:rPr>
          <w:rFonts w:cs="Arial"/>
          <w:szCs w:val="22"/>
        </w:rPr>
        <w:t xml:space="preserve">Dans le </w:t>
      </w:r>
      <w:r w:rsidRPr="00AA3C26">
        <w:rPr>
          <w:rFonts w:cs="Arial"/>
          <w:i/>
          <w:szCs w:val="22"/>
        </w:rPr>
        <w:t>Pacte international relatif aux droits civils et politiques</w:t>
      </w:r>
      <w:r w:rsidR="00871F09">
        <w:rPr>
          <w:rFonts w:cs="Arial"/>
          <w:szCs w:val="22"/>
        </w:rPr>
        <w:t xml:space="preserve"> (196</w:t>
      </w:r>
      <w:r w:rsidRPr="00AA3C26">
        <w:rPr>
          <w:rFonts w:cs="Arial"/>
          <w:szCs w:val="22"/>
        </w:rPr>
        <w:t>6), dans les États où il existe des minorités ethniques, religieuses ou linguistiques, les personnes appartenant à ces minorités ne peuvent être privées du droit d</w:t>
      </w:r>
      <w:r w:rsidR="00D91476">
        <w:rPr>
          <w:rFonts w:cs="Arial"/>
          <w:szCs w:val="22"/>
        </w:rPr>
        <w:t>’</w:t>
      </w:r>
      <w:r w:rsidRPr="00AA3C26">
        <w:rPr>
          <w:rFonts w:cs="Arial"/>
          <w:szCs w:val="22"/>
        </w:rPr>
        <w:t>avoir, en commun avec les autres membres de leur groupe, leur propre vie culturelle, de professer et de pratiquer leur propre religion, ou d</w:t>
      </w:r>
      <w:r w:rsidR="00D91476">
        <w:rPr>
          <w:rFonts w:cs="Arial"/>
          <w:szCs w:val="22"/>
        </w:rPr>
        <w:t>’</w:t>
      </w:r>
      <w:r w:rsidRPr="00AA3C26">
        <w:rPr>
          <w:rFonts w:cs="Arial"/>
          <w:szCs w:val="22"/>
        </w:rPr>
        <w:t>employer leur propre langue</w:t>
      </w:r>
      <w:r w:rsidRPr="00AA3C26">
        <w:rPr>
          <w:rStyle w:val="FootnoteReference"/>
          <w:rFonts w:cs="Arial"/>
          <w:szCs w:val="22"/>
        </w:rPr>
        <w:footnoteReference w:id="109"/>
      </w:r>
      <w:r w:rsidRPr="00AA3C26">
        <w:rPr>
          <w:rFonts w:cs="Arial"/>
          <w:szCs w:val="22"/>
        </w:rPr>
        <w:t>.</w:t>
      </w:r>
    </w:p>
    <w:p w:rsidR="009243A6" w:rsidRDefault="00DD607D" w:rsidP="009243A6">
      <w:pPr>
        <w:pStyle w:val="Heading2"/>
        <w:spacing w:after="220" w:line="240" w:lineRule="auto"/>
      </w:pPr>
      <w:bookmarkStart w:id="81" w:name="_Toc7772556"/>
      <w:r w:rsidRPr="00E8642C">
        <w:t>Modification</w:t>
      </w:r>
      <w:bookmarkEnd w:id="81"/>
    </w:p>
    <w:p w:rsidR="009243A6" w:rsidRDefault="00DD607D" w:rsidP="009243A6">
      <w:pPr>
        <w:autoSpaceDE w:val="0"/>
        <w:autoSpaceDN w:val="0"/>
        <w:adjustRightInd w:val="0"/>
        <w:spacing w:after="220"/>
        <w:rPr>
          <w:rFonts w:cs="Arial"/>
          <w:szCs w:val="22"/>
        </w:rPr>
      </w:pPr>
      <w:r w:rsidRPr="00E8642C">
        <w:rPr>
          <w:rFonts w:cs="Arial"/>
          <w:szCs w:val="22"/>
        </w:rPr>
        <w:t>Une modification est un changement apporté à quelque chose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w:t>
      </w:r>
      <w:r w:rsidR="001F3AEE" w:rsidRPr="00E8642C">
        <w:rPr>
          <w:rFonts w:cs="Arial"/>
          <w:szCs w:val="22"/>
        </w:rPr>
        <w:t>ry</w:t>
      </w:r>
      <w:proofErr w:type="spellEnd"/>
      <w:r w:rsidR="001F3AEE" w:rsidRPr="00E8642C">
        <w:rPr>
          <w:rFonts w:cs="Arial"/>
          <w:szCs w:val="22"/>
        </w:rPr>
        <w:t>)</w:t>
      </w:r>
      <w:r w:rsidR="001F3AEE">
        <w:rPr>
          <w:rFonts w:cs="Arial"/>
          <w:szCs w:val="22"/>
        </w:rPr>
        <w:t xml:space="preserve">.  </w:t>
      </w:r>
      <w:r w:rsidR="001F3AEE" w:rsidRPr="00E8642C">
        <w:rPr>
          <w:rFonts w:cs="Arial"/>
          <w:szCs w:val="22"/>
        </w:rPr>
        <w:t>El</w:t>
      </w:r>
      <w:r w:rsidRPr="00E8642C">
        <w:rPr>
          <w:rFonts w:cs="Arial"/>
          <w:szCs w:val="22"/>
        </w:rPr>
        <w:t>le est synonyme de changeme</w:t>
      </w:r>
      <w:r w:rsidR="001F3AEE" w:rsidRPr="00E8642C">
        <w:rPr>
          <w:rFonts w:cs="Arial"/>
          <w:szCs w:val="22"/>
        </w:rPr>
        <w:t>nt</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a</w:t>
      </w:r>
      <w:r w:rsidRPr="00E8642C">
        <w:rPr>
          <w:rFonts w:cs="Arial"/>
          <w:szCs w:val="22"/>
        </w:rPr>
        <w:t>rticle 6</w:t>
      </w:r>
      <w:r w:rsidRPr="00E8642C">
        <w:rPr>
          <w:rFonts w:cs="Arial"/>
          <w:i/>
          <w:iCs/>
          <w:szCs w:val="22"/>
        </w:rPr>
        <w:t>bis</w:t>
      </w:r>
      <w:r w:rsidRPr="00E8642C">
        <w:rPr>
          <w:rFonts w:cs="Arial"/>
          <w:szCs w:val="22"/>
        </w:rPr>
        <w:t xml:space="preserve"> de la </w:t>
      </w:r>
      <w:r w:rsidRPr="00E8642C">
        <w:rPr>
          <w:rFonts w:cs="Arial"/>
          <w:i/>
          <w:szCs w:val="22"/>
        </w:rPr>
        <w:t>Convention de Berne</w:t>
      </w:r>
      <w:r w:rsidRPr="00E8642C">
        <w:rPr>
          <w:rFonts w:cs="Arial"/>
          <w:szCs w:val="22"/>
        </w:rPr>
        <w:t xml:space="preserve"> pour </w:t>
      </w:r>
      <w:r w:rsidRPr="00E8642C">
        <w:rPr>
          <w:rFonts w:cs="Arial"/>
          <w:i/>
          <w:szCs w:val="22"/>
        </w:rPr>
        <w:t xml:space="preserve">la protection des œuvres littéraires et artistiques </w:t>
      </w:r>
      <w:r w:rsidRPr="00E8642C">
        <w:rPr>
          <w:rFonts w:cs="Arial"/>
          <w:szCs w:val="22"/>
        </w:rPr>
        <w:t>(1971) reconnaît entre autres à l</w:t>
      </w:r>
      <w:r w:rsidR="00D91476">
        <w:rPr>
          <w:rFonts w:cs="Arial"/>
          <w:szCs w:val="22"/>
        </w:rPr>
        <w:t>’</w:t>
      </w:r>
      <w:r w:rsidRPr="00E8642C">
        <w:rPr>
          <w:rFonts w:cs="Arial"/>
          <w:szCs w:val="22"/>
        </w:rPr>
        <w:t>auteur le droit de s</w:t>
      </w:r>
      <w:r w:rsidR="00D91476">
        <w:rPr>
          <w:rFonts w:cs="Arial"/>
          <w:szCs w:val="22"/>
        </w:rPr>
        <w:t>’</w:t>
      </w:r>
      <w:r w:rsidRPr="00E8642C">
        <w:rPr>
          <w:rFonts w:cs="Arial"/>
          <w:szCs w:val="22"/>
        </w:rPr>
        <w:t>opposer à toute déformation, mutilation ou autre modification de son œuvre, susceptible de porter atteinte à son honneur ou à sa réputation.</w:t>
      </w:r>
    </w:p>
    <w:p w:rsidR="009243A6" w:rsidRDefault="00DD607D" w:rsidP="009243A6">
      <w:pPr>
        <w:pStyle w:val="Heading2"/>
        <w:spacing w:after="220" w:line="240" w:lineRule="auto"/>
      </w:pPr>
      <w:bookmarkStart w:id="82" w:name="_Toc7772557"/>
      <w:r w:rsidRPr="00E8642C">
        <w:t>Mutilation</w:t>
      </w:r>
      <w:bookmarkEnd w:id="82"/>
    </w:p>
    <w:p w:rsidR="009243A6" w:rsidRDefault="00DD607D" w:rsidP="009243A6">
      <w:pPr>
        <w:autoSpaceDE w:val="0"/>
        <w:autoSpaceDN w:val="0"/>
        <w:adjustRightInd w:val="0"/>
        <w:spacing w:after="220"/>
        <w:rPr>
          <w:rFonts w:cs="Arial"/>
          <w:szCs w:val="22"/>
        </w:rPr>
      </w:pPr>
      <w:r w:rsidRPr="00E8642C">
        <w:rPr>
          <w:rFonts w:cs="Arial"/>
          <w:szCs w:val="22"/>
        </w:rPr>
        <w:t>On entend par “mutilation” l</w:t>
      </w:r>
      <w:r w:rsidR="00D91476">
        <w:rPr>
          <w:rFonts w:cs="Arial"/>
          <w:szCs w:val="22"/>
        </w:rPr>
        <w:t>’</w:t>
      </w:r>
      <w:r w:rsidRPr="00E8642C">
        <w:rPr>
          <w:rFonts w:cs="Arial"/>
          <w:szCs w:val="22"/>
        </w:rPr>
        <w:t>acte de couper ou de supprimer une partie d</w:t>
      </w:r>
      <w:r w:rsidR="00D91476">
        <w:rPr>
          <w:rFonts w:cs="Arial"/>
          <w:szCs w:val="22"/>
        </w:rPr>
        <w:t>’</w:t>
      </w:r>
      <w:r w:rsidRPr="00E8642C">
        <w:rPr>
          <w:rFonts w:cs="Arial"/>
          <w:szCs w:val="22"/>
        </w:rPr>
        <w:t>une chose, en particulier d</w:t>
      </w:r>
      <w:r w:rsidR="00D91476">
        <w:rPr>
          <w:rFonts w:cs="Arial"/>
          <w:szCs w:val="22"/>
        </w:rPr>
        <w:t>’</w:t>
      </w:r>
      <w:r w:rsidRPr="00E8642C">
        <w:rPr>
          <w:rFonts w:cs="Arial"/>
          <w:szCs w:val="22"/>
        </w:rPr>
        <w:t>un livre ou de tout autre document, de modifier ou de détruire une partie du contenu ou du sens, selon l</w:t>
      </w:r>
      <w:r w:rsidR="00D91476">
        <w:rPr>
          <w:rFonts w:cs="Arial"/>
          <w:szCs w:val="22"/>
        </w:rPr>
        <w:t>’</w:t>
      </w:r>
      <w:r w:rsidRPr="00E8642C">
        <w:rPr>
          <w:rFonts w:cs="Arial"/>
          <w:szCs w:val="22"/>
        </w:rPr>
        <w:t xml:space="preserve">Oxford English </w:t>
      </w:r>
      <w:proofErr w:type="spellStart"/>
      <w:r w:rsidRPr="00E8642C">
        <w:rPr>
          <w:rFonts w:cs="Arial"/>
          <w:szCs w:val="22"/>
        </w:rPr>
        <w:t>Dictiona</w:t>
      </w:r>
      <w:r w:rsidR="001F3AEE" w:rsidRPr="00E8642C">
        <w:rPr>
          <w:rFonts w:cs="Arial"/>
          <w:szCs w:val="22"/>
        </w:rPr>
        <w:t>ry</w:t>
      </w:r>
      <w:proofErr w:type="spellEnd"/>
      <w:r w:rsidR="001F3AEE">
        <w:rPr>
          <w:rFonts w:cs="Arial"/>
          <w:szCs w:val="22"/>
        </w:rPr>
        <w:t xml:space="preserve">.  </w:t>
      </w:r>
      <w:r w:rsidR="001F3AEE" w:rsidRPr="00E8642C">
        <w:rPr>
          <w:rFonts w:cs="Arial"/>
          <w:szCs w:val="22"/>
        </w:rPr>
        <w:t>La</w:t>
      </w:r>
      <w:r w:rsidRPr="00E8642C">
        <w:rPr>
          <w:rFonts w:cs="Arial"/>
          <w:szCs w:val="22"/>
        </w:rPr>
        <w:t xml:space="preserve"> protection contre la mutilation est l</w:t>
      </w:r>
      <w:r w:rsidR="00D91476">
        <w:rPr>
          <w:rFonts w:cs="Arial"/>
          <w:szCs w:val="22"/>
        </w:rPr>
        <w:t>’</w:t>
      </w:r>
      <w:r w:rsidRPr="00E8642C">
        <w:rPr>
          <w:rFonts w:cs="Arial"/>
          <w:szCs w:val="22"/>
        </w:rPr>
        <w:t>une des caractéristiques du droit moral de l</w:t>
      </w:r>
      <w:r w:rsidR="00D91476">
        <w:rPr>
          <w:rFonts w:cs="Arial"/>
          <w:szCs w:val="22"/>
        </w:rPr>
        <w:t>’</w:t>
      </w:r>
      <w:r w:rsidRPr="00E8642C">
        <w:rPr>
          <w:rFonts w:cs="Arial"/>
          <w:szCs w:val="22"/>
        </w:rPr>
        <w:t>auteur, selon l</w:t>
      </w:r>
      <w:r w:rsidR="00D91476">
        <w:rPr>
          <w:rFonts w:cs="Arial"/>
          <w:szCs w:val="22"/>
        </w:rPr>
        <w:t>’</w:t>
      </w:r>
      <w:r w:rsidRPr="00E8642C">
        <w:rPr>
          <w:rFonts w:cs="Arial"/>
          <w:szCs w:val="22"/>
        </w:rPr>
        <w:t>article 6</w:t>
      </w:r>
      <w:r w:rsidRPr="00E8642C">
        <w:rPr>
          <w:rFonts w:cs="Arial"/>
          <w:i/>
          <w:iCs/>
          <w:szCs w:val="22"/>
        </w:rPr>
        <w:t>bis</w:t>
      </w:r>
      <w:r w:rsidRPr="00E8642C">
        <w:rPr>
          <w:rFonts w:cs="Arial"/>
          <w:szCs w:val="22"/>
        </w:rPr>
        <w:t xml:space="preserve"> de la </w:t>
      </w:r>
      <w:r w:rsidRPr="00E8642C">
        <w:rPr>
          <w:rFonts w:cs="Arial"/>
          <w:i/>
          <w:szCs w:val="22"/>
        </w:rPr>
        <w:t xml:space="preserve">Convention de Berne pour la protection des œuvres littéraires et artistiques </w:t>
      </w:r>
      <w:r w:rsidRPr="00E8642C">
        <w:rPr>
          <w:rFonts w:cs="Arial"/>
          <w:szCs w:val="22"/>
        </w:rPr>
        <w:t>(1971).</w:t>
      </w:r>
    </w:p>
    <w:p w:rsidR="009243A6" w:rsidRDefault="00DD607D" w:rsidP="009243A6">
      <w:pPr>
        <w:pStyle w:val="Heading2"/>
        <w:spacing w:after="220" w:line="240" w:lineRule="auto"/>
      </w:pPr>
      <w:bookmarkStart w:id="83" w:name="_Toc7772558"/>
      <w:r w:rsidRPr="00E8642C">
        <w:t>Nation</w:t>
      </w:r>
      <w:bookmarkEnd w:id="83"/>
    </w:p>
    <w:p w:rsidR="009243A6" w:rsidRDefault="00DD607D" w:rsidP="009243A6">
      <w:pPr>
        <w:pStyle w:val="BodyText"/>
        <w:tabs>
          <w:tab w:val="left" w:pos="567"/>
        </w:tabs>
        <w:spacing w:after="220"/>
        <w:rPr>
          <w:rFonts w:cs="Arial"/>
          <w:szCs w:val="22"/>
        </w:rPr>
      </w:pPr>
      <w:bookmarkStart w:id="84" w:name="_Ref289681765"/>
      <w:r w:rsidRPr="00E8642C">
        <w:rPr>
          <w:rFonts w:cs="Arial"/>
          <w:szCs w:val="22"/>
        </w:rPr>
        <w:t xml:space="preserve">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“nation” de la manière suivante</w:t>
      </w:r>
      <w:r w:rsidR="00D91476">
        <w:rPr>
          <w:rFonts w:cs="Arial"/>
          <w:szCs w:val="22"/>
        </w:rPr>
        <w:t> :</w:t>
      </w:r>
      <w:r w:rsidRPr="00E8642C">
        <w:rPr>
          <w:rFonts w:cs="Arial"/>
          <w:szCs w:val="22"/>
        </w:rPr>
        <w:t xml:space="preserve"> grand groupe de personnes ayant une origine, une langue et une tradition communes et constituant généralement une entité politiq</w:t>
      </w:r>
      <w:r w:rsidR="001F3AEE" w:rsidRPr="00E8642C">
        <w:rPr>
          <w:rFonts w:cs="Arial"/>
          <w:szCs w:val="22"/>
        </w:rPr>
        <w:t>ue</w:t>
      </w:r>
      <w:r w:rsidR="001F3AEE">
        <w:rPr>
          <w:rFonts w:cs="Arial"/>
          <w:szCs w:val="22"/>
        </w:rPr>
        <w:t xml:space="preserve">.  </w:t>
      </w:r>
      <w:r w:rsidR="001F3AEE" w:rsidRPr="00E8642C">
        <w:rPr>
          <w:rFonts w:cs="Arial"/>
          <w:szCs w:val="22"/>
        </w:rPr>
        <w:t>Le</w:t>
      </w:r>
      <w:r w:rsidRPr="00E8642C">
        <w:rPr>
          <w:rFonts w:cs="Arial"/>
          <w:szCs w:val="22"/>
        </w:rPr>
        <w:t>s “ressortissants” sont les personnes, physiques ou morales, qui sont domiciliées ou ont un établissement industriel ou commercial réel et effectif sur un territoire douanier</w:t>
      </w:r>
      <w:r w:rsidRPr="00E8642C">
        <w:rPr>
          <w:rStyle w:val="FootnoteReference"/>
          <w:rFonts w:cs="Arial"/>
          <w:szCs w:val="22"/>
        </w:rPr>
        <w:footnoteReference w:id="110"/>
      </w:r>
      <w:bookmarkEnd w:id="84"/>
      <w:r w:rsidRPr="00E8642C">
        <w:rPr>
          <w:rFonts w:cs="Arial"/>
          <w:szCs w:val="22"/>
        </w:rPr>
        <w:t>.  Le terme “nation” renvoie à l</w:t>
      </w:r>
      <w:r w:rsidR="00D91476">
        <w:rPr>
          <w:rFonts w:cs="Arial"/>
          <w:szCs w:val="22"/>
        </w:rPr>
        <w:t>’</w:t>
      </w:r>
      <w:r w:rsidRPr="00E8642C">
        <w:rPr>
          <w:rFonts w:cs="Arial"/>
          <w:szCs w:val="22"/>
        </w:rPr>
        <w:t>idée d</w:t>
      </w:r>
      <w:r w:rsidR="00D91476">
        <w:rPr>
          <w:rFonts w:cs="Arial"/>
          <w:szCs w:val="22"/>
        </w:rPr>
        <w:t>’</w:t>
      </w:r>
      <w:r w:rsidRPr="00E8642C">
        <w:rPr>
          <w:rFonts w:cs="Arial"/>
          <w:szCs w:val="22"/>
        </w:rPr>
        <w:t>une communauté fondée sur une origine, une culture et une histoire communes ainsi que, souvent, une langue commune</w:t>
      </w:r>
      <w:r w:rsidRPr="00E8642C">
        <w:rPr>
          <w:rStyle w:val="FootnoteReference"/>
          <w:rFonts w:cs="Arial"/>
          <w:szCs w:val="22"/>
        </w:rPr>
        <w:footnoteReference w:id="111"/>
      </w:r>
      <w:r w:rsidRPr="00E8642C">
        <w:rPr>
          <w:rFonts w:cs="Arial"/>
          <w:szCs w:val="22"/>
        </w:rPr>
        <w:t>.  Le terme “communautés culturelles” est censé avoir une portée suffisamment large pour englober les ressortissants d</w:t>
      </w:r>
      <w:r w:rsidR="00D91476">
        <w:rPr>
          <w:rFonts w:cs="Arial"/>
          <w:szCs w:val="22"/>
        </w:rPr>
        <w:t>’</w:t>
      </w:r>
      <w:r w:rsidRPr="00E8642C">
        <w:rPr>
          <w:rFonts w:cs="Arial"/>
          <w:szCs w:val="22"/>
        </w:rPr>
        <w:t>un pays entier, une “nation”, dans les cas où les expressions culturelles traditionnelles sont considérées comme l</w:t>
      </w:r>
      <w:r w:rsidR="00D91476">
        <w:rPr>
          <w:rFonts w:cs="Arial"/>
          <w:szCs w:val="22"/>
        </w:rPr>
        <w:t>’</w:t>
      </w:r>
      <w:r w:rsidRPr="00E8642C">
        <w:rPr>
          <w:rFonts w:cs="Arial"/>
          <w:szCs w:val="22"/>
        </w:rPr>
        <w:t>expression d</w:t>
      </w:r>
      <w:r w:rsidR="00D91476">
        <w:rPr>
          <w:rFonts w:cs="Arial"/>
          <w:szCs w:val="22"/>
        </w:rPr>
        <w:t>’</w:t>
      </w:r>
      <w:r w:rsidRPr="00E8642C">
        <w:rPr>
          <w:rFonts w:cs="Arial"/>
          <w:szCs w:val="22"/>
        </w:rPr>
        <w:t>un “folklore national” appartenant à l</w:t>
      </w:r>
      <w:r w:rsidR="00D91476">
        <w:rPr>
          <w:rFonts w:cs="Arial"/>
          <w:szCs w:val="22"/>
        </w:rPr>
        <w:t>’</w:t>
      </w:r>
      <w:r w:rsidRPr="00E8642C">
        <w:rPr>
          <w:rFonts w:cs="Arial"/>
          <w:szCs w:val="22"/>
        </w:rPr>
        <w:t>ensemble de la population d</w:t>
      </w:r>
      <w:r w:rsidR="00D91476">
        <w:rPr>
          <w:rFonts w:cs="Arial"/>
          <w:szCs w:val="22"/>
        </w:rPr>
        <w:t>’</w:t>
      </w:r>
      <w:r w:rsidRPr="00E8642C">
        <w:rPr>
          <w:rFonts w:cs="Arial"/>
          <w:szCs w:val="22"/>
        </w:rPr>
        <w:t>un pays don</w:t>
      </w:r>
      <w:r w:rsidR="001F3AEE" w:rsidRPr="00E8642C">
        <w:rPr>
          <w:rFonts w:cs="Arial"/>
          <w:szCs w:val="22"/>
        </w:rPr>
        <w:t>né</w:t>
      </w:r>
      <w:r w:rsidR="001F3AEE">
        <w:rPr>
          <w:rFonts w:cs="Arial"/>
          <w:szCs w:val="22"/>
        </w:rPr>
        <w:t xml:space="preserve">.  </w:t>
      </w:r>
      <w:r w:rsidR="001F3AEE" w:rsidRPr="00E8642C">
        <w:rPr>
          <w:rFonts w:cs="Arial"/>
          <w:szCs w:val="22"/>
        </w:rPr>
        <w:t>Ce</w:t>
      </w:r>
      <w:r w:rsidRPr="00E8642C">
        <w:rPr>
          <w:rFonts w:cs="Arial"/>
          <w:szCs w:val="22"/>
        </w:rPr>
        <w:t>tte disposition est conforme à la pratique dans d</w:t>
      </w:r>
      <w:r w:rsidR="00D91476">
        <w:rPr>
          <w:rFonts w:cs="Arial"/>
          <w:szCs w:val="22"/>
        </w:rPr>
        <w:t>’</w:t>
      </w:r>
      <w:r w:rsidRPr="00E8642C">
        <w:rPr>
          <w:rFonts w:cs="Arial"/>
          <w:szCs w:val="22"/>
        </w:rPr>
        <w:t>autres domaines d</w:t>
      </w:r>
      <w:r w:rsidR="00D91476">
        <w:rPr>
          <w:rFonts w:cs="Arial"/>
          <w:szCs w:val="22"/>
        </w:rPr>
        <w:t>’</w:t>
      </w:r>
      <w:r w:rsidRPr="00E8642C">
        <w:rPr>
          <w:rFonts w:cs="Arial"/>
          <w:szCs w:val="22"/>
        </w:rPr>
        <w:t>action et s</w:t>
      </w:r>
      <w:r w:rsidR="00D91476">
        <w:rPr>
          <w:rFonts w:cs="Arial"/>
          <w:szCs w:val="22"/>
        </w:rPr>
        <w:t>’</w:t>
      </w:r>
      <w:r w:rsidRPr="00E8642C">
        <w:rPr>
          <w:rFonts w:cs="Arial"/>
          <w:szCs w:val="22"/>
        </w:rPr>
        <w:t>inscrit en complément de celle</w:t>
      </w:r>
      <w:r w:rsidR="00400337">
        <w:rPr>
          <w:rFonts w:cs="Arial"/>
          <w:szCs w:val="22"/>
        </w:rPr>
        <w:noBreakHyphen/>
      </w:r>
      <w:r w:rsidRPr="00E8642C">
        <w:rPr>
          <w:rFonts w:cs="Arial"/>
          <w:szCs w:val="22"/>
        </w:rPr>
        <w:t>ci</w:t>
      </w:r>
      <w:r w:rsidRPr="00E8642C">
        <w:rPr>
          <w:rStyle w:val="FootnoteReference"/>
          <w:rFonts w:cs="Arial"/>
          <w:szCs w:val="22"/>
        </w:rPr>
        <w:footnoteReference w:id="112"/>
      </w:r>
      <w:r w:rsidRPr="00E8642C">
        <w:rPr>
          <w:rFonts w:cs="Arial"/>
          <w:szCs w:val="22"/>
        </w:rPr>
        <w:t>.</w:t>
      </w:r>
    </w:p>
    <w:p w:rsidR="009243A6" w:rsidRDefault="00DD607D" w:rsidP="009243A6">
      <w:pPr>
        <w:pStyle w:val="Heading2"/>
        <w:spacing w:after="220" w:line="240" w:lineRule="auto"/>
      </w:pPr>
      <w:bookmarkStart w:id="85" w:name="_Toc7772559"/>
      <w:r w:rsidRPr="00E8642C">
        <w:t>Nouveauté</w:t>
      </w:r>
      <w:bookmarkEnd w:id="85"/>
    </w:p>
    <w:p w:rsidR="009243A6" w:rsidRDefault="00DD607D" w:rsidP="009243A6">
      <w:pPr>
        <w:autoSpaceDE w:val="0"/>
        <w:autoSpaceDN w:val="0"/>
        <w:adjustRightInd w:val="0"/>
        <w:spacing w:after="220"/>
        <w:rPr>
          <w:rFonts w:cs="Arial"/>
          <w:szCs w:val="22"/>
        </w:rPr>
      </w:pPr>
      <w:r w:rsidRPr="00E8642C">
        <w:rPr>
          <w:rFonts w:cs="Arial"/>
          <w:szCs w:val="22"/>
        </w:rPr>
        <w:t>La nouveauté est l</w:t>
      </w:r>
      <w:r w:rsidR="00D91476">
        <w:rPr>
          <w:rFonts w:cs="Arial"/>
          <w:szCs w:val="22"/>
        </w:rPr>
        <w:t>’</w:t>
      </w:r>
      <w:r w:rsidRPr="00E8642C">
        <w:rPr>
          <w:rFonts w:cs="Arial"/>
          <w:szCs w:val="22"/>
        </w:rPr>
        <w:t>un des critères de brevetabilité pris en considération dans l</w:t>
      </w:r>
      <w:r w:rsidR="00D91476">
        <w:rPr>
          <w:rFonts w:cs="Arial"/>
          <w:szCs w:val="22"/>
        </w:rPr>
        <w:t>’</w:t>
      </w:r>
      <w:r w:rsidRPr="00E8642C">
        <w:rPr>
          <w:rFonts w:cs="Arial"/>
          <w:szCs w:val="22"/>
        </w:rPr>
        <w:t>examen quant au fo</w:t>
      </w:r>
      <w:r w:rsidR="001F3AEE" w:rsidRPr="00E8642C">
        <w:rPr>
          <w:rFonts w:cs="Arial"/>
          <w:szCs w:val="22"/>
        </w:rPr>
        <w:t>nd</w:t>
      </w:r>
      <w:r w:rsidR="001F3AEE">
        <w:rPr>
          <w:rFonts w:cs="Arial"/>
          <w:szCs w:val="22"/>
        </w:rPr>
        <w:t xml:space="preserve">.  </w:t>
      </w:r>
      <w:r w:rsidR="001F3AEE" w:rsidRPr="00E8642C">
        <w:rPr>
          <w:rFonts w:cs="Arial"/>
          <w:szCs w:val="22"/>
        </w:rPr>
        <w:t>Un</w:t>
      </w:r>
      <w:r w:rsidRPr="00E8642C">
        <w:rPr>
          <w:rFonts w:cs="Arial"/>
          <w:szCs w:val="22"/>
        </w:rPr>
        <w:t>e invention est nouvelle s</w:t>
      </w:r>
      <w:r w:rsidR="00D91476">
        <w:rPr>
          <w:rFonts w:cs="Arial"/>
          <w:szCs w:val="22"/>
        </w:rPr>
        <w:t>’</w:t>
      </w:r>
      <w:r w:rsidRPr="00E8642C">
        <w:rPr>
          <w:rFonts w:cs="Arial"/>
          <w:szCs w:val="22"/>
        </w:rPr>
        <w:t>il n</w:t>
      </w:r>
      <w:r w:rsidR="00D91476">
        <w:rPr>
          <w:rFonts w:cs="Arial"/>
          <w:szCs w:val="22"/>
        </w:rPr>
        <w:t>’</w:t>
      </w:r>
      <w:r w:rsidRPr="00E8642C">
        <w:rPr>
          <w:rFonts w:cs="Arial"/>
          <w:szCs w:val="22"/>
        </w:rPr>
        <w:t>y a pas d</w:t>
      </w:r>
      <w:r w:rsidR="00D91476">
        <w:rPr>
          <w:rFonts w:cs="Arial"/>
          <w:szCs w:val="22"/>
        </w:rPr>
        <w:t>’</w:t>
      </w:r>
      <w:r w:rsidRPr="00E8642C">
        <w:rPr>
          <w:rFonts w:cs="Arial"/>
          <w:szCs w:val="22"/>
        </w:rPr>
        <w:t>antériorité dans l</w:t>
      </w:r>
      <w:r w:rsidR="00D91476">
        <w:rPr>
          <w:rFonts w:cs="Arial"/>
          <w:szCs w:val="22"/>
        </w:rPr>
        <w:t>’</w:t>
      </w:r>
      <w:r w:rsidRPr="00E8642C">
        <w:rPr>
          <w:rFonts w:cs="Arial"/>
          <w:szCs w:val="22"/>
        </w:rPr>
        <w:t>état de la technique</w:t>
      </w:r>
      <w:r w:rsidRPr="00E8642C">
        <w:rPr>
          <w:rStyle w:val="FootnoteReference"/>
          <w:rFonts w:cs="Arial"/>
          <w:szCs w:val="22"/>
        </w:rPr>
        <w:footnoteReference w:id="113"/>
      </w:r>
      <w:r w:rsidRPr="00E8642C">
        <w:rPr>
          <w:rFonts w:cs="Arial"/>
          <w:szCs w:val="22"/>
        </w:rPr>
        <w:t>.</w:t>
      </w:r>
    </w:p>
    <w:p w:rsidR="009243A6" w:rsidRDefault="00DD607D" w:rsidP="009243A6">
      <w:pPr>
        <w:autoSpaceDE w:val="0"/>
        <w:autoSpaceDN w:val="0"/>
        <w:adjustRightInd w:val="0"/>
        <w:spacing w:after="220"/>
        <w:rPr>
          <w:rFonts w:cs="Arial"/>
          <w:i/>
          <w:iCs/>
          <w:szCs w:val="22"/>
        </w:rPr>
      </w:pPr>
      <w:r w:rsidRPr="00E8642C">
        <w:rPr>
          <w:rFonts w:cs="Arial"/>
          <w:szCs w:val="22"/>
        </w:rPr>
        <w:t>L</w:t>
      </w:r>
      <w:r w:rsidR="00D91476">
        <w:rPr>
          <w:rFonts w:cs="Arial"/>
          <w:szCs w:val="22"/>
        </w:rPr>
        <w:t>’</w:t>
      </w:r>
      <w:r w:rsidRPr="00E8642C">
        <w:rPr>
          <w:rFonts w:cs="Arial"/>
          <w:szCs w:val="22"/>
        </w:rPr>
        <w:t>article 33 du </w:t>
      </w:r>
      <w:r w:rsidRPr="00E8642C">
        <w:rPr>
          <w:rFonts w:cs="Arial"/>
          <w:i/>
          <w:szCs w:val="22"/>
        </w:rPr>
        <w:t>Traité de coopération en matière de brevets</w:t>
      </w:r>
      <w:r w:rsidRPr="00E8642C">
        <w:rPr>
          <w:rFonts w:cs="Arial"/>
          <w:szCs w:val="22"/>
        </w:rPr>
        <w:t xml:space="preserve"> (PCT) définit la nouveauté de la manière suivante</w:t>
      </w:r>
      <w:r w:rsidR="00D91476">
        <w:rPr>
          <w:rFonts w:cs="Arial"/>
          <w:szCs w:val="22"/>
        </w:rPr>
        <w:t> :</w:t>
      </w:r>
      <w:r w:rsidRPr="00E8642C">
        <w:rPr>
          <w:rFonts w:cs="Arial"/>
          <w:szCs w:val="22"/>
        </w:rPr>
        <w:t xml:space="preserve"> “[a]</w:t>
      </w:r>
      <w:proofErr w:type="spellStart"/>
      <w:r w:rsidRPr="00E8642C">
        <w:rPr>
          <w:rFonts w:cs="Arial"/>
          <w:szCs w:val="22"/>
        </w:rPr>
        <w:t>ux</w:t>
      </w:r>
      <w:proofErr w:type="spellEnd"/>
      <w:r w:rsidRPr="00E8642C">
        <w:rPr>
          <w:rFonts w:cs="Arial"/>
          <w:szCs w:val="22"/>
        </w:rPr>
        <w:t xml:space="preserve"> fins de l</w:t>
      </w:r>
      <w:r w:rsidR="00D91476">
        <w:rPr>
          <w:rFonts w:cs="Arial"/>
          <w:szCs w:val="22"/>
        </w:rPr>
        <w:t>’</w:t>
      </w:r>
      <w:r w:rsidRPr="00E8642C">
        <w:rPr>
          <w:rFonts w:cs="Arial"/>
          <w:szCs w:val="22"/>
        </w:rPr>
        <w:t>examen préliminaire international, l</w:t>
      </w:r>
      <w:r w:rsidR="00D91476">
        <w:rPr>
          <w:rFonts w:cs="Arial"/>
          <w:szCs w:val="22"/>
        </w:rPr>
        <w:t>’</w:t>
      </w:r>
      <w:r w:rsidRPr="00E8642C">
        <w:rPr>
          <w:rFonts w:cs="Arial"/>
          <w:szCs w:val="22"/>
        </w:rPr>
        <w:t>invention dont la protection est demandée est considérée comme nouvelle s</w:t>
      </w:r>
      <w:r w:rsidR="00D91476">
        <w:rPr>
          <w:rFonts w:cs="Arial"/>
          <w:szCs w:val="22"/>
        </w:rPr>
        <w:t>’</w:t>
      </w:r>
      <w:r w:rsidRPr="00E8642C">
        <w:rPr>
          <w:rFonts w:cs="Arial"/>
          <w:szCs w:val="22"/>
        </w:rPr>
        <w:t>il n</w:t>
      </w:r>
      <w:r w:rsidR="00D91476">
        <w:rPr>
          <w:rFonts w:cs="Arial"/>
          <w:szCs w:val="22"/>
        </w:rPr>
        <w:t>’</w:t>
      </w:r>
      <w:r w:rsidRPr="00E8642C">
        <w:rPr>
          <w:rFonts w:cs="Arial"/>
          <w:szCs w:val="22"/>
        </w:rPr>
        <w:t>est pas trouvé d</w:t>
      </w:r>
      <w:r w:rsidR="00D91476">
        <w:rPr>
          <w:rFonts w:cs="Arial"/>
          <w:szCs w:val="22"/>
        </w:rPr>
        <w:t>’</w:t>
      </w:r>
      <w:r w:rsidRPr="00E8642C">
        <w:rPr>
          <w:rFonts w:cs="Arial"/>
          <w:szCs w:val="22"/>
        </w:rPr>
        <w:t>antériorité dans l</w:t>
      </w:r>
      <w:r w:rsidR="00D91476">
        <w:rPr>
          <w:rFonts w:cs="Arial"/>
          <w:szCs w:val="22"/>
        </w:rPr>
        <w:t>’</w:t>
      </w:r>
      <w:r w:rsidRPr="00E8642C">
        <w:rPr>
          <w:rFonts w:cs="Arial"/>
          <w:szCs w:val="22"/>
        </w:rPr>
        <w:t>état de la technique tel qu</w:t>
      </w:r>
      <w:r w:rsidR="00D91476">
        <w:rPr>
          <w:rFonts w:cs="Arial"/>
          <w:szCs w:val="22"/>
        </w:rPr>
        <w:t>’</w:t>
      </w:r>
      <w:r w:rsidRPr="00E8642C">
        <w:rPr>
          <w:rFonts w:cs="Arial"/>
          <w:szCs w:val="22"/>
        </w:rPr>
        <w:t>il est défini dans le règlement d</w:t>
      </w:r>
      <w:r w:rsidR="00D91476">
        <w:rPr>
          <w:rFonts w:cs="Arial"/>
          <w:szCs w:val="22"/>
        </w:rPr>
        <w:t>’</w:t>
      </w:r>
      <w:r w:rsidRPr="00E8642C">
        <w:rPr>
          <w:rFonts w:cs="Arial"/>
          <w:szCs w:val="22"/>
        </w:rPr>
        <w:t>exécution”.  Selon la règle 64.1.a) du règlement d</w:t>
      </w:r>
      <w:r w:rsidR="00D91476">
        <w:rPr>
          <w:rFonts w:cs="Arial"/>
          <w:szCs w:val="22"/>
        </w:rPr>
        <w:t>’</w:t>
      </w:r>
      <w:r w:rsidRPr="00E8642C">
        <w:rPr>
          <w:rFonts w:cs="Arial"/>
          <w:szCs w:val="22"/>
        </w:rPr>
        <w:t>exécution du PCT, “est considéré comme faisant partie de l</w:t>
      </w:r>
      <w:r w:rsidR="00D91476">
        <w:rPr>
          <w:rFonts w:cs="Arial"/>
          <w:szCs w:val="22"/>
        </w:rPr>
        <w:t>’</w:t>
      </w:r>
      <w:r w:rsidRPr="00E8642C">
        <w:rPr>
          <w:rFonts w:cs="Arial"/>
          <w:szCs w:val="22"/>
        </w:rPr>
        <w:t>état de la technique tout ce qui a été rendu accessible au public en tous lieux du monde par une divulgation écrite (</w:t>
      </w:r>
      <w:r w:rsidR="00D91476">
        <w:rPr>
          <w:rFonts w:cs="Arial"/>
          <w:szCs w:val="22"/>
        </w:rPr>
        <w:t>y compris</w:t>
      </w:r>
      <w:r w:rsidRPr="00E8642C">
        <w:rPr>
          <w:rFonts w:cs="Arial"/>
          <w:szCs w:val="22"/>
        </w:rPr>
        <w:t xml:space="preserve"> des dessins et autres illustrations), pour autant que cette mise à la disposition du public ait eu lieu avant la date pertinente”.</w:t>
      </w:r>
    </w:p>
    <w:p w:rsidR="009243A6" w:rsidRDefault="00DD607D" w:rsidP="009243A6">
      <w:pPr>
        <w:autoSpaceDE w:val="0"/>
        <w:autoSpaceDN w:val="0"/>
        <w:adjustRightInd w:val="0"/>
        <w:spacing w:after="220"/>
        <w:rPr>
          <w:rFonts w:cs="Arial"/>
          <w:szCs w:val="22"/>
          <w:lang w:eastAsia="en-US" w:bidi="th-TH"/>
        </w:rPr>
      </w:pPr>
      <w:r w:rsidRPr="00E8642C">
        <w:rPr>
          <w:rFonts w:cs="Arial"/>
          <w:szCs w:val="22"/>
          <w:lang w:eastAsia="en-US" w:bidi="th-TH"/>
        </w:rPr>
        <w:t>L</w:t>
      </w:r>
      <w:r w:rsidR="00D91476">
        <w:rPr>
          <w:rFonts w:cs="Arial"/>
          <w:szCs w:val="22"/>
          <w:lang w:eastAsia="en-US" w:bidi="th-TH"/>
        </w:rPr>
        <w:t>’</w:t>
      </w:r>
      <w:r w:rsidRPr="00E8642C">
        <w:rPr>
          <w:rFonts w:cs="Arial"/>
          <w:szCs w:val="22"/>
          <w:lang w:eastAsia="en-US" w:bidi="th-TH"/>
        </w:rPr>
        <w:t xml:space="preserve">article 54 de la </w:t>
      </w:r>
      <w:r w:rsidRPr="00E8642C">
        <w:rPr>
          <w:rFonts w:cs="Arial"/>
          <w:i/>
          <w:szCs w:val="22"/>
          <w:lang w:eastAsia="en-US" w:bidi="th-TH"/>
        </w:rPr>
        <w:t xml:space="preserve">Convention sur le brevet européen </w:t>
      </w:r>
      <w:r w:rsidRPr="00E8642C">
        <w:rPr>
          <w:rFonts w:cs="Arial"/>
          <w:szCs w:val="22"/>
          <w:lang w:eastAsia="en-US" w:bidi="th-TH"/>
        </w:rPr>
        <w:t>(CBE) définit la “nouveauté” de la manière suivante</w:t>
      </w:r>
      <w:r w:rsidR="00D91476">
        <w:rPr>
          <w:rFonts w:cs="Arial"/>
          <w:szCs w:val="22"/>
          <w:lang w:eastAsia="en-US" w:bidi="th-TH"/>
        </w:rPr>
        <w:t> :</w:t>
      </w:r>
      <w:r w:rsidRPr="00E8642C">
        <w:rPr>
          <w:rFonts w:cs="Arial"/>
          <w:szCs w:val="22"/>
          <w:lang w:eastAsia="en-US" w:bidi="th-TH"/>
        </w:rPr>
        <w:t xml:space="preserve"> “[u]</w:t>
      </w:r>
      <w:proofErr w:type="gramStart"/>
      <w:r w:rsidRPr="00E8642C">
        <w:rPr>
          <w:rFonts w:cs="Arial"/>
          <w:szCs w:val="22"/>
          <w:lang w:eastAsia="en-US" w:bidi="th-TH"/>
        </w:rPr>
        <w:t>ne invention</w:t>
      </w:r>
      <w:proofErr w:type="gramEnd"/>
      <w:r w:rsidRPr="00E8642C">
        <w:rPr>
          <w:rFonts w:cs="Arial"/>
          <w:szCs w:val="22"/>
          <w:lang w:eastAsia="en-US" w:bidi="th-TH"/>
        </w:rPr>
        <w:t xml:space="preserve"> est considérée comme nouvelle si elle n</w:t>
      </w:r>
      <w:r w:rsidR="00D91476">
        <w:rPr>
          <w:rFonts w:cs="Arial"/>
          <w:szCs w:val="22"/>
          <w:lang w:eastAsia="en-US" w:bidi="th-TH"/>
        </w:rPr>
        <w:t>’</w:t>
      </w:r>
      <w:r w:rsidRPr="00E8642C">
        <w:rPr>
          <w:rFonts w:cs="Arial"/>
          <w:szCs w:val="22"/>
          <w:lang w:eastAsia="en-US" w:bidi="th-TH"/>
        </w:rPr>
        <w:t>est pas comprise dans l</w:t>
      </w:r>
      <w:r w:rsidR="00D91476">
        <w:rPr>
          <w:rFonts w:cs="Arial"/>
          <w:szCs w:val="22"/>
          <w:lang w:eastAsia="en-US" w:bidi="th-TH"/>
        </w:rPr>
        <w:t>’</w:t>
      </w:r>
      <w:r w:rsidRPr="00E8642C">
        <w:rPr>
          <w:rFonts w:cs="Arial"/>
          <w:szCs w:val="22"/>
          <w:lang w:eastAsia="en-US" w:bidi="th-TH"/>
        </w:rPr>
        <w:t>état de la techniq</w:t>
      </w:r>
      <w:r w:rsidR="001F3AEE" w:rsidRPr="00E8642C">
        <w:rPr>
          <w:rFonts w:cs="Arial"/>
          <w:szCs w:val="22"/>
          <w:lang w:eastAsia="en-US" w:bidi="th-TH"/>
        </w:rPr>
        <w:t>ue</w:t>
      </w:r>
      <w:r w:rsidR="001F3AEE">
        <w:rPr>
          <w:rFonts w:cs="Arial"/>
          <w:szCs w:val="22"/>
          <w:lang w:eastAsia="en-US" w:bidi="th-TH"/>
        </w:rPr>
        <w:t xml:space="preserve">.  </w:t>
      </w:r>
      <w:r w:rsidR="001F3AEE" w:rsidRPr="00E8642C">
        <w:rPr>
          <w:rFonts w:cs="Arial"/>
          <w:szCs w:val="22"/>
          <w:lang w:eastAsia="en-US" w:bidi="th-TH"/>
        </w:rPr>
        <w:t>L</w:t>
      </w:r>
      <w:r w:rsidR="001F3AEE">
        <w:rPr>
          <w:rFonts w:cs="Arial"/>
          <w:szCs w:val="22"/>
          <w:lang w:eastAsia="en-US" w:bidi="th-TH"/>
        </w:rPr>
        <w:t>’</w:t>
      </w:r>
      <w:r w:rsidR="001F3AEE" w:rsidRPr="00E8642C">
        <w:rPr>
          <w:rFonts w:cs="Arial"/>
          <w:szCs w:val="22"/>
          <w:lang w:eastAsia="en-US" w:bidi="th-TH"/>
        </w:rPr>
        <w:t>é</w:t>
      </w:r>
      <w:r w:rsidRPr="00E8642C">
        <w:rPr>
          <w:rFonts w:cs="Arial"/>
          <w:szCs w:val="22"/>
          <w:lang w:eastAsia="en-US" w:bidi="th-TH"/>
        </w:rPr>
        <w:t>tat de la technique est constitué par tout ce qui a été rendu accessible au public avant la date de dépôt de la demande de brevet européen par une description écrite ou orale, un usage ou tout autre moyen”.</w:t>
      </w:r>
    </w:p>
    <w:p w:rsidR="009243A6" w:rsidRDefault="00DD607D" w:rsidP="009243A6">
      <w:pPr>
        <w:autoSpaceDE w:val="0"/>
        <w:autoSpaceDN w:val="0"/>
        <w:adjustRightInd w:val="0"/>
        <w:spacing w:after="220"/>
        <w:rPr>
          <w:rFonts w:cs="Arial"/>
          <w:szCs w:val="22"/>
          <w:lang w:eastAsia="en-US" w:bidi="th-TH"/>
        </w:rPr>
      </w:pPr>
      <w:r w:rsidRPr="00E8642C">
        <w:rPr>
          <w:rFonts w:cs="Arial"/>
          <w:szCs w:val="22"/>
          <w:lang w:eastAsia="en-US" w:bidi="th-TH"/>
        </w:rPr>
        <w:t>L</w:t>
      </w:r>
      <w:r w:rsidR="00D91476">
        <w:rPr>
          <w:rFonts w:cs="Arial"/>
          <w:szCs w:val="22"/>
          <w:lang w:eastAsia="en-US" w:bidi="th-TH"/>
        </w:rPr>
        <w:t>’</w:t>
      </w:r>
      <w:r w:rsidRPr="00E8642C">
        <w:rPr>
          <w:rFonts w:cs="Arial"/>
          <w:szCs w:val="22"/>
          <w:lang w:eastAsia="en-US" w:bidi="th-TH"/>
        </w:rPr>
        <w:t>article 102 du titre 35 du Code des États</w:t>
      </w:r>
      <w:r w:rsidR="00400337">
        <w:rPr>
          <w:rFonts w:cs="Arial"/>
          <w:szCs w:val="22"/>
          <w:lang w:eastAsia="en-US" w:bidi="th-TH"/>
        </w:rPr>
        <w:noBreakHyphen/>
      </w:r>
      <w:r w:rsidRPr="00E8642C">
        <w:rPr>
          <w:rFonts w:cs="Arial"/>
          <w:szCs w:val="22"/>
          <w:lang w:eastAsia="en-US" w:bidi="th-TH"/>
        </w:rPr>
        <w:t>Unis d</w:t>
      </w:r>
      <w:r w:rsidR="00D91476">
        <w:rPr>
          <w:rFonts w:cs="Arial"/>
          <w:szCs w:val="22"/>
          <w:lang w:eastAsia="en-US" w:bidi="th-TH"/>
        </w:rPr>
        <w:t>’</w:t>
      </w:r>
      <w:r w:rsidRPr="00E8642C">
        <w:rPr>
          <w:rFonts w:cs="Arial"/>
          <w:szCs w:val="22"/>
          <w:lang w:eastAsia="en-US" w:bidi="th-TH"/>
        </w:rPr>
        <w:t>Amérique [Conditions de brevetabilité;  nouveauté] définit la notion de nouveauté de la manière suivante</w:t>
      </w:r>
      <w:r w:rsidR="00D91476">
        <w:rPr>
          <w:rFonts w:cs="Arial"/>
          <w:szCs w:val="22"/>
          <w:lang w:eastAsia="en-US" w:bidi="th-TH"/>
        </w:rPr>
        <w:t> :</w:t>
      </w:r>
      <w:r w:rsidRPr="00E8642C">
        <w:rPr>
          <w:rFonts w:cs="Arial"/>
          <w:szCs w:val="22"/>
          <w:lang w:eastAsia="en-US" w:bidi="th-TH"/>
        </w:rPr>
        <w:t xml:space="preserve"> “</w:t>
      </w:r>
      <w:r w:rsidRPr="00E8642C">
        <w:rPr>
          <w:rFonts w:cs="Arial"/>
          <w:iCs/>
          <w:szCs w:val="22"/>
          <w:lang w:eastAsia="en-US" w:bidi="th-TH"/>
        </w:rPr>
        <w:t>[u]ne personne a droit à un brevet – 1) sauf si l</w:t>
      </w:r>
      <w:r w:rsidR="00D91476">
        <w:rPr>
          <w:rFonts w:cs="Arial"/>
          <w:iCs/>
          <w:szCs w:val="22"/>
          <w:lang w:eastAsia="en-US" w:bidi="th-TH"/>
        </w:rPr>
        <w:t>’</w:t>
      </w:r>
      <w:r w:rsidRPr="00E8642C">
        <w:rPr>
          <w:rFonts w:cs="Arial"/>
          <w:iCs/>
          <w:szCs w:val="22"/>
          <w:lang w:eastAsia="en-US" w:bidi="th-TH"/>
        </w:rPr>
        <w:t>invention revendiquée était brevetée ou décrite dans une publication imprimée</w:t>
      </w:r>
      <w:r w:rsidRPr="00E8642C">
        <w:t xml:space="preserve"> ou faisait l</w:t>
      </w:r>
      <w:r w:rsidR="00D91476">
        <w:t>’</w:t>
      </w:r>
      <w:r w:rsidRPr="00E8642C">
        <w:t>objet d</w:t>
      </w:r>
      <w:r w:rsidR="00D91476">
        <w:t>’</w:t>
      </w:r>
      <w:r w:rsidRPr="00E8642C">
        <w:t xml:space="preserve">un usage </w:t>
      </w:r>
      <w:r w:rsidRPr="00E8642C">
        <w:rPr>
          <w:rFonts w:cs="Arial"/>
          <w:iCs/>
          <w:szCs w:val="22"/>
          <w:lang w:eastAsia="en-US" w:bidi="th-TH"/>
        </w:rPr>
        <w:t>public, était en vente ou mise à la disposition du public d</w:t>
      </w:r>
      <w:r w:rsidR="00D91476">
        <w:rPr>
          <w:rFonts w:cs="Arial"/>
          <w:iCs/>
          <w:szCs w:val="22"/>
          <w:lang w:eastAsia="en-US" w:bidi="th-TH"/>
        </w:rPr>
        <w:t>’</w:t>
      </w:r>
      <w:r w:rsidRPr="00E8642C">
        <w:rPr>
          <w:rFonts w:cs="Arial"/>
          <w:iCs/>
          <w:szCs w:val="22"/>
          <w:lang w:eastAsia="en-US" w:bidi="th-TH"/>
        </w:rPr>
        <w:t>une autre manière avant la date de dépôt effective de l</w:t>
      </w:r>
      <w:r w:rsidR="00D91476">
        <w:rPr>
          <w:rFonts w:cs="Arial"/>
          <w:iCs/>
          <w:szCs w:val="22"/>
          <w:lang w:eastAsia="en-US" w:bidi="th-TH"/>
        </w:rPr>
        <w:t>’</w:t>
      </w:r>
      <w:r w:rsidRPr="00E8642C">
        <w:rPr>
          <w:rFonts w:cs="Arial"/>
          <w:iCs/>
          <w:szCs w:val="22"/>
          <w:lang w:eastAsia="en-US" w:bidi="th-TH"/>
        </w:rPr>
        <w:t>invention revendiquée;  ou 2) sauf si l</w:t>
      </w:r>
      <w:r w:rsidR="00D91476">
        <w:rPr>
          <w:rFonts w:cs="Arial"/>
          <w:iCs/>
          <w:szCs w:val="22"/>
          <w:lang w:eastAsia="en-US" w:bidi="th-TH"/>
        </w:rPr>
        <w:t>’</w:t>
      </w:r>
      <w:r w:rsidRPr="00E8642C">
        <w:rPr>
          <w:rFonts w:cs="Arial"/>
          <w:iCs/>
          <w:szCs w:val="22"/>
          <w:lang w:eastAsia="en-US" w:bidi="th-TH"/>
        </w:rPr>
        <w:t>invention revendiquée était décrite dans un brevet délivré en vertu de l</w:t>
      </w:r>
      <w:r w:rsidR="00D91476">
        <w:rPr>
          <w:rFonts w:cs="Arial"/>
          <w:iCs/>
          <w:szCs w:val="22"/>
          <w:lang w:eastAsia="en-US" w:bidi="th-TH"/>
        </w:rPr>
        <w:t>’</w:t>
      </w:r>
      <w:r w:rsidRPr="00E8642C">
        <w:rPr>
          <w:rFonts w:cs="Arial"/>
          <w:iCs/>
          <w:szCs w:val="22"/>
          <w:lang w:eastAsia="en-US" w:bidi="th-TH"/>
        </w:rPr>
        <w:t>article 151, ou dans une demande de brevet publiée ou réputée publiée en vertu de l</w:t>
      </w:r>
      <w:r w:rsidR="00D91476">
        <w:rPr>
          <w:rFonts w:cs="Arial"/>
          <w:iCs/>
          <w:szCs w:val="22"/>
          <w:lang w:eastAsia="en-US" w:bidi="th-TH"/>
        </w:rPr>
        <w:t>’</w:t>
      </w:r>
      <w:r w:rsidRPr="00E8642C">
        <w:rPr>
          <w:rFonts w:cs="Arial"/>
          <w:iCs/>
          <w:szCs w:val="22"/>
          <w:lang w:eastAsia="en-US" w:bidi="th-TH"/>
        </w:rPr>
        <w:t>article122.b), et que le brevet ou la demande, selon le cas, désigne un autre inventeur et a effectivement été déposé avant la date de dépôt effective de l</w:t>
      </w:r>
      <w:r w:rsidR="00D91476">
        <w:rPr>
          <w:rFonts w:cs="Arial"/>
          <w:iCs/>
          <w:szCs w:val="22"/>
          <w:lang w:eastAsia="en-US" w:bidi="th-TH"/>
        </w:rPr>
        <w:t>’</w:t>
      </w:r>
      <w:r w:rsidRPr="00E8642C">
        <w:rPr>
          <w:rFonts w:cs="Arial"/>
          <w:iCs/>
          <w:szCs w:val="22"/>
          <w:lang w:eastAsia="en-US" w:bidi="th-TH"/>
        </w:rPr>
        <w:t>invention revendiquée</w:t>
      </w:r>
      <w:r w:rsidRPr="00E8642C">
        <w:rPr>
          <w:rFonts w:cs="Arial"/>
          <w:szCs w:val="22"/>
          <w:lang w:eastAsia="en-US" w:bidi="th-TH"/>
        </w:rPr>
        <w:t>”</w:t>
      </w:r>
      <w:r w:rsidRPr="00E8642C">
        <w:rPr>
          <w:rStyle w:val="FootnoteReference"/>
          <w:iCs/>
          <w:szCs w:val="22"/>
          <w:lang w:eastAsia="en-US" w:bidi="th-TH"/>
        </w:rPr>
        <w:footnoteReference w:id="114"/>
      </w:r>
      <w:r w:rsidRPr="00E8642C">
        <w:rPr>
          <w:rFonts w:cs="Arial"/>
          <w:szCs w:val="22"/>
          <w:lang w:eastAsia="en-US" w:bidi="th-TH"/>
        </w:rPr>
        <w:t>.</w:t>
      </w:r>
    </w:p>
    <w:p w:rsidR="009243A6" w:rsidRDefault="00DD607D" w:rsidP="009243A6">
      <w:pPr>
        <w:pStyle w:val="Heading2"/>
        <w:spacing w:after="220" w:line="240" w:lineRule="auto"/>
      </w:pPr>
      <w:bookmarkStart w:id="86" w:name="_Toc7772560"/>
      <w:r w:rsidRPr="00E8642C">
        <w:t>Œuvre dérivée</w:t>
      </w:r>
      <w:bookmarkEnd w:id="86"/>
    </w:p>
    <w:p w:rsidR="009243A6" w:rsidRDefault="00DD607D" w:rsidP="009243A6">
      <w:pPr>
        <w:pStyle w:val="CommentText"/>
        <w:spacing w:after="220"/>
        <w:rPr>
          <w:rFonts w:cs="Arial"/>
          <w:szCs w:val="22"/>
        </w:rPr>
      </w:pPr>
      <w:r w:rsidRPr="00E8642C">
        <w:rPr>
          <w:rFonts w:cs="Arial"/>
          <w:szCs w:val="22"/>
        </w:rPr>
        <w:t>En droit d</w:t>
      </w:r>
      <w:r w:rsidR="00D91476">
        <w:rPr>
          <w:rFonts w:cs="Arial"/>
          <w:szCs w:val="22"/>
        </w:rPr>
        <w:t>’</w:t>
      </w:r>
      <w:r w:rsidRPr="00E8642C">
        <w:rPr>
          <w:rFonts w:cs="Arial"/>
          <w:szCs w:val="22"/>
        </w:rPr>
        <w:t>auteur, l</w:t>
      </w:r>
      <w:r w:rsidR="00D91476">
        <w:rPr>
          <w:rFonts w:cs="Arial"/>
          <w:szCs w:val="22"/>
        </w:rPr>
        <w:t>’</w:t>
      </w:r>
      <w:r w:rsidRPr="00E8642C">
        <w:rPr>
          <w:rFonts w:cs="Arial"/>
          <w:szCs w:val="22"/>
        </w:rPr>
        <w:t>expression “œuvres dérivées” s</w:t>
      </w:r>
      <w:r w:rsidR="00D91476">
        <w:rPr>
          <w:rFonts w:cs="Arial"/>
          <w:szCs w:val="22"/>
        </w:rPr>
        <w:t>’</w:t>
      </w:r>
      <w:r w:rsidRPr="00E8642C">
        <w:rPr>
          <w:rFonts w:cs="Arial"/>
          <w:szCs w:val="22"/>
        </w:rPr>
        <w:t>entend, en général, des traductions, adaptations, arrangements et autres transformations d</w:t>
      </w:r>
      <w:r w:rsidR="00D91476">
        <w:rPr>
          <w:rFonts w:cs="Arial"/>
          <w:szCs w:val="22"/>
        </w:rPr>
        <w:t>’</w:t>
      </w:r>
      <w:r w:rsidRPr="00E8642C">
        <w:rPr>
          <w:rFonts w:cs="Arial"/>
          <w:szCs w:val="22"/>
        </w:rPr>
        <w:t>œuvres préexistantes protégées comme telles en vertu de l</w:t>
      </w:r>
      <w:r w:rsidR="00D91476">
        <w:rPr>
          <w:rFonts w:cs="Arial"/>
          <w:szCs w:val="22"/>
        </w:rPr>
        <w:t>’</w:t>
      </w:r>
      <w:r w:rsidRPr="00E8642C">
        <w:rPr>
          <w:rFonts w:cs="Arial"/>
          <w:szCs w:val="22"/>
        </w:rPr>
        <w:t xml:space="preserve">article 2.3) de la </w:t>
      </w:r>
      <w:r w:rsidRPr="00E8642C">
        <w:rPr>
          <w:rFonts w:cs="Arial"/>
          <w:i/>
          <w:szCs w:val="22"/>
        </w:rPr>
        <w:t>Convention de Berne</w:t>
      </w:r>
      <w:r w:rsidRPr="00E8642C">
        <w:rPr>
          <w:rFonts w:cs="Arial"/>
          <w:szCs w:val="22"/>
        </w:rPr>
        <w:t xml:space="preserve"> </w:t>
      </w:r>
      <w:r w:rsidRPr="00E8642C">
        <w:rPr>
          <w:rFonts w:cs="Arial"/>
          <w:i/>
          <w:szCs w:val="22"/>
        </w:rPr>
        <w:t xml:space="preserve">pour la protection des œuvres littéraires et artistiques </w:t>
      </w:r>
      <w:r w:rsidRPr="00E8642C">
        <w:rPr>
          <w:rFonts w:cs="Arial"/>
          <w:szCs w:val="22"/>
        </w:rPr>
        <w:t>(1971), sans préjudice du droit d</w:t>
      </w:r>
      <w:r w:rsidR="00D91476">
        <w:rPr>
          <w:rFonts w:cs="Arial"/>
          <w:szCs w:val="22"/>
        </w:rPr>
        <w:t>’</w:t>
      </w:r>
      <w:r w:rsidRPr="00E8642C">
        <w:rPr>
          <w:rFonts w:cs="Arial"/>
          <w:szCs w:val="22"/>
        </w:rPr>
        <w:t>auteur sur les œuvres préexistantes</w:t>
      </w:r>
      <w:r w:rsidRPr="00E8642C">
        <w:rPr>
          <w:rStyle w:val="FootnoteReference"/>
          <w:rFonts w:cs="Arial"/>
          <w:szCs w:val="22"/>
        </w:rPr>
        <w:footnoteReference w:id="115"/>
      </w:r>
      <w:r w:rsidRPr="00E8642C">
        <w:t xml:space="preserve">. </w:t>
      </w:r>
      <w:r w:rsidRPr="00E8642C">
        <w:rPr>
          <w:rFonts w:cs="Arial"/>
          <w:szCs w:val="22"/>
        </w:rPr>
        <w:t xml:space="preserve"> Il est parfois utilisé aussi dans un sens plus large, pour englober les compilations et les recueils d</w:t>
      </w:r>
      <w:r w:rsidR="00D91476">
        <w:rPr>
          <w:rFonts w:cs="Arial"/>
          <w:szCs w:val="22"/>
        </w:rPr>
        <w:t>’</w:t>
      </w:r>
      <w:r w:rsidRPr="00E8642C">
        <w:rPr>
          <w:rFonts w:cs="Arial"/>
          <w:szCs w:val="22"/>
        </w:rPr>
        <w:t>œuvres protégés en vertu de l</w:t>
      </w:r>
      <w:r w:rsidR="00D91476">
        <w:rPr>
          <w:rFonts w:cs="Arial"/>
          <w:szCs w:val="22"/>
        </w:rPr>
        <w:t>’</w:t>
      </w:r>
      <w:r w:rsidRPr="00E8642C">
        <w:rPr>
          <w:rFonts w:cs="Arial"/>
          <w:szCs w:val="22"/>
        </w:rPr>
        <w:t>article 2.5) de la Convention de Berne (ainsi que de l</w:t>
      </w:r>
      <w:r w:rsidR="00D91476">
        <w:rPr>
          <w:rFonts w:cs="Arial"/>
          <w:szCs w:val="22"/>
        </w:rPr>
        <w:t>’</w:t>
      </w:r>
      <w:r w:rsidRPr="00E8642C">
        <w:rPr>
          <w:rFonts w:cs="Arial"/>
          <w:szCs w:val="22"/>
        </w:rPr>
        <w:t>article 10.2) de l</w:t>
      </w:r>
      <w:r w:rsidR="00D91476">
        <w:rPr>
          <w:rFonts w:cs="Arial"/>
          <w:szCs w:val="22"/>
        </w:rPr>
        <w:t>’</w:t>
      </w:r>
      <w:r w:rsidRPr="00E8642C">
        <w:rPr>
          <w:rFonts w:cs="Arial"/>
          <w:i/>
          <w:szCs w:val="22"/>
        </w:rPr>
        <w:t xml:space="preserve">Accord sur les aspects des droits de propriété intellectuelle qui touchent au commerce </w:t>
      </w:r>
      <w:r w:rsidRPr="00E8642C">
        <w:rPr>
          <w:rFonts w:cs="Arial"/>
          <w:szCs w:val="22"/>
        </w:rPr>
        <w:t>(1994) (Accord sur les ADPIC) de l</w:t>
      </w:r>
      <w:r w:rsidR="00D91476">
        <w:rPr>
          <w:rFonts w:cs="Arial"/>
          <w:szCs w:val="22"/>
        </w:rPr>
        <w:t>’</w:t>
      </w:r>
      <w:r w:rsidRPr="00E8642C">
        <w:rPr>
          <w:rFonts w:cs="Arial"/>
          <w:szCs w:val="22"/>
        </w:rPr>
        <w:t>Organisation mondiale du commerce (OMC) et de l</w:t>
      </w:r>
      <w:r w:rsidR="00D91476">
        <w:rPr>
          <w:rFonts w:cs="Arial"/>
          <w:szCs w:val="22"/>
        </w:rPr>
        <w:t>’</w:t>
      </w:r>
      <w:r w:rsidRPr="00E8642C">
        <w:rPr>
          <w:rFonts w:cs="Arial"/>
          <w:szCs w:val="22"/>
        </w:rPr>
        <w:t xml:space="preserve">article 5 du </w:t>
      </w:r>
      <w:r w:rsidRPr="00E8642C">
        <w:rPr>
          <w:rFonts w:cs="Arial"/>
          <w:i/>
          <w:szCs w:val="22"/>
        </w:rPr>
        <w:t>Traité sur le droit d</w:t>
      </w:r>
      <w:r w:rsidR="00D91476">
        <w:rPr>
          <w:rFonts w:cs="Arial"/>
          <w:i/>
          <w:szCs w:val="22"/>
        </w:rPr>
        <w:t>’</w:t>
      </w:r>
      <w:r w:rsidRPr="00E8642C">
        <w:rPr>
          <w:rFonts w:cs="Arial"/>
          <w:i/>
          <w:szCs w:val="22"/>
        </w:rPr>
        <w:t>auteur de l</w:t>
      </w:r>
      <w:r w:rsidR="00D91476">
        <w:rPr>
          <w:rFonts w:cs="Arial"/>
          <w:i/>
          <w:szCs w:val="22"/>
        </w:rPr>
        <w:t>’</w:t>
      </w:r>
      <w:r w:rsidRPr="00E8642C">
        <w:rPr>
          <w:rFonts w:cs="Arial"/>
          <w:i/>
          <w:szCs w:val="22"/>
        </w:rPr>
        <w:t>OMPI</w:t>
      </w:r>
      <w:r w:rsidRPr="00E8642C">
        <w:rPr>
          <w:rFonts w:cs="Arial"/>
          <w:szCs w:val="22"/>
        </w:rPr>
        <w:t xml:space="preserve"> (1996) (WCT)</w:t>
      </w:r>
      <w:r w:rsidRPr="00E8642C">
        <w:rPr>
          <w:rStyle w:val="FootnoteReference"/>
          <w:rFonts w:cs="Arial"/>
          <w:szCs w:val="22"/>
        </w:rPr>
        <w:footnoteReference w:id="116"/>
      </w:r>
      <w:r w:rsidRPr="00E8642C">
        <w:rPr>
          <w:rFonts w:cs="Arial"/>
          <w:szCs w:val="22"/>
        </w:rPr>
        <w:t>.  À cet égard, une “œuvre dérivée” comprend des compilations de données ou d</w:t>
      </w:r>
      <w:r w:rsidR="00D91476">
        <w:rPr>
          <w:rFonts w:cs="Arial"/>
          <w:szCs w:val="22"/>
        </w:rPr>
        <w:t>’</w:t>
      </w:r>
      <w:r w:rsidRPr="00E8642C">
        <w:rPr>
          <w:rFonts w:cs="Arial"/>
          <w:szCs w:val="22"/>
        </w:rPr>
        <w:t>autres éléments, sur support déchiffrable par machine ou sur tout autre support, qui, par le choix ou la disposition des matières, constituent des créations intellectuelles</w:t>
      </w:r>
      <w:r w:rsidRPr="00E8642C">
        <w:rPr>
          <w:rStyle w:val="FootnoteReference"/>
          <w:rFonts w:cs="Arial"/>
          <w:szCs w:val="22"/>
        </w:rPr>
        <w:footnoteReference w:id="117"/>
      </w:r>
      <w:r w:rsidRPr="00E8642C">
        <w:t xml:space="preserve">. </w:t>
      </w:r>
      <w:r w:rsidRPr="00E8642C">
        <w:rPr>
          <w:rFonts w:cs="Arial"/>
          <w:szCs w:val="22"/>
        </w:rPr>
        <w:t xml:space="preserve"> Des œuvres de compilation et des recueils ont été protégés dans le cadre de la </w:t>
      </w:r>
      <w:r w:rsidRPr="00E8642C">
        <w:rPr>
          <w:rFonts w:cs="Arial"/>
          <w:i/>
          <w:szCs w:val="22"/>
        </w:rPr>
        <w:t>Convention de Berne</w:t>
      </w:r>
      <w:r w:rsidRPr="00E8642C">
        <w:rPr>
          <w:rFonts w:cs="Arial"/>
          <w:szCs w:val="22"/>
        </w:rPr>
        <w:t>, en même temps que d</w:t>
      </w:r>
      <w:r w:rsidR="00D91476">
        <w:rPr>
          <w:rFonts w:cs="Arial"/>
          <w:szCs w:val="22"/>
        </w:rPr>
        <w:t>’</w:t>
      </w:r>
      <w:r w:rsidRPr="00E8642C">
        <w:rPr>
          <w:rFonts w:cs="Arial"/>
          <w:szCs w:val="22"/>
        </w:rPr>
        <w:t>autres œuvres dérivées</w:t>
      </w:r>
      <w:bookmarkStart w:id="87" w:name="_Ref289432997"/>
      <w:bookmarkStart w:id="88" w:name="_Ref292464396"/>
      <w:r w:rsidRPr="00E8642C">
        <w:rPr>
          <w:rStyle w:val="FootnoteReference"/>
          <w:rFonts w:cs="Arial"/>
          <w:szCs w:val="22"/>
        </w:rPr>
        <w:footnoteReference w:id="118"/>
      </w:r>
      <w:bookmarkEnd w:id="87"/>
      <w:bookmarkEnd w:id="88"/>
      <w:r w:rsidRPr="00E8642C">
        <w:rPr>
          <w:rFonts w:cs="Arial"/>
          <w:szCs w:val="22"/>
        </w:rPr>
        <w:t>.</w:t>
      </w:r>
    </w:p>
    <w:p w:rsidR="009243A6" w:rsidRDefault="00DD607D" w:rsidP="009243A6">
      <w:pPr>
        <w:pStyle w:val="CommentText"/>
        <w:spacing w:after="220"/>
        <w:rPr>
          <w:rFonts w:cs="Arial"/>
          <w:szCs w:val="22"/>
        </w:rPr>
      </w:pPr>
      <w:r w:rsidRPr="00E8642C">
        <w:rPr>
          <w:rFonts w:cs="Arial"/>
          <w:szCs w:val="22"/>
        </w:rPr>
        <w:t>Le droit moral de l</w:t>
      </w:r>
      <w:r w:rsidR="00D91476">
        <w:rPr>
          <w:rFonts w:cs="Arial"/>
          <w:szCs w:val="22"/>
        </w:rPr>
        <w:t>’</w:t>
      </w:r>
      <w:r w:rsidRPr="00E8642C">
        <w:rPr>
          <w:rFonts w:cs="Arial"/>
          <w:szCs w:val="22"/>
        </w:rPr>
        <w:t>auteur peut restreindre le droit des tiers à réaliser une œuvre dériv</w:t>
      </w:r>
      <w:r w:rsidR="001F3AEE" w:rsidRPr="00E8642C">
        <w:rPr>
          <w:rFonts w:cs="Arial"/>
          <w:szCs w:val="22"/>
        </w:rPr>
        <w:t>ée</w:t>
      </w:r>
      <w:r w:rsidR="001F3AEE">
        <w:rPr>
          <w:rFonts w:cs="Arial"/>
          <w:szCs w:val="22"/>
        </w:rPr>
        <w:t xml:space="preserve">.  </w:t>
      </w:r>
      <w:r w:rsidR="001F3AEE" w:rsidRPr="00E8642C">
        <w:rPr>
          <w:rFonts w:cs="Arial"/>
          <w:szCs w:val="22"/>
        </w:rPr>
        <w:t>Pa</w:t>
      </w:r>
      <w:r w:rsidRPr="00E8642C">
        <w:rPr>
          <w:rFonts w:cs="Arial"/>
          <w:szCs w:val="22"/>
        </w:rPr>
        <w:t>r conséquent, même lorsqu</w:t>
      </w:r>
      <w:r w:rsidR="00D91476">
        <w:rPr>
          <w:rFonts w:cs="Arial"/>
          <w:szCs w:val="22"/>
        </w:rPr>
        <w:t>’</w:t>
      </w:r>
      <w:r w:rsidRPr="00E8642C">
        <w:rPr>
          <w:rFonts w:cs="Arial"/>
          <w:szCs w:val="22"/>
        </w:rPr>
        <w:t>une personne est, à titre contractuel ou statutaire, habilitée à modifier l</w:t>
      </w:r>
      <w:r w:rsidR="00D91476">
        <w:rPr>
          <w:rFonts w:cs="Arial"/>
          <w:szCs w:val="22"/>
        </w:rPr>
        <w:t>’</w:t>
      </w:r>
      <w:r w:rsidRPr="00E8642C">
        <w:rPr>
          <w:rFonts w:cs="Arial"/>
          <w:szCs w:val="22"/>
        </w:rPr>
        <w:t>œuvre ou à utiliser celle</w:t>
      </w:r>
      <w:r w:rsidR="00400337">
        <w:rPr>
          <w:rFonts w:cs="Arial"/>
          <w:szCs w:val="22"/>
        </w:rPr>
        <w:noBreakHyphen/>
      </w:r>
      <w:r w:rsidRPr="00E8642C">
        <w:rPr>
          <w:rFonts w:cs="Arial"/>
          <w:szCs w:val="22"/>
        </w:rPr>
        <w:t>ci pour créer une œuvre dérivée, l</w:t>
      </w:r>
      <w:r w:rsidR="00D91476">
        <w:rPr>
          <w:rFonts w:cs="Arial"/>
          <w:szCs w:val="22"/>
        </w:rPr>
        <w:t>’</w:t>
      </w:r>
      <w:r w:rsidRPr="00E8642C">
        <w:rPr>
          <w:rFonts w:cs="Arial"/>
          <w:szCs w:val="22"/>
        </w:rPr>
        <w:t>auteur peut s</w:t>
      </w:r>
      <w:r w:rsidR="00D91476">
        <w:rPr>
          <w:rFonts w:cs="Arial"/>
          <w:szCs w:val="22"/>
        </w:rPr>
        <w:t>’</w:t>
      </w:r>
      <w:r w:rsidRPr="00E8642C">
        <w:rPr>
          <w:rFonts w:cs="Arial"/>
          <w:szCs w:val="22"/>
        </w:rPr>
        <w:t>opposer à toute déformation de l</w:t>
      </w:r>
      <w:r w:rsidR="00D91476">
        <w:rPr>
          <w:rFonts w:cs="Arial"/>
          <w:szCs w:val="22"/>
        </w:rPr>
        <w:t>’</w:t>
      </w:r>
      <w:r w:rsidRPr="00E8642C">
        <w:rPr>
          <w:rFonts w:cs="Arial"/>
          <w:szCs w:val="22"/>
        </w:rPr>
        <w:t>œuvre, qui serait préjudiciable à sa réputation.</w:t>
      </w:r>
    </w:p>
    <w:p w:rsidR="009243A6" w:rsidRDefault="00DD607D" w:rsidP="009243A6">
      <w:pPr>
        <w:pStyle w:val="CommentText"/>
        <w:spacing w:after="220"/>
        <w:rPr>
          <w:rFonts w:cs="Arial"/>
          <w:szCs w:val="22"/>
          <w:vertAlign w:val="superscript"/>
        </w:rPr>
      </w:pPr>
      <w:bookmarkStart w:id="89" w:name="_Ref289689306"/>
      <w:r w:rsidRPr="00E8642C">
        <w:rPr>
          <w:rFonts w:cs="Arial"/>
          <w:szCs w:val="22"/>
        </w:rPr>
        <w:t>Certains pays ont adapté la définition des œuvres dérivées aux expressions culturelles traditionnell</w:t>
      </w:r>
      <w:r w:rsidR="001F3AEE" w:rsidRPr="00E8642C">
        <w:rPr>
          <w:rFonts w:cs="Arial"/>
          <w:szCs w:val="22"/>
        </w:rPr>
        <w:t>es</w:t>
      </w:r>
      <w:r w:rsidR="001F3AEE">
        <w:rPr>
          <w:rFonts w:cs="Arial"/>
          <w:szCs w:val="22"/>
        </w:rPr>
        <w:t xml:space="preserve">.  </w:t>
      </w:r>
      <w:r w:rsidR="001F3AEE" w:rsidRPr="00E8642C">
        <w:rPr>
          <w:rFonts w:cs="Arial"/>
          <w:szCs w:val="22"/>
        </w:rPr>
        <w:t>D</w:t>
      </w:r>
      <w:r w:rsidR="001F3AEE">
        <w:rPr>
          <w:rFonts w:cs="Arial"/>
          <w:szCs w:val="22"/>
        </w:rPr>
        <w:t>’</w:t>
      </w:r>
      <w:r w:rsidR="001F3AEE" w:rsidRPr="00E8642C">
        <w:rPr>
          <w:rFonts w:cs="Arial"/>
          <w:szCs w:val="22"/>
        </w:rPr>
        <w:t>a</w:t>
      </w:r>
      <w:r w:rsidRPr="00E8642C">
        <w:rPr>
          <w:rFonts w:cs="Arial"/>
          <w:szCs w:val="22"/>
        </w:rPr>
        <w:t xml:space="preserve">près le </w:t>
      </w:r>
      <w:r w:rsidRPr="00E8642C">
        <w:rPr>
          <w:rFonts w:cs="Arial"/>
          <w:i/>
          <w:szCs w:val="22"/>
        </w:rPr>
        <w:t>Cadre juridique régional du Pacifique pour la protection des savoirs traditionnels et des expressions de la culture</w:t>
      </w:r>
      <w:r w:rsidRPr="00E8642C">
        <w:rPr>
          <w:rFonts w:cs="Arial"/>
          <w:szCs w:val="22"/>
        </w:rPr>
        <w:t xml:space="preserve"> (2002), cette expression renvoie à toute création ou innovation intellectuelle fondée sur des savoirs traditionnels ou des expressions de la culture ou en découlant</w:t>
      </w:r>
      <w:bookmarkEnd w:id="89"/>
      <w:r w:rsidRPr="00E8642C">
        <w:rPr>
          <w:rStyle w:val="FootnoteReference"/>
          <w:rFonts w:cs="Arial"/>
          <w:szCs w:val="22"/>
        </w:rPr>
        <w:footnoteReference w:id="119"/>
      </w:r>
      <w:r w:rsidRPr="00E8642C">
        <w:rPr>
          <w:rFonts w:cs="Arial"/>
          <w:szCs w:val="22"/>
        </w:rPr>
        <w:t>.</w:t>
      </w:r>
    </w:p>
    <w:p w:rsidR="009243A6" w:rsidRDefault="00DD607D" w:rsidP="009243A6">
      <w:pPr>
        <w:pStyle w:val="Heading2"/>
        <w:keepLines/>
        <w:spacing w:after="220" w:line="240" w:lineRule="auto"/>
      </w:pPr>
      <w:bookmarkStart w:id="90" w:name="_Toc7772561"/>
      <w:r w:rsidRPr="00E8642C">
        <w:t>Offensant</w:t>
      </w:r>
      <w:bookmarkEnd w:id="90"/>
    </w:p>
    <w:p w:rsidR="009243A6" w:rsidRDefault="00DD607D" w:rsidP="009243A6">
      <w:pPr>
        <w:keepNext/>
        <w:keepLines/>
        <w:spacing w:after="220"/>
        <w:rPr>
          <w:rFonts w:cs="Arial"/>
          <w:szCs w:val="22"/>
        </w:rPr>
      </w:pPr>
      <w:r w:rsidRPr="00E8642C">
        <w:rPr>
          <w:rFonts w:cs="Arial"/>
          <w:szCs w:val="22"/>
        </w:rPr>
        <w:t>L</w:t>
      </w:r>
      <w:r w:rsidR="00D91476">
        <w:rPr>
          <w:rFonts w:cs="Arial"/>
          <w:szCs w:val="22"/>
        </w:rPr>
        <w:t>’</w:t>
      </w:r>
      <w:r w:rsidRPr="00E8642C">
        <w:rPr>
          <w:rFonts w:cs="Arial"/>
          <w:szCs w:val="22"/>
        </w:rPr>
        <w:t xml:space="preserve">adjectif “offensant” vise ce qui provoque mécontentement, colère ou </w:t>
      </w:r>
      <w:proofErr w:type="gramStart"/>
      <w:r w:rsidRPr="00E8642C">
        <w:rPr>
          <w:rFonts w:cs="Arial"/>
          <w:szCs w:val="22"/>
        </w:rPr>
        <w:t>ressentiment;  contraire</w:t>
      </w:r>
      <w:proofErr w:type="gramEnd"/>
      <w:r w:rsidRPr="00E8642C">
        <w:rPr>
          <w:rFonts w:cs="Arial"/>
          <w:szCs w:val="22"/>
        </w:rPr>
        <w:t xml:space="preserve"> à ce que l</w:t>
      </w:r>
      <w:r w:rsidR="00D91476">
        <w:rPr>
          <w:rFonts w:cs="Arial"/>
          <w:szCs w:val="22"/>
        </w:rPr>
        <w:t>’</w:t>
      </w:r>
      <w:r w:rsidRPr="00E8642C">
        <w:rPr>
          <w:rFonts w:cs="Arial"/>
          <w:szCs w:val="22"/>
        </w:rPr>
        <w:t>on considère habituellement comme décent ou moral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w:t>
      </w:r>
    </w:p>
    <w:p w:rsidR="009243A6" w:rsidRDefault="00DD607D" w:rsidP="009243A6">
      <w:pPr>
        <w:pStyle w:val="Heading2"/>
        <w:spacing w:after="220" w:line="240" w:lineRule="auto"/>
      </w:pPr>
      <w:bookmarkStart w:id="91" w:name="_Toc7772562"/>
      <w:r w:rsidRPr="00E8642C">
        <w:t>Patrimoine (des peuples autochtones)</w:t>
      </w:r>
      <w:bookmarkEnd w:id="91"/>
    </w:p>
    <w:p w:rsidR="009243A6" w:rsidRDefault="00DD607D" w:rsidP="009243A6">
      <w:pPr>
        <w:spacing w:after="220"/>
        <w:rPr>
          <w:rFonts w:cs="Arial"/>
          <w:szCs w:val="22"/>
        </w:rPr>
      </w:pPr>
      <w:r w:rsidRPr="00E8642C">
        <w:rPr>
          <w:rFonts w:cs="Arial"/>
          <w:szCs w:val="22"/>
        </w:rPr>
        <w:t>Le “patrimoine des peuples autochtones” (et d</w:t>
      </w:r>
      <w:r w:rsidR="00D91476">
        <w:rPr>
          <w:rFonts w:cs="Arial"/>
          <w:szCs w:val="22"/>
        </w:rPr>
        <w:t>’</w:t>
      </w:r>
      <w:r w:rsidRPr="00E8642C">
        <w:rPr>
          <w:rFonts w:cs="Arial"/>
          <w:szCs w:val="22"/>
        </w:rPr>
        <w:t>autres peuples) ou le “patrimoine culturel autochtone” renvoie pour l</w:t>
      </w:r>
      <w:r w:rsidR="00D91476">
        <w:rPr>
          <w:rFonts w:cs="Arial"/>
          <w:szCs w:val="22"/>
        </w:rPr>
        <w:t>’</w:t>
      </w:r>
      <w:r w:rsidRPr="00E8642C">
        <w:rPr>
          <w:rFonts w:cs="Arial"/>
          <w:szCs w:val="22"/>
        </w:rPr>
        <w:t xml:space="preserve">essentiel aux éléments décrits dans le </w:t>
      </w:r>
      <w:r w:rsidRPr="00E8642C">
        <w:rPr>
          <w:rFonts w:cs="Arial"/>
          <w:i/>
          <w:szCs w:val="22"/>
        </w:rPr>
        <w:t>projet de principes et directives pour la protection du patrimoine de peuples autochtones</w:t>
      </w:r>
      <w:r w:rsidRPr="00E8642C">
        <w:rPr>
          <w:rFonts w:cs="Arial"/>
          <w:szCs w:val="22"/>
        </w:rPr>
        <w:t xml:space="preserve"> (2000), mis au point par la présidente</w:t>
      </w:r>
      <w:r w:rsidR="00400337">
        <w:rPr>
          <w:rFonts w:cs="Arial"/>
          <w:szCs w:val="22"/>
        </w:rPr>
        <w:noBreakHyphen/>
      </w:r>
      <w:r w:rsidRPr="00E8642C">
        <w:rPr>
          <w:rFonts w:cs="Arial"/>
          <w:szCs w:val="22"/>
        </w:rPr>
        <w:t>rapporteuse de la Sous</w:t>
      </w:r>
      <w:r w:rsidR="00400337">
        <w:rPr>
          <w:rFonts w:cs="Arial"/>
          <w:szCs w:val="22"/>
        </w:rPr>
        <w:noBreakHyphen/>
      </w:r>
      <w:r w:rsidRPr="00E8642C">
        <w:rPr>
          <w:rFonts w:cs="Arial"/>
          <w:szCs w:val="22"/>
        </w:rPr>
        <w:t>commission de la promotion et de la protection des droits de l</w:t>
      </w:r>
      <w:r w:rsidR="00D91476">
        <w:rPr>
          <w:rFonts w:cs="Arial"/>
          <w:szCs w:val="22"/>
        </w:rPr>
        <w:t>’</w:t>
      </w:r>
      <w:r w:rsidRPr="00E8642C">
        <w:rPr>
          <w:rFonts w:cs="Arial"/>
          <w:szCs w:val="22"/>
        </w:rPr>
        <w:t>homme, Mme Erica</w:t>
      </w:r>
      <w:r w:rsidR="00400337">
        <w:rPr>
          <w:rFonts w:cs="Arial"/>
          <w:szCs w:val="22"/>
        </w:rPr>
        <w:noBreakHyphen/>
      </w:r>
      <w:r w:rsidRPr="00E8642C">
        <w:rPr>
          <w:rFonts w:cs="Arial"/>
          <w:szCs w:val="22"/>
        </w:rPr>
        <w:t>Irene </w:t>
      </w:r>
      <w:proofErr w:type="spellStart"/>
      <w:r w:rsidRPr="00E8642C">
        <w:rPr>
          <w:rFonts w:cs="Arial"/>
          <w:szCs w:val="22"/>
        </w:rPr>
        <w:t>Da</w:t>
      </w:r>
      <w:r w:rsidR="001F3AEE" w:rsidRPr="00E8642C">
        <w:rPr>
          <w:rFonts w:cs="Arial"/>
          <w:szCs w:val="22"/>
        </w:rPr>
        <w:t>es</w:t>
      </w:r>
      <w:proofErr w:type="spellEnd"/>
      <w:r w:rsidR="001F3AEE">
        <w:rPr>
          <w:rFonts w:cs="Arial"/>
          <w:szCs w:val="22"/>
        </w:rPr>
        <w:t xml:space="preserve">.  </w:t>
      </w:r>
      <w:r w:rsidR="001F3AEE" w:rsidRPr="00E8642C">
        <w:rPr>
          <w:rFonts w:cs="Arial"/>
          <w:szCs w:val="22"/>
        </w:rPr>
        <w:t>On</w:t>
      </w:r>
      <w:r w:rsidRPr="00E8642C">
        <w:rPr>
          <w:rFonts w:cs="Arial"/>
          <w:szCs w:val="22"/>
        </w:rPr>
        <w:t xml:space="preserve"> trouvera des définitions dans les paragraphes 12, 13 et 14 des Principes directeurs.</w:t>
      </w:r>
    </w:p>
    <w:p w:rsidR="009243A6" w:rsidRDefault="00DD607D" w:rsidP="009243A6">
      <w:pPr>
        <w:spacing w:after="220"/>
        <w:rPr>
          <w:rFonts w:cs="Arial"/>
          <w:szCs w:val="22"/>
        </w:rPr>
      </w:pPr>
      <w:r w:rsidRPr="00E8642C">
        <w:rPr>
          <w:rFonts w:cs="Arial"/>
          <w:szCs w:val="22"/>
        </w:rPr>
        <w:t>Le paragraphe 12 prévoit ce qui suit</w:t>
      </w:r>
      <w:r w:rsidR="00D91476">
        <w:rPr>
          <w:rFonts w:cs="Arial"/>
          <w:szCs w:val="22"/>
        </w:rPr>
        <w:t> :</w:t>
      </w:r>
      <w:r w:rsidRPr="00E8642C">
        <w:rPr>
          <w:rFonts w:cs="Arial"/>
          <w:szCs w:val="22"/>
        </w:rPr>
        <w:t xml:space="preserve"> “Le patrimoine des peuples autochtones [est collectif et] se compose de tous les objets, sites et connaissances dont la nature ou l</w:t>
      </w:r>
      <w:r w:rsidR="00D91476">
        <w:rPr>
          <w:rFonts w:cs="Arial"/>
          <w:szCs w:val="22"/>
        </w:rPr>
        <w:t>’</w:t>
      </w:r>
      <w:r w:rsidRPr="00E8642C">
        <w:rPr>
          <w:rFonts w:cs="Arial"/>
          <w:szCs w:val="22"/>
        </w:rPr>
        <w:t>utilisation a été transmise de génération en génération et qui sont considérés comme appartenant à un peuple, à un clan ou à un territoire particuli</w:t>
      </w:r>
      <w:r w:rsidR="001F3AEE" w:rsidRPr="00E8642C">
        <w:rPr>
          <w:rFonts w:cs="Arial"/>
          <w:szCs w:val="22"/>
        </w:rPr>
        <w:t>er</w:t>
      </w:r>
      <w:r w:rsidR="001F3AEE">
        <w:rPr>
          <w:rFonts w:cs="Arial"/>
          <w:szCs w:val="22"/>
        </w:rPr>
        <w:t xml:space="preserve">.  </w:t>
      </w:r>
      <w:r w:rsidR="001F3AEE" w:rsidRPr="00E8642C">
        <w:rPr>
          <w:rFonts w:cs="Arial"/>
          <w:szCs w:val="22"/>
        </w:rPr>
        <w:t>Le</w:t>
      </w:r>
      <w:r w:rsidRPr="00E8642C">
        <w:rPr>
          <w:rFonts w:cs="Arial"/>
          <w:szCs w:val="22"/>
        </w:rPr>
        <w:t> patrimoine d</w:t>
      </w:r>
      <w:r w:rsidR="00D91476">
        <w:rPr>
          <w:rFonts w:cs="Arial"/>
          <w:szCs w:val="22"/>
        </w:rPr>
        <w:t>’</w:t>
      </w:r>
      <w:r w:rsidRPr="00E8642C">
        <w:rPr>
          <w:rFonts w:cs="Arial"/>
          <w:szCs w:val="22"/>
        </w:rPr>
        <w:t>un peuple autochtone comprend aussi les objets, les connaissances et les œuvres littéraires ou artistiques de ce peuple susceptibles d</w:t>
      </w:r>
      <w:r w:rsidR="00D91476">
        <w:rPr>
          <w:rFonts w:cs="Arial"/>
          <w:szCs w:val="22"/>
        </w:rPr>
        <w:t>’</w:t>
      </w:r>
      <w:r w:rsidRPr="00E8642C">
        <w:rPr>
          <w:rFonts w:cs="Arial"/>
          <w:szCs w:val="22"/>
        </w:rPr>
        <w:t>être créés ou redécouverts à l</w:t>
      </w:r>
      <w:r w:rsidR="00D91476">
        <w:rPr>
          <w:rFonts w:cs="Arial"/>
          <w:szCs w:val="22"/>
        </w:rPr>
        <w:t>’</w:t>
      </w:r>
      <w:r w:rsidRPr="00E8642C">
        <w:rPr>
          <w:rFonts w:cs="Arial"/>
          <w:szCs w:val="22"/>
        </w:rPr>
        <w:t>avenir à partir de son patrimoine.”  Le paragraphe 13 dispose ce qui suit</w:t>
      </w:r>
      <w:r w:rsidR="00D91476">
        <w:rPr>
          <w:rFonts w:cs="Arial"/>
          <w:szCs w:val="22"/>
        </w:rPr>
        <w:t> :</w:t>
      </w:r>
      <w:r w:rsidRPr="00E8642C">
        <w:rPr>
          <w:rFonts w:cs="Arial"/>
          <w:szCs w:val="22"/>
        </w:rPr>
        <w:t xml:space="preserve"> “Le patrimoine des peuples autochtones comprend tous les biens culturels meubles tels que définis par les conventions pertinentes de l</w:t>
      </w:r>
      <w:r w:rsidR="00D91476">
        <w:rPr>
          <w:rFonts w:cs="Arial"/>
          <w:szCs w:val="22"/>
        </w:rPr>
        <w:t>’</w:t>
      </w:r>
      <w:r w:rsidRPr="00E8642C">
        <w:rPr>
          <w:rFonts w:cs="Arial"/>
          <w:szCs w:val="22"/>
        </w:rPr>
        <w:t xml:space="preserve">UNESCO;  toutes les formes de création littéraire et artistique telles que la musique, la danse, les chants, les cérémonies, ainsi que les symboles et graphismes, les narrations et la poésie et toutes les formes de documentation appartenant aux peuples autochtones ou générées par eux;  toutes les formes de connaissances scientifiques, agricoles, techniques, médicinales, liées à la diversité biologique et écologique, </w:t>
      </w:r>
      <w:r w:rsidR="00D91476">
        <w:rPr>
          <w:rFonts w:cs="Arial"/>
          <w:szCs w:val="22"/>
        </w:rPr>
        <w:t>y compris</w:t>
      </w:r>
      <w:r w:rsidRPr="00E8642C">
        <w:rPr>
          <w:rFonts w:cs="Arial"/>
          <w:szCs w:val="22"/>
        </w:rPr>
        <w:t xml:space="preserve"> les innovations fondées sur ces connaissances, les cultigènes, les remèdes, les médicaments et l</w:t>
      </w:r>
      <w:r w:rsidR="00D91476">
        <w:rPr>
          <w:rFonts w:cs="Arial"/>
          <w:szCs w:val="22"/>
        </w:rPr>
        <w:t>’</w:t>
      </w:r>
      <w:r w:rsidRPr="00E8642C">
        <w:rPr>
          <w:rFonts w:cs="Arial"/>
          <w:szCs w:val="22"/>
        </w:rPr>
        <w:t>utilisation de la flore et de la faune;  les restes humains;  les biens culturels immeubles tels que les sites sacrés revêtant une importance culturelle, liée à la nature et historique, et les lieux de sépulture.”  Le paragraphe 14 prévoit ce qui suit</w:t>
      </w:r>
      <w:r w:rsidR="00D91476">
        <w:rPr>
          <w:rFonts w:cs="Arial"/>
          <w:szCs w:val="22"/>
        </w:rPr>
        <w:t> :</w:t>
      </w:r>
      <w:r w:rsidRPr="00E8642C">
        <w:rPr>
          <w:rFonts w:cs="Arial"/>
          <w:szCs w:val="22"/>
        </w:rPr>
        <w:t xml:space="preserve"> “Chaque élément du patrimoine des peuples autochtones a des propriétaires</w:t>
      </w:r>
      <w:r w:rsidR="00D91476">
        <w:rPr>
          <w:rFonts w:cs="Arial"/>
          <w:szCs w:val="22"/>
        </w:rPr>
        <w:t> :</w:t>
      </w:r>
      <w:r w:rsidRPr="00E8642C">
        <w:rPr>
          <w:rFonts w:cs="Arial"/>
          <w:szCs w:val="22"/>
        </w:rPr>
        <w:t xml:space="preserve"> soit l</w:t>
      </w:r>
      <w:r w:rsidR="00D91476">
        <w:rPr>
          <w:rFonts w:cs="Arial"/>
          <w:szCs w:val="22"/>
        </w:rPr>
        <w:t>’</w:t>
      </w:r>
      <w:r w:rsidRPr="00E8642C">
        <w:rPr>
          <w:rFonts w:cs="Arial"/>
          <w:szCs w:val="22"/>
        </w:rPr>
        <w:t>ensemble du peuple, soit une famille ou un clan donné, soit une association ou une communauté, soit des individus spécialement formés ou initiés pour en être les gardie</w:t>
      </w:r>
      <w:r w:rsidR="001F3AEE" w:rsidRPr="00E8642C">
        <w:rPr>
          <w:rFonts w:cs="Arial"/>
          <w:szCs w:val="22"/>
        </w:rPr>
        <w:t>ns</w:t>
      </w:r>
      <w:r w:rsidR="001F3AEE">
        <w:rPr>
          <w:rFonts w:cs="Arial"/>
          <w:szCs w:val="22"/>
        </w:rPr>
        <w:t xml:space="preserve">.  </w:t>
      </w:r>
      <w:r w:rsidR="001F3AEE" w:rsidRPr="00E8642C">
        <w:rPr>
          <w:rFonts w:cs="Arial"/>
          <w:szCs w:val="22"/>
        </w:rPr>
        <w:t>Le</w:t>
      </w:r>
      <w:r w:rsidRPr="00E8642C">
        <w:rPr>
          <w:rFonts w:cs="Arial"/>
          <w:szCs w:val="22"/>
        </w:rPr>
        <w:t>s propriétaires du patrimoine doivent être déterminés conformément aux coutumes, lois et pratiques des peuples autochtones.”  Aux fins de ces directives, on entend par “patrimoine culturel autochtone” les créations, manifestations et productions tangibles ou intangibles consistant en éléments caractéristiques [de la culture d</w:t>
      </w:r>
      <w:r w:rsidR="00D91476">
        <w:rPr>
          <w:rFonts w:cs="Arial"/>
          <w:szCs w:val="22"/>
        </w:rPr>
        <w:t>’</w:t>
      </w:r>
      <w:r w:rsidRPr="00E8642C">
        <w:rPr>
          <w:rFonts w:cs="Arial"/>
          <w:szCs w:val="22"/>
        </w:rPr>
        <w:t>un peuple autochtone, mis au point et maintenus par ce peuple] ou par des particuliers autochtones si la création reflète les aspirations littéraires, artistiques ou scientifiques traditionnelles du peuple en questi</w:t>
      </w:r>
      <w:r w:rsidR="001F3AEE" w:rsidRPr="00E8642C">
        <w:rPr>
          <w:rFonts w:cs="Arial"/>
          <w:szCs w:val="22"/>
        </w:rPr>
        <w:t>on</w:t>
      </w:r>
      <w:r w:rsidR="001F3AEE">
        <w:rPr>
          <w:rFonts w:cs="Arial"/>
          <w:szCs w:val="22"/>
        </w:rPr>
        <w:t xml:space="preserve">.  </w:t>
      </w:r>
      <w:r w:rsidR="001F3AEE" w:rsidRPr="00E8642C">
        <w:rPr>
          <w:rFonts w:cs="Arial"/>
          <w:szCs w:val="22"/>
        </w:rPr>
        <w:t>Ce</w:t>
      </w:r>
      <w:r w:rsidRPr="00E8642C">
        <w:rPr>
          <w:rFonts w:cs="Arial"/>
          <w:szCs w:val="22"/>
        </w:rPr>
        <w:t>s créations, manifestations et productions comprennent les pratiques, représentations, expressions – ainsi que les instruments, objets, œuvres artisanales, sites et espaces culturels qui leur sont associés – que les peuples et les particuliers autochtones reconnaissent comme faisant partie de leur patrimoine cultur</w:t>
      </w:r>
      <w:r w:rsidR="001F3AEE" w:rsidRPr="00E8642C">
        <w:rPr>
          <w:rFonts w:cs="Arial"/>
          <w:szCs w:val="22"/>
        </w:rPr>
        <w:t>el</w:t>
      </w:r>
      <w:r w:rsidR="001F3AEE">
        <w:rPr>
          <w:rFonts w:cs="Arial"/>
          <w:szCs w:val="22"/>
        </w:rPr>
        <w:t xml:space="preserve">.  </w:t>
      </w:r>
      <w:r w:rsidR="001F3AEE" w:rsidRPr="00E8642C">
        <w:rPr>
          <w:rFonts w:cs="Arial"/>
          <w:szCs w:val="22"/>
        </w:rPr>
        <w:t>El</w:t>
      </w:r>
      <w:r w:rsidRPr="00E8642C">
        <w:rPr>
          <w:rFonts w:cs="Arial"/>
          <w:szCs w:val="22"/>
        </w:rPr>
        <w:t>les comprennent en outre la connaissance qui résulte de l</w:t>
      </w:r>
      <w:r w:rsidR="00D91476">
        <w:rPr>
          <w:rFonts w:cs="Arial"/>
          <w:szCs w:val="22"/>
        </w:rPr>
        <w:t>’</w:t>
      </w:r>
      <w:r w:rsidRPr="00E8642C">
        <w:rPr>
          <w:rFonts w:cs="Arial"/>
          <w:szCs w:val="22"/>
        </w:rPr>
        <w:t>activité intellectuelle et de la compréhension intuitive dans un contexte traditionnel, et recouvrent les savoir</w:t>
      </w:r>
      <w:r w:rsidR="00400337">
        <w:rPr>
          <w:rFonts w:cs="Arial"/>
          <w:szCs w:val="22"/>
        </w:rPr>
        <w:noBreakHyphen/>
      </w:r>
      <w:r w:rsidRPr="00E8642C">
        <w:rPr>
          <w:rFonts w:cs="Arial"/>
          <w:szCs w:val="22"/>
        </w:rPr>
        <w:t>faire, compétences, innovations, pratiques et enseignements qui font partie des systèmes traditionnels de connaissances, ainsi que le savoir qui s</w:t>
      </w:r>
      <w:r w:rsidR="00D91476">
        <w:rPr>
          <w:rFonts w:cs="Arial"/>
          <w:szCs w:val="22"/>
        </w:rPr>
        <w:t>’</w:t>
      </w:r>
      <w:r w:rsidRPr="00E8642C">
        <w:rPr>
          <w:rFonts w:cs="Arial"/>
          <w:szCs w:val="22"/>
        </w:rPr>
        <w:t>incarne dans le style de vie traditionnel d</w:t>
      </w:r>
      <w:r w:rsidR="00D91476">
        <w:rPr>
          <w:rFonts w:cs="Arial"/>
          <w:szCs w:val="22"/>
        </w:rPr>
        <w:t>’</w:t>
      </w:r>
      <w:r w:rsidRPr="00E8642C">
        <w:rPr>
          <w:rFonts w:cs="Arial"/>
          <w:szCs w:val="22"/>
        </w:rPr>
        <w:t>un peuple autochtone ou qui est contenu dans des systèmes de connaissances codifiés transmis à travers les génératio</w:t>
      </w:r>
      <w:r w:rsidR="001F3AEE" w:rsidRPr="00E8642C">
        <w:rPr>
          <w:rFonts w:cs="Arial"/>
          <w:szCs w:val="22"/>
        </w:rPr>
        <w:t>ns</w:t>
      </w:r>
      <w:r w:rsidR="001F3AEE">
        <w:rPr>
          <w:rFonts w:cs="Arial"/>
          <w:szCs w:val="22"/>
        </w:rPr>
        <w:t xml:space="preserve">.  </w:t>
      </w:r>
      <w:r w:rsidR="001F3AEE" w:rsidRPr="00E8642C">
        <w:rPr>
          <w:rFonts w:cs="Arial"/>
          <w:szCs w:val="22"/>
        </w:rPr>
        <w:t>Le</w:t>
      </w:r>
      <w:r w:rsidRPr="00E8642C">
        <w:rPr>
          <w:rFonts w:cs="Arial"/>
          <w:szCs w:val="22"/>
        </w:rPr>
        <w:t xml:space="preserve"> patrimoine culturel, transmis de génération en génération, est constamment recréé par les peuples autochtones en fonction des modifications de leur environnement, de leur interaction avec la nature et de leur histoire, et leur donne un sentiment d</w:t>
      </w:r>
      <w:r w:rsidR="00D91476">
        <w:rPr>
          <w:rFonts w:cs="Arial"/>
          <w:szCs w:val="22"/>
        </w:rPr>
        <w:t>’</w:t>
      </w:r>
      <w:r w:rsidRPr="00E8642C">
        <w:rPr>
          <w:rFonts w:cs="Arial"/>
          <w:szCs w:val="22"/>
        </w:rPr>
        <w:t>identité et de continuité</w:t>
      </w:r>
      <w:r w:rsidRPr="00E8642C">
        <w:rPr>
          <w:rStyle w:val="FootnoteReference"/>
          <w:rFonts w:cs="Arial"/>
          <w:szCs w:val="22"/>
        </w:rPr>
        <w:footnoteReference w:id="120"/>
      </w:r>
      <w:r w:rsidRPr="00E8642C">
        <w:rPr>
          <w:rFonts w:cs="Arial"/>
          <w:szCs w:val="22"/>
        </w:rPr>
        <w:t>.</w:t>
      </w:r>
    </w:p>
    <w:p w:rsidR="009243A6" w:rsidRDefault="00DD607D" w:rsidP="009243A6">
      <w:pPr>
        <w:pStyle w:val="Heading2"/>
        <w:spacing w:after="220" w:line="240" w:lineRule="auto"/>
      </w:pPr>
      <w:bookmarkStart w:id="92" w:name="_Toc7772563"/>
      <w:r w:rsidRPr="00E8642C">
        <w:t>Patrimoine culturel</w:t>
      </w:r>
      <w:bookmarkEnd w:id="92"/>
    </w:p>
    <w:p w:rsidR="00DD607D" w:rsidRPr="00E8642C" w:rsidRDefault="00DD607D" w:rsidP="009243A6">
      <w:pPr>
        <w:pStyle w:val="FootnoteText"/>
        <w:spacing w:after="220"/>
        <w:ind w:left="0" w:firstLine="0"/>
        <w:rPr>
          <w:rFonts w:cs="Arial"/>
          <w:szCs w:val="22"/>
        </w:rPr>
      </w:pPr>
      <w:r w:rsidRPr="00E8642C">
        <w:rPr>
          <w:rFonts w:cs="Arial"/>
          <w:snapToGrid w:val="0"/>
          <w:szCs w:val="22"/>
        </w:rPr>
        <w:t xml:space="preserve">Aux fins de la </w:t>
      </w:r>
      <w:r w:rsidRPr="00E8642C">
        <w:rPr>
          <w:rFonts w:cs="Arial"/>
          <w:i/>
          <w:snapToGrid w:val="0"/>
          <w:szCs w:val="22"/>
        </w:rPr>
        <w:t>Convention concernant la protection du patrimoine mondial culturel et naturel</w:t>
      </w:r>
      <w:r w:rsidRPr="00E8642C">
        <w:rPr>
          <w:rFonts w:cs="Arial"/>
          <w:snapToGrid w:val="0"/>
          <w:szCs w:val="22"/>
        </w:rPr>
        <w:t xml:space="preserve"> (1972) </w:t>
      </w:r>
      <w:r w:rsidRPr="00E8642C">
        <w:rPr>
          <w:rFonts w:cs="Arial"/>
          <w:szCs w:val="22"/>
        </w:rPr>
        <w:t>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éducation, la science et la culture (UNESCO)</w:t>
      </w:r>
      <w:r w:rsidRPr="00E8642C">
        <w:rPr>
          <w:rFonts w:cs="Arial"/>
          <w:snapToGrid w:val="0"/>
          <w:szCs w:val="22"/>
        </w:rPr>
        <w:t>, sont considérés comme patrimoine culturel, ainsi qu</w:t>
      </w:r>
      <w:r w:rsidR="00D91476">
        <w:rPr>
          <w:rFonts w:cs="Arial"/>
          <w:snapToGrid w:val="0"/>
          <w:szCs w:val="22"/>
        </w:rPr>
        <w:t>’</w:t>
      </w:r>
      <w:r w:rsidRPr="00E8642C">
        <w:rPr>
          <w:rFonts w:cs="Arial"/>
          <w:snapToGrid w:val="0"/>
          <w:szCs w:val="22"/>
        </w:rPr>
        <w:t>il est indiqué dans l</w:t>
      </w:r>
      <w:r w:rsidR="00D91476">
        <w:rPr>
          <w:rFonts w:cs="Arial"/>
          <w:snapToGrid w:val="0"/>
          <w:szCs w:val="22"/>
        </w:rPr>
        <w:t>’</w:t>
      </w:r>
      <w:r w:rsidRPr="00E8642C">
        <w:rPr>
          <w:rFonts w:cs="Arial"/>
          <w:snapToGrid w:val="0"/>
          <w:szCs w:val="22"/>
        </w:rPr>
        <w:t>article premier,</w:t>
      </w:r>
    </w:p>
    <w:p w:rsidR="00DD607D" w:rsidRPr="00E8642C" w:rsidRDefault="00DD607D" w:rsidP="00EF6794">
      <w:pPr>
        <w:pStyle w:val="FootnoteText"/>
        <w:ind w:firstLine="0"/>
        <w:rPr>
          <w:rFonts w:cs="Arial"/>
          <w:i/>
          <w:szCs w:val="22"/>
        </w:rPr>
      </w:pPr>
      <w:r w:rsidRPr="00E8642C">
        <w:rPr>
          <w:rFonts w:cs="Arial"/>
          <w:i/>
          <w:szCs w:val="22"/>
        </w:rPr>
        <w:t>a)</w:t>
      </w:r>
      <w:r w:rsidRPr="00E8642C">
        <w:rPr>
          <w:rFonts w:cs="Arial"/>
          <w:i/>
          <w:szCs w:val="22"/>
        </w:rPr>
        <w:tab/>
        <w:t>les monuments</w:t>
      </w:r>
      <w:r w:rsidR="00D91476">
        <w:rPr>
          <w:rFonts w:cs="Arial"/>
          <w:i/>
          <w:szCs w:val="22"/>
        </w:rPr>
        <w:t> :</w:t>
      </w:r>
      <w:r w:rsidRPr="00E8642C">
        <w:rPr>
          <w:rFonts w:cs="Arial"/>
          <w:i/>
          <w:szCs w:val="22"/>
        </w:rPr>
        <w:t xml:space="preserve"> œuvres architecturales, de sculpture ou de peinture monumentales, éléments ou structures de caractère archéologique, inscriptions, grottes et groupes d</w:t>
      </w:r>
      <w:r w:rsidR="00D91476">
        <w:rPr>
          <w:rFonts w:cs="Arial"/>
          <w:i/>
          <w:szCs w:val="22"/>
        </w:rPr>
        <w:t>’</w:t>
      </w:r>
      <w:r w:rsidRPr="00E8642C">
        <w:rPr>
          <w:rFonts w:cs="Arial"/>
          <w:i/>
          <w:szCs w:val="22"/>
        </w:rPr>
        <w:t>éléments, qui ont une valeur universelle exceptionnelle du point de vue de l</w:t>
      </w:r>
      <w:r w:rsidR="00D91476">
        <w:rPr>
          <w:rFonts w:cs="Arial"/>
          <w:i/>
          <w:szCs w:val="22"/>
        </w:rPr>
        <w:t>’</w:t>
      </w:r>
      <w:r w:rsidRPr="00E8642C">
        <w:rPr>
          <w:rFonts w:cs="Arial"/>
          <w:i/>
          <w:szCs w:val="22"/>
        </w:rPr>
        <w:t>histoire, de l</w:t>
      </w:r>
      <w:r w:rsidR="00D91476">
        <w:rPr>
          <w:rFonts w:cs="Arial"/>
          <w:i/>
          <w:szCs w:val="22"/>
        </w:rPr>
        <w:t>’</w:t>
      </w:r>
      <w:r w:rsidRPr="00E8642C">
        <w:rPr>
          <w:rFonts w:cs="Arial"/>
          <w:i/>
          <w:szCs w:val="22"/>
        </w:rPr>
        <w:t>art ou de la science;</w:t>
      </w:r>
    </w:p>
    <w:p w:rsidR="00DD607D" w:rsidRPr="00E8642C" w:rsidRDefault="00DD607D" w:rsidP="00EF6794">
      <w:pPr>
        <w:pStyle w:val="FootnoteText"/>
        <w:ind w:firstLine="0"/>
        <w:rPr>
          <w:rFonts w:cs="Arial"/>
          <w:i/>
          <w:szCs w:val="22"/>
        </w:rPr>
      </w:pPr>
      <w:r w:rsidRPr="00E8642C">
        <w:rPr>
          <w:rFonts w:cs="Arial"/>
          <w:i/>
          <w:szCs w:val="22"/>
        </w:rPr>
        <w:t>b)</w:t>
      </w:r>
      <w:r w:rsidRPr="00E8642C">
        <w:rPr>
          <w:rFonts w:cs="Arial"/>
          <w:i/>
          <w:szCs w:val="22"/>
        </w:rPr>
        <w:tab/>
        <w:t>les ensembles</w:t>
      </w:r>
      <w:r w:rsidR="00D91476">
        <w:rPr>
          <w:rFonts w:cs="Arial"/>
          <w:i/>
          <w:szCs w:val="22"/>
        </w:rPr>
        <w:t> :</w:t>
      </w:r>
      <w:r w:rsidRPr="00E8642C">
        <w:rPr>
          <w:rFonts w:cs="Arial"/>
          <w:i/>
          <w:szCs w:val="22"/>
        </w:rPr>
        <w:t xml:space="preserve"> groupes de constructions isolées ou réunies, qui, en raison de leur architecture, de leur unité, ou de leur intégration dans le paysage, ont une valeur universelle exceptionnelle du point de vue de l</w:t>
      </w:r>
      <w:r w:rsidR="00D91476">
        <w:rPr>
          <w:rFonts w:cs="Arial"/>
          <w:i/>
          <w:szCs w:val="22"/>
        </w:rPr>
        <w:t>’</w:t>
      </w:r>
      <w:r w:rsidRPr="00E8642C">
        <w:rPr>
          <w:rFonts w:cs="Arial"/>
          <w:i/>
          <w:szCs w:val="22"/>
        </w:rPr>
        <w:t>histoire, de l</w:t>
      </w:r>
      <w:r w:rsidR="00D91476">
        <w:rPr>
          <w:rFonts w:cs="Arial"/>
          <w:i/>
          <w:szCs w:val="22"/>
        </w:rPr>
        <w:t>’</w:t>
      </w:r>
      <w:r w:rsidRPr="00E8642C">
        <w:rPr>
          <w:rFonts w:cs="Arial"/>
          <w:i/>
          <w:szCs w:val="22"/>
        </w:rPr>
        <w:t>art ou de la science;</w:t>
      </w:r>
    </w:p>
    <w:p w:rsidR="00AD541F" w:rsidRDefault="00DD607D" w:rsidP="00AD541F">
      <w:pPr>
        <w:pStyle w:val="FootnoteText"/>
        <w:spacing w:after="220"/>
        <w:ind w:firstLine="0"/>
        <w:rPr>
          <w:rFonts w:cs="Arial"/>
          <w:i/>
          <w:szCs w:val="22"/>
        </w:rPr>
      </w:pPr>
      <w:r w:rsidRPr="00E8642C">
        <w:rPr>
          <w:rFonts w:cs="Arial"/>
          <w:i/>
          <w:szCs w:val="22"/>
        </w:rPr>
        <w:t>c)</w:t>
      </w:r>
      <w:r w:rsidRPr="00E8642C">
        <w:rPr>
          <w:rFonts w:cs="Arial"/>
          <w:i/>
          <w:szCs w:val="22"/>
        </w:rPr>
        <w:tab/>
        <w:t>les sites</w:t>
      </w:r>
      <w:r w:rsidR="00D91476">
        <w:rPr>
          <w:rFonts w:cs="Arial"/>
          <w:i/>
          <w:szCs w:val="22"/>
        </w:rPr>
        <w:t> :</w:t>
      </w:r>
      <w:r w:rsidRPr="00E8642C">
        <w:rPr>
          <w:rFonts w:cs="Arial"/>
          <w:i/>
          <w:szCs w:val="22"/>
        </w:rPr>
        <w:t xml:space="preserve"> œuvres de l</w:t>
      </w:r>
      <w:r w:rsidR="00D91476">
        <w:rPr>
          <w:rFonts w:cs="Arial"/>
          <w:i/>
          <w:szCs w:val="22"/>
        </w:rPr>
        <w:t>’</w:t>
      </w:r>
      <w:r w:rsidRPr="00E8642C">
        <w:rPr>
          <w:rFonts w:cs="Arial"/>
          <w:i/>
          <w:szCs w:val="22"/>
        </w:rPr>
        <w:t>homme ou œuvres conjuguées de l</w:t>
      </w:r>
      <w:r w:rsidR="00D91476">
        <w:rPr>
          <w:rFonts w:cs="Arial"/>
          <w:i/>
          <w:szCs w:val="22"/>
        </w:rPr>
        <w:t>’</w:t>
      </w:r>
      <w:r w:rsidRPr="00E8642C">
        <w:rPr>
          <w:rFonts w:cs="Arial"/>
          <w:i/>
          <w:szCs w:val="22"/>
        </w:rPr>
        <w:t xml:space="preserve">homme et de la nature, ainsi que les zones </w:t>
      </w:r>
      <w:r w:rsidR="00D91476">
        <w:rPr>
          <w:rFonts w:cs="Arial"/>
          <w:i/>
          <w:szCs w:val="22"/>
        </w:rPr>
        <w:t>y compris</w:t>
      </w:r>
      <w:r w:rsidRPr="00E8642C">
        <w:rPr>
          <w:rFonts w:cs="Arial"/>
          <w:i/>
          <w:szCs w:val="22"/>
        </w:rPr>
        <w:t xml:space="preserve"> les sites archéologiques qui ont une valeur universelle exceptionnelle du point de vue historique, esthétique, ethnologique ou anthropologique.</w:t>
      </w:r>
    </w:p>
    <w:p w:rsidR="00AD541F" w:rsidRDefault="00DD607D" w:rsidP="00AD541F">
      <w:pPr>
        <w:pStyle w:val="Heading2"/>
        <w:spacing w:after="220" w:line="240" w:lineRule="auto"/>
      </w:pPr>
      <w:bookmarkStart w:id="93" w:name="_Toc7772564"/>
      <w:r w:rsidRPr="00E8642C">
        <w:t>Patrimoine culturel immatériel</w:t>
      </w:r>
      <w:bookmarkEnd w:id="93"/>
    </w:p>
    <w:p w:rsidR="00AD541F" w:rsidRDefault="00DD607D" w:rsidP="00AD541F">
      <w:pPr>
        <w:spacing w:after="220"/>
        <w:rPr>
          <w:rFonts w:cs="Arial"/>
          <w:szCs w:val="22"/>
        </w:rPr>
      </w:pPr>
      <w:r w:rsidRPr="00E8642C">
        <w:rPr>
          <w:rFonts w:cs="Arial"/>
          <w:szCs w:val="22"/>
        </w:rPr>
        <w:t xml:space="preserve">Selon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“immatériel” renvoie à quelque chose dépourvu de forme physique.  “Matériel”, à l</w:t>
      </w:r>
      <w:r w:rsidR="00D91476">
        <w:rPr>
          <w:rFonts w:cs="Arial"/>
          <w:szCs w:val="22"/>
        </w:rPr>
        <w:t>’</w:t>
      </w:r>
      <w:r w:rsidRPr="00E8642C">
        <w:rPr>
          <w:rFonts w:cs="Arial"/>
          <w:szCs w:val="22"/>
        </w:rPr>
        <w:t>inverse, est défini comme “ayant ou possédant une forme physique, capable d</w:t>
      </w:r>
      <w:r w:rsidR="00D91476">
        <w:rPr>
          <w:rFonts w:cs="Arial"/>
          <w:szCs w:val="22"/>
        </w:rPr>
        <w:t>’</w:t>
      </w:r>
      <w:r w:rsidRPr="00E8642C">
        <w:rPr>
          <w:rFonts w:cs="Arial"/>
          <w:szCs w:val="22"/>
        </w:rPr>
        <w:t>être touché et vu, perceptible au toucher”.</w:t>
      </w:r>
    </w:p>
    <w:p w:rsidR="00AD541F" w:rsidRDefault="00DD607D" w:rsidP="00AD541F">
      <w:pPr>
        <w:spacing w:after="220"/>
        <w:rPr>
          <w:rFonts w:cs="Arial"/>
          <w:szCs w:val="22"/>
        </w:rPr>
      </w:pPr>
      <w:r w:rsidRPr="00E8642C">
        <w:rPr>
          <w:rFonts w:cs="Arial"/>
          <w:szCs w:val="22"/>
        </w:rPr>
        <w:t xml:space="preserve">“Patrimoine culturel immatériel” est défini dans la </w:t>
      </w:r>
      <w:r w:rsidRPr="00E8642C">
        <w:rPr>
          <w:rFonts w:cs="Arial"/>
          <w:i/>
          <w:szCs w:val="22"/>
        </w:rPr>
        <w:t>Convention pour la sauvegarde du patrimoine culturel immatériel</w:t>
      </w:r>
      <w:r w:rsidRPr="00E8642C">
        <w:rPr>
          <w:rFonts w:cs="Arial"/>
          <w:szCs w:val="22"/>
        </w:rPr>
        <w:t xml:space="preserve"> (2003)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éducation, la science et la culture (UNESCO) comme “les pratiques, représentations, expressions, connaissances et savoir</w:t>
      </w:r>
      <w:r w:rsidR="00400337">
        <w:rPr>
          <w:rFonts w:cs="Arial"/>
          <w:szCs w:val="22"/>
        </w:rPr>
        <w:noBreakHyphen/>
      </w:r>
      <w:r w:rsidRPr="00E8642C">
        <w:rPr>
          <w:rFonts w:cs="Arial"/>
          <w:szCs w:val="22"/>
        </w:rPr>
        <w:t>faire – ainsi que les instruments, objets, artefacts et espaces culturels qui leur sont associés – que les communautés, les groupes et, le cas échéant, les individus reconnaissent comme faisant partie de leur patrimoine cultur</w:t>
      </w:r>
      <w:r w:rsidR="001F3AEE" w:rsidRPr="00E8642C">
        <w:rPr>
          <w:rFonts w:cs="Arial"/>
          <w:szCs w:val="22"/>
        </w:rPr>
        <w:t>el</w:t>
      </w:r>
      <w:r w:rsidR="001F3AEE">
        <w:rPr>
          <w:rFonts w:cs="Arial"/>
          <w:szCs w:val="22"/>
        </w:rPr>
        <w:t xml:space="preserve">.  </w:t>
      </w:r>
      <w:r w:rsidR="001F3AEE" w:rsidRPr="00E8642C">
        <w:rPr>
          <w:rFonts w:cs="Arial"/>
          <w:szCs w:val="22"/>
        </w:rPr>
        <w:t>Ce</w:t>
      </w:r>
      <w:r w:rsidRPr="00E8642C">
        <w:rPr>
          <w:rFonts w:cs="Arial"/>
          <w:szCs w:val="22"/>
        </w:rPr>
        <w:t xml:space="preserve"> patrimoine culturel immatériel, transmis de génération en génération, est recréé en permanence par les communautés et groupes en fonction de leur milieu, de leur interaction avec la nature et de leur histoire, et leur procure un sentiment d</w:t>
      </w:r>
      <w:r w:rsidR="00D91476">
        <w:rPr>
          <w:rFonts w:cs="Arial"/>
          <w:szCs w:val="22"/>
        </w:rPr>
        <w:t>’</w:t>
      </w:r>
      <w:r w:rsidRPr="00E8642C">
        <w:rPr>
          <w:rFonts w:cs="Arial"/>
          <w:szCs w:val="22"/>
        </w:rPr>
        <w:t>identité et de continuité, contribuant ainsi à promouvoir le respect de la diversité culturelle et la créativité humai</w:t>
      </w:r>
      <w:r w:rsidR="001F3AEE" w:rsidRPr="00E8642C">
        <w:rPr>
          <w:rFonts w:cs="Arial"/>
          <w:szCs w:val="22"/>
        </w:rPr>
        <w:t>ne</w:t>
      </w:r>
      <w:r w:rsidR="001F3AEE">
        <w:rPr>
          <w:rFonts w:cs="Arial"/>
          <w:szCs w:val="22"/>
        </w:rPr>
        <w:t xml:space="preserve">.  </w:t>
      </w:r>
      <w:r w:rsidR="001F3AEE" w:rsidRPr="00E8642C">
        <w:rPr>
          <w:rFonts w:cs="Arial"/>
          <w:szCs w:val="22"/>
        </w:rPr>
        <w:t>Au</w:t>
      </w:r>
      <w:r w:rsidRPr="00E8642C">
        <w:rPr>
          <w:rFonts w:cs="Arial"/>
          <w:szCs w:val="22"/>
        </w:rPr>
        <w:t>x fins de la présente Convention, seul sera pris en considération le patrimoine culturel immatériel conforme aux instruments internationaux existants relatifs aux droits de l</w:t>
      </w:r>
      <w:r w:rsidR="00D91476">
        <w:rPr>
          <w:rFonts w:cs="Arial"/>
          <w:szCs w:val="22"/>
        </w:rPr>
        <w:t>’</w:t>
      </w:r>
      <w:r w:rsidRPr="00E8642C">
        <w:rPr>
          <w:rFonts w:cs="Arial"/>
          <w:szCs w:val="22"/>
        </w:rPr>
        <w:t>homme, ainsi qu</w:t>
      </w:r>
      <w:r w:rsidR="00D91476">
        <w:rPr>
          <w:rFonts w:cs="Arial"/>
          <w:szCs w:val="22"/>
        </w:rPr>
        <w:t>’</w:t>
      </w:r>
      <w:r w:rsidRPr="00E8642C">
        <w:rPr>
          <w:rFonts w:cs="Arial"/>
          <w:szCs w:val="22"/>
        </w:rPr>
        <w:t>à l</w:t>
      </w:r>
      <w:r w:rsidR="00D91476">
        <w:rPr>
          <w:rFonts w:cs="Arial"/>
          <w:szCs w:val="22"/>
        </w:rPr>
        <w:t>’</w:t>
      </w:r>
      <w:r w:rsidRPr="00E8642C">
        <w:rPr>
          <w:rFonts w:cs="Arial"/>
          <w:szCs w:val="22"/>
        </w:rPr>
        <w:t>exigence du respect mutuel entre communautés, groupes et individus, et d</w:t>
      </w:r>
      <w:r w:rsidR="00D91476">
        <w:rPr>
          <w:rFonts w:cs="Arial"/>
          <w:szCs w:val="22"/>
        </w:rPr>
        <w:t>’</w:t>
      </w:r>
      <w:r w:rsidRPr="00E8642C">
        <w:rPr>
          <w:rFonts w:cs="Arial"/>
          <w:szCs w:val="22"/>
        </w:rPr>
        <w:t>un développement durable”.</w:t>
      </w:r>
    </w:p>
    <w:p w:rsidR="00AD541F" w:rsidRDefault="00DD607D" w:rsidP="00AD541F">
      <w:pPr>
        <w:spacing w:after="220"/>
        <w:rPr>
          <w:rFonts w:cs="Arial"/>
          <w:szCs w:val="22"/>
        </w:rPr>
      </w:pPr>
      <w:r w:rsidRPr="00E8642C">
        <w:rPr>
          <w:rFonts w:cs="Arial"/>
          <w:szCs w:val="22"/>
        </w:rPr>
        <w:t>La Convention prévoit aussi que le “patrimoine culturel immatériel” se manifeste notamment dans les domaines suivants</w:t>
      </w:r>
      <w:r w:rsidR="00D91476">
        <w:rPr>
          <w:rFonts w:cs="Arial"/>
          <w:szCs w:val="22"/>
        </w:rPr>
        <w:t> :</w:t>
      </w:r>
      <w:r w:rsidRPr="00E8642C">
        <w:rPr>
          <w:rFonts w:cs="Arial"/>
          <w:szCs w:val="22"/>
        </w:rPr>
        <w:t xml:space="preserve"> a) les traditions et expressions orales, </w:t>
      </w:r>
      <w:r w:rsidR="00D91476">
        <w:rPr>
          <w:rFonts w:cs="Arial"/>
          <w:szCs w:val="22"/>
        </w:rPr>
        <w:t>y compris</w:t>
      </w:r>
      <w:r w:rsidRPr="00E8642C">
        <w:rPr>
          <w:rFonts w:cs="Arial"/>
          <w:szCs w:val="22"/>
        </w:rPr>
        <w:t xml:space="preserve"> la langue comme vecteur du patrimoine culturel </w:t>
      </w:r>
      <w:proofErr w:type="gramStart"/>
      <w:r w:rsidRPr="00E8642C">
        <w:rPr>
          <w:rFonts w:cs="Arial"/>
          <w:szCs w:val="22"/>
        </w:rPr>
        <w:t>immatériel;  b</w:t>
      </w:r>
      <w:proofErr w:type="gramEnd"/>
      <w:r w:rsidRPr="00E8642C">
        <w:rPr>
          <w:rFonts w:cs="Arial"/>
          <w:szCs w:val="22"/>
        </w:rPr>
        <w:t>) les arts du spectacle;  c) les pratiques sociales, rituels et événements festifs;  d) les connaissances et pratiques concernant la nature et l</w:t>
      </w:r>
      <w:r w:rsidR="00D91476">
        <w:rPr>
          <w:rFonts w:cs="Arial"/>
          <w:szCs w:val="22"/>
        </w:rPr>
        <w:t>’</w:t>
      </w:r>
      <w:r w:rsidRPr="00E8642C">
        <w:rPr>
          <w:rFonts w:cs="Arial"/>
          <w:szCs w:val="22"/>
        </w:rPr>
        <w:t>univers;  et e) les savoir</w:t>
      </w:r>
      <w:r w:rsidR="00400337">
        <w:rPr>
          <w:rFonts w:cs="Arial"/>
          <w:szCs w:val="22"/>
        </w:rPr>
        <w:noBreakHyphen/>
      </w:r>
      <w:r w:rsidRPr="00E8642C">
        <w:rPr>
          <w:rFonts w:cs="Arial"/>
          <w:szCs w:val="22"/>
        </w:rPr>
        <w:t>faire liés à l</w:t>
      </w:r>
      <w:r w:rsidR="00D91476">
        <w:rPr>
          <w:rFonts w:cs="Arial"/>
          <w:szCs w:val="22"/>
        </w:rPr>
        <w:t>’</w:t>
      </w:r>
      <w:r w:rsidRPr="00E8642C">
        <w:rPr>
          <w:rFonts w:cs="Arial"/>
          <w:szCs w:val="22"/>
        </w:rPr>
        <w:t>artisanat traditionnel.</w:t>
      </w:r>
    </w:p>
    <w:p w:rsidR="00AD541F" w:rsidRDefault="00DD607D" w:rsidP="00AD541F">
      <w:pPr>
        <w:pStyle w:val="Heading2"/>
        <w:spacing w:after="220" w:line="240" w:lineRule="auto"/>
      </w:pPr>
      <w:bookmarkStart w:id="94" w:name="_Toc7772565"/>
      <w:r w:rsidRPr="00E8642C">
        <w:t>Pays d</w:t>
      </w:r>
      <w:r w:rsidR="00D91476">
        <w:t>’</w:t>
      </w:r>
      <w:r w:rsidRPr="00E8642C">
        <w:t>origine des ressources génétiques</w:t>
      </w:r>
      <w:bookmarkEnd w:id="94"/>
    </w:p>
    <w:p w:rsidR="00AD541F" w:rsidRDefault="00DD607D" w:rsidP="00AD541F">
      <w:pPr>
        <w:spacing w:after="220"/>
        <w:rPr>
          <w:rFonts w:cs="Arial"/>
          <w:bCs/>
          <w:snapToGrid w:val="0"/>
          <w:szCs w:val="22"/>
        </w:rPr>
      </w:pPr>
      <w:r w:rsidRPr="00E8642C">
        <w:rPr>
          <w:rFonts w:cs="Arial"/>
          <w:bCs/>
          <w:snapToGrid w:val="0"/>
          <w:szCs w:val="22"/>
        </w:rPr>
        <w:t>Aux termes de l</w:t>
      </w:r>
      <w:r w:rsidR="00D91476">
        <w:rPr>
          <w:rFonts w:cs="Arial"/>
          <w:bCs/>
          <w:snapToGrid w:val="0"/>
          <w:szCs w:val="22"/>
        </w:rPr>
        <w:t>’</w:t>
      </w:r>
      <w:r w:rsidRPr="00E8642C">
        <w:rPr>
          <w:rFonts w:cs="Arial"/>
          <w:bCs/>
          <w:snapToGrid w:val="0"/>
          <w:szCs w:val="22"/>
        </w:rPr>
        <w:t>article 2 de la </w:t>
      </w:r>
      <w:r w:rsidRPr="00E8642C">
        <w:rPr>
          <w:rFonts w:cs="Arial"/>
          <w:bCs/>
          <w:i/>
          <w:snapToGrid w:val="0"/>
          <w:szCs w:val="22"/>
        </w:rPr>
        <w:t xml:space="preserve">Convention sur la diversité biologique </w:t>
      </w:r>
      <w:r w:rsidRPr="00E8642C">
        <w:rPr>
          <w:rFonts w:cs="Arial"/>
          <w:bCs/>
          <w:snapToGrid w:val="0"/>
          <w:szCs w:val="22"/>
        </w:rPr>
        <w:t>(1992), le “pays d</w:t>
      </w:r>
      <w:r w:rsidR="00D91476">
        <w:rPr>
          <w:rFonts w:cs="Arial"/>
          <w:bCs/>
          <w:snapToGrid w:val="0"/>
          <w:szCs w:val="22"/>
        </w:rPr>
        <w:t>’</w:t>
      </w:r>
      <w:r w:rsidRPr="00E8642C">
        <w:rPr>
          <w:rFonts w:cs="Arial"/>
          <w:bCs/>
          <w:snapToGrid w:val="0"/>
          <w:szCs w:val="22"/>
        </w:rPr>
        <w:t>origine des ressources génétiques” désigne “</w:t>
      </w:r>
      <w:r w:rsidRPr="00E8642C">
        <w:rPr>
          <w:rFonts w:cs="Arial"/>
          <w:bCs/>
          <w:iCs/>
          <w:snapToGrid w:val="0"/>
          <w:szCs w:val="22"/>
        </w:rPr>
        <w:t xml:space="preserve">le pays qui possède ces ressources génétiques dans des conditions </w:t>
      </w:r>
      <w:r w:rsidRPr="00E8642C">
        <w:rPr>
          <w:rFonts w:cs="Arial"/>
          <w:bCs/>
          <w:i/>
          <w:snapToGrid w:val="0"/>
          <w:szCs w:val="22"/>
        </w:rPr>
        <w:t>in situ</w:t>
      </w:r>
      <w:r w:rsidRPr="00E8642C">
        <w:rPr>
          <w:rFonts w:cs="Arial"/>
          <w:bCs/>
          <w:snapToGrid w:val="0"/>
          <w:szCs w:val="22"/>
        </w:rPr>
        <w:t>”.</w:t>
      </w:r>
      <w:r w:rsidRPr="00E8642C">
        <w:rPr>
          <w:rFonts w:cs="Arial"/>
          <w:snapToGrid w:val="0"/>
          <w:szCs w:val="22"/>
        </w:rPr>
        <w:t xml:space="preserve">  </w:t>
      </w:r>
      <w:r w:rsidRPr="00E8642C">
        <w:rPr>
          <w:rFonts w:cs="Arial"/>
          <w:bCs/>
          <w:snapToGrid w:val="0"/>
          <w:szCs w:val="22"/>
        </w:rPr>
        <w:t>D</w:t>
      </w:r>
      <w:r w:rsidR="00D91476">
        <w:rPr>
          <w:rFonts w:cs="Arial"/>
          <w:bCs/>
          <w:snapToGrid w:val="0"/>
          <w:szCs w:val="22"/>
        </w:rPr>
        <w:t>’</w:t>
      </w:r>
      <w:r w:rsidRPr="00E8642C">
        <w:rPr>
          <w:rFonts w:cs="Arial"/>
          <w:bCs/>
          <w:snapToGrid w:val="0"/>
          <w:szCs w:val="22"/>
        </w:rPr>
        <w:t xml:space="preserve">autres définitions englobent également les ressources génétiques dans des conditions </w:t>
      </w:r>
      <w:r w:rsidRPr="00E8642C">
        <w:rPr>
          <w:rFonts w:cs="Arial"/>
          <w:bCs/>
          <w:i/>
          <w:iCs/>
          <w:snapToGrid w:val="0"/>
          <w:szCs w:val="22"/>
        </w:rPr>
        <w:t>ex si</w:t>
      </w:r>
      <w:r w:rsidR="001F3AEE" w:rsidRPr="00E8642C">
        <w:rPr>
          <w:rFonts w:cs="Arial"/>
          <w:bCs/>
          <w:i/>
          <w:iCs/>
          <w:snapToGrid w:val="0"/>
          <w:szCs w:val="22"/>
        </w:rPr>
        <w:t>tu</w:t>
      </w:r>
      <w:r w:rsidR="001F3AEE">
        <w:rPr>
          <w:rFonts w:cs="Arial"/>
          <w:bCs/>
          <w:i/>
          <w:iCs/>
          <w:snapToGrid w:val="0"/>
          <w:szCs w:val="22"/>
        </w:rPr>
        <w:t xml:space="preserve">.  </w:t>
      </w:r>
      <w:r w:rsidR="001F3AEE" w:rsidRPr="00E8642C">
        <w:rPr>
          <w:rFonts w:cs="Arial"/>
          <w:bCs/>
          <w:snapToGrid w:val="0"/>
          <w:szCs w:val="22"/>
        </w:rPr>
        <w:t>Ai</w:t>
      </w:r>
      <w:r w:rsidRPr="00E8642C">
        <w:rPr>
          <w:rFonts w:cs="Arial"/>
          <w:bCs/>
          <w:snapToGrid w:val="0"/>
          <w:szCs w:val="22"/>
        </w:rPr>
        <w:t>nsi, le pays d</w:t>
      </w:r>
      <w:r w:rsidR="00D91476">
        <w:rPr>
          <w:rFonts w:cs="Arial"/>
          <w:bCs/>
          <w:snapToGrid w:val="0"/>
          <w:szCs w:val="22"/>
        </w:rPr>
        <w:t>’</w:t>
      </w:r>
      <w:r w:rsidRPr="00E8642C">
        <w:rPr>
          <w:rFonts w:cs="Arial"/>
          <w:bCs/>
          <w:snapToGrid w:val="0"/>
          <w:szCs w:val="22"/>
        </w:rPr>
        <w:t>origine est défini à l</w:t>
      </w:r>
      <w:r w:rsidR="00D91476">
        <w:rPr>
          <w:rFonts w:cs="Arial"/>
          <w:bCs/>
          <w:snapToGrid w:val="0"/>
          <w:szCs w:val="22"/>
        </w:rPr>
        <w:t>’</w:t>
      </w:r>
      <w:r w:rsidRPr="00E8642C">
        <w:rPr>
          <w:rFonts w:cs="Arial"/>
          <w:bCs/>
          <w:snapToGrid w:val="0"/>
          <w:szCs w:val="22"/>
        </w:rPr>
        <w:t xml:space="preserve">article premier de </w:t>
      </w:r>
      <w:r w:rsidRPr="00E8642C">
        <w:rPr>
          <w:rFonts w:cs="Arial"/>
          <w:szCs w:val="22"/>
        </w:rPr>
        <w:t xml:space="preserve">la </w:t>
      </w:r>
      <w:r w:rsidRPr="00E8642C">
        <w:rPr>
          <w:rFonts w:cs="Arial"/>
          <w:i/>
          <w:szCs w:val="22"/>
        </w:rPr>
        <w:t>Décision n° 391</w:t>
      </w:r>
      <w:r w:rsidRPr="00E8642C">
        <w:rPr>
          <w:rFonts w:cs="Arial"/>
          <w:szCs w:val="22"/>
        </w:rPr>
        <w:t xml:space="preserve"> </w:t>
      </w:r>
      <w:r w:rsidRPr="00E8642C">
        <w:rPr>
          <w:rFonts w:cs="Arial"/>
          <w:i/>
          <w:szCs w:val="22"/>
        </w:rPr>
        <w:t>sur l</w:t>
      </w:r>
      <w:r w:rsidR="00D91476">
        <w:rPr>
          <w:rFonts w:cs="Arial"/>
          <w:i/>
          <w:szCs w:val="22"/>
        </w:rPr>
        <w:t>’</w:t>
      </w:r>
      <w:r w:rsidRPr="00E8642C">
        <w:rPr>
          <w:rFonts w:cs="Arial"/>
          <w:i/>
          <w:szCs w:val="22"/>
        </w:rPr>
        <w:t>accès aux ressources génétiques de la Communauté andine</w:t>
      </w:r>
      <w:r w:rsidRPr="00E8642C">
        <w:rPr>
          <w:rFonts w:cs="Arial"/>
          <w:szCs w:val="22"/>
        </w:rPr>
        <w:t xml:space="preserve"> (1996) </w:t>
      </w:r>
      <w:r w:rsidRPr="00E8642C">
        <w:rPr>
          <w:rFonts w:cs="Arial"/>
          <w:bCs/>
          <w:snapToGrid w:val="0"/>
          <w:szCs w:val="22"/>
        </w:rPr>
        <w:t>comme “</w:t>
      </w:r>
      <w:r w:rsidRPr="00E8642C">
        <w:rPr>
          <w:rFonts w:cs="Arial"/>
          <w:bCs/>
          <w:iCs/>
          <w:snapToGrid w:val="0"/>
          <w:szCs w:val="22"/>
        </w:rPr>
        <w:t xml:space="preserve">un pays qui possède une ressource génétique dans des conditions </w:t>
      </w:r>
      <w:r w:rsidRPr="00E8642C">
        <w:rPr>
          <w:rFonts w:cs="Arial"/>
          <w:bCs/>
          <w:i/>
          <w:snapToGrid w:val="0"/>
          <w:szCs w:val="22"/>
        </w:rPr>
        <w:t>in situ</w:t>
      </w:r>
      <w:r w:rsidRPr="00E8642C">
        <w:rPr>
          <w:rFonts w:cs="Arial"/>
          <w:bCs/>
          <w:iCs/>
          <w:snapToGrid w:val="0"/>
          <w:szCs w:val="22"/>
        </w:rPr>
        <w:t xml:space="preserve"> ou conservée </w:t>
      </w:r>
      <w:r w:rsidRPr="00E8642C">
        <w:rPr>
          <w:rFonts w:cs="Arial"/>
          <w:bCs/>
          <w:i/>
          <w:snapToGrid w:val="0"/>
          <w:szCs w:val="22"/>
        </w:rPr>
        <w:t>ex situ</w:t>
      </w:r>
      <w:r w:rsidRPr="00E8642C">
        <w:rPr>
          <w:rFonts w:cs="Arial"/>
          <w:bCs/>
          <w:iCs/>
          <w:snapToGrid w:val="0"/>
          <w:szCs w:val="22"/>
        </w:rPr>
        <w:t xml:space="preserve"> après avoir été dans des conditions </w:t>
      </w:r>
      <w:r w:rsidRPr="00E8642C">
        <w:rPr>
          <w:rFonts w:cs="Arial"/>
          <w:bCs/>
          <w:i/>
          <w:snapToGrid w:val="0"/>
          <w:szCs w:val="22"/>
        </w:rPr>
        <w:t>in situ</w:t>
      </w:r>
      <w:r w:rsidRPr="00E8642C">
        <w:rPr>
          <w:rFonts w:cs="Arial"/>
          <w:bCs/>
          <w:snapToGrid w:val="0"/>
          <w:szCs w:val="22"/>
        </w:rPr>
        <w:t>”.</w:t>
      </w:r>
    </w:p>
    <w:p w:rsidR="00AD541F" w:rsidRDefault="00DD607D" w:rsidP="00AD541F">
      <w:pPr>
        <w:pStyle w:val="Heading2"/>
        <w:spacing w:after="220" w:line="240" w:lineRule="auto"/>
      </w:pPr>
      <w:bookmarkStart w:id="95" w:name="_Toc7772566"/>
      <w:r w:rsidRPr="00E8642C">
        <w:t>Pays fournisseur de ressources génétiques</w:t>
      </w:r>
      <w:bookmarkEnd w:id="95"/>
    </w:p>
    <w:p w:rsidR="00AD541F" w:rsidRDefault="00DD607D" w:rsidP="00AD541F">
      <w:pPr>
        <w:spacing w:after="220"/>
        <w:rPr>
          <w:rFonts w:cs="Arial"/>
          <w:bCs/>
          <w:szCs w:val="22"/>
        </w:rPr>
      </w:pPr>
      <w:r w:rsidRPr="00E8642C">
        <w:rPr>
          <w:rFonts w:cs="Arial"/>
          <w:bCs/>
          <w:szCs w:val="22"/>
        </w:rPr>
        <w:t>Aux termes de l</w:t>
      </w:r>
      <w:r w:rsidR="00D91476">
        <w:rPr>
          <w:rFonts w:cs="Arial"/>
          <w:bCs/>
          <w:szCs w:val="22"/>
        </w:rPr>
        <w:t>’</w:t>
      </w:r>
      <w:r w:rsidRPr="00E8642C">
        <w:rPr>
          <w:rFonts w:cs="Arial"/>
          <w:bCs/>
          <w:szCs w:val="22"/>
        </w:rPr>
        <w:t>article 2 de la </w:t>
      </w:r>
      <w:r w:rsidRPr="00E8642C">
        <w:rPr>
          <w:rFonts w:cs="Arial"/>
          <w:bCs/>
          <w:i/>
          <w:szCs w:val="22"/>
        </w:rPr>
        <w:t xml:space="preserve">Convention sur la diversité biologique </w:t>
      </w:r>
      <w:r w:rsidRPr="00E8642C">
        <w:rPr>
          <w:rFonts w:cs="Arial"/>
          <w:bCs/>
          <w:szCs w:val="22"/>
        </w:rPr>
        <w:t>(1992), le “pays fournisseur de ressources génétiques” désigne “</w:t>
      </w:r>
      <w:r w:rsidRPr="00E8642C">
        <w:rPr>
          <w:rFonts w:cs="Arial"/>
          <w:bCs/>
          <w:iCs/>
          <w:szCs w:val="22"/>
        </w:rPr>
        <w:t xml:space="preserve">tout pays qui fournit des ressources génétiques récoltées auprès de sources </w:t>
      </w:r>
      <w:r w:rsidRPr="00E8642C">
        <w:rPr>
          <w:rFonts w:cs="Arial"/>
          <w:bCs/>
          <w:i/>
          <w:iCs/>
          <w:szCs w:val="22"/>
        </w:rPr>
        <w:t>in situ</w:t>
      </w:r>
      <w:r w:rsidRPr="00E8642C">
        <w:rPr>
          <w:rFonts w:cs="Arial"/>
          <w:bCs/>
          <w:iCs/>
          <w:szCs w:val="22"/>
        </w:rPr>
        <w:t xml:space="preserve">, </w:t>
      </w:r>
      <w:r w:rsidR="00D91476">
        <w:rPr>
          <w:rFonts w:cs="Arial"/>
          <w:bCs/>
          <w:iCs/>
          <w:szCs w:val="22"/>
        </w:rPr>
        <w:t>y compris</w:t>
      </w:r>
      <w:r w:rsidRPr="00E8642C">
        <w:rPr>
          <w:rFonts w:cs="Arial"/>
          <w:bCs/>
          <w:iCs/>
          <w:szCs w:val="22"/>
        </w:rPr>
        <w:t xml:space="preserve"> les populations d</w:t>
      </w:r>
      <w:r w:rsidR="00D91476">
        <w:rPr>
          <w:rFonts w:cs="Arial"/>
          <w:bCs/>
          <w:iCs/>
          <w:szCs w:val="22"/>
        </w:rPr>
        <w:t>’</w:t>
      </w:r>
      <w:r w:rsidRPr="00E8642C">
        <w:rPr>
          <w:rFonts w:cs="Arial"/>
          <w:bCs/>
          <w:iCs/>
          <w:szCs w:val="22"/>
        </w:rPr>
        <w:t xml:space="preserve">espèces sauvages ou domestiquées, ou prélevées auprès de sources </w:t>
      </w:r>
      <w:r w:rsidRPr="00E8642C">
        <w:rPr>
          <w:rFonts w:cs="Arial"/>
          <w:bCs/>
          <w:i/>
          <w:iCs/>
          <w:szCs w:val="22"/>
        </w:rPr>
        <w:t>ex situ</w:t>
      </w:r>
      <w:r w:rsidRPr="00E8642C">
        <w:rPr>
          <w:rFonts w:cs="Arial"/>
          <w:bCs/>
          <w:iCs/>
          <w:szCs w:val="22"/>
        </w:rPr>
        <w:t>, qu</w:t>
      </w:r>
      <w:r w:rsidR="00D91476">
        <w:rPr>
          <w:rFonts w:cs="Arial"/>
          <w:bCs/>
          <w:iCs/>
          <w:szCs w:val="22"/>
        </w:rPr>
        <w:t>’</w:t>
      </w:r>
      <w:r w:rsidRPr="00E8642C">
        <w:rPr>
          <w:rFonts w:cs="Arial"/>
          <w:bCs/>
          <w:iCs/>
          <w:szCs w:val="22"/>
        </w:rPr>
        <w:t>elles soient ou non originaires de ce pays</w:t>
      </w:r>
      <w:r w:rsidRPr="00E8642C">
        <w:rPr>
          <w:rFonts w:cs="Arial"/>
          <w:bCs/>
          <w:szCs w:val="22"/>
        </w:rPr>
        <w:t>”.</w:t>
      </w:r>
    </w:p>
    <w:p w:rsidR="00AD541F" w:rsidRDefault="00DD607D" w:rsidP="00AD541F">
      <w:pPr>
        <w:pStyle w:val="Heading2"/>
        <w:spacing w:after="220" w:line="240" w:lineRule="auto"/>
      </w:pPr>
      <w:bookmarkStart w:id="96" w:name="_Toc7772567"/>
      <w:r w:rsidRPr="00E8642C">
        <w:t>Peuples autochtones</w:t>
      </w:r>
      <w:bookmarkEnd w:id="96"/>
    </w:p>
    <w:p w:rsidR="00AD541F" w:rsidRDefault="00DD607D" w:rsidP="00AD541F">
      <w:pPr>
        <w:keepNext/>
        <w:spacing w:after="220"/>
        <w:rPr>
          <w:rFonts w:cs="Arial"/>
          <w:szCs w:val="22"/>
        </w:rPr>
      </w:pPr>
      <w:r w:rsidRPr="00E8642C">
        <w:rPr>
          <w:rFonts w:cs="Arial"/>
          <w:szCs w:val="22"/>
        </w:rPr>
        <w:t>L</w:t>
      </w:r>
      <w:r w:rsidR="00D91476">
        <w:rPr>
          <w:rFonts w:cs="Arial"/>
          <w:szCs w:val="22"/>
        </w:rPr>
        <w:t>’</w:t>
      </w:r>
      <w:r w:rsidRPr="00E8642C">
        <w:rPr>
          <w:rFonts w:cs="Arial"/>
          <w:szCs w:val="22"/>
        </w:rPr>
        <w:t>expression “peuples autochtones” a fait l</w:t>
      </w:r>
      <w:r w:rsidR="00D91476">
        <w:rPr>
          <w:rFonts w:cs="Arial"/>
          <w:szCs w:val="22"/>
        </w:rPr>
        <w:t>’</w:t>
      </w:r>
      <w:r w:rsidRPr="00E8642C">
        <w:rPr>
          <w:rFonts w:cs="Arial"/>
          <w:szCs w:val="22"/>
        </w:rPr>
        <w:t>objet d</w:t>
      </w:r>
      <w:r w:rsidR="00D91476">
        <w:rPr>
          <w:rFonts w:cs="Arial"/>
          <w:szCs w:val="22"/>
        </w:rPr>
        <w:t>’</w:t>
      </w:r>
      <w:r w:rsidRPr="00E8642C">
        <w:rPr>
          <w:rFonts w:cs="Arial"/>
          <w:szCs w:val="22"/>
        </w:rPr>
        <w:t>un nombre considérable de discussions et d</w:t>
      </w:r>
      <w:r w:rsidR="00D91476">
        <w:rPr>
          <w:rFonts w:cs="Arial"/>
          <w:szCs w:val="22"/>
        </w:rPr>
        <w:t>’</w:t>
      </w:r>
      <w:r w:rsidRPr="00E8642C">
        <w:rPr>
          <w:rFonts w:cs="Arial"/>
          <w:szCs w:val="22"/>
        </w:rPr>
        <w:t>études, mais il n</w:t>
      </w:r>
      <w:r w:rsidR="00D91476">
        <w:rPr>
          <w:rFonts w:cs="Arial"/>
          <w:szCs w:val="22"/>
        </w:rPr>
        <w:t>’</w:t>
      </w:r>
      <w:r w:rsidRPr="00E8642C">
        <w:rPr>
          <w:rFonts w:cs="Arial"/>
          <w:szCs w:val="22"/>
        </w:rPr>
        <w:t>existe aucune définition universelle standard pour cette expression.</w:t>
      </w:r>
    </w:p>
    <w:p w:rsidR="00AD541F" w:rsidRDefault="00DD607D" w:rsidP="00AD541F">
      <w:pPr>
        <w:spacing w:after="220"/>
        <w:rPr>
          <w:rFonts w:cs="Arial"/>
          <w:szCs w:val="22"/>
        </w:rPr>
      </w:pPr>
      <w:r w:rsidRPr="00E8642C">
        <w:rPr>
          <w:rFonts w:cs="Arial"/>
          <w:szCs w:val="22"/>
        </w:rPr>
        <w:t xml:space="preserve">La </w:t>
      </w:r>
      <w:r w:rsidRPr="00E8642C">
        <w:rPr>
          <w:rFonts w:cs="Arial"/>
          <w:i/>
          <w:szCs w:val="22"/>
        </w:rPr>
        <w:t xml:space="preserve">Déclaration des </w:t>
      </w:r>
      <w:r w:rsidR="00D91476">
        <w:rPr>
          <w:rFonts w:cs="Arial"/>
          <w:i/>
          <w:szCs w:val="22"/>
        </w:rPr>
        <w:t>Nations Unies</w:t>
      </w:r>
      <w:r w:rsidRPr="00E8642C">
        <w:rPr>
          <w:rFonts w:cs="Arial"/>
          <w:i/>
          <w:szCs w:val="22"/>
        </w:rPr>
        <w:t xml:space="preserve"> sur les droits des peuples autochtones</w:t>
      </w:r>
      <w:r w:rsidRPr="00E8642C">
        <w:rPr>
          <w:rFonts w:cs="Arial"/>
          <w:szCs w:val="22"/>
        </w:rPr>
        <w:t xml:space="preserve"> (2007) reconnaît les droits de l</w:t>
      </w:r>
      <w:r w:rsidR="00D91476">
        <w:rPr>
          <w:rFonts w:cs="Arial"/>
          <w:szCs w:val="22"/>
        </w:rPr>
        <w:t>’</w:t>
      </w:r>
      <w:r w:rsidRPr="00E8642C">
        <w:rPr>
          <w:rFonts w:cs="Arial"/>
          <w:szCs w:val="22"/>
        </w:rPr>
        <w:t>homme égaux des peuples autochtones contre la discrimination culturelle et vise à promouvoir le respect mutuel et les relations harmonieuses entre les États et les peuples autochton</w:t>
      </w:r>
      <w:r w:rsidR="001F3AEE" w:rsidRPr="00E8642C">
        <w:rPr>
          <w:rFonts w:cs="Arial"/>
          <w:szCs w:val="22"/>
        </w:rPr>
        <w:t>es</w:t>
      </w:r>
      <w:r w:rsidR="001F3AEE">
        <w:rPr>
          <w:rFonts w:cs="Arial"/>
          <w:szCs w:val="22"/>
        </w:rPr>
        <w:t xml:space="preserve">.  </w:t>
      </w:r>
      <w:r w:rsidR="001F3AEE" w:rsidRPr="00E8642C">
        <w:rPr>
          <w:rFonts w:cs="Arial"/>
          <w:szCs w:val="22"/>
        </w:rPr>
        <w:t>Ce</w:t>
      </w:r>
      <w:r w:rsidRPr="00E8642C">
        <w:rPr>
          <w:rFonts w:cs="Arial"/>
          <w:szCs w:val="22"/>
        </w:rPr>
        <w:t>pendant, la déclaration ne fournit aucune définition pour l</w:t>
      </w:r>
      <w:r w:rsidR="00D91476">
        <w:rPr>
          <w:rFonts w:cs="Arial"/>
          <w:szCs w:val="22"/>
        </w:rPr>
        <w:t>’</w:t>
      </w:r>
      <w:r w:rsidRPr="00E8642C">
        <w:rPr>
          <w:rFonts w:cs="Arial"/>
          <w:szCs w:val="22"/>
        </w:rPr>
        <w:t>expression “peuples autochtones”.</w:t>
      </w:r>
    </w:p>
    <w:p w:rsidR="00AD541F" w:rsidRDefault="00DD607D" w:rsidP="00AD541F">
      <w:pPr>
        <w:spacing w:after="220"/>
        <w:rPr>
          <w:rFonts w:cs="Arial"/>
          <w:szCs w:val="22"/>
        </w:rPr>
      </w:pPr>
      <w:r w:rsidRPr="00E8642C">
        <w:rPr>
          <w:rFonts w:cs="Arial"/>
          <w:szCs w:val="22"/>
        </w:rPr>
        <w:t>Le sens donné à l</w:t>
      </w:r>
      <w:r w:rsidR="00D91476">
        <w:rPr>
          <w:rFonts w:cs="Arial"/>
          <w:szCs w:val="22"/>
        </w:rPr>
        <w:t>’</w:t>
      </w:r>
      <w:r w:rsidRPr="00E8642C">
        <w:rPr>
          <w:rFonts w:cs="Arial"/>
          <w:szCs w:val="22"/>
        </w:rPr>
        <w:t>adjectif “autochtone” dans l</w:t>
      </w:r>
      <w:r w:rsidR="00D91476">
        <w:rPr>
          <w:rFonts w:cs="Arial"/>
          <w:szCs w:val="22"/>
        </w:rPr>
        <w:t>’</w:t>
      </w:r>
      <w:r w:rsidRPr="00E8642C">
        <w:rPr>
          <w:rFonts w:cs="Arial"/>
          <w:szCs w:val="22"/>
        </w:rPr>
        <w:t>étude du problème de la discrimination à l</w:t>
      </w:r>
      <w:r w:rsidR="00D91476">
        <w:rPr>
          <w:rFonts w:cs="Arial"/>
          <w:szCs w:val="22"/>
        </w:rPr>
        <w:t>’</w:t>
      </w:r>
      <w:r w:rsidRPr="00E8642C">
        <w:rPr>
          <w:rFonts w:cs="Arial"/>
          <w:szCs w:val="22"/>
        </w:rPr>
        <w:t>encontre des populations autochtones, réalisée par le rapporteur spécial de la Sous</w:t>
      </w:r>
      <w:r w:rsidR="00400337">
        <w:rPr>
          <w:rFonts w:cs="Arial"/>
          <w:szCs w:val="22"/>
        </w:rPr>
        <w:noBreakHyphen/>
      </w:r>
      <w:r w:rsidRPr="00E8642C">
        <w:rPr>
          <w:rFonts w:cs="Arial"/>
          <w:szCs w:val="22"/>
        </w:rPr>
        <w:t xml:space="preserve">commission de la lutte contre les mesures discriminatoires et de la protection des minorités des </w:t>
      </w:r>
      <w:r w:rsidR="00D91476">
        <w:rPr>
          <w:rFonts w:cs="Arial"/>
          <w:szCs w:val="22"/>
        </w:rPr>
        <w:t>Nations Unies</w:t>
      </w:r>
      <w:r w:rsidRPr="00E8642C">
        <w:rPr>
          <w:rFonts w:cs="Arial"/>
          <w:szCs w:val="22"/>
        </w:rPr>
        <w:t>, M. J. Martínez </w:t>
      </w:r>
      <w:proofErr w:type="spellStart"/>
      <w:r w:rsidRPr="00E8642C">
        <w:rPr>
          <w:rFonts w:cs="Arial"/>
          <w:szCs w:val="22"/>
        </w:rPr>
        <w:t>Cobo</w:t>
      </w:r>
      <w:proofErr w:type="spellEnd"/>
      <w:r w:rsidRPr="00E8642C">
        <w:rPr>
          <w:rFonts w:cs="Arial"/>
          <w:szCs w:val="22"/>
        </w:rPr>
        <w:t>, est considéré comme une définition acceptable par de nombreux peuples autochtones et les organisations qui les représente</w:t>
      </w:r>
      <w:r w:rsidR="001F3AEE" w:rsidRPr="00E8642C">
        <w:rPr>
          <w:rFonts w:cs="Arial"/>
          <w:szCs w:val="22"/>
        </w:rPr>
        <w:t>nt</w:t>
      </w:r>
      <w:r w:rsidR="001F3AEE">
        <w:rPr>
          <w:rFonts w:cs="Arial"/>
          <w:szCs w:val="22"/>
        </w:rPr>
        <w:t xml:space="preserve">.  </w:t>
      </w:r>
      <w:r w:rsidR="001F3AEE" w:rsidRPr="00E8642C">
        <w:rPr>
          <w:rFonts w:cs="Arial"/>
          <w:szCs w:val="22"/>
        </w:rPr>
        <w:t>Da</w:t>
      </w:r>
      <w:r w:rsidRPr="00E8642C">
        <w:rPr>
          <w:rFonts w:cs="Arial"/>
          <w:szCs w:val="22"/>
        </w:rPr>
        <w:t>ns l</w:t>
      </w:r>
      <w:r w:rsidR="00D91476">
        <w:rPr>
          <w:rFonts w:cs="Arial"/>
          <w:szCs w:val="22"/>
        </w:rPr>
        <w:t>’</w:t>
      </w:r>
      <w:r w:rsidRPr="00E8642C">
        <w:rPr>
          <w:rFonts w:cs="Arial"/>
          <w:szCs w:val="22"/>
        </w:rPr>
        <w:t>étude, les communautés, peuples et nations autochtones sont définis comme “</w:t>
      </w:r>
      <w:r w:rsidRPr="00E8642C">
        <w:rPr>
          <w:rFonts w:cs="Arial"/>
          <w:iCs/>
          <w:szCs w:val="22"/>
        </w:rPr>
        <w:t>les entités qui, s</w:t>
      </w:r>
      <w:r w:rsidR="00D91476">
        <w:rPr>
          <w:rFonts w:cs="Arial"/>
          <w:iCs/>
          <w:szCs w:val="22"/>
        </w:rPr>
        <w:t>’</w:t>
      </w:r>
      <w:r w:rsidRPr="00E8642C">
        <w:rPr>
          <w:rFonts w:cs="Arial"/>
          <w:iCs/>
          <w:szCs w:val="22"/>
        </w:rPr>
        <w:t xml:space="preserve">inscrivant dans la continuité historique des sociétés </w:t>
      </w:r>
      <w:r w:rsidR="00D91476">
        <w:rPr>
          <w:rFonts w:cs="Arial"/>
          <w:iCs/>
          <w:szCs w:val="22"/>
        </w:rPr>
        <w:t>‘</w:t>
      </w:r>
      <w:proofErr w:type="spellStart"/>
      <w:r w:rsidRPr="00E8642C">
        <w:rPr>
          <w:rFonts w:cs="Arial"/>
          <w:iCs/>
          <w:szCs w:val="22"/>
        </w:rPr>
        <w:t>préinvasion</w:t>
      </w:r>
      <w:proofErr w:type="spellEnd"/>
      <w:r w:rsidR="00D91476">
        <w:rPr>
          <w:rFonts w:cs="Arial"/>
          <w:iCs/>
          <w:szCs w:val="22"/>
        </w:rPr>
        <w:t>’</w:t>
      </w:r>
      <w:r w:rsidRPr="00E8642C">
        <w:rPr>
          <w:rFonts w:cs="Arial"/>
          <w:iCs/>
          <w:szCs w:val="22"/>
        </w:rPr>
        <w:t xml:space="preserve"> et précoloniales apparues sur leur territoire, s</w:t>
      </w:r>
      <w:r w:rsidR="00D91476">
        <w:rPr>
          <w:rFonts w:cs="Arial"/>
          <w:iCs/>
          <w:szCs w:val="22"/>
        </w:rPr>
        <w:t>’</w:t>
      </w:r>
      <w:r w:rsidRPr="00E8642C">
        <w:rPr>
          <w:rFonts w:cs="Arial"/>
          <w:iCs/>
          <w:szCs w:val="22"/>
        </w:rPr>
        <w:t>estiment différentes d</w:t>
      </w:r>
      <w:r w:rsidR="00D91476">
        <w:rPr>
          <w:rFonts w:cs="Arial"/>
          <w:iCs/>
          <w:szCs w:val="22"/>
        </w:rPr>
        <w:t>’</w:t>
      </w:r>
      <w:r w:rsidRPr="00E8642C">
        <w:rPr>
          <w:rFonts w:cs="Arial"/>
          <w:iCs/>
          <w:szCs w:val="22"/>
        </w:rPr>
        <w:t>autres secteurs des sociétés qui prédominent aujourd</w:t>
      </w:r>
      <w:r w:rsidR="00D91476">
        <w:rPr>
          <w:rFonts w:cs="Arial"/>
          <w:iCs/>
          <w:szCs w:val="22"/>
        </w:rPr>
        <w:t>’</w:t>
      </w:r>
      <w:r w:rsidRPr="00E8642C">
        <w:rPr>
          <w:rFonts w:cs="Arial"/>
          <w:iCs/>
          <w:szCs w:val="22"/>
        </w:rPr>
        <w:t>hui dans ces pays, ou certaines parties de ces dernie</w:t>
      </w:r>
      <w:r w:rsidR="001F3AEE" w:rsidRPr="00E8642C">
        <w:rPr>
          <w:rFonts w:cs="Arial"/>
          <w:iCs/>
          <w:szCs w:val="22"/>
        </w:rPr>
        <w:t>rs</w:t>
      </w:r>
      <w:r w:rsidR="001F3AEE">
        <w:rPr>
          <w:rFonts w:cs="Arial"/>
          <w:iCs/>
          <w:szCs w:val="22"/>
        </w:rPr>
        <w:t xml:space="preserve">.  </w:t>
      </w:r>
      <w:r w:rsidR="001F3AEE" w:rsidRPr="00E8642C">
        <w:rPr>
          <w:rFonts w:cs="Arial"/>
          <w:iCs/>
          <w:szCs w:val="22"/>
        </w:rPr>
        <w:t>El</w:t>
      </w:r>
      <w:r w:rsidRPr="00E8642C">
        <w:rPr>
          <w:rFonts w:cs="Arial"/>
          <w:iCs/>
          <w:szCs w:val="22"/>
        </w:rPr>
        <w:t>les représentent aujourd</w:t>
      </w:r>
      <w:r w:rsidR="00D91476">
        <w:rPr>
          <w:rFonts w:cs="Arial"/>
          <w:iCs/>
          <w:szCs w:val="22"/>
        </w:rPr>
        <w:t>’</w:t>
      </w:r>
      <w:r w:rsidRPr="00E8642C">
        <w:rPr>
          <w:rFonts w:cs="Arial"/>
          <w:iCs/>
          <w:szCs w:val="22"/>
        </w:rPr>
        <w:t>hui des secteurs non dominants de la société et sont résolues à préserver, 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E8642C">
        <w:rPr>
          <w:rFonts w:cs="Arial"/>
          <w:szCs w:val="22"/>
        </w:rPr>
        <w:t>”.</w:t>
      </w:r>
    </w:p>
    <w:p w:rsidR="00AD541F" w:rsidRDefault="00DD607D" w:rsidP="00AD541F">
      <w:pPr>
        <w:spacing w:after="220"/>
        <w:rPr>
          <w:rFonts w:cs="Arial"/>
          <w:iCs/>
          <w:szCs w:val="22"/>
        </w:rPr>
      </w:pPr>
      <w:r w:rsidRPr="00E8642C">
        <w:rPr>
          <w:rFonts w:cs="Arial"/>
          <w:iCs/>
          <w:szCs w:val="22"/>
        </w:rPr>
        <w:t>L</w:t>
      </w:r>
      <w:r w:rsidR="00D91476">
        <w:rPr>
          <w:rFonts w:cs="Arial"/>
          <w:iCs/>
          <w:szCs w:val="22"/>
        </w:rPr>
        <w:t>’</w:t>
      </w:r>
      <w:r w:rsidRPr="00E8642C">
        <w:rPr>
          <w:rFonts w:cs="Arial"/>
          <w:iCs/>
          <w:szCs w:val="22"/>
        </w:rPr>
        <w:t>article premier de la Convention concernant les peuples indigènes et tribaux dans les pays indépendants de l</w:t>
      </w:r>
      <w:r w:rsidR="00D91476">
        <w:rPr>
          <w:rFonts w:cs="Arial"/>
          <w:iCs/>
          <w:szCs w:val="22"/>
        </w:rPr>
        <w:t>’</w:t>
      </w:r>
      <w:r w:rsidRPr="00E8642C">
        <w:rPr>
          <w:rFonts w:cs="Arial"/>
          <w:iCs/>
          <w:szCs w:val="22"/>
        </w:rPr>
        <w:t>Organisation internationale du Travail (OIT) stipule que la Convention s</w:t>
      </w:r>
      <w:r w:rsidR="00D91476">
        <w:rPr>
          <w:rFonts w:cs="Arial"/>
          <w:iCs/>
          <w:szCs w:val="22"/>
        </w:rPr>
        <w:t>’</w:t>
      </w:r>
      <w:r w:rsidRPr="00E8642C">
        <w:rPr>
          <w:rFonts w:cs="Arial"/>
          <w:iCs/>
          <w:szCs w:val="22"/>
        </w:rPr>
        <w:t>applique</w:t>
      </w:r>
      <w:r w:rsidR="00D91476">
        <w:rPr>
          <w:rFonts w:cs="Arial"/>
          <w:iCs/>
          <w:szCs w:val="22"/>
        </w:rPr>
        <w:t> :</w:t>
      </w:r>
    </w:p>
    <w:p w:rsidR="00AD541F" w:rsidRDefault="00DD607D" w:rsidP="00AD541F">
      <w:pPr>
        <w:pStyle w:val="FootnoteText"/>
        <w:spacing w:after="220"/>
        <w:ind w:firstLine="0"/>
        <w:rPr>
          <w:rFonts w:cs="Arial"/>
          <w:szCs w:val="22"/>
        </w:rPr>
      </w:pPr>
      <w:r w:rsidRPr="00E8642C">
        <w:rPr>
          <w:rFonts w:cs="Arial"/>
          <w:szCs w:val="22"/>
        </w:rPr>
        <w:t>“a)</w:t>
      </w:r>
      <w:r w:rsidRPr="00E8642C">
        <w:rPr>
          <w:rFonts w:cs="Arial"/>
          <w:szCs w:val="22"/>
        </w:rPr>
        <w:tab/>
        <w:t>aux peuples tribaux dans les pays indépendants qui se distinguent des autres secteurs de la communauté nationale par leurs conditions sociales, culturelles et économiques et qui sont régis totalement ou partiellement par des coutumes ou des traditions qui leur sont propres ou par une législation spéciale;</w:t>
      </w:r>
    </w:p>
    <w:p w:rsidR="00AD541F" w:rsidRDefault="00DD607D" w:rsidP="00AD541F">
      <w:pPr>
        <w:pStyle w:val="FootnoteText"/>
        <w:spacing w:after="220"/>
        <w:ind w:firstLine="0"/>
        <w:rPr>
          <w:rFonts w:cs="Arial"/>
          <w:iCs/>
          <w:szCs w:val="22"/>
        </w:rPr>
      </w:pPr>
      <w:r w:rsidRPr="00E8642C">
        <w:rPr>
          <w:rFonts w:cs="Arial"/>
          <w:szCs w:val="22"/>
        </w:rPr>
        <w:t>“b)</w:t>
      </w:r>
      <w:r w:rsidRPr="00E8642C">
        <w:rPr>
          <w:rFonts w:cs="Arial"/>
          <w:szCs w:val="22"/>
        </w:rPr>
        <w:tab/>
        <w:t>aux peuples dans les pays indépendants qui sont considérés comme indigènes du fait qu</w:t>
      </w:r>
      <w:r w:rsidR="00D91476">
        <w:rPr>
          <w:rFonts w:cs="Arial"/>
          <w:szCs w:val="22"/>
        </w:rPr>
        <w:t>’</w:t>
      </w:r>
      <w:r w:rsidRPr="00E8642C">
        <w:rPr>
          <w:rFonts w:cs="Arial"/>
          <w:szCs w:val="22"/>
        </w:rPr>
        <w:t>ils descendent des populations qui habitaient le pays, ou une région géographique à laquelle appartient le pays, à l</w:t>
      </w:r>
      <w:r w:rsidR="00D91476">
        <w:rPr>
          <w:rFonts w:cs="Arial"/>
          <w:szCs w:val="22"/>
        </w:rPr>
        <w:t>’</w:t>
      </w:r>
      <w:r w:rsidRPr="00E8642C">
        <w:rPr>
          <w:rFonts w:cs="Arial"/>
          <w:szCs w:val="22"/>
        </w:rPr>
        <w:t>époque de la conquête ou de la colonisation ou de l</w:t>
      </w:r>
      <w:r w:rsidR="00D91476">
        <w:rPr>
          <w:rFonts w:cs="Arial"/>
          <w:szCs w:val="22"/>
        </w:rPr>
        <w:t>’</w:t>
      </w:r>
      <w:r w:rsidRPr="00E8642C">
        <w:rPr>
          <w:rFonts w:cs="Arial"/>
          <w:szCs w:val="22"/>
        </w:rPr>
        <w:t>établissement des frontières actuelles de l</w:t>
      </w:r>
      <w:r w:rsidR="00D91476">
        <w:rPr>
          <w:rFonts w:cs="Arial"/>
          <w:szCs w:val="22"/>
        </w:rPr>
        <w:t>’</w:t>
      </w:r>
      <w:r w:rsidRPr="00E8642C">
        <w:rPr>
          <w:rFonts w:cs="Arial"/>
          <w:szCs w:val="22"/>
        </w:rPr>
        <w:t>État, et qui, quel que soit leur statut juridique, conservent leurs institutions sociales, économiques, culturelles et politiques propres ou certaines d</w:t>
      </w:r>
      <w:r w:rsidR="00D91476">
        <w:rPr>
          <w:rFonts w:cs="Arial"/>
          <w:szCs w:val="22"/>
        </w:rPr>
        <w:t>’</w:t>
      </w:r>
      <w:r w:rsidRPr="00E8642C">
        <w:rPr>
          <w:rFonts w:cs="Arial"/>
          <w:szCs w:val="22"/>
        </w:rPr>
        <w:t>entre elles”</w:t>
      </w:r>
      <w:r w:rsidRPr="00E8642C">
        <w:rPr>
          <w:rStyle w:val="FootnoteReference"/>
          <w:rFonts w:cs="Arial"/>
          <w:szCs w:val="22"/>
        </w:rPr>
        <w:footnoteReference w:id="121"/>
      </w:r>
      <w:r w:rsidRPr="00E8642C">
        <w:rPr>
          <w:rFonts w:cs="Arial"/>
          <w:szCs w:val="22"/>
        </w:rPr>
        <w:t>.</w:t>
      </w:r>
    </w:p>
    <w:p w:rsidR="00AD541F" w:rsidRDefault="00DD607D" w:rsidP="00AD541F">
      <w:pPr>
        <w:spacing w:after="220"/>
        <w:rPr>
          <w:rFonts w:cs="Arial"/>
          <w:szCs w:val="22"/>
        </w:rPr>
      </w:pPr>
      <w:r w:rsidRPr="00E8642C">
        <w:rPr>
          <w:rFonts w:cs="Arial"/>
          <w:szCs w:val="22"/>
        </w:rPr>
        <w:t xml:space="preserve">Le Programme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environnement (PNUE) donne dans sa liste d</w:t>
      </w:r>
      <w:r w:rsidR="00D91476">
        <w:rPr>
          <w:rFonts w:cs="Arial"/>
          <w:szCs w:val="22"/>
        </w:rPr>
        <w:t>’</w:t>
      </w:r>
      <w:r w:rsidRPr="00E8642C">
        <w:rPr>
          <w:rFonts w:cs="Arial"/>
          <w:szCs w:val="22"/>
        </w:rPr>
        <w:t>acronymes et son glossaire la définition ci</w:t>
      </w:r>
      <w:r w:rsidR="00400337">
        <w:rPr>
          <w:rFonts w:cs="Arial"/>
          <w:szCs w:val="22"/>
        </w:rPr>
        <w:noBreakHyphen/>
      </w:r>
      <w:r w:rsidRPr="00E8642C">
        <w:rPr>
          <w:rFonts w:cs="Arial"/>
          <w:szCs w:val="22"/>
        </w:rPr>
        <w:t>après pour l</w:t>
      </w:r>
      <w:r w:rsidR="00D91476">
        <w:rPr>
          <w:rFonts w:cs="Arial"/>
          <w:szCs w:val="22"/>
        </w:rPr>
        <w:t>’</w:t>
      </w:r>
      <w:r w:rsidRPr="00E8642C">
        <w:rPr>
          <w:rFonts w:cs="Arial"/>
          <w:szCs w:val="22"/>
        </w:rPr>
        <w:t>expression “peuples autochtones</w:t>
      </w:r>
      <w:r w:rsidR="00D91476">
        <w:rPr>
          <w:rFonts w:cs="Arial"/>
          <w:szCs w:val="22"/>
        </w:rPr>
        <w:t> :</w:t>
      </w:r>
      <w:r w:rsidRPr="00E8642C">
        <w:rPr>
          <w:rFonts w:cs="Arial"/>
          <w:szCs w:val="22"/>
        </w:rPr>
        <w:t xml:space="preserve"> “Aucune définition universelle standa</w:t>
      </w:r>
      <w:r w:rsidR="001F3AEE" w:rsidRPr="00E8642C">
        <w:rPr>
          <w:rFonts w:cs="Arial"/>
          <w:szCs w:val="22"/>
        </w:rPr>
        <w:t>rd</w:t>
      </w:r>
      <w:r w:rsidR="001F3AEE">
        <w:rPr>
          <w:rFonts w:cs="Arial"/>
          <w:szCs w:val="22"/>
        </w:rPr>
        <w:t xml:space="preserve">.  </w:t>
      </w:r>
      <w:r w:rsidR="001F3AEE" w:rsidRPr="00E8642C">
        <w:rPr>
          <w:rFonts w:cs="Arial"/>
          <w:szCs w:val="22"/>
        </w:rPr>
        <w:t>S</w:t>
      </w:r>
      <w:r w:rsidR="001F3AEE">
        <w:rPr>
          <w:rFonts w:cs="Arial"/>
          <w:szCs w:val="22"/>
        </w:rPr>
        <w:t>’</w:t>
      </w:r>
      <w:r w:rsidR="001F3AEE" w:rsidRPr="00E8642C">
        <w:rPr>
          <w:rFonts w:cs="Arial"/>
          <w:szCs w:val="22"/>
        </w:rPr>
        <w:t>e</w:t>
      </w:r>
      <w:r w:rsidRPr="00E8642C">
        <w:rPr>
          <w:rFonts w:cs="Arial"/>
          <w:szCs w:val="22"/>
        </w:rPr>
        <w:t>ntend généralement des groupes culturels et de leurs descendances qui témoignant d</w:t>
      </w:r>
      <w:r w:rsidR="00D91476">
        <w:rPr>
          <w:rFonts w:cs="Arial"/>
          <w:szCs w:val="22"/>
        </w:rPr>
        <w:t>’</w:t>
      </w:r>
      <w:r w:rsidRPr="00E8642C">
        <w:rPr>
          <w:rFonts w:cs="Arial"/>
          <w:szCs w:val="22"/>
        </w:rPr>
        <w:t>une continuité ou d</w:t>
      </w:r>
      <w:r w:rsidR="00D91476">
        <w:rPr>
          <w:rFonts w:cs="Arial"/>
          <w:szCs w:val="22"/>
        </w:rPr>
        <w:t>’</w:t>
      </w:r>
      <w:r w:rsidRPr="00E8642C">
        <w:rPr>
          <w:rFonts w:cs="Arial"/>
          <w:szCs w:val="22"/>
        </w:rPr>
        <w:t>un lien historique avec une région donnée ou avec des parties d</w:t>
      </w:r>
      <w:r w:rsidR="00D91476">
        <w:rPr>
          <w:rFonts w:cs="Arial"/>
          <w:szCs w:val="22"/>
        </w:rPr>
        <w:t>’</w:t>
      </w:r>
      <w:r w:rsidRPr="00E8642C">
        <w:rPr>
          <w:rFonts w:cs="Arial"/>
          <w:szCs w:val="22"/>
        </w:rPr>
        <w:t>une région et qui habitent actuellement ou qui ont habité auparavant dans cette région soit avant qu</w:t>
      </w:r>
      <w:r w:rsidR="00D91476">
        <w:rPr>
          <w:rFonts w:cs="Arial"/>
          <w:szCs w:val="22"/>
        </w:rPr>
        <w:t>’</w:t>
      </w:r>
      <w:r w:rsidRPr="00E8642C">
        <w:rPr>
          <w:rFonts w:cs="Arial"/>
          <w:szCs w:val="22"/>
        </w:rPr>
        <w:t>elle ne soit colonisée ou annexée, soit aux côtés d</w:t>
      </w:r>
      <w:r w:rsidR="00D91476">
        <w:rPr>
          <w:rFonts w:cs="Arial"/>
          <w:szCs w:val="22"/>
        </w:rPr>
        <w:t>’</w:t>
      </w:r>
      <w:r w:rsidRPr="00E8642C">
        <w:rPr>
          <w:rFonts w:cs="Arial"/>
          <w:szCs w:val="22"/>
        </w:rPr>
        <w:t>autres groupes culturels durant la formation d</w:t>
      </w:r>
      <w:r w:rsidR="00D91476">
        <w:rPr>
          <w:rFonts w:cs="Arial"/>
          <w:szCs w:val="22"/>
        </w:rPr>
        <w:t>’</w:t>
      </w:r>
      <w:r w:rsidRPr="00E8642C">
        <w:rPr>
          <w:rFonts w:cs="Arial"/>
          <w:szCs w:val="22"/>
        </w:rPr>
        <w:t>une nation</w:t>
      </w:r>
      <w:r w:rsidR="00400337">
        <w:rPr>
          <w:rFonts w:cs="Arial"/>
          <w:szCs w:val="22"/>
        </w:rPr>
        <w:noBreakHyphen/>
      </w:r>
      <w:r w:rsidRPr="00E8642C">
        <w:rPr>
          <w:rFonts w:cs="Arial"/>
          <w:szCs w:val="22"/>
        </w:rPr>
        <w:t>État, ou indépendamment ou de manière très isolée de l</w:t>
      </w:r>
      <w:r w:rsidR="00D91476">
        <w:rPr>
          <w:rFonts w:cs="Arial"/>
          <w:szCs w:val="22"/>
        </w:rPr>
        <w:t>’</w:t>
      </w:r>
      <w:r w:rsidRPr="00E8642C">
        <w:rPr>
          <w:rFonts w:cs="Arial"/>
          <w:szCs w:val="22"/>
        </w:rPr>
        <w:t>influence de l</w:t>
      </w:r>
      <w:r w:rsidR="00D91476">
        <w:rPr>
          <w:rFonts w:cs="Arial"/>
          <w:szCs w:val="22"/>
        </w:rPr>
        <w:t>’</w:t>
      </w:r>
      <w:r w:rsidRPr="00E8642C">
        <w:rPr>
          <w:rFonts w:cs="Arial"/>
          <w:szCs w:val="22"/>
        </w:rPr>
        <w:t>instance dirigeante officielle d</w:t>
      </w:r>
      <w:r w:rsidR="00D91476">
        <w:rPr>
          <w:rFonts w:cs="Arial"/>
          <w:szCs w:val="22"/>
        </w:rPr>
        <w:t>’</w:t>
      </w:r>
      <w:r w:rsidRPr="00E8642C">
        <w:rPr>
          <w:rFonts w:cs="Arial"/>
          <w:szCs w:val="22"/>
        </w:rPr>
        <w:t>une nation</w:t>
      </w:r>
      <w:r w:rsidR="00400337">
        <w:rPr>
          <w:rFonts w:cs="Arial"/>
          <w:szCs w:val="22"/>
        </w:rPr>
        <w:noBreakHyphen/>
      </w:r>
      <w:r w:rsidRPr="00E8642C">
        <w:rPr>
          <w:rFonts w:cs="Arial"/>
          <w:szCs w:val="22"/>
        </w:rPr>
        <w:t>État, et qui ont en outre maintenu, du moins en partie, des particularités linguistiques, culturelles, sociales et organisationnelles distinctes et qui, ce faisant, se distinguent dans une certaine mesure des populations environnantes et de la culture dominante de la nation</w:t>
      </w:r>
      <w:r w:rsidR="00400337">
        <w:rPr>
          <w:rFonts w:cs="Arial"/>
          <w:szCs w:val="22"/>
        </w:rPr>
        <w:noBreakHyphen/>
      </w:r>
      <w:r w:rsidRPr="00E8642C">
        <w:rPr>
          <w:rFonts w:cs="Arial"/>
          <w:szCs w:val="22"/>
        </w:rPr>
        <w:t>Ét</w:t>
      </w:r>
      <w:r w:rsidR="001F3AEE" w:rsidRPr="00E8642C">
        <w:rPr>
          <w:rFonts w:cs="Arial"/>
          <w:szCs w:val="22"/>
        </w:rPr>
        <w:t>at</w:t>
      </w:r>
      <w:r w:rsidR="001F3AEE">
        <w:rPr>
          <w:rFonts w:cs="Arial"/>
          <w:szCs w:val="22"/>
        </w:rPr>
        <w:t xml:space="preserve">.  </w:t>
      </w:r>
      <w:r w:rsidR="001F3AEE" w:rsidRPr="00E8642C">
        <w:rPr>
          <w:rFonts w:cs="Arial"/>
          <w:szCs w:val="22"/>
        </w:rPr>
        <w:t>S</w:t>
      </w:r>
      <w:r w:rsidR="001F3AEE">
        <w:rPr>
          <w:rFonts w:cs="Arial"/>
          <w:szCs w:val="22"/>
        </w:rPr>
        <w:t>’</w:t>
      </w:r>
      <w:r w:rsidR="001F3AEE" w:rsidRPr="00E8642C">
        <w:rPr>
          <w:rFonts w:cs="Arial"/>
          <w:szCs w:val="22"/>
        </w:rPr>
        <w:t>e</w:t>
      </w:r>
      <w:r w:rsidRPr="00E8642C">
        <w:rPr>
          <w:rFonts w:cs="Arial"/>
          <w:szCs w:val="22"/>
        </w:rPr>
        <w:t>ntend également des peuples qui se définissent en tant que tels, et de ceux reconnus comme tels par d</w:t>
      </w:r>
      <w:r w:rsidR="00D91476">
        <w:rPr>
          <w:rFonts w:cs="Arial"/>
          <w:szCs w:val="22"/>
        </w:rPr>
        <w:t>’</w:t>
      </w:r>
      <w:r w:rsidRPr="00E8642C">
        <w:rPr>
          <w:rFonts w:cs="Arial"/>
          <w:szCs w:val="22"/>
        </w:rPr>
        <w:t>autres groupes”</w:t>
      </w:r>
      <w:r w:rsidRPr="00E8642C">
        <w:rPr>
          <w:rStyle w:val="FootnoteReference"/>
          <w:rFonts w:cs="Arial"/>
          <w:szCs w:val="22"/>
        </w:rPr>
        <w:footnoteReference w:id="122"/>
      </w:r>
      <w:r w:rsidRPr="00E8642C">
        <w:rPr>
          <w:rFonts w:cs="Arial"/>
          <w:szCs w:val="22"/>
        </w:rPr>
        <w:t>.</w:t>
      </w:r>
    </w:p>
    <w:p w:rsidR="00AD541F" w:rsidRDefault="00DD607D" w:rsidP="00AD541F">
      <w:pPr>
        <w:spacing w:after="220"/>
        <w:rPr>
          <w:rFonts w:cs="Arial"/>
          <w:szCs w:val="22"/>
        </w:rPr>
      </w:pPr>
      <w:r w:rsidRPr="00E8642C">
        <w:rPr>
          <w:rFonts w:cs="Arial"/>
          <w:szCs w:val="22"/>
        </w:rPr>
        <w:t>La Banque mondiale utilise l</w:t>
      </w:r>
      <w:r w:rsidR="00D91476">
        <w:rPr>
          <w:rFonts w:cs="Arial"/>
          <w:szCs w:val="22"/>
        </w:rPr>
        <w:t>’</w:t>
      </w:r>
      <w:r w:rsidRPr="00E8642C">
        <w:rPr>
          <w:rFonts w:cs="Arial"/>
          <w:szCs w:val="22"/>
        </w:rPr>
        <w:t>expression “peuples autochtones” au sens générique pour désigner des groupes distincts ayant les caractéristiques ci</w:t>
      </w:r>
      <w:r w:rsidR="00400337">
        <w:rPr>
          <w:rFonts w:cs="Arial"/>
          <w:szCs w:val="22"/>
        </w:rPr>
        <w:noBreakHyphen/>
      </w:r>
      <w:r w:rsidRPr="00E8642C">
        <w:rPr>
          <w:rFonts w:cs="Arial"/>
          <w:szCs w:val="22"/>
        </w:rPr>
        <w:t>après à divers degrés</w:t>
      </w:r>
      <w:r w:rsidR="00D91476">
        <w:rPr>
          <w:rFonts w:cs="Arial"/>
          <w:szCs w:val="22"/>
        </w:rPr>
        <w:t> :</w:t>
      </w:r>
    </w:p>
    <w:p w:rsidR="00AD541F" w:rsidRDefault="00DD607D" w:rsidP="00AD541F">
      <w:pPr>
        <w:pStyle w:val="Default"/>
        <w:numPr>
          <w:ilvl w:val="0"/>
          <w:numId w:val="21"/>
        </w:numPr>
        <w:tabs>
          <w:tab w:val="clear" w:pos="720"/>
        </w:tabs>
        <w:spacing w:after="220"/>
        <w:ind w:left="567" w:firstLine="0"/>
        <w:rPr>
          <w:rFonts w:ascii="Arial" w:hAnsi="Arial" w:cs="Arial"/>
          <w:color w:val="auto"/>
          <w:sz w:val="22"/>
          <w:szCs w:val="22"/>
          <w:lang w:val="fr-FR"/>
        </w:rPr>
      </w:pPr>
      <w:proofErr w:type="gramStart"/>
      <w:r w:rsidRPr="00E8642C">
        <w:rPr>
          <w:rFonts w:ascii="Arial" w:hAnsi="Arial" w:cs="Arial"/>
          <w:color w:val="auto"/>
          <w:sz w:val="22"/>
          <w:szCs w:val="22"/>
          <w:lang w:val="fr-FR"/>
        </w:rPr>
        <w:t>auto</w:t>
      </w:r>
      <w:proofErr w:type="gramEnd"/>
      <w:r w:rsidR="00400337">
        <w:rPr>
          <w:rFonts w:ascii="Arial" w:hAnsi="Arial" w:cs="Arial"/>
          <w:color w:val="auto"/>
          <w:sz w:val="22"/>
          <w:szCs w:val="22"/>
          <w:lang w:val="fr-FR"/>
        </w:rPr>
        <w:noBreakHyphen/>
      </w:r>
      <w:r w:rsidRPr="00E8642C">
        <w:rPr>
          <w:rFonts w:ascii="Arial" w:hAnsi="Arial" w:cs="Arial"/>
          <w:color w:val="auto"/>
          <w:sz w:val="22"/>
          <w:szCs w:val="22"/>
          <w:lang w:val="fr-FR"/>
        </w:rPr>
        <w:t>identification en tant que membres d</w:t>
      </w:r>
      <w:r w:rsidR="00D91476">
        <w:rPr>
          <w:rFonts w:ascii="Arial" w:hAnsi="Arial" w:cs="Arial"/>
          <w:color w:val="auto"/>
          <w:sz w:val="22"/>
          <w:szCs w:val="22"/>
          <w:lang w:val="fr-FR"/>
        </w:rPr>
        <w:t>’</w:t>
      </w:r>
      <w:r w:rsidRPr="00E8642C">
        <w:rPr>
          <w:rFonts w:ascii="Arial" w:hAnsi="Arial" w:cs="Arial"/>
          <w:color w:val="auto"/>
          <w:sz w:val="22"/>
          <w:szCs w:val="22"/>
          <w:lang w:val="fr-FR"/>
        </w:rPr>
        <w:t>un groupe culturel autochtone distinct et reconnaissance de cette identité par des tiers;</w:t>
      </w:r>
    </w:p>
    <w:p w:rsidR="00AD541F" w:rsidRDefault="00DD607D" w:rsidP="00AD541F">
      <w:pPr>
        <w:pStyle w:val="Default"/>
        <w:numPr>
          <w:ilvl w:val="0"/>
          <w:numId w:val="21"/>
        </w:numPr>
        <w:tabs>
          <w:tab w:val="clear" w:pos="720"/>
        </w:tabs>
        <w:spacing w:after="220"/>
        <w:ind w:left="567" w:firstLine="0"/>
        <w:rPr>
          <w:rFonts w:ascii="Arial" w:hAnsi="Arial" w:cs="Arial"/>
          <w:color w:val="auto"/>
          <w:sz w:val="22"/>
          <w:szCs w:val="22"/>
          <w:lang w:val="fr-FR"/>
        </w:rPr>
      </w:pPr>
      <w:proofErr w:type="gramStart"/>
      <w:r w:rsidRPr="00E8642C">
        <w:rPr>
          <w:rFonts w:ascii="Arial" w:hAnsi="Arial" w:cs="Arial"/>
          <w:color w:val="auto"/>
          <w:sz w:val="22"/>
          <w:szCs w:val="22"/>
          <w:lang w:val="fr-FR"/>
        </w:rPr>
        <w:t>attachement</w:t>
      </w:r>
      <w:proofErr w:type="gramEnd"/>
      <w:r w:rsidRPr="00E8642C">
        <w:rPr>
          <w:rFonts w:ascii="Arial" w:hAnsi="Arial" w:cs="Arial"/>
          <w:color w:val="auto"/>
          <w:sz w:val="22"/>
          <w:szCs w:val="22"/>
          <w:lang w:val="fr-FR"/>
        </w:rPr>
        <w:t xml:space="preserve"> collectif à des habitats géographiquement distincts ou à des territoires ancestraux dans la zone du projet et à des ressources naturelles dans ces habitats et sur ces territoires;</w:t>
      </w:r>
    </w:p>
    <w:p w:rsidR="00AD541F" w:rsidRDefault="00DD607D" w:rsidP="00AD541F">
      <w:pPr>
        <w:pStyle w:val="Default"/>
        <w:numPr>
          <w:ilvl w:val="0"/>
          <w:numId w:val="21"/>
        </w:numPr>
        <w:tabs>
          <w:tab w:val="clear" w:pos="720"/>
        </w:tabs>
        <w:spacing w:after="220"/>
        <w:ind w:left="567" w:firstLine="0"/>
        <w:rPr>
          <w:rFonts w:ascii="Arial" w:hAnsi="Arial" w:cs="Arial"/>
          <w:color w:val="auto"/>
          <w:sz w:val="22"/>
          <w:szCs w:val="22"/>
          <w:lang w:val="fr-FR"/>
        </w:rPr>
      </w:pPr>
      <w:proofErr w:type="gramStart"/>
      <w:r w:rsidRPr="00E8642C">
        <w:rPr>
          <w:rFonts w:ascii="Arial" w:hAnsi="Arial" w:cs="Arial"/>
          <w:sz w:val="22"/>
          <w:szCs w:val="22"/>
          <w:lang w:val="fr-FR"/>
        </w:rPr>
        <w:t>institutions</w:t>
      </w:r>
      <w:proofErr w:type="gramEnd"/>
      <w:r w:rsidRPr="00E8642C">
        <w:rPr>
          <w:rFonts w:ascii="Arial" w:hAnsi="Arial" w:cs="Arial"/>
          <w:sz w:val="22"/>
          <w:szCs w:val="22"/>
          <w:lang w:val="fr-FR"/>
        </w:rPr>
        <w:t xml:space="preserve"> culturelles, économiques, sociales ou politiques coutumières distinctes de celles de la société et de la culture dominantes;  et</w:t>
      </w:r>
    </w:p>
    <w:p w:rsidR="00AD541F" w:rsidRDefault="00DD607D" w:rsidP="00AD541F">
      <w:pPr>
        <w:pStyle w:val="Default"/>
        <w:numPr>
          <w:ilvl w:val="0"/>
          <w:numId w:val="21"/>
        </w:numPr>
        <w:tabs>
          <w:tab w:val="clear" w:pos="720"/>
        </w:tabs>
        <w:spacing w:after="220"/>
        <w:ind w:left="567" w:firstLine="0"/>
        <w:rPr>
          <w:rFonts w:ascii="Arial" w:hAnsi="Arial" w:cs="Arial"/>
          <w:color w:val="auto"/>
          <w:sz w:val="22"/>
          <w:szCs w:val="22"/>
          <w:lang w:val="fr-FR"/>
        </w:rPr>
      </w:pPr>
      <w:r w:rsidRPr="00E8642C">
        <w:rPr>
          <w:rFonts w:ascii="Arial" w:hAnsi="Arial" w:cs="Arial"/>
          <w:color w:val="auto"/>
          <w:sz w:val="22"/>
          <w:szCs w:val="22"/>
          <w:lang w:val="fr-FR"/>
        </w:rPr>
        <w:t>langue autochtone, souvent différente de la langue officielle du pays ou de la région</w:t>
      </w:r>
      <w:r w:rsidRPr="00E8642C">
        <w:rPr>
          <w:rStyle w:val="FootnoteReference"/>
          <w:rFonts w:ascii="Arial" w:hAnsi="Arial" w:cs="Arial"/>
          <w:color w:val="auto"/>
          <w:sz w:val="22"/>
          <w:szCs w:val="22"/>
          <w:lang w:val="fr-FR"/>
        </w:rPr>
        <w:footnoteReference w:id="123"/>
      </w:r>
      <w:r w:rsidRPr="00E8642C">
        <w:rPr>
          <w:rFonts w:ascii="Arial" w:hAnsi="Arial" w:cs="Arial"/>
          <w:color w:val="auto"/>
          <w:sz w:val="22"/>
          <w:szCs w:val="22"/>
          <w:lang w:val="fr-FR"/>
        </w:rPr>
        <w:t>.</w:t>
      </w:r>
    </w:p>
    <w:p w:rsidR="00DD607D" w:rsidRPr="00E8642C" w:rsidRDefault="00DD607D" w:rsidP="00AD541F">
      <w:pPr>
        <w:autoSpaceDE w:val="0"/>
        <w:autoSpaceDN w:val="0"/>
        <w:adjustRightInd w:val="0"/>
        <w:spacing w:after="220"/>
        <w:rPr>
          <w:rFonts w:cs="Arial"/>
          <w:iCs/>
          <w:szCs w:val="22"/>
        </w:rPr>
      </w:pPr>
      <w:r w:rsidRPr="00E8642C">
        <w:rPr>
          <w:rFonts w:cs="Arial"/>
          <w:iCs/>
          <w:szCs w:val="22"/>
        </w:rPr>
        <w:t>La politique d</w:t>
      </w:r>
      <w:r w:rsidR="00D91476">
        <w:rPr>
          <w:rFonts w:cs="Arial"/>
          <w:iCs/>
          <w:szCs w:val="22"/>
        </w:rPr>
        <w:t>’</w:t>
      </w:r>
      <w:r w:rsidRPr="00E8642C">
        <w:rPr>
          <w:rFonts w:cs="Arial"/>
          <w:iCs/>
          <w:szCs w:val="22"/>
        </w:rPr>
        <w:t>engagement aux côtés des peuples autochtones, élaborée par le Fonds international de développement agricole (FIDA) prévoit ce qui suit</w:t>
      </w:r>
      <w:r w:rsidR="00D91476">
        <w:rPr>
          <w:rFonts w:cs="Arial"/>
          <w:iCs/>
          <w:szCs w:val="22"/>
        </w:rPr>
        <w:t> :</w:t>
      </w:r>
      <w:r w:rsidRPr="00E8642C">
        <w:rPr>
          <w:rFonts w:cs="Arial"/>
          <w:iCs/>
          <w:szCs w:val="22"/>
        </w:rPr>
        <w:t xml:space="preserve"> “</w:t>
      </w:r>
      <w:r w:rsidRPr="00E8642C">
        <w:rPr>
          <w:rFonts w:cs="Arial"/>
          <w:szCs w:val="22"/>
          <w:lang w:eastAsia="en-US"/>
        </w:rPr>
        <w:t>En accord avec la pratique internationale</w:t>
      </w:r>
      <w:r w:rsidRPr="00E8642C">
        <w:rPr>
          <w:rStyle w:val="FootnoteReference"/>
          <w:rFonts w:cs="Arial"/>
          <w:iCs/>
          <w:szCs w:val="22"/>
        </w:rPr>
        <w:footnoteReference w:id="124"/>
      </w:r>
      <w:r w:rsidRPr="00E8642C">
        <w:rPr>
          <w:rFonts w:cs="Arial"/>
          <w:iCs/>
          <w:szCs w:val="22"/>
        </w:rPr>
        <w:t xml:space="preserve"> </w:t>
      </w:r>
      <w:r w:rsidRPr="00E8642C">
        <w:rPr>
          <w:rFonts w:cs="Arial"/>
          <w:szCs w:val="22"/>
          <w:lang w:eastAsia="en-US"/>
        </w:rPr>
        <w:t>et aux fins de la présente politique, le FIDA utilisera une définition de</w:t>
      </w:r>
      <w:r w:rsidRPr="00E8642C">
        <w:rPr>
          <w:rFonts w:cs="Arial"/>
          <w:iCs/>
          <w:szCs w:val="22"/>
        </w:rPr>
        <w:t xml:space="preserve"> travail des peuples autochtones reposant sur les critères ci</w:t>
      </w:r>
      <w:r w:rsidR="00400337">
        <w:rPr>
          <w:rFonts w:cs="Arial"/>
          <w:iCs/>
          <w:szCs w:val="22"/>
        </w:rPr>
        <w:noBreakHyphen/>
      </w:r>
      <w:r w:rsidRPr="00E8642C">
        <w:rPr>
          <w:rFonts w:cs="Arial"/>
          <w:iCs/>
          <w:szCs w:val="22"/>
        </w:rPr>
        <w:t>après</w:t>
      </w:r>
      <w:r w:rsidR="00D91476">
        <w:rPr>
          <w:rFonts w:cs="Arial"/>
          <w:iCs/>
          <w:szCs w:val="22"/>
        </w:rPr>
        <w:t> :</w:t>
      </w:r>
    </w:p>
    <w:p w:rsidR="00DD607D" w:rsidRPr="00E8642C" w:rsidRDefault="00DD607D" w:rsidP="00AD541F">
      <w:pPr>
        <w:tabs>
          <w:tab w:val="left" w:pos="1134"/>
        </w:tabs>
        <w:ind w:left="567"/>
        <w:rPr>
          <w:rFonts w:cs="Arial"/>
          <w:iCs/>
          <w:szCs w:val="22"/>
        </w:rPr>
      </w:pPr>
      <w:r w:rsidRPr="00E8642C">
        <w:rPr>
          <w:rFonts w:cs="Arial"/>
          <w:iCs/>
          <w:szCs w:val="22"/>
        </w:rPr>
        <w:t>–</w:t>
      </w:r>
      <w:r w:rsidRPr="00E8642C">
        <w:rPr>
          <w:rFonts w:cs="Arial"/>
          <w:iCs/>
          <w:szCs w:val="22"/>
        </w:rPr>
        <w:tab/>
        <w:t>l</w:t>
      </w:r>
      <w:r w:rsidR="00D91476">
        <w:rPr>
          <w:rFonts w:cs="Arial"/>
          <w:iCs/>
          <w:szCs w:val="22"/>
        </w:rPr>
        <w:t>’</w:t>
      </w:r>
      <w:r w:rsidRPr="00E8642C">
        <w:rPr>
          <w:rFonts w:cs="Arial"/>
          <w:iCs/>
          <w:szCs w:val="22"/>
        </w:rPr>
        <w:t>antériorité s</w:t>
      </w:r>
      <w:r w:rsidR="00D91476">
        <w:rPr>
          <w:rFonts w:cs="Arial"/>
          <w:iCs/>
          <w:szCs w:val="22"/>
        </w:rPr>
        <w:t>’</w:t>
      </w:r>
      <w:r w:rsidRPr="00E8642C">
        <w:rPr>
          <w:rFonts w:cs="Arial"/>
          <w:iCs/>
          <w:szCs w:val="22"/>
        </w:rPr>
        <w:t>agissant de l</w:t>
      </w:r>
      <w:r w:rsidR="00D91476">
        <w:rPr>
          <w:rFonts w:cs="Arial"/>
          <w:iCs/>
          <w:szCs w:val="22"/>
        </w:rPr>
        <w:t>’</w:t>
      </w:r>
      <w:r w:rsidRPr="00E8642C">
        <w:rPr>
          <w:rFonts w:cs="Arial"/>
          <w:iCs/>
          <w:szCs w:val="22"/>
        </w:rPr>
        <w:t>occupation et de l</w:t>
      </w:r>
      <w:r w:rsidR="00D91476">
        <w:rPr>
          <w:rFonts w:cs="Arial"/>
          <w:iCs/>
          <w:szCs w:val="22"/>
        </w:rPr>
        <w:t>’</w:t>
      </w:r>
      <w:r w:rsidRPr="00E8642C">
        <w:rPr>
          <w:rFonts w:cs="Arial"/>
          <w:iCs/>
          <w:szCs w:val="22"/>
        </w:rPr>
        <w:t>utilisation d</w:t>
      </w:r>
      <w:r w:rsidR="00D91476">
        <w:rPr>
          <w:rFonts w:cs="Arial"/>
          <w:iCs/>
          <w:szCs w:val="22"/>
        </w:rPr>
        <w:t>’</w:t>
      </w:r>
      <w:r w:rsidRPr="00E8642C">
        <w:rPr>
          <w:rFonts w:cs="Arial"/>
          <w:iCs/>
          <w:szCs w:val="22"/>
        </w:rPr>
        <w:t>un territoire donné;</w:t>
      </w: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maintien volontaire d</w:t>
      </w:r>
      <w:r w:rsidR="00D91476">
        <w:rPr>
          <w:rFonts w:cs="Arial"/>
          <w:iCs/>
          <w:szCs w:val="22"/>
        </w:rPr>
        <w:t>’</w:t>
      </w:r>
      <w:r w:rsidRPr="00E8642C">
        <w:rPr>
          <w:rFonts w:cs="Arial"/>
          <w:iCs/>
          <w:szCs w:val="22"/>
        </w:rPr>
        <w:t>un particularisme culturel qui peut se manifester par certains aspects de la langue, une organisation sociale, des valeurs religieuses ou spirituelles, des modes de production, des lois ou des institutions;</w:t>
      </w: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sentiment d</w:t>
      </w:r>
      <w:r w:rsidR="00D91476">
        <w:rPr>
          <w:rFonts w:cs="Arial"/>
          <w:iCs/>
          <w:szCs w:val="22"/>
        </w:rPr>
        <w:t>’</w:t>
      </w:r>
      <w:r w:rsidRPr="00E8642C">
        <w:rPr>
          <w:rFonts w:cs="Arial"/>
          <w:iCs/>
          <w:szCs w:val="22"/>
        </w:rPr>
        <w:t>appartenance à un groupe, ainsi que la reconnaissance par d</w:t>
      </w:r>
      <w:r w:rsidR="00D91476">
        <w:rPr>
          <w:rFonts w:cs="Arial"/>
          <w:iCs/>
          <w:szCs w:val="22"/>
        </w:rPr>
        <w:t>’</w:t>
      </w:r>
      <w:r w:rsidRPr="00E8642C">
        <w:rPr>
          <w:rFonts w:cs="Arial"/>
          <w:iCs/>
          <w:szCs w:val="22"/>
        </w:rPr>
        <w:t xml:space="preserve">autres groupes ou par les autorités nationales en tant que collectivité </w:t>
      </w:r>
      <w:proofErr w:type="gramStart"/>
      <w:r w:rsidRPr="00E8642C">
        <w:rPr>
          <w:rFonts w:cs="Arial"/>
          <w:iCs/>
          <w:szCs w:val="22"/>
        </w:rPr>
        <w:t>distincte;  et</w:t>
      </w:r>
      <w:proofErr w:type="gramEnd"/>
    </w:p>
    <w:p w:rsidR="00AD541F" w:rsidRDefault="00DD607D" w:rsidP="00AD541F">
      <w:pPr>
        <w:spacing w:after="220"/>
        <w:ind w:left="567"/>
        <w:rPr>
          <w:rFonts w:cs="Arial"/>
          <w:iCs/>
          <w:szCs w:val="22"/>
        </w:rPr>
      </w:pPr>
      <w:r w:rsidRPr="00E8642C">
        <w:rPr>
          <w:rFonts w:cs="Arial"/>
          <w:iCs/>
          <w:szCs w:val="22"/>
        </w:rPr>
        <w:t>–</w:t>
      </w:r>
      <w:r w:rsidRPr="00E8642C">
        <w:rPr>
          <w:rFonts w:cs="Arial"/>
          <w:iCs/>
          <w:szCs w:val="22"/>
        </w:rPr>
        <w:tab/>
        <w:t>le fait d</w:t>
      </w:r>
      <w:r w:rsidR="00D91476">
        <w:rPr>
          <w:rFonts w:cs="Arial"/>
          <w:iCs/>
          <w:szCs w:val="22"/>
        </w:rPr>
        <w:t>’</w:t>
      </w:r>
      <w:r w:rsidRPr="00E8642C">
        <w:rPr>
          <w:rFonts w:cs="Arial"/>
          <w:iCs/>
          <w:szCs w:val="22"/>
        </w:rPr>
        <w:t>avoir été soumis, marginalisé, dépossédé, exclus ou victime de discrimination”</w:t>
      </w:r>
      <w:r w:rsidRPr="00E8642C">
        <w:rPr>
          <w:rStyle w:val="FootnoteReference"/>
          <w:rFonts w:cs="Arial"/>
          <w:iCs/>
          <w:szCs w:val="22"/>
        </w:rPr>
        <w:footnoteReference w:id="125"/>
      </w:r>
      <w:r w:rsidRPr="00E8642C">
        <w:rPr>
          <w:rFonts w:cs="Arial"/>
          <w:iCs/>
          <w:szCs w:val="22"/>
        </w:rPr>
        <w:t>.</w:t>
      </w:r>
    </w:p>
    <w:p w:rsidR="00AD541F" w:rsidRDefault="00DD607D" w:rsidP="00AD541F">
      <w:pPr>
        <w:spacing w:after="220"/>
        <w:rPr>
          <w:rFonts w:cs="Arial"/>
          <w:iCs/>
          <w:szCs w:val="22"/>
        </w:rPr>
      </w:pPr>
      <w:r w:rsidRPr="00E8642C">
        <w:rPr>
          <w:rFonts w:cs="Arial"/>
          <w:iCs/>
          <w:szCs w:val="22"/>
        </w:rPr>
        <w:t>Il est indiqué dans le document intitulé “Le PNUD et les peuples autochtones</w:t>
      </w:r>
      <w:r w:rsidR="00D91476">
        <w:rPr>
          <w:rFonts w:cs="Arial"/>
          <w:iCs/>
          <w:szCs w:val="22"/>
        </w:rPr>
        <w:t> :</w:t>
      </w:r>
      <w:r w:rsidRPr="00E8642C">
        <w:rPr>
          <w:rFonts w:cs="Arial"/>
          <w:iCs/>
          <w:szCs w:val="22"/>
        </w:rPr>
        <w:t xml:space="preserve"> une politique d</w:t>
      </w:r>
      <w:r w:rsidR="00D91476">
        <w:rPr>
          <w:rFonts w:cs="Arial"/>
          <w:iCs/>
          <w:szCs w:val="22"/>
        </w:rPr>
        <w:t>’</w:t>
      </w:r>
      <w:r w:rsidRPr="00E8642C">
        <w:rPr>
          <w:rFonts w:cs="Arial"/>
          <w:iCs/>
          <w:szCs w:val="22"/>
        </w:rPr>
        <w:t>engagement”</w:t>
      </w:r>
      <w:r w:rsidRPr="00E8642C">
        <w:rPr>
          <w:rStyle w:val="FootnoteReference"/>
          <w:rFonts w:cs="Arial"/>
          <w:iCs/>
          <w:szCs w:val="22"/>
        </w:rPr>
        <w:footnoteReference w:id="126"/>
      </w:r>
      <w:r w:rsidRPr="00E8642C">
        <w:rPr>
          <w:rFonts w:cs="Arial"/>
          <w:iCs/>
          <w:szCs w:val="22"/>
        </w:rPr>
        <w:t>, que</w:t>
      </w:r>
      <w:r w:rsidR="00D91476">
        <w:rPr>
          <w:rFonts w:cs="Arial"/>
          <w:iCs/>
          <w:szCs w:val="22"/>
        </w:rPr>
        <w:t> :</w:t>
      </w:r>
      <w:r w:rsidRPr="00E8642C">
        <w:rPr>
          <w:rFonts w:cs="Arial"/>
          <w:iCs/>
          <w:szCs w:val="22"/>
        </w:rPr>
        <w:t xml:space="preserve"> “…a) les peuples autochtones vivent ordinairement dans les limites de territoires ancestraux géographiquement distincts (ou maintiennent des liens avec ceux</w:t>
      </w:r>
      <w:r w:rsidR="00400337">
        <w:rPr>
          <w:rFonts w:cs="Arial"/>
          <w:iCs/>
          <w:szCs w:val="22"/>
        </w:rPr>
        <w:noBreakHyphen/>
      </w:r>
      <w:r w:rsidRPr="00E8642C">
        <w:rPr>
          <w:rFonts w:cs="Arial"/>
          <w:iCs/>
          <w:szCs w:val="22"/>
        </w:rPr>
        <w:t>ci);  b) ils tendent à conserver des institutions sociales, économiques et politiques distinctes à l</w:t>
      </w:r>
      <w:r w:rsidR="00D91476">
        <w:rPr>
          <w:rFonts w:cs="Arial"/>
          <w:iCs/>
          <w:szCs w:val="22"/>
        </w:rPr>
        <w:t>’</w:t>
      </w:r>
      <w:r w:rsidRPr="00E8642C">
        <w:rPr>
          <w:rFonts w:cs="Arial"/>
          <w:iCs/>
          <w:szCs w:val="22"/>
        </w:rPr>
        <w:t>intérieur de leurs territoires;  c) ils aspirent généralement à demeurer distincts sur les plans culturel, géographique et institutionnel plutôt qu</w:t>
      </w:r>
      <w:r w:rsidR="00D91476">
        <w:rPr>
          <w:rFonts w:cs="Arial"/>
          <w:iCs/>
          <w:szCs w:val="22"/>
        </w:rPr>
        <w:t>’</w:t>
      </w:r>
      <w:r w:rsidRPr="00E8642C">
        <w:rPr>
          <w:rFonts w:cs="Arial"/>
          <w:iCs/>
          <w:szCs w:val="22"/>
        </w:rPr>
        <w:t>à s</w:t>
      </w:r>
      <w:r w:rsidR="00D91476">
        <w:rPr>
          <w:rFonts w:cs="Arial"/>
          <w:iCs/>
          <w:szCs w:val="22"/>
        </w:rPr>
        <w:t>’</w:t>
      </w:r>
      <w:r w:rsidRPr="00E8642C">
        <w:rPr>
          <w:rFonts w:cs="Arial"/>
          <w:iCs/>
          <w:szCs w:val="22"/>
        </w:rPr>
        <w:t>assimiler pleinement à la société nationale;  et d) ils s</w:t>
      </w:r>
      <w:r w:rsidR="00D91476">
        <w:rPr>
          <w:rFonts w:cs="Arial"/>
          <w:iCs/>
          <w:szCs w:val="22"/>
        </w:rPr>
        <w:t>’</w:t>
      </w:r>
      <w:r w:rsidRPr="00E8642C">
        <w:rPr>
          <w:rFonts w:cs="Arial"/>
          <w:iCs/>
          <w:szCs w:val="22"/>
        </w:rPr>
        <w:t>identifient eux</w:t>
      </w:r>
      <w:r w:rsidR="00400337">
        <w:rPr>
          <w:rFonts w:cs="Arial"/>
          <w:iCs/>
          <w:szCs w:val="22"/>
        </w:rPr>
        <w:noBreakHyphen/>
      </w:r>
      <w:r w:rsidRPr="00E8642C">
        <w:rPr>
          <w:rFonts w:cs="Arial"/>
          <w:iCs/>
          <w:szCs w:val="22"/>
        </w:rPr>
        <w:t>mêmes comme autochtones ou tribaux.”</w:t>
      </w:r>
    </w:p>
    <w:p w:rsidR="00AD541F" w:rsidRDefault="00DD607D" w:rsidP="00AD541F">
      <w:pPr>
        <w:spacing w:after="220"/>
        <w:rPr>
          <w:rFonts w:cs="Arial"/>
          <w:iCs/>
          <w:szCs w:val="22"/>
        </w:rPr>
      </w:pPr>
      <w:r w:rsidRPr="00E8642C">
        <w:rPr>
          <w:rFonts w:cs="Arial"/>
          <w:iCs/>
          <w:szCs w:val="22"/>
        </w:rPr>
        <w:t>En dépit de caractères communs, il n</w:t>
      </w:r>
      <w:r w:rsidR="00D91476">
        <w:rPr>
          <w:rFonts w:cs="Arial"/>
          <w:iCs/>
          <w:szCs w:val="22"/>
        </w:rPr>
        <w:t>’</w:t>
      </w:r>
      <w:r w:rsidRPr="00E8642C">
        <w:rPr>
          <w:rFonts w:cs="Arial"/>
          <w:iCs/>
          <w:szCs w:val="22"/>
        </w:rPr>
        <w:t>existe pas une seule définition admise des peuples autochtones qui saisisse leur diversité en tant que peupl</w:t>
      </w:r>
      <w:r w:rsidR="001F3AEE" w:rsidRPr="00E8642C">
        <w:rPr>
          <w:rFonts w:cs="Arial"/>
          <w:iCs/>
          <w:szCs w:val="22"/>
        </w:rPr>
        <w:t>es</w:t>
      </w:r>
      <w:r w:rsidR="001F3AEE">
        <w:rPr>
          <w:rFonts w:cs="Arial"/>
          <w:iCs/>
          <w:szCs w:val="22"/>
        </w:rPr>
        <w:t xml:space="preserve">.  </w:t>
      </w:r>
      <w:r w:rsidR="001F3AEE" w:rsidRPr="00E8642C">
        <w:rPr>
          <w:rFonts w:cs="Arial"/>
          <w:iCs/>
          <w:szCs w:val="22"/>
        </w:rPr>
        <w:t>L</w:t>
      </w:r>
      <w:r w:rsidR="001F3AEE">
        <w:rPr>
          <w:rFonts w:cs="Arial"/>
          <w:iCs/>
          <w:szCs w:val="22"/>
        </w:rPr>
        <w:t>’</w:t>
      </w:r>
      <w:r w:rsidR="001F3AEE" w:rsidRPr="00E8642C">
        <w:rPr>
          <w:rFonts w:cs="Arial"/>
          <w:iCs/>
          <w:szCs w:val="22"/>
        </w:rPr>
        <w:t>a</w:t>
      </w:r>
      <w:r w:rsidRPr="00E8642C">
        <w:rPr>
          <w:rFonts w:cs="Arial"/>
          <w:iCs/>
          <w:szCs w:val="22"/>
        </w:rPr>
        <w:t>uto</w:t>
      </w:r>
      <w:r w:rsidR="00400337">
        <w:rPr>
          <w:rFonts w:cs="Arial"/>
          <w:iCs/>
          <w:szCs w:val="22"/>
        </w:rPr>
        <w:noBreakHyphen/>
      </w:r>
      <w:r w:rsidRPr="00E8642C">
        <w:rPr>
          <w:rFonts w:cs="Arial"/>
          <w:iCs/>
          <w:szCs w:val="22"/>
        </w:rPr>
        <w:t>identification comme autochtones ou tribaux est généralement considérée comme un critère fondamental pour déterminer si des groupes sont autochtones ou tribaux, parfois en conjonction avec d</w:t>
      </w:r>
      <w:r w:rsidR="00D91476">
        <w:rPr>
          <w:rFonts w:cs="Arial"/>
          <w:iCs/>
          <w:szCs w:val="22"/>
        </w:rPr>
        <w:t>’</w:t>
      </w:r>
      <w:r w:rsidRPr="00E8642C">
        <w:rPr>
          <w:rFonts w:cs="Arial"/>
          <w:iCs/>
          <w:szCs w:val="22"/>
        </w:rPr>
        <w:t>autres variables telles qu</w:t>
      </w:r>
      <w:r w:rsidR="00D91476">
        <w:rPr>
          <w:rFonts w:cs="Arial"/>
          <w:iCs/>
          <w:szCs w:val="22"/>
        </w:rPr>
        <w:t>’</w:t>
      </w:r>
      <w:r w:rsidRPr="00E8642C">
        <w:rPr>
          <w:rFonts w:cs="Arial"/>
          <w:iCs/>
          <w:szCs w:val="22"/>
        </w:rPr>
        <w:t xml:space="preserve">un </w:t>
      </w:r>
      <w:r w:rsidR="00D91476">
        <w:rPr>
          <w:rFonts w:cs="Arial"/>
          <w:iCs/>
          <w:szCs w:val="22"/>
        </w:rPr>
        <w:t>‘</w:t>
      </w:r>
      <w:r w:rsidRPr="00E8642C">
        <w:rPr>
          <w:rFonts w:cs="Arial"/>
          <w:iCs/>
          <w:szCs w:val="22"/>
        </w:rPr>
        <w:t>langage parlé</w:t>
      </w:r>
      <w:r w:rsidR="00D91476">
        <w:rPr>
          <w:rFonts w:cs="Arial"/>
          <w:iCs/>
          <w:szCs w:val="22"/>
        </w:rPr>
        <w:t>’</w:t>
      </w:r>
      <w:r w:rsidRPr="00E8642C">
        <w:rPr>
          <w:rFonts w:cs="Arial"/>
          <w:iCs/>
          <w:szCs w:val="22"/>
        </w:rPr>
        <w:t xml:space="preserve">, et une </w:t>
      </w:r>
      <w:r w:rsidR="00D91476">
        <w:rPr>
          <w:rFonts w:cs="Arial"/>
          <w:iCs/>
          <w:szCs w:val="22"/>
        </w:rPr>
        <w:t>‘</w:t>
      </w:r>
      <w:r w:rsidRPr="00E8642C">
        <w:rPr>
          <w:rFonts w:cs="Arial"/>
          <w:iCs/>
          <w:szCs w:val="22"/>
        </w:rPr>
        <w:t>situation ou concentration géographique</w:t>
      </w:r>
      <w:r w:rsidR="00D91476">
        <w:rPr>
          <w:rFonts w:cs="Arial"/>
          <w:iCs/>
          <w:szCs w:val="22"/>
        </w:rPr>
        <w:t>’</w:t>
      </w:r>
      <w:r w:rsidRPr="00E8642C">
        <w:rPr>
          <w:rFonts w:cs="Arial"/>
          <w:iCs/>
          <w:szCs w:val="22"/>
        </w:rPr>
        <w:t>”.</w:t>
      </w:r>
    </w:p>
    <w:p w:rsidR="00AD541F" w:rsidRDefault="00DD607D" w:rsidP="00AD541F">
      <w:pPr>
        <w:spacing w:after="220"/>
        <w:rPr>
          <w:rFonts w:cs="Arial"/>
          <w:szCs w:val="22"/>
        </w:rPr>
      </w:pPr>
      <w:r w:rsidRPr="00E8642C">
        <w:rPr>
          <w:rFonts w:cs="Arial"/>
          <w:szCs w:val="22"/>
        </w:rPr>
        <w:t xml:space="preserve">Dans la loi péruvienne n° 27811 du 24 juillet 2002 établissant le </w:t>
      </w:r>
      <w:r w:rsidRPr="00E8642C">
        <w:rPr>
          <w:rFonts w:cs="Arial"/>
          <w:i/>
          <w:szCs w:val="22"/>
        </w:rPr>
        <w:t>Régime de protection des savoirs collectifs des peuples autochtones portant sur les ressources biologiques</w:t>
      </w:r>
      <w:r w:rsidRPr="00E8642C">
        <w:rPr>
          <w:rFonts w:cs="Arial"/>
          <w:szCs w:val="22"/>
        </w:rPr>
        <w:t xml:space="preserve"> on entend par “peuples autochtones” </w:t>
      </w:r>
      <w:r w:rsidRPr="00E8642C">
        <w:rPr>
          <w:rFonts w:cs="Arial"/>
          <w:iCs/>
          <w:szCs w:val="22"/>
        </w:rPr>
        <w:t>“les peuples originaires du territoire ayant des droits antérieurs à la formation de l</w:t>
      </w:r>
      <w:r w:rsidR="00D91476">
        <w:rPr>
          <w:rFonts w:cs="Arial"/>
          <w:iCs/>
          <w:szCs w:val="22"/>
        </w:rPr>
        <w:t>’</w:t>
      </w:r>
      <w:r w:rsidRPr="00E8642C">
        <w:rPr>
          <w:rFonts w:cs="Arial"/>
          <w:iCs/>
          <w:szCs w:val="22"/>
        </w:rPr>
        <w:t>État péruvien, entretenant une culture propre, disposant d</w:t>
      </w:r>
      <w:r w:rsidR="00D91476">
        <w:rPr>
          <w:rFonts w:cs="Arial"/>
          <w:iCs/>
          <w:szCs w:val="22"/>
        </w:rPr>
        <w:t>’</w:t>
      </w:r>
      <w:r w:rsidRPr="00E8642C">
        <w:rPr>
          <w:rFonts w:cs="Arial"/>
          <w:iCs/>
          <w:szCs w:val="22"/>
        </w:rPr>
        <w:t>un espace territorial et se reconnaissant eux</w:t>
      </w:r>
      <w:r w:rsidR="00400337">
        <w:rPr>
          <w:rFonts w:cs="Arial"/>
          <w:iCs/>
          <w:szCs w:val="22"/>
        </w:rPr>
        <w:noBreakHyphen/>
      </w:r>
      <w:r w:rsidRPr="00E8642C">
        <w:rPr>
          <w:rFonts w:cs="Arial"/>
          <w:iCs/>
          <w:szCs w:val="22"/>
        </w:rPr>
        <w:t xml:space="preserve">mêmes comme tels, </w:t>
      </w:r>
      <w:r w:rsidR="00D91476">
        <w:rPr>
          <w:rFonts w:cs="Arial"/>
          <w:iCs/>
          <w:szCs w:val="22"/>
        </w:rPr>
        <w:t>y compris</w:t>
      </w:r>
      <w:r w:rsidRPr="00E8642C">
        <w:rPr>
          <w:rFonts w:cs="Arial"/>
          <w:iCs/>
          <w:szCs w:val="22"/>
        </w:rPr>
        <w:t xml:space="preserve"> les peuples vivant dans un isolement volontaire et les peuples non identifiés, ainsi que les communautés paysannes et les communautés autochton</w:t>
      </w:r>
      <w:r w:rsidR="001F3AEE" w:rsidRPr="00E8642C">
        <w:rPr>
          <w:rFonts w:cs="Arial"/>
          <w:iCs/>
          <w:szCs w:val="22"/>
        </w:rPr>
        <w:t>es</w:t>
      </w:r>
      <w:r w:rsidR="001F3AEE">
        <w:rPr>
          <w:rFonts w:cs="Arial"/>
          <w:iCs/>
          <w:szCs w:val="22"/>
        </w:rPr>
        <w:t xml:space="preserve">.  </w:t>
      </w:r>
      <w:r w:rsidR="001F3AEE" w:rsidRPr="00E8642C">
        <w:rPr>
          <w:rFonts w:cs="Arial"/>
          <w:iCs/>
          <w:szCs w:val="22"/>
        </w:rPr>
        <w:t>Le</w:t>
      </w:r>
      <w:r w:rsidRPr="00E8642C">
        <w:rPr>
          <w:rFonts w:cs="Arial"/>
          <w:iCs/>
          <w:szCs w:val="22"/>
        </w:rPr>
        <w:t xml:space="preserve"> terme </w:t>
      </w:r>
      <w:r w:rsidR="00D91476">
        <w:rPr>
          <w:rFonts w:cs="Arial"/>
          <w:iCs/>
          <w:szCs w:val="22"/>
        </w:rPr>
        <w:t>‘</w:t>
      </w:r>
      <w:r w:rsidRPr="00E8642C">
        <w:rPr>
          <w:rFonts w:cs="Arial"/>
          <w:iCs/>
          <w:szCs w:val="22"/>
        </w:rPr>
        <w:t>autochtones</w:t>
      </w:r>
      <w:r w:rsidR="00D91476">
        <w:rPr>
          <w:rFonts w:cs="Arial"/>
          <w:iCs/>
          <w:szCs w:val="22"/>
        </w:rPr>
        <w:t>’</w:t>
      </w:r>
      <w:r w:rsidRPr="00E8642C">
        <w:rPr>
          <w:rFonts w:cs="Arial"/>
          <w:iCs/>
          <w:szCs w:val="22"/>
        </w:rPr>
        <w:t xml:space="preserve"> doit s</w:t>
      </w:r>
      <w:r w:rsidR="00D91476">
        <w:rPr>
          <w:rFonts w:cs="Arial"/>
          <w:iCs/>
          <w:szCs w:val="22"/>
        </w:rPr>
        <w:t>’</w:t>
      </w:r>
      <w:r w:rsidRPr="00E8642C">
        <w:rPr>
          <w:rFonts w:cs="Arial"/>
          <w:iCs/>
          <w:szCs w:val="22"/>
        </w:rPr>
        <w:t>entendre comme synonyme d</w:t>
      </w:r>
      <w:r w:rsidR="00494A9E">
        <w:rPr>
          <w:rFonts w:cs="Arial"/>
          <w:iCs/>
          <w:szCs w:val="22"/>
        </w:rPr>
        <w:t>’‘</w:t>
      </w:r>
      <w:r w:rsidR="00007531">
        <w:rPr>
          <w:rFonts w:cs="Arial"/>
          <w:iCs/>
          <w:szCs w:val="22"/>
        </w:rPr>
        <w:t>o</w:t>
      </w:r>
      <w:r w:rsidRPr="00E8642C">
        <w:rPr>
          <w:rFonts w:cs="Arial"/>
          <w:iCs/>
          <w:szCs w:val="22"/>
        </w:rPr>
        <w:t>riginaires du territoire</w:t>
      </w:r>
      <w:r w:rsidR="00D91476">
        <w:rPr>
          <w:rFonts w:cs="Arial"/>
          <w:iCs/>
          <w:szCs w:val="22"/>
        </w:rPr>
        <w:t>’</w:t>
      </w:r>
      <w:r w:rsidRPr="00E8642C">
        <w:rPr>
          <w:rFonts w:cs="Arial"/>
          <w:iCs/>
          <w:szCs w:val="22"/>
        </w:rPr>
        <w:t xml:space="preserve">, </w:t>
      </w:r>
      <w:r w:rsidR="00D91476">
        <w:rPr>
          <w:rFonts w:cs="Arial"/>
          <w:iCs/>
          <w:szCs w:val="22"/>
        </w:rPr>
        <w:t>‘</w:t>
      </w:r>
      <w:r w:rsidRPr="00E8642C">
        <w:rPr>
          <w:rFonts w:cs="Arial"/>
          <w:iCs/>
          <w:szCs w:val="22"/>
        </w:rPr>
        <w:t>traditionnels</w:t>
      </w:r>
      <w:r w:rsidR="00D91476">
        <w:rPr>
          <w:rFonts w:cs="Arial"/>
          <w:iCs/>
          <w:szCs w:val="22"/>
        </w:rPr>
        <w:t>’</w:t>
      </w:r>
      <w:r w:rsidRPr="00E8642C">
        <w:rPr>
          <w:rFonts w:cs="Arial"/>
          <w:iCs/>
          <w:szCs w:val="22"/>
        </w:rPr>
        <w:t xml:space="preserve">, </w:t>
      </w:r>
      <w:r w:rsidR="00D91476">
        <w:rPr>
          <w:rFonts w:cs="Arial"/>
          <w:iCs/>
          <w:szCs w:val="22"/>
        </w:rPr>
        <w:t>‘</w:t>
      </w:r>
      <w:r w:rsidRPr="00E8642C">
        <w:rPr>
          <w:rFonts w:cs="Arial"/>
          <w:iCs/>
          <w:szCs w:val="22"/>
        </w:rPr>
        <w:t>ethniques</w:t>
      </w:r>
      <w:r w:rsidR="00D91476">
        <w:rPr>
          <w:rFonts w:cs="Arial"/>
          <w:iCs/>
          <w:szCs w:val="22"/>
        </w:rPr>
        <w:t>’</w:t>
      </w:r>
      <w:r w:rsidRPr="00E8642C">
        <w:rPr>
          <w:rFonts w:cs="Arial"/>
          <w:iCs/>
          <w:szCs w:val="22"/>
        </w:rPr>
        <w:t xml:space="preserve">, </w:t>
      </w:r>
      <w:r w:rsidR="00D91476">
        <w:rPr>
          <w:rFonts w:cs="Arial"/>
          <w:iCs/>
          <w:szCs w:val="22"/>
        </w:rPr>
        <w:t>‘</w:t>
      </w:r>
      <w:r w:rsidRPr="00E8642C">
        <w:rPr>
          <w:rFonts w:cs="Arial"/>
          <w:iCs/>
          <w:szCs w:val="22"/>
        </w:rPr>
        <w:t>ancestraux</w:t>
      </w:r>
      <w:r w:rsidR="00D91476">
        <w:rPr>
          <w:rFonts w:cs="Arial"/>
          <w:iCs/>
          <w:szCs w:val="22"/>
        </w:rPr>
        <w:t>’</w:t>
      </w:r>
      <w:r w:rsidRPr="00E8642C">
        <w:rPr>
          <w:rFonts w:cs="Arial"/>
          <w:iCs/>
          <w:szCs w:val="22"/>
        </w:rPr>
        <w:t xml:space="preserve">, </w:t>
      </w:r>
      <w:r w:rsidR="00D91476">
        <w:rPr>
          <w:rFonts w:cs="Arial"/>
          <w:iCs/>
          <w:szCs w:val="22"/>
        </w:rPr>
        <w:t>‘</w:t>
      </w:r>
      <w:r w:rsidRPr="00E8642C">
        <w:rPr>
          <w:rFonts w:cs="Arial"/>
          <w:iCs/>
          <w:szCs w:val="22"/>
        </w:rPr>
        <w:t>indigènes</w:t>
      </w:r>
      <w:r w:rsidR="00D91476">
        <w:rPr>
          <w:rFonts w:cs="Arial"/>
          <w:iCs/>
          <w:szCs w:val="22"/>
        </w:rPr>
        <w:t>’</w:t>
      </w:r>
      <w:r w:rsidRPr="00E8642C">
        <w:rPr>
          <w:rFonts w:cs="Arial"/>
          <w:iCs/>
          <w:szCs w:val="22"/>
        </w:rPr>
        <w:t xml:space="preserve"> et d</w:t>
      </w:r>
      <w:r w:rsidR="00D91476">
        <w:rPr>
          <w:rFonts w:cs="Arial"/>
          <w:iCs/>
          <w:szCs w:val="22"/>
        </w:rPr>
        <w:t>’</w:t>
      </w:r>
      <w:r w:rsidRPr="00E8642C">
        <w:rPr>
          <w:rFonts w:cs="Arial"/>
          <w:iCs/>
          <w:szCs w:val="22"/>
        </w:rPr>
        <w:t>autres termes”.</w:t>
      </w:r>
    </w:p>
    <w:p w:rsidR="00AD541F" w:rsidRDefault="00DD607D" w:rsidP="00AD541F">
      <w:pPr>
        <w:spacing w:after="220"/>
        <w:rPr>
          <w:rFonts w:cs="Arial"/>
          <w:szCs w:val="22"/>
        </w:rPr>
      </w:pPr>
      <w:r w:rsidRPr="00E8642C">
        <w:rPr>
          <w:rFonts w:cs="Arial"/>
          <w:szCs w:val="22"/>
        </w:rPr>
        <w:t>Le terme “peuples aborigènes” est un terme apparenté.  L</w:t>
      </w:r>
      <w:r w:rsidR="00D91476">
        <w:rPr>
          <w:rFonts w:cs="Arial"/>
          <w:szCs w:val="22"/>
        </w:rPr>
        <w:t>’</w:t>
      </w:r>
      <w:r w:rsidRPr="00E8642C">
        <w:rPr>
          <w:rFonts w:cs="Arial"/>
          <w:szCs w:val="22"/>
        </w:rPr>
        <w:t xml:space="preserve">Oxford </w:t>
      </w:r>
      <w:proofErr w:type="spellStart"/>
      <w:r w:rsidRPr="00E8642C">
        <w:rPr>
          <w:rFonts w:cs="Arial"/>
          <w:szCs w:val="22"/>
        </w:rPr>
        <w:t>Dictionary</w:t>
      </w:r>
      <w:proofErr w:type="spellEnd"/>
      <w:r w:rsidRPr="00E8642C">
        <w:rPr>
          <w:rFonts w:cs="Arial"/>
          <w:szCs w:val="22"/>
        </w:rPr>
        <w:t xml:space="preserve"> définit le terme “aborigène” de la manière suivante</w:t>
      </w:r>
      <w:r w:rsidR="00D91476">
        <w:rPr>
          <w:rFonts w:cs="Arial"/>
          <w:szCs w:val="22"/>
        </w:rPr>
        <w:t> :</w:t>
      </w:r>
      <w:r w:rsidRPr="00E8642C">
        <w:rPr>
          <w:rFonts w:cs="Arial"/>
          <w:szCs w:val="22"/>
        </w:rPr>
        <w:t xml:space="preserve"> 1) “</w:t>
      </w:r>
      <w:r w:rsidRPr="00E8642C">
        <w:rPr>
          <w:rFonts w:cs="Arial"/>
          <w:i/>
          <w:iCs/>
          <w:szCs w:val="22"/>
        </w:rPr>
        <w:t>[…] peuples, plantes et animaux vivant ou présents dans un pays depuis des temps ancestraux;  strictement natifs, autochtones</w:t>
      </w:r>
      <w:r w:rsidRPr="00E8642C">
        <w:rPr>
          <w:rFonts w:cs="Arial"/>
          <w:szCs w:val="22"/>
        </w:rPr>
        <w:t>”;  2) “</w:t>
      </w:r>
      <w:r w:rsidRPr="00E8642C">
        <w:rPr>
          <w:rFonts w:cs="Arial"/>
          <w:i/>
          <w:iCs/>
          <w:szCs w:val="22"/>
        </w:rPr>
        <w:t>[…] habitant ou occupant un pays avant l</w:t>
      </w:r>
      <w:r w:rsidR="00D91476">
        <w:rPr>
          <w:rFonts w:cs="Arial"/>
          <w:i/>
          <w:iCs/>
          <w:szCs w:val="22"/>
        </w:rPr>
        <w:t>’</w:t>
      </w:r>
      <w:r w:rsidRPr="00E8642C">
        <w:rPr>
          <w:rFonts w:cs="Arial"/>
          <w:i/>
          <w:iCs/>
          <w:szCs w:val="22"/>
        </w:rPr>
        <w:t>arrivée de colons européens ou de ceux qu</w:t>
      </w:r>
      <w:r w:rsidR="00D91476">
        <w:rPr>
          <w:rFonts w:cs="Arial"/>
          <w:i/>
          <w:iCs/>
          <w:szCs w:val="22"/>
        </w:rPr>
        <w:t>’</w:t>
      </w:r>
      <w:r w:rsidRPr="00E8642C">
        <w:rPr>
          <w:rFonts w:cs="Arial"/>
          <w:i/>
          <w:iCs/>
          <w:szCs w:val="22"/>
        </w:rPr>
        <w:t>ils ont introduits</w:t>
      </w:r>
      <w:r w:rsidRPr="00E8642C">
        <w:rPr>
          <w:rFonts w:cs="Arial"/>
          <w:szCs w:val="22"/>
        </w:rPr>
        <w:t xml:space="preserve">”;  3) </w:t>
      </w:r>
      <w:r w:rsidRPr="00E8642C">
        <w:rPr>
          <w:rFonts w:cs="Arial"/>
          <w:i/>
          <w:szCs w:val="22"/>
        </w:rPr>
        <w:t>aborigènes ou premiers habitants connus d</w:t>
      </w:r>
      <w:r w:rsidR="00D91476">
        <w:rPr>
          <w:rFonts w:cs="Arial"/>
          <w:i/>
          <w:szCs w:val="22"/>
        </w:rPr>
        <w:t>’</w:t>
      </w:r>
      <w:r w:rsidRPr="00E8642C">
        <w:rPr>
          <w:rFonts w:cs="Arial"/>
          <w:i/>
          <w:szCs w:val="22"/>
        </w:rPr>
        <w:t>une terre, ou leur appartenant</w:t>
      </w:r>
      <w:r w:rsidRPr="00E8642C">
        <w:rPr>
          <w:rFonts w:cs="Arial"/>
          <w:szCs w:val="22"/>
        </w:rPr>
        <w:t>;  et 4) “</w:t>
      </w:r>
      <w:r w:rsidRPr="00E8642C">
        <w:rPr>
          <w:rFonts w:cs="Arial"/>
          <w:i/>
          <w:iCs/>
          <w:szCs w:val="22"/>
        </w:rPr>
        <w:t>[…], aborigènes d</w:t>
      </w:r>
      <w:r w:rsidR="00D91476">
        <w:rPr>
          <w:rFonts w:cs="Arial"/>
          <w:i/>
          <w:iCs/>
          <w:szCs w:val="22"/>
        </w:rPr>
        <w:t>’</w:t>
      </w:r>
      <w:r w:rsidRPr="00E8642C">
        <w:rPr>
          <w:rFonts w:cs="Arial"/>
          <w:i/>
          <w:iCs/>
          <w:szCs w:val="22"/>
        </w:rPr>
        <w:t>Australie ou leurs langues, ou apparenté ou propre aux aborigènes d</w:t>
      </w:r>
      <w:r w:rsidR="00D91476">
        <w:rPr>
          <w:rFonts w:cs="Arial"/>
          <w:i/>
          <w:iCs/>
          <w:szCs w:val="22"/>
        </w:rPr>
        <w:t>’</w:t>
      </w:r>
      <w:r w:rsidRPr="00E8642C">
        <w:rPr>
          <w:rFonts w:cs="Arial"/>
          <w:i/>
          <w:iCs/>
          <w:szCs w:val="22"/>
        </w:rPr>
        <w:t>Australie ou à leurs langues</w:t>
      </w:r>
      <w:r w:rsidRPr="00E8642C">
        <w:rPr>
          <w:rFonts w:cs="Arial"/>
          <w:szCs w:val="22"/>
        </w:rPr>
        <w:t>”.</w:t>
      </w:r>
    </w:p>
    <w:p w:rsidR="00AD541F" w:rsidRDefault="00DD607D" w:rsidP="00AD541F">
      <w:pPr>
        <w:spacing w:after="220"/>
        <w:rPr>
          <w:rFonts w:cs="Arial"/>
          <w:szCs w:val="22"/>
        </w:rPr>
      </w:pPr>
      <w:r w:rsidRPr="00E8642C">
        <w:rPr>
          <w:rFonts w:cs="Arial"/>
          <w:szCs w:val="22"/>
        </w:rPr>
        <w:t>L</w:t>
      </w:r>
      <w:r w:rsidR="00D91476">
        <w:rPr>
          <w:rFonts w:cs="Arial"/>
          <w:szCs w:val="22"/>
        </w:rPr>
        <w:t>’</w:t>
      </w:r>
      <w:r w:rsidRPr="00E8642C">
        <w:rPr>
          <w:rFonts w:cs="Arial"/>
          <w:szCs w:val="22"/>
        </w:rPr>
        <w:t xml:space="preserve">article 35 de la Constitution du Canada indique que </w:t>
      </w:r>
      <w:proofErr w:type="gramStart"/>
      <w:r w:rsidRPr="00E8642C">
        <w:rPr>
          <w:rFonts w:cs="Arial"/>
          <w:szCs w:val="22"/>
        </w:rPr>
        <w:t>“</w:t>
      </w:r>
      <w:r w:rsidRPr="00E8642C">
        <w:rPr>
          <w:rFonts w:cs="Arial"/>
          <w:i/>
          <w:iCs/>
          <w:szCs w:val="22"/>
        </w:rPr>
        <w:t>[</w:t>
      </w:r>
      <w:proofErr w:type="gramEnd"/>
      <w:r w:rsidRPr="00E8642C">
        <w:rPr>
          <w:rFonts w:cs="Arial"/>
          <w:i/>
          <w:iCs/>
          <w:szCs w:val="22"/>
        </w:rPr>
        <w:t>…] peuples autochtones du Canada s</w:t>
      </w:r>
      <w:r w:rsidR="00D91476">
        <w:rPr>
          <w:rFonts w:cs="Arial"/>
          <w:i/>
          <w:iCs/>
          <w:szCs w:val="22"/>
        </w:rPr>
        <w:t>’</w:t>
      </w:r>
      <w:r w:rsidRPr="00E8642C">
        <w:rPr>
          <w:rFonts w:cs="Arial"/>
          <w:i/>
          <w:iCs/>
          <w:szCs w:val="22"/>
        </w:rPr>
        <w:t xml:space="preserve">entend notamment des </w:t>
      </w:r>
      <w:r w:rsidR="00F378CD">
        <w:rPr>
          <w:rFonts w:cs="Arial"/>
          <w:i/>
          <w:iCs/>
          <w:szCs w:val="22"/>
        </w:rPr>
        <w:t>I</w:t>
      </w:r>
      <w:r w:rsidRPr="00E8642C">
        <w:rPr>
          <w:rFonts w:cs="Arial"/>
          <w:i/>
          <w:iCs/>
          <w:szCs w:val="22"/>
        </w:rPr>
        <w:t>ndiens, des Inuits et des Métis du Canada</w:t>
      </w:r>
      <w:r w:rsidRPr="00E8642C">
        <w:rPr>
          <w:rFonts w:cs="Arial"/>
          <w:szCs w:val="22"/>
        </w:rPr>
        <w:t>”.  La Commission royale canadienne de 1996 sur les peuples autochtones a défini elle</w:t>
      </w:r>
      <w:r w:rsidR="00400337">
        <w:rPr>
          <w:rFonts w:cs="Arial"/>
          <w:szCs w:val="22"/>
        </w:rPr>
        <w:noBreakHyphen/>
      </w:r>
      <w:r w:rsidRPr="00E8642C">
        <w:rPr>
          <w:rFonts w:cs="Arial"/>
          <w:szCs w:val="22"/>
        </w:rPr>
        <w:t>même son centre d</w:t>
      </w:r>
      <w:r w:rsidR="00D91476">
        <w:rPr>
          <w:rFonts w:cs="Arial"/>
          <w:szCs w:val="22"/>
        </w:rPr>
        <w:t>’</w:t>
      </w:r>
      <w:r w:rsidRPr="00E8642C">
        <w:rPr>
          <w:rFonts w:cs="Arial"/>
          <w:szCs w:val="22"/>
        </w:rPr>
        <w:t>intérêt comme</w:t>
      </w:r>
      <w:r w:rsidR="00D91476">
        <w:rPr>
          <w:rFonts w:cs="Arial"/>
          <w:szCs w:val="22"/>
        </w:rPr>
        <w:t> :</w:t>
      </w:r>
      <w:r w:rsidRPr="00E8642C">
        <w:rPr>
          <w:rFonts w:cs="Arial"/>
          <w:szCs w:val="22"/>
        </w:rPr>
        <w:t xml:space="preserve"> “</w:t>
      </w:r>
      <w:r w:rsidRPr="00E8642C">
        <w:rPr>
          <w:rFonts w:cs="Arial"/>
          <w:i/>
          <w:iCs/>
          <w:szCs w:val="22"/>
        </w:rPr>
        <w:t>… entités culturelles et politiques qui descendent des premiers habitants de l</w:t>
      </w:r>
      <w:r w:rsidR="00D91476">
        <w:rPr>
          <w:rFonts w:cs="Arial"/>
          <w:i/>
          <w:iCs/>
          <w:szCs w:val="22"/>
        </w:rPr>
        <w:t>’</w:t>
      </w:r>
      <w:r w:rsidRPr="00E8642C">
        <w:rPr>
          <w:rFonts w:cs="Arial"/>
          <w:i/>
          <w:iCs/>
          <w:szCs w:val="22"/>
        </w:rPr>
        <w:t xml:space="preserve">Amérique du Nord </w:t>
      </w:r>
      <w:r w:rsidRPr="00E8642C">
        <w:rPr>
          <w:rFonts w:cs="Arial"/>
          <w:iCs/>
          <w:szCs w:val="22"/>
        </w:rPr>
        <w:t>[</w:t>
      </w:r>
      <w:r w:rsidRPr="00E8642C">
        <w:rPr>
          <w:rFonts w:cs="Arial"/>
          <w:i/>
          <w:iCs/>
          <w:szCs w:val="22"/>
        </w:rPr>
        <w:t>…</w:t>
      </w:r>
      <w:r w:rsidRPr="00E8642C">
        <w:rPr>
          <w:rFonts w:cs="Arial"/>
          <w:iCs/>
          <w:szCs w:val="22"/>
        </w:rPr>
        <w:t>]</w:t>
      </w:r>
      <w:r w:rsidRPr="00E8642C">
        <w:rPr>
          <w:rFonts w:cs="Arial"/>
          <w:szCs w:val="22"/>
        </w:rPr>
        <w:t>”.</w:t>
      </w:r>
    </w:p>
    <w:p w:rsidR="00AD541F" w:rsidRDefault="00DD607D" w:rsidP="00AD541F">
      <w:pPr>
        <w:spacing w:after="220"/>
        <w:rPr>
          <w:rFonts w:cs="Arial"/>
          <w:szCs w:val="22"/>
        </w:rPr>
      </w:pPr>
      <w:r w:rsidRPr="00E8642C">
        <w:rPr>
          <w:rFonts w:cs="Arial"/>
          <w:szCs w:val="22"/>
        </w:rPr>
        <w:t xml:space="preserve">Les communautés, peuples et nations autochtones se définissent comme </w:t>
      </w:r>
      <w:r w:rsidRPr="00E8642C">
        <w:rPr>
          <w:rFonts w:cs="Arial"/>
          <w:iCs/>
          <w:szCs w:val="22"/>
        </w:rPr>
        <w:t>les entités qui, s</w:t>
      </w:r>
      <w:r w:rsidR="00D91476">
        <w:rPr>
          <w:rFonts w:cs="Arial"/>
          <w:iCs/>
          <w:szCs w:val="22"/>
        </w:rPr>
        <w:t>’</w:t>
      </w:r>
      <w:r w:rsidRPr="00E8642C">
        <w:rPr>
          <w:rFonts w:cs="Arial"/>
          <w:iCs/>
          <w:szCs w:val="22"/>
        </w:rPr>
        <w:t>inscrivant dans la continuité historique des sociétés “</w:t>
      </w:r>
      <w:proofErr w:type="spellStart"/>
      <w:r w:rsidRPr="00E8642C">
        <w:rPr>
          <w:rFonts w:cs="Arial"/>
          <w:iCs/>
          <w:szCs w:val="22"/>
        </w:rPr>
        <w:t>préinvasion</w:t>
      </w:r>
      <w:proofErr w:type="spellEnd"/>
      <w:r w:rsidRPr="00E8642C">
        <w:rPr>
          <w:rFonts w:cs="Arial"/>
          <w:iCs/>
          <w:szCs w:val="22"/>
        </w:rPr>
        <w:t>” et précoloniales apparues sur leur territoire, s</w:t>
      </w:r>
      <w:r w:rsidR="00D91476">
        <w:rPr>
          <w:rFonts w:cs="Arial"/>
          <w:iCs/>
          <w:szCs w:val="22"/>
        </w:rPr>
        <w:t>’</w:t>
      </w:r>
      <w:r w:rsidRPr="00E8642C">
        <w:rPr>
          <w:rFonts w:cs="Arial"/>
          <w:iCs/>
          <w:szCs w:val="22"/>
        </w:rPr>
        <w:t>estiment différentes d</w:t>
      </w:r>
      <w:r w:rsidR="00D91476">
        <w:rPr>
          <w:rFonts w:cs="Arial"/>
          <w:iCs/>
          <w:szCs w:val="22"/>
        </w:rPr>
        <w:t>’</w:t>
      </w:r>
      <w:r w:rsidRPr="00E8642C">
        <w:rPr>
          <w:rFonts w:cs="Arial"/>
          <w:iCs/>
          <w:szCs w:val="22"/>
        </w:rPr>
        <w:t>autres secteurs des sociétés qui prédominent aujourd</w:t>
      </w:r>
      <w:r w:rsidR="00D91476">
        <w:rPr>
          <w:rFonts w:cs="Arial"/>
          <w:iCs/>
          <w:szCs w:val="22"/>
        </w:rPr>
        <w:t>’</w:t>
      </w:r>
      <w:r w:rsidRPr="00E8642C">
        <w:rPr>
          <w:rFonts w:cs="Arial"/>
          <w:iCs/>
          <w:szCs w:val="22"/>
        </w:rPr>
        <w:t>hui dans ces pays, ou certaines parties de ces dernie</w:t>
      </w:r>
      <w:r w:rsidR="001F3AEE" w:rsidRPr="00E8642C">
        <w:rPr>
          <w:rFonts w:cs="Arial"/>
          <w:iCs/>
          <w:szCs w:val="22"/>
        </w:rPr>
        <w:t>rs</w:t>
      </w:r>
      <w:r w:rsidR="001F3AEE">
        <w:rPr>
          <w:rFonts w:cs="Arial"/>
          <w:iCs/>
          <w:szCs w:val="22"/>
        </w:rPr>
        <w:t xml:space="preserve">.  </w:t>
      </w:r>
      <w:r w:rsidR="001F3AEE" w:rsidRPr="00E8642C">
        <w:rPr>
          <w:rFonts w:cs="Arial"/>
          <w:iCs/>
          <w:szCs w:val="22"/>
        </w:rPr>
        <w:t>El</w:t>
      </w:r>
      <w:r w:rsidRPr="00E8642C">
        <w:rPr>
          <w:rFonts w:cs="Arial"/>
          <w:iCs/>
          <w:szCs w:val="22"/>
        </w:rPr>
        <w:t>les représentent aujourd</w:t>
      </w:r>
      <w:r w:rsidR="00D91476">
        <w:rPr>
          <w:rFonts w:cs="Arial"/>
          <w:iCs/>
          <w:szCs w:val="22"/>
        </w:rPr>
        <w:t>’</w:t>
      </w:r>
      <w:r w:rsidRPr="00E8642C">
        <w:rPr>
          <w:rFonts w:cs="Arial"/>
          <w:iCs/>
          <w:szCs w:val="22"/>
        </w:rPr>
        <w:t>hui des secteurs non dominants de la société et sont résolues à préserver, 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E8642C">
        <w:rPr>
          <w:rStyle w:val="FootnoteReference"/>
          <w:rFonts w:cs="Arial"/>
          <w:szCs w:val="22"/>
        </w:rPr>
        <w:footnoteReference w:id="127"/>
      </w:r>
      <w:r w:rsidRPr="00E8642C">
        <w:rPr>
          <w:rFonts w:cs="Arial"/>
          <w:iCs/>
          <w:szCs w:val="22"/>
        </w:rPr>
        <w:t>.</w:t>
      </w:r>
    </w:p>
    <w:p w:rsidR="00AD541F" w:rsidRDefault="00DD607D" w:rsidP="00AD541F">
      <w:pPr>
        <w:pStyle w:val="Heading2"/>
        <w:spacing w:after="220" w:line="240" w:lineRule="auto"/>
      </w:pPr>
      <w:bookmarkStart w:id="97" w:name="_Toc7772568"/>
      <w:r w:rsidRPr="00E8642C">
        <w:t>Pratiques coutumières</w:t>
      </w:r>
      <w:bookmarkEnd w:id="97"/>
    </w:p>
    <w:p w:rsidR="00AD541F" w:rsidRDefault="00DD607D" w:rsidP="00AD541F">
      <w:pPr>
        <w:pStyle w:val="FootnoteText"/>
        <w:spacing w:after="220"/>
        <w:ind w:left="0" w:firstLine="0"/>
        <w:rPr>
          <w:rFonts w:cs="Arial"/>
          <w:szCs w:val="22"/>
        </w:rPr>
      </w:pPr>
      <w:r w:rsidRPr="00E8642C">
        <w:rPr>
          <w:rFonts w:cs="Arial"/>
          <w:szCs w:val="22"/>
        </w:rPr>
        <w:t>Les pratiques coutumières peuvent être décrites comme les actes et les utilisations régissant et guidant des aspects de la vie communautai</w:t>
      </w:r>
      <w:r w:rsidR="001F3AEE" w:rsidRPr="00E8642C">
        <w:rPr>
          <w:rFonts w:cs="Arial"/>
          <w:szCs w:val="22"/>
        </w:rPr>
        <w:t>re</w:t>
      </w:r>
      <w:r w:rsidR="001F3AEE">
        <w:rPr>
          <w:rFonts w:cs="Arial"/>
          <w:szCs w:val="22"/>
        </w:rPr>
        <w:t xml:space="preserve">.  </w:t>
      </w:r>
      <w:r w:rsidR="001F3AEE" w:rsidRPr="00E8642C">
        <w:rPr>
          <w:rFonts w:cs="Arial"/>
          <w:szCs w:val="22"/>
        </w:rPr>
        <w:t>Le</w:t>
      </w:r>
      <w:r w:rsidRPr="00E8642C">
        <w:rPr>
          <w:rFonts w:cs="Arial"/>
          <w:szCs w:val="22"/>
        </w:rPr>
        <w:t>s pratiques coutumières sont ancrées dans la communauté et enracinées dans la façon dont celle</w:t>
      </w:r>
      <w:r w:rsidR="00400337">
        <w:rPr>
          <w:rFonts w:cs="Arial"/>
          <w:szCs w:val="22"/>
        </w:rPr>
        <w:noBreakHyphen/>
      </w:r>
      <w:r w:rsidRPr="00E8642C">
        <w:rPr>
          <w:rFonts w:cs="Arial"/>
          <w:szCs w:val="22"/>
        </w:rPr>
        <w:t>ci vit et travail</w:t>
      </w:r>
      <w:r w:rsidR="001F3AEE" w:rsidRPr="00E8642C">
        <w:rPr>
          <w:rFonts w:cs="Arial"/>
          <w:szCs w:val="22"/>
        </w:rPr>
        <w:t>le</w:t>
      </w:r>
      <w:r w:rsidR="001F3AEE">
        <w:rPr>
          <w:rFonts w:cs="Arial"/>
          <w:szCs w:val="22"/>
        </w:rPr>
        <w:t xml:space="preserve">.  </w:t>
      </w:r>
      <w:r w:rsidR="001F3AEE" w:rsidRPr="00E8642C">
        <w:rPr>
          <w:rFonts w:cs="Arial"/>
          <w:szCs w:val="22"/>
        </w:rPr>
        <w:t>El</w:t>
      </w:r>
      <w:r w:rsidRPr="00E8642C">
        <w:rPr>
          <w:rFonts w:cs="Arial"/>
          <w:szCs w:val="22"/>
        </w:rPr>
        <w:t>les ne peuvent pas être considérées comme des “lois” codifiées autonomes en tant que telles</w:t>
      </w:r>
      <w:r w:rsidRPr="00E8642C">
        <w:rPr>
          <w:rStyle w:val="FootnoteReference"/>
          <w:rFonts w:cs="Arial"/>
          <w:szCs w:val="22"/>
        </w:rPr>
        <w:footnoteReference w:id="128"/>
      </w:r>
      <w:r w:rsidRPr="00E8642C">
        <w:rPr>
          <w:rFonts w:cs="Arial"/>
          <w:szCs w:val="22"/>
        </w:rPr>
        <w:t>.</w:t>
      </w:r>
    </w:p>
    <w:p w:rsidR="00AD541F" w:rsidRDefault="00DD607D" w:rsidP="00AD541F">
      <w:pPr>
        <w:pStyle w:val="Heading2"/>
        <w:spacing w:after="220" w:line="240" w:lineRule="auto"/>
      </w:pPr>
      <w:bookmarkStart w:id="98" w:name="_Toc7772569"/>
      <w:r w:rsidRPr="00E8642C">
        <w:t>Préservation</w:t>
      </w:r>
      <w:bookmarkEnd w:id="98"/>
    </w:p>
    <w:p w:rsidR="00AD541F" w:rsidRDefault="00DD607D" w:rsidP="00AD541F">
      <w:pPr>
        <w:spacing w:after="220"/>
        <w:rPr>
          <w:rFonts w:cs="Arial"/>
          <w:szCs w:val="22"/>
        </w:rPr>
      </w:pPr>
      <w:r w:rsidRPr="00E8642C">
        <w:rPr>
          <w:rFonts w:cs="Arial"/>
          <w:szCs w:val="22"/>
        </w:rPr>
        <w:t>La préservation présente deux aspects principaux – en premier lieu, la préservation du contexte culturel et social des savoirs traditionnels et des expressions de la culture traditionnelle, tel qu</w:t>
      </w:r>
      <w:r w:rsidR="00D91476">
        <w:rPr>
          <w:rFonts w:cs="Arial"/>
          <w:szCs w:val="22"/>
        </w:rPr>
        <w:t>’</w:t>
      </w:r>
      <w:r w:rsidRPr="00E8642C">
        <w:rPr>
          <w:rFonts w:cs="Arial"/>
          <w:szCs w:val="22"/>
        </w:rPr>
        <w:t>il existe, de façon à préserver le cadre habituel de l</w:t>
      </w:r>
      <w:r w:rsidR="00D91476">
        <w:rPr>
          <w:rFonts w:cs="Arial"/>
          <w:szCs w:val="22"/>
        </w:rPr>
        <w:t>’</w:t>
      </w:r>
      <w:r w:rsidRPr="00E8642C">
        <w:rPr>
          <w:rFonts w:cs="Arial"/>
          <w:szCs w:val="22"/>
        </w:rPr>
        <w:t>élaboration et de la transmission de ces savoirs et expressions, ainsi que de la mise en place des modalités qui régissent l</w:t>
      </w:r>
      <w:r w:rsidR="00D91476">
        <w:rPr>
          <w:rFonts w:cs="Arial"/>
          <w:szCs w:val="22"/>
        </w:rPr>
        <w:t>’</w:t>
      </w:r>
      <w:r w:rsidRPr="00E8642C">
        <w:rPr>
          <w:rFonts w:cs="Arial"/>
          <w:szCs w:val="22"/>
        </w:rPr>
        <w:t>accès à ces savoirs et expressions;  et en second lieu, la préservation de ces éléments sous une forme fixe, comme lorsqu</w:t>
      </w:r>
      <w:r w:rsidR="00D91476">
        <w:rPr>
          <w:rFonts w:cs="Arial"/>
          <w:szCs w:val="22"/>
        </w:rPr>
        <w:t>’</w:t>
      </w:r>
      <w:r w:rsidRPr="00E8642C">
        <w:rPr>
          <w:rFonts w:cs="Arial"/>
          <w:szCs w:val="22"/>
        </w:rPr>
        <w:t>un savoir</w:t>
      </w:r>
      <w:r w:rsidR="00400337">
        <w:rPr>
          <w:rFonts w:cs="Arial"/>
          <w:szCs w:val="22"/>
        </w:rPr>
        <w:noBreakHyphen/>
      </w:r>
      <w:r w:rsidRPr="00E8642C">
        <w:rPr>
          <w:rFonts w:cs="Arial"/>
          <w:szCs w:val="22"/>
        </w:rPr>
        <w:t>faire technique ou des connaissances médicinales traditionnels font l</w:t>
      </w:r>
      <w:r w:rsidR="00D91476">
        <w:rPr>
          <w:rFonts w:cs="Arial"/>
          <w:szCs w:val="22"/>
        </w:rPr>
        <w:t>’</w:t>
      </w:r>
      <w:r w:rsidRPr="00E8642C">
        <w:rPr>
          <w:rFonts w:cs="Arial"/>
          <w:szCs w:val="22"/>
        </w:rPr>
        <w:t>objet d</w:t>
      </w:r>
      <w:r w:rsidR="00D91476">
        <w:rPr>
          <w:rFonts w:cs="Arial"/>
          <w:szCs w:val="22"/>
        </w:rPr>
        <w:t>’</w:t>
      </w:r>
      <w:r w:rsidRPr="00E8642C">
        <w:rPr>
          <w:rFonts w:cs="Arial"/>
          <w:szCs w:val="22"/>
        </w:rPr>
        <w:t>une fixation, ou encore lorsque les expressions de la culture traditionnelle sont enregistré</w:t>
      </w:r>
      <w:r w:rsidR="001F3AEE" w:rsidRPr="00E8642C">
        <w:rPr>
          <w:rFonts w:cs="Arial"/>
          <w:szCs w:val="22"/>
        </w:rPr>
        <w:t>es</w:t>
      </w:r>
      <w:r w:rsidR="001F3AEE">
        <w:rPr>
          <w:rFonts w:cs="Arial"/>
          <w:szCs w:val="22"/>
        </w:rPr>
        <w:t xml:space="preserve">.  </w:t>
      </w:r>
      <w:r w:rsidR="001F3AEE" w:rsidRPr="00E8642C">
        <w:rPr>
          <w:rFonts w:cs="Arial"/>
          <w:szCs w:val="22"/>
        </w:rPr>
        <w:t>La</w:t>
      </w:r>
      <w:r w:rsidRPr="00E8642C">
        <w:rPr>
          <w:rFonts w:cs="Arial"/>
          <w:szCs w:val="22"/>
        </w:rPr>
        <w:t xml:space="preserve"> préservation a pour objet de contribuer à la survie de ces savoirs ou expressions, dans l</w:t>
      </w:r>
      <w:r w:rsidR="00D91476">
        <w:rPr>
          <w:rFonts w:cs="Arial"/>
          <w:szCs w:val="22"/>
        </w:rPr>
        <w:t>’</w:t>
      </w:r>
      <w:r w:rsidRPr="00E8642C">
        <w:rPr>
          <w:rFonts w:cs="Arial"/>
          <w:szCs w:val="22"/>
        </w:rPr>
        <w:t>intérêt des générations futures de la communauté d</w:t>
      </w:r>
      <w:r w:rsidR="00D91476">
        <w:rPr>
          <w:rFonts w:cs="Arial"/>
          <w:szCs w:val="22"/>
        </w:rPr>
        <w:t>’</w:t>
      </w:r>
      <w:r w:rsidRPr="00E8642C">
        <w:rPr>
          <w:rFonts w:cs="Arial"/>
          <w:szCs w:val="22"/>
        </w:rPr>
        <w:t>origine et de les perpétuer dans un cadre essentiellement traditionnel ou coutumier, ou de faire en sorte que ces savoirs traditionnels et ces expressions de la culture traditionnelle soient à la portée d</w:t>
      </w:r>
      <w:r w:rsidR="00D91476">
        <w:rPr>
          <w:rFonts w:cs="Arial"/>
          <w:szCs w:val="22"/>
        </w:rPr>
        <w:t>’</w:t>
      </w:r>
      <w:r w:rsidRPr="00E8642C">
        <w:rPr>
          <w:rFonts w:cs="Arial"/>
          <w:szCs w:val="22"/>
        </w:rPr>
        <w:t>un public plus vaste (</w:t>
      </w:r>
      <w:r w:rsidR="00D91476">
        <w:rPr>
          <w:rFonts w:cs="Arial"/>
          <w:szCs w:val="22"/>
        </w:rPr>
        <w:t>y compris</w:t>
      </w:r>
      <w:r w:rsidRPr="00E8642C">
        <w:rPr>
          <w:rFonts w:cs="Arial"/>
          <w:szCs w:val="22"/>
        </w:rPr>
        <w:t xml:space="preserve"> des universitaires et des chercheurs), en reconnaissance de leur importance en tant qu</w:t>
      </w:r>
      <w:r w:rsidR="00D91476">
        <w:rPr>
          <w:rFonts w:cs="Arial"/>
          <w:szCs w:val="22"/>
        </w:rPr>
        <w:t>’</w:t>
      </w:r>
      <w:r w:rsidRPr="00E8642C">
        <w:rPr>
          <w:rFonts w:cs="Arial"/>
          <w:szCs w:val="22"/>
        </w:rPr>
        <w:t>éléments du patrimoine culturel collectif de l</w:t>
      </w:r>
      <w:r w:rsidR="00D91476">
        <w:rPr>
          <w:rFonts w:cs="Arial"/>
          <w:szCs w:val="22"/>
        </w:rPr>
        <w:t>’</w:t>
      </w:r>
      <w:r w:rsidRPr="00E8642C">
        <w:rPr>
          <w:rFonts w:cs="Arial"/>
          <w:szCs w:val="22"/>
        </w:rPr>
        <w:t>humanité</w:t>
      </w:r>
      <w:r w:rsidRPr="00E8642C">
        <w:rPr>
          <w:rFonts w:cs="Arial"/>
          <w:szCs w:val="22"/>
          <w:vertAlign w:val="superscript"/>
        </w:rPr>
        <w:footnoteReference w:id="129"/>
      </w:r>
      <w:r w:rsidRPr="00E8642C">
        <w:rPr>
          <w:rFonts w:cs="Arial"/>
          <w:szCs w:val="22"/>
        </w:rPr>
        <w:t>.</w:t>
      </w:r>
    </w:p>
    <w:p w:rsidR="00AD541F" w:rsidRDefault="00DD607D" w:rsidP="00AD541F">
      <w:pPr>
        <w:spacing w:after="220"/>
        <w:rPr>
          <w:rFonts w:cs="Arial"/>
          <w:szCs w:val="22"/>
        </w:rPr>
      </w:pPr>
      <w:r w:rsidRPr="00E8642C">
        <w:rPr>
          <w:rFonts w:cs="Arial"/>
          <w:szCs w:val="22"/>
        </w:rPr>
        <w:t>Les lois et programmes sans lien avec la propriété intellectuelle, qui traitent de la sauvegarde et de la promotion du patrimoine vivant, peuvent jouer un rôle utile en complétant les législations en matière de protection de la propriété intellectuel</w:t>
      </w:r>
      <w:r w:rsidR="001F3AEE" w:rsidRPr="00E8642C">
        <w:rPr>
          <w:rFonts w:cs="Arial"/>
          <w:szCs w:val="22"/>
        </w:rPr>
        <w:t>le</w:t>
      </w:r>
      <w:r w:rsidR="001F3AEE">
        <w:rPr>
          <w:rFonts w:cs="Arial"/>
          <w:szCs w:val="22"/>
        </w:rPr>
        <w:t xml:space="preserve">.  </w:t>
      </w:r>
      <w:r w:rsidR="001F3AEE" w:rsidRPr="00E8642C">
        <w:rPr>
          <w:rFonts w:cs="Arial"/>
          <w:szCs w:val="22"/>
        </w:rPr>
        <w:t>D</w:t>
      </w:r>
      <w:r w:rsidR="001F3AEE">
        <w:rPr>
          <w:rFonts w:cs="Arial"/>
          <w:szCs w:val="22"/>
        </w:rPr>
        <w:t>’</w:t>
      </w:r>
      <w:r w:rsidR="001F3AEE" w:rsidRPr="00E8642C">
        <w:rPr>
          <w:rFonts w:cs="Arial"/>
          <w:szCs w:val="22"/>
        </w:rPr>
        <w:t>a</w:t>
      </w:r>
      <w:r w:rsidRPr="00E8642C">
        <w:rPr>
          <w:rFonts w:cs="Arial"/>
          <w:szCs w:val="22"/>
        </w:rPr>
        <w:t xml:space="preserve">utres systèmes juridiques internationaux, tels que la </w:t>
      </w:r>
      <w:r w:rsidRPr="00E8642C">
        <w:rPr>
          <w:rFonts w:cs="Arial"/>
          <w:i/>
          <w:szCs w:val="22"/>
        </w:rPr>
        <w:t>Convention sur la diversité biologique</w:t>
      </w:r>
      <w:r w:rsidRPr="00E8642C">
        <w:rPr>
          <w:rFonts w:cs="Arial"/>
          <w:szCs w:val="22"/>
        </w:rPr>
        <w:t xml:space="preserve"> (1992) et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éducation, la science et la culture (UNESCO), traitent des aspects relatifs à la conservation, la préservation et la sauvegarde des savoirs traditionnels dans leurs cadres d</w:t>
      </w:r>
      <w:r w:rsidR="00D91476">
        <w:rPr>
          <w:rFonts w:cs="Arial"/>
          <w:szCs w:val="22"/>
        </w:rPr>
        <w:t>’</w:t>
      </w:r>
      <w:r w:rsidRPr="00E8642C">
        <w:rPr>
          <w:rFonts w:cs="Arial"/>
          <w:szCs w:val="22"/>
        </w:rPr>
        <w:t>action respectifs</w:t>
      </w:r>
      <w:r w:rsidRPr="00E8642C">
        <w:rPr>
          <w:rStyle w:val="FootnoteReference"/>
          <w:rFonts w:cs="Arial"/>
          <w:szCs w:val="22"/>
        </w:rPr>
        <w:footnoteReference w:id="130"/>
      </w:r>
      <w:r w:rsidRPr="00E8642C">
        <w:rPr>
          <w:rFonts w:cs="Arial"/>
          <w:szCs w:val="22"/>
        </w:rPr>
        <w:t>.</w:t>
      </w:r>
    </w:p>
    <w:p w:rsidR="00AD541F" w:rsidRDefault="00DD607D" w:rsidP="00AD541F">
      <w:pPr>
        <w:pStyle w:val="Heading2"/>
        <w:spacing w:after="220" w:line="240" w:lineRule="auto"/>
      </w:pPr>
      <w:bookmarkStart w:id="99" w:name="_Toc7772570"/>
      <w:r w:rsidRPr="00E8642C">
        <w:t>Principes directeurs de propriété intellectuelle applicables aux contrats concernant l</w:t>
      </w:r>
      <w:r w:rsidR="00D91476">
        <w:t>’</w:t>
      </w:r>
      <w:r w:rsidRPr="00E8642C">
        <w:t>accès et le partage des avantages</w:t>
      </w:r>
      <w:bookmarkEnd w:id="99"/>
    </w:p>
    <w:p w:rsidR="00AD541F" w:rsidRDefault="00DD607D" w:rsidP="00AD541F">
      <w:pPr>
        <w:pStyle w:val="NormalArial"/>
        <w:keepNext/>
        <w:spacing w:after="220" w:line="240" w:lineRule="auto"/>
        <w:ind w:left="0"/>
        <w:rPr>
          <w:rFonts w:cs="Arial"/>
          <w:szCs w:val="22"/>
        </w:rPr>
      </w:pPr>
      <w:r w:rsidRPr="00E8642C">
        <w:rPr>
          <w:rFonts w:cs="Arial"/>
          <w:szCs w:val="22"/>
        </w:rPr>
        <w:t>Dès sa première session, l</w:t>
      </w:r>
      <w:r w:rsidR="00D91476">
        <w:rPr>
          <w:rFonts w:cs="Arial"/>
          <w:szCs w:val="22"/>
        </w:rPr>
        <w:t>’</w:t>
      </w:r>
      <w:r w:rsidRPr="00E8642C">
        <w:rPr>
          <w:rFonts w:cs="Arial"/>
          <w:szCs w:val="22"/>
        </w:rPr>
        <w:t>IGC s</w:t>
      </w:r>
      <w:r w:rsidR="00D91476">
        <w:rPr>
          <w:rFonts w:cs="Arial"/>
          <w:szCs w:val="22"/>
        </w:rPr>
        <w:t>’</w:t>
      </w:r>
      <w:r w:rsidRPr="00E8642C">
        <w:rPr>
          <w:rFonts w:cs="Arial"/>
          <w:szCs w:val="22"/>
        </w:rPr>
        <w:t>est prononcé en faveur de travaux qui conduiraient à l</w:t>
      </w:r>
      <w:r w:rsidR="00D91476">
        <w:rPr>
          <w:rFonts w:cs="Arial"/>
          <w:szCs w:val="22"/>
        </w:rPr>
        <w:t>’</w:t>
      </w:r>
      <w:r w:rsidRPr="00E8642C">
        <w:rPr>
          <w:rFonts w:cs="Arial"/>
          <w:szCs w:val="22"/>
        </w:rPr>
        <w:t>élaboration par l</w:t>
      </w:r>
      <w:r w:rsidR="00D91476">
        <w:rPr>
          <w:rFonts w:cs="Arial"/>
          <w:szCs w:val="22"/>
        </w:rPr>
        <w:t>’</w:t>
      </w:r>
      <w:r w:rsidRPr="00E8642C">
        <w:rPr>
          <w:rFonts w:cs="Arial"/>
          <w:szCs w:val="22"/>
        </w:rPr>
        <w:t>OMPI de principes directeurs de propriété intellectuelle en matière d</w:t>
      </w:r>
      <w:r w:rsidR="00D91476">
        <w:rPr>
          <w:rFonts w:cs="Arial"/>
          <w:szCs w:val="22"/>
        </w:rPr>
        <w:t>’</w:t>
      </w:r>
      <w:r w:rsidRPr="00E8642C">
        <w:rPr>
          <w:rFonts w:cs="Arial"/>
          <w:szCs w:val="22"/>
        </w:rPr>
        <w:t>accès et de partage des avantag</w:t>
      </w:r>
      <w:r w:rsidR="001F3AEE" w:rsidRPr="00E8642C">
        <w:rPr>
          <w:rFonts w:cs="Arial"/>
          <w:szCs w:val="22"/>
        </w:rPr>
        <w:t>es</w:t>
      </w:r>
      <w:r w:rsidR="001F3AEE">
        <w:rPr>
          <w:rFonts w:cs="Arial"/>
          <w:szCs w:val="22"/>
        </w:rPr>
        <w:t xml:space="preserve">.  </w:t>
      </w:r>
      <w:r w:rsidR="001F3AEE" w:rsidRPr="00E8642C">
        <w:rPr>
          <w:rFonts w:cs="Arial"/>
          <w:szCs w:val="22"/>
        </w:rPr>
        <w:t>Il</w:t>
      </w:r>
      <w:r w:rsidRPr="00E8642C">
        <w:rPr>
          <w:rFonts w:cs="Arial"/>
          <w:szCs w:val="22"/>
        </w:rPr>
        <w:t xml:space="preserve"> a été proposé d</w:t>
      </w:r>
      <w:r w:rsidR="00D91476">
        <w:rPr>
          <w:rFonts w:cs="Arial"/>
          <w:szCs w:val="22"/>
        </w:rPr>
        <w:t>’</w:t>
      </w:r>
      <w:r w:rsidRPr="00E8642C">
        <w:rPr>
          <w:rFonts w:cs="Arial"/>
          <w:szCs w:val="22"/>
        </w:rPr>
        <w:t>asseoir ces principes directeurs sur une étude systématique des arrangements contractuels types et effectifs figurant dans la base de données des accords d</w:t>
      </w:r>
      <w:r w:rsidR="00D91476">
        <w:rPr>
          <w:rFonts w:cs="Arial"/>
          <w:szCs w:val="22"/>
        </w:rPr>
        <w:t>’</w:t>
      </w:r>
      <w:r w:rsidRPr="00E8642C">
        <w:rPr>
          <w:rFonts w:cs="Arial"/>
          <w:szCs w:val="22"/>
        </w:rPr>
        <w:t>accès et de partage des avantages en matière de biodiversité de l</w:t>
      </w:r>
      <w:r w:rsidR="00D91476">
        <w:rPr>
          <w:rFonts w:cs="Arial"/>
          <w:szCs w:val="22"/>
        </w:rPr>
        <w:t>’</w:t>
      </w:r>
      <w:r w:rsidRPr="00E8642C">
        <w:rPr>
          <w:rFonts w:cs="Arial"/>
          <w:szCs w:val="22"/>
        </w:rPr>
        <w:t>OMPI</w:t>
      </w:r>
      <w:r w:rsidRPr="00E8642C">
        <w:rPr>
          <w:rStyle w:val="FootnoteReference"/>
          <w:rFonts w:cs="Arial"/>
          <w:szCs w:val="22"/>
        </w:rPr>
        <w:footnoteReference w:id="131"/>
      </w:r>
      <w:r w:rsidRPr="00E8642C">
        <w:rPr>
          <w:rFonts w:cs="Arial"/>
          <w:szCs w:val="22"/>
        </w:rPr>
        <w:t>.</w:t>
      </w:r>
    </w:p>
    <w:p w:rsidR="00AD541F" w:rsidRDefault="00DD607D" w:rsidP="00AD541F">
      <w:pPr>
        <w:pStyle w:val="NormalArial"/>
        <w:spacing w:after="220" w:line="240" w:lineRule="auto"/>
        <w:ind w:left="0"/>
        <w:rPr>
          <w:rFonts w:cs="Arial"/>
          <w:szCs w:val="22"/>
        </w:rPr>
      </w:pPr>
      <w:r w:rsidRPr="00E8642C">
        <w:rPr>
          <w:szCs w:val="22"/>
        </w:rPr>
        <w:t>Un premier projet</w:t>
      </w:r>
      <w:r w:rsidRPr="00E8642C">
        <w:rPr>
          <w:rStyle w:val="FootnoteReference"/>
          <w:rFonts w:cs="Arial"/>
          <w:szCs w:val="22"/>
        </w:rPr>
        <w:footnoteReference w:id="132"/>
      </w:r>
      <w:r w:rsidRPr="00E8642C">
        <w:rPr>
          <w:rFonts w:cs="Arial"/>
          <w:szCs w:val="22"/>
        </w:rPr>
        <w:t xml:space="preserve"> </w:t>
      </w:r>
      <w:r w:rsidRPr="00E8642C">
        <w:rPr>
          <w:szCs w:val="22"/>
        </w:rPr>
        <w:t>a été établi compte tenu des principes indiqués par l</w:t>
      </w:r>
      <w:r w:rsidR="00D91476">
        <w:rPr>
          <w:szCs w:val="22"/>
        </w:rPr>
        <w:t>’</w:t>
      </w:r>
      <w:r w:rsidRPr="00E8642C">
        <w:rPr>
          <w:szCs w:val="22"/>
        </w:rPr>
        <w:t>IGC pour l</w:t>
      </w:r>
      <w:r w:rsidR="00D91476">
        <w:rPr>
          <w:szCs w:val="22"/>
        </w:rPr>
        <w:t>’</w:t>
      </w:r>
      <w:r w:rsidRPr="00E8642C">
        <w:rPr>
          <w:szCs w:val="22"/>
        </w:rPr>
        <w:t>élaboration de ces principes directeurs</w:t>
      </w:r>
      <w:r w:rsidRPr="00E8642C">
        <w:rPr>
          <w:rStyle w:val="FootnoteReference"/>
          <w:rFonts w:cs="Arial"/>
          <w:szCs w:val="22"/>
        </w:rPr>
        <w:footnoteReference w:id="133"/>
      </w:r>
      <w:r w:rsidRPr="00E8642C">
        <w:rPr>
          <w:szCs w:val="22"/>
        </w:rPr>
        <w:t>.  Ce projet a ensuite été actualisé pour la dix</w:t>
      </w:r>
      <w:r w:rsidR="00400337">
        <w:rPr>
          <w:szCs w:val="22"/>
        </w:rPr>
        <w:noBreakHyphen/>
      </w:r>
      <w:r w:rsidRPr="00E8642C">
        <w:rPr>
          <w:szCs w:val="22"/>
        </w:rPr>
        <w:t>sept</w:t>
      </w:r>
      <w:r w:rsidR="00D91476">
        <w:rPr>
          <w:szCs w:val="22"/>
        </w:rPr>
        <w:t>ième session</w:t>
      </w:r>
      <w:r w:rsidRPr="00E8642C">
        <w:rPr>
          <w:szCs w:val="22"/>
        </w:rPr>
        <w:t xml:space="preserve"> de l</w:t>
      </w:r>
      <w:r w:rsidR="00D91476">
        <w:rPr>
          <w:szCs w:val="22"/>
        </w:rPr>
        <w:t>’</w:t>
      </w:r>
      <w:r w:rsidRPr="00E8642C">
        <w:rPr>
          <w:szCs w:val="22"/>
        </w:rPr>
        <w:t>IGC</w:t>
      </w:r>
      <w:r w:rsidRPr="00E8642C">
        <w:rPr>
          <w:rStyle w:val="FootnoteReference"/>
          <w:rFonts w:cs="Arial"/>
          <w:szCs w:val="22"/>
        </w:rPr>
        <w:footnoteReference w:id="134"/>
      </w:r>
      <w:r w:rsidRPr="00E8642C">
        <w:rPr>
          <w:szCs w:val="22"/>
        </w:rPr>
        <w:t>.</w:t>
      </w:r>
    </w:p>
    <w:p w:rsidR="00AD541F" w:rsidRDefault="00DD607D" w:rsidP="00AD541F">
      <w:pPr>
        <w:spacing w:after="220"/>
        <w:rPr>
          <w:rFonts w:cs="Arial"/>
          <w:szCs w:val="22"/>
        </w:rPr>
      </w:pPr>
      <w:r w:rsidRPr="00E8642C">
        <w:rPr>
          <w:rFonts w:cs="Arial"/>
          <w:szCs w:val="22"/>
        </w:rPr>
        <w:t>Les Principes directeurs de propriété intellectuelle en matière d</w:t>
      </w:r>
      <w:r w:rsidR="00D91476">
        <w:rPr>
          <w:rFonts w:cs="Arial"/>
          <w:szCs w:val="22"/>
        </w:rPr>
        <w:t>’</w:t>
      </w:r>
      <w:r w:rsidRPr="00E8642C">
        <w:rPr>
          <w:rFonts w:cs="Arial"/>
          <w:szCs w:val="22"/>
        </w:rPr>
        <w:t>accès et de partage des avantages visent à servir les intérêts des fournisseurs et des destinataires des ressources génétiques lorsque ceux</w:t>
      </w:r>
      <w:r w:rsidR="00400337">
        <w:rPr>
          <w:rFonts w:cs="Arial"/>
          <w:szCs w:val="22"/>
        </w:rPr>
        <w:noBreakHyphen/>
      </w:r>
      <w:r w:rsidRPr="00E8642C">
        <w:rPr>
          <w:rFonts w:cs="Arial"/>
          <w:szCs w:val="22"/>
        </w:rPr>
        <w:t>ci négocient, définissent et rédigent les éléments de propriété intellectuelle des modalités fixées d</w:t>
      </w:r>
      <w:r w:rsidR="00D91476">
        <w:rPr>
          <w:rFonts w:cs="Arial"/>
          <w:szCs w:val="22"/>
        </w:rPr>
        <w:t>’</w:t>
      </w:r>
      <w:r w:rsidRPr="00E8642C">
        <w:rPr>
          <w:rFonts w:cs="Arial"/>
          <w:szCs w:val="22"/>
        </w:rPr>
        <w:t>un commun accord en ce qui concerne l</w:t>
      </w:r>
      <w:r w:rsidR="00D91476">
        <w:rPr>
          <w:rFonts w:cs="Arial"/>
          <w:szCs w:val="22"/>
        </w:rPr>
        <w:t>’</w:t>
      </w:r>
      <w:r w:rsidRPr="00E8642C">
        <w:rPr>
          <w:rFonts w:cs="Arial"/>
          <w:szCs w:val="22"/>
        </w:rPr>
        <w:t>accès aux ressources génétiques et le partage des avantag</w:t>
      </w:r>
      <w:r w:rsidR="001F3AEE" w:rsidRPr="00E8642C">
        <w:rPr>
          <w:rFonts w:cs="Arial"/>
          <w:szCs w:val="22"/>
        </w:rPr>
        <w:t>es</w:t>
      </w:r>
      <w:r w:rsidR="001F3AEE">
        <w:rPr>
          <w:rFonts w:cs="Arial"/>
          <w:szCs w:val="22"/>
        </w:rPr>
        <w:t xml:space="preserve">.  </w:t>
      </w:r>
      <w:r w:rsidR="001F3AEE" w:rsidRPr="00E8642C">
        <w:rPr>
          <w:rFonts w:cs="Arial"/>
          <w:szCs w:val="22"/>
        </w:rPr>
        <w:t>Il</w:t>
      </w:r>
      <w:r w:rsidRPr="00E8642C">
        <w:rPr>
          <w:rFonts w:cs="Arial"/>
          <w:szCs w:val="22"/>
        </w:rPr>
        <w:t>s donnent des exemples des questions concrètes de propriété intellectuelle auxquelles les fournisseurs et les destinataires des ressources peuvent être confrontés lorsqu</w:t>
      </w:r>
      <w:r w:rsidR="00D91476">
        <w:rPr>
          <w:rFonts w:cs="Arial"/>
          <w:szCs w:val="22"/>
        </w:rPr>
        <w:t>’</w:t>
      </w:r>
      <w:r w:rsidRPr="00E8642C">
        <w:rPr>
          <w:rFonts w:cs="Arial"/>
          <w:szCs w:val="22"/>
        </w:rPr>
        <w:t>ils négocient un accord, un contrat ou une licen</w:t>
      </w:r>
      <w:r w:rsidR="001F3AEE" w:rsidRPr="00E8642C">
        <w:rPr>
          <w:rFonts w:cs="Arial"/>
          <w:szCs w:val="22"/>
        </w:rPr>
        <w:t>ce</w:t>
      </w:r>
      <w:r w:rsidR="001F3AEE">
        <w:rPr>
          <w:rFonts w:cs="Arial"/>
          <w:szCs w:val="22"/>
        </w:rPr>
        <w:t xml:space="preserve">.  </w:t>
      </w:r>
      <w:r w:rsidR="001F3AEE" w:rsidRPr="00E8642C">
        <w:rPr>
          <w:rFonts w:cs="Arial"/>
          <w:szCs w:val="22"/>
        </w:rPr>
        <w:t>La</w:t>
      </w:r>
      <w:r w:rsidRPr="00E8642C">
        <w:rPr>
          <w:rFonts w:cs="Arial"/>
          <w:szCs w:val="22"/>
        </w:rPr>
        <w:t xml:space="preserve"> diversité des législations nationales et des intérêts concrets des fournisseurs et des destinataires peut déboucher sur une multitude de choix possibles lors de la négociation et de l</w:t>
      </w:r>
      <w:r w:rsidR="00D91476">
        <w:rPr>
          <w:rFonts w:cs="Arial"/>
          <w:szCs w:val="22"/>
        </w:rPr>
        <w:t>’</w:t>
      </w:r>
      <w:r w:rsidRPr="00E8642C">
        <w:rPr>
          <w:rFonts w:cs="Arial"/>
          <w:szCs w:val="22"/>
        </w:rPr>
        <w:t>élaboration des clauses contractuell</w:t>
      </w:r>
      <w:r w:rsidR="001F3AEE" w:rsidRPr="00E8642C">
        <w:rPr>
          <w:rFonts w:cs="Arial"/>
          <w:szCs w:val="22"/>
        </w:rPr>
        <w:t>es</w:t>
      </w:r>
      <w:r w:rsidR="001F3AEE">
        <w:rPr>
          <w:rFonts w:cs="Arial"/>
          <w:szCs w:val="22"/>
        </w:rPr>
        <w:t xml:space="preserve">.  </w:t>
      </w:r>
      <w:r w:rsidR="001F3AEE" w:rsidRPr="00E8642C">
        <w:rPr>
          <w:rFonts w:cs="Arial"/>
          <w:szCs w:val="22"/>
        </w:rPr>
        <w:t>Ce</w:t>
      </w:r>
      <w:r w:rsidRPr="00E8642C">
        <w:rPr>
          <w:rFonts w:cs="Arial"/>
          <w:szCs w:val="22"/>
        </w:rPr>
        <w:t>s principes directeurs peuvent donc aider les fournisseurs et les destinataires à déterminer les conditions d</w:t>
      </w:r>
      <w:r w:rsidR="00D91476">
        <w:rPr>
          <w:rFonts w:cs="Arial"/>
          <w:szCs w:val="22"/>
        </w:rPr>
        <w:t>’</w:t>
      </w:r>
      <w:r w:rsidRPr="00E8642C">
        <w:rPr>
          <w:rFonts w:cs="Arial"/>
          <w:szCs w:val="22"/>
        </w:rPr>
        <w:t>accès et de partage des avantages de façon équitable et d</w:t>
      </w:r>
      <w:r w:rsidR="00D91476">
        <w:rPr>
          <w:rFonts w:cs="Arial"/>
          <w:szCs w:val="22"/>
        </w:rPr>
        <w:t>’</w:t>
      </w:r>
      <w:r w:rsidRPr="00E8642C">
        <w:rPr>
          <w:rFonts w:cs="Arial"/>
          <w:szCs w:val="22"/>
        </w:rPr>
        <w:t>un commun accord, sans prétendre toutefois imposer un modèle ou telles ou telles solutions.</w:t>
      </w:r>
    </w:p>
    <w:p w:rsidR="00AD541F" w:rsidRDefault="00DD607D" w:rsidP="00AD541F">
      <w:pPr>
        <w:spacing w:after="220"/>
        <w:rPr>
          <w:rFonts w:cs="Arial"/>
          <w:szCs w:val="22"/>
          <w:lang w:eastAsia="zh-CN"/>
        </w:rPr>
      </w:pPr>
      <w:r w:rsidRPr="00E8642C">
        <w:rPr>
          <w:rFonts w:cs="Arial"/>
          <w:szCs w:val="22"/>
        </w:rPr>
        <w:t xml:space="preserve">En outre, aucun élément de ces principes directeurs ne doit être interprété comme portant atteinte aux droits souverains des États sur leurs ressources naturelles, </w:t>
      </w:r>
      <w:r w:rsidR="00D91476">
        <w:rPr>
          <w:rFonts w:cs="Arial"/>
          <w:szCs w:val="22"/>
        </w:rPr>
        <w:t>y compris</w:t>
      </w:r>
      <w:r w:rsidRPr="00E8642C">
        <w:rPr>
          <w:rFonts w:cs="Arial"/>
          <w:szCs w:val="22"/>
        </w:rPr>
        <w:t xml:space="preserve"> leur droit de fixer les conditions et les modalités d</w:t>
      </w:r>
      <w:r w:rsidR="00D91476">
        <w:rPr>
          <w:rFonts w:cs="Arial"/>
          <w:szCs w:val="22"/>
        </w:rPr>
        <w:t>’</w:t>
      </w:r>
      <w:r w:rsidRPr="00E8642C">
        <w:rPr>
          <w:rFonts w:cs="Arial"/>
          <w:szCs w:val="22"/>
        </w:rPr>
        <w:t>accès et de partage des avantag</w:t>
      </w:r>
      <w:r w:rsidR="001F3AEE" w:rsidRPr="00E8642C">
        <w:rPr>
          <w:rFonts w:cs="Arial"/>
          <w:szCs w:val="22"/>
        </w:rPr>
        <w:t>es</w:t>
      </w:r>
      <w:r w:rsidR="001F3AEE">
        <w:rPr>
          <w:rFonts w:cs="Arial"/>
          <w:szCs w:val="22"/>
        </w:rPr>
        <w:t xml:space="preserve">.  </w:t>
      </w:r>
      <w:r w:rsidR="001F3AEE" w:rsidRPr="00E8642C">
        <w:rPr>
          <w:rFonts w:cs="Arial"/>
          <w:szCs w:val="22"/>
        </w:rPr>
        <w:t>Le</w:t>
      </w:r>
      <w:r w:rsidRPr="00E8642C">
        <w:rPr>
          <w:rFonts w:cs="Arial"/>
          <w:szCs w:val="22"/>
        </w:rPr>
        <w:t>s principes directeurs seraient de nature purement facultative et indicati</w:t>
      </w:r>
      <w:r w:rsidR="001F3AEE" w:rsidRPr="00E8642C">
        <w:rPr>
          <w:rFonts w:cs="Arial"/>
          <w:szCs w:val="22"/>
        </w:rPr>
        <w:t>ve</w:t>
      </w:r>
      <w:r w:rsidR="001F3AEE">
        <w:rPr>
          <w:rFonts w:cs="Arial"/>
          <w:szCs w:val="22"/>
        </w:rPr>
        <w:t xml:space="preserve">.  </w:t>
      </w:r>
      <w:r w:rsidR="001F3AEE" w:rsidRPr="00E8642C">
        <w:rPr>
          <w:rFonts w:cs="Arial"/>
          <w:szCs w:val="22"/>
        </w:rPr>
        <w:t>Il</w:t>
      </w:r>
      <w:r w:rsidRPr="00E8642C">
        <w:rPr>
          <w:rFonts w:cs="Arial"/>
          <w:szCs w:val="22"/>
        </w:rPr>
        <w:t>s ne sont pas destinés à remplacer la législation internationale, régionale ou nationale applicable</w:t>
      </w:r>
      <w:r w:rsidRPr="00E8642C">
        <w:rPr>
          <w:rFonts w:cs="Arial"/>
          <w:szCs w:val="22"/>
          <w:vertAlign w:val="superscript"/>
        </w:rPr>
        <w:footnoteReference w:id="135"/>
      </w:r>
      <w:r w:rsidRPr="00E8642C">
        <w:rPr>
          <w:rFonts w:cs="Arial"/>
          <w:szCs w:val="22"/>
        </w:rPr>
        <w:t>.</w:t>
      </w:r>
    </w:p>
    <w:p w:rsidR="00AD541F" w:rsidRDefault="00DD607D" w:rsidP="00AD541F">
      <w:pPr>
        <w:spacing w:after="220"/>
        <w:rPr>
          <w:rFonts w:cs="Arial"/>
          <w:szCs w:val="22"/>
        </w:rPr>
      </w:pPr>
      <w:r w:rsidRPr="00E8642C">
        <w:rPr>
          <w:rFonts w:cs="Arial"/>
          <w:szCs w:val="22"/>
          <w:lang w:eastAsia="zh-CN"/>
        </w:rPr>
        <w:t>Des savoirs traditionnels sont souvent associés aux ressources génétiques et peuvent donner des indications utiles sur la façon dont celles</w:t>
      </w:r>
      <w:r w:rsidR="00400337">
        <w:rPr>
          <w:rFonts w:cs="Arial"/>
          <w:szCs w:val="22"/>
          <w:lang w:eastAsia="zh-CN"/>
        </w:rPr>
        <w:noBreakHyphen/>
      </w:r>
      <w:r w:rsidRPr="00E8642C">
        <w:rPr>
          <w:rFonts w:cs="Arial"/>
          <w:szCs w:val="22"/>
          <w:lang w:eastAsia="zh-CN"/>
        </w:rPr>
        <w:t>ci peuvent être préservées, conservées et utilisées dans l</w:t>
      </w:r>
      <w:r w:rsidR="00D91476">
        <w:rPr>
          <w:rFonts w:cs="Arial"/>
          <w:szCs w:val="22"/>
          <w:lang w:eastAsia="zh-CN"/>
        </w:rPr>
        <w:t>’</w:t>
      </w:r>
      <w:r w:rsidRPr="00E8642C">
        <w:rPr>
          <w:rFonts w:cs="Arial"/>
          <w:szCs w:val="22"/>
          <w:lang w:eastAsia="zh-CN"/>
        </w:rPr>
        <w:t>intérêt de l</w:t>
      </w:r>
      <w:r w:rsidR="00D91476">
        <w:rPr>
          <w:rFonts w:cs="Arial"/>
          <w:szCs w:val="22"/>
          <w:lang w:eastAsia="zh-CN"/>
        </w:rPr>
        <w:t>’</w:t>
      </w:r>
      <w:r w:rsidRPr="00E8642C">
        <w:rPr>
          <w:rFonts w:cs="Arial"/>
          <w:szCs w:val="22"/>
          <w:lang w:eastAsia="zh-CN"/>
        </w:rPr>
        <w:t>humanité</w:t>
      </w:r>
      <w:r w:rsidRPr="00E8642C">
        <w:rPr>
          <w:rStyle w:val="FootnoteReference"/>
          <w:rFonts w:cs="Arial"/>
          <w:szCs w:val="22"/>
          <w:lang w:eastAsia="zh-CN"/>
        </w:rPr>
        <w:footnoteReference w:id="136"/>
      </w:r>
      <w:r w:rsidRPr="00E8642C">
        <w:rPr>
          <w:rFonts w:cs="Arial"/>
          <w:szCs w:val="22"/>
          <w:lang w:eastAsia="zh-CN"/>
        </w:rPr>
        <w:t>.  Ces principes directeurs s</w:t>
      </w:r>
      <w:r w:rsidR="00D91476">
        <w:rPr>
          <w:rFonts w:cs="Arial"/>
          <w:szCs w:val="22"/>
          <w:lang w:eastAsia="zh-CN"/>
        </w:rPr>
        <w:t>’</w:t>
      </w:r>
      <w:r w:rsidRPr="00E8642C">
        <w:rPr>
          <w:rFonts w:cs="Arial"/>
          <w:szCs w:val="22"/>
          <w:lang w:eastAsia="zh-CN"/>
        </w:rPr>
        <w:t>appliquent également aux savoirs traditionnels associés aux ressources génétiques</w:t>
      </w:r>
      <w:r w:rsidRPr="00E8642C">
        <w:rPr>
          <w:rStyle w:val="FootnoteReference"/>
          <w:rFonts w:cs="Arial"/>
          <w:szCs w:val="22"/>
        </w:rPr>
        <w:footnoteReference w:id="137"/>
      </w:r>
      <w:r w:rsidRPr="00E8642C">
        <w:rPr>
          <w:rFonts w:cs="Arial"/>
          <w:szCs w:val="22"/>
          <w:lang w:eastAsia="zh-CN"/>
        </w:rPr>
        <w:t>.</w:t>
      </w:r>
    </w:p>
    <w:p w:rsidR="00AD541F" w:rsidRDefault="00DD607D" w:rsidP="00AD541F">
      <w:pPr>
        <w:pStyle w:val="Heading2"/>
        <w:spacing w:after="220" w:line="240" w:lineRule="auto"/>
      </w:pPr>
      <w:bookmarkStart w:id="100" w:name="_Toc7772571"/>
      <w:r w:rsidRPr="00E8642C">
        <w:t>Propriété culturelle</w:t>
      </w:r>
      <w:bookmarkEnd w:id="100"/>
    </w:p>
    <w:p w:rsidR="00AD541F" w:rsidRDefault="00DD607D" w:rsidP="00AD541F">
      <w:pPr>
        <w:pStyle w:val="FootnoteText"/>
        <w:spacing w:after="220"/>
        <w:ind w:left="0" w:firstLine="0"/>
        <w:rPr>
          <w:rFonts w:cs="Arial"/>
          <w:snapToGrid w:val="0"/>
          <w:szCs w:val="22"/>
        </w:rPr>
      </w:pPr>
      <w:r w:rsidRPr="00E8642C">
        <w:rPr>
          <w:rFonts w:cs="Arial"/>
          <w:snapToGrid w:val="0"/>
          <w:szCs w:val="22"/>
        </w:rPr>
        <w:t>La propriété culturelle est définie dans l</w:t>
      </w:r>
      <w:r w:rsidR="00D91476">
        <w:rPr>
          <w:rFonts w:cs="Arial"/>
          <w:snapToGrid w:val="0"/>
          <w:szCs w:val="22"/>
        </w:rPr>
        <w:t>’</w:t>
      </w:r>
      <w:r w:rsidRPr="00E8642C">
        <w:rPr>
          <w:rFonts w:cs="Arial"/>
          <w:snapToGrid w:val="0"/>
          <w:szCs w:val="22"/>
        </w:rPr>
        <w:t>article premier de la</w:t>
      </w:r>
      <w:r w:rsidRPr="00E8642C">
        <w:rPr>
          <w:rFonts w:cs="Arial"/>
          <w:i/>
          <w:snapToGrid w:val="0"/>
          <w:szCs w:val="22"/>
        </w:rPr>
        <w:t xml:space="preserve"> Convention concernant les mesures à prendre pour interdire et empêcher l</w:t>
      </w:r>
      <w:r w:rsidR="00D91476">
        <w:rPr>
          <w:rFonts w:cs="Arial"/>
          <w:i/>
          <w:snapToGrid w:val="0"/>
          <w:szCs w:val="22"/>
        </w:rPr>
        <w:t>’</w:t>
      </w:r>
      <w:r w:rsidRPr="00E8642C">
        <w:rPr>
          <w:rFonts w:cs="Arial"/>
          <w:i/>
          <w:snapToGrid w:val="0"/>
          <w:szCs w:val="22"/>
        </w:rPr>
        <w:t>importation, l</w:t>
      </w:r>
      <w:r w:rsidR="00D91476">
        <w:rPr>
          <w:rFonts w:cs="Arial"/>
          <w:i/>
          <w:snapToGrid w:val="0"/>
          <w:szCs w:val="22"/>
        </w:rPr>
        <w:t>’</w:t>
      </w:r>
      <w:r w:rsidRPr="00E8642C">
        <w:rPr>
          <w:rFonts w:cs="Arial"/>
          <w:i/>
          <w:snapToGrid w:val="0"/>
          <w:szCs w:val="22"/>
        </w:rPr>
        <w:t xml:space="preserve">exportation et le transfert de propriété illicites des biens culturels </w:t>
      </w:r>
      <w:r w:rsidRPr="00E8642C">
        <w:rPr>
          <w:rFonts w:cs="Arial"/>
          <w:snapToGrid w:val="0"/>
          <w:szCs w:val="22"/>
        </w:rPr>
        <w:t xml:space="preserve">(1970) </w:t>
      </w:r>
      <w:r w:rsidRPr="00E8642C">
        <w:rPr>
          <w:rFonts w:cs="Arial"/>
          <w:szCs w:val="22"/>
        </w:rPr>
        <w:t>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 xml:space="preserve">éducation, la science et la culture </w:t>
      </w:r>
      <w:r w:rsidRPr="00E8642C">
        <w:rPr>
          <w:rFonts w:cs="Arial"/>
          <w:snapToGrid w:val="0"/>
          <w:szCs w:val="22"/>
        </w:rPr>
        <w:t>(UNESCO) comme suit</w:t>
      </w:r>
      <w:r w:rsidR="00D91476">
        <w:rPr>
          <w:rFonts w:cs="Arial"/>
          <w:snapToGrid w:val="0"/>
          <w:szCs w:val="22"/>
        </w:rPr>
        <w:t> :</w:t>
      </w:r>
      <w:r w:rsidRPr="00E8642C">
        <w:rPr>
          <w:rFonts w:cs="Arial"/>
          <w:snapToGrid w:val="0"/>
          <w:szCs w:val="22"/>
        </w:rPr>
        <w:t xml:space="preserve"> “biens qui, à titre religieux ou profane, sont désignés par chaque État comme étant d</w:t>
      </w:r>
      <w:r w:rsidR="00D91476">
        <w:rPr>
          <w:rFonts w:cs="Arial"/>
          <w:snapToGrid w:val="0"/>
          <w:szCs w:val="22"/>
        </w:rPr>
        <w:t>’</w:t>
      </w:r>
      <w:r w:rsidRPr="00E8642C">
        <w:rPr>
          <w:rFonts w:cs="Arial"/>
          <w:snapToGrid w:val="0"/>
          <w:szCs w:val="22"/>
        </w:rPr>
        <w:t>importance pour l</w:t>
      </w:r>
      <w:r w:rsidR="00D91476">
        <w:rPr>
          <w:rFonts w:cs="Arial"/>
          <w:snapToGrid w:val="0"/>
          <w:szCs w:val="22"/>
        </w:rPr>
        <w:t>’</w:t>
      </w:r>
      <w:r w:rsidRPr="00E8642C">
        <w:rPr>
          <w:rFonts w:cs="Arial"/>
          <w:snapToGrid w:val="0"/>
          <w:szCs w:val="22"/>
        </w:rPr>
        <w:t>archéologie, la préhistoire, l</w:t>
      </w:r>
      <w:r w:rsidR="00D91476">
        <w:rPr>
          <w:rFonts w:cs="Arial"/>
          <w:snapToGrid w:val="0"/>
          <w:szCs w:val="22"/>
        </w:rPr>
        <w:t>’</w:t>
      </w:r>
      <w:r w:rsidRPr="00E8642C">
        <w:rPr>
          <w:rFonts w:cs="Arial"/>
          <w:snapToGrid w:val="0"/>
          <w:szCs w:val="22"/>
        </w:rPr>
        <w:t>histoire, la littérature, l</w:t>
      </w:r>
      <w:r w:rsidR="00D91476">
        <w:rPr>
          <w:rFonts w:cs="Arial"/>
          <w:snapToGrid w:val="0"/>
          <w:szCs w:val="22"/>
        </w:rPr>
        <w:t>’</w:t>
      </w:r>
      <w:r w:rsidRPr="00E8642C">
        <w:rPr>
          <w:rFonts w:cs="Arial"/>
          <w:snapToGrid w:val="0"/>
          <w:szCs w:val="22"/>
        </w:rPr>
        <w:t>art ou la science, et qui appartiennent aux catégories ci</w:t>
      </w:r>
      <w:r w:rsidR="00400337">
        <w:rPr>
          <w:rFonts w:cs="Arial"/>
          <w:snapToGrid w:val="0"/>
          <w:szCs w:val="22"/>
        </w:rPr>
        <w:noBreakHyphen/>
      </w:r>
      <w:r w:rsidRPr="00E8642C">
        <w:rPr>
          <w:rFonts w:cs="Arial"/>
          <w:snapToGrid w:val="0"/>
          <w:szCs w:val="22"/>
        </w:rPr>
        <w:t>après</w:t>
      </w:r>
      <w:r w:rsidR="00D91476">
        <w:rPr>
          <w:rFonts w:cs="Arial"/>
          <w:snapToGrid w:val="0"/>
          <w:szCs w:val="22"/>
        </w:rPr>
        <w:t> :</w:t>
      </w:r>
      <w:r w:rsidRPr="00E8642C">
        <w:rPr>
          <w:rFonts w:cs="Arial"/>
          <w:snapToGrid w:val="0"/>
          <w:szCs w:val="22"/>
        </w:rPr>
        <w:t xml:space="preserve"> a) collections et spécimens rares de zoologie, de botanique, de minéralogie et d</w:t>
      </w:r>
      <w:r w:rsidR="00D91476">
        <w:rPr>
          <w:rFonts w:cs="Arial"/>
          <w:snapToGrid w:val="0"/>
          <w:szCs w:val="22"/>
        </w:rPr>
        <w:t>’</w:t>
      </w:r>
      <w:r w:rsidRPr="00E8642C">
        <w:rPr>
          <w:rFonts w:cs="Arial"/>
          <w:snapToGrid w:val="0"/>
          <w:szCs w:val="22"/>
        </w:rPr>
        <w:t>anatomie;  objets présentant un intérêt paléontologique;  b) les biens concernant l</w:t>
      </w:r>
      <w:r w:rsidR="00D91476">
        <w:rPr>
          <w:rFonts w:cs="Arial"/>
          <w:snapToGrid w:val="0"/>
          <w:szCs w:val="22"/>
        </w:rPr>
        <w:t>’</w:t>
      </w:r>
      <w:r w:rsidRPr="00E8642C">
        <w:rPr>
          <w:rFonts w:cs="Arial"/>
          <w:snapToGrid w:val="0"/>
          <w:szCs w:val="22"/>
        </w:rPr>
        <w:t xml:space="preserve">histoire, </w:t>
      </w:r>
      <w:r w:rsidR="00D91476">
        <w:rPr>
          <w:rFonts w:cs="Arial"/>
          <w:snapToGrid w:val="0"/>
          <w:szCs w:val="22"/>
        </w:rPr>
        <w:t>y compris</w:t>
      </w:r>
      <w:r w:rsidRPr="00E8642C">
        <w:rPr>
          <w:rFonts w:cs="Arial"/>
          <w:snapToGrid w:val="0"/>
          <w:szCs w:val="22"/>
        </w:rPr>
        <w:t xml:space="preserve"> l</w:t>
      </w:r>
      <w:r w:rsidR="00D91476">
        <w:rPr>
          <w:rFonts w:cs="Arial"/>
          <w:snapToGrid w:val="0"/>
          <w:szCs w:val="22"/>
        </w:rPr>
        <w:t>’</w:t>
      </w:r>
      <w:r w:rsidRPr="00E8642C">
        <w:rPr>
          <w:rFonts w:cs="Arial"/>
          <w:snapToGrid w:val="0"/>
          <w:szCs w:val="22"/>
        </w:rPr>
        <w:t>histoire des sciences et des techniques, l</w:t>
      </w:r>
      <w:r w:rsidR="00D91476">
        <w:rPr>
          <w:rFonts w:cs="Arial"/>
          <w:snapToGrid w:val="0"/>
          <w:szCs w:val="22"/>
        </w:rPr>
        <w:t>’</w:t>
      </w:r>
      <w:r w:rsidRPr="00E8642C">
        <w:rPr>
          <w:rFonts w:cs="Arial"/>
          <w:snapToGrid w:val="0"/>
          <w:szCs w:val="22"/>
        </w:rPr>
        <w:t>histoire militaire et sociale ainsi que la vie des dirigeants, penseurs, savants et artistes nationaux, et les événements d</w:t>
      </w:r>
      <w:r w:rsidR="00D91476">
        <w:rPr>
          <w:rFonts w:cs="Arial"/>
          <w:snapToGrid w:val="0"/>
          <w:szCs w:val="22"/>
        </w:rPr>
        <w:t>’</w:t>
      </w:r>
      <w:r w:rsidRPr="00E8642C">
        <w:rPr>
          <w:rFonts w:cs="Arial"/>
          <w:snapToGrid w:val="0"/>
          <w:szCs w:val="22"/>
        </w:rPr>
        <w:t>importance nationale;  c) le produit des fouilles archéologiques (régulières et clandestines) et des découvertes archéologiques;  d) les éléments provenant du démembrement de monuments artistiques ou historiques et de sites archéologiques;  e) objets d</w:t>
      </w:r>
      <w:r w:rsidR="00D91476">
        <w:rPr>
          <w:rFonts w:cs="Arial"/>
          <w:snapToGrid w:val="0"/>
          <w:szCs w:val="22"/>
        </w:rPr>
        <w:t>’</w:t>
      </w:r>
      <w:r w:rsidRPr="00E8642C">
        <w:rPr>
          <w:rFonts w:cs="Arial"/>
          <w:snapToGrid w:val="0"/>
          <w:szCs w:val="22"/>
        </w:rPr>
        <w:t>antiquité ayant plus de cent ans d</w:t>
      </w:r>
      <w:r w:rsidR="00D91476">
        <w:rPr>
          <w:rFonts w:cs="Arial"/>
          <w:snapToGrid w:val="0"/>
          <w:szCs w:val="22"/>
        </w:rPr>
        <w:t>’</w:t>
      </w:r>
      <w:r w:rsidRPr="00E8642C">
        <w:rPr>
          <w:rFonts w:cs="Arial"/>
          <w:snapToGrid w:val="0"/>
          <w:szCs w:val="22"/>
        </w:rPr>
        <w:t>âge, tels qu</w:t>
      </w:r>
      <w:r w:rsidR="00D91476">
        <w:rPr>
          <w:rFonts w:cs="Arial"/>
          <w:snapToGrid w:val="0"/>
          <w:szCs w:val="22"/>
        </w:rPr>
        <w:t>’</w:t>
      </w:r>
      <w:r w:rsidRPr="00E8642C">
        <w:rPr>
          <w:rFonts w:cs="Arial"/>
          <w:snapToGrid w:val="0"/>
          <w:szCs w:val="22"/>
        </w:rPr>
        <w:t>inscriptions, monnaies et sceaux gravés;  f) le matériel ethnologique;  g) les biens d</w:t>
      </w:r>
      <w:r w:rsidR="00D91476">
        <w:rPr>
          <w:rFonts w:cs="Arial"/>
          <w:snapToGrid w:val="0"/>
          <w:szCs w:val="22"/>
        </w:rPr>
        <w:t>’</w:t>
      </w:r>
      <w:r w:rsidRPr="00E8642C">
        <w:rPr>
          <w:rFonts w:cs="Arial"/>
          <w:snapToGrid w:val="0"/>
          <w:szCs w:val="22"/>
        </w:rPr>
        <w:t>intérêt artistique tels que</w:t>
      </w:r>
      <w:r w:rsidR="00D91476">
        <w:rPr>
          <w:rFonts w:cs="Arial"/>
          <w:snapToGrid w:val="0"/>
          <w:szCs w:val="22"/>
        </w:rPr>
        <w:t> :</w:t>
      </w:r>
      <w:r w:rsidRPr="00E8642C">
        <w:rPr>
          <w:rFonts w:cs="Arial"/>
          <w:snapToGrid w:val="0"/>
          <w:szCs w:val="22"/>
        </w:rPr>
        <w:t xml:space="preserve"> i) tableaux, peintures et dessins faits entièrement à la main sur tout support et en toutes matières (à l</w:t>
      </w:r>
      <w:r w:rsidR="00D91476">
        <w:rPr>
          <w:rFonts w:cs="Arial"/>
          <w:snapToGrid w:val="0"/>
          <w:szCs w:val="22"/>
        </w:rPr>
        <w:t>’</w:t>
      </w:r>
      <w:r w:rsidRPr="00E8642C">
        <w:rPr>
          <w:rFonts w:cs="Arial"/>
          <w:snapToGrid w:val="0"/>
          <w:szCs w:val="22"/>
        </w:rPr>
        <w:t>exclusion des dessins industriels et des articles manufacturés décorés à la main);  ii) productions originales de l</w:t>
      </w:r>
      <w:r w:rsidR="00D91476">
        <w:rPr>
          <w:rFonts w:cs="Arial"/>
          <w:snapToGrid w:val="0"/>
          <w:szCs w:val="22"/>
        </w:rPr>
        <w:t>’</w:t>
      </w:r>
      <w:r w:rsidRPr="00E8642C">
        <w:rPr>
          <w:rFonts w:cs="Arial"/>
          <w:snapToGrid w:val="0"/>
          <w:szCs w:val="22"/>
        </w:rPr>
        <w:t>art statutaire et de la sculpture, en toutes matières;  iii) gravures, estampes et lithographies originales;  iv) assemblages et montages artistiques originaux, en toutes matières;  h) manuscrits rares et incunables, livres, documents et publications anciens d</w:t>
      </w:r>
      <w:r w:rsidR="00D91476">
        <w:rPr>
          <w:rFonts w:cs="Arial"/>
          <w:snapToGrid w:val="0"/>
          <w:szCs w:val="22"/>
        </w:rPr>
        <w:t>’</w:t>
      </w:r>
      <w:r w:rsidRPr="00E8642C">
        <w:rPr>
          <w:rFonts w:cs="Arial"/>
          <w:snapToGrid w:val="0"/>
          <w:szCs w:val="22"/>
        </w:rPr>
        <w:t>intérêt spécial (historique, artistique, scientifique, littéraire, etc.) isolés ou en collections;  i) timbres</w:t>
      </w:r>
      <w:r w:rsidR="00400337">
        <w:rPr>
          <w:rFonts w:cs="Arial"/>
          <w:snapToGrid w:val="0"/>
          <w:szCs w:val="22"/>
        </w:rPr>
        <w:noBreakHyphen/>
      </w:r>
      <w:r w:rsidRPr="00E8642C">
        <w:rPr>
          <w:rFonts w:cs="Arial"/>
          <w:snapToGrid w:val="0"/>
          <w:szCs w:val="22"/>
        </w:rPr>
        <w:t xml:space="preserve">poste, timbres fiscaux et analogues, isolés ou en collections;  j) archives, </w:t>
      </w:r>
      <w:r w:rsidR="00D91476">
        <w:rPr>
          <w:rFonts w:cs="Arial"/>
          <w:snapToGrid w:val="0"/>
          <w:szCs w:val="22"/>
        </w:rPr>
        <w:t>y compris</w:t>
      </w:r>
      <w:r w:rsidRPr="00E8642C">
        <w:rPr>
          <w:rFonts w:cs="Arial"/>
          <w:snapToGrid w:val="0"/>
          <w:szCs w:val="22"/>
        </w:rPr>
        <w:t xml:space="preserve"> les archives phonographiques, photographiques et cinématographies;  k) objets d</w:t>
      </w:r>
      <w:r w:rsidR="00D91476">
        <w:rPr>
          <w:rFonts w:cs="Arial"/>
          <w:snapToGrid w:val="0"/>
          <w:szCs w:val="22"/>
        </w:rPr>
        <w:t>’</w:t>
      </w:r>
      <w:r w:rsidRPr="00E8642C">
        <w:rPr>
          <w:rFonts w:cs="Arial"/>
          <w:snapToGrid w:val="0"/>
          <w:szCs w:val="22"/>
        </w:rPr>
        <w:t>ameublement ayant plus de cent ans d</w:t>
      </w:r>
      <w:r w:rsidR="00D91476">
        <w:rPr>
          <w:rFonts w:cs="Arial"/>
          <w:snapToGrid w:val="0"/>
          <w:szCs w:val="22"/>
        </w:rPr>
        <w:t>’</w:t>
      </w:r>
      <w:r w:rsidRPr="00E8642C">
        <w:rPr>
          <w:rFonts w:cs="Arial"/>
          <w:snapToGrid w:val="0"/>
          <w:szCs w:val="22"/>
        </w:rPr>
        <w:t>âge et instruments de musique anciens”.</w:t>
      </w:r>
    </w:p>
    <w:p w:rsidR="00AD541F" w:rsidRDefault="00DD607D" w:rsidP="00AD541F">
      <w:pPr>
        <w:pStyle w:val="Heading2"/>
        <w:spacing w:after="220" w:line="240" w:lineRule="auto"/>
      </w:pPr>
      <w:bookmarkStart w:id="101" w:name="_Toc7772572"/>
      <w:r w:rsidRPr="00E8642C">
        <w:t>Protection</w:t>
      </w:r>
      <w:bookmarkEnd w:id="101"/>
    </w:p>
    <w:p w:rsidR="00AD541F" w:rsidRDefault="00DD607D" w:rsidP="00AD541F">
      <w:pPr>
        <w:autoSpaceDE w:val="0"/>
        <w:autoSpaceDN w:val="0"/>
        <w:adjustRightInd w:val="0"/>
        <w:spacing w:after="220"/>
        <w:rPr>
          <w:rFonts w:cs="Arial"/>
          <w:szCs w:val="22"/>
        </w:rPr>
      </w:pPr>
      <w:r w:rsidRPr="00E8642C">
        <w:rPr>
          <w:rFonts w:cs="Arial"/>
          <w:szCs w:val="22"/>
        </w:rPr>
        <w:t>La “protection” dans le cadre des travaux de l</w:t>
      </w:r>
      <w:r w:rsidR="00D91476">
        <w:rPr>
          <w:rFonts w:cs="Arial"/>
          <w:szCs w:val="22"/>
        </w:rPr>
        <w:t>’</w:t>
      </w:r>
      <w:r w:rsidRPr="00E8642C">
        <w:rPr>
          <w:rFonts w:cs="Arial"/>
          <w:szCs w:val="22"/>
        </w:rPr>
        <w:t>IGC fait généralement référence à la protection des savoirs traditionnels et des expressions culturelles traditionnelles contre certaines formes d</w:t>
      </w:r>
      <w:r w:rsidR="00D91476">
        <w:rPr>
          <w:rFonts w:cs="Arial"/>
          <w:szCs w:val="22"/>
        </w:rPr>
        <w:t>’</w:t>
      </w:r>
      <w:r w:rsidRPr="00E8642C">
        <w:rPr>
          <w:rFonts w:cs="Arial"/>
          <w:szCs w:val="22"/>
        </w:rPr>
        <w:t>utilisation non autorisée par des tiers</w:t>
      </w:r>
      <w:r w:rsidRPr="00E8642C">
        <w:rPr>
          <w:rFonts w:cs="Arial"/>
          <w:szCs w:val="22"/>
          <w:vertAlign w:val="superscript"/>
        </w:rPr>
        <w:footnoteReference w:id="138"/>
      </w:r>
      <w:r w:rsidRPr="00E8642C">
        <w:rPr>
          <w:rFonts w:cs="Arial"/>
          <w:szCs w:val="22"/>
        </w:rPr>
        <w:t>.  Deux formes de protection ont été élaborées et mises en application.</w:t>
      </w:r>
    </w:p>
    <w:p w:rsidR="00AD541F" w:rsidRDefault="00DD607D" w:rsidP="00AD541F">
      <w:pPr>
        <w:pStyle w:val="Heading3"/>
        <w:spacing w:after="220" w:line="240" w:lineRule="auto"/>
      </w:pPr>
      <w:r w:rsidRPr="00E8642C">
        <w:t>Protection positive</w:t>
      </w:r>
    </w:p>
    <w:p w:rsidR="00AD541F" w:rsidRDefault="00DD607D" w:rsidP="00AD541F">
      <w:pPr>
        <w:autoSpaceDE w:val="0"/>
        <w:autoSpaceDN w:val="0"/>
        <w:adjustRightInd w:val="0"/>
        <w:spacing w:after="220"/>
        <w:rPr>
          <w:rFonts w:cs="Arial"/>
          <w:szCs w:val="22"/>
        </w:rPr>
      </w:pPr>
      <w:r w:rsidRPr="00E8642C">
        <w:rPr>
          <w:rFonts w:cs="Arial"/>
          <w:szCs w:val="22"/>
        </w:rPr>
        <w:t>L</w:t>
      </w:r>
      <w:r w:rsidR="00D91476">
        <w:rPr>
          <w:rFonts w:cs="Arial"/>
          <w:szCs w:val="22"/>
        </w:rPr>
        <w:t>’</w:t>
      </w:r>
      <w:r w:rsidRPr="00E8642C">
        <w:rPr>
          <w:rFonts w:cs="Arial"/>
          <w:szCs w:val="22"/>
        </w:rPr>
        <w:t>IGC a exploré deux aspects de la protection positive des savoirs traditionnels et des expressions culturelles traditionnelles par les droits de propriété intellectuelle, l</w:t>
      </w:r>
      <w:r w:rsidR="00D91476">
        <w:rPr>
          <w:rFonts w:cs="Arial"/>
          <w:szCs w:val="22"/>
        </w:rPr>
        <w:t>’</w:t>
      </w:r>
      <w:r w:rsidRPr="00E8642C">
        <w:rPr>
          <w:rFonts w:cs="Arial"/>
          <w:szCs w:val="22"/>
        </w:rPr>
        <w:t>un ayant trait à la prévention d</w:t>
      </w:r>
      <w:r w:rsidR="00D91476">
        <w:rPr>
          <w:rFonts w:cs="Arial"/>
          <w:szCs w:val="22"/>
        </w:rPr>
        <w:t>’</w:t>
      </w:r>
      <w:r w:rsidRPr="00E8642C">
        <w:rPr>
          <w:rFonts w:cs="Arial"/>
          <w:szCs w:val="22"/>
        </w:rPr>
        <w:t>une utilisation non autorisée et l</w:t>
      </w:r>
      <w:r w:rsidR="00D91476">
        <w:rPr>
          <w:rFonts w:cs="Arial"/>
          <w:szCs w:val="22"/>
        </w:rPr>
        <w:t>’</w:t>
      </w:r>
      <w:r w:rsidRPr="00E8642C">
        <w:rPr>
          <w:rFonts w:cs="Arial"/>
          <w:szCs w:val="22"/>
        </w:rPr>
        <w:t>autre ayant trait à l</w:t>
      </w:r>
      <w:r w:rsidR="00D91476">
        <w:rPr>
          <w:rFonts w:cs="Arial"/>
          <w:szCs w:val="22"/>
        </w:rPr>
        <w:t>’</w:t>
      </w:r>
      <w:r w:rsidRPr="00E8642C">
        <w:rPr>
          <w:rFonts w:cs="Arial"/>
          <w:szCs w:val="22"/>
        </w:rPr>
        <w:t>exploitation active des savoirs traditionnels et des expressions culturelles traditionnelles par la communauté à l</w:t>
      </w:r>
      <w:r w:rsidR="00D91476">
        <w:rPr>
          <w:rFonts w:cs="Arial"/>
          <w:szCs w:val="22"/>
        </w:rPr>
        <w:t>’</w:t>
      </w:r>
      <w:r w:rsidRPr="00E8642C">
        <w:rPr>
          <w:rFonts w:cs="Arial"/>
          <w:szCs w:val="22"/>
        </w:rPr>
        <w:t>origine de ces savoirs et expressions.  L</w:t>
      </w:r>
      <w:r w:rsidR="00D91476">
        <w:rPr>
          <w:rFonts w:cs="Arial"/>
          <w:szCs w:val="22"/>
        </w:rPr>
        <w:t>’</w:t>
      </w:r>
      <w:r w:rsidRPr="00E8642C">
        <w:rPr>
          <w:rFonts w:cs="Arial"/>
          <w:szCs w:val="22"/>
        </w:rPr>
        <w:t>IGC a également examiné des méthodes de protection positive des savoirs traditionnels et expressions culturelles traditionnelles ne relevant pas du droit de la propriété intellectuelle, qui sont complémentaires et peuvent être utilisées parallèlement aux droits de propriété intellectuelle</w:t>
      </w:r>
      <w:r w:rsidRPr="00E8642C">
        <w:rPr>
          <w:rFonts w:cs="Arial"/>
          <w:szCs w:val="22"/>
          <w:vertAlign w:val="superscript"/>
        </w:rPr>
        <w:footnoteReference w:id="139"/>
      </w:r>
      <w:r w:rsidRPr="00E8642C">
        <w:rPr>
          <w:rFonts w:cs="Arial"/>
          <w:szCs w:val="22"/>
        </w:rPr>
        <w:t>.  De même, la protection positive des savoirs traditionnels et expressions culturelles traditionnelles peut empêcher autrui d</w:t>
      </w:r>
      <w:r w:rsidR="00D91476">
        <w:rPr>
          <w:rFonts w:cs="Arial"/>
          <w:szCs w:val="22"/>
        </w:rPr>
        <w:t>’</w:t>
      </w:r>
      <w:r w:rsidRPr="00E8642C">
        <w:rPr>
          <w:rFonts w:cs="Arial"/>
          <w:szCs w:val="22"/>
        </w:rPr>
        <w:t>avoir accès de façon illicite à ces savoirs et expressions ou de les utiliser à des fins lucratives sans en partager équitablement les avantages, mais ils peuvent également être utilisés par des détenteurs de savoirs traditionnels et d</w:t>
      </w:r>
      <w:r w:rsidR="00D91476">
        <w:rPr>
          <w:rFonts w:cs="Arial"/>
          <w:szCs w:val="22"/>
        </w:rPr>
        <w:t>’</w:t>
      </w:r>
      <w:r w:rsidRPr="00E8642C">
        <w:rPr>
          <w:rFonts w:cs="Arial"/>
          <w:szCs w:val="22"/>
        </w:rPr>
        <w:t>expressions culturelles traditionnelles pour mettre en place leur propre entreprise sur la base de ces savoirs et expressions</w:t>
      </w:r>
      <w:r w:rsidRPr="00E8642C">
        <w:rPr>
          <w:rStyle w:val="FootnoteReference"/>
          <w:rFonts w:cs="Arial"/>
          <w:szCs w:val="22"/>
        </w:rPr>
        <w:footnoteReference w:id="140"/>
      </w:r>
      <w:r w:rsidRPr="00E8642C">
        <w:rPr>
          <w:rFonts w:cs="Arial"/>
          <w:szCs w:val="22"/>
        </w:rPr>
        <w:t>.</w:t>
      </w:r>
    </w:p>
    <w:p w:rsidR="00AD541F" w:rsidRDefault="00DD607D" w:rsidP="00AD541F">
      <w:pPr>
        <w:pStyle w:val="Heading3"/>
        <w:keepLines/>
        <w:spacing w:after="220" w:line="240" w:lineRule="auto"/>
      </w:pPr>
      <w:r w:rsidRPr="00E8642C">
        <w:t>Protection défensive</w:t>
      </w:r>
    </w:p>
    <w:p w:rsidR="00AD541F" w:rsidRDefault="00DD607D" w:rsidP="00AD541F">
      <w:pPr>
        <w:keepNext/>
        <w:keepLines/>
        <w:spacing w:after="220"/>
      </w:pPr>
      <w:r w:rsidRPr="00E8642C">
        <w:t>La protection défensive a été définie comme un ensemble de stratégies visant à empêcher l</w:t>
      </w:r>
      <w:r w:rsidR="00D91476">
        <w:t>’</w:t>
      </w:r>
      <w:r w:rsidRPr="00E8642C">
        <w:t>obtention de droits illégitimes ou infondés en matière de propriété intellectuelle sur les expressions culturelles traditionnelles, les savoirs traditionnels et les ressources génétiques qui s</w:t>
      </w:r>
      <w:r w:rsidR="00D91476">
        <w:t>’</w:t>
      </w:r>
      <w:r w:rsidRPr="00E8642C">
        <w:t>y rapportent</w:t>
      </w:r>
      <w:r w:rsidRPr="00E8642C">
        <w:rPr>
          <w:vertAlign w:val="superscript"/>
        </w:rPr>
        <w:footnoteReference w:id="141"/>
      </w:r>
      <w:r w:rsidRPr="00E8642C">
        <w:t>.  La protection défensive des savoirs traditionnels comprend des mesures visant à prévenir ou à invalider des brevets qui revendiquent de manière illégitime des savoirs traditionnels préexistants comme des inventions.</w:t>
      </w:r>
    </w:p>
    <w:p w:rsidR="00AD541F" w:rsidRDefault="00DD607D" w:rsidP="00AD541F">
      <w:pPr>
        <w:pStyle w:val="Heading2"/>
        <w:spacing w:after="220" w:line="240" w:lineRule="auto"/>
      </w:pPr>
      <w:bookmarkStart w:id="102" w:name="_Toc7772573"/>
      <w:r w:rsidRPr="00E8642C">
        <w:t>Protocole</w:t>
      </w:r>
      <w:bookmarkEnd w:id="102"/>
    </w:p>
    <w:p w:rsidR="00AD541F" w:rsidRDefault="00DD607D" w:rsidP="00AD541F">
      <w:pPr>
        <w:spacing w:after="220"/>
      </w:pPr>
      <w:r w:rsidRPr="00E8642C">
        <w:t>Les protocoles sont des accords juridiques, des codes de conduite, des directives ou des ensembles de mœurs qui expliquent comment les gens devraient se comporter dans certaines circonstanc</w:t>
      </w:r>
      <w:r w:rsidR="001F3AEE" w:rsidRPr="00E8642C">
        <w:t>es</w:t>
      </w:r>
      <w:r w:rsidR="001F3AEE">
        <w:t xml:space="preserve">.  </w:t>
      </w:r>
      <w:r w:rsidR="001F3AEE" w:rsidRPr="00E8642C">
        <w:t>Il</w:t>
      </w:r>
      <w:r w:rsidRPr="00E8642C">
        <w:t>s peuvent être utilisés pour établir des normes communautaires sur la circulation et l</w:t>
      </w:r>
      <w:r w:rsidR="00D91476">
        <w:t>’</w:t>
      </w:r>
      <w:r w:rsidRPr="00E8642C">
        <w:t>usage des connaissances pour les étrangers ainsi que pour aider à changer la manière de procéder et définir de nouvelles norm</w:t>
      </w:r>
      <w:r w:rsidR="001F3AEE" w:rsidRPr="00E8642C">
        <w:t>es</w:t>
      </w:r>
      <w:r w:rsidR="001F3AEE">
        <w:t xml:space="preserve">.  </w:t>
      </w:r>
      <w:r w:rsidR="001F3AEE" w:rsidRPr="00E8642C">
        <w:t>Gé</w:t>
      </w:r>
      <w:r w:rsidRPr="00E8642C">
        <w:t>néralement, les protocoles sont flexibles et peuvent changer au fil du tem</w:t>
      </w:r>
      <w:r w:rsidR="001F3AEE" w:rsidRPr="00E8642C">
        <w:t>ps</w:t>
      </w:r>
      <w:r w:rsidR="001F3AEE">
        <w:t xml:space="preserve">.  </w:t>
      </w:r>
      <w:r w:rsidR="001F3AEE" w:rsidRPr="00E8642C">
        <w:t>Il</w:t>
      </w:r>
      <w:r w:rsidRPr="00E8642C">
        <w:t>s peuvent être utilisés comme des outils pour aider à atteindre certains objectifs que les autres domaines du droit ont été incapables d</w:t>
      </w:r>
      <w:r w:rsidR="00D91476">
        <w:t>’</w:t>
      </w:r>
      <w:r w:rsidRPr="00E8642C">
        <w:t>atteind</w:t>
      </w:r>
      <w:r w:rsidR="001F3AEE" w:rsidRPr="00E8642C">
        <w:t>re</w:t>
      </w:r>
      <w:r w:rsidR="001F3AEE">
        <w:t xml:space="preserve">.  </w:t>
      </w:r>
      <w:r w:rsidR="001F3AEE" w:rsidRPr="00E8642C">
        <w:t>En</w:t>
      </w:r>
      <w:r w:rsidRPr="00E8642C">
        <w:t xml:space="preserve"> tant que les lignes directrices formelles ou informelles en matière de conduite, les protocoles peuvent aider à bâtir des relations et à en créer de nouvelles</w:t>
      </w:r>
      <w:r w:rsidRPr="00E8642C">
        <w:rPr>
          <w:rStyle w:val="FootnoteReference"/>
          <w:rFonts w:cs="Arial"/>
          <w:szCs w:val="22"/>
        </w:rPr>
        <w:footnoteReference w:id="142"/>
      </w:r>
      <w:r w:rsidRPr="00E8642C">
        <w:t>.</w:t>
      </w:r>
    </w:p>
    <w:p w:rsidR="00AD541F" w:rsidRDefault="00DD607D" w:rsidP="00AD541F">
      <w:pPr>
        <w:pStyle w:val="Heading2"/>
        <w:spacing w:after="220" w:line="240" w:lineRule="auto"/>
      </w:pPr>
      <w:bookmarkStart w:id="103" w:name="_Toc7772574"/>
      <w:r w:rsidRPr="00E8642C">
        <w:t>Protocole de Nagoya sur l</w:t>
      </w:r>
      <w:r w:rsidR="00D91476">
        <w:t>’</w:t>
      </w:r>
      <w:r w:rsidRPr="00E8642C">
        <w:t xml:space="preserve">accès aux ressources génétiques et le partage juste et équitable des avantages découlant de </w:t>
      </w:r>
      <w:proofErr w:type="gramStart"/>
      <w:r w:rsidRPr="00E8642C">
        <w:t>leur utilisation relatif</w:t>
      </w:r>
      <w:proofErr w:type="gramEnd"/>
      <w:r w:rsidRPr="00E8642C">
        <w:t xml:space="preserve"> à la Convention sur la diversité biologique (2010)</w:t>
      </w:r>
      <w:bookmarkEnd w:id="103"/>
    </w:p>
    <w:p w:rsidR="00AD541F" w:rsidRDefault="00DD607D" w:rsidP="00AD541F">
      <w:pPr>
        <w:pStyle w:val="BodyText"/>
        <w:tabs>
          <w:tab w:val="left" w:pos="567"/>
        </w:tabs>
        <w:spacing w:after="220"/>
        <w:rPr>
          <w:rFonts w:cs="Arial"/>
          <w:szCs w:val="22"/>
        </w:rPr>
      </w:pPr>
      <w:r w:rsidRPr="00E8642C">
        <w:rPr>
          <w:rFonts w:cs="Arial"/>
          <w:szCs w:val="22"/>
        </w:rPr>
        <w:t>Un protocole a été adopté en octobre 2010 durant la dixième réunion de la Conférence des Parties (COP 10) tenue à Nagoya (Jap</w:t>
      </w:r>
      <w:r w:rsidR="001F3AEE" w:rsidRPr="00E8642C">
        <w:rPr>
          <w:rFonts w:cs="Arial"/>
          <w:szCs w:val="22"/>
        </w:rPr>
        <w:t>on)</w:t>
      </w:r>
      <w:r w:rsidR="001F3AEE">
        <w:rPr>
          <w:rFonts w:cs="Arial"/>
          <w:szCs w:val="22"/>
        </w:rPr>
        <w:t xml:space="preserve">.  </w:t>
      </w:r>
      <w:r w:rsidR="001F3AEE" w:rsidRPr="00E8642C">
        <w:rPr>
          <w:rFonts w:cs="Arial"/>
          <w:szCs w:val="22"/>
        </w:rPr>
        <w:t>Se</w:t>
      </w:r>
      <w:r w:rsidRPr="00E8642C">
        <w:rPr>
          <w:rFonts w:cs="Arial"/>
          <w:szCs w:val="22"/>
        </w:rPr>
        <w:t>lon l</w:t>
      </w:r>
      <w:r w:rsidR="00D91476">
        <w:rPr>
          <w:rFonts w:cs="Arial"/>
          <w:szCs w:val="22"/>
        </w:rPr>
        <w:t>’</w:t>
      </w:r>
      <w:r w:rsidRPr="00E8642C">
        <w:rPr>
          <w:rFonts w:cs="Arial"/>
          <w:szCs w:val="22"/>
        </w:rPr>
        <w:t>article 1, l</w:t>
      </w:r>
      <w:r w:rsidR="00D91476">
        <w:rPr>
          <w:rFonts w:cs="Arial"/>
          <w:szCs w:val="22"/>
        </w:rPr>
        <w:t>’</w:t>
      </w:r>
      <w:r w:rsidRPr="00E8642C">
        <w:rPr>
          <w:rFonts w:cs="Arial"/>
          <w:szCs w:val="22"/>
        </w:rPr>
        <w:t>objectif de ce protocole est “le partage juste et équitable des avantages découlant de l</w:t>
      </w:r>
      <w:r w:rsidR="00D91476">
        <w:rPr>
          <w:rFonts w:cs="Arial"/>
          <w:szCs w:val="22"/>
        </w:rPr>
        <w:t>’</w:t>
      </w:r>
      <w:r w:rsidRPr="00E8642C">
        <w:rPr>
          <w:rFonts w:cs="Arial"/>
          <w:szCs w:val="22"/>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D91476">
        <w:rPr>
          <w:rFonts w:cs="Arial"/>
          <w:szCs w:val="22"/>
        </w:rPr>
        <w:t>’</w:t>
      </w:r>
      <w:r w:rsidRPr="00E8642C">
        <w:rPr>
          <w:rFonts w:cs="Arial"/>
          <w:szCs w:val="22"/>
        </w:rPr>
        <w:t>utilisation durable de ses éléments constitutifs”.</w:t>
      </w:r>
      <w:r w:rsidRPr="00E8642C">
        <w:t xml:space="preserve">  </w:t>
      </w:r>
      <w:r w:rsidRPr="00E8642C">
        <w:rPr>
          <w:rFonts w:cs="Arial"/>
          <w:szCs w:val="22"/>
        </w:rPr>
        <w:t>Ce protocole sera déposé auprès du Secrétaire général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et sera ouvert à la signature au Siège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à New York du 2 février 2011 au</w:t>
      </w:r>
      <w:r w:rsidR="00D91476">
        <w:rPr>
          <w:rFonts w:cs="Arial"/>
          <w:szCs w:val="22"/>
        </w:rPr>
        <w:t xml:space="preserve"> 1</w:t>
      </w:r>
      <w:r w:rsidR="00D91476" w:rsidRPr="00D91476">
        <w:rPr>
          <w:rFonts w:cs="Arial"/>
          <w:szCs w:val="22"/>
          <w:vertAlign w:val="superscript"/>
        </w:rPr>
        <w:t>er</w:t>
      </w:r>
      <w:r w:rsidR="00D91476">
        <w:rPr>
          <w:rFonts w:cs="Arial"/>
          <w:szCs w:val="22"/>
        </w:rPr>
        <w:t> </w:t>
      </w:r>
      <w:r w:rsidRPr="00E8642C">
        <w:rPr>
          <w:rFonts w:cs="Arial"/>
          <w:szCs w:val="22"/>
        </w:rPr>
        <w:t>février 2012.</w:t>
      </w:r>
    </w:p>
    <w:p w:rsidR="00AD541F" w:rsidRDefault="00DD607D" w:rsidP="00AD541F">
      <w:pPr>
        <w:pStyle w:val="BodyText"/>
        <w:tabs>
          <w:tab w:val="left" w:pos="567"/>
        </w:tabs>
        <w:spacing w:after="220"/>
        <w:rPr>
          <w:rFonts w:cs="Arial"/>
          <w:szCs w:val="22"/>
          <w:lang w:eastAsia="zh-CN"/>
        </w:rPr>
      </w:pPr>
      <w:r w:rsidRPr="00E8642C">
        <w:rPr>
          <w:rFonts w:cs="Arial"/>
          <w:szCs w:val="22"/>
          <w:lang w:eastAsia="zh-CN"/>
        </w:rPr>
        <w:t>Plusieurs articles concernent en particulier les savoirs traditionnels associés aux ressources génétiques, tels que l</w:t>
      </w:r>
      <w:r w:rsidR="00D91476">
        <w:rPr>
          <w:rFonts w:cs="Arial"/>
          <w:szCs w:val="22"/>
          <w:lang w:eastAsia="zh-CN"/>
        </w:rPr>
        <w:t>’</w:t>
      </w:r>
      <w:r w:rsidRPr="00E8642C">
        <w:rPr>
          <w:rFonts w:cs="Arial"/>
          <w:szCs w:val="22"/>
          <w:lang w:eastAsia="zh-CN"/>
        </w:rPr>
        <w:t>article 7 (accès aux connaissances traditionnelles associées aux ressources génétiques), l</w:t>
      </w:r>
      <w:r w:rsidR="00D91476">
        <w:rPr>
          <w:rFonts w:cs="Arial"/>
          <w:szCs w:val="22"/>
          <w:lang w:eastAsia="zh-CN"/>
        </w:rPr>
        <w:t>’</w:t>
      </w:r>
      <w:r w:rsidRPr="00E8642C">
        <w:rPr>
          <w:rFonts w:cs="Arial"/>
          <w:szCs w:val="22"/>
          <w:lang w:eastAsia="zh-CN"/>
        </w:rPr>
        <w:t>article 12 (connaissances traditionnelles associées aux ressources génétiques) et l</w:t>
      </w:r>
      <w:r w:rsidR="00D91476">
        <w:rPr>
          <w:rFonts w:cs="Arial"/>
          <w:szCs w:val="22"/>
          <w:lang w:eastAsia="zh-CN"/>
        </w:rPr>
        <w:t>’</w:t>
      </w:r>
      <w:r w:rsidRPr="00E8642C">
        <w:rPr>
          <w:rFonts w:cs="Arial"/>
          <w:szCs w:val="22"/>
          <w:lang w:eastAsia="zh-CN"/>
        </w:rPr>
        <w:t>article 16 (respect de la législation ou des exigences internes en matière d</w:t>
      </w:r>
      <w:r w:rsidR="00D91476">
        <w:rPr>
          <w:rFonts w:cs="Arial"/>
          <w:szCs w:val="22"/>
          <w:lang w:eastAsia="zh-CN"/>
        </w:rPr>
        <w:t>’</w:t>
      </w:r>
      <w:r w:rsidRPr="00E8642C">
        <w:rPr>
          <w:rFonts w:cs="Arial"/>
          <w:szCs w:val="22"/>
          <w:lang w:eastAsia="zh-CN"/>
        </w:rPr>
        <w:t>accès et de partage des avantages relatifs aux connaissances traditionnelles associées aux ressources génétiques).</w:t>
      </w:r>
    </w:p>
    <w:p w:rsidR="00AD541F" w:rsidRDefault="00DD607D" w:rsidP="00AD541F">
      <w:pPr>
        <w:pStyle w:val="Heading2"/>
        <w:spacing w:after="220" w:line="240" w:lineRule="auto"/>
      </w:pPr>
      <w:bookmarkStart w:id="104" w:name="_Toc7772575"/>
      <w:r w:rsidRPr="00E8642C">
        <w:t>Protocole de Swakopmund relatif à la protection des savoirs traditionnels et des expressions du folklore</w:t>
      </w:r>
      <w:bookmarkEnd w:id="104"/>
    </w:p>
    <w:p w:rsidR="00AD541F" w:rsidRDefault="00DD607D" w:rsidP="00AD541F">
      <w:pPr>
        <w:spacing w:after="220"/>
        <w:rPr>
          <w:rFonts w:cs="Arial"/>
          <w:szCs w:val="22"/>
        </w:rPr>
      </w:pPr>
      <w:r w:rsidRPr="00E8642C">
        <w:rPr>
          <w:rFonts w:cs="Arial"/>
          <w:szCs w:val="22"/>
        </w:rPr>
        <w:t>Un protocole a été adopté par les États membres de l</w:t>
      </w:r>
      <w:r w:rsidR="00D91476">
        <w:rPr>
          <w:rFonts w:cs="Arial"/>
          <w:szCs w:val="22"/>
        </w:rPr>
        <w:t>’</w:t>
      </w:r>
      <w:r w:rsidRPr="00E8642C">
        <w:rPr>
          <w:rFonts w:cs="Arial"/>
          <w:szCs w:val="22"/>
        </w:rPr>
        <w:t>Organisation régionale africaine de la propriété intellectuelle (ARIPO) en août 2010 durant la Conférence diplomatique qui s</w:t>
      </w:r>
      <w:r w:rsidR="00D91476">
        <w:rPr>
          <w:rFonts w:cs="Arial"/>
          <w:szCs w:val="22"/>
        </w:rPr>
        <w:t>’</w:t>
      </w:r>
      <w:r w:rsidRPr="00E8642C">
        <w:rPr>
          <w:rFonts w:cs="Arial"/>
          <w:szCs w:val="22"/>
        </w:rPr>
        <w:t>est tenue à Swakopmund (Namib</w:t>
      </w:r>
      <w:r w:rsidR="001F3AEE" w:rsidRPr="00E8642C">
        <w:rPr>
          <w:rFonts w:cs="Arial"/>
          <w:szCs w:val="22"/>
        </w:rPr>
        <w:t>ie)</w:t>
      </w:r>
      <w:r w:rsidR="001F3AEE">
        <w:rPr>
          <w:rFonts w:cs="Arial"/>
          <w:szCs w:val="22"/>
        </w:rPr>
        <w:t xml:space="preserve">.  </w:t>
      </w:r>
      <w:r w:rsidR="001F3AEE" w:rsidRPr="00E8642C">
        <w:rPr>
          <w:rFonts w:cs="Arial"/>
          <w:szCs w:val="22"/>
        </w:rPr>
        <w:t>Se</w:t>
      </w:r>
      <w:r w:rsidRPr="00E8642C">
        <w:rPr>
          <w:rFonts w:cs="Arial"/>
          <w:szCs w:val="22"/>
        </w:rPr>
        <w:t>lon l</w:t>
      </w:r>
      <w:r w:rsidR="00D91476">
        <w:rPr>
          <w:rFonts w:cs="Arial"/>
          <w:szCs w:val="22"/>
        </w:rPr>
        <w:t>’</w:t>
      </w:r>
      <w:r w:rsidRPr="00E8642C">
        <w:rPr>
          <w:rFonts w:cs="Arial"/>
          <w:szCs w:val="22"/>
        </w:rPr>
        <w:t>article 1.1, l</w:t>
      </w:r>
      <w:r w:rsidR="00D91476">
        <w:rPr>
          <w:rFonts w:cs="Arial"/>
          <w:szCs w:val="22"/>
        </w:rPr>
        <w:t>’</w:t>
      </w:r>
      <w:r w:rsidRPr="00E8642C">
        <w:rPr>
          <w:rFonts w:cs="Arial"/>
          <w:szCs w:val="22"/>
        </w:rPr>
        <w:t>objectif de ce protocole est</w:t>
      </w:r>
      <w:r w:rsidR="00D91476">
        <w:rPr>
          <w:rFonts w:cs="Arial"/>
          <w:szCs w:val="22"/>
        </w:rPr>
        <w:t> :</w:t>
      </w:r>
      <w:r w:rsidRPr="00E8642C">
        <w:rPr>
          <w:rFonts w:cs="Arial"/>
          <w:szCs w:val="22"/>
        </w:rPr>
        <w:t xml:space="preserve"> “</w:t>
      </w:r>
      <w:r w:rsidRPr="00E8642C">
        <w:rPr>
          <w:rFonts w:cs="Arial"/>
          <w:i/>
          <w:iCs/>
          <w:szCs w:val="22"/>
        </w:rPr>
        <w:t xml:space="preserve">a) de protéger les détenteurs de savoirs traditionnels contre toute atteinte aux droits qui leur sont reconnus par le présent </w:t>
      </w:r>
      <w:proofErr w:type="gramStart"/>
      <w:r w:rsidRPr="00E8642C">
        <w:rPr>
          <w:rFonts w:cs="Arial"/>
          <w:i/>
          <w:iCs/>
          <w:szCs w:val="22"/>
        </w:rPr>
        <w:t>Protocole;  et</w:t>
      </w:r>
      <w:proofErr w:type="gramEnd"/>
      <w:r w:rsidRPr="00E8642C">
        <w:rPr>
          <w:rFonts w:cs="Arial"/>
          <w:i/>
          <w:iCs/>
          <w:szCs w:val="22"/>
        </w:rPr>
        <w:t> b) de protéger les expressions du folklore contre leur appropriation illicite, leur utilisation illicite et leur exploitation illégitime en dehors de leur contexte traditionnel</w:t>
      </w:r>
      <w:r w:rsidRPr="00E8642C">
        <w:rPr>
          <w:rFonts w:cs="Arial"/>
          <w:szCs w:val="22"/>
        </w:rPr>
        <w:t>”.  Ce Protocole est entré en vigueur le 11 mai 20</w:t>
      </w:r>
      <w:r w:rsidR="000C2C9D">
        <w:rPr>
          <w:rFonts w:cs="Arial"/>
          <w:szCs w:val="22"/>
        </w:rPr>
        <w:t>1</w:t>
      </w:r>
      <w:r w:rsidRPr="00E8642C">
        <w:rPr>
          <w:rFonts w:cs="Arial"/>
          <w:szCs w:val="22"/>
        </w:rPr>
        <w:t>5 lorsque six États membres de l</w:t>
      </w:r>
      <w:r w:rsidR="00D91476">
        <w:rPr>
          <w:rFonts w:cs="Arial"/>
          <w:szCs w:val="22"/>
        </w:rPr>
        <w:t>’</w:t>
      </w:r>
      <w:r w:rsidRPr="00E8642C">
        <w:rPr>
          <w:rFonts w:cs="Arial"/>
          <w:szCs w:val="22"/>
        </w:rPr>
        <w:t>ARIPO ont déposé leurs instruments de ratification ou d</w:t>
      </w:r>
      <w:r w:rsidR="00D91476">
        <w:rPr>
          <w:rFonts w:cs="Arial"/>
          <w:szCs w:val="22"/>
        </w:rPr>
        <w:t>’</w:t>
      </w:r>
      <w:r w:rsidRPr="00E8642C">
        <w:rPr>
          <w:rFonts w:cs="Arial"/>
          <w:szCs w:val="22"/>
        </w:rPr>
        <w:t>adhésion.</w:t>
      </w:r>
    </w:p>
    <w:p w:rsidR="00AD541F" w:rsidRDefault="00DD607D" w:rsidP="00AD541F">
      <w:pPr>
        <w:pStyle w:val="Heading2"/>
        <w:spacing w:after="220" w:line="240" w:lineRule="auto"/>
      </w:pPr>
      <w:bookmarkStart w:id="105" w:name="_Toc7772576"/>
      <w:r w:rsidRPr="00E8642C">
        <w:t>Publiquement disponible</w:t>
      </w:r>
      <w:bookmarkEnd w:id="105"/>
    </w:p>
    <w:p w:rsidR="00AD541F" w:rsidRDefault="00DD607D" w:rsidP="00AD541F">
      <w:pPr>
        <w:spacing w:after="220"/>
        <w:rPr>
          <w:rFonts w:cs="Arial"/>
          <w:szCs w:val="22"/>
        </w:rPr>
      </w:pPr>
      <w:r w:rsidRPr="00E8642C">
        <w:rPr>
          <w:rFonts w:cs="Arial"/>
          <w:szCs w:val="22"/>
        </w:rPr>
        <w:t>Les experts de la Réunion du groupe d</w:t>
      </w:r>
      <w:r w:rsidR="00D91476">
        <w:rPr>
          <w:rFonts w:cs="Arial"/>
          <w:szCs w:val="22"/>
        </w:rPr>
        <w:t>’</w:t>
      </w:r>
      <w:r w:rsidRPr="00E8642C">
        <w:rPr>
          <w:rFonts w:cs="Arial"/>
          <w:szCs w:val="22"/>
        </w:rPr>
        <w:t>experts techniques et juridiques sur les connaissances traditionnelles associées aux ressources génétiques dans le contexte du régime international d</w:t>
      </w:r>
      <w:r w:rsidR="00D91476">
        <w:rPr>
          <w:rFonts w:cs="Arial"/>
          <w:szCs w:val="22"/>
        </w:rPr>
        <w:t>’</w:t>
      </w:r>
      <w:r w:rsidRPr="00E8642C">
        <w:rPr>
          <w:rFonts w:cs="Arial"/>
          <w:szCs w:val="22"/>
        </w:rPr>
        <w:t>accès et de partage des avantages ont opéré une distinction entre “domaine public” et “publiquement disponible” spécifiquement pour les connaissances traditionnelles associées aux ressources génétiques</w:t>
      </w:r>
      <w:r w:rsidR="00D91476">
        <w:rPr>
          <w:rFonts w:cs="Arial"/>
          <w:szCs w:val="22"/>
        </w:rPr>
        <w:t> :</w:t>
      </w:r>
      <w:r w:rsidRPr="00E8642C">
        <w:rPr>
          <w:rFonts w:cs="Arial"/>
          <w:szCs w:val="22"/>
        </w:rPr>
        <w:t xml:space="preserve"> </w:t>
      </w:r>
      <w:r w:rsidRPr="00E8642C">
        <w:rPr>
          <w:rFonts w:cs="Arial"/>
          <w:iCs/>
          <w:szCs w:val="22"/>
        </w:rPr>
        <w:t>“Il a été indiqué que l</w:t>
      </w:r>
      <w:r w:rsidR="00D91476">
        <w:rPr>
          <w:rFonts w:cs="Arial"/>
          <w:iCs/>
          <w:szCs w:val="22"/>
        </w:rPr>
        <w:t>’</w:t>
      </w:r>
      <w:r w:rsidRPr="00E8642C">
        <w:rPr>
          <w:rFonts w:cs="Arial"/>
          <w:iCs/>
          <w:szCs w:val="22"/>
        </w:rPr>
        <w:t xml:space="preserve">expression </w:t>
      </w:r>
      <w:r w:rsidR="00D91476">
        <w:rPr>
          <w:rFonts w:cs="Arial"/>
          <w:iCs/>
          <w:szCs w:val="22"/>
        </w:rPr>
        <w:t>‘</w:t>
      </w:r>
      <w:r w:rsidRPr="00E8642C">
        <w:rPr>
          <w:rFonts w:cs="Arial"/>
          <w:iCs/>
          <w:szCs w:val="22"/>
        </w:rPr>
        <w:t>domaine public</w:t>
      </w:r>
      <w:r w:rsidR="00D91476">
        <w:rPr>
          <w:rFonts w:cs="Arial"/>
          <w:iCs/>
          <w:szCs w:val="22"/>
        </w:rPr>
        <w:t>’</w:t>
      </w:r>
      <w:r w:rsidRPr="00E8642C">
        <w:rPr>
          <w:rFonts w:cs="Arial"/>
          <w:iCs/>
          <w:szCs w:val="22"/>
        </w:rPr>
        <w:t xml:space="preserve">, qui est utilisée pour indiquer la libre disponibilité, a été prise hors contexte et appliquée aux connaissances traditionnelles associées aux ressources génétiques qui sont publiquement disponibles.  </w:t>
      </w:r>
      <w:r w:rsidR="00D91476">
        <w:rPr>
          <w:rFonts w:cs="Arial"/>
          <w:iCs/>
          <w:szCs w:val="22"/>
        </w:rPr>
        <w:t>‘</w:t>
      </w:r>
      <w:r w:rsidRPr="00E8642C">
        <w:rPr>
          <w:rFonts w:cs="Arial"/>
          <w:iCs/>
          <w:szCs w:val="22"/>
        </w:rPr>
        <w:t>Publiquement disponible</w:t>
      </w:r>
      <w:r w:rsidR="00D91476">
        <w:rPr>
          <w:rFonts w:cs="Arial"/>
          <w:iCs/>
          <w:szCs w:val="22"/>
        </w:rPr>
        <w:t>’</w:t>
      </w:r>
      <w:r w:rsidRPr="00E8642C">
        <w:rPr>
          <w:rFonts w:cs="Arial"/>
          <w:iCs/>
          <w:szCs w:val="22"/>
        </w:rPr>
        <w:t xml:space="preserve"> ne signifie pas normalement disponible gratuiteme</w:t>
      </w:r>
      <w:r w:rsidR="001F3AEE" w:rsidRPr="00E8642C">
        <w:rPr>
          <w:rFonts w:cs="Arial"/>
          <w:iCs/>
          <w:szCs w:val="22"/>
        </w:rPr>
        <w:t>nt</w:t>
      </w:r>
      <w:r w:rsidR="001F3AEE">
        <w:rPr>
          <w:rFonts w:cs="Arial"/>
          <w:iCs/>
          <w:szCs w:val="22"/>
        </w:rPr>
        <w:t xml:space="preserve">.  </w:t>
      </w:r>
      <w:r w:rsidR="001F3AEE" w:rsidRPr="00E8642C">
        <w:rPr>
          <w:rFonts w:cs="Arial"/>
          <w:iCs/>
          <w:szCs w:val="22"/>
        </w:rPr>
        <w:t>Ce</w:t>
      </w:r>
      <w:r w:rsidRPr="00E8642C">
        <w:rPr>
          <w:rFonts w:cs="Arial"/>
          <w:iCs/>
          <w:szCs w:val="22"/>
        </w:rPr>
        <w:t>tte expression pourrait signifier qu</w:t>
      </w:r>
      <w:r w:rsidR="00D91476">
        <w:rPr>
          <w:rFonts w:cs="Arial"/>
          <w:iCs/>
          <w:szCs w:val="22"/>
        </w:rPr>
        <w:t>’</w:t>
      </w:r>
      <w:r w:rsidRPr="00E8642C">
        <w:rPr>
          <w:rFonts w:cs="Arial"/>
          <w:iCs/>
          <w:szCs w:val="22"/>
        </w:rPr>
        <w:t>il y a une condition pour imposer des modalités convenues d</w:t>
      </w:r>
      <w:r w:rsidR="00D91476">
        <w:rPr>
          <w:rFonts w:cs="Arial"/>
          <w:iCs/>
          <w:szCs w:val="22"/>
        </w:rPr>
        <w:t>’</w:t>
      </w:r>
      <w:r w:rsidRPr="00E8642C">
        <w:rPr>
          <w:rFonts w:cs="Arial"/>
          <w:iCs/>
          <w:szCs w:val="22"/>
        </w:rPr>
        <w:t>un commun accord comme le paiement d</w:t>
      </w:r>
      <w:r w:rsidR="00D91476">
        <w:rPr>
          <w:rFonts w:cs="Arial"/>
          <w:iCs/>
          <w:szCs w:val="22"/>
        </w:rPr>
        <w:t>’</w:t>
      </w:r>
      <w:r w:rsidRPr="00E8642C">
        <w:rPr>
          <w:rFonts w:cs="Arial"/>
          <w:iCs/>
          <w:szCs w:val="22"/>
        </w:rPr>
        <w:t>un droit d</w:t>
      </w:r>
      <w:r w:rsidR="00D91476">
        <w:rPr>
          <w:rFonts w:cs="Arial"/>
          <w:iCs/>
          <w:szCs w:val="22"/>
        </w:rPr>
        <w:t>’</w:t>
      </w:r>
      <w:r w:rsidRPr="00E8642C">
        <w:rPr>
          <w:rFonts w:cs="Arial"/>
          <w:iCs/>
          <w:szCs w:val="22"/>
        </w:rPr>
        <w:t>acc</w:t>
      </w:r>
      <w:r w:rsidR="001F3AEE" w:rsidRPr="00E8642C">
        <w:rPr>
          <w:rFonts w:cs="Arial"/>
          <w:iCs/>
          <w:szCs w:val="22"/>
        </w:rPr>
        <w:t>ès</w:t>
      </w:r>
      <w:r w:rsidR="001F3AEE">
        <w:rPr>
          <w:rFonts w:cs="Arial"/>
          <w:iCs/>
          <w:szCs w:val="22"/>
        </w:rPr>
        <w:t xml:space="preserve">.  </w:t>
      </w:r>
      <w:r w:rsidR="001F3AEE" w:rsidRPr="00E8642C">
        <w:rPr>
          <w:rFonts w:cs="Arial"/>
          <w:iCs/>
          <w:szCs w:val="22"/>
        </w:rPr>
        <w:t>Le</w:t>
      </w:r>
      <w:r w:rsidRPr="00E8642C">
        <w:rPr>
          <w:rFonts w:cs="Arial"/>
          <w:iCs/>
          <w:szCs w:val="22"/>
        </w:rPr>
        <w:t>s connaissances traditionnelles ont souvent été considérées comme étant du domaine public et, par conséquent, librement disponibles dès qu</w:t>
      </w:r>
      <w:r w:rsidR="00D91476">
        <w:rPr>
          <w:rFonts w:cs="Arial"/>
          <w:iCs/>
          <w:szCs w:val="22"/>
        </w:rPr>
        <w:t>’</w:t>
      </w:r>
      <w:r w:rsidRPr="00E8642C">
        <w:rPr>
          <w:rFonts w:cs="Arial"/>
          <w:iCs/>
          <w:szCs w:val="22"/>
        </w:rPr>
        <w:t>on y a eu accès et qu</w:t>
      </w:r>
      <w:r w:rsidR="00D91476">
        <w:rPr>
          <w:rFonts w:cs="Arial"/>
          <w:iCs/>
          <w:szCs w:val="22"/>
        </w:rPr>
        <w:t>’</w:t>
      </w:r>
      <w:r w:rsidRPr="00E8642C">
        <w:rPr>
          <w:rFonts w:cs="Arial"/>
          <w:iCs/>
          <w:szCs w:val="22"/>
        </w:rPr>
        <w:t>on les a enlevées du contexte culturel particulier pour les diffus</w:t>
      </w:r>
      <w:r w:rsidR="001F3AEE" w:rsidRPr="00E8642C">
        <w:rPr>
          <w:rFonts w:cs="Arial"/>
          <w:iCs/>
          <w:szCs w:val="22"/>
        </w:rPr>
        <w:t>er</w:t>
      </w:r>
      <w:r w:rsidR="001F3AEE">
        <w:rPr>
          <w:rFonts w:cs="Arial"/>
          <w:iCs/>
          <w:szCs w:val="22"/>
        </w:rPr>
        <w:t xml:space="preserve">.  </w:t>
      </w:r>
      <w:r w:rsidR="001F3AEE" w:rsidRPr="00E8642C">
        <w:rPr>
          <w:rFonts w:cs="Arial"/>
          <w:iCs/>
          <w:szCs w:val="22"/>
        </w:rPr>
        <w:t>Ma</w:t>
      </w:r>
      <w:r w:rsidRPr="00E8642C">
        <w:rPr>
          <w:rFonts w:cs="Arial"/>
          <w:iCs/>
          <w:szCs w:val="22"/>
        </w:rPr>
        <w:t>is on ne peut pas supposer que les connaissances traditionnelles associées aux ressources génétiques qui ont été rendues publiquement disponibles n</w:t>
      </w:r>
      <w:r w:rsidR="00D91476">
        <w:rPr>
          <w:rFonts w:cs="Arial"/>
          <w:iCs/>
          <w:szCs w:val="22"/>
        </w:rPr>
        <w:t>’</w:t>
      </w:r>
      <w:r w:rsidRPr="00E8642C">
        <w:rPr>
          <w:rFonts w:cs="Arial"/>
          <w:iCs/>
          <w:szCs w:val="22"/>
        </w:rPr>
        <w:t>appartiennent pas à quelqu</w:t>
      </w:r>
      <w:r w:rsidR="00D91476">
        <w:rPr>
          <w:rFonts w:cs="Arial"/>
          <w:iCs/>
          <w:szCs w:val="22"/>
        </w:rPr>
        <w:t>’</w:t>
      </w:r>
      <w:r w:rsidR="001F3AEE" w:rsidRPr="00E8642C">
        <w:rPr>
          <w:rFonts w:cs="Arial"/>
          <w:iCs/>
          <w:szCs w:val="22"/>
        </w:rPr>
        <w:t>un</w:t>
      </w:r>
      <w:r w:rsidR="001F3AEE">
        <w:rPr>
          <w:rFonts w:cs="Arial"/>
          <w:iCs/>
          <w:szCs w:val="22"/>
        </w:rPr>
        <w:t xml:space="preserve">.  </w:t>
      </w:r>
      <w:r w:rsidR="001F3AEE" w:rsidRPr="00E8642C">
        <w:rPr>
          <w:rFonts w:cs="Arial"/>
          <w:iCs/>
          <w:szCs w:val="22"/>
        </w:rPr>
        <w:t>Da</w:t>
      </w:r>
      <w:r w:rsidRPr="00E8642C">
        <w:rPr>
          <w:rFonts w:cs="Arial"/>
          <w:iCs/>
          <w:szCs w:val="22"/>
        </w:rPr>
        <w:t>ns le cadre du concept de la disponibilité publique, le consentement préalable donné en connaissance de cause d</w:t>
      </w:r>
      <w:r w:rsidR="00D91476">
        <w:rPr>
          <w:rFonts w:cs="Arial"/>
          <w:iCs/>
          <w:szCs w:val="22"/>
        </w:rPr>
        <w:t>’</w:t>
      </w:r>
      <w:r w:rsidRPr="00E8642C">
        <w:rPr>
          <w:rFonts w:cs="Arial"/>
          <w:iCs/>
          <w:szCs w:val="22"/>
        </w:rPr>
        <w:t xml:space="preserve">un détenteur de connaissances traditionnelles qui est identifiable pourrait encore être requis et les dispositions du partage </w:t>
      </w:r>
      <w:proofErr w:type="gramStart"/>
      <w:r w:rsidRPr="00E8642C">
        <w:rPr>
          <w:rFonts w:cs="Arial"/>
          <w:iCs/>
          <w:szCs w:val="22"/>
        </w:rPr>
        <w:t>des avantages rendues</w:t>
      </w:r>
      <w:proofErr w:type="gramEnd"/>
      <w:r w:rsidRPr="00E8642C">
        <w:rPr>
          <w:rFonts w:cs="Arial"/>
          <w:iCs/>
          <w:szCs w:val="22"/>
        </w:rPr>
        <w:t xml:space="preserve"> applicables même lorsqu</w:t>
      </w:r>
      <w:r w:rsidR="00D91476">
        <w:rPr>
          <w:rFonts w:cs="Arial"/>
          <w:iCs/>
          <w:szCs w:val="22"/>
        </w:rPr>
        <w:t>’</w:t>
      </w:r>
      <w:r w:rsidRPr="00E8642C">
        <w:rPr>
          <w:rFonts w:cs="Arial"/>
          <w:iCs/>
          <w:szCs w:val="22"/>
        </w:rPr>
        <w:t>un changement d</w:t>
      </w:r>
      <w:r w:rsidR="00D91476">
        <w:rPr>
          <w:rFonts w:cs="Arial"/>
          <w:iCs/>
          <w:szCs w:val="22"/>
        </w:rPr>
        <w:t>’</w:t>
      </w:r>
      <w:r w:rsidRPr="00E8642C">
        <w:rPr>
          <w:rFonts w:cs="Arial"/>
          <w:iCs/>
          <w:szCs w:val="22"/>
        </w:rPr>
        <w:t>utilisation est discernable d</w:t>
      </w:r>
      <w:r w:rsidR="00D91476">
        <w:rPr>
          <w:rFonts w:cs="Arial"/>
          <w:iCs/>
          <w:szCs w:val="22"/>
        </w:rPr>
        <w:t>’</w:t>
      </w:r>
      <w:r w:rsidRPr="00E8642C">
        <w:rPr>
          <w:rFonts w:cs="Arial"/>
          <w:iCs/>
          <w:szCs w:val="22"/>
        </w:rPr>
        <w:t>un consentement préalable donné en connaissance de cause précédemme</w:t>
      </w:r>
      <w:r w:rsidR="001F3AEE" w:rsidRPr="00E8642C">
        <w:rPr>
          <w:rFonts w:cs="Arial"/>
          <w:iCs/>
          <w:szCs w:val="22"/>
        </w:rPr>
        <w:t>nt</w:t>
      </w:r>
      <w:r w:rsidR="001F3AEE">
        <w:rPr>
          <w:rFonts w:cs="Arial"/>
          <w:iCs/>
          <w:szCs w:val="22"/>
        </w:rPr>
        <w:t xml:space="preserve">.  </w:t>
      </w:r>
      <w:r w:rsidR="001F3AEE" w:rsidRPr="00E8642C">
        <w:rPr>
          <w:rFonts w:cs="Arial"/>
          <w:iCs/>
          <w:szCs w:val="22"/>
        </w:rPr>
        <w:t>Lo</w:t>
      </w:r>
      <w:r w:rsidRPr="00E8642C">
        <w:rPr>
          <w:rFonts w:cs="Arial"/>
          <w:iCs/>
          <w:szCs w:val="22"/>
        </w:rPr>
        <w:t>rsqu</w:t>
      </w:r>
      <w:r w:rsidR="00D91476">
        <w:rPr>
          <w:rFonts w:cs="Arial"/>
          <w:iCs/>
          <w:szCs w:val="22"/>
        </w:rPr>
        <w:t>’</w:t>
      </w:r>
      <w:r w:rsidRPr="00E8642C">
        <w:rPr>
          <w:rFonts w:cs="Arial"/>
          <w:iCs/>
          <w:szCs w:val="22"/>
        </w:rPr>
        <w:t>un détenteur n</w:t>
      </w:r>
      <w:r w:rsidR="00D91476">
        <w:rPr>
          <w:rFonts w:cs="Arial"/>
          <w:iCs/>
          <w:szCs w:val="22"/>
        </w:rPr>
        <w:t>’</w:t>
      </w:r>
      <w:r w:rsidRPr="00E8642C">
        <w:rPr>
          <w:rFonts w:cs="Arial"/>
          <w:iCs/>
          <w:szCs w:val="22"/>
        </w:rPr>
        <w:t>est pas identifiable, l</w:t>
      </w:r>
      <w:r w:rsidR="00D91476">
        <w:rPr>
          <w:rFonts w:cs="Arial"/>
          <w:iCs/>
          <w:szCs w:val="22"/>
        </w:rPr>
        <w:t>’</w:t>
      </w:r>
      <w:r w:rsidRPr="00E8642C">
        <w:rPr>
          <w:rFonts w:cs="Arial"/>
          <w:iCs/>
          <w:szCs w:val="22"/>
        </w:rPr>
        <w:t>État par exemple pourrait décider qui en sont les bénéficiaires</w:t>
      </w:r>
      <w:r w:rsidRPr="00E8642C">
        <w:rPr>
          <w:rFonts w:cs="Arial"/>
          <w:szCs w:val="22"/>
        </w:rPr>
        <w:t>”</w:t>
      </w:r>
      <w:r w:rsidRPr="00E8642C">
        <w:rPr>
          <w:rFonts w:cs="Arial"/>
          <w:szCs w:val="22"/>
          <w:vertAlign w:val="superscript"/>
        </w:rPr>
        <w:footnoteReference w:id="143"/>
      </w:r>
      <w:r w:rsidRPr="00E8642C">
        <w:rPr>
          <w:rFonts w:cs="Arial"/>
          <w:szCs w:val="22"/>
        </w:rPr>
        <w:t>.</w:t>
      </w:r>
    </w:p>
    <w:p w:rsidR="00AD541F" w:rsidRDefault="00DD607D" w:rsidP="00AD541F">
      <w:pPr>
        <w:pStyle w:val="Heading2"/>
        <w:keepLines/>
        <w:spacing w:after="220" w:line="240" w:lineRule="auto"/>
      </w:pPr>
      <w:bookmarkStart w:id="106" w:name="_Toc7772577"/>
      <w:r w:rsidRPr="00E8642C">
        <w:t>Registres de savoirs traditionnels</w:t>
      </w:r>
      <w:bookmarkEnd w:id="106"/>
    </w:p>
    <w:p w:rsidR="00AD541F" w:rsidRDefault="00DD607D" w:rsidP="00AD541F">
      <w:pPr>
        <w:keepNext/>
        <w:keepLines/>
        <w:spacing w:after="220"/>
        <w:rPr>
          <w:rFonts w:cs="Arial"/>
          <w:szCs w:val="22"/>
        </w:rPr>
      </w:pPr>
      <w:r w:rsidRPr="00E8642C">
        <w:rPr>
          <w:rFonts w:cs="Arial"/>
          <w:szCs w:val="22"/>
        </w:rPr>
        <w:t>Les registres peuvent être analysés depuis plusieurs perspectives différent</w:t>
      </w:r>
      <w:r w:rsidR="001F3AEE" w:rsidRPr="00E8642C">
        <w:rPr>
          <w:rFonts w:cs="Arial"/>
          <w:szCs w:val="22"/>
        </w:rPr>
        <w:t>es</w:t>
      </w:r>
      <w:r w:rsidR="001F3AEE">
        <w:rPr>
          <w:rFonts w:cs="Arial"/>
          <w:szCs w:val="22"/>
        </w:rPr>
        <w:t xml:space="preserve">.  </w:t>
      </w:r>
      <w:r w:rsidR="001F3AEE" w:rsidRPr="00E8642C">
        <w:rPr>
          <w:rFonts w:cs="Arial"/>
          <w:szCs w:val="22"/>
        </w:rPr>
        <w:t>Se</w:t>
      </w:r>
      <w:r w:rsidRPr="00E8642C">
        <w:rPr>
          <w:rFonts w:cs="Arial"/>
          <w:szCs w:val="22"/>
        </w:rPr>
        <w:t>lon leur nature juridique, les registres sont dits déclaratifs ou constitutifs, compte tenu du système en vertu duquel ils sont créés</w:t>
      </w:r>
      <w:r w:rsidRPr="00E8642C">
        <w:rPr>
          <w:rStyle w:val="FootnoteReference"/>
          <w:rFonts w:cs="Arial"/>
          <w:szCs w:val="22"/>
        </w:rPr>
        <w:footnoteReference w:id="144"/>
      </w:r>
      <w:r w:rsidRPr="00E8642C">
        <w:rPr>
          <w:rFonts w:cs="Arial"/>
          <w:szCs w:val="22"/>
        </w:rPr>
        <w:t>.</w:t>
      </w:r>
    </w:p>
    <w:p w:rsidR="00AD541F" w:rsidRDefault="00DD607D" w:rsidP="00AD541F">
      <w:pPr>
        <w:spacing w:after="220"/>
        <w:rPr>
          <w:rFonts w:cs="Arial"/>
          <w:szCs w:val="22"/>
        </w:rPr>
      </w:pPr>
      <w:r w:rsidRPr="00E8642C">
        <w:rPr>
          <w:rFonts w:cs="Arial"/>
          <w:szCs w:val="22"/>
        </w:rPr>
        <w:t>Un régime déclaratoire relatif aux savoirs traditionnels reconnaît que les droits sur des savoirs traditionnels ne découlent pas d</w:t>
      </w:r>
      <w:r w:rsidR="00D91476">
        <w:rPr>
          <w:rFonts w:cs="Arial"/>
          <w:szCs w:val="22"/>
        </w:rPr>
        <w:t>’</w:t>
      </w:r>
      <w:r w:rsidRPr="00E8642C">
        <w:rPr>
          <w:rFonts w:cs="Arial"/>
          <w:szCs w:val="22"/>
        </w:rPr>
        <w:t xml:space="preserve">un acte quelconque du gouvernement mais se fondent plutôt sur des droits préexistants, </w:t>
      </w:r>
      <w:r w:rsidR="00D91476">
        <w:rPr>
          <w:rFonts w:cs="Arial"/>
          <w:szCs w:val="22"/>
        </w:rPr>
        <w:t>y compris</w:t>
      </w:r>
      <w:r w:rsidRPr="00E8642C">
        <w:rPr>
          <w:rFonts w:cs="Arial"/>
          <w:szCs w:val="22"/>
        </w:rPr>
        <w:t xml:space="preserve"> les droits ancestraux, coutumiers, moraux et des droits humai</w:t>
      </w:r>
      <w:r w:rsidR="001F3AEE" w:rsidRPr="00E8642C">
        <w:rPr>
          <w:rFonts w:cs="Arial"/>
          <w:szCs w:val="22"/>
        </w:rPr>
        <w:t>ns</w:t>
      </w:r>
      <w:r w:rsidR="001F3AEE">
        <w:rPr>
          <w:rFonts w:cs="Arial"/>
          <w:szCs w:val="22"/>
        </w:rPr>
        <w:t xml:space="preserve">.  </w:t>
      </w:r>
      <w:r w:rsidR="001F3AEE" w:rsidRPr="00E8642C">
        <w:rPr>
          <w:rFonts w:cs="Arial"/>
          <w:szCs w:val="22"/>
        </w:rPr>
        <w:t>Da</w:t>
      </w:r>
      <w:r w:rsidRPr="00E8642C">
        <w:rPr>
          <w:rFonts w:cs="Arial"/>
          <w:szCs w:val="22"/>
        </w:rPr>
        <w:t>ns le cas des registres déclaratifs, bien que l</w:t>
      </w:r>
      <w:r w:rsidR="00D91476">
        <w:rPr>
          <w:rFonts w:cs="Arial"/>
          <w:szCs w:val="22"/>
        </w:rPr>
        <w:t>’</w:t>
      </w:r>
      <w:r w:rsidRPr="00E8642C">
        <w:rPr>
          <w:rFonts w:cs="Arial"/>
          <w:szCs w:val="22"/>
        </w:rPr>
        <w:t>enregistrement n</w:t>
      </w:r>
      <w:r w:rsidR="00D91476">
        <w:rPr>
          <w:rFonts w:cs="Arial"/>
          <w:szCs w:val="22"/>
        </w:rPr>
        <w:t>’</w:t>
      </w:r>
      <w:r w:rsidRPr="00E8642C">
        <w:rPr>
          <w:rFonts w:cs="Arial"/>
          <w:szCs w:val="22"/>
        </w:rPr>
        <w:t>ait pas d</w:t>
      </w:r>
      <w:r w:rsidR="00D91476">
        <w:rPr>
          <w:rFonts w:cs="Arial"/>
          <w:szCs w:val="22"/>
        </w:rPr>
        <w:t>’</w:t>
      </w:r>
      <w:r w:rsidRPr="00E8642C">
        <w:rPr>
          <w:rFonts w:cs="Arial"/>
          <w:szCs w:val="22"/>
        </w:rPr>
        <w:t>incidence sur l</w:t>
      </w:r>
      <w:r w:rsidR="00D91476">
        <w:rPr>
          <w:rFonts w:cs="Arial"/>
          <w:szCs w:val="22"/>
        </w:rPr>
        <w:t>’</w:t>
      </w:r>
      <w:r w:rsidRPr="00E8642C">
        <w:rPr>
          <w:rFonts w:cs="Arial"/>
          <w:szCs w:val="22"/>
        </w:rPr>
        <w:t>existence de ces droits, il peut être utilisé pour aider les examinateurs de brevets à analyser l</w:t>
      </w:r>
      <w:r w:rsidR="00D91476">
        <w:rPr>
          <w:rFonts w:cs="Arial"/>
          <w:szCs w:val="22"/>
        </w:rPr>
        <w:t>’</w:t>
      </w:r>
      <w:r w:rsidRPr="00E8642C">
        <w:rPr>
          <w:rFonts w:cs="Arial"/>
          <w:szCs w:val="22"/>
        </w:rPr>
        <w:t>état de la technique, et pour appuyer des réclamations relatives à des brevets délivrés dans lesquels il pourrait être fait usage directement ou indirectement de savoirs traditionne</w:t>
      </w:r>
      <w:r w:rsidR="001F3AEE" w:rsidRPr="00E8642C">
        <w:rPr>
          <w:rFonts w:cs="Arial"/>
          <w:szCs w:val="22"/>
        </w:rPr>
        <w:t>ls</w:t>
      </w:r>
      <w:r w:rsidR="001F3AEE">
        <w:rPr>
          <w:rFonts w:cs="Arial"/>
          <w:szCs w:val="22"/>
        </w:rPr>
        <w:t xml:space="preserve">.  </w:t>
      </w:r>
      <w:r w:rsidR="001F3AEE" w:rsidRPr="00E8642C">
        <w:rPr>
          <w:rFonts w:cs="Arial"/>
          <w:szCs w:val="22"/>
        </w:rPr>
        <w:t>Lo</w:t>
      </w:r>
      <w:r w:rsidRPr="00E8642C">
        <w:rPr>
          <w:rFonts w:cs="Arial"/>
          <w:szCs w:val="22"/>
        </w:rPr>
        <w:t>rsque ces registres se présentent sous forme électronique et sont disponibles via l</w:t>
      </w:r>
      <w:r w:rsidR="00D91476">
        <w:rPr>
          <w:rFonts w:cs="Arial"/>
          <w:szCs w:val="22"/>
        </w:rPr>
        <w:t>’</w:t>
      </w:r>
      <w:r w:rsidRPr="00E8642C">
        <w:rPr>
          <w:rFonts w:cs="Arial"/>
          <w:szCs w:val="22"/>
        </w:rPr>
        <w:t>Internet, il est important de mettre en place un mécanisme qui permette d</w:t>
      </w:r>
      <w:r w:rsidR="00D91476">
        <w:rPr>
          <w:rFonts w:cs="Arial"/>
          <w:szCs w:val="22"/>
        </w:rPr>
        <w:t>’</w:t>
      </w:r>
      <w:r w:rsidRPr="00E8642C">
        <w:rPr>
          <w:rFonts w:cs="Arial"/>
          <w:szCs w:val="22"/>
        </w:rPr>
        <w:t>assurer que les dates d</w:t>
      </w:r>
      <w:r w:rsidR="00D91476">
        <w:rPr>
          <w:rFonts w:cs="Arial"/>
          <w:szCs w:val="22"/>
        </w:rPr>
        <w:t>’</w:t>
      </w:r>
      <w:r w:rsidRPr="00E8642C">
        <w:rPr>
          <w:rFonts w:cs="Arial"/>
          <w:szCs w:val="22"/>
        </w:rPr>
        <w:t>entrée des savoirs traditionnels sont valides lorsque des recherches relatives à la nouveauté et à l</w:t>
      </w:r>
      <w:r w:rsidR="00D91476">
        <w:rPr>
          <w:rFonts w:cs="Arial"/>
          <w:szCs w:val="22"/>
        </w:rPr>
        <w:t>’</w:t>
      </w:r>
      <w:r w:rsidRPr="00E8642C">
        <w:rPr>
          <w:rFonts w:cs="Arial"/>
          <w:szCs w:val="22"/>
        </w:rPr>
        <w:t>inventivité sont effectué</w:t>
      </w:r>
      <w:r w:rsidR="001F3AEE" w:rsidRPr="00E8642C">
        <w:rPr>
          <w:rFonts w:cs="Arial"/>
          <w:szCs w:val="22"/>
        </w:rPr>
        <w:t>es</w:t>
      </w:r>
      <w:r w:rsidR="001F3AEE">
        <w:rPr>
          <w:rFonts w:cs="Arial"/>
          <w:szCs w:val="22"/>
        </w:rPr>
        <w:t xml:space="preserve">.  </w:t>
      </w:r>
      <w:r w:rsidR="001F3AEE" w:rsidRPr="00E8642C">
        <w:rPr>
          <w:rFonts w:cs="Arial"/>
          <w:szCs w:val="22"/>
        </w:rPr>
        <w:t>Ce</w:t>
      </w:r>
      <w:r w:rsidRPr="00E8642C">
        <w:rPr>
          <w:rFonts w:cs="Arial"/>
          <w:szCs w:val="22"/>
        </w:rPr>
        <w:t>s registres peuvent également avoir une troisième fonction qui est de faciliter le partage des avantages entre utilisateurs et fournisseurs</w:t>
      </w:r>
      <w:r w:rsidRPr="00E8642C">
        <w:rPr>
          <w:rStyle w:val="FootnoteReference"/>
          <w:rFonts w:cs="Arial"/>
          <w:szCs w:val="22"/>
        </w:rPr>
        <w:footnoteReference w:id="145"/>
      </w:r>
      <w:r w:rsidRPr="00E8642C">
        <w:rPr>
          <w:rFonts w:cs="Arial"/>
          <w:szCs w:val="22"/>
        </w:rPr>
        <w:t>.</w:t>
      </w:r>
    </w:p>
    <w:p w:rsidR="00AD541F" w:rsidRDefault="00DD607D" w:rsidP="00AD541F">
      <w:pPr>
        <w:spacing w:after="220"/>
        <w:rPr>
          <w:rFonts w:cs="Arial"/>
          <w:szCs w:val="22"/>
        </w:rPr>
      </w:pPr>
      <w:r w:rsidRPr="00E8642C">
        <w:rPr>
          <w:rFonts w:cs="Arial"/>
          <w:szCs w:val="22"/>
        </w:rPr>
        <w:t>Les registres constitutifs s</w:t>
      </w:r>
      <w:r w:rsidR="00D91476">
        <w:rPr>
          <w:rFonts w:cs="Arial"/>
          <w:szCs w:val="22"/>
        </w:rPr>
        <w:t>’</w:t>
      </w:r>
      <w:r w:rsidRPr="00E8642C">
        <w:rPr>
          <w:rFonts w:cs="Arial"/>
          <w:szCs w:val="22"/>
        </w:rPr>
        <w:t>inscrivent dans un régime juridique qui cherche à octroyer des droits sur des savoirs traditionne</w:t>
      </w:r>
      <w:r w:rsidR="001F3AEE" w:rsidRPr="00E8642C">
        <w:rPr>
          <w:rFonts w:cs="Arial"/>
          <w:szCs w:val="22"/>
        </w:rPr>
        <w:t>ls</w:t>
      </w:r>
      <w:r w:rsidR="001F3AEE">
        <w:rPr>
          <w:rFonts w:cs="Arial"/>
          <w:szCs w:val="22"/>
        </w:rPr>
        <w:t xml:space="preserve">.  </w:t>
      </w:r>
      <w:r w:rsidR="001F3AEE" w:rsidRPr="00E8642C">
        <w:rPr>
          <w:rFonts w:cs="Arial"/>
          <w:szCs w:val="22"/>
        </w:rPr>
        <w:t>Le</w:t>
      </w:r>
      <w:r w:rsidRPr="00E8642C">
        <w:rPr>
          <w:rFonts w:cs="Arial"/>
          <w:szCs w:val="22"/>
        </w:rPr>
        <w:t>s registres constitutifs visent à enregistrer l</w:t>
      </w:r>
      <w:r w:rsidR="00D91476">
        <w:rPr>
          <w:rFonts w:cs="Arial"/>
          <w:szCs w:val="22"/>
        </w:rPr>
        <w:t>’</w:t>
      </w:r>
      <w:r w:rsidRPr="00E8642C">
        <w:rPr>
          <w:rFonts w:cs="Arial"/>
          <w:szCs w:val="22"/>
        </w:rPr>
        <w:t>octroi de droits (c</w:t>
      </w:r>
      <w:r w:rsidR="00D91476">
        <w:rPr>
          <w:rFonts w:cs="Arial"/>
          <w:szCs w:val="22"/>
        </w:rPr>
        <w:t>’</w:t>
      </w:r>
      <w:r w:rsidRPr="00E8642C">
        <w:rPr>
          <w:rFonts w:cs="Arial"/>
          <w:szCs w:val="22"/>
        </w:rPr>
        <w:t>est</w:t>
      </w:r>
      <w:r w:rsidR="00400337">
        <w:rPr>
          <w:rFonts w:cs="Arial"/>
          <w:szCs w:val="22"/>
        </w:rPr>
        <w:noBreakHyphen/>
      </w:r>
      <w:r w:rsidRPr="00E8642C">
        <w:rPr>
          <w:rFonts w:cs="Arial"/>
          <w:szCs w:val="22"/>
        </w:rPr>
        <w:t>à</w:t>
      </w:r>
      <w:r w:rsidR="00400337">
        <w:rPr>
          <w:rFonts w:cs="Arial"/>
          <w:szCs w:val="22"/>
        </w:rPr>
        <w:noBreakHyphen/>
      </w:r>
      <w:r w:rsidRPr="00E8642C">
        <w:rPr>
          <w:rFonts w:cs="Arial"/>
          <w:szCs w:val="22"/>
        </w:rPr>
        <w:t>dire des droits de propriété exclusifs) au détenteur des savoirs traditionnels afin d</w:t>
      </w:r>
      <w:r w:rsidR="00D91476">
        <w:rPr>
          <w:rFonts w:cs="Arial"/>
          <w:szCs w:val="22"/>
        </w:rPr>
        <w:t>’</w:t>
      </w:r>
      <w:r w:rsidRPr="00E8642C">
        <w:rPr>
          <w:rFonts w:cs="Arial"/>
          <w:szCs w:val="22"/>
        </w:rPr>
        <w:t>assurer que les intérêts moraux, économiques et juridiques de ce dernier sont protégés et reconn</w:t>
      </w:r>
      <w:r w:rsidR="001F3AEE" w:rsidRPr="00E8642C">
        <w:rPr>
          <w:rFonts w:cs="Arial"/>
          <w:szCs w:val="22"/>
        </w:rPr>
        <w:t>us</w:t>
      </w:r>
      <w:r w:rsidR="001F3AEE">
        <w:rPr>
          <w:rFonts w:cs="Arial"/>
          <w:szCs w:val="22"/>
        </w:rPr>
        <w:t xml:space="preserve">.  </w:t>
      </w:r>
      <w:r w:rsidR="001F3AEE" w:rsidRPr="00E8642C">
        <w:rPr>
          <w:rFonts w:cs="Arial"/>
          <w:szCs w:val="22"/>
        </w:rPr>
        <w:t>La</w:t>
      </w:r>
      <w:r w:rsidRPr="00E8642C">
        <w:rPr>
          <w:rFonts w:cs="Arial"/>
          <w:szCs w:val="22"/>
        </w:rPr>
        <w:t xml:space="preserve"> plupart des registres constitutifs types sont de nature publique, sont gérés par une entité nationale et en vertu d</w:t>
      </w:r>
      <w:r w:rsidR="00D91476">
        <w:rPr>
          <w:rFonts w:cs="Arial"/>
          <w:szCs w:val="22"/>
        </w:rPr>
        <w:t>’</w:t>
      </w:r>
      <w:r w:rsidRPr="00E8642C">
        <w:rPr>
          <w:rFonts w:cs="Arial"/>
          <w:szCs w:val="22"/>
        </w:rPr>
        <w:t>une loi ou d</w:t>
      </w:r>
      <w:r w:rsidR="00D91476">
        <w:rPr>
          <w:rFonts w:cs="Arial"/>
          <w:szCs w:val="22"/>
        </w:rPr>
        <w:t>’</w:t>
      </w:r>
      <w:r w:rsidRPr="00E8642C">
        <w:rPr>
          <w:rFonts w:cs="Arial"/>
          <w:szCs w:val="22"/>
        </w:rPr>
        <w:t>un règlement qui définit clairement de quelle manière se déroule l</w:t>
      </w:r>
      <w:r w:rsidR="00D91476">
        <w:rPr>
          <w:rFonts w:cs="Arial"/>
          <w:szCs w:val="22"/>
        </w:rPr>
        <w:t>’</w:t>
      </w:r>
      <w:r w:rsidRPr="00E8642C">
        <w:rPr>
          <w:rFonts w:cs="Arial"/>
          <w:szCs w:val="22"/>
        </w:rPr>
        <w:t>enregistrement valide de savoirs traditionnels et comment il est formellement reconnu et accep</w:t>
      </w:r>
      <w:r w:rsidR="001F3AEE" w:rsidRPr="00E8642C">
        <w:rPr>
          <w:rFonts w:cs="Arial"/>
          <w:szCs w:val="22"/>
        </w:rPr>
        <w:t>té</w:t>
      </w:r>
      <w:r w:rsidR="001F3AEE">
        <w:rPr>
          <w:rFonts w:cs="Arial"/>
          <w:szCs w:val="22"/>
        </w:rPr>
        <w:t xml:space="preserve">.  </w:t>
      </w:r>
      <w:r w:rsidR="001F3AEE" w:rsidRPr="00E8642C">
        <w:rPr>
          <w:rFonts w:cs="Arial"/>
          <w:szCs w:val="22"/>
        </w:rPr>
        <w:t xml:space="preserve">À </w:t>
      </w:r>
      <w:r w:rsidRPr="00E8642C">
        <w:rPr>
          <w:rFonts w:cs="Arial"/>
          <w:szCs w:val="22"/>
        </w:rPr>
        <w:t>cet égard, ces registres peuvent davantage être sujets à controverse et difficiles à concevoir et doivent faire face à des enjeux et à des questions essentielles lors du passage de la théorie à la pratique</w:t>
      </w:r>
      <w:r w:rsidRPr="00E8642C">
        <w:rPr>
          <w:rStyle w:val="FootnoteReference"/>
          <w:rFonts w:cs="Arial"/>
          <w:szCs w:val="22"/>
        </w:rPr>
        <w:footnoteReference w:id="146"/>
      </w:r>
      <w:r w:rsidRPr="00E8642C">
        <w:rPr>
          <w:rFonts w:cs="Arial"/>
          <w:szCs w:val="22"/>
        </w:rPr>
        <w:t>.</w:t>
      </w:r>
    </w:p>
    <w:p w:rsidR="00AD541F" w:rsidRDefault="00DD607D" w:rsidP="00AD541F">
      <w:pPr>
        <w:spacing w:after="220"/>
        <w:rPr>
          <w:rFonts w:cs="Arial"/>
          <w:iCs/>
          <w:szCs w:val="22"/>
        </w:rPr>
      </w:pPr>
      <w:r w:rsidRPr="00E8642C">
        <w:rPr>
          <w:rFonts w:cs="Arial"/>
          <w:szCs w:val="22"/>
        </w:rPr>
        <w:t>On peut citer comme exemple de loi nationale, l</w:t>
      </w:r>
      <w:r w:rsidR="00D91476">
        <w:rPr>
          <w:rFonts w:cs="Arial"/>
          <w:szCs w:val="22"/>
        </w:rPr>
        <w:t>’</w:t>
      </w:r>
      <w:r w:rsidRPr="00E8642C">
        <w:rPr>
          <w:rFonts w:cs="Arial"/>
          <w:szCs w:val="22"/>
        </w:rPr>
        <w:t xml:space="preserve">article 16 de la </w:t>
      </w:r>
      <w:r w:rsidRPr="00E8642C">
        <w:rPr>
          <w:rFonts w:cs="Arial"/>
          <w:i/>
          <w:szCs w:val="22"/>
        </w:rPr>
        <w:t>loi péruvienne n° 27811 du 24 juillet 2002 établissant le Régime de protection des savoirs collectifs des peuples autochtones portant sur les ressources biologiques</w:t>
      </w:r>
      <w:r w:rsidRPr="00E8642C">
        <w:rPr>
          <w:rFonts w:cs="Arial"/>
          <w:szCs w:val="22"/>
        </w:rPr>
        <w:t xml:space="preserve"> qui indique que </w:t>
      </w:r>
      <w:r w:rsidRPr="00E8642C">
        <w:rPr>
          <w:rFonts w:cs="Arial"/>
          <w:iCs/>
          <w:szCs w:val="22"/>
        </w:rPr>
        <w:t>“[l]es registres des savoirs collectifs des peuples autochtones ont pour objet, suivant le cas a) de préserver et sauvegarder les savoirs collectifs des peuples autochtones et les droits afférents de ces peuples;  b) de fournir à l</w:t>
      </w:r>
      <w:r w:rsidR="00D91476">
        <w:rPr>
          <w:rFonts w:cs="Arial"/>
          <w:iCs/>
          <w:szCs w:val="22"/>
        </w:rPr>
        <w:t>’</w:t>
      </w:r>
      <w:proofErr w:type="spellStart"/>
      <w:r w:rsidRPr="00E8642C">
        <w:rPr>
          <w:rFonts w:cs="Arial"/>
          <w:iCs/>
          <w:szCs w:val="22"/>
        </w:rPr>
        <w:t>Indecopi</w:t>
      </w:r>
      <w:proofErr w:type="spellEnd"/>
      <w:r w:rsidRPr="00E8642C">
        <w:rPr>
          <w:rFonts w:cs="Arial"/>
          <w:iCs/>
          <w:szCs w:val="22"/>
        </w:rPr>
        <w:t xml:space="preserve"> des informations qui lui permettront de défendre les intérêts des peuples autochtones concernant leurs savoirs collectifs”</w:t>
      </w:r>
      <w:r w:rsidRPr="00E8642C">
        <w:rPr>
          <w:rFonts w:cs="Arial"/>
          <w:szCs w:val="22"/>
          <w:vertAlign w:val="superscript"/>
        </w:rPr>
        <w:footnoteReference w:id="147"/>
      </w:r>
      <w:r w:rsidRPr="00E8642C">
        <w:rPr>
          <w:rFonts w:cs="Arial"/>
          <w:iCs/>
          <w:szCs w:val="22"/>
        </w:rPr>
        <w:t xml:space="preserve">.  </w:t>
      </w:r>
      <w:r w:rsidRPr="00E8642C">
        <w:rPr>
          <w:rFonts w:cs="Arial"/>
          <w:szCs w:val="22"/>
        </w:rPr>
        <w:t>L</w:t>
      </w:r>
      <w:r w:rsidR="00D91476">
        <w:rPr>
          <w:rFonts w:cs="Arial"/>
          <w:szCs w:val="22"/>
        </w:rPr>
        <w:t>’</w:t>
      </w:r>
      <w:r w:rsidRPr="00E8642C">
        <w:rPr>
          <w:rFonts w:cs="Arial"/>
          <w:szCs w:val="22"/>
        </w:rPr>
        <w:t xml:space="preserve">article 15 prévoit également que </w:t>
      </w:r>
      <w:r w:rsidRPr="00E8642C">
        <w:rPr>
          <w:rFonts w:cs="Arial"/>
          <w:iCs/>
          <w:szCs w:val="22"/>
        </w:rPr>
        <w:t>“[l]es savoirs collectifs des peuples autochtones peuvent être inscrits dans trois types de registre</w:t>
      </w:r>
      <w:r w:rsidR="00D91476">
        <w:rPr>
          <w:rFonts w:cs="Arial"/>
          <w:iCs/>
          <w:szCs w:val="22"/>
        </w:rPr>
        <w:t> :</w:t>
      </w:r>
      <w:r w:rsidRPr="00E8642C">
        <w:rPr>
          <w:rFonts w:cs="Arial"/>
          <w:iCs/>
          <w:szCs w:val="22"/>
        </w:rPr>
        <w:t xml:space="preserve"> a) le Registre national public des savoirs collectifs des peuples </w:t>
      </w:r>
      <w:proofErr w:type="gramStart"/>
      <w:r w:rsidRPr="00E8642C">
        <w:rPr>
          <w:rFonts w:cs="Arial"/>
          <w:iCs/>
          <w:szCs w:val="22"/>
        </w:rPr>
        <w:t>autochtones;  b</w:t>
      </w:r>
      <w:proofErr w:type="gramEnd"/>
      <w:r w:rsidRPr="00E8642C">
        <w:rPr>
          <w:rFonts w:cs="Arial"/>
          <w:iCs/>
          <w:szCs w:val="22"/>
        </w:rPr>
        <w:t>) le Registre national confidentiel des savoirs collectifs des peuples autochtones;  c) les registres locaux des savoirs collectifs des peuples autochtones”.</w:t>
      </w:r>
    </w:p>
    <w:p w:rsidR="00AD541F" w:rsidRDefault="00DD607D" w:rsidP="00AD541F">
      <w:pPr>
        <w:pStyle w:val="Heading2"/>
        <w:spacing w:after="220" w:line="240" w:lineRule="auto"/>
      </w:pPr>
      <w:bookmarkStart w:id="107" w:name="_Toc7772578"/>
      <w:r w:rsidRPr="00E8642C">
        <w:t>Règlement extrajudiciaire des litiges</w:t>
      </w:r>
      <w:bookmarkEnd w:id="107"/>
    </w:p>
    <w:p w:rsidR="00AD541F" w:rsidRDefault="00DD607D" w:rsidP="00AD541F">
      <w:pPr>
        <w:autoSpaceDE w:val="0"/>
        <w:autoSpaceDN w:val="0"/>
        <w:adjustRightInd w:val="0"/>
        <w:spacing w:after="220"/>
        <w:rPr>
          <w:rFonts w:cs="Arial"/>
          <w:szCs w:val="22"/>
        </w:rPr>
      </w:pPr>
      <w:r w:rsidRPr="00E8642C">
        <w:rPr>
          <w:rFonts w:cs="Arial"/>
          <w:szCs w:val="22"/>
        </w:rPr>
        <w:t>Le règlement extrajudiciaire des litiges offre une solution alternative aux procédures judiciaires formelles pour régler les litiges de propriété intellectuelle qui peuvent surgir en relation avec les savoirs traditionnels, les expressions culturelles traditionnelles et les ressources génétiqu</w:t>
      </w:r>
      <w:r w:rsidR="001F3AEE" w:rsidRPr="00E8642C">
        <w:rPr>
          <w:rFonts w:cs="Arial"/>
          <w:szCs w:val="22"/>
        </w:rPr>
        <w:t>es</w:t>
      </w:r>
      <w:r w:rsidR="001F3AEE">
        <w:rPr>
          <w:rFonts w:cs="Arial"/>
          <w:szCs w:val="22"/>
        </w:rPr>
        <w:t xml:space="preserve">.  </w:t>
      </w:r>
      <w:r w:rsidR="001F3AEE" w:rsidRPr="00E8642C">
        <w:rPr>
          <w:rFonts w:cs="Arial"/>
          <w:szCs w:val="22"/>
        </w:rPr>
        <w:t>Il</w:t>
      </w:r>
      <w:r w:rsidRPr="00E8642C">
        <w:rPr>
          <w:rFonts w:cs="Arial"/>
          <w:szCs w:val="22"/>
        </w:rPr>
        <w:t xml:space="preserve"> s</w:t>
      </w:r>
      <w:r w:rsidR="00D91476">
        <w:rPr>
          <w:rFonts w:cs="Arial"/>
          <w:szCs w:val="22"/>
        </w:rPr>
        <w:t>’</w:t>
      </w:r>
      <w:r w:rsidRPr="00E8642C">
        <w:rPr>
          <w:rFonts w:cs="Arial"/>
          <w:szCs w:val="22"/>
        </w:rPr>
        <w:t>attache à résoudre les litiges de manière non conflictuelle afin d</w:t>
      </w:r>
      <w:r w:rsidR="00D91476">
        <w:rPr>
          <w:rFonts w:cs="Arial"/>
          <w:szCs w:val="22"/>
        </w:rPr>
        <w:t>’</w:t>
      </w:r>
      <w:r w:rsidRPr="00E8642C">
        <w:rPr>
          <w:rFonts w:cs="Arial"/>
          <w:szCs w:val="22"/>
        </w:rPr>
        <w:t>obtenir des résultats mutuellement avantageux pour toutes les parti</w:t>
      </w:r>
      <w:r w:rsidR="001F3AEE" w:rsidRPr="00E8642C">
        <w:rPr>
          <w:rFonts w:cs="Arial"/>
          <w:szCs w:val="22"/>
        </w:rPr>
        <w:t>es</w:t>
      </w:r>
      <w:r w:rsidR="001F3AEE">
        <w:rPr>
          <w:rFonts w:cs="Arial"/>
          <w:szCs w:val="22"/>
        </w:rPr>
        <w:t xml:space="preserve">.  </w:t>
      </w:r>
      <w:r w:rsidR="001F3AEE" w:rsidRPr="00E8642C">
        <w:rPr>
          <w:rFonts w:cs="Arial"/>
          <w:szCs w:val="22"/>
        </w:rPr>
        <w:t>Gr</w:t>
      </w:r>
      <w:r w:rsidRPr="00E8642C">
        <w:rPr>
          <w:rFonts w:cs="Arial"/>
          <w:szCs w:val="22"/>
        </w:rPr>
        <w:t>âce aux modes extrajudiciaires de règlement des litiges, les parties assument elles</w:t>
      </w:r>
      <w:r w:rsidR="00400337">
        <w:rPr>
          <w:rFonts w:cs="Arial"/>
          <w:szCs w:val="22"/>
        </w:rPr>
        <w:noBreakHyphen/>
      </w:r>
      <w:r w:rsidRPr="00E8642C">
        <w:rPr>
          <w:rFonts w:cs="Arial"/>
          <w:szCs w:val="22"/>
        </w:rPr>
        <w:t>mêmes la responsabilité de régler le différend et peuvent prendre en considération des questions qui dépassent les seules normes juridiqu</w:t>
      </w:r>
      <w:r w:rsidR="001F3AEE" w:rsidRPr="00E8642C">
        <w:rPr>
          <w:rFonts w:cs="Arial"/>
          <w:szCs w:val="22"/>
        </w:rPr>
        <w:t>es</w:t>
      </w:r>
      <w:r w:rsidR="001F3AEE">
        <w:rPr>
          <w:rFonts w:cs="Arial"/>
          <w:szCs w:val="22"/>
        </w:rPr>
        <w:t xml:space="preserve">.  </w:t>
      </w:r>
      <w:r w:rsidR="001F3AEE" w:rsidRPr="00E8642C">
        <w:rPr>
          <w:rFonts w:cs="Arial"/>
          <w:szCs w:val="22"/>
        </w:rPr>
        <w:t>Le</w:t>
      </w:r>
      <w:r w:rsidRPr="00E8642C">
        <w:rPr>
          <w:rFonts w:cs="Arial"/>
          <w:szCs w:val="22"/>
        </w:rPr>
        <w:t xml:space="preserve"> règlement extrajudiciaire des litiges se caractérise par des procédures formelles et informelles, un éventail de possibilités en dehors de l</w:t>
      </w:r>
      <w:r w:rsidR="00D91476">
        <w:rPr>
          <w:rFonts w:cs="Arial"/>
          <w:szCs w:val="22"/>
        </w:rPr>
        <w:t>’</w:t>
      </w:r>
      <w:r w:rsidRPr="00E8642C">
        <w:rPr>
          <w:rFonts w:cs="Arial"/>
          <w:szCs w:val="22"/>
        </w:rPr>
        <w:t>action en justice et l</w:t>
      </w:r>
      <w:r w:rsidR="00D91476">
        <w:rPr>
          <w:rFonts w:cs="Arial"/>
          <w:szCs w:val="22"/>
        </w:rPr>
        <w:t>’</w:t>
      </w:r>
      <w:r w:rsidRPr="00E8642C">
        <w:rPr>
          <w:rFonts w:cs="Arial"/>
          <w:szCs w:val="22"/>
        </w:rPr>
        <w:t>octroi d</w:t>
      </w:r>
      <w:r w:rsidR="00D91476">
        <w:rPr>
          <w:rFonts w:cs="Arial"/>
          <w:szCs w:val="22"/>
        </w:rPr>
        <w:t>’</w:t>
      </w:r>
      <w:r w:rsidRPr="00E8642C">
        <w:rPr>
          <w:rFonts w:cs="Arial"/>
          <w:szCs w:val="22"/>
        </w:rPr>
        <w:t>un plus grand contrôle aux parties concernant les paramètres du litige et la meilleure manière de le régl</w:t>
      </w:r>
      <w:r w:rsidR="001F3AEE" w:rsidRPr="00E8642C">
        <w:rPr>
          <w:rFonts w:cs="Arial"/>
          <w:szCs w:val="22"/>
        </w:rPr>
        <w:t>er</w:t>
      </w:r>
      <w:r w:rsidR="001F3AEE">
        <w:rPr>
          <w:rFonts w:cs="Arial"/>
          <w:szCs w:val="22"/>
        </w:rPr>
        <w:t xml:space="preserve">.  </w:t>
      </w:r>
      <w:r w:rsidR="001F3AEE" w:rsidRPr="00E8642C">
        <w:rPr>
          <w:rFonts w:cs="Arial"/>
          <w:szCs w:val="22"/>
        </w:rPr>
        <w:t>Le</w:t>
      </w:r>
      <w:r w:rsidRPr="00E8642C">
        <w:rPr>
          <w:rFonts w:cs="Arial"/>
          <w:szCs w:val="22"/>
        </w:rPr>
        <w:t>s quatre principaux modes de règlement extrajudiciaire des litiges sont la négociation, la médiation, l</w:t>
      </w:r>
      <w:r w:rsidR="00D91476">
        <w:rPr>
          <w:rFonts w:cs="Arial"/>
          <w:szCs w:val="22"/>
        </w:rPr>
        <w:t>’</w:t>
      </w:r>
      <w:r w:rsidRPr="00E8642C">
        <w:rPr>
          <w:rFonts w:cs="Arial"/>
          <w:szCs w:val="22"/>
        </w:rPr>
        <w:t>arbitrage et le droit collaborat</w:t>
      </w:r>
      <w:r w:rsidR="001F3AEE" w:rsidRPr="00E8642C">
        <w:rPr>
          <w:rFonts w:cs="Arial"/>
          <w:szCs w:val="22"/>
        </w:rPr>
        <w:t>if</w:t>
      </w:r>
      <w:r w:rsidR="001F3AEE">
        <w:rPr>
          <w:rFonts w:cs="Arial"/>
          <w:szCs w:val="22"/>
        </w:rPr>
        <w:t xml:space="preserve">.  </w:t>
      </w:r>
      <w:r w:rsidR="001F3AEE" w:rsidRPr="00E8642C">
        <w:rPr>
          <w:rFonts w:cs="Arial"/>
          <w:szCs w:val="22"/>
        </w:rPr>
        <w:t>Le</w:t>
      </w:r>
      <w:r w:rsidRPr="00E8642C">
        <w:rPr>
          <w:rFonts w:cs="Arial"/>
          <w:szCs w:val="22"/>
        </w:rPr>
        <w:t>s questions relatives aux savoirs traditionnels sont souvent étroitement liées aux valeurs culturelles et de nombreux désaccords portent sur une utilisation appropriée sur le plan culturel, le partage des savoirs et leur attribution correc</w:t>
      </w:r>
      <w:r w:rsidR="001F3AEE" w:rsidRPr="00E8642C">
        <w:rPr>
          <w:rFonts w:cs="Arial"/>
          <w:szCs w:val="22"/>
        </w:rPr>
        <w:t>te</w:t>
      </w:r>
      <w:r w:rsidR="001F3AEE">
        <w:rPr>
          <w:rFonts w:cs="Arial"/>
          <w:szCs w:val="22"/>
        </w:rPr>
        <w:t xml:space="preserve">.  </w:t>
      </w:r>
      <w:r w:rsidR="001F3AEE" w:rsidRPr="00E8642C">
        <w:rPr>
          <w:rFonts w:cs="Arial"/>
          <w:szCs w:val="22"/>
        </w:rPr>
        <w:t>Le</w:t>
      </w:r>
      <w:r w:rsidRPr="00E8642C">
        <w:rPr>
          <w:rFonts w:cs="Arial"/>
          <w:szCs w:val="22"/>
        </w:rPr>
        <w:t xml:space="preserve"> règlement extrajudiciaire des litiges est une option importante parmi celles dont disposent les peuples autochtones et les tiers pour régler les litiges</w:t>
      </w:r>
      <w:r w:rsidRPr="00E8642C">
        <w:rPr>
          <w:rStyle w:val="FootnoteReference"/>
          <w:rFonts w:cs="Arial"/>
          <w:szCs w:val="22"/>
        </w:rPr>
        <w:footnoteReference w:id="148"/>
      </w:r>
      <w:r w:rsidRPr="00E8642C">
        <w:rPr>
          <w:rFonts w:cs="Arial"/>
          <w:szCs w:val="22"/>
        </w:rPr>
        <w:t>.</w:t>
      </w:r>
    </w:p>
    <w:p w:rsidR="00AD541F" w:rsidRDefault="00DD607D" w:rsidP="00AD541F">
      <w:pPr>
        <w:pStyle w:val="Heading2"/>
        <w:keepLines/>
        <w:spacing w:after="220" w:line="240" w:lineRule="auto"/>
      </w:pPr>
      <w:bookmarkStart w:id="108" w:name="_Toc7772579"/>
      <w:r w:rsidRPr="00E8642C">
        <w:t>Rémunération équitable</w:t>
      </w:r>
      <w:bookmarkEnd w:id="108"/>
    </w:p>
    <w:p w:rsidR="00AD541F" w:rsidRDefault="00DD607D" w:rsidP="00AD541F">
      <w:pPr>
        <w:pStyle w:val="CommentText"/>
        <w:keepNext/>
        <w:keepLines/>
        <w:spacing w:after="220"/>
        <w:rPr>
          <w:rFonts w:cs="Arial"/>
          <w:szCs w:val="22"/>
        </w:rPr>
      </w:pPr>
      <w:r w:rsidRPr="00E8642C">
        <w:rPr>
          <w:rFonts w:cs="Arial"/>
          <w:szCs w:val="22"/>
        </w:rPr>
        <w:t>Ce terme renvoie à la rémunération d</w:t>
      </w:r>
      <w:r w:rsidR="00D91476">
        <w:rPr>
          <w:rFonts w:cs="Arial"/>
          <w:szCs w:val="22"/>
        </w:rPr>
        <w:t>’</w:t>
      </w:r>
      <w:r w:rsidRPr="00E8642C">
        <w:rPr>
          <w:rFonts w:cs="Arial"/>
          <w:szCs w:val="22"/>
        </w:rPr>
        <w:t xml:space="preserve">un acte accompli </w:t>
      </w:r>
      <w:r w:rsidR="00D91476">
        <w:rPr>
          <w:rFonts w:cs="Arial"/>
          <w:szCs w:val="22"/>
        </w:rPr>
        <w:t>à l’égard</w:t>
      </w:r>
      <w:r w:rsidRPr="00E8642C">
        <w:rPr>
          <w:rFonts w:cs="Arial"/>
          <w:szCs w:val="22"/>
        </w:rPr>
        <w:t xml:space="preserve"> d</w:t>
      </w:r>
      <w:r w:rsidR="00D91476">
        <w:rPr>
          <w:rFonts w:cs="Arial"/>
          <w:szCs w:val="22"/>
        </w:rPr>
        <w:t>’</w:t>
      </w:r>
      <w:r w:rsidRPr="00E8642C">
        <w:rPr>
          <w:rFonts w:cs="Arial"/>
          <w:szCs w:val="22"/>
        </w:rPr>
        <w:t>une œuvre protégée par le droit d</w:t>
      </w:r>
      <w:r w:rsidR="00D91476">
        <w:rPr>
          <w:rFonts w:cs="Arial"/>
          <w:szCs w:val="22"/>
        </w:rPr>
        <w:t>’</w:t>
      </w:r>
      <w:r w:rsidRPr="00E8642C">
        <w:rPr>
          <w:rFonts w:cs="Arial"/>
          <w:szCs w:val="22"/>
        </w:rPr>
        <w:t>auteur ou d</w:t>
      </w:r>
      <w:r w:rsidR="00D91476">
        <w:rPr>
          <w:rFonts w:cs="Arial"/>
          <w:szCs w:val="22"/>
        </w:rPr>
        <w:t>’</w:t>
      </w:r>
      <w:r w:rsidRPr="00E8642C">
        <w:rPr>
          <w:rFonts w:cs="Arial"/>
          <w:szCs w:val="22"/>
        </w:rPr>
        <w:t>un objet de droits connexes, dont le mode et le montant sont conformes à ce qui serait considéré comme normal dans le commerce pour un acte de même nature accompli avec l</w:t>
      </w:r>
      <w:r w:rsidR="00D91476">
        <w:rPr>
          <w:rFonts w:cs="Arial"/>
          <w:szCs w:val="22"/>
        </w:rPr>
        <w:t>’</w:t>
      </w:r>
      <w:r w:rsidRPr="00E8642C">
        <w:rPr>
          <w:rFonts w:cs="Arial"/>
          <w:szCs w:val="22"/>
        </w:rPr>
        <w:t>autorisation du titulaire de droit d</w:t>
      </w:r>
      <w:r w:rsidR="00D91476">
        <w:rPr>
          <w:rFonts w:cs="Arial"/>
          <w:szCs w:val="22"/>
        </w:rPr>
        <w:t>’</w:t>
      </w:r>
      <w:r w:rsidRPr="00E8642C">
        <w:rPr>
          <w:rFonts w:cs="Arial"/>
          <w:szCs w:val="22"/>
        </w:rPr>
        <w:t>auteur ou de droits connex</w:t>
      </w:r>
      <w:r w:rsidR="001F3AEE" w:rsidRPr="00E8642C">
        <w:rPr>
          <w:rFonts w:cs="Arial"/>
          <w:szCs w:val="22"/>
        </w:rPr>
        <w:t>es</w:t>
      </w:r>
      <w:r w:rsidR="001F3AEE">
        <w:rPr>
          <w:rFonts w:cs="Arial"/>
          <w:szCs w:val="22"/>
        </w:rPr>
        <w:t xml:space="preserve">.  </w:t>
      </w:r>
      <w:r w:rsidR="001F3AEE" w:rsidRPr="00E8642C">
        <w:rPr>
          <w:rFonts w:cs="Arial"/>
          <w:szCs w:val="22"/>
        </w:rPr>
        <w:t>Ce</w:t>
      </w:r>
      <w:r w:rsidRPr="00E8642C">
        <w:rPr>
          <w:rFonts w:cs="Arial"/>
          <w:szCs w:val="22"/>
        </w:rPr>
        <w:t xml:space="preserve"> critère est généralement appliqué lorsque les droits patrimoniaux se limitent à un droit à rémunération (et dans le cadre d</w:t>
      </w:r>
      <w:r w:rsidR="00D91476">
        <w:rPr>
          <w:rFonts w:cs="Arial"/>
          <w:szCs w:val="22"/>
        </w:rPr>
        <w:t>’</w:t>
      </w:r>
      <w:r w:rsidRPr="00E8642C">
        <w:rPr>
          <w:rFonts w:cs="Arial"/>
          <w:szCs w:val="22"/>
        </w:rPr>
        <w:t>une licence non volontaire)</w:t>
      </w:r>
      <w:r w:rsidRPr="00E8642C">
        <w:rPr>
          <w:rStyle w:val="FootnoteReference"/>
          <w:rFonts w:cs="Arial"/>
          <w:szCs w:val="22"/>
        </w:rPr>
        <w:footnoteReference w:id="149"/>
      </w:r>
      <w:r w:rsidRPr="00E8642C">
        <w:rPr>
          <w:rFonts w:cs="Arial"/>
          <w:szCs w:val="22"/>
        </w:rPr>
        <w:t xml:space="preserve">.  Le </w:t>
      </w:r>
      <w:r w:rsidRPr="00E8642C">
        <w:rPr>
          <w:rFonts w:cs="Arial"/>
          <w:i/>
          <w:szCs w:val="22"/>
        </w:rPr>
        <w:t>Traité de l</w:t>
      </w:r>
      <w:r w:rsidR="00D91476">
        <w:rPr>
          <w:rFonts w:cs="Arial"/>
          <w:i/>
          <w:szCs w:val="22"/>
        </w:rPr>
        <w:t>’</w:t>
      </w:r>
      <w:r w:rsidRPr="00E8642C">
        <w:rPr>
          <w:rFonts w:cs="Arial"/>
          <w:i/>
          <w:szCs w:val="22"/>
        </w:rPr>
        <w:t xml:space="preserve">OMPI sur les interprétations et exécutions et les phonogrammes </w:t>
      </w:r>
      <w:r w:rsidRPr="00E8642C">
        <w:rPr>
          <w:rFonts w:cs="Arial"/>
          <w:szCs w:val="22"/>
        </w:rPr>
        <w:t>(1996) (WPPT) prévoit que les artistes interprètes et exécutants et les producteurs de phonogrammes ont droit à une rémunération équitable unique lorsque des phonogrammes publiés à des fins de commerce sont utilisés directement ou indirectement pour la radiodiffusion ou pour une communication quelconque au public (article 15.1)).  Toutefois, toute partie contractante peut limiter l</w:t>
      </w:r>
      <w:r w:rsidR="00D91476">
        <w:rPr>
          <w:rFonts w:cs="Arial"/>
          <w:szCs w:val="22"/>
        </w:rPr>
        <w:t>’</w:t>
      </w:r>
      <w:r w:rsidRPr="00E8642C">
        <w:rPr>
          <w:rFonts w:cs="Arial"/>
          <w:szCs w:val="22"/>
        </w:rPr>
        <w:t>application de ce droit ou, pour autant qu</w:t>
      </w:r>
      <w:r w:rsidR="00D91476">
        <w:rPr>
          <w:rFonts w:cs="Arial"/>
          <w:szCs w:val="22"/>
        </w:rPr>
        <w:t>’</w:t>
      </w:r>
      <w:r w:rsidRPr="00E8642C">
        <w:rPr>
          <w:rFonts w:cs="Arial"/>
          <w:szCs w:val="22"/>
        </w:rPr>
        <w:t>elle ait fait une réserve au Traité, ne pas appliquer ce droit (article 15.3)).</w:t>
      </w:r>
    </w:p>
    <w:p w:rsidR="00AD541F" w:rsidRDefault="00DD607D" w:rsidP="00AD541F">
      <w:pPr>
        <w:pStyle w:val="Heading2"/>
        <w:spacing w:after="220" w:line="240" w:lineRule="auto"/>
      </w:pPr>
      <w:bookmarkStart w:id="109" w:name="_Toc7772580"/>
      <w:r w:rsidRPr="00E8642C">
        <w:t>Réputation</w:t>
      </w:r>
      <w:bookmarkEnd w:id="109"/>
    </w:p>
    <w:p w:rsidR="00AD541F" w:rsidRDefault="00DD607D" w:rsidP="00AD541F">
      <w:pPr>
        <w:spacing w:after="220"/>
        <w:rPr>
          <w:rFonts w:cs="Arial"/>
          <w:szCs w:val="22"/>
        </w:rPr>
      </w:pPr>
      <w:r w:rsidRPr="00E8642C">
        <w:rPr>
          <w:rFonts w:cs="Arial"/>
          <w:szCs w:val="22"/>
        </w:rPr>
        <w:t xml:space="preserve">Selon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le terme “réputation” renvoie à l</w:t>
      </w:r>
      <w:r w:rsidR="00D91476">
        <w:rPr>
          <w:rFonts w:cs="Arial"/>
          <w:szCs w:val="22"/>
        </w:rPr>
        <w:t>’</w:t>
      </w:r>
      <w:r w:rsidRPr="00E8642C">
        <w:rPr>
          <w:rFonts w:cs="Arial"/>
          <w:szCs w:val="22"/>
        </w:rPr>
        <w:t>estime dont une personne bénéficie auprès des tie</w:t>
      </w:r>
      <w:r w:rsidR="001F3AEE" w:rsidRPr="00E8642C">
        <w:rPr>
          <w:rFonts w:cs="Arial"/>
          <w:szCs w:val="22"/>
        </w:rPr>
        <w:t>rs</w:t>
      </w:r>
      <w:r w:rsidR="001F3AEE">
        <w:rPr>
          <w:rFonts w:cs="Arial"/>
          <w:szCs w:val="22"/>
        </w:rPr>
        <w:t xml:space="preserve">.  </w:t>
      </w:r>
      <w:r w:rsidR="001F3AEE" w:rsidRPr="00E8642C">
        <w:rPr>
          <w:rFonts w:cs="Arial"/>
          <w:szCs w:val="22"/>
        </w:rPr>
        <w:t>La</w:t>
      </w:r>
      <w:r w:rsidRPr="00E8642C">
        <w:rPr>
          <w:rFonts w:cs="Arial"/>
          <w:szCs w:val="22"/>
        </w:rPr>
        <w:t xml:space="preserve"> réputation entre dans le champ de la protection des droits moraux de l</w:t>
      </w:r>
      <w:r w:rsidR="00D91476">
        <w:rPr>
          <w:rFonts w:cs="Arial"/>
          <w:szCs w:val="22"/>
        </w:rPr>
        <w:t>’</w:t>
      </w:r>
      <w:r w:rsidRPr="00E8642C">
        <w:rPr>
          <w:rFonts w:cs="Arial"/>
          <w:szCs w:val="22"/>
        </w:rPr>
        <w:t>auteur</w:t>
      </w:r>
      <w:r w:rsidRPr="00E8642C">
        <w:rPr>
          <w:rStyle w:val="FootnoteReference"/>
          <w:rFonts w:cs="Arial"/>
          <w:szCs w:val="22"/>
        </w:rPr>
        <w:footnoteReference w:id="150"/>
      </w:r>
      <w:r w:rsidRPr="00E8642C">
        <w:rPr>
          <w:rFonts w:cs="Arial"/>
          <w:szCs w:val="22"/>
        </w:rPr>
        <w:t xml:space="preserve">.  À la Conférence de Bruxelles sur la révision de la </w:t>
      </w:r>
      <w:r w:rsidRPr="00E8642C">
        <w:rPr>
          <w:rFonts w:cs="Arial"/>
          <w:i/>
          <w:szCs w:val="22"/>
        </w:rPr>
        <w:t xml:space="preserve">Convention de Berne pour la protection des œuvres littéraires et artistiques </w:t>
      </w:r>
      <w:r w:rsidRPr="00E8642C">
        <w:rPr>
          <w:rFonts w:cs="Arial"/>
          <w:szCs w:val="22"/>
        </w:rPr>
        <w:t>(1971), la préférence a été donnée aux termes “honneur” et “réputation”, considérés comme traduisant le plus objectivement les intérêts personnels de l</w:t>
      </w:r>
      <w:r w:rsidR="00D91476">
        <w:rPr>
          <w:rFonts w:cs="Arial"/>
          <w:szCs w:val="22"/>
        </w:rPr>
        <w:t>’</w:t>
      </w:r>
      <w:r w:rsidRPr="00E8642C">
        <w:rPr>
          <w:rFonts w:cs="Arial"/>
          <w:szCs w:val="22"/>
        </w:rPr>
        <w:t>auteur, par opposition à “intérêts moraux” ou “intérêts spirituels”, qui visent des notions plus larg</w:t>
      </w:r>
      <w:r w:rsidR="001F3AEE" w:rsidRPr="00E8642C">
        <w:rPr>
          <w:rFonts w:cs="Arial"/>
          <w:szCs w:val="22"/>
        </w:rPr>
        <w:t>es</w:t>
      </w:r>
      <w:r w:rsidR="001F3AEE">
        <w:rPr>
          <w:rFonts w:cs="Arial"/>
          <w:szCs w:val="22"/>
        </w:rPr>
        <w:t xml:space="preserve">.  </w:t>
      </w:r>
      <w:r w:rsidR="001F3AEE" w:rsidRPr="00E8642C">
        <w:rPr>
          <w:rFonts w:cs="Arial"/>
          <w:szCs w:val="22"/>
        </w:rPr>
        <w:t>En</w:t>
      </w:r>
      <w:r w:rsidRPr="00E8642C">
        <w:rPr>
          <w:rFonts w:cs="Arial"/>
          <w:szCs w:val="22"/>
        </w:rPr>
        <w:t xml:space="preserve"> cas de dommage, il y a une différence entre le dommage porté à la réputation et le dommage porté aux intérêts moraux ou spirituels de l</w:t>
      </w:r>
      <w:r w:rsidR="00D91476">
        <w:rPr>
          <w:rFonts w:cs="Arial"/>
          <w:szCs w:val="22"/>
        </w:rPr>
        <w:t>’</w:t>
      </w:r>
      <w:r w:rsidRPr="00E8642C">
        <w:rPr>
          <w:rFonts w:cs="Arial"/>
          <w:szCs w:val="22"/>
        </w:rPr>
        <w:t>aute</w:t>
      </w:r>
      <w:r w:rsidR="001F3AEE" w:rsidRPr="00E8642C">
        <w:rPr>
          <w:rFonts w:cs="Arial"/>
          <w:szCs w:val="22"/>
        </w:rPr>
        <w:t>ur</w:t>
      </w:r>
      <w:r w:rsidR="001F3AEE">
        <w:rPr>
          <w:rFonts w:cs="Arial"/>
          <w:szCs w:val="22"/>
        </w:rPr>
        <w:t xml:space="preserve">.  </w:t>
      </w:r>
      <w:r w:rsidR="001F3AEE" w:rsidRPr="00E8642C">
        <w:rPr>
          <w:rFonts w:cs="Arial"/>
          <w:szCs w:val="22"/>
        </w:rPr>
        <w:t>Il</w:t>
      </w:r>
      <w:r w:rsidRPr="00E8642C">
        <w:rPr>
          <w:rFonts w:cs="Arial"/>
          <w:szCs w:val="22"/>
        </w:rPr>
        <w:t xml:space="preserve"> ne suffit pas que l</w:t>
      </w:r>
      <w:r w:rsidR="00D91476">
        <w:rPr>
          <w:rFonts w:cs="Arial"/>
          <w:szCs w:val="22"/>
        </w:rPr>
        <w:t>’</w:t>
      </w:r>
      <w:r w:rsidRPr="00E8642C">
        <w:rPr>
          <w:rFonts w:cs="Arial"/>
          <w:szCs w:val="22"/>
        </w:rPr>
        <w:t>auteur n</w:t>
      </w:r>
      <w:r w:rsidR="00D91476">
        <w:rPr>
          <w:rFonts w:cs="Arial"/>
          <w:szCs w:val="22"/>
        </w:rPr>
        <w:t>’</w:t>
      </w:r>
      <w:r w:rsidRPr="00E8642C">
        <w:rPr>
          <w:rFonts w:cs="Arial"/>
          <w:szCs w:val="22"/>
        </w:rPr>
        <w:t>apprécie pas ce qui a été fait à son œuvre, l</w:t>
      </w:r>
      <w:r w:rsidR="00D91476">
        <w:rPr>
          <w:rFonts w:cs="Arial"/>
          <w:szCs w:val="22"/>
        </w:rPr>
        <w:t>’</w:t>
      </w:r>
      <w:r w:rsidRPr="00E8642C">
        <w:rPr>
          <w:rFonts w:cs="Arial"/>
          <w:szCs w:val="22"/>
        </w:rPr>
        <w:t>acte doit aussi ternir sa réputation aux yeux du public</w:t>
      </w:r>
      <w:r w:rsidRPr="00E8642C">
        <w:rPr>
          <w:rStyle w:val="FootnoteReference"/>
          <w:rFonts w:cs="Arial"/>
          <w:szCs w:val="22"/>
        </w:rPr>
        <w:footnoteReference w:id="151"/>
      </w:r>
      <w:r w:rsidRPr="00E8642C">
        <w:rPr>
          <w:rFonts w:cs="Arial"/>
          <w:szCs w:val="22"/>
        </w:rPr>
        <w:t>.</w:t>
      </w:r>
    </w:p>
    <w:p w:rsidR="00AD541F" w:rsidRDefault="00DD607D" w:rsidP="00AD541F">
      <w:pPr>
        <w:pStyle w:val="Heading2"/>
        <w:keepLines/>
        <w:spacing w:after="220" w:line="240" w:lineRule="auto"/>
      </w:pPr>
      <w:bookmarkStart w:id="110" w:name="_Toc7772581"/>
      <w:r w:rsidRPr="00E8642C">
        <w:t>Respect mutuel</w:t>
      </w:r>
      <w:bookmarkEnd w:id="110"/>
    </w:p>
    <w:p w:rsidR="00AD541F" w:rsidRDefault="00DD607D" w:rsidP="00AD541F">
      <w:pPr>
        <w:keepNext/>
        <w:autoSpaceDE w:val="0"/>
        <w:autoSpaceDN w:val="0"/>
        <w:adjustRightInd w:val="0"/>
        <w:spacing w:after="220"/>
        <w:rPr>
          <w:rFonts w:cs="Arial"/>
          <w:szCs w:val="22"/>
        </w:rPr>
      </w:pPr>
      <w:r w:rsidRPr="00E8642C">
        <w:rPr>
          <w:rFonts w:cs="Arial"/>
          <w:szCs w:val="22"/>
        </w:rPr>
        <w:t xml:space="preserve">Dans son préambule, la </w:t>
      </w:r>
      <w:r w:rsidRPr="00E8642C">
        <w:rPr>
          <w:rFonts w:cs="Arial"/>
          <w:i/>
          <w:szCs w:val="22"/>
        </w:rPr>
        <w:t xml:space="preserve">Déclaration des </w:t>
      </w:r>
      <w:r w:rsidR="00D91476">
        <w:rPr>
          <w:rFonts w:cs="Arial"/>
          <w:i/>
          <w:szCs w:val="22"/>
        </w:rPr>
        <w:t>Nations Unies</w:t>
      </w:r>
      <w:r w:rsidRPr="00E8642C">
        <w:rPr>
          <w:rFonts w:cs="Arial"/>
          <w:i/>
          <w:szCs w:val="22"/>
        </w:rPr>
        <w:t xml:space="preserve"> sur les droits des peuples autochtones</w:t>
      </w:r>
      <w:r w:rsidRPr="00E8642C">
        <w:rPr>
          <w:rFonts w:cs="Arial"/>
          <w:szCs w:val="22"/>
        </w:rPr>
        <w:t xml:space="preserve"> (2007) fait du respect mutuel un idéal à atteindre dans un esprit de partenari</w:t>
      </w:r>
      <w:r w:rsidR="001F3AEE" w:rsidRPr="00E8642C">
        <w:rPr>
          <w:rFonts w:cs="Arial"/>
          <w:szCs w:val="22"/>
        </w:rPr>
        <w:t>at</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a</w:t>
      </w:r>
      <w:r w:rsidRPr="00E8642C">
        <w:rPr>
          <w:rFonts w:cs="Arial"/>
          <w:szCs w:val="22"/>
        </w:rPr>
        <w:t>djectif “mutuel” vise au moins deux personnes qui se trouvent dans les mêmes dispositions l</w:t>
      </w:r>
      <w:r w:rsidR="00D91476">
        <w:rPr>
          <w:rFonts w:cs="Arial"/>
          <w:szCs w:val="22"/>
        </w:rPr>
        <w:t>’</w:t>
      </w:r>
      <w:r w:rsidRPr="00E8642C">
        <w:rPr>
          <w:rFonts w:cs="Arial"/>
          <w:szCs w:val="22"/>
        </w:rPr>
        <w:t>une vis</w:t>
      </w:r>
      <w:r w:rsidR="00400337">
        <w:rPr>
          <w:rFonts w:cs="Arial"/>
          <w:szCs w:val="22"/>
        </w:rPr>
        <w:noBreakHyphen/>
      </w:r>
      <w:r w:rsidRPr="00E8642C">
        <w:rPr>
          <w:rFonts w:cs="Arial"/>
          <w:szCs w:val="22"/>
        </w:rPr>
        <w:t>à</w:t>
      </w:r>
      <w:r w:rsidR="00400337">
        <w:rPr>
          <w:rFonts w:cs="Arial"/>
          <w:szCs w:val="22"/>
        </w:rPr>
        <w:noBreakHyphen/>
      </w:r>
      <w:r w:rsidRPr="00E8642C">
        <w:rPr>
          <w:rFonts w:cs="Arial"/>
          <w:szCs w:val="22"/>
        </w:rPr>
        <w:t>vis de l</w:t>
      </w:r>
      <w:r w:rsidR="00D91476">
        <w:rPr>
          <w:rFonts w:cs="Arial"/>
          <w:szCs w:val="22"/>
        </w:rPr>
        <w:t>’</w:t>
      </w:r>
      <w:r w:rsidRPr="00E8642C">
        <w:rPr>
          <w:rFonts w:cs="Arial"/>
          <w:szCs w:val="22"/>
        </w:rPr>
        <w:t>autre et qui agissent dans le cadre d</w:t>
      </w:r>
      <w:r w:rsidR="00D91476">
        <w:rPr>
          <w:rFonts w:cs="Arial"/>
          <w:szCs w:val="22"/>
        </w:rPr>
        <w:t>’</w:t>
      </w:r>
      <w:r w:rsidRPr="00E8642C">
        <w:rPr>
          <w:rFonts w:cs="Arial"/>
          <w:szCs w:val="22"/>
        </w:rPr>
        <w:t xml:space="preserve">une relation de réciprocité (Oxford English </w:t>
      </w:r>
      <w:proofErr w:type="spellStart"/>
      <w:r w:rsidRPr="00E8642C">
        <w:rPr>
          <w:rFonts w:cs="Arial"/>
          <w:szCs w:val="22"/>
        </w:rPr>
        <w:t>Dictionary</w:t>
      </w:r>
      <w:proofErr w:type="spellEnd"/>
      <w:r w:rsidRPr="00E8642C">
        <w:rPr>
          <w:rFonts w:cs="Arial"/>
          <w:szCs w:val="22"/>
        </w:rPr>
        <w:t>).</w:t>
      </w:r>
    </w:p>
    <w:p w:rsidR="00AD541F" w:rsidRDefault="00DD607D" w:rsidP="00AD541F">
      <w:pPr>
        <w:pStyle w:val="Heading2"/>
        <w:spacing w:after="220" w:line="240" w:lineRule="auto"/>
      </w:pPr>
      <w:bookmarkStart w:id="111" w:name="_Toc7772582"/>
      <w:r w:rsidRPr="00E8642C">
        <w:t>Ressources biologiques</w:t>
      </w:r>
      <w:bookmarkEnd w:id="111"/>
    </w:p>
    <w:p w:rsidR="00AD541F" w:rsidRDefault="00DD607D" w:rsidP="00AD541F">
      <w:pPr>
        <w:spacing w:after="220"/>
        <w:rPr>
          <w:rFonts w:cs="Arial"/>
          <w:szCs w:val="22"/>
        </w:rPr>
      </w:pPr>
      <w:r w:rsidRPr="00E8642C">
        <w:rPr>
          <w:rFonts w:cs="Arial"/>
          <w:szCs w:val="22"/>
        </w:rPr>
        <w:t>Selon la définition figurant à l</w:t>
      </w:r>
      <w:r w:rsidR="00D91476">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 xml:space="preserve">(1992), ce terme recouvre </w:t>
      </w:r>
      <w:r w:rsidRPr="00E8642C">
        <w:rPr>
          <w:rFonts w:cs="Arial"/>
          <w:i/>
          <w:iCs/>
          <w:szCs w:val="22"/>
        </w:rPr>
        <w:t>“</w:t>
      </w:r>
      <w:r w:rsidRPr="00E8642C">
        <w:rPr>
          <w:rFonts w:cs="Arial"/>
          <w:iCs/>
          <w:szCs w:val="22"/>
        </w:rPr>
        <w:t>les ressources génétiques, les organismes ou éléments de ceux</w:t>
      </w:r>
      <w:r w:rsidR="00400337">
        <w:rPr>
          <w:rFonts w:cs="Arial"/>
          <w:iCs/>
          <w:szCs w:val="22"/>
        </w:rPr>
        <w:noBreakHyphen/>
      </w:r>
      <w:r w:rsidRPr="00E8642C">
        <w:rPr>
          <w:rFonts w:cs="Arial"/>
          <w:iCs/>
          <w:szCs w:val="22"/>
        </w:rPr>
        <w:t>ci, les populations, ou tout autre élément biotique des écosystèmes ayant une utilisation ou une valeur effective ou potentielle pour l</w:t>
      </w:r>
      <w:r w:rsidR="00D91476">
        <w:rPr>
          <w:rFonts w:cs="Arial"/>
          <w:iCs/>
          <w:szCs w:val="22"/>
        </w:rPr>
        <w:t>’</w:t>
      </w:r>
      <w:r w:rsidRPr="00E8642C">
        <w:rPr>
          <w:rFonts w:cs="Arial"/>
          <w:iCs/>
          <w:szCs w:val="22"/>
        </w:rPr>
        <w:t xml:space="preserve">humanité”.  </w:t>
      </w:r>
      <w:r w:rsidRPr="00E8642C">
        <w:rPr>
          <w:rFonts w:cs="Arial"/>
          <w:szCs w:val="22"/>
        </w:rPr>
        <w:t>Les ressources génétiques forment une catégorie de ressources biologiques.</w:t>
      </w:r>
    </w:p>
    <w:p w:rsidR="00AD541F" w:rsidRDefault="00DD607D" w:rsidP="00AD541F">
      <w:pPr>
        <w:spacing w:after="220"/>
        <w:rPr>
          <w:rFonts w:cs="Arial"/>
          <w:snapToGrid w:val="0"/>
          <w:szCs w:val="22"/>
        </w:rPr>
      </w:pPr>
      <w:r w:rsidRPr="00E8642C">
        <w:rPr>
          <w:rFonts w:cs="Arial"/>
          <w:snapToGrid w:val="0"/>
          <w:szCs w:val="22"/>
        </w:rPr>
        <w:t>L</w:t>
      </w:r>
      <w:r w:rsidR="00D91476">
        <w:rPr>
          <w:rFonts w:cs="Arial"/>
          <w:snapToGrid w:val="0"/>
          <w:szCs w:val="22"/>
        </w:rPr>
        <w:t>’</w:t>
      </w:r>
      <w:r w:rsidRPr="00E8642C">
        <w:rPr>
          <w:rFonts w:cs="Arial"/>
          <w:snapToGrid w:val="0"/>
          <w:szCs w:val="22"/>
        </w:rPr>
        <w:t xml:space="preserve">article premier de la </w:t>
      </w:r>
      <w:r w:rsidRPr="00E8642C">
        <w:rPr>
          <w:rFonts w:cs="Arial"/>
          <w:i/>
          <w:snapToGrid w:val="0"/>
          <w:szCs w:val="22"/>
        </w:rPr>
        <w:t>Décision n° 391</w:t>
      </w:r>
      <w:r w:rsidRPr="00E8642C">
        <w:rPr>
          <w:rFonts w:cs="Arial"/>
          <w:snapToGrid w:val="0"/>
          <w:szCs w:val="22"/>
        </w:rPr>
        <w:t xml:space="preserve"> sur </w:t>
      </w:r>
      <w:r w:rsidRPr="00E8642C">
        <w:rPr>
          <w:rFonts w:cs="Arial"/>
          <w:i/>
          <w:snapToGrid w:val="0"/>
          <w:szCs w:val="22"/>
        </w:rPr>
        <w:t>l</w:t>
      </w:r>
      <w:r w:rsidR="00D91476">
        <w:rPr>
          <w:rFonts w:cs="Arial"/>
          <w:i/>
          <w:snapToGrid w:val="0"/>
          <w:szCs w:val="22"/>
        </w:rPr>
        <w:t>’</w:t>
      </w:r>
      <w:r w:rsidRPr="00E8642C">
        <w:rPr>
          <w:rFonts w:cs="Arial"/>
          <w:i/>
          <w:snapToGrid w:val="0"/>
          <w:szCs w:val="22"/>
        </w:rPr>
        <w:t>accès aux ressources génétiques de la Communauté andine</w:t>
      </w:r>
      <w:r w:rsidRPr="00E8642C">
        <w:rPr>
          <w:rFonts w:cs="Arial"/>
          <w:snapToGrid w:val="0"/>
          <w:szCs w:val="22"/>
        </w:rPr>
        <w:t xml:space="preserve"> (1996) définit ce terme comme “</w:t>
      </w:r>
      <w:r w:rsidRPr="00E8642C">
        <w:rPr>
          <w:rFonts w:cs="Arial"/>
          <w:iCs/>
          <w:snapToGrid w:val="0"/>
          <w:szCs w:val="22"/>
        </w:rPr>
        <w:t>les individus, organismes ou éléments de ceux</w:t>
      </w:r>
      <w:r w:rsidR="00400337">
        <w:rPr>
          <w:rFonts w:cs="Arial"/>
          <w:iCs/>
          <w:snapToGrid w:val="0"/>
          <w:szCs w:val="22"/>
        </w:rPr>
        <w:noBreakHyphen/>
      </w:r>
      <w:r w:rsidRPr="00E8642C">
        <w:rPr>
          <w:rFonts w:cs="Arial"/>
          <w:iCs/>
          <w:snapToGrid w:val="0"/>
          <w:szCs w:val="22"/>
        </w:rPr>
        <w:t>ci, populations ou éléments biotiques quelconques ayant une valeur ou une utilité réelle ou potentielle, qui renferment une ressource génétique ou ses dérivés</w:t>
      </w:r>
      <w:r w:rsidRPr="00E8642C">
        <w:rPr>
          <w:rFonts w:cs="Arial"/>
          <w:snapToGrid w:val="0"/>
          <w:szCs w:val="22"/>
        </w:rPr>
        <w:t>”.</w:t>
      </w:r>
    </w:p>
    <w:p w:rsidR="00AD541F" w:rsidRDefault="00DD607D" w:rsidP="00AD541F">
      <w:pPr>
        <w:spacing w:after="220"/>
        <w:rPr>
          <w:rFonts w:cs="Arial"/>
          <w:szCs w:val="22"/>
        </w:rPr>
      </w:pPr>
      <w:r w:rsidRPr="00E8642C">
        <w:rPr>
          <w:rFonts w:cs="Arial"/>
          <w:iCs/>
          <w:szCs w:val="22"/>
        </w:rPr>
        <w:t>D</w:t>
      </w:r>
      <w:r w:rsidR="00D91476">
        <w:rPr>
          <w:rFonts w:cs="Arial"/>
          <w:iCs/>
          <w:szCs w:val="22"/>
        </w:rPr>
        <w:t>’</w:t>
      </w:r>
      <w:r w:rsidRPr="00E8642C">
        <w:rPr>
          <w:rFonts w:cs="Arial"/>
          <w:iCs/>
          <w:szCs w:val="22"/>
        </w:rPr>
        <w:t>autres instruments juridiques de propriété intellectuelle n</w:t>
      </w:r>
      <w:r w:rsidR="00D91476">
        <w:rPr>
          <w:rFonts w:cs="Arial"/>
          <w:iCs/>
          <w:szCs w:val="22"/>
        </w:rPr>
        <w:t>’</w:t>
      </w:r>
      <w:r w:rsidRPr="00E8642C">
        <w:rPr>
          <w:rFonts w:cs="Arial"/>
          <w:iCs/>
          <w:szCs w:val="22"/>
        </w:rPr>
        <w:t xml:space="preserve">emploient pas ce terme mais utilisent celui de “matériel biologique”.  La </w:t>
      </w:r>
      <w:r w:rsidRPr="00E8642C">
        <w:rPr>
          <w:rFonts w:cs="Arial"/>
          <w:i/>
          <w:iCs/>
          <w:szCs w:val="22"/>
        </w:rPr>
        <w:t>Directive</w:t>
      </w:r>
      <w:r w:rsidRPr="00E8642C">
        <w:rPr>
          <w:rFonts w:cs="Arial"/>
          <w:iCs/>
          <w:szCs w:val="22"/>
        </w:rPr>
        <w:t xml:space="preserve"> </w:t>
      </w:r>
      <w:r w:rsidRPr="00E8642C">
        <w:rPr>
          <w:rFonts w:cs="Arial"/>
          <w:i/>
          <w:iCs/>
          <w:szCs w:val="22"/>
        </w:rPr>
        <w:t>relative à la protection juridique des inventions biotechnologiques</w:t>
      </w:r>
      <w:r w:rsidRPr="00E8642C">
        <w:rPr>
          <w:rFonts w:cs="Arial"/>
          <w:iCs/>
          <w:szCs w:val="22"/>
        </w:rPr>
        <w:t xml:space="preserve"> (1998) de l</w:t>
      </w:r>
      <w:r w:rsidR="00D91476">
        <w:rPr>
          <w:rFonts w:cs="Arial"/>
          <w:iCs/>
          <w:szCs w:val="22"/>
        </w:rPr>
        <w:t>’</w:t>
      </w:r>
      <w:r w:rsidRPr="00E8642C">
        <w:rPr>
          <w:rFonts w:cs="Arial"/>
          <w:iCs/>
          <w:szCs w:val="22"/>
        </w:rPr>
        <w:t>Union européenne le définit comme “une matière contenant des informations génétiques et qui est autoreproductible ou reproductible dans un système biologique”.</w:t>
      </w:r>
    </w:p>
    <w:p w:rsidR="00AD541F" w:rsidRDefault="00DD607D" w:rsidP="00AD541F">
      <w:pPr>
        <w:spacing w:after="220"/>
        <w:rPr>
          <w:rFonts w:cs="Arial"/>
          <w:snapToGrid w:val="0"/>
          <w:szCs w:val="22"/>
        </w:rPr>
      </w:pPr>
      <w:r w:rsidRPr="00E8642C">
        <w:rPr>
          <w:rFonts w:cs="Arial"/>
          <w:szCs w:val="22"/>
        </w:rPr>
        <w:t xml:space="preserve">Selon le </w:t>
      </w:r>
      <w:r w:rsidRPr="00E8642C">
        <w:rPr>
          <w:rFonts w:cs="Arial"/>
          <w:i/>
          <w:szCs w:val="22"/>
        </w:rPr>
        <w:t>Code de réglementation fédérale</w:t>
      </w:r>
      <w:r w:rsidRPr="00E8642C">
        <w:rPr>
          <w:rFonts w:cs="Arial"/>
          <w:szCs w:val="22"/>
        </w:rPr>
        <w:t xml:space="preserve"> des États</w:t>
      </w:r>
      <w:r w:rsidR="00400337">
        <w:rPr>
          <w:rFonts w:cs="Arial"/>
          <w:szCs w:val="22"/>
        </w:rPr>
        <w:noBreakHyphen/>
      </w:r>
      <w:r w:rsidRPr="00E8642C">
        <w:rPr>
          <w:rFonts w:cs="Arial"/>
          <w:szCs w:val="22"/>
        </w:rPr>
        <w:t>Unis d</w:t>
      </w:r>
      <w:r w:rsidR="00D91476">
        <w:rPr>
          <w:rFonts w:cs="Arial"/>
          <w:szCs w:val="22"/>
        </w:rPr>
        <w:t>’</w:t>
      </w:r>
      <w:r w:rsidRPr="00E8642C">
        <w:rPr>
          <w:rFonts w:cs="Arial"/>
          <w:szCs w:val="22"/>
        </w:rPr>
        <w:t>Amérique, le matériel biologique désigne notamment “</w:t>
      </w:r>
      <w:r w:rsidRPr="00E8642C">
        <w:rPr>
          <w:rFonts w:cs="Arial"/>
          <w:iCs/>
          <w:szCs w:val="22"/>
        </w:rPr>
        <w:t>du matériel directement ou indirectement autoreproductible</w:t>
      </w:r>
      <w:r w:rsidRPr="00E8642C">
        <w:rPr>
          <w:rFonts w:cs="Arial"/>
          <w:szCs w:val="22"/>
        </w:rPr>
        <w:t>”.</w:t>
      </w:r>
    </w:p>
    <w:p w:rsidR="00AD541F" w:rsidRDefault="00DD607D" w:rsidP="00AD541F">
      <w:pPr>
        <w:spacing w:after="220"/>
        <w:rPr>
          <w:rFonts w:cs="Arial"/>
          <w:szCs w:val="22"/>
        </w:rPr>
      </w:pPr>
      <w:r w:rsidRPr="00E8642C">
        <w:rPr>
          <w:rFonts w:cs="Arial"/>
          <w:szCs w:val="22"/>
        </w:rPr>
        <w:t>Aux termes de l</w:t>
      </w:r>
      <w:r w:rsidR="00D91476">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les ressources biologiques englobent “</w:t>
      </w:r>
      <w:r w:rsidRPr="00E8642C">
        <w:rPr>
          <w:rFonts w:cs="Arial"/>
          <w:iCs/>
          <w:szCs w:val="22"/>
        </w:rPr>
        <w:t>les ressources génétiques, les organismes ou éléments de ceux</w:t>
      </w:r>
      <w:r w:rsidR="00400337">
        <w:rPr>
          <w:rFonts w:cs="Arial"/>
          <w:iCs/>
          <w:szCs w:val="22"/>
        </w:rPr>
        <w:noBreakHyphen/>
      </w:r>
      <w:r w:rsidRPr="00E8642C">
        <w:rPr>
          <w:rFonts w:cs="Arial"/>
          <w:iCs/>
          <w:szCs w:val="22"/>
        </w:rPr>
        <w:t>ci, les populations, ou tout autre élément biotique des écosystèmes ayant une utilisation ou une valeur effective ou potentielle pour l</w:t>
      </w:r>
      <w:r w:rsidR="00D91476">
        <w:rPr>
          <w:rFonts w:cs="Arial"/>
          <w:iCs/>
          <w:szCs w:val="22"/>
        </w:rPr>
        <w:t>’</w:t>
      </w:r>
      <w:r w:rsidRPr="00E8642C">
        <w:rPr>
          <w:rFonts w:cs="Arial"/>
          <w:iCs/>
          <w:szCs w:val="22"/>
        </w:rPr>
        <w:t>humanité</w:t>
      </w:r>
      <w:r w:rsidRPr="00E8642C">
        <w:rPr>
          <w:rFonts w:cs="Arial"/>
          <w:szCs w:val="22"/>
        </w:rPr>
        <w:t>”.</w:t>
      </w:r>
    </w:p>
    <w:p w:rsidR="00AD541F" w:rsidRDefault="000D5705" w:rsidP="00AD541F">
      <w:pPr>
        <w:pStyle w:val="Heading2"/>
        <w:spacing w:after="220" w:line="240" w:lineRule="auto"/>
        <w:rPr>
          <w:rStyle w:val="Strong"/>
          <w:b/>
        </w:rPr>
      </w:pPr>
      <w:bookmarkStart w:id="112" w:name="_Toc7772583"/>
      <w:r w:rsidRPr="00E8642C">
        <w:rPr>
          <w:rStyle w:val="Strong"/>
          <w:b/>
        </w:rPr>
        <w:t>R</w:t>
      </w:r>
      <w:r w:rsidR="006B600F">
        <w:rPr>
          <w:rStyle w:val="Strong"/>
          <w:b/>
        </w:rPr>
        <w:t>essources génétiques</w:t>
      </w:r>
      <w:bookmarkEnd w:id="112"/>
    </w:p>
    <w:p w:rsidR="00AD541F" w:rsidRDefault="00DD607D" w:rsidP="00AD541F">
      <w:pPr>
        <w:spacing w:after="220"/>
        <w:rPr>
          <w:rFonts w:cs="Arial"/>
          <w:szCs w:val="22"/>
        </w:rPr>
      </w:pPr>
      <w:r w:rsidRPr="00E8642C">
        <w:rPr>
          <w:rFonts w:cs="Arial"/>
          <w:szCs w:val="22"/>
        </w:rPr>
        <w:t>Aux termes de l</w:t>
      </w:r>
      <w:r w:rsidR="00D91476">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les “</w:t>
      </w:r>
      <w:r w:rsidRPr="00E8642C">
        <w:rPr>
          <w:rFonts w:cs="Arial"/>
          <w:iCs/>
          <w:szCs w:val="22"/>
        </w:rPr>
        <w:t>ressources génétiques” désignent le “matériel génétique ayant une valeur effective ou potentielle”.</w:t>
      </w:r>
    </w:p>
    <w:p w:rsidR="00AD541F" w:rsidRDefault="00DD607D" w:rsidP="00AD541F">
      <w:pPr>
        <w:spacing w:after="220"/>
        <w:rPr>
          <w:rFonts w:cs="Arial"/>
          <w:snapToGrid w:val="0"/>
          <w:szCs w:val="22"/>
        </w:rPr>
      </w:pPr>
      <w:r w:rsidRPr="00E8642C">
        <w:rPr>
          <w:rFonts w:cs="Arial"/>
          <w:szCs w:val="22"/>
        </w:rPr>
        <w:t>L</w:t>
      </w:r>
      <w:r w:rsidR="00D91476">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D91476">
        <w:rPr>
          <w:rFonts w:cs="Arial"/>
          <w:i/>
          <w:szCs w:val="22"/>
        </w:rPr>
        <w:t>’</w:t>
      </w:r>
      <w:r w:rsidRPr="00E8642C">
        <w:rPr>
          <w:rFonts w:cs="Arial"/>
          <w:i/>
          <w:szCs w:val="22"/>
        </w:rPr>
        <w:t>accès aux ressources génétiques de la Communauté andine</w:t>
      </w:r>
      <w:r w:rsidRPr="00E8642C">
        <w:rPr>
          <w:rFonts w:cs="Arial"/>
          <w:szCs w:val="22"/>
        </w:rPr>
        <w:t xml:space="preserve"> (1996) définit les “ressources génétiques” d</w:t>
      </w:r>
      <w:r w:rsidR="00D91476">
        <w:rPr>
          <w:rFonts w:cs="Arial"/>
          <w:szCs w:val="22"/>
        </w:rPr>
        <w:t>’</w:t>
      </w:r>
      <w:r w:rsidRPr="00E8642C">
        <w:rPr>
          <w:rFonts w:cs="Arial"/>
          <w:szCs w:val="22"/>
        </w:rPr>
        <w:t>une manière générale comme “</w:t>
      </w:r>
      <w:r w:rsidRPr="00E8642C">
        <w:rPr>
          <w:rFonts w:cs="Arial"/>
          <w:iCs/>
          <w:szCs w:val="22"/>
        </w:rPr>
        <w:t>tout matériel de nature biologique qui renferme une information génétique ayant une valeur ou une utilité réelle ou potentielle</w:t>
      </w:r>
      <w:r w:rsidRPr="00E8642C">
        <w:rPr>
          <w:rFonts w:cs="Arial"/>
          <w:szCs w:val="22"/>
        </w:rPr>
        <w:t>”.</w:t>
      </w:r>
    </w:p>
    <w:p w:rsidR="00DD607D" w:rsidRPr="00E8642C" w:rsidRDefault="00DD607D" w:rsidP="00AD541F">
      <w:pPr>
        <w:spacing w:after="220"/>
        <w:rPr>
          <w:rFonts w:cs="Arial"/>
          <w:szCs w:val="22"/>
        </w:rPr>
      </w:pPr>
      <w:r w:rsidRPr="00E8642C">
        <w:rPr>
          <w:rFonts w:cs="Arial"/>
          <w:szCs w:val="22"/>
        </w:rPr>
        <w:t>Le Glossaire de la pêche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 (FAO) définit ce terme comme le “</w:t>
      </w:r>
      <w:proofErr w:type="spellStart"/>
      <w:r w:rsidRPr="00E8642C">
        <w:rPr>
          <w:rFonts w:cs="Arial"/>
          <w:iCs/>
          <w:szCs w:val="22"/>
        </w:rPr>
        <w:t>germoplasme</w:t>
      </w:r>
      <w:proofErr w:type="spellEnd"/>
      <w:r w:rsidRPr="00E8642C">
        <w:rPr>
          <w:rFonts w:cs="Arial"/>
          <w:iCs/>
          <w:szCs w:val="22"/>
        </w:rPr>
        <w:t xml:space="preserve"> de végétaux, d</w:t>
      </w:r>
      <w:r w:rsidR="00D91476">
        <w:rPr>
          <w:rFonts w:cs="Arial"/>
          <w:iCs/>
          <w:szCs w:val="22"/>
        </w:rPr>
        <w:t>’</w:t>
      </w:r>
      <w:r w:rsidRPr="00E8642C">
        <w:rPr>
          <w:rFonts w:cs="Arial"/>
          <w:iCs/>
          <w:szCs w:val="22"/>
        </w:rPr>
        <w:t>animaux ou d</w:t>
      </w:r>
      <w:r w:rsidR="00D91476">
        <w:rPr>
          <w:rFonts w:cs="Arial"/>
          <w:iCs/>
          <w:szCs w:val="22"/>
        </w:rPr>
        <w:t>’</w:t>
      </w:r>
      <w:r w:rsidRPr="00E8642C">
        <w:rPr>
          <w:rFonts w:cs="Arial"/>
          <w:iCs/>
          <w:szCs w:val="22"/>
        </w:rPr>
        <w:t>autres organismes contenant des caractères utiles de valeur réelle ou potentiel</w:t>
      </w:r>
      <w:r w:rsidR="001F3AEE" w:rsidRPr="00E8642C">
        <w:rPr>
          <w:rFonts w:cs="Arial"/>
          <w:iCs/>
          <w:szCs w:val="22"/>
        </w:rPr>
        <w:t>le</w:t>
      </w:r>
      <w:r w:rsidR="001F3AEE">
        <w:rPr>
          <w:rFonts w:cs="Arial"/>
          <w:iCs/>
          <w:szCs w:val="22"/>
        </w:rPr>
        <w:t xml:space="preserve">.  </w:t>
      </w:r>
      <w:r w:rsidR="001F3AEE" w:rsidRPr="00E8642C">
        <w:rPr>
          <w:rFonts w:cs="Arial"/>
          <w:iCs/>
          <w:szCs w:val="22"/>
        </w:rPr>
        <w:t>Da</w:t>
      </w:r>
      <w:r w:rsidRPr="00E8642C">
        <w:rPr>
          <w:rFonts w:cs="Arial"/>
          <w:iCs/>
          <w:szCs w:val="22"/>
        </w:rPr>
        <w:t>ns les espèces d</w:t>
      </w:r>
      <w:r w:rsidR="00D91476">
        <w:rPr>
          <w:rFonts w:cs="Arial"/>
          <w:iCs/>
          <w:szCs w:val="22"/>
        </w:rPr>
        <w:t>’</w:t>
      </w:r>
      <w:r w:rsidRPr="00E8642C">
        <w:rPr>
          <w:rFonts w:cs="Arial"/>
          <w:iCs/>
          <w:szCs w:val="22"/>
        </w:rPr>
        <w:t>élevage, il s</w:t>
      </w:r>
      <w:r w:rsidR="00D91476">
        <w:rPr>
          <w:rFonts w:cs="Arial"/>
          <w:iCs/>
          <w:szCs w:val="22"/>
        </w:rPr>
        <w:t>’</w:t>
      </w:r>
      <w:r w:rsidRPr="00E8642C">
        <w:rPr>
          <w:rFonts w:cs="Arial"/>
          <w:iCs/>
          <w:szCs w:val="22"/>
        </w:rPr>
        <w:t>agit de la somme des combinaisons génétiques produites au cours du processus d</w:t>
      </w:r>
      <w:r w:rsidR="00D91476">
        <w:rPr>
          <w:rFonts w:cs="Arial"/>
          <w:iCs/>
          <w:szCs w:val="22"/>
        </w:rPr>
        <w:t>’</w:t>
      </w:r>
      <w:r w:rsidRPr="00E8642C">
        <w:rPr>
          <w:rFonts w:cs="Arial"/>
          <w:iCs/>
          <w:szCs w:val="22"/>
        </w:rPr>
        <w:t>évolution</w:t>
      </w:r>
      <w:r w:rsidRPr="00E8642C">
        <w:rPr>
          <w:rFonts w:cs="Arial"/>
          <w:szCs w:val="22"/>
        </w:rPr>
        <w:t>”.</w:t>
      </w:r>
    </w:p>
    <w:p w:rsidR="00AD541F" w:rsidRDefault="00DD607D" w:rsidP="00AD541F">
      <w:pPr>
        <w:spacing w:after="220"/>
        <w:rPr>
          <w:rFonts w:cs="Arial"/>
          <w:snapToGrid w:val="0"/>
          <w:szCs w:val="22"/>
        </w:rPr>
      </w:pPr>
      <w:r w:rsidRPr="00E8642C">
        <w:rPr>
          <w:rFonts w:cs="Arial"/>
          <w:snapToGrid w:val="0"/>
          <w:szCs w:val="22"/>
        </w:rPr>
        <w:t>D</w:t>
      </w:r>
      <w:r w:rsidR="00D91476">
        <w:rPr>
          <w:rFonts w:cs="Arial"/>
          <w:snapToGrid w:val="0"/>
          <w:szCs w:val="22"/>
        </w:rPr>
        <w:t>’</w:t>
      </w:r>
      <w:r w:rsidRPr="00E8642C">
        <w:rPr>
          <w:rFonts w:cs="Arial"/>
          <w:snapToGrid w:val="0"/>
          <w:szCs w:val="22"/>
        </w:rPr>
        <w:t>autres instruments juridiques font référence aux ressources génétiques dans des termes différents</w:t>
      </w:r>
      <w:r w:rsidR="00D91476">
        <w:rPr>
          <w:rFonts w:cs="Arial"/>
          <w:snapToGrid w:val="0"/>
          <w:szCs w:val="22"/>
        </w:rPr>
        <w:t> :</w:t>
      </w:r>
    </w:p>
    <w:p w:rsidR="00AD541F" w:rsidRDefault="00DD607D" w:rsidP="00AD541F">
      <w:pPr>
        <w:spacing w:after="220"/>
        <w:rPr>
          <w:rFonts w:cs="Arial"/>
          <w:iCs/>
          <w:szCs w:val="22"/>
        </w:rPr>
      </w:pPr>
      <w:r w:rsidRPr="00E8642C">
        <w:rPr>
          <w:rFonts w:cs="Arial"/>
          <w:iCs/>
          <w:szCs w:val="22"/>
        </w:rPr>
        <w:t>L</w:t>
      </w:r>
      <w:r w:rsidR="00D91476">
        <w:rPr>
          <w:rFonts w:cs="Arial"/>
          <w:iCs/>
          <w:szCs w:val="22"/>
        </w:rPr>
        <w:t>’</w:t>
      </w:r>
      <w:r w:rsidRPr="00E8642C">
        <w:rPr>
          <w:rFonts w:cs="Arial"/>
          <w:iCs/>
          <w:szCs w:val="22"/>
        </w:rPr>
        <w:t xml:space="preserve">article 2 du </w:t>
      </w:r>
      <w:r w:rsidRPr="00E8642C">
        <w:rPr>
          <w:rFonts w:cs="Arial"/>
          <w:i/>
          <w:iCs/>
          <w:szCs w:val="22"/>
        </w:rPr>
        <w:t xml:space="preserve">Traité international sur les ressources </w:t>
      </w:r>
      <w:proofErr w:type="spellStart"/>
      <w:r w:rsidRPr="00E8642C">
        <w:rPr>
          <w:rFonts w:cs="Arial"/>
          <w:i/>
          <w:iCs/>
          <w:szCs w:val="22"/>
        </w:rPr>
        <w:t>phytogénétiques</w:t>
      </w:r>
      <w:proofErr w:type="spellEnd"/>
      <w:r w:rsidRPr="00E8642C">
        <w:rPr>
          <w:rFonts w:cs="Arial"/>
          <w:i/>
          <w:iCs/>
          <w:szCs w:val="22"/>
        </w:rPr>
        <w:t xml:space="preserve"> pour l</w:t>
      </w:r>
      <w:r w:rsidR="00D91476">
        <w:rPr>
          <w:rFonts w:cs="Arial"/>
          <w:i/>
          <w:iCs/>
          <w:szCs w:val="22"/>
        </w:rPr>
        <w:t>’</w:t>
      </w:r>
      <w:r w:rsidRPr="00E8642C">
        <w:rPr>
          <w:rFonts w:cs="Arial"/>
          <w:i/>
          <w:iCs/>
          <w:szCs w:val="22"/>
        </w:rPr>
        <w:t>alimentation et l</w:t>
      </w:r>
      <w:r w:rsidR="00D91476">
        <w:rPr>
          <w:rFonts w:cs="Arial"/>
          <w:i/>
          <w:iCs/>
          <w:szCs w:val="22"/>
        </w:rPr>
        <w:t>’</w:t>
      </w:r>
      <w:r w:rsidRPr="00E8642C">
        <w:rPr>
          <w:rFonts w:cs="Arial"/>
          <w:i/>
          <w:iCs/>
          <w:szCs w:val="22"/>
        </w:rPr>
        <w:t xml:space="preserve">agriculture </w:t>
      </w:r>
      <w:r w:rsidRPr="00E8642C">
        <w:rPr>
          <w:rFonts w:cs="Arial"/>
          <w:iCs/>
          <w:szCs w:val="22"/>
        </w:rPr>
        <w:t xml:space="preserve">(2001) de </w:t>
      </w:r>
      <w:r w:rsidRPr="00E8642C">
        <w:rPr>
          <w:rFonts w:cs="Arial"/>
          <w:szCs w:val="22"/>
        </w:rPr>
        <w:t>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 xml:space="preserve">agriculture (FAO) </w:t>
      </w:r>
      <w:r w:rsidRPr="00E8642C">
        <w:rPr>
          <w:rFonts w:cs="Arial"/>
          <w:iCs/>
          <w:szCs w:val="22"/>
        </w:rPr>
        <w:t xml:space="preserve">définit les “ressources </w:t>
      </w:r>
      <w:proofErr w:type="spellStart"/>
      <w:r w:rsidRPr="00E8642C">
        <w:rPr>
          <w:rFonts w:cs="Arial"/>
          <w:iCs/>
          <w:szCs w:val="22"/>
        </w:rPr>
        <w:t>phytogénétiques</w:t>
      </w:r>
      <w:proofErr w:type="spellEnd"/>
      <w:r w:rsidRPr="00E8642C">
        <w:rPr>
          <w:rFonts w:cs="Arial"/>
          <w:iCs/>
          <w:szCs w:val="22"/>
        </w:rPr>
        <w:t>” comme “le matériel d</w:t>
      </w:r>
      <w:r w:rsidR="00D91476">
        <w:rPr>
          <w:rFonts w:cs="Arial"/>
          <w:iCs/>
          <w:szCs w:val="22"/>
        </w:rPr>
        <w:t>’</w:t>
      </w:r>
      <w:r w:rsidRPr="00E8642C">
        <w:rPr>
          <w:rFonts w:cs="Arial"/>
          <w:iCs/>
          <w:szCs w:val="22"/>
        </w:rPr>
        <w:t xml:space="preserve">origine végétale, </w:t>
      </w:r>
      <w:r w:rsidR="00D91476">
        <w:rPr>
          <w:rFonts w:cs="Arial"/>
          <w:iCs/>
          <w:szCs w:val="22"/>
        </w:rPr>
        <w:t>y compris</w:t>
      </w:r>
      <w:r w:rsidRPr="00E8642C">
        <w:rPr>
          <w:rFonts w:cs="Arial"/>
          <w:iCs/>
          <w:szCs w:val="22"/>
        </w:rPr>
        <w:t xml:space="preserve"> le matériel de reproduction et de multiplication végétative, contenant des unités fonctionnelles de l</w:t>
      </w:r>
      <w:r w:rsidR="00D91476">
        <w:rPr>
          <w:rFonts w:cs="Arial"/>
          <w:iCs/>
          <w:szCs w:val="22"/>
        </w:rPr>
        <w:t>’</w:t>
      </w:r>
      <w:r w:rsidRPr="00E8642C">
        <w:rPr>
          <w:rFonts w:cs="Arial"/>
          <w:iCs/>
          <w:szCs w:val="22"/>
        </w:rPr>
        <w:t>hérédité”.</w:t>
      </w:r>
    </w:p>
    <w:p w:rsidR="00AD541F" w:rsidRDefault="00DD607D" w:rsidP="00AD541F">
      <w:pPr>
        <w:spacing w:after="220"/>
        <w:rPr>
          <w:rStyle w:val="Emphasis"/>
          <w:rFonts w:cs="Arial"/>
          <w:szCs w:val="22"/>
        </w:rPr>
      </w:pPr>
      <w:r w:rsidRPr="00E8642C">
        <w:rPr>
          <w:rFonts w:cs="Arial"/>
          <w:iCs/>
          <w:szCs w:val="22"/>
        </w:rPr>
        <w:t>L</w:t>
      </w:r>
      <w:r w:rsidR="00D91476">
        <w:rPr>
          <w:rFonts w:cs="Arial"/>
          <w:iCs/>
          <w:szCs w:val="22"/>
        </w:rPr>
        <w:t>’</w:t>
      </w:r>
      <w:r w:rsidRPr="00E8642C">
        <w:rPr>
          <w:rFonts w:cs="Arial"/>
          <w:iCs/>
          <w:szCs w:val="22"/>
        </w:rPr>
        <w:t xml:space="preserve">article 2 du </w:t>
      </w:r>
      <w:r w:rsidRPr="00E8642C">
        <w:rPr>
          <w:rFonts w:cs="Arial"/>
          <w:i/>
          <w:iCs/>
          <w:szCs w:val="22"/>
        </w:rPr>
        <w:t>Code international de conduite</w:t>
      </w:r>
      <w:r w:rsidRPr="00E8642C">
        <w:rPr>
          <w:rFonts w:cs="Arial"/>
          <w:iCs/>
          <w:szCs w:val="22"/>
        </w:rPr>
        <w:t xml:space="preserve"> </w:t>
      </w:r>
      <w:r w:rsidRPr="00E8642C">
        <w:rPr>
          <w:rFonts w:cs="Arial"/>
          <w:i/>
          <w:iCs/>
          <w:szCs w:val="22"/>
        </w:rPr>
        <w:t xml:space="preserve">pour la collecte et le transfert de matériel </w:t>
      </w:r>
      <w:proofErr w:type="spellStart"/>
      <w:r w:rsidRPr="00E8642C">
        <w:rPr>
          <w:rFonts w:cs="Arial"/>
          <w:i/>
          <w:iCs/>
          <w:szCs w:val="22"/>
        </w:rPr>
        <w:t>phytogénétique</w:t>
      </w:r>
      <w:proofErr w:type="spellEnd"/>
      <w:r w:rsidRPr="00E8642C">
        <w:rPr>
          <w:rFonts w:cs="Arial"/>
          <w:iCs/>
          <w:szCs w:val="22"/>
        </w:rPr>
        <w:t xml:space="preserve"> (1993) de </w:t>
      </w:r>
      <w:r w:rsidRPr="00E8642C">
        <w:rPr>
          <w:rFonts w:cs="Arial"/>
          <w:szCs w:val="22"/>
        </w:rPr>
        <w:t>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 (FAO)</w:t>
      </w:r>
      <w:r w:rsidRPr="00E8642C">
        <w:rPr>
          <w:rFonts w:cs="Arial"/>
          <w:iCs/>
          <w:szCs w:val="22"/>
        </w:rPr>
        <w:t xml:space="preserve"> définit les ressources </w:t>
      </w:r>
      <w:proofErr w:type="spellStart"/>
      <w:r w:rsidRPr="00E8642C">
        <w:rPr>
          <w:rFonts w:cs="Arial"/>
          <w:iCs/>
          <w:szCs w:val="22"/>
        </w:rPr>
        <w:t>phytogénétiques</w:t>
      </w:r>
      <w:proofErr w:type="spellEnd"/>
      <w:r w:rsidRPr="00E8642C">
        <w:rPr>
          <w:rFonts w:cs="Arial"/>
          <w:iCs/>
          <w:szCs w:val="22"/>
        </w:rPr>
        <w:t xml:space="preserve"> comme “le matériel de reproduction ou de multiplication végétative des plantes”.</w:t>
      </w:r>
    </w:p>
    <w:p w:rsidR="00AD541F" w:rsidRDefault="00DD607D" w:rsidP="00AD541F">
      <w:pPr>
        <w:keepLines/>
        <w:spacing w:after="220"/>
        <w:rPr>
          <w:rFonts w:cs="Arial"/>
          <w:szCs w:val="22"/>
        </w:rPr>
      </w:pPr>
      <w:r w:rsidRPr="00E8642C">
        <w:rPr>
          <w:rFonts w:cs="Arial"/>
          <w:szCs w:val="22"/>
        </w:rPr>
        <w:t>L</w:t>
      </w:r>
      <w:r w:rsidR="00D91476">
        <w:rPr>
          <w:rFonts w:cs="Arial"/>
          <w:szCs w:val="22"/>
        </w:rPr>
        <w:t>’</w:t>
      </w:r>
      <w:r w:rsidRPr="00E8642C">
        <w:rPr>
          <w:rFonts w:cs="Arial"/>
          <w:szCs w:val="22"/>
        </w:rPr>
        <w:t xml:space="preserve">article 2.1)a) de </w:t>
      </w:r>
      <w:r w:rsidRPr="00E8642C">
        <w:rPr>
          <w:rFonts w:cs="Arial"/>
          <w:i/>
          <w:szCs w:val="22"/>
        </w:rPr>
        <w:t>l</w:t>
      </w:r>
      <w:r w:rsidR="00D91476">
        <w:rPr>
          <w:rFonts w:cs="Arial"/>
          <w:i/>
          <w:szCs w:val="22"/>
        </w:rPr>
        <w:t>’</w:t>
      </w:r>
      <w:r w:rsidRPr="00E8642C">
        <w:rPr>
          <w:rFonts w:cs="Arial"/>
          <w:i/>
          <w:szCs w:val="22"/>
        </w:rPr>
        <w:t xml:space="preserve">Engagement international sur les ressources </w:t>
      </w:r>
      <w:proofErr w:type="spellStart"/>
      <w:r w:rsidRPr="00E8642C">
        <w:rPr>
          <w:rFonts w:cs="Arial"/>
          <w:i/>
          <w:szCs w:val="22"/>
        </w:rPr>
        <w:t>phytogénétiques</w:t>
      </w:r>
      <w:proofErr w:type="spellEnd"/>
      <w:r w:rsidRPr="00E8642C">
        <w:rPr>
          <w:rFonts w:cs="Arial"/>
          <w:szCs w:val="22"/>
        </w:rPr>
        <w:t xml:space="preserve"> (1983)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 (FAO) définit ce terme comme “</w:t>
      </w:r>
      <w:r w:rsidRPr="00E8642C">
        <w:rPr>
          <w:rFonts w:cs="Arial"/>
          <w:i/>
          <w:iCs/>
          <w:szCs w:val="22"/>
        </w:rPr>
        <w:t xml:space="preserve">le matériel de reproduction ou de multiplication végétative des </w:t>
      </w:r>
      <w:r w:rsidRPr="00E8642C">
        <w:rPr>
          <w:rFonts w:cs="Arial"/>
          <w:iCs/>
          <w:szCs w:val="22"/>
        </w:rPr>
        <w:t>catégories suivantes de plantes</w:t>
      </w:r>
      <w:r w:rsidR="00D91476">
        <w:rPr>
          <w:rFonts w:cs="Arial"/>
          <w:iCs/>
          <w:szCs w:val="22"/>
        </w:rPr>
        <w:t> :</w:t>
      </w:r>
      <w:r w:rsidRPr="00E8642C">
        <w:rPr>
          <w:rFonts w:cs="Arial"/>
          <w:iCs/>
          <w:szCs w:val="22"/>
        </w:rPr>
        <w:t xml:space="preserve"> i) variétés cultivées (cultivars) actuellement utilisées et récemment créées;  ii) cultivars obsolètes;  iii) cultivars primitifs (races de pays);  iv) espèces sauvages et adventices proches parentes de variétés cultivées;  v) souches génétiques spéciales (lignées de sélection avancée, lignées d</w:t>
      </w:r>
      <w:r w:rsidR="00D91476">
        <w:rPr>
          <w:rFonts w:cs="Arial"/>
          <w:iCs/>
          <w:szCs w:val="22"/>
        </w:rPr>
        <w:t>’</w:t>
      </w:r>
      <w:r w:rsidRPr="00E8642C">
        <w:rPr>
          <w:rFonts w:cs="Arial"/>
          <w:iCs/>
          <w:szCs w:val="22"/>
        </w:rPr>
        <w:t>élite et mutants)</w:t>
      </w:r>
      <w:r w:rsidRPr="00E8642C">
        <w:rPr>
          <w:rFonts w:cs="Arial"/>
          <w:szCs w:val="22"/>
        </w:rPr>
        <w:t>”.  L</w:t>
      </w:r>
      <w:r w:rsidR="00D91476">
        <w:rPr>
          <w:rFonts w:cs="Arial"/>
          <w:szCs w:val="22"/>
        </w:rPr>
        <w:t>’</w:t>
      </w:r>
      <w:r w:rsidRPr="00E8642C">
        <w:rPr>
          <w:rFonts w:cs="Arial"/>
          <w:szCs w:val="22"/>
        </w:rPr>
        <w:t>Engagement international ne mentionne pas les “unités fonctionnelles de l</w:t>
      </w:r>
      <w:r w:rsidR="00D91476">
        <w:rPr>
          <w:rFonts w:cs="Arial"/>
          <w:szCs w:val="22"/>
        </w:rPr>
        <w:t>’</w:t>
      </w:r>
      <w:r w:rsidRPr="00E8642C">
        <w:rPr>
          <w:rFonts w:cs="Arial"/>
          <w:szCs w:val="22"/>
        </w:rPr>
        <w:t>hérédité”.</w:t>
      </w:r>
    </w:p>
    <w:p w:rsidR="00AD541F" w:rsidRDefault="00DD607D" w:rsidP="00AD541F">
      <w:pPr>
        <w:pStyle w:val="Heading2"/>
        <w:spacing w:after="220" w:line="240" w:lineRule="auto"/>
      </w:pPr>
      <w:bookmarkStart w:id="113" w:name="_Toc7772584"/>
      <w:r w:rsidRPr="00E8642C">
        <w:t>Sacré</w:t>
      </w:r>
      <w:bookmarkEnd w:id="113"/>
    </w:p>
    <w:p w:rsidR="00AD541F" w:rsidRDefault="00DD607D" w:rsidP="00AD541F">
      <w:pPr>
        <w:spacing w:after="220"/>
        <w:rPr>
          <w:rFonts w:cs="Arial"/>
          <w:szCs w:val="22"/>
          <w:lang w:eastAsia="zh-CN"/>
        </w:rPr>
      </w:pPr>
      <w:r w:rsidRPr="00E8642C">
        <w:rPr>
          <w:rFonts w:cs="Arial"/>
          <w:szCs w:val="22"/>
          <w:lang w:eastAsia="zh-CN"/>
        </w:rPr>
        <w:t>Le mot “sacré” désigne “toute expression des savoirs traditionnels qui symbolise des croyances, des pratiques ou des coutumes religieuses et spirituelles ou qui relève de ces dernièr</w:t>
      </w:r>
      <w:r w:rsidR="001F3AEE" w:rsidRPr="00E8642C">
        <w:rPr>
          <w:rFonts w:cs="Arial"/>
          <w:szCs w:val="22"/>
          <w:lang w:eastAsia="zh-CN"/>
        </w:rPr>
        <w:t>es</w:t>
      </w:r>
      <w:r w:rsidR="001F3AEE">
        <w:rPr>
          <w:rFonts w:cs="Arial"/>
          <w:szCs w:val="22"/>
          <w:lang w:eastAsia="zh-CN"/>
        </w:rPr>
        <w:t xml:space="preserve">.  </w:t>
      </w:r>
      <w:r w:rsidR="001F3AEE" w:rsidRPr="00E8642C">
        <w:rPr>
          <w:rFonts w:cs="Arial"/>
          <w:szCs w:val="22"/>
          <w:lang w:eastAsia="zh-CN"/>
        </w:rPr>
        <w:t>Il</w:t>
      </w:r>
      <w:r w:rsidRPr="00E8642C">
        <w:rPr>
          <w:rFonts w:cs="Arial"/>
          <w:szCs w:val="22"/>
          <w:lang w:eastAsia="zh-CN"/>
        </w:rPr>
        <w:t xml:space="preserve"> est l</w:t>
      </w:r>
      <w:r w:rsidR="00D91476">
        <w:rPr>
          <w:rFonts w:cs="Arial"/>
          <w:szCs w:val="22"/>
          <w:lang w:eastAsia="zh-CN"/>
        </w:rPr>
        <w:t>’</w:t>
      </w:r>
      <w:r w:rsidRPr="00E8642C">
        <w:rPr>
          <w:rFonts w:cs="Arial"/>
          <w:szCs w:val="22"/>
          <w:lang w:eastAsia="zh-CN"/>
        </w:rPr>
        <w:t>opposé de profane, dont les formes extrêmes sont des formes commercialement exploitées de savoirs traditionnels”</w:t>
      </w:r>
      <w:r w:rsidRPr="00E8642C">
        <w:rPr>
          <w:rStyle w:val="FootnoteReference"/>
          <w:rFonts w:cs="Arial"/>
          <w:szCs w:val="22"/>
          <w:lang w:eastAsia="zh-CN"/>
        </w:rPr>
        <w:footnoteReference w:id="152"/>
      </w:r>
      <w:r w:rsidRPr="00E8642C">
        <w:rPr>
          <w:rFonts w:cs="Arial"/>
          <w:szCs w:val="22"/>
          <w:lang w:eastAsia="zh-CN"/>
        </w:rPr>
        <w:t>.</w:t>
      </w:r>
    </w:p>
    <w:p w:rsidR="00AD541F" w:rsidRDefault="00DD607D" w:rsidP="00AD541F">
      <w:pPr>
        <w:spacing w:after="220"/>
        <w:rPr>
          <w:rFonts w:cs="Arial"/>
          <w:szCs w:val="22"/>
        </w:rPr>
      </w:pPr>
      <w:r w:rsidRPr="00E8642C">
        <w:rPr>
          <w:rFonts w:cs="Arial"/>
          <w:szCs w:val="22"/>
          <w:lang w:eastAsia="zh-CN"/>
        </w:rPr>
        <w:t>Le mot “savoirs traditionnels sacrés” désigne les savoirs traditionnels qui comportent des éléments religieux et spirituels, tels que les totems, les cérémonies spéciales, les objets sacrés, les savoirs sacrés, les prières, les chants et les interprétations et exécutions ainsi que les symboles sacrés, et il désigne également les savoirs traditionnels sacrés associés aux espèces sacrées de végétaux, d</w:t>
      </w:r>
      <w:r w:rsidR="00D91476">
        <w:rPr>
          <w:rFonts w:cs="Arial"/>
          <w:szCs w:val="22"/>
          <w:lang w:eastAsia="zh-CN"/>
        </w:rPr>
        <w:t>’</w:t>
      </w:r>
      <w:r w:rsidRPr="00E8642C">
        <w:rPr>
          <w:rFonts w:cs="Arial"/>
          <w:szCs w:val="22"/>
          <w:lang w:eastAsia="zh-CN"/>
        </w:rPr>
        <w:t>animaux, de minéraux et de micro</w:t>
      </w:r>
      <w:r w:rsidR="00400337">
        <w:rPr>
          <w:rFonts w:cs="Arial"/>
          <w:szCs w:val="22"/>
          <w:lang w:eastAsia="zh-CN"/>
        </w:rPr>
        <w:noBreakHyphen/>
      </w:r>
      <w:r w:rsidRPr="00E8642C">
        <w:rPr>
          <w:rFonts w:cs="Arial"/>
          <w:szCs w:val="22"/>
          <w:lang w:eastAsia="zh-CN"/>
        </w:rPr>
        <w:t>organismes ainsi que les sites sacr</w:t>
      </w:r>
      <w:r w:rsidR="001F3AEE" w:rsidRPr="00E8642C">
        <w:rPr>
          <w:rFonts w:cs="Arial"/>
          <w:szCs w:val="22"/>
          <w:lang w:eastAsia="zh-CN"/>
        </w:rPr>
        <w:t>és</w:t>
      </w:r>
      <w:r w:rsidR="001F3AEE">
        <w:rPr>
          <w:rFonts w:cs="Arial"/>
          <w:szCs w:val="22"/>
          <w:lang w:eastAsia="zh-CN"/>
        </w:rPr>
        <w:t xml:space="preserve">.  </w:t>
      </w:r>
      <w:r w:rsidR="001F3AEE" w:rsidRPr="00E8642C">
        <w:rPr>
          <w:rFonts w:cs="Arial"/>
          <w:szCs w:val="22"/>
          <w:lang w:eastAsia="zh-CN"/>
        </w:rPr>
        <w:t>Le</w:t>
      </w:r>
      <w:r w:rsidRPr="00E8642C">
        <w:rPr>
          <w:rFonts w:cs="Arial"/>
          <w:szCs w:val="22"/>
          <w:lang w:eastAsia="zh-CN"/>
        </w:rPr>
        <w:t xml:space="preserve"> caractère sacré des savoirs traditionnels dépend de la question de savoir s</w:t>
      </w:r>
      <w:r w:rsidR="00D91476">
        <w:rPr>
          <w:rFonts w:cs="Arial"/>
          <w:szCs w:val="22"/>
          <w:lang w:eastAsia="zh-CN"/>
        </w:rPr>
        <w:t>’</w:t>
      </w:r>
      <w:r w:rsidRPr="00E8642C">
        <w:rPr>
          <w:rFonts w:cs="Arial"/>
          <w:szCs w:val="22"/>
          <w:lang w:eastAsia="zh-CN"/>
        </w:rPr>
        <w:t>ils revêtent une dimension sacrée pour la communauté concern</w:t>
      </w:r>
      <w:r w:rsidR="001F3AEE" w:rsidRPr="00E8642C">
        <w:rPr>
          <w:rFonts w:cs="Arial"/>
          <w:szCs w:val="22"/>
          <w:lang w:eastAsia="zh-CN"/>
        </w:rPr>
        <w:t>ée</w:t>
      </w:r>
      <w:r w:rsidR="001F3AEE">
        <w:rPr>
          <w:rFonts w:cs="Arial"/>
          <w:szCs w:val="22"/>
          <w:lang w:eastAsia="zh-CN"/>
        </w:rPr>
        <w:t xml:space="preserve">.  </w:t>
      </w:r>
      <w:r w:rsidR="001F3AEE" w:rsidRPr="00E8642C">
        <w:rPr>
          <w:rFonts w:cs="Arial"/>
          <w:szCs w:val="22"/>
          <w:lang w:eastAsia="zh-CN"/>
        </w:rPr>
        <w:t>De</w:t>
      </w:r>
      <w:r w:rsidRPr="00E8642C">
        <w:rPr>
          <w:rFonts w:cs="Arial"/>
          <w:szCs w:val="22"/>
          <w:lang w:eastAsia="zh-CN"/>
        </w:rPr>
        <w:t xml:space="preserve"> nombreux savoirs sacrés, par définition, ne sont pas commercialisés mais certains objets et sites sacrés sont commercialisés à des fins différentes par les communautés religieuses et spirituelles elles</w:t>
      </w:r>
      <w:r w:rsidR="00400337">
        <w:rPr>
          <w:rFonts w:cs="Arial"/>
          <w:szCs w:val="22"/>
          <w:lang w:eastAsia="zh-CN"/>
        </w:rPr>
        <w:noBreakHyphen/>
      </w:r>
      <w:r w:rsidRPr="00E8642C">
        <w:rPr>
          <w:rFonts w:cs="Arial"/>
          <w:szCs w:val="22"/>
          <w:lang w:eastAsia="zh-CN"/>
        </w:rPr>
        <w:t>mêmes ou par des personnes qui y sont étrangères.</w:t>
      </w:r>
    </w:p>
    <w:p w:rsidR="00AD541F" w:rsidRDefault="00DD607D" w:rsidP="00AD541F">
      <w:pPr>
        <w:spacing w:after="220"/>
        <w:rPr>
          <w:rFonts w:cs="Arial"/>
          <w:szCs w:val="22"/>
          <w:lang w:eastAsia="zh-CN"/>
        </w:rPr>
      </w:pPr>
      <w:r w:rsidRPr="00E8642C">
        <w:rPr>
          <w:rFonts w:cs="Arial"/>
          <w:szCs w:val="22"/>
          <w:lang w:eastAsia="zh-CN"/>
        </w:rPr>
        <w:t xml:space="preserve">Dans le </w:t>
      </w:r>
      <w:r w:rsidRPr="00E8642C">
        <w:rPr>
          <w:rFonts w:cs="Arial"/>
          <w:i/>
          <w:szCs w:val="22"/>
          <w:lang w:eastAsia="zh-CN"/>
        </w:rPr>
        <w:t>Rapport de l</w:t>
      </w:r>
      <w:r w:rsidR="00D91476">
        <w:rPr>
          <w:rFonts w:cs="Arial"/>
          <w:i/>
          <w:szCs w:val="22"/>
          <w:lang w:eastAsia="zh-CN"/>
        </w:rPr>
        <w:t>’</w:t>
      </w:r>
      <w:r w:rsidRPr="00E8642C">
        <w:rPr>
          <w:rFonts w:cs="Arial"/>
          <w:i/>
          <w:szCs w:val="22"/>
          <w:lang w:eastAsia="zh-CN"/>
        </w:rPr>
        <w:t>OMPI sur les missions d</w:t>
      </w:r>
      <w:r w:rsidR="00D91476">
        <w:rPr>
          <w:rFonts w:cs="Arial"/>
          <w:i/>
          <w:szCs w:val="22"/>
          <w:lang w:eastAsia="zh-CN"/>
        </w:rPr>
        <w:t>’</w:t>
      </w:r>
      <w:r w:rsidRPr="00E8642C">
        <w:rPr>
          <w:rFonts w:cs="Arial"/>
          <w:i/>
          <w:szCs w:val="22"/>
          <w:lang w:eastAsia="zh-CN"/>
        </w:rPr>
        <w:t>enquête consacrées à la propriété intellectuelle et aux savoirs traditionnels</w:t>
      </w:r>
      <w:r w:rsidRPr="00E8642C">
        <w:rPr>
          <w:rFonts w:cs="Arial"/>
          <w:szCs w:val="22"/>
          <w:lang w:eastAsia="zh-CN"/>
        </w:rPr>
        <w:t xml:space="preserve"> (cité plus haut), il est indiqué que plusieurs domaines, dont les modes traditionnels de résolution des problèmes ou les connaissances médicinales, sont interdépendants d</w:t>
      </w:r>
      <w:r w:rsidR="00D91476">
        <w:rPr>
          <w:rFonts w:cs="Arial"/>
          <w:szCs w:val="22"/>
          <w:lang w:eastAsia="zh-CN"/>
        </w:rPr>
        <w:t>’</w:t>
      </w:r>
      <w:r w:rsidRPr="00E8642C">
        <w:rPr>
          <w:rFonts w:cs="Arial"/>
          <w:szCs w:val="22"/>
          <w:lang w:eastAsia="zh-CN"/>
        </w:rPr>
        <w:t>un point de vue spiritu</w:t>
      </w:r>
      <w:r w:rsidR="001F3AEE" w:rsidRPr="00E8642C">
        <w:rPr>
          <w:rFonts w:cs="Arial"/>
          <w:szCs w:val="22"/>
          <w:lang w:eastAsia="zh-CN"/>
        </w:rPr>
        <w:t>el</w:t>
      </w:r>
      <w:r w:rsidR="001F3AEE">
        <w:rPr>
          <w:rFonts w:cs="Arial"/>
          <w:szCs w:val="22"/>
          <w:lang w:eastAsia="zh-CN"/>
        </w:rPr>
        <w:t xml:space="preserve">.  </w:t>
      </w:r>
      <w:r w:rsidR="001F3AEE" w:rsidRPr="00E8642C">
        <w:rPr>
          <w:rFonts w:cs="Arial"/>
          <w:szCs w:val="22"/>
          <w:lang w:eastAsia="zh-CN"/>
        </w:rPr>
        <w:t>Le</w:t>
      </w:r>
      <w:r w:rsidRPr="00E8642C">
        <w:rPr>
          <w:rFonts w:cs="Arial"/>
          <w:szCs w:val="22"/>
          <w:lang w:eastAsia="zh-CN"/>
        </w:rPr>
        <w:t>s aspects spirituels de la guérison qui précèdent l</w:t>
      </w:r>
      <w:r w:rsidR="00D91476">
        <w:rPr>
          <w:rFonts w:cs="Arial"/>
          <w:szCs w:val="22"/>
          <w:lang w:eastAsia="zh-CN"/>
        </w:rPr>
        <w:t>’</w:t>
      </w:r>
      <w:r w:rsidRPr="00E8642C">
        <w:rPr>
          <w:rFonts w:cs="Arial"/>
          <w:szCs w:val="22"/>
          <w:lang w:eastAsia="zh-CN"/>
        </w:rPr>
        <w:t>administration de certains médicaments traditionnels sont considérés comme très importants, par exemple, dans tous les pays d</w:t>
      </w:r>
      <w:r w:rsidR="00D91476">
        <w:rPr>
          <w:rFonts w:cs="Arial"/>
          <w:szCs w:val="22"/>
          <w:lang w:eastAsia="zh-CN"/>
        </w:rPr>
        <w:t>’</w:t>
      </w:r>
      <w:r w:rsidRPr="00E8642C">
        <w:rPr>
          <w:rFonts w:cs="Arial"/>
          <w:szCs w:val="22"/>
          <w:lang w:eastAsia="zh-CN"/>
        </w:rPr>
        <w:t>Afrique occidentale bien qu</w:t>
      </w:r>
      <w:r w:rsidR="00D91476">
        <w:rPr>
          <w:rFonts w:cs="Arial"/>
          <w:szCs w:val="22"/>
          <w:lang w:eastAsia="zh-CN"/>
        </w:rPr>
        <w:t>’</w:t>
      </w:r>
      <w:r w:rsidRPr="00E8642C">
        <w:rPr>
          <w:rFonts w:cs="Arial"/>
          <w:szCs w:val="22"/>
          <w:lang w:eastAsia="zh-CN"/>
        </w:rPr>
        <w:t>il soit admis qu</w:t>
      </w:r>
      <w:r w:rsidR="00D91476">
        <w:rPr>
          <w:rFonts w:cs="Arial"/>
          <w:szCs w:val="22"/>
          <w:lang w:eastAsia="zh-CN"/>
        </w:rPr>
        <w:t>’</w:t>
      </w:r>
      <w:r w:rsidRPr="00E8642C">
        <w:rPr>
          <w:rFonts w:cs="Arial"/>
          <w:szCs w:val="22"/>
          <w:lang w:eastAsia="zh-CN"/>
        </w:rPr>
        <w:t>ils ne puissent pas faire l</w:t>
      </w:r>
      <w:r w:rsidR="00D91476">
        <w:rPr>
          <w:rFonts w:cs="Arial"/>
          <w:szCs w:val="22"/>
          <w:lang w:eastAsia="zh-CN"/>
        </w:rPr>
        <w:t>’</w:t>
      </w:r>
      <w:r w:rsidRPr="00E8642C">
        <w:rPr>
          <w:rFonts w:cs="Arial"/>
          <w:szCs w:val="22"/>
          <w:lang w:eastAsia="zh-CN"/>
        </w:rPr>
        <w:t>objet d</w:t>
      </w:r>
      <w:r w:rsidR="00D91476">
        <w:rPr>
          <w:rFonts w:cs="Arial"/>
          <w:szCs w:val="22"/>
          <w:lang w:eastAsia="zh-CN"/>
        </w:rPr>
        <w:t>’</w:t>
      </w:r>
      <w:r w:rsidRPr="00E8642C">
        <w:rPr>
          <w:rFonts w:cs="Arial"/>
          <w:szCs w:val="22"/>
          <w:lang w:eastAsia="zh-CN"/>
        </w:rPr>
        <w:t>un examen scientifique approfon</w:t>
      </w:r>
      <w:r w:rsidR="001F3AEE" w:rsidRPr="00E8642C">
        <w:rPr>
          <w:rFonts w:cs="Arial"/>
          <w:szCs w:val="22"/>
          <w:lang w:eastAsia="zh-CN"/>
        </w:rPr>
        <w:t>di</w:t>
      </w:r>
      <w:r w:rsidR="001F3AEE">
        <w:rPr>
          <w:rFonts w:cs="Arial"/>
          <w:szCs w:val="22"/>
          <w:lang w:eastAsia="zh-CN"/>
        </w:rPr>
        <w:t xml:space="preserve">.  </w:t>
      </w:r>
      <w:r w:rsidR="001F3AEE" w:rsidRPr="00E8642C">
        <w:rPr>
          <w:rFonts w:cs="Arial"/>
          <w:szCs w:val="22"/>
          <w:lang w:eastAsia="zh-CN"/>
        </w:rPr>
        <w:t>Da</w:t>
      </w:r>
      <w:r w:rsidRPr="00E8642C">
        <w:rPr>
          <w:rFonts w:cs="Arial"/>
          <w:szCs w:val="22"/>
          <w:lang w:eastAsia="zh-CN"/>
        </w:rPr>
        <w:t>ns certains systèmes de savoirs traditionnels, les croyances immatérielles et les codes culturels sont censés expliquer ou guider les conséquences des transactions matérielles</w:t>
      </w:r>
      <w:r w:rsidRPr="00E8642C">
        <w:rPr>
          <w:rStyle w:val="FootnoteReference"/>
          <w:rFonts w:cs="Arial"/>
          <w:szCs w:val="22"/>
          <w:lang w:eastAsia="zh-CN"/>
        </w:rPr>
        <w:footnoteReference w:id="153"/>
      </w:r>
      <w:r w:rsidRPr="00E8642C">
        <w:rPr>
          <w:rFonts w:cs="Arial"/>
          <w:szCs w:val="22"/>
          <w:lang w:eastAsia="zh-CN"/>
        </w:rPr>
        <w:t>.  Au Pérou, certains “savoirs se transmettaient de génération en génération, sous forme d</w:t>
      </w:r>
      <w:r w:rsidR="00D91476">
        <w:rPr>
          <w:rFonts w:cs="Arial"/>
          <w:szCs w:val="22"/>
          <w:lang w:eastAsia="zh-CN"/>
        </w:rPr>
        <w:t>’</w:t>
      </w:r>
      <w:r w:rsidRPr="00E8642C">
        <w:rPr>
          <w:rFonts w:cs="Arial"/>
          <w:szCs w:val="22"/>
          <w:lang w:eastAsia="zh-CN"/>
        </w:rPr>
        <w:t xml:space="preserve">un </w:t>
      </w:r>
      <w:r w:rsidR="00D91476">
        <w:rPr>
          <w:rFonts w:cs="Arial"/>
          <w:szCs w:val="22"/>
          <w:lang w:eastAsia="zh-CN"/>
        </w:rPr>
        <w:t>‘</w:t>
      </w:r>
      <w:r w:rsidRPr="00E8642C">
        <w:rPr>
          <w:rFonts w:cs="Arial"/>
          <w:szCs w:val="22"/>
          <w:lang w:eastAsia="zh-CN"/>
        </w:rPr>
        <w:t>livre</w:t>
      </w:r>
      <w:r w:rsidR="00D91476">
        <w:rPr>
          <w:rFonts w:cs="Arial"/>
          <w:szCs w:val="22"/>
          <w:lang w:eastAsia="zh-CN"/>
        </w:rPr>
        <w:t>’</w:t>
      </w:r>
      <w:r w:rsidRPr="00E8642C">
        <w:rPr>
          <w:rFonts w:cs="Arial"/>
          <w:szCs w:val="22"/>
          <w:lang w:eastAsia="zh-CN"/>
        </w:rPr>
        <w:t xml:space="preserve"> sacré mais non écrit”</w:t>
      </w:r>
      <w:r w:rsidRPr="00E8642C">
        <w:rPr>
          <w:rStyle w:val="FootnoteReference"/>
          <w:rFonts w:cs="Arial"/>
          <w:szCs w:val="22"/>
          <w:lang w:eastAsia="zh-CN"/>
        </w:rPr>
        <w:footnoteReference w:id="154"/>
      </w:r>
      <w:r w:rsidRPr="00E8642C">
        <w:rPr>
          <w:rFonts w:cs="Arial"/>
          <w:szCs w:val="22"/>
          <w:lang w:eastAsia="zh-CN"/>
        </w:rPr>
        <w:t>.  Au</w:t>
      </w:r>
      <w:r w:rsidR="00057FAA">
        <w:rPr>
          <w:rFonts w:cs="Arial"/>
          <w:szCs w:val="22"/>
          <w:lang w:eastAsia="zh-CN"/>
        </w:rPr>
        <w:t> </w:t>
      </w:r>
      <w:r w:rsidRPr="00E8642C">
        <w:rPr>
          <w:rFonts w:cs="Arial"/>
          <w:szCs w:val="22"/>
          <w:lang w:eastAsia="zh-CN"/>
        </w:rPr>
        <w:t>sein des communautés autochtones et locales, les éléments essentiels des savoirs traditionnels sacrés et secrets sont considérés de différentes manières et sont stockés, transmis et enregistrés de diverses manières.</w:t>
      </w:r>
    </w:p>
    <w:p w:rsidR="00DD607D" w:rsidRPr="00E8642C" w:rsidRDefault="00DD607D" w:rsidP="00AD541F">
      <w:pPr>
        <w:keepNext/>
        <w:spacing w:after="220"/>
        <w:rPr>
          <w:rFonts w:cs="Arial"/>
          <w:szCs w:val="22"/>
          <w:lang w:eastAsia="zh-CN"/>
        </w:rPr>
      </w:pPr>
      <w:r w:rsidRPr="00E8642C">
        <w:rPr>
          <w:rFonts w:cs="Arial"/>
          <w:szCs w:val="22"/>
          <w:lang w:eastAsia="zh-CN"/>
        </w:rPr>
        <w:t>Sur le plan de la propriété intellectuelle et, plus particulièrement, des travaux du comité intergouvernemental, on peut formuler les observations suivantes</w:t>
      </w:r>
      <w:r w:rsidR="00D91476">
        <w:rPr>
          <w:rFonts w:cs="Arial"/>
          <w:szCs w:val="22"/>
          <w:lang w:eastAsia="zh-CN"/>
        </w:rPr>
        <w:t> :</w:t>
      </w:r>
    </w:p>
    <w:p w:rsidR="00DD607D" w:rsidRPr="00E8642C" w:rsidRDefault="00DD607D" w:rsidP="002A7EBB">
      <w:pPr>
        <w:keepNext/>
        <w:numPr>
          <w:ilvl w:val="0"/>
          <w:numId w:val="25"/>
        </w:numPr>
        <w:tabs>
          <w:tab w:val="clear" w:pos="2061"/>
        </w:tabs>
        <w:spacing w:after="120"/>
        <w:ind w:left="567" w:firstLine="0"/>
        <w:rPr>
          <w:rFonts w:cs="Arial"/>
          <w:szCs w:val="22"/>
          <w:lang w:eastAsia="zh-CN"/>
        </w:rPr>
      </w:pPr>
      <w:r w:rsidRPr="00E8642C">
        <w:rPr>
          <w:rFonts w:cs="Arial"/>
          <w:szCs w:val="22"/>
          <w:lang w:eastAsia="zh-CN"/>
        </w:rPr>
        <w:t>Une délégation a demandé si les savoirs traditionnels sacrés seraient considération lorsque les savoirs traditionnels seront définis</w:t>
      </w:r>
      <w:r w:rsidRPr="00E8642C">
        <w:rPr>
          <w:rStyle w:val="FootnoteReference"/>
          <w:rFonts w:cs="Arial"/>
          <w:szCs w:val="22"/>
          <w:lang w:eastAsia="zh-CN"/>
        </w:rPr>
        <w:footnoteReference w:id="155"/>
      </w:r>
      <w:r w:rsidRPr="00E8642C">
        <w:rPr>
          <w:rFonts w:cs="Arial"/>
          <w:szCs w:val="22"/>
          <w:lang w:eastAsia="zh-CN"/>
        </w:rPr>
        <w:t>.  À cet égard, une autre délégation a posé les questions sous trois angles</w:t>
      </w:r>
      <w:r w:rsidR="00D91476">
        <w:rPr>
          <w:rFonts w:cs="Arial"/>
          <w:szCs w:val="22"/>
          <w:lang w:eastAsia="zh-CN"/>
        </w:rPr>
        <w:t> :</w:t>
      </w:r>
      <w:r w:rsidRPr="00E8642C">
        <w:rPr>
          <w:rFonts w:cs="Arial"/>
          <w:szCs w:val="22"/>
          <w:lang w:eastAsia="zh-CN"/>
        </w:rPr>
        <w:t xml:space="preserve"> que faut</w:t>
      </w:r>
      <w:r w:rsidR="00400337">
        <w:rPr>
          <w:rFonts w:cs="Arial"/>
          <w:szCs w:val="22"/>
          <w:lang w:eastAsia="zh-CN"/>
        </w:rPr>
        <w:noBreakHyphen/>
      </w:r>
      <w:r w:rsidRPr="00E8642C">
        <w:rPr>
          <w:rFonts w:cs="Arial"/>
          <w:szCs w:val="22"/>
          <w:lang w:eastAsia="zh-CN"/>
        </w:rPr>
        <w:t>il entendre par traditionnel, que faut</w:t>
      </w:r>
      <w:r w:rsidR="00400337">
        <w:rPr>
          <w:rFonts w:cs="Arial"/>
          <w:szCs w:val="22"/>
          <w:lang w:eastAsia="zh-CN"/>
        </w:rPr>
        <w:noBreakHyphen/>
      </w:r>
      <w:r w:rsidRPr="00E8642C">
        <w:rPr>
          <w:rFonts w:cs="Arial"/>
          <w:szCs w:val="22"/>
          <w:lang w:eastAsia="zh-CN"/>
        </w:rPr>
        <w:t>il entendre par savoirs et que faut</w:t>
      </w:r>
      <w:r w:rsidR="00400337">
        <w:rPr>
          <w:rFonts w:cs="Arial"/>
          <w:szCs w:val="22"/>
          <w:lang w:eastAsia="zh-CN"/>
        </w:rPr>
        <w:noBreakHyphen/>
      </w:r>
      <w:r w:rsidRPr="00E8642C">
        <w:rPr>
          <w:rFonts w:cs="Arial"/>
          <w:szCs w:val="22"/>
          <w:lang w:eastAsia="zh-CN"/>
        </w:rPr>
        <w:t>il protéger?  C</w:t>
      </w:r>
      <w:r w:rsidR="00D91476">
        <w:rPr>
          <w:rFonts w:cs="Arial"/>
          <w:szCs w:val="22"/>
          <w:lang w:eastAsia="zh-CN"/>
        </w:rPr>
        <w:t>’</w:t>
      </w:r>
      <w:r w:rsidRPr="00E8642C">
        <w:rPr>
          <w:rFonts w:cs="Arial"/>
          <w:szCs w:val="22"/>
          <w:lang w:eastAsia="zh-CN"/>
        </w:rPr>
        <w:t>est ainsi</w:t>
      </w:r>
      <w:r w:rsidR="00007531">
        <w:rPr>
          <w:rFonts w:cs="Arial"/>
          <w:szCs w:val="22"/>
          <w:lang w:eastAsia="zh-CN"/>
        </w:rPr>
        <w:t>,</w:t>
      </w:r>
      <w:r w:rsidRPr="00E8642C">
        <w:rPr>
          <w:rFonts w:cs="Arial"/>
          <w:szCs w:val="22"/>
          <w:lang w:eastAsia="zh-CN"/>
        </w:rPr>
        <w:t xml:space="preserve"> par exemple</w:t>
      </w:r>
      <w:r w:rsidR="00007531">
        <w:rPr>
          <w:rFonts w:cs="Arial"/>
          <w:szCs w:val="22"/>
          <w:lang w:eastAsia="zh-CN"/>
        </w:rPr>
        <w:t>,</w:t>
      </w:r>
      <w:r w:rsidRPr="00E8642C">
        <w:rPr>
          <w:rFonts w:cs="Arial"/>
          <w:szCs w:val="22"/>
          <w:lang w:eastAsia="zh-CN"/>
        </w:rPr>
        <w:t xml:space="preserve"> que d</w:t>
      </w:r>
      <w:r w:rsidR="00D91476">
        <w:rPr>
          <w:rFonts w:cs="Arial"/>
          <w:szCs w:val="22"/>
          <w:lang w:eastAsia="zh-CN"/>
        </w:rPr>
        <w:t>’</w:t>
      </w:r>
      <w:r w:rsidRPr="00E8642C">
        <w:rPr>
          <w:rFonts w:cs="Arial"/>
          <w:szCs w:val="22"/>
          <w:lang w:eastAsia="zh-CN"/>
        </w:rPr>
        <w:t>aucuns pensaient qu</w:t>
      </w:r>
      <w:r w:rsidR="00D91476">
        <w:rPr>
          <w:rFonts w:cs="Arial"/>
          <w:szCs w:val="22"/>
          <w:lang w:eastAsia="zh-CN"/>
        </w:rPr>
        <w:t>’</w:t>
      </w:r>
      <w:r w:rsidRPr="00E8642C">
        <w:rPr>
          <w:rFonts w:cs="Arial"/>
          <w:szCs w:val="22"/>
          <w:lang w:eastAsia="zh-CN"/>
        </w:rPr>
        <w:t>il fallait inclure la spiritualité ou les religions dans les savoirs traditionnels alors que d</w:t>
      </w:r>
      <w:r w:rsidR="00D91476">
        <w:rPr>
          <w:rFonts w:cs="Arial"/>
          <w:szCs w:val="22"/>
          <w:lang w:eastAsia="zh-CN"/>
        </w:rPr>
        <w:t>’</w:t>
      </w:r>
      <w:r w:rsidRPr="00E8642C">
        <w:rPr>
          <w:rFonts w:cs="Arial"/>
          <w:szCs w:val="22"/>
          <w:lang w:eastAsia="zh-CN"/>
        </w:rPr>
        <w:t>autres étaient eux d</w:t>
      </w:r>
      <w:r w:rsidR="00D91476">
        <w:rPr>
          <w:rFonts w:cs="Arial"/>
          <w:szCs w:val="22"/>
          <w:lang w:eastAsia="zh-CN"/>
        </w:rPr>
        <w:t>’</w:t>
      </w:r>
      <w:r w:rsidRPr="00E8642C">
        <w:rPr>
          <w:rFonts w:cs="Arial"/>
          <w:szCs w:val="22"/>
          <w:lang w:eastAsia="zh-CN"/>
        </w:rPr>
        <w:t>avis qu</w:t>
      </w:r>
      <w:r w:rsidR="00D91476">
        <w:rPr>
          <w:rFonts w:cs="Arial"/>
          <w:szCs w:val="22"/>
          <w:lang w:eastAsia="zh-CN"/>
        </w:rPr>
        <w:t>’</w:t>
      </w:r>
      <w:r w:rsidRPr="00E8642C">
        <w:rPr>
          <w:rFonts w:cs="Arial"/>
          <w:szCs w:val="22"/>
          <w:lang w:eastAsia="zh-CN"/>
        </w:rPr>
        <w:t>il fallait limiter les savoirs traditionnels aux savoirs techniques</w:t>
      </w:r>
      <w:r w:rsidRPr="00E8642C">
        <w:rPr>
          <w:rStyle w:val="FootnoteReference"/>
          <w:rFonts w:cs="Arial"/>
          <w:szCs w:val="22"/>
          <w:lang w:eastAsia="zh-CN"/>
        </w:rPr>
        <w:footnoteReference w:id="156"/>
      </w:r>
      <w:r w:rsidRPr="00E8642C">
        <w:rPr>
          <w:rFonts w:cs="Arial"/>
          <w:szCs w:val="22"/>
          <w:lang w:eastAsia="zh-CN"/>
        </w:rPr>
        <w:t>;</w:t>
      </w:r>
    </w:p>
    <w:p w:rsidR="00AD541F" w:rsidRDefault="00DD607D" w:rsidP="00AD541F">
      <w:pPr>
        <w:numPr>
          <w:ilvl w:val="0"/>
          <w:numId w:val="25"/>
        </w:numPr>
        <w:tabs>
          <w:tab w:val="clear" w:pos="2061"/>
        </w:tabs>
        <w:spacing w:after="220"/>
        <w:ind w:left="567" w:firstLine="0"/>
        <w:rPr>
          <w:rFonts w:cs="Arial"/>
          <w:szCs w:val="22"/>
          <w:u w:val="single"/>
          <w:lang w:eastAsia="zh-CN"/>
        </w:rPr>
      </w:pPr>
      <w:r w:rsidRPr="00E8642C">
        <w:rPr>
          <w:rFonts w:cs="Arial"/>
          <w:szCs w:val="22"/>
          <w:lang w:eastAsia="zh-CN"/>
        </w:rPr>
        <w:t xml:space="preserve">En règle générale, les savoirs traditionnels sacrés sont ne sont pas divulgués ou le sont dans des contextes et </w:t>
      </w:r>
      <w:proofErr w:type="gramStart"/>
      <w:r w:rsidRPr="00E8642C">
        <w:rPr>
          <w:rFonts w:cs="Arial"/>
          <w:szCs w:val="22"/>
          <w:lang w:eastAsia="zh-CN"/>
        </w:rPr>
        <w:t>des conditions particuliers</w:t>
      </w:r>
      <w:proofErr w:type="gramEnd"/>
      <w:r w:rsidRPr="00E8642C">
        <w:rPr>
          <w:rFonts w:cs="Arial"/>
          <w:szCs w:val="22"/>
          <w:lang w:eastAsia="zh-CN"/>
        </w:rPr>
        <w:t xml:space="preserve"> à des membres des communautés autochtones et locales, bien que certains savoirs puissent être divulgués aux personnes extérieures aux communautés autochtones et locales dans des conditions particulièr</w:t>
      </w:r>
      <w:r w:rsidR="001F3AEE" w:rsidRPr="00E8642C">
        <w:rPr>
          <w:rFonts w:cs="Arial"/>
          <w:szCs w:val="22"/>
          <w:lang w:eastAsia="zh-CN"/>
        </w:rPr>
        <w:t>es</w:t>
      </w:r>
      <w:r w:rsidR="001F3AEE">
        <w:rPr>
          <w:rFonts w:cs="Arial"/>
          <w:szCs w:val="22"/>
          <w:lang w:eastAsia="zh-CN"/>
        </w:rPr>
        <w:t xml:space="preserve">.  </w:t>
      </w:r>
      <w:r w:rsidR="001F3AEE" w:rsidRPr="00E8642C">
        <w:rPr>
          <w:rFonts w:cs="Arial"/>
          <w:szCs w:val="22"/>
          <w:lang w:eastAsia="zh-CN"/>
        </w:rPr>
        <w:t>Ai</w:t>
      </w:r>
      <w:r w:rsidRPr="00E8642C">
        <w:rPr>
          <w:rFonts w:cs="Arial"/>
          <w:szCs w:val="22"/>
          <w:lang w:eastAsia="zh-CN"/>
        </w:rPr>
        <w:t>nsi qu</w:t>
      </w:r>
      <w:r w:rsidR="00D91476">
        <w:rPr>
          <w:rFonts w:cs="Arial"/>
          <w:szCs w:val="22"/>
          <w:lang w:eastAsia="zh-CN"/>
        </w:rPr>
        <w:t>’</w:t>
      </w:r>
      <w:r w:rsidRPr="00E8642C">
        <w:rPr>
          <w:rFonts w:cs="Arial"/>
          <w:szCs w:val="22"/>
          <w:lang w:eastAsia="zh-CN"/>
        </w:rPr>
        <w:t>il est indiqué ci</w:t>
      </w:r>
      <w:r w:rsidR="00400337">
        <w:rPr>
          <w:rFonts w:cs="Arial"/>
          <w:szCs w:val="22"/>
          <w:lang w:eastAsia="zh-CN"/>
        </w:rPr>
        <w:noBreakHyphen/>
      </w:r>
      <w:r w:rsidRPr="00E8642C">
        <w:rPr>
          <w:rFonts w:cs="Arial"/>
          <w:szCs w:val="22"/>
          <w:lang w:eastAsia="zh-CN"/>
        </w:rPr>
        <w:t>dessus et dans le document “Projet d</w:t>
      </w:r>
      <w:r w:rsidR="00D91476">
        <w:rPr>
          <w:rFonts w:cs="Arial"/>
          <w:szCs w:val="22"/>
          <w:lang w:eastAsia="zh-CN"/>
        </w:rPr>
        <w:t>’</w:t>
      </w:r>
      <w:r w:rsidRPr="00E8642C">
        <w:rPr>
          <w:rFonts w:cs="Arial"/>
          <w:szCs w:val="22"/>
          <w:lang w:eastAsia="zh-CN"/>
        </w:rPr>
        <w:t>analyse des lacunes y relatives</w:t>
      </w:r>
      <w:r w:rsidR="00D91476">
        <w:rPr>
          <w:rFonts w:cs="Arial"/>
          <w:szCs w:val="22"/>
          <w:lang w:eastAsia="zh-CN"/>
        </w:rPr>
        <w:t> :</w:t>
      </w:r>
      <w:r w:rsidRPr="00E8642C">
        <w:rPr>
          <w:rFonts w:cs="Arial"/>
          <w:szCs w:val="22"/>
          <w:lang w:eastAsia="zh-CN"/>
        </w:rPr>
        <w:t xml:space="preserve"> version révisée” (WIPO/GRTKF/IC/13/5(b) </w:t>
      </w:r>
      <w:proofErr w:type="spellStart"/>
      <w:r w:rsidRPr="00E8642C">
        <w:rPr>
          <w:rFonts w:cs="Arial"/>
          <w:szCs w:val="22"/>
          <w:lang w:eastAsia="zh-CN"/>
        </w:rPr>
        <w:t>Rev</w:t>
      </w:r>
      <w:proofErr w:type="spellEnd"/>
      <w:r w:rsidRPr="00E8642C">
        <w:rPr>
          <w:rFonts w:cs="Arial"/>
          <w:szCs w:val="22"/>
          <w:lang w:eastAsia="zh-CN"/>
        </w:rPr>
        <w:t>.), les savoirs traditionnels non divulgués peuvent être protégés en tant qu</w:t>
      </w:r>
      <w:r w:rsidR="00D91476">
        <w:rPr>
          <w:rFonts w:cs="Arial"/>
          <w:szCs w:val="22"/>
          <w:lang w:eastAsia="zh-CN"/>
        </w:rPr>
        <w:t>’</w:t>
      </w:r>
      <w:r w:rsidRPr="00E8642C">
        <w:rPr>
          <w:rFonts w:cs="Arial"/>
          <w:szCs w:val="22"/>
          <w:lang w:eastAsia="zh-CN"/>
        </w:rPr>
        <w:t>éléments non divulgués par la législation internationale en matière de propriété intellectuel</w:t>
      </w:r>
      <w:r w:rsidR="001F3AEE" w:rsidRPr="00E8642C">
        <w:rPr>
          <w:rFonts w:cs="Arial"/>
          <w:szCs w:val="22"/>
          <w:lang w:eastAsia="zh-CN"/>
        </w:rPr>
        <w:t>le</w:t>
      </w:r>
      <w:r w:rsidR="001F3AEE">
        <w:rPr>
          <w:rFonts w:cs="Arial"/>
          <w:szCs w:val="22"/>
          <w:lang w:eastAsia="zh-CN"/>
        </w:rPr>
        <w:t xml:space="preserve">.  </w:t>
      </w:r>
      <w:r w:rsidR="001F3AEE" w:rsidRPr="00E8642C">
        <w:rPr>
          <w:rFonts w:cs="Arial"/>
          <w:szCs w:val="22"/>
          <w:lang w:eastAsia="zh-CN"/>
        </w:rPr>
        <w:t>Né</w:t>
      </w:r>
      <w:r w:rsidRPr="00E8642C">
        <w:rPr>
          <w:rFonts w:cs="Arial"/>
          <w:szCs w:val="22"/>
          <w:lang w:eastAsia="zh-CN"/>
        </w:rPr>
        <w:t>anmoins, des considérations particulières peuvent s</w:t>
      </w:r>
      <w:r w:rsidR="00D91476">
        <w:rPr>
          <w:rFonts w:cs="Arial"/>
          <w:szCs w:val="22"/>
          <w:lang w:eastAsia="zh-CN"/>
        </w:rPr>
        <w:t>’</w:t>
      </w:r>
      <w:r w:rsidRPr="00E8642C">
        <w:rPr>
          <w:rFonts w:cs="Arial"/>
          <w:szCs w:val="22"/>
          <w:lang w:eastAsia="zh-CN"/>
        </w:rPr>
        <w:t>appliquer aux savoirs qui ont une valeur spirituelle et culturelle, et non commerciale, pour la communauté</w:t>
      </w:r>
      <w:r w:rsidRPr="00E8642C">
        <w:rPr>
          <w:rStyle w:val="FootnoteReference"/>
          <w:rFonts w:cs="Arial"/>
          <w:szCs w:val="22"/>
          <w:lang w:eastAsia="zh-CN"/>
        </w:rPr>
        <w:footnoteReference w:id="157"/>
      </w:r>
      <w:r w:rsidRPr="00E8642C">
        <w:rPr>
          <w:rFonts w:cs="Arial"/>
          <w:szCs w:val="22"/>
          <w:lang w:eastAsia="zh-CN"/>
        </w:rPr>
        <w:t>.</w:t>
      </w:r>
    </w:p>
    <w:p w:rsidR="00AD541F" w:rsidRDefault="00DD607D" w:rsidP="00AD541F">
      <w:pPr>
        <w:pStyle w:val="Heading2"/>
        <w:spacing w:after="220" w:line="240" w:lineRule="auto"/>
      </w:pPr>
      <w:bookmarkStart w:id="114" w:name="_Toc7772585"/>
      <w:r w:rsidRPr="00E8642C">
        <w:t>Sauvegarde</w:t>
      </w:r>
      <w:bookmarkEnd w:id="114"/>
    </w:p>
    <w:p w:rsidR="00AD541F" w:rsidRDefault="00DD607D" w:rsidP="00AD541F">
      <w:pPr>
        <w:spacing w:after="220"/>
        <w:rPr>
          <w:rFonts w:cs="Arial"/>
          <w:i/>
          <w:szCs w:val="22"/>
        </w:rPr>
      </w:pPr>
      <w:r w:rsidRPr="00E8642C">
        <w:rPr>
          <w:rFonts w:cs="Arial"/>
          <w:szCs w:val="22"/>
        </w:rPr>
        <w:t xml:space="preserve">La </w:t>
      </w:r>
      <w:r w:rsidRPr="00E8642C">
        <w:rPr>
          <w:rFonts w:cs="Arial"/>
          <w:i/>
          <w:szCs w:val="22"/>
        </w:rPr>
        <w:t>Convention pour la sauvegarde du patrimoine culturel immatériel</w:t>
      </w:r>
      <w:r w:rsidRPr="00E8642C">
        <w:rPr>
          <w:rFonts w:cs="Arial"/>
          <w:szCs w:val="22"/>
        </w:rPr>
        <w:t xml:space="preserve"> (2003) </w:t>
      </w:r>
      <w:r w:rsidRPr="00E8642C">
        <w:rPr>
          <w:rFonts w:cs="Arial"/>
          <w:iCs/>
          <w:szCs w:val="22"/>
        </w:rPr>
        <w:t>de l</w:t>
      </w:r>
      <w:r w:rsidR="00D91476">
        <w:rPr>
          <w:rFonts w:cs="Arial"/>
          <w:iCs/>
          <w:szCs w:val="22"/>
        </w:rPr>
        <w:t>’</w:t>
      </w:r>
      <w:r w:rsidRPr="00E8642C">
        <w:rPr>
          <w:rFonts w:cs="Arial"/>
          <w:iCs/>
          <w:szCs w:val="22"/>
        </w:rPr>
        <w:t xml:space="preserve">Organisation des </w:t>
      </w:r>
      <w:r w:rsidR="00D91476">
        <w:rPr>
          <w:rFonts w:cs="Arial"/>
          <w:iCs/>
          <w:szCs w:val="22"/>
        </w:rPr>
        <w:t>Nations Unies</w:t>
      </w:r>
      <w:r w:rsidRPr="00E8642C">
        <w:rPr>
          <w:rFonts w:cs="Arial"/>
          <w:iCs/>
          <w:szCs w:val="22"/>
        </w:rPr>
        <w:t xml:space="preserve"> pour l</w:t>
      </w:r>
      <w:r w:rsidR="00D91476">
        <w:rPr>
          <w:rFonts w:cs="Arial"/>
          <w:iCs/>
          <w:szCs w:val="22"/>
        </w:rPr>
        <w:t>’</w:t>
      </w:r>
      <w:r w:rsidRPr="00E8642C">
        <w:rPr>
          <w:rFonts w:cs="Arial"/>
          <w:iCs/>
          <w:szCs w:val="22"/>
        </w:rPr>
        <w:t>éducation, la science et la culture (UNESCO)</w:t>
      </w:r>
      <w:r w:rsidRPr="00E8642C">
        <w:rPr>
          <w:rFonts w:cs="Arial"/>
          <w:i/>
          <w:szCs w:val="22"/>
        </w:rPr>
        <w:t xml:space="preserve"> </w:t>
      </w:r>
      <w:r w:rsidRPr="00E8642C">
        <w:rPr>
          <w:rFonts w:cs="Arial"/>
          <w:szCs w:val="22"/>
        </w:rPr>
        <w:t>décrit les mesures de sauvegarde de la manière suivante</w:t>
      </w:r>
      <w:r w:rsidR="00D91476">
        <w:rPr>
          <w:rFonts w:cs="Arial"/>
          <w:szCs w:val="22"/>
        </w:rPr>
        <w:t> :</w:t>
      </w:r>
      <w:r w:rsidRPr="00E8642C">
        <w:rPr>
          <w:rFonts w:cs="Arial"/>
          <w:szCs w:val="22"/>
        </w:rPr>
        <w:t xml:space="preserve"> “mesures visant à assurer la viabilité du patrimoine culturel immatériel, </w:t>
      </w:r>
      <w:r w:rsidR="00D91476">
        <w:rPr>
          <w:rFonts w:cs="Arial"/>
          <w:szCs w:val="22"/>
        </w:rPr>
        <w:t>y compris</w:t>
      </w:r>
      <w:r w:rsidRPr="00E8642C">
        <w:rPr>
          <w:rFonts w:cs="Arial"/>
          <w:szCs w:val="22"/>
        </w:rPr>
        <w:t xml:space="preserve"> l</w:t>
      </w:r>
      <w:r w:rsidR="00D91476">
        <w:rPr>
          <w:rFonts w:cs="Arial"/>
          <w:szCs w:val="22"/>
        </w:rPr>
        <w:t>’</w:t>
      </w:r>
      <w:r w:rsidRPr="00E8642C">
        <w:rPr>
          <w:rFonts w:cs="Arial"/>
          <w:szCs w:val="22"/>
        </w:rPr>
        <w:t>identification, la documentation, la recherche, la préservation, la protection, la promotion, la mise en valeur, la transmission, essentiellement par l</w:t>
      </w:r>
      <w:r w:rsidR="00D91476">
        <w:rPr>
          <w:rFonts w:cs="Arial"/>
          <w:szCs w:val="22"/>
        </w:rPr>
        <w:t>’</w:t>
      </w:r>
      <w:r w:rsidRPr="00E8642C">
        <w:rPr>
          <w:rFonts w:cs="Arial"/>
          <w:szCs w:val="22"/>
        </w:rPr>
        <w:t>éducation formelle et non formelle, ainsi que la revitalisation des différents aspects de ce patrimoine”.  La sauvegarde se rapporte à l</w:t>
      </w:r>
      <w:r w:rsidR="00D91476">
        <w:rPr>
          <w:rFonts w:cs="Arial"/>
          <w:szCs w:val="22"/>
        </w:rPr>
        <w:t>’</w:t>
      </w:r>
      <w:r w:rsidRPr="00E8642C">
        <w:rPr>
          <w:rFonts w:cs="Arial"/>
          <w:szCs w:val="22"/>
        </w:rPr>
        <w:t>adoption de mesures conservatoires visant à protéger certaines pratiques et idées culturelles considérées comme précieuses.</w:t>
      </w:r>
    </w:p>
    <w:p w:rsidR="00AD541F" w:rsidRDefault="00DD607D" w:rsidP="00AD541F">
      <w:pPr>
        <w:pStyle w:val="Heading2"/>
        <w:spacing w:after="220" w:line="240" w:lineRule="auto"/>
      </w:pPr>
      <w:bookmarkStart w:id="115" w:name="_Toc7772586"/>
      <w:r w:rsidRPr="00E8642C">
        <w:t>Savoirs autochtones</w:t>
      </w:r>
      <w:bookmarkEnd w:id="115"/>
    </w:p>
    <w:p w:rsidR="00DD607D" w:rsidRPr="00E8642C" w:rsidRDefault="00DD607D" w:rsidP="00AD541F">
      <w:pPr>
        <w:spacing w:after="220"/>
        <w:rPr>
          <w:rFonts w:cs="Arial"/>
          <w:szCs w:val="22"/>
        </w:rPr>
      </w:pPr>
      <w:r w:rsidRPr="00E8642C">
        <w:rPr>
          <w:rFonts w:cs="Arial"/>
          <w:szCs w:val="22"/>
        </w:rPr>
        <w:t>Les “savoirs autochtones” sont les savoirs détenus et utilisés par des communautés, des peuples et des nations qui sont “autochtones”.  Dans ce sens, les “savoirs autochtones” seraient les savoirs traditionnels des peuples autochton</w:t>
      </w:r>
      <w:r w:rsidR="001F3AEE" w:rsidRPr="00E8642C">
        <w:rPr>
          <w:rFonts w:cs="Arial"/>
          <w:szCs w:val="22"/>
        </w:rPr>
        <w:t>es</w:t>
      </w:r>
      <w:r w:rsidR="001F3AEE">
        <w:rPr>
          <w:rFonts w:cs="Arial"/>
          <w:szCs w:val="22"/>
        </w:rPr>
        <w:t xml:space="preserve">.  </w:t>
      </w:r>
      <w:r w:rsidR="001F3AEE" w:rsidRPr="00E8642C">
        <w:rPr>
          <w:rFonts w:cs="Arial"/>
          <w:szCs w:val="22"/>
        </w:rPr>
        <w:t>Le</w:t>
      </w:r>
      <w:r w:rsidRPr="00E8642C">
        <w:rPr>
          <w:rFonts w:cs="Arial"/>
          <w:szCs w:val="22"/>
        </w:rPr>
        <w:t>s savoirs autochtones font donc partie de la catégorie des savoirs traditionnels mais les savoirs traditionnels ne sont pas nécessairement autochton</w:t>
      </w:r>
      <w:r w:rsidR="001F3AEE" w:rsidRPr="00E8642C">
        <w:rPr>
          <w:rFonts w:cs="Arial"/>
          <w:szCs w:val="22"/>
        </w:rPr>
        <w:t>es</w:t>
      </w:r>
      <w:r w:rsidR="001F3AEE">
        <w:rPr>
          <w:rFonts w:cs="Arial"/>
          <w:szCs w:val="22"/>
        </w:rPr>
        <w:t xml:space="preserve">.  </w:t>
      </w:r>
      <w:r w:rsidR="001F3AEE" w:rsidRPr="00E8642C">
        <w:rPr>
          <w:rFonts w:cs="Arial"/>
          <w:szCs w:val="22"/>
        </w:rPr>
        <w:t>Né</w:t>
      </w:r>
      <w:r w:rsidRPr="00E8642C">
        <w:rPr>
          <w:rFonts w:cs="Arial"/>
          <w:szCs w:val="22"/>
        </w:rPr>
        <w:t>anmoins, cette expression est aussi utilisée pour décrire les savoirs qui sont eux</w:t>
      </w:r>
      <w:r w:rsidR="00400337">
        <w:rPr>
          <w:rFonts w:cs="Arial"/>
          <w:szCs w:val="22"/>
        </w:rPr>
        <w:noBreakHyphen/>
      </w:r>
      <w:r w:rsidRPr="00E8642C">
        <w:rPr>
          <w:rFonts w:cs="Arial"/>
          <w:szCs w:val="22"/>
        </w:rPr>
        <w:t>mêmes “autochtones”.  Dans ce contexte, les expressions “savoirs traditionnels” et “savoirs autochtones” peuvent être interchangeables</w:t>
      </w:r>
      <w:r w:rsidRPr="00E8642C">
        <w:rPr>
          <w:rFonts w:cs="Arial"/>
          <w:szCs w:val="22"/>
          <w:vertAlign w:val="superscript"/>
        </w:rPr>
        <w:footnoteReference w:id="158"/>
      </w:r>
      <w:r w:rsidRPr="00E8642C">
        <w:rPr>
          <w:rFonts w:cs="Arial"/>
          <w:szCs w:val="22"/>
        </w:rPr>
        <w:t>.</w:t>
      </w:r>
    </w:p>
    <w:p w:rsidR="00AD541F" w:rsidRDefault="00DD607D" w:rsidP="00AD541F">
      <w:pPr>
        <w:pStyle w:val="Heading2"/>
        <w:spacing w:after="220" w:line="240" w:lineRule="auto"/>
      </w:pPr>
      <w:bookmarkStart w:id="116" w:name="_Toc7772587"/>
      <w:r w:rsidRPr="00E8642C">
        <w:t>Savoirs traditionnels</w:t>
      </w:r>
      <w:bookmarkEnd w:id="116"/>
    </w:p>
    <w:p w:rsidR="00AD541F" w:rsidRDefault="00DD607D" w:rsidP="00AD541F">
      <w:pPr>
        <w:spacing w:after="220"/>
        <w:rPr>
          <w:rFonts w:cs="Arial"/>
          <w:szCs w:val="22"/>
        </w:rPr>
      </w:pPr>
      <w:r w:rsidRPr="00E8642C">
        <w:rPr>
          <w:rFonts w:cs="Arial"/>
          <w:szCs w:val="22"/>
        </w:rPr>
        <w:t>Actuellement il n</w:t>
      </w:r>
      <w:r w:rsidR="00D91476">
        <w:rPr>
          <w:rFonts w:cs="Arial"/>
          <w:szCs w:val="22"/>
        </w:rPr>
        <w:t>’</w:t>
      </w:r>
      <w:r w:rsidRPr="00E8642C">
        <w:rPr>
          <w:rFonts w:cs="Arial"/>
          <w:szCs w:val="22"/>
        </w:rPr>
        <w:t>existe aucune définition internationalement acceptée de l</w:t>
      </w:r>
      <w:r w:rsidR="00D91476">
        <w:rPr>
          <w:rFonts w:cs="Arial"/>
          <w:szCs w:val="22"/>
        </w:rPr>
        <w:t>’</w:t>
      </w:r>
      <w:r w:rsidRPr="00E8642C">
        <w:rPr>
          <w:rFonts w:cs="Arial"/>
          <w:szCs w:val="22"/>
        </w:rPr>
        <w:t>expression “savoirs traditionnels”.</w:t>
      </w:r>
    </w:p>
    <w:p w:rsidR="00AD541F" w:rsidRDefault="00DD607D" w:rsidP="00AD541F">
      <w:pPr>
        <w:spacing w:after="220"/>
        <w:rPr>
          <w:rFonts w:cs="Arial"/>
          <w:szCs w:val="22"/>
        </w:rPr>
      </w:pPr>
      <w:r w:rsidRPr="00E8642C">
        <w:rPr>
          <w:rFonts w:cs="Arial"/>
          <w:szCs w:val="22"/>
        </w:rPr>
        <w:t>L</w:t>
      </w:r>
      <w:r w:rsidR="00D91476">
        <w:rPr>
          <w:rFonts w:cs="Arial"/>
          <w:szCs w:val="22"/>
        </w:rPr>
        <w:t>’</w:t>
      </w:r>
      <w:r w:rsidRPr="00E8642C">
        <w:rPr>
          <w:rFonts w:cs="Arial"/>
          <w:szCs w:val="22"/>
        </w:rPr>
        <w:t xml:space="preserve">expression “savoirs traditionnels”, en tant que description générale de la question englobe généralement le patrimoine intellectuel et culturel immatériel, les pratiques et systèmes de connaissance des communautés traditionnelles, </w:t>
      </w:r>
      <w:r w:rsidR="00D91476">
        <w:rPr>
          <w:rFonts w:cs="Arial"/>
          <w:szCs w:val="22"/>
        </w:rPr>
        <w:t>y compris</w:t>
      </w:r>
      <w:r w:rsidRPr="00E8642C">
        <w:rPr>
          <w:rFonts w:cs="Arial"/>
          <w:szCs w:val="22"/>
        </w:rPr>
        <w:t xml:space="preserve"> les communautés autochtones et locales (les savoirs traditionnels au sens général du terme ou lato sen</w:t>
      </w:r>
      <w:r w:rsidR="001F3AEE" w:rsidRPr="00E8642C">
        <w:rPr>
          <w:rFonts w:cs="Arial"/>
          <w:szCs w:val="22"/>
        </w:rPr>
        <w:t>su)</w:t>
      </w:r>
      <w:r w:rsidR="001F3AEE">
        <w:rPr>
          <w:rFonts w:cs="Arial"/>
          <w:szCs w:val="22"/>
        </w:rPr>
        <w:t xml:space="preserve">.  </w:t>
      </w:r>
      <w:r w:rsidR="001F3AEE" w:rsidRPr="00E8642C">
        <w:rPr>
          <w:rFonts w:cs="Arial"/>
          <w:szCs w:val="22"/>
        </w:rPr>
        <w:t>En</w:t>
      </w:r>
      <w:r w:rsidRPr="00E8642C">
        <w:rPr>
          <w:rFonts w:cs="Arial"/>
          <w:szCs w:val="22"/>
        </w:rPr>
        <w:t xml:space="preserve"> d</w:t>
      </w:r>
      <w:r w:rsidR="00D91476">
        <w:rPr>
          <w:rFonts w:cs="Arial"/>
          <w:szCs w:val="22"/>
        </w:rPr>
        <w:t>’</w:t>
      </w:r>
      <w:r w:rsidRPr="00E8642C">
        <w:rPr>
          <w:rFonts w:cs="Arial"/>
          <w:szCs w:val="22"/>
        </w:rPr>
        <w:t>autres termes, l</w:t>
      </w:r>
      <w:r w:rsidR="00D91476">
        <w:rPr>
          <w:rFonts w:cs="Arial"/>
          <w:szCs w:val="22"/>
        </w:rPr>
        <w:t>’</w:t>
      </w:r>
      <w:r w:rsidRPr="00E8642C">
        <w:rPr>
          <w:rFonts w:cs="Arial"/>
          <w:szCs w:val="22"/>
        </w:rPr>
        <w:t xml:space="preserve">expression “savoirs traditionnels” au sens général vise le contenu des savoirs proprement dits ainsi que les expressions culturelles traditionnelles, </w:t>
      </w:r>
      <w:r w:rsidR="00D91476">
        <w:rPr>
          <w:rFonts w:cs="Arial"/>
          <w:szCs w:val="22"/>
        </w:rPr>
        <w:t>y compris</w:t>
      </w:r>
      <w:r w:rsidRPr="00E8642C">
        <w:rPr>
          <w:rFonts w:cs="Arial"/>
          <w:szCs w:val="22"/>
        </w:rPr>
        <w:t xml:space="preserve"> les signes distinctifs et symboles associés aux savoirs traditionnels.</w:t>
      </w:r>
    </w:p>
    <w:p w:rsidR="00AD541F" w:rsidRDefault="00DD607D" w:rsidP="00AD541F">
      <w:pPr>
        <w:spacing w:after="220"/>
        <w:rPr>
          <w:rFonts w:cs="Arial"/>
          <w:szCs w:val="22"/>
        </w:rPr>
      </w:pPr>
      <w:r w:rsidRPr="00E8642C">
        <w:rPr>
          <w:rFonts w:cs="Arial"/>
          <w:szCs w:val="22"/>
        </w:rPr>
        <w:t>Dans le débat au niveau international, l</w:t>
      </w:r>
      <w:r w:rsidR="00D91476">
        <w:rPr>
          <w:rFonts w:cs="Arial"/>
          <w:szCs w:val="22"/>
        </w:rPr>
        <w:t>’</w:t>
      </w:r>
      <w:r w:rsidRPr="00E8642C">
        <w:rPr>
          <w:rFonts w:cs="Arial"/>
          <w:szCs w:val="22"/>
        </w:rPr>
        <w:t>expression “savoirs traditionnels” est utilisée au sens strict et s</w:t>
      </w:r>
      <w:r w:rsidR="00D91476">
        <w:rPr>
          <w:rFonts w:cs="Arial"/>
          <w:szCs w:val="22"/>
        </w:rPr>
        <w:t>’</w:t>
      </w:r>
      <w:r w:rsidRPr="00E8642C">
        <w:rPr>
          <w:rFonts w:cs="Arial"/>
          <w:szCs w:val="22"/>
        </w:rPr>
        <w:t>entend des savoirs résultant d</w:t>
      </w:r>
      <w:r w:rsidR="00D91476">
        <w:rPr>
          <w:rFonts w:cs="Arial"/>
          <w:szCs w:val="22"/>
        </w:rPr>
        <w:t>’</w:t>
      </w:r>
      <w:r w:rsidRPr="00E8642C">
        <w:rPr>
          <w:rFonts w:cs="Arial"/>
          <w:szCs w:val="22"/>
        </w:rPr>
        <w:t>une activité intellectuelle dans un contexte traditionnel, et comprend le savoir</w:t>
      </w:r>
      <w:r w:rsidR="00400337">
        <w:rPr>
          <w:rFonts w:cs="Arial"/>
          <w:szCs w:val="22"/>
        </w:rPr>
        <w:noBreakHyphen/>
      </w:r>
      <w:r w:rsidRPr="00E8642C">
        <w:rPr>
          <w:rFonts w:cs="Arial"/>
          <w:szCs w:val="22"/>
        </w:rPr>
        <w:t>faire, les pratiques, les techniques et les innovations.</w:t>
      </w:r>
    </w:p>
    <w:p w:rsidR="00AD541F" w:rsidRDefault="00DD607D" w:rsidP="00AD541F">
      <w:pPr>
        <w:spacing w:after="220"/>
        <w:rPr>
          <w:rFonts w:cs="Arial"/>
          <w:szCs w:val="22"/>
        </w:rPr>
      </w:pPr>
      <w:r w:rsidRPr="00E8642C">
        <w:rPr>
          <w:rFonts w:cs="Arial"/>
          <w:szCs w:val="22"/>
        </w:rPr>
        <w:t xml:space="preserve">Les savoirs traditionnels peuvent se présenter dans les contextes les plus variés, </w:t>
      </w:r>
      <w:r w:rsidR="00D91476">
        <w:rPr>
          <w:rFonts w:cs="Arial"/>
          <w:szCs w:val="22"/>
        </w:rPr>
        <w:t>y compris :</w:t>
      </w:r>
      <w:r w:rsidRPr="00E8642C">
        <w:rPr>
          <w:rFonts w:cs="Arial"/>
          <w:szCs w:val="22"/>
        </w:rPr>
        <w:t xml:space="preserve"> savoirs agricoles;  les savoirs scientifiques;  les savoirs techniques;  les savoirs écologiques;  les savoirs médicaux, </w:t>
      </w:r>
      <w:r w:rsidR="00D91476">
        <w:rPr>
          <w:rFonts w:cs="Arial"/>
          <w:szCs w:val="22"/>
        </w:rPr>
        <w:t>y compris</w:t>
      </w:r>
      <w:r w:rsidRPr="00E8642C">
        <w:rPr>
          <w:rFonts w:cs="Arial"/>
          <w:szCs w:val="22"/>
        </w:rPr>
        <w:t xml:space="preserve"> les médecines et remèdes connexes;  et les savoirs liés à la biodiversité</w:t>
      </w:r>
      <w:r w:rsidRPr="00E8642C">
        <w:rPr>
          <w:rFonts w:cs="Arial"/>
          <w:szCs w:val="22"/>
          <w:vertAlign w:val="superscript"/>
        </w:rPr>
        <w:footnoteReference w:id="159"/>
      </w:r>
      <w:r w:rsidRPr="00E8642C">
        <w:rPr>
          <w:rFonts w:cs="Arial"/>
          <w:szCs w:val="22"/>
        </w:rPr>
        <w:t>.</w:t>
      </w:r>
    </w:p>
    <w:p w:rsidR="00AD541F" w:rsidRDefault="00DD607D" w:rsidP="00AD541F">
      <w:pPr>
        <w:pStyle w:val="Heading2"/>
        <w:spacing w:after="220" w:line="240" w:lineRule="auto"/>
      </w:pPr>
      <w:bookmarkStart w:id="117" w:name="_Toc7772588"/>
      <w:r w:rsidRPr="00E8642C">
        <w:t>Savoirs traditionnels codifiés</w:t>
      </w:r>
      <w:bookmarkEnd w:id="117"/>
    </w:p>
    <w:p w:rsidR="00AD541F" w:rsidRDefault="00DD607D" w:rsidP="00AD541F">
      <w:pPr>
        <w:pStyle w:val="FootnoteText"/>
        <w:spacing w:after="220"/>
        <w:ind w:left="0" w:firstLine="0"/>
        <w:rPr>
          <w:rFonts w:cs="Arial"/>
          <w:szCs w:val="22"/>
        </w:rPr>
      </w:pPr>
      <w:r w:rsidRPr="00E8642C">
        <w:rPr>
          <w:rFonts w:cs="Arial"/>
          <w:szCs w:val="22"/>
        </w:rPr>
        <w:t>On entend par “savoirs traditionnels codifiés” les savoirs traditionnels qui “</w:t>
      </w:r>
      <w:r w:rsidRPr="00E8642C">
        <w:rPr>
          <w:rFonts w:cs="Arial"/>
          <w:iCs/>
          <w:szCs w:val="22"/>
        </w:rPr>
        <w:t>se présentent sous une forme systématique et structurée, sont ordonnés, organisés, classés et catégorisés d</w:t>
      </w:r>
      <w:r w:rsidR="00D91476">
        <w:rPr>
          <w:rFonts w:cs="Arial"/>
          <w:iCs/>
          <w:szCs w:val="22"/>
        </w:rPr>
        <w:t>’</w:t>
      </w:r>
      <w:r w:rsidRPr="00E8642C">
        <w:rPr>
          <w:rFonts w:cs="Arial"/>
          <w:iCs/>
          <w:szCs w:val="22"/>
        </w:rPr>
        <w:t>une certaine manière</w:t>
      </w:r>
      <w:r w:rsidRPr="00E8642C">
        <w:rPr>
          <w:rFonts w:cs="Arial"/>
          <w:szCs w:val="22"/>
        </w:rPr>
        <w:t>”</w:t>
      </w:r>
      <w:r w:rsidRPr="00E8642C">
        <w:rPr>
          <w:rFonts w:cs="Arial"/>
          <w:szCs w:val="22"/>
          <w:vertAlign w:val="superscript"/>
        </w:rPr>
        <w:footnoteReference w:id="160"/>
      </w:r>
      <w:r w:rsidRPr="00E8642C">
        <w:rPr>
          <w:rFonts w:cs="Arial"/>
          <w:iCs/>
          <w:szCs w:val="22"/>
        </w:rPr>
        <w:t>.</w:t>
      </w:r>
    </w:p>
    <w:p w:rsidR="00AD541F" w:rsidRDefault="00DD607D" w:rsidP="00AD541F">
      <w:pPr>
        <w:pStyle w:val="FootnoteText"/>
        <w:spacing w:after="220"/>
        <w:ind w:left="0" w:firstLine="0"/>
        <w:rPr>
          <w:rFonts w:cs="Arial"/>
          <w:szCs w:val="22"/>
        </w:rPr>
      </w:pPr>
      <w:r w:rsidRPr="00E8642C">
        <w:rPr>
          <w:rFonts w:cs="Arial"/>
        </w:rPr>
        <w:t>Dans le domaine de la médecine traditionnelle, par exemple, l</w:t>
      </w:r>
      <w:r w:rsidR="00D91476">
        <w:rPr>
          <w:rFonts w:cs="Arial"/>
        </w:rPr>
        <w:t>’</w:t>
      </w:r>
      <w:r w:rsidRPr="00E8642C">
        <w:rPr>
          <w:rFonts w:cs="Arial"/>
        </w:rPr>
        <w:t>Équipe Médecine traditionnelle de l</w:t>
      </w:r>
      <w:r w:rsidR="00D91476">
        <w:rPr>
          <w:rFonts w:cs="Arial"/>
        </w:rPr>
        <w:t>’</w:t>
      </w:r>
      <w:r w:rsidRPr="00E8642C">
        <w:rPr>
          <w:rFonts w:cs="Arial"/>
        </w:rPr>
        <w:t xml:space="preserve">Organisation mondiale de la Santé (OMS) établit une distinction entre a) les systèmes </w:t>
      </w:r>
      <w:r w:rsidRPr="00E8642C">
        <w:rPr>
          <w:rFonts w:cs="Arial"/>
          <w:i/>
          <w:iCs/>
        </w:rPr>
        <w:t>codifiés</w:t>
      </w:r>
      <w:r w:rsidRPr="00E8642C">
        <w:rPr>
          <w:rFonts w:cs="Arial"/>
        </w:rPr>
        <w:t xml:space="preserve"> de médecine traditionnelle, qui ont été divulgués par écrit dans des écritures anciennes et sont entièrement tombés dans le domaine public, tels que la médecine ayurvédique, divulguée dans des écritures sanskrites anciennes</w:t>
      </w:r>
      <w:r w:rsidRPr="00E8642C">
        <w:rPr>
          <w:rFonts w:cs="Arial"/>
          <w:szCs w:val="22"/>
          <w:vertAlign w:val="superscript"/>
        </w:rPr>
        <w:footnoteReference w:id="161"/>
      </w:r>
      <w:r w:rsidRPr="00E8642C">
        <w:rPr>
          <w:rFonts w:cs="Arial"/>
          <w:szCs w:val="22"/>
        </w:rPr>
        <w:t xml:space="preserve"> ou la médecine traditionnelle chinoise, divulguée dans les textes médicaux chinois anciens</w:t>
      </w:r>
      <w:r w:rsidRPr="00E8642C">
        <w:rPr>
          <w:rFonts w:cs="Arial"/>
          <w:szCs w:val="22"/>
          <w:vertAlign w:val="superscript"/>
        </w:rPr>
        <w:footnoteReference w:id="162"/>
      </w:r>
      <w:r w:rsidRPr="00E8642C">
        <w:rPr>
          <w:rFonts w:cs="Arial"/>
          <w:szCs w:val="22"/>
        </w:rPr>
        <w:t xml:space="preserve">;  et b) les savoirs médicaux traditionnels </w:t>
      </w:r>
      <w:r w:rsidRPr="00E8642C">
        <w:rPr>
          <w:rFonts w:cs="Arial"/>
          <w:i/>
          <w:iCs/>
          <w:szCs w:val="22"/>
        </w:rPr>
        <w:t>non codifiés</w:t>
      </w:r>
      <w:r w:rsidRPr="00E8642C">
        <w:rPr>
          <w:rFonts w:cs="Arial"/>
          <w:szCs w:val="22"/>
        </w:rPr>
        <w:t>, qui n</w:t>
      </w:r>
      <w:r w:rsidR="00D91476">
        <w:rPr>
          <w:rFonts w:cs="Arial"/>
          <w:szCs w:val="22"/>
        </w:rPr>
        <w:t>’</w:t>
      </w:r>
      <w:r w:rsidRPr="00E8642C">
        <w:rPr>
          <w:rFonts w:cs="Arial"/>
          <w:szCs w:val="22"/>
        </w:rPr>
        <w:t>ont pas été mis par écrit, ne sont en général pas divulgués par leurs détenteurs et sont transmis oralement de génération en générati</w:t>
      </w:r>
      <w:r w:rsidR="001F3AEE" w:rsidRPr="00E8642C">
        <w:rPr>
          <w:rFonts w:cs="Arial"/>
          <w:szCs w:val="22"/>
        </w:rPr>
        <w:t>on</w:t>
      </w:r>
      <w:r w:rsidR="001F3AEE">
        <w:rPr>
          <w:rFonts w:cs="Arial"/>
          <w:szCs w:val="22"/>
        </w:rPr>
        <w:t xml:space="preserve">.  </w:t>
      </w:r>
      <w:r w:rsidR="001F3AEE" w:rsidRPr="00E8642C">
        <w:rPr>
          <w:rFonts w:cs="Arial"/>
          <w:szCs w:val="22"/>
        </w:rPr>
        <w:t>Ai</w:t>
      </w:r>
      <w:r w:rsidRPr="00E8642C">
        <w:rPr>
          <w:rFonts w:cs="Arial"/>
          <w:szCs w:val="22"/>
        </w:rPr>
        <w:t xml:space="preserve">nsi, en Asie du Sud, les systèmes de savoirs codifiés comprennent la médecine ayurvédique, codifiée dans 54 livres faisant autorité, le système Siddha, codifié dans 29 livres faisant autorité, et le système </w:t>
      </w:r>
      <w:proofErr w:type="spellStart"/>
      <w:r w:rsidRPr="00E8642C">
        <w:rPr>
          <w:rFonts w:cs="Arial"/>
          <w:szCs w:val="22"/>
        </w:rPr>
        <w:t>Unani</w:t>
      </w:r>
      <w:proofErr w:type="spellEnd"/>
      <w:r w:rsidRPr="00E8642C">
        <w:rPr>
          <w:rFonts w:cs="Arial"/>
          <w:szCs w:val="22"/>
        </w:rPr>
        <w:t> </w:t>
      </w:r>
      <w:proofErr w:type="spellStart"/>
      <w:r w:rsidRPr="00E8642C">
        <w:rPr>
          <w:rFonts w:cs="Arial"/>
          <w:szCs w:val="22"/>
        </w:rPr>
        <w:t>Tibb</w:t>
      </w:r>
      <w:proofErr w:type="spellEnd"/>
      <w:r w:rsidRPr="00E8642C">
        <w:rPr>
          <w:rFonts w:cs="Arial"/>
          <w:szCs w:val="22"/>
        </w:rPr>
        <w:t>, codifié dans 13 livres faisant autorité</w:t>
      </w:r>
      <w:r w:rsidRPr="00E8642C">
        <w:rPr>
          <w:rFonts w:cs="Arial"/>
          <w:szCs w:val="22"/>
          <w:vertAlign w:val="superscript"/>
        </w:rPr>
        <w:footnoteReference w:id="163"/>
      </w:r>
      <w:r w:rsidRPr="00E8642C">
        <w:rPr>
          <w:rFonts w:cs="Arial"/>
          <w:szCs w:val="22"/>
        </w:rPr>
        <w:t>.</w:t>
      </w:r>
    </w:p>
    <w:p w:rsidR="00AD541F" w:rsidRDefault="00DD607D" w:rsidP="00AD541F">
      <w:pPr>
        <w:pStyle w:val="FootnoteText"/>
        <w:spacing w:after="220"/>
        <w:ind w:left="0" w:firstLine="0"/>
        <w:rPr>
          <w:rFonts w:cs="Arial"/>
          <w:szCs w:val="22"/>
        </w:rPr>
      </w:pPr>
      <w:r w:rsidRPr="00E8642C">
        <w:rPr>
          <w:rFonts w:cs="Arial"/>
          <w:szCs w:val="22"/>
        </w:rPr>
        <w:t xml:space="preserve">Une autre distinction a été faite, </w:t>
      </w:r>
      <w:r w:rsidR="00D91476">
        <w:rPr>
          <w:rFonts w:cs="Arial"/>
          <w:szCs w:val="22"/>
        </w:rPr>
        <w:t>à savoir</w:t>
      </w:r>
      <w:r w:rsidRPr="00E8642C">
        <w:rPr>
          <w:rFonts w:cs="Arial"/>
          <w:szCs w:val="22"/>
        </w:rPr>
        <w:t xml:space="preserve"> que les savoirs traditionnels se répartissaient en deux catégories principales</w:t>
      </w:r>
      <w:r w:rsidR="00D91476">
        <w:rPr>
          <w:rFonts w:cs="Arial"/>
          <w:szCs w:val="22"/>
        </w:rPr>
        <w:t> :</w:t>
      </w:r>
      <w:r w:rsidRPr="00E8642C">
        <w:rPr>
          <w:rFonts w:cs="Arial"/>
          <w:szCs w:val="22"/>
        </w:rPr>
        <w:t xml:space="preserve"> i) les savoirs traditionnels codifiés, c</w:t>
      </w:r>
      <w:r w:rsidR="00D91476">
        <w:rPr>
          <w:rFonts w:cs="Arial"/>
          <w:szCs w:val="22"/>
        </w:rPr>
        <w:t>’</w:t>
      </w:r>
      <w:r w:rsidRPr="00E8642C">
        <w:rPr>
          <w:rFonts w:cs="Arial"/>
          <w:szCs w:val="22"/>
        </w:rPr>
        <w:t>est</w:t>
      </w:r>
      <w:r w:rsidR="00400337">
        <w:rPr>
          <w:rFonts w:cs="Arial"/>
          <w:szCs w:val="22"/>
        </w:rPr>
        <w:noBreakHyphen/>
      </w:r>
      <w:r w:rsidRPr="00E8642C">
        <w:rPr>
          <w:rFonts w:cs="Arial"/>
          <w:szCs w:val="22"/>
        </w:rPr>
        <w:t>à</w:t>
      </w:r>
      <w:r w:rsidR="00400337">
        <w:rPr>
          <w:rFonts w:cs="Arial"/>
          <w:szCs w:val="22"/>
        </w:rPr>
        <w:noBreakHyphen/>
      </w:r>
      <w:r w:rsidRPr="00E8642C">
        <w:rPr>
          <w:rFonts w:cs="Arial"/>
          <w:szCs w:val="22"/>
        </w:rPr>
        <w:t>dire les savoirs traditionnels qui se présentent sous une forme écrite et qui relèvent du domaine public;  et ii) les savoirs traditionnels non codifiés, qui font partie des traditions orales des communautés autochtones</w:t>
      </w:r>
      <w:r w:rsidRPr="00E8642C">
        <w:rPr>
          <w:rFonts w:cs="Arial"/>
          <w:szCs w:val="22"/>
          <w:vertAlign w:val="superscript"/>
        </w:rPr>
        <w:footnoteReference w:id="164"/>
      </w:r>
      <w:r w:rsidRPr="00E8642C">
        <w:rPr>
          <w:rFonts w:cs="Arial"/>
          <w:szCs w:val="22"/>
        </w:rPr>
        <w:t>.  La “Liste et explication technique succincte des différentes formes sous lesquelles les savoirs traditionnels peuvent se présenter” (WIPO/GRTKF/IC/17/INF/9) examine plus en détail les savoirs traditionnels codifiés et les savoirs traditionnels non codifiés.</w:t>
      </w:r>
    </w:p>
    <w:p w:rsidR="00AD541F" w:rsidRDefault="00DD607D" w:rsidP="00AD541F">
      <w:pPr>
        <w:pStyle w:val="Heading2"/>
        <w:spacing w:after="220" w:line="240" w:lineRule="auto"/>
      </w:pPr>
      <w:bookmarkStart w:id="118" w:name="_Toc7772589"/>
      <w:r w:rsidRPr="00E8642C">
        <w:t>Savoirs traditionnels divulgués</w:t>
      </w:r>
      <w:bookmarkEnd w:id="118"/>
    </w:p>
    <w:p w:rsidR="00AD541F" w:rsidRDefault="00DD607D" w:rsidP="00AD541F">
      <w:pPr>
        <w:pStyle w:val="CommentText"/>
        <w:spacing w:after="220"/>
        <w:rPr>
          <w:rFonts w:cs="Arial"/>
          <w:szCs w:val="22"/>
        </w:rPr>
      </w:pPr>
      <w:r w:rsidRPr="00E8642C">
        <w:rPr>
          <w:rFonts w:cs="Arial"/>
          <w:szCs w:val="22"/>
        </w:rPr>
        <w:t xml:space="preserve">Le terme “savoirs traditionnels divulgués” désigne des </w:t>
      </w:r>
      <w:r w:rsidRPr="00E8642C">
        <w:rPr>
          <w:rFonts w:cs="Arial"/>
          <w:iCs/>
          <w:szCs w:val="22"/>
        </w:rPr>
        <w:t>“savoirs traditionnels qui sont accessibles aux personnes n</w:t>
      </w:r>
      <w:r w:rsidR="00D91476">
        <w:rPr>
          <w:rFonts w:cs="Arial"/>
          <w:iCs/>
          <w:szCs w:val="22"/>
        </w:rPr>
        <w:t>’</w:t>
      </w:r>
      <w:r w:rsidRPr="00E8642C">
        <w:rPr>
          <w:rFonts w:cs="Arial"/>
          <w:iCs/>
          <w:szCs w:val="22"/>
        </w:rPr>
        <w:t xml:space="preserve">appartenant pas à la communauté autochtone ou locale considérée comme le </w:t>
      </w:r>
      <w:r w:rsidR="00D91476">
        <w:rPr>
          <w:rFonts w:cs="Arial"/>
          <w:iCs/>
          <w:szCs w:val="22"/>
        </w:rPr>
        <w:t>‘</w:t>
      </w:r>
      <w:r w:rsidRPr="00E8642C">
        <w:rPr>
          <w:rFonts w:cs="Arial"/>
          <w:iCs/>
          <w:szCs w:val="22"/>
        </w:rPr>
        <w:t>détenteur</w:t>
      </w:r>
      <w:r w:rsidR="00D91476">
        <w:rPr>
          <w:rFonts w:cs="Arial"/>
          <w:iCs/>
          <w:szCs w:val="22"/>
        </w:rPr>
        <w:t>’</w:t>
      </w:r>
      <w:r w:rsidRPr="00E8642C">
        <w:rPr>
          <w:rFonts w:cs="Arial"/>
          <w:iCs/>
          <w:szCs w:val="22"/>
        </w:rPr>
        <w:t xml:space="preserve"> du savoir traditionnel;  ces savoirs traditionnels peuvent être largement accessibles au public sur un support physique, l</w:t>
      </w:r>
      <w:r w:rsidR="00D91476">
        <w:rPr>
          <w:rFonts w:cs="Arial"/>
          <w:iCs/>
          <w:szCs w:val="22"/>
        </w:rPr>
        <w:t>’</w:t>
      </w:r>
      <w:r w:rsidRPr="00E8642C">
        <w:rPr>
          <w:rFonts w:cs="Arial"/>
          <w:iCs/>
          <w:szCs w:val="22"/>
        </w:rPr>
        <w:t>Internet ou d</w:t>
      </w:r>
      <w:r w:rsidR="00D91476">
        <w:rPr>
          <w:rFonts w:cs="Arial"/>
          <w:iCs/>
          <w:szCs w:val="22"/>
        </w:rPr>
        <w:t>’</w:t>
      </w:r>
      <w:r w:rsidRPr="00E8642C">
        <w:rPr>
          <w:rFonts w:cs="Arial"/>
          <w:iCs/>
          <w:szCs w:val="22"/>
        </w:rPr>
        <w:t>autres types de télécommunications ou d</w:t>
      </w:r>
      <w:r w:rsidR="00D91476">
        <w:rPr>
          <w:rFonts w:cs="Arial"/>
          <w:iCs/>
          <w:szCs w:val="22"/>
        </w:rPr>
        <w:t>’</w:t>
      </w:r>
      <w:r w:rsidRPr="00E8642C">
        <w:rPr>
          <w:rFonts w:cs="Arial"/>
          <w:iCs/>
          <w:szCs w:val="22"/>
        </w:rPr>
        <w:t>enregistrements;  ces savoirs peuvent être divulgués à des tiers ou à des personnes n</w:t>
      </w:r>
      <w:r w:rsidR="00D91476">
        <w:rPr>
          <w:rFonts w:cs="Arial"/>
          <w:iCs/>
          <w:szCs w:val="22"/>
        </w:rPr>
        <w:t>’</w:t>
      </w:r>
      <w:r w:rsidRPr="00E8642C">
        <w:rPr>
          <w:rFonts w:cs="Arial"/>
          <w:iCs/>
          <w:szCs w:val="22"/>
        </w:rPr>
        <w:t>appartenant pas aux communautés autochtones et locales dont sont issus ces savoirs, avec ou sans l</w:t>
      </w:r>
      <w:r w:rsidR="00D91476">
        <w:rPr>
          <w:rFonts w:cs="Arial"/>
          <w:iCs/>
          <w:szCs w:val="22"/>
        </w:rPr>
        <w:t>’</w:t>
      </w:r>
      <w:r w:rsidRPr="00E8642C">
        <w:rPr>
          <w:rFonts w:cs="Arial"/>
          <w:iCs/>
          <w:szCs w:val="22"/>
        </w:rPr>
        <w:t>autorisation des communautés autochtones et locales</w:t>
      </w:r>
      <w:r w:rsidRPr="00E8642C">
        <w:rPr>
          <w:rFonts w:cs="Arial"/>
          <w:szCs w:val="22"/>
        </w:rPr>
        <w:t>”</w:t>
      </w:r>
      <w:r w:rsidRPr="00E8642C">
        <w:rPr>
          <w:rFonts w:cs="Arial"/>
          <w:szCs w:val="22"/>
          <w:vertAlign w:val="superscript"/>
        </w:rPr>
        <w:footnoteReference w:id="165"/>
      </w:r>
      <w:r w:rsidRPr="00E8642C">
        <w:rPr>
          <w:rFonts w:cs="Arial"/>
          <w:szCs w:val="22"/>
        </w:rPr>
        <w:t>.</w:t>
      </w:r>
    </w:p>
    <w:p w:rsidR="00AD541F" w:rsidRDefault="00DD607D" w:rsidP="00AD541F">
      <w:pPr>
        <w:pStyle w:val="CommentText"/>
        <w:spacing w:after="220"/>
        <w:rPr>
          <w:rFonts w:cs="Arial"/>
          <w:szCs w:val="22"/>
        </w:rPr>
      </w:pPr>
      <w:r w:rsidRPr="00E8642C">
        <w:rPr>
          <w:rFonts w:cs="Arial"/>
          <w:szCs w:val="22"/>
        </w:rPr>
        <w:t>La “Liste et explication technique succincte des différentes formes sous lesquelles les savoirs traditionnels peuvent se présenter” (WIPO/GRTKF/IC/17/INF/9) examine plus en détail les savoirs traditionnels divulgués et les savoirs traditionnels non divulgués.</w:t>
      </w:r>
    </w:p>
    <w:p w:rsidR="00AD541F" w:rsidRDefault="00DD607D" w:rsidP="00AD541F">
      <w:pPr>
        <w:pStyle w:val="Heading2"/>
        <w:spacing w:after="220" w:line="240" w:lineRule="auto"/>
      </w:pPr>
      <w:bookmarkStart w:id="119" w:name="_Toc7772590"/>
      <w:r w:rsidRPr="00E8642C">
        <w:t>Secret</w:t>
      </w:r>
      <w:bookmarkEnd w:id="119"/>
    </w:p>
    <w:p w:rsidR="00AD541F" w:rsidRDefault="00DD607D" w:rsidP="00AD541F">
      <w:pPr>
        <w:spacing w:after="220"/>
        <w:rPr>
          <w:rFonts w:cs="Arial"/>
          <w:szCs w:val="22"/>
        </w:rPr>
      </w:pPr>
      <w:r w:rsidRPr="00E8642C">
        <w:rPr>
          <w:rFonts w:cs="Arial"/>
          <w:szCs w:val="22"/>
        </w:rPr>
        <w:t>Ce qui est “secret” n</w:t>
      </w:r>
      <w:r w:rsidR="00D91476">
        <w:rPr>
          <w:rFonts w:cs="Arial"/>
          <w:szCs w:val="22"/>
        </w:rPr>
        <w:t>’</w:t>
      </w:r>
      <w:r w:rsidRPr="00E8642C">
        <w:rPr>
          <w:rFonts w:cs="Arial"/>
          <w:szCs w:val="22"/>
        </w:rPr>
        <w:t>est pas porté à la connaissance de tiers ou n</w:t>
      </w:r>
      <w:r w:rsidR="00D91476">
        <w:rPr>
          <w:rFonts w:cs="Arial"/>
          <w:szCs w:val="22"/>
        </w:rPr>
        <w:t>’</w:t>
      </w:r>
      <w:r w:rsidRPr="00E8642C">
        <w:rPr>
          <w:rFonts w:cs="Arial"/>
          <w:szCs w:val="22"/>
        </w:rPr>
        <w:t>est partagé qu</w:t>
      </w:r>
      <w:r w:rsidR="00D91476">
        <w:rPr>
          <w:rFonts w:cs="Arial"/>
          <w:szCs w:val="22"/>
        </w:rPr>
        <w:t>’</w:t>
      </w:r>
      <w:r w:rsidRPr="00E8642C">
        <w:rPr>
          <w:rFonts w:cs="Arial"/>
          <w:szCs w:val="22"/>
        </w:rPr>
        <w:t>avec les personnes concernées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w:t>
      </w:r>
      <w:r w:rsidR="001F3AEE" w:rsidRPr="00E8642C">
        <w:rPr>
          <w:rFonts w:cs="Arial"/>
          <w:szCs w:val="22"/>
        </w:rPr>
        <w:t>ry</w:t>
      </w:r>
      <w:proofErr w:type="spellEnd"/>
      <w:r w:rsidR="001F3AEE" w:rsidRPr="00E8642C">
        <w:rPr>
          <w:rFonts w:cs="Arial"/>
          <w:szCs w:val="22"/>
        </w:rPr>
        <w:t>)</w:t>
      </w:r>
      <w:r w:rsidR="001F3AEE">
        <w:rPr>
          <w:rFonts w:cs="Arial"/>
          <w:szCs w:val="22"/>
        </w:rPr>
        <w:t xml:space="preserve">.  </w:t>
      </w:r>
      <w:r w:rsidR="001F3AEE" w:rsidRPr="00E8642C">
        <w:rPr>
          <w:rFonts w:cs="Arial"/>
          <w:szCs w:val="22"/>
        </w:rPr>
        <w:t>Le</w:t>
      </w:r>
      <w:r w:rsidRPr="00E8642C">
        <w:rPr>
          <w:rFonts w:cs="Arial"/>
          <w:szCs w:val="22"/>
        </w:rPr>
        <w:t>s savoirs traditionnels et expressions culturelles traditionnelles “sacrés</w:t>
      </w:r>
      <w:r w:rsidR="00400337">
        <w:rPr>
          <w:rFonts w:cs="Arial"/>
          <w:szCs w:val="22"/>
        </w:rPr>
        <w:noBreakHyphen/>
      </w:r>
      <w:r w:rsidRPr="00E8642C">
        <w:rPr>
          <w:rFonts w:cs="Arial"/>
          <w:szCs w:val="22"/>
        </w:rPr>
        <w:t>secrets” ont un caractère secret ou sacré selon les lois et pratiques coutumières de leurs propriétaires traditionnels</w:t>
      </w:r>
      <w:r w:rsidRPr="00E8642C">
        <w:rPr>
          <w:rStyle w:val="FootnoteReference"/>
          <w:rFonts w:cs="Arial"/>
          <w:szCs w:val="22"/>
        </w:rPr>
        <w:footnoteReference w:id="166"/>
      </w:r>
      <w:r w:rsidRPr="00E8642C">
        <w:rPr>
          <w:rFonts w:cs="Arial"/>
          <w:szCs w:val="22"/>
        </w:rPr>
        <w:t>.</w:t>
      </w:r>
    </w:p>
    <w:p w:rsidR="00AD541F" w:rsidRDefault="00DD607D" w:rsidP="00AD541F">
      <w:pPr>
        <w:pStyle w:val="Heading2"/>
        <w:spacing w:after="220" w:line="240" w:lineRule="auto"/>
      </w:pPr>
      <w:bookmarkStart w:id="120" w:name="_Toc7772591"/>
      <w:r w:rsidRPr="00E8642C">
        <w:t>Source de ressources génétiques</w:t>
      </w:r>
      <w:bookmarkEnd w:id="120"/>
    </w:p>
    <w:p w:rsidR="00AD541F" w:rsidRDefault="00DD607D" w:rsidP="00AD541F">
      <w:pPr>
        <w:spacing w:after="220"/>
        <w:rPr>
          <w:rFonts w:cs="Arial"/>
          <w:szCs w:val="22"/>
        </w:rPr>
      </w:pPr>
      <w:r w:rsidRPr="00E8642C">
        <w:rPr>
          <w:rFonts w:cs="Arial"/>
          <w:szCs w:val="22"/>
        </w:rPr>
        <w:t>Dans sa proposition intitulée “Déclaration de la source des ressources génétiques et des savoirs traditionnels dans les demandes de brevet”, la délégation de la Suisse a proposé d</w:t>
      </w:r>
      <w:r w:rsidR="00D91476">
        <w:rPr>
          <w:rFonts w:cs="Arial"/>
          <w:szCs w:val="22"/>
        </w:rPr>
        <w:t>’</w:t>
      </w:r>
      <w:r w:rsidRPr="00E8642C">
        <w:rPr>
          <w:rFonts w:cs="Arial"/>
          <w:szCs w:val="22"/>
        </w:rPr>
        <w:t>obliger les déposants de demandes de brevet à déclarer la “source” des ressources génétiques et des savoirs traditionne</w:t>
      </w:r>
      <w:r w:rsidR="001F3AEE" w:rsidRPr="00E8642C">
        <w:rPr>
          <w:rFonts w:cs="Arial"/>
          <w:szCs w:val="22"/>
        </w:rPr>
        <w:t>ls</w:t>
      </w:r>
      <w:r w:rsidR="001F3AEE">
        <w:rPr>
          <w:rFonts w:cs="Arial"/>
          <w:szCs w:val="22"/>
        </w:rPr>
        <w:t xml:space="preserve">.  </w:t>
      </w:r>
      <w:r w:rsidR="001F3AEE" w:rsidRPr="00E8642C">
        <w:rPr>
          <w:rFonts w:cs="Arial"/>
          <w:szCs w:val="22"/>
        </w:rPr>
        <w:t>El</w:t>
      </w:r>
      <w:r w:rsidRPr="00E8642C">
        <w:rPr>
          <w:rFonts w:cs="Arial"/>
          <w:szCs w:val="22"/>
        </w:rPr>
        <w:t>le a indiqué que “</w:t>
      </w:r>
      <w:r w:rsidRPr="00E8642C">
        <w:rPr>
          <w:rFonts w:cs="Arial"/>
          <w:iCs/>
          <w:szCs w:val="22"/>
        </w:rPr>
        <w:t>le terme “source” doit s</w:t>
      </w:r>
      <w:r w:rsidR="00D91476">
        <w:rPr>
          <w:rFonts w:cs="Arial"/>
          <w:iCs/>
          <w:szCs w:val="22"/>
        </w:rPr>
        <w:t>’</w:t>
      </w:r>
      <w:r w:rsidRPr="00E8642C">
        <w:rPr>
          <w:rFonts w:cs="Arial"/>
          <w:iCs/>
          <w:szCs w:val="22"/>
        </w:rPr>
        <w:t>entendre au sens le plus large possible</w:t>
      </w:r>
      <w:r w:rsidRPr="00E8642C">
        <w:rPr>
          <w:rFonts w:cs="Arial"/>
          <w:szCs w:val="22"/>
        </w:rPr>
        <w:t>”, étant donné qu</w:t>
      </w:r>
      <w:r w:rsidR="00D91476">
        <w:rPr>
          <w:rFonts w:cs="Arial"/>
          <w:szCs w:val="22"/>
        </w:rPr>
        <w:t>’</w:t>
      </w:r>
      <w:r w:rsidRPr="00E8642C">
        <w:rPr>
          <w:rFonts w:cs="Arial"/>
          <w:szCs w:val="22"/>
        </w:rPr>
        <w:t>une “</w:t>
      </w:r>
      <w:r w:rsidRPr="00E8642C">
        <w:rPr>
          <w:rFonts w:cs="Arial"/>
          <w:iCs/>
          <w:szCs w:val="22"/>
        </w:rPr>
        <w:t>multitude d</w:t>
      </w:r>
      <w:r w:rsidR="00D91476">
        <w:rPr>
          <w:rFonts w:cs="Arial"/>
          <w:iCs/>
          <w:szCs w:val="22"/>
        </w:rPr>
        <w:t>’</w:t>
      </w:r>
      <w:r w:rsidRPr="00E8642C">
        <w:rPr>
          <w:rFonts w:cs="Arial"/>
          <w:iCs/>
          <w:szCs w:val="22"/>
        </w:rPr>
        <w:t>entités peuvent intervenir dans l</w:t>
      </w:r>
      <w:r w:rsidR="00D91476">
        <w:rPr>
          <w:rFonts w:cs="Arial"/>
          <w:iCs/>
          <w:szCs w:val="22"/>
        </w:rPr>
        <w:t>’</w:t>
      </w:r>
      <w:r w:rsidRPr="00E8642C">
        <w:rPr>
          <w:rFonts w:cs="Arial"/>
          <w:iCs/>
          <w:szCs w:val="22"/>
        </w:rPr>
        <w:t>accès et le partage des avantag</w:t>
      </w:r>
      <w:r w:rsidR="001F3AEE" w:rsidRPr="00E8642C">
        <w:rPr>
          <w:rFonts w:cs="Arial"/>
          <w:iCs/>
          <w:szCs w:val="22"/>
        </w:rPr>
        <w:t>es</w:t>
      </w:r>
      <w:r w:rsidR="001F3AEE">
        <w:rPr>
          <w:rFonts w:cs="Arial"/>
          <w:iCs/>
          <w:szCs w:val="22"/>
        </w:rPr>
        <w:t xml:space="preserve">.  </w:t>
      </w:r>
      <w:r w:rsidR="001F3AEE" w:rsidRPr="00E8642C">
        <w:rPr>
          <w:rFonts w:cs="Arial"/>
          <w:iCs/>
          <w:szCs w:val="22"/>
        </w:rPr>
        <w:t>Do</w:t>
      </w:r>
      <w:r w:rsidRPr="00E8642C">
        <w:rPr>
          <w:rFonts w:cs="Arial"/>
          <w:iCs/>
          <w:szCs w:val="22"/>
        </w:rPr>
        <w:t>it être déclarée en tant que source l</w:t>
      </w:r>
      <w:r w:rsidR="00D91476">
        <w:rPr>
          <w:rFonts w:cs="Arial"/>
          <w:iCs/>
          <w:szCs w:val="22"/>
        </w:rPr>
        <w:t>’</w:t>
      </w:r>
      <w:r w:rsidRPr="00E8642C">
        <w:rPr>
          <w:rFonts w:cs="Arial"/>
          <w:iCs/>
          <w:szCs w:val="22"/>
        </w:rPr>
        <w:t>entité compétente pour 1) octroyer l</w:t>
      </w:r>
      <w:r w:rsidR="00D91476">
        <w:rPr>
          <w:rFonts w:cs="Arial"/>
          <w:iCs/>
          <w:szCs w:val="22"/>
        </w:rPr>
        <w:t>’</w:t>
      </w:r>
      <w:r w:rsidRPr="00E8642C">
        <w:rPr>
          <w:rFonts w:cs="Arial"/>
          <w:iCs/>
          <w:szCs w:val="22"/>
        </w:rPr>
        <w:t>accès aux ressources génétiques ou aux savoirs traditionnels ou 2) participer au partage des avantages découlant de leur utilisati</w:t>
      </w:r>
      <w:r w:rsidR="001F3AEE" w:rsidRPr="00E8642C">
        <w:rPr>
          <w:rFonts w:cs="Arial"/>
          <w:iCs/>
          <w:szCs w:val="22"/>
        </w:rPr>
        <w:t>on</w:t>
      </w:r>
      <w:r w:rsidR="001F3AEE">
        <w:rPr>
          <w:rFonts w:cs="Arial"/>
          <w:iCs/>
          <w:szCs w:val="22"/>
        </w:rPr>
        <w:t xml:space="preserve">.  </w:t>
      </w:r>
      <w:r w:rsidR="001F3AEE" w:rsidRPr="00E8642C">
        <w:rPr>
          <w:rFonts w:cs="Arial"/>
          <w:iCs/>
          <w:szCs w:val="22"/>
        </w:rPr>
        <w:t>Se</w:t>
      </w:r>
      <w:r w:rsidRPr="00E8642C">
        <w:rPr>
          <w:rFonts w:cs="Arial"/>
          <w:iCs/>
          <w:szCs w:val="22"/>
        </w:rPr>
        <w:t>lon les ressources génétiques ou les savoirs traditionnels en cause, on peut distinguer, d</w:t>
      </w:r>
      <w:r w:rsidR="00D91476">
        <w:rPr>
          <w:rFonts w:cs="Arial"/>
          <w:iCs/>
          <w:szCs w:val="22"/>
        </w:rPr>
        <w:t>’</w:t>
      </w:r>
      <w:r w:rsidRPr="00E8642C">
        <w:rPr>
          <w:rFonts w:cs="Arial"/>
          <w:iCs/>
          <w:szCs w:val="22"/>
        </w:rPr>
        <w:t>une part, des sources primaires, notamment les Parties contractantes donnant accès aux ressources génétiques</w:t>
      </w:r>
      <w:r w:rsidRPr="00E8642C">
        <w:rPr>
          <w:rStyle w:val="FootnoteReference"/>
          <w:rFonts w:cs="Arial"/>
          <w:iCs/>
          <w:szCs w:val="22"/>
        </w:rPr>
        <w:footnoteReference w:id="167"/>
      </w:r>
      <w:r w:rsidRPr="00E8642C">
        <w:rPr>
          <w:rFonts w:cs="Arial"/>
          <w:iCs/>
          <w:szCs w:val="22"/>
        </w:rPr>
        <w:t>, le système multilatéral du Traité international de l</w:t>
      </w:r>
      <w:r w:rsidR="00D91476">
        <w:rPr>
          <w:rFonts w:cs="Arial"/>
          <w:iCs/>
          <w:szCs w:val="22"/>
        </w:rPr>
        <w:t>’</w:t>
      </w:r>
      <w:r w:rsidRPr="00E8642C">
        <w:rPr>
          <w:rFonts w:cs="Arial"/>
          <w:iCs/>
          <w:szCs w:val="22"/>
        </w:rPr>
        <w:t xml:space="preserve">Organisation des </w:t>
      </w:r>
      <w:r w:rsidR="00D91476">
        <w:rPr>
          <w:rFonts w:cs="Arial"/>
          <w:iCs/>
          <w:szCs w:val="22"/>
        </w:rPr>
        <w:t>Nations Unies</w:t>
      </w:r>
      <w:r w:rsidRPr="00E8642C">
        <w:rPr>
          <w:rFonts w:cs="Arial"/>
          <w:iCs/>
          <w:szCs w:val="22"/>
        </w:rPr>
        <w:t xml:space="preserve"> pour l</w:t>
      </w:r>
      <w:r w:rsidR="00D91476">
        <w:rPr>
          <w:rFonts w:cs="Arial"/>
          <w:iCs/>
          <w:szCs w:val="22"/>
        </w:rPr>
        <w:t>’</w:t>
      </w:r>
      <w:r w:rsidRPr="00E8642C">
        <w:rPr>
          <w:rFonts w:cs="Arial"/>
          <w:iCs/>
          <w:szCs w:val="22"/>
        </w:rPr>
        <w:t>alimentation et l</w:t>
      </w:r>
      <w:r w:rsidR="00D91476">
        <w:rPr>
          <w:rFonts w:cs="Arial"/>
          <w:iCs/>
          <w:szCs w:val="22"/>
        </w:rPr>
        <w:t>’</w:t>
      </w:r>
      <w:r w:rsidRPr="00E8642C">
        <w:rPr>
          <w:rFonts w:cs="Arial"/>
          <w:iCs/>
          <w:szCs w:val="22"/>
        </w:rPr>
        <w:t>agriculture (FAO)</w:t>
      </w:r>
      <w:r w:rsidRPr="00E8642C">
        <w:rPr>
          <w:rStyle w:val="FootnoteReference"/>
          <w:rFonts w:cs="Arial"/>
          <w:iCs/>
          <w:szCs w:val="22"/>
        </w:rPr>
        <w:footnoteReference w:id="168"/>
      </w:r>
      <w:r w:rsidRPr="00E8642C">
        <w:rPr>
          <w:rFonts w:cs="Arial"/>
          <w:iCs/>
          <w:szCs w:val="22"/>
        </w:rPr>
        <w:t>, les communautés autochtones et locales</w:t>
      </w:r>
      <w:r w:rsidRPr="00E8642C">
        <w:rPr>
          <w:rStyle w:val="FootnoteReference"/>
          <w:rFonts w:cs="Arial"/>
          <w:iCs/>
          <w:szCs w:val="22"/>
        </w:rPr>
        <w:footnoteReference w:id="169"/>
      </w:r>
      <w:r w:rsidRPr="00E8642C">
        <w:rPr>
          <w:rFonts w:cs="Arial"/>
          <w:iCs/>
          <w:szCs w:val="22"/>
        </w:rPr>
        <w:t xml:space="preserve"> et, d</w:t>
      </w:r>
      <w:r w:rsidR="00D91476">
        <w:rPr>
          <w:rFonts w:cs="Arial"/>
          <w:iCs/>
          <w:szCs w:val="22"/>
        </w:rPr>
        <w:t>’</w:t>
      </w:r>
      <w:r w:rsidRPr="00E8642C">
        <w:rPr>
          <w:rFonts w:cs="Arial"/>
          <w:iCs/>
          <w:szCs w:val="22"/>
        </w:rPr>
        <w:t xml:space="preserve">autre part, des sources secondaires, notamment les collections </w:t>
      </w:r>
      <w:r w:rsidRPr="00E8642C">
        <w:rPr>
          <w:rFonts w:cs="Arial"/>
          <w:i/>
          <w:szCs w:val="22"/>
        </w:rPr>
        <w:t>ex situ</w:t>
      </w:r>
      <w:r w:rsidRPr="00E8642C">
        <w:rPr>
          <w:rFonts w:cs="Arial"/>
          <w:iCs/>
          <w:szCs w:val="22"/>
        </w:rPr>
        <w:t xml:space="preserve"> et la littérature scientifique”</w:t>
      </w:r>
      <w:r w:rsidRPr="00E8642C">
        <w:rPr>
          <w:rStyle w:val="FootnoteReference"/>
          <w:rFonts w:cs="Arial"/>
          <w:iCs/>
          <w:szCs w:val="22"/>
        </w:rPr>
        <w:footnoteReference w:id="170"/>
      </w:r>
      <w:r w:rsidRPr="00E8642C">
        <w:rPr>
          <w:rFonts w:cs="Arial"/>
          <w:iCs/>
          <w:szCs w:val="22"/>
        </w:rPr>
        <w:t>.</w:t>
      </w:r>
    </w:p>
    <w:p w:rsidR="00AD541F" w:rsidRDefault="00DD607D" w:rsidP="00AD541F">
      <w:pPr>
        <w:pStyle w:val="Heading2"/>
        <w:spacing w:after="220" w:line="240" w:lineRule="auto"/>
        <w:rPr>
          <w:i/>
        </w:rPr>
      </w:pPr>
      <w:bookmarkStart w:id="121" w:name="_Toc7772592"/>
      <w:r w:rsidRPr="00E8642C">
        <w:rPr>
          <w:i/>
        </w:rPr>
        <w:t>Sui generis</w:t>
      </w:r>
      <w:bookmarkEnd w:id="121"/>
    </w:p>
    <w:p w:rsidR="00AD541F" w:rsidRDefault="00DD607D" w:rsidP="00AD541F">
      <w:pPr>
        <w:spacing w:after="220"/>
        <w:rPr>
          <w:rFonts w:cs="Arial"/>
          <w:szCs w:val="22"/>
        </w:rPr>
      </w:pPr>
      <w:r w:rsidRPr="00E8642C">
        <w:rPr>
          <w:rFonts w:cs="Arial"/>
          <w:szCs w:val="22"/>
        </w:rPr>
        <w:t xml:space="preserve">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w:t>
      </w:r>
      <w:r w:rsidRPr="00E8642C">
        <w:rPr>
          <w:rFonts w:cs="Arial"/>
          <w:i/>
          <w:iCs/>
          <w:szCs w:val="22"/>
        </w:rPr>
        <w:t>sui generis</w:t>
      </w:r>
      <w:r w:rsidRPr="00E8642C">
        <w:rPr>
          <w:rFonts w:cs="Arial"/>
          <w:szCs w:val="22"/>
        </w:rPr>
        <w:t>” de la manière suivante</w:t>
      </w:r>
      <w:r w:rsidR="00D91476">
        <w:rPr>
          <w:rFonts w:cs="Arial"/>
          <w:szCs w:val="22"/>
        </w:rPr>
        <w:t> :</w:t>
      </w:r>
      <w:r w:rsidRPr="00E8642C">
        <w:rPr>
          <w:rFonts w:cs="Arial"/>
          <w:szCs w:val="22"/>
        </w:rPr>
        <w:t xml:space="preserve"> </w:t>
      </w:r>
      <w:proofErr w:type="gramStart"/>
      <w:r w:rsidRPr="00E8642C">
        <w:rPr>
          <w:rFonts w:cs="Arial"/>
          <w:szCs w:val="22"/>
        </w:rPr>
        <w:t>“</w:t>
      </w:r>
      <w:r w:rsidRPr="00E8642C">
        <w:rPr>
          <w:rFonts w:cs="Arial"/>
          <w:i/>
          <w:iCs/>
          <w:szCs w:val="22"/>
        </w:rPr>
        <w:t>[</w:t>
      </w:r>
      <w:proofErr w:type="gramEnd"/>
      <w:r w:rsidRPr="00E8642C">
        <w:rPr>
          <w:rFonts w:cs="Arial"/>
          <w:i/>
          <w:iCs/>
          <w:szCs w:val="22"/>
        </w:rPr>
        <w:t xml:space="preserve">Du latin </w:t>
      </w:r>
      <w:r w:rsidR="00D91476">
        <w:rPr>
          <w:rFonts w:cs="Arial"/>
          <w:i/>
          <w:iCs/>
          <w:szCs w:val="22"/>
        </w:rPr>
        <w:t>‘</w:t>
      </w:r>
      <w:r w:rsidRPr="00E8642C">
        <w:rPr>
          <w:rFonts w:cs="Arial"/>
          <w:i/>
          <w:iCs/>
          <w:szCs w:val="22"/>
        </w:rPr>
        <w:t>de son espèce</w:t>
      </w:r>
      <w:r w:rsidR="00D91476">
        <w:rPr>
          <w:rFonts w:cs="Arial"/>
          <w:i/>
          <w:iCs/>
          <w:szCs w:val="22"/>
        </w:rPr>
        <w:t>’</w:t>
      </w:r>
      <w:r w:rsidRPr="00E8642C">
        <w:rPr>
          <w:rFonts w:cs="Arial"/>
          <w:i/>
          <w:iCs/>
          <w:szCs w:val="22"/>
        </w:rPr>
        <w:t xml:space="preserve">] </w:t>
      </w:r>
      <w:r w:rsidRPr="00E8642C">
        <w:rPr>
          <w:rFonts w:cs="Arial"/>
          <w:iCs/>
          <w:szCs w:val="22"/>
        </w:rPr>
        <w:t>De son espèce ou classe;  unique ou particuli</w:t>
      </w:r>
      <w:r w:rsidR="001F3AEE" w:rsidRPr="00E8642C">
        <w:rPr>
          <w:rFonts w:cs="Arial"/>
          <w:iCs/>
          <w:szCs w:val="22"/>
        </w:rPr>
        <w:t>er</w:t>
      </w:r>
      <w:r w:rsidR="001F3AEE">
        <w:rPr>
          <w:rFonts w:cs="Arial"/>
          <w:iCs/>
          <w:szCs w:val="22"/>
        </w:rPr>
        <w:t xml:space="preserve">.  </w:t>
      </w:r>
      <w:r w:rsidR="001F3AEE" w:rsidRPr="00E8642C">
        <w:rPr>
          <w:rFonts w:cs="Arial"/>
          <w:iCs/>
          <w:szCs w:val="22"/>
        </w:rPr>
        <w:t>Ce</w:t>
      </w:r>
      <w:r w:rsidRPr="00E8642C">
        <w:rPr>
          <w:rFonts w:cs="Arial"/>
          <w:iCs/>
          <w:szCs w:val="22"/>
        </w:rPr>
        <w:t xml:space="preserve"> terme est utilisé en droit de propriété intellectuelle pour décrire un régime conçu pour protéger des droits qui ne relèvent pas de la doctrine relative aux brevets et aux marques, au droit d</w:t>
      </w:r>
      <w:r w:rsidR="00D91476">
        <w:rPr>
          <w:rFonts w:cs="Arial"/>
          <w:iCs/>
          <w:szCs w:val="22"/>
        </w:rPr>
        <w:t>’</w:t>
      </w:r>
      <w:r w:rsidRPr="00E8642C">
        <w:rPr>
          <w:rFonts w:cs="Arial"/>
          <w:iCs/>
          <w:szCs w:val="22"/>
        </w:rPr>
        <w:t>auteur et aux secrets des affair</w:t>
      </w:r>
      <w:r w:rsidR="001F3AEE" w:rsidRPr="00E8642C">
        <w:rPr>
          <w:rFonts w:cs="Arial"/>
          <w:iCs/>
          <w:szCs w:val="22"/>
        </w:rPr>
        <w:t>es</w:t>
      </w:r>
      <w:r w:rsidR="001F3AEE">
        <w:rPr>
          <w:rFonts w:cs="Arial"/>
          <w:iCs/>
          <w:szCs w:val="22"/>
        </w:rPr>
        <w:t xml:space="preserve">.  </w:t>
      </w:r>
      <w:r w:rsidR="001F3AEE" w:rsidRPr="00E8642C">
        <w:rPr>
          <w:rFonts w:cs="Arial"/>
          <w:iCs/>
          <w:szCs w:val="22"/>
        </w:rPr>
        <w:t>Pa</w:t>
      </w:r>
      <w:r w:rsidRPr="00E8642C">
        <w:rPr>
          <w:rFonts w:cs="Arial"/>
          <w:iCs/>
          <w:szCs w:val="22"/>
        </w:rPr>
        <w:t>r exemple, une base de données peut ne pas être protégée par le droit d</w:t>
      </w:r>
      <w:r w:rsidR="00D91476">
        <w:rPr>
          <w:rFonts w:cs="Arial"/>
          <w:iCs/>
          <w:szCs w:val="22"/>
        </w:rPr>
        <w:t>’</w:t>
      </w:r>
      <w:r w:rsidRPr="00E8642C">
        <w:rPr>
          <w:rFonts w:cs="Arial"/>
          <w:iCs/>
          <w:szCs w:val="22"/>
        </w:rPr>
        <w:t>auteur si son contenu n</w:t>
      </w:r>
      <w:r w:rsidR="00D91476">
        <w:rPr>
          <w:rFonts w:cs="Arial"/>
          <w:iCs/>
          <w:szCs w:val="22"/>
        </w:rPr>
        <w:t>’</w:t>
      </w:r>
      <w:r w:rsidRPr="00E8642C">
        <w:rPr>
          <w:rFonts w:cs="Arial"/>
          <w:iCs/>
          <w:szCs w:val="22"/>
        </w:rPr>
        <w:t xml:space="preserve">est pas original, mais pourrait être protégée par une loi </w:t>
      </w:r>
      <w:r w:rsidRPr="00007531">
        <w:rPr>
          <w:i/>
        </w:rPr>
        <w:t>sui generis</w:t>
      </w:r>
      <w:r w:rsidRPr="00E8642C">
        <w:rPr>
          <w:rFonts w:cs="Arial"/>
          <w:iCs/>
          <w:szCs w:val="22"/>
        </w:rPr>
        <w:t xml:space="preserve"> conçue à cet effet</w:t>
      </w:r>
      <w:r w:rsidRPr="00E8642C">
        <w:rPr>
          <w:rFonts w:cs="Arial"/>
          <w:szCs w:val="22"/>
        </w:rPr>
        <w:t xml:space="preserve">”.  Un système </w:t>
      </w:r>
      <w:r w:rsidRPr="00E8642C">
        <w:rPr>
          <w:rFonts w:cs="Arial"/>
          <w:i/>
          <w:iCs/>
          <w:szCs w:val="22"/>
        </w:rPr>
        <w:t>sui generis</w:t>
      </w:r>
      <w:r w:rsidRPr="00E8642C">
        <w:rPr>
          <w:rFonts w:cs="Arial"/>
          <w:szCs w:val="22"/>
        </w:rPr>
        <w:t xml:space="preserve"> est un système conçu spécialement pour répondre à des besoins et à des difficultés sur une question préci</w:t>
      </w:r>
      <w:r w:rsidR="001F3AEE" w:rsidRPr="00E8642C">
        <w:rPr>
          <w:rFonts w:cs="Arial"/>
          <w:szCs w:val="22"/>
        </w:rPr>
        <w:t>se</w:t>
      </w:r>
      <w:r w:rsidR="001F3AEE">
        <w:rPr>
          <w:rFonts w:cs="Arial"/>
          <w:szCs w:val="22"/>
        </w:rPr>
        <w:t xml:space="preserve">.  </w:t>
      </w:r>
      <w:r w:rsidR="001F3AEE" w:rsidRPr="00E8642C">
        <w:rPr>
          <w:rFonts w:cs="Arial"/>
          <w:szCs w:val="22"/>
        </w:rPr>
        <w:t>Il</w:t>
      </w:r>
      <w:r w:rsidRPr="00E8642C">
        <w:rPr>
          <w:rFonts w:cs="Arial"/>
          <w:szCs w:val="22"/>
        </w:rPr>
        <w:t xml:space="preserve"> existe déjà plusieurs exemples de droits de propriété intellectuelle </w:t>
      </w:r>
      <w:r w:rsidRPr="00E8642C">
        <w:rPr>
          <w:rFonts w:cs="Arial"/>
          <w:i/>
          <w:iCs/>
          <w:szCs w:val="22"/>
        </w:rPr>
        <w:t>sui generis</w:t>
      </w:r>
      <w:r w:rsidRPr="00E8642C">
        <w:rPr>
          <w:rFonts w:cs="Arial"/>
          <w:szCs w:val="22"/>
        </w:rPr>
        <w:t>, tels que les droits d</w:t>
      </w:r>
      <w:r w:rsidR="00D91476">
        <w:rPr>
          <w:rFonts w:cs="Arial"/>
          <w:szCs w:val="22"/>
        </w:rPr>
        <w:t>’</w:t>
      </w:r>
      <w:r w:rsidRPr="00E8642C">
        <w:rPr>
          <w:rFonts w:cs="Arial"/>
          <w:szCs w:val="22"/>
        </w:rPr>
        <w:t>obtenteur qui font l</w:t>
      </w:r>
      <w:r w:rsidR="00D91476">
        <w:rPr>
          <w:rFonts w:cs="Arial"/>
          <w:szCs w:val="22"/>
        </w:rPr>
        <w:t>’</w:t>
      </w:r>
      <w:r w:rsidRPr="00E8642C">
        <w:rPr>
          <w:rFonts w:cs="Arial"/>
          <w:szCs w:val="22"/>
        </w:rPr>
        <w:t xml:space="preserve">objet de la </w:t>
      </w:r>
      <w:r w:rsidRPr="00E8642C">
        <w:rPr>
          <w:rFonts w:cs="Arial"/>
          <w:i/>
          <w:szCs w:val="22"/>
        </w:rPr>
        <w:t>Convention internationale pour la protection des obtentions végétales</w:t>
      </w:r>
      <w:r w:rsidRPr="00E8642C">
        <w:rPr>
          <w:rFonts w:cs="Arial"/>
          <w:szCs w:val="22"/>
        </w:rPr>
        <w:t xml:space="preserve"> de 1991 (“</w:t>
      </w:r>
      <w:r w:rsidR="00D91476">
        <w:rPr>
          <w:rFonts w:cs="Arial"/>
          <w:szCs w:val="22"/>
        </w:rPr>
        <w:t>Convention UPOV</w:t>
      </w:r>
      <w:r w:rsidRPr="00E8642C">
        <w:rPr>
          <w:rFonts w:cs="Arial"/>
          <w:szCs w:val="22"/>
        </w:rPr>
        <w:t>”) et la protection des droits de propriété intellectuelle en matière de circuits intégrés faisant l</w:t>
      </w:r>
      <w:r w:rsidR="00D91476">
        <w:rPr>
          <w:rFonts w:cs="Arial"/>
          <w:szCs w:val="22"/>
        </w:rPr>
        <w:t>’</w:t>
      </w:r>
      <w:r w:rsidRPr="00E8642C">
        <w:rPr>
          <w:rFonts w:cs="Arial"/>
          <w:szCs w:val="22"/>
        </w:rPr>
        <w:t xml:space="preserve">objet du </w:t>
      </w:r>
      <w:r w:rsidRPr="00E8642C">
        <w:rPr>
          <w:rFonts w:cs="Arial"/>
          <w:i/>
          <w:szCs w:val="22"/>
        </w:rPr>
        <w:t>Traité sur la propriété intellectuelle en matière de circuits intégrés</w:t>
      </w:r>
      <w:r w:rsidRPr="00E8642C">
        <w:rPr>
          <w:rFonts w:cs="Arial"/>
          <w:szCs w:val="22"/>
        </w:rPr>
        <w:t xml:space="preserve"> de 1989 (“Traité de Washington”), entre autr</w:t>
      </w:r>
      <w:r w:rsidR="001F3AEE" w:rsidRPr="00E8642C">
        <w:rPr>
          <w:rFonts w:cs="Arial"/>
          <w:szCs w:val="22"/>
        </w:rPr>
        <w:t>es</w:t>
      </w:r>
      <w:r w:rsidR="001F3AEE">
        <w:rPr>
          <w:rFonts w:cs="Arial"/>
          <w:szCs w:val="22"/>
        </w:rPr>
        <w:t xml:space="preserve">.  </w:t>
      </w:r>
      <w:r w:rsidR="001F3AEE" w:rsidRPr="00E8642C">
        <w:rPr>
          <w:rFonts w:cs="Arial"/>
          <w:szCs w:val="22"/>
        </w:rPr>
        <w:t>La</w:t>
      </w:r>
      <w:r w:rsidRPr="00E8642C">
        <w:rPr>
          <w:rFonts w:cs="Arial"/>
          <w:szCs w:val="22"/>
        </w:rPr>
        <w:t xml:space="preserve"> </w:t>
      </w:r>
      <w:r w:rsidRPr="00E8642C">
        <w:rPr>
          <w:rFonts w:cs="Arial"/>
          <w:i/>
          <w:szCs w:val="22"/>
        </w:rPr>
        <w:t>loi panaméenne n° 20 du 26 juin 2000 sur le régime spécial de propriété intellectuelle régissant les droits collectifs des peuples autochtones pour la protection et la défense de leur identité culturelle et de leurs savoirs traditionnels</w:t>
      </w:r>
      <w:r w:rsidRPr="00E8642C">
        <w:rPr>
          <w:rFonts w:cs="Arial"/>
          <w:szCs w:val="22"/>
        </w:rPr>
        <w:t xml:space="preserve"> est un régime </w:t>
      </w:r>
      <w:r w:rsidRPr="00E8642C">
        <w:rPr>
          <w:rFonts w:cs="Arial"/>
          <w:i/>
          <w:iCs/>
          <w:szCs w:val="22"/>
        </w:rPr>
        <w:t>sui generis</w:t>
      </w:r>
      <w:r w:rsidRPr="00E8642C">
        <w:rPr>
          <w:rFonts w:cs="Arial"/>
          <w:iCs/>
          <w:szCs w:val="22"/>
        </w:rPr>
        <w:t>.</w:t>
      </w:r>
    </w:p>
    <w:p w:rsidR="00AD541F" w:rsidRDefault="00DD607D" w:rsidP="00AD541F">
      <w:pPr>
        <w:pStyle w:val="Heading2"/>
        <w:spacing w:after="220" w:line="240" w:lineRule="auto"/>
      </w:pPr>
      <w:bookmarkStart w:id="122" w:name="_Toc7772593"/>
      <w:r w:rsidRPr="00E8642C">
        <w:t xml:space="preserve">Traité international sur les ressources </w:t>
      </w:r>
      <w:proofErr w:type="spellStart"/>
      <w:r w:rsidRPr="00E8642C">
        <w:t>phytogénétiques</w:t>
      </w:r>
      <w:proofErr w:type="spellEnd"/>
      <w:r w:rsidRPr="00E8642C">
        <w:t xml:space="preserve"> pour l</w:t>
      </w:r>
      <w:r w:rsidR="00D91476">
        <w:t>’</w:t>
      </w:r>
      <w:r w:rsidRPr="00E8642C">
        <w:t>alimentation et l</w:t>
      </w:r>
      <w:r w:rsidR="00D91476">
        <w:t>’</w:t>
      </w:r>
      <w:r w:rsidRPr="00E8642C">
        <w:t>agriculture</w:t>
      </w:r>
      <w:bookmarkEnd w:id="122"/>
    </w:p>
    <w:p w:rsidR="00AD541F" w:rsidRDefault="00DD607D" w:rsidP="00AD541F">
      <w:pPr>
        <w:spacing w:after="220"/>
      </w:pPr>
      <w:r w:rsidRPr="00E8642C">
        <w:t xml:space="preserve">Le Traité international sur les ressources </w:t>
      </w:r>
      <w:proofErr w:type="spellStart"/>
      <w:r w:rsidRPr="00E8642C">
        <w:t>phytogénétiques</w:t>
      </w:r>
      <w:proofErr w:type="spellEnd"/>
      <w:r w:rsidRPr="00E8642C">
        <w:t xml:space="preserve"> pour l</w:t>
      </w:r>
      <w:r w:rsidR="00D91476">
        <w:t>’</w:t>
      </w:r>
      <w:r w:rsidRPr="00E8642C">
        <w:t>alimentation et l</w:t>
      </w:r>
      <w:r w:rsidR="00D91476">
        <w:t>’</w:t>
      </w:r>
      <w:r w:rsidRPr="00E8642C">
        <w:t>agriculture (Traité international) a été adopté à la trente</w:t>
      </w:r>
      <w:r w:rsidR="00D91476">
        <w:t> et unième session</w:t>
      </w:r>
      <w:r w:rsidRPr="00E8642C">
        <w:t xml:space="preserve"> de la Conférence de l</w:t>
      </w:r>
      <w:r w:rsidR="00D91476">
        <w:t>’</w:t>
      </w:r>
      <w:r w:rsidRPr="00E8642C">
        <w:t xml:space="preserve">Organisation des </w:t>
      </w:r>
      <w:r w:rsidR="00D91476">
        <w:t>Nations Unies</w:t>
      </w:r>
      <w:r w:rsidRPr="00E8642C">
        <w:t xml:space="preserve"> pour l</w:t>
      </w:r>
      <w:r w:rsidR="00D91476">
        <w:t>’</w:t>
      </w:r>
      <w:r w:rsidRPr="00E8642C">
        <w:t>alimentation et l</w:t>
      </w:r>
      <w:r w:rsidR="00D91476">
        <w:t>’</w:t>
      </w:r>
      <w:r w:rsidRPr="00E8642C">
        <w:t>agriculture le 3 novembre 2001 et il est entré en vigueur en 2004.  Ce traité a pour objet</w:t>
      </w:r>
      <w:r w:rsidR="00D91476">
        <w:t> :</w:t>
      </w:r>
      <w:r w:rsidRPr="00E8642C">
        <w:t xml:space="preserve"> 1) de reconnaître l</w:t>
      </w:r>
      <w:r w:rsidR="00D91476">
        <w:t>’</w:t>
      </w:r>
      <w:r w:rsidRPr="00E8642C">
        <w:t>énorme contribution des agriculteurs à la diversité des plantes qui nourrissent le monde;  2) de mettre en place un système mondial permettant aux agriculteurs, aux obtenteurs et aux chercheurs d</w:t>
      </w:r>
      <w:r w:rsidR="00D91476">
        <w:t>’</w:t>
      </w:r>
      <w:r w:rsidRPr="00E8642C">
        <w:t xml:space="preserve">avoir accès au matériel </w:t>
      </w:r>
      <w:proofErr w:type="spellStart"/>
      <w:r w:rsidRPr="00E8642C">
        <w:t>phytogénétique</w:t>
      </w:r>
      <w:proofErr w:type="spellEnd"/>
      <w:r w:rsidRPr="00E8642C">
        <w:t>;  et 3) de faire en sorte que les destinataires partagent les avantages qu</w:t>
      </w:r>
      <w:r w:rsidR="00D91476">
        <w:t>’</w:t>
      </w:r>
      <w:r w:rsidRPr="00E8642C">
        <w:t>ils tirent de l</w:t>
      </w:r>
      <w:r w:rsidR="00D91476">
        <w:t>’</w:t>
      </w:r>
      <w:r w:rsidRPr="00E8642C">
        <w:t>utilisation de ces ressources génétiques avec les pays d</w:t>
      </w:r>
      <w:r w:rsidR="00D91476">
        <w:t>’</w:t>
      </w:r>
      <w:r w:rsidRPr="00E8642C">
        <w:t>où elles proviennent</w:t>
      </w:r>
      <w:r w:rsidRPr="00E8642C">
        <w:rPr>
          <w:rStyle w:val="FootnoteReference"/>
          <w:rFonts w:cs="Arial"/>
          <w:szCs w:val="22"/>
        </w:rPr>
        <w:footnoteReference w:id="171"/>
      </w:r>
      <w:r w:rsidRPr="00E8642C">
        <w:t>.</w:t>
      </w:r>
    </w:p>
    <w:p w:rsidR="00AD541F" w:rsidRDefault="00DD607D" w:rsidP="00AD541F">
      <w:pPr>
        <w:pStyle w:val="Heading2"/>
        <w:spacing w:after="220" w:line="240" w:lineRule="auto"/>
      </w:pPr>
      <w:bookmarkStart w:id="123" w:name="_Toc7772594"/>
      <w:r w:rsidRPr="00E8642C">
        <w:t>Utilisation</w:t>
      </w:r>
      <w:bookmarkEnd w:id="123"/>
    </w:p>
    <w:p w:rsidR="00AD541F" w:rsidRDefault="00DD607D" w:rsidP="00AD541F">
      <w:pPr>
        <w:spacing w:after="220"/>
        <w:rPr>
          <w:rFonts w:cs="Arial"/>
          <w:szCs w:val="22"/>
        </w:rPr>
      </w:pPr>
      <w:r w:rsidRPr="00E8642C">
        <w:rPr>
          <w:rFonts w:cs="Arial"/>
          <w:szCs w:val="22"/>
        </w:rPr>
        <w:t xml:space="preserve">Le </w:t>
      </w:r>
      <w:r w:rsidRPr="00E8642C">
        <w:rPr>
          <w:rFonts w:cs="Arial"/>
          <w:i/>
          <w:szCs w:val="22"/>
          <w:lang w:eastAsia="zh-CN"/>
        </w:rPr>
        <w:t>Protocole de Nagoya sur l</w:t>
      </w:r>
      <w:r w:rsidR="00D91476">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définit le terme </w:t>
      </w:r>
      <w:r w:rsidRPr="00E8642C">
        <w:rPr>
          <w:rFonts w:cs="Arial"/>
          <w:szCs w:val="22"/>
        </w:rPr>
        <w:t xml:space="preserve">“utilisation des ressources génétiques” </w:t>
      </w:r>
      <w:r w:rsidRPr="00E8642C">
        <w:rPr>
          <w:rFonts w:cs="Arial"/>
          <w:szCs w:val="22"/>
          <w:lang w:eastAsia="zh-CN"/>
        </w:rPr>
        <w:t>à l</w:t>
      </w:r>
      <w:r w:rsidR="00D91476">
        <w:rPr>
          <w:rFonts w:cs="Arial"/>
          <w:szCs w:val="22"/>
          <w:lang w:eastAsia="zh-CN"/>
        </w:rPr>
        <w:t>’</w:t>
      </w:r>
      <w:r w:rsidRPr="00E8642C">
        <w:rPr>
          <w:rFonts w:cs="Arial"/>
          <w:szCs w:val="22"/>
          <w:lang w:eastAsia="zh-CN"/>
        </w:rPr>
        <w:t>article 2.c) comme suit</w:t>
      </w:r>
      <w:r w:rsidR="00D91476">
        <w:rPr>
          <w:rFonts w:cs="Arial"/>
          <w:szCs w:val="22"/>
          <w:lang w:eastAsia="zh-CN"/>
        </w:rPr>
        <w:t> :</w:t>
      </w:r>
      <w:r w:rsidRPr="00E8642C">
        <w:rPr>
          <w:rFonts w:cs="Arial"/>
          <w:szCs w:val="22"/>
        </w:rPr>
        <w:t xml:space="preserve"> “les activités de recherche et de développement sur la composition génétique et/ou biochimique de ressources génétiques, notamment par l</w:t>
      </w:r>
      <w:r w:rsidR="00D91476">
        <w:rPr>
          <w:rFonts w:cs="Arial"/>
          <w:szCs w:val="22"/>
        </w:rPr>
        <w:t>’</w:t>
      </w:r>
      <w:r w:rsidRPr="00E8642C">
        <w:rPr>
          <w:rFonts w:cs="Arial"/>
          <w:szCs w:val="22"/>
        </w:rPr>
        <w:t>application de la biotechnologie, conformément à la définition fournie à l</w:t>
      </w:r>
      <w:r w:rsidR="00D91476">
        <w:rPr>
          <w:rFonts w:cs="Arial"/>
          <w:szCs w:val="22"/>
        </w:rPr>
        <w:t>’</w:t>
      </w:r>
      <w:r w:rsidRPr="00E8642C">
        <w:rPr>
          <w:rFonts w:cs="Arial"/>
          <w:szCs w:val="22"/>
        </w:rPr>
        <w:t>article 2 de la Convention”.</w:t>
      </w:r>
    </w:p>
    <w:p w:rsidR="00AD541F" w:rsidRDefault="00DD607D" w:rsidP="00AD541F">
      <w:pPr>
        <w:pStyle w:val="Heading2"/>
        <w:spacing w:after="220" w:line="240" w:lineRule="auto"/>
      </w:pPr>
      <w:bookmarkStart w:id="124" w:name="_Toc7772595"/>
      <w:r w:rsidRPr="00E8642C">
        <w:t>Utilisation des expressions culturelles traditionnelles/savoirs traditionnels</w:t>
      </w:r>
      <w:bookmarkEnd w:id="124"/>
    </w:p>
    <w:p w:rsidR="00AD541F" w:rsidRDefault="00DD607D" w:rsidP="00AD541F">
      <w:pPr>
        <w:spacing w:after="220"/>
      </w:pPr>
      <w:r w:rsidRPr="00E8642C">
        <w:t>Les savoirs traditionnels et expressions culturelles traditionnelles peuvent être utilisés pour différentes raiso</w:t>
      </w:r>
      <w:r w:rsidR="001F3AEE" w:rsidRPr="00E8642C">
        <w:t>ns</w:t>
      </w:r>
      <w:r w:rsidR="001F3AEE">
        <w:t xml:space="preserve">.  </w:t>
      </w:r>
      <w:r w:rsidR="001F3AEE" w:rsidRPr="00E8642C">
        <w:t>Pa</w:t>
      </w:r>
      <w:r w:rsidRPr="00E8642C">
        <w:t>rmi ces utilisations, on peut citer les utilisations à des fins commerciales ou industrielles, l</w:t>
      </w:r>
      <w:r w:rsidR="00D91476">
        <w:t>’</w:t>
      </w:r>
      <w:r w:rsidRPr="00E8642C">
        <w:t>usage coutumier, l</w:t>
      </w:r>
      <w:r w:rsidR="00D91476">
        <w:t>’</w:t>
      </w:r>
      <w:r w:rsidRPr="00E8642C">
        <w:t>usage loyal et l</w:t>
      </w:r>
      <w:r w:rsidR="00D91476">
        <w:t>’</w:t>
      </w:r>
      <w:r w:rsidRPr="00E8642C">
        <w:t>usage de la médecine traditionnelle à des fins domestiques et de santé publique, et l</w:t>
      </w:r>
      <w:r w:rsidR="00D91476">
        <w:t>’</w:t>
      </w:r>
      <w:r w:rsidRPr="00E8642C">
        <w:t>utilisation à des fins de recherche et d</w:t>
      </w:r>
      <w:r w:rsidR="00D91476">
        <w:t>’</w:t>
      </w:r>
      <w:r w:rsidRPr="00E8642C">
        <w:t>enseignement.</w:t>
      </w:r>
    </w:p>
    <w:p w:rsidR="00AD541F" w:rsidRDefault="00DD607D" w:rsidP="00AD541F">
      <w:pPr>
        <w:pStyle w:val="Heading3"/>
        <w:keepLines/>
        <w:spacing w:after="220" w:line="240" w:lineRule="auto"/>
      </w:pPr>
      <w:r w:rsidRPr="00E8642C">
        <w:t>Utilisation commerciale</w:t>
      </w:r>
    </w:p>
    <w:p w:rsidR="00AD541F" w:rsidRDefault="00DD607D" w:rsidP="00AD541F">
      <w:pPr>
        <w:spacing w:after="220"/>
        <w:rPr>
          <w:rFonts w:cs="Arial"/>
          <w:szCs w:val="22"/>
        </w:rPr>
      </w:pPr>
      <w:r w:rsidRPr="00E8642C">
        <w:rPr>
          <w:rFonts w:cs="Arial"/>
          <w:szCs w:val="22"/>
        </w:rPr>
        <w:t xml:space="preserve">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w:t>
      </w:r>
      <w:r w:rsidR="00D91476">
        <w:rPr>
          <w:rFonts w:cs="Arial"/>
          <w:szCs w:val="22"/>
        </w:rPr>
        <w:t>’</w:t>
      </w:r>
      <w:r w:rsidRPr="00E8642C">
        <w:rPr>
          <w:rFonts w:cs="Arial"/>
          <w:szCs w:val="22"/>
        </w:rPr>
        <w:t>“utilisation commerciale” de la manière suivante</w:t>
      </w:r>
      <w:r w:rsidR="00D91476">
        <w:rPr>
          <w:rFonts w:cs="Arial"/>
          <w:szCs w:val="22"/>
        </w:rPr>
        <w:t> :</w:t>
      </w:r>
      <w:r w:rsidRPr="00E8642C">
        <w:rPr>
          <w:rFonts w:cs="Arial"/>
          <w:szCs w:val="22"/>
        </w:rPr>
        <w:t xml:space="preserve"> “</w:t>
      </w:r>
      <w:r w:rsidRPr="00E8642C">
        <w:rPr>
          <w:rFonts w:cs="Arial"/>
          <w:iCs/>
          <w:szCs w:val="22"/>
        </w:rPr>
        <w:t>[toute] utilisation qui est liée à une activité lucrative en cours ou qui sert celle</w:t>
      </w:r>
      <w:r w:rsidR="00400337">
        <w:rPr>
          <w:rFonts w:cs="Arial"/>
          <w:iCs/>
          <w:szCs w:val="22"/>
        </w:rPr>
        <w:noBreakHyphen/>
      </w:r>
      <w:r w:rsidRPr="00E8642C">
        <w:rPr>
          <w:rFonts w:cs="Arial"/>
          <w:iCs/>
          <w:szCs w:val="22"/>
        </w:rPr>
        <w:t>ci</w:t>
      </w:r>
      <w:r w:rsidRPr="00E8642C">
        <w:rPr>
          <w:rFonts w:cs="Arial"/>
          <w:szCs w:val="22"/>
        </w:rPr>
        <w:t>”.  L</w:t>
      </w:r>
      <w:r w:rsidR="00D91476">
        <w:rPr>
          <w:rFonts w:cs="Arial"/>
          <w:szCs w:val="22"/>
        </w:rPr>
        <w:t>’</w:t>
      </w:r>
      <w:r w:rsidRPr="00E8642C">
        <w:rPr>
          <w:rFonts w:cs="Arial"/>
          <w:szCs w:val="22"/>
        </w:rPr>
        <w:t>expression “utilisation non commerciale” est définie comme “</w:t>
      </w:r>
      <w:r w:rsidRPr="00E8642C">
        <w:rPr>
          <w:rFonts w:cs="Arial"/>
          <w:iCs/>
          <w:szCs w:val="22"/>
        </w:rPr>
        <w:t>[toute] utilisation à des fins de loisir privé ou commercial ne générant aucun revenu, récompense ou autre compensation</w:t>
      </w:r>
      <w:r w:rsidRPr="00E8642C">
        <w:rPr>
          <w:rFonts w:cs="Arial"/>
          <w:szCs w:val="22"/>
        </w:rPr>
        <w:t>”.</w:t>
      </w:r>
    </w:p>
    <w:p w:rsidR="00AD541F" w:rsidRDefault="00DD607D" w:rsidP="00AD541F">
      <w:pPr>
        <w:pStyle w:val="Heading3"/>
        <w:spacing w:after="220" w:line="240" w:lineRule="auto"/>
      </w:pPr>
      <w:r w:rsidRPr="00E8642C">
        <w:t>Usage coutumier</w:t>
      </w:r>
    </w:p>
    <w:p w:rsidR="00AD541F" w:rsidRDefault="00DD607D" w:rsidP="00AD541F">
      <w:pPr>
        <w:spacing w:after="220"/>
        <w:rPr>
          <w:rFonts w:cs="Arial"/>
          <w:szCs w:val="22"/>
        </w:rPr>
      </w:pPr>
      <w:r w:rsidRPr="00E8642C">
        <w:rPr>
          <w:rFonts w:cs="Arial"/>
          <w:szCs w:val="22"/>
        </w:rPr>
        <w:t xml:space="preserve">Le </w:t>
      </w:r>
      <w:r w:rsidRPr="00E8642C">
        <w:rPr>
          <w:rFonts w:cs="Arial"/>
          <w:i/>
          <w:szCs w:val="22"/>
        </w:rPr>
        <w:t>Cadre juridique régional du Pacifique pour la protection des savoirs traditionnels et des expressions de la culture</w:t>
      </w:r>
      <w:r w:rsidRPr="00E8642C">
        <w:rPr>
          <w:rFonts w:cs="Arial"/>
          <w:szCs w:val="22"/>
        </w:rPr>
        <w:t xml:space="preserve"> (2002) définit l</w:t>
      </w:r>
      <w:r w:rsidR="00D91476">
        <w:rPr>
          <w:rFonts w:cs="Arial"/>
          <w:szCs w:val="22"/>
        </w:rPr>
        <w:t>’</w:t>
      </w:r>
      <w:r w:rsidRPr="00E8642C">
        <w:rPr>
          <w:rFonts w:cs="Arial"/>
          <w:szCs w:val="22"/>
        </w:rPr>
        <w:t>usage coutumier comme “</w:t>
      </w:r>
      <w:r w:rsidRPr="00E8642C">
        <w:rPr>
          <w:rFonts w:cs="Arial"/>
          <w:iCs/>
          <w:szCs w:val="22"/>
        </w:rPr>
        <w:t>l</w:t>
      </w:r>
      <w:r w:rsidR="00D91476">
        <w:rPr>
          <w:rFonts w:cs="Arial"/>
          <w:iCs/>
          <w:szCs w:val="22"/>
        </w:rPr>
        <w:t>’</w:t>
      </w:r>
      <w:r w:rsidRPr="00E8642C">
        <w:rPr>
          <w:rFonts w:cs="Arial"/>
          <w:iCs/>
          <w:szCs w:val="22"/>
        </w:rPr>
        <w:t>utilisation qui est faite de savoirs traditionnels ou d</w:t>
      </w:r>
      <w:r w:rsidR="00D91476">
        <w:rPr>
          <w:rFonts w:cs="Arial"/>
          <w:iCs/>
          <w:szCs w:val="22"/>
        </w:rPr>
        <w:t>’</w:t>
      </w:r>
      <w:r w:rsidRPr="00E8642C">
        <w:rPr>
          <w:rFonts w:cs="Arial"/>
          <w:iCs/>
          <w:szCs w:val="22"/>
        </w:rPr>
        <w:t>expressions de la culture conformément aux lois et pratiques coutumières des propriétaires traditionnels</w:t>
      </w:r>
      <w:r w:rsidRPr="00E8642C">
        <w:rPr>
          <w:rFonts w:cs="Arial"/>
          <w:szCs w:val="22"/>
        </w:rPr>
        <w:t>”.</w:t>
      </w:r>
    </w:p>
    <w:p w:rsidR="00AD541F" w:rsidRDefault="00DD607D" w:rsidP="00AD541F">
      <w:pPr>
        <w:spacing w:after="220"/>
        <w:rPr>
          <w:rFonts w:cs="Arial"/>
          <w:szCs w:val="22"/>
        </w:rPr>
      </w:pPr>
      <w:r w:rsidRPr="00E8642C">
        <w:rPr>
          <w:rFonts w:cs="Arial"/>
          <w:snapToGrid w:val="0"/>
          <w:szCs w:val="22"/>
        </w:rPr>
        <w:t>L</w:t>
      </w:r>
      <w:r w:rsidR="00D91476">
        <w:rPr>
          <w:rFonts w:cs="Arial"/>
          <w:snapToGrid w:val="0"/>
          <w:szCs w:val="22"/>
        </w:rPr>
        <w:t>’</w:t>
      </w:r>
      <w:r w:rsidRPr="00E8642C">
        <w:rPr>
          <w:rFonts w:cs="Arial"/>
          <w:snapToGrid w:val="0"/>
          <w:szCs w:val="22"/>
        </w:rPr>
        <w:t>expression “utilisation coutumière continue” renvoie à la persistance et à la nature vivante de l</w:t>
      </w:r>
      <w:r w:rsidR="00D91476">
        <w:rPr>
          <w:rFonts w:cs="Arial"/>
          <w:snapToGrid w:val="0"/>
          <w:szCs w:val="22"/>
        </w:rPr>
        <w:t>’</w:t>
      </w:r>
      <w:r w:rsidRPr="00E8642C">
        <w:rPr>
          <w:rFonts w:cs="Arial"/>
          <w:snapToGrid w:val="0"/>
          <w:szCs w:val="22"/>
        </w:rPr>
        <w:t>utilisation des savoirs traditionnels ou des expressions culturelles traditionnelles par les communautés autochtones, conformément à leurs propres lois et pratiques coutumières.</w:t>
      </w:r>
    </w:p>
    <w:p w:rsidR="00AD541F" w:rsidRDefault="00DD607D" w:rsidP="00AD541F">
      <w:pPr>
        <w:pStyle w:val="Heading3"/>
        <w:spacing w:after="220" w:line="240" w:lineRule="auto"/>
      </w:pPr>
      <w:r w:rsidRPr="00E8642C">
        <w:t>Usage loyal</w:t>
      </w:r>
    </w:p>
    <w:p w:rsidR="00AD541F" w:rsidRDefault="00DD607D" w:rsidP="00AD541F">
      <w:pPr>
        <w:spacing w:after="220"/>
        <w:rPr>
          <w:rFonts w:cs="Arial"/>
          <w:szCs w:val="22"/>
        </w:rPr>
      </w:pPr>
      <w:r w:rsidRPr="00E8642C">
        <w:rPr>
          <w:rFonts w:cs="Arial"/>
          <w:szCs w:val="22"/>
        </w:rPr>
        <w:t>Dans le domaine du droit d</w:t>
      </w:r>
      <w:r w:rsidR="00D91476">
        <w:rPr>
          <w:rFonts w:cs="Arial"/>
          <w:szCs w:val="22"/>
        </w:rPr>
        <w:t>’</w:t>
      </w:r>
      <w:r w:rsidRPr="00E8642C">
        <w:rPr>
          <w:rFonts w:cs="Arial"/>
          <w:szCs w:val="22"/>
        </w:rPr>
        <w:t xml:space="preserve">auteur,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“usage loyal” de la manière suivante</w:t>
      </w:r>
      <w:r w:rsidR="00D91476">
        <w:rPr>
          <w:rFonts w:cs="Arial"/>
          <w:szCs w:val="22"/>
        </w:rPr>
        <w:t> :</w:t>
      </w:r>
      <w:r w:rsidRPr="00E8642C">
        <w:rPr>
          <w:rFonts w:cs="Arial"/>
          <w:szCs w:val="22"/>
        </w:rPr>
        <w:t xml:space="preserve"> “</w:t>
      </w:r>
      <w:r w:rsidRPr="00E8642C">
        <w:rPr>
          <w:rFonts w:cs="Arial"/>
          <w:iCs/>
          <w:szCs w:val="22"/>
        </w:rPr>
        <w:t>[tout] usage raisonnable et limité d</w:t>
      </w:r>
      <w:r w:rsidR="00D91476">
        <w:rPr>
          <w:rFonts w:cs="Arial"/>
          <w:iCs/>
          <w:szCs w:val="22"/>
        </w:rPr>
        <w:t>’</w:t>
      </w:r>
      <w:r w:rsidRPr="00E8642C">
        <w:rPr>
          <w:rFonts w:cs="Arial"/>
          <w:iCs/>
          <w:szCs w:val="22"/>
        </w:rPr>
        <w:t>une œuvre protégée par le droit d</w:t>
      </w:r>
      <w:r w:rsidR="00D91476">
        <w:rPr>
          <w:rFonts w:cs="Arial"/>
          <w:iCs/>
          <w:szCs w:val="22"/>
        </w:rPr>
        <w:t>’</w:t>
      </w:r>
      <w:r w:rsidRPr="00E8642C">
        <w:rPr>
          <w:rFonts w:cs="Arial"/>
          <w:iCs/>
          <w:szCs w:val="22"/>
        </w:rPr>
        <w:t>auteur sans l</w:t>
      </w:r>
      <w:r w:rsidR="00D91476">
        <w:rPr>
          <w:rFonts w:cs="Arial"/>
          <w:iCs/>
          <w:szCs w:val="22"/>
        </w:rPr>
        <w:t>’</w:t>
      </w:r>
      <w:r w:rsidRPr="00E8642C">
        <w:rPr>
          <w:rFonts w:cs="Arial"/>
          <w:iCs/>
          <w:szCs w:val="22"/>
        </w:rPr>
        <w:t>autorisation de son auteur, comme le fait de citer un livre dans la critique d</w:t>
      </w:r>
      <w:r w:rsidR="00D91476">
        <w:rPr>
          <w:rFonts w:cs="Arial"/>
          <w:iCs/>
          <w:szCs w:val="22"/>
        </w:rPr>
        <w:t>’</w:t>
      </w:r>
      <w:r w:rsidRPr="00E8642C">
        <w:rPr>
          <w:rFonts w:cs="Arial"/>
          <w:iCs/>
          <w:szCs w:val="22"/>
        </w:rPr>
        <w:t>un livre ou d</w:t>
      </w:r>
      <w:r w:rsidR="00D91476">
        <w:rPr>
          <w:rFonts w:cs="Arial"/>
          <w:iCs/>
          <w:szCs w:val="22"/>
        </w:rPr>
        <w:t>’</w:t>
      </w:r>
      <w:r w:rsidRPr="00E8642C">
        <w:rPr>
          <w:rFonts w:cs="Arial"/>
          <w:iCs/>
          <w:szCs w:val="22"/>
        </w:rPr>
        <w:t>utiliser des parties d</w:t>
      </w:r>
      <w:r w:rsidR="00D91476">
        <w:rPr>
          <w:rFonts w:cs="Arial"/>
          <w:iCs/>
          <w:szCs w:val="22"/>
        </w:rPr>
        <w:t>’</w:t>
      </w:r>
      <w:r w:rsidRPr="00E8642C">
        <w:rPr>
          <w:rFonts w:cs="Arial"/>
          <w:iCs/>
          <w:szCs w:val="22"/>
        </w:rPr>
        <w:t>un livre dans une parod</w:t>
      </w:r>
      <w:r w:rsidR="001F3AEE" w:rsidRPr="00E8642C">
        <w:rPr>
          <w:rFonts w:cs="Arial"/>
          <w:iCs/>
          <w:szCs w:val="22"/>
        </w:rPr>
        <w:t>ie</w:t>
      </w:r>
      <w:r w:rsidR="001F3AEE">
        <w:rPr>
          <w:rFonts w:cs="Arial"/>
          <w:iCs/>
          <w:szCs w:val="22"/>
        </w:rPr>
        <w:t xml:space="preserve">.  </w:t>
      </w:r>
      <w:r w:rsidR="001F3AEE" w:rsidRPr="00E8642C">
        <w:rPr>
          <w:rFonts w:cs="Arial"/>
          <w:iCs/>
          <w:szCs w:val="22"/>
        </w:rPr>
        <w:t>L</w:t>
      </w:r>
      <w:r w:rsidR="001F3AEE">
        <w:rPr>
          <w:rFonts w:cs="Arial"/>
          <w:iCs/>
          <w:szCs w:val="22"/>
        </w:rPr>
        <w:t>’</w:t>
      </w:r>
      <w:r w:rsidR="001F3AEE" w:rsidRPr="00E8642C">
        <w:rPr>
          <w:rFonts w:cs="Arial"/>
          <w:iCs/>
          <w:szCs w:val="22"/>
        </w:rPr>
        <w:t>u</w:t>
      </w:r>
      <w:r w:rsidRPr="00E8642C">
        <w:rPr>
          <w:rFonts w:cs="Arial"/>
          <w:iCs/>
          <w:szCs w:val="22"/>
        </w:rPr>
        <w:t>sage loyal constitue un moyen de défense dans une action en contrefaçon, selon les critères suivants</w:t>
      </w:r>
      <w:r w:rsidR="00D91476">
        <w:rPr>
          <w:rFonts w:cs="Arial"/>
          <w:iCs/>
          <w:szCs w:val="22"/>
        </w:rPr>
        <w:t> :</w:t>
      </w:r>
      <w:r w:rsidRPr="00E8642C">
        <w:rPr>
          <w:rFonts w:cs="Arial"/>
          <w:iCs/>
          <w:szCs w:val="22"/>
        </w:rPr>
        <w:t xml:space="preserve"> 1) le but et le caractère de l</w:t>
      </w:r>
      <w:r w:rsidR="00D91476">
        <w:rPr>
          <w:rFonts w:cs="Arial"/>
          <w:iCs/>
          <w:szCs w:val="22"/>
        </w:rPr>
        <w:t>’</w:t>
      </w:r>
      <w:r w:rsidRPr="00E8642C">
        <w:rPr>
          <w:rFonts w:cs="Arial"/>
          <w:iCs/>
          <w:szCs w:val="22"/>
        </w:rPr>
        <w:t>utilisation, 2) la nature de l</w:t>
      </w:r>
      <w:r w:rsidR="00D91476">
        <w:rPr>
          <w:rFonts w:cs="Arial"/>
          <w:iCs/>
          <w:szCs w:val="22"/>
        </w:rPr>
        <w:t>’</w:t>
      </w:r>
      <w:r w:rsidRPr="00E8642C">
        <w:rPr>
          <w:rFonts w:cs="Arial"/>
          <w:iCs/>
          <w:szCs w:val="22"/>
        </w:rPr>
        <w:t>œuvre protégée par le droit d</w:t>
      </w:r>
      <w:r w:rsidR="00D91476">
        <w:rPr>
          <w:rFonts w:cs="Arial"/>
          <w:iCs/>
          <w:szCs w:val="22"/>
        </w:rPr>
        <w:t>’</w:t>
      </w:r>
      <w:r w:rsidRPr="00E8642C">
        <w:rPr>
          <w:rFonts w:cs="Arial"/>
          <w:iCs/>
          <w:szCs w:val="22"/>
        </w:rPr>
        <w:t>auteur, 3) la part de l</w:t>
      </w:r>
      <w:r w:rsidR="00D91476">
        <w:rPr>
          <w:rFonts w:cs="Arial"/>
          <w:iCs/>
          <w:szCs w:val="22"/>
        </w:rPr>
        <w:t>’</w:t>
      </w:r>
      <w:r w:rsidRPr="00E8642C">
        <w:rPr>
          <w:rFonts w:cs="Arial"/>
          <w:iCs/>
          <w:szCs w:val="22"/>
        </w:rPr>
        <w:t>œuvre utilisée et 4) l</w:t>
      </w:r>
      <w:r w:rsidR="00D91476">
        <w:rPr>
          <w:rFonts w:cs="Arial"/>
          <w:iCs/>
          <w:szCs w:val="22"/>
        </w:rPr>
        <w:t>’</w:t>
      </w:r>
      <w:r w:rsidRPr="00E8642C">
        <w:rPr>
          <w:rFonts w:cs="Arial"/>
          <w:iCs/>
          <w:szCs w:val="22"/>
        </w:rPr>
        <w:t>incidence économique de cette utilisation</w:t>
      </w:r>
      <w:r w:rsidRPr="00E8642C">
        <w:rPr>
          <w:rFonts w:cs="Arial"/>
          <w:szCs w:val="22"/>
        </w:rPr>
        <w:t>”.</w:t>
      </w:r>
    </w:p>
    <w:p w:rsidR="00AD541F" w:rsidRDefault="00DD607D" w:rsidP="00AD541F">
      <w:pPr>
        <w:pStyle w:val="Heading3"/>
        <w:spacing w:after="220" w:line="240" w:lineRule="auto"/>
      </w:pPr>
      <w:r w:rsidRPr="00E8642C">
        <w:t>Usage ménager et usage à des fins de santé publique</w:t>
      </w:r>
    </w:p>
    <w:p w:rsidR="00AD541F" w:rsidRDefault="00DD607D" w:rsidP="00AD541F">
      <w:pPr>
        <w:spacing w:after="220"/>
        <w:rPr>
          <w:rFonts w:cs="Arial"/>
          <w:szCs w:val="22"/>
        </w:rPr>
      </w:pPr>
      <w:r w:rsidRPr="00E8642C">
        <w:rPr>
          <w:rFonts w:cs="Arial"/>
          <w:szCs w:val="22"/>
        </w:rPr>
        <w:t xml:space="preserve">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“ménager”</w:t>
      </w:r>
      <w:r w:rsidRPr="00E8642C">
        <w:rPr>
          <w:rFonts w:cs="Arial"/>
          <w:iCs/>
          <w:szCs w:val="22"/>
        </w:rPr>
        <w:t xml:space="preserve"> de la manière suivante</w:t>
      </w:r>
      <w:r w:rsidR="00D91476">
        <w:rPr>
          <w:rFonts w:cs="Arial"/>
          <w:iCs/>
          <w:szCs w:val="22"/>
        </w:rPr>
        <w:t> :</w:t>
      </w:r>
      <w:r w:rsidRPr="00E8642C">
        <w:rPr>
          <w:rFonts w:cs="Arial"/>
          <w:iCs/>
          <w:szCs w:val="22"/>
        </w:rPr>
        <w:t xml:space="preserve"> “[a]</w:t>
      </w:r>
      <w:proofErr w:type="spellStart"/>
      <w:r w:rsidRPr="00E8642C">
        <w:rPr>
          <w:rFonts w:cs="Arial"/>
          <w:iCs/>
          <w:szCs w:val="22"/>
        </w:rPr>
        <w:t>ppartenant</w:t>
      </w:r>
      <w:proofErr w:type="spellEnd"/>
      <w:r w:rsidRPr="00E8642C">
        <w:rPr>
          <w:rFonts w:cs="Arial"/>
          <w:iCs/>
          <w:szCs w:val="22"/>
        </w:rPr>
        <w:t xml:space="preserve"> à la maison ou à la </w:t>
      </w:r>
      <w:proofErr w:type="gramStart"/>
      <w:r w:rsidRPr="00E8642C">
        <w:rPr>
          <w:rFonts w:cs="Arial"/>
          <w:iCs/>
          <w:szCs w:val="22"/>
        </w:rPr>
        <w:t>famille;  domestique</w:t>
      </w:r>
      <w:proofErr w:type="gramEnd"/>
      <w:r w:rsidRPr="00E8642C">
        <w:rPr>
          <w:rFonts w:cs="Arial"/>
          <w:szCs w:val="22"/>
        </w:rPr>
        <w:t>”.</w:t>
      </w:r>
    </w:p>
    <w:p w:rsidR="00AD541F" w:rsidRDefault="00DD607D" w:rsidP="00AD541F">
      <w:pPr>
        <w:spacing w:after="220"/>
        <w:rPr>
          <w:rFonts w:cs="Arial"/>
          <w:szCs w:val="22"/>
        </w:rPr>
      </w:pPr>
      <w:r w:rsidRPr="00E8642C">
        <w:rPr>
          <w:rFonts w:cs="Arial"/>
          <w:szCs w:val="22"/>
        </w:rPr>
        <w:t>L</w:t>
      </w:r>
      <w:r w:rsidR="00D91476">
        <w:rPr>
          <w:rFonts w:cs="Arial"/>
          <w:szCs w:val="22"/>
        </w:rPr>
        <w:t>’</w:t>
      </w:r>
      <w:r w:rsidRPr="00E8642C">
        <w:rPr>
          <w:rFonts w:cs="Arial"/>
          <w:szCs w:val="22"/>
        </w:rPr>
        <w:t>article 1 de la Déclaration de Doha sur l</w:t>
      </w:r>
      <w:r w:rsidR="00D91476">
        <w:rPr>
          <w:rFonts w:cs="Arial"/>
          <w:szCs w:val="22"/>
        </w:rPr>
        <w:t>’</w:t>
      </w:r>
      <w:r w:rsidRPr="00E8642C">
        <w:rPr>
          <w:rFonts w:cs="Arial"/>
          <w:szCs w:val="22"/>
        </w:rPr>
        <w:t>Accord sur les ADPIC et la santé publique reconnaît “</w:t>
      </w:r>
      <w:r w:rsidRPr="00E8642C">
        <w:rPr>
          <w:rFonts w:cs="Arial"/>
          <w:iCs/>
          <w:szCs w:val="22"/>
        </w:rPr>
        <w:t>la gravité des problèmes de santé publique qui touchent de nombreux pays en développement et pays les moins avancés, en particulier ceux qui résultent du VIH/SIDA, de la tuberculose, du paludisme et d</w:t>
      </w:r>
      <w:r w:rsidR="00D91476">
        <w:rPr>
          <w:rFonts w:cs="Arial"/>
          <w:iCs/>
          <w:szCs w:val="22"/>
        </w:rPr>
        <w:t>’</w:t>
      </w:r>
      <w:r w:rsidRPr="00E8642C">
        <w:rPr>
          <w:rFonts w:cs="Arial"/>
          <w:iCs/>
          <w:szCs w:val="22"/>
        </w:rPr>
        <w:t xml:space="preserve">autres épidémies”.  </w:t>
      </w:r>
      <w:r w:rsidRPr="00E8642C">
        <w:rPr>
          <w:rFonts w:cs="Arial"/>
          <w:szCs w:val="22"/>
        </w:rPr>
        <w:t>L</w:t>
      </w:r>
      <w:r w:rsidR="00D91476">
        <w:rPr>
          <w:rFonts w:cs="Arial"/>
          <w:szCs w:val="22"/>
        </w:rPr>
        <w:t>’</w:t>
      </w:r>
      <w:r w:rsidRPr="00E8642C">
        <w:rPr>
          <w:rFonts w:cs="Arial"/>
          <w:szCs w:val="22"/>
        </w:rPr>
        <w:t xml:space="preserve">article 5.c) ajoute que </w:t>
      </w:r>
      <w:r w:rsidRPr="00E8642C">
        <w:rPr>
          <w:rFonts w:cs="Arial"/>
          <w:iCs/>
          <w:szCs w:val="22"/>
        </w:rPr>
        <w:t>“[c]</w:t>
      </w:r>
      <w:proofErr w:type="spellStart"/>
      <w:r w:rsidRPr="00E8642C">
        <w:rPr>
          <w:rFonts w:cs="Arial"/>
          <w:iCs/>
          <w:szCs w:val="22"/>
        </w:rPr>
        <w:t>haque</w:t>
      </w:r>
      <w:proofErr w:type="spellEnd"/>
      <w:r w:rsidRPr="00E8642C">
        <w:rPr>
          <w:rFonts w:cs="Arial"/>
          <w:iCs/>
          <w:szCs w:val="22"/>
        </w:rPr>
        <w:t xml:space="preserve"> Membre a le droit de déterminer ce qui constitue une situation d</w:t>
      </w:r>
      <w:r w:rsidR="00D91476">
        <w:rPr>
          <w:rFonts w:cs="Arial"/>
          <w:iCs/>
          <w:szCs w:val="22"/>
        </w:rPr>
        <w:t>’</w:t>
      </w:r>
      <w:r w:rsidRPr="00E8642C">
        <w:rPr>
          <w:rFonts w:cs="Arial"/>
          <w:iCs/>
          <w:szCs w:val="22"/>
        </w:rPr>
        <w:t>urgence nationale ou d</w:t>
      </w:r>
      <w:r w:rsidR="00D91476">
        <w:rPr>
          <w:rFonts w:cs="Arial"/>
          <w:iCs/>
          <w:szCs w:val="22"/>
        </w:rPr>
        <w:t>’</w:t>
      </w:r>
      <w:r w:rsidRPr="00E8642C">
        <w:rPr>
          <w:rFonts w:cs="Arial"/>
          <w:iCs/>
          <w:szCs w:val="22"/>
        </w:rPr>
        <w:t>autres circonstances d</w:t>
      </w:r>
      <w:r w:rsidR="00D91476">
        <w:rPr>
          <w:rFonts w:cs="Arial"/>
          <w:iCs/>
          <w:szCs w:val="22"/>
        </w:rPr>
        <w:t>’</w:t>
      </w:r>
      <w:r w:rsidRPr="00E8642C">
        <w:rPr>
          <w:rFonts w:cs="Arial"/>
          <w:iCs/>
          <w:szCs w:val="22"/>
        </w:rPr>
        <w:t xml:space="preserve">extrême urgence, étant entendu que les crises dans le domaine de la santé publique, </w:t>
      </w:r>
      <w:r w:rsidR="00D91476">
        <w:rPr>
          <w:rFonts w:cs="Arial"/>
          <w:iCs/>
          <w:szCs w:val="22"/>
        </w:rPr>
        <w:t>y compris</w:t>
      </w:r>
      <w:r w:rsidRPr="00E8642C">
        <w:rPr>
          <w:rFonts w:cs="Arial"/>
          <w:iCs/>
          <w:szCs w:val="22"/>
        </w:rPr>
        <w:t xml:space="preserve"> celles qui sont liées au VIH/SIDA, à la tuberculose, au paludisme et à d</w:t>
      </w:r>
      <w:r w:rsidR="00D91476">
        <w:rPr>
          <w:rFonts w:cs="Arial"/>
          <w:iCs/>
          <w:szCs w:val="22"/>
        </w:rPr>
        <w:t>’</w:t>
      </w:r>
      <w:r w:rsidRPr="00E8642C">
        <w:rPr>
          <w:rFonts w:cs="Arial"/>
          <w:iCs/>
          <w:szCs w:val="22"/>
        </w:rPr>
        <w:t>autres épidémies, peuvent représenter une situation d</w:t>
      </w:r>
      <w:r w:rsidR="00D91476">
        <w:rPr>
          <w:rFonts w:cs="Arial"/>
          <w:iCs/>
          <w:szCs w:val="22"/>
        </w:rPr>
        <w:t>’</w:t>
      </w:r>
      <w:r w:rsidRPr="00E8642C">
        <w:rPr>
          <w:rFonts w:cs="Arial"/>
          <w:iCs/>
          <w:szCs w:val="22"/>
        </w:rPr>
        <w:t>urgence nationale ou d</w:t>
      </w:r>
      <w:r w:rsidR="00D91476">
        <w:rPr>
          <w:rFonts w:cs="Arial"/>
          <w:iCs/>
          <w:szCs w:val="22"/>
        </w:rPr>
        <w:t>’</w:t>
      </w:r>
      <w:r w:rsidRPr="00E8642C">
        <w:rPr>
          <w:rFonts w:cs="Arial"/>
          <w:iCs/>
          <w:szCs w:val="22"/>
        </w:rPr>
        <w:t>autres circonstances d</w:t>
      </w:r>
      <w:r w:rsidR="00D91476">
        <w:rPr>
          <w:rFonts w:cs="Arial"/>
          <w:iCs/>
          <w:szCs w:val="22"/>
        </w:rPr>
        <w:t>’</w:t>
      </w:r>
      <w:r w:rsidRPr="00E8642C">
        <w:rPr>
          <w:rFonts w:cs="Arial"/>
          <w:iCs/>
          <w:szCs w:val="22"/>
        </w:rPr>
        <w:t>extrême urgence”.</w:t>
      </w:r>
    </w:p>
    <w:p w:rsidR="00AD541F" w:rsidRDefault="00DD607D" w:rsidP="00AD541F">
      <w:pPr>
        <w:pStyle w:val="Heading3"/>
        <w:spacing w:after="220" w:line="240" w:lineRule="auto"/>
      </w:pPr>
      <w:r w:rsidRPr="00E8642C">
        <w:t>Utilisation à des fins de recherche et d</w:t>
      </w:r>
      <w:r w:rsidR="00D91476">
        <w:t>’</w:t>
      </w:r>
      <w:r w:rsidRPr="00E8642C">
        <w:t>enseignement</w:t>
      </w:r>
    </w:p>
    <w:p w:rsidR="00DD607D" w:rsidRPr="00E8642C" w:rsidRDefault="00DD607D" w:rsidP="00AD541F">
      <w:pPr>
        <w:spacing w:after="220"/>
        <w:rPr>
          <w:rFonts w:cs="Arial"/>
          <w:szCs w:val="22"/>
        </w:rPr>
      </w:pPr>
      <w:r w:rsidRPr="00E8642C">
        <w:rPr>
          <w:rFonts w:cs="Arial"/>
          <w:szCs w:val="22"/>
        </w:rPr>
        <w:t xml:space="preserve">Dans le domaine des brevets,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w:t>
      </w:r>
      <w:r w:rsidR="00D91476">
        <w:rPr>
          <w:rFonts w:cs="Arial"/>
          <w:szCs w:val="22"/>
        </w:rPr>
        <w:t>’</w:t>
      </w:r>
      <w:r w:rsidRPr="00E8642C">
        <w:rPr>
          <w:rFonts w:cs="Arial"/>
          <w:szCs w:val="22"/>
        </w:rPr>
        <w:t>expression “défense au titre de l</w:t>
      </w:r>
      <w:r w:rsidR="00D91476">
        <w:rPr>
          <w:rFonts w:cs="Arial"/>
          <w:szCs w:val="22"/>
        </w:rPr>
        <w:t>’</w:t>
      </w:r>
      <w:r w:rsidRPr="00E8642C">
        <w:rPr>
          <w:rFonts w:cs="Arial"/>
          <w:szCs w:val="22"/>
        </w:rPr>
        <w:t>usage expérimental” de la manière suivante</w:t>
      </w:r>
      <w:r w:rsidR="00D91476">
        <w:rPr>
          <w:rFonts w:cs="Arial"/>
          <w:szCs w:val="22"/>
        </w:rPr>
        <w:t> :</w:t>
      </w:r>
      <w:r w:rsidRPr="00E8642C">
        <w:rPr>
          <w:rFonts w:cs="Arial"/>
          <w:szCs w:val="22"/>
        </w:rPr>
        <w:t xml:space="preserve"> “</w:t>
      </w:r>
      <w:r w:rsidRPr="00E8642C">
        <w:rPr>
          <w:rFonts w:cs="Arial"/>
          <w:iCs/>
          <w:szCs w:val="22"/>
        </w:rPr>
        <w:t>[tout] moyen de défense contre une action en atteinte au brevet intentée lorsque la création et l</w:t>
      </w:r>
      <w:r w:rsidR="00D91476">
        <w:rPr>
          <w:rFonts w:cs="Arial"/>
          <w:iCs/>
          <w:szCs w:val="22"/>
        </w:rPr>
        <w:t>’</w:t>
      </w:r>
      <w:r w:rsidRPr="00E8642C">
        <w:rPr>
          <w:rFonts w:cs="Arial"/>
          <w:iCs/>
          <w:szCs w:val="22"/>
        </w:rPr>
        <w:t>utilisation de l</w:t>
      </w:r>
      <w:r w:rsidR="00D91476">
        <w:rPr>
          <w:rFonts w:cs="Arial"/>
          <w:iCs/>
          <w:szCs w:val="22"/>
        </w:rPr>
        <w:t>’</w:t>
      </w:r>
      <w:r w:rsidRPr="00E8642C">
        <w:rPr>
          <w:rFonts w:cs="Arial"/>
          <w:iCs/>
          <w:szCs w:val="22"/>
        </w:rPr>
        <w:t>invention brevetée visaient uniquement un but scientifiq</w:t>
      </w:r>
      <w:r w:rsidR="001F3AEE" w:rsidRPr="00E8642C">
        <w:rPr>
          <w:rFonts w:cs="Arial"/>
          <w:iCs/>
          <w:szCs w:val="22"/>
        </w:rPr>
        <w:t>ue</w:t>
      </w:r>
      <w:r w:rsidR="001F3AEE">
        <w:rPr>
          <w:rFonts w:cs="Arial"/>
          <w:iCs/>
          <w:szCs w:val="22"/>
        </w:rPr>
        <w:t xml:space="preserve">.  </w:t>
      </w:r>
      <w:r w:rsidR="001F3AEE" w:rsidRPr="00E8642C">
        <w:rPr>
          <w:rFonts w:cs="Arial"/>
          <w:iCs/>
          <w:szCs w:val="22"/>
        </w:rPr>
        <w:t>Bi</w:t>
      </w:r>
      <w:r w:rsidRPr="00E8642C">
        <w:rPr>
          <w:rFonts w:cs="Arial"/>
          <w:iCs/>
          <w:szCs w:val="22"/>
        </w:rPr>
        <w:t>en qu</w:t>
      </w:r>
      <w:r w:rsidR="00D91476">
        <w:rPr>
          <w:rFonts w:cs="Arial"/>
          <w:iCs/>
          <w:szCs w:val="22"/>
        </w:rPr>
        <w:t>’</w:t>
      </w:r>
      <w:r w:rsidRPr="00E8642C">
        <w:rPr>
          <w:rFonts w:cs="Arial"/>
          <w:iCs/>
          <w:szCs w:val="22"/>
        </w:rPr>
        <w:t>il soit encore reconnu, ce moyen de défense est très limité et ne s</w:t>
      </w:r>
      <w:r w:rsidR="00D91476">
        <w:rPr>
          <w:rFonts w:cs="Arial"/>
          <w:iCs/>
          <w:szCs w:val="22"/>
        </w:rPr>
        <w:t>’</w:t>
      </w:r>
      <w:r w:rsidRPr="00E8642C">
        <w:rPr>
          <w:rFonts w:cs="Arial"/>
          <w:iCs/>
          <w:szCs w:val="22"/>
        </w:rPr>
        <w:t>applique aujourd</w:t>
      </w:r>
      <w:r w:rsidR="00D91476">
        <w:rPr>
          <w:rFonts w:cs="Arial"/>
          <w:iCs/>
          <w:szCs w:val="22"/>
        </w:rPr>
        <w:t>’</w:t>
      </w:r>
      <w:r w:rsidRPr="00E8642C">
        <w:rPr>
          <w:rFonts w:cs="Arial"/>
          <w:iCs/>
          <w:szCs w:val="22"/>
        </w:rPr>
        <w:t>hui plus qu</w:t>
      </w:r>
      <w:r w:rsidR="00D91476">
        <w:rPr>
          <w:rFonts w:cs="Arial"/>
          <w:iCs/>
          <w:szCs w:val="22"/>
        </w:rPr>
        <w:t>’</w:t>
      </w:r>
      <w:r w:rsidRPr="00E8642C">
        <w:rPr>
          <w:rFonts w:cs="Arial"/>
          <w:iCs/>
          <w:szCs w:val="22"/>
        </w:rPr>
        <w:t>au domaine de la recherche visant à tester les revendications de l</w:t>
      </w:r>
      <w:r w:rsidR="00D91476">
        <w:rPr>
          <w:rFonts w:cs="Arial"/>
          <w:iCs/>
          <w:szCs w:val="22"/>
        </w:rPr>
        <w:t>’</w:t>
      </w:r>
      <w:r w:rsidRPr="00E8642C">
        <w:rPr>
          <w:rFonts w:cs="Arial"/>
          <w:iCs/>
          <w:szCs w:val="22"/>
        </w:rPr>
        <w:t>inventeur</w:t>
      </w:r>
      <w:r w:rsidRPr="00E8642C">
        <w:rPr>
          <w:rFonts w:cs="Arial"/>
          <w:szCs w:val="22"/>
        </w:rPr>
        <w:t>”.  Il convient de noter que, bien que les droits de propriété intellectuelle soient des droits exclusifs, certaines exceptions et limitations relatives aux droits exclusifs existe</w:t>
      </w:r>
      <w:r w:rsidR="001F3AEE" w:rsidRPr="00E8642C">
        <w:rPr>
          <w:rFonts w:cs="Arial"/>
          <w:szCs w:val="22"/>
        </w:rPr>
        <w:t>nt</w:t>
      </w:r>
      <w:r w:rsidR="001F3AEE">
        <w:rPr>
          <w:rFonts w:cs="Arial"/>
          <w:szCs w:val="22"/>
        </w:rPr>
        <w:t xml:space="preserve">.  </w:t>
      </w:r>
      <w:r w:rsidR="001F3AEE" w:rsidRPr="00E8642C">
        <w:rPr>
          <w:rFonts w:cs="Arial"/>
          <w:szCs w:val="22"/>
        </w:rPr>
        <w:t>Pa</w:t>
      </w:r>
      <w:r w:rsidRPr="00E8642C">
        <w:rPr>
          <w:rFonts w:cs="Arial"/>
          <w:szCs w:val="22"/>
        </w:rPr>
        <w:t>r exemple, dans le domaine des brevets, un certain nombre de pays prévoient dans leur législation nationale des exceptions et limitations relatives aux droits exclusifs, par exemple, pour</w:t>
      </w:r>
    </w:p>
    <w:p w:rsidR="00DD607D" w:rsidRPr="00E8642C" w:rsidRDefault="00DD607D" w:rsidP="00C21AB4">
      <w:pPr>
        <w:ind w:left="567"/>
        <w:rPr>
          <w:rFonts w:cs="Arial"/>
          <w:szCs w:val="22"/>
        </w:rPr>
      </w:pPr>
      <w:r w:rsidRPr="00E8642C">
        <w:rPr>
          <w:rFonts w:cs="Arial"/>
          <w:szCs w:val="22"/>
        </w:rPr>
        <w:t>a) </w:t>
      </w:r>
      <w:r w:rsidRPr="00E8642C">
        <w:rPr>
          <w:rFonts w:cs="Arial"/>
          <w:szCs w:val="22"/>
        </w:rPr>
        <w:tab/>
        <w:t>les actes accomplis à des fins privées et non commerciales;</w:t>
      </w:r>
    </w:p>
    <w:p w:rsidR="00DD607D" w:rsidRPr="00E8642C" w:rsidRDefault="00DD607D" w:rsidP="00C21AB4">
      <w:pPr>
        <w:ind w:left="567"/>
        <w:rPr>
          <w:rFonts w:cs="Arial"/>
          <w:szCs w:val="22"/>
        </w:rPr>
      </w:pPr>
      <w:r w:rsidRPr="00E8642C">
        <w:rPr>
          <w:rFonts w:cs="Arial"/>
          <w:szCs w:val="22"/>
        </w:rPr>
        <w:t>b) </w:t>
      </w:r>
      <w:r w:rsidRPr="00E8642C">
        <w:rPr>
          <w:rFonts w:cs="Arial"/>
          <w:szCs w:val="22"/>
        </w:rPr>
        <w:tab/>
        <w:t>les actes accomplis uniquement à des fins expérimentales ou de recherche.</w:t>
      </w:r>
    </w:p>
    <w:p w:rsidR="00DD607D" w:rsidRPr="00E8642C" w:rsidRDefault="00DD607D" w:rsidP="00AD541F">
      <w:pPr>
        <w:pStyle w:val="Heading2"/>
        <w:spacing w:after="220" w:line="240" w:lineRule="auto"/>
      </w:pPr>
      <w:bookmarkStart w:id="125" w:name="_Toc7772596"/>
      <w:r w:rsidRPr="00E8642C">
        <w:t>Utilisation illicite</w:t>
      </w:r>
      <w:r w:rsidRPr="00E8642C">
        <w:rPr>
          <w:rStyle w:val="FootnoteReference"/>
          <w:b w:val="0"/>
          <w:bCs w:val="0"/>
        </w:rPr>
        <w:footnoteReference w:id="172"/>
      </w:r>
      <w:bookmarkEnd w:id="125"/>
    </w:p>
    <w:p w:rsidR="00DD607D" w:rsidRPr="00E8642C" w:rsidRDefault="00DD607D" w:rsidP="00C21AB4">
      <w:pPr>
        <w:autoSpaceDE w:val="0"/>
        <w:autoSpaceDN w:val="0"/>
        <w:adjustRightInd w:val="0"/>
        <w:rPr>
          <w:rFonts w:cs="Arial"/>
          <w:szCs w:val="22"/>
        </w:rPr>
      </w:pPr>
      <w:r w:rsidRPr="00E8642C">
        <w:rPr>
          <w:rFonts w:cs="Arial"/>
          <w:szCs w:val="22"/>
        </w:rPr>
        <w:t xml:space="preserve">Dans le domaine des brevets,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“utilisation illicite” de la manière suivante</w:t>
      </w:r>
      <w:r w:rsidR="00D91476">
        <w:rPr>
          <w:rFonts w:cs="Arial"/>
          <w:szCs w:val="22"/>
        </w:rPr>
        <w:t> :</w:t>
      </w:r>
      <w:r w:rsidRPr="00E8642C">
        <w:rPr>
          <w:rFonts w:cs="Arial"/>
          <w:szCs w:val="22"/>
        </w:rPr>
        <w:t xml:space="preserve"> “</w:t>
      </w:r>
      <w:r w:rsidRPr="00E8642C">
        <w:rPr>
          <w:rFonts w:cs="Arial"/>
          <w:iCs/>
          <w:szCs w:val="22"/>
        </w:rPr>
        <w:t>utilisation d</w:t>
      </w:r>
      <w:r w:rsidR="00D91476">
        <w:rPr>
          <w:rFonts w:cs="Arial"/>
          <w:iCs/>
          <w:szCs w:val="22"/>
        </w:rPr>
        <w:t>’</w:t>
      </w:r>
      <w:r w:rsidRPr="00E8642C">
        <w:rPr>
          <w:rFonts w:cs="Arial"/>
          <w:iCs/>
          <w:szCs w:val="22"/>
        </w:rPr>
        <w:t>un brevet soit pour étendre indûment le monopole conféré à des biens non brevetés, soit pour violer les lois antitrust</w:t>
      </w:r>
      <w:r w:rsidRPr="00E8642C">
        <w:rPr>
          <w:rFonts w:cs="Arial"/>
          <w:szCs w:val="22"/>
        </w:rPr>
        <w:t>”.  D</w:t>
      </w:r>
      <w:r w:rsidR="00D91476">
        <w:rPr>
          <w:rFonts w:cs="Arial"/>
          <w:szCs w:val="22"/>
        </w:rPr>
        <w:t>’</w:t>
      </w:r>
      <w:r w:rsidRPr="00E8642C">
        <w:rPr>
          <w:rFonts w:cs="Arial"/>
          <w:szCs w:val="22"/>
        </w:rPr>
        <w:t>une manière générale, il la définit comme une utilisation impropre, d</w:t>
      </w:r>
      <w:r w:rsidR="00D91476">
        <w:rPr>
          <w:rFonts w:cs="Arial"/>
          <w:szCs w:val="22"/>
        </w:rPr>
        <w:t>’</w:t>
      </w:r>
      <w:r w:rsidRPr="00E8642C">
        <w:rPr>
          <w:rFonts w:cs="Arial"/>
          <w:szCs w:val="22"/>
        </w:rPr>
        <w:t>une manière non intentionnelle ou non prévisib</w:t>
      </w:r>
      <w:r w:rsidR="001F3AEE" w:rsidRPr="00E8642C">
        <w:rPr>
          <w:rFonts w:cs="Arial"/>
          <w:szCs w:val="22"/>
        </w:rPr>
        <w:t>le</w:t>
      </w:r>
      <w:r w:rsidR="001F3AEE">
        <w:rPr>
          <w:rFonts w:cs="Arial"/>
          <w:szCs w:val="22"/>
        </w:rPr>
        <w:t xml:space="preserve">.  </w:t>
      </w:r>
      <w:r w:rsidR="001F3AEE" w:rsidRPr="00E8642C">
        <w:rPr>
          <w:rFonts w:cs="Arial"/>
          <w:szCs w:val="22"/>
        </w:rPr>
        <w:t>Le</w:t>
      </w:r>
      <w:r w:rsidRPr="00E8642C">
        <w:rPr>
          <w:rFonts w:cs="Arial"/>
          <w:szCs w:val="22"/>
        </w:rPr>
        <w:t>s</w:t>
      </w:r>
      <w:r w:rsidR="00764C67">
        <w:rPr>
          <w:rFonts w:cs="Arial"/>
          <w:szCs w:val="22"/>
        </w:rPr>
        <w:t> </w:t>
      </w:r>
      <w:r w:rsidRPr="00E8642C">
        <w:rPr>
          <w:rFonts w:cs="Arial"/>
          <w:szCs w:val="22"/>
        </w:rPr>
        <w:t>dictionnaires définissent généralement l</w:t>
      </w:r>
      <w:r w:rsidR="00D91476">
        <w:rPr>
          <w:rFonts w:cs="Arial"/>
          <w:szCs w:val="22"/>
        </w:rPr>
        <w:t>’</w:t>
      </w:r>
      <w:r w:rsidRPr="00E8642C">
        <w:rPr>
          <w:rFonts w:cs="Arial"/>
          <w:szCs w:val="22"/>
        </w:rPr>
        <w:t>utilisation illicite comme une utilisation erronée, incorrecte ou abusive, ou un abus de pouvo</w:t>
      </w:r>
      <w:r w:rsidR="001F3AEE" w:rsidRPr="00E8642C">
        <w:rPr>
          <w:rFonts w:cs="Arial"/>
          <w:szCs w:val="22"/>
        </w:rPr>
        <w:t>ir</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u</w:t>
      </w:r>
      <w:r w:rsidRPr="00E8642C">
        <w:rPr>
          <w:rFonts w:cs="Arial"/>
          <w:szCs w:val="22"/>
        </w:rPr>
        <w:t>tilisation illicite peut également renvoyer à une utilisation abusive ou excessive, ou à des actes qui modifient l</w:t>
      </w:r>
      <w:r w:rsidR="00D91476">
        <w:rPr>
          <w:rFonts w:cs="Arial"/>
          <w:szCs w:val="22"/>
        </w:rPr>
        <w:t>’</w:t>
      </w:r>
      <w:r w:rsidRPr="00E8642C">
        <w:rPr>
          <w:rFonts w:cs="Arial"/>
          <w:szCs w:val="22"/>
        </w:rPr>
        <w:t>objet ou la fonction même d</w:t>
      </w:r>
      <w:r w:rsidR="00D91476">
        <w:rPr>
          <w:rFonts w:cs="Arial"/>
          <w:szCs w:val="22"/>
        </w:rPr>
        <w:t>’</w:t>
      </w:r>
      <w:r w:rsidRPr="00E8642C">
        <w:rPr>
          <w:rFonts w:cs="Arial"/>
          <w:szCs w:val="22"/>
        </w:rPr>
        <w:t>une chose.</w:t>
      </w:r>
    </w:p>
    <w:p w:rsidR="00AA3C26" w:rsidRPr="00AE5852" w:rsidRDefault="00AA3C26" w:rsidP="00E745AA">
      <w:pPr>
        <w:pStyle w:val="Endofdocument-Annex"/>
        <w:spacing w:before="960"/>
        <w:rPr>
          <w:lang w:val="fr-CH"/>
        </w:rPr>
      </w:pPr>
      <w:r w:rsidRPr="00AE5852">
        <w:rPr>
          <w:lang w:val="fr-CH"/>
        </w:rPr>
        <w:t>[Fin de l</w:t>
      </w:r>
      <w:r w:rsidR="00D91476">
        <w:rPr>
          <w:lang w:val="fr-CH"/>
        </w:rPr>
        <w:t>’</w:t>
      </w:r>
      <w:r w:rsidRPr="00AE5852">
        <w:rPr>
          <w:lang w:val="fr-CH"/>
        </w:rPr>
        <w:t>annexe et du document]</w:t>
      </w:r>
    </w:p>
    <w:sectPr w:rsidR="00AA3C26" w:rsidRPr="00AE5852" w:rsidSect="00DC26CA">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DCD" w:rsidRDefault="00D71DCD">
      <w:r>
        <w:separator/>
      </w:r>
    </w:p>
    <w:p w:rsidR="00D71DCD" w:rsidRDefault="00D71DCD"/>
  </w:endnote>
  <w:endnote w:type="continuationSeparator" w:id="0">
    <w:p w:rsidR="00D71DCD" w:rsidRDefault="00D71DCD">
      <w:r>
        <w:continuationSeparator/>
      </w:r>
    </w:p>
    <w:p w:rsidR="00D71DCD" w:rsidRDefault="00D71DCD"/>
  </w:endnote>
  <w:endnote w:type="continuationNotice" w:id="1">
    <w:p w:rsidR="00D71DCD" w:rsidRDefault="00D71DCD"/>
    <w:p w:rsidR="00D71DCD" w:rsidRDefault="00D71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476" w:rsidRDefault="00D91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476" w:rsidRDefault="00D914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476" w:rsidRDefault="00D914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81" w:rsidRDefault="00D23D81" w:rsidP="00D23D81"/>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DCD" w:rsidRDefault="00D71DCD"/>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DCD" w:rsidRPr="008576A7" w:rsidRDefault="00D71DCD" w:rsidP="00857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DCD" w:rsidRDefault="00D71DCD">
      <w:r>
        <w:separator/>
      </w:r>
    </w:p>
    <w:p w:rsidR="00D71DCD" w:rsidRDefault="00D71DCD"/>
  </w:footnote>
  <w:footnote w:type="continuationSeparator" w:id="0">
    <w:p w:rsidR="00D71DCD" w:rsidRDefault="00D71DCD">
      <w:r>
        <w:separator/>
      </w:r>
    </w:p>
    <w:p w:rsidR="00D71DCD" w:rsidRDefault="00D71DCD" w:rsidP="00BD4DE0">
      <w:pPr>
        <w:spacing w:after="60"/>
      </w:pPr>
      <w:r w:rsidRPr="009D30E6">
        <w:rPr>
          <w:sz w:val="17"/>
          <w:szCs w:val="17"/>
        </w:rPr>
        <w:t>[Suite de la note de la page précédente]</w:t>
      </w:r>
    </w:p>
    <w:p w:rsidR="00D71DCD" w:rsidRDefault="00D71DCD"/>
  </w:footnote>
  <w:footnote w:type="continuationNotice" w:id="1">
    <w:p w:rsidR="00D71DCD" w:rsidRPr="009D30E6" w:rsidRDefault="00D71DCD" w:rsidP="00BD4DE0">
      <w:pPr>
        <w:spacing w:before="60"/>
        <w:jc w:val="right"/>
        <w:rPr>
          <w:sz w:val="17"/>
          <w:szCs w:val="17"/>
        </w:rPr>
      </w:pPr>
      <w:r w:rsidRPr="009D30E6">
        <w:rPr>
          <w:sz w:val="17"/>
          <w:szCs w:val="17"/>
        </w:rPr>
        <w:t>[Suite de la note page suivante]</w:t>
      </w:r>
    </w:p>
    <w:p w:rsidR="00D71DCD" w:rsidRDefault="00D71DCD"/>
  </w:footnote>
  <w:footnote w:id="2">
    <w:p w:rsidR="00D71DCD" w:rsidRPr="00E55DB1" w:rsidRDefault="00D71DCD" w:rsidP="0051068B">
      <w:pPr>
        <w:pStyle w:val="FootnoteText"/>
        <w:ind w:left="0" w:firstLine="0"/>
        <w:rPr>
          <w:rStyle w:val="FooterChar"/>
          <w:rFonts w:cs="Arial"/>
          <w:noProof/>
          <w:sz w:val="18"/>
          <w:szCs w:val="18"/>
          <w:lang w:val="fr-FR"/>
        </w:rPr>
      </w:pPr>
      <w:r w:rsidRPr="00E55DB1">
        <w:rPr>
          <w:rStyle w:val="FootnoteReference"/>
          <w:rFonts w:cs="Arial"/>
          <w:noProof/>
          <w:sz w:val="18"/>
          <w:szCs w:val="18"/>
        </w:rPr>
        <w:footnoteRef/>
      </w:r>
      <w:r w:rsidRPr="00E55DB1">
        <w:rPr>
          <w:rFonts w:cs="Arial"/>
          <w:noProof/>
          <w:sz w:val="18"/>
          <w:szCs w:val="18"/>
        </w:rPr>
        <w:tab/>
      </w:r>
      <w:r w:rsidRPr="00E55DB1">
        <w:rPr>
          <w:rStyle w:val="FooterChar"/>
          <w:rFonts w:cs="Arial"/>
          <w:noProof/>
          <w:sz w:val="18"/>
          <w:szCs w:val="18"/>
          <w:lang w:val="fr-FR"/>
        </w:rPr>
        <w:t>Rapport de la seiz</w:t>
      </w:r>
      <w:r w:rsidR="002F3A41">
        <w:rPr>
          <w:rStyle w:val="FooterChar"/>
          <w:rFonts w:cs="Arial"/>
          <w:noProof/>
          <w:sz w:val="18"/>
          <w:szCs w:val="18"/>
          <w:lang w:val="fr-FR"/>
        </w:rPr>
        <w:t>ième session</w:t>
      </w:r>
      <w:r w:rsidRPr="00E55DB1">
        <w:rPr>
          <w:rStyle w:val="FooterChar"/>
          <w:rFonts w:cs="Arial"/>
          <w:noProof/>
          <w:sz w:val="18"/>
          <w:szCs w:val="18"/>
          <w:lang w:val="fr-FR"/>
        </w:rPr>
        <w:t xml:space="preserve"> du comité (document WIPO/GRTKF/IC/16/8) et rapport de la dix</w:t>
      </w:r>
      <w:r w:rsidR="002F3A41">
        <w:rPr>
          <w:rStyle w:val="FooterChar"/>
          <w:rFonts w:cs="Arial"/>
          <w:noProof/>
          <w:sz w:val="18"/>
          <w:szCs w:val="18"/>
          <w:lang w:val="fr-FR"/>
        </w:rPr>
        <w:t>-</w:t>
      </w:r>
      <w:r w:rsidRPr="00E55DB1">
        <w:rPr>
          <w:rStyle w:val="FooterChar"/>
          <w:rFonts w:cs="Arial"/>
          <w:noProof/>
          <w:sz w:val="18"/>
          <w:szCs w:val="18"/>
          <w:lang w:val="fr-FR"/>
        </w:rPr>
        <w:t>sept</w:t>
      </w:r>
      <w:r w:rsidR="002F3A41">
        <w:rPr>
          <w:rStyle w:val="FooterChar"/>
          <w:rFonts w:cs="Arial"/>
          <w:noProof/>
          <w:sz w:val="18"/>
          <w:szCs w:val="18"/>
          <w:lang w:val="fr-FR"/>
        </w:rPr>
        <w:t>ième session</w:t>
      </w:r>
      <w:r w:rsidRPr="00E55DB1">
        <w:rPr>
          <w:rStyle w:val="FooterChar"/>
          <w:rFonts w:cs="Arial"/>
          <w:noProof/>
          <w:sz w:val="18"/>
          <w:szCs w:val="18"/>
          <w:lang w:val="fr-FR"/>
        </w:rPr>
        <w:t xml:space="preserve"> du comité (document WIPO/GRTKF/IC/17/12).</w:t>
      </w:r>
    </w:p>
  </w:footnote>
  <w:footnote w:id="3">
    <w:p w:rsidR="00D71DCD" w:rsidRPr="00E55DB1" w:rsidRDefault="00D71DCD">
      <w:pPr>
        <w:pStyle w:val="FootnoteText"/>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r>
      <w:r w:rsidRPr="00E55DB1">
        <w:rPr>
          <w:rStyle w:val="FooterChar"/>
          <w:rFonts w:cs="Arial"/>
          <w:noProof/>
          <w:sz w:val="18"/>
          <w:szCs w:val="18"/>
          <w:lang w:val="fr-FR"/>
        </w:rPr>
        <w:t>Rapport de la dix</w:t>
      </w:r>
      <w:r w:rsidR="002F3A41">
        <w:rPr>
          <w:rStyle w:val="FooterChar"/>
          <w:rFonts w:cs="Arial"/>
          <w:noProof/>
          <w:sz w:val="18"/>
          <w:szCs w:val="18"/>
          <w:lang w:val="fr-FR"/>
        </w:rPr>
        <w:t>-</w:t>
      </w:r>
      <w:r w:rsidRPr="00E55DB1">
        <w:rPr>
          <w:rStyle w:val="FooterChar"/>
          <w:rFonts w:cs="Arial"/>
          <w:noProof/>
          <w:sz w:val="18"/>
          <w:szCs w:val="18"/>
          <w:lang w:val="fr-FR"/>
        </w:rPr>
        <w:t>neuv</w:t>
      </w:r>
      <w:r w:rsidR="002F3A41">
        <w:rPr>
          <w:rStyle w:val="FooterChar"/>
          <w:rFonts w:cs="Arial"/>
          <w:noProof/>
          <w:sz w:val="18"/>
          <w:szCs w:val="18"/>
          <w:lang w:val="fr-FR"/>
        </w:rPr>
        <w:t>ième session</w:t>
      </w:r>
      <w:r w:rsidRPr="00E55DB1">
        <w:rPr>
          <w:rStyle w:val="FooterChar"/>
          <w:rFonts w:cs="Arial"/>
          <w:noProof/>
          <w:sz w:val="18"/>
          <w:szCs w:val="18"/>
          <w:lang w:val="fr-FR"/>
        </w:rPr>
        <w:t xml:space="preserve"> du comité (document WIPO/GRTKF/IC/19/12).</w:t>
      </w:r>
    </w:p>
  </w:footnote>
  <w:footnote w:id="4">
    <w:p w:rsidR="00D71DCD" w:rsidRPr="00E55DB1" w:rsidRDefault="00D71DCD" w:rsidP="0051068B">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5.4) du Protocole de Nagoya sur l</w:t>
      </w:r>
      <w:r w:rsidR="002F3A41">
        <w:rPr>
          <w:rFonts w:cs="Arial"/>
          <w:noProof/>
          <w:sz w:val="18"/>
          <w:szCs w:val="18"/>
        </w:rPr>
        <w:t>’</w:t>
      </w:r>
      <w:r w:rsidRPr="00E55DB1">
        <w:rPr>
          <w:rFonts w:cs="Arial"/>
          <w:noProof/>
          <w:sz w:val="18"/>
          <w:szCs w:val="18"/>
        </w:rPr>
        <w:t>accès aux ressources génétiques et le partage juste et équitable des avantages découlant de leur utilisation relatif à la Convention sur la diversité biologique.</w:t>
      </w:r>
    </w:p>
  </w:footnote>
  <w:footnote w:id="5">
    <w:p w:rsidR="00D71DCD" w:rsidRPr="00E55DB1" w:rsidRDefault="00D71DCD" w:rsidP="0051068B">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23 des Lignes directrices de Bonn sur l</w:t>
      </w:r>
      <w:r w:rsidR="002F3A41">
        <w:rPr>
          <w:rFonts w:cs="Arial"/>
          <w:noProof/>
          <w:sz w:val="18"/>
          <w:szCs w:val="18"/>
        </w:rPr>
        <w:t>’</w:t>
      </w:r>
      <w:r w:rsidRPr="00E55DB1">
        <w:rPr>
          <w:rFonts w:cs="Arial"/>
          <w:noProof/>
          <w:sz w:val="18"/>
          <w:szCs w:val="18"/>
        </w:rPr>
        <w:t>accès aux ressources génétiques et le partage juste et équitable des avantages résultant de leur utilisation.</w:t>
      </w:r>
    </w:p>
  </w:footnote>
  <w:footnote w:id="6">
    <w:p w:rsidR="00D71DCD" w:rsidRPr="00E55DB1" w:rsidRDefault="00D71DCD"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7">
    <w:p w:rsidR="00D71DCD" w:rsidRPr="00E55DB1" w:rsidRDefault="00D71DCD" w:rsidP="00EF6794">
      <w:pPr>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Disponible à l</w:t>
      </w:r>
      <w:r w:rsidR="002F3A41">
        <w:rPr>
          <w:rFonts w:cs="Arial"/>
          <w:noProof/>
          <w:sz w:val="18"/>
          <w:szCs w:val="18"/>
        </w:rPr>
        <w:t>’</w:t>
      </w:r>
      <w:r w:rsidR="00185850">
        <w:rPr>
          <w:rFonts w:cs="Arial"/>
          <w:noProof/>
          <w:sz w:val="18"/>
          <w:szCs w:val="18"/>
        </w:rPr>
        <w:t>adresse http</w:t>
      </w:r>
      <w:r w:rsidRPr="00EA7362">
        <w:rPr>
          <w:rStyle w:val="Hyperlink"/>
          <w:rFonts w:cs="Arial"/>
          <w:noProof/>
          <w:color w:val="auto"/>
          <w:sz w:val="18"/>
          <w:szCs w:val="18"/>
          <w:u w:val="none"/>
        </w:rPr>
        <w:t>s://www.wipo.int/tk/en/databases/contracts/index.html</w:t>
      </w:r>
      <w:r w:rsidRPr="00E55DB1">
        <w:rPr>
          <w:rFonts w:cs="Arial"/>
          <w:noProof/>
          <w:sz w:val="18"/>
          <w:szCs w:val="18"/>
        </w:rPr>
        <w:t>.</w:t>
      </w:r>
    </w:p>
  </w:footnote>
  <w:footnote w:id="8">
    <w:p w:rsidR="00D71DCD" w:rsidRPr="00E55DB1" w:rsidRDefault="00D71DCD"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Disponible à l</w:t>
      </w:r>
      <w:r w:rsidR="002F3A41">
        <w:rPr>
          <w:rFonts w:cs="Arial"/>
          <w:noProof/>
          <w:sz w:val="18"/>
          <w:szCs w:val="18"/>
        </w:rPr>
        <w:t>’</w:t>
      </w:r>
      <w:r w:rsidRPr="00E55DB1">
        <w:rPr>
          <w:rFonts w:cs="Arial"/>
          <w:noProof/>
          <w:sz w:val="18"/>
          <w:szCs w:val="18"/>
        </w:rPr>
        <w:t xml:space="preserve">adresse </w:t>
      </w:r>
      <w:hyperlink r:id="rId1" w:history="1">
        <w:r w:rsidRPr="00E55DB1">
          <w:rPr>
            <w:rStyle w:val="Hyperlink"/>
            <w:rFonts w:cs="Arial"/>
            <w:noProof/>
            <w:color w:val="auto"/>
            <w:sz w:val="18"/>
            <w:szCs w:val="18"/>
            <w:u w:val="none"/>
          </w:rPr>
          <w:t>http://www.fao.org/3/a</w:t>
        </w:r>
        <w:r w:rsidR="002F3A41">
          <w:rPr>
            <w:rStyle w:val="Hyperlink"/>
            <w:rFonts w:cs="Arial"/>
            <w:noProof/>
            <w:color w:val="auto"/>
            <w:sz w:val="18"/>
            <w:szCs w:val="18"/>
            <w:u w:val="none"/>
          </w:rPr>
          <w:t>-</w:t>
        </w:r>
        <w:r w:rsidRPr="00E55DB1">
          <w:rPr>
            <w:rStyle w:val="Hyperlink"/>
            <w:rFonts w:cs="Arial"/>
            <w:noProof/>
            <w:color w:val="auto"/>
            <w:sz w:val="18"/>
            <w:szCs w:val="18"/>
            <w:u w:val="none"/>
          </w:rPr>
          <w:t>be623e.pdf</w:t>
        </w:r>
      </w:hyperlink>
      <w:r w:rsidRPr="00E55DB1">
        <w:rPr>
          <w:rFonts w:cs="Arial"/>
          <w:noProof/>
          <w:sz w:val="18"/>
          <w:szCs w:val="18"/>
        </w:rPr>
        <w:t>.</w:t>
      </w:r>
    </w:p>
  </w:footnote>
  <w:footnote w:id="9">
    <w:p w:rsidR="00D71DCD" w:rsidRPr="00E55DB1" w:rsidRDefault="00D71DCD"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Recommandations aux négociateurs du Groupe africain de la deuxième Réunion panafricaine des communautés autochtones et locales (document UNEP/CBD/COP/10/INF/37) (16 octobre 2010).</w:t>
      </w:r>
    </w:p>
  </w:footnote>
  <w:footnote w:id="10">
    <w:p w:rsidR="00D71DCD" w:rsidRPr="00E55DB1" w:rsidRDefault="00D71DCD"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WIPO Intellectual Property Handbook, publication n° 489(E) de l</w:t>
      </w:r>
      <w:r w:rsidR="002F3A41">
        <w:rPr>
          <w:rFonts w:cs="Arial"/>
          <w:noProof/>
          <w:sz w:val="18"/>
          <w:szCs w:val="18"/>
        </w:rPr>
        <w:t>’</w:t>
      </w:r>
      <w:r w:rsidRPr="00E55DB1">
        <w:rPr>
          <w:rFonts w:cs="Arial"/>
          <w:noProof/>
          <w:sz w:val="18"/>
          <w:szCs w:val="18"/>
        </w:rPr>
        <w:t>OMPI, 2008, page 20.</w:t>
      </w:r>
    </w:p>
  </w:footnote>
  <w:footnote w:id="11">
    <w:p w:rsidR="00D71DCD" w:rsidRPr="00E55DB1" w:rsidRDefault="00D71DCD" w:rsidP="00EF679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w:t>
      </w:r>
      <w:r w:rsidR="002F3A41">
        <w:rPr>
          <w:rFonts w:cs="Arial"/>
          <w:sz w:val="18"/>
          <w:szCs w:val="18"/>
        </w:rPr>
        <w:t>’</w:t>
      </w:r>
      <w:r w:rsidRPr="00E55DB1">
        <w:rPr>
          <w:rFonts w:cs="Arial"/>
          <w:sz w:val="18"/>
          <w:szCs w:val="18"/>
        </w:rPr>
        <w:t>article 103 du titre 35 du Code des États</w:t>
      </w:r>
      <w:r w:rsidR="002F3A41">
        <w:rPr>
          <w:rFonts w:cs="Arial"/>
          <w:sz w:val="18"/>
          <w:szCs w:val="18"/>
        </w:rPr>
        <w:t>-</w:t>
      </w:r>
      <w:r w:rsidRPr="00E55DB1">
        <w:rPr>
          <w:rFonts w:cs="Arial"/>
          <w:sz w:val="18"/>
          <w:szCs w:val="18"/>
        </w:rPr>
        <w:t>Unis d</w:t>
      </w:r>
      <w:r w:rsidR="002F3A41">
        <w:rPr>
          <w:rFonts w:cs="Arial"/>
          <w:sz w:val="18"/>
          <w:szCs w:val="18"/>
        </w:rPr>
        <w:t>’</w:t>
      </w:r>
      <w:r w:rsidRPr="00E55DB1">
        <w:rPr>
          <w:rFonts w:cs="Arial"/>
          <w:sz w:val="18"/>
          <w:szCs w:val="18"/>
        </w:rPr>
        <w:t>Amérique, disponible à l</w:t>
      </w:r>
      <w:r w:rsidR="002F3A41">
        <w:rPr>
          <w:rFonts w:cs="Arial"/>
          <w:sz w:val="18"/>
          <w:szCs w:val="18"/>
        </w:rPr>
        <w:t>’</w:t>
      </w:r>
      <w:r w:rsidRPr="00E55DB1">
        <w:rPr>
          <w:rFonts w:cs="Arial"/>
          <w:sz w:val="18"/>
          <w:szCs w:val="18"/>
        </w:rPr>
        <w:t xml:space="preserve">adresse </w:t>
      </w:r>
      <w:hyperlink r:id="rId2" w:history="1">
        <w:r w:rsidRPr="00E55DB1">
          <w:rPr>
            <w:rStyle w:val="Hyperlink"/>
            <w:rFonts w:cs="Arial"/>
            <w:color w:val="auto"/>
            <w:sz w:val="18"/>
            <w:szCs w:val="18"/>
            <w:u w:val="none"/>
          </w:rPr>
          <w:t>https://www.uspto.gov/web/offices/pac/mpep/s2158.html</w:t>
        </w:r>
      </w:hyperlink>
      <w:r w:rsidRPr="00E55DB1">
        <w:rPr>
          <w:rFonts w:cs="Arial"/>
          <w:sz w:val="18"/>
          <w:szCs w:val="18"/>
        </w:rPr>
        <w:t>.</w:t>
      </w:r>
    </w:p>
  </w:footnote>
  <w:footnote w:id="12">
    <w:p w:rsidR="00D71DCD" w:rsidRPr="00E55DB1" w:rsidRDefault="00D71DCD" w:rsidP="004B68AF">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TextChar"/>
          <w:noProof/>
          <w:sz w:val="18"/>
          <w:szCs w:val="18"/>
          <w:lang w:val="fr-FR"/>
        </w:rPr>
        <w:t xml:space="preserve"> </w:t>
      </w:r>
      <w:r w:rsidRPr="00E55DB1">
        <w:rPr>
          <w:rStyle w:val="FootnoteTextChar"/>
          <w:noProof/>
          <w:sz w:val="18"/>
          <w:szCs w:val="18"/>
          <w:lang w:val="fr-FR"/>
        </w:rPr>
        <w:tab/>
      </w:r>
      <w:r w:rsidRPr="00E55DB1">
        <w:rPr>
          <w:rFonts w:cs="Arial"/>
          <w:noProof/>
          <w:sz w:val="18"/>
          <w:szCs w:val="18"/>
          <w:lang w:eastAsia="en-US"/>
        </w:rPr>
        <w:t>Guide des traités sur le droit d</w:t>
      </w:r>
      <w:r w:rsidR="002F3A41">
        <w:rPr>
          <w:rFonts w:cs="Arial"/>
          <w:noProof/>
          <w:sz w:val="18"/>
          <w:szCs w:val="18"/>
          <w:lang w:eastAsia="en-US"/>
        </w:rPr>
        <w:t>’</w:t>
      </w:r>
      <w:r w:rsidRPr="00E55DB1">
        <w:rPr>
          <w:rFonts w:cs="Arial"/>
          <w:noProof/>
          <w:sz w:val="18"/>
          <w:szCs w:val="18"/>
          <w:lang w:eastAsia="en-US"/>
        </w:rPr>
        <w:t>auteur et les droits connexes administrés par l</w:t>
      </w:r>
      <w:r w:rsidR="002F3A41">
        <w:rPr>
          <w:rFonts w:cs="Arial"/>
          <w:noProof/>
          <w:sz w:val="18"/>
          <w:szCs w:val="18"/>
          <w:lang w:eastAsia="en-US"/>
        </w:rPr>
        <w:t>’</w:t>
      </w:r>
      <w:r w:rsidRPr="00E55DB1">
        <w:rPr>
          <w:rFonts w:cs="Arial"/>
          <w:noProof/>
          <w:sz w:val="18"/>
          <w:szCs w:val="18"/>
          <w:lang w:eastAsia="en-US"/>
        </w:rPr>
        <w:t>OMPI et Glossaire du droit d</w:t>
      </w:r>
      <w:r w:rsidR="002F3A41">
        <w:rPr>
          <w:rFonts w:cs="Arial"/>
          <w:noProof/>
          <w:sz w:val="18"/>
          <w:szCs w:val="18"/>
          <w:lang w:eastAsia="en-US"/>
        </w:rPr>
        <w:t>’</w:t>
      </w:r>
      <w:r w:rsidRPr="00E55DB1">
        <w:rPr>
          <w:rFonts w:cs="Arial"/>
          <w:noProof/>
          <w:sz w:val="18"/>
          <w:szCs w:val="18"/>
          <w:lang w:eastAsia="en-US"/>
        </w:rPr>
        <w:t>auteur et des droits connexes, page 264.</w:t>
      </w:r>
    </w:p>
  </w:footnote>
  <w:footnote w:id="13">
    <w:p w:rsidR="00D71DCD" w:rsidRPr="00E55DB1" w:rsidRDefault="00D71DCD"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w:t>
      </w:r>
      <w:r w:rsidR="002F3A41">
        <w:rPr>
          <w:rFonts w:cs="Arial"/>
          <w:noProof/>
          <w:sz w:val="18"/>
          <w:szCs w:val="18"/>
        </w:rPr>
        <w:t>’</w:t>
      </w:r>
      <w:r w:rsidRPr="00E55DB1">
        <w:rPr>
          <w:rFonts w:cs="Arial"/>
          <w:noProof/>
          <w:sz w:val="18"/>
          <w:szCs w:val="18"/>
        </w:rPr>
        <w:t>édition utilisée aux fins du présent document est la dixième édition, de Bryan A. Garner.</w:t>
      </w:r>
    </w:p>
  </w:footnote>
  <w:footnote w:id="14">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“Cadre juridique de la protection des savoirs traditionnels à Sri Lanka”, première version du document de travail (janvier 2009).</w:t>
      </w:r>
    </w:p>
  </w:footnote>
  <w:footnote w:id="15">
    <w:p w:rsidR="00D71DCD" w:rsidRPr="00E55DB1" w:rsidRDefault="00D71DCD" w:rsidP="00903B5D">
      <w:pPr>
        <w:pStyle w:val="FootnoteText"/>
        <w:ind w:left="0" w:firstLine="0"/>
        <w:rPr>
          <w:rFonts w:cs="Arial"/>
          <w:noProof/>
          <w:sz w:val="18"/>
          <w:szCs w:val="18"/>
        </w:rPr>
      </w:pPr>
      <w:r w:rsidRPr="00E55DB1">
        <w:rPr>
          <w:rStyle w:val="FootnoteReference"/>
          <w:rFonts w:cs="Arial"/>
          <w:sz w:val="18"/>
          <w:szCs w:val="18"/>
        </w:rPr>
        <w:footnoteRef/>
      </w:r>
      <w:r w:rsidRPr="00E55DB1">
        <w:rPr>
          <w:rStyle w:val="FootnoteReference"/>
          <w:rFonts w:cs="Arial"/>
          <w:sz w:val="18"/>
          <w:szCs w:val="18"/>
          <w:lang w:val="en-US"/>
        </w:rPr>
        <w:t xml:space="preserve"> </w:t>
      </w:r>
      <w:r w:rsidRPr="00E55DB1">
        <w:rPr>
          <w:rFonts w:cs="Arial"/>
          <w:sz w:val="18"/>
          <w:szCs w:val="18"/>
          <w:lang w:val="en-US"/>
        </w:rPr>
        <w:tab/>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603.</w:t>
      </w:r>
    </w:p>
  </w:footnote>
  <w:footnote w:id="16">
    <w:p w:rsidR="00D71DCD" w:rsidRPr="00E55DB1" w:rsidRDefault="00D71DCD"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w:t>
      </w:r>
      <w:r w:rsidR="002F3A41">
        <w:rPr>
          <w:rFonts w:cs="Arial"/>
          <w:noProof/>
          <w:sz w:val="18"/>
          <w:szCs w:val="18"/>
        </w:rPr>
        <w:t>’</w:t>
      </w:r>
      <w:r w:rsidRPr="00E55DB1">
        <w:rPr>
          <w:rFonts w:cs="Arial"/>
          <w:noProof/>
          <w:sz w:val="18"/>
          <w:szCs w:val="18"/>
        </w:rPr>
        <w:t>auteur et les droits connexes administrés par l</w:t>
      </w:r>
      <w:r w:rsidR="002F3A41">
        <w:rPr>
          <w:rFonts w:cs="Arial"/>
          <w:noProof/>
          <w:sz w:val="18"/>
          <w:szCs w:val="18"/>
        </w:rPr>
        <w:t>’</w:t>
      </w:r>
      <w:r w:rsidRPr="00E55DB1">
        <w:rPr>
          <w:rFonts w:cs="Arial"/>
          <w:noProof/>
          <w:sz w:val="18"/>
          <w:szCs w:val="18"/>
        </w:rPr>
        <w:t>OMPI et Glossaire du droit d</w:t>
      </w:r>
      <w:r w:rsidR="002F3A41">
        <w:rPr>
          <w:rFonts w:cs="Arial"/>
          <w:noProof/>
          <w:sz w:val="18"/>
          <w:szCs w:val="18"/>
        </w:rPr>
        <w:t>’</w:t>
      </w:r>
      <w:r w:rsidRPr="00E55DB1">
        <w:rPr>
          <w:rFonts w:cs="Arial"/>
          <w:noProof/>
          <w:sz w:val="18"/>
          <w:szCs w:val="18"/>
        </w:rPr>
        <w:t>auteur et des droits connexes, page 293.</w:t>
      </w:r>
    </w:p>
  </w:footnote>
  <w:footnote w:id="17">
    <w:p w:rsidR="00D71DCD" w:rsidRPr="00E55DB1" w:rsidRDefault="00D71DCD"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paragraphe 2 du document OMPI/GRTKF/IC/2/3;  la base de données en ligne figure à l</w:t>
      </w:r>
      <w:r w:rsidR="002F3A41">
        <w:rPr>
          <w:rFonts w:cs="Arial"/>
          <w:noProof/>
          <w:sz w:val="18"/>
          <w:szCs w:val="18"/>
        </w:rPr>
        <w:t>’</w:t>
      </w:r>
      <w:r w:rsidR="00185850">
        <w:rPr>
          <w:rFonts w:cs="Arial"/>
          <w:noProof/>
          <w:sz w:val="18"/>
          <w:szCs w:val="18"/>
        </w:rPr>
        <w:t>adresse http</w:t>
      </w:r>
      <w:r w:rsidRPr="00286DCE">
        <w:rPr>
          <w:rStyle w:val="Hyperlink"/>
          <w:rFonts w:cs="Arial"/>
          <w:noProof/>
          <w:color w:val="auto"/>
          <w:sz w:val="18"/>
          <w:szCs w:val="18"/>
          <w:u w:val="none"/>
        </w:rPr>
        <w:t>s://www.wipo.int/tk/en/databases/contracts/index.html</w:t>
      </w:r>
      <w:r w:rsidRPr="00E55DB1">
        <w:rPr>
          <w:rFonts w:cs="Arial"/>
          <w:noProof/>
          <w:sz w:val="18"/>
          <w:szCs w:val="18"/>
        </w:rPr>
        <w:t>.</w:t>
      </w:r>
    </w:p>
  </w:footnote>
  <w:footnote w:id="18">
    <w:p w:rsidR="00D71DCD" w:rsidRPr="00E55DB1" w:rsidRDefault="00D71DCD"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WIPO/GRTKF/IC/17/INF/11.</w:t>
      </w:r>
    </w:p>
  </w:footnote>
  <w:footnote w:id="19">
    <w:p w:rsidR="00D71DCD" w:rsidRPr="00E55DB1" w:rsidRDefault="00D71DCD"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sur la dix</w:t>
      </w:r>
      <w:r w:rsidR="002F3A41">
        <w:rPr>
          <w:rFonts w:cs="Arial"/>
          <w:noProof/>
          <w:sz w:val="18"/>
          <w:szCs w:val="18"/>
        </w:rPr>
        <w:t>-</w:t>
      </w:r>
      <w:r w:rsidRPr="00E55DB1">
        <w:rPr>
          <w:rFonts w:cs="Arial"/>
          <w:noProof/>
          <w:sz w:val="18"/>
          <w:szCs w:val="18"/>
        </w:rPr>
        <w:t>sept</w:t>
      </w:r>
      <w:r w:rsidR="002F3A41">
        <w:rPr>
          <w:rFonts w:cs="Arial"/>
          <w:noProof/>
          <w:sz w:val="18"/>
          <w:szCs w:val="18"/>
        </w:rPr>
        <w:t>ième session</w:t>
      </w:r>
      <w:r w:rsidRPr="00E55DB1">
        <w:rPr>
          <w:rFonts w:cs="Arial"/>
          <w:noProof/>
          <w:sz w:val="18"/>
          <w:szCs w:val="18"/>
        </w:rPr>
        <w:t xml:space="preserve"> du comité (document WIPO/GRTKF/IC/17/12).</w:t>
      </w:r>
    </w:p>
  </w:footnote>
  <w:footnote w:id="20">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Pour plus d</w:t>
      </w:r>
      <w:r w:rsidR="002F3A41">
        <w:rPr>
          <w:rFonts w:cs="Arial"/>
          <w:noProof/>
          <w:sz w:val="18"/>
          <w:szCs w:val="18"/>
        </w:rPr>
        <w:t>’</w:t>
      </w:r>
      <w:r w:rsidRPr="00E55DB1">
        <w:rPr>
          <w:rFonts w:cs="Arial"/>
          <w:noProof/>
          <w:sz w:val="18"/>
          <w:szCs w:val="18"/>
        </w:rPr>
        <w:t xml:space="preserve">informations, on peut consulter le site </w:t>
      </w:r>
      <w:hyperlink r:id="rId3" w:history="1">
        <w:r w:rsidRPr="00E55DB1">
          <w:rPr>
            <w:rStyle w:val="Hyperlink"/>
            <w:rFonts w:cs="Arial"/>
            <w:noProof/>
            <w:color w:val="auto"/>
            <w:sz w:val="18"/>
            <w:szCs w:val="18"/>
            <w:u w:val="none"/>
          </w:rPr>
          <w:t>http://www.wipo.int/publications/fr/details.jsp?id=283&amp;plang=EN</w:t>
        </w:r>
      </w:hyperlink>
      <w:r w:rsidRPr="00E55DB1">
        <w:rPr>
          <w:rFonts w:cs="Arial"/>
          <w:noProof/>
          <w:sz w:val="18"/>
          <w:szCs w:val="18"/>
        </w:rPr>
        <w:t>.</w:t>
      </w:r>
    </w:p>
  </w:footnote>
  <w:footnote w:id="21">
    <w:p w:rsidR="00D71DCD" w:rsidRPr="00E55DB1" w:rsidRDefault="00D71DCD"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w:t>
      </w:r>
      <w:r w:rsidR="00F378CD">
        <w:rPr>
          <w:rFonts w:cs="Arial"/>
          <w:noProof/>
          <w:sz w:val="18"/>
          <w:szCs w:val="18"/>
          <w:lang w:val="en-US"/>
        </w:rPr>
        <w:t>e</w:t>
      </w:r>
      <w:r w:rsidR="002F3A41">
        <w:rPr>
          <w:rFonts w:cs="Arial"/>
          <w:noProof/>
          <w:sz w:val="18"/>
          <w:szCs w:val="18"/>
          <w:lang w:val="en-US"/>
        </w:rPr>
        <w:t>:</w:t>
      </w:r>
      <w:r w:rsidRPr="00E55DB1">
        <w:rPr>
          <w:rFonts w:cs="Arial"/>
          <w:noProof/>
          <w:sz w:val="18"/>
          <w:szCs w:val="18"/>
          <w:lang w:val="en-US"/>
        </w:rPr>
        <w:t xml:space="preserve"> Rapport de l</w:t>
      </w:r>
      <w:r w:rsidR="002F3A41">
        <w:rPr>
          <w:rFonts w:cs="Arial"/>
          <w:noProof/>
          <w:sz w:val="18"/>
          <w:szCs w:val="18"/>
          <w:lang w:val="en-US"/>
        </w:rPr>
        <w:t>’</w:t>
      </w:r>
      <w:r w:rsidRPr="00E55DB1">
        <w:rPr>
          <w:rFonts w:cs="Arial"/>
          <w:noProof/>
          <w:sz w:val="18"/>
          <w:szCs w:val="18"/>
          <w:lang w:val="en-US"/>
        </w:rPr>
        <w:t>UNU IAS, janvier 2004, p. 18.</w:t>
      </w:r>
    </w:p>
  </w:footnote>
  <w:footnote w:id="22">
    <w:p w:rsidR="00D71DCD" w:rsidRPr="00E55DB1" w:rsidRDefault="00D71DCD" w:rsidP="004B68AF">
      <w:pPr>
        <w:pStyle w:val="FootnoteText"/>
        <w:ind w:left="0" w:firstLine="0"/>
        <w:rPr>
          <w:rFonts w:cs="Arial"/>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Déclaration de la FAO sur les biotechnologies, disponible à l</w:t>
      </w:r>
      <w:r w:rsidR="002F3A41">
        <w:rPr>
          <w:rFonts w:cs="Arial"/>
          <w:noProof/>
          <w:sz w:val="18"/>
          <w:szCs w:val="18"/>
        </w:rPr>
        <w:t>’</w:t>
      </w:r>
      <w:r w:rsidRPr="00E55DB1">
        <w:rPr>
          <w:rFonts w:cs="Arial"/>
          <w:noProof/>
          <w:sz w:val="18"/>
          <w:szCs w:val="18"/>
        </w:rPr>
        <w:t xml:space="preserve">adresse </w:t>
      </w:r>
      <w:hyperlink r:id="rId4" w:history="1">
        <w:r w:rsidRPr="00E55DB1">
          <w:rPr>
            <w:rStyle w:val="Hyperlink"/>
            <w:rFonts w:cs="Arial"/>
            <w:noProof/>
            <w:color w:val="auto"/>
            <w:sz w:val="18"/>
            <w:szCs w:val="18"/>
            <w:u w:val="none"/>
          </w:rPr>
          <w:t>http://www.fao.org/biotech/fao</w:t>
        </w:r>
        <w:r w:rsidR="002F3A41">
          <w:rPr>
            <w:rStyle w:val="Hyperlink"/>
            <w:rFonts w:cs="Arial"/>
            <w:noProof/>
            <w:color w:val="auto"/>
            <w:sz w:val="18"/>
            <w:szCs w:val="18"/>
            <w:u w:val="none"/>
          </w:rPr>
          <w:t>-</w:t>
        </w:r>
        <w:r w:rsidRPr="00E55DB1">
          <w:rPr>
            <w:rStyle w:val="Hyperlink"/>
            <w:rFonts w:cs="Arial"/>
            <w:noProof/>
            <w:color w:val="auto"/>
            <w:sz w:val="18"/>
            <w:szCs w:val="18"/>
            <w:u w:val="none"/>
          </w:rPr>
          <w:t>statement</w:t>
        </w:r>
        <w:r w:rsidR="002F3A41">
          <w:rPr>
            <w:rStyle w:val="Hyperlink"/>
            <w:rFonts w:cs="Arial"/>
            <w:noProof/>
            <w:color w:val="auto"/>
            <w:sz w:val="18"/>
            <w:szCs w:val="18"/>
            <w:u w:val="none"/>
          </w:rPr>
          <w:t>-</w:t>
        </w:r>
        <w:r w:rsidRPr="00E55DB1">
          <w:rPr>
            <w:rStyle w:val="Hyperlink"/>
            <w:rFonts w:cs="Arial"/>
            <w:noProof/>
            <w:color w:val="auto"/>
            <w:sz w:val="18"/>
            <w:szCs w:val="18"/>
            <w:u w:val="none"/>
          </w:rPr>
          <w:t>on</w:t>
        </w:r>
        <w:r w:rsidR="002F3A41">
          <w:rPr>
            <w:rStyle w:val="Hyperlink"/>
            <w:rFonts w:cs="Arial"/>
            <w:noProof/>
            <w:color w:val="auto"/>
            <w:sz w:val="18"/>
            <w:szCs w:val="18"/>
            <w:u w:val="none"/>
          </w:rPr>
          <w:t>-</w:t>
        </w:r>
        <w:r w:rsidRPr="00E55DB1">
          <w:rPr>
            <w:rStyle w:val="Hyperlink"/>
            <w:rFonts w:cs="Arial"/>
            <w:noProof/>
            <w:color w:val="auto"/>
            <w:sz w:val="18"/>
            <w:szCs w:val="18"/>
            <w:u w:val="none"/>
          </w:rPr>
          <w:t>biotechnology/fr/</w:t>
        </w:r>
      </w:hyperlink>
      <w:r w:rsidRPr="00E55DB1">
        <w:rPr>
          <w:rFonts w:cs="Arial"/>
          <w:sz w:val="18"/>
          <w:szCs w:val="18"/>
        </w:rPr>
        <w:t>.</w:t>
      </w:r>
    </w:p>
  </w:footnote>
  <w:footnote w:id="23">
    <w:p w:rsidR="00D71DCD" w:rsidRPr="00E55DB1" w:rsidRDefault="00D71DCD"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la définition et la définition sous forme de liste à l</w:t>
      </w:r>
      <w:r w:rsidR="002F3A41">
        <w:rPr>
          <w:rFonts w:cs="Arial"/>
          <w:noProof/>
          <w:sz w:val="18"/>
          <w:szCs w:val="18"/>
        </w:rPr>
        <w:t>’</w:t>
      </w:r>
      <w:r w:rsidRPr="00E55DB1">
        <w:rPr>
          <w:rFonts w:cs="Arial"/>
          <w:noProof/>
          <w:sz w:val="18"/>
          <w:szCs w:val="18"/>
        </w:rPr>
        <w:t xml:space="preserve">adresse </w:t>
      </w:r>
      <w:hyperlink r:id="rId5" w:history="1">
        <w:r w:rsidRPr="00E55DB1">
          <w:rPr>
            <w:rStyle w:val="Hyperlink"/>
            <w:rFonts w:cs="Arial"/>
            <w:noProof/>
            <w:color w:val="auto"/>
            <w:sz w:val="18"/>
            <w:szCs w:val="18"/>
            <w:u w:val="none"/>
          </w:rPr>
          <w:t>http://www.oecd.org/fr/sti/biotech/definitionstatistiquedelabiotechnologiemiseajouren2005.htm</w:t>
        </w:r>
      </w:hyperlink>
      <w:r w:rsidRPr="00E55DB1">
        <w:rPr>
          <w:rFonts w:cs="Arial"/>
          <w:noProof/>
          <w:sz w:val="18"/>
          <w:szCs w:val="18"/>
        </w:rPr>
        <w:t>.</w:t>
      </w:r>
    </w:p>
  </w:footnote>
  <w:footnote w:id="24">
    <w:p w:rsidR="00D71DCD" w:rsidRPr="00E55DB1" w:rsidRDefault="00D71DCD" w:rsidP="0040085A">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w:t>
      </w:r>
      <w:r w:rsidR="002F3A41">
        <w:rPr>
          <w:rFonts w:cs="Arial"/>
          <w:noProof/>
          <w:sz w:val="18"/>
          <w:szCs w:val="18"/>
        </w:rPr>
        <w:t>’</w:t>
      </w:r>
      <w:r w:rsidRPr="00E55DB1">
        <w:rPr>
          <w:rFonts w:cs="Arial"/>
          <w:noProof/>
          <w:sz w:val="18"/>
          <w:szCs w:val="18"/>
        </w:rPr>
        <w:t>auteur et les droits connexes administrés par l</w:t>
      </w:r>
      <w:r w:rsidR="002F3A41">
        <w:rPr>
          <w:rFonts w:cs="Arial"/>
          <w:noProof/>
          <w:sz w:val="18"/>
          <w:szCs w:val="18"/>
        </w:rPr>
        <w:t>’</w:t>
      </w:r>
      <w:r w:rsidRPr="00E55DB1">
        <w:rPr>
          <w:rFonts w:cs="Arial"/>
          <w:noProof/>
          <w:sz w:val="18"/>
          <w:szCs w:val="18"/>
        </w:rPr>
        <w:t>OMPI et Glossaire du droit d</w:t>
      </w:r>
      <w:r w:rsidR="002F3A41">
        <w:rPr>
          <w:rFonts w:cs="Arial"/>
          <w:noProof/>
          <w:sz w:val="18"/>
          <w:szCs w:val="18"/>
        </w:rPr>
        <w:t>’</w:t>
      </w:r>
      <w:r w:rsidRPr="00E55DB1">
        <w:rPr>
          <w:rFonts w:cs="Arial"/>
          <w:noProof/>
          <w:sz w:val="18"/>
          <w:szCs w:val="18"/>
        </w:rPr>
        <w:t>auteur et des droits connexes, OMPI, p. 289.</w:t>
      </w:r>
    </w:p>
  </w:footnote>
  <w:footnote w:id="25">
    <w:p w:rsidR="00D71DCD" w:rsidRPr="00E55DB1" w:rsidRDefault="00D71DCD"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Glossaire PATENTSCOPE de l</w:t>
      </w:r>
      <w:r w:rsidR="002F3A41">
        <w:rPr>
          <w:rFonts w:cs="Arial"/>
          <w:noProof/>
          <w:sz w:val="18"/>
          <w:szCs w:val="18"/>
          <w:lang w:val="en-US"/>
        </w:rPr>
        <w:t>’</w:t>
      </w:r>
      <w:r w:rsidRPr="00E55DB1">
        <w:rPr>
          <w:rFonts w:cs="Arial"/>
          <w:noProof/>
          <w:sz w:val="18"/>
          <w:szCs w:val="18"/>
          <w:lang w:val="en-US"/>
        </w:rPr>
        <w:t>OMPI.</w:t>
      </w:r>
    </w:p>
  </w:footnote>
  <w:footnote w:id="26">
    <w:p w:rsidR="00D71DCD" w:rsidRPr="00E55DB1" w:rsidRDefault="00D71DCD"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Knowledge</w:t>
      </w:r>
      <w:r w:rsidR="002F3A41">
        <w:rPr>
          <w:rFonts w:cs="Arial"/>
          <w:noProof/>
          <w:sz w:val="18"/>
          <w:szCs w:val="18"/>
          <w:lang w:val="en-US"/>
        </w:rPr>
        <w:t>:</w:t>
      </w:r>
      <w:r w:rsidRPr="00E55DB1">
        <w:rPr>
          <w:rFonts w:cs="Arial"/>
          <w:noProof/>
          <w:sz w:val="18"/>
          <w:szCs w:val="18"/>
          <w:lang w:val="en-US"/>
        </w:rPr>
        <w:t xml:space="preserve"> Rapport de l</w:t>
      </w:r>
      <w:r w:rsidR="002F3A41">
        <w:rPr>
          <w:rFonts w:cs="Arial"/>
          <w:noProof/>
          <w:sz w:val="18"/>
          <w:szCs w:val="18"/>
          <w:lang w:val="en-US"/>
        </w:rPr>
        <w:t>’</w:t>
      </w:r>
      <w:r w:rsidRPr="00E55DB1">
        <w:rPr>
          <w:rFonts w:cs="Arial"/>
          <w:noProof/>
          <w:sz w:val="18"/>
          <w:szCs w:val="18"/>
          <w:lang w:val="en-US"/>
        </w:rPr>
        <w:t>UNU IAS, janvier 2004, p. 18.</w:t>
      </w:r>
    </w:p>
  </w:footnote>
  <w:footnote w:id="27">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Pour de plus d</w:t>
      </w:r>
      <w:r w:rsidR="002F3A41">
        <w:rPr>
          <w:rFonts w:cs="Arial"/>
          <w:noProof/>
          <w:sz w:val="18"/>
          <w:szCs w:val="18"/>
        </w:rPr>
        <w:t>’</w:t>
      </w:r>
      <w:r w:rsidRPr="00E55DB1">
        <w:rPr>
          <w:rFonts w:cs="Arial"/>
          <w:noProof/>
          <w:sz w:val="18"/>
          <w:szCs w:val="18"/>
        </w:rPr>
        <w:t xml:space="preserve">informations, on peut consulter le site </w:t>
      </w:r>
      <w:hyperlink r:id="rId6" w:history="1">
        <w:r w:rsidRPr="00E55DB1">
          <w:rPr>
            <w:rStyle w:val="Hyperlink"/>
            <w:rFonts w:cs="Arial"/>
            <w:noProof/>
            <w:color w:val="auto"/>
            <w:sz w:val="18"/>
            <w:szCs w:val="18"/>
            <w:u w:val="none"/>
          </w:rPr>
          <w:t>http://www.tkdl.res.in/tkdl/langdefault/common/TKRC.asp?GL=Eng</w:t>
        </w:r>
      </w:hyperlink>
      <w:r w:rsidRPr="00E55DB1">
        <w:rPr>
          <w:rFonts w:cs="Arial"/>
          <w:noProof/>
          <w:sz w:val="18"/>
          <w:szCs w:val="18"/>
        </w:rPr>
        <w:t>.</w:t>
      </w:r>
    </w:p>
  </w:footnote>
  <w:footnote w:id="28">
    <w:p w:rsidR="00D71DCD" w:rsidRPr="00E55DB1" w:rsidRDefault="00D71DCD"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Glossaire PATENTSCOPE de l</w:t>
      </w:r>
      <w:r w:rsidR="002F3A41">
        <w:rPr>
          <w:rFonts w:cs="Arial"/>
          <w:noProof/>
          <w:sz w:val="18"/>
          <w:szCs w:val="18"/>
        </w:rPr>
        <w:t>’</w:t>
      </w:r>
      <w:r w:rsidRPr="00E55DB1">
        <w:rPr>
          <w:rFonts w:cs="Arial"/>
          <w:noProof/>
          <w:sz w:val="18"/>
          <w:szCs w:val="18"/>
        </w:rPr>
        <w:t>OMPI.</w:t>
      </w:r>
    </w:p>
  </w:footnote>
  <w:footnote w:id="29">
    <w:p w:rsidR="00D71DCD" w:rsidRPr="00E55DB1" w:rsidRDefault="00D71DCD" w:rsidP="004B68AF">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Projet de glossaire proposé par un groupe d</w:t>
      </w:r>
      <w:r w:rsidR="002F3A41">
        <w:rPr>
          <w:rFonts w:cs="Arial"/>
          <w:noProof/>
          <w:sz w:val="18"/>
          <w:szCs w:val="18"/>
        </w:rPr>
        <w:t>’</w:t>
      </w:r>
      <w:r w:rsidRPr="00E55DB1">
        <w:rPr>
          <w:rFonts w:cs="Arial"/>
          <w:noProof/>
          <w:sz w:val="18"/>
          <w:szCs w:val="18"/>
        </w:rPr>
        <w:t>experts néerlandais réuni par le bureau de la Commission nationale des Pays</w:t>
      </w:r>
      <w:r w:rsidR="002F3A41">
        <w:rPr>
          <w:rFonts w:cs="Arial"/>
          <w:noProof/>
          <w:sz w:val="18"/>
          <w:szCs w:val="18"/>
        </w:rPr>
        <w:t>-</w:t>
      </w:r>
      <w:r w:rsidRPr="00E55DB1">
        <w:rPr>
          <w:rFonts w:cs="Arial"/>
          <w:noProof/>
          <w:sz w:val="18"/>
          <w:szCs w:val="18"/>
        </w:rPr>
        <w:t>Bas pour l</w:t>
      </w:r>
      <w:r w:rsidR="002F3A41">
        <w:rPr>
          <w:rFonts w:cs="Arial"/>
          <w:noProof/>
          <w:sz w:val="18"/>
          <w:szCs w:val="18"/>
        </w:rPr>
        <w:t>’</w:t>
      </w:r>
      <w:r w:rsidRPr="00E55DB1">
        <w:rPr>
          <w:rFonts w:cs="Arial"/>
          <w:noProof/>
          <w:sz w:val="18"/>
          <w:szCs w:val="18"/>
        </w:rPr>
        <w:t>UNESCO (document TER/CH/2002/WD/4), 2002.</w:t>
      </w:r>
    </w:p>
  </w:footnote>
  <w:footnote w:id="30">
    <w:p w:rsidR="00D71DCD" w:rsidRPr="00E55DB1" w:rsidRDefault="00D71DCD"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“The Concept of Local Communities”, document d</w:t>
      </w:r>
      <w:r w:rsidR="002F3A41">
        <w:rPr>
          <w:rFonts w:cs="Arial"/>
          <w:noProof/>
          <w:sz w:val="18"/>
          <w:szCs w:val="18"/>
        </w:rPr>
        <w:t>’</w:t>
      </w:r>
      <w:r w:rsidRPr="00E55DB1">
        <w:rPr>
          <w:rFonts w:cs="Arial"/>
          <w:noProof/>
          <w:sz w:val="18"/>
          <w:szCs w:val="18"/>
        </w:rPr>
        <w:t>information établi par le Secrétariat de l</w:t>
      </w:r>
      <w:r w:rsidR="002F3A41">
        <w:rPr>
          <w:rFonts w:cs="Arial"/>
          <w:noProof/>
          <w:sz w:val="18"/>
          <w:szCs w:val="18"/>
        </w:rPr>
        <w:t>’</w:t>
      </w:r>
      <w:r w:rsidRPr="00E55DB1">
        <w:rPr>
          <w:rFonts w:cs="Arial"/>
          <w:noProof/>
          <w:sz w:val="18"/>
          <w:szCs w:val="18"/>
        </w:rPr>
        <w:t xml:space="preserve">Instance permanente sur les questions autochtones des </w:t>
      </w:r>
      <w:r w:rsidR="002F3A41">
        <w:rPr>
          <w:rFonts w:cs="Arial"/>
          <w:noProof/>
          <w:sz w:val="18"/>
          <w:szCs w:val="18"/>
        </w:rPr>
        <w:t>Nations Unies</w:t>
      </w:r>
      <w:r w:rsidRPr="00E55DB1">
        <w:rPr>
          <w:rFonts w:cs="Arial"/>
          <w:noProof/>
          <w:sz w:val="18"/>
          <w:szCs w:val="18"/>
        </w:rPr>
        <w:t xml:space="preserve"> en vue de l</w:t>
      </w:r>
      <w:r w:rsidR="002F3A41">
        <w:rPr>
          <w:rFonts w:cs="Arial"/>
          <w:noProof/>
          <w:sz w:val="18"/>
          <w:szCs w:val="18"/>
        </w:rPr>
        <w:t>’</w:t>
      </w:r>
      <w:r w:rsidRPr="00E55DB1">
        <w:rPr>
          <w:rFonts w:cs="Arial"/>
          <w:noProof/>
          <w:sz w:val="18"/>
          <w:szCs w:val="18"/>
        </w:rPr>
        <w:t>atelier d</w:t>
      </w:r>
      <w:r w:rsidR="002F3A41">
        <w:rPr>
          <w:rFonts w:cs="Arial"/>
          <w:noProof/>
          <w:sz w:val="18"/>
          <w:szCs w:val="18"/>
        </w:rPr>
        <w:t>’</w:t>
      </w:r>
      <w:r w:rsidRPr="00E55DB1">
        <w:rPr>
          <w:rFonts w:cs="Arial"/>
          <w:noProof/>
          <w:sz w:val="18"/>
          <w:szCs w:val="18"/>
        </w:rPr>
        <w:t xml:space="preserve">experts sur la désagrégation de données (document PFII/2004/WS.1/3/Add.1).  </w:t>
      </w:r>
      <w:r w:rsidRPr="00E55DB1">
        <w:rPr>
          <w:rFonts w:cs="Arial"/>
          <w:iCs/>
          <w:noProof/>
          <w:sz w:val="18"/>
          <w:szCs w:val="18"/>
        </w:rPr>
        <w:t>Voir aussi</w:t>
      </w:r>
      <w:r w:rsidRPr="00E55DB1">
        <w:rPr>
          <w:rFonts w:cs="Arial"/>
          <w:i/>
          <w:iCs/>
          <w:noProof/>
          <w:sz w:val="18"/>
          <w:szCs w:val="18"/>
        </w:rPr>
        <w:t xml:space="preserve"> </w:t>
      </w:r>
      <w:r w:rsidRPr="00E55DB1">
        <w:rPr>
          <w:rFonts w:cs="Arial"/>
          <w:noProof/>
          <w:sz w:val="18"/>
          <w:szCs w:val="18"/>
        </w:rPr>
        <w:t>le document UNEP/CBD/WS</w:t>
      </w:r>
      <w:r w:rsidR="002F3A41">
        <w:rPr>
          <w:rFonts w:cs="Arial"/>
          <w:noProof/>
          <w:sz w:val="18"/>
          <w:szCs w:val="18"/>
        </w:rPr>
        <w:t>-</w:t>
      </w:r>
      <w:r w:rsidRPr="00E55DB1">
        <w:rPr>
          <w:rFonts w:cs="Arial"/>
          <w:noProof/>
          <w:sz w:val="18"/>
          <w:szCs w:val="18"/>
        </w:rPr>
        <w:t>CB/LAC/1/INF/5.</w:t>
      </w:r>
    </w:p>
  </w:footnote>
  <w:footnote w:id="31">
    <w:p w:rsidR="00D71DCD" w:rsidRPr="00E55DB1" w:rsidRDefault="00D71DCD" w:rsidP="0040085A">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Voir la CDB, Development of Elements of </w:t>
      </w:r>
      <w:r w:rsidRPr="00E55DB1">
        <w:rPr>
          <w:rFonts w:cs="Arial"/>
          <w:i/>
          <w:iCs/>
          <w:noProof/>
          <w:sz w:val="18"/>
          <w:szCs w:val="18"/>
          <w:lang w:val="en-US"/>
        </w:rPr>
        <w:t>Sui Generis</w:t>
      </w:r>
      <w:r w:rsidRPr="00E55DB1">
        <w:rPr>
          <w:rFonts w:cs="Arial"/>
          <w:noProof/>
          <w:sz w:val="18"/>
          <w:szCs w:val="18"/>
          <w:lang w:val="en-US"/>
        </w:rPr>
        <w:t xml:space="preserve"> Systems for the Protection of Traditional Knowledge, Innovations and Practices, UNEP/CBD/WG8J/4/INF/18, page 5.</w:t>
      </w:r>
    </w:p>
  </w:footnote>
  <w:footnote w:id="32">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paragraphe 32 du document UNEP/CBD/COP/4/22.</w:t>
      </w:r>
    </w:p>
  </w:footnote>
  <w:footnote w:id="33">
    <w:p w:rsidR="00D71DCD" w:rsidRPr="00E55DB1" w:rsidRDefault="00D71DCD"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également Marc G. Stevenson, “Indigenous Knowledge in Environmental Assessments”, 49 ARCTIC 278 (1996), page 281.</w:t>
      </w:r>
    </w:p>
  </w:footnote>
  <w:footnote w:id="34">
    <w:p w:rsidR="00D71DCD" w:rsidRPr="00E55DB1" w:rsidRDefault="00D71DCD"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Fikret Berkes, Traditional Ecological Knowledge in Perspective.  Traditional Ecological Knowledge</w:t>
      </w:r>
      <w:r w:rsidR="002F3A41">
        <w:rPr>
          <w:rFonts w:cs="Arial"/>
          <w:noProof/>
          <w:sz w:val="18"/>
          <w:szCs w:val="18"/>
          <w:lang w:val="en-US"/>
        </w:rPr>
        <w:t>:</w:t>
      </w:r>
      <w:r w:rsidRPr="00E55DB1">
        <w:rPr>
          <w:rFonts w:cs="Arial"/>
          <w:noProof/>
          <w:sz w:val="18"/>
          <w:szCs w:val="18"/>
          <w:lang w:val="en-US"/>
        </w:rPr>
        <w:t xml:space="preserve"> Concepts and Cases.  International Program on Traditional Ecological Knowledge and International Development Research Centre, Ottawa.</w:t>
      </w:r>
    </w:p>
  </w:footnote>
  <w:footnote w:id="35">
    <w:p w:rsidR="00D71DCD" w:rsidRPr="00E55DB1" w:rsidRDefault="00D71DCD"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 xml:space="preserve">Article 32.2) de la Déclaration des </w:t>
      </w:r>
      <w:r w:rsidR="002F3A41">
        <w:rPr>
          <w:rFonts w:cs="Arial"/>
          <w:noProof/>
          <w:sz w:val="18"/>
          <w:szCs w:val="18"/>
        </w:rPr>
        <w:t>Nations Unies</w:t>
      </w:r>
      <w:r w:rsidRPr="00E55DB1">
        <w:rPr>
          <w:rFonts w:cs="Arial"/>
          <w:noProof/>
          <w:sz w:val="18"/>
          <w:szCs w:val="18"/>
        </w:rPr>
        <w:t xml:space="preserve"> sur les droits des peuples autochtones;  voir aussi Groupe des </w:t>
      </w:r>
      <w:r w:rsidR="002F3A41">
        <w:rPr>
          <w:rFonts w:cs="Arial"/>
          <w:noProof/>
          <w:sz w:val="18"/>
          <w:szCs w:val="18"/>
        </w:rPr>
        <w:t>Nations Unies</w:t>
      </w:r>
      <w:r w:rsidRPr="00E55DB1">
        <w:rPr>
          <w:rFonts w:cs="Arial"/>
          <w:noProof/>
          <w:sz w:val="18"/>
          <w:szCs w:val="18"/>
        </w:rPr>
        <w:t xml:space="preserve"> pour le développement, Lignes directrices sur les questions relatives aux peuples autochtones.</w:t>
      </w:r>
    </w:p>
  </w:footnote>
  <w:footnote w:id="36">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ab/>
        <w:t xml:space="preserve">Stephen Allen et Alexandra Xanthaki, “Reflections on the UN Declaration on the Rights of Indigenous Peoples”, Oxford and Portland, Oregon, page 49.  </w:t>
      </w:r>
      <w:r w:rsidRPr="00E55DB1">
        <w:rPr>
          <w:rFonts w:cs="Arial"/>
          <w:noProof/>
          <w:sz w:val="18"/>
          <w:szCs w:val="18"/>
        </w:rPr>
        <w:t xml:space="preserve">Voir aussi “Instance permanente sur les questions autochtones du Conseil économique et social des </w:t>
      </w:r>
      <w:r w:rsidR="002F3A41">
        <w:rPr>
          <w:rFonts w:cs="Arial"/>
          <w:noProof/>
          <w:sz w:val="18"/>
          <w:szCs w:val="18"/>
        </w:rPr>
        <w:t>Nations Unies</w:t>
      </w:r>
      <w:r w:rsidRPr="00E55DB1">
        <w:rPr>
          <w:rFonts w:cs="Arial"/>
          <w:noProof/>
          <w:sz w:val="18"/>
          <w:szCs w:val="18"/>
        </w:rPr>
        <w:t>”, quatr</w:t>
      </w:r>
      <w:r w:rsidR="002F3A41">
        <w:rPr>
          <w:rFonts w:cs="Arial"/>
          <w:noProof/>
          <w:sz w:val="18"/>
          <w:szCs w:val="18"/>
        </w:rPr>
        <w:t>ième session</w:t>
      </w:r>
      <w:r w:rsidRPr="00E55DB1">
        <w:rPr>
          <w:rFonts w:cs="Arial"/>
          <w:noProof/>
          <w:sz w:val="18"/>
          <w:szCs w:val="18"/>
        </w:rPr>
        <w:t>, et “Rapport sur les travaux de l</w:t>
      </w:r>
      <w:r w:rsidR="002F3A41">
        <w:rPr>
          <w:rFonts w:cs="Arial"/>
          <w:noProof/>
          <w:sz w:val="18"/>
          <w:szCs w:val="18"/>
        </w:rPr>
        <w:t>’</w:t>
      </w:r>
      <w:r w:rsidRPr="00E55DB1">
        <w:rPr>
          <w:rFonts w:cs="Arial"/>
          <w:noProof/>
          <w:sz w:val="18"/>
          <w:szCs w:val="18"/>
        </w:rPr>
        <w:t>Atelier international sur le consentement préalable, libre et éclairé et les peuples autochtones”, E/C.19/2005/3, page 8.</w:t>
      </w:r>
    </w:p>
  </w:footnote>
  <w:footnote w:id="37">
    <w:p w:rsidR="00D71DCD" w:rsidRPr="00E55DB1" w:rsidRDefault="00D71DCD" w:rsidP="004B68AF">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 xml:space="preserve">Terri Janke, </w:t>
      </w:r>
      <w:r w:rsidRPr="00E55DB1">
        <w:rPr>
          <w:rFonts w:cs="Arial"/>
          <w:iCs/>
          <w:noProof/>
          <w:sz w:val="18"/>
          <w:szCs w:val="18"/>
          <w:lang w:val="en-US"/>
        </w:rPr>
        <w:t>Pathways &amp; Protocols – A Filmmaker</w:t>
      </w:r>
      <w:r w:rsidR="002F3A41">
        <w:rPr>
          <w:rFonts w:cs="Arial"/>
          <w:iCs/>
          <w:noProof/>
          <w:sz w:val="18"/>
          <w:szCs w:val="18"/>
          <w:lang w:val="en-US"/>
        </w:rPr>
        <w:t>’</w:t>
      </w:r>
      <w:r w:rsidRPr="00E55DB1">
        <w:rPr>
          <w:rFonts w:cs="Arial"/>
          <w:iCs/>
          <w:noProof/>
          <w:sz w:val="18"/>
          <w:szCs w:val="18"/>
          <w:lang w:val="en-US"/>
        </w:rPr>
        <w:t>s guide to Working with Indigenous People, Culture and Concepts,</w:t>
      </w:r>
      <w:r w:rsidRPr="00E55DB1">
        <w:rPr>
          <w:rFonts w:cs="Arial"/>
          <w:noProof/>
          <w:sz w:val="18"/>
          <w:szCs w:val="18"/>
          <w:lang w:val="en-US"/>
        </w:rPr>
        <w:t xml:space="preserve"> page 51.</w:t>
      </w:r>
    </w:p>
  </w:footnote>
  <w:footnote w:id="38">
    <w:p w:rsidR="00D71DCD" w:rsidRPr="00E55DB1" w:rsidRDefault="00D71DCD"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Fonts w:cs="Arial"/>
          <w:noProof/>
          <w:sz w:val="18"/>
          <w:szCs w:val="18"/>
          <w:lang w:eastAsia="en-US"/>
        </w:rPr>
        <w:t>Paragraphe 42 (partie III) des Dispositions types de législation nationale sur la protection des expressions du folklore contre leur exploitation illicite et autres actions dommageables (1982).</w:t>
      </w:r>
    </w:p>
  </w:footnote>
  <w:footnote w:id="39">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Nino Pires de Carvalho, From the Shaman</w:t>
      </w:r>
      <w:r w:rsidR="002F3A41">
        <w:rPr>
          <w:rFonts w:cs="Arial"/>
          <w:noProof/>
          <w:sz w:val="18"/>
          <w:szCs w:val="18"/>
          <w:lang w:val="en-US"/>
        </w:rPr>
        <w:t>’</w:t>
      </w:r>
      <w:r w:rsidRPr="00E55DB1">
        <w:rPr>
          <w:rFonts w:cs="Arial"/>
          <w:noProof/>
          <w:sz w:val="18"/>
          <w:szCs w:val="18"/>
          <w:lang w:val="en-US"/>
        </w:rPr>
        <w:t>s Hut to the Patent Office</w:t>
      </w:r>
      <w:r w:rsidR="002F3A41">
        <w:rPr>
          <w:rFonts w:cs="Arial"/>
          <w:noProof/>
          <w:sz w:val="18"/>
          <w:szCs w:val="18"/>
          <w:lang w:val="en-US"/>
        </w:rPr>
        <w:t>:</w:t>
      </w:r>
      <w:r w:rsidRPr="00E55DB1">
        <w:rPr>
          <w:rFonts w:cs="Arial"/>
          <w:noProof/>
          <w:sz w:val="18"/>
          <w:szCs w:val="18"/>
          <w:lang w:val="en-US"/>
        </w:rPr>
        <w:t xml:space="preserve"> A Road Under Construction.  </w:t>
      </w:r>
      <w:r w:rsidRPr="001F3AEE">
        <w:rPr>
          <w:sz w:val="18"/>
          <w:lang w:val="fr-CH"/>
        </w:rPr>
        <w:t>Chapitre</w:t>
      </w:r>
      <w:r w:rsidRPr="00E55DB1">
        <w:rPr>
          <w:rFonts w:cs="Arial"/>
          <w:noProof/>
          <w:sz w:val="18"/>
          <w:szCs w:val="18"/>
        </w:rPr>
        <w:t> 18 de Biodiversity and the Law, page 244.</w:t>
      </w:r>
    </w:p>
  </w:footnote>
  <w:footnote w:id="40">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53 du document WIPO/GRTKF/IC/5/3 intitulé “Analyse globale de la protection juridique des expressions culturelles traditionnelles”.</w:t>
      </w:r>
    </w:p>
  </w:footnote>
  <w:footnote w:id="41">
    <w:p w:rsidR="00D71DCD" w:rsidRPr="00E55DB1" w:rsidRDefault="00D71DCD"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Dispositions types de législation nationale sur la protection des expressions du folklore contre leur exploitation illicite et autres actions dommageables (1982), troisième partie, paragraphe 42.</w:t>
      </w:r>
    </w:p>
  </w:footnote>
  <w:footnote w:id="42">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27 du document WIPO/GRTKF/IC/4/8 intitulé “Éléments constitutifs d</w:t>
      </w:r>
      <w:r w:rsidR="002F3A41">
        <w:rPr>
          <w:rFonts w:cs="Arial"/>
          <w:noProof/>
          <w:sz w:val="18"/>
          <w:szCs w:val="18"/>
        </w:rPr>
        <w:t>’</w:t>
      </w:r>
      <w:r w:rsidRPr="00E55DB1">
        <w:rPr>
          <w:rFonts w:cs="Arial"/>
          <w:noProof/>
          <w:sz w:val="18"/>
          <w:szCs w:val="18"/>
        </w:rPr>
        <w:t xml:space="preserve">un système </w:t>
      </w:r>
      <w:r w:rsidRPr="00E55DB1">
        <w:rPr>
          <w:rFonts w:cs="Arial"/>
          <w:i/>
          <w:iCs/>
          <w:noProof/>
          <w:sz w:val="18"/>
          <w:szCs w:val="18"/>
        </w:rPr>
        <w:t xml:space="preserve">sui generis </w:t>
      </w:r>
      <w:r w:rsidRPr="00E55DB1">
        <w:rPr>
          <w:rFonts w:cs="Arial"/>
          <w:noProof/>
          <w:sz w:val="18"/>
          <w:szCs w:val="18"/>
        </w:rPr>
        <w:t xml:space="preserve">de protection des savoirs traditionnels”.  </w:t>
      </w:r>
    </w:p>
  </w:footnote>
  <w:footnote w:id="43">
    <w:p w:rsidR="00D71DCD" w:rsidRPr="00E55DB1" w:rsidRDefault="00D71DCD"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44">
    <w:p w:rsidR="00D71DCD" w:rsidRPr="00E55DB1" w:rsidRDefault="00D71DCD"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les articles 10 à 13 du Traité international sur les ressources phytogénétiques pour l</w:t>
      </w:r>
      <w:r w:rsidR="002F3A41">
        <w:rPr>
          <w:rFonts w:cs="Arial"/>
          <w:noProof/>
          <w:sz w:val="18"/>
          <w:szCs w:val="18"/>
        </w:rPr>
        <w:t>’</w:t>
      </w:r>
      <w:r w:rsidRPr="00E55DB1">
        <w:rPr>
          <w:rFonts w:cs="Arial"/>
          <w:noProof/>
          <w:sz w:val="18"/>
          <w:szCs w:val="18"/>
        </w:rPr>
        <w:t>alimentation et l</w:t>
      </w:r>
      <w:r w:rsidR="002F3A41">
        <w:rPr>
          <w:rFonts w:cs="Arial"/>
          <w:noProof/>
          <w:sz w:val="18"/>
          <w:szCs w:val="18"/>
        </w:rPr>
        <w:t>’</w:t>
      </w:r>
      <w:r w:rsidRPr="00E55DB1">
        <w:rPr>
          <w:rFonts w:cs="Arial"/>
          <w:noProof/>
          <w:sz w:val="18"/>
          <w:szCs w:val="18"/>
        </w:rPr>
        <w:t>agriculture.</w:t>
      </w:r>
    </w:p>
  </w:footnote>
  <w:footnote w:id="45">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document </w:t>
      </w:r>
      <w:r w:rsidRPr="00E55DB1">
        <w:rPr>
          <w:rFonts w:cs="Arial"/>
          <w:noProof/>
          <w:sz w:val="18"/>
          <w:szCs w:val="18"/>
          <w:lang w:eastAsia="zh-CN"/>
        </w:rPr>
        <w:t>WIPO/GRTKF/IC/3/9.</w:t>
      </w:r>
    </w:p>
  </w:footnote>
  <w:footnote w:id="46">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57 du document WIPO/GRTKF/IC/5/3 intitulé “Analyse globale de la protection juridique des expressions culturelles traditionnelles”.</w:t>
      </w:r>
    </w:p>
  </w:footnote>
  <w:footnote w:id="47">
    <w:p w:rsidR="00D71DCD" w:rsidRPr="00E55DB1" w:rsidRDefault="00D71DCD"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Daniel Gervais, The TRIPS Agreement.  Drafting and Analysis, 3</w:t>
      </w:r>
      <w:r w:rsidRPr="00E55DB1">
        <w:rPr>
          <w:rFonts w:cs="Arial"/>
          <w:noProof/>
          <w:sz w:val="18"/>
          <w:szCs w:val="18"/>
          <w:vertAlign w:val="superscript"/>
          <w:lang w:val="en-US"/>
        </w:rPr>
        <w:t>e</w:t>
      </w:r>
      <w:r w:rsidRPr="00E55DB1">
        <w:rPr>
          <w:rFonts w:cs="Arial"/>
          <w:noProof/>
          <w:sz w:val="18"/>
          <w:szCs w:val="18"/>
          <w:lang w:val="en-US"/>
        </w:rPr>
        <w:t xml:space="preserve"> éd., Sweet &amp; Maxwell, page 132.</w:t>
      </w:r>
    </w:p>
  </w:footnote>
  <w:footnote w:id="48">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Paragraphe 54 du document WIPO/GRTKF/IC/5/3 intitulé “Analyse globale de la protection juridique des expressions culturelles traditionnelles”.  </w:t>
      </w:r>
    </w:p>
  </w:footnote>
  <w:footnote w:id="49">
    <w:p w:rsidR="00D71DCD" w:rsidRPr="00E55DB1" w:rsidRDefault="00D71DCD" w:rsidP="00C21AB4">
      <w:pPr>
        <w:pStyle w:val="FootnoteText"/>
        <w:rPr>
          <w:rFonts w:cs="Arial"/>
          <w:sz w:val="18"/>
          <w:szCs w:val="18"/>
          <w:lang w:val="fr-CH"/>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Voir </w:t>
      </w:r>
      <w:hyperlink r:id="rId7" w:history="1">
        <w:r w:rsidRPr="00E55DB1">
          <w:rPr>
            <w:rStyle w:val="Hyperlink"/>
            <w:rFonts w:cs="Arial"/>
            <w:color w:val="auto"/>
            <w:sz w:val="18"/>
            <w:szCs w:val="18"/>
            <w:u w:val="none"/>
          </w:rPr>
          <w:t>http://www.un.org/fr/universal</w:t>
        </w:r>
        <w:r w:rsidR="002F3A41">
          <w:rPr>
            <w:rStyle w:val="Hyperlink"/>
            <w:rFonts w:cs="Arial"/>
            <w:color w:val="auto"/>
            <w:sz w:val="18"/>
            <w:szCs w:val="18"/>
            <w:u w:val="none"/>
          </w:rPr>
          <w:t>-</w:t>
        </w:r>
        <w:r w:rsidRPr="00E55DB1">
          <w:rPr>
            <w:rStyle w:val="Hyperlink"/>
            <w:rFonts w:cs="Arial"/>
            <w:color w:val="auto"/>
            <w:sz w:val="18"/>
            <w:szCs w:val="18"/>
            <w:u w:val="none"/>
          </w:rPr>
          <w:t>declaration</w:t>
        </w:r>
        <w:r w:rsidR="002F3A41">
          <w:rPr>
            <w:rStyle w:val="Hyperlink"/>
            <w:rFonts w:cs="Arial"/>
            <w:color w:val="auto"/>
            <w:sz w:val="18"/>
            <w:szCs w:val="18"/>
            <w:u w:val="none"/>
          </w:rPr>
          <w:t>-</w:t>
        </w:r>
        <w:r w:rsidRPr="00E55DB1">
          <w:rPr>
            <w:rStyle w:val="Hyperlink"/>
            <w:rFonts w:cs="Arial"/>
            <w:color w:val="auto"/>
            <w:sz w:val="18"/>
            <w:szCs w:val="18"/>
            <w:u w:val="none"/>
          </w:rPr>
          <w:t>human</w:t>
        </w:r>
        <w:r w:rsidR="002F3A41">
          <w:rPr>
            <w:rStyle w:val="Hyperlink"/>
            <w:rFonts w:cs="Arial"/>
            <w:color w:val="auto"/>
            <w:sz w:val="18"/>
            <w:szCs w:val="18"/>
            <w:u w:val="none"/>
          </w:rPr>
          <w:t>-</w:t>
        </w:r>
        <w:r w:rsidRPr="00E55DB1">
          <w:rPr>
            <w:rStyle w:val="Hyperlink"/>
            <w:rFonts w:cs="Arial"/>
            <w:color w:val="auto"/>
            <w:sz w:val="18"/>
            <w:szCs w:val="18"/>
            <w:u w:val="none"/>
          </w:rPr>
          <w:t>rights/</w:t>
        </w:r>
      </w:hyperlink>
      <w:r w:rsidRPr="00E55DB1">
        <w:rPr>
          <w:rFonts w:cs="Arial"/>
          <w:sz w:val="18"/>
          <w:szCs w:val="18"/>
        </w:rPr>
        <w:t>.</w:t>
      </w:r>
    </w:p>
  </w:footnote>
  <w:footnote w:id="50">
    <w:p w:rsidR="00D71DCD" w:rsidRPr="00E55DB1" w:rsidRDefault="00D71DCD"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de l</w:t>
      </w:r>
      <w:r w:rsidR="002F3A41">
        <w:rPr>
          <w:rFonts w:cs="Arial"/>
          <w:noProof/>
          <w:sz w:val="18"/>
          <w:szCs w:val="18"/>
        </w:rPr>
        <w:t>’</w:t>
      </w:r>
      <w:r w:rsidRPr="00E55DB1">
        <w:rPr>
          <w:rFonts w:cs="Arial"/>
          <w:noProof/>
          <w:sz w:val="18"/>
          <w:szCs w:val="18"/>
        </w:rPr>
        <w:t>OMPI sur les missions d</w:t>
      </w:r>
      <w:r w:rsidR="002F3A41">
        <w:rPr>
          <w:rFonts w:cs="Arial"/>
          <w:noProof/>
          <w:sz w:val="18"/>
          <w:szCs w:val="18"/>
        </w:rPr>
        <w:t>’</w:t>
      </w:r>
      <w:r w:rsidRPr="00E55DB1">
        <w:rPr>
          <w:rFonts w:cs="Arial"/>
          <w:noProof/>
          <w:sz w:val="18"/>
          <w:szCs w:val="18"/>
        </w:rPr>
        <w:t>enquête consacrées à la propriété intellectuelle et aux savoirs traditionnels (1998</w:t>
      </w:r>
      <w:r w:rsidR="002F3A41">
        <w:rPr>
          <w:rFonts w:cs="Arial"/>
          <w:noProof/>
          <w:sz w:val="18"/>
          <w:szCs w:val="18"/>
        </w:rPr>
        <w:t>-</w:t>
      </w:r>
      <w:r w:rsidRPr="00E55DB1">
        <w:rPr>
          <w:rFonts w:cs="Arial"/>
          <w:noProof/>
          <w:sz w:val="18"/>
          <w:szCs w:val="18"/>
        </w:rPr>
        <w:t>1999), “Savoirs traditionnels</w:t>
      </w:r>
      <w:r w:rsidR="002F3A41">
        <w:rPr>
          <w:rFonts w:cs="Arial"/>
          <w:noProof/>
          <w:sz w:val="18"/>
          <w:szCs w:val="18"/>
        </w:rPr>
        <w:t> :</w:t>
      </w:r>
      <w:r w:rsidRPr="00E55DB1">
        <w:rPr>
          <w:rFonts w:cs="Arial"/>
          <w:noProof/>
          <w:sz w:val="18"/>
          <w:szCs w:val="18"/>
        </w:rPr>
        <w:t xml:space="preserve"> besoins et attentes en matière de propriété intellectuelle”, p. 26.</w:t>
      </w:r>
    </w:p>
  </w:footnote>
  <w:footnote w:id="51">
    <w:p w:rsidR="00D71DCD" w:rsidRPr="00E55DB1" w:rsidRDefault="00D71DCD"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r>
      <w:r w:rsidRPr="00E55DB1">
        <w:rPr>
          <w:rFonts w:cs="Arial"/>
          <w:noProof/>
          <w:sz w:val="18"/>
          <w:szCs w:val="18"/>
        </w:rPr>
        <w:t>Paragraphes 43 et 44 de l</w:t>
      </w:r>
      <w:r w:rsidR="002F3A41">
        <w:rPr>
          <w:rFonts w:cs="Arial"/>
          <w:noProof/>
          <w:sz w:val="18"/>
          <w:szCs w:val="18"/>
        </w:rPr>
        <w:t>’</w:t>
      </w:r>
      <w:r w:rsidRPr="00E55DB1">
        <w:rPr>
          <w:rFonts w:cs="Arial"/>
          <w:noProof/>
          <w:sz w:val="18"/>
          <w:szCs w:val="18"/>
        </w:rPr>
        <w:t>annexe du document WIPO/GRTKF/IC/17/INF/9 intitulé “Liste et explication technique succincte des différentes formes sous lesquelles les savoirs traditionnels peuvent se présenter”.</w:t>
      </w:r>
    </w:p>
  </w:footnote>
  <w:footnote w:id="52">
    <w:p w:rsidR="00D71DCD" w:rsidRPr="00E55DB1" w:rsidRDefault="00D71DCD" w:rsidP="004B68AF">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4.1) de la Convention sur la protection et la promotion de la diversité des expressions culturelles de l</w:t>
      </w:r>
      <w:r w:rsidR="002F3A41">
        <w:rPr>
          <w:rFonts w:cs="Arial"/>
          <w:noProof/>
          <w:sz w:val="18"/>
          <w:szCs w:val="18"/>
        </w:rPr>
        <w:t>’</w:t>
      </w:r>
      <w:r w:rsidRPr="00E55DB1">
        <w:rPr>
          <w:rFonts w:cs="Arial"/>
          <w:noProof/>
          <w:sz w:val="18"/>
          <w:szCs w:val="18"/>
        </w:rPr>
        <w:t>UNESCO (2005).</w:t>
      </w:r>
    </w:p>
  </w:footnote>
  <w:footnote w:id="53">
    <w:p w:rsidR="00D71DCD" w:rsidRPr="00E55DB1" w:rsidRDefault="00D71DCD"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Guide des traités sur le droit d</w:t>
      </w:r>
      <w:r w:rsidR="002F3A41">
        <w:rPr>
          <w:rFonts w:cs="Arial"/>
          <w:noProof/>
          <w:sz w:val="18"/>
          <w:szCs w:val="18"/>
        </w:rPr>
        <w:t>’</w:t>
      </w:r>
      <w:r w:rsidRPr="00E55DB1">
        <w:rPr>
          <w:rFonts w:cs="Arial"/>
          <w:noProof/>
          <w:sz w:val="18"/>
          <w:szCs w:val="18"/>
        </w:rPr>
        <w:t>auteur et les droits connexes administrés par l</w:t>
      </w:r>
      <w:r w:rsidR="002F3A41">
        <w:rPr>
          <w:rFonts w:cs="Arial"/>
          <w:noProof/>
          <w:sz w:val="18"/>
          <w:szCs w:val="18"/>
        </w:rPr>
        <w:t>’</w:t>
      </w:r>
      <w:r w:rsidRPr="00E55DB1">
        <w:rPr>
          <w:rFonts w:cs="Arial"/>
          <w:noProof/>
          <w:sz w:val="18"/>
          <w:szCs w:val="18"/>
        </w:rPr>
        <w:t>OMPI et Glossaire du droit d</w:t>
      </w:r>
      <w:r w:rsidR="002F3A41">
        <w:rPr>
          <w:rFonts w:cs="Arial"/>
          <w:noProof/>
          <w:sz w:val="18"/>
          <w:szCs w:val="18"/>
        </w:rPr>
        <w:t>’</w:t>
      </w:r>
      <w:r w:rsidRPr="00E55DB1">
        <w:rPr>
          <w:rFonts w:cs="Arial"/>
          <w:noProof/>
          <w:sz w:val="18"/>
          <w:szCs w:val="18"/>
        </w:rPr>
        <w:t>auteur et des droits connexes, OMPI,</w:t>
      </w:r>
      <w:r w:rsidRPr="00E55DB1">
        <w:rPr>
          <w:rStyle w:val="FootnoteReference"/>
          <w:rFonts w:cs="Arial"/>
          <w:noProof/>
          <w:sz w:val="18"/>
          <w:szCs w:val="18"/>
          <w:vertAlign w:val="baseline"/>
        </w:rPr>
        <w:t xml:space="preserve"> page</w:t>
      </w:r>
      <w:r w:rsidRPr="00E55DB1">
        <w:rPr>
          <w:rFonts w:cs="Arial"/>
          <w:noProof/>
          <w:sz w:val="18"/>
          <w:szCs w:val="18"/>
        </w:rPr>
        <w:t> </w:t>
      </w:r>
      <w:r w:rsidRPr="00E55DB1">
        <w:rPr>
          <w:rStyle w:val="FootnoteReference"/>
          <w:rFonts w:cs="Arial"/>
          <w:noProof/>
          <w:sz w:val="18"/>
          <w:szCs w:val="18"/>
          <w:vertAlign w:val="baseline"/>
        </w:rPr>
        <w:t>282</w:t>
      </w:r>
      <w:r w:rsidRPr="00E55DB1">
        <w:rPr>
          <w:rFonts w:cs="Arial"/>
          <w:noProof/>
          <w:sz w:val="18"/>
          <w:szCs w:val="18"/>
        </w:rPr>
        <w:t>.</w:t>
      </w:r>
    </w:p>
  </w:footnote>
  <w:footnote w:id="54">
    <w:p w:rsidR="00D71DCD" w:rsidRPr="00E55DB1" w:rsidRDefault="00D71DCD"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sz w:val="18"/>
          <w:szCs w:val="18"/>
          <w:vertAlign w:val="baseline"/>
          <w:lang w:val="en-US"/>
        </w:rPr>
        <w:t xml:space="preserve"> </w:t>
      </w:r>
      <w:r w:rsidRPr="00E55DB1">
        <w:rPr>
          <w:rFonts w:cs="Arial"/>
          <w:noProof/>
          <w:sz w:val="18"/>
          <w:szCs w:val="18"/>
          <w:lang w:val="en-US"/>
        </w:rPr>
        <w:tab/>
      </w:r>
      <w:r w:rsidRPr="00E55DB1">
        <w:rPr>
          <w:rStyle w:val="FootnoteReference"/>
          <w:rFonts w:cs="Arial"/>
          <w:noProof/>
          <w:sz w:val="18"/>
          <w:szCs w:val="18"/>
          <w:vertAlign w:val="baseline"/>
          <w:lang w:val="en-US"/>
        </w:rPr>
        <w:t>Art</w:t>
      </w:r>
      <w:r w:rsidRPr="00E55DB1">
        <w:rPr>
          <w:rFonts w:cs="Arial"/>
          <w:noProof/>
          <w:sz w:val="18"/>
          <w:szCs w:val="18"/>
          <w:lang w:val="en-US"/>
        </w:rPr>
        <w:t>icles </w:t>
      </w:r>
      <w:r w:rsidRPr="00E55DB1">
        <w:rPr>
          <w:rStyle w:val="FootnoteReference"/>
          <w:rFonts w:cs="Arial"/>
          <w:noProof/>
          <w:sz w:val="18"/>
          <w:szCs w:val="18"/>
          <w:vertAlign w:val="baseline"/>
          <w:lang w:val="en-US"/>
        </w:rPr>
        <w:t>10</w:t>
      </w:r>
      <w:r w:rsidRPr="00E55DB1">
        <w:rPr>
          <w:rStyle w:val="FootnoteReference"/>
          <w:rFonts w:cs="Arial"/>
          <w:i/>
          <w:noProof/>
          <w:sz w:val="18"/>
          <w:szCs w:val="18"/>
          <w:vertAlign w:val="baseline"/>
          <w:lang w:val="en-US"/>
        </w:rPr>
        <w:t>bis</w:t>
      </w:r>
      <w:r w:rsidRPr="00E55DB1">
        <w:rPr>
          <w:rStyle w:val="FootnoteReference"/>
          <w:rFonts w:cs="Arial"/>
          <w:noProof/>
          <w:sz w:val="18"/>
          <w:szCs w:val="18"/>
          <w:vertAlign w:val="baseline"/>
          <w:lang w:val="en-US"/>
        </w:rPr>
        <w:t xml:space="preserve"> et 11.  </w:t>
      </w:r>
      <w:r w:rsidRPr="00E55DB1">
        <w:rPr>
          <w:rFonts w:cs="Arial"/>
          <w:noProof/>
          <w:sz w:val="18"/>
          <w:szCs w:val="18"/>
          <w:lang w:val="en-US"/>
        </w:rPr>
        <w:t>Voir aussi</w:t>
      </w:r>
      <w:r w:rsidRPr="00E55DB1">
        <w:rPr>
          <w:rFonts w:cs="Arial"/>
          <w:i/>
          <w:noProof/>
          <w:sz w:val="18"/>
          <w:szCs w:val="18"/>
          <w:lang w:val="en-US"/>
        </w:rPr>
        <w:t xml:space="preserve"> </w:t>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614.</w:t>
      </w:r>
    </w:p>
  </w:footnote>
  <w:footnote w:id="55">
    <w:p w:rsidR="00D71DCD" w:rsidRPr="00E55DB1" w:rsidRDefault="00D71DCD"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Disponible à l</w:t>
      </w:r>
      <w:r w:rsidR="002F3A41">
        <w:rPr>
          <w:rFonts w:cs="Arial"/>
          <w:noProof/>
          <w:sz w:val="18"/>
          <w:szCs w:val="18"/>
        </w:rPr>
        <w:t>’</w:t>
      </w:r>
      <w:r w:rsidR="00185850">
        <w:rPr>
          <w:rFonts w:cs="Arial"/>
          <w:noProof/>
          <w:sz w:val="18"/>
          <w:szCs w:val="18"/>
        </w:rPr>
        <w:t>adresse http</w:t>
      </w:r>
      <w:r w:rsidRPr="00EA7362">
        <w:rPr>
          <w:rStyle w:val="Hyperlink"/>
          <w:rFonts w:cs="Arial"/>
          <w:noProof/>
          <w:color w:val="auto"/>
          <w:sz w:val="18"/>
          <w:szCs w:val="18"/>
          <w:u w:val="none"/>
        </w:rPr>
        <w:t>s://www.wipo.int/pct/fr/texts/glossary.html#D</w:t>
      </w:r>
      <w:r w:rsidRPr="00E55DB1">
        <w:rPr>
          <w:rFonts w:cs="Arial"/>
          <w:noProof/>
          <w:sz w:val="18"/>
          <w:szCs w:val="18"/>
        </w:rPr>
        <w:t>.</w:t>
      </w:r>
    </w:p>
  </w:footnote>
  <w:footnote w:id="56">
    <w:p w:rsidR="00D71DCD" w:rsidRPr="00E55DB1" w:rsidRDefault="00D71DCD"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IX 2.1 des Directives concernant la recherche internationale selon le PCT (dans leur version du 18 septembre 1998).</w:t>
      </w:r>
    </w:p>
  </w:footnote>
  <w:footnote w:id="57">
    <w:p w:rsidR="00D71DCD" w:rsidRPr="00E55DB1" w:rsidRDefault="00D71DCD"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Documentation minimale du PCT, document PCT/MIA/9/4 (en anglais seulement).</w:t>
      </w:r>
    </w:p>
  </w:footnote>
  <w:footnote w:id="58">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SCP/13/5.</w:t>
      </w:r>
    </w:p>
  </w:footnote>
  <w:footnote w:id="59">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r>
      <w:r w:rsidRPr="00E55DB1">
        <w:rPr>
          <w:rFonts w:cs="Arial"/>
          <w:noProof/>
          <w:sz w:val="18"/>
          <w:szCs w:val="18"/>
          <w:lang w:eastAsia="en-US"/>
        </w:rPr>
        <w:t>Guide des traités sur le droit d</w:t>
      </w:r>
      <w:r w:rsidR="002F3A41">
        <w:rPr>
          <w:rFonts w:cs="Arial"/>
          <w:noProof/>
          <w:sz w:val="18"/>
          <w:szCs w:val="18"/>
          <w:lang w:eastAsia="en-US"/>
        </w:rPr>
        <w:t>’</w:t>
      </w:r>
      <w:r w:rsidRPr="00E55DB1">
        <w:rPr>
          <w:rFonts w:cs="Arial"/>
          <w:noProof/>
          <w:sz w:val="18"/>
          <w:szCs w:val="18"/>
          <w:lang w:eastAsia="en-US"/>
        </w:rPr>
        <w:t>auteur et les droits connexes administrés par l</w:t>
      </w:r>
      <w:r w:rsidR="002F3A41">
        <w:rPr>
          <w:rFonts w:cs="Arial"/>
          <w:noProof/>
          <w:sz w:val="18"/>
          <w:szCs w:val="18"/>
          <w:lang w:eastAsia="en-US"/>
        </w:rPr>
        <w:t>’</w:t>
      </w:r>
      <w:r w:rsidRPr="00E55DB1">
        <w:rPr>
          <w:rFonts w:cs="Arial"/>
          <w:noProof/>
          <w:sz w:val="18"/>
          <w:szCs w:val="18"/>
          <w:lang w:eastAsia="en-US"/>
        </w:rPr>
        <w:t>OMPI et Glossaire du droit d</w:t>
      </w:r>
      <w:r w:rsidR="002F3A41">
        <w:rPr>
          <w:rFonts w:cs="Arial"/>
          <w:noProof/>
          <w:sz w:val="18"/>
          <w:szCs w:val="18"/>
          <w:lang w:eastAsia="en-US"/>
        </w:rPr>
        <w:t>’</w:t>
      </w:r>
      <w:r w:rsidRPr="00E55DB1">
        <w:rPr>
          <w:rFonts w:cs="Arial"/>
          <w:noProof/>
          <w:sz w:val="18"/>
          <w:szCs w:val="18"/>
          <w:lang w:eastAsia="en-US"/>
        </w:rPr>
        <w:t>auteur et des droits connexes.</w:t>
      </w:r>
    </w:p>
  </w:footnote>
  <w:footnote w:id="60">
    <w:p w:rsidR="00D71DCD" w:rsidRPr="00E55DB1" w:rsidRDefault="00D71DCD"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le document SCP/13/5.</w:t>
      </w:r>
    </w:p>
  </w:footnote>
  <w:footnote w:id="61">
    <w:p w:rsidR="00D71DCD" w:rsidRPr="00E55DB1" w:rsidRDefault="00D71DCD" w:rsidP="00903B5D">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Protection Rights over Traditional Knowledge</w:t>
      </w:r>
      <w:r w:rsidR="002F3A41">
        <w:rPr>
          <w:rFonts w:cs="Arial"/>
          <w:noProof/>
          <w:sz w:val="18"/>
          <w:szCs w:val="18"/>
          <w:lang w:val="en-US"/>
        </w:rPr>
        <w:t>:</w:t>
      </w:r>
      <w:r w:rsidRPr="00E55DB1">
        <w:rPr>
          <w:rFonts w:cs="Arial"/>
          <w:noProof/>
          <w:sz w:val="18"/>
          <w:szCs w:val="18"/>
          <w:lang w:val="en-US"/>
        </w:rPr>
        <w:t xml:space="preserve"> Implications of Customary Laws and Practices, Research Planning Workshop, Cuzco (Pérou), 20 – 25 mai 2005.</w:t>
      </w:r>
    </w:p>
  </w:footnote>
  <w:footnote w:id="62">
    <w:p w:rsidR="00D71DCD" w:rsidRPr="00E55DB1" w:rsidRDefault="00D71DCD" w:rsidP="00903B5D">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Fonts w:cs="Arial"/>
          <w:noProof/>
          <w:sz w:val="18"/>
          <w:szCs w:val="18"/>
          <w:lang w:val="en-US"/>
        </w:rPr>
        <w:tab/>
        <w:t>Customary Law, Traditional Knowledge and Intellectual Property</w:t>
      </w:r>
      <w:r w:rsidR="002F3A41">
        <w:rPr>
          <w:rFonts w:cs="Arial"/>
          <w:noProof/>
          <w:sz w:val="18"/>
          <w:szCs w:val="18"/>
          <w:lang w:val="en-US"/>
        </w:rPr>
        <w:t>:</w:t>
      </w:r>
      <w:r w:rsidRPr="00E55DB1">
        <w:rPr>
          <w:rFonts w:cs="Arial"/>
          <w:noProof/>
          <w:sz w:val="18"/>
          <w:szCs w:val="18"/>
          <w:lang w:val="en-US"/>
        </w:rPr>
        <w:t xml:space="preserve"> An Outline of the Issues (2013) </w:t>
      </w:r>
      <w:r w:rsidRPr="00286DCE">
        <w:rPr>
          <w:rStyle w:val="Hyperlink"/>
          <w:rFonts w:cs="Arial"/>
          <w:noProof/>
          <w:color w:val="auto"/>
          <w:sz w:val="18"/>
          <w:szCs w:val="18"/>
          <w:u w:val="none"/>
          <w:lang w:val="en-US"/>
        </w:rPr>
        <w:t>https://www.wipo.int/export/sites/www/tk/en/resources/pdf/overview_customary_law.pdf</w:t>
      </w:r>
      <w:r w:rsidRPr="00E55DB1">
        <w:rPr>
          <w:rFonts w:cs="Arial"/>
          <w:noProof/>
          <w:sz w:val="18"/>
          <w:szCs w:val="18"/>
          <w:lang w:val="en-US"/>
        </w:rPr>
        <w:t>.</w:t>
      </w:r>
    </w:p>
  </w:footnote>
  <w:footnote w:id="63">
    <w:p w:rsidR="00D71DCD" w:rsidRPr="00E55DB1" w:rsidRDefault="00D71DCD"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Fonts w:cs="Arial"/>
          <w:noProof/>
          <w:sz w:val="18"/>
          <w:szCs w:val="18"/>
        </w:rPr>
        <w:tab/>
        <w:t>Paul Kuruk, “African Customary Law and the Protection of Folklore”, Copyright Bulletin, XXXVI, No.2, 2002, page 6, Paris, 15 juin 1982, Gazette du Palais, 1982.2, résumé, page 378, ou Paris, 25 avril 1978, Gazette du Palais, 1978.2, page 448.</w:t>
      </w:r>
    </w:p>
  </w:footnote>
  <w:footnote w:id="64">
    <w:p w:rsidR="00D71DCD" w:rsidRPr="00A60A7C"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A60A7C">
        <w:rPr>
          <w:rFonts w:cs="Arial"/>
          <w:noProof/>
          <w:sz w:val="18"/>
          <w:szCs w:val="18"/>
        </w:rPr>
        <w:tab/>
        <w:t>WIPO Intellectual Property Handbook, Publication OMPI n° 489(E), 2008, page 19.</w:t>
      </w:r>
    </w:p>
  </w:footnote>
  <w:footnote w:id="65">
    <w:p w:rsidR="00D71DCD" w:rsidRPr="00E55DB1" w:rsidRDefault="00D71DCD" w:rsidP="00C21AB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w:t>
      </w:r>
      <w:r w:rsidR="002F3A41">
        <w:rPr>
          <w:rFonts w:cs="Arial"/>
          <w:sz w:val="18"/>
          <w:szCs w:val="18"/>
        </w:rPr>
        <w:t>’</w:t>
      </w:r>
      <w:r w:rsidRPr="00E55DB1">
        <w:rPr>
          <w:rFonts w:cs="Arial"/>
          <w:sz w:val="18"/>
          <w:szCs w:val="18"/>
        </w:rPr>
        <w:t>article 102 du titre 35 du Code des États</w:t>
      </w:r>
      <w:r w:rsidR="002F3A41">
        <w:rPr>
          <w:rFonts w:cs="Arial"/>
          <w:sz w:val="18"/>
          <w:szCs w:val="18"/>
        </w:rPr>
        <w:t>-</w:t>
      </w:r>
      <w:r w:rsidRPr="00E55DB1">
        <w:rPr>
          <w:rFonts w:cs="Arial"/>
          <w:sz w:val="18"/>
          <w:szCs w:val="18"/>
        </w:rPr>
        <w:t>Unis d</w:t>
      </w:r>
      <w:r w:rsidR="002F3A41">
        <w:rPr>
          <w:rFonts w:cs="Arial"/>
          <w:sz w:val="18"/>
          <w:szCs w:val="18"/>
        </w:rPr>
        <w:t>’</w:t>
      </w:r>
      <w:r w:rsidRPr="00E55DB1">
        <w:rPr>
          <w:rFonts w:cs="Arial"/>
          <w:sz w:val="18"/>
          <w:szCs w:val="18"/>
        </w:rPr>
        <w:t>Amérique, disponible à l</w:t>
      </w:r>
      <w:r w:rsidR="002F3A41">
        <w:rPr>
          <w:rFonts w:cs="Arial"/>
          <w:sz w:val="18"/>
          <w:szCs w:val="18"/>
        </w:rPr>
        <w:t>’</w:t>
      </w:r>
      <w:r w:rsidRPr="00E55DB1">
        <w:rPr>
          <w:rFonts w:cs="Arial"/>
          <w:sz w:val="18"/>
          <w:szCs w:val="18"/>
        </w:rPr>
        <w:t xml:space="preserve">adresse </w:t>
      </w:r>
      <w:hyperlink r:id="rId8" w:history="1">
        <w:r w:rsidRPr="00E55DB1">
          <w:rPr>
            <w:rStyle w:val="Hyperlink"/>
            <w:rFonts w:cs="Arial"/>
            <w:color w:val="auto"/>
            <w:sz w:val="18"/>
            <w:szCs w:val="18"/>
            <w:u w:val="none"/>
          </w:rPr>
          <w:t>https://www.uspto.gov/web/offices/pac/mpep/mpep</w:t>
        </w:r>
        <w:r w:rsidR="002F3A41">
          <w:rPr>
            <w:rStyle w:val="Hyperlink"/>
            <w:rFonts w:cs="Arial"/>
            <w:color w:val="auto"/>
            <w:sz w:val="18"/>
            <w:szCs w:val="18"/>
            <w:u w:val="none"/>
          </w:rPr>
          <w:t>-</w:t>
        </w:r>
        <w:r w:rsidRPr="00E55DB1">
          <w:rPr>
            <w:rStyle w:val="Hyperlink"/>
            <w:rFonts w:cs="Arial"/>
            <w:color w:val="auto"/>
            <w:sz w:val="18"/>
            <w:szCs w:val="18"/>
            <w:u w:val="none"/>
          </w:rPr>
          <w:t>9015</w:t>
        </w:r>
        <w:r w:rsidR="002F3A41">
          <w:rPr>
            <w:rStyle w:val="Hyperlink"/>
            <w:rFonts w:cs="Arial"/>
            <w:color w:val="auto"/>
            <w:sz w:val="18"/>
            <w:szCs w:val="18"/>
            <w:u w:val="none"/>
          </w:rPr>
          <w:t>-</w:t>
        </w:r>
        <w:r w:rsidRPr="00E55DB1">
          <w:rPr>
            <w:rStyle w:val="Hyperlink"/>
            <w:rFonts w:cs="Arial"/>
            <w:color w:val="auto"/>
            <w:sz w:val="18"/>
            <w:szCs w:val="18"/>
            <w:u w:val="none"/>
          </w:rPr>
          <w:t>appx</w:t>
        </w:r>
        <w:r w:rsidR="002F3A41">
          <w:rPr>
            <w:rStyle w:val="Hyperlink"/>
            <w:rFonts w:cs="Arial"/>
            <w:color w:val="auto"/>
            <w:sz w:val="18"/>
            <w:szCs w:val="18"/>
            <w:u w:val="none"/>
          </w:rPr>
          <w:t>-</w:t>
        </w:r>
        <w:r w:rsidRPr="00E55DB1">
          <w:rPr>
            <w:rStyle w:val="Hyperlink"/>
            <w:rFonts w:cs="Arial"/>
            <w:color w:val="auto"/>
            <w:sz w:val="18"/>
            <w:szCs w:val="18"/>
            <w:u w:val="none"/>
          </w:rPr>
          <w:t>l.html#al_d1fbe1_19797_b0</w:t>
        </w:r>
      </w:hyperlink>
      <w:r w:rsidRPr="00E55DB1">
        <w:rPr>
          <w:rFonts w:cs="Arial"/>
          <w:sz w:val="18"/>
          <w:szCs w:val="18"/>
        </w:rPr>
        <w:t>.  Il est également fait référence à l</w:t>
      </w:r>
      <w:r w:rsidR="002F3A41">
        <w:rPr>
          <w:rFonts w:cs="Arial"/>
          <w:sz w:val="18"/>
          <w:szCs w:val="18"/>
        </w:rPr>
        <w:t>’</w:t>
      </w:r>
      <w:r w:rsidRPr="00E55DB1">
        <w:rPr>
          <w:rFonts w:cs="Arial"/>
          <w:sz w:val="18"/>
          <w:szCs w:val="18"/>
        </w:rPr>
        <w:t>article 151 du titre 35 du Code des États</w:t>
      </w:r>
      <w:r w:rsidR="002F3A41">
        <w:rPr>
          <w:rFonts w:cs="Arial"/>
          <w:sz w:val="18"/>
          <w:szCs w:val="18"/>
        </w:rPr>
        <w:t>-</w:t>
      </w:r>
      <w:r w:rsidRPr="00E55DB1">
        <w:rPr>
          <w:rFonts w:cs="Arial"/>
          <w:sz w:val="18"/>
          <w:szCs w:val="18"/>
        </w:rPr>
        <w:t>Unis d</w:t>
      </w:r>
      <w:r w:rsidR="002F3A41">
        <w:rPr>
          <w:rFonts w:cs="Arial"/>
          <w:sz w:val="18"/>
          <w:szCs w:val="18"/>
        </w:rPr>
        <w:t>’</w:t>
      </w:r>
      <w:r w:rsidRPr="00E55DB1">
        <w:rPr>
          <w:rFonts w:cs="Arial"/>
          <w:sz w:val="18"/>
          <w:szCs w:val="18"/>
        </w:rPr>
        <w:t>Amérique – Délivrance du brevet, disponible à l</w:t>
      </w:r>
      <w:r w:rsidR="002F3A41">
        <w:rPr>
          <w:rFonts w:cs="Arial"/>
          <w:sz w:val="18"/>
          <w:szCs w:val="18"/>
        </w:rPr>
        <w:t>’</w:t>
      </w:r>
      <w:r w:rsidRPr="00E55DB1">
        <w:rPr>
          <w:rFonts w:cs="Arial"/>
          <w:sz w:val="18"/>
          <w:szCs w:val="18"/>
        </w:rPr>
        <w:t xml:space="preserve">adresse </w:t>
      </w:r>
      <w:hyperlink r:id="rId9" w:history="1">
        <w:r w:rsidRPr="00E55DB1">
          <w:rPr>
            <w:rStyle w:val="Hyperlink"/>
            <w:rFonts w:cs="Arial"/>
            <w:color w:val="auto"/>
            <w:sz w:val="18"/>
            <w:szCs w:val="18"/>
            <w:u w:val="none"/>
          </w:rPr>
          <w:t>https://www.gpo.gov/fdsys/pkg/USCODE</w:t>
        </w:r>
        <w:r w:rsidR="002F3A41">
          <w:rPr>
            <w:rStyle w:val="Hyperlink"/>
            <w:rFonts w:cs="Arial"/>
            <w:color w:val="auto"/>
            <w:sz w:val="18"/>
            <w:szCs w:val="18"/>
            <w:u w:val="none"/>
          </w:rPr>
          <w:t>-</w:t>
        </w:r>
        <w:r w:rsidRPr="00E55DB1">
          <w:rPr>
            <w:rStyle w:val="Hyperlink"/>
            <w:rFonts w:cs="Arial"/>
            <w:color w:val="auto"/>
            <w:sz w:val="18"/>
            <w:szCs w:val="18"/>
            <w:u w:val="none"/>
          </w:rPr>
          <w:t>2011</w:t>
        </w:r>
        <w:r w:rsidR="002F3A41">
          <w:rPr>
            <w:rStyle w:val="Hyperlink"/>
            <w:rFonts w:cs="Arial"/>
            <w:color w:val="auto"/>
            <w:sz w:val="18"/>
            <w:szCs w:val="18"/>
            <w:u w:val="none"/>
          </w:rPr>
          <w:t>-</w:t>
        </w:r>
        <w:r w:rsidRPr="00E55DB1">
          <w:rPr>
            <w:rStyle w:val="Hyperlink"/>
            <w:rFonts w:cs="Arial"/>
            <w:color w:val="auto"/>
            <w:sz w:val="18"/>
            <w:szCs w:val="18"/>
            <w:u w:val="none"/>
          </w:rPr>
          <w:t>title35/pdf/USCODE</w:t>
        </w:r>
        <w:r w:rsidR="002F3A41">
          <w:rPr>
            <w:rStyle w:val="Hyperlink"/>
            <w:rFonts w:cs="Arial"/>
            <w:color w:val="auto"/>
            <w:sz w:val="18"/>
            <w:szCs w:val="18"/>
            <w:u w:val="none"/>
          </w:rPr>
          <w:t>-</w:t>
        </w:r>
        <w:r w:rsidRPr="00E55DB1">
          <w:rPr>
            <w:rStyle w:val="Hyperlink"/>
            <w:rFonts w:cs="Arial"/>
            <w:color w:val="auto"/>
            <w:sz w:val="18"/>
            <w:szCs w:val="18"/>
            <w:u w:val="none"/>
          </w:rPr>
          <w:t>2011</w:t>
        </w:r>
        <w:r w:rsidR="002F3A41">
          <w:rPr>
            <w:rStyle w:val="Hyperlink"/>
            <w:rFonts w:cs="Arial"/>
            <w:color w:val="auto"/>
            <w:sz w:val="18"/>
            <w:szCs w:val="18"/>
            <w:u w:val="none"/>
          </w:rPr>
          <w:t>-</w:t>
        </w:r>
        <w:r w:rsidRPr="00E55DB1">
          <w:rPr>
            <w:rStyle w:val="Hyperlink"/>
            <w:rFonts w:cs="Arial"/>
            <w:color w:val="auto"/>
            <w:sz w:val="18"/>
            <w:szCs w:val="18"/>
            <w:u w:val="none"/>
          </w:rPr>
          <w:t>title35</w:t>
        </w:r>
        <w:r w:rsidR="002F3A41">
          <w:rPr>
            <w:rStyle w:val="Hyperlink"/>
            <w:rFonts w:cs="Arial"/>
            <w:color w:val="auto"/>
            <w:sz w:val="18"/>
            <w:szCs w:val="18"/>
            <w:u w:val="none"/>
          </w:rPr>
          <w:t>-</w:t>
        </w:r>
        <w:r w:rsidRPr="00E55DB1">
          <w:rPr>
            <w:rStyle w:val="Hyperlink"/>
            <w:rFonts w:cs="Arial"/>
            <w:color w:val="auto"/>
            <w:sz w:val="18"/>
            <w:szCs w:val="18"/>
            <w:u w:val="none"/>
          </w:rPr>
          <w:t>partII</w:t>
        </w:r>
        <w:r w:rsidR="002F3A41">
          <w:rPr>
            <w:rStyle w:val="Hyperlink"/>
            <w:rFonts w:cs="Arial"/>
            <w:color w:val="auto"/>
            <w:sz w:val="18"/>
            <w:szCs w:val="18"/>
            <w:u w:val="none"/>
          </w:rPr>
          <w:t>-</w:t>
        </w:r>
        <w:r w:rsidRPr="00E55DB1">
          <w:rPr>
            <w:rStyle w:val="Hyperlink"/>
            <w:rFonts w:cs="Arial"/>
            <w:color w:val="auto"/>
            <w:sz w:val="18"/>
            <w:szCs w:val="18"/>
            <w:u w:val="none"/>
          </w:rPr>
          <w:t>chap14</w:t>
        </w:r>
        <w:r w:rsidR="002F3A41">
          <w:rPr>
            <w:rStyle w:val="Hyperlink"/>
            <w:rFonts w:cs="Arial"/>
            <w:color w:val="auto"/>
            <w:sz w:val="18"/>
            <w:szCs w:val="18"/>
            <w:u w:val="none"/>
          </w:rPr>
          <w:t>-</w:t>
        </w:r>
        <w:r w:rsidRPr="00E55DB1">
          <w:rPr>
            <w:rStyle w:val="Hyperlink"/>
            <w:rFonts w:cs="Arial"/>
            <w:color w:val="auto"/>
            <w:sz w:val="18"/>
            <w:szCs w:val="18"/>
            <w:u w:val="none"/>
          </w:rPr>
          <w:t>sec151.pdf</w:t>
        </w:r>
      </w:hyperlink>
      <w:r w:rsidRPr="00E55DB1">
        <w:rPr>
          <w:rFonts w:cs="Arial"/>
          <w:sz w:val="18"/>
          <w:szCs w:val="18"/>
        </w:rPr>
        <w:t xml:space="preserve"> et à l</w:t>
      </w:r>
      <w:r w:rsidR="002F3A41">
        <w:rPr>
          <w:rFonts w:cs="Arial"/>
          <w:sz w:val="18"/>
          <w:szCs w:val="18"/>
        </w:rPr>
        <w:t>’</w:t>
      </w:r>
      <w:r w:rsidRPr="00E55DB1">
        <w:rPr>
          <w:rFonts w:cs="Arial"/>
          <w:sz w:val="18"/>
          <w:szCs w:val="18"/>
        </w:rPr>
        <w:t>article 122.b) du titre 35 du Code des États</w:t>
      </w:r>
      <w:r w:rsidR="002F3A41">
        <w:rPr>
          <w:rFonts w:cs="Arial"/>
          <w:sz w:val="18"/>
          <w:szCs w:val="18"/>
        </w:rPr>
        <w:t>-</w:t>
      </w:r>
      <w:r w:rsidRPr="00E55DB1">
        <w:rPr>
          <w:rFonts w:cs="Arial"/>
          <w:sz w:val="18"/>
          <w:szCs w:val="18"/>
        </w:rPr>
        <w:t>Unis d</w:t>
      </w:r>
      <w:r w:rsidR="002F3A41">
        <w:rPr>
          <w:rFonts w:cs="Arial"/>
          <w:sz w:val="18"/>
          <w:szCs w:val="18"/>
        </w:rPr>
        <w:t>’</w:t>
      </w:r>
      <w:r w:rsidRPr="00E55DB1">
        <w:rPr>
          <w:rFonts w:cs="Arial"/>
          <w:sz w:val="18"/>
          <w:szCs w:val="18"/>
        </w:rPr>
        <w:t>Amérique</w:t>
      </w:r>
      <w:r w:rsidRPr="00E55DB1">
        <w:rPr>
          <w:rFonts w:cs="Arial"/>
          <w:sz w:val="18"/>
          <w:szCs w:val="18"/>
          <w:lang w:eastAsia="en-US"/>
        </w:rPr>
        <w:t xml:space="preserve"> – Caractère confidentiel des demandes;  publication des demandes de brevet, disponible à l</w:t>
      </w:r>
      <w:r w:rsidR="002F3A41">
        <w:rPr>
          <w:rFonts w:cs="Arial"/>
          <w:sz w:val="18"/>
          <w:szCs w:val="18"/>
          <w:lang w:eastAsia="en-US"/>
        </w:rPr>
        <w:t>’</w:t>
      </w:r>
      <w:r w:rsidRPr="00E55DB1">
        <w:rPr>
          <w:rFonts w:cs="Arial"/>
          <w:sz w:val="18"/>
          <w:szCs w:val="18"/>
          <w:lang w:eastAsia="en-US"/>
        </w:rPr>
        <w:t xml:space="preserve">adresse </w:t>
      </w:r>
      <w:hyperlink r:id="rId10" w:history="1">
        <w:r w:rsidRPr="00E55DB1">
          <w:rPr>
            <w:rStyle w:val="Hyperlink"/>
            <w:rFonts w:cs="Arial"/>
            <w:color w:val="auto"/>
            <w:sz w:val="18"/>
            <w:szCs w:val="18"/>
            <w:u w:val="none"/>
            <w:lang w:eastAsia="en-US"/>
          </w:rPr>
          <w:t>https://www.gpo.gov/fdsys/pkg/USCODE</w:t>
        </w:r>
        <w:r w:rsidR="002F3A41">
          <w:rPr>
            <w:rStyle w:val="Hyperlink"/>
            <w:rFonts w:cs="Arial"/>
            <w:color w:val="auto"/>
            <w:sz w:val="18"/>
            <w:szCs w:val="18"/>
            <w:u w:val="none"/>
            <w:lang w:eastAsia="en-US"/>
          </w:rPr>
          <w:t>-</w:t>
        </w:r>
        <w:r w:rsidRPr="00E55DB1">
          <w:rPr>
            <w:rStyle w:val="Hyperlink"/>
            <w:rFonts w:cs="Arial"/>
            <w:color w:val="auto"/>
            <w:sz w:val="18"/>
            <w:szCs w:val="18"/>
            <w:u w:val="none"/>
            <w:lang w:eastAsia="en-US"/>
          </w:rPr>
          <w:t>2011</w:t>
        </w:r>
        <w:r w:rsidR="002F3A41">
          <w:rPr>
            <w:rStyle w:val="Hyperlink"/>
            <w:rFonts w:cs="Arial"/>
            <w:color w:val="auto"/>
            <w:sz w:val="18"/>
            <w:szCs w:val="18"/>
            <w:u w:val="none"/>
            <w:lang w:eastAsia="en-US"/>
          </w:rPr>
          <w:t>-</w:t>
        </w:r>
        <w:r w:rsidRPr="00E55DB1">
          <w:rPr>
            <w:rStyle w:val="Hyperlink"/>
            <w:rFonts w:cs="Arial"/>
            <w:color w:val="auto"/>
            <w:sz w:val="18"/>
            <w:szCs w:val="18"/>
            <w:u w:val="none"/>
            <w:lang w:eastAsia="en-US"/>
          </w:rPr>
          <w:t>title35/pdf/USCODE</w:t>
        </w:r>
        <w:r w:rsidR="002F3A41">
          <w:rPr>
            <w:rStyle w:val="Hyperlink"/>
            <w:rFonts w:cs="Arial"/>
            <w:color w:val="auto"/>
            <w:sz w:val="18"/>
            <w:szCs w:val="18"/>
            <w:u w:val="none"/>
            <w:lang w:eastAsia="en-US"/>
          </w:rPr>
          <w:t>-</w:t>
        </w:r>
        <w:r w:rsidRPr="00E55DB1">
          <w:rPr>
            <w:rStyle w:val="Hyperlink"/>
            <w:rFonts w:cs="Arial"/>
            <w:color w:val="auto"/>
            <w:sz w:val="18"/>
            <w:szCs w:val="18"/>
            <w:u w:val="none"/>
            <w:lang w:eastAsia="en-US"/>
          </w:rPr>
          <w:t>2011</w:t>
        </w:r>
        <w:r w:rsidR="002F3A41">
          <w:rPr>
            <w:rStyle w:val="Hyperlink"/>
            <w:rFonts w:cs="Arial"/>
            <w:color w:val="auto"/>
            <w:sz w:val="18"/>
            <w:szCs w:val="18"/>
            <w:u w:val="none"/>
            <w:lang w:eastAsia="en-US"/>
          </w:rPr>
          <w:t>-</w:t>
        </w:r>
        <w:r w:rsidRPr="00E55DB1">
          <w:rPr>
            <w:rStyle w:val="Hyperlink"/>
            <w:rFonts w:cs="Arial"/>
            <w:color w:val="auto"/>
            <w:sz w:val="18"/>
            <w:szCs w:val="18"/>
            <w:u w:val="none"/>
            <w:lang w:eastAsia="en-US"/>
          </w:rPr>
          <w:t>title35</w:t>
        </w:r>
        <w:r w:rsidR="002F3A41">
          <w:rPr>
            <w:rStyle w:val="Hyperlink"/>
            <w:rFonts w:cs="Arial"/>
            <w:color w:val="auto"/>
            <w:sz w:val="18"/>
            <w:szCs w:val="18"/>
            <w:u w:val="none"/>
            <w:lang w:eastAsia="en-US"/>
          </w:rPr>
          <w:t>-</w:t>
        </w:r>
        <w:r w:rsidRPr="00E55DB1">
          <w:rPr>
            <w:rStyle w:val="Hyperlink"/>
            <w:rFonts w:cs="Arial"/>
            <w:color w:val="auto"/>
            <w:sz w:val="18"/>
            <w:szCs w:val="18"/>
            <w:u w:val="none"/>
            <w:lang w:eastAsia="en-US"/>
          </w:rPr>
          <w:t>partII</w:t>
        </w:r>
        <w:r w:rsidR="002F3A41">
          <w:rPr>
            <w:rStyle w:val="Hyperlink"/>
            <w:rFonts w:cs="Arial"/>
            <w:color w:val="auto"/>
            <w:sz w:val="18"/>
            <w:szCs w:val="18"/>
            <w:u w:val="none"/>
            <w:lang w:eastAsia="en-US"/>
          </w:rPr>
          <w:t>-</w:t>
        </w:r>
        <w:r w:rsidRPr="00E55DB1">
          <w:rPr>
            <w:rStyle w:val="Hyperlink"/>
            <w:rFonts w:cs="Arial"/>
            <w:color w:val="auto"/>
            <w:sz w:val="18"/>
            <w:szCs w:val="18"/>
            <w:u w:val="none"/>
            <w:lang w:eastAsia="en-US"/>
          </w:rPr>
          <w:t>chap11</w:t>
        </w:r>
        <w:r w:rsidR="002F3A41">
          <w:rPr>
            <w:rStyle w:val="Hyperlink"/>
            <w:rFonts w:cs="Arial"/>
            <w:color w:val="auto"/>
            <w:sz w:val="18"/>
            <w:szCs w:val="18"/>
            <w:u w:val="none"/>
            <w:lang w:eastAsia="en-US"/>
          </w:rPr>
          <w:t>-</w:t>
        </w:r>
        <w:r w:rsidRPr="00E55DB1">
          <w:rPr>
            <w:rStyle w:val="Hyperlink"/>
            <w:rFonts w:cs="Arial"/>
            <w:color w:val="auto"/>
            <w:sz w:val="18"/>
            <w:szCs w:val="18"/>
            <w:u w:val="none"/>
            <w:lang w:eastAsia="en-US"/>
          </w:rPr>
          <w:t>sec122.pdf</w:t>
        </w:r>
      </w:hyperlink>
      <w:r w:rsidRPr="00E55DB1">
        <w:rPr>
          <w:rFonts w:cs="Arial"/>
          <w:sz w:val="18"/>
          <w:szCs w:val="18"/>
          <w:lang w:eastAsia="en-US"/>
        </w:rPr>
        <w:t>.</w:t>
      </w:r>
    </w:p>
  </w:footnote>
  <w:footnote w:id="66">
    <w:p w:rsidR="00D71DCD" w:rsidRPr="00E55DB1" w:rsidRDefault="00D71DCD" w:rsidP="00C21AB4">
      <w:pPr>
        <w:pStyle w:val="FootnoteText"/>
        <w:ind w:left="540" w:hanging="54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la loi japonaise sur les brevets à l</w:t>
      </w:r>
      <w:r w:rsidR="002F3A41">
        <w:rPr>
          <w:rFonts w:cs="Arial"/>
          <w:sz w:val="18"/>
          <w:szCs w:val="18"/>
        </w:rPr>
        <w:t>’</w:t>
      </w:r>
      <w:r w:rsidR="00185850">
        <w:rPr>
          <w:rFonts w:cs="Arial"/>
          <w:sz w:val="18"/>
          <w:szCs w:val="18"/>
        </w:rPr>
        <w:t>adresse http</w:t>
      </w:r>
      <w:r w:rsidRPr="00E1729C">
        <w:rPr>
          <w:rStyle w:val="Hyperlink"/>
          <w:rFonts w:cs="Arial"/>
          <w:color w:val="auto"/>
          <w:sz w:val="18"/>
          <w:szCs w:val="18"/>
          <w:u w:val="none"/>
        </w:rPr>
        <w:t>s://www.wipo.int/wipolex/fr/details.jsp?id=16061</w:t>
      </w:r>
      <w:r w:rsidRPr="00E55DB1">
        <w:rPr>
          <w:rFonts w:cs="Arial"/>
          <w:sz w:val="18"/>
          <w:szCs w:val="18"/>
        </w:rPr>
        <w:t>.</w:t>
      </w:r>
    </w:p>
  </w:footnote>
  <w:footnote w:id="67">
    <w:p w:rsidR="00D71DCD" w:rsidRPr="00E55DB1" w:rsidRDefault="00D71DCD" w:rsidP="009031AF">
      <w:pPr>
        <w:pStyle w:val="FootnoteText"/>
        <w:ind w:left="0" w:firstLine="0"/>
        <w:rPr>
          <w:rStyle w:val="FootnoteReference"/>
          <w:rFonts w:cs="Arial"/>
          <w:b/>
          <w:bCs/>
          <w:noProof/>
          <w:sz w:val="18"/>
          <w:szCs w:val="18"/>
          <w:vertAlign w:val="baseline"/>
        </w:rPr>
      </w:pPr>
      <w:r w:rsidRPr="00E55DB1">
        <w:rPr>
          <w:rStyle w:val="FootnoteReference"/>
          <w:rFonts w:cs="Arial"/>
          <w:bCs/>
          <w:noProof/>
          <w:sz w:val="18"/>
          <w:szCs w:val="18"/>
        </w:rPr>
        <w:footnoteRef/>
      </w:r>
      <w:r w:rsidRPr="00E55DB1">
        <w:rPr>
          <w:rStyle w:val="FootnoteReference"/>
          <w:rFonts w:cs="Arial"/>
          <w:bCs/>
          <w:noProof/>
          <w:sz w:val="18"/>
          <w:szCs w:val="18"/>
        </w:rPr>
        <w:t xml:space="preserve"> </w:t>
      </w:r>
      <w:r w:rsidRPr="00E55DB1">
        <w:rPr>
          <w:rFonts w:cs="Arial"/>
          <w:bCs/>
          <w:noProof/>
          <w:sz w:val="18"/>
          <w:szCs w:val="18"/>
        </w:rPr>
        <w:tab/>
        <w:t>Exceptions et limites aux droits d</w:t>
      </w:r>
      <w:r w:rsidR="002F3A41">
        <w:rPr>
          <w:rFonts w:cs="Arial"/>
          <w:bCs/>
          <w:noProof/>
          <w:sz w:val="18"/>
          <w:szCs w:val="18"/>
        </w:rPr>
        <w:t>’</w:t>
      </w:r>
      <w:r w:rsidRPr="00E55DB1">
        <w:rPr>
          <w:rFonts w:cs="Arial"/>
          <w:bCs/>
          <w:noProof/>
          <w:sz w:val="18"/>
          <w:szCs w:val="18"/>
        </w:rPr>
        <w:t>auteur et droits voisins, étude présentée par M. Pierre Sirinelli (page 2 du document WCT</w:t>
      </w:r>
      <w:r w:rsidR="002F3A41">
        <w:rPr>
          <w:rFonts w:cs="Arial"/>
          <w:bCs/>
          <w:noProof/>
          <w:sz w:val="18"/>
          <w:szCs w:val="18"/>
        </w:rPr>
        <w:t>-</w:t>
      </w:r>
      <w:r w:rsidRPr="00E55DB1">
        <w:rPr>
          <w:rFonts w:cs="Arial"/>
          <w:bCs/>
          <w:noProof/>
          <w:sz w:val="18"/>
          <w:szCs w:val="18"/>
        </w:rPr>
        <w:t>WPPT/IMP/1) (1999).</w:t>
      </w:r>
    </w:p>
  </w:footnote>
  <w:footnote w:id="68">
    <w:p w:rsidR="00D71DCD" w:rsidRPr="00E55DB1" w:rsidRDefault="00D71DCD" w:rsidP="009031AF">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Arti</w:t>
      </w:r>
      <w:r w:rsidRPr="00E55DB1">
        <w:rPr>
          <w:rFonts w:cs="Arial"/>
          <w:noProof/>
          <w:sz w:val="18"/>
          <w:szCs w:val="18"/>
        </w:rPr>
        <w:t>cle </w:t>
      </w:r>
      <w:r w:rsidRPr="00E55DB1">
        <w:rPr>
          <w:rStyle w:val="FootnoteReference"/>
          <w:rFonts w:cs="Arial"/>
          <w:noProof/>
          <w:sz w:val="18"/>
          <w:szCs w:val="18"/>
          <w:vertAlign w:val="baseline"/>
        </w:rPr>
        <w:t>9</w:t>
      </w:r>
      <w:r w:rsidRPr="00E55DB1">
        <w:rPr>
          <w:rFonts w:cs="Arial"/>
          <w:noProof/>
          <w:sz w:val="18"/>
          <w:szCs w:val="18"/>
        </w:rPr>
        <w:t>.</w:t>
      </w:r>
      <w:r w:rsidRPr="00E55DB1">
        <w:rPr>
          <w:rStyle w:val="FootnoteReference"/>
          <w:rFonts w:cs="Arial"/>
          <w:noProof/>
          <w:sz w:val="18"/>
          <w:szCs w:val="18"/>
          <w:vertAlign w:val="baseline"/>
        </w:rPr>
        <w:t>2).</w:t>
      </w:r>
    </w:p>
  </w:footnote>
  <w:footnote w:id="69">
    <w:p w:rsidR="00D71DCD" w:rsidRPr="00E55DB1" w:rsidRDefault="00D71DCD"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la page 37 de l</w:t>
      </w:r>
      <w:r w:rsidR="002F3A41">
        <w:rPr>
          <w:rFonts w:cs="Arial"/>
          <w:noProof/>
          <w:sz w:val="18"/>
          <w:szCs w:val="18"/>
        </w:rPr>
        <w:t>’</w:t>
      </w:r>
      <w:r w:rsidRPr="00E55DB1">
        <w:rPr>
          <w:rFonts w:cs="Arial"/>
          <w:noProof/>
          <w:sz w:val="18"/>
          <w:szCs w:val="18"/>
        </w:rPr>
        <w:t>annexe du document WO/GA/32/8.</w:t>
      </w:r>
    </w:p>
  </w:footnote>
  <w:footnote w:id="70">
    <w:p w:rsidR="00D71DCD" w:rsidRPr="00E55DB1" w:rsidRDefault="00D71DCD"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Pour de plus amples informations, voir les pages 7 à 11 de l</w:t>
      </w:r>
      <w:r w:rsidR="002F3A41">
        <w:rPr>
          <w:rFonts w:cs="Arial"/>
          <w:noProof/>
          <w:sz w:val="18"/>
          <w:szCs w:val="18"/>
        </w:rPr>
        <w:t>’</w:t>
      </w:r>
      <w:r w:rsidRPr="00E55DB1">
        <w:rPr>
          <w:rFonts w:cs="Arial"/>
          <w:noProof/>
          <w:sz w:val="18"/>
          <w:szCs w:val="18"/>
        </w:rPr>
        <w:t>annexe I du document WIPO/GRTKF/IC/16/6</w:t>
      </w:r>
      <w:r w:rsidRPr="00E55DB1">
        <w:rPr>
          <w:rFonts w:cs="Arial"/>
          <w:iCs/>
          <w:noProof/>
          <w:sz w:val="18"/>
          <w:szCs w:val="18"/>
        </w:rPr>
        <w:t>.</w:t>
      </w:r>
    </w:p>
  </w:footnote>
  <w:footnote w:id="71">
    <w:p w:rsidR="00D71DCD" w:rsidRPr="00E55DB1" w:rsidRDefault="00D71DCD"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Voir WIPO Technical Study on Patent Disclosure Requirements related to Genetic Resources and Traditional Knowledge, Publication OMPI n° 786(E), page 65.  </w:t>
      </w:r>
      <w:r w:rsidRPr="00E55DB1">
        <w:rPr>
          <w:rFonts w:cs="Arial"/>
          <w:noProof/>
          <w:sz w:val="18"/>
          <w:szCs w:val="18"/>
        </w:rPr>
        <w:t>Une nouvelle étude de l</w:t>
      </w:r>
      <w:r w:rsidR="002F3A41">
        <w:rPr>
          <w:rFonts w:cs="Arial"/>
          <w:noProof/>
          <w:sz w:val="18"/>
          <w:szCs w:val="18"/>
        </w:rPr>
        <w:t>’</w:t>
      </w:r>
      <w:r w:rsidRPr="00E55DB1">
        <w:rPr>
          <w:rFonts w:cs="Arial"/>
          <w:noProof/>
          <w:sz w:val="18"/>
          <w:szCs w:val="18"/>
        </w:rPr>
        <w:t>OMPI sur les exigences de divulgation en matière de brevets intitulée “Key Questions on Developing Patent Disclosure Requirements for Genetic Resources and Traditional Knowledge” (Questions essentielles sur les exigences de divulgation des ressources génétiques et des savoirs traditionnels dans les demandes de brevet) a été publiée en juin 2017 et peut être consultée à l</w:t>
      </w:r>
      <w:r w:rsidR="002F3A41">
        <w:rPr>
          <w:rFonts w:cs="Arial"/>
          <w:noProof/>
          <w:sz w:val="18"/>
          <w:szCs w:val="18"/>
        </w:rPr>
        <w:t>’</w:t>
      </w:r>
      <w:r w:rsidR="00185850">
        <w:rPr>
          <w:rFonts w:cs="Arial"/>
          <w:noProof/>
          <w:sz w:val="18"/>
          <w:szCs w:val="18"/>
        </w:rPr>
        <w:t>adresse http</w:t>
      </w:r>
      <w:r w:rsidRPr="000518AA">
        <w:rPr>
          <w:rStyle w:val="Hyperlink"/>
          <w:rFonts w:cs="Arial"/>
          <w:noProof/>
          <w:color w:val="auto"/>
          <w:sz w:val="18"/>
          <w:szCs w:val="18"/>
          <w:u w:val="none"/>
        </w:rPr>
        <w:t>s://www.wipo.int/publications/fr/details.jsp?id=4194</w:t>
      </w:r>
      <w:r w:rsidRPr="00E55DB1">
        <w:rPr>
          <w:rFonts w:cs="Arial"/>
          <w:noProof/>
          <w:sz w:val="18"/>
          <w:szCs w:val="18"/>
        </w:rPr>
        <w:t>.</w:t>
      </w:r>
    </w:p>
  </w:footnote>
  <w:footnote w:id="72">
    <w:p w:rsidR="00D71DCD" w:rsidRPr="00E55DB1" w:rsidRDefault="00D71DCD"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WIPO/GRTKF/IC/9/13 (Autre proposition).</w:t>
      </w:r>
    </w:p>
  </w:footnote>
  <w:footnote w:id="73">
    <w:p w:rsidR="00D71DCD" w:rsidRPr="00E55DB1" w:rsidRDefault="00D71DCD" w:rsidP="00903B5D">
      <w:pPr>
        <w:pStyle w:val="FootnoteText"/>
        <w:ind w:left="0" w:firstLine="0"/>
        <w:rPr>
          <w:rFonts w:cs="Arial"/>
          <w:i/>
          <w:iCs/>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document </w:t>
      </w:r>
      <w:r w:rsidRPr="00E55DB1">
        <w:rPr>
          <w:rFonts w:cs="Arial"/>
          <w:iCs/>
          <w:noProof/>
          <w:sz w:val="18"/>
          <w:szCs w:val="18"/>
        </w:rPr>
        <w:t>TN/</w:t>
      </w:r>
      <w:r w:rsidRPr="00E55DB1">
        <w:rPr>
          <w:rFonts w:cs="Arial"/>
          <w:noProof/>
          <w:sz w:val="18"/>
          <w:szCs w:val="18"/>
        </w:rPr>
        <w:t>C/W/</w:t>
      </w:r>
      <w:r w:rsidRPr="00E55DB1">
        <w:rPr>
          <w:rFonts w:cs="Arial"/>
          <w:iCs/>
          <w:noProof/>
          <w:sz w:val="18"/>
          <w:szCs w:val="18"/>
        </w:rPr>
        <w:t>52</w:t>
      </w:r>
      <w:r w:rsidRPr="00E55DB1">
        <w:rPr>
          <w:rFonts w:cs="Arial"/>
          <w:i/>
          <w:iCs/>
          <w:noProof/>
          <w:sz w:val="18"/>
          <w:szCs w:val="18"/>
        </w:rPr>
        <w:t>.</w:t>
      </w:r>
    </w:p>
  </w:footnote>
  <w:footnote w:id="74">
    <w:p w:rsidR="00D71DCD" w:rsidRPr="00E55DB1" w:rsidRDefault="00D71DCD" w:rsidP="00C9238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Paragraphe 37 des Dispositions types de législation nationale sur la protection des expressions du folklore contre leur exploitation illicite et autres actions dommageables (1982).</w:t>
      </w:r>
    </w:p>
  </w:footnote>
  <w:footnote w:id="75">
    <w:p w:rsidR="00D71DCD" w:rsidRPr="00E55DB1" w:rsidRDefault="00D71DCD" w:rsidP="00C9238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Paragraphe 37 des Dispositions types de législation nationale sur la protection des expressions du folklore contre leur exploitation illicite et autres actions dommageables (1982).</w:t>
      </w:r>
    </w:p>
  </w:footnote>
  <w:footnote w:id="76">
    <w:p w:rsidR="00D71DCD" w:rsidRPr="00E55DB1" w:rsidRDefault="00D71DCD"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4.3) de la Convention sur la protection et la promotion de la diversité des expressions culturelles de l</w:t>
      </w:r>
      <w:r w:rsidR="002F3A41">
        <w:rPr>
          <w:rFonts w:cs="Arial"/>
          <w:noProof/>
          <w:sz w:val="18"/>
          <w:szCs w:val="18"/>
        </w:rPr>
        <w:t>’</w:t>
      </w:r>
      <w:r w:rsidRPr="00E55DB1">
        <w:rPr>
          <w:rFonts w:cs="Arial"/>
          <w:noProof/>
          <w:sz w:val="18"/>
          <w:szCs w:val="18"/>
        </w:rPr>
        <w:t>UNESCO (2005).</w:t>
      </w:r>
    </w:p>
  </w:footnote>
  <w:footnote w:id="77">
    <w:p w:rsidR="00D71DCD" w:rsidRPr="00E55DB1" w:rsidRDefault="00D71DCD" w:rsidP="00C9238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Deuxième partie des Dispositions types de législation nationale sur la protection des expressions du folklore contre leur exploitation illicite et autres actions dommageables (1982).</w:t>
      </w:r>
    </w:p>
  </w:footnote>
  <w:footnote w:id="78">
    <w:p w:rsidR="00D71DCD" w:rsidRPr="00E55DB1" w:rsidRDefault="00D71DCD"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Troisième partie des Dispositions types de législation nationale sur la protection des expressions du folklore contre leur exploitation illicite et autres actions dommageables (1982).</w:t>
      </w:r>
      <w:r w:rsidRPr="00E55DB1">
        <w:rPr>
          <w:rFonts w:cs="Arial"/>
          <w:sz w:val="18"/>
          <w:szCs w:val="18"/>
        </w:rPr>
        <w:t xml:space="preserve"> </w:t>
      </w:r>
      <w:r w:rsidRPr="00E55DB1">
        <w:rPr>
          <w:rFonts w:cs="Arial"/>
          <w:noProof/>
          <w:sz w:val="18"/>
          <w:szCs w:val="18"/>
        </w:rPr>
        <w:t xml:space="preserve"> </w:t>
      </w:r>
    </w:p>
  </w:footnote>
  <w:footnote w:id="79">
    <w:p w:rsidR="00D71DCD" w:rsidRPr="00E55DB1" w:rsidRDefault="00D71DCD"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w:t>
      </w:r>
      <w:r w:rsidRPr="00E55DB1">
        <w:rPr>
          <w:rStyle w:val="FootnoteReference"/>
          <w:rFonts w:cs="Arial"/>
          <w:noProof/>
          <w:sz w:val="18"/>
          <w:szCs w:val="18"/>
          <w:vertAlign w:val="baseline"/>
        </w:rPr>
        <w:t>2</w:t>
      </w:r>
      <w:r w:rsidRPr="00E55DB1">
        <w:rPr>
          <w:rFonts w:cs="Arial"/>
          <w:noProof/>
          <w:sz w:val="18"/>
          <w:szCs w:val="18"/>
        </w:rPr>
        <w:t>.</w:t>
      </w:r>
      <w:r w:rsidRPr="00E55DB1">
        <w:rPr>
          <w:rStyle w:val="FootnoteReference"/>
          <w:rFonts w:cs="Arial"/>
          <w:noProof/>
          <w:sz w:val="18"/>
          <w:szCs w:val="18"/>
          <w:vertAlign w:val="baseline"/>
        </w:rPr>
        <w:t>iv)</w:t>
      </w:r>
      <w:r w:rsidRPr="00E55DB1">
        <w:rPr>
          <w:rFonts w:cs="Arial"/>
          <w:noProof/>
          <w:sz w:val="18"/>
          <w:szCs w:val="18"/>
        </w:rPr>
        <w:t xml:space="preserve"> des Dispositions types de législation nationale sur la protection des expressions du folklore contre leur exploitation illicite et autres actions dommageables (1982).</w:t>
      </w:r>
    </w:p>
  </w:footnote>
  <w:footnote w:id="80">
    <w:p w:rsidR="00D71DCD" w:rsidRPr="00E55DB1" w:rsidRDefault="00D71DCD"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sur l</w:t>
      </w:r>
      <w:r w:rsidR="002F3A41">
        <w:rPr>
          <w:rFonts w:cs="Arial"/>
          <w:noProof/>
          <w:sz w:val="18"/>
          <w:szCs w:val="18"/>
        </w:rPr>
        <w:t>’</w:t>
      </w:r>
      <w:r w:rsidRPr="00E55DB1">
        <w:rPr>
          <w:rFonts w:cs="Arial"/>
          <w:noProof/>
          <w:sz w:val="18"/>
          <w:szCs w:val="18"/>
        </w:rPr>
        <w:t>instrument de gestion de propriété intellectuelle dans le cadre de la fixation des savoirs traditionnels et des ressources génétiques (WIPO/GRTKF/IC/5/5), page 4 de l</w:t>
      </w:r>
      <w:r w:rsidR="002F3A41">
        <w:rPr>
          <w:rFonts w:cs="Arial"/>
          <w:noProof/>
          <w:sz w:val="18"/>
          <w:szCs w:val="18"/>
        </w:rPr>
        <w:t>’</w:t>
      </w:r>
      <w:r w:rsidRPr="00E55DB1">
        <w:rPr>
          <w:rFonts w:cs="Arial"/>
          <w:noProof/>
          <w:sz w:val="18"/>
          <w:szCs w:val="18"/>
        </w:rPr>
        <w:t>annexe.</w:t>
      </w:r>
    </w:p>
  </w:footnote>
  <w:footnote w:id="81">
    <w:p w:rsidR="00D71DCD" w:rsidRPr="00E55DB1" w:rsidRDefault="00D71DCD"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w:t>
      </w:r>
      <w:r w:rsidR="002F3A41">
        <w:rPr>
          <w:rFonts w:cs="Arial"/>
          <w:noProof/>
          <w:sz w:val="18"/>
          <w:szCs w:val="18"/>
        </w:rPr>
        <w:t>’</w:t>
      </w:r>
      <w:r w:rsidRPr="00E55DB1">
        <w:rPr>
          <w:rFonts w:cs="Arial"/>
          <w:noProof/>
          <w:sz w:val="18"/>
          <w:szCs w:val="18"/>
        </w:rPr>
        <w:t>auteur et les droits connexes administrés par l</w:t>
      </w:r>
      <w:r w:rsidR="002F3A41">
        <w:rPr>
          <w:rFonts w:cs="Arial"/>
          <w:noProof/>
          <w:sz w:val="18"/>
          <w:szCs w:val="18"/>
        </w:rPr>
        <w:t>’</w:t>
      </w:r>
      <w:r w:rsidRPr="00E55DB1">
        <w:rPr>
          <w:rFonts w:cs="Arial"/>
          <w:noProof/>
          <w:sz w:val="18"/>
          <w:szCs w:val="18"/>
        </w:rPr>
        <w:t>OMPI et Glossaire du droit d</w:t>
      </w:r>
      <w:r w:rsidR="002F3A41">
        <w:rPr>
          <w:rFonts w:cs="Arial"/>
          <w:noProof/>
          <w:sz w:val="18"/>
          <w:szCs w:val="18"/>
        </w:rPr>
        <w:t>’</w:t>
      </w:r>
      <w:r w:rsidRPr="00E55DB1">
        <w:rPr>
          <w:rFonts w:cs="Arial"/>
          <w:noProof/>
          <w:sz w:val="18"/>
          <w:szCs w:val="18"/>
        </w:rPr>
        <w:t>auteur et des droits connexes, OMPI, page 290.</w:t>
      </w:r>
    </w:p>
  </w:footnote>
  <w:footnote w:id="82">
    <w:p w:rsidR="00D71DCD" w:rsidRPr="00E55DB1" w:rsidRDefault="00D71DCD" w:rsidP="0040085A">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Style w:val="FootnoteReference"/>
          <w:rFonts w:cs="Arial"/>
          <w:noProof/>
          <w:sz w:val="18"/>
          <w:szCs w:val="18"/>
          <w:vertAlign w:val="baseline"/>
          <w:lang w:val="en-US"/>
        </w:rPr>
        <w:t>Art</w:t>
      </w:r>
      <w:r w:rsidRPr="00E55DB1">
        <w:rPr>
          <w:rFonts w:cs="Arial"/>
          <w:noProof/>
          <w:sz w:val="18"/>
          <w:szCs w:val="18"/>
          <w:lang w:val="en-US"/>
        </w:rPr>
        <w:t>icle</w:t>
      </w:r>
      <w:r w:rsidRPr="00E55DB1">
        <w:rPr>
          <w:rStyle w:val="FootnoteReference"/>
          <w:rFonts w:cs="Arial"/>
          <w:noProof/>
          <w:sz w:val="18"/>
          <w:szCs w:val="18"/>
          <w:vertAlign w:val="baseline"/>
          <w:lang w:val="en-US"/>
        </w:rPr>
        <w:t> 2</w:t>
      </w:r>
      <w:r w:rsidRPr="00E55DB1">
        <w:rPr>
          <w:rFonts w:cs="Arial"/>
          <w:noProof/>
          <w:sz w:val="18"/>
          <w:szCs w:val="18"/>
          <w:lang w:val="en-US"/>
        </w:rPr>
        <w:t>.</w:t>
      </w:r>
      <w:r w:rsidRPr="00E55DB1">
        <w:rPr>
          <w:rStyle w:val="FootnoteReference"/>
          <w:rFonts w:cs="Arial"/>
          <w:noProof/>
          <w:sz w:val="18"/>
          <w:szCs w:val="18"/>
          <w:vertAlign w:val="baseline"/>
          <w:lang w:val="en-US"/>
        </w:rPr>
        <w:t>2).</w:t>
      </w:r>
      <w:r w:rsidRPr="00E55DB1">
        <w:rPr>
          <w:rStyle w:val="FootnoteReference"/>
          <w:rFonts w:cs="Arial"/>
          <w:sz w:val="18"/>
          <w:szCs w:val="18"/>
          <w:vertAlign w:val="baseline"/>
          <w:lang w:val="en-US"/>
        </w:rPr>
        <w:t xml:space="preserve"> </w:t>
      </w:r>
      <w:r w:rsidRPr="00E55DB1">
        <w:rPr>
          <w:rStyle w:val="FootnoteReference"/>
          <w:rFonts w:cs="Arial"/>
          <w:noProof/>
          <w:sz w:val="18"/>
          <w:szCs w:val="18"/>
          <w:vertAlign w:val="baseline"/>
          <w:lang w:val="en-US"/>
        </w:rPr>
        <w:t xml:space="preserve"> </w:t>
      </w:r>
    </w:p>
  </w:footnote>
  <w:footnote w:id="83">
    <w:p w:rsidR="00D71DCD" w:rsidRPr="00E55DB1" w:rsidRDefault="00D71DCD" w:rsidP="0040085A">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Voir</w:t>
      </w:r>
      <w:r w:rsidRPr="00E55DB1">
        <w:rPr>
          <w:rFonts w:cs="Arial"/>
          <w:noProof/>
          <w:sz w:val="18"/>
          <w:szCs w:val="18"/>
          <w:lang w:val="en-US"/>
        </w:rPr>
        <w:t xml:space="preserve"> Terry Janke, “Unauthorized Reproduction of Rock Art”</w:t>
      </w:r>
      <w:r w:rsidRPr="00E55DB1">
        <w:rPr>
          <w:rFonts w:cs="Arial"/>
          <w:i/>
          <w:iCs/>
          <w:noProof/>
          <w:sz w:val="18"/>
          <w:szCs w:val="18"/>
          <w:lang w:val="en-US"/>
        </w:rPr>
        <w:t>, in</w:t>
      </w:r>
      <w:r w:rsidRPr="00E55DB1">
        <w:rPr>
          <w:rFonts w:cs="Arial"/>
          <w:noProof/>
          <w:sz w:val="18"/>
          <w:szCs w:val="18"/>
          <w:lang w:val="en-US"/>
        </w:rPr>
        <w:t xml:space="preserve"> Minding Culture</w:t>
      </w:r>
      <w:r w:rsidR="002F3A41">
        <w:rPr>
          <w:rFonts w:cs="Arial"/>
          <w:noProof/>
          <w:sz w:val="18"/>
          <w:szCs w:val="18"/>
          <w:lang w:val="en-US"/>
        </w:rPr>
        <w:t>:</w:t>
      </w:r>
      <w:r w:rsidRPr="00E55DB1">
        <w:rPr>
          <w:rFonts w:cs="Arial"/>
          <w:noProof/>
          <w:sz w:val="18"/>
          <w:szCs w:val="18"/>
          <w:lang w:val="en-US"/>
        </w:rPr>
        <w:t xml:space="preserve"> Case Studies on Intellectual Property and Traditional Cultural Expressions, OMPI (2003).</w:t>
      </w:r>
    </w:p>
  </w:footnote>
  <w:footnote w:id="84">
    <w:p w:rsidR="00D71DCD" w:rsidRPr="00E55DB1" w:rsidRDefault="00D71DCD"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50 du rapport sur la dix</w:t>
      </w:r>
      <w:r w:rsidR="002F3A41">
        <w:rPr>
          <w:rFonts w:cs="Arial"/>
          <w:noProof/>
          <w:sz w:val="18"/>
          <w:szCs w:val="18"/>
        </w:rPr>
        <w:t>-</w:t>
      </w:r>
      <w:r w:rsidRPr="00E55DB1">
        <w:rPr>
          <w:rFonts w:cs="Arial"/>
          <w:noProof/>
          <w:sz w:val="18"/>
          <w:szCs w:val="18"/>
        </w:rPr>
        <w:t>sept</w:t>
      </w:r>
      <w:r w:rsidR="002F3A41">
        <w:rPr>
          <w:rFonts w:cs="Arial"/>
          <w:noProof/>
          <w:sz w:val="18"/>
          <w:szCs w:val="18"/>
        </w:rPr>
        <w:t>ième session</w:t>
      </w:r>
      <w:r w:rsidRPr="00E55DB1">
        <w:rPr>
          <w:rFonts w:cs="Arial"/>
          <w:noProof/>
          <w:sz w:val="18"/>
          <w:szCs w:val="18"/>
        </w:rPr>
        <w:t xml:space="preserve"> du comité (document WIPO/GRTKF/IC/17/12).</w:t>
      </w:r>
    </w:p>
  </w:footnote>
  <w:footnote w:id="85">
    <w:p w:rsidR="00D71DCD" w:rsidRPr="00E55DB1" w:rsidRDefault="00D71DCD"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Dispositions types de législation nationale sur la protection des expressions du folklore contre leur exploitation illicite et autres actions dommageables (1982), première partie, paragraphes 5 à 7.</w:t>
      </w:r>
    </w:p>
  </w:footnote>
  <w:footnote w:id="86">
    <w:p w:rsidR="00D71DCD" w:rsidRPr="00E55DB1" w:rsidRDefault="00D71DCD"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w:t>
      </w:r>
      <w:r w:rsidR="002F3A41">
        <w:rPr>
          <w:rFonts w:cs="Arial"/>
          <w:noProof/>
          <w:sz w:val="18"/>
          <w:szCs w:val="18"/>
        </w:rPr>
        <w:t>’</w:t>
      </w:r>
      <w:r w:rsidRPr="00E55DB1">
        <w:rPr>
          <w:rFonts w:cs="Arial"/>
          <w:noProof/>
          <w:sz w:val="18"/>
          <w:szCs w:val="18"/>
        </w:rPr>
        <w:t>auteur et les droits connexes administrés par l</w:t>
      </w:r>
      <w:r w:rsidR="002F3A41">
        <w:rPr>
          <w:rFonts w:cs="Arial"/>
          <w:noProof/>
          <w:sz w:val="18"/>
          <w:szCs w:val="18"/>
        </w:rPr>
        <w:t>’</w:t>
      </w:r>
      <w:r w:rsidRPr="00E55DB1">
        <w:rPr>
          <w:rFonts w:cs="Arial"/>
          <w:noProof/>
          <w:sz w:val="18"/>
          <w:szCs w:val="18"/>
        </w:rPr>
        <w:t>OMPI et Glossaire du droit d</w:t>
      </w:r>
      <w:r w:rsidR="002F3A41">
        <w:rPr>
          <w:rFonts w:cs="Arial"/>
          <w:noProof/>
          <w:sz w:val="18"/>
          <w:szCs w:val="18"/>
        </w:rPr>
        <w:t>’</w:t>
      </w:r>
      <w:r w:rsidRPr="00E55DB1">
        <w:rPr>
          <w:rFonts w:cs="Arial"/>
          <w:noProof/>
          <w:sz w:val="18"/>
          <w:szCs w:val="18"/>
        </w:rPr>
        <w:t>auteur et des droits connexes, OMPI, page 290.</w:t>
      </w:r>
    </w:p>
  </w:footnote>
  <w:footnote w:id="87">
    <w:p w:rsidR="00D71DCD" w:rsidRPr="00E55DB1" w:rsidRDefault="00D71DCD" w:rsidP="0040085A">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5.2) de la Convention de Berne, article 9.1) de l</w:t>
      </w:r>
      <w:r w:rsidR="002F3A41">
        <w:rPr>
          <w:rFonts w:cs="Arial"/>
          <w:noProof/>
          <w:sz w:val="18"/>
          <w:szCs w:val="18"/>
        </w:rPr>
        <w:t>’</w:t>
      </w:r>
      <w:r w:rsidRPr="00E55DB1">
        <w:rPr>
          <w:rFonts w:cs="Arial"/>
          <w:noProof/>
          <w:sz w:val="18"/>
          <w:szCs w:val="18"/>
        </w:rPr>
        <w:t>Accord sur les ADPIC, article 25.10) du Traité sur le droit d</w:t>
      </w:r>
      <w:r w:rsidR="002F3A41">
        <w:rPr>
          <w:rFonts w:cs="Arial"/>
          <w:noProof/>
          <w:sz w:val="18"/>
          <w:szCs w:val="18"/>
        </w:rPr>
        <w:t>’</w:t>
      </w:r>
      <w:r w:rsidRPr="00E55DB1">
        <w:rPr>
          <w:rFonts w:cs="Arial"/>
          <w:noProof/>
          <w:sz w:val="18"/>
          <w:szCs w:val="18"/>
        </w:rPr>
        <w:t>auteur de l</w:t>
      </w:r>
      <w:r w:rsidR="002F3A41">
        <w:rPr>
          <w:rFonts w:cs="Arial"/>
          <w:noProof/>
          <w:sz w:val="18"/>
          <w:szCs w:val="18"/>
        </w:rPr>
        <w:t>’</w:t>
      </w:r>
      <w:r w:rsidRPr="00E55DB1">
        <w:rPr>
          <w:rFonts w:cs="Arial"/>
          <w:noProof/>
          <w:sz w:val="18"/>
          <w:szCs w:val="18"/>
        </w:rPr>
        <w:t>OMPI et article 20 du Traité de l</w:t>
      </w:r>
      <w:r w:rsidR="002F3A41">
        <w:rPr>
          <w:rFonts w:cs="Arial"/>
          <w:noProof/>
          <w:sz w:val="18"/>
          <w:szCs w:val="18"/>
        </w:rPr>
        <w:t>’</w:t>
      </w:r>
      <w:r w:rsidRPr="00E55DB1">
        <w:rPr>
          <w:rFonts w:cs="Arial"/>
          <w:noProof/>
          <w:sz w:val="18"/>
          <w:szCs w:val="18"/>
        </w:rPr>
        <w:t xml:space="preserve">OMPI sur les interprétations et exécutions et les phonogrammes.  </w:t>
      </w:r>
      <w:r w:rsidRPr="00E55DB1">
        <w:rPr>
          <w:rFonts w:cs="Arial"/>
          <w:iCs/>
          <w:noProof/>
          <w:sz w:val="18"/>
          <w:szCs w:val="18"/>
        </w:rPr>
        <w:t>Voir le</w:t>
      </w:r>
      <w:r w:rsidRPr="00E55DB1">
        <w:rPr>
          <w:rFonts w:cs="Arial"/>
          <w:i/>
          <w:iCs/>
          <w:noProof/>
          <w:sz w:val="18"/>
          <w:szCs w:val="18"/>
        </w:rPr>
        <w:t xml:space="preserve"> </w:t>
      </w:r>
      <w:r w:rsidRPr="00E55DB1">
        <w:rPr>
          <w:rFonts w:cs="Arial"/>
          <w:noProof/>
          <w:sz w:val="18"/>
          <w:szCs w:val="18"/>
        </w:rPr>
        <w:t>Guide des traités sur le droit d</w:t>
      </w:r>
      <w:r w:rsidR="002F3A41">
        <w:rPr>
          <w:rFonts w:cs="Arial"/>
          <w:noProof/>
          <w:sz w:val="18"/>
          <w:szCs w:val="18"/>
        </w:rPr>
        <w:t>’</w:t>
      </w:r>
      <w:r w:rsidRPr="00E55DB1">
        <w:rPr>
          <w:rFonts w:cs="Arial"/>
          <w:noProof/>
          <w:sz w:val="18"/>
          <w:szCs w:val="18"/>
        </w:rPr>
        <w:t>auteur et les droits connexes administrés par l</w:t>
      </w:r>
      <w:r w:rsidR="002F3A41">
        <w:rPr>
          <w:rFonts w:cs="Arial"/>
          <w:noProof/>
          <w:sz w:val="18"/>
          <w:szCs w:val="18"/>
        </w:rPr>
        <w:t>’</w:t>
      </w:r>
      <w:r w:rsidRPr="00E55DB1">
        <w:rPr>
          <w:rFonts w:cs="Arial"/>
          <w:noProof/>
          <w:sz w:val="18"/>
          <w:szCs w:val="18"/>
        </w:rPr>
        <w:t>OMPI et le Glossaire du droit d</w:t>
      </w:r>
      <w:r w:rsidR="002F3A41">
        <w:rPr>
          <w:rFonts w:cs="Arial"/>
          <w:noProof/>
          <w:sz w:val="18"/>
          <w:szCs w:val="18"/>
        </w:rPr>
        <w:t>’</w:t>
      </w:r>
      <w:r w:rsidRPr="00E55DB1">
        <w:rPr>
          <w:rFonts w:cs="Arial"/>
          <w:noProof/>
          <w:sz w:val="18"/>
          <w:szCs w:val="18"/>
        </w:rPr>
        <w:t>auteur et des droits connexes, OMPI, page 291.</w:t>
      </w:r>
    </w:p>
  </w:footnote>
  <w:footnote w:id="88">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WIPO/GRTKF/17/INF/12.</w:t>
      </w:r>
    </w:p>
  </w:footnote>
  <w:footnote w:id="89">
    <w:p w:rsidR="00D71DCD" w:rsidRPr="00E55DB1" w:rsidRDefault="00D71DCD"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TextChar"/>
          <w:noProof/>
          <w:sz w:val="18"/>
          <w:szCs w:val="18"/>
          <w:lang w:val="fr-FR"/>
        </w:rPr>
        <w:t xml:space="preserve"> </w:t>
      </w:r>
      <w:r w:rsidRPr="00E55DB1">
        <w:rPr>
          <w:rStyle w:val="FootnoteTextChar"/>
          <w:noProof/>
          <w:sz w:val="18"/>
          <w:szCs w:val="18"/>
          <w:lang w:val="fr-FR"/>
        </w:rPr>
        <w:tab/>
      </w:r>
      <w:r w:rsidRPr="00E55DB1">
        <w:rPr>
          <w:rFonts w:cs="Arial"/>
          <w:noProof/>
          <w:sz w:val="18"/>
          <w:szCs w:val="18"/>
          <w:lang w:eastAsia="en-US"/>
        </w:rPr>
        <w:t>Thesaurus de l</w:t>
      </w:r>
      <w:r w:rsidR="002F3A41">
        <w:rPr>
          <w:rFonts w:cs="Arial"/>
          <w:noProof/>
          <w:sz w:val="18"/>
          <w:szCs w:val="18"/>
          <w:lang w:eastAsia="en-US"/>
        </w:rPr>
        <w:t>’</w:t>
      </w:r>
      <w:r w:rsidRPr="00E55DB1">
        <w:rPr>
          <w:rFonts w:cs="Arial"/>
          <w:noProof/>
          <w:sz w:val="18"/>
          <w:szCs w:val="18"/>
          <w:lang w:eastAsia="en-US"/>
        </w:rPr>
        <w:t>UNESCO, disponible à l</w:t>
      </w:r>
      <w:r w:rsidR="002F3A41">
        <w:rPr>
          <w:rFonts w:cs="Arial"/>
          <w:noProof/>
          <w:sz w:val="18"/>
          <w:szCs w:val="18"/>
          <w:lang w:eastAsia="en-US"/>
        </w:rPr>
        <w:t>’</w:t>
      </w:r>
      <w:r w:rsidRPr="00E55DB1">
        <w:rPr>
          <w:rFonts w:cs="Arial"/>
          <w:noProof/>
          <w:sz w:val="18"/>
          <w:szCs w:val="18"/>
          <w:lang w:eastAsia="en-US"/>
        </w:rPr>
        <w:t xml:space="preserve">adresse </w:t>
      </w:r>
      <w:hyperlink r:id="rId11" w:history="1">
        <w:r w:rsidRPr="00E55DB1">
          <w:rPr>
            <w:rStyle w:val="Hyperlink"/>
            <w:rFonts w:cs="Arial"/>
            <w:noProof/>
            <w:color w:val="auto"/>
            <w:sz w:val="18"/>
            <w:szCs w:val="18"/>
            <w:u w:val="none"/>
            <w:lang w:eastAsia="en-US"/>
          </w:rPr>
          <w:t>http://www.vocabularyserver.com/unesco/en/index.php?tema=2526&amp;/cultural</w:t>
        </w:r>
        <w:r w:rsidR="002F3A41">
          <w:rPr>
            <w:rStyle w:val="Hyperlink"/>
            <w:rFonts w:cs="Arial"/>
            <w:noProof/>
            <w:color w:val="auto"/>
            <w:sz w:val="18"/>
            <w:szCs w:val="18"/>
            <w:u w:val="none"/>
            <w:lang w:eastAsia="en-US"/>
          </w:rPr>
          <w:t>-</w:t>
        </w:r>
        <w:r w:rsidRPr="00E55DB1">
          <w:rPr>
            <w:rStyle w:val="Hyperlink"/>
            <w:rFonts w:cs="Arial"/>
            <w:noProof/>
            <w:color w:val="auto"/>
            <w:sz w:val="18"/>
            <w:szCs w:val="18"/>
            <w:u w:val="none"/>
            <w:lang w:eastAsia="en-US"/>
          </w:rPr>
          <w:t>identity</w:t>
        </w:r>
      </w:hyperlink>
      <w:r w:rsidRPr="00E55DB1">
        <w:rPr>
          <w:rFonts w:cs="Arial"/>
          <w:noProof/>
          <w:sz w:val="18"/>
          <w:szCs w:val="18"/>
        </w:rPr>
        <w:t>.</w:t>
      </w:r>
    </w:p>
  </w:footnote>
  <w:footnote w:id="90">
    <w:p w:rsidR="00D71DCD" w:rsidRPr="00E55DB1" w:rsidRDefault="00D71DCD"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2.2)b) de la Convention concernant les peuples indigènes et tribaux dans les pays indépendants du BIT (1989).</w:t>
      </w:r>
    </w:p>
  </w:footnote>
  <w:footnote w:id="91">
    <w:p w:rsidR="00D71DCD" w:rsidRPr="00E55DB1" w:rsidRDefault="00D71DCD" w:rsidP="00C21AB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L</w:t>
      </w:r>
      <w:r w:rsidR="002F3A41">
        <w:rPr>
          <w:rFonts w:cs="Arial"/>
          <w:sz w:val="18"/>
          <w:szCs w:val="18"/>
        </w:rPr>
        <w:t>’</w:t>
      </w:r>
      <w:r w:rsidRPr="00E55DB1">
        <w:rPr>
          <w:rFonts w:cs="Arial"/>
          <w:sz w:val="18"/>
          <w:szCs w:val="18"/>
        </w:rPr>
        <w:t>instrument d</w:t>
      </w:r>
      <w:r w:rsidR="002F3A41">
        <w:rPr>
          <w:rFonts w:cs="Arial"/>
          <w:sz w:val="18"/>
          <w:szCs w:val="18"/>
        </w:rPr>
        <w:t>’</w:t>
      </w:r>
      <w:r w:rsidRPr="00E55DB1">
        <w:rPr>
          <w:rFonts w:cs="Arial"/>
          <w:sz w:val="18"/>
          <w:szCs w:val="18"/>
        </w:rPr>
        <w:t>aide à la fixation des savoirs traditionnels de l</w:t>
      </w:r>
      <w:r w:rsidR="002F3A41">
        <w:rPr>
          <w:rFonts w:cs="Arial"/>
          <w:sz w:val="18"/>
          <w:szCs w:val="18"/>
        </w:rPr>
        <w:t>’</w:t>
      </w:r>
      <w:r w:rsidRPr="00E55DB1">
        <w:rPr>
          <w:rFonts w:cs="Arial"/>
          <w:sz w:val="18"/>
          <w:szCs w:val="18"/>
        </w:rPr>
        <w:t>OMPI est accessible à l</w:t>
      </w:r>
      <w:r w:rsidR="002F3A41">
        <w:rPr>
          <w:rFonts w:cs="Arial"/>
          <w:sz w:val="18"/>
          <w:szCs w:val="18"/>
        </w:rPr>
        <w:t>’</w:t>
      </w:r>
      <w:r w:rsidR="00185850">
        <w:rPr>
          <w:rFonts w:cs="Arial"/>
          <w:sz w:val="18"/>
          <w:szCs w:val="18"/>
        </w:rPr>
        <w:t>adresse http</w:t>
      </w:r>
      <w:r w:rsidRPr="00E1729C">
        <w:rPr>
          <w:rStyle w:val="Hyperlink"/>
          <w:rFonts w:cs="Arial"/>
          <w:color w:val="auto"/>
          <w:sz w:val="18"/>
          <w:szCs w:val="18"/>
          <w:u w:val="none"/>
        </w:rPr>
        <w:t>s</w:t>
      </w:r>
      <w:r w:rsidRPr="000D5705">
        <w:rPr>
          <w:rStyle w:val="Hyperlink"/>
          <w:rFonts w:cs="Arial"/>
          <w:color w:val="auto"/>
          <w:sz w:val="18"/>
          <w:szCs w:val="18"/>
          <w:u w:val="none"/>
        </w:rPr>
        <w:t>://www.wipo.int/publications/fr/details.jsp?id=4235</w:t>
      </w:r>
      <w:r w:rsidRPr="00E55DB1">
        <w:rPr>
          <w:rFonts w:cs="Arial"/>
          <w:sz w:val="18"/>
          <w:szCs w:val="18"/>
        </w:rPr>
        <w:t>.</w:t>
      </w:r>
    </w:p>
  </w:footnote>
  <w:footnote w:id="92">
    <w:p w:rsidR="00D71DCD" w:rsidRPr="00E55DB1" w:rsidRDefault="00D71DCD" w:rsidP="0040085A">
      <w:pPr>
        <w:pStyle w:val="FootnoteText"/>
        <w:ind w:left="0" w:firstLine="0"/>
        <w:rPr>
          <w:rFonts w:cs="Arial"/>
          <w:noProof/>
          <w:sz w:val="18"/>
          <w:szCs w:val="18"/>
        </w:rPr>
      </w:pPr>
      <w:r w:rsidRPr="00E55DB1">
        <w:rPr>
          <w:rStyle w:val="FootnoteReference"/>
          <w:rFonts w:cs="Arial"/>
          <w:sz w:val="18"/>
          <w:szCs w:val="18"/>
        </w:rPr>
        <w:footnoteRef/>
      </w:r>
      <w:r w:rsidRPr="00E55DB1">
        <w:rPr>
          <w:rFonts w:cs="Arial"/>
          <w:sz w:val="18"/>
          <w:szCs w:val="18"/>
          <w:lang w:val="en-US"/>
        </w:rPr>
        <w:t xml:space="preserve"> </w:t>
      </w:r>
      <w:r w:rsidRPr="00E55DB1">
        <w:rPr>
          <w:rFonts w:cs="Arial"/>
          <w:sz w:val="18"/>
          <w:szCs w:val="18"/>
          <w:lang w:val="en-US"/>
        </w:rPr>
        <w:tab/>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602.</w:t>
      </w:r>
    </w:p>
  </w:footnote>
  <w:footnote w:id="93">
    <w:p w:rsidR="00D71DCD" w:rsidRPr="00E55DB1" w:rsidRDefault="00D71DCD"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3.1 de la Directive 98/44/CE du Parlement européen et du Conseil du 6 juillet 1998 relative à la protection juridique des inventions biotechnologiques.</w:t>
      </w:r>
    </w:p>
  </w:footnote>
  <w:footnote w:id="94">
    <w:p w:rsidR="00D71DCD" w:rsidRPr="00E55DB1" w:rsidRDefault="00D71DCD"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paragraphe 16 du document OMPI/GRTKF/IC/1/3.</w:t>
      </w:r>
    </w:p>
  </w:footnote>
  <w:footnote w:id="95">
    <w:p w:rsidR="00D71DCD" w:rsidRPr="00E55DB1" w:rsidRDefault="00D71DCD"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articles 1, 7.a) et 17 à 21 des Lignes directrices de Bonn.</w:t>
      </w:r>
    </w:p>
  </w:footnote>
  <w:footnote w:id="96">
    <w:p w:rsidR="00D71DCD" w:rsidRPr="00E55DB1" w:rsidRDefault="00D71DCD"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paragraphes 24 à 50 et l</w:t>
      </w:r>
      <w:r w:rsidR="002F3A41">
        <w:rPr>
          <w:rFonts w:cs="Arial"/>
          <w:noProof/>
          <w:sz w:val="18"/>
          <w:szCs w:val="18"/>
        </w:rPr>
        <w:t>’</w:t>
      </w:r>
      <w:r w:rsidRPr="00E55DB1">
        <w:rPr>
          <w:rFonts w:cs="Arial"/>
          <w:noProof/>
          <w:sz w:val="18"/>
          <w:szCs w:val="18"/>
        </w:rPr>
        <w:t>appendice II des Lignes directrices de Bonn.</w:t>
      </w:r>
    </w:p>
  </w:footnote>
  <w:footnote w:id="97">
    <w:p w:rsidR="00D71DCD" w:rsidRPr="00E55DB1" w:rsidRDefault="00D71DCD" w:rsidP="00EF6794">
      <w:pPr>
        <w:pStyle w:val="FootnoteText"/>
        <w:ind w:left="0" w:firstLine="0"/>
        <w:rPr>
          <w:rStyle w:val="FootnoteReference"/>
          <w:rFonts w:cs="Arial"/>
          <w:b/>
          <w:bCs/>
          <w:noProof/>
          <w:sz w:val="18"/>
          <w:szCs w:val="18"/>
          <w:vertAlign w:val="baseline"/>
        </w:rPr>
      </w:pPr>
      <w:r w:rsidRPr="00E55DB1">
        <w:rPr>
          <w:rStyle w:val="FootnoteReference"/>
          <w:rFonts w:cs="Arial"/>
          <w:bCs/>
          <w:noProof/>
          <w:sz w:val="18"/>
          <w:szCs w:val="18"/>
        </w:rPr>
        <w:footnoteRef/>
      </w:r>
      <w:r w:rsidRPr="00E55DB1">
        <w:rPr>
          <w:rFonts w:cs="Arial"/>
          <w:bCs/>
          <w:noProof/>
          <w:sz w:val="18"/>
          <w:szCs w:val="18"/>
        </w:rPr>
        <w:t xml:space="preserve"> </w:t>
      </w:r>
      <w:r w:rsidRPr="00E55DB1">
        <w:rPr>
          <w:rFonts w:cs="Arial"/>
          <w:bCs/>
          <w:noProof/>
          <w:sz w:val="18"/>
          <w:szCs w:val="18"/>
        </w:rPr>
        <w:tab/>
        <w:t>“Limitations et exceptions au droit d</w:t>
      </w:r>
      <w:r w:rsidR="002F3A41">
        <w:rPr>
          <w:rFonts w:cs="Arial"/>
          <w:bCs/>
          <w:noProof/>
          <w:sz w:val="18"/>
          <w:szCs w:val="18"/>
        </w:rPr>
        <w:t>’</w:t>
      </w:r>
      <w:r w:rsidRPr="00E55DB1">
        <w:rPr>
          <w:rFonts w:cs="Arial"/>
          <w:bCs/>
          <w:noProof/>
          <w:sz w:val="18"/>
          <w:szCs w:val="18"/>
        </w:rPr>
        <w:t>auteur et aux droits connexes” (page 2 du document WCT</w:t>
      </w:r>
      <w:r w:rsidR="002F3A41">
        <w:rPr>
          <w:rFonts w:cs="Arial"/>
          <w:bCs/>
          <w:noProof/>
          <w:sz w:val="18"/>
          <w:szCs w:val="18"/>
        </w:rPr>
        <w:t>-</w:t>
      </w:r>
      <w:r w:rsidRPr="00E55DB1">
        <w:rPr>
          <w:rFonts w:cs="Arial"/>
          <w:bCs/>
          <w:noProof/>
          <w:sz w:val="18"/>
          <w:szCs w:val="18"/>
        </w:rPr>
        <w:t>WPPT/IMP/1).</w:t>
      </w:r>
    </w:p>
  </w:footnote>
  <w:footnote w:id="98">
    <w:p w:rsidR="00D71DCD" w:rsidRPr="00E55DB1" w:rsidRDefault="00D71DCD"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sz w:val="18"/>
          <w:szCs w:val="18"/>
          <w:vertAlign w:val="baseline"/>
        </w:rPr>
        <w:t xml:space="preserve"> </w:t>
      </w:r>
      <w:r w:rsidRPr="00E55DB1">
        <w:rPr>
          <w:rFonts w:cs="Arial"/>
          <w:noProof/>
          <w:sz w:val="18"/>
          <w:szCs w:val="18"/>
        </w:rPr>
        <w:tab/>
        <w:t>Partie du site Web de l</w:t>
      </w:r>
      <w:r w:rsidR="002F3A41">
        <w:rPr>
          <w:rFonts w:cs="Arial"/>
          <w:noProof/>
          <w:sz w:val="18"/>
          <w:szCs w:val="18"/>
        </w:rPr>
        <w:t>’</w:t>
      </w:r>
      <w:r w:rsidRPr="00E55DB1">
        <w:rPr>
          <w:rFonts w:cs="Arial"/>
          <w:noProof/>
          <w:sz w:val="18"/>
          <w:szCs w:val="18"/>
        </w:rPr>
        <w:t>OMPI consacrée au droit d</w:t>
      </w:r>
      <w:r w:rsidR="002F3A41">
        <w:rPr>
          <w:rFonts w:cs="Arial"/>
          <w:noProof/>
          <w:sz w:val="18"/>
          <w:szCs w:val="18"/>
        </w:rPr>
        <w:t>’</w:t>
      </w:r>
      <w:r w:rsidRPr="00E55DB1">
        <w:rPr>
          <w:rFonts w:cs="Arial"/>
          <w:noProof/>
          <w:sz w:val="18"/>
          <w:szCs w:val="18"/>
        </w:rPr>
        <w:t>auteur et aux droits connexes</w:t>
      </w:r>
      <w:r w:rsidR="002F3A41">
        <w:rPr>
          <w:rFonts w:cs="Arial"/>
          <w:noProof/>
          <w:sz w:val="18"/>
          <w:szCs w:val="18"/>
        </w:rPr>
        <w:t> :</w:t>
      </w:r>
      <w:r w:rsidRPr="00E55DB1">
        <w:rPr>
          <w:rFonts w:cs="Arial"/>
          <w:noProof/>
          <w:sz w:val="18"/>
          <w:szCs w:val="18"/>
        </w:rPr>
        <w:t xml:space="preserve"> </w:t>
      </w:r>
      <w:r w:rsidRPr="000518AA">
        <w:rPr>
          <w:rStyle w:val="Hyperlink"/>
          <w:rFonts w:cs="Arial"/>
          <w:iCs/>
          <w:noProof/>
          <w:color w:val="auto"/>
          <w:sz w:val="18"/>
          <w:szCs w:val="18"/>
          <w:u w:val="none"/>
        </w:rPr>
        <w:t>https://www.wipo.int/copyright/fr/limitations/index.html</w:t>
      </w:r>
      <w:r w:rsidRPr="00E55DB1">
        <w:rPr>
          <w:rFonts w:cs="Arial"/>
          <w:iCs/>
          <w:noProof/>
          <w:sz w:val="18"/>
          <w:szCs w:val="18"/>
        </w:rPr>
        <w:t>.</w:t>
      </w:r>
    </w:p>
  </w:footnote>
  <w:footnote w:id="99">
    <w:p w:rsidR="00D71DCD" w:rsidRPr="00E55DB1" w:rsidRDefault="00D71DCD" w:rsidP="00EF679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w:t>
      </w:r>
      <w:r w:rsidRPr="00E55DB1">
        <w:rPr>
          <w:rFonts w:cs="Arial"/>
          <w:noProof/>
          <w:sz w:val="18"/>
          <w:szCs w:val="18"/>
        </w:rPr>
        <w:t>icle</w:t>
      </w:r>
      <w:r w:rsidRPr="00E55DB1">
        <w:rPr>
          <w:rStyle w:val="FootnoteReference"/>
          <w:rFonts w:cs="Arial"/>
          <w:noProof/>
          <w:sz w:val="18"/>
          <w:szCs w:val="18"/>
          <w:vertAlign w:val="baseline"/>
        </w:rPr>
        <w:t> 10.1)</w:t>
      </w:r>
      <w:r w:rsidRPr="00E55DB1">
        <w:rPr>
          <w:rFonts w:cs="Arial"/>
          <w:noProof/>
          <w:sz w:val="18"/>
          <w:szCs w:val="18"/>
        </w:rPr>
        <w:t>.</w:t>
      </w:r>
    </w:p>
  </w:footnote>
  <w:footnote w:id="100">
    <w:p w:rsidR="00D71DCD" w:rsidRPr="00E55DB1" w:rsidRDefault="00D71DCD" w:rsidP="00EF679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w:t>
      </w:r>
      <w:r w:rsidRPr="00E55DB1">
        <w:rPr>
          <w:rFonts w:cs="Arial"/>
          <w:noProof/>
          <w:sz w:val="18"/>
          <w:szCs w:val="18"/>
        </w:rPr>
        <w:t>icle</w:t>
      </w:r>
      <w:r w:rsidRPr="00E55DB1">
        <w:rPr>
          <w:rStyle w:val="FootnoteReference"/>
          <w:rFonts w:cs="Arial"/>
          <w:noProof/>
          <w:sz w:val="18"/>
          <w:szCs w:val="18"/>
          <w:vertAlign w:val="baseline"/>
        </w:rPr>
        <w:t> 9.2)</w:t>
      </w:r>
      <w:r w:rsidRPr="00E55DB1">
        <w:rPr>
          <w:rFonts w:cs="Arial"/>
          <w:noProof/>
          <w:sz w:val="18"/>
          <w:szCs w:val="18"/>
        </w:rPr>
        <w:t>.</w:t>
      </w:r>
    </w:p>
  </w:footnote>
  <w:footnote w:id="101">
    <w:p w:rsidR="00D71DCD" w:rsidRPr="00E55DB1" w:rsidRDefault="00D71DCD"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w:t>
      </w:r>
      <w:r w:rsidR="002F3A41">
        <w:rPr>
          <w:rFonts w:cs="Arial"/>
          <w:noProof/>
          <w:sz w:val="18"/>
          <w:szCs w:val="18"/>
        </w:rPr>
        <w:t>’</w:t>
      </w:r>
      <w:r w:rsidRPr="00E55DB1">
        <w:rPr>
          <w:rFonts w:cs="Arial"/>
          <w:noProof/>
          <w:sz w:val="18"/>
          <w:szCs w:val="18"/>
        </w:rPr>
        <w:t>auteur et les droits connexes administrés par l</w:t>
      </w:r>
      <w:r w:rsidR="002F3A41">
        <w:rPr>
          <w:rFonts w:cs="Arial"/>
          <w:noProof/>
          <w:sz w:val="18"/>
          <w:szCs w:val="18"/>
        </w:rPr>
        <w:t>’</w:t>
      </w:r>
      <w:r w:rsidRPr="00E55DB1">
        <w:rPr>
          <w:rFonts w:cs="Arial"/>
          <w:noProof/>
          <w:sz w:val="18"/>
          <w:szCs w:val="18"/>
        </w:rPr>
        <w:t>OMPI et Glossaire du droit d</w:t>
      </w:r>
      <w:r w:rsidR="002F3A41">
        <w:rPr>
          <w:rFonts w:cs="Arial"/>
          <w:noProof/>
          <w:sz w:val="18"/>
          <w:szCs w:val="18"/>
        </w:rPr>
        <w:t>’</w:t>
      </w:r>
      <w:r w:rsidRPr="00E55DB1">
        <w:rPr>
          <w:rFonts w:cs="Arial"/>
          <w:noProof/>
          <w:sz w:val="18"/>
          <w:szCs w:val="18"/>
        </w:rPr>
        <w:t>auteur et des droits connexes</w:t>
      </w:r>
      <w:r w:rsidRPr="00E55DB1">
        <w:rPr>
          <w:rStyle w:val="FootnoteReference"/>
          <w:rFonts w:cs="Arial"/>
          <w:noProof/>
          <w:sz w:val="18"/>
          <w:szCs w:val="18"/>
          <w:vertAlign w:val="baseline"/>
        </w:rPr>
        <w:t>, p</w:t>
      </w:r>
      <w:r w:rsidRPr="00E55DB1">
        <w:rPr>
          <w:rFonts w:cs="Arial"/>
          <w:noProof/>
          <w:sz w:val="18"/>
          <w:szCs w:val="18"/>
        </w:rPr>
        <w:t>age</w:t>
      </w:r>
      <w:r w:rsidRPr="00E55DB1">
        <w:rPr>
          <w:rStyle w:val="FootnoteReference"/>
          <w:rFonts w:cs="Arial"/>
          <w:noProof/>
          <w:sz w:val="18"/>
          <w:szCs w:val="18"/>
          <w:vertAlign w:val="baseline"/>
        </w:rPr>
        <w:t> 313</w:t>
      </w:r>
      <w:r w:rsidRPr="00E55DB1">
        <w:rPr>
          <w:rFonts w:cs="Arial"/>
          <w:noProof/>
          <w:sz w:val="18"/>
          <w:szCs w:val="18"/>
        </w:rPr>
        <w:t>.</w:t>
      </w:r>
    </w:p>
  </w:footnote>
  <w:footnote w:id="102">
    <w:p w:rsidR="00D71DCD" w:rsidRPr="00E55DB1" w:rsidRDefault="00D71DCD" w:rsidP="0040085A">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le document UNEP/CBD/WG</w:t>
      </w:r>
      <w:r w:rsidR="002F3A41">
        <w:rPr>
          <w:rFonts w:cs="Arial"/>
          <w:noProof/>
          <w:sz w:val="18"/>
          <w:szCs w:val="18"/>
          <w:lang w:val="en-US"/>
        </w:rPr>
        <w:t>-</w:t>
      </w:r>
      <w:r w:rsidRPr="00E55DB1">
        <w:rPr>
          <w:rFonts w:cs="Arial"/>
          <w:noProof/>
          <w:sz w:val="18"/>
          <w:szCs w:val="18"/>
          <w:lang w:val="en-US"/>
        </w:rPr>
        <w:t>ABS/9/INF/1 (The Concept of “Genetic Resources” in the Convention on Biological Diversity and how it relates to a functional international regime on access and benefit</w:t>
      </w:r>
      <w:r w:rsidR="002F3A41">
        <w:rPr>
          <w:rFonts w:cs="Arial"/>
          <w:noProof/>
          <w:sz w:val="18"/>
          <w:szCs w:val="18"/>
          <w:lang w:val="en-US"/>
        </w:rPr>
        <w:t>-</w:t>
      </w:r>
      <w:r w:rsidRPr="00E55DB1">
        <w:rPr>
          <w:rFonts w:cs="Arial"/>
          <w:noProof/>
          <w:sz w:val="18"/>
          <w:szCs w:val="18"/>
          <w:lang w:val="en-US"/>
        </w:rPr>
        <w:t>sharing”), page 8.</w:t>
      </w:r>
    </w:p>
  </w:footnote>
  <w:footnote w:id="103">
    <w:p w:rsidR="00D71DCD" w:rsidRPr="00E55DB1" w:rsidRDefault="00D71DCD" w:rsidP="004B68AF">
      <w:pPr>
        <w:pStyle w:val="FootnoteText"/>
        <w:ind w:left="0" w:firstLine="0"/>
        <w:rPr>
          <w:rFonts w:cs="Arial"/>
          <w:sz w:val="18"/>
          <w:szCs w:val="18"/>
          <w:lang w:val="en-US"/>
        </w:rPr>
      </w:pPr>
      <w:r w:rsidRPr="00E55DB1">
        <w:rPr>
          <w:rStyle w:val="FootnoteReference"/>
          <w:rFonts w:cs="Arial"/>
          <w:sz w:val="18"/>
          <w:szCs w:val="18"/>
        </w:rPr>
        <w:footnoteRef/>
      </w:r>
      <w:r w:rsidRPr="00E55DB1">
        <w:rPr>
          <w:rFonts w:cs="Arial"/>
          <w:sz w:val="18"/>
          <w:szCs w:val="18"/>
          <w:lang w:val="en-US"/>
        </w:rPr>
        <w:t xml:space="preserve"> </w:t>
      </w:r>
      <w:r w:rsidRPr="00E55DB1">
        <w:rPr>
          <w:rFonts w:cs="Arial"/>
          <w:sz w:val="18"/>
          <w:szCs w:val="18"/>
          <w:lang w:val="en-US"/>
        </w:rPr>
        <w:tab/>
      </w:r>
      <w:proofErr w:type="spellStart"/>
      <w:r w:rsidRPr="00E55DB1">
        <w:rPr>
          <w:rFonts w:cs="Arial"/>
          <w:sz w:val="18"/>
          <w:szCs w:val="18"/>
          <w:lang w:val="en-US"/>
        </w:rPr>
        <w:t>Glossaire</w:t>
      </w:r>
      <w:proofErr w:type="spellEnd"/>
      <w:r w:rsidRPr="00E55DB1">
        <w:rPr>
          <w:rFonts w:cs="Arial"/>
          <w:sz w:val="18"/>
          <w:szCs w:val="18"/>
          <w:lang w:val="en-US"/>
        </w:rPr>
        <w:t xml:space="preserve"> du PNUE (Glossary of Terms for Negotiators of Multilateral Environmental Agreements), page 22, </w:t>
      </w:r>
      <w:proofErr w:type="spellStart"/>
      <w:r w:rsidRPr="00E55DB1">
        <w:rPr>
          <w:rFonts w:cs="Arial"/>
          <w:sz w:val="18"/>
          <w:szCs w:val="18"/>
          <w:lang w:val="en-US"/>
        </w:rPr>
        <w:t>disponible</w:t>
      </w:r>
      <w:proofErr w:type="spellEnd"/>
      <w:r w:rsidRPr="00E55DB1">
        <w:rPr>
          <w:rFonts w:cs="Arial"/>
          <w:sz w:val="18"/>
          <w:szCs w:val="18"/>
          <w:lang w:val="en-US"/>
        </w:rPr>
        <w:t xml:space="preserve"> à </w:t>
      </w:r>
      <w:proofErr w:type="spellStart"/>
      <w:r w:rsidRPr="00E55DB1">
        <w:rPr>
          <w:rFonts w:cs="Arial"/>
          <w:sz w:val="18"/>
          <w:szCs w:val="18"/>
          <w:lang w:val="en-US"/>
        </w:rPr>
        <w:t>l</w:t>
      </w:r>
      <w:r w:rsidR="002F3A41">
        <w:rPr>
          <w:rFonts w:cs="Arial"/>
          <w:sz w:val="18"/>
          <w:szCs w:val="18"/>
          <w:lang w:val="en-US"/>
        </w:rPr>
        <w:t>’</w:t>
      </w:r>
      <w:r w:rsidRPr="00E55DB1">
        <w:rPr>
          <w:rFonts w:cs="Arial"/>
          <w:sz w:val="18"/>
          <w:szCs w:val="18"/>
          <w:lang w:val="en-US"/>
        </w:rPr>
        <w:t>adresse</w:t>
      </w:r>
      <w:proofErr w:type="spellEnd"/>
      <w:r w:rsidRPr="00E55DB1">
        <w:rPr>
          <w:rFonts w:cs="Arial"/>
          <w:sz w:val="18"/>
          <w:szCs w:val="18"/>
          <w:lang w:val="en-US"/>
        </w:rPr>
        <w:t xml:space="preserve"> </w:t>
      </w:r>
      <w:r w:rsidR="00E56FA4">
        <w:fldChar w:fldCharType="begin"/>
      </w:r>
      <w:r w:rsidR="00E56FA4" w:rsidRPr="00A60A7C">
        <w:rPr>
          <w:lang w:val="en-US"/>
        </w:rPr>
        <w:instrText xml:space="preserve"> HYPERLINK "https://www.unenvironment.org/resources/report/glossary-terms-negotiators-multilateral-environmental-agreements" </w:instrText>
      </w:r>
      <w:r w:rsidR="00E56FA4">
        <w:fldChar w:fldCharType="separate"/>
      </w:r>
      <w:r w:rsidRPr="00E55DB1">
        <w:rPr>
          <w:rStyle w:val="Hyperlink"/>
          <w:rFonts w:cs="Arial"/>
          <w:color w:val="auto"/>
          <w:sz w:val="18"/>
          <w:szCs w:val="18"/>
          <w:u w:val="none"/>
          <w:lang w:val="en-US"/>
        </w:rPr>
        <w:t>https://www.unenvironment.org/resources/report/glossary</w:t>
      </w:r>
      <w:r w:rsidR="002F3A41">
        <w:rPr>
          <w:rStyle w:val="Hyperlink"/>
          <w:rFonts w:cs="Arial"/>
          <w:color w:val="auto"/>
          <w:sz w:val="18"/>
          <w:szCs w:val="18"/>
          <w:u w:val="none"/>
          <w:lang w:val="en-US"/>
        </w:rPr>
        <w:t>-</w:t>
      </w:r>
      <w:r w:rsidRPr="00E55DB1">
        <w:rPr>
          <w:rStyle w:val="Hyperlink"/>
          <w:rFonts w:cs="Arial"/>
          <w:color w:val="auto"/>
          <w:sz w:val="18"/>
          <w:szCs w:val="18"/>
          <w:u w:val="none"/>
          <w:lang w:val="en-US"/>
        </w:rPr>
        <w:t>terms</w:t>
      </w:r>
      <w:r w:rsidR="002F3A41">
        <w:rPr>
          <w:rStyle w:val="Hyperlink"/>
          <w:rFonts w:cs="Arial"/>
          <w:color w:val="auto"/>
          <w:sz w:val="18"/>
          <w:szCs w:val="18"/>
          <w:u w:val="none"/>
          <w:lang w:val="en-US"/>
        </w:rPr>
        <w:t>-</w:t>
      </w:r>
      <w:r w:rsidRPr="00E55DB1">
        <w:rPr>
          <w:rStyle w:val="Hyperlink"/>
          <w:rFonts w:cs="Arial"/>
          <w:color w:val="auto"/>
          <w:sz w:val="18"/>
          <w:szCs w:val="18"/>
          <w:u w:val="none"/>
          <w:lang w:val="en-US"/>
        </w:rPr>
        <w:t>negotiators</w:t>
      </w:r>
      <w:r w:rsidR="002F3A41">
        <w:rPr>
          <w:rStyle w:val="Hyperlink"/>
          <w:rFonts w:cs="Arial"/>
          <w:color w:val="auto"/>
          <w:sz w:val="18"/>
          <w:szCs w:val="18"/>
          <w:u w:val="none"/>
          <w:lang w:val="en-US"/>
        </w:rPr>
        <w:t>-</w:t>
      </w:r>
      <w:r w:rsidRPr="00E55DB1">
        <w:rPr>
          <w:rStyle w:val="Hyperlink"/>
          <w:rFonts w:cs="Arial"/>
          <w:color w:val="auto"/>
          <w:sz w:val="18"/>
          <w:szCs w:val="18"/>
          <w:u w:val="none"/>
          <w:lang w:val="en-US"/>
        </w:rPr>
        <w:t>multilateral</w:t>
      </w:r>
      <w:r w:rsidR="002F3A41">
        <w:rPr>
          <w:rStyle w:val="Hyperlink"/>
          <w:rFonts w:cs="Arial"/>
          <w:color w:val="auto"/>
          <w:sz w:val="18"/>
          <w:szCs w:val="18"/>
          <w:u w:val="none"/>
          <w:lang w:val="en-US"/>
        </w:rPr>
        <w:t>-</w:t>
      </w:r>
      <w:r w:rsidRPr="00E55DB1">
        <w:rPr>
          <w:rStyle w:val="Hyperlink"/>
          <w:rFonts w:cs="Arial"/>
          <w:color w:val="auto"/>
          <w:sz w:val="18"/>
          <w:szCs w:val="18"/>
          <w:u w:val="none"/>
          <w:lang w:val="en-US"/>
        </w:rPr>
        <w:t>environmental</w:t>
      </w:r>
      <w:r w:rsidR="002F3A41">
        <w:rPr>
          <w:rStyle w:val="Hyperlink"/>
          <w:rFonts w:cs="Arial"/>
          <w:color w:val="auto"/>
          <w:sz w:val="18"/>
          <w:szCs w:val="18"/>
          <w:u w:val="none"/>
          <w:lang w:val="en-US"/>
        </w:rPr>
        <w:t>-</w:t>
      </w:r>
      <w:r w:rsidRPr="00E55DB1">
        <w:rPr>
          <w:rStyle w:val="Hyperlink"/>
          <w:rFonts w:cs="Arial"/>
          <w:color w:val="auto"/>
          <w:sz w:val="18"/>
          <w:szCs w:val="18"/>
          <w:u w:val="none"/>
          <w:lang w:val="en-US"/>
        </w:rPr>
        <w:t>agreements</w:t>
      </w:r>
      <w:r w:rsidR="00E56FA4">
        <w:rPr>
          <w:rStyle w:val="Hyperlink"/>
          <w:rFonts w:cs="Arial"/>
          <w:color w:val="auto"/>
          <w:sz w:val="18"/>
          <w:szCs w:val="18"/>
          <w:u w:val="none"/>
          <w:lang w:val="en-US"/>
        </w:rPr>
        <w:fldChar w:fldCharType="end"/>
      </w:r>
      <w:r w:rsidRPr="00E55DB1">
        <w:rPr>
          <w:rFonts w:cs="Arial"/>
          <w:sz w:val="18"/>
          <w:szCs w:val="18"/>
          <w:lang w:val="en-US"/>
        </w:rPr>
        <w:t>.</w:t>
      </w:r>
    </w:p>
  </w:footnote>
  <w:footnote w:id="104">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Principes méthodologiques généraux de l</w:t>
      </w:r>
      <w:r w:rsidR="002F3A41">
        <w:rPr>
          <w:rFonts w:cs="Arial"/>
          <w:noProof/>
          <w:sz w:val="18"/>
          <w:szCs w:val="18"/>
        </w:rPr>
        <w:t>’</w:t>
      </w:r>
      <w:r w:rsidRPr="00E55DB1">
        <w:rPr>
          <w:rFonts w:cs="Arial"/>
          <w:noProof/>
          <w:sz w:val="18"/>
          <w:szCs w:val="18"/>
        </w:rPr>
        <w:t>OMS pour la recherche et l</w:t>
      </w:r>
      <w:r w:rsidR="002F3A41">
        <w:rPr>
          <w:rFonts w:cs="Arial"/>
          <w:noProof/>
          <w:sz w:val="18"/>
          <w:szCs w:val="18"/>
        </w:rPr>
        <w:t>’</w:t>
      </w:r>
      <w:r w:rsidRPr="00E55DB1">
        <w:rPr>
          <w:rFonts w:cs="Arial"/>
          <w:noProof/>
          <w:sz w:val="18"/>
          <w:szCs w:val="18"/>
        </w:rPr>
        <w:t>évaluation relatives à la médecine traditionnelle (WHO/EDM/TRM/2000.1), page 1.</w:t>
      </w:r>
    </w:p>
  </w:footnote>
  <w:footnote w:id="105">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Stratégie de l</w:t>
      </w:r>
      <w:r w:rsidR="002F3A41">
        <w:rPr>
          <w:rFonts w:cs="Arial"/>
          <w:noProof/>
          <w:sz w:val="18"/>
          <w:szCs w:val="18"/>
        </w:rPr>
        <w:t>’</w:t>
      </w:r>
      <w:r w:rsidRPr="00E55DB1">
        <w:rPr>
          <w:rFonts w:cs="Arial"/>
          <w:noProof/>
          <w:sz w:val="18"/>
          <w:szCs w:val="18"/>
        </w:rPr>
        <w:t>OMS pour la médecine traditionnelle pour 2002</w:t>
      </w:r>
      <w:r w:rsidR="002F3A41">
        <w:rPr>
          <w:rFonts w:cs="Arial"/>
          <w:noProof/>
          <w:sz w:val="18"/>
          <w:szCs w:val="18"/>
        </w:rPr>
        <w:t>-</w:t>
      </w:r>
      <w:r w:rsidRPr="00E55DB1">
        <w:rPr>
          <w:rFonts w:cs="Arial"/>
          <w:noProof/>
          <w:sz w:val="18"/>
          <w:szCs w:val="18"/>
        </w:rPr>
        <w:t>2005, page 7.</w:t>
      </w:r>
    </w:p>
  </w:footnote>
  <w:footnote w:id="106">
    <w:p w:rsidR="00D71DCD" w:rsidRPr="00E55DB1" w:rsidRDefault="00D71DCD"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 xml:space="preserve">Francesco Capotorti, ancien rapporteur spécial des </w:t>
      </w:r>
      <w:r w:rsidR="002F3A41">
        <w:rPr>
          <w:rFonts w:cs="Arial"/>
          <w:noProof/>
          <w:sz w:val="18"/>
          <w:szCs w:val="18"/>
        </w:rPr>
        <w:t>Nations Unies</w:t>
      </w:r>
      <w:r w:rsidRPr="00E55DB1">
        <w:rPr>
          <w:rFonts w:cs="Arial"/>
          <w:noProof/>
          <w:sz w:val="18"/>
          <w:szCs w:val="18"/>
        </w:rPr>
        <w:t>, 1979, cité par Diter Kugelmann, The Protection of Minorities and Indigenous Peoples Respective Cultural Diversity, A. Von Bogdandy and R. Wolffrum, (éd.), Max Planck Year Book of United Nations Law, vol. 11, 2007, page 237.</w:t>
      </w:r>
    </w:p>
  </w:footnote>
  <w:footnote w:id="107">
    <w:p w:rsidR="00D71DCD" w:rsidRPr="00E55DB1" w:rsidRDefault="00D71DCD"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2.1) de la Déclaration des droits des personnes appartenant à des minorités nationales ou ethniques, religieuses et linguistiques, adoptée par l</w:t>
      </w:r>
      <w:r w:rsidR="002F3A41">
        <w:rPr>
          <w:rFonts w:cs="Arial"/>
          <w:noProof/>
          <w:sz w:val="18"/>
          <w:szCs w:val="18"/>
        </w:rPr>
        <w:t>’</w:t>
      </w:r>
      <w:r w:rsidRPr="00E55DB1">
        <w:rPr>
          <w:rFonts w:cs="Arial"/>
          <w:noProof/>
          <w:sz w:val="18"/>
          <w:szCs w:val="18"/>
        </w:rPr>
        <w:t>Assemblée générale dans sa Résolution 47/135 du 18 décembre 1992.</w:t>
      </w:r>
    </w:p>
  </w:footnote>
  <w:footnote w:id="108">
    <w:p w:rsidR="00D71DCD" w:rsidRPr="00E55DB1" w:rsidRDefault="00D71DCD"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1.1) de la Déclaration des droits des personnes appartenant à des minorités nationales ou ethniques, religieuses et linguistiques, adoptée par l</w:t>
      </w:r>
      <w:r w:rsidR="002F3A41">
        <w:rPr>
          <w:rFonts w:cs="Arial"/>
          <w:noProof/>
          <w:sz w:val="18"/>
          <w:szCs w:val="18"/>
        </w:rPr>
        <w:t>’</w:t>
      </w:r>
      <w:r w:rsidRPr="00E55DB1">
        <w:rPr>
          <w:rFonts w:cs="Arial"/>
          <w:noProof/>
          <w:sz w:val="18"/>
          <w:szCs w:val="18"/>
        </w:rPr>
        <w:t>Assemblée générale dans sa résolution 47/135 du 18 décembre 1992.</w:t>
      </w:r>
    </w:p>
  </w:footnote>
  <w:footnote w:id="109">
    <w:p w:rsidR="00D71DCD" w:rsidRPr="00E55DB1" w:rsidRDefault="00D71DCD"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27 du Pacte international relatif aux droits civils et politiques, adopté et ouvert à la signature, à la ratification et à l</w:t>
      </w:r>
      <w:r w:rsidR="002F3A41">
        <w:rPr>
          <w:rFonts w:cs="Arial"/>
          <w:noProof/>
          <w:sz w:val="18"/>
          <w:szCs w:val="18"/>
        </w:rPr>
        <w:t>’</w:t>
      </w:r>
      <w:r w:rsidRPr="00E55DB1">
        <w:rPr>
          <w:rFonts w:cs="Arial"/>
          <w:noProof/>
          <w:sz w:val="18"/>
          <w:szCs w:val="18"/>
        </w:rPr>
        <w:t>adhésion par l</w:t>
      </w:r>
      <w:r w:rsidR="002F3A41">
        <w:rPr>
          <w:rFonts w:cs="Arial"/>
          <w:noProof/>
          <w:sz w:val="18"/>
          <w:szCs w:val="18"/>
        </w:rPr>
        <w:t>’</w:t>
      </w:r>
      <w:r w:rsidRPr="00E55DB1">
        <w:rPr>
          <w:rFonts w:cs="Arial"/>
          <w:noProof/>
          <w:sz w:val="18"/>
          <w:szCs w:val="18"/>
        </w:rPr>
        <w:t>Assemblée générale dans sa résolution 2200A (XXI) du 16 décembre 1966, entré en vigueur le 23 mars 1976.</w:t>
      </w:r>
    </w:p>
  </w:footnote>
  <w:footnote w:id="110">
    <w:p w:rsidR="00D71DCD" w:rsidRPr="00E55DB1" w:rsidRDefault="00D71DCD"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Daniel Gervais, The TRIPS Agreement.  Drafting and Analysi</w:t>
      </w:r>
      <w:r w:rsidRPr="00E55DB1">
        <w:rPr>
          <w:rFonts w:cs="Arial"/>
          <w:i/>
          <w:iCs/>
          <w:noProof/>
          <w:sz w:val="18"/>
          <w:szCs w:val="18"/>
          <w:lang w:val="en-US"/>
        </w:rPr>
        <w:t>s</w:t>
      </w:r>
      <w:r w:rsidRPr="00E55DB1">
        <w:rPr>
          <w:rFonts w:cs="Arial"/>
          <w:noProof/>
          <w:sz w:val="18"/>
          <w:szCs w:val="18"/>
          <w:lang w:val="en-US"/>
        </w:rPr>
        <w:t>, 3</w:t>
      </w:r>
      <w:r w:rsidRPr="00E55DB1">
        <w:rPr>
          <w:rFonts w:cs="Arial"/>
          <w:noProof/>
          <w:sz w:val="18"/>
          <w:szCs w:val="18"/>
          <w:vertAlign w:val="superscript"/>
          <w:lang w:val="en-US"/>
        </w:rPr>
        <w:t>e</w:t>
      </w:r>
      <w:r w:rsidRPr="00E55DB1">
        <w:rPr>
          <w:rFonts w:cs="Arial"/>
          <w:noProof/>
          <w:sz w:val="18"/>
          <w:szCs w:val="18"/>
          <w:lang w:val="en-US"/>
        </w:rPr>
        <w:t xml:space="preserve"> édition, Sweet &amp; Maxwell, page 161.</w:t>
      </w:r>
    </w:p>
  </w:footnote>
  <w:footnote w:id="111">
    <w:p w:rsidR="00D71DCD" w:rsidRPr="00E55DB1" w:rsidRDefault="00D71DCD"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Dieter Kugelmann, The Protection of Minorities and Indigenous Peoples Respective Cultural Diversity, A. Von Bogdandy et R. Wolffrum, (éd.), Max Planck Year Book of United Nations Law, vol. 11, 2007, page 235.</w:t>
      </w:r>
    </w:p>
  </w:footnote>
  <w:footnote w:id="112">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Glossaire sur le patrimoine culturel immatériel de la Commission des Pays</w:t>
      </w:r>
      <w:r w:rsidR="002F3A41">
        <w:rPr>
          <w:rFonts w:cs="Arial"/>
          <w:noProof/>
          <w:sz w:val="18"/>
          <w:szCs w:val="18"/>
        </w:rPr>
        <w:t>-</w:t>
      </w:r>
      <w:r w:rsidRPr="00E55DB1">
        <w:rPr>
          <w:rFonts w:cs="Arial"/>
          <w:noProof/>
          <w:sz w:val="18"/>
          <w:szCs w:val="18"/>
        </w:rPr>
        <w:t>Bas pour l</w:t>
      </w:r>
      <w:r w:rsidR="002F3A41">
        <w:rPr>
          <w:rFonts w:cs="Arial"/>
          <w:noProof/>
          <w:sz w:val="18"/>
          <w:szCs w:val="18"/>
        </w:rPr>
        <w:t>’</w:t>
      </w:r>
      <w:r w:rsidRPr="00E55DB1">
        <w:rPr>
          <w:rFonts w:cs="Arial"/>
          <w:noProof/>
          <w:sz w:val="18"/>
          <w:szCs w:val="18"/>
        </w:rPr>
        <w:t>UNESCO, 2002</w:t>
      </w:r>
      <w:r w:rsidRPr="00E55DB1">
        <w:rPr>
          <w:rFonts w:cs="Arial"/>
          <w:noProof/>
          <w:sz w:val="18"/>
          <w:szCs w:val="18"/>
        </w:rPr>
        <w:br/>
        <w:t>(“… une nation peut être une communauté culturelle”), cité dans le document WIPO/GRTKF/IC/17/4 intitulé “La protection des expressions culturelles traditionnelles ou expressions du folklore</w:t>
      </w:r>
      <w:r w:rsidR="002F3A41">
        <w:rPr>
          <w:rFonts w:cs="Arial"/>
          <w:noProof/>
          <w:sz w:val="18"/>
          <w:szCs w:val="18"/>
        </w:rPr>
        <w:t> :</w:t>
      </w:r>
      <w:r w:rsidRPr="00E55DB1">
        <w:rPr>
          <w:rFonts w:cs="Arial"/>
          <w:noProof/>
          <w:sz w:val="18"/>
          <w:szCs w:val="18"/>
        </w:rPr>
        <w:t xml:space="preserve"> objectifs et principes révisés”.</w:t>
      </w:r>
    </w:p>
  </w:footnote>
  <w:footnote w:id="113">
    <w:p w:rsidR="00D71DCD" w:rsidRPr="00A60A7C"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A60A7C">
        <w:rPr>
          <w:rFonts w:cs="Arial"/>
          <w:noProof/>
          <w:sz w:val="18"/>
          <w:szCs w:val="18"/>
        </w:rPr>
        <w:t xml:space="preserve"> </w:t>
      </w:r>
      <w:r w:rsidRPr="00A60A7C">
        <w:rPr>
          <w:rFonts w:cs="Arial"/>
          <w:noProof/>
          <w:sz w:val="18"/>
          <w:szCs w:val="18"/>
        </w:rPr>
        <w:tab/>
        <w:t>WIPO Intellectual Property Handbook, Publication OMPI n° 489(E), 2008, page 19.</w:t>
      </w:r>
    </w:p>
  </w:footnote>
  <w:footnote w:id="114">
    <w:p w:rsidR="00D71DCD" w:rsidRPr="00E55DB1" w:rsidRDefault="00D71DCD" w:rsidP="00E8642C">
      <w:pPr>
        <w:pStyle w:val="FootnoteText"/>
        <w:keepLines/>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w:t>
      </w:r>
      <w:r w:rsidR="002F3A41">
        <w:rPr>
          <w:rFonts w:cs="Arial"/>
          <w:sz w:val="18"/>
          <w:szCs w:val="18"/>
        </w:rPr>
        <w:t>’</w:t>
      </w:r>
      <w:r w:rsidRPr="00E55DB1">
        <w:rPr>
          <w:rFonts w:cs="Arial"/>
          <w:sz w:val="18"/>
          <w:szCs w:val="18"/>
        </w:rPr>
        <w:t>article 102 du titre 35 du Code des États</w:t>
      </w:r>
      <w:r w:rsidR="002F3A41">
        <w:rPr>
          <w:rFonts w:cs="Arial"/>
          <w:sz w:val="18"/>
          <w:szCs w:val="18"/>
        </w:rPr>
        <w:t>-</w:t>
      </w:r>
      <w:r w:rsidRPr="00E55DB1">
        <w:rPr>
          <w:rFonts w:cs="Arial"/>
          <w:sz w:val="18"/>
          <w:szCs w:val="18"/>
        </w:rPr>
        <w:t>Unis d</w:t>
      </w:r>
      <w:r w:rsidR="002F3A41">
        <w:rPr>
          <w:rFonts w:cs="Arial"/>
          <w:sz w:val="18"/>
          <w:szCs w:val="18"/>
        </w:rPr>
        <w:t>’</w:t>
      </w:r>
      <w:r w:rsidRPr="00E55DB1">
        <w:rPr>
          <w:rFonts w:cs="Arial"/>
          <w:sz w:val="18"/>
          <w:szCs w:val="18"/>
        </w:rPr>
        <w:t>Amérique, disponible à l</w:t>
      </w:r>
      <w:r w:rsidR="002F3A41">
        <w:rPr>
          <w:rFonts w:cs="Arial"/>
          <w:sz w:val="18"/>
          <w:szCs w:val="18"/>
        </w:rPr>
        <w:t>’</w:t>
      </w:r>
      <w:r w:rsidRPr="00E55DB1">
        <w:rPr>
          <w:rFonts w:cs="Arial"/>
          <w:sz w:val="18"/>
          <w:szCs w:val="18"/>
        </w:rPr>
        <w:t xml:space="preserve">adresse </w:t>
      </w:r>
      <w:hyperlink r:id="rId12" w:history="1">
        <w:r w:rsidRPr="00E55DB1">
          <w:rPr>
            <w:rStyle w:val="Hyperlink"/>
            <w:rFonts w:cs="Arial"/>
            <w:color w:val="auto"/>
            <w:sz w:val="18"/>
            <w:szCs w:val="18"/>
            <w:u w:val="none"/>
          </w:rPr>
          <w:t>https://www.uspto.gov/web/offices/pac/mpep/mpep</w:t>
        </w:r>
        <w:r w:rsidR="002F3A41">
          <w:rPr>
            <w:rStyle w:val="Hyperlink"/>
            <w:rFonts w:cs="Arial"/>
            <w:color w:val="auto"/>
            <w:sz w:val="18"/>
            <w:szCs w:val="18"/>
            <w:u w:val="none"/>
          </w:rPr>
          <w:t>-</w:t>
        </w:r>
        <w:r w:rsidRPr="00E55DB1">
          <w:rPr>
            <w:rStyle w:val="Hyperlink"/>
            <w:rFonts w:cs="Arial"/>
            <w:color w:val="auto"/>
            <w:sz w:val="18"/>
            <w:szCs w:val="18"/>
            <w:u w:val="none"/>
          </w:rPr>
          <w:t>9015</w:t>
        </w:r>
        <w:r w:rsidR="002F3A41">
          <w:rPr>
            <w:rStyle w:val="Hyperlink"/>
            <w:rFonts w:cs="Arial"/>
            <w:color w:val="auto"/>
            <w:sz w:val="18"/>
            <w:szCs w:val="18"/>
            <w:u w:val="none"/>
          </w:rPr>
          <w:t>-</w:t>
        </w:r>
        <w:r w:rsidRPr="00E55DB1">
          <w:rPr>
            <w:rStyle w:val="Hyperlink"/>
            <w:rFonts w:cs="Arial"/>
            <w:color w:val="auto"/>
            <w:sz w:val="18"/>
            <w:szCs w:val="18"/>
            <w:u w:val="none"/>
          </w:rPr>
          <w:t>appx</w:t>
        </w:r>
        <w:r w:rsidR="002F3A41">
          <w:rPr>
            <w:rStyle w:val="Hyperlink"/>
            <w:rFonts w:cs="Arial"/>
            <w:color w:val="auto"/>
            <w:sz w:val="18"/>
            <w:szCs w:val="18"/>
            <w:u w:val="none"/>
          </w:rPr>
          <w:t>-</w:t>
        </w:r>
        <w:r w:rsidRPr="00E55DB1">
          <w:rPr>
            <w:rStyle w:val="Hyperlink"/>
            <w:rFonts w:cs="Arial"/>
            <w:color w:val="auto"/>
            <w:sz w:val="18"/>
            <w:szCs w:val="18"/>
            <w:u w:val="none"/>
          </w:rPr>
          <w:t>l.html#al_d1fbe1_19797_b0</w:t>
        </w:r>
      </w:hyperlink>
      <w:r w:rsidRPr="00E55DB1">
        <w:rPr>
          <w:rFonts w:cs="Arial"/>
          <w:sz w:val="18"/>
          <w:szCs w:val="18"/>
        </w:rPr>
        <w:t>.  Il est également fait référence à l</w:t>
      </w:r>
      <w:r w:rsidR="002F3A41">
        <w:rPr>
          <w:rFonts w:cs="Arial"/>
          <w:sz w:val="18"/>
          <w:szCs w:val="18"/>
        </w:rPr>
        <w:t>’</w:t>
      </w:r>
      <w:r w:rsidRPr="00E55DB1">
        <w:rPr>
          <w:rFonts w:cs="Arial"/>
          <w:sz w:val="18"/>
          <w:szCs w:val="18"/>
        </w:rPr>
        <w:t>article 151 du titre 35 du Code des États</w:t>
      </w:r>
      <w:r w:rsidR="002F3A41">
        <w:rPr>
          <w:rFonts w:cs="Arial"/>
          <w:sz w:val="18"/>
          <w:szCs w:val="18"/>
        </w:rPr>
        <w:t>-</w:t>
      </w:r>
      <w:r w:rsidRPr="00E55DB1">
        <w:rPr>
          <w:rFonts w:cs="Arial"/>
          <w:sz w:val="18"/>
          <w:szCs w:val="18"/>
        </w:rPr>
        <w:t>Unis d</w:t>
      </w:r>
      <w:r w:rsidR="002F3A41">
        <w:rPr>
          <w:rFonts w:cs="Arial"/>
          <w:sz w:val="18"/>
          <w:szCs w:val="18"/>
        </w:rPr>
        <w:t>’</w:t>
      </w:r>
      <w:r w:rsidRPr="00E55DB1">
        <w:rPr>
          <w:rFonts w:cs="Arial"/>
          <w:sz w:val="18"/>
          <w:szCs w:val="18"/>
        </w:rPr>
        <w:t>Amérique – Délivrance du brevet, disponible à l</w:t>
      </w:r>
      <w:r w:rsidR="002F3A41">
        <w:rPr>
          <w:rFonts w:cs="Arial"/>
          <w:sz w:val="18"/>
          <w:szCs w:val="18"/>
        </w:rPr>
        <w:t>’</w:t>
      </w:r>
      <w:r w:rsidRPr="00E55DB1">
        <w:rPr>
          <w:rFonts w:cs="Arial"/>
          <w:sz w:val="18"/>
          <w:szCs w:val="18"/>
        </w:rPr>
        <w:t xml:space="preserve">adresse </w:t>
      </w:r>
      <w:hyperlink r:id="rId13" w:history="1">
        <w:r w:rsidRPr="00E55DB1">
          <w:rPr>
            <w:rStyle w:val="Hyperlink"/>
            <w:rFonts w:cs="Arial"/>
            <w:color w:val="auto"/>
            <w:sz w:val="18"/>
            <w:szCs w:val="18"/>
            <w:u w:val="none"/>
          </w:rPr>
          <w:t>https://www.gpo.gov/fdsys/pkg/USCODE</w:t>
        </w:r>
        <w:r w:rsidR="002F3A41">
          <w:rPr>
            <w:rStyle w:val="Hyperlink"/>
            <w:rFonts w:cs="Arial"/>
            <w:color w:val="auto"/>
            <w:sz w:val="18"/>
            <w:szCs w:val="18"/>
            <w:u w:val="none"/>
          </w:rPr>
          <w:t>-</w:t>
        </w:r>
        <w:r w:rsidRPr="00E55DB1">
          <w:rPr>
            <w:rStyle w:val="Hyperlink"/>
            <w:rFonts w:cs="Arial"/>
            <w:color w:val="auto"/>
            <w:sz w:val="18"/>
            <w:szCs w:val="18"/>
            <w:u w:val="none"/>
          </w:rPr>
          <w:t>2011</w:t>
        </w:r>
        <w:r w:rsidR="002F3A41">
          <w:rPr>
            <w:rStyle w:val="Hyperlink"/>
            <w:rFonts w:cs="Arial"/>
            <w:color w:val="auto"/>
            <w:sz w:val="18"/>
            <w:szCs w:val="18"/>
            <w:u w:val="none"/>
          </w:rPr>
          <w:t>-</w:t>
        </w:r>
        <w:r w:rsidRPr="00E55DB1">
          <w:rPr>
            <w:rStyle w:val="Hyperlink"/>
            <w:rFonts w:cs="Arial"/>
            <w:color w:val="auto"/>
            <w:sz w:val="18"/>
            <w:szCs w:val="18"/>
            <w:u w:val="none"/>
          </w:rPr>
          <w:t>title35/pdf/USCODE</w:t>
        </w:r>
        <w:r w:rsidR="002F3A41">
          <w:rPr>
            <w:rStyle w:val="Hyperlink"/>
            <w:rFonts w:cs="Arial"/>
            <w:color w:val="auto"/>
            <w:sz w:val="18"/>
            <w:szCs w:val="18"/>
            <w:u w:val="none"/>
          </w:rPr>
          <w:t>-</w:t>
        </w:r>
        <w:r w:rsidRPr="00E55DB1">
          <w:rPr>
            <w:rStyle w:val="Hyperlink"/>
            <w:rFonts w:cs="Arial"/>
            <w:color w:val="auto"/>
            <w:sz w:val="18"/>
            <w:szCs w:val="18"/>
            <w:u w:val="none"/>
          </w:rPr>
          <w:t>2011</w:t>
        </w:r>
        <w:r w:rsidR="002F3A41">
          <w:rPr>
            <w:rStyle w:val="Hyperlink"/>
            <w:rFonts w:cs="Arial"/>
            <w:color w:val="auto"/>
            <w:sz w:val="18"/>
            <w:szCs w:val="18"/>
            <w:u w:val="none"/>
          </w:rPr>
          <w:t>-</w:t>
        </w:r>
        <w:r w:rsidRPr="00E55DB1">
          <w:rPr>
            <w:rStyle w:val="Hyperlink"/>
            <w:rFonts w:cs="Arial"/>
            <w:color w:val="auto"/>
            <w:sz w:val="18"/>
            <w:szCs w:val="18"/>
            <w:u w:val="none"/>
          </w:rPr>
          <w:t>title35</w:t>
        </w:r>
        <w:r w:rsidR="002F3A41">
          <w:rPr>
            <w:rStyle w:val="Hyperlink"/>
            <w:rFonts w:cs="Arial"/>
            <w:color w:val="auto"/>
            <w:sz w:val="18"/>
            <w:szCs w:val="18"/>
            <w:u w:val="none"/>
          </w:rPr>
          <w:t>-</w:t>
        </w:r>
        <w:r w:rsidRPr="00E55DB1">
          <w:rPr>
            <w:rStyle w:val="Hyperlink"/>
            <w:rFonts w:cs="Arial"/>
            <w:color w:val="auto"/>
            <w:sz w:val="18"/>
            <w:szCs w:val="18"/>
            <w:u w:val="none"/>
          </w:rPr>
          <w:t>partII</w:t>
        </w:r>
        <w:r w:rsidR="002F3A41">
          <w:rPr>
            <w:rStyle w:val="Hyperlink"/>
            <w:rFonts w:cs="Arial"/>
            <w:color w:val="auto"/>
            <w:sz w:val="18"/>
            <w:szCs w:val="18"/>
            <w:u w:val="none"/>
          </w:rPr>
          <w:t>-</w:t>
        </w:r>
        <w:r w:rsidRPr="00E55DB1">
          <w:rPr>
            <w:rStyle w:val="Hyperlink"/>
            <w:rFonts w:cs="Arial"/>
            <w:color w:val="auto"/>
            <w:sz w:val="18"/>
            <w:szCs w:val="18"/>
            <w:u w:val="none"/>
          </w:rPr>
          <w:t>chap14</w:t>
        </w:r>
        <w:r w:rsidR="002F3A41">
          <w:rPr>
            <w:rStyle w:val="Hyperlink"/>
            <w:rFonts w:cs="Arial"/>
            <w:color w:val="auto"/>
            <w:sz w:val="18"/>
            <w:szCs w:val="18"/>
            <w:u w:val="none"/>
          </w:rPr>
          <w:t>-</w:t>
        </w:r>
        <w:r w:rsidRPr="00E55DB1">
          <w:rPr>
            <w:rStyle w:val="Hyperlink"/>
            <w:rFonts w:cs="Arial"/>
            <w:color w:val="auto"/>
            <w:sz w:val="18"/>
            <w:szCs w:val="18"/>
            <w:u w:val="none"/>
          </w:rPr>
          <w:t>sec151.pdf</w:t>
        </w:r>
      </w:hyperlink>
      <w:r w:rsidRPr="00E55DB1">
        <w:rPr>
          <w:rFonts w:cs="Arial"/>
          <w:sz w:val="18"/>
          <w:szCs w:val="18"/>
        </w:rPr>
        <w:t xml:space="preserve"> et à l</w:t>
      </w:r>
      <w:r w:rsidR="002F3A41">
        <w:rPr>
          <w:rFonts w:cs="Arial"/>
          <w:sz w:val="18"/>
          <w:szCs w:val="18"/>
        </w:rPr>
        <w:t>’</w:t>
      </w:r>
      <w:r w:rsidRPr="00E55DB1">
        <w:rPr>
          <w:rFonts w:cs="Arial"/>
          <w:sz w:val="18"/>
          <w:szCs w:val="18"/>
        </w:rPr>
        <w:t>article 122.b) du titre 35 du Code des États</w:t>
      </w:r>
      <w:r w:rsidR="002F3A41">
        <w:rPr>
          <w:rFonts w:cs="Arial"/>
          <w:sz w:val="18"/>
          <w:szCs w:val="18"/>
        </w:rPr>
        <w:t>-</w:t>
      </w:r>
      <w:r w:rsidRPr="00E55DB1">
        <w:rPr>
          <w:rFonts w:cs="Arial"/>
          <w:sz w:val="18"/>
          <w:szCs w:val="18"/>
        </w:rPr>
        <w:t>Unis d</w:t>
      </w:r>
      <w:r w:rsidR="002F3A41">
        <w:rPr>
          <w:rFonts w:cs="Arial"/>
          <w:sz w:val="18"/>
          <w:szCs w:val="18"/>
        </w:rPr>
        <w:t>’</w:t>
      </w:r>
      <w:r w:rsidRPr="00E55DB1">
        <w:rPr>
          <w:rFonts w:cs="Arial"/>
          <w:sz w:val="18"/>
          <w:szCs w:val="18"/>
        </w:rPr>
        <w:t>Amérique</w:t>
      </w:r>
      <w:r w:rsidRPr="00E55DB1">
        <w:rPr>
          <w:rFonts w:cs="Arial"/>
          <w:sz w:val="18"/>
          <w:szCs w:val="18"/>
          <w:lang w:eastAsia="en-US"/>
        </w:rPr>
        <w:t xml:space="preserve"> – Caractère confidentiel des demandes;  publication des demandes de brevet, disponible à l</w:t>
      </w:r>
      <w:r w:rsidR="002F3A41">
        <w:rPr>
          <w:rFonts w:cs="Arial"/>
          <w:sz w:val="18"/>
          <w:szCs w:val="18"/>
          <w:lang w:eastAsia="en-US"/>
        </w:rPr>
        <w:t>’</w:t>
      </w:r>
      <w:r w:rsidRPr="00E55DB1">
        <w:rPr>
          <w:rFonts w:cs="Arial"/>
          <w:sz w:val="18"/>
          <w:szCs w:val="18"/>
          <w:lang w:eastAsia="en-US"/>
        </w:rPr>
        <w:t xml:space="preserve">adresse </w:t>
      </w:r>
      <w:hyperlink r:id="rId14" w:history="1">
        <w:r w:rsidRPr="00E55DB1">
          <w:rPr>
            <w:rStyle w:val="Hyperlink"/>
            <w:rFonts w:cs="Arial"/>
            <w:color w:val="auto"/>
            <w:sz w:val="18"/>
            <w:szCs w:val="18"/>
            <w:u w:val="none"/>
            <w:lang w:eastAsia="en-US"/>
          </w:rPr>
          <w:t>https://www.gpo.gov/fdsys/pkg/USCODE</w:t>
        </w:r>
        <w:r w:rsidR="002F3A41">
          <w:rPr>
            <w:rStyle w:val="Hyperlink"/>
            <w:rFonts w:cs="Arial"/>
            <w:color w:val="auto"/>
            <w:sz w:val="18"/>
            <w:szCs w:val="18"/>
            <w:u w:val="none"/>
            <w:lang w:eastAsia="en-US"/>
          </w:rPr>
          <w:t>-</w:t>
        </w:r>
        <w:r w:rsidRPr="00E55DB1">
          <w:rPr>
            <w:rStyle w:val="Hyperlink"/>
            <w:rFonts w:cs="Arial"/>
            <w:color w:val="auto"/>
            <w:sz w:val="18"/>
            <w:szCs w:val="18"/>
            <w:u w:val="none"/>
            <w:lang w:eastAsia="en-US"/>
          </w:rPr>
          <w:t>2011</w:t>
        </w:r>
        <w:r w:rsidR="002F3A41">
          <w:rPr>
            <w:rStyle w:val="Hyperlink"/>
            <w:rFonts w:cs="Arial"/>
            <w:color w:val="auto"/>
            <w:sz w:val="18"/>
            <w:szCs w:val="18"/>
            <w:u w:val="none"/>
            <w:lang w:eastAsia="en-US"/>
          </w:rPr>
          <w:t>-</w:t>
        </w:r>
        <w:r w:rsidRPr="00E55DB1">
          <w:rPr>
            <w:rStyle w:val="Hyperlink"/>
            <w:rFonts w:cs="Arial"/>
            <w:color w:val="auto"/>
            <w:sz w:val="18"/>
            <w:szCs w:val="18"/>
            <w:u w:val="none"/>
            <w:lang w:eastAsia="en-US"/>
          </w:rPr>
          <w:t>title35/pdf/USCODE</w:t>
        </w:r>
        <w:r w:rsidR="002F3A41">
          <w:rPr>
            <w:rStyle w:val="Hyperlink"/>
            <w:rFonts w:cs="Arial"/>
            <w:color w:val="auto"/>
            <w:sz w:val="18"/>
            <w:szCs w:val="18"/>
            <w:u w:val="none"/>
            <w:lang w:eastAsia="en-US"/>
          </w:rPr>
          <w:t>-</w:t>
        </w:r>
        <w:r w:rsidRPr="00E55DB1">
          <w:rPr>
            <w:rStyle w:val="Hyperlink"/>
            <w:rFonts w:cs="Arial"/>
            <w:color w:val="auto"/>
            <w:sz w:val="18"/>
            <w:szCs w:val="18"/>
            <w:u w:val="none"/>
            <w:lang w:eastAsia="en-US"/>
          </w:rPr>
          <w:t>2011</w:t>
        </w:r>
        <w:r w:rsidR="002F3A41">
          <w:rPr>
            <w:rStyle w:val="Hyperlink"/>
            <w:rFonts w:cs="Arial"/>
            <w:color w:val="auto"/>
            <w:sz w:val="18"/>
            <w:szCs w:val="18"/>
            <w:u w:val="none"/>
            <w:lang w:eastAsia="en-US"/>
          </w:rPr>
          <w:t>-</w:t>
        </w:r>
        <w:r w:rsidRPr="00E55DB1">
          <w:rPr>
            <w:rStyle w:val="Hyperlink"/>
            <w:rFonts w:cs="Arial"/>
            <w:color w:val="auto"/>
            <w:sz w:val="18"/>
            <w:szCs w:val="18"/>
            <w:u w:val="none"/>
            <w:lang w:eastAsia="en-US"/>
          </w:rPr>
          <w:t>title35</w:t>
        </w:r>
        <w:r w:rsidR="002F3A41">
          <w:rPr>
            <w:rStyle w:val="Hyperlink"/>
            <w:rFonts w:cs="Arial"/>
            <w:color w:val="auto"/>
            <w:sz w:val="18"/>
            <w:szCs w:val="18"/>
            <w:u w:val="none"/>
            <w:lang w:eastAsia="en-US"/>
          </w:rPr>
          <w:t>-</w:t>
        </w:r>
        <w:r w:rsidRPr="00E55DB1">
          <w:rPr>
            <w:rStyle w:val="Hyperlink"/>
            <w:rFonts w:cs="Arial"/>
            <w:color w:val="auto"/>
            <w:sz w:val="18"/>
            <w:szCs w:val="18"/>
            <w:u w:val="none"/>
            <w:lang w:eastAsia="en-US"/>
          </w:rPr>
          <w:t>partII</w:t>
        </w:r>
        <w:r w:rsidR="002F3A41">
          <w:rPr>
            <w:rStyle w:val="Hyperlink"/>
            <w:rFonts w:cs="Arial"/>
            <w:color w:val="auto"/>
            <w:sz w:val="18"/>
            <w:szCs w:val="18"/>
            <w:u w:val="none"/>
            <w:lang w:eastAsia="en-US"/>
          </w:rPr>
          <w:t>-</w:t>
        </w:r>
        <w:r w:rsidRPr="00E55DB1">
          <w:rPr>
            <w:rStyle w:val="Hyperlink"/>
            <w:rFonts w:cs="Arial"/>
            <w:color w:val="auto"/>
            <w:sz w:val="18"/>
            <w:szCs w:val="18"/>
            <w:u w:val="none"/>
            <w:lang w:eastAsia="en-US"/>
          </w:rPr>
          <w:t>chap11</w:t>
        </w:r>
        <w:r w:rsidR="002F3A41">
          <w:rPr>
            <w:rStyle w:val="Hyperlink"/>
            <w:rFonts w:cs="Arial"/>
            <w:color w:val="auto"/>
            <w:sz w:val="18"/>
            <w:szCs w:val="18"/>
            <w:u w:val="none"/>
            <w:lang w:eastAsia="en-US"/>
          </w:rPr>
          <w:t>-</w:t>
        </w:r>
        <w:r w:rsidRPr="00E55DB1">
          <w:rPr>
            <w:rStyle w:val="Hyperlink"/>
            <w:rFonts w:cs="Arial"/>
            <w:color w:val="auto"/>
            <w:sz w:val="18"/>
            <w:szCs w:val="18"/>
            <w:u w:val="none"/>
            <w:lang w:eastAsia="en-US"/>
          </w:rPr>
          <w:t>sec122.pdf</w:t>
        </w:r>
      </w:hyperlink>
      <w:r w:rsidRPr="00E55DB1">
        <w:rPr>
          <w:rFonts w:cs="Arial"/>
          <w:sz w:val="18"/>
          <w:szCs w:val="18"/>
          <w:lang w:eastAsia="en-US"/>
        </w:rPr>
        <w:t xml:space="preserve">.  </w:t>
      </w:r>
    </w:p>
  </w:footnote>
  <w:footnote w:id="115">
    <w:p w:rsidR="00D71DCD" w:rsidRPr="00E55DB1" w:rsidRDefault="00D71DCD"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2.3) de la Convention de Berne</w:t>
      </w:r>
      <w:r w:rsidR="002F3A41">
        <w:rPr>
          <w:rFonts w:cs="Arial"/>
          <w:noProof/>
          <w:sz w:val="18"/>
          <w:szCs w:val="18"/>
        </w:rPr>
        <w:t> :</w:t>
      </w:r>
      <w:r w:rsidRPr="00E55DB1">
        <w:rPr>
          <w:rFonts w:cs="Arial"/>
          <w:noProof/>
          <w:sz w:val="18"/>
          <w:szCs w:val="18"/>
        </w:rPr>
        <w:t xml:space="preserve"> “Sont protégés comme des œuvres originales, sans préjudice des droits de l</w:t>
      </w:r>
      <w:r w:rsidR="002F3A41">
        <w:rPr>
          <w:rFonts w:cs="Arial"/>
          <w:noProof/>
          <w:sz w:val="18"/>
          <w:szCs w:val="18"/>
        </w:rPr>
        <w:t>’</w:t>
      </w:r>
      <w:r w:rsidRPr="00E55DB1">
        <w:rPr>
          <w:rFonts w:cs="Arial"/>
          <w:noProof/>
          <w:sz w:val="18"/>
          <w:szCs w:val="18"/>
        </w:rPr>
        <w:t>auteur de l</w:t>
      </w:r>
      <w:r w:rsidR="002F3A41">
        <w:rPr>
          <w:rFonts w:cs="Arial"/>
          <w:noProof/>
          <w:sz w:val="18"/>
          <w:szCs w:val="18"/>
        </w:rPr>
        <w:t>’</w:t>
      </w:r>
      <w:r w:rsidRPr="00E55DB1">
        <w:rPr>
          <w:rFonts w:cs="Arial"/>
          <w:noProof/>
          <w:sz w:val="18"/>
          <w:szCs w:val="18"/>
        </w:rPr>
        <w:t>œuvre originale, les traductions, adaptations, arrangements de musique et autres transformations d</w:t>
      </w:r>
      <w:r w:rsidR="002F3A41">
        <w:rPr>
          <w:rFonts w:cs="Arial"/>
          <w:noProof/>
          <w:sz w:val="18"/>
          <w:szCs w:val="18"/>
        </w:rPr>
        <w:t>’</w:t>
      </w:r>
      <w:r w:rsidRPr="00E55DB1">
        <w:rPr>
          <w:rFonts w:cs="Arial"/>
          <w:noProof/>
          <w:sz w:val="18"/>
          <w:szCs w:val="18"/>
        </w:rPr>
        <w:t>une œuvre littéraire ou artistique”.</w:t>
      </w:r>
    </w:p>
  </w:footnote>
  <w:footnote w:id="116">
    <w:p w:rsidR="00D71DCD" w:rsidRPr="00E55DB1" w:rsidRDefault="00D71DCD"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r>
      <w:r w:rsidRPr="00E55DB1">
        <w:rPr>
          <w:rFonts w:cs="Arial"/>
          <w:noProof/>
          <w:sz w:val="18"/>
          <w:szCs w:val="18"/>
          <w:lang w:eastAsia="en-US"/>
        </w:rPr>
        <w:t>Guide des traités sur le droit d</w:t>
      </w:r>
      <w:r w:rsidR="002F3A41">
        <w:rPr>
          <w:rFonts w:cs="Arial"/>
          <w:noProof/>
          <w:sz w:val="18"/>
          <w:szCs w:val="18"/>
          <w:lang w:eastAsia="en-US"/>
        </w:rPr>
        <w:t>’</w:t>
      </w:r>
      <w:r w:rsidRPr="00E55DB1">
        <w:rPr>
          <w:rFonts w:cs="Arial"/>
          <w:noProof/>
          <w:sz w:val="18"/>
          <w:szCs w:val="18"/>
          <w:lang w:eastAsia="en-US"/>
        </w:rPr>
        <w:t>auteur et les droits connexes administrés par l</w:t>
      </w:r>
      <w:r w:rsidR="002F3A41">
        <w:rPr>
          <w:rFonts w:cs="Arial"/>
          <w:noProof/>
          <w:sz w:val="18"/>
          <w:szCs w:val="18"/>
          <w:lang w:eastAsia="en-US"/>
        </w:rPr>
        <w:t>’</w:t>
      </w:r>
      <w:r w:rsidRPr="00E55DB1">
        <w:rPr>
          <w:rFonts w:cs="Arial"/>
          <w:noProof/>
          <w:sz w:val="18"/>
          <w:szCs w:val="18"/>
          <w:lang w:eastAsia="en-US"/>
        </w:rPr>
        <w:t>OMPI et Glossaire du droit d</w:t>
      </w:r>
      <w:r w:rsidR="002F3A41">
        <w:rPr>
          <w:rFonts w:cs="Arial"/>
          <w:noProof/>
          <w:sz w:val="18"/>
          <w:szCs w:val="18"/>
          <w:lang w:eastAsia="en-US"/>
        </w:rPr>
        <w:t>’</w:t>
      </w:r>
      <w:r w:rsidRPr="00E55DB1">
        <w:rPr>
          <w:rFonts w:cs="Arial"/>
          <w:noProof/>
          <w:sz w:val="18"/>
          <w:szCs w:val="18"/>
          <w:lang w:eastAsia="en-US"/>
        </w:rPr>
        <w:t>auteur et des droits connexes, OMPI</w:t>
      </w:r>
      <w:r w:rsidRPr="00E55DB1">
        <w:rPr>
          <w:rFonts w:cs="Arial"/>
          <w:noProof/>
          <w:sz w:val="18"/>
          <w:szCs w:val="18"/>
        </w:rPr>
        <w:t>.</w:t>
      </w:r>
    </w:p>
  </w:footnote>
  <w:footnote w:id="117">
    <w:p w:rsidR="00D71DCD" w:rsidRPr="00E55DB1" w:rsidRDefault="00D71DCD"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2.5) de la Convention de Berne, article 10.2) de l</w:t>
      </w:r>
      <w:r w:rsidR="002F3A41">
        <w:rPr>
          <w:rFonts w:cs="Arial"/>
          <w:noProof/>
          <w:sz w:val="18"/>
          <w:szCs w:val="18"/>
        </w:rPr>
        <w:t>’</w:t>
      </w:r>
      <w:r w:rsidRPr="00E55DB1">
        <w:rPr>
          <w:rFonts w:cs="Arial"/>
          <w:noProof/>
          <w:sz w:val="18"/>
          <w:szCs w:val="18"/>
        </w:rPr>
        <w:t>Accord sur les ADPIC et article 6 du Traité sur le droit d</w:t>
      </w:r>
      <w:r w:rsidR="002F3A41">
        <w:rPr>
          <w:rFonts w:cs="Arial"/>
          <w:noProof/>
          <w:sz w:val="18"/>
          <w:szCs w:val="18"/>
        </w:rPr>
        <w:t>’</w:t>
      </w:r>
      <w:r w:rsidRPr="00E55DB1">
        <w:rPr>
          <w:rFonts w:cs="Arial"/>
          <w:noProof/>
          <w:sz w:val="18"/>
          <w:szCs w:val="18"/>
        </w:rPr>
        <w:t>auteur.</w:t>
      </w:r>
    </w:p>
  </w:footnote>
  <w:footnote w:id="118">
    <w:p w:rsidR="00D71DCD" w:rsidRPr="00E55DB1" w:rsidRDefault="00D71DCD"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Sam Ricketson et Jane C. Ginsburg,</w:t>
      </w:r>
      <w:r w:rsidRPr="00E55DB1">
        <w:rPr>
          <w:rFonts w:cs="Arial"/>
          <w:i/>
          <w:iCs/>
          <w:noProof/>
          <w:sz w:val="18"/>
          <w:szCs w:val="18"/>
          <w:lang w:val="en-US"/>
        </w:rPr>
        <w:t xml:space="preserve"> </w:t>
      </w:r>
      <w:r w:rsidRPr="00E55DB1">
        <w:rPr>
          <w:rFonts w:cs="Arial"/>
          <w:noProof/>
          <w:sz w:val="18"/>
          <w:szCs w:val="18"/>
          <w:lang w:val="en-US"/>
        </w:rPr>
        <w:t>International Copyright and Neighboring Rights—The Berne Convention and Beyond</w:t>
      </w:r>
      <w:r w:rsidRPr="00E55DB1">
        <w:rPr>
          <w:rFonts w:cs="Arial"/>
          <w:iCs/>
          <w:noProof/>
          <w:sz w:val="18"/>
          <w:szCs w:val="18"/>
          <w:lang w:val="en-US"/>
        </w:rPr>
        <w:t>, Oxford, vol. </w:t>
      </w:r>
      <w:r w:rsidRPr="00E55DB1">
        <w:rPr>
          <w:rFonts w:cs="Arial"/>
          <w:iCs/>
          <w:noProof/>
          <w:sz w:val="18"/>
          <w:szCs w:val="18"/>
        </w:rPr>
        <w:t>I, page 485.</w:t>
      </w:r>
    </w:p>
  </w:footnote>
  <w:footnote w:id="119">
    <w:p w:rsidR="00D71DCD" w:rsidRPr="00E55DB1" w:rsidRDefault="00D71DCD"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Partie I.4 du Cadre juridique régional du Pacifique pour la protection des savoirs traditionnels et des expressions de la culture (2002).</w:t>
      </w:r>
    </w:p>
  </w:footnote>
  <w:footnote w:id="120">
    <w:p w:rsidR="00D71DCD" w:rsidRPr="00E55DB1" w:rsidRDefault="00D71DCD"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Activités normatives</w:t>
      </w:r>
      <w:r w:rsidR="002F3A41">
        <w:rPr>
          <w:rFonts w:cs="Arial"/>
          <w:noProof/>
          <w:sz w:val="18"/>
          <w:szCs w:val="18"/>
        </w:rPr>
        <w:t> :</w:t>
      </w:r>
      <w:r w:rsidRPr="00E55DB1">
        <w:rPr>
          <w:rFonts w:cs="Arial"/>
          <w:noProof/>
          <w:sz w:val="18"/>
          <w:szCs w:val="18"/>
        </w:rPr>
        <w:t xml:space="preserve"> priorités futures pour les activités normatives – examen du projet de principes et lignes directrices pour la protection du patrimoine des peuples autochtones – document de travail présenté par M. Yozo Yokota et le Conseil saami (document E/CN.4/Sub.2/AC.4/2006/5) (16 juin 2006).</w:t>
      </w:r>
    </w:p>
  </w:footnote>
  <w:footnote w:id="121">
    <w:p w:rsidR="00D71DCD" w:rsidRPr="00E55DB1" w:rsidRDefault="00D71DCD"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sz w:val="18"/>
          <w:szCs w:val="18"/>
          <w:vertAlign w:val="baseline"/>
        </w:rPr>
        <w:t xml:space="preserve"> </w:t>
      </w:r>
      <w:r w:rsidRPr="00E55DB1">
        <w:rPr>
          <w:rFonts w:cs="Arial"/>
          <w:noProof/>
          <w:sz w:val="18"/>
          <w:szCs w:val="18"/>
        </w:rPr>
        <w:tab/>
        <w:t xml:space="preserve">Article premier de la Convention n° 169 concernant les peuples indigènes et tribaux dans les pays indépendants.  </w:t>
      </w:r>
    </w:p>
  </w:footnote>
  <w:footnote w:id="122">
    <w:p w:rsidR="00D71DCD" w:rsidRPr="00E55DB1" w:rsidRDefault="00D71DCD" w:rsidP="0040085A">
      <w:pPr>
        <w:pStyle w:val="FootnoteText"/>
        <w:ind w:left="0" w:firstLine="0"/>
        <w:rPr>
          <w:rFonts w:cs="Arial"/>
          <w:i/>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Glossaire du PNUE (Glossary of Terms for Negotiators of Multilateral Environmental Agreements), page 49, disponible à l</w:t>
      </w:r>
      <w:r w:rsidR="002F3A41">
        <w:rPr>
          <w:rFonts w:cs="Arial"/>
          <w:noProof/>
          <w:sz w:val="18"/>
          <w:szCs w:val="18"/>
          <w:lang w:val="en-US"/>
        </w:rPr>
        <w:t>’</w:t>
      </w:r>
      <w:r w:rsidRPr="00E55DB1">
        <w:rPr>
          <w:rFonts w:cs="Arial"/>
          <w:noProof/>
          <w:sz w:val="18"/>
          <w:szCs w:val="18"/>
          <w:lang w:val="en-US"/>
        </w:rPr>
        <w:t xml:space="preserve">adresse </w:t>
      </w:r>
      <w:r w:rsidR="00E56FA4">
        <w:fldChar w:fldCharType="begin"/>
      </w:r>
      <w:r w:rsidR="00E56FA4" w:rsidRPr="00A60A7C">
        <w:rPr>
          <w:lang w:val="en-US"/>
        </w:rPr>
        <w:instrText xml:space="preserve"> HYPERLINK "http://wedocs.unep.org/handle/20.500.11822/7569" </w:instrText>
      </w:r>
      <w:r w:rsidR="00E56FA4">
        <w:fldChar w:fldCharType="separate"/>
      </w:r>
      <w:r w:rsidRPr="00E55DB1">
        <w:rPr>
          <w:rStyle w:val="Hyperlink"/>
          <w:rFonts w:cs="Arial"/>
          <w:noProof/>
          <w:color w:val="auto"/>
          <w:sz w:val="18"/>
          <w:szCs w:val="18"/>
          <w:u w:val="none"/>
          <w:lang w:val="en-US"/>
        </w:rPr>
        <w:t>http://wedocs.unep.org/handle/20.500.11822/7569</w:t>
      </w:r>
      <w:r w:rsidR="00E56FA4">
        <w:rPr>
          <w:rStyle w:val="Hyperlink"/>
          <w:rFonts w:cs="Arial"/>
          <w:noProof/>
          <w:color w:val="auto"/>
          <w:sz w:val="18"/>
          <w:szCs w:val="18"/>
          <w:u w:val="none"/>
          <w:lang w:val="en-US"/>
        </w:rPr>
        <w:fldChar w:fldCharType="end"/>
      </w:r>
      <w:r w:rsidRPr="00E55DB1">
        <w:rPr>
          <w:rFonts w:cs="Arial"/>
          <w:noProof/>
          <w:sz w:val="18"/>
          <w:szCs w:val="18"/>
          <w:lang w:val="en-US"/>
        </w:rPr>
        <w:t>.</w:t>
      </w:r>
    </w:p>
  </w:footnote>
  <w:footnote w:id="123">
    <w:p w:rsidR="00D71DCD" w:rsidRPr="00E55DB1" w:rsidRDefault="00D71DCD" w:rsidP="0040085A">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Voir</w:t>
      </w:r>
      <w:r w:rsidRPr="00E55DB1">
        <w:rPr>
          <w:rFonts w:cs="Arial"/>
          <w:i/>
          <w:noProof/>
          <w:sz w:val="18"/>
          <w:szCs w:val="18"/>
          <w:lang w:val="en-US"/>
        </w:rPr>
        <w:t xml:space="preserve"> </w:t>
      </w:r>
      <w:r w:rsidRPr="00E55DB1">
        <w:rPr>
          <w:rFonts w:cs="Arial"/>
          <w:noProof/>
          <w:sz w:val="18"/>
          <w:szCs w:val="18"/>
          <w:lang w:val="en-US"/>
        </w:rPr>
        <w:t>Operational Policy 4.10 on Indigenous Peoples, Banque mondiale, 2005;  John Henriksen</w:t>
      </w:r>
      <w:r w:rsidR="002F3A41">
        <w:rPr>
          <w:rFonts w:cs="Arial"/>
          <w:noProof/>
          <w:sz w:val="18"/>
          <w:szCs w:val="18"/>
          <w:lang w:val="en-US"/>
        </w:rPr>
        <w:t> :</w:t>
      </w:r>
      <w:r w:rsidRPr="00E55DB1">
        <w:rPr>
          <w:rFonts w:cs="Arial"/>
          <w:noProof/>
          <w:sz w:val="18"/>
          <w:szCs w:val="18"/>
          <w:lang w:val="en-US"/>
        </w:rPr>
        <w:t xml:space="preserve"> Key Principles in Implementing ILO Convention n° 169 (2008).</w:t>
      </w:r>
    </w:p>
  </w:footnote>
  <w:footnote w:id="124">
    <w:p w:rsidR="00D71DCD" w:rsidRPr="00E55DB1" w:rsidRDefault="00D71DCD"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[Cette note fait partie de la définition] La Convention n° 169 de l</w:t>
      </w:r>
      <w:r w:rsidR="002F3A41">
        <w:rPr>
          <w:rFonts w:cs="Arial"/>
          <w:noProof/>
          <w:sz w:val="18"/>
          <w:szCs w:val="18"/>
        </w:rPr>
        <w:t>’</w:t>
      </w:r>
      <w:r w:rsidRPr="00E55DB1">
        <w:rPr>
          <w:rFonts w:cs="Arial"/>
          <w:noProof/>
          <w:sz w:val="18"/>
          <w:szCs w:val="18"/>
        </w:rPr>
        <w:t xml:space="preserve">Organisation internationale du Travail concernant les peuples indigènes et tribaux (1989), la Déclaration des </w:t>
      </w:r>
      <w:r w:rsidR="002F3A41">
        <w:rPr>
          <w:rFonts w:cs="Arial"/>
          <w:noProof/>
          <w:sz w:val="18"/>
          <w:szCs w:val="18"/>
        </w:rPr>
        <w:t>Nations Unies</w:t>
      </w:r>
      <w:r w:rsidRPr="00E55DB1">
        <w:rPr>
          <w:rFonts w:cs="Arial"/>
          <w:noProof/>
          <w:sz w:val="18"/>
          <w:szCs w:val="18"/>
        </w:rPr>
        <w:t xml:space="preserve"> sur les droits des peuples autochtones (2007), les Directives du Groupe des </w:t>
      </w:r>
      <w:r w:rsidR="002F3A41">
        <w:rPr>
          <w:rFonts w:cs="Arial"/>
          <w:noProof/>
          <w:sz w:val="18"/>
          <w:szCs w:val="18"/>
        </w:rPr>
        <w:t>Nations Unies</w:t>
      </w:r>
      <w:r w:rsidRPr="00E55DB1">
        <w:rPr>
          <w:rFonts w:cs="Arial"/>
          <w:noProof/>
          <w:sz w:val="18"/>
          <w:szCs w:val="18"/>
        </w:rPr>
        <w:t xml:space="preserve"> pour le développement sur les questions autochtones (2008), l</w:t>
      </w:r>
      <w:r w:rsidR="002F3A41">
        <w:rPr>
          <w:rFonts w:cs="Arial"/>
          <w:noProof/>
          <w:sz w:val="18"/>
          <w:szCs w:val="18"/>
        </w:rPr>
        <w:t>’</w:t>
      </w:r>
      <w:r w:rsidRPr="00E55DB1">
        <w:rPr>
          <w:rFonts w:cs="Arial"/>
          <w:noProof/>
          <w:sz w:val="18"/>
          <w:szCs w:val="18"/>
        </w:rPr>
        <w:t xml:space="preserve">Instance permanente des </w:t>
      </w:r>
      <w:r w:rsidR="002F3A41">
        <w:rPr>
          <w:rFonts w:cs="Arial"/>
          <w:noProof/>
          <w:sz w:val="18"/>
          <w:szCs w:val="18"/>
        </w:rPr>
        <w:t>Nations Unies</w:t>
      </w:r>
      <w:r w:rsidRPr="00E55DB1">
        <w:rPr>
          <w:rFonts w:cs="Arial"/>
          <w:noProof/>
          <w:sz w:val="18"/>
          <w:szCs w:val="18"/>
        </w:rPr>
        <w:t xml:space="preserve"> sur les questions autochtones (qui relève du Département des affaires économiques et sociales), le Groupe d</w:t>
      </w:r>
      <w:r w:rsidR="002F3A41">
        <w:rPr>
          <w:rFonts w:cs="Arial"/>
          <w:noProof/>
          <w:sz w:val="18"/>
          <w:szCs w:val="18"/>
        </w:rPr>
        <w:t>’</w:t>
      </w:r>
      <w:r w:rsidRPr="00E55DB1">
        <w:rPr>
          <w:rFonts w:cs="Arial"/>
          <w:noProof/>
          <w:sz w:val="18"/>
          <w:szCs w:val="18"/>
        </w:rPr>
        <w:t>appui interorganisations sur les questions autochtones et le Plan d</w:t>
      </w:r>
      <w:r w:rsidR="002F3A41">
        <w:rPr>
          <w:rFonts w:cs="Arial"/>
          <w:noProof/>
          <w:sz w:val="18"/>
          <w:szCs w:val="18"/>
        </w:rPr>
        <w:t>’</w:t>
      </w:r>
      <w:r w:rsidRPr="00E55DB1">
        <w:rPr>
          <w:rFonts w:cs="Arial"/>
          <w:noProof/>
          <w:sz w:val="18"/>
          <w:szCs w:val="18"/>
        </w:rPr>
        <w:t xml:space="preserve">action de la deuxième Décennie internationale des peuples autochtones déclarée par les </w:t>
      </w:r>
      <w:r w:rsidR="002F3A41">
        <w:rPr>
          <w:rFonts w:cs="Arial"/>
          <w:noProof/>
          <w:sz w:val="18"/>
          <w:szCs w:val="18"/>
        </w:rPr>
        <w:t>Nations Unies</w:t>
      </w:r>
      <w:r w:rsidRPr="00E55DB1">
        <w:rPr>
          <w:rFonts w:cs="Arial"/>
          <w:noProof/>
          <w:sz w:val="18"/>
          <w:szCs w:val="18"/>
        </w:rPr>
        <w:t xml:space="preserve"> (voir annexe I).  Les mêmes critères sont utilisés par la FAO dans sa politique concernant les peuples autochtones et tribaux </w:t>
      </w:r>
      <w:r w:rsidRPr="00E55DB1">
        <w:rPr>
          <w:rFonts w:cs="Arial"/>
          <w:iCs/>
          <w:noProof/>
          <w:sz w:val="18"/>
          <w:szCs w:val="18"/>
        </w:rPr>
        <w:t>(disponible à l</w:t>
      </w:r>
      <w:r w:rsidR="002F3A41">
        <w:rPr>
          <w:rFonts w:cs="Arial"/>
          <w:iCs/>
          <w:noProof/>
          <w:sz w:val="18"/>
          <w:szCs w:val="18"/>
        </w:rPr>
        <w:t>’</w:t>
      </w:r>
      <w:r w:rsidRPr="00E55DB1">
        <w:rPr>
          <w:rFonts w:cs="Arial"/>
          <w:iCs/>
          <w:noProof/>
          <w:sz w:val="18"/>
          <w:szCs w:val="18"/>
        </w:rPr>
        <w:t>adresse</w:t>
      </w:r>
      <w:r w:rsidR="00185850">
        <w:rPr>
          <w:rFonts w:cs="Arial"/>
          <w:iCs/>
          <w:noProof/>
          <w:sz w:val="18"/>
          <w:szCs w:val="18"/>
        </w:rPr>
        <w:t> </w:t>
      </w:r>
      <w:hyperlink r:id="rId15" w:history="1">
        <w:r w:rsidRPr="00E55DB1">
          <w:rPr>
            <w:rStyle w:val="Hyperlink"/>
            <w:rFonts w:cs="Arial"/>
            <w:iCs/>
            <w:noProof/>
            <w:color w:val="auto"/>
            <w:sz w:val="18"/>
            <w:szCs w:val="18"/>
            <w:u w:val="none"/>
          </w:rPr>
          <w:t>http://www.fao.org/docrep/013/i1857f/i1857f00.pdf</w:t>
        </w:r>
      </w:hyperlink>
      <w:r w:rsidRPr="00E55DB1">
        <w:rPr>
          <w:rFonts w:cs="Arial"/>
          <w:iCs/>
          <w:noProof/>
          <w:sz w:val="18"/>
          <w:szCs w:val="18"/>
        </w:rPr>
        <w:t>).</w:t>
      </w:r>
    </w:p>
  </w:footnote>
  <w:footnote w:id="125">
    <w:p w:rsidR="00D71DCD" w:rsidRPr="00E55DB1" w:rsidRDefault="00D71DCD"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Disponible à l</w:t>
      </w:r>
      <w:r w:rsidR="002F3A41">
        <w:rPr>
          <w:rFonts w:cs="Arial"/>
          <w:noProof/>
          <w:sz w:val="18"/>
          <w:szCs w:val="18"/>
        </w:rPr>
        <w:t>’</w:t>
      </w:r>
      <w:r w:rsidRPr="00E55DB1">
        <w:rPr>
          <w:rFonts w:cs="Arial"/>
          <w:noProof/>
          <w:sz w:val="18"/>
          <w:szCs w:val="18"/>
        </w:rPr>
        <w:t>adresse</w:t>
      </w:r>
      <w:r w:rsidR="00185850">
        <w:rPr>
          <w:rFonts w:cs="Arial"/>
          <w:noProof/>
          <w:sz w:val="18"/>
          <w:szCs w:val="18"/>
        </w:rPr>
        <w:t> </w:t>
      </w:r>
      <w:hyperlink r:id="rId16" w:history="1">
        <w:r w:rsidRPr="00E55DB1">
          <w:rPr>
            <w:rStyle w:val="Hyperlink"/>
            <w:rFonts w:cs="Arial"/>
            <w:noProof/>
            <w:color w:val="auto"/>
            <w:sz w:val="18"/>
            <w:szCs w:val="18"/>
            <w:u w:val="none"/>
          </w:rPr>
          <w:t>http://www.ifad.org/english/indigenous/documents/ip_policy_f.pdf</w:t>
        </w:r>
      </w:hyperlink>
      <w:r w:rsidRPr="00E55DB1">
        <w:rPr>
          <w:rFonts w:cs="Arial"/>
          <w:noProof/>
          <w:sz w:val="18"/>
          <w:szCs w:val="18"/>
        </w:rPr>
        <w:t>.</w:t>
      </w:r>
    </w:p>
  </w:footnote>
  <w:footnote w:id="126">
    <w:p w:rsidR="00D71DCD" w:rsidRPr="00E55DB1" w:rsidRDefault="00D71DCD" w:rsidP="0040085A">
      <w:pPr>
        <w:pStyle w:val="FootnoteText"/>
        <w:ind w:left="0" w:firstLine="0"/>
        <w:rPr>
          <w:rFonts w:cs="Arial"/>
          <w:i/>
          <w:iCs/>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Disponible à l</w:t>
      </w:r>
      <w:r w:rsidR="002F3A41">
        <w:rPr>
          <w:rFonts w:cs="Arial"/>
          <w:noProof/>
          <w:sz w:val="18"/>
          <w:szCs w:val="18"/>
        </w:rPr>
        <w:t>’</w:t>
      </w:r>
      <w:r w:rsidRPr="00E55DB1">
        <w:rPr>
          <w:rFonts w:cs="Arial"/>
          <w:noProof/>
          <w:sz w:val="18"/>
          <w:szCs w:val="18"/>
        </w:rPr>
        <w:t>adresse</w:t>
      </w:r>
      <w:r w:rsidR="00185850">
        <w:rPr>
          <w:rFonts w:cs="Arial"/>
          <w:noProof/>
          <w:sz w:val="18"/>
          <w:szCs w:val="18"/>
        </w:rPr>
        <w:t> </w:t>
      </w:r>
      <w:hyperlink r:id="rId17" w:history="1">
        <w:r w:rsidRPr="00E55DB1">
          <w:rPr>
            <w:rStyle w:val="Hyperlink"/>
            <w:rFonts w:cs="Arial"/>
            <w:noProof/>
            <w:color w:val="auto"/>
            <w:sz w:val="18"/>
            <w:szCs w:val="18"/>
            <w:u w:val="none"/>
          </w:rPr>
          <w:t>http://www.undp.org/content/undp/en/home/librarypage/environment</w:t>
        </w:r>
        <w:r w:rsidR="002F3A41">
          <w:rPr>
            <w:rStyle w:val="Hyperlink"/>
            <w:rFonts w:cs="Arial"/>
            <w:noProof/>
            <w:color w:val="auto"/>
            <w:sz w:val="18"/>
            <w:szCs w:val="18"/>
            <w:u w:val="none"/>
          </w:rPr>
          <w:t>-</w:t>
        </w:r>
        <w:r w:rsidRPr="00E55DB1">
          <w:rPr>
            <w:rStyle w:val="Hyperlink"/>
            <w:rFonts w:cs="Arial"/>
            <w:noProof/>
            <w:color w:val="auto"/>
            <w:sz w:val="18"/>
            <w:szCs w:val="18"/>
            <w:u w:val="none"/>
          </w:rPr>
          <w:t>energy/local_development/undp</w:t>
        </w:r>
        <w:r w:rsidR="002F3A41">
          <w:rPr>
            <w:rStyle w:val="Hyperlink"/>
            <w:rFonts w:cs="Arial"/>
            <w:noProof/>
            <w:color w:val="auto"/>
            <w:sz w:val="18"/>
            <w:szCs w:val="18"/>
            <w:u w:val="none"/>
          </w:rPr>
          <w:t>-</w:t>
        </w:r>
        <w:r w:rsidRPr="00E55DB1">
          <w:rPr>
            <w:rStyle w:val="Hyperlink"/>
            <w:rFonts w:cs="Arial"/>
            <w:noProof/>
            <w:color w:val="auto"/>
            <w:sz w:val="18"/>
            <w:szCs w:val="18"/>
            <w:u w:val="none"/>
          </w:rPr>
          <w:t>and</w:t>
        </w:r>
        <w:r w:rsidR="002F3A41">
          <w:rPr>
            <w:rStyle w:val="Hyperlink"/>
            <w:rFonts w:cs="Arial"/>
            <w:noProof/>
            <w:color w:val="auto"/>
            <w:sz w:val="18"/>
            <w:szCs w:val="18"/>
            <w:u w:val="none"/>
          </w:rPr>
          <w:t>-</w:t>
        </w:r>
        <w:r w:rsidRPr="00E55DB1">
          <w:rPr>
            <w:rStyle w:val="Hyperlink"/>
            <w:rFonts w:cs="Arial"/>
            <w:noProof/>
            <w:color w:val="auto"/>
            <w:sz w:val="18"/>
            <w:szCs w:val="18"/>
            <w:u w:val="none"/>
          </w:rPr>
          <w:t>indigenous</w:t>
        </w:r>
        <w:r w:rsidR="002F3A41">
          <w:rPr>
            <w:rStyle w:val="Hyperlink"/>
            <w:rFonts w:cs="Arial"/>
            <w:noProof/>
            <w:color w:val="auto"/>
            <w:sz w:val="18"/>
            <w:szCs w:val="18"/>
            <w:u w:val="none"/>
          </w:rPr>
          <w:t>-</w:t>
        </w:r>
        <w:r w:rsidRPr="00E55DB1">
          <w:rPr>
            <w:rStyle w:val="Hyperlink"/>
            <w:rFonts w:cs="Arial"/>
            <w:noProof/>
            <w:color w:val="auto"/>
            <w:sz w:val="18"/>
            <w:szCs w:val="18"/>
            <w:u w:val="none"/>
          </w:rPr>
          <w:t>peoples</w:t>
        </w:r>
        <w:r w:rsidR="002F3A41">
          <w:rPr>
            <w:rStyle w:val="Hyperlink"/>
            <w:rFonts w:cs="Arial"/>
            <w:noProof/>
            <w:color w:val="auto"/>
            <w:sz w:val="18"/>
            <w:szCs w:val="18"/>
            <w:u w:val="none"/>
          </w:rPr>
          <w:t>-</w:t>
        </w:r>
        <w:r w:rsidRPr="00E55DB1">
          <w:rPr>
            <w:rStyle w:val="Hyperlink"/>
            <w:rFonts w:cs="Arial"/>
            <w:noProof/>
            <w:color w:val="auto"/>
            <w:sz w:val="18"/>
            <w:szCs w:val="18"/>
            <w:u w:val="none"/>
          </w:rPr>
          <w:t>a</w:t>
        </w:r>
        <w:r w:rsidR="002F3A41">
          <w:rPr>
            <w:rStyle w:val="Hyperlink"/>
            <w:rFonts w:cs="Arial"/>
            <w:noProof/>
            <w:color w:val="auto"/>
            <w:sz w:val="18"/>
            <w:szCs w:val="18"/>
            <w:u w:val="none"/>
          </w:rPr>
          <w:t>-</w:t>
        </w:r>
        <w:r w:rsidRPr="00E55DB1">
          <w:rPr>
            <w:rStyle w:val="Hyperlink"/>
            <w:rFonts w:cs="Arial"/>
            <w:noProof/>
            <w:color w:val="auto"/>
            <w:sz w:val="18"/>
            <w:szCs w:val="18"/>
            <w:u w:val="none"/>
          </w:rPr>
          <w:t>policy</w:t>
        </w:r>
        <w:r w:rsidR="002F3A41">
          <w:rPr>
            <w:rStyle w:val="Hyperlink"/>
            <w:rFonts w:cs="Arial"/>
            <w:noProof/>
            <w:color w:val="auto"/>
            <w:sz w:val="18"/>
            <w:szCs w:val="18"/>
            <w:u w:val="none"/>
          </w:rPr>
          <w:t>-</w:t>
        </w:r>
        <w:r w:rsidRPr="00E55DB1">
          <w:rPr>
            <w:rStyle w:val="Hyperlink"/>
            <w:rFonts w:cs="Arial"/>
            <w:noProof/>
            <w:color w:val="auto"/>
            <w:sz w:val="18"/>
            <w:szCs w:val="18"/>
            <w:u w:val="none"/>
          </w:rPr>
          <w:t>of</w:t>
        </w:r>
        <w:r w:rsidR="002F3A41">
          <w:rPr>
            <w:rStyle w:val="Hyperlink"/>
            <w:rFonts w:cs="Arial"/>
            <w:noProof/>
            <w:color w:val="auto"/>
            <w:sz w:val="18"/>
            <w:szCs w:val="18"/>
            <w:u w:val="none"/>
          </w:rPr>
          <w:t>-</w:t>
        </w:r>
        <w:r w:rsidRPr="00E55DB1">
          <w:rPr>
            <w:rStyle w:val="Hyperlink"/>
            <w:rFonts w:cs="Arial"/>
            <w:noProof/>
            <w:color w:val="auto"/>
            <w:sz w:val="18"/>
            <w:szCs w:val="18"/>
            <w:u w:val="none"/>
          </w:rPr>
          <w:t>engagement.html</w:t>
        </w:r>
      </w:hyperlink>
      <w:r w:rsidRPr="00E55DB1">
        <w:rPr>
          <w:rFonts w:cs="Arial"/>
          <w:noProof/>
          <w:sz w:val="18"/>
          <w:szCs w:val="18"/>
        </w:rPr>
        <w:t>.</w:t>
      </w:r>
    </w:p>
  </w:footnote>
  <w:footnote w:id="127">
    <w:p w:rsidR="00D71DCD" w:rsidRPr="00E55DB1" w:rsidRDefault="00D71DCD"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Sous</w:t>
      </w:r>
      <w:r w:rsidR="002F3A41">
        <w:rPr>
          <w:rFonts w:cs="Arial"/>
          <w:noProof/>
          <w:sz w:val="18"/>
          <w:szCs w:val="18"/>
        </w:rPr>
        <w:t>-</w:t>
      </w:r>
      <w:r w:rsidRPr="00E55DB1">
        <w:rPr>
          <w:rFonts w:cs="Arial"/>
          <w:noProof/>
          <w:sz w:val="18"/>
          <w:szCs w:val="18"/>
        </w:rPr>
        <w:t xml:space="preserve">commission des </w:t>
      </w:r>
      <w:r w:rsidR="002F3A41">
        <w:rPr>
          <w:rFonts w:cs="Arial"/>
          <w:noProof/>
          <w:sz w:val="18"/>
          <w:szCs w:val="18"/>
        </w:rPr>
        <w:t>Nations Unies</w:t>
      </w:r>
      <w:r w:rsidRPr="00E55DB1">
        <w:rPr>
          <w:rFonts w:cs="Arial"/>
          <w:noProof/>
          <w:sz w:val="18"/>
          <w:szCs w:val="18"/>
        </w:rPr>
        <w:t xml:space="preserve"> pour la prévention de la discrimination </w:t>
      </w:r>
      <w:r w:rsidR="002F3A41">
        <w:rPr>
          <w:rFonts w:cs="Arial"/>
          <w:noProof/>
          <w:sz w:val="18"/>
          <w:szCs w:val="18"/>
        </w:rPr>
        <w:t>à l’égard</w:t>
      </w:r>
      <w:r w:rsidRPr="00E55DB1">
        <w:rPr>
          <w:rFonts w:cs="Arial"/>
          <w:noProof/>
          <w:sz w:val="18"/>
          <w:szCs w:val="18"/>
        </w:rPr>
        <w:t xml:space="preserve"> des minorités et protection des minorités et son Étude du problème de la discrimination </w:t>
      </w:r>
      <w:r w:rsidR="002F3A41">
        <w:rPr>
          <w:rFonts w:cs="Arial"/>
          <w:noProof/>
          <w:sz w:val="18"/>
          <w:szCs w:val="18"/>
        </w:rPr>
        <w:t>à l’égard</w:t>
      </w:r>
      <w:r w:rsidRPr="00E55DB1">
        <w:rPr>
          <w:rFonts w:cs="Arial"/>
          <w:noProof/>
          <w:sz w:val="18"/>
          <w:szCs w:val="18"/>
        </w:rPr>
        <w:t xml:space="preserve"> des populations autochtones, document E/CN.4/Sub.2/1986/7/Add.4, paragraphe 379 (1986).</w:t>
      </w:r>
    </w:p>
  </w:footnote>
  <w:footnote w:id="128">
    <w:p w:rsidR="00D71DCD" w:rsidRPr="00E55DB1" w:rsidRDefault="00D71DCD" w:rsidP="00903B5D">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Customary Law, Traditional Knowledge and Intellectual Property</w:t>
      </w:r>
      <w:r w:rsidR="002F3A41">
        <w:rPr>
          <w:rFonts w:cs="Arial"/>
          <w:noProof/>
          <w:sz w:val="18"/>
          <w:szCs w:val="18"/>
          <w:lang w:val="en-US"/>
        </w:rPr>
        <w:t>:</w:t>
      </w:r>
      <w:r w:rsidRPr="00E55DB1">
        <w:rPr>
          <w:rFonts w:cs="Arial"/>
          <w:noProof/>
          <w:sz w:val="18"/>
          <w:szCs w:val="18"/>
          <w:lang w:val="en-US"/>
        </w:rPr>
        <w:t xml:space="preserve"> An Outline of the Issues (2013) </w:t>
      </w:r>
      <w:r w:rsidRPr="00286DCE">
        <w:rPr>
          <w:rStyle w:val="Hyperlink"/>
          <w:rFonts w:cs="Arial"/>
          <w:noProof/>
          <w:color w:val="auto"/>
          <w:sz w:val="18"/>
          <w:szCs w:val="18"/>
          <w:u w:val="none"/>
          <w:lang w:val="en-US"/>
        </w:rPr>
        <w:t>https://www.wipo.int/export/sites/www/tk/en/resources/pdf/overview_customary_law.pdf</w:t>
      </w:r>
      <w:r w:rsidRPr="00E55DB1">
        <w:rPr>
          <w:rFonts w:cs="Arial"/>
          <w:noProof/>
          <w:sz w:val="18"/>
          <w:szCs w:val="18"/>
          <w:lang w:val="en-US"/>
        </w:rPr>
        <w:t>.</w:t>
      </w:r>
    </w:p>
  </w:footnote>
  <w:footnote w:id="129">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Synthèse et résultats des activités du comité intergouvernemental (WIPO/GRTKF/IC/5/12), paragraphe 37.</w:t>
      </w:r>
    </w:p>
  </w:footnote>
  <w:footnote w:id="130">
    <w:p w:rsidR="00D71DCD" w:rsidRPr="00E55DB1" w:rsidRDefault="00D71DCD"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Page 7 de l</w:t>
      </w:r>
      <w:r w:rsidR="002F3A41">
        <w:rPr>
          <w:rFonts w:cs="Arial"/>
          <w:noProof/>
          <w:sz w:val="18"/>
          <w:szCs w:val="18"/>
        </w:rPr>
        <w:t>’</w:t>
      </w:r>
      <w:r w:rsidRPr="00E55DB1">
        <w:rPr>
          <w:rFonts w:cs="Arial"/>
          <w:noProof/>
          <w:sz w:val="18"/>
          <w:szCs w:val="18"/>
        </w:rPr>
        <w:t>annexe I du document WIPO/GRTKF/IC/</w:t>
      </w:r>
      <w:r>
        <w:rPr>
          <w:rFonts w:cs="Arial"/>
          <w:noProof/>
          <w:sz w:val="18"/>
          <w:szCs w:val="18"/>
        </w:rPr>
        <w:t>38/6</w:t>
      </w:r>
      <w:r w:rsidRPr="00E55DB1">
        <w:rPr>
          <w:rFonts w:cs="Arial"/>
          <w:noProof/>
          <w:sz w:val="18"/>
          <w:szCs w:val="18"/>
        </w:rPr>
        <w:t xml:space="preserve"> intitulé “Protection des savoirs traditionnels</w:t>
      </w:r>
      <w:r w:rsidR="002F3A41">
        <w:rPr>
          <w:rFonts w:cs="Arial"/>
          <w:noProof/>
          <w:sz w:val="18"/>
          <w:szCs w:val="18"/>
        </w:rPr>
        <w:t> :</w:t>
      </w:r>
      <w:r w:rsidRPr="00E55DB1">
        <w:rPr>
          <w:rFonts w:cs="Arial"/>
          <w:noProof/>
          <w:sz w:val="18"/>
          <w:szCs w:val="18"/>
        </w:rPr>
        <w:t xml:space="preserve"> projet</w:t>
      </w:r>
      <w:r>
        <w:rPr>
          <w:rFonts w:cs="Arial"/>
          <w:noProof/>
          <w:sz w:val="18"/>
          <w:szCs w:val="18"/>
        </w:rPr>
        <w:t xml:space="preserve"> actualisé</w:t>
      </w:r>
      <w:r w:rsidRPr="00E55DB1">
        <w:rPr>
          <w:rFonts w:cs="Arial"/>
          <w:noProof/>
          <w:sz w:val="18"/>
          <w:szCs w:val="18"/>
        </w:rPr>
        <w:t xml:space="preserve"> d</w:t>
      </w:r>
      <w:r w:rsidR="002F3A41">
        <w:rPr>
          <w:rFonts w:cs="Arial"/>
          <w:noProof/>
          <w:sz w:val="18"/>
          <w:szCs w:val="18"/>
        </w:rPr>
        <w:t>’</w:t>
      </w:r>
      <w:r w:rsidRPr="00E55DB1">
        <w:rPr>
          <w:rFonts w:cs="Arial"/>
          <w:noProof/>
          <w:sz w:val="18"/>
          <w:szCs w:val="18"/>
        </w:rPr>
        <w:t>analyse des lacunes y relatives</w:t>
      </w:r>
      <w:r w:rsidR="002F3A41">
        <w:rPr>
          <w:rFonts w:cs="Arial"/>
          <w:noProof/>
          <w:sz w:val="18"/>
          <w:szCs w:val="18"/>
        </w:rPr>
        <w:t> :</w:t>
      </w:r>
      <w:r w:rsidRPr="00E55DB1">
        <w:rPr>
          <w:rFonts w:cs="Arial"/>
          <w:noProof/>
          <w:sz w:val="18"/>
          <w:szCs w:val="18"/>
        </w:rPr>
        <w:t xml:space="preserve"> version révisée”.</w:t>
      </w:r>
    </w:p>
  </w:footnote>
  <w:footnote w:id="131">
    <w:p w:rsidR="00D71DCD" w:rsidRPr="00E55DB1" w:rsidRDefault="00D71DCD"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paragraphe 133 du document OMPI/GRTKF/IC/2/3.  </w:t>
      </w:r>
    </w:p>
  </w:footnote>
  <w:footnote w:id="132">
    <w:p w:rsidR="00D71DCD" w:rsidRPr="00E55DB1" w:rsidRDefault="00D71DCD"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le document WIPO/GRTKF/IC/7/9 (Ressources génétiques</w:t>
      </w:r>
      <w:r w:rsidR="002F3A41">
        <w:rPr>
          <w:rFonts w:cs="Arial"/>
          <w:noProof/>
          <w:sz w:val="18"/>
          <w:szCs w:val="18"/>
        </w:rPr>
        <w:t> :</w:t>
      </w:r>
      <w:r w:rsidRPr="00E55DB1">
        <w:rPr>
          <w:rFonts w:cs="Arial"/>
          <w:noProof/>
          <w:sz w:val="18"/>
          <w:szCs w:val="18"/>
        </w:rPr>
        <w:t xml:space="preserve"> projet de Principes directeurs de propriété intellectuelle applicables à l</w:t>
      </w:r>
      <w:r w:rsidR="002F3A41">
        <w:rPr>
          <w:rFonts w:cs="Arial"/>
          <w:noProof/>
          <w:sz w:val="18"/>
          <w:szCs w:val="18"/>
        </w:rPr>
        <w:t>’</w:t>
      </w:r>
      <w:r w:rsidRPr="00E55DB1">
        <w:rPr>
          <w:rFonts w:cs="Arial"/>
          <w:noProof/>
          <w:sz w:val="18"/>
          <w:szCs w:val="18"/>
        </w:rPr>
        <w:t>accès et au partage équitable des avantages).</w:t>
      </w:r>
    </w:p>
  </w:footnote>
  <w:footnote w:id="133">
    <w:p w:rsidR="00D71DCD" w:rsidRPr="00E55DB1" w:rsidRDefault="00D71DCD"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la section V.B du document OMPI/GRTKF/IC/2/3, page 58.</w:t>
      </w:r>
    </w:p>
  </w:footnote>
  <w:footnote w:id="134">
    <w:p w:rsidR="00D71DCD" w:rsidRPr="00E55DB1" w:rsidRDefault="00D71DCD"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le document WIPO/GRTKF/IC/17/INF/12 (Ressources génétiques</w:t>
      </w:r>
      <w:r w:rsidR="002F3A41">
        <w:rPr>
          <w:rFonts w:cs="Arial"/>
          <w:noProof/>
          <w:sz w:val="18"/>
          <w:szCs w:val="18"/>
        </w:rPr>
        <w:t> :</w:t>
      </w:r>
      <w:r w:rsidRPr="00E55DB1">
        <w:rPr>
          <w:rFonts w:cs="Arial"/>
          <w:noProof/>
          <w:sz w:val="18"/>
          <w:szCs w:val="18"/>
        </w:rPr>
        <w:t xml:space="preserve"> projet de principes directeurs de propriété intellectuelle applicables à l</w:t>
      </w:r>
      <w:r w:rsidR="002F3A41">
        <w:rPr>
          <w:rFonts w:cs="Arial"/>
          <w:noProof/>
          <w:sz w:val="18"/>
          <w:szCs w:val="18"/>
        </w:rPr>
        <w:t>’</w:t>
      </w:r>
      <w:r w:rsidRPr="00E55DB1">
        <w:rPr>
          <w:rFonts w:cs="Arial"/>
          <w:noProof/>
          <w:sz w:val="18"/>
          <w:szCs w:val="18"/>
        </w:rPr>
        <w:t>accès et au partage équitable des avantages</w:t>
      </w:r>
      <w:r w:rsidR="002F3A41">
        <w:rPr>
          <w:rFonts w:cs="Arial"/>
          <w:noProof/>
          <w:sz w:val="18"/>
          <w:szCs w:val="18"/>
        </w:rPr>
        <w:t> :</w:t>
      </w:r>
      <w:r w:rsidRPr="00E55DB1">
        <w:rPr>
          <w:rFonts w:cs="Arial"/>
          <w:noProof/>
          <w:sz w:val="18"/>
          <w:szCs w:val="18"/>
        </w:rPr>
        <w:t xml:space="preserve"> version actualisée).</w:t>
      </w:r>
    </w:p>
  </w:footnote>
  <w:footnote w:id="135">
    <w:p w:rsidR="00D71DCD" w:rsidRPr="00E55DB1" w:rsidRDefault="00D71DCD" w:rsidP="00EF679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ab/>
        <w:t>Id.</w:t>
      </w:r>
    </w:p>
  </w:footnote>
  <w:footnote w:id="136">
    <w:p w:rsidR="00D71DCD" w:rsidRPr="00E55DB1" w:rsidRDefault="00D71DCD" w:rsidP="00EF6794">
      <w:pPr>
        <w:pStyle w:val="FootnoteText"/>
        <w:ind w:left="0" w:firstLine="0"/>
        <w:rPr>
          <w:rFonts w:cs="Arial"/>
          <w:noProof/>
          <w:sz w:val="18"/>
          <w:szCs w:val="18"/>
          <w:lang w:eastAsia="zh-CN"/>
        </w:rPr>
      </w:pPr>
      <w:r w:rsidRPr="00E55DB1">
        <w:rPr>
          <w:rStyle w:val="FootnoteReference"/>
          <w:rFonts w:cs="Arial"/>
          <w:noProof/>
          <w:sz w:val="18"/>
          <w:szCs w:val="18"/>
          <w:lang w:eastAsia="zh-CN"/>
        </w:rPr>
        <w:footnoteRef/>
      </w:r>
      <w:r w:rsidRPr="00E55DB1">
        <w:rPr>
          <w:rFonts w:cs="Arial"/>
          <w:noProof/>
          <w:sz w:val="18"/>
          <w:szCs w:val="18"/>
          <w:lang w:eastAsia="zh-CN"/>
        </w:rPr>
        <w:tab/>
      </w:r>
      <w:r w:rsidRPr="00E55DB1">
        <w:rPr>
          <w:rFonts w:cs="Arial"/>
          <w:noProof/>
          <w:sz w:val="18"/>
          <w:szCs w:val="18"/>
        </w:rPr>
        <w:t>Id.,</w:t>
      </w:r>
      <w:r w:rsidRPr="00E55DB1">
        <w:rPr>
          <w:rFonts w:cs="Arial"/>
          <w:noProof/>
          <w:sz w:val="18"/>
          <w:szCs w:val="18"/>
          <w:lang w:eastAsia="zh-CN"/>
        </w:rPr>
        <w:t xml:space="preserve"> page 5 de l</w:t>
      </w:r>
      <w:r w:rsidR="002F3A41">
        <w:rPr>
          <w:rFonts w:cs="Arial"/>
          <w:noProof/>
          <w:sz w:val="18"/>
          <w:szCs w:val="18"/>
          <w:lang w:eastAsia="zh-CN"/>
        </w:rPr>
        <w:t>’</w:t>
      </w:r>
      <w:r w:rsidRPr="00E55DB1">
        <w:rPr>
          <w:rFonts w:cs="Arial"/>
          <w:noProof/>
          <w:sz w:val="18"/>
          <w:szCs w:val="18"/>
          <w:lang w:eastAsia="zh-CN"/>
        </w:rPr>
        <w:t>annexe.</w:t>
      </w:r>
    </w:p>
  </w:footnote>
  <w:footnote w:id="137">
    <w:p w:rsidR="00D71DCD" w:rsidRPr="00E55DB1" w:rsidRDefault="00D71DCD"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138">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20 du document WIPO/GRTKF/IC/5/12 intitulé “Synthèse et résultats des activités du comité intergouvernemental”.</w:t>
      </w:r>
    </w:p>
  </w:footnote>
  <w:footnote w:id="139">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 paragraphes 21 et 22.</w:t>
      </w:r>
    </w:p>
  </w:footnote>
  <w:footnote w:id="140">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 paragraphe 21.</w:t>
      </w:r>
    </w:p>
  </w:footnote>
  <w:footnote w:id="141">
    <w:p w:rsidR="00D71DCD" w:rsidRPr="00E55DB1" w:rsidRDefault="00D71DCD"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Id., paragraphe 28.</w:t>
      </w:r>
    </w:p>
  </w:footnote>
  <w:footnote w:id="142">
    <w:p w:rsidR="00D71DCD" w:rsidRPr="00E55DB1" w:rsidRDefault="00D71DCD"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Jane Anderson, “Indigenous Knowledge/Traditional Knowledge and Intellectual Property”, Issues Paper, Centre for the Public Domain, Duke University, 2011, disponible à l</w:t>
      </w:r>
      <w:r w:rsidR="002F3A41">
        <w:rPr>
          <w:rFonts w:cs="Arial"/>
          <w:noProof/>
          <w:sz w:val="18"/>
          <w:szCs w:val="18"/>
          <w:lang w:val="en-US"/>
        </w:rPr>
        <w:t>’</w:t>
      </w:r>
      <w:r w:rsidRPr="00E55DB1">
        <w:rPr>
          <w:rFonts w:cs="Arial"/>
          <w:noProof/>
          <w:sz w:val="18"/>
          <w:szCs w:val="18"/>
          <w:lang w:val="en-US"/>
        </w:rPr>
        <w:t>adresse</w:t>
      </w:r>
      <w:r w:rsidR="00185850">
        <w:rPr>
          <w:rFonts w:cs="Arial"/>
          <w:noProof/>
          <w:sz w:val="18"/>
          <w:szCs w:val="18"/>
          <w:lang w:val="en-US"/>
        </w:rPr>
        <w:t> </w:t>
      </w:r>
      <w:r w:rsidR="00E56FA4">
        <w:fldChar w:fldCharType="begin"/>
      </w:r>
      <w:r w:rsidR="00E56FA4" w:rsidRPr="00A60A7C">
        <w:rPr>
          <w:lang w:val="en-US"/>
        </w:rPr>
        <w:instrText xml:space="preserve"> HYPERLINK "http://ww</w:instrText>
      </w:r>
      <w:r w:rsidR="00E56FA4" w:rsidRPr="00A60A7C">
        <w:rPr>
          <w:lang w:val="en-US"/>
        </w:rPr>
        <w:instrText xml:space="preserve">w.law.duke.edu/cspd/itkpaper" </w:instrText>
      </w:r>
      <w:r w:rsidR="00E56FA4">
        <w:fldChar w:fldCharType="separate"/>
      </w:r>
      <w:r w:rsidRPr="00E55DB1">
        <w:rPr>
          <w:rStyle w:val="Hyperlink"/>
          <w:rFonts w:cs="Arial"/>
          <w:noProof/>
          <w:color w:val="auto"/>
          <w:sz w:val="18"/>
          <w:szCs w:val="18"/>
          <w:u w:val="none"/>
          <w:lang w:val="en-US"/>
        </w:rPr>
        <w:t>http://www.law.duke.edu/cspd/itkpaper</w:t>
      </w:r>
      <w:r w:rsidR="00E56FA4">
        <w:rPr>
          <w:rStyle w:val="Hyperlink"/>
          <w:rFonts w:cs="Arial"/>
          <w:noProof/>
          <w:color w:val="auto"/>
          <w:sz w:val="18"/>
          <w:szCs w:val="18"/>
          <w:u w:val="none"/>
          <w:lang w:val="en-US"/>
        </w:rPr>
        <w:fldChar w:fldCharType="end"/>
      </w:r>
      <w:r w:rsidRPr="00E55DB1">
        <w:rPr>
          <w:rFonts w:cs="Arial"/>
          <w:noProof/>
          <w:sz w:val="18"/>
          <w:szCs w:val="18"/>
          <w:lang w:val="en-US"/>
        </w:rPr>
        <w:t>.</w:t>
      </w:r>
    </w:p>
  </w:footnote>
  <w:footnote w:id="143">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UNEP/CBD/WG ABS/8/2 intitulé “Rapport de la Réunion du Groupe d</w:t>
      </w:r>
      <w:r w:rsidR="002F3A41">
        <w:rPr>
          <w:rFonts w:cs="Arial"/>
          <w:noProof/>
          <w:sz w:val="18"/>
          <w:szCs w:val="18"/>
        </w:rPr>
        <w:t>’</w:t>
      </w:r>
      <w:r w:rsidRPr="00E55DB1">
        <w:rPr>
          <w:rFonts w:cs="Arial"/>
          <w:noProof/>
          <w:sz w:val="18"/>
          <w:szCs w:val="18"/>
        </w:rPr>
        <w:t>experts techniques et juridiques sur les connaissances traditionnelles associées aux ressources génétiques dans le contexte du régime international d</w:t>
      </w:r>
      <w:r w:rsidR="002F3A41">
        <w:rPr>
          <w:rFonts w:cs="Arial"/>
          <w:noProof/>
          <w:sz w:val="18"/>
          <w:szCs w:val="18"/>
        </w:rPr>
        <w:t>’</w:t>
      </w:r>
      <w:r w:rsidRPr="00E55DB1">
        <w:rPr>
          <w:rFonts w:cs="Arial"/>
          <w:noProof/>
          <w:sz w:val="18"/>
          <w:szCs w:val="18"/>
        </w:rPr>
        <w:t>accès et de partage des avantages”.</w:t>
      </w:r>
    </w:p>
  </w:footnote>
  <w:footnote w:id="144">
    <w:p w:rsidR="00D71DCD" w:rsidRPr="00E55DB1" w:rsidRDefault="00D71DCD"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Knowledge</w:t>
      </w:r>
      <w:r w:rsidR="002F3A41">
        <w:rPr>
          <w:rFonts w:cs="Arial"/>
          <w:noProof/>
          <w:sz w:val="18"/>
          <w:szCs w:val="18"/>
          <w:lang w:val="en-US"/>
        </w:rPr>
        <w:t>:</w:t>
      </w:r>
      <w:r w:rsidRPr="00E55DB1">
        <w:rPr>
          <w:rFonts w:cs="Arial"/>
          <w:noProof/>
          <w:sz w:val="18"/>
          <w:szCs w:val="18"/>
          <w:lang w:val="en-US"/>
        </w:rPr>
        <w:t xml:space="preserve"> Rapport de l</w:t>
      </w:r>
      <w:r w:rsidR="002F3A41">
        <w:rPr>
          <w:rFonts w:cs="Arial"/>
          <w:noProof/>
          <w:sz w:val="18"/>
          <w:szCs w:val="18"/>
          <w:lang w:val="en-US"/>
        </w:rPr>
        <w:t>’</w:t>
      </w:r>
      <w:r w:rsidRPr="00E55DB1">
        <w:rPr>
          <w:rFonts w:cs="Arial"/>
          <w:noProof/>
          <w:sz w:val="18"/>
          <w:szCs w:val="18"/>
          <w:lang w:val="en-US"/>
        </w:rPr>
        <w:t>UNU IAS, janvier 2004, page 32.</w:t>
      </w:r>
    </w:p>
  </w:footnote>
  <w:footnote w:id="145">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w:t>
      </w:r>
    </w:p>
  </w:footnote>
  <w:footnote w:id="146">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r>
      <w:r w:rsidRPr="00E55DB1">
        <w:rPr>
          <w:rFonts w:cs="Arial"/>
          <w:noProof/>
          <w:sz w:val="18"/>
          <w:szCs w:val="18"/>
        </w:rPr>
        <w:t>Id.</w:t>
      </w:r>
    </w:p>
  </w:footnote>
  <w:footnote w:id="147">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16 de la loi n° 27811 établissant le Régime de protection des savoirs collectifs des peuples autochtones portant sur les ressources biologiques.  Cette loi est disponible à l</w:t>
      </w:r>
      <w:r w:rsidR="002F3A41">
        <w:rPr>
          <w:rFonts w:cs="Arial"/>
          <w:noProof/>
          <w:sz w:val="18"/>
          <w:szCs w:val="18"/>
        </w:rPr>
        <w:t>’</w:t>
      </w:r>
      <w:r w:rsidR="00185850">
        <w:rPr>
          <w:rFonts w:cs="Arial"/>
          <w:noProof/>
          <w:sz w:val="18"/>
          <w:szCs w:val="18"/>
        </w:rPr>
        <w:t>adresse http</w:t>
      </w:r>
      <w:r w:rsidRPr="00E1729C">
        <w:rPr>
          <w:rStyle w:val="Hyperlink"/>
          <w:rFonts w:cs="Arial"/>
          <w:noProof/>
          <w:color w:val="auto"/>
          <w:sz w:val="18"/>
          <w:szCs w:val="18"/>
          <w:u w:val="none"/>
        </w:rPr>
        <w:t>s://www.wipo.int/wipolex/fr/details.jsp?id=3420</w:t>
      </w:r>
      <w:r w:rsidRPr="00E55DB1">
        <w:rPr>
          <w:rFonts w:cs="Arial"/>
          <w:noProof/>
          <w:sz w:val="18"/>
          <w:szCs w:val="18"/>
        </w:rPr>
        <w:t>.</w:t>
      </w:r>
    </w:p>
  </w:footnote>
  <w:footnote w:id="148">
    <w:p w:rsidR="00D71DCD" w:rsidRPr="00E55DB1" w:rsidRDefault="00D71DCD" w:rsidP="004B68AF">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Dossier d</w:t>
      </w:r>
      <w:r w:rsidR="002F3A41">
        <w:rPr>
          <w:rFonts w:cs="Arial"/>
          <w:sz w:val="18"/>
          <w:szCs w:val="18"/>
        </w:rPr>
        <w:t>’</w:t>
      </w:r>
      <w:r w:rsidRPr="00E55DB1">
        <w:rPr>
          <w:rFonts w:cs="Arial"/>
          <w:sz w:val="18"/>
          <w:szCs w:val="18"/>
        </w:rPr>
        <w:t>information n° 8 de l</w:t>
      </w:r>
      <w:r w:rsidR="002F3A41">
        <w:rPr>
          <w:rFonts w:cs="Arial"/>
          <w:sz w:val="18"/>
          <w:szCs w:val="18"/>
        </w:rPr>
        <w:t>’</w:t>
      </w:r>
      <w:r w:rsidRPr="00E55DB1">
        <w:rPr>
          <w:rFonts w:cs="Arial"/>
          <w:sz w:val="18"/>
          <w:szCs w:val="18"/>
        </w:rPr>
        <w:t>OMPI</w:t>
      </w:r>
      <w:r w:rsidR="002F3A41">
        <w:rPr>
          <w:rFonts w:cs="Arial"/>
          <w:sz w:val="18"/>
          <w:szCs w:val="18"/>
        </w:rPr>
        <w:t> :</w:t>
      </w:r>
      <w:r w:rsidRPr="00E55DB1">
        <w:rPr>
          <w:rFonts w:cs="Arial"/>
          <w:sz w:val="18"/>
          <w:szCs w:val="18"/>
        </w:rPr>
        <w:t xml:space="preserve"> Le règlement extrajudiciaire des litiges portant sur la propriété intellectuelle et les savoirs traditionnels, les expressions culturelles traditionnelles et les ressources génétiques, consultable à l</w:t>
      </w:r>
      <w:r w:rsidR="002F3A41">
        <w:rPr>
          <w:rFonts w:cs="Arial"/>
          <w:sz w:val="18"/>
          <w:szCs w:val="18"/>
        </w:rPr>
        <w:t>’</w:t>
      </w:r>
      <w:r w:rsidR="00185850">
        <w:rPr>
          <w:rFonts w:cs="Arial"/>
          <w:sz w:val="18"/>
          <w:szCs w:val="18"/>
        </w:rPr>
        <w:t>adresse http</w:t>
      </w:r>
      <w:r w:rsidRPr="00286DCE">
        <w:rPr>
          <w:rStyle w:val="Hyperlink"/>
          <w:rFonts w:cs="Arial"/>
          <w:color w:val="auto"/>
          <w:sz w:val="18"/>
          <w:szCs w:val="18"/>
          <w:u w:val="none"/>
        </w:rPr>
        <w:t>s://www.wipo.int/publications/fr/details.jsp?id=3877</w:t>
      </w:r>
      <w:r w:rsidRPr="00E55DB1">
        <w:rPr>
          <w:rFonts w:cs="Arial"/>
          <w:sz w:val="18"/>
          <w:szCs w:val="18"/>
        </w:rPr>
        <w:t xml:space="preserve">.  </w:t>
      </w:r>
    </w:p>
  </w:footnote>
  <w:footnote w:id="149">
    <w:p w:rsidR="00D71DCD" w:rsidRPr="00E55DB1" w:rsidRDefault="00D71DCD" w:rsidP="009031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Guide des traités sur le droit d</w:t>
      </w:r>
      <w:r w:rsidR="002F3A41">
        <w:rPr>
          <w:rFonts w:cs="Arial"/>
          <w:noProof/>
          <w:sz w:val="18"/>
          <w:szCs w:val="18"/>
        </w:rPr>
        <w:t>’</w:t>
      </w:r>
      <w:r w:rsidRPr="00E55DB1">
        <w:rPr>
          <w:rFonts w:cs="Arial"/>
          <w:noProof/>
          <w:sz w:val="18"/>
          <w:szCs w:val="18"/>
        </w:rPr>
        <w:t>auteur et les droits connexes administrés par l</w:t>
      </w:r>
      <w:r w:rsidR="002F3A41">
        <w:rPr>
          <w:rFonts w:cs="Arial"/>
          <w:noProof/>
          <w:sz w:val="18"/>
          <w:szCs w:val="18"/>
        </w:rPr>
        <w:t>’</w:t>
      </w:r>
      <w:r w:rsidRPr="00E55DB1">
        <w:rPr>
          <w:rFonts w:cs="Arial"/>
          <w:noProof/>
          <w:sz w:val="18"/>
          <w:szCs w:val="18"/>
        </w:rPr>
        <w:t>OMPI et Glossaire du droit d</w:t>
      </w:r>
      <w:r w:rsidR="002F3A41">
        <w:rPr>
          <w:rFonts w:cs="Arial"/>
          <w:noProof/>
          <w:sz w:val="18"/>
          <w:szCs w:val="18"/>
        </w:rPr>
        <w:t>’</w:t>
      </w:r>
      <w:r w:rsidRPr="00E55DB1">
        <w:rPr>
          <w:rFonts w:cs="Arial"/>
          <w:noProof/>
          <w:sz w:val="18"/>
          <w:szCs w:val="18"/>
        </w:rPr>
        <w:t>auteur et des droits connexes.</w:t>
      </w:r>
    </w:p>
  </w:footnote>
  <w:footnote w:id="150">
    <w:p w:rsidR="00D71DCD" w:rsidRPr="00E55DB1" w:rsidRDefault="00D71DCD"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6</w:t>
      </w:r>
      <w:r w:rsidRPr="00E55DB1">
        <w:rPr>
          <w:rFonts w:cs="Arial"/>
          <w:i/>
          <w:iCs/>
          <w:noProof/>
          <w:sz w:val="18"/>
          <w:szCs w:val="18"/>
        </w:rPr>
        <w:t>bis</w:t>
      </w:r>
      <w:r w:rsidRPr="00E55DB1">
        <w:rPr>
          <w:rFonts w:cs="Arial"/>
          <w:noProof/>
          <w:sz w:val="18"/>
          <w:szCs w:val="18"/>
        </w:rPr>
        <w:t xml:space="preserve"> de la Convention de Berne.</w:t>
      </w:r>
    </w:p>
  </w:footnote>
  <w:footnote w:id="151">
    <w:p w:rsidR="00D71DCD" w:rsidRPr="00E55DB1" w:rsidRDefault="00D71DCD" w:rsidP="00C21AB4">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Sam Ricketson et Jane C. Ginsburg, International Copyright and Neighboring Rights – The Berne Convention and Beyond, Oxford, vol. I, page </w:t>
      </w:r>
      <w:r w:rsidRPr="00E55DB1">
        <w:rPr>
          <w:rStyle w:val="FootnoteReference"/>
          <w:rFonts w:cs="Arial"/>
          <w:noProof/>
          <w:sz w:val="18"/>
          <w:szCs w:val="18"/>
          <w:vertAlign w:val="baseline"/>
          <w:lang w:val="en-US"/>
        </w:rPr>
        <w:t>606</w:t>
      </w:r>
      <w:r w:rsidRPr="00E55DB1">
        <w:rPr>
          <w:rFonts w:cs="Arial"/>
          <w:noProof/>
          <w:sz w:val="18"/>
          <w:szCs w:val="18"/>
          <w:lang w:val="en-US"/>
        </w:rPr>
        <w:t>.</w:t>
      </w:r>
    </w:p>
  </w:footnote>
  <w:footnote w:id="152">
    <w:p w:rsidR="00D71DCD" w:rsidRPr="00E55DB1" w:rsidRDefault="00D71DCD" w:rsidP="00C21AB4">
      <w:pPr>
        <w:pStyle w:val="FootnoteText"/>
        <w:ind w:left="0" w:firstLine="0"/>
        <w:rPr>
          <w:rFonts w:cs="Arial"/>
          <w:noProof/>
          <w:sz w:val="18"/>
          <w:szCs w:val="18"/>
          <w:lang w:val="en-US" w:eastAsia="zh-CN"/>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Daniel J. Gervais, Spiritual but not Intellectual</w:t>
      </w:r>
      <w:r w:rsidR="002F3A41">
        <w:rPr>
          <w:rFonts w:cs="Arial"/>
          <w:noProof/>
          <w:sz w:val="18"/>
          <w:szCs w:val="18"/>
          <w:lang w:val="en-US"/>
        </w:rPr>
        <w:t>:</w:t>
      </w:r>
      <w:r w:rsidRPr="00E55DB1">
        <w:rPr>
          <w:rFonts w:cs="Arial"/>
          <w:noProof/>
          <w:sz w:val="18"/>
          <w:szCs w:val="18"/>
          <w:lang w:val="en-US"/>
        </w:rPr>
        <w:t xml:space="preserve"> the Protection of Sacred Intangible Traditional Knowledge, 11 Cardozo J. Int</w:t>
      </w:r>
      <w:r w:rsidR="002F3A41">
        <w:rPr>
          <w:rFonts w:cs="Arial"/>
          <w:noProof/>
          <w:sz w:val="18"/>
          <w:szCs w:val="18"/>
          <w:lang w:val="en-US"/>
        </w:rPr>
        <w:t>’</w:t>
      </w:r>
      <w:r w:rsidRPr="00E55DB1">
        <w:rPr>
          <w:rFonts w:cs="Arial"/>
          <w:noProof/>
          <w:sz w:val="18"/>
          <w:szCs w:val="18"/>
          <w:lang w:val="en-US"/>
        </w:rPr>
        <w:t>l &amp; Comp.  L. 467, 469 490 (2003).</w:t>
      </w:r>
    </w:p>
  </w:footnote>
  <w:footnote w:id="153">
    <w:p w:rsidR="00D71DCD" w:rsidRPr="00E55DB1" w:rsidRDefault="00D71DCD"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Gupta, A., “Rewarding Traditional Knowledge and Contemporary Grassroots Creativity</w:t>
      </w:r>
      <w:r w:rsidR="002F3A41">
        <w:rPr>
          <w:rFonts w:cs="Arial"/>
          <w:noProof/>
          <w:sz w:val="18"/>
          <w:szCs w:val="18"/>
          <w:lang w:val="en-US"/>
        </w:rPr>
        <w:t>:</w:t>
      </w:r>
      <w:r w:rsidRPr="00E55DB1">
        <w:rPr>
          <w:rFonts w:cs="Arial"/>
          <w:noProof/>
          <w:sz w:val="18"/>
          <w:szCs w:val="18"/>
          <w:lang w:val="en-US"/>
        </w:rPr>
        <w:t xml:space="preserve"> The Role of Intellectual Property Protection”, conservé dans les archives du Secrétariat.</w:t>
      </w:r>
    </w:p>
  </w:footnote>
  <w:footnote w:id="154">
    <w:p w:rsidR="00D71DCD" w:rsidRPr="00E55DB1" w:rsidRDefault="00D71DCD" w:rsidP="00C21AB4">
      <w:pPr>
        <w:pStyle w:val="FootnoteText"/>
        <w:ind w:left="0" w:firstLine="0"/>
        <w:rPr>
          <w:rFonts w:cs="Arial"/>
          <w:noProof/>
          <w:sz w:val="18"/>
          <w:szCs w:val="18"/>
          <w:lang w:eastAsia="zh-CN"/>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t>Voir</w:t>
      </w:r>
      <w:r w:rsidRPr="00E55DB1">
        <w:rPr>
          <w:rFonts w:cs="Arial"/>
          <w:i/>
          <w:noProof/>
          <w:sz w:val="18"/>
          <w:szCs w:val="18"/>
          <w:lang w:eastAsia="zh-CN"/>
        </w:rPr>
        <w:t xml:space="preserve"> </w:t>
      </w:r>
      <w:r w:rsidRPr="00E55DB1">
        <w:rPr>
          <w:rFonts w:cs="Arial"/>
          <w:noProof/>
          <w:sz w:val="18"/>
          <w:szCs w:val="18"/>
          <w:lang w:eastAsia="zh-CN"/>
        </w:rPr>
        <w:t>le Rapport de l</w:t>
      </w:r>
      <w:r w:rsidR="002F3A41">
        <w:rPr>
          <w:rFonts w:cs="Arial"/>
          <w:noProof/>
          <w:sz w:val="18"/>
          <w:szCs w:val="18"/>
          <w:lang w:eastAsia="zh-CN"/>
        </w:rPr>
        <w:t>’</w:t>
      </w:r>
      <w:r w:rsidRPr="00E55DB1">
        <w:rPr>
          <w:rFonts w:cs="Arial"/>
          <w:noProof/>
          <w:sz w:val="18"/>
          <w:szCs w:val="18"/>
          <w:lang w:eastAsia="zh-CN"/>
        </w:rPr>
        <w:t>OMPI sur les missions d</w:t>
      </w:r>
      <w:r w:rsidR="002F3A41">
        <w:rPr>
          <w:rFonts w:cs="Arial"/>
          <w:noProof/>
          <w:sz w:val="18"/>
          <w:szCs w:val="18"/>
          <w:lang w:eastAsia="zh-CN"/>
        </w:rPr>
        <w:t>’</w:t>
      </w:r>
      <w:r w:rsidRPr="00E55DB1">
        <w:rPr>
          <w:rFonts w:cs="Arial"/>
          <w:noProof/>
          <w:sz w:val="18"/>
          <w:szCs w:val="18"/>
          <w:lang w:eastAsia="zh-CN"/>
        </w:rPr>
        <w:t xml:space="preserve">enquête consacrées à la propriété intellectuelle et aux savoirs traditionnels </w:t>
      </w:r>
      <w:r w:rsidRPr="00E55DB1">
        <w:rPr>
          <w:rFonts w:cs="Arial"/>
          <w:noProof/>
          <w:sz w:val="18"/>
          <w:szCs w:val="18"/>
        </w:rPr>
        <w:t>(1998</w:t>
      </w:r>
      <w:r w:rsidR="002F3A41">
        <w:rPr>
          <w:rFonts w:cs="Arial"/>
          <w:noProof/>
          <w:sz w:val="18"/>
          <w:szCs w:val="18"/>
        </w:rPr>
        <w:t>-</w:t>
      </w:r>
      <w:r w:rsidRPr="00E55DB1">
        <w:rPr>
          <w:rFonts w:cs="Arial"/>
          <w:noProof/>
          <w:sz w:val="18"/>
          <w:szCs w:val="18"/>
        </w:rPr>
        <w:t>1999) intitulé “Savoirs traditionnels</w:t>
      </w:r>
      <w:r w:rsidR="002F3A41">
        <w:rPr>
          <w:rFonts w:cs="Arial"/>
          <w:noProof/>
          <w:sz w:val="18"/>
          <w:szCs w:val="18"/>
        </w:rPr>
        <w:t> :</w:t>
      </w:r>
      <w:r w:rsidRPr="00E55DB1">
        <w:rPr>
          <w:rFonts w:cs="Arial"/>
          <w:noProof/>
          <w:sz w:val="18"/>
          <w:szCs w:val="18"/>
        </w:rPr>
        <w:t xml:space="preserve"> besoins et attentes en matière de propriété intellectuelle”, page 171, disponible à l</w:t>
      </w:r>
      <w:r w:rsidR="002F3A41">
        <w:rPr>
          <w:rFonts w:cs="Arial"/>
          <w:noProof/>
          <w:sz w:val="18"/>
          <w:szCs w:val="18"/>
        </w:rPr>
        <w:t>’</w:t>
      </w:r>
      <w:r w:rsidR="00185850">
        <w:rPr>
          <w:rFonts w:cs="Arial"/>
          <w:noProof/>
          <w:sz w:val="18"/>
          <w:szCs w:val="18"/>
        </w:rPr>
        <w:t>adresse http</w:t>
      </w:r>
      <w:r w:rsidRPr="00E1729C">
        <w:rPr>
          <w:rStyle w:val="Hyperlink"/>
          <w:rFonts w:cs="Arial"/>
          <w:color w:val="auto"/>
          <w:sz w:val="18"/>
          <w:szCs w:val="18"/>
          <w:u w:val="none"/>
        </w:rPr>
        <w:t>s://www.wipo.int/edocs/pubdocs/fr/tk/768/wipo_pub_768.pdf</w:t>
      </w:r>
      <w:r w:rsidRPr="00E55DB1">
        <w:rPr>
          <w:rFonts w:cs="Arial"/>
          <w:noProof/>
          <w:sz w:val="18"/>
          <w:szCs w:val="18"/>
        </w:rPr>
        <w:t>.</w:t>
      </w:r>
    </w:p>
  </w:footnote>
  <w:footnote w:id="155">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de la Nouvelle</w:t>
      </w:r>
      <w:r w:rsidR="002F3A41">
        <w:rPr>
          <w:rFonts w:cs="Arial"/>
          <w:noProof/>
          <w:sz w:val="18"/>
          <w:szCs w:val="18"/>
        </w:rPr>
        <w:t>-</w:t>
      </w:r>
      <w:r w:rsidRPr="00E55DB1">
        <w:rPr>
          <w:rFonts w:cs="Arial"/>
          <w:noProof/>
          <w:sz w:val="18"/>
          <w:szCs w:val="18"/>
        </w:rPr>
        <w:t>Zélande durant la onz</w:t>
      </w:r>
      <w:r w:rsidR="002F3A41">
        <w:rPr>
          <w:rFonts w:cs="Arial"/>
          <w:noProof/>
          <w:sz w:val="18"/>
          <w:szCs w:val="18"/>
        </w:rPr>
        <w:t>ième session</w:t>
      </w:r>
      <w:r w:rsidRPr="00E55DB1">
        <w:rPr>
          <w:rFonts w:cs="Arial"/>
          <w:noProof/>
          <w:sz w:val="18"/>
          <w:szCs w:val="18"/>
        </w:rPr>
        <w:t xml:space="preserve"> du comité.  Voir le paragraphe 220 du rapport adopté durant la onz</w:t>
      </w:r>
      <w:r w:rsidR="002F3A41">
        <w:rPr>
          <w:rFonts w:cs="Arial"/>
          <w:noProof/>
          <w:sz w:val="18"/>
          <w:szCs w:val="18"/>
        </w:rPr>
        <w:t>ième session</w:t>
      </w:r>
      <w:r w:rsidRPr="00E55DB1">
        <w:rPr>
          <w:rFonts w:cs="Arial"/>
          <w:noProof/>
          <w:sz w:val="18"/>
          <w:szCs w:val="18"/>
        </w:rPr>
        <w:t xml:space="preserve"> (WIPO/GRTKF/IC/11/15).</w:t>
      </w:r>
    </w:p>
  </w:footnote>
  <w:footnote w:id="156">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du Japon durant la onz</w:t>
      </w:r>
      <w:r w:rsidR="002F3A41">
        <w:rPr>
          <w:rFonts w:cs="Arial"/>
          <w:noProof/>
          <w:sz w:val="18"/>
          <w:szCs w:val="18"/>
        </w:rPr>
        <w:t>ième session</w:t>
      </w:r>
      <w:r w:rsidRPr="00E55DB1">
        <w:rPr>
          <w:rFonts w:cs="Arial"/>
          <w:noProof/>
          <w:sz w:val="18"/>
          <w:szCs w:val="18"/>
        </w:rPr>
        <w:t xml:space="preserve"> du comité.  Voir le paragraphe 296 du rapport adopté durant la onz</w:t>
      </w:r>
      <w:r w:rsidR="002F3A41">
        <w:rPr>
          <w:rFonts w:cs="Arial"/>
          <w:noProof/>
          <w:sz w:val="18"/>
          <w:szCs w:val="18"/>
        </w:rPr>
        <w:t>ième session</w:t>
      </w:r>
      <w:r w:rsidRPr="00E55DB1">
        <w:rPr>
          <w:rFonts w:cs="Arial"/>
          <w:noProof/>
          <w:sz w:val="18"/>
          <w:szCs w:val="18"/>
        </w:rPr>
        <w:t xml:space="preserve"> (WIPO/GRTKF/IC/11/15).</w:t>
      </w:r>
    </w:p>
  </w:footnote>
  <w:footnote w:id="157">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protection des savoirs traditionnels</w:t>
      </w:r>
      <w:r w:rsidR="002F3A41">
        <w:rPr>
          <w:rFonts w:cs="Arial"/>
          <w:noProof/>
          <w:sz w:val="18"/>
          <w:szCs w:val="18"/>
        </w:rPr>
        <w:t> :</w:t>
      </w:r>
      <w:r w:rsidRPr="00E55DB1">
        <w:rPr>
          <w:rFonts w:cs="Arial"/>
          <w:noProof/>
          <w:sz w:val="18"/>
          <w:szCs w:val="18"/>
        </w:rPr>
        <w:t xml:space="preserve"> projet d</w:t>
      </w:r>
      <w:r w:rsidR="002F3A41">
        <w:rPr>
          <w:rFonts w:cs="Arial"/>
          <w:noProof/>
          <w:sz w:val="18"/>
          <w:szCs w:val="18"/>
        </w:rPr>
        <w:t>’</w:t>
      </w:r>
      <w:r w:rsidRPr="00E55DB1">
        <w:rPr>
          <w:rFonts w:cs="Arial"/>
          <w:noProof/>
          <w:sz w:val="18"/>
          <w:szCs w:val="18"/>
        </w:rPr>
        <w:t>analyse des lacunes y relatives</w:t>
      </w:r>
      <w:r w:rsidR="002F3A41">
        <w:rPr>
          <w:rFonts w:cs="Arial"/>
          <w:noProof/>
          <w:sz w:val="18"/>
          <w:szCs w:val="18"/>
        </w:rPr>
        <w:t> :</w:t>
      </w:r>
      <w:r w:rsidRPr="00E55DB1">
        <w:rPr>
          <w:rFonts w:cs="Arial"/>
          <w:noProof/>
          <w:sz w:val="18"/>
          <w:szCs w:val="18"/>
        </w:rPr>
        <w:t xml:space="preserve"> version révisée (WIPO/GRTKF/IC/13/5(b) Rev.), page 23 de l</w:t>
      </w:r>
      <w:r w:rsidR="002F3A41">
        <w:rPr>
          <w:rFonts w:cs="Arial"/>
          <w:noProof/>
          <w:sz w:val="18"/>
          <w:szCs w:val="18"/>
        </w:rPr>
        <w:t>’</w:t>
      </w:r>
      <w:r w:rsidRPr="00E55DB1">
        <w:rPr>
          <w:rFonts w:cs="Arial"/>
          <w:noProof/>
          <w:sz w:val="18"/>
          <w:szCs w:val="18"/>
        </w:rPr>
        <w:t>annexe I, pages 11 et 16 de l</w:t>
      </w:r>
      <w:r w:rsidR="002F3A41">
        <w:rPr>
          <w:rFonts w:cs="Arial"/>
          <w:noProof/>
          <w:sz w:val="18"/>
          <w:szCs w:val="18"/>
        </w:rPr>
        <w:t>’</w:t>
      </w:r>
      <w:r w:rsidRPr="00E55DB1">
        <w:rPr>
          <w:rFonts w:cs="Arial"/>
          <w:noProof/>
          <w:sz w:val="18"/>
          <w:szCs w:val="18"/>
        </w:rPr>
        <w:t>annexe II.</w:t>
      </w:r>
    </w:p>
  </w:footnote>
  <w:footnote w:id="158">
    <w:p w:rsidR="00D71DCD" w:rsidRPr="00E55DB1" w:rsidRDefault="00D71DCD"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de l</w:t>
      </w:r>
      <w:r w:rsidR="002F3A41">
        <w:rPr>
          <w:rFonts w:cs="Arial"/>
          <w:noProof/>
          <w:sz w:val="18"/>
          <w:szCs w:val="18"/>
        </w:rPr>
        <w:t>’</w:t>
      </w:r>
      <w:r w:rsidRPr="00E55DB1">
        <w:rPr>
          <w:rFonts w:cs="Arial"/>
          <w:noProof/>
          <w:sz w:val="18"/>
          <w:szCs w:val="18"/>
        </w:rPr>
        <w:t>OMPI sur les missions d</w:t>
      </w:r>
      <w:r w:rsidR="002F3A41">
        <w:rPr>
          <w:rFonts w:cs="Arial"/>
          <w:noProof/>
          <w:sz w:val="18"/>
          <w:szCs w:val="18"/>
        </w:rPr>
        <w:t>’</w:t>
      </w:r>
      <w:r w:rsidRPr="00E55DB1">
        <w:rPr>
          <w:rFonts w:cs="Arial"/>
          <w:noProof/>
          <w:sz w:val="18"/>
          <w:szCs w:val="18"/>
        </w:rPr>
        <w:t xml:space="preserve">enquête consacrées </w:t>
      </w:r>
      <w:r w:rsidRPr="00E55DB1">
        <w:rPr>
          <w:rFonts w:cs="Arial"/>
          <w:iCs/>
          <w:noProof/>
          <w:sz w:val="18"/>
          <w:szCs w:val="18"/>
        </w:rPr>
        <w:t>à la propriété intellectuelle et aux savoirs traditionnels (1998</w:t>
      </w:r>
      <w:r w:rsidR="002F3A41">
        <w:rPr>
          <w:rFonts w:cs="Arial"/>
          <w:iCs/>
          <w:noProof/>
          <w:sz w:val="18"/>
          <w:szCs w:val="18"/>
        </w:rPr>
        <w:t>-</w:t>
      </w:r>
      <w:r w:rsidRPr="00E55DB1">
        <w:rPr>
          <w:rFonts w:cs="Arial"/>
          <w:iCs/>
          <w:noProof/>
          <w:sz w:val="18"/>
          <w:szCs w:val="18"/>
        </w:rPr>
        <w:t>1999), intitulé “Savoirs traditionnels</w:t>
      </w:r>
      <w:r w:rsidR="002F3A41">
        <w:rPr>
          <w:rFonts w:cs="Arial"/>
          <w:iCs/>
          <w:noProof/>
          <w:sz w:val="18"/>
          <w:szCs w:val="18"/>
        </w:rPr>
        <w:t> :</w:t>
      </w:r>
      <w:r w:rsidRPr="00E55DB1">
        <w:rPr>
          <w:rFonts w:cs="Arial"/>
          <w:iCs/>
          <w:noProof/>
          <w:sz w:val="18"/>
          <w:szCs w:val="18"/>
        </w:rPr>
        <w:t xml:space="preserve"> besoins et attentes en matière de propriété intellectuelle”, </w:t>
      </w:r>
      <w:r w:rsidRPr="00E55DB1">
        <w:rPr>
          <w:rFonts w:cs="Arial"/>
          <w:noProof/>
          <w:sz w:val="18"/>
          <w:szCs w:val="18"/>
        </w:rPr>
        <w:t xml:space="preserve">page 23.  </w:t>
      </w:r>
      <w:r w:rsidRPr="00E55DB1">
        <w:rPr>
          <w:rFonts w:cs="Arial"/>
          <w:iCs/>
          <w:noProof/>
          <w:sz w:val="18"/>
          <w:szCs w:val="18"/>
        </w:rPr>
        <w:t>Voir aussi</w:t>
      </w:r>
      <w:r w:rsidRPr="00E55DB1">
        <w:rPr>
          <w:rFonts w:cs="Arial"/>
          <w:noProof/>
          <w:sz w:val="18"/>
          <w:szCs w:val="18"/>
        </w:rPr>
        <w:t xml:space="preserve"> le paragraphe 41 de l</w:t>
      </w:r>
      <w:r w:rsidR="002F3A41">
        <w:rPr>
          <w:rFonts w:cs="Arial"/>
          <w:noProof/>
          <w:sz w:val="18"/>
          <w:szCs w:val="18"/>
        </w:rPr>
        <w:t>’</w:t>
      </w:r>
      <w:r w:rsidRPr="00E55DB1">
        <w:rPr>
          <w:rFonts w:cs="Arial"/>
          <w:noProof/>
          <w:sz w:val="18"/>
          <w:szCs w:val="18"/>
        </w:rPr>
        <w:t>annexe du document WIPO/GRTKF/IC/17/INF/9 intitulé “Liste et explication technique succincte des différentes formes sous lesquelles les savoirs traditionnels peuvent se présenter”.</w:t>
      </w:r>
    </w:p>
  </w:footnote>
  <w:footnote w:id="159">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w:t>
      </w:r>
      <w:r w:rsidRPr="00E55DB1">
        <w:rPr>
          <w:rFonts w:cs="Arial"/>
          <w:i/>
          <w:noProof/>
          <w:sz w:val="18"/>
          <w:szCs w:val="18"/>
        </w:rPr>
        <w:t xml:space="preserve"> </w:t>
      </w:r>
      <w:r w:rsidRPr="00E55DB1">
        <w:rPr>
          <w:rFonts w:cs="Arial"/>
          <w:noProof/>
          <w:sz w:val="18"/>
          <w:szCs w:val="18"/>
        </w:rPr>
        <w:t>le Rapport de l</w:t>
      </w:r>
      <w:r w:rsidR="002F3A41">
        <w:rPr>
          <w:rFonts w:cs="Arial"/>
          <w:noProof/>
          <w:sz w:val="18"/>
          <w:szCs w:val="18"/>
        </w:rPr>
        <w:t>’</w:t>
      </w:r>
      <w:r w:rsidRPr="00E55DB1">
        <w:rPr>
          <w:rFonts w:cs="Arial"/>
          <w:noProof/>
          <w:sz w:val="18"/>
          <w:szCs w:val="18"/>
        </w:rPr>
        <w:t>OMPI sur les missions d</w:t>
      </w:r>
      <w:r w:rsidR="002F3A41">
        <w:rPr>
          <w:rFonts w:cs="Arial"/>
          <w:noProof/>
          <w:sz w:val="18"/>
          <w:szCs w:val="18"/>
        </w:rPr>
        <w:t>’</w:t>
      </w:r>
      <w:r w:rsidRPr="00E55DB1">
        <w:rPr>
          <w:rFonts w:cs="Arial"/>
          <w:noProof/>
          <w:sz w:val="18"/>
          <w:szCs w:val="18"/>
        </w:rPr>
        <w:t>enquête consacrées à la propriété intellectuelle et aux savoirs traditionnels (1998</w:t>
      </w:r>
      <w:r w:rsidR="002F3A41">
        <w:rPr>
          <w:rFonts w:cs="Arial"/>
          <w:noProof/>
          <w:sz w:val="18"/>
          <w:szCs w:val="18"/>
        </w:rPr>
        <w:t>-</w:t>
      </w:r>
      <w:r w:rsidRPr="00E55DB1">
        <w:rPr>
          <w:rFonts w:cs="Arial"/>
          <w:noProof/>
          <w:sz w:val="18"/>
          <w:szCs w:val="18"/>
        </w:rPr>
        <w:t>1999) intitulé “Savoirs traditionnels</w:t>
      </w:r>
      <w:r w:rsidR="002F3A41">
        <w:rPr>
          <w:rFonts w:cs="Arial"/>
          <w:noProof/>
          <w:sz w:val="18"/>
          <w:szCs w:val="18"/>
        </w:rPr>
        <w:t> :</w:t>
      </w:r>
      <w:r w:rsidRPr="00E55DB1">
        <w:rPr>
          <w:rFonts w:cs="Arial"/>
          <w:noProof/>
          <w:sz w:val="18"/>
          <w:szCs w:val="18"/>
        </w:rPr>
        <w:t xml:space="preserve"> besoins et attentes en matière de propriété intellectuelle”, page 25, disponible à l</w:t>
      </w:r>
      <w:r w:rsidR="002F3A41">
        <w:rPr>
          <w:rFonts w:cs="Arial"/>
          <w:noProof/>
          <w:sz w:val="18"/>
          <w:szCs w:val="18"/>
        </w:rPr>
        <w:t>’</w:t>
      </w:r>
      <w:r w:rsidR="00185850">
        <w:rPr>
          <w:rFonts w:cs="Arial"/>
          <w:noProof/>
          <w:sz w:val="18"/>
          <w:szCs w:val="18"/>
        </w:rPr>
        <w:t>adresse http</w:t>
      </w:r>
      <w:r w:rsidRPr="00E1729C">
        <w:rPr>
          <w:rStyle w:val="Hyperlink"/>
          <w:rFonts w:cs="Arial"/>
          <w:noProof/>
          <w:color w:val="auto"/>
          <w:sz w:val="18"/>
          <w:szCs w:val="18"/>
          <w:u w:val="none"/>
        </w:rPr>
        <w:t>s</w:t>
      </w:r>
      <w:r w:rsidRPr="000D5705">
        <w:rPr>
          <w:rStyle w:val="Hyperlink"/>
          <w:rFonts w:cs="Arial"/>
          <w:noProof/>
          <w:color w:val="auto"/>
          <w:sz w:val="18"/>
          <w:szCs w:val="18"/>
          <w:u w:val="none"/>
        </w:rPr>
        <w:t>://www.wipo.int/publications/fr/details.jsp?id=283&amp;plang=EN</w:t>
      </w:r>
      <w:r w:rsidRPr="00E55DB1">
        <w:rPr>
          <w:rFonts w:cs="Arial"/>
          <w:noProof/>
          <w:sz w:val="18"/>
          <w:szCs w:val="18"/>
        </w:rPr>
        <w:t>.</w:t>
      </w:r>
    </w:p>
  </w:footnote>
  <w:footnote w:id="160">
    <w:p w:rsidR="00D71DCD" w:rsidRPr="00E55DB1" w:rsidRDefault="00D71DCD"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Liste et explication technique succincte des différentes formes sous lesquelles les savoirs traditionnels peuvent se présenter (WIPO/GRTKF/IC/17/INF/9), paragraphe 16 de l</w:t>
      </w:r>
      <w:r w:rsidR="002F3A41">
        <w:rPr>
          <w:rFonts w:cs="Arial"/>
          <w:noProof/>
          <w:sz w:val="18"/>
          <w:szCs w:val="18"/>
        </w:rPr>
        <w:t>’</w:t>
      </w:r>
      <w:r w:rsidRPr="00E55DB1">
        <w:rPr>
          <w:rFonts w:cs="Arial"/>
          <w:noProof/>
          <w:sz w:val="18"/>
          <w:szCs w:val="18"/>
        </w:rPr>
        <w:t>annexe.</w:t>
      </w:r>
    </w:p>
  </w:footnote>
  <w:footnote w:id="161">
    <w:p w:rsidR="00D71DCD" w:rsidRPr="00E55DB1" w:rsidRDefault="00D71DCD"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médecine ayurvédique constitue un système codifié de médecine traditionnelle qui a été divulgué par écrit durant la période védique lorsque les Aryens ont réuni les quatre Veda (1500</w:t>
      </w:r>
      <w:r w:rsidR="002F3A41">
        <w:rPr>
          <w:rFonts w:cs="Arial"/>
          <w:noProof/>
          <w:sz w:val="18"/>
          <w:szCs w:val="18"/>
        </w:rPr>
        <w:t>-</w:t>
      </w:r>
      <w:r w:rsidRPr="00E55DB1">
        <w:rPr>
          <w:rFonts w:cs="Arial"/>
          <w:noProof/>
          <w:sz w:val="18"/>
          <w:szCs w:val="18"/>
        </w:rPr>
        <w:t>1800 av. J.</w:t>
      </w:r>
      <w:r w:rsidR="002F3A41">
        <w:rPr>
          <w:rFonts w:cs="Arial"/>
          <w:noProof/>
          <w:sz w:val="18"/>
          <w:szCs w:val="18"/>
        </w:rPr>
        <w:t>-</w:t>
      </w:r>
      <w:r w:rsidRPr="00E55DB1">
        <w:rPr>
          <w:rFonts w:cs="Arial"/>
          <w:noProof/>
          <w:sz w:val="18"/>
          <w:szCs w:val="18"/>
        </w:rPr>
        <w:t>C.), mentionnés de très nombreuses fois dans le Rigveda et l</w:t>
      </w:r>
      <w:r w:rsidR="002F3A41">
        <w:rPr>
          <w:rFonts w:cs="Arial"/>
          <w:noProof/>
          <w:sz w:val="18"/>
          <w:szCs w:val="18"/>
        </w:rPr>
        <w:t>’</w:t>
      </w:r>
      <w:r w:rsidRPr="00E55DB1">
        <w:rPr>
          <w:rFonts w:cs="Arial"/>
          <w:noProof/>
          <w:sz w:val="18"/>
          <w:szCs w:val="18"/>
        </w:rPr>
        <w:t>Atharvaveda.</w:t>
      </w:r>
    </w:p>
  </w:footnote>
  <w:footnote w:id="162">
    <w:p w:rsidR="00D71DCD" w:rsidRPr="00E55DB1" w:rsidRDefault="00D71DCD"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médecine traditionnelle chinoise a été pour la première fois codifiée et divulguée par écrit dans le Traité de médecine interne de l</w:t>
      </w:r>
      <w:r w:rsidR="002F3A41">
        <w:rPr>
          <w:rFonts w:cs="Arial"/>
          <w:noProof/>
          <w:sz w:val="18"/>
          <w:szCs w:val="18"/>
        </w:rPr>
        <w:t>’</w:t>
      </w:r>
      <w:r w:rsidRPr="00E55DB1">
        <w:rPr>
          <w:rFonts w:cs="Arial"/>
          <w:noProof/>
          <w:sz w:val="18"/>
          <w:szCs w:val="18"/>
        </w:rPr>
        <w:t>Empereur Jaune, premier grand classique en la matière.  Ce traité, dont l</w:t>
      </w:r>
      <w:r w:rsidR="002F3A41">
        <w:rPr>
          <w:rFonts w:cs="Arial"/>
          <w:noProof/>
          <w:sz w:val="18"/>
          <w:szCs w:val="18"/>
        </w:rPr>
        <w:t>’</w:t>
      </w:r>
      <w:r w:rsidRPr="00E55DB1">
        <w:rPr>
          <w:rFonts w:cs="Arial"/>
          <w:noProof/>
          <w:sz w:val="18"/>
          <w:szCs w:val="18"/>
        </w:rPr>
        <w:t>élaboration a pris plusieurs siècles, a été publié entre 300 et 100 av. J.</w:t>
      </w:r>
      <w:r w:rsidR="002F3A41">
        <w:rPr>
          <w:rFonts w:cs="Arial"/>
          <w:noProof/>
          <w:sz w:val="18"/>
          <w:szCs w:val="18"/>
        </w:rPr>
        <w:t>-</w:t>
      </w:r>
      <w:r w:rsidRPr="00E55DB1">
        <w:rPr>
          <w:rFonts w:cs="Arial"/>
          <w:noProof/>
          <w:sz w:val="18"/>
          <w:szCs w:val="18"/>
        </w:rPr>
        <w:t>C.</w:t>
      </w:r>
    </w:p>
  </w:footnote>
  <w:footnote w:id="163">
    <w:p w:rsidR="00D71DCD" w:rsidRPr="00E55DB1" w:rsidRDefault="00D71DCD" w:rsidP="004B68AF">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En Inde, la première annexe de la loi n° 23 de 1940 sur les médicaments et les produits cosmétiques, telle que modifiée par la loi n° 71 de 1986 sur les médicaments et les produits cosmétiques, énumère expressément les livres faisant autorité pour les systèmes ayurvédiques, Siddha et Unani Tibb.  Inventaire des bases de données existantes en ligne contenant des documents sur les savoirs traditionnels (WIPO/GRTKF/IC/3/6), paragraphe 8.  </w:t>
      </w:r>
      <w:r w:rsidRPr="00E55DB1">
        <w:rPr>
          <w:rFonts w:cs="Arial"/>
          <w:noProof/>
          <w:sz w:val="18"/>
          <w:szCs w:val="18"/>
          <w:lang w:val="en-US"/>
        </w:rPr>
        <w:t>Voir également l</w:t>
      </w:r>
      <w:r w:rsidR="002F3A41">
        <w:rPr>
          <w:rFonts w:cs="Arial"/>
          <w:noProof/>
          <w:sz w:val="18"/>
          <w:szCs w:val="18"/>
          <w:lang w:val="en-US"/>
        </w:rPr>
        <w:t>’</w:t>
      </w:r>
      <w:r w:rsidRPr="00E55DB1">
        <w:rPr>
          <w:rFonts w:cs="Arial"/>
          <w:noProof/>
          <w:sz w:val="18"/>
          <w:szCs w:val="18"/>
          <w:lang w:val="en-US"/>
        </w:rPr>
        <w:t xml:space="preserve">ouvrage de Karin Timmermans et Togi Hutadjulu intitulé </w:t>
      </w:r>
      <w:r w:rsidRPr="00E55DB1">
        <w:rPr>
          <w:rFonts w:cs="Arial"/>
          <w:iCs/>
          <w:noProof/>
          <w:sz w:val="18"/>
          <w:szCs w:val="18"/>
          <w:lang w:val="en-US"/>
        </w:rPr>
        <w:t>“The TRIPs Agreement and Pharmaceuticals</w:t>
      </w:r>
      <w:r w:rsidR="002F3A41">
        <w:rPr>
          <w:rFonts w:cs="Arial"/>
          <w:iCs/>
          <w:noProof/>
          <w:sz w:val="18"/>
          <w:szCs w:val="18"/>
          <w:lang w:val="en-US"/>
        </w:rPr>
        <w:t>:</w:t>
      </w:r>
      <w:r w:rsidRPr="00E55DB1">
        <w:rPr>
          <w:rFonts w:cs="Arial"/>
          <w:iCs/>
          <w:noProof/>
          <w:sz w:val="18"/>
          <w:szCs w:val="18"/>
          <w:lang w:val="en-US"/>
        </w:rPr>
        <w:t xml:space="preserve"> Report of an ASEAN Workshop on the TRIPs Agreement and its Impact on Pharmaceuticals”</w:t>
      </w:r>
      <w:r w:rsidRPr="00E55DB1">
        <w:rPr>
          <w:rFonts w:cs="Arial"/>
          <w:noProof/>
          <w:sz w:val="18"/>
          <w:szCs w:val="18"/>
          <w:lang w:val="en-US"/>
        </w:rPr>
        <w:t>, page 45.</w:t>
      </w:r>
    </w:p>
  </w:footnote>
  <w:footnote w:id="164">
    <w:p w:rsidR="00D71DCD" w:rsidRPr="00E55DB1" w:rsidRDefault="00D71DCD"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du Canada.  Voir le rapport de la deux</w:t>
      </w:r>
      <w:r w:rsidR="002F3A41">
        <w:rPr>
          <w:rFonts w:cs="Arial"/>
          <w:noProof/>
          <w:sz w:val="18"/>
          <w:szCs w:val="18"/>
        </w:rPr>
        <w:t>ième session</w:t>
      </w:r>
      <w:r w:rsidRPr="00E55DB1">
        <w:rPr>
          <w:rFonts w:cs="Arial"/>
          <w:noProof/>
          <w:sz w:val="18"/>
          <w:szCs w:val="18"/>
        </w:rPr>
        <w:t xml:space="preserve"> (OMPI/GRTKF/IC/2/16), paragraphe 131.</w:t>
      </w:r>
    </w:p>
  </w:footnote>
  <w:footnote w:id="165">
    <w:p w:rsidR="00D71DCD" w:rsidRPr="00E55DB1" w:rsidRDefault="00D71DCD"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4 de l</w:t>
      </w:r>
      <w:r w:rsidR="002F3A41">
        <w:rPr>
          <w:rFonts w:cs="Arial"/>
          <w:noProof/>
          <w:sz w:val="18"/>
          <w:szCs w:val="18"/>
        </w:rPr>
        <w:t>’</w:t>
      </w:r>
      <w:r w:rsidRPr="00E55DB1">
        <w:rPr>
          <w:rFonts w:cs="Arial"/>
          <w:noProof/>
          <w:sz w:val="18"/>
          <w:szCs w:val="18"/>
        </w:rPr>
        <w:t>annexe de la Liste et explication technique succincte des différentes formes sous lesquelles les savoirs traditionnels peuvent se présenter (document WIPO/GRTKF/IC/17/INF/9).</w:t>
      </w:r>
    </w:p>
  </w:footnote>
  <w:footnote w:id="166">
    <w:p w:rsidR="00D71DCD" w:rsidRPr="00E55DB1" w:rsidRDefault="00D71DCD"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 xml:space="preserve">Partie I.4 du Cadre juridique régional du Pacifique pour la protection des savoirs traditionnels et des expressions de la culture (2002).  </w:t>
      </w:r>
    </w:p>
  </w:footnote>
  <w:footnote w:id="167">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articles 15, 16 et 19 de la CDB.</w:t>
      </w:r>
    </w:p>
  </w:footnote>
  <w:footnote w:id="168">
    <w:p w:rsidR="00D71DCD" w:rsidRPr="00E55DB1" w:rsidRDefault="00D71DCD"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les articles 10 à 13 du Traité international sur les ressources phytogénétiques pour l</w:t>
      </w:r>
      <w:r w:rsidR="002F3A41">
        <w:rPr>
          <w:rFonts w:cs="Arial"/>
          <w:noProof/>
          <w:sz w:val="18"/>
          <w:szCs w:val="18"/>
        </w:rPr>
        <w:t>’</w:t>
      </w:r>
      <w:r w:rsidRPr="00E55DB1">
        <w:rPr>
          <w:rFonts w:cs="Arial"/>
          <w:noProof/>
          <w:sz w:val="18"/>
          <w:szCs w:val="18"/>
        </w:rPr>
        <w:t>alimentation et l</w:t>
      </w:r>
      <w:r w:rsidR="002F3A41">
        <w:rPr>
          <w:rFonts w:cs="Arial"/>
          <w:noProof/>
          <w:sz w:val="18"/>
          <w:szCs w:val="18"/>
        </w:rPr>
        <w:t>’</w:t>
      </w:r>
      <w:r w:rsidRPr="00E55DB1">
        <w:rPr>
          <w:rFonts w:cs="Arial"/>
          <w:noProof/>
          <w:sz w:val="18"/>
          <w:szCs w:val="18"/>
        </w:rPr>
        <w:t>agriculture.</w:t>
      </w:r>
    </w:p>
  </w:footnote>
  <w:footnote w:id="169">
    <w:p w:rsidR="00D71DCD" w:rsidRPr="00E55DB1" w:rsidRDefault="00D71DCD"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w:t>
      </w:r>
      <w:r w:rsidR="002F3A41">
        <w:rPr>
          <w:rFonts w:cs="Arial"/>
          <w:noProof/>
          <w:sz w:val="18"/>
          <w:szCs w:val="18"/>
        </w:rPr>
        <w:t>’</w:t>
      </w:r>
      <w:r w:rsidRPr="00E55DB1">
        <w:rPr>
          <w:rFonts w:cs="Arial"/>
          <w:noProof/>
          <w:sz w:val="18"/>
          <w:szCs w:val="18"/>
        </w:rPr>
        <w:t>article 8 j) de la CDB.</w:t>
      </w:r>
    </w:p>
  </w:footnote>
  <w:footnote w:id="170">
    <w:p w:rsidR="00D71DCD" w:rsidRPr="00E55DB1" w:rsidRDefault="00D71DCD"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 document WIPO/GRTKF/IC/11/10.</w:t>
      </w:r>
    </w:p>
  </w:footnote>
  <w:footnote w:id="171">
    <w:p w:rsidR="00D71DCD" w:rsidRPr="00E55DB1" w:rsidRDefault="00D71DCD" w:rsidP="00EF6794">
      <w:pPr>
        <w:pStyle w:val="FootnoteText"/>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Article premier du Traité international.  </w:t>
      </w:r>
    </w:p>
  </w:footnote>
  <w:footnote w:id="172">
    <w:p w:rsidR="00D71DCD" w:rsidRPr="00E55DB1" w:rsidRDefault="00D71DCD"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Il a été proposé d</w:t>
      </w:r>
      <w:r w:rsidR="002F3A41">
        <w:rPr>
          <w:rFonts w:cs="Arial"/>
          <w:noProof/>
          <w:sz w:val="18"/>
          <w:szCs w:val="18"/>
        </w:rPr>
        <w:t>’</w:t>
      </w:r>
      <w:r w:rsidRPr="00E55DB1">
        <w:rPr>
          <w:rFonts w:cs="Arial"/>
          <w:noProof/>
          <w:sz w:val="18"/>
          <w:szCs w:val="18"/>
        </w:rPr>
        <w:t>ajouter le terme “utilisation illicite” dans le texte du document intitulé “La protection des savoirs traditionnels</w:t>
      </w:r>
      <w:r w:rsidR="002F3A41">
        <w:rPr>
          <w:rFonts w:cs="Arial"/>
          <w:noProof/>
          <w:sz w:val="18"/>
          <w:szCs w:val="18"/>
        </w:rPr>
        <w:t> :</w:t>
      </w:r>
      <w:r w:rsidRPr="00E55DB1">
        <w:rPr>
          <w:rFonts w:cs="Arial"/>
          <w:noProof/>
          <w:sz w:val="18"/>
          <w:szCs w:val="18"/>
        </w:rPr>
        <w:t xml:space="preserve"> objectifs et principes révisés” (WIPO/GRTKF/IC/18/5) par certaines délégations, telles que la délégation de l</w:t>
      </w:r>
      <w:r w:rsidR="002F3A41">
        <w:rPr>
          <w:rFonts w:cs="Arial"/>
          <w:noProof/>
          <w:sz w:val="18"/>
          <w:szCs w:val="18"/>
        </w:rPr>
        <w:t>’</w:t>
      </w:r>
      <w:r w:rsidRPr="00E55DB1">
        <w:rPr>
          <w:rFonts w:cs="Arial"/>
          <w:noProof/>
          <w:sz w:val="18"/>
          <w:szCs w:val="18"/>
        </w:rPr>
        <w:t>Indonésie et la délégation du Mexique.  Cependant, la délégation de l</w:t>
      </w:r>
      <w:r w:rsidR="002F3A41">
        <w:rPr>
          <w:rFonts w:cs="Arial"/>
          <w:noProof/>
          <w:sz w:val="18"/>
          <w:szCs w:val="18"/>
        </w:rPr>
        <w:t>’</w:t>
      </w:r>
      <w:r w:rsidRPr="00E55DB1">
        <w:rPr>
          <w:rFonts w:cs="Arial"/>
          <w:noProof/>
          <w:sz w:val="18"/>
          <w:szCs w:val="18"/>
        </w:rPr>
        <w:t>Australie a noté que l</w:t>
      </w:r>
      <w:r w:rsidR="002F3A41">
        <w:rPr>
          <w:rFonts w:cs="Arial"/>
          <w:noProof/>
          <w:sz w:val="18"/>
          <w:szCs w:val="18"/>
        </w:rPr>
        <w:t>’</w:t>
      </w:r>
      <w:r w:rsidRPr="00E55DB1">
        <w:rPr>
          <w:rFonts w:cs="Arial"/>
          <w:noProof/>
          <w:sz w:val="18"/>
          <w:szCs w:val="18"/>
        </w:rPr>
        <w:t>utilisation illicite était une expression utilisée dans le cadre de la CDB dans le projet du texte à négocier relatif à un régime international d</w:t>
      </w:r>
      <w:r w:rsidR="002F3A41">
        <w:rPr>
          <w:rFonts w:cs="Arial"/>
          <w:noProof/>
          <w:sz w:val="18"/>
          <w:szCs w:val="18"/>
        </w:rPr>
        <w:t>’</w:t>
      </w:r>
      <w:r w:rsidRPr="00E55DB1">
        <w:rPr>
          <w:rFonts w:cs="Arial"/>
          <w:noProof/>
          <w:sz w:val="18"/>
          <w:szCs w:val="18"/>
        </w:rPr>
        <w:t>accès et de partage des avantages en matière de ressources génétiques et de savoirs traditionnels associés.  Elle était utilisée pour renvoyer aux actes qui étaient contraires aux conditions convenues d</w:t>
      </w:r>
      <w:r w:rsidR="002F3A41">
        <w:rPr>
          <w:rFonts w:cs="Arial"/>
          <w:noProof/>
          <w:sz w:val="18"/>
          <w:szCs w:val="18"/>
        </w:rPr>
        <w:t>’</w:t>
      </w:r>
      <w:r w:rsidRPr="00E55DB1">
        <w:rPr>
          <w:rFonts w:cs="Arial"/>
          <w:noProof/>
          <w:sz w:val="18"/>
          <w:szCs w:val="18"/>
        </w:rPr>
        <w:t>un commun accord, alors que l</w:t>
      </w:r>
      <w:r w:rsidR="002F3A41">
        <w:rPr>
          <w:rFonts w:cs="Arial"/>
          <w:noProof/>
          <w:sz w:val="18"/>
          <w:szCs w:val="18"/>
        </w:rPr>
        <w:t>’</w:t>
      </w:r>
      <w:r w:rsidRPr="00E55DB1">
        <w:rPr>
          <w:rFonts w:cs="Arial"/>
          <w:noProof/>
          <w:sz w:val="18"/>
          <w:szCs w:val="18"/>
        </w:rPr>
        <w:t>appropriation illicite renvoyait elle essentiellement aux actes d</w:t>
      </w:r>
      <w:r w:rsidR="002F3A41">
        <w:rPr>
          <w:rFonts w:cs="Arial"/>
          <w:noProof/>
          <w:sz w:val="18"/>
          <w:szCs w:val="18"/>
        </w:rPr>
        <w:t>’</w:t>
      </w:r>
      <w:r w:rsidRPr="00E55DB1">
        <w:rPr>
          <w:rFonts w:cs="Arial"/>
          <w:noProof/>
          <w:sz w:val="18"/>
          <w:szCs w:val="18"/>
        </w:rPr>
        <w:t>acquisition sans consentement préalable en connaissance de cause.  Elle a appelé à approfondir le débat sur le sens de ces expressions dans le cadre du présent comité et en ce qui concerne la propriété intellectuelle plutôt que l</w:t>
      </w:r>
      <w:r w:rsidR="002F3A41">
        <w:rPr>
          <w:rFonts w:cs="Arial"/>
          <w:noProof/>
          <w:sz w:val="18"/>
          <w:szCs w:val="18"/>
        </w:rPr>
        <w:t>’</w:t>
      </w:r>
      <w:r w:rsidRPr="00E55DB1">
        <w:rPr>
          <w:rFonts w:cs="Arial"/>
          <w:noProof/>
          <w:sz w:val="18"/>
          <w:szCs w:val="18"/>
        </w:rPr>
        <w:t>accès aux savoirs traditionnels et aux ressources génétiques.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81" w:rsidRDefault="00D23D81" w:rsidP="00D23D81">
    <w:pPr>
      <w:pStyle w:val="Header"/>
      <w:jc w:val="right"/>
      <w:rPr>
        <w:szCs w:val="22"/>
      </w:rPr>
    </w:pPr>
    <w:r>
      <w:rPr>
        <w:szCs w:val="22"/>
      </w:rPr>
      <w:t>WIPO/GRTKF/IC/44/INF/7</w:t>
    </w:r>
  </w:p>
  <w:p w:rsidR="00D23D81" w:rsidRDefault="00D23D81" w:rsidP="00D23D81">
    <w:pPr>
      <w:pStyle w:val="Header"/>
      <w:spacing w:after="480"/>
      <w:jc w:val="right"/>
      <w:rPr>
        <w:szCs w:val="22"/>
      </w:rPr>
    </w:pPr>
    <w:r>
      <w:rPr>
        <w:szCs w:val="22"/>
      </w:rPr>
      <w:t>page </w:t>
    </w:r>
    <w:r>
      <w:rPr>
        <w:rStyle w:val="PageNumber"/>
        <w:szCs w:val="22"/>
      </w:rPr>
      <w:fldChar w:fldCharType="begin"/>
    </w:r>
    <w:r>
      <w:rPr>
        <w:rStyle w:val="PageNumber"/>
        <w:szCs w:val="22"/>
      </w:rPr>
      <w:instrText xml:space="preserve"> PAGE </w:instrText>
    </w:r>
    <w:r>
      <w:rPr>
        <w:rStyle w:val="PageNumber"/>
        <w:szCs w:val="22"/>
      </w:rPr>
      <w:fldChar w:fldCharType="separate"/>
    </w:r>
    <w:r w:rsidR="00E56FA4">
      <w:rPr>
        <w:rStyle w:val="PageNumber"/>
        <w:noProof/>
        <w:szCs w:val="22"/>
      </w:rPr>
      <w:t>2</w:t>
    </w:r>
    <w:r>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DCD" w:rsidRDefault="00D71DCD">
    <w:pPr>
      <w:pStyle w:val="Header"/>
      <w:jc w:val="right"/>
      <w:rPr>
        <w:szCs w:val="22"/>
      </w:rPr>
    </w:pPr>
    <w:r>
      <w:rPr>
        <w:szCs w:val="22"/>
      </w:rPr>
      <w:t>WIPO/GRTKF/IC/44/INF/7</w:t>
    </w:r>
  </w:p>
  <w:p w:rsidR="00D71DCD" w:rsidRDefault="00D71DCD" w:rsidP="00D71DCD">
    <w:pPr>
      <w:pStyle w:val="Header"/>
      <w:spacing w:after="480"/>
      <w:jc w:val="right"/>
      <w:rPr>
        <w:szCs w:val="22"/>
      </w:rPr>
    </w:pPr>
    <w:r>
      <w:rPr>
        <w:szCs w:val="22"/>
      </w:rPr>
      <w:t>page </w:t>
    </w:r>
    <w:r>
      <w:rPr>
        <w:rStyle w:val="PageNumber"/>
        <w:szCs w:val="22"/>
      </w:rPr>
      <w:fldChar w:fldCharType="begin"/>
    </w:r>
    <w:r>
      <w:rPr>
        <w:rStyle w:val="PageNumber"/>
        <w:szCs w:val="22"/>
      </w:rPr>
      <w:instrText xml:space="preserve"> PAGE </w:instrText>
    </w:r>
    <w:r>
      <w:rPr>
        <w:rStyle w:val="PageNumber"/>
        <w:szCs w:val="22"/>
      </w:rPr>
      <w:fldChar w:fldCharType="separate"/>
    </w:r>
    <w:r w:rsidR="00D23D81">
      <w:rPr>
        <w:rStyle w:val="PageNumber"/>
        <w:noProof/>
        <w:szCs w:val="22"/>
      </w:rPr>
      <w:t>2</w:t>
    </w:r>
    <w:r>
      <w:rPr>
        <w:rStyle w:val="PageNumbe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81" w:rsidRDefault="00D23D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81" w:rsidRDefault="00D23D81" w:rsidP="00D23D81">
    <w:pPr>
      <w:pStyle w:val="Header"/>
      <w:jc w:val="right"/>
      <w:rPr>
        <w:szCs w:val="22"/>
      </w:rPr>
    </w:pPr>
    <w:r>
      <w:rPr>
        <w:szCs w:val="22"/>
      </w:rPr>
      <w:t>WIPO/GRTKF/IC/44/INF/7</w:t>
    </w:r>
  </w:p>
  <w:p w:rsidR="00D23D81" w:rsidRDefault="00D23D81" w:rsidP="00D23D81">
    <w:pPr>
      <w:pStyle w:val="Header"/>
      <w:tabs>
        <w:tab w:val="clear" w:pos="9072"/>
        <w:tab w:val="right" w:pos="9100"/>
      </w:tabs>
      <w:spacing w:after="480"/>
      <w:jc w:val="right"/>
      <w:rPr>
        <w:rStyle w:val="PageNumber"/>
        <w:szCs w:val="22"/>
      </w:rPr>
    </w:pPr>
    <w:r>
      <w:rPr>
        <w:szCs w:val="22"/>
      </w:rPr>
      <w:t xml:space="preserve">Annexe, page </w:t>
    </w:r>
    <w:r>
      <w:rPr>
        <w:rStyle w:val="PageNumber"/>
        <w:szCs w:val="22"/>
      </w:rPr>
      <w:fldChar w:fldCharType="begin"/>
    </w:r>
    <w:r>
      <w:rPr>
        <w:rStyle w:val="PageNumber"/>
        <w:szCs w:val="22"/>
      </w:rPr>
      <w:instrText xml:space="preserve"> PAGE </w:instrText>
    </w:r>
    <w:r>
      <w:rPr>
        <w:rStyle w:val="PageNumber"/>
        <w:szCs w:val="22"/>
      </w:rPr>
      <w:fldChar w:fldCharType="separate"/>
    </w:r>
    <w:r w:rsidR="00E56FA4">
      <w:rPr>
        <w:rStyle w:val="PageNumber"/>
        <w:noProof/>
        <w:szCs w:val="22"/>
      </w:rPr>
      <w:t>18</w:t>
    </w:r>
    <w:r>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DCD" w:rsidRDefault="00D71DCD">
    <w:pPr>
      <w:pStyle w:val="Header"/>
      <w:jc w:val="right"/>
      <w:rPr>
        <w:szCs w:val="22"/>
      </w:rPr>
    </w:pPr>
    <w:r>
      <w:rPr>
        <w:szCs w:val="22"/>
      </w:rPr>
      <w:t>WIPO/GRTKF/IC/4</w:t>
    </w:r>
    <w:r w:rsidR="00D23D81">
      <w:rPr>
        <w:szCs w:val="22"/>
      </w:rPr>
      <w:t>4</w:t>
    </w:r>
    <w:r>
      <w:rPr>
        <w:szCs w:val="22"/>
      </w:rPr>
      <w:t>/INF/7</w:t>
    </w:r>
  </w:p>
  <w:p w:rsidR="00D71DCD" w:rsidRDefault="00D71DCD" w:rsidP="00D23D81">
    <w:pPr>
      <w:pStyle w:val="Header"/>
      <w:tabs>
        <w:tab w:val="clear" w:pos="9072"/>
        <w:tab w:val="right" w:pos="9100"/>
      </w:tabs>
      <w:spacing w:after="480"/>
      <w:jc w:val="right"/>
      <w:rPr>
        <w:rStyle w:val="PageNumber"/>
        <w:szCs w:val="22"/>
      </w:rPr>
    </w:pPr>
    <w:r>
      <w:rPr>
        <w:szCs w:val="22"/>
      </w:rPr>
      <w:t xml:space="preserve">Annexe, page </w:t>
    </w:r>
    <w:r>
      <w:rPr>
        <w:rStyle w:val="PageNumber"/>
        <w:szCs w:val="22"/>
      </w:rPr>
      <w:fldChar w:fldCharType="begin"/>
    </w:r>
    <w:r>
      <w:rPr>
        <w:rStyle w:val="PageNumber"/>
        <w:szCs w:val="22"/>
      </w:rPr>
      <w:instrText xml:space="preserve"> PAGE </w:instrText>
    </w:r>
    <w:r>
      <w:rPr>
        <w:rStyle w:val="PageNumber"/>
        <w:szCs w:val="22"/>
      </w:rPr>
      <w:fldChar w:fldCharType="separate"/>
    </w:r>
    <w:r w:rsidR="00E56FA4">
      <w:rPr>
        <w:rStyle w:val="PageNumber"/>
        <w:noProof/>
        <w:szCs w:val="22"/>
      </w:rPr>
      <w:t>17</w:t>
    </w:r>
    <w:r>
      <w:rPr>
        <w:rStyle w:val="PageNumber"/>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DCD" w:rsidRPr="001E0485" w:rsidRDefault="00D71DCD">
    <w:pPr>
      <w:ind w:right="-1"/>
      <w:jc w:val="right"/>
      <w:rPr>
        <w:szCs w:val="22"/>
        <w:lang w:val="en-US"/>
      </w:rPr>
    </w:pPr>
    <w:r w:rsidRPr="001E0485">
      <w:rPr>
        <w:szCs w:val="22"/>
        <w:lang w:val="en-US"/>
      </w:rPr>
      <w:t>WIPO/GRTKF/IC/</w:t>
    </w:r>
    <w:r>
      <w:rPr>
        <w:szCs w:val="22"/>
        <w:lang w:val="en-US"/>
      </w:rPr>
      <w:t>44</w:t>
    </w:r>
    <w:r w:rsidRPr="001E0485">
      <w:rPr>
        <w:szCs w:val="22"/>
        <w:lang w:val="en-US"/>
      </w:rPr>
      <w:t>/INF/7</w:t>
    </w:r>
  </w:p>
  <w:p w:rsidR="00D71DCD" w:rsidRPr="001E0485" w:rsidRDefault="00D71DCD" w:rsidP="00D71DCD">
    <w:pPr>
      <w:pStyle w:val="Header"/>
      <w:spacing w:after="480"/>
      <w:jc w:val="right"/>
      <w:rPr>
        <w:szCs w:val="22"/>
        <w:lang w:val="en-US"/>
      </w:rPr>
    </w:pPr>
    <w:r w:rsidRPr="001E0485">
      <w:rPr>
        <w:szCs w:val="22"/>
        <w:lang w:val="en-US"/>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15:restartNumberingAfterBreak="0">
    <w:nsid w:val="007D5FBD"/>
    <w:multiLevelType w:val="multilevel"/>
    <w:tmpl w:val="45703612"/>
    <w:lvl w:ilvl="0">
      <w:start w:val="1"/>
      <w:numFmt w:val="bullet"/>
      <w:pStyle w:val="Para1"/>
      <w:lvlText w:val="−"/>
      <w:lvlJc w:val="left"/>
      <w:pPr>
        <w:tabs>
          <w:tab w:val="num" w:pos="922"/>
        </w:tabs>
        <w:ind w:left="922" w:hanging="360"/>
      </w:pPr>
      <w:rPr>
        <w:rFonts w:ascii="Garamond" w:hAnsi="Garamond" w:hint="default"/>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6B014C"/>
    <w:multiLevelType w:val="multilevel"/>
    <w:tmpl w:val="F61C431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15:restartNumberingAfterBreak="0">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8701AA"/>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43651A0"/>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3"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D3038C"/>
    <w:multiLevelType w:val="hybridMultilevel"/>
    <w:tmpl w:val="46B027CA"/>
    <w:lvl w:ilvl="0" w:tplc="2D96354E">
      <w:start w:val="1"/>
      <w:numFmt w:val="bullet"/>
      <w:lvlText w:val="-"/>
      <w:lvlJc w:val="left"/>
      <w:pPr>
        <w:tabs>
          <w:tab w:val="num" w:pos="3082"/>
        </w:tabs>
        <w:ind w:left="3082" w:hanging="360"/>
      </w:pPr>
      <w:rPr>
        <w:rFonts w:ascii="Arial" w:eastAsia="Times New Roman" w:hAnsi="Arial" w:cs="Times New Roman"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16" w15:restartNumberingAfterBreak="0">
    <w:nsid w:val="56FE15D1"/>
    <w:multiLevelType w:val="hybridMultilevel"/>
    <w:tmpl w:val="EF16C0DE"/>
    <w:lvl w:ilvl="0" w:tplc="BCA6DC0A">
      <w:start w:val="1"/>
      <w:numFmt w:val="bullet"/>
      <w:lvlText w:val="–"/>
      <w:lvlJc w:val="left"/>
      <w:pPr>
        <w:tabs>
          <w:tab w:val="num" w:pos="2061"/>
        </w:tabs>
        <w:ind w:left="2061" w:hanging="360"/>
      </w:pPr>
      <w:rPr>
        <w:rFonts w:ascii="Arial" w:hAnsi="Arial" w:cs="Aria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7" w15:restartNumberingAfterBreak="0">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8" w15:restartNumberingAfterBreak="0">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19" w15:restartNumberingAfterBreak="0">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0" w15:restartNumberingAfterBreak="0">
    <w:nsid w:val="611060E9"/>
    <w:multiLevelType w:val="hybridMultilevel"/>
    <w:tmpl w:val="6AC44890"/>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9360322C">
      <w:start w:val="1"/>
      <w:numFmt w:val="lowerLetter"/>
      <w:lvlText w:val="%3)"/>
      <w:lvlJc w:val="left"/>
      <w:pPr>
        <w:tabs>
          <w:tab w:val="num" w:pos="567"/>
        </w:tabs>
        <w:ind w:left="0" w:firstLine="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D735C1"/>
    <w:multiLevelType w:val="multilevel"/>
    <w:tmpl w:val="B600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CF64B2"/>
    <w:multiLevelType w:val="hybridMultilevel"/>
    <w:tmpl w:val="87DCAC88"/>
    <w:lvl w:ilvl="0" w:tplc="94B2DEEE">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3" w15:restartNumberingAfterBreak="0">
    <w:nsid w:val="6EB14ED7"/>
    <w:multiLevelType w:val="hybridMultilevel"/>
    <w:tmpl w:val="B86EF78A"/>
    <w:lvl w:ilvl="0" w:tplc="26804ED6">
      <w:start w:val="1"/>
      <w:numFmt w:val="bullet"/>
      <w:lvlText w:val="–"/>
      <w:lvlJc w:val="left"/>
      <w:pPr>
        <w:tabs>
          <w:tab w:val="num" w:pos="3082"/>
        </w:tabs>
        <w:ind w:left="3082" w:hanging="360"/>
      </w:pPr>
      <w:rPr>
        <w:rFonts w:ascii="Arial Narrow" w:hAnsi="Arial Narrow"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24" w15:restartNumberingAfterBreak="0">
    <w:nsid w:val="77554B2B"/>
    <w:multiLevelType w:val="hybridMultilevel"/>
    <w:tmpl w:val="C9381C9E"/>
    <w:lvl w:ilvl="0" w:tplc="1C4287D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A2643D4"/>
    <w:multiLevelType w:val="multilevel"/>
    <w:tmpl w:val="5FE2C512"/>
    <w:lvl w:ilvl="0">
      <w:start w:val="1"/>
      <w:numFmt w:val="lowerRoman"/>
      <w:lvlText w:val="(%1)"/>
      <w:lvlJc w:val="left"/>
      <w:pPr>
        <w:tabs>
          <w:tab w:val="num" w:pos="1741"/>
        </w:tabs>
        <w:ind w:left="1741"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FDF61D0"/>
    <w:multiLevelType w:val="hybridMultilevel"/>
    <w:tmpl w:val="D8C233C2"/>
    <w:lvl w:ilvl="0" w:tplc="FBE40454">
      <w:start w:val="1"/>
      <w:numFmt w:val="bullet"/>
      <w:lvlText w:val="–"/>
      <w:lvlJc w:val="left"/>
      <w:pPr>
        <w:tabs>
          <w:tab w:val="num" w:pos="3082"/>
        </w:tabs>
        <w:ind w:left="3082" w:hanging="360"/>
      </w:pPr>
      <w:rPr>
        <w:rFonts w:ascii="Arial" w:hAnsi="Arial" w:cs="Arial"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num w:numId="1">
    <w:abstractNumId w:val="1"/>
  </w:num>
  <w:num w:numId="2">
    <w:abstractNumId w:val="5"/>
  </w:num>
  <w:num w:numId="3">
    <w:abstractNumId w:val="15"/>
  </w:num>
  <w:num w:numId="4">
    <w:abstractNumId w:val="14"/>
  </w:num>
  <w:num w:numId="5">
    <w:abstractNumId w:val="20"/>
  </w:num>
  <w:num w:numId="6">
    <w:abstractNumId w:val="19"/>
  </w:num>
  <w:num w:numId="7">
    <w:abstractNumId w:val="6"/>
  </w:num>
  <w:num w:numId="8">
    <w:abstractNumId w:val="12"/>
  </w:num>
  <w:num w:numId="9">
    <w:abstractNumId w:val="3"/>
  </w:num>
  <w:num w:numId="10">
    <w:abstractNumId w:val="18"/>
  </w:num>
  <w:num w:numId="11">
    <w:abstractNumId w:val="7"/>
  </w:num>
  <w:num w:numId="12">
    <w:abstractNumId w:val="13"/>
  </w:num>
  <w:num w:numId="13">
    <w:abstractNumId w:val="8"/>
  </w:num>
  <w:num w:numId="14">
    <w:abstractNumId w:val="17"/>
  </w:num>
  <w:num w:numId="15">
    <w:abstractNumId w:val="0"/>
  </w:num>
  <w:num w:numId="16">
    <w:abstractNumId w:val="4"/>
  </w:num>
  <w:num w:numId="17">
    <w:abstractNumId w:val="21"/>
  </w:num>
  <w:num w:numId="18">
    <w:abstractNumId w:val="25"/>
  </w:num>
  <w:num w:numId="19">
    <w:abstractNumId w:val="22"/>
  </w:num>
  <w:num w:numId="20">
    <w:abstractNumId w:val="10"/>
  </w:num>
  <w:num w:numId="21">
    <w:abstractNumId w:val="24"/>
  </w:num>
  <w:num w:numId="22">
    <w:abstractNumId w:val="11"/>
  </w:num>
  <w:num w:numId="23">
    <w:abstractNumId w:val="23"/>
  </w:num>
  <w:num w:numId="24">
    <w:abstractNumId w:val="26"/>
  </w:num>
  <w:num w:numId="25">
    <w:abstractNumId w:val="16"/>
  </w:num>
  <w:num w:numId="26">
    <w:abstractNumId w:val="9"/>
  </w:num>
  <w:num w:numId="27">
    <w:abstractNumId w:val="2"/>
  </w:num>
  <w:num w:numId="28">
    <w:abstractNumId w:val="9"/>
    <w:lvlOverride w:ilvl="0">
      <w:startOverride w:val="3"/>
    </w:lvlOverride>
  </w:num>
  <w:num w:numId="29">
    <w:abstractNumId w:val="9"/>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ctiveWritingStyle w:appName="MSWord" w:lang="fr-FR" w:vendorID="64" w:dllVersion="131078" w:nlCheck="1" w:checkStyle="0"/>
  <w:activeWritingStyle w:appName="MSWord" w:lang="en-US" w:vendorID="64" w:dllVersion="131078" w:nlCheck="1" w:checkStyle="1"/>
  <w:activeWritingStyle w:appName="MSWord" w:lang="fr-CH"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00"/>
  <w:displayHorizontalDrawingGridEvery w:val="0"/>
  <w:displayVerticalDrawingGridEvery w:val="0"/>
  <w:doNotShadeFormData/>
  <w:noPunctuationKerning/>
  <w:characterSpacingControl w:val="doNotCompress"/>
  <w:hdrShapeDefaults>
    <o:shapedefaults v:ext="edit" spidmax="26625"/>
  </w:hdrShapeDefaults>
  <w:footnotePr>
    <w:numRestart w:val="eachSect"/>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086D5E"/>
    <w:rsid w:val="00007531"/>
    <w:rsid w:val="000215DC"/>
    <w:rsid w:val="00027C0B"/>
    <w:rsid w:val="000354FD"/>
    <w:rsid w:val="000379C2"/>
    <w:rsid w:val="00046E92"/>
    <w:rsid w:val="000505ED"/>
    <w:rsid w:val="00051837"/>
    <w:rsid w:val="000518AA"/>
    <w:rsid w:val="00057FAA"/>
    <w:rsid w:val="00065733"/>
    <w:rsid w:val="0008314B"/>
    <w:rsid w:val="00084DE6"/>
    <w:rsid w:val="00086D5E"/>
    <w:rsid w:val="0008758B"/>
    <w:rsid w:val="000A600A"/>
    <w:rsid w:val="000C0579"/>
    <w:rsid w:val="000C2C9D"/>
    <w:rsid w:val="000C34BC"/>
    <w:rsid w:val="000D2328"/>
    <w:rsid w:val="000D3BAA"/>
    <w:rsid w:val="000D5705"/>
    <w:rsid w:val="000E194C"/>
    <w:rsid w:val="000F43F2"/>
    <w:rsid w:val="001002C1"/>
    <w:rsid w:val="001039BD"/>
    <w:rsid w:val="0012692E"/>
    <w:rsid w:val="00144745"/>
    <w:rsid w:val="00153491"/>
    <w:rsid w:val="0015588E"/>
    <w:rsid w:val="00171C87"/>
    <w:rsid w:val="00184603"/>
    <w:rsid w:val="00185850"/>
    <w:rsid w:val="001A0AAE"/>
    <w:rsid w:val="001C33FB"/>
    <w:rsid w:val="001E0485"/>
    <w:rsid w:val="001F3AEE"/>
    <w:rsid w:val="001F7FBB"/>
    <w:rsid w:val="00204A5E"/>
    <w:rsid w:val="00214D43"/>
    <w:rsid w:val="00225416"/>
    <w:rsid w:val="002554A9"/>
    <w:rsid w:val="00263702"/>
    <w:rsid w:val="00285A43"/>
    <w:rsid w:val="00286DCE"/>
    <w:rsid w:val="002A016C"/>
    <w:rsid w:val="002A7EBB"/>
    <w:rsid w:val="002B36FC"/>
    <w:rsid w:val="002C52C4"/>
    <w:rsid w:val="002C7F21"/>
    <w:rsid w:val="002F3A41"/>
    <w:rsid w:val="00303B77"/>
    <w:rsid w:val="00307BFD"/>
    <w:rsid w:val="003130B1"/>
    <w:rsid w:val="00321592"/>
    <w:rsid w:val="00340A95"/>
    <w:rsid w:val="00356943"/>
    <w:rsid w:val="00370183"/>
    <w:rsid w:val="003A4909"/>
    <w:rsid w:val="003C7886"/>
    <w:rsid w:val="003D0AE8"/>
    <w:rsid w:val="003E51F0"/>
    <w:rsid w:val="003F3BCA"/>
    <w:rsid w:val="003F5F0F"/>
    <w:rsid w:val="003F6300"/>
    <w:rsid w:val="003F6B89"/>
    <w:rsid w:val="00400337"/>
    <w:rsid w:val="0040085A"/>
    <w:rsid w:val="00422819"/>
    <w:rsid w:val="00423AA2"/>
    <w:rsid w:val="00431983"/>
    <w:rsid w:val="00436E83"/>
    <w:rsid w:val="004401F3"/>
    <w:rsid w:val="00467A45"/>
    <w:rsid w:val="0047417E"/>
    <w:rsid w:val="00492E7E"/>
    <w:rsid w:val="00494A9E"/>
    <w:rsid w:val="004A65C1"/>
    <w:rsid w:val="004B68AF"/>
    <w:rsid w:val="004D2AA1"/>
    <w:rsid w:val="004D558E"/>
    <w:rsid w:val="004E634E"/>
    <w:rsid w:val="004F5EA7"/>
    <w:rsid w:val="0050360D"/>
    <w:rsid w:val="0050392E"/>
    <w:rsid w:val="0051068B"/>
    <w:rsid w:val="005145E2"/>
    <w:rsid w:val="005149DF"/>
    <w:rsid w:val="00521CCA"/>
    <w:rsid w:val="005263C2"/>
    <w:rsid w:val="005645B0"/>
    <w:rsid w:val="00574D76"/>
    <w:rsid w:val="005921DE"/>
    <w:rsid w:val="005A7440"/>
    <w:rsid w:val="005B4C24"/>
    <w:rsid w:val="005D253E"/>
    <w:rsid w:val="005D4EE8"/>
    <w:rsid w:val="005D623B"/>
    <w:rsid w:val="005E6B76"/>
    <w:rsid w:val="00601FC5"/>
    <w:rsid w:val="0061367E"/>
    <w:rsid w:val="006271F4"/>
    <w:rsid w:val="00661DEC"/>
    <w:rsid w:val="006743DF"/>
    <w:rsid w:val="00693FC7"/>
    <w:rsid w:val="006A102A"/>
    <w:rsid w:val="006A33F8"/>
    <w:rsid w:val="006A3D99"/>
    <w:rsid w:val="006B25AE"/>
    <w:rsid w:val="006B600F"/>
    <w:rsid w:val="006C4BAC"/>
    <w:rsid w:val="006D53E0"/>
    <w:rsid w:val="006D55A8"/>
    <w:rsid w:val="006E4D63"/>
    <w:rsid w:val="006E5855"/>
    <w:rsid w:val="006F7763"/>
    <w:rsid w:val="007019FF"/>
    <w:rsid w:val="00717A53"/>
    <w:rsid w:val="00717B33"/>
    <w:rsid w:val="007375C9"/>
    <w:rsid w:val="00744AD0"/>
    <w:rsid w:val="00750750"/>
    <w:rsid w:val="00764C67"/>
    <w:rsid w:val="00775E1D"/>
    <w:rsid w:val="0079173A"/>
    <w:rsid w:val="00792168"/>
    <w:rsid w:val="007E0307"/>
    <w:rsid w:val="007E3EDF"/>
    <w:rsid w:val="007F5179"/>
    <w:rsid w:val="00816613"/>
    <w:rsid w:val="00834644"/>
    <w:rsid w:val="00836283"/>
    <w:rsid w:val="00837BC8"/>
    <w:rsid w:val="008576A7"/>
    <w:rsid w:val="008717C0"/>
    <w:rsid w:val="00871F09"/>
    <w:rsid w:val="008843E1"/>
    <w:rsid w:val="008B152D"/>
    <w:rsid w:val="008B4120"/>
    <w:rsid w:val="008D4439"/>
    <w:rsid w:val="00902F68"/>
    <w:rsid w:val="009031AF"/>
    <w:rsid w:val="00903B5D"/>
    <w:rsid w:val="00906122"/>
    <w:rsid w:val="00912E24"/>
    <w:rsid w:val="00923DCD"/>
    <w:rsid w:val="009243A6"/>
    <w:rsid w:val="00934FDD"/>
    <w:rsid w:val="00940C00"/>
    <w:rsid w:val="009449A2"/>
    <w:rsid w:val="00957D11"/>
    <w:rsid w:val="00972E56"/>
    <w:rsid w:val="00994053"/>
    <w:rsid w:val="00996960"/>
    <w:rsid w:val="009A0989"/>
    <w:rsid w:val="009A3458"/>
    <w:rsid w:val="009F175E"/>
    <w:rsid w:val="009F43E8"/>
    <w:rsid w:val="009F6D56"/>
    <w:rsid w:val="00A07DC3"/>
    <w:rsid w:val="00A16F1D"/>
    <w:rsid w:val="00A1737D"/>
    <w:rsid w:val="00A331FB"/>
    <w:rsid w:val="00A53A07"/>
    <w:rsid w:val="00A60A7C"/>
    <w:rsid w:val="00A618F9"/>
    <w:rsid w:val="00A706DB"/>
    <w:rsid w:val="00A827DA"/>
    <w:rsid w:val="00A93E2A"/>
    <w:rsid w:val="00AA3C26"/>
    <w:rsid w:val="00AB1492"/>
    <w:rsid w:val="00AD06F4"/>
    <w:rsid w:val="00AD42C0"/>
    <w:rsid w:val="00AD541F"/>
    <w:rsid w:val="00AE09FC"/>
    <w:rsid w:val="00AE5194"/>
    <w:rsid w:val="00AE5852"/>
    <w:rsid w:val="00AE6488"/>
    <w:rsid w:val="00AE66F5"/>
    <w:rsid w:val="00AF32FD"/>
    <w:rsid w:val="00B2260F"/>
    <w:rsid w:val="00B354B7"/>
    <w:rsid w:val="00B52385"/>
    <w:rsid w:val="00B65569"/>
    <w:rsid w:val="00B8630C"/>
    <w:rsid w:val="00BA2CDF"/>
    <w:rsid w:val="00BB3BEF"/>
    <w:rsid w:val="00BD4DE0"/>
    <w:rsid w:val="00BE4D4C"/>
    <w:rsid w:val="00BE7E0E"/>
    <w:rsid w:val="00C069E2"/>
    <w:rsid w:val="00C070E9"/>
    <w:rsid w:val="00C10455"/>
    <w:rsid w:val="00C21AB4"/>
    <w:rsid w:val="00C27F71"/>
    <w:rsid w:val="00C33F04"/>
    <w:rsid w:val="00C42572"/>
    <w:rsid w:val="00C430F7"/>
    <w:rsid w:val="00C4686F"/>
    <w:rsid w:val="00C600AA"/>
    <w:rsid w:val="00C635E5"/>
    <w:rsid w:val="00C66075"/>
    <w:rsid w:val="00C67D83"/>
    <w:rsid w:val="00C72281"/>
    <w:rsid w:val="00C72D25"/>
    <w:rsid w:val="00C83181"/>
    <w:rsid w:val="00C9238D"/>
    <w:rsid w:val="00CA352C"/>
    <w:rsid w:val="00CD24D4"/>
    <w:rsid w:val="00CE7061"/>
    <w:rsid w:val="00CF577F"/>
    <w:rsid w:val="00D050A0"/>
    <w:rsid w:val="00D05100"/>
    <w:rsid w:val="00D15D42"/>
    <w:rsid w:val="00D21DF8"/>
    <w:rsid w:val="00D23D81"/>
    <w:rsid w:val="00D337E4"/>
    <w:rsid w:val="00D41D90"/>
    <w:rsid w:val="00D554EC"/>
    <w:rsid w:val="00D55594"/>
    <w:rsid w:val="00D61F7F"/>
    <w:rsid w:val="00D63E89"/>
    <w:rsid w:val="00D67152"/>
    <w:rsid w:val="00D71DCD"/>
    <w:rsid w:val="00D7422E"/>
    <w:rsid w:val="00D81740"/>
    <w:rsid w:val="00D85F2A"/>
    <w:rsid w:val="00D91476"/>
    <w:rsid w:val="00D91C97"/>
    <w:rsid w:val="00DA3BB7"/>
    <w:rsid w:val="00DC0787"/>
    <w:rsid w:val="00DC26CA"/>
    <w:rsid w:val="00DC5C9E"/>
    <w:rsid w:val="00DD607D"/>
    <w:rsid w:val="00DF55A4"/>
    <w:rsid w:val="00E0296C"/>
    <w:rsid w:val="00E16C51"/>
    <w:rsid w:val="00E1729C"/>
    <w:rsid w:val="00E23777"/>
    <w:rsid w:val="00E47710"/>
    <w:rsid w:val="00E506BC"/>
    <w:rsid w:val="00E55DB1"/>
    <w:rsid w:val="00E56FA4"/>
    <w:rsid w:val="00E578FA"/>
    <w:rsid w:val="00E667D8"/>
    <w:rsid w:val="00E745AA"/>
    <w:rsid w:val="00E8642C"/>
    <w:rsid w:val="00E91306"/>
    <w:rsid w:val="00E94160"/>
    <w:rsid w:val="00EA2807"/>
    <w:rsid w:val="00EA3636"/>
    <w:rsid w:val="00EA730B"/>
    <w:rsid w:val="00EA7362"/>
    <w:rsid w:val="00EB3989"/>
    <w:rsid w:val="00EF51B8"/>
    <w:rsid w:val="00EF6794"/>
    <w:rsid w:val="00F017C6"/>
    <w:rsid w:val="00F14F6F"/>
    <w:rsid w:val="00F24435"/>
    <w:rsid w:val="00F25B2F"/>
    <w:rsid w:val="00F26BC9"/>
    <w:rsid w:val="00F378CD"/>
    <w:rsid w:val="00F41777"/>
    <w:rsid w:val="00F63B33"/>
    <w:rsid w:val="00F665F6"/>
    <w:rsid w:val="00F75BDB"/>
    <w:rsid w:val="00F845B9"/>
    <w:rsid w:val="00F9045F"/>
    <w:rsid w:val="00F926C9"/>
    <w:rsid w:val="00FC3D53"/>
    <w:rsid w:val="00FC5D5B"/>
    <w:rsid w:val="00FC6E72"/>
    <w:rsid w:val="00FC6FC9"/>
    <w:rsid w:val="00FD5442"/>
    <w:rsid w:val="00FF294E"/>
    <w:rsid w:val="00FF4881"/>
    <w:rsid w:val="00FF6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469ACA7"/>
  <w15:docId w15:val="{70377F06-B17A-40BA-AF1C-19F8F3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D71DCD"/>
    <w:pPr>
      <w:keepNext/>
      <w:outlineLvl w:val="0"/>
    </w:pPr>
    <w:rPr>
      <w:b/>
      <w:caps/>
      <w:snapToGrid w:val="0"/>
      <w:lang w:eastAsia="en-US"/>
    </w:rPr>
  </w:style>
  <w:style w:type="paragraph" w:styleId="Heading2">
    <w:name w:val="heading 2"/>
    <w:basedOn w:val="Heading1"/>
    <w:next w:val="Normal"/>
    <w:qFormat/>
    <w:rsid w:val="00D23D81"/>
    <w:pPr>
      <w:spacing w:line="260" w:lineRule="atLeast"/>
      <w:outlineLvl w:val="1"/>
    </w:pPr>
    <w:rPr>
      <w:rFonts w:cs="Arial"/>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字元 字元1"/>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val="0"/>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 w:type="paragraph" w:customStyle="1" w:styleId="ONUMFS">
    <w:name w:val="ONUM FS"/>
    <w:basedOn w:val="BodyText"/>
    <w:rsid w:val="0061367E"/>
    <w:pPr>
      <w:numPr>
        <w:numId w:val="26"/>
      </w:numPr>
      <w:spacing w:after="220"/>
    </w:pPr>
    <w:rPr>
      <w:rFonts w:eastAsia="SimSun" w:cs="Arial"/>
      <w:lang w:eastAsia="zh-CN"/>
    </w:rPr>
  </w:style>
  <w:style w:type="paragraph" w:customStyle="1" w:styleId="ONUME">
    <w:name w:val="ONUM E"/>
    <w:basedOn w:val="BodyText"/>
    <w:rsid w:val="0061367E"/>
    <w:pPr>
      <w:numPr>
        <w:numId w:val="27"/>
      </w:numPr>
      <w:spacing w:after="220"/>
    </w:pPr>
    <w:rPr>
      <w:rFonts w:eastAsia="SimSun" w:cs="Arial"/>
      <w:lang w:eastAsia="zh-CN"/>
    </w:rPr>
  </w:style>
  <w:style w:type="paragraph" w:customStyle="1" w:styleId="Endofdocument-Annex">
    <w:name w:val="[End of document - Annex]"/>
    <w:basedOn w:val="Normal"/>
    <w:rsid w:val="00C21AB4"/>
    <w:pPr>
      <w:ind w:left="5534"/>
    </w:pPr>
    <w:rPr>
      <w:rFonts w:eastAsia="SimSun" w:cs="Arial"/>
      <w:lang w:val="en-US" w:eastAsia="zh-CN"/>
    </w:rPr>
  </w:style>
  <w:style w:type="paragraph" w:styleId="TOC1">
    <w:name w:val="toc 1"/>
    <w:basedOn w:val="Normal"/>
    <w:next w:val="Normal"/>
    <w:autoRedefine/>
    <w:uiPriority w:val="39"/>
    <w:unhideWhenUsed/>
    <w:rsid w:val="00D5559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216">
      <w:bodyDiv w:val="1"/>
      <w:marLeft w:val="0"/>
      <w:marRight w:val="0"/>
      <w:marTop w:val="0"/>
      <w:marBottom w:val="0"/>
      <w:divBdr>
        <w:top w:val="none" w:sz="0" w:space="0" w:color="auto"/>
        <w:left w:val="none" w:sz="0" w:space="0" w:color="auto"/>
        <w:bottom w:val="none" w:sz="0" w:space="0" w:color="auto"/>
        <w:right w:val="none" w:sz="0" w:space="0" w:color="auto"/>
      </w:divBdr>
    </w:div>
    <w:div w:id="23019303">
      <w:bodyDiv w:val="1"/>
      <w:marLeft w:val="0"/>
      <w:marRight w:val="0"/>
      <w:marTop w:val="0"/>
      <w:marBottom w:val="0"/>
      <w:divBdr>
        <w:top w:val="none" w:sz="0" w:space="0" w:color="auto"/>
        <w:left w:val="none" w:sz="0" w:space="0" w:color="auto"/>
        <w:bottom w:val="none" w:sz="0" w:space="0" w:color="auto"/>
        <w:right w:val="none" w:sz="0" w:space="0" w:color="auto"/>
      </w:divBdr>
    </w:div>
    <w:div w:id="50926723">
      <w:bodyDiv w:val="1"/>
      <w:marLeft w:val="0"/>
      <w:marRight w:val="0"/>
      <w:marTop w:val="0"/>
      <w:marBottom w:val="0"/>
      <w:divBdr>
        <w:top w:val="none" w:sz="0" w:space="0" w:color="auto"/>
        <w:left w:val="none" w:sz="0" w:space="0" w:color="auto"/>
        <w:bottom w:val="none" w:sz="0" w:space="0" w:color="auto"/>
        <w:right w:val="none" w:sz="0" w:space="0" w:color="auto"/>
      </w:divBdr>
    </w:div>
    <w:div w:id="74476594">
      <w:bodyDiv w:val="1"/>
      <w:marLeft w:val="0"/>
      <w:marRight w:val="0"/>
      <w:marTop w:val="0"/>
      <w:marBottom w:val="0"/>
      <w:divBdr>
        <w:top w:val="none" w:sz="0" w:space="0" w:color="auto"/>
        <w:left w:val="none" w:sz="0" w:space="0" w:color="auto"/>
        <w:bottom w:val="none" w:sz="0" w:space="0" w:color="auto"/>
        <w:right w:val="none" w:sz="0" w:space="0" w:color="auto"/>
      </w:divBdr>
    </w:div>
    <w:div w:id="100532511">
      <w:bodyDiv w:val="1"/>
      <w:marLeft w:val="0"/>
      <w:marRight w:val="0"/>
      <w:marTop w:val="0"/>
      <w:marBottom w:val="0"/>
      <w:divBdr>
        <w:top w:val="none" w:sz="0" w:space="0" w:color="auto"/>
        <w:left w:val="none" w:sz="0" w:space="0" w:color="auto"/>
        <w:bottom w:val="none" w:sz="0" w:space="0" w:color="auto"/>
        <w:right w:val="none" w:sz="0" w:space="0" w:color="auto"/>
      </w:divBdr>
    </w:div>
    <w:div w:id="108622100">
      <w:bodyDiv w:val="1"/>
      <w:marLeft w:val="0"/>
      <w:marRight w:val="0"/>
      <w:marTop w:val="0"/>
      <w:marBottom w:val="0"/>
      <w:divBdr>
        <w:top w:val="none" w:sz="0" w:space="0" w:color="auto"/>
        <w:left w:val="none" w:sz="0" w:space="0" w:color="auto"/>
        <w:bottom w:val="none" w:sz="0" w:space="0" w:color="auto"/>
        <w:right w:val="none" w:sz="0" w:space="0" w:color="auto"/>
      </w:divBdr>
    </w:div>
    <w:div w:id="109781774">
      <w:bodyDiv w:val="1"/>
      <w:marLeft w:val="0"/>
      <w:marRight w:val="0"/>
      <w:marTop w:val="0"/>
      <w:marBottom w:val="0"/>
      <w:divBdr>
        <w:top w:val="none" w:sz="0" w:space="0" w:color="auto"/>
        <w:left w:val="none" w:sz="0" w:space="0" w:color="auto"/>
        <w:bottom w:val="none" w:sz="0" w:space="0" w:color="auto"/>
        <w:right w:val="none" w:sz="0" w:space="0" w:color="auto"/>
      </w:divBdr>
    </w:div>
    <w:div w:id="110825843">
      <w:bodyDiv w:val="1"/>
      <w:marLeft w:val="0"/>
      <w:marRight w:val="0"/>
      <w:marTop w:val="0"/>
      <w:marBottom w:val="0"/>
      <w:divBdr>
        <w:top w:val="none" w:sz="0" w:space="0" w:color="auto"/>
        <w:left w:val="none" w:sz="0" w:space="0" w:color="auto"/>
        <w:bottom w:val="none" w:sz="0" w:space="0" w:color="auto"/>
        <w:right w:val="none" w:sz="0" w:space="0" w:color="auto"/>
      </w:divBdr>
    </w:div>
    <w:div w:id="131990135">
      <w:bodyDiv w:val="1"/>
      <w:marLeft w:val="0"/>
      <w:marRight w:val="0"/>
      <w:marTop w:val="0"/>
      <w:marBottom w:val="0"/>
      <w:divBdr>
        <w:top w:val="none" w:sz="0" w:space="0" w:color="auto"/>
        <w:left w:val="none" w:sz="0" w:space="0" w:color="auto"/>
        <w:bottom w:val="none" w:sz="0" w:space="0" w:color="auto"/>
        <w:right w:val="none" w:sz="0" w:space="0" w:color="auto"/>
      </w:divBdr>
    </w:div>
    <w:div w:id="149756899">
      <w:bodyDiv w:val="1"/>
      <w:marLeft w:val="0"/>
      <w:marRight w:val="0"/>
      <w:marTop w:val="0"/>
      <w:marBottom w:val="0"/>
      <w:divBdr>
        <w:top w:val="none" w:sz="0" w:space="0" w:color="auto"/>
        <w:left w:val="none" w:sz="0" w:space="0" w:color="auto"/>
        <w:bottom w:val="none" w:sz="0" w:space="0" w:color="auto"/>
        <w:right w:val="none" w:sz="0" w:space="0" w:color="auto"/>
      </w:divBdr>
    </w:div>
    <w:div w:id="157157457">
      <w:bodyDiv w:val="1"/>
      <w:marLeft w:val="0"/>
      <w:marRight w:val="0"/>
      <w:marTop w:val="0"/>
      <w:marBottom w:val="0"/>
      <w:divBdr>
        <w:top w:val="none" w:sz="0" w:space="0" w:color="auto"/>
        <w:left w:val="none" w:sz="0" w:space="0" w:color="auto"/>
        <w:bottom w:val="none" w:sz="0" w:space="0" w:color="auto"/>
        <w:right w:val="none" w:sz="0" w:space="0" w:color="auto"/>
      </w:divBdr>
    </w:div>
    <w:div w:id="166095921">
      <w:bodyDiv w:val="1"/>
      <w:marLeft w:val="0"/>
      <w:marRight w:val="0"/>
      <w:marTop w:val="0"/>
      <w:marBottom w:val="0"/>
      <w:divBdr>
        <w:top w:val="none" w:sz="0" w:space="0" w:color="auto"/>
        <w:left w:val="none" w:sz="0" w:space="0" w:color="auto"/>
        <w:bottom w:val="none" w:sz="0" w:space="0" w:color="auto"/>
        <w:right w:val="none" w:sz="0" w:space="0" w:color="auto"/>
      </w:divBdr>
    </w:div>
    <w:div w:id="175969088">
      <w:bodyDiv w:val="1"/>
      <w:marLeft w:val="0"/>
      <w:marRight w:val="0"/>
      <w:marTop w:val="0"/>
      <w:marBottom w:val="0"/>
      <w:divBdr>
        <w:top w:val="none" w:sz="0" w:space="0" w:color="auto"/>
        <w:left w:val="none" w:sz="0" w:space="0" w:color="auto"/>
        <w:bottom w:val="none" w:sz="0" w:space="0" w:color="auto"/>
        <w:right w:val="none" w:sz="0" w:space="0" w:color="auto"/>
      </w:divBdr>
    </w:div>
    <w:div w:id="207691922">
      <w:bodyDiv w:val="1"/>
      <w:marLeft w:val="0"/>
      <w:marRight w:val="0"/>
      <w:marTop w:val="0"/>
      <w:marBottom w:val="0"/>
      <w:divBdr>
        <w:top w:val="none" w:sz="0" w:space="0" w:color="auto"/>
        <w:left w:val="none" w:sz="0" w:space="0" w:color="auto"/>
        <w:bottom w:val="none" w:sz="0" w:space="0" w:color="auto"/>
        <w:right w:val="none" w:sz="0" w:space="0" w:color="auto"/>
      </w:divBdr>
    </w:div>
    <w:div w:id="221798988">
      <w:bodyDiv w:val="1"/>
      <w:marLeft w:val="0"/>
      <w:marRight w:val="0"/>
      <w:marTop w:val="0"/>
      <w:marBottom w:val="0"/>
      <w:divBdr>
        <w:top w:val="none" w:sz="0" w:space="0" w:color="auto"/>
        <w:left w:val="none" w:sz="0" w:space="0" w:color="auto"/>
        <w:bottom w:val="none" w:sz="0" w:space="0" w:color="auto"/>
        <w:right w:val="none" w:sz="0" w:space="0" w:color="auto"/>
      </w:divBdr>
    </w:div>
    <w:div w:id="226038370">
      <w:bodyDiv w:val="1"/>
      <w:marLeft w:val="0"/>
      <w:marRight w:val="0"/>
      <w:marTop w:val="0"/>
      <w:marBottom w:val="0"/>
      <w:divBdr>
        <w:top w:val="none" w:sz="0" w:space="0" w:color="auto"/>
        <w:left w:val="none" w:sz="0" w:space="0" w:color="auto"/>
        <w:bottom w:val="none" w:sz="0" w:space="0" w:color="auto"/>
        <w:right w:val="none" w:sz="0" w:space="0" w:color="auto"/>
      </w:divBdr>
    </w:div>
    <w:div w:id="231040663">
      <w:bodyDiv w:val="1"/>
      <w:marLeft w:val="0"/>
      <w:marRight w:val="0"/>
      <w:marTop w:val="0"/>
      <w:marBottom w:val="0"/>
      <w:divBdr>
        <w:top w:val="none" w:sz="0" w:space="0" w:color="auto"/>
        <w:left w:val="none" w:sz="0" w:space="0" w:color="auto"/>
        <w:bottom w:val="none" w:sz="0" w:space="0" w:color="auto"/>
        <w:right w:val="none" w:sz="0" w:space="0" w:color="auto"/>
      </w:divBdr>
    </w:div>
    <w:div w:id="259997310">
      <w:bodyDiv w:val="1"/>
      <w:marLeft w:val="0"/>
      <w:marRight w:val="0"/>
      <w:marTop w:val="0"/>
      <w:marBottom w:val="0"/>
      <w:divBdr>
        <w:top w:val="none" w:sz="0" w:space="0" w:color="auto"/>
        <w:left w:val="none" w:sz="0" w:space="0" w:color="auto"/>
        <w:bottom w:val="none" w:sz="0" w:space="0" w:color="auto"/>
        <w:right w:val="none" w:sz="0" w:space="0" w:color="auto"/>
      </w:divBdr>
    </w:div>
    <w:div w:id="271595597">
      <w:bodyDiv w:val="1"/>
      <w:marLeft w:val="0"/>
      <w:marRight w:val="0"/>
      <w:marTop w:val="0"/>
      <w:marBottom w:val="0"/>
      <w:divBdr>
        <w:top w:val="none" w:sz="0" w:space="0" w:color="auto"/>
        <w:left w:val="none" w:sz="0" w:space="0" w:color="auto"/>
        <w:bottom w:val="none" w:sz="0" w:space="0" w:color="auto"/>
        <w:right w:val="none" w:sz="0" w:space="0" w:color="auto"/>
      </w:divBdr>
    </w:div>
    <w:div w:id="278148421">
      <w:bodyDiv w:val="1"/>
      <w:marLeft w:val="0"/>
      <w:marRight w:val="0"/>
      <w:marTop w:val="0"/>
      <w:marBottom w:val="0"/>
      <w:divBdr>
        <w:top w:val="none" w:sz="0" w:space="0" w:color="auto"/>
        <w:left w:val="none" w:sz="0" w:space="0" w:color="auto"/>
        <w:bottom w:val="none" w:sz="0" w:space="0" w:color="auto"/>
        <w:right w:val="none" w:sz="0" w:space="0" w:color="auto"/>
      </w:divBdr>
    </w:div>
    <w:div w:id="309213490">
      <w:bodyDiv w:val="1"/>
      <w:marLeft w:val="0"/>
      <w:marRight w:val="0"/>
      <w:marTop w:val="0"/>
      <w:marBottom w:val="0"/>
      <w:divBdr>
        <w:top w:val="none" w:sz="0" w:space="0" w:color="auto"/>
        <w:left w:val="none" w:sz="0" w:space="0" w:color="auto"/>
        <w:bottom w:val="none" w:sz="0" w:space="0" w:color="auto"/>
        <w:right w:val="none" w:sz="0" w:space="0" w:color="auto"/>
      </w:divBdr>
    </w:div>
    <w:div w:id="322318562">
      <w:bodyDiv w:val="1"/>
      <w:marLeft w:val="0"/>
      <w:marRight w:val="0"/>
      <w:marTop w:val="0"/>
      <w:marBottom w:val="0"/>
      <w:divBdr>
        <w:top w:val="none" w:sz="0" w:space="0" w:color="auto"/>
        <w:left w:val="none" w:sz="0" w:space="0" w:color="auto"/>
        <w:bottom w:val="none" w:sz="0" w:space="0" w:color="auto"/>
        <w:right w:val="none" w:sz="0" w:space="0" w:color="auto"/>
      </w:divBdr>
    </w:div>
    <w:div w:id="369721209">
      <w:bodyDiv w:val="1"/>
      <w:marLeft w:val="0"/>
      <w:marRight w:val="0"/>
      <w:marTop w:val="0"/>
      <w:marBottom w:val="0"/>
      <w:divBdr>
        <w:top w:val="none" w:sz="0" w:space="0" w:color="auto"/>
        <w:left w:val="none" w:sz="0" w:space="0" w:color="auto"/>
        <w:bottom w:val="none" w:sz="0" w:space="0" w:color="auto"/>
        <w:right w:val="none" w:sz="0" w:space="0" w:color="auto"/>
      </w:divBdr>
    </w:div>
    <w:div w:id="371346464">
      <w:bodyDiv w:val="1"/>
      <w:marLeft w:val="0"/>
      <w:marRight w:val="0"/>
      <w:marTop w:val="0"/>
      <w:marBottom w:val="0"/>
      <w:divBdr>
        <w:top w:val="none" w:sz="0" w:space="0" w:color="auto"/>
        <w:left w:val="none" w:sz="0" w:space="0" w:color="auto"/>
        <w:bottom w:val="none" w:sz="0" w:space="0" w:color="auto"/>
        <w:right w:val="none" w:sz="0" w:space="0" w:color="auto"/>
      </w:divBdr>
    </w:div>
    <w:div w:id="394739849">
      <w:bodyDiv w:val="1"/>
      <w:marLeft w:val="0"/>
      <w:marRight w:val="0"/>
      <w:marTop w:val="0"/>
      <w:marBottom w:val="0"/>
      <w:divBdr>
        <w:top w:val="none" w:sz="0" w:space="0" w:color="auto"/>
        <w:left w:val="none" w:sz="0" w:space="0" w:color="auto"/>
        <w:bottom w:val="none" w:sz="0" w:space="0" w:color="auto"/>
        <w:right w:val="none" w:sz="0" w:space="0" w:color="auto"/>
      </w:divBdr>
    </w:div>
    <w:div w:id="408383942">
      <w:bodyDiv w:val="1"/>
      <w:marLeft w:val="0"/>
      <w:marRight w:val="0"/>
      <w:marTop w:val="0"/>
      <w:marBottom w:val="0"/>
      <w:divBdr>
        <w:top w:val="none" w:sz="0" w:space="0" w:color="auto"/>
        <w:left w:val="none" w:sz="0" w:space="0" w:color="auto"/>
        <w:bottom w:val="none" w:sz="0" w:space="0" w:color="auto"/>
        <w:right w:val="none" w:sz="0" w:space="0" w:color="auto"/>
      </w:divBdr>
    </w:div>
    <w:div w:id="449859955">
      <w:bodyDiv w:val="1"/>
      <w:marLeft w:val="0"/>
      <w:marRight w:val="0"/>
      <w:marTop w:val="0"/>
      <w:marBottom w:val="0"/>
      <w:divBdr>
        <w:top w:val="none" w:sz="0" w:space="0" w:color="auto"/>
        <w:left w:val="none" w:sz="0" w:space="0" w:color="auto"/>
        <w:bottom w:val="none" w:sz="0" w:space="0" w:color="auto"/>
        <w:right w:val="none" w:sz="0" w:space="0" w:color="auto"/>
      </w:divBdr>
    </w:div>
    <w:div w:id="450514831">
      <w:bodyDiv w:val="1"/>
      <w:marLeft w:val="0"/>
      <w:marRight w:val="0"/>
      <w:marTop w:val="0"/>
      <w:marBottom w:val="0"/>
      <w:divBdr>
        <w:top w:val="none" w:sz="0" w:space="0" w:color="auto"/>
        <w:left w:val="none" w:sz="0" w:space="0" w:color="auto"/>
        <w:bottom w:val="none" w:sz="0" w:space="0" w:color="auto"/>
        <w:right w:val="none" w:sz="0" w:space="0" w:color="auto"/>
      </w:divBdr>
    </w:div>
    <w:div w:id="468942484">
      <w:bodyDiv w:val="1"/>
      <w:marLeft w:val="0"/>
      <w:marRight w:val="0"/>
      <w:marTop w:val="0"/>
      <w:marBottom w:val="0"/>
      <w:divBdr>
        <w:top w:val="none" w:sz="0" w:space="0" w:color="auto"/>
        <w:left w:val="none" w:sz="0" w:space="0" w:color="auto"/>
        <w:bottom w:val="none" w:sz="0" w:space="0" w:color="auto"/>
        <w:right w:val="none" w:sz="0" w:space="0" w:color="auto"/>
      </w:divBdr>
    </w:div>
    <w:div w:id="476532216">
      <w:bodyDiv w:val="1"/>
      <w:marLeft w:val="0"/>
      <w:marRight w:val="0"/>
      <w:marTop w:val="0"/>
      <w:marBottom w:val="0"/>
      <w:divBdr>
        <w:top w:val="none" w:sz="0" w:space="0" w:color="auto"/>
        <w:left w:val="none" w:sz="0" w:space="0" w:color="auto"/>
        <w:bottom w:val="none" w:sz="0" w:space="0" w:color="auto"/>
        <w:right w:val="none" w:sz="0" w:space="0" w:color="auto"/>
      </w:divBdr>
    </w:div>
    <w:div w:id="526797950">
      <w:bodyDiv w:val="1"/>
      <w:marLeft w:val="0"/>
      <w:marRight w:val="0"/>
      <w:marTop w:val="0"/>
      <w:marBottom w:val="0"/>
      <w:divBdr>
        <w:top w:val="none" w:sz="0" w:space="0" w:color="auto"/>
        <w:left w:val="none" w:sz="0" w:space="0" w:color="auto"/>
        <w:bottom w:val="none" w:sz="0" w:space="0" w:color="auto"/>
        <w:right w:val="none" w:sz="0" w:space="0" w:color="auto"/>
      </w:divBdr>
    </w:div>
    <w:div w:id="528685727">
      <w:bodyDiv w:val="1"/>
      <w:marLeft w:val="0"/>
      <w:marRight w:val="0"/>
      <w:marTop w:val="0"/>
      <w:marBottom w:val="0"/>
      <w:divBdr>
        <w:top w:val="none" w:sz="0" w:space="0" w:color="auto"/>
        <w:left w:val="none" w:sz="0" w:space="0" w:color="auto"/>
        <w:bottom w:val="none" w:sz="0" w:space="0" w:color="auto"/>
        <w:right w:val="none" w:sz="0" w:space="0" w:color="auto"/>
      </w:divBdr>
    </w:div>
    <w:div w:id="534077889">
      <w:bodyDiv w:val="1"/>
      <w:marLeft w:val="0"/>
      <w:marRight w:val="0"/>
      <w:marTop w:val="0"/>
      <w:marBottom w:val="0"/>
      <w:divBdr>
        <w:top w:val="none" w:sz="0" w:space="0" w:color="auto"/>
        <w:left w:val="none" w:sz="0" w:space="0" w:color="auto"/>
        <w:bottom w:val="none" w:sz="0" w:space="0" w:color="auto"/>
        <w:right w:val="none" w:sz="0" w:space="0" w:color="auto"/>
      </w:divBdr>
    </w:div>
    <w:div w:id="536891075">
      <w:bodyDiv w:val="1"/>
      <w:marLeft w:val="0"/>
      <w:marRight w:val="0"/>
      <w:marTop w:val="0"/>
      <w:marBottom w:val="0"/>
      <w:divBdr>
        <w:top w:val="none" w:sz="0" w:space="0" w:color="auto"/>
        <w:left w:val="none" w:sz="0" w:space="0" w:color="auto"/>
        <w:bottom w:val="none" w:sz="0" w:space="0" w:color="auto"/>
        <w:right w:val="none" w:sz="0" w:space="0" w:color="auto"/>
      </w:divBdr>
    </w:div>
    <w:div w:id="580219515">
      <w:bodyDiv w:val="1"/>
      <w:marLeft w:val="0"/>
      <w:marRight w:val="0"/>
      <w:marTop w:val="0"/>
      <w:marBottom w:val="0"/>
      <w:divBdr>
        <w:top w:val="none" w:sz="0" w:space="0" w:color="auto"/>
        <w:left w:val="none" w:sz="0" w:space="0" w:color="auto"/>
        <w:bottom w:val="none" w:sz="0" w:space="0" w:color="auto"/>
        <w:right w:val="none" w:sz="0" w:space="0" w:color="auto"/>
      </w:divBdr>
    </w:div>
    <w:div w:id="580988157">
      <w:bodyDiv w:val="1"/>
      <w:marLeft w:val="0"/>
      <w:marRight w:val="0"/>
      <w:marTop w:val="0"/>
      <w:marBottom w:val="0"/>
      <w:divBdr>
        <w:top w:val="none" w:sz="0" w:space="0" w:color="auto"/>
        <w:left w:val="none" w:sz="0" w:space="0" w:color="auto"/>
        <w:bottom w:val="none" w:sz="0" w:space="0" w:color="auto"/>
        <w:right w:val="none" w:sz="0" w:space="0" w:color="auto"/>
      </w:divBdr>
    </w:div>
    <w:div w:id="608507241">
      <w:bodyDiv w:val="1"/>
      <w:marLeft w:val="0"/>
      <w:marRight w:val="0"/>
      <w:marTop w:val="0"/>
      <w:marBottom w:val="0"/>
      <w:divBdr>
        <w:top w:val="none" w:sz="0" w:space="0" w:color="auto"/>
        <w:left w:val="none" w:sz="0" w:space="0" w:color="auto"/>
        <w:bottom w:val="none" w:sz="0" w:space="0" w:color="auto"/>
        <w:right w:val="none" w:sz="0" w:space="0" w:color="auto"/>
      </w:divBdr>
    </w:div>
    <w:div w:id="614487077">
      <w:bodyDiv w:val="1"/>
      <w:marLeft w:val="0"/>
      <w:marRight w:val="0"/>
      <w:marTop w:val="0"/>
      <w:marBottom w:val="0"/>
      <w:divBdr>
        <w:top w:val="none" w:sz="0" w:space="0" w:color="auto"/>
        <w:left w:val="none" w:sz="0" w:space="0" w:color="auto"/>
        <w:bottom w:val="none" w:sz="0" w:space="0" w:color="auto"/>
        <w:right w:val="none" w:sz="0" w:space="0" w:color="auto"/>
      </w:divBdr>
    </w:div>
    <w:div w:id="617033088">
      <w:bodyDiv w:val="1"/>
      <w:marLeft w:val="0"/>
      <w:marRight w:val="0"/>
      <w:marTop w:val="0"/>
      <w:marBottom w:val="0"/>
      <w:divBdr>
        <w:top w:val="none" w:sz="0" w:space="0" w:color="auto"/>
        <w:left w:val="none" w:sz="0" w:space="0" w:color="auto"/>
        <w:bottom w:val="none" w:sz="0" w:space="0" w:color="auto"/>
        <w:right w:val="none" w:sz="0" w:space="0" w:color="auto"/>
      </w:divBdr>
    </w:div>
    <w:div w:id="618686999">
      <w:bodyDiv w:val="1"/>
      <w:marLeft w:val="0"/>
      <w:marRight w:val="0"/>
      <w:marTop w:val="0"/>
      <w:marBottom w:val="0"/>
      <w:divBdr>
        <w:top w:val="none" w:sz="0" w:space="0" w:color="auto"/>
        <w:left w:val="none" w:sz="0" w:space="0" w:color="auto"/>
        <w:bottom w:val="none" w:sz="0" w:space="0" w:color="auto"/>
        <w:right w:val="none" w:sz="0" w:space="0" w:color="auto"/>
      </w:divBdr>
    </w:div>
    <w:div w:id="638073620">
      <w:bodyDiv w:val="1"/>
      <w:marLeft w:val="0"/>
      <w:marRight w:val="0"/>
      <w:marTop w:val="0"/>
      <w:marBottom w:val="0"/>
      <w:divBdr>
        <w:top w:val="none" w:sz="0" w:space="0" w:color="auto"/>
        <w:left w:val="none" w:sz="0" w:space="0" w:color="auto"/>
        <w:bottom w:val="none" w:sz="0" w:space="0" w:color="auto"/>
        <w:right w:val="none" w:sz="0" w:space="0" w:color="auto"/>
      </w:divBdr>
    </w:div>
    <w:div w:id="644089693">
      <w:bodyDiv w:val="1"/>
      <w:marLeft w:val="0"/>
      <w:marRight w:val="0"/>
      <w:marTop w:val="0"/>
      <w:marBottom w:val="0"/>
      <w:divBdr>
        <w:top w:val="none" w:sz="0" w:space="0" w:color="auto"/>
        <w:left w:val="none" w:sz="0" w:space="0" w:color="auto"/>
        <w:bottom w:val="none" w:sz="0" w:space="0" w:color="auto"/>
        <w:right w:val="none" w:sz="0" w:space="0" w:color="auto"/>
      </w:divBdr>
    </w:div>
    <w:div w:id="649987842">
      <w:bodyDiv w:val="1"/>
      <w:marLeft w:val="0"/>
      <w:marRight w:val="0"/>
      <w:marTop w:val="0"/>
      <w:marBottom w:val="0"/>
      <w:divBdr>
        <w:top w:val="none" w:sz="0" w:space="0" w:color="auto"/>
        <w:left w:val="none" w:sz="0" w:space="0" w:color="auto"/>
        <w:bottom w:val="none" w:sz="0" w:space="0" w:color="auto"/>
        <w:right w:val="none" w:sz="0" w:space="0" w:color="auto"/>
      </w:divBdr>
    </w:div>
    <w:div w:id="658266118">
      <w:bodyDiv w:val="1"/>
      <w:marLeft w:val="0"/>
      <w:marRight w:val="0"/>
      <w:marTop w:val="0"/>
      <w:marBottom w:val="0"/>
      <w:divBdr>
        <w:top w:val="none" w:sz="0" w:space="0" w:color="auto"/>
        <w:left w:val="none" w:sz="0" w:space="0" w:color="auto"/>
        <w:bottom w:val="none" w:sz="0" w:space="0" w:color="auto"/>
        <w:right w:val="none" w:sz="0" w:space="0" w:color="auto"/>
      </w:divBdr>
    </w:div>
    <w:div w:id="662853075">
      <w:bodyDiv w:val="1"/>
      <w:marLeft w:val="0"/>
      <w:marRight w:val="0"/>
      <w:marTop w:val="0"/>
      <w:marBottom w:val="0"/>
      <w:divBdr>
        <w:top w:val="none" w:sz="0" w:space="0" w:color="auto"/>
        <w:left w:val="none" w:sz="0" w:space="0" w:color="auto"/>
        <w:bottom w:val="none" w:sz="0" w:space="0" w:color="auto"/>
        <w:right w:val="none" w:sz="0" w:space="0" w:color="auto"/>
      </w:divBdr>
    </w:div>
    <w:div w:id="667513197">
      <w:bodyDiv w:val="1"/>
      <w:marLeft w:val="0"/>
      <w:marRight w:val="0"/>
      <w:marTop w:val="0"/>
      <w:marBottom w:val="0"/>
      <w:divBdr>
        <w:top w:val="none" w:sz="0" w:space="0" w:color="auto"/>
        <w:left w:val="none" w:sz="0" w:space="0" w:color="auto"/>
        <w:bottom w:val="none" w:sz="0" w:space="0" w:color="auto"/>
        <w:right w:val="none" w:sz="0" w:space="0" w:color="auto"/>
      </w:divBdr>
    </w:div>
    <w:div w:id="676008392">
      <w:bodyDiv w:val="1"/>
      <w:marLeft w:val="0"/>
      <w:marRight w:val="0"/>
      <w:marTop w:val="0"/>
      <w:marBottom w:val="0"/>
      <w:divBdr>
        <w:top w:val="none" w:sz="0" w:space="0" w:color="auto"/>
        <w:left w:val="none" w:sz="0" w:space="0" w:color="auto"/>
        <w:bottom w:val="none" w:sz="0" w:space="0" w:color="auto"/>
        <w:right w:val="none" w:sz="0" w:space="0" w:color="auto"/>
      </w:divBdr>
    </w:div>
    <w:div w:id="688488306">
      <w:bodyDiv w:val="1"/>
      <w:marLeft w:val="0"/>
      <w:marRight w:val="0"/>
      <w:marTop w:val="0"/>
      <w:marBottom w:val="0"/>
      <w:divBdr>
        <w:top w:val="none" w:sz="0" w:space="0" w:color="auto"/>
        <w:left w:val="none" w:sz="0" w:space="0" w:color="auto"/>
        <w:bottom w:val="none" w:sz="0" w:space="0" w:color="auto"/>
        <w:right w:val="none" w:sz="0" w:space="0" w:color="auto"/>
      </w:divBdr>
    </w:div>
    <w:div w:id="723256754">
      <w:bodyDiv w:val="1"/>
      <w:marLeft w:val="0"/>
      <w:marRight w:val="0"/>
      <w:marTop w:val="0"/>
      <w:marBottom w:val="0"/>
      <w:divBdr>
        <w:top w:val="none" w:sz="0" w:space="0" w:color="auto"/>
        <w:left w:val="none" w:sz="0" w:space="0" w:color="auto"/>
        <w:bottom w:val="none" w:sz="0" w:space="0" w:color="auto"/>
        <w:right w:val="none" w:sz="0" w:space="0" w:color="auto"/>
      </w:divBdr>
    </w:div>
    <w:div w:id="740711652">
      <w:bodyDiv w:val="1"/>
      <w:marLeft w:val="0"/>
      <w:marRight w:val="0"/>
      <w:marTop w:val="0"/>
      <w:marBottom w:val="0"/>
      <w:divBdr>
        <w:top w:val="none" w:sz="0" w:space="0" w:color="auto"/>
        <w:left w:val="none" w:sz="0" w:space="0" w:color="auto"/>
        <w:bottom w:val="none" w:sz="0" w:space="0" w:color="auto"/>
        <w:right w:val="none" w:sz="0" w:space="0" w:color="auto"/>
      </w:divBdr>
    </w:div>
    <w:div w:id="756441604">
      <w:bodyDiv w:val="1"/>
      <w:marLeft w:val="0"/>
      <w:marRight w:val="0"/>
      <w:marTop w:val="0"/>
      <w:marBottom w:val="0"/>
      <w:divBdr>
        <w:top w:val="none" w:sz="0" w:space="0" w:color="auto"/>
        <w:left w:val="none" w:sz="0" w:space="0" w:color="auto"/>
        <w:bottom w:val="none" w:sz="0" w:space="0" w:color="auto"/>
        <w:right w:val="none" w:sz="0" w:space="0" w:color="auto"/>
      </w:divBdr>
    </w:div>
    <w:div w:id="759907523">
      <w:bodyDiv w:val="1"/>
      <w:marLeft w:val="0"/>
      <w:marRight w:val="0"/>
      <w:marTop w:val="0"/>
      <w:marBottom w:val="0"/>
      <w:divBdr>
        <w:top w:val="none" w:sz="0" w:space="0" w:color="auto"/>
        <w:left w:val="none" w:sz="0" w:space="0" w:color="auto"/>
        <w:bottom w:val="none" w:sz="0" w:space="0" w:color="auto"/>
        <w:right w:val="none" w:sz="0" w:space="0" w:color="auto"/>
      </w:divBdr>
    </w:div>
    <w:div w:id="761074379">
      <w:bodyDiv w:val="1"/>
      <w:marLeft w:val="0"/>
      <w:marRight w:val="0"/>
      <w:marTop w:val="0"/>
      <w:marBottom w:val="0"/>
      <w:divBdr>
        <w:top w:val="none" w:sz="0" w:space="0" w:color="auto"/>
        <w:left w:val="none" w:sz="0" w:space="0" w:color="auto"/>
        <w:bottom w:val="none" w:sz="0" w:space="0" w:color="auto"/>
        <w:right w:val="none" w:sz="0" w:space="0" w:color="auto"/>
      </w:divBdr>
    </w:div>
    <w:div w:id="763190632">
      <w:bodyDiv w:val="1"/>
      <w:marLeft w:val="0"/>
      <w:marRight w:val="0"/>
      <w:marTop w:val="0"/>
      <w:marBottom w:val="0"/>
      <w:divBdr>
        <w:top w:val="none" w:sz="0" w:space="0" w:color="auto"/>
        <w:left w:val="none" w:sz="0" w:space="0" w:color="auto"/>
        <w:bottom w:val="none" w:sz="0" w:space="0" w:color="auto"/>
        <w:right w:val="none" w:sz="0" w:space="0" w:color="auto"/>
      </w:divBdr>
    </w:div>
    <w:div w:id="765464812">
      <w:bodyDiv w:val="1"/>
      <w:marLeft w:val="0"/>
      <w:marRight w:val="0"/>
      <w:marTop w:val="0"/>
      <w:marBottom w:val="0"/>
      <w:divBdr>
        <w:top w:val="none" w:sz="0" w:space="0" w:color="auto"/>
        <w:left w:val="none" w:sz="0" w:space="0" w:color="auto"/>
        <w:bottom w:val="none" w:sz="0" w:space="0" w:color="auto"/>
        <w:right w:val="none" w:sz="0" w:space="0" w:color="auto"/>
      </w:divBdr>
    </w:div>
    <w:div w:id="805782337">
      <w:bodyDiv w:val="1"/>
      <w:marLeft w:val="0"/>
      <w:marRight w:val="0"/>
      <w:marTop w:val="0"/>
      <w:marBottom w:val="0"/>
      <w:divBdr>
        <w:top w:val="none" w:sz="0" w:space="0" w:color="auto"/>
        <w:left w:val="none" w:sz="0" w:space="0" w:color="auto"/>
        <w:bottom w:val="none" w:sz="0" w:space="0" w:color="auto"/>
        <w:right w:val="none" w:sz="0" w:space="0" w:color="auto"/>
      </w:divBdr>
    </w:div>
    <w:div w:id="825974167">
      <w:bodyDiv w:val="1"/>
      <w:marLeft w:val="0"/>
      <w:marRight w:val="0"/>
      <w:marTop w:val="0"/>
      <w:marBottom w:val="0"/>
      <w:divBdr>
        <w:top w:val="none" w:sz="0" w:space="0" w:color="auto"/>
        <w:left w:val="none" w:sz="0" w:space="0" w:color="auto"/>
        <w:bottom w:val="none" w:sz="0" w:space="0" w:color="auto"/>
        <w:right w:val="none" w:sz="0" w:space="0" w:color="auto"/>
      </w:divBdr>
    </w:div>
    <w:div w:id="834757687">
      <w:bodyDiv w:val="1"/>
      <w:marLeft w:val="0"/>
      <w:marRight w:val="0"/>
      <w:marTop w:val="0"/>
      <w:marBottom w:val="0"/>
      <w:divBdr>
        <w:top w:val="none" w:sz="0" w:space="0" w:color="auto"/>
        <w:left w:val="none" w:sz="0" w:space="0" w:color="auto"/>
        <w:bottom w:val="none" w:sz="0" w:space="0" w:color="auto"/>
        <w:right w:val="none" w:sz="0" w:space="0" w:color="auto"/>
      </w:divBdr>
    </w:div>
    <w:div w:id="840586557">
      <w:bodyDiv w:val="1"/>
      <w:marLeft w:val="0"/>
      <w:marRight w:val="0"/>
      <w:marTop w:val="0"/>
      <w:marBottom w:val="0"/>
      <w:divBdr>
        <w:top w:val="none" w:sz="0" w:space="0" w:color="auto"/>
        <w:left w:val="none" w:sz="0" w:space="0" w:color="auto"/>
        <w:bottom w:val="none" w:sz="0" w:space="0" w:color="auto"/>
        <w:right w:val="none" w:sz="0" w:space="0" w:color="auto"/>
      </w:divBdr>
    </w:div>
    <w:div w:id="843401663">
      <w:bodyDiv w:val="1"/>
      <w:marLeft w:val="0"/>
      <w:marRight w:val="0"/>
      <w:marTop w:val="0"/>
      <w:marBottom w:val="0"/>
      <w:divBdr>
        <w:top w:val="none" w:sz="0" w:space="0" w:color="auto"/>
        <w:left w:val="none" w:sz="0" w:space="0" w:color="auto"/>
        <w:bottom w:val="none" w:sz="0" w:space="0" w:color="auto"/>
        <w:right w:val="none" w:sz="0" w:space="0" w:color="auto"/>
      </w:divBdr>
    </w:div>
    <w:div w:id="847405458">
      <w:bodyDiv w:val="1"/>
      <w:marLeft w:val="0"/>
      <w:marRight w:val="0"/>
      <w:marTop w:val="0"/>
      <w:marBottom w:val="0"/>
      <w:divBdr>
        <w:top w:val="none" w:sz="0" w:space="0" w:color="auto"/>
        <w:left w:val="none" w:sz="0" w:space="0" w:color="auto"/>
        <w:bottom w:val="none" w:sz="0" w:space="0" w:color="auto"/>
        <w:right w:val="none" w:sz="0" w:space="0" w:color="auto"/>
      </w:divBdr>
    </w:div>
    <w:div w:id="884025192">
      <w:bodyDiv w:val="1"/>
      <w:marLeft w:val="0"/>
      <w:marRight w:val="0"/>
      <w:marTop w:val="0"/>
      <w:marBottom w:val="0"/>
      <w:divBdr>
        <w:top w:val="none" w:sz="0" w:space="0" w:color="auto"/>
        <w:left w:val="none" w:sz="0" w:space="0" w:color="auto"/>
        <w:bottom w:val="none" w:sz="0" w:space="0" w:color="auto"/>
        <w:right w:val="none" w:sz="0" w:space="0" w:color="auto"/>
      </w:divBdr>
    </w:div>
    <w:div w:id="885218138">
      <w:bodyDiv w:val="1"/>
      <w:marLeft w:val="0"/>
      <w:marRight w:val="0"/>
      <w:marTop w:val="0"/>
      <w:marBottom w:val="0"/>
      <w:divBdr>
        <w:top w:val="none" w:sz="0" w:space="0" w:color="auto"/>
        <w:left w:val="none" w:sz="0" w:space="0" w:color="auto"/>
        <w:bottom w:val="none" w:sz="0" w:space="0" w:color="auto"/>
        <w:right w:val="none" w:sz="0" w:space="0" w:color="auto"/>
      </w:divBdr>
    </w:div>
    <w:div w:id="893349110">
      <w:bodyDiv w:val="1"/>
      <w:marLeft w:val="0"/>
      <w:marRight w:val="0"/>
      <w:marTop w:val="0"/>
      <w:marBottom w:val="0"/>
      <w:divBdr>
        <w:top w:val="none" w:sz="0" w:space="0" w:color="auto"/>
        <w:left w:val="none" w:sz="0" w:space="0" w:color="auto"/>
        <w:bottom w:val="none" w:sz="0" w:space="0" w:color="auto"/>
        <w:right w:val="none" w:sz="0" w:space="0" w:color="auto"/>
      </w:divBdr>
    </w:div>
    <w:div w:id="919364729">
      <w:bodyDiv w:val="1"/>
      <w:marLeft w:val="0"/>
      <w:marRight w:val="0"/>
      <w:marTop w:val="0"/>
      <w:marBottom w:val="0"/>
      <w:divBdr>
        <w:top w:val="none" w:sz="0" w:space="0" w:color="auto"/>
        <w:left w:val="none" w:sz="0" w:space="0" w:color="auto"/>
        <w:bottom w:val="none" w:sz="0" w:space="0" w:color="auto"/>
        <w:right w:val="none" w:sz="0" w:space="0" w:color="auto"/>
      </w:divBdr>
    </w:div>
    <w:div w:id="944508046">
      <w:bodyDiv w:val="1"/>
      <w:marLeft w:val="0"/>
      <w:marRight w:val="0"/>
      <w:marTop w:val="0"/>
      <w:marBottom w:val="0"/>
      <w:divBdr>
        <w:top w:val="none" w:sz="0" w:space="0" w:color="auto"/>
        <w:left w:val="none" w:sz="0" w:space="0" w:color="auto"/>
        <w:bottom w:val="none" w:sz="0" w:space="0" w:color="auto"/>
        <w:right w:val="none" w:sz="0" w:space="0" w:color="auto"/>
      </w:divBdr>
    </w:div>
    <w:div w:id="985663236">
      <w:bodyDiv w:val="1"/>
      <w:marLeft w:val="0"/>
      <w:marRight w:val="0"/>
      <w:marTop w:val="0"/>
      <w:marBottom w:val="0"/>
      <w:divBdr>
        <w:top w:val="none" w:sz="0" w:space="0" w:color="auto"/>
        <w:left w:val="none" w:sz="0" w:space="0" w:color="auto"/>
        <w:bottom w:val="none" w:sz="0" w:space="0" w:color="auto"/>
        <w:right w:val="none" w:sz="0" w:space="0" w:color="auto"/>
      </w:divBdr>
    </w:div>
    <w:div w:id="994184398">
      <w:bodyDiv w:val="1"/>
      <w:marLeft w:val="0"/>
      <w:marRight w:val="0"/>
      <w:marTop w:val="0"/>
      <w:marBottom w:val="0"/>
      <w:divBdr>
        <w:top w:val="none" w:sz="0" w:space="0" w:color="auto"/>
        <w:left w:val="none" w:sz="0" w:space="0" w:color="auto"/>
        <w:bottom w:val="none" w:sz="0" w:space="0" w:color="auto"/>
        <w:right w:val="none" w:sz="0" w:space="0" w:color="auto"/>
      </w:divBdr>
    </w:div>
    <w:div w:id="995568434">
      <w:bodyDiv w:val="1"/>
      <w:marLeft w:val="0"/>
      <w:marRight w:val="0"/>
      <w:marTop w:val="0"/>
      <w:marBottom w:val="0"/>
      <w:divBdr>
        <w:top w:val="none" w:sz="0" w:space="0" w:color="auto"/>
        <w:left w:val="none" w:sz="0" w:space="0" w:color="auto"/>
        <w:bottom w:val="none" w:sz="0" w:space="0" w:color="auto"/>
        <w:right w:val="none" w:sz="0" w:space="0" w:color="auto"/>
      </w:divBdr>
    </w:div>
    <w:div w:id="996496156">
      <w:bodyDiv w:val="1"/>
      <w:marLeft w:val="0"/>
      <w:marRight w:val="0"/>
      <w:marTop w:val="0"/>
      <w:marBottom w:val="0"/>
      <w:divBdr>
        <w:top w:val="none" w:sz="0" w:space="0" w:color="auto"/>
        <w:left w:val="none" w:sz="0" w:space="0" w:color="auto"/>
        <w:bottom w:val="none" w:sz="0" w:space="0" w:color="auto"/>
        <w:right w:val="none" w:sz="0" w:space="0" w:color="auto"/>
      </w:divBdr>
    </w:div>
    <w:div w:id="1001010573">
      <w:bodyDiv w:val="1"/>
      <w:marLeft w:val="0"/>
      <w:marRight w:val="0"/>
      <w:marTop w:val="0"/>
      <w:marBottom w:val="0"/>
      <w:divBdr>
        <w:top w:val="none" w:sz="0" w:space="0" w:color="auto"/>
        <w:left w:val="none" w:sz="0" w:space="0" w:color="auto"/>
        <w:bottom w:val="none" w:sz="0" w:space="0" w:color="auto"/>
        <w:right w:val="none" w:sz="0" w:space="0" w:color="auto"/>
      </w:divBdr>
    </w:div>
    <w:div w:id="1015305862">
      <w:bodyDiv w:val="1"/>
      <w:marLeft w:val="0"/>
      <w:marRight w:val="0"/>
      <w:marTop w:val="0"/>
      <w:marBottom w:val="0"/>
      <w:divBdr>
        <w:top w:val="none" w:sz="0" w:space="0" w:color="auto"/>
        <w:left w:val="none" w:sz="0" w:space="0" w:color="auto"/>
        <w:bottom w:val="none" w:sz="0" w:space="0" w:color="auto"/>
        <w:right w:val="none" w:sz="0" w:space="0" w:color="auto"/>
      </w:divBdr>
    </w:div>
    <w:div w:id="1029530081">
      <w:bodyDiv w:val="1"/>
      <w:marLeft w:val="0"/>
      <w:marRight w:val="0"/>
      <w:marTop w:val="0"/>
      <w:marBottom w:val="0"/>
      <w:divBdr>
        <w:top w:val="none" w:sz="0" w:space="0" w:color="auto"/>
        <w:left w:val="none" w:sz="0" w:space="0" w:color="auto"/>
        <w:bottom w:val="none" w:sz="0" w:space="0" w:color="auto"/>
        <w:right w:val="none" w:sz="0" w:space="0" w:color="auto"/>
      </w:divBdr>
    </w:div>
    <w:div w:id="1040780979">
      <w:bodyDiv w:val="1"/>
      <w:marLeft w:val="0"/>
      <w:marRight w:val="0"/>
      <w:marTop w:val="0"/>
      <w:marBottom w:val="0"/>
      <w:divBdr>
        <w:top w:val="none" w:sz="0" w:space="0" w:color="auto"/>
        <w:left w:val="none" w:sz="0" w:space="0" w:color="auto"/>
        <w:bottom w:val="none" w:sz="0" w:space="0" w:color="auto"/>
        <w:right w:val="none" w:sz="0" w:space="0" w:color="auto"/>
      </w:divBdr>
    </w:div>
    <w:div w:id="1053578464">
      <w:bodyDiv w:val="1"/>
      <w:marLeft w:val="0"/>
      <w:marRight w:val="0"/>
      <w:marTop w:val="0"/>
      <w:marBottom w:val="0"/>
      <w:divBdr>
        <w:top w:val="none" w:sz="0" w:space="0" w:color="auto"/>
        <w:left w:val="none" w:sz="0" w:space="0" w:color="auto"/>
        <w:bottom w:val="none" w:sz="0" w:space="0" w:color="auto"/>
        <w:right w:val="none" w:sz="0" w:space="0" w:color="auto"/>
      </w:divBdr>
    </w:div>
    <w:div w:id="1084952919">
      <w:bodyDiv w:val="1"/>
      <w:marLeft w:val="0"/>
      <w:marRight w:val="0"/>
      <w:marTop w:val="0"/>
      <w:marBottom w:val="0"/>
      <w:divBdr>
        <w:top w:val="none" w:sz="0" w:space="0" w:color="auto"/>
        <w:left w:val="none" w:sz="0" w:space="0" w:color="auto"/>
        <w:bottom w:val="none" w:sz="0" w:space="0" w:color="auto"/>
        <w:right w:val="none" w:sz="0" w:space="0" w:color="auto"/>
      </w:divBdr>
    </w:div>
    <w:div w:id="1150486379">
      <w:bodyDiv w:val="1"/>
      <w:marLeft w:val="0"/>
      <w:marRight w:val="0"/>
      <w:marTop w:val="0"/>
      <w:marBottom w:val="0"/>
      <w:divBdr>
        <w:top w:val="none" w:sz="0" w:space="0" w:color="auto"/>
        <w:left w:val="none" w:sz="0" w:space="0" w:color="auto"/>
        <w:bottom w:val="none" w:sz="0" w:space="0" w:color="auto"/>
        <w:right w:val="none" w:sz="0" w:space="0" w:color="auto"/>
      </w:divBdr>
    </w:div>
    <w:div w:id="1183666882">
      <w:bodyDiv w:val="1"/>
      <w:marLeft w:val="0"/>
      <w:marRight w:val="0"/>
      <w:marTop w:val="0"/>
      <w:marBottom w:val="0"/>
      <w:divBdr>
        <w:top w:val="none" w:sz="0" w:space="0" w:color="auto"/>
        <w:left w:val="none" w:sz="0" w:space="0" w:color="auto"/>
        <w:bottom w:val="none" w:sz="0" w:space="0" w:color="auto"/>
        <w:right w:val="none" w:sz="0" w:space="0" w:color="auto"/>
      </w:divBdr>
    </w:div>
    <w:div w:id="1187524872">
      <w:bodyDiv w:val="1"/>
      <w:marLeft w:val="0"/>
      <w:marRight w:val="0"/>
      <w:marTop w:val="0"/>
      <w:marBottom w:val="0"/>
      <w:divBdr>
        <w:top w:val="none" w:sz="0" w:space="0" w:color="auto"/>
        <w:left w:val="none" w:sz="0" w:space="0" w:color="auto"/>
        <w:bottom w:val="none" w:sz="0" w:space="0" w:color="auto"/>
        <w:right w:val="none" w:sz="0" w:space="0" w:color="auto"/>
      </w:divBdr>
    </w:div>
    <w:div w:id="1187602173">
      <w:bodyDiv w:val="1"/>
      <w:marLeft w:val="0"/>
      <w:marRight w:val="0"/>
      <w:marTop w:val="0"/>
      <w:marBottom w:val="0"/>
      <w:divBdr>
        <w:top w:val="none" w:sz="0" w:space="0" w:color="auto"/>
        <w:left w:val="none" w:sz="0" w:space="0" w:color="auto"/>
        <w:bottom w:val="none" w:sz="0" w:space="0" w:color="auto"/>
        <w:right w:val="none" w:sz="0" w:space="0" w:color="auto"/>
      </w:divBdr>
    </w:div>
    <w:div w:id="1189635079">
      <w:bodyDiv w:val="1"/>
      <w:marLeft w:val="0"/>
      <w:marRight w:val="0"/>
      <w:marTop w:val="0"/>
      <w:marBottom w:val="0"/>
      <w:divBdr>
        <w:top w:val="none" w:sz="0" w:space="0" w:color="auto"/>
        <w:left w:val="none" w:sz="0" w:space="0" w:color="auto"/>
        <w:bottom w:val="none" w:sz="0" w:space="0" w:color="auto"/>
        <w:right w:val="none" w:sz="0" w:space="0" w:color="auto"/>
      </w:divBdr>
    </w:div>
    <w:div w:id="1195533586">
      <w:bodyDiv w:val="1"/>
      <w:marLeft w:val="0"/>
      <w:marRight w:val="0"/>
      <w:marTop w:val="0"/>
      <w:marBottom w:val="0"/>
      <w:divBdr>
        <w:top w:val="none" w:sz="0" w:space="0" w:color="auto"/>
        <w:left w:val="none" w:sz="0" w:space="0" w:color="auto"/>
        <w:bottom w:val="none" w:sz="0" w:space="0" w:color="auto"/>
        <w:right w:val="none" w:sz="0" w:space="0" w:color="auto"/>
      </w:divBdr>
    </w:div>
    <w:div w:id="1202522403">
      <w:bodyDiv w:val="1"/>
      <w:marLeft w:val="0"/>
      <w:marRight w:val="0"/>
      <w:marTop w:val="0"/>
      <w:marBottom w:val="0"/>
      <w:divBdr>
        <w:top w:val="none" w:sz="0" w:space="0" w:color="auto"/>
        <w:left w:val="none" w:sz="0" w:space="0" w:color="auto"/>
        <w:bottom w:val="none" w:sz="0" w:space="0" w:color="auto"/>
        <w:right w:val="none" w:sz="0" w:space="0" w:color="auto"/>
      </w:divBdr>
    </w:div>
    <w:div w:id="1208759025">
      <w:bodyDiv w:val="1"/>
      <w:marLeft w:val="0"/>
      <w:marRight w:val="0"/>
      <w:marTop w:val="0"/>
      <w:marBottom w:val="0"/>
      <w:divBdr>
        <w:top w:val="none" w:sz="0" w:space="0" w:color="auto"/>
        <w:left w:val="none" w:sz="0" w:space="0" w:color="auto"/>
        <w:bottom w:val="none" w:sz="0" w:space="0" w:color="auto"/>
        <w:right w:val="none" w:sz="0" w:space="0" w:color="auto"/>
      </w:divBdr>
    </w:div>
    <w:div w:id="1218587626">
      <w:bodyDiv w:val="1"/>
      <w:marLeft w:val="0"/>
      <w:marRight w:val="0"/>
      <w:marTop w:val="0"/>
      <w:marBottom w:val="0"/>
      <w:divBdr>
        <w:top w:val="none" w:sz="0" w:space="0" w:color="auto"/>
        <w:left w:val="none" w:sz="0" w:space="0" w:color="auto"/>
        <w:bottom w:val="none" w:sz="0" w:space="0" w:color="auto"/>
        <w:right w:val="none" w:sz="0" w:space="0" w:color="auto"/>
      </w:divBdr>
    </w:div>
    <w:div w:id="1274903794">
      <w:bodyDiv w:val="1"/>
      <w:marLeft w:val="0"/>
      <w:marRight w:val="0"/>
      <w:marTop w:val="0"/>
      <w:marBottom w:val="0"/>
      <w:divBdr>
        <w:top w:val="none" w:sz="0" w:space="0" w:color="auto"/>
        <w:left w:val="none" w:sz="0" w:space="0" w:color="auto"/>
        <w:bottom w:val="none" w:sz="0" w:space="0" w:color="auto"/>
        <w:right w:val="none" w:sz="0" w:space="0" w:color="auto"/>
      </w:divBdr>
    </w:div>
    <w:div w:id="1288898791">
      <w:bodyDiv w:val="1"/>
      <w:marLeft w:val="0"/>
      <w:marRight w:val="0"/>
      <w:marTop w:val="0"/>
      <w:marBottom w:val="0"/>
      <w:divBdr>
        <w:top w:val="none" w:sz="0" w:space="0" w:color="auto"/>
        <w:left w:val="none" w:sz="0" w:space="0" w:color="auto"/>
        <w:bottom w:val="none" w:sz="0" w:space="0" w:color="auto"/>
        <w:right w:val="none" w:sz="0" w:space="0" w:color="auto"/>
      </w:divBdr>
    </w:div>
    <w:div w:id="1315375765">
      <w:bodyDiv w:val="1"/>
      <w:marLeft w:val="0"/>
      <w:marRight w:val="0"/>
      <w:marTop w:val="0"/>
      <w:marBottom w:val="0"/>
      <w:divBdr>
        <w:top w:val="none" w:sz="0" w:space="0" w:color="auto"/>
        <w:left w:val="none" w:sz="0" w:space="0" w:color="auto"/>
        <w:bottom w:val="none" w:sz="0" w:space="0" w:color="auto"/>
        <w:right w:val="none" w:sz="0" w:space="0" w:color="auto"/>
      </w:divBdr>
    </w:div>
    <w:div w:id="1326129397">
      <w:bodyDiv w:val="1"/>
      <w:marLeft w:val="0"/>
      <w:marRight w:val="0"/>
      <w:marTop w:val="0"/>
      <w:marBottom w:val="0"/>
      <w:divBdr>
        <w:top w:val="none" w:sz="0" w:space="0" w:color="auto"/>
        <w:left w:val="none" w:sz="0" w:space="0" w:color="auto"/>
        <w:bottom w:val="none" w:sz="0" w:space="0" w:color="auto"/>
        <w:right w:val="none" w:sz="0" w:space="0" w:color="auto"/>
      </w:divBdr>
    </w:div>
    <w:div w:id="1331299052">
      <w:bodyDiv w:val="1"/>
      <w:marLeft w:val="0"/>
      <w:marRight w:val="0"/>
      <w:marTop w:val="0"/>
      <w:marBottom w:val="0"/>
      <w:divBdr>
        <w:top w:val="none" w:sz="0" w:space="0" w:color="auto"/>
        <w:left w:val="none" w:sz="0" w:space="0" w:color="auto"/>
        <w:bottom w:val="none" w:sz="0" w:space="0" w:color="auto"/>
        <w:right w:val="none" w:sz="0" w:space="0" w:color="auto"/>
      </w:divBdr>
    </w:div>
    <w:div w:id="1336498337">
      <w:bodyDiv w:val="1"/>
      <w:marLeft w:val="0"/>
      <w:marRight w:val="0"/>
      <w:marTop w:val="0"/>
      <w:marBottom w:val="0"/>
      <w:divBdr>
        <w:top w:val="none" w:sz="0" w:space="0" w:color="auto"/>
        <w:left w:val="none" w:sz="0" w:space="0" w:color="auto"/>
        <w:bottom w:val="none" w:sz="0" w:space="0" w:color="auto"/>
        <w:right w:val="none" w:sz="0" w:space="0" w:color="auto"/>
      </w:divBdr>
    </w:div>
    <w:div w:id="1339498292">
      <w:bodyDiv w:val="1"/>
      <w:marLeft w:val="0"/>
      <w:marRight w:val="0"/>
      <w:marTop w:val="0"/>
      <w:marBottom w:val="0"/>
      <w:divBdr>
        <w:top w:val="none" w:sz="0" w:space="0" w:color="auto"/>
        <w:left w:val="none" w:sz="0" w:space="0" w:color="auto"/>
        <w:bottom w:val="none" w:sz="0" w:space="0" w:color="auto"/>
        <w:right w:val="none" w:sz="0" w:space="0" w:color="auto"/>
      </w:divBdr>
    </w:div>
    <w:div w:id="1400515042">
      <w:bodyDiv w:val="1"/>
      <w:marLeft w:val="0"/>
      <w:marRight w:val="0"/>
      <w:marTop w:val="0"/>
      <w:marBottom w:val="0"/>
      <w:divBdr>
        <w:top w:val="none" w:sz="0" w:space="0" w:color="auto"/>
        <w:left w:val="none" w:sz="0" w:space="0" w:color="auto"/>
        <w:bottom w:val="none" w:sz="0" w:space="0" w:color="auto"/>
        <w:right w:val="none" w:sz="0" w:space="0" w:color="auto"/>
      </w:divBdr>
    </w:div>
    <w:div w:id="1440373235">
      <w:bodyDiv w:val="1"/>
      <w:marLeft w:val="0"/>
      <w:marRight w:val="0"/>
      <w:marTop w:val="0"/>
      <w:marBottom w:val="0"/>
      <w:divBdr>
        <w:top w:val="none" w:sz="0" w:space="0" w:color="auto"/>
        <w:left w:val="none" w:sz="0" w:space="0" w:color="auto"/>
        <w:bottom w:val="none" w:sz="0" w:space="0" w:color="auto"/>
        <w:right w:val="none" w:sz="0" w:space="0" w:color="auto"/>
      </w:divBdr>
    </w:div>
    <w:div w:id="1464230461">
      <w:bodyDiv w:val="1"/>
      <w:marLeft w:val="0"/>
      <w:marRight w:val="0"/>
      <w:marTop w:val="0"/>
      <w:marBottom w:val="0"/>
      <w:divBdr>
        <w:top w:val="none" w:sz="0" w:space="0" w:color="auto"/>
        <w:left w:val="none" w:sz="0" w:space="0" w:color="auto"/>
        <w:bottom w:val="none" w:sz="0" w:space="0" w:color="auto"/>
        <w:right w:val="none" w:sz="0" w:space="0" w:color="auto"/>
      </w:divBdr>
    </w:div>
    <w:div w:id="1494831778">
      <w:bodyDiv w:val="1"/>
      <w:marLeft w:val="0"/>
      <w:marRight w:val="0"/>
      <w:marTop w:val="0"/>
      <w:marBottom w:val="0"/>
      <w:divBdr>
        <w:top w:val="none" w:sz="0" w:space="0" w:color="auto"/>
        <w:left w:val="none" w:sz="0" w:space="0" w:color="auto"/>
        <w:bottom w:val="none" w:sz="0" w:space="0" w:color="auto"/>
        <w:right w:val="none" w:sz="0" w:space="0" w:color="auto"/>
      </w:divBdr>
    </w:div>
    <w:div w:id="1496340593">
      <w:bodyDiv w:val="1"/>
      <w:marLeft w:val="0"/>
      <w:marRight w:val="0"/>
      <w:marTop w:val="0"/>
      <w:marBottom w:val="0"/>
      <w:divBdr>
        <w:top w:val="none" w:sz="0" w:space="0" w:color="auto"/>
        <w:left w:val="none" w:sz="0" w:space="0" w:color="auto"/>
        <w:bottom w:val="none" w:sz="0" w:space="0" w:color="auto"/>
        <w:right w:val="none" w:sz="0" w:space="0" w:color="auto"/>
      </w:divBdr>
    </w:div>
    <w:div w:id="1515418609">
      <w:bodyDiv w:val="1"/>
      <w:marLeft w:val="0"/>
      <w:marRight w:val="0"/>
      <w:marTop w:val="0"/>
      <w:marBottom w:val="0"/>
      <w:divBdr>
        <w:top w:val="none" w:sz="0" w:space="0" w:color="auto"/>
        <w:left w:val="none" w:sz="0" w:space="0" w:color="auto"/>
        <w:bottom w:val="none" w:sz="0" w:space="0" w:color="auto"/>
        <w:right w:val="none" w:sz="0" w:space="0" w:color="auto"/>
      </w:divBdr>
    </w:div>
    <w:div w:id="1518541783">
      <w:bodyDiv w:val="1"/>
      <w:marLeft w:val="0"/>
      <w:marRight w:val="0"/>
      <w:marTop w:val="0"/>
      <w:marBottom w:val="0"/>
      <w:divBdr>
        <w:top w:val="none" w:sz="0" w:space="0" w:color="auto"/>
        <w:left w:val="none" w:sz="0" w:space="0" w:color="auto"/>
        <w:bottom w:val="none" w:sz="0" w:space="0" w:color="auto"/>
        <w:right w:val="none" w:sz="0" w:space="0" w:color="auto"/>
      </w:divBdr>
    </w:div>
    <w:div w:id="1519077297">
      <w:bodyDiv w:val="1"/>
      <w:marLeft w:val="0"/>
      <w:marRight w:val="0"/>
      <w:marTop w:val="0"/>
      <w:marBottom w:val="0"/>
      <w:divBdr>
        <w:top w:val="none" w:sz="0" w:space="0" w:color="auto"/>
        <w:left w:val="none" w:sz="0" w:space="0" w:color="auto"/>
        <w:bottom w:val="none" w:sz="0" w:space="0" w:color="auto"/>
        <w:right w:val="none" w:sz="0" w:space="0" w:color="auto"/>
      </w:divBdr>
    </w:div>
    <w:div w:id="1520968147">
      <w:bodyDiv w:val="1"/>
      <w:marLeft w:val="0"/>
      <w:marRight w:val="0"/>
      <w:marTop w:val="0"/>
      <w:marBottom w:val="0"/>
      <w:divBdr>
        <w:top w:val="none" w:sz="0" w:space="0" w:color="auto"/>
        <w:left w:val="none" w:sz="0" w:space="0" w:color="auto"/>
        <w:bottom w:val="none" w:sz="0" w:space="0" w:color="auto"/>
        <w:right w:val="none" w:sz="0" w:space="0" w:color="auto"/>
      </w:divBdr>
    </w:div>
    <w:div w:id="1539120572">
      <w:bodyDiv w:val="1"/>
      <w:marLeft w:val="0"/>
      <w:marRight w:val="0"/>
      <w:marTop w:val="0"/>
      <w:marBottom w:val="0"/>
      <w:divBdr>
        <w:top w:val="none" w:sz="0" w:space="0" w:color="auto"/>
        <w:left w:val="none" w:sz="0" w:space="0" w:color="auto"/>
        <w:bottom w:val="none" w:sz="0" w:space="0" w:color="auto"/>
        <w:right w:val="none" w:sz="0" w:space="0" w:color="auto"/>
      </w:divBdr>
    </w:div>
    <w:div w:id="1541285023">
      <w:bodyDiv w:val="1"/>
      <w:marLeft w:val="0"/>
      <w:marRight w:val="0"/>
      <w:marTop w:val="0"/>
      <w:marBottom w:val="0"/>
      <w:divBdr>
        <w:top w:val="none" w:sz="0" w:space="0" w:color="auto"/>
        <w:left w:val="none" w:sz="0" w:space="0" w:color="auto"/>
        <w:bottom w:val="none" w:sz="0" w:space="0" w:color="auto"/>
        <w:right w:val="none" w:sz="0" w:space="0" w:color="auto"/>
      </w:divBdr>
    </w:div>
    <w:div w:id="1542672375">
      <w:bodyDiv w:val="1"/>
      <w:marLeft w:val="0"/>
      <w:marRight w:val="0"/>
      <w:marTop w:val="0"/>
      <w:marBottom w:val="0"/>
      <w:divBdr>
        <w:top w:val="none" w:sz="0" w:space="0" w:color="auto"/>
        <w:left w:val="none" w:sz="0" w:space="0" w:color="auto"/>
        <w:bottom w:val="none" w:sz="0" w:space="0" w:color="auto"/>
        <w:right w:val="none" w:sz="0" w:space="0" w:color="auto"/>
      </w:divBdr>
    </w:div>
    <w:div w:id="1557083941">
      <w:bodyDiv w:val="1"/>
      <w:marLeft w:val="0"/>
      <w:marRight w:val="0"/>
      <w:marTop w:val="0"/>
      <w:marBottom w:val="0"/>
      <w:divBdr>
        <w:top w:val="none" w:sz="0" w:space="0" w:color="auto"/>
        <w:left w:val="none" w:sz="0" w:space="0" w:color="auto"/>
        <w:bottom w:val="none" w:sz="0" w:space="0" w:color="auto"/>
        <w:right w:val="none" w:sz="0" w:space="0" w:color="auto"/>
      </w:divBdr>
    </w:div>
    <w:div w:id="1564752547">
      <w:bodyDiv w:val="1"/>
      <w:marLeft w:val="0"/>
      <w:marRight w:val="0"/>
      <w:marTop w:val="0"/>
      <w:marBottom w:val="0"/>
      <w:divBdr>
        <w:top w:val="none" w:sz="0" w:space="0" w:color="auto"/>
        <w:left w:val="none" w:sz="0" w:space="0" w:color="auto"/>
        <w:bottom w:val="none" w:sz="0" w:space="0" w:color="auto"/>
        <w:right w:val="none" w:sz="0" w:space="0" w:color="auto"/>
      </w:divBdr>
    </w:div>
    <w:div w:id="1567227952">
      <w:bodyDiv w:val="1"/>
      <w:marLeft w:val="0"/>
      <w:marRight w:val="0"/>
      <w:marTop w:val="0"/>
      <w:marBottom w:val="0"/>
      <w:divBdr>
        <w:top w:val="none" w:sz="0" w:space="0" w:color="auto"/>
        <w:left w:val="none" w:sz="0" w:space="0" w:color="auto"/>
        <w:bottom w:val="none" w:sz="0" w:space="0" w:color="auto"/>
        <w:right w:val="none" w:sz="0" w:space="0" w:color="auto"/>
      </w:divBdr>
    </w:div>
    <w:div w:id="1576892262">
      <w:bodyDiv w:val="1"/>
      <w:marLeft w:val="0"/>
      <w:marRight w:val="0"/>
      <w:marTop w:val="0"/>
      <w:marBottom w:val="0"/>
      <w:divBdr>
        <w:top w:val="none" w:sz="0" w:space="0" w:color="auto"/>
        <w:left w:val="none" w:sz="0" w:space="0" w:color="auto"/>
        <w:bottom w:val="none" w:sz="0" w:space="0" w:color="auto"/>
        <w:right w:val="none" w:sz="0" w:space="0" w:color="auto"/>
      </w:divBdr>
    </w:div>
    <w:div w:id="1578828999">
      <w:bodyDiv w:val="1"/>
      <w:marLeft w:val="0"/>
      <w:marRight w:val="0"/>
      <w:marTop w:val="0"/>
      <w:marBottom w:val="0"/>
      <w:divBdr>
        <w:top w:val="none" w:sz="0" w:space="0" w:color="auto"/>
        <w:left w:val="none" w:sz="0" w:space="0" w:color="auto"/>
        <w:bottom w:val="none" w:sz="0" w:space="0" w:color="auto"/>
        <w:right w:val="none" w:sz="0" w:space="0" w:color="auto"/>
      </w:divBdr>
    </w:div>
    <w:div w:id="1581480612">
      <w:bodyDiv w:val="1"/>
      <w:marLeft w:val="0"/>
      <w:marRight w:val="0"/>
      <w:marTop w:val="0"/>
      <w:marBottom w:val="0"/>
      <w:divBdr>
        <w:top w:val="none" w:sz="0" w:space="0" w:color="auto"/>
        <w:left w:val="none" w:sz="0" w:space="0" w:color="auto"/>
        <w:bottom w:val="none" w:sz="0" w:space="0" w:color="auto"/>
        <w:right w:val="none" w:sz="0" w:space="0" w:color="auto"/>
      </w:divBdr>
    </w:div>
    <w:div w:id="1583443938">
      <w:bodyDiv w:val="1"/>
      <w:marLeft w:val="0"/>
      <w:marRight w:val="0"/>
      <w:marTop w:val="0"/>
      <w:marBottom w:val="0"/>
      <w:divBdr>
        <w:top w:val="none" w:sz="0" w:space="0" w:color="auto"/>
        <w:left w:val="none" w:sz="0" w:space="0" w:color="auto"/>
        <w:bottom w:val="none" w:sz="0" w:space="0" w:color="auto"/>
        <w:right w:val="none" w:sz="0" w:space="0" w:color="auto"/>
      </w:divBdr>
    </w:div>
    <w:div w:id="1587498292">
      <w:bodyDiv w:val="1"/>
      <w:marLeft w:val="0"/>
      <w:marRight w:val="0"/>
      <w:marTop w:val="0"/>
      <w:marBottom w:val="0"/>
      <w:divBdr>
        <w:top w:val="none" w:sz="0" w:space="0" w:color="auto"/>
        <w:left w:val="none" w:sz="0" w:space="0" w:color="auto"/>
        <w:bottom w:val="none" w:sz="0" w:space="0" w:color="auto"/>
        <w:right w:val="none" w:sz="0" w:space="0" w:color="auto"/>
      </w:divBdr>
    </w:div>
    <w:div w:id="1606418864">
      <w:bodyDiv w:val="1"/>
      <w:marLeft w:val="0"/>
      <w:marRight w:val="0"/>
      <w:marTop w:val="0"/>
      <w:marBottom w:val="0"/>
      <w:divBdr>
        <w:top w:val="none" w:sz="0" w:space="0" w:color="auto"/>
        <w:left w:val="none" w:sz="0" w:space="0" w:color="auto"/>
        <w:bottom w:val="none" w:sz="0" w:space="0" w:color="auto"/>
        <w:right w:val="none" w:sz="0" w:space="0" w:color="auto"/>
      </w:divBdr>
    </w:div>
    <w:div w:id="1628513497">
      <w:bodyDiv w:val="1"/>
      <w:marLeft w:val="0"/>
      <w:marRight w:val="0"/>
      <w:marTop w:val="0"/>
      <w:marBottom w:val="0"/>
      <w:divBdr>
        <w:top w:val="none" w:sz="0" w:space="0" w:color="auto"/>
        <w:left w:val="none" w:sz="0" w:space="0" w:color="auto"/>
        <w:bottom w:val="none" w:sz="0" w:space="0" w:color="auto"/>
        <w:right w:val="none" w:sz="0" w:space="0" w:color="auto"/>
      </w:divBdr>
    </w:div>
    <w:div w:id="1637028101">
      <w:bodyDiv w:val="1"/>
      <w:marLeft w:val="0"/>
      <w:marRight w:val="0"/>
      <w:marTop w:val="0"/>
      <w:marBottom w:val="0"/>
      <w:divBdr>
        <w:top w:val="none" w:sz="0" w:space="0" w:color="auto"/>
        <w:left w:val="none" w:sz="0" w:space="0" w:color="auto"/>
        <w:bottom w:val="none" w:sz="0" w:space="0" w:color="auto"/>
        <w:right w:val="none" w:sz="0" w:space="0" w:color="auto"/>
      </w:divBdr>
    </w:div>
    <w:div w:id="1645041719">
      <w:bodyDiv w:val="1"/>
      <w:marLeft w:val="0"/>
      <w:marRight w:val="0"/>
      <w:marTop w:val="0"/>
      <w:marBottom w:val="0"/>
      <w:divBdr>
        <w:top w:val="none" w:sz="0" w:space="0" w:color="auto"/>
        <w:left w:val="none" w:sz="0" w:space="0" w:color="auto"/>
        <w:bottom w:val="none" w:sz="0" w:space="0" w:color="auto"/>
        <w:right w:val="none" w:sz="0" w:space="0" w:color="auto"/>
      </w:divBdr>
    </w:div>
    <w:div w:id="1647515301">
      <w:bodyDiv w:val="1"/>
      <w:marLeft w:val="0"/>
      <w:marRight w:val="0"/>
      <w:marTop w:val="0"/>
      <w:marBottom w:val="0"/>
      <w:divBdr>
        <w:top w:val="none" w:sz="0" w:space="0" w:color="auto"/>
        <w:left w:val="none" w:sz="0" w:space="0" w:color="auto"/>
        <w:bottom w:val="none" w:sz="0" w:space="0" w:color="auto"/>
        <w:right w:val="none" w:sz="0" w:space="0" w:color="auto"/>
      </w:divBdr>
    </w:div>
    <w:div w:id="1650287216">
      <w:bodyDiv w:val="1"/>
      <w:marLeft w:val="0"/>
      <w:marRight w:val="0"/>
      <w:marTop w:val="0"/>
      <w:marBottom w:val="0"/>
      <w:divBdr>
        <w:top w:val="none" w:sz="0" w:space="0" w:color="auto"/>
        <w:left w:val="none" w:sz="0" w:space="0" w:color="auto"/>
        <w:bottom w:val="none" w:sz="0" w:space="0" w:color="auto"/>
        <w:right w:val="none" w:sz="0" w:space="0" w:color="auto"/>
      </w:divBdr>
    </w:div>
    <w:div w:id="1657803485">
      <w:bodyDiv w:val="1"/>
      <w:marLeft w:val="0"/>
      <w:marRight w:val="0"/>
      <w:marTop w:val="0"/>
      <w:marBottom w:val="0"/>
      <w:divBdr>
        <w:top w:val="none" w:sz="0" w:space="0" w:color="auto"/>
        <w:left w:val="none" w:sz="0" w:space="0" w:color="auto"/>
        <w:bottom w:val="none" w:sz="0" w:space="0" w:color="auto"/>
        <w:right w:val="none" w:sz="0" w:space="0" w:color="auto"/>
      </w:divBdr>
    </w:div>
    <w:div w:id="1669168081">
      <w:bodyDiv w:val="1"/>
      <w:marLeft w:val="0"/>
      <w:marRight w:val="0"/>
      <w:marTop w:val="0"/>
      <w:marBottom w:val="0"/>
      <w:divBdr>
        <w:top w:val="none" w:sz="0" w:space="0" w:color="auto"/>
        <w:left w:val="none" w:sz="0" w:space="0" w:color="auto"/>
        <w:bottom w:val="none" w:sz="0" w:space="0" w:color="auto"/>
        <w:right w:val="none" w:sz="0" w:space="0" w:color="auto"/>
      </w:divBdr>
    </w:div>
    <w:div w:id="1685016194">
      <w:bodyDiv w:val="1"/>
      <w:marLeft w:val="0"/>
      <w:marRight w:val="0"/>
      <w:marTop w:val="0"/>
      <w:marBottom w:val="0"/>
      <w:divBdr>
        <w:top w:val="none" w:sz="0" w:space="0" w:color="auto"/>
        <w:left w:val="none" w:sz="0" w:space="0" w:color="auto"/>
        <w:bottom w:val="none" w:sz="0" w:space="0" w:color="auto"/>
        <w:right w:val="none" w:sz="0" w:space="0" w:color="auto"/>
      </w:divBdr>
    </w:div>
    <w:div w:id="1687705691">
      <w:bodyDiv w:val="1"/>
      <w:marLeft w:val="0"/>
      <w:marRight w:val="0"/>
      <w:marTop w:val="0"/>
      <w:marBottom w:val="0"/>
      <w:divBdr>
        <w:top w:val="none" w:sz="0" w:space="0" w:color="auto"/>
        <w:left w:val="none" w:sz="0" w:space="0" w:color="auto"/>
        <w:bottom w:val="none" w:sz="0" w:space="0" w:color="auto"/>
        <w:right w:val="none" w:sz="0" w:space="0" w:color="auto"/>
      </w:divBdr>
    </w:div>
    <w:div w:id="1705597407">
      <w:bodyDiv w:val="1"/>
      <w:marLeft w:val="0"/>
      <w:marRight w:val="0"/>
      <w:marTop w:val="0"/>
      <w:marBottom w:val="0"/>
      <w:divBdr>
        <w:top w:val="none" w:sz="0" w:space="0" w:color="auto"/>
        <w:left w:val="none" w:sz="0" w:space="0" w:color="auto"/>
        <w:bottom w:val="none" w:sz="0" w:space="0" w:color="auto"/>
        <w:right w:val="none" w:sz="0" w:space="0" w:color="auto"/>
      </w:divBdr>
    </w:div>
    <w:div w:id="1709523495">
      <w:bodyDiv w:val="1"/>
      <w:marLeft w:val="0"/>
      <w:marRight w:val="0"/>
      <w:marTop w:val="0"/>
      <w:marBottom w:val="0"/>
      <w:divBdr>
        <w:top w:val="none" w:sz="0" w:space="0" w:color="auto"/>
        <w:left w:val="none" w:sz="0" w:space="0" w:color="auto"/>
        <w:bottom w:val="none" w:sz="0" w:space="0" w:color="auto"/>
        <w:right w:val="none" w:sz="0" w:space="0" w:color="auto"/>
      </w:divBdr>
    </w:div>
    <w:div w:id="1715349334">
      <w:bodyDiv w:val="1"/>
      <w:marLeft w:val="0"/>
      <w:marRight w:val="0"/>
      <w:marTop w:val="0"/>
      <w:marBottom w:val="0"/>
      <w:divBdr>
        <w:top w:val="none" w:sz="0" w:space="0" w:color="auto"/>
        <w:left w:val="none" w:sz="0" w:space="0" w:color="auto"/>
        <w:bottom w:val="none" w:sz="0" w:space="0" w:color="auto"/>
        <w:right w:val="none" w:sz="0" w:space="0" w:color="auto"/>
      </w:divBdr>
    </w:div>
    <w:div w:id="1753428380">
      <w:bodyDiv w:val="1"/>
      <w:marLeft w:val="0"/>
      <w:marRight w:val="0"/>
      <w:marTop w:val="0"/>
      <w:marBottom w:val="0"/>
      <w:divBdr>
        <w:top w:val="none" w:sz="0" w:space="0" w:color="auto"/>
        <w:left w:val="none" w:sz="0" w:space="0" w:color="auto"/>
        <w:bottom w:val="none" w:sz="0" w:space="0" w:color="auto"/>
        <w:right w:val="none" w:sz="0" w:space="0" w:color="auto"/>
      </w:divBdr>
    </w:div>
    <w:div w:id="1761871565">
      <w:bodyDiv w:val="1"/>
      <w:marLeft w:val="0"/>
      <w:marRight w:val="0"/>
      <w:marTop w:val="0"/>
      <w:marBottom w:val="0"/>
      <w:divBdr>
        <w:top w:val="none" w:sz="0" w:space="0" w:color="auto"/>
        <w:left w:val="none" w:sz="0" w:space="0" w:color="auto"/>
        <w:bottom w:val="none" w:sz="0" w:space="0" w:color="auto"/>
        <w:right w:val="none" w:sz="0" w:space="0" w:color="auto"/>
      </w:divBdr>
    </w:div>
    <w:div w:id="1772234648">
      <w:bodyDiv w:val="1"/>
      <w:marLeft w:val="0"/>
      <w:marRight w:val="0"/>
      <w:marTop w:val="0"/>
      <w:marBottom w:val="0"/>
      <w:divBdr>
        <w:top w:val="none" w:sz="0" w:space="0" w:color="auto"/>
        <w:left w:val="none" w:sz="0" w:space="0" w:color="auto"/>
        <w:bottom w:val="none" w:sz="0" w:space="0" w:color="auto"/>
        <w:right w:val="none" w:sz="0" w:space="0" w:color="auto"/>
      </w:divBdr>
    </w:div>
    <w:div w:id="1776362704">
      <w:bodyDiv w:val="1"/>
      <w:marLeft w:val="0"/>
      <w:marRight w:val="0"/>
      <w:marTop w:val="0"/>
      <w:marBottom w:val="0"/>
      <w:divBdr>
        <w:top w:val="none" w:sz="0" w:space="0" w:color="auto"/>
        <w:left w:val="none" w:sz="0" w:space="0" w:color="auto"/>
        <w:bottom w:val="none" w:sz="0" w:space="0" w:color="auto"/>
        <w:right w:val="none" w:sz="0" w:space="0" w:color="auto"/>
      </w:divBdr>
    </w:div>
    <w:div w:id="1779761277">
      <w:bodyDiv w:val="1"/>
      <w:marLeft w:val="0"/>
      <w:marRight w:val="0"/>
      <w:marTop w:val="0"/>
      <w:marBottom w:val="0"/>
      <w:divBdr>
        <w:top w:val="none" w:sz="0" w:space="0" w:color="auto"/>
        <w:left w:val="none" w:sz="0" w:space="0" w:color="auto"/>
        <w:bottom w:val="none" w:sz="0" w:space="0" w:color="auto"/>
        <w:right w:val="none" w:sz="0" w:space="0" w:color="auto"/>
      </w:divBdr>
    </w:div>
    <w:div w:id="1873494482">
      <w:bodyDiv w:val="1"/>
      <w:marLeft w:val="0"/>
      <w:marRight w:val="0"/>
      <w:marTop w:val="0"/>
      <w:marBottom w:val="0"/>
      <w:divBdr>
        <w:top w:val="none" w:sz="0" w:space="0" w:color="auto"/>
        <w:left w:val="none" w:sz="0" w:space="0" w:color="auto"/>
        <w:bottom w:val="none" w:sz="0" w:space="0" w:color="auto"/>
        <w:right w:val="none" w:sz="0" w:space="0" w:color="auto"/>
      </w:divBdr>
    </w:div>
    <w:div w:id="1881820941">
      <w:bodyDiv w:val="1"/>
      <w:marLeft w:val="0"/>
      <w:marRight w:val="0"/>
      <w:marTop w:val="0"/>
      <w:marBottom w:val="0"/>
      <w:divBdr>
        <w:top w:val="none" w:sz="0" w:space="0" w:color="auto"/>
        <w:left w:val="none" w:sz="0" w:space="0" w:color="auto"/>
        <w:bottom w:val="none" w:sz="0" w:space="0" w:color="auto"/>
        <w:right w:val="none" w:sz="0" w:space="0" w:color="auto"/>
      </w:divBdr>
    </w:div>
    <w:div w:id="1939752559">
      <w:bodyDiv w:val="1"/>
      <w:marLeft w:val="0"/>
      <w:marRight w:val="0"/>
      <w:marTop w:val="0"/>
      <w:marBottom w:val="0"/>
      <w:divBdr>
        <w:top w:val="none" w:sz="0" w:space="0" w:color="auto"/>
        <w:left w:val="none" w:sz="0" w:space="0" w:color="auto"/>
        <w:bottom w:val="none" w:sz="0" w:space="0" w:color="auto"/>
        <w:right w:val="none" w:sz="0" w:space="0" w:color="auto"/>
      </w:divBdr>
    </w:div>
    <w:div w:id="1953970318">
      <w:bodyDiv w:val="1"/>
      <w:marLeft w:val="0"/>
      <w:marRight w:val="0"/>
      <w:marTop w:val="0"/>
      <w:marBottom w:val="0"/>
      <w:divBdr>
        <w:top w:val="none" w:sz="0" w:space="0" w:color="auto"/>
        <w:left w:val="none" w:sz="0" w:space="0" w:color="auto"/>
        <w:bottom w:val="none" w:sz="0" w:space="0" w:color="auto"/>
        <w:right w:val="none" w:sz="0" w:space="0" w:color="auto"/>
      </w:divBdr>
    </w:div>
    <w:div w:id="1976249827">
      <w:bodyDiv w:val="1"/>
      <w:marLeft w:val="0"/>
      <w:marRight w:val="0"/>
      <w:marTop w:val="0"/>
      <w:marBottom w:val="0"/>
      <w:divBdr>
        <w:top w:val="none" w:sz="0" w:space="0" w:color="auto"/>
        <w:left w:val="none" w:sz="0" w:space="0" w:color="auto"/>
        <w:bottom w:val="none" w:sz="0" w:space="0" w:color="auto"/>
        <w:right w:val="none" w:sz="0" w:space="0" w:color="auto"/>
      </w:divBdr>
    </w:div>
    <w:div w:id="2042052844">
      <w:bodyDiv w:val="1"/>
      <w:marLeft w:val="0"/>
      <w:marRight w:val="0"/>
      <w:marTop w:val="0"/>
      <w:marBottom w:val="0"/>
      <w:divBdr>
        <w:top w:val="none" w:sz="0" w:space="0" w:color="auto"/>
        <w:left w:val="none" w:sz="0" w:space="0" w:color="auto"/>
        <w:bottom w:val="none" w:sz="0" w:space="0" w:color="auto"/>
        <w:right w:val="none" w:sz="0" w:space="0" w:color="auto"/>
      </w:divBdr>
    </w:div>
    <w:div w:id="2051958570">
      <w:bodyDiv w:val="1"/>
      <w:marLeft w:val="0"/>
      <w:marRight w:val="0"/>
      <w:marTop w:val="0"/>
      <w:marBottom w:val="0"/>
      <w:divBdr>
        <w:top w:val="none" w:sz="0" w:space="0" w:color="auto"/>
        <w:left w:val="none" w:sz="0" w:space="0" w:color="auto"/>
        <w:bottom w:val="none" w:sz="0" w:space="0" w:color="auto"/>
        <w:right w:val="none" w:sz="0" w:space="0" w:color="auto"/>
      </w:divBdr>
    </w:div>
    <w:div w:id="2061636693">
      <w:bodyDiv w:val="1"/>
      <w:marLeft w:val="0"/>
      <w:marRight w:val="0"/>
      <w:marTop w:val="0"/>
      <w:marBottom w:val="0"/>
      <w:divBdr>
        <w:top w:val="none" w:sz="0" w:space="0" w:color="auto"/>
        <w:left w:val="none" w:sz="0" w:space="0" w:color="auto"/>
        <w:bottom w:val="none" w:sz="0" w:space="0" w:color="auto"/>
        <w:right w:val="none" w:sz="0" w:space="0" w:color="auto"/>
      </w:divBdr>
    </w:div>
    <w:div w:id="2064940724">
      <w:bodyDiv w:val="1"/>
      <w:marLeft w:val="0"/>
      <w:marRight w:val="0"/>
      <w:marTop w:val="0"/>
      <w:marBottom w:val="0"/>
      <w:divBdr>
        <w:top w:val="none" w:sz="0" w:space="0" w:color="auto"/>
        <w:left w:val="none" w:sz="0" w:space="0" w:color="auto"/>
        <w:bottom w:val="none" w:sz="0" w:space="0" w:color="auto"/>
        <w:right w:val="none" w:sz="0" w:space="0" w:color="auto"/>
      </w:divBdr>
    </w:div>
    <w:div w:id="2094543338">
      <w:bodyDiv w:val="1"/>
      <w:marLeft w:val="0"/>
      <w:marRight w:val="0"/>
      <w:marTop w:val="0"/>
      <w:marBottom w:val="0"/>
      <w:divBdr>
        <w:top w:val="none" w:sz="0" w:space="0" w:color="auto"/>
        <w:left w:val="none" w:sz="0" w:space="0" w:color="auto"/>
        <w:bottom w:val="none" w:sz="0" w:space="0" w:color="auto"/>
        <w:right w:val="none" w:sz="0" w:space="0" w:color="auto"/>
      </w:divBdr>
    </w:div>
    <w:div w:id="2139178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uspto.gov/web/offices/pac/mpep/mpep-9015-appx-l.html%23al_d1fbe1_19797_b0" TargetMode="External"/><Relationship Id="rId13" Type="http://schemas.openxmlformats.org/officeDocument/2006/relationships/hyperlink" Target="https://www.gpo.gov/fdsys/pkg/USCODE-2011-title35/pdf/USCODE-2011-title35-partII-chap14-sec151.pdf" TargetMode="External"/><Relationship Id="rId3" Type="http://schemas.openxmlformats.org/officeDocument/2006/relationships/hyperlink" Target="http://www.wipo.int/publications/fr/details.jsp?id=283&amp;plang=EN" TargetMode="External"/><Relationship Id="rId7" Type="http://schemas.openxmlformats.org/officeDocument/2006/relationships/hyperlink" Target="http://www.un.org/fr/universal-declaration-human-rights/" TargetMode="External"/><Relationship Id="rId12" Type="http://schemas.openxmlformats.org/officeDocument/2006/relationships/hyperlink" Target="https://www.uspto.gov/web/offices/pac/mpep/mpep-9015-appx-l.html%23al_d1fbe1_19797_b0" TargetMode="External"/><Relationship Id="rId17" Type="http://schemas.openxmlformats.org/officeDocument/2006/relationships/hyperlink" Target="http://www.undp.org/content/undp/en/home/librarypage/environment-energy/local_development/undp-and-indigenous-peoples-a-policy-of-engagement.html" TargetMode="External"/><Relationship Id="rId2" Type="http://schemas.openxmlformats.org/officeDocument/2006/relationships/hyperlink" Target="https://www.uspto.gov/web/offices/pac/mpep/s2158.html" TargetMode="External"/><Relationship Id="rId16" Type="http://schemas.openxmlformats.org/officeDocument/2006/relationships/hyperlink" Target="http://www.ifad.org/english/indigenous/documents/ip_policy_f.pdf" TargetMode="External"/><Relationship Id="rId1" Type="http://schemas.openxmlformats.org/officeDocument/2006/relationships/hyperlink" Target="http://www.fao.org/3/a-be623e.pdf" TargetMode="External"/><Relationship Id="rId6" Type="http://schemas.openxmlformats.org/officeDocument/2006/relationships/hyperlink" Target="http://www.tkdl.res.in/tkdl/langdefault/common/TKRC.asp?GL=Eng" TargetMode="External"/><Relationship Id="rId11" Type="http://schemas.openxmlformats.org/officeDocument/2006/relationships/hyperlink" Target="http://www.vocabularyserver.com/unesco/en/index.php?tema=2526&amp;/cultural-identity" TargetMode="External"/><Relationship Id="rId5" Type="http://schemas.openxmlformats.org/officeDocument/2006/relationships/hyperlink" Target="http://www.oecd.org/fr/sti/biotech/definitionstatistiquedelabiotechnologiemiseajouren2005.htm" TargetMode="External"/><Relationship Id="rId15" Type="http://schemas.openxmlformats.org/officeDocument/2006/relationships/hyperlink" Target="http://www.fao.org/docrep/013/i1857f/i1857f00.pdf" TargetMode="External"/><Relationship Id="rId10" Type="http://schemas.openxmlformats.org/officeDocument/2006/relationships/hyperlink" Target="https://www.gpo.gov/fdsys/pkg/USCODE-2011-title35/pdf/USCODE-2011-title35-partII-chap11-sec122.pdf" TargetMode="External"/><Relationship Id="rId4" Type="http://schemas.openxmlformats.org/officeDocument/2006/relationships/hyperlink" Target="http://www.fao.org/biotech/fao-statement-on-biotechnology/fr/" TargetMode="External"/><Relationship Id="rId9" Type="http://schemas.openxmlformats.org/officeDocument/2006/relationships/hyperlink" Target="https://www.gpo.gov/fdsys/pkg/USCODE-2011-title35/pdf/USCODE-2011-title35-partII-chap14-sec151.pdf" TargetMode="External"/><Relationship Id="rId14" Type="http://schemas.openxmlformats.org/officeDocument/2006/relationships/hyperlink" Target="https://www.gpo.gov/fdsys/pkg/USCODE-2011-title35/pdf/USCODE-2011-title35-partII-chap11-sec1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1C868-1ECC-45DA-95E7-5CD47BD50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57</Pages>
  <Words>24535</Words>
  <Characters>144143</Characters>
  <Application>Microsoft Office Word</Application>
  <DocSecurity>0</DocSecurity>
  <Lines>2126</Lines>
  <Paragraphs>512</Paragraphs>
  <ScaleCrop>false</ScaleCrop>
  <HeadingPairs>
    <vt:vector size="2" baseType="variant">
      <vt:variant>
        <vt:lpstr>Title</vt:lpstr>
      </vt:variant>
      <vt:variant>
        <vt:i4>1</vt:i4>
      </vt:variant>
    </vt:vector>
  </HeadingPairs>
  <TitlesOfParts>
    <vt:vector size="1" baseType="lpstr">
      <vt:lpstr>GLOSSARY OF GENETIC RESOURCE TERMINOLOGY</vt:lpstr>
    </vt:vector>
  </TitlesOfParts>
  <Company>World Intellectual Property Organization</Company>
  <LinksUpToDate>false</LinksUpToDate>
  <CharactersWithSpaces>168485</CharactersWithSpaces>
  <SharedDoc>false</SharedDoc>
  <HLinks>
    <vt:vector size="126" baseType="variant">
      <vt:variant>
        <vt:i4>6488190</vt:i4>
      </vt:variant>
      <vt:variant>
        <vt:i4>60</vt:i4>
      </vt:variant>
      <vt:variant>
        <vt:i4>0</vt:i4>
      </vt:variant>
      <vt:variant>
        <vt:i4>5</vt:i4>
      </vt:variant>
      <vt:variant>
        <vt:lpwstr>http://www.wipo.int/tk/fr/tk/ffm/report/index.html</vt:lpwstr>
      </vt:variant>
      <vt:variant>
        <vt:lpwstr/>
      </vt:variant>
      <vt:variant>
        <vt:i4>6488190</vt:i4>
      </vt:variant>
      <vt:variant>
        <vt:i4>57</vt:i4>
      </vt:variant>
      <vt:variant>
        <vt:i4>0</vt:i4>
      </vt:variant>
      <vt:variant>
        <vt:i4>5</vt:i4>
      </vt:variant>
      <vt:variant>
        <vt:lpwstr>http://www.wipo.int/tk/fr/tk/ffm/report/index.html</vt:lpwstr>
      </vt:variant>
      <vt:variant>
        <vt:lpwstr/>
      </vt:variant>
      <vt:variant>
        <vt:i4>2162813</vt:i4>
      </vt:variant>
      <vt:variant>
        <vt:i4>54</vt:i4>
      </vt:variant>
      <vt:variant>
        <vt:i4>0</vt:i4>
      </vt:variant>
      <vt:variant>
        <vt:i4>5</vt:i4>
      </vt:variant>
      <vt:variant>
        <vt:lpwstr>http://www.wipo.int/wipolex/en/details.jsp?id=3420</vt:lpwstr>
      </vt:variant>
      <vt:variant>
        <vt:lpwstr/>
      </vt:variant>
      <vt:variant>
        <vt:i4>4915287</vt:i4>
      </vt:variant>
      <vt:variant>
        <vt:i4>51</vt:i4>
      </vt:variant>
      <vt:variant>
        <vt:i4>0</vt:i4>
      </vt:variant>
      <vt:variant>
        <vt:i4>5</vt:i4>
      </vt:variant>
      <vt:variant>
        <vt:lpwstr>http://www.law.duke.edu/cspd/itkpaper</vt:lpwstr>
      </vt:variant>
      <vt:variant>
        <vt:lpwstr/>
      </vt:variant>
      <vt:variant>
        <vt:i4>524409</vt:i4>
      </vt:variant>
      <vt:variant>
        <vt:i4>48</vt:i4>
      </vt:variant>
      <vt:variant>
        <vt:i4>0</vt:i4>
      </vt:variant>
      <vt:variant>
        <vt:i4>5</vt:i4>
      </vt:variant>
      <vt:variant>
        <vt:lpwstr>http://www.wipo.int/export/sites/www/tk/en/consultations/customary_law/issues-revised.pdf</vt:lpwstr>
      </vt:variant>
      <vt:variant>
        <vt:lpwstr/>
      </vt:variant>
      <vt:variant>
        <vt:i4>458764</vt:i4>
      </vt:variant>
      <vt:variant>
        <vt:i4>45</vt:i4>
      </vt:variant>
      <vt:variant>
        <vt:i4>0</vt:i4>
      </vt:variant>
      <vt:variant>
        <vt:i4>5</vt:i4>
      </vt:variant>
      <vt:variant>
        <vt:lpwstr>http://www.beta.undp.org/content/dam/undp/documents/partners/civil_society/publications/policies_and_strategic_documents/UNDP_and_Indigenous_Peoples_A_Practice_Note_On_Engagement_FR_2001.pdf</vt:lpwstr>
      </vt:variant>
      <vt:variant>
        <vt:lpwstr/>
      </vt:variant>
      <vt:variant>
        <vt:i4>4063289</vt:i4>
      </vt:variant>
      <vt:variant>
        <vt:i4>42</vt:i4>
      </vt:variant>
      <vt:variant>
        <vt:i4>0</vt:i4>
      </vt:variant>
      <vt:variant>
        <vt:i4>5</vt:i4>
      </vt:variant>
      <vt:variant>
        <vt:lpwstr>http://www.ifad.org/english/indigenous/documents/ip_policy_f.pdf</vt:lpwstr>
      </vt:variant>
      <vt:variant>
        <vt:lpwstr/>
      </vt:variant>
      <vt:variant>
        <vt:i4>458823</vt:i4>
      </vt:variant>
      <vt:variant>
        <vt:i4>39</vt:i4>
      </vt:variant>
      <vt:variant>
        <vt:i4>0</vt:i4>
      </vt:variant>
      <vt:variant>
        <vt:i4>5</vt:i4>
      </vt:variant>
      <vt:variant>
        <vt:lpwstr>http://www.fao.org/docrep/013/i1857f/i1857f00.pdf</vt:lpwstr>
      </vt:variant>
      <vt:variant>
        <vt:lpwstr/>
      </vt:variant>
      <vt:variant>
        <vt:i4>5636106</vt:i4>
      </vt:variant>
      <vt:variant>
        <vt:i4>36</vt:i4>
      </vt:variant>
      <vt:variant>
        <vt:i4>0</vt:i4>
      </vt:variant>
      <vt:variant>
        <vt:i4>5</vt:i4>
      </vt:variant>
      <vt:variant>
        <vt:lpwstr>http://www.unep.org/dec/onlinemanual/Resources/Glossary/tabid/69/Default.aspx</vt:lpwstr>
      </vt:variant>
      <vt:variant>
        <vt:lpwstr/>
      </vt:variant>
      <vt:variant>
        <vt:i4>4128821</vt:i4>
      </vt:variant>
      <vt:variant>
        <vt:i4>33</vt:i4>
      </vt:variant>
      <vt:variant>
        <vt:i4>0</vt:i4>
      </vt:variant>
      <vt:variant>
        <vt:i4>5</vt:i4>
      </vt:variant>
      <vt:variant>
        <vt:lpwstr>http://www.cbd.int/chm/</vt:lpwstr>
      </vt:variant>
      <vt:variant>
        <vt:lpwstr/>
      </vt:variant>
      <vt:variant>
        <vt:i4>6553704</vt:i4>
      </vt:variant>
      <vt:variant>
        <vt:i4>30</vt:i4>
      </vt:variant>
      <vt:variant>
        <vt:i4>0</vt:i4>
      </vt:variant>
      <vt:variant>
        <vt:i4>5</vt:i4>
      </vt:variant>
      <vt:variant>
        <vt:lpwstr>http://www.wipo.int/copyright/fr/limitations/index.html</vt:lpwstr>
      </vt:variant>
      <vt:variant>
        <vt:lpwstr/>
      </vt:variant>
      <vt:variant>
        <vt:i4>1900553</vt:i4>
      </vt:variant>
      <vt:variant>
        <vt:i4>27</vt:i4>
      </vt:variant>
      <vt:variant>
        <vt:i4>0</vt:i4>
      </vt:variant>
      <vt:variant>
        <vt:i4>5</vt:i4>
      </vt:variant>
      <vt:variant>
        <vt:lpwstr>http://www.wipo.int/tk/en/resources/tkdocumentation.html</vt:lpwstr>
      </vt:variant>
      <vt:variant>
        <vt:lpwstr/>
      </vt:variant>
      <vt:variant>
        <vt:i4>7012473</vt:i4>
      </vt:variant>
      <vt:variant>
        <vt:i4>24</vt:i4>
      </vt:variant>
      <vt:variant>
        <vt:i4>0</vt:i4>
      </vt:variant>
      <vt:variant>
        <vt:i4>5</vt:i4>
      </vt:variant>
      <vt:variant>
        <vt:lpwstr>http://www.wipo.int/tk/en/laws/genetic.html</vt:lpwstr>
      </vt:variant>
      <vt:variant>
        <vt:lpwstr/>
      </vt:variant>
      <vt:variant>
        <vt:i4>6881302</vt:i4>
      </vt:variant>
      <vt:variant>
        <vt:i4>21</vt:i4>
      </vt:variant>
      <vt:variant>
        <vt:i4>0</vt:i4>
      </vt:variant>
      <vt:variant>
        <vt:i4>5</vt:i4>
      </vt:variant>
      <vt:variant>
        <vt:lpwstr>http://www.wipo.int/tk/en/consultations/customary_law/index.html</vt:lpwstr>
      </vt:variant>
      <vt:variant>
        <vt:lpwstr/>
      </vt:variant>
      <vt:variant>
        <vt:i4>3997790</vt:i4>
      </vt:variant>
      <vt:variant>
        <vt:i4>18</vt:i4>
      </vt:variant>
      <vt:variant>
        <vt:i4>0</vt:i4>
      </vt:variant>
      <vt:variant>
        <vt:i4>5</vt:i4>
      </vt:variant>
      <vt:variant>
        <vt:lpwstr>http://www.wipo.int/pct/fr/texts/glossary.html</vt:lpwstr>
      </vt:variant>
      <vt:variant>
        <vt:lpwstr>D</vt:lpwstr>
      </vt:variant>
      <vt:variant>
        <vt:i4>2621557</vt:i4>
      </vt:variant>
      <vt:variant>
        <vt:i4>15</vt:i4>
      </vt:variant>
      <vt:variant>
        <vt:i4>0</vt:i4>
      </vt:variant>
      <vt:variant>
        <vt:i4>5</vt:i4>
      </vt:variant>
      <vt:variant>
        <vt:lpwstr>http://www.tkdl.res.in/tkdl/langdefault/common/TKRC.asp?GL=Eng</vt:lpwstr>
      </vt:variant>
      <vt:variant>
        <vt:lpwstr/>
      </vt:variant>
      <vt:variant>
        <vt:i4>6619250</vt:i4>
      </vt:variant>
      <vt:variant>
        <vt:i4>12</vt:i4>
      </vt:variant>
      <vt:variant>
        <vt:i4>0</vt:i4>
      </vt:variant>
      <vt:variant>
        <vt:i4>5</vt:i4>
      </vt:variant>
      <vt:variant>
        <vt:lpwstr>http://www.fao.org/biotech/stat.asp</vt:lpwstr>
      </vt:variant>
      <vt:variant>
        <vt:lpwstr/>
      </vt:variant>
      <vt:variant>
        <vt:i4>7995444</vt:i4>
      </vt:variant>
      <vt:variant>
        <vt:i4>9</vt:i4>
      </vt:variant>
      <vt:variant>
        <vt:i4>0</vt:i4>
      </vt:variant>
      <vt:variant>
        <vt:i4>5</vt:i4>
      </vt:variant>
      <vt:variant>
        <vt:lpwstr>http://www.tkdl.res.in/tkdl/langdefault/common/Abouttkdl.asp?GL=Eng</vt:lpwstr>
      </vt:variant>
      <vt:variant>
        <vt:lpwstr/>
      </vt:variant>
      <vt:variant>
        <vt:i4>5570579</vt:i4>
      </vt:variant>
      <vt:variant>
        <vt:i4>6</vt:i4>
      </vt:variant>
      <vt:variant>
        <vt:i4>0</vt:i4>
      </vt:variant>
      <vt:variant>
        <vt:i4>5</vt:i4>
      </vt:variant>
      <vt:variant>
        <vt:lpwstr>http://www.wipo.int/tk/en/databases/contracts/index.html</vt:lpwstr>
      </vt:variant>
      <vt:variant>
        <vt:lpwstr/>
      </vt:variant>
      <vt:variant>
        <vt:i4>1835077</vt:i4>
      </vt:variant>
      <vt:variant>
        <vt:i4>3</vt:i4>
      </vt:variant>
      <vt:variant>
        <vt:i4>0</vt:i4>
      </vt:variant>
      <vt:variant>
        <vt:i4>5</vt:i4>
      </vt:variant>
      <vt:variant>
        <vt:lpwstr>ftp://ftp.fao.org/ag/cgrfa/gb1/SMTAe.pdf</vt:lpwstr>
      </vt:variant>
      <vt:variant>
        <vt:lpwstr/>
      </vt:variant>
      <vt:variant>
        <vt:i4>5636111</vt:i4>
      </vt:variant>
      <vt:variant>
        <vt:i4>0</vt:i4>
      </vt:variant>
      <vt:variant>
        <vt:i4>0</vt:i4>
      </vt:variant>
      <vt:variant>
        <vt:i4>5</vt:i4>
      </vt:variant>
      <vt:variant>
        <vt:lpwstr>http://www.wipo.int/tk/fr/databases/contracts/index.html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GENETIC RESOURCE TERMINOLOGY</dc:title>
  <dc:creator>Moreno</dc:creator>
  <cp:keywords>FOR OFFICIAL USE ONLY</cp:keywords>
  <cp:lastModifiedBy>ROURE Cécile</cp:lastModifiedBy>
  <cp:revision>31</cp:revision>
  <cp:lastPrinted>2018-01-30T11:57:00Z</cp:lastPrinted>
  <dcterms:created xsi:type="dcterms:W3CDTF">2019-01-29T09:01:00Z</dcterms:created>
  <dcterms:modified xsi:type="dcterms:W3CDTF">2022-07-29T13:03:00Z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8ad9c191-add3-442b-9e24-ffd549d8d0a9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