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6E0E0" w14:textId="77777777" w:rsidR="00082637" w:rsidRPr="003A723D" w:rsidRDefault="00082637" w:rsidP="004A29DC">
      <w:pPr>
        <w:rPr>
          <w:rFonts w:ascii="Arial" w:hAnsi="Arial" w:cs="Arial"/>
          <w:sz w:val="22"/>
          <w:szCs w:val="22"/>
          <w:lang w:val="fr-FR"/>
        </w:rPr>
      </w:pPr>
    </w:p>
    <w:p w14:paraId="26C2F0CC" w14:textId="6D1BA96B" w:rsidR="00082637" w:rsidRPr="003A723D" w:rsidRDefault="007069D1" w:rsidP="007069D1">
      <w:pPr>
        <w:ind w:left="-360"/>
        <w:jc w:val="center"/>
        <w:rPr>
          <w:rFonts w:ascii="Arial" w:hAnsi="Arial" w:cs="Arial"/>
          <w:b/>
          <w:sz w:val="22"/>
          <w:szCs w:val="22"/>
          <w:lang w:val="fr-FR"/>
        </w:rPr>
      </w:pPr>
      <w:r w:rsidRPr="003A723D">
        <w:rPr>
          <w:rFonts w:ascii="Arial" w:hAnsi="Arial" w:cs="Arial"/>
          <w:b/>
          <w:color w:val="000000"/>
          <w:sz w:val="22"/>
          <w:szCs w:val="22"/>
          <w:lang w:val="fr-FR"/>
        </w:rPr>
        <w:t>Note d</w:t>
      </w:r>
      <w:r w:rsidR="005C5419" w:rsidRPr="003A723D">
        <w:rPr>
          <w:rFonts w:ascii="Arial" w:hAnsi="Arial" w:cs="Arial"/>
          <w:b/>
          <w:color w:val="000000"/>
          <w:sz w:val="22"/>
          <w:szCs w:val="22"/>
          <w:lang w:val="fr-FR"/>
        </w:rPr>
        <w:t>’</w:t>
      </w:r>
      <w:r w:rsidRPr="003A723D">
        <w:rPr>
          <w:rFonts w:ascii="Arial" w:hAnsi="Arial" w:cs="Arial"/>
          <w:b/>
          <w:color w:val="000000"/>
          <w:sz w:val="22"/>
          <w:szCs w:val="22"/>
          <w:lang w:val="fr-FR"/>
        </w:rPr>
        <w:t>information</w:t>
      </w:r>
      <w:r w:rsidR="00F671BC" w:rsidRPr="003A723D">
        <w:rPr>
          <w:rStyle w:val="FootnoteReference"/>
          <w:rFonts w:ascii="Arial" w:hAnsi="Arial" w:cs="Arial"/>
          <w:b/>
          <w:sz w:val="22"/>
          <w:szCs w:val="22"/>
          <w:lang w:val="fr-FR"/>
        </w:rPr>
        <w:footnoteReference w:id="2"/>
      </w:r>
    </w:p>
    <w:p w14:paraId="1F9C82ED" w14:textId="77777777" w:rsidR="00082637" w:rsidRPr="003A723D" w:rsidRDefault="00082637" w:rsidP="00107038">
      <w:pPr>
        <w:ind w:left="-360"/>
        <w:jc w:val="center"/>
        <w:rPr>
          <w:rFonts w:ascii="Arial" w:hAnsi="Arial" w:cs="Arial"/>
          <w:b/>
          <w:sz w:val="22"/>
          <w:szCs w:val="22"/>
          <w:lang w:val="fr-FR"/>
        </w:rPr>
      </w:pPr>
    </w:p>
    <w:p w14:paraId="005C3E31" w14:textId="2FAABF49" w:rsidR="00082637" w:rsidRPr="003A723D" w:rsidRDefault="00DC6B86" w:rsidP="00107038">
      <w:pPr>
        <w:ind w:left="-360"/>
        <w:jc w:val="center"/>
        <w:rPr>
          <w:rFonts w:ascii="Arial" w:hAnsi="Arial" w:cs="Arial"/>
          <w:b/>
          <w:sz w:val="22"/>
          <w:szCs w:val="22"/>
          <w:lang w:val="fr-FR"/>
        </w:rPr>
      </w:pPr>
      <w:proofErr w:type="gramStart"/>
      <w:r w:rsidRPr="003A723D">
        <w:rPr>
          <w:rFonts w:ascii="Arial" w:hAnsi="Arial" w:cs="Arial"/>
          <w:b/>
          <w:sz w:val="22"/>
          <w:szCs w:val="22"/>
          <w:lang w:val="fr-FR"/>
        </w:rPr>
        <w:t>en</w:t>
      </w:r>
      <w:proofErr w:type="gramEnd"/>
      <w:r w:rsidRPr="003A723D">
        <w:rPr>
          <w:rFonts w:ascii="Arial" w:hAnsi="Arial" w:cs="Arial"/>
          <w:b/>
          <w:sz w:val="22"/>
          <w:szCs w:val="22"/>
          <w:lang w:val="fr-FR"/>
        </w:rPr>
        <w:t xml:space="preserve"> vue de la quarante</w:t>
      </w:r>
      <w:r w:rsidR="00234797">
        <w:rPr>
          <w:rFonts w:ascii="Arial" w:hAnsi="Arial" w:cs="Arial"/>
          <w:b/>
          <w:sz w:val="22"/>
          <w:szCs w:val="22"/>
          <w:lang w:val="fr-FR"/>
        </w:rPr>
        <w:noBreakHyphen/>
      </w:r>
      <w:r w:rsidRPr="003A723D">
        <w:rPr>
          <w:rFonts w:ascii="Arial" w:hAnsi="Arial" w:cs="Arial"/>
          <w:b/>
          <w:sz w:val="22"/>
          <w:szCs w:val="22"/>
          <w:lang w:val="fr-FR"/>
        </w:rPr>
        <w:t>deux</w:t>
      </w:r>
      <w:r w:rsidR="005C5419" w:rsidRPr="003A723D">
        <w:rPr>
          <w:rFonts w:ascii="Arial" w:hAnsi="Arial" w:cs="Arial"/>
          <w:b/>
          <w:sz w:val="22"/>
          <w:szCs w:val="22"/>
          <w:lang w:val="fr-FR"/>
        </w:rPr>
        <w:t>ième session</w:t>
      </w:r>
      <w:r w:rsidRPr="003A723D">
        <w:rPr>
          <w:rFonts w:ascii="Arial" w:hAnsi="Arial" w:cs="Arial"/>
          <w:b/>
          <w:sz w:val="22"/>
          <w:szCs w:val="22"/>
          <w:lang w:val="fr-FR"/>
        </w:rPr>
        <w:t xml:space="preserve"> de l</w:t>
      </w:r>
      <w:r w:rsidR="005C5419" w:rsidRPr="003A723D">
        <w:rPr>
          <w:rFonts w:ascii="Arial" w:hAnsi="Arial" w:cs="Arial"/>
          <w:b/>
          <w:sz w:val="22"/>
          <w:szCs w:val="22"/>
          <w:lang w:val="fr-FR"/>
        </w:rPr>
        <w:t>’</w:t>
      </w:r>
      <w:r w:rsidR="00107038" w:rsidRPr="003A723D">
        <w:rPr>
          <w:rFonts w:ascii="Arial" w:hAnsi="Arial" w:cs="Arial"/>
          <w:b/>
          <w:sz w:val="22"/>
          <w:szCs w:val="22"/>
          <w:lang w:val="fr-FR"/>
        </w:rPr>
        <w:t xml:space="preserve">IGC </w:t>
      </w:r>
      <w:r w:rsidRPr="003A723D">
        <w:rPr>
          <w:rFonts w:ascii="Arial" w:hAnsi="Arial" w:cs="Arial"/>
          <w:b/>
          <w:sz w:val="22"/>
          <w:szCs w:val="22"/>
          <w:lang w:val="fr-FR"/>
        </w:rPr>
        <w:t>–</w:t>
      </w:r>
      <w:r w:rsidR="00107038" w:rsidRPr="003A723D">
        <w:rPr>
          <w:rFonts w:ascii="Arial" w:hAnsi="Arial" w:cs="Arial"/>
          <w:b/>
          <w:sz w:val="22"/>
          <w:szCs w:val="22"/>
          <w:lang w:val="fr-FR"/>
        </w:rPr>
        <w:t xml:space="preserve"> </w:t>
      </w:r>
      <w:r w:rsidRPr="003A723D">
        <w:rPr>
          <w:rFonts w:ascii="Arial" w:hAnsi="Arial" w:cs="Arial"/>
          <w:b/>
          <w:sz w:val="22"/>
          <w:szCs w:val="22"/>
          <w:lang w:val="fr-FR"/>
        </w:rPr>
        <w:t>ressources génétiques</w:t>
      </w:r>
    </w:p>
    <w:p w14:paraId="6DCA7B9F" w14:textId="77777777" w:rsidR="00082637" w:rsidRPr="003A723D" w:rsidRDefault="00082637" w:rsidP="00107038">
      <w:pPr>
        <w:ind w:left="-360"/>
        <w:jc w:val="center"/>
        <w:rPr>
          <w:rFonts w:ascii="Arial" w:hAnsi="Arial" w:cs="Arial"/>
          <w:sz w:val="22"/>
          <w:szCs w:val="22"/>
          <w:lang w:val="fr-FR"/>
        </w:rPr>
      </w:pPr>
    </w:p>
    <w:p w14:paraId="609D8CAE" w14:textId="295B4F78" w:rsidR="00082637" w:rsidRPr="003A723D" w:rsidRDefault="00DC6B86" w:rsidP="00107038">
      <w:pPr>
        <w:ind w:left="-360"/>
        <w:jc w:val="center"/>
        <w:rPr>
          <w:rFonts w:ascii="Arial" w:hAnsi="Arial" w:cs="Arial"/>
          <w:sz w:val="22"/>
          <w:szCs w:val="22"/>
          <w:lang w:val="fr-FR"/>
        </w:rPr>
      </w:pPr>
      <w:proofErr w:type="gramStart"/>
      <w:r w:rsidRPr="003A723D">
        <w:rPr>
          <w:rFonts w:ascii="Arial" w:hAnsi="Arial" w:cs="Arial"/>
          <w:sz w:val="22"/>
          <w:szCs w:val="22"/>
          <w:lang w:val="fr-FR"/>
        </w:rPr>
        <w:t>établie</w:t>
      </w:r>
      <w:proofErr w:type="gramEnd"/>
      <w:r w:rsidRPr="003A723D">
        <w:rPr>
          <w:rFonts w:ascii="Arial" w:hAnsi="Arial" w:cs="Arial"/>
          <w:sz w:val="22"/>
          <w:szCs w:val="22"/>
          <w:lang w:val="fr-FR"/>
        </w:rPr>
        <w:t xml:space="preserve"> par M.</w:t>
      </w:r>
      <w:r w:rsidR="00DF5D9B" w:rsidRPr="003A723D">
        <w:rPr>
          <w:rFonts w:ascii="Arial" w:hAnsi="Arial" w:cs="Arial"/>
          <w:sz w:val="22"/>
          <w:szCs w:val="22"/>
          <w:lang w:val="fr-FR"/>
        </w:rPr>
        <w:t> </w:t>
      </w:r>
      <w:r w:rsidRPr="003A723D">
        <w:rPr>
          <w:rFonts w:ascii="Arial" w:hAnsi="Arial" w:cs="Arial"/>
          <w:sz w:val="22"/>
          <w:szCs w:val="22"/>
          <w:lang w:val="fr-FR"/>
        </w:rPr>
        <w:t>Ian</w:t>
      </w:r>
      <w:r w:rsidR="00D31224" w:rsidRPr="003A723D">
        <w:rPr>
          <w:rFonts w:ascii="Arial" w:hAnsi="Arial" w:cs="Arial"/>
          <w:sz w:val="22"/>
          <w:szCs w:val="22"/>
          <w:lang w:val="fr-FR"/>
        </w:rPr>
        <w:t> </w:t>
      </w:r>
      <w:proofErr w:type="spellStart"/>
      <w:r w:rsidRPr="003A723D">
        <w:rPr>
          <w:rFonts w:ascii="Arial" w:hAnsi="Arial" w:cs="Arial"/>
          <w:sz w:val="22"/>
          <w:szCs w:val="22"/>
          <w:lang w:val="fr-FR"/>
        </w:rPr>
        <w:t>Goss</w:t>
      </w:r>
      <w:proofErr w:type="spellEnd"/>
      <w:r w:rsidRPr="003A723D">
        <w:rPr>
          <w:rFonts w:ascii="Arial" w:hAnsi="Arial" w:cs="Arial"/>
          <w:sz w:val="22"/>
          <w:szCs w:val="22"/>
          <w:lang w:val="fr-FR"/>
        </w:rPr>
        <w:t>, président de l</w:t>
      </w:r>
      <w:r w:rsidR="005C5419" w:rsidRPr="003A723D">
        <w:rPr>
          <w:rFonts w:ascii="Arial" w:hAnsi="Arial" w:cs="Arial"/>
          <w:sz w:val="22"/>
          <w:szCs w:val="22"/>
          <w:lang w:val="fr-FR"/>
        </w:rPr>
        <w:t>’</w:t>
      </w:r>
      <w:r w:rsidRPr="003A723D">
        <w:rPr>
          <w:rFonts w:ascii="Arial" w:hAnsi="Arial" w:cs="Arial"/>
          <w:sz w:val="22"/>
          <w:szCs w:val="22"/>
          <w:lang w:val="fr-FR"/>
        </w:rPr>
        <w:t>IGC</w:t>
      </w:r>
    </w:p>
    <w:p w14:paraId="172AC66E" w14:textId="77777777" w:rsidR="00082637" w:rsidRPr="003A723D" w:rsidRDefault="00082637" w:rsidP="00107038">
      <w:pPr>
        <w:ind w:left="-360"/>
        <w:jc w:val="center"/>
        <w:rPr>
          <w:rFonts w:ascii="Arial" w:hAnsi="Arial" w:cs="Arial"/>
          <w:sz w:val="22"/>
          <w:szCs w:val="22"/>
          <w:lang w:val="fr-FR"/>
        </w:rPr>
      </w:pPr>
    </w:p>
    <w:p w14:paraId="5F0B2DEB" w14:textId="77777777" w:rsidR="00082637" w:rsidRPr="003A723D" w:rsidRDefault="00082637" w:rsidP="00107038">
      <w:pPr>
        <w:rPr>
          <w:rFonts w:ascii="Arial" w:hAnsi="Arial" w:cs="Arial"/>
          <w:sz w:val="22"/>
          <w:szCs w:val="22"/>
          <w:lang w:val="fr-FR"/>
        </w:rPr>
      </w:pPr>
    </w:p>
    <w:p w14:paraId="155D59C3" w14:textId="342DE0CD" w:rsidR="00082637" w:rsidRPr="003A723D" w:rsidRDefault="00114671" w:rsidP="007069D1">
      <w:pPr>
        <w:rPr>
          <w:rFonts w:ascii="Arial" w:hAnsi="Arial" w:cs="Arial"/>
          <w:b/>
          <w:sz w:val="22"/>
          <w:szCs w:val="22"/>
          <w:u w:val="single"/>
          <w:lang w:val="fr-FR"/>
        </w:rPr>
      </w:pPr>
      <w:r w:rsidRPr="003A723D">
        <w:rPr>
          <w:rFonts w:ascii="Arial" w:hAnsi="Arial" w:cs="Arial"/>
          <w:b/>
          <w:color w:val="000000"/>
          <w:sz w:val="22"/>
          <w:szCs w:val="22"/>
          <w:u w:val="single"/>
          <w:lang w:val="fr-FR"/>
        </w:rPr>
        <w:t>Introduction</w:t>
      </w:r>
    </w:p>
    <w:p w14:paraId="39493B66" w14:textId="77777777" w:rsidR="00082637" w:rsidRPr="003A723D" w:rsidRDefault="00082637" w:rsidP="004A29DC">
      <w:pPr>
        <w:rPr>
          <w:rFonts w:ascii="Arial" w:hAnsi="Arial" w:cs="Arial"/>
          <w:sz w:val="22"/>
          <w:szCs w:val="22"/>
          <w:lang w:val="fr-FR"/>
        </w:rPr>
      </w:pPr>
    </w:p>
    <w:p w14:paraId="56263E94" w14:textId="51083BF7" w:rsidR="002F0E09" w:rsidRPr="003A723D" w:rsidRDefault="00107038" w:rsidP="00FE26A2">
      <w:pPr>
        <w:tabs>
          <w:tab w:val="left" w:pos="567"/>
        </w:tabs>
        <w:rPr>
          <w:rFonts w:ascii="Arial" w:hAnsi="Arial" w:cs="Arial"/>
          <w:sz w:val="22"/>
          <w:szCs w:val="22"/>
          <w:lang w:val="fr-FR"/>
        </w:rPr>
      </w:pPr>
      <w:r w:rsidRPr="003A723D">
        <w:rPr>
          <w:rFonts w:ascii="Arial" w:hAnsi="Arial" w:cs="Arial"/>
          <w:sz w:val="22"/>
          <w:szCs w:val="22"/>
          <w:lang w:val="fr-FR"/>
        </w:rPr>
        <w:fldChar w:fldCharType="begin"/>
      </w:r>
      <w:r w:rsidRPr="003A723D">
        <w:rPr>
          <w:rFonts w:ascii="Arial" w:hAnsi="Arial" w:cs="Arial"/>
          <w:sz w:val="22"/>
          <w:szCs w:val="22"/>
          <w:lang w:val="fr-FR"/>
        </w:rPr>
        <w:instrText xml:space="preserve"> AUTONUM  </w:instrText>
      </w:r>
      <w:r w:rsidRPr="003A723D">
        <w:rPr>
          <w:rFonts w:ascii="Arial" w:hAnsi="Arial" w:cs="Arial"/>
          <w:sz w:val="22"/>
          <w:szCs w:val="22"/>
          <w:lang w:val="fr-FR"/>
        </w:rPr>
        <w:fldChar w:fldCharType="end"/>
      </w:r>
      <w:r w:rsidRPr="003A723D">
        <w:rPr>
          <w:rFonts w:ascii="Arial" w:hAnsi="Arial" w:cs="Arial"/>
          <w:sz w:val="22"/>
          <w:szCs w:val="22"/>
          <w:lang w:val="fr-FR"/>
        </w:rPr>
        <w:tab/>
      </w:r>
      <w:r w:rsidR="00DC6B86" w:rsidRPr="003A723D">
        <w:rPr>
          <w:rFonts w:ascii="Arial" w:hAnsi="Arial" w:cs="Arial"/>
          <w:sz w:val="22"/>
          <w:szCs w:val="22"/>
          <w:lang w:val="fr-FR"/>
        </w:rPr>
        <w:t>Compte tenu de l</w:t>
      </w:r>
      <w:r w:rsidR="005C5419" w:rsidRPr="003A723D">
        <w:rPr>
          <w:rFonts w:ascii="Arial" w:hAnsi="Arial" w:cs="Arial"/>
          <w:sz w:val="22"/>
          <w:szCs w:val="22"/>
          <w:lang w:val="fr-FR"/>
        </w:rPr>
        <w:t>’</w:t>
      </w:r>
      <w:r w:rsidR="00DC6B86" w:rsidRPr="003A723D">
        <w:rPr>
          <w:rFonts w:ascii="Arial" w:hAnsi="Arial" w:cs="Arial"/>
          <w:sz w:val="22"/>
          <w:szCs w:val="22"/>
          <w:lang w:val="fr-FR"/>
        </w:rPr>
        <w:t>absence de négociations officielles sur ce sujet (trente</w:t>
      </w:r>
      <w:r w:rsidR="00234797">
        <w:rPr>
          <w:rFonts w:ascii="Arial" w:hAnsi="Arial" w:cs="Arial"/>
          <w:sz w:val="22"/>
          <w:szCs w:val="22"/>
          <w:lang w:val="fr-FR"/>
        </w:rPr>
        <w:noBreakHyphen/>
      </w:r>
      <w:r w:rsidR="00DC6B86" w:rsidRPr="003A723D">
        <w:rPr>
          <w:rFonts w:ascii="Arial" w:hAnsi="Arial" w:cs="Arial"/>
          <w:sz w:val="22"/>
          <w:szCs w:val="22"/>
          <w:lang w:val="fr-FR"/>
        </w:rPr>
        <w:t>six</w:t>
      </w:r>
      <w:r w:rsidR="005C5419" w:rsidRPr="003A723D">
        <w:rPr>
          <w:rFonts w:ascii="Arial" w:hAnsi="Arial" w:cs="Arial"/>
          <w:sz w:val="22"/>
          <w:szCs w:val="22"/>
          <w:lang w:val="fr-FR"/>
        </w:rPr>
        <w:t>ième session</w:t>
      </w:r>
      <w:r w:rsidR="00DC6B86"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DC6B86" w:rsidRPr="003A723D">
        <w:rPr>
          <w:rFonts w:ascii="Arial" w:hAnsi="Arial" w:cs="Arial"/>
          <w:sz w:val="22"/>
          <w:szCs w:val="22"/>
          <w:lang w:val="fr-FR"/>
        </w:rPr>
        <w:t xml:space="preserve">IGC, </w:t>
      </w:r>
      <w:r w:rsidR="002F0E09" w:rsidRPr="003A723D">
        <w:rPr>
          <w:rFonts w:ascii="Arial" w:hAnsi="Arial" w:cs="Arial"/>
          <w:sz w:val="22"/>
          <w:szCs w:val="22"/>
          <w:lang w:val="fr-FR"/>
        </w:rPr>
        <w:t>mars 20</w:t>
      </w:r>
      <w:r w:rsidR="00DC6B86" w:rsidRPr="003A723D">
        <w:rPr>
          <w:rFonts w:ascii="Arial" w:hAnsi="Arial" w:cs="Arial"/>
          <w:sz w:val="22"/>
          <w:szCs w:val="22"/>
          <w:lang w:val="fr-FR"/>
        </w:rPr>
        <w:t>18), la présente note d</w:t>
      </w:r>
      <w:r w:rsidR="005C5419" w:rsidRPr="003A723D">
        <w:rPr>
          <w:rFonts w:ascii="Arial" w:hAnsi="Arial" w:cs="Arial"/>
          <w:sz w:val="22"/>
          <w:szCs w:val="22"/>
          <w:lang w:val="fr-FR"/>
        </w:rPr>
        <w:t>’</w:t>
      </w:r>
      <w:r w:rsidR="00DC6B86" w:rsidRPr="003A723D">
        <w:rPr>
          <w:rFonts w:ascii="Arial" w:hAnsi="Arial" w:cs="Arial"/>
          <w:sz w:val="22"/>
          <w:szCs w:val="22"/>
          <w:lang w:val="fr-FR"/>
        </w:rPr>
        <w:t>information, établie en vue de la quarante</w:t>
      </w:r>
      <w:r w:rsidR="00234797">
        <w:rPr>
          <w:rFonts w:ascii="Arial" w:hAnsi="Arial" w:cs="Arial"/>
          <w:sz w:val="22"/>
          <w:szCs w:val="22"/>
          <w:lang w:val="fr-FR"/>
        </w:rPr>
        <w:noBreakHyphen/>
      </w:r>
      <w:r w:rsidR="00DC6B86" w:rsidRPr="003A723D">
        <w:rPr>
          <w:rFonts w:ascii="Arial" w:hAnsi="Arial" w:cs="Arial"/>
          <w:sz w:val="22"/>
          <w:szCs w:val="22"/>
          <w:lang w:val="fr-FR"/>
        </w:rPr>
        <w:t>deux</w:t>
      </w:r>
      <w:r w:rsidR="005C5419" w:rsidRPr="003A723D">
        <w:rPr>
          <w:rFonts w:ascii="Arial" w:hAnsi="Arial" w:cs="Arial"/>
          <w:sz w:val="22"/>
          <w:szCs w:val="22"/>
          <w:lang w:val="fr-FR"/>
        </w:rPr>
        <w:t>ième session</w:t>
      </w:r>
      <w:r w:rsidR="00DC6B86"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DC6B86" w:rsidRPr="003A723D">
        <w:rPr>
          <w:rFonts w:ascii="Arial" w:hAnsi="Arial" w:cs="Arial"/>
          <w:sz w:val="22"/>
          <w:szCs w:val="22"/>
          <w:lang w:val="fr-FR"/>
        </w:rPr>
        <w:t>IGC, présente un résumé de l</w:t>
      </w:r>
      <w:r w:rsidR="005C5419" w:rsidRPr="003A723D">
        <w:rPr>
          <w:rFonts w:ascii="Arial" w:hAnsi="Arial" w:cs="Arial"/>
          <w:sz w:val="22"/>
          <w:szCs w:val="22"/>
          <w:lang w:val="fr-FR"/>
        </w:rPr>
        <w:t>’</w:t>
      </w:r>
      <w:r w:rsidR="00DC6B86" w:rsidRPr="003A723D">
        <w:rPr>
          <w:rFonts w:ascii="Arial" w:hAnsi="Arial" w:cs="Arial"/>
          <w:sz w:val="22"/>
          <w:szCs w:val="22"/>
          <w:lang w:val="fr-FR"/>
        </w:rPr>
        <w:t>état d</w:t>
      </w:r>
      <w:r w:rsidR="005C5419" w:rsidRPr="003A723D">
        <w:rPr>
          <w:rFonts w:ascii="Arial" w:hAnsi="Arial" w:cs="Arial"/>
          <w:sz w:val="22"/>
          <w:szCs w:val="22"/>
          <w:lang w:val="fr-FR"/>
        </w:rPr>
        <w:t>’</w:t>
      </w:r>
      <w:r w:rsidR="00DC6B86" w:rsidRPr="003A723D">
        <w:rPr>
          <w:rFonts w:ascii="Arial" w:hAnsi="Arial" w:cs="Arial"/>
          <w:sz w:val="22"/>
          <w:szCs w:val="22"/>
          <w:lang w:val="fr-FR"/>
        </w:rPr>
        <w:t>avancement des négociations en cours relatives aux ressources génétiques et de certaines questions essentielles que les États membres pourraient envisager d</w:t>
      </w:r>
      <w:r w:rsidR="005C5419" w:rsidRPr="003A723D">
        <w:rPr>
          <w:rFonts w:ascii="Arial" w:hAnsi="Arial" w:cs="Arial"/>
          <w:sz w:val="22"/>
          <w:szCs w:val="22"/>
          <w:lang w:val="fr-FR"/>
        </w:rPr>
        <w:t>’</w:t>
      </w:r>
      <w:r w:rsidR="00DC6B86" w:rsidRPr="003A723D">
        <w:rPr>
          <w:rFonts w:ascii="Arial" w:hAnsi="Arial" w:cs="Arial"/>
          <w:sz w:val="22"/>
          <w:szCs w:val="22"/>
          <w:lang w:val="fr-FR"/>
        </w:rPr>
        <w:t>examin</w:t>
      </w:r>
      <w:r w:rsidR="003A723D" w:rsidRPr="003A723D">
        <w:rPr>
          <w:rFonts w:ascii="Arial" w:hAnsi="Arial" w:cs="Arial"/>
          <w:sz w:val="22"/>
          <w:szCs w:val="22"/>
          <w:lang w:val="fr-FR"/>
        </w:rPr>
        <w:t>er.  De</w:t>
      </w:r>
      <w:r w:rsidR="00920AF3" w:rsidRPr="003A723D">
        <w:rPr>
          <w:rFonts w:ascii="Arial" w:hAnsi="Arial" w:cs="Arial"/>
          <w:sz w:val="22"/>
          <w:szCs w:val="22"/>
          <w:lang w:val="fr-FR"/>
        </w:rPr>
        <w:t>s exemples de dispositions pertinentes extraites de législations nationales ou régionales ont été incorporés afin de faciliter la compréhension et l</w:t>
      </w:r>
      <w:r w:rsidR="005C5419" w:rsidRPr="003A723D">
        <w:rPr>
          <w:rFonts w:ascii="Arial" w:hAnsi="Arial" w:cs="Arial"/>
          <w:sz w:val="22"/>
          <w:szCs w:val="22"/>
          <w:lang w:val="fr-FR"/>
        </w:rPr>
        <w:t>’</w:t>
      </w:r>
      <w:r w:rsidR="00920AF3" w:rsidRPr="003A723D">
        <w:rPr>
          <w:rFonts w:ascii="Arial" w:hAnsi="Arial" w:cs="Arial"/>
          <w:sz w:val="22"/>
          <w:szCs w:val="22"/>
          <w:lang w:val="fr-FR"/>
        </w:rPr>
        <w:t>analyse des différentes options présentées dans le texte soumis à l</w:t>
      </w:r>
      <w:r w:rsidR="005C5419" w:rsidRPr="003A723D">
        <w:rPr>
          <w:rFonts w:ascii="Arial" w:hAnsi="Arial" w:cs="Arial"/>
          <w:sz w:val="22"/>
          <w:szCs w:val="22"/>
          <w:lang w:val="fr-FR"/>
        </w:rPr>
        <w:t>’</w:t>
      </w:r>
      <w:r w:rsidR="003A723D" w:rsidRPr="003A723D">
        <w:rPr>
          <w:rFonts w:ascii="Arial" w:hAnsi="Arial" w:cs="Arial"/>
          <w:sz w:val="22"/>
          <w:szCs w:val="22"/>
          <w:lang w:val="fr-FR"/>
        </w:rPr>
        <w:t>IGC.  Le</w:t>
      </w:r>
      <w:r w:rsidR="00920AF3" w:rsidRPr="003A723D">
        <w:rPr>
          <w:rFonts w:ascii="Arial" w:hAnsi="Arial" w:cs="Arial"/>
          <w:sz w:val="22"/>
          <w:szCs w:val="22"/>
          <w:lang w:val="fr-FR"/>
        </w:rPr>
        <w:t>s exemples retenus sont sans préjudice des positions éventuelles des États membres.</w:t>
      </w:r>
    </w:p>
    <w:p w14:paraId="4CD90A2A" w14:textId="2BBEEA10" w:rsidR="00082637" w:rsidRPr="003A723D" w:rsidRDefault="00082637" w:rsidP="00107038">
      <w:pPr>
        <w:rPr>
          <w:rFonts w:ascii="Arial" w:hAnsi="Arial" w:cs="Arial"/>
          <w:sz w:val="22"/>
          <w:szCs w:val="22"/>
          <w:lang w:val="fr-FR"/>
        </w:rPr>
      </w:pPr>
    </w:p>
    <w:p w14:paraId="50A44362" w14:textId="70545B91" w:rsidR="00082637" w:rsidRPr="003A723D" w:rsidRDefault="00107038" w:rsidP="00FE26A2">
      <w:pPr>
        <w:tabs>
          <w:tab w:val="left" w:pos="567"/>
        </w:tabs>
        <w:rPr>
          <w:rFonts w:ascii="Arial" w:hAnsi="Arial" w:cs="Arial"/>
          <w:sz w:val="22"/>
          <w:szCs w:val="22"/>
          <w:lang w:val="fr-FR"/>
        </w:rPr>
      </w:pPr>
      <w:r w:rsidRPr="00FE26A2">
        <w:rPr>
          <w:rFonts w:ascii="Arial" w:hAnsi="Arial" w:cs="Arial"/>
          <w:b/>
          <w:sz w:val="22"/>
          <w:szCs w:val="22"/>
          <w:lang w:val="fr-FR"/>
        </w:rPr>
        <w:fldChar w:fldCharType="begin"/>
      </w:r>
      <w:r w:rsidRPr="00FE26A2">
        <w:rPr>
          <w:rFonts w:ascii="Arial" w:hAnsi="Arial" w:cs="Arial"/>
          <w:b/>
          <w:sz w:val="22"/>
          <w:szCs w:val="22"/>
          <w:lang w:val="fr-FR"/>
        </w:rPr>
        <w:instrText xml:space="preserve"> AUTONUM  </w:instrText>
      </w:r>
      <w:r w:rsidRPr="00FE26A2">
        <w:rPr>
          <w:rFonts w:ascii="Arial" w:hAnsi="Arial" w:cs="Arial"/>
          <w:b/>
          <w:sz w:val="22"/>
          <w:szCs w:val="22"/>
          <w:lang w:val="fr-FR"/>
        </w:rPr>
        <w:fldChar w:fldCharType="end"/>
      </w:r>
      <w:r w:rsidRPr="003A723D">
        <w:rPr>
          <w:rFonts w:ascii="Arial" w:hAnsi="Arial" w:cs="Arial"/>
          <w:sz w:val="22"/>
          <w:szCs w:val="22"/>
          <w:lang w:val="fr-FR"/>
        </w:rPr>
        <w:tab/>
      </w:r>
      <w:r w:rsidR="007069D1" w:rsidRPr="003A723D">
        <w:rPr>
          <w:rFonts w:ascii="Arial" w:hAnsi="Arial" w:cs="Arial"/>
          <w:b/>
          <w:sz w:val="22"/>
          <w:szCs w:val="22"/>
          <w:lang w:val="fr-FR"/>
        </w:rPr>
        <w:t>Je tiens à souligner que les vues exprimées dans la présente note n</w:t>
      </w:r>
      <w:r w:rsidR="005C5419" w:rsidRPr="003A723D">
        <w:rPr>
          <w:rFonts w:ascii="Arial" w:hAnsi="Arial" w:cs="Arial"/>
          <w:b/>
          <w:sz w:val="22"/>
          <w:szCs w:val="22"/>
          <w:lang w:val="fr-FR"/>
        </w:rPr>
        <w:t>’</w:t>
      </w:r>
      <w:r w:rsidR="007069D1" w:rsidRPr="003A723D">
        <w:rPr>
          <w:rFonts w:ascii="Arial" w:hAnsi="Arial" w:cs="Arial"/>
          <w:b/>
          <w:sz w:val="22"/>
          <w:szCs w:val="22"/>
          <w:lang w:val="fr-FR"/>
        </w:rPr>
        <w:t>appartiennent qu</w:t>
      </w:r>
      <w:r w:rsidR="005C5419" w:rsidRPr="003A723D">
        <w:rPr>
          <w:rFonts w:ascii="Arial" w:hAnsi="Arial" w:cs="Arial"/>
          <w:b/>
          <w:sz w:val="22"/>
          <w:szCs w:val="22"/>
          <w:lang w:val="fr-FR"/>
        </w:rPr>
        <w:t>’</w:t>
      </w:r>
      <w:r w:rsidR="007069D1" w:rsidRPr="003A723D">
        <w:rPr>
          <w:rFonts w:ascii="Arial" w:hAnsi="Arial" w:cs="Arial"/>
          <w:b/>
          <w:sz w:val="22"/>
          <w:szCs w:val="22"/>
          <w:lang w:val="fr-FR"/>
        </w:rPr>
        <w:t>à moi et qu</w:t>
      </w:r>
      <w:r w:rsidR="005C5419" w:rsidRPr="003A723D">
        <w:rPr>
          <w:rFonts w:ascii="Arial" w:hAnsi="Arial" w:cs="Arial"/>
          <w:b/>
          <w:sz w:val="22"/>
          <w:szCs w:val="22"/>
          <w:lang w:val="fr-FR"/>
        </w:rPr>
        <w:t>’</w:t>
      </w:r>
      <w:r w:rsidR="007069D1" w:rsidRPr="003A723D">
        <w:rPr>
          <w:rFonts w:ascii="Arial" w:hAnsi="Arial" w:cs="Arial"/>
          <w:b/>
          <w:sz w:val="22"/>
          <w:szCs w:val="22"/>
          <w:lang w:val="fr-FR"/>
        </w:rPr>
        <w:t>elles sont sans préjudice des positions éventuelles des États membres sur les questions considéré</w:t>
      </w:r>
      <w:r w:rsidR="003A723D" w:rsidRPr="003A723D">
        <w:rPr>
          <w:rFonts w:ascii="Arial" w:hAnsi="Arial" w:cs="Arial"/>
          <w:b/>
          <w:sz w:val="22"/>
          <w:szCs w:val="22"/>
          <w:lang w:val="fr-FR"/>
        </w:rPr>
        <w:t>es.  En</w:t>
      </w:r>
      <w:r w:rsidR="007069D1" w:rsidRPr="003A723D">
        <w:rPr>
          <w:rFonts w:ascii="Arial" w:hAnsi="Arial" w:cs="Arial"/>
          <w:b/>
          <w:sz w:val="22"/>
          <w:szCs w:val="22"/>
          <w:lang w:val="fr-FR"/>
        </w:rPr>
        <w:t xml:space="preserve"> tant que note d</w:t>
      </w:r>
      <w:r w:rsidR="005C5419" w:rsidRPr="003A723D">
        <w:rPr>
          <w:rFonts w:ascii="Arial" w:hAnsi="Arial" w:cs="Arial"/>
          <w:b/>
          <w:sz w:val="22"/>
          <w:szCs w:val="22"/>
          <w:lang w:val="fr-FR"/>
        </w:rPr>
        <w:t>’</w:t>
      </w:r>
      <w:r w:rsidR="007069D1" w:rsidRPr="003A723D">
        <w:rPr>
          <w:rFonts w:ascii="Arial" w:hAnsi="Arial" w:cs="Arial"/>
          <w:b/>
          <w:sz w:val="22"/>
          <w:szCs w:val="22"/>
          <w:lang w:val="fr-FR"/>
        </w:rPr>
        <w:t>information, cette note ne possède aucun statut particulier et n</w:t>
      </w:r>
      <w:r w:rsidR="005C5419" w:rsidRPr="003A723D">
        <w:rPr>
          <w:rFonts w:ascii="Arial" w:hAnsi="Arial" w:cs="Arial"/>
          <w:b/>
          <w:sz w:val="22"/>
          <w:szCs w:val="22"/>
          <w:lang w:val="fr-FR"/>
        </w:rPr>
        <w:t>’</w:t>
      </w:r>
      <w:r w:rsidR="007069D1" w:rsidRPr="003A723D">
        <w:rPr>
          <w:rFonts w:ascii="Arial" w:hAnsi="Arial" w:cs="Arial"/>
          <w:b/>
          <w:sz w:val="22"/>
          <w:szCs w:val="22"/>
          <w:lang w:val="fr-FR"/>
        </w:rPr>
        <w:t>est pas un document de travail pour la sessi</w:t>
      </w:r>
      <w:r w:rsidR="003A723D" w:rsidRPr="003A723D">
        <w:rPr>
          <w:rFonts w:ascii="Arial" w:hAnsi="Arial" w:cs="Arial"/>
          <w:b/>
          <w:sz w:val="22"/>
          <w:szCs w:val="22"/>
          <w:lang w:val="fr-FR"/>
        </w:rPr>
        <w:t>on.  El</w:t>
      </w:r>
      <w:r w:rsidR="007069D1" w:rsidRPr="003A723D">
        <w:rPr>
          <w:rFonts w:ascii="Arial" w:hAnsi="Arial" w:cs="Arial"/>
          <w:b/>
          <w:sz w:val="22"/>
          <w:szCs w:val="22"/>
          <w:lang w:val="fr-FR"/>
        </w:rPr>
        <w:t>le constitue simplement une base de réflexion.</w:t>
      </w:r>
    </w:p>
    <w:p w14:paraId="48B9ECF4" w14:textId="1E752055" w:rsidR="00082637" w:rsidRDefault="00082637" w:rsidP="004A29DC">
      <w:pPr>
        <w:rPr>
          <w:rFonts w:ascii="Arial" w:hAnsi="Arial" w:cs="Arial"/>
          <w:sz w:val="22"/>
          <w:szCs w:val="22"/>
          <w:lang w:val="fr-FR"/>
        </w:rPr>
      </w:pPr>
    </w:p>
    <w:p w14:paraId="0E66172D" w14:textId="77777777" w:rsidR="00234797" w:rsidRDefault="00234797" w:rsidP="004A29DC">
      <w:pPr>
        <w:rPr>
          <w:rFonts w:ascii="Arial" w:hAnsi="Arial" w:cs="Arial"/>
          <w:sz w:val="22"/>
          <w:szCs w:val="22"/>
          <w:lang w:val="fr-FR"/>
        </w:rPr>
      </w:pPr>
    </w:p>
    <w:p w14:paraId="43B74656" w14:textId="7D39D94F" w:rsidR="00082637" w:rsidRPr="003A723D" w:rsidRDefault="00E340DE" w:rsidP="004A29DC">
      <w:pPr>
        <w:rPr>
          <w:rFonts w:ascii="Arial" w:hAnsi="Arial" w:cs="Arial"/>
          <w:b/>
          <w:sz w:val="22"/>
          <w:szCs w:val="22"/>
          <w:u w:val="single"/>
          <w:lang w:val="fr-FR"/>
        </w:rPr>
      </w:pPr>
      <w:r w:rsidRPr="003A723D">
        <w:rPr>
          <w:rFonts w:ascii="Arial" w:hAnsi="Arial" w:cs="Arial"/>
          <w:b/>
          <w:sz w:val="22"/>
          <w:szCs w:val="22"/>
          <w:u w:val="single"/>
          <w:lang w:val="fr-FR"/>
        </w:rPr>
        <w:t>État d</w:t>
      </w:r>
      <w:r w:rsidR="005C5419" w:rsidRPr="003A723D">
        <w:rPr>
          <w:rFonts w:ascii="Arial" w:hAnsi="Arial" w:cs="Arial"/>
          <w:b/>
          <w:sz w:val="22"/>
          <w:szCs w:val="22"/>
          <w:u w:val="single"/>
          <w:lang w:val="fr-FR"/>
        </w:rPr>
        <w:t>’</w:t>
      </w:r>
      <w:r w:rsidRPr="003A723D">
        <w:rPr>
          <w:rFonts w:ascii="Arial" w:hAnsi="Arial" w:cs="Arial"/>
          <w:b/>
          <w:sz w:val="22"/>
          <w:szCs w:val="22"/>
          <w:u w:val="single"/>
          <w:lang w:val="fr-FR"/>
        </w:rPr>
        <w:t>avancement des négociations relatives aux ressources génétiques</w:t>
      </w:r>
    </w:p>
    <w:p w14:paraId="691237AB" w14:textId="77777777" w:rsidR="00082637" w:rsidRPr="003A723D" w:rsidRDefault="00082637" w:rsidP="004A29DC">
      <w:pPr>
        <w:rPr>
          <w:rFonts w:ascii="Arial" w:hAnsi="Arial" w:cs="Arial"/>
          <w:sz w:val="22"/>
          <w:szCs w:val="22"/>
          <w:lang w:val="fr-FR"/>
        </w:rPr>
      </w:pPr>
    </w:p>
    <w:p w14:paraId="4DA86E7A" w14:textId="02E5E680" w:rsidR="002F0E09" w:rsidRPr="003A723D" w:rsidRDefault="001E7A25" w:rsidP="00FE26A2">
      <w:pPr>
        <w:tabs>
          <w:tab w:val="left" w:pos="567"/>
        </w:tabs>
        <w:rPr>
          <w:rFonts w:ascii="Arial" w:hAnsi="Arial" w:cs="Arial"/>
          <w:sz w:val="22"/>
          <w:szCs w:val="22"/>
          <w:lang w:val="fr-FR"/>
        </w:rPr>
      </w:pPr>
      <w:r w:rsidRPr="003A723D">
        <w:rPr>
          <w:rFonts w:ascii="Arial" w:hAnsi="Arial" w:cs="Arial"/>
          <w:sz w:val="22"/>
          <w:szCs w:val="22"/>
          <w:lang w:val="fr-FR"/>
        </w:rPr>
        <w:t>3.</w:t>
      </w:r>
      <w:r w:rsidRPr="003A723D">
        <w:rPr>
          <w:rFonts w:ascii="Arial" w:hAnsi="Arial" w:cs="Arial"/>
          <w:sz w:val="22"/>
          <w:szCs w:val="22"/>
          <w:lang w:val="fr-FR"/>
        </w:rPr>
        <w:tab/>
      </w:r>
      <w:r w:rsidR="00E340DE" w:rsidRPr="003A723D">
        <w:rPr>
          <w:rFonts w:ascii="Arial" w:hAnsi="Arial" w:cs="Arial"/>
          <w:sz w:val="22"/>
          <w:szCs w:val="22"/>
          <w:lang w:val="fr-FR"/>
        </w:rPr>
        <w:t>Le premier document de synthèse sur les ressources génétiques a été établi à la vingt</w:t>
      </w:r>
      <w:r w:rsidR="005C5419" w:rsidRPr="003A723D">
        <w:rPr>
          <w:rFonts w:ascii="Arial" w:hAnsi="Arial" w:cs="Arial"/>
          <w:sz w:val="22"/>
          <w:szCs w:val="22"/>
          <w:lang w:val="fr-FR"/>
        </w:rPr>
        <w:t>ième session</w:t>
      </w:r>
      <w:r w:rsidR="00E340DE"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E340DE" w:rsidRPr="003A723D">
        <w:rPr>
          <w:rFonts w:ascii="Arial" w:hAnsi="Arial" w:cs="Arial"/>
          <w:sz w:val="22"/>
          <w:szCs w:val="22"/>
          <w:lang w:val="fr-FR"/>
        </w:rPr>
        <w:t xml:space="preserve">IGC en </w:t>
      </w:r>
      <w:r w:rsidR="002F0E09" w:rsidRPr="003A723D">
        <w:rPr>
          <w:rFonts w:ascii="Arial" w:hAnsi="Arial" w:cs="Arial"/>
          <w:sz w:val="22"/>
          <w:szCs w:val="22"/>
          <w:lang w:val="fr-FR"/>
        </w:rPr>
        <w:t>février 20</w:t>
      </w:r>
      <w:r w:rsidR="00E340DE" w:rsidRPr="003A723D">
        <w:rPr>
          <w:rFonts w:ascii="Arial" w:hAnsi="Arial" w:cs="Arial"/>
          <w:sz w:val="22"/>
          <w:szCs w:val="22"/>
          <w:lang w:val="fr-FR"/>
        </w:rPr>
        <w:t>12.</w:t>
      </w:r>
      <w:r w:rsidR="00107038" w:rsidRPr="003A723D">
        <w:rPr>
          <w:rFonts w:ascii="Arial" w:hAnsi="Arial" w:cs="Arial"/>
          <w:sz w:val="22"/>
          <w:szCs w:val="22"/>
          <w:lang w:val="fr-FR"/>
        </w:rPr>
        <w:t xml:space="preserve">  </w:t>
      </w:r>
      <w:r w:rsidR="007069D1" w:rsidRPr="003A723D">
        <w:rPr>
          <w:rFonts w:ascii="Arial" w:hAnsi="Arial" w:cs="Arial"/>
          <w:sz w:val="22"/>
          <w:szCs w:val="22"/>
          <w:lang w:val="fr-FR"/>
        </w:rPr>
        <w:t>L</w:t>
      </w:r>
      <w:r w:rsidR="005C5419" w:rsidRPr="003A723D">
        <w:rPr>
          <w:rFonts w:ascii="Arial" w:hAnsi="Arial" w:cs="Arial"/>
          <w:sz w:val="22"/>
          <w:szCs w:val="22"/>
          <w:lang w:val="fr-FR"/>
        </w:rPr>
        <w:t>’</w:t>
      </w:r>
      <w:r w:rsidR="007069D1" w:rsidRPr="003A723D">
        <w:rPr>
          <w:rFonts w:ascii="Arial" w:hAnsi="Arial" w:cs="Arial"/>
          <w:sz w:val="22"/>
          <w:szCs w:val="22"/>
          <w:lang w:val="fr-FR"/>
        </w:rPr>
        <w:t>objet de ce document était de résumer les propositions et les positions figurant dans les documents de travail de l</w:t>
      </w:r>
      <w:r w:rsidR="005C5419" w:rsidRPr="003A723D">
        <w:rPr>
          <w:rFonts w:ascii="Arial" w:hAnsi="Arial" w:cs="Arial"/>
          <w:sz w:val="22"/>
          <w:szCs w:val="22"/>
          <w:lang w:val="fr-FR"/>
        </w:rPr>
        <w:t>’</w:t>
      </w:r>
      <w:r w:rsidR="007069D1" w:rsidRPr="003A723D">
        <w:rPr>
          <w:rFonts w:ascii="Arial" w:hAnsi="Arial" w:cs="Arial"/>
          <w:sz w:val="22"/>
          <w:szCs w:val="22"/>
          <w:lang w:val="fr-FR"/>
        </w:rPr>
        <w:t xml:space="preserve">IGC </w:t>
      </w:r>
      <w:r w:rsidR="00114671" w:rsidRPr="003A723D">
        <w:rPr>
          <w:rFonts w:ascii="Arial" w:hAnsi="Arial" w:cs="Arial"/>
          <w:sz w:val="22"/>
          <w:szCs w:val="22"/>
          <w:lang w:val="fr-FR"/>
        </w:rPr>
        <w:t>ainsi que</w:t>
      </w:r>
      <w:r w:rsidR="007069D1" w:rsidRPr="003A723D">
        <w:rPr>
          <w:rFonts w:ascii="Arial" w:hAnsi="Arial" w:cs="Arial"/>
          <w:sz w:val="22"/>
          <w:szCs w:val="22"/>
          <w:lang w:val="fr-FR"/>
        </w:rPr>
        <w:t xml:space="preserve"> les propositions des États membr</w:t>
      </w:r>
      <w:r w:rsidR="003A723D" w:rsidRPr="003A723D">
        <w:rPr>
          <w:rFonts w:ascii="Arial" w:hAnsi="Arial" w:cs="Arial"/>
          <w:sz w:val="22"/>
          <w:szCs w:val="22"/>
          <w:lang w:val="fr-FR"/>
        </w:rPr>
        <w:t>es.  Le</w:t>
      </w:r>
      <w:r w:rsidR="00E340DE" w:rsidRPr="003A723D">
        <w:rPr>
          <w:rFonts w:ascii="Arial" w:hAnsi="Arial" w:cs="Arial"/>
          <w:sz w:val="22"/>
          <w:szCs w:val="22"/>
          <w:lang w:val="fr-FR"/>
        </w:rPr>
        <w:t xml:space="preserve"> document initial a par la suite été considérablement amélioré lors des vingt</w:t>
      </w:r>
      <w:r w:rsidR="00234797">
        <w:rPr>
          <w:rFonts w:ascii="Arial" w:hAnsi="Arial" w:cs="Arial"/>
          <w:sz w:val="22"/>
          <w:szCs w:val="22"/>
          <w:lang w:val="fr-FR"/>
        </w:rPr>
        <w:noBreakHyphen/>
      </w:r>
      <w:r w:rsidR="00E340DE" w:rsidRPr="003A723D">
        <w:rPr>
          <w:rFonts w:ascii="Arial" w:hAnsi="Arial" w:cs="Arial"/>
          <w:sz w:val="22"/>
          <w:szCs w:val="22"/>
          <w:lang w:val="fr-FR"/>
        </w:rPr>
        <w:t>deuxième, vingt</w:t>
      </w:r>
      <w:r w:rsidR="00234797">
        <w:rPr>
          <w:rFonts w:ascii="Arial" w:hAnsi="Arial" w:cs="Arial"/>
          <w:sz w:val="22"/>
          <w:szCs w:val="22"/>
          <w:lang w:val="fr-FR"/>
        </w:rPr>
        <w:noBreakHyphen/>
      </w:r>
      <w:r w:rsidR="00E340DE" w:rsidRPr="003A723D">
        <w:rPr>
          <w:rFonts w:ascii="Arial" w:hAnsi="Arial" w:cs="Arial"/>
          <w:sz w:val="22"/>
          <w:szCs w:val="22"/>
          <w:lang w:val="fr-FR"/>
        </w:rPr>
        <w:t>troisième, vingt</w:t>
      </w:r>
      <w:r w:rsidR="00234797">
        <w:rPr>
          <w:rFonts w:ascii="Arial" w:hAnsi="Arial" w:cs="Arial"/>
          <w:sz w:val="22"/>
          <w:szCs w:val="22"/>
          <w:lang w:val="fr-FR"/>
        </w:rPr>
        <w:noBreakHyphen/>
      </w:r>
      <w:r w:rsidR="00E340DE" w:rsidRPr="003A723D">
        <w:rPr>
          <w:rFonts w:ascii="Arial" w:hAnsi="Arial" w:cs="Arial"/>
          <w:sz w:val="22"/>
          <w:szCs w:val="22"/>
          <w:lang w:val="fr-FR"/>
        </w:rPr>
        <w:t>neuvième, trentième et trente</w:t>
      </w:r>
      <w:r w:rsidR="00234797">
        <w:rPr>
          <w:rFonts w:ascii="Arial" w:hAnsi="Arial" w:cs="Arial"/>
          <w:sz w:val="22"/>
          <w:szCs w:val="22"/>
          <w:lang w:val="fr-FR"/>
        </w:rPr>
        <w:noBreakHyphen/>
      </w:r>
      <w:r w:rsidR="00E340DE" w:rsidRPr="003A723D">
        <w:rPr>
          <w:rFonts w:ascii="Arial" w:hAnsi="Arial" w:cs="Arial"/>
          <w:sz w:val="22"/>
          <w:szCs w:val="22"/>
          <w:lang w:val="fr-FR"/>
        </w:rPr>
        <w:t>cinqu</w:t>
      </w:r>
      <w:r w:rsidR="005C5419" w:rsidRPr="003A723D">
        <w:rPr>
          <w:rFonts w:ascii="Arial" w:hAnsi="Arial" w:cs="Arial"/>
          <w:sz w:val="22"/>
          <w:szCs w:val="22"/>
          <w:lang w:val="fr-FR"/>
        </w:rPr>
        <w:t>ième session</w:t>
      </w:r>
      <w:r w:rsidR="00E340DE" w:rsidRPr="003A723D">
        <w:rPr>
          <w:rFonts w:ascii="Arial" w:hAnsi="Arial" w:cs="Arial"/>
          <w:sz w:val="22"/>
          <w:szCs w:val="22"/>
          <w:lang w:val="fr-FR"/>
        </w:rPr>
        <w:t>s de l</w:t>
      </w:r>
      <w:r w:rsidR="005C5419" w:rsidRPr="003A723D">
        <w:rPr>
          <w:rFonts w:ascii="Arial" w:hAnsi="Arial" w:cs="Arial"/>
          <w:sz w:val="22"/>
          <w:szCs w:val="22"/>
          <w:lang w:val="fr-FR"/>
        </w:rPr>
        <w:t>’</w:t>
      </w:r>
      <w:r w:rsidR="003A723D" w:rsidRPr="003A723D">
        <w:rPr>
          <w:rFonts w:ascii="Arial" w:hAnsi="Arial" w:cs="Arial"/>
          <w:sz w:val="22"/>
          <w:szCs w:val="22"/>
          <w:lang w:val="fr-FR"/>
        </w:rPr>
        <w:t>IGC.  Du</w:t>
      </w:r>
      <w:r w:rsidR="00E340DE" w:rsidRPr="003A723D">
        <w:rPr>
          <w:rFonts w:ascii="Arial" w:hAnsi="Arial" w:cs="Arial"/>
          <w:sz w:val="22"/>
          <w:szCs w:val="22"/>
          <w:lang w:val="fr-FR"/>
        </w:rPr>
        <w:t>rant la trente</w:t>
      </w:r>
      <w:r w:rsidR="00234797">
        <w:rPr>
          <w:rFonts w:ascii="Arial" w:hAnsi="Arial" w:cs="Arial"/>
          <w:sz w:val="22"/>
          <w:szCs w:val="22"/>
          <w:lang w:val="fr-FR"/>
        </w:rPr>
        <w:noBreakHyphen/>
      </w:r>
      <w:r w:rsidR="00E340DE" w:rsidRPr="003A723D">
        <w:rPr>
          <w:rFonts w:ascii="Arial" w:hAnsi="Arial" w:cs="Arial"/>
          <w:sz w:val="22"/>
          <w:szCs w:val="22"/>
          <w:lang w:val="fr-FR"/>
        </w:rPr>
        <w:t>six</w:t>
      </w:r>
      <w:r w:rsidR="005C5419" w:rsidRPr="003A723D">
        <w:rPr>
          <w:rFonts w:ascii="Arial" w:hAnsi="Arial" w:cs="Arial"/>
          <w:sz w:val="22"/>
          <w:szCs w:val="22"/>
          <w:lang w:val="fr-FR"/>
        </w:rPr>
        <w:t>ième session</w:t>
      </w:r>
      <w:r w:rsidR="00E340DE"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E340DE" w:rsidRPr="003A723D">
        <w:rPr>
          <w:rFonts w:ascii="Arial" w:hAnsi="Arial" w:cs="Arial"/>
          <w:sz w:val="22"/>
          <w:szCs w:val="22"/>
          <w:lang w:val="fr-FR"/>
        </w:rPr>
        <w:t>IGC</w:t>
      </w:r>
      <w:r w:rsidR="003C1EFC" w:rsidRPr="003A723D">
        <w:rPr>
          <w:rFonts w:ascii="Arial" w:hAnsi="Arial" w:cs="Arial"/>
          <w:sz w:val="22"/>
          <w:szCs w:val="22"/>
          <w:lang w:val="fr-FR"/>
        </w:rPr>
        <w:t>,</w:t>
      </w:r>
      <w:r w:rsidR="00635628" w:rsidRPr="003A723D">
        <w:rPr>
          <w:rFonts w:ascii="Arial" w:hAnsi="Arial" w:cs="Arial"/>
          <w:sz w:val="22"/>
          <w:szCs w:val="22"/>
          <w:lang w:val="fr-FR"/>
        </w:rPr>
        <w:t xml:space="preserve"> </w:t>
      </w:r>
      <w:r w:rsidR="00E340DE" w:rsidRPr="003A723D">
        <w:rPr>
          <w:rFonts w:ascii="Arial" w:hAnsi="Arial" w:cs="Arial"/>
          <w:sz w:val="22"/>
          <w:szCs w:val="22"/>
          <w:lang w:val="fr-FR"/>
        </w:rPr>
        <w:t>les États membres n</w:t>
      </w:r>
      <w:r w:rsidR="005C5419" w:rsidRPr="003A723D">
        <w:rPr>
          <w:rFonts w:ascii="Arial" w:hAnsi="Arial" w:cs="Arial"/>
          <w:sz w:val="22"/>
          <w:szCs w:val="22"/>
          <w:lang w:val="fr-FR"/>
        </w:rPr>
        <w:t>’</w:t>
      </w:r>
      <w:r w:rsidR="00E340DE" w:rsidRPr="003A723D">
        <w:rPr>
          <w:rFonts w:ascii="Arial" w:hAnsi="Arial" w:cs="Arial"/>
          <w:sz w:val="22"/>
          <w:szCs w:val="22"/>
          <w:lang w:val="fr-FR"/>
        </w:rPr>
        <w:t>ont pas été en mesure de transmettre la version révisée du document établi par les facilitateurs pour examen lors de la quarant</w:t>
      </w:r>
      <w:r w:rsidR="005C5419" w:rsidRPr="003A723D">
        <w:rPr>
          <w:rFonts w:ascii="Arial" w:hAnsi="Arial" w:cs="Arial"/>
          <w:sz w:val="22"/>
          <w:szCs w:val="22"/>
          <w:lang w:val="fr-FR"/>
        </w:rPr>
        <w:t>ième session</w:t>
      </w:r>
      <w:r w:rsidR="00E340DE"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E340DE" w:rsidRPr="003A723D">
        <w:rPr>
          <w:rFonts w:ascii="Arial" w:hAnsi="Arial" w:cs="Arial"/>
          <w:sz w:val="22"/>
          <w:szCs w:val="22"/>
          <w:lang w:val="fr-FR"/>
        </w:rPr>
        <w:t>IGC et, de fait, le document de travail de synthèse est revenu à la version révisée initiale produite à la trente</w:t>
      </w:r>
      <w:r w:rsidR="00234797">
        <w:rPr>
          <w:rFonts w:ascii="Arial" w:hAnsi="Arial" w:cs="Arial"/>
          <w:sz w:val="22"/>
          <w:szCs w:val="22"/>
          <w:lang w:val="fr-FR"/>
        </w:rPr>
        <w:noBreakHyphen/>
      </w:r>
      <w:r w:rsidR="00E340DE" w:rsidRPr="003A723D">
        <w:rPr>
          <w:rFonts w:ascii="Arial" w:hAnsi="Arial" w:cs="Arial"/>
          <w:sz w:val="22"/>
          <w:szCs w:val="22"/>
          <w:lang w:val="fr-FR"/>
        </w:rPr>
        <w:t>cinqu</w:t>
      </w:r>
      <w:r w:rsidR="005C5419" w:rsidRPr="003A723D">
        <w:rPr>
          <w:rFonts w:ascii="Arial" w:hAnsi="Arial" w:cs="Arial"/>
          <w:sz w:val="22"/>
          <w:szCs w:val="22"/>
          <w:lang w:val="fr-FR"/>
        </w:rPr>
        <w:t>ième session</w:t>
      </w:r>
      <w:r w:rsidR="00E340DE"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3A723D" w:rsidRPr="003A723D">
        <w:rPr>
          <w:rFonts w:ascii="Arial" w:hAnsi="Arial" w:cs="Arial"/>
          <w:sz w:val="22"/>
          <w:szCs w:val="22"/>
          <w:lang w:val="fr-FR"/>
        </w:rPr>
        <w:t>IGC.  Le</w:t>
      </w:r>
      <w:r w:rsidR="00E340DE" w:rsidRPr="003A723D">
        <w:rPr>
          <w:rFonts w:ascii="Arial" w:hAnsi="Arial" w:cs="Arial"/>
          <w:sz w:val="22"/>
          <w:szCs w:val="22"/>
          <w:lang w:val="fr-FR"/>
        </w:rPr>
        <w:t xml:space="preserve"> présent </w:t>
      </w:r>
      <w:r w:rsidR="005638BD" w:rsidRPr="003A723D">
        <w:rPr>
          <w:rFonts w:ascii="Arial" w:hAnsi="Arial" w:cs="Arial"/>
          <w:sz w:val="22"/>
          <w:szCs w:val="22"/>
          <w:lang w:val="fr-FR"/>
        </w:rPr>
        <w:t>document WI</w:t>
      </w:r>
      <w:r w:rsidR="00107038" w:rsidRPr="003A723D">
        <w:rPr>
          <w:rFonts w:ascii="Arial" w:hAnsi="Arial" w:cs="Arial"/>
          <w:sz w:val="22"/>
          <w:szCs w:val="22"/>
          <w:lang w:val="fr-FR"/>
        </w:rPr>
        <w:t>PO/GRTKF/IC/</w:t>
      </w:r>
      <w:r w:rsidR="00635628" w:rsidRPr="003A723D">
        <w:rPr>
          <w:rFonts w:ascii="Arial" w:hAnsi="Arial" w:cs="Arial"/>
          <w:sz w:val="22"/>
          <w:szCs w:val="22"/>
          <w:lang w:val="fr-FR"/>
        </w:rPr>
        <w:t>4</w:t>
      </w:r>
      <w:r w:rsidR="00CA044B" w:rsidRPr="003A723D">
        <w:rPr>
          <w:rFonts w:ascii="Arial" w:hAnsi="Arial" w:cs="Arial"/>
          <w:sz w:val="22"/>
          <w:szCs w:val="22"/>
          <w:lang w:val="fr-FR"/>
        </w:rPr>
        <w:t>2</w:t>
      </w:r>
      <w:r w:rsidR="00107038" w:rsidRPr="003A723D">
        <w:rPr>
          <w:rFonts w:ascii="Arial" w:hAnsi="Arial" w:cs="Arial"/>
          <w:sz w:val="22"/>
          <w:szCs w:val="22"/>
          <w:lang w:val="fr-FR"/>
        </w:rPr>
        <w:t>/</w:t>
      </w:r>
      <w:r w:rsidR="0050542C" w:rsidRPr="003A723D">
        <w:rPr>
          <w:rFonts w:ascii="Arial" w:hAnsi="Arial" w:cs="Arial"/>
          <w:sz w:val="22"/>
          <w:szCs w:val="22"/>
          <w:lang w:val="fr-FR"/>
        </w:rPr>
        <w:t>4</w:t>
      </w:r>
      <w:r w:rsidR="00107038" w:rsidRPr="003A723D">
        <w:rPr>
          <w:rFonts w:ascii="Arial" w:hAnsi="Arial" w:cs="Arial"/>
          <w:sz w:val="22"/>
          <w:szCs w:val="22"/>
          <w:lang w:val="fr-FR"/>
        </w:rPr>
        <w:t xml:space="preserve"> (</w:t>
      </w:r>
      <w:r w:rsidR="00E340DE" w:rsidRPr="003A723D">
        <w:rPr>
          <w:rFonts w:ascii="Arial" w:hAnsi="Arial" w:cs="Arial"/>
          <w:i/>
          <w:sz w:val="22"/>
          <w:szCs w:val="22"/>
          <w:lang w:val="fr-FR"/>
        </w:rPr>
        <w:t>Document de synthèse concernant la propriété intellectuelle relative aux ressources génétiques</w:t>
      </w:r>
      <w:r w:rsidR="00E340DE" w:rsidRPr="003A723D">
        <w:rPr>
          <w:rFonts w:ascii="Arial" w:hAnsi="Arial" w:cs="Arial"/>
          <w:sz w:val="22"/>
          <w:szCs w:val="22"/>
          <w:lang w:val="fr-FR"/>
        </w:rPr>
        <w:t>) constitue la dernière version du texte soumis à l</w:t>
      </w:r>
      <w:r w:rsidR="005C5419" w:rsidRPr="003A723D">
        <w:rPr>
          <w:rFonts w:ascii="Arial" w:hAnsi="Arial" w:cs="Arial"/>
          <w:sz w:val="22"/>
          <w:szCs w:val="22"/>
          <w:lang w:val="fr-FR"/>
        </w:rPr>
        <w:t>’</w:t>
      </w:r>
      <w:r w:rsidR="003A723D" w:rsidRPr="003A723D">
        <w:rPr>
          <w:rFonts w:ascii="Arial" w:hAnsi="Arial" w:cs="Arial"/>
          <w:sz w:val="22"/>
          <w:szCs w:val="22"/>
          <w:lang w:val="fr-FR"/>
        </w:rPr>
        <w:t>IGC.  Le</w:t>
      </w:r>
      <w:r w:rsidR="00711EE3" w:rsidRPr="003A723D">
        <w:rPr>
          <w:rFonts w:ascii="Arial" w:hAnsi="Arial" w:cs="Arial"/>
          <w:sz w:val="22"/>
          <w:szCs w:val="22"/>
          <w:lang w:val="fr-FR"/>
        </w:rPr>
        <w:t xml:space="preserve"> présent document reprend un certain nombre de propositions et d</w:t>
      </w:r>
      <w:r w:rsidR="005C5419" w:rsidRPr="003A723D">
        <w:rPr>
          <w:rFonts w:ascii="Arial" w:hAnsi="Arial" w:cs="Arial"/>
          <w:sz w:val="22"/>
          <w:szCs w:val="22"/>
          <w:lang w:val="fr-FR"/>
        </w:rPr>
        <w:t>’</w:t>
      </w:r>
      <w:r w:rsidR="00711EE3" w:rsidRPr="003A723D">
        <w:rPr>
          <w:rFonts w:ascii="Arial" w:hAnsi="Arial" w:cs="Arial"/>
          <w:sz w:val="22"/>
          <w:szCs w:val="22"/>
          <w:lang w:val="fr-FR"/>
        </w:rPr>
        <w:t xml:space="preserve">options, </w:t>
      </w:r>
      <w:r w:rsidR="005C5419" w:rsidRPr="003A723D">
        <w:rPr>
          <w:rFonts w:ascii="Arial" w:hAnsi="Arial" w:cs="Arial"/>
          <w:sz w:val="22"/>
          <w:szCs w:val="22"/>
          <w:lang w:val="fr-FR"/>
        </w:rPr>
        <w:t>y compris</w:t>
      </w:r>
      <w:r w:rsidR="00711EE3" w:rsidRPr="003A723D">
        <w:rPr>
          <w:rFonts w:ascii="Arial" w:hAnsi="Arial" w:cs="Arial"/>
          <w:sz w:val="22"/>
          <w:szCs w:val="22"/>
          <w:lang w:val="fr-FR"/>
        </w:rPr>
        <w:t xml:space="preserve"> des </w:t>
      </w:r>
      <w:r w:rsidR="004717BD" w:rsidRPr="003A723D">
        <w:rPr>
          <w:rFonts w:ascii="Arial" w:hAnsi="Arial" w:cs="Arial"/>
          <w:sz w:val="22"/>
          <w:szCs w:val="22"/>
          <w:lang w:val="fr-FR"/>
        </w:rPr>
        <w:t xml:space="preserve">propositions relatives à des </w:t>
      </w:r>
      <w:r w:rsidR="00711EE3" w:rsidRPr="003A723D">
        <w:rPr>
          <w:rFonts w:ascii="Arial" w:hAnsi="Arial" w:cs="Arial"/>
          <w:sz w:val="22"/>
          <w:szCs w:val="22"/>
          <w:lang w:val="fr-FR"/>
        </w:rPr>
        <w:t xml:space="preserve">mesures défensives et </w:t>
      </w:r>
      <w:r w:rsidR="004717BD" w:rsidRPr="003A723D">
        <w:rPr>
          <w:rFonts w:ascii="Arial" w:hAnsi="Arial" w:cs="Arial"/>
          <w:sz w:val="22"/>
          <w:szCs w:val="22"/>
          <w:lang w:val="fr-FR"/>
        </w:rPr>
        <w:t>à l</w:t>
      </w:r>
      <w:r w:rsidR="005C5419" w:rsidRPr="003A723D">
        <w:rPr>
          <w:rFonts w:ascii="Arial" w:hAnsi="Arial" w:cs="Arial"/>
          <w:sz w:val="22"/>
          <w:szCs w:val="22"/>
          <w:lang w:val="fr-FR"/>
        </w:rPr>
        <w:t>’</w:t>
      </w:r>
      <w:r w:rsidR="004717BD" w:rsidRPr="003A723D">
        <w:rPr>
          <w:rFonts w:ascii="Arial" w:hAnsi="Arial" w:cs="Arial"/>
          <w:sz w:val="22"/>
          <w:szCs w:val="22"/>
          <w:lang w:val="fr-FR"/>
        </w:rPr>
        <w:t>exigence de divulgation</w:t>
      </w:r>
      <w:r w:rsidR="00542C9A" w:rsidRPr="003A723D">
        <w:rPr>
          <w:rFonts w:ascii="Arial" w:hAnsi="Arial" w:cs="Arial"/>
          <w:sz w:val="22"/>
          <w:szCs w:val="22"/>
          <w:lang w:val="fr-FR"/>
        </w:rPr>
        <w:t>.</w:t>
      </w:r>
    </w:p>
    <w:p w14:paraId="3D941D27" w14:textId="143B9AA5" w:rsidR="00082637" w:rsidRPr="003A723D" w:rsidRDefault="00082637" w:rsidP="00BB6844">
      <w:pPr>
        <w:rPr>
          <w:rFonts w:ascii="Arial" w:hAnsi="Arial" w:cs="Arial"/>
          <w:sz w:val="22"/>
          <w:szCs w:val="22"/>
          <w:lang w:val="fr-FR"/>
        </w:rPr>
      </w:pPr>
    </w:p>
    <w:p w14:paraId="7A979AE8" w14:textId="12A8E6CD" w:rsidR="002F0E09" w:rsidRPr="003A723D" w:rsidRDefault="00A23C5E" w:rsidP="00FE26A2">
      <w:pPr>
        <w:tabs>
          <w:tab w:val="left" w:pos="567"/>
        </w:tabs>
        <w:rPr>
          <w:rFonts w:ascii="Arial" w:hAnsi="Arial" w:cs="Arial"/>
          <w:sz w:val="22"/>
          <w:szCs w:val="22"/>
          <w:lang w:val="fr-FR"/>
        </w:rPr>
      </w:pPr>
      <w:r w:rsidRPr="003A723D">
        <w:rPr>
          <w:rFonts w:ascii="Arial" w:hAnsi="Arial" w:cs="Arial"/>
          <w:sz w:val="22"/>
          <w:szCs w:val="22"/>
          <w:lang w:val="fr-FR"/>
        </w:rPr>
        <w:t>4.</w:t>
      </w:r>
      <w:r w:rsidRPr="003A723D">
        <w:rPr>
          <w:rFonts w:ascii="Arial" w:hAnsi="Arial" w:cs="Arial"/>
          <w:sz w:val="22"/>
          <w:szCs w:val="22"/>
          <w:lang w:val="fr-FR"/>
        </w:rPr>
        <w:tab/>
      </w:r>
      <w:r w:rsidR="004722D1" w:rsidRPr="003A723D">
        <w:rPr>
          <w:rFonts w:ascii="Arial" w:hAnsi="Arial" w:cs="Arial"/>
          <w:sz w:val="22"/>
          <w:szCs w:val="22"/>
          <w:lang w:val="fr-FR"/>
        </w:rPr>
        <w:t xml:space="preserve">Outre le document de travail de synthèse, un certain nombre de propositions et de recommandations communes </w:t>
      </w:r>
      <w:r w:rsidR="008E678F" w:rsidRPr="003A723D">
        <w:rPr>
          <w:rFonts w:ascii="Arial" w:hAnsi="Arial" w:cs="Arial"/>
          <w:sz w:val="22"/>
          <w:szCs w:val="22"/>
          <w:lang w:val="fr-FR"/>
        </w:rPr>
        <w:t>présentées</w:t>
      </w:r>
      <w:r w:rsidR="004722D1" w:rsidRPr="003A723D">
        <w:rPr>
          <w:rFonts w:ascii="Arial" w:hAnsi="Arial" w:cs="Arial"/>
          <w:sz w:val="22"/>
          <w:szCs w:val="22"/>
          <w:lang w:val="fr-FR"/>
        </w:rPr>
        <w:t xml:space="preserve"> par les États membres doivent encore être examinées par l</w:t>
      </w:r>
      <w:r w:rsidR="005C5419" w:rsidRPr="003A723D">
        <w:rPr>
          <w:rFonts w:ascii="Arial" w:hAnsi="Arial" w:cs="Arial"/>
          <w:sz w:val="22"/>
          <w:szCs w:val="22"/>
          <w:lang w:val="fr-FR"/>
        </w:rPr>
        <w:t>’</w:t>
      </w:r>
      <w:r w:rsidR="004722D1" w:rsidRPr="003A723D">
        <w:rPr>
          <w:rFonts w:ascii="Arial" w:hAnsi="Arial" w:cs="Arial"/>
          <w:sz w:val="22"/>
          <w:szCs w:val="22"/>
          <w:lang w:val="fr-FR"/>
        </w:rPr>
        <w:t>IGC</w:t>
      </w:r>
      <w:r w:rsidR="00542C9A" w:rsidRPr="003A723D">
        <w:rPr>
          <w:rFonts w:ascii="Arial" w:hAnsi="Arial" w:cs="Arial"/>
          <w:sz w:val="22"/>
          <w:szCs w:val="22"/>
          <w:lang w:val="fr-FR"/>
        </w:rPr>
        <w:t>.</w:t>
      </w:r>
    </w:p>
    <w:p w14:paraId="186DB787" w14:textId="51A3238C" w:rsidR="00082637" w:rsidRPr="003A723D" w:rsidRDefault="00082637" w:rsidP="00BB6844">
      <w:pPr>
        <w:rPr>
          <w:rFonts w:ascii="Arial" w:hAnsi="Arial" w:cs="Arial"/>
          <w:sz w:val="22"/>
          <w:szCs w:val="22"/>
          <w:lang w:val="fr-FR"/>
        </w:rPr>
      </w:pPr>
    </w:p>
    <w:p w14:paraId="24575B4C" w14:textId="125F8602" w:rsidR="002F0E09" w:rsidRPr="003A723D" w:rsidRDefault="00A23C5E" w:rsidP="00FE26A2">
      <w:pPr>
        <w:tabs>
          <w:tab w:val="left" w:pos="567"/>
        </w:tabs>
        <w:rPr>
          <w:rFonts w:ascii="Arial" w:hAnsi="Arial" w:cs="Arial"/>
          <w:sz w:val="22"/>
          <w:szCs w:val="22"/>
          <w:lang w:val="fr-FR"/>
        </w:rPr>
      </w:pPr>
      <w:r w:rsidRPr="003A723D">
        <w:rPr>
          <w:rFonts w:ascii="Arial" w:hAnsi="Arial" w:cs="Arial"/>
          <w:sz w:val="22"/>
          <w:szCs w:val="22"/>
          <w:lang w:val="fr-FR"/>
        </w:rPr>
        <w:t>5.</w:t>
      </w:r>
      <w:r w:rsidRPr="003A723D">
        <w:rPr>
          <w:rFonts w:ascii="Arial" w:hAnsi="Arial" w:cs="Arial"/>
          <w:sz w:val="22"/>
          <w:szCs w:val="22"/>
          <w:lang w:val="fr-FR"/>
        </w:rPr>
        <w:tab/>
      </w:r>
      <w:r w:rsidR="008E678F" w:rsidRPr="003A723D">
        <w:rPr>
          <w:rFonts w:ascii="Arial" w:hAnsi="Arial" w:cs="Arial"/>
          <w:sz w:val="22"/>
          <w:szCs w:val="22"/>
          <w:lang w:val="fr-FR"/>
        </w:rPr>
        <w:t xml:space="preserve">De mon point de vue, les négociations relatives aux ressources génétiques sont </w:t>
      </w:r>
      <w:r w:rsidR="00FB6B38" w:rsidRPr="003A723D">
        <w:rPr>
          <w:rFonts w:ascii="Arial" w:hAnsi="Arial" w:cs="Arial"/>
          <w:sz w:val="22"/>
          <w:szCs w:val="22"/>
          <w:lang w:val="fr-FR"/>
        </w:rPr>
        <w:t xml:space="preserve">arrivées </w:t>
      </w:r>
      <w:r w:rsidR="008E678F" w:rsidRPr="003A723D">
        <w:rPr>
          <w:rFonts w:ascii="Arial" w:hAnsi="Arial" w:cs="Arial"/>
          <w:sz w:val="22"/>
          <w:szCs w:val="22"/>
          <w:lang w:val="fr-FR"/>
        </w:rPr>
        <w:t xml:space="preserve">à un stade où les États membres doivent </w:t>
      </w:r>
      <w:r w:rsidR="00FB6B38" w:rsidRPr="003A723D">
        <w:rPr>
          <w:rFonts w:ascii="Arial" w:hAnsi="Arial" w:cs="Arial"/>
          <w:sz w:val="22"/>
          <w:szCs w:val="22"/>
          <w:lang w:val="fr-FR"/>
        </w:rPr>
        <w:t>se prononcer sur</w:t>
      </w:r>
      <w:r w:rsidR="008E678F" w:rsidRPr="003A723D">
        <w:rPr>
          <w:rFonts w:ascii="Arial" w:hAnsi="Arial" w:cs="Arial"/>
          <w:sz w:val="22"/>
          <w:szCs w:val="22"/>
          <w:lang w:val="fr-FR"/>
        </w:rPr>
        <w:t xml:space="preserve"> la forme définitive</w:t>
      </w:r>
      <w:r w:rsidR="00D7428A" w:rsidRPr="003A723D">
        <w:rPr>
          <w:rFonts w:ascii="Arial" w:hAnsi="Arial" w:cs="Arial"/>
          <w:sz w:val="22"/>
          <w:szCs w:val="22"/>
          <w:lang w:val="fr-FR"/>
        </w:rPr>
        <w:t xml:space="preserve"> </w:t>
      </w:r>
      <w:r w:rsidR="008E678F" w:rsidRPr="003A723D">
        <w:rPr>
          <w:rFonts w:ascii="Arial" w:hAnsi="Arial" w:cs="Arial"/>
          <w:sz w:val="22"/>
          <w:szCs w:val="22"/>
          <w:lang w:val="fr-FR"/>
        </w:rPr>
        <w:t>de l</w:t>
      </w:r>
      <w:r w:rsidR="005C5419" w:rsidRPr="003A723D">
        <w:rPr>
          <w:rFonts w:ascii="Arial" w:hAnsi="Arial" w:cs="Arial"/>
          <w:sz w:val="22"/>
          <w:szCs w:val="22"/>
          <w:lang w:val="fr-FR"/>
        </w:rPr>
        <w:t>’</w:t>
      </w:r>
      <w:r w:rsidR="008E678F" w:rsidRPr="003A723D">
        <w:rPr>
          <w:rFonts w:ascii="Arial" w:hAnsi="Arial" w:cs="Arial"/>
          <w:sz w:val="22"/>
          <w:szCs w:val="22"/>
          <w:lang w:val="fr-FR"/>
        </w:rPr>
        <w:t>instrument, compte tenu des différentes</w:t>
      </w:r>
      <w:r w:rsidR="00D7428A" w:rsidRPr="003A723D">
        <w:rPr>
          <w:rFonts w:ascii="Arial" w:hAnsi="Arial" w:cs="Arial"/>
          <w:sz w:val="22"/>
          <w:szCs w:val="22"/>
          <w:lang w:val="fr-FR"/>
        </w:rPr>
        <w:t xml:space="preserve"> </w:t>
      </w:r>
      <w:r w:rsidR="008E678F" w:rsidRPr="003A723D">
        <w:rPr>
          <w:rFonts w:ascii="Arial" w:hAnsi="Arial" w:cs="Arial"/>
          <w:sz w:val="22"/>
          <w:szCs w:val="22"/>
          <w:lang w:val="fr-FR"/>
        </w:rPr>
        <w:t xml:space="preserve">approches mentionnées dans le document de travail de synthèse et des recommandations communes présentées par un certain nombre </w:t>
      </w:r>
      <w:r w:rsidR="008E678F" w:rsidRPr="003A723D">
        <w:rPr>
          <w:rFonts w:ascii="Arial" w:hAnsi="Arial" w:cs="Arial"/>
          <w:sz w:val="22"/>
          <w:szCs w:val="22"/>
          <w:lang w:val="fr-FR"/>
        </w:rPr>
        <w:lastRenderedPageBreak/>
        <w:t>d</w:t>
      </w:r>
      <w:r w:rsidR="005C5419" w:rsidRPr="003A723D">
        <w:rPr>
          <w:rFonts w:ascii="Arial" w:hAnsi="Arial" w:cs="Arial"/>
          <w:sz w:val="22"/>
          <w:szCs w:val="22"/>
          <w:lang w:val="fr-FR"/>
        </w:rPr>
        <w:t>’</w:t>
      </w:r>
      <w:r w:rsidR="008E678F" w:rsidRPr="003A723D">
        <w:rPr>
          <w:rFonts w:ascii="Arial" w:hAnsi="Arial" w:cs="Arial"/>
          <w:sz w:val="22"/>
          <w:szCs w:val="22"/>
          <w:lang w:val="fr-FR"/>
        </w:rPr>
        <w:t>États membr</w:t>
      </w:r>
      <w:r w:rsidR="003A723D" w:rsidRPr="003A723D">
        <w:rPr>
          <w:rFonts w:ascii="Arial" w:hAnsi="Arial" w:cs="Arial"/>
          <w:sz w:val="22"/>
          <w:szCs w:val="22"/>
          <w:lang w:val="fr-FR"/>
        </w:rPr>
        <w:t>es.  Af</w:t>
      </w:r>
      <w:r w:rsidR="008E678F" w:rsidRPr="003A723D">
        <w:rPr>
          <w:rFonts w:ascii="Arial" w:hAnsi="Arial" w:cs="Arial"/>
          <w:sz w:val="22"/>
          <w:szCs w:val="22"/>
          <w:lang w:val="fr-FR"/>
        </w:rPr>
        <w:t xml:space="preserve">in de faciliter </w:t>
      </w:r>
      <w:r w:rsidR="00FB6B38" w:rsidRPr="003A723D">
        <w:rPr>
          <w:rFonts w:ascii="Arial" w:hAnsi="Arial" w:cs="Arial"/>
          <w:sz w:val="22"/>
          <w:szCs w:val="22"/>
          <w:lang w:val="fr-FR"/>
        </w:rPr>
        <w:t>la</w:t>
      </w:r>
      <w:r w:rsidR="008E678F" w:rsidRPr="003A723D">
        <w:rPr>
          <w:rFonts w:ascii="Arial" w:hAnsi="Arial" w:cs="Arial"/>
          <w:sz w:val="22"/>
          <w:szCs w:val="22"/>
          <w:lang w:val="fr-FR"/>
        </w:rPr>
        <w:t xml:space="preserve"> prise de décision, j</w:t>
      </w:r>
      <w:r w:rsidR="005C5419" w:rsidRPr="003A723D">
        <w:rPr>
          <w:rFonts w:ascii="Arial" w:hAnsi="Arial" w:cs="Arial"/>
          <w:sz w:val="22"/>
          <w:szCs w:val="22"/>
          <w:lang w:val="fr-FR"/>
        </w:rPr>
        <w:t>’</w:t>
      </w:r>
      <w:r w:rsidR="00FB6B38" w:rsidRPr="003A723D">
        <w:rPr>
          <w:rFonts w:ascii="Arial" w:hAnsi="Arial" w:cs="Arial"/>
          <w:sz w:val="22"/>
          <w:szCs w:val="22"/>
          <w:lang w:val="fr-FR"/>
        </w:rPr>
        <w:t>ai, de m</w:t>
      </w:r>
      <w:r w:rsidR="008E678F" w:rsidRPr="003A723D">
        <w:rPr>
          <w:rFonts w:ascii="Arial" w:hAnsi="Arial" w:cs="Arial"/>
          <w:sz w:val="22"/>
          <w:szCs w:val="22"/>
          <w:lang w:val="fr-FR"/>
        </w:rPr>
        <w:t>on propre chef</w:t>
      </w:r>
      <w:r w:rsidR="00FB6B38" w:rsidRPr="003A723D">
        <w:rPr>
          <w:rFonts w:ascii="Arial" w:hAnsi="Arial" w:cs="Arial"/>
          <w:sz w:val="22"/>
          <w:szCs w:val="22"/>
          <w:lang w:val="fr-FR"/>
        </w:rPr>
        <w:t>, établi</w:t>
      </w:r>
      <w:r w:rsidR="008E678F" w:rsidRPr="003A723D">
        <w:rPr>
          <w:rFonts w:ascii="Arial" w:hAnsi="Arial" w:cs="Arial"/>
          <w:sz w:val="22"/>
          <w:szCs w:val="22"/>
          <w:lang w:val="fr-FR"/>
        </w:rPr>
        <w:t xml:space="preserve"> un texte sur les ressources génétiques et les savoirs traditionnels </w:t>
      </w:r>
      <w:r w:rsidR="00C51670" w:rsidRPr="003A723D">
        <w:rPr>
          <w:rFonts w:ascii="Arial" w:hAnsi="Arial" w:cs="Arial"/>
          <w:sz w:val="22"/>
          <w:szCs w:val="22"/>
          <w:lang w:val="fr-FR"/>
        </w:rPr>
        <w:t>qui y sont associés</w:t>
      </w:r>
      <w:r w:rsidR="008E678F" w:rsidRPr="003A723D">
        <w:rPr>
          <w:rFonts w:ascii="Arial" w:hAnsi="Arial" w:cs="Arial"/>
          <w:sz w:val="22"/>
          <w:szCs w:val="22"/>
          <w:lang w:val="fr-FR"/>
        </w:rPr>
        <w:t>.</w:t>
      </w:r>
    </w:p>
    <w:p w14:paraId="22D81628" w14:textId="251EA973" w:rsidR="00082637" w:rsidRPr="003A723D" w:rsidRDefault="00082637" w:rsidP="00D7428A">
      <w:pPr>
        <w:rPr>
          <w:rFonts w:ascii="Arial" w:hAnsi="Arial" w:cs="Arial"/>
          <w:sz w:val="22"/>
          <w:szCs w:val="22"/>
          <w:lang w:val="fr-FR"/>
        </w:rPr>
      </w:pPr>
    </w:p>
    <w:p w14:paraId="0A60D265" w14:textId="7BFB4D7F" w:rsidR="00082637" w:rsidRPr="003A723D" w:rsidRDefault="00A23C5E" w:rsidP="00FE26A2">
      <w:pPr>
        <w:tabs>
          <w:tab w:val="left" w:pos="567"/>
        </w:tabs>
        <w:rPr>
          <w:rFonts w:ascii="Arial" w:hAnsi="Arial" w:cs="Arial"/>
          <w:sz w:val="22"/>
          <w:szCs w:val="22"/>
          <w:lang w:val="fr-FR"/>
        </w:rPr>
      </w:pPr>
      <w:r w:rsidRPr="003A723D">
        <w:rPr>
          <w:rFonts w:ascii="Arial" w:hAnsi="Arial" w:cs="Arial"/>
          <w:sz w:val="22"/>
          <w:szCs w:val="22"/>
          <w:lang w:val="fr-FR"/>
        </w:rPr>
        <w:t>6.</w:t>
      </w:r>
      <w:r w:rsidRPr="003A723D">
        <w:rPr>
          <w:rFonts w:ascii="Arial" w:hAnsi="Arial" w:cs="Arial"/>
          <w:sz w:val="22"/>
          <w:szCs w:val="22"/>
          <w:lang w:val="fr-FR"/>
        </w:rPr>
        <w:tab/>
      </w:r>
      <w:r w:rsidR="004D738F" w:rsidRPr="003A723D">
        <w:rPr>
          <w:rFonts w:ascii="Arial" w:hAnsi="Arial" w:cs="Arial"/>
          <w:sz w:val="22"/>
          <w:szCs w:val="22"/>
          <w:lang w:val="fr-FR"/>
        </w:rPr>
        <w:t>Ce texte</w:t>
      </w:r>
      <w:r w:rsidR="00FB6B38" w:rsidRPr="003A723D">
        <w:rPr>
          <w:rFonts w:ascii="Arial" w:hAnsi="Arial" w:cs="Arial"/>
          <w:sz w:val="22"/>
          <w:szCs w:val="22"/>
          <w:lang w:val="fr-FR"/>
        </w:rPr>
        <w:t xml:space="preserve"> </w:t>
      </w:r>
      <w:r w:rsidR="004D738F" w:rsidRPr="003A723D">
        <w:rPr>
          <w:rFonts w:ascii="Arial" w:hAnsi="Arial" w:cs="Arial"/>
          <w:sz w:val="22"/>
          <w:szCs w:val="22"/>
          <w:lang w:val="fr-FR"/>
        </w:rPr>
        <w:t>a été présenté à la quarant</w:t>
      </w:r>
      <w:r w:rsidR="005C5419" w:rsidRPr="003A723D">
        <w:rPr>
          <w:rFonts w:ascii="Arial" w:hAnsi="Arial" w:cs="Arial"/>
          <w:sz w:val="22"/>
          <w:szCs w:val="22"/>
          <w:lang w:val="fr-FR"/>
        </w:rPr>
        <w:t>ième session</w:t>
      </w:r>
      <w:r w:rsidR="004D738F" w:rsidRPr="003A723D">
        <w:rPr>
          <w:rFonts w:ascii="Arial" w:hAnsi="Arial" w:cs="Arial"/>
          <w:sz w:val="22"/>
          <w:szCs w:val="22"/>
          <w:lang w:val="fr-FR"/>
        </w:rPr>
        <w:t xml:space="preserve"> de l</w:t>
      </w:r>
      <w:r w:rsidR="005C5419" w:rsidRPr="003A723D">
        <w:rPr>
          <w:rFonts w:ascii="Arial" w:hAnsi="Arial" w:cs="Arial"/>
          <w:sz w:val="22"/>
          <w:szCs w:val="22"/>
          <w:lang w:val="fr-FR"/>
        </w:rPr>
        <w:t>’</w:t>
      </w:r>
      <w:r w:rsidR="004D738F" w:rsidRPr="003A723D">
        <w:rPr>
          <w:rFonts w:ascii="Arial" w:hAnsi="Arial" w:cs="Arial"/>
          <w:sz w:val="22"/>
          <w:szCs w:val="22"/>
          <w:lang w:val="fr-FR"/>
        </w:rPr>
        <w:t xml:space="preserve">IGC </w:t>
      </w:r>
      <w:r w:rsidR="002F0E09" w:rsidRPr="003A723D">
        <w:rPr>
          <w:rFonts w:ascii="Arial" w:hAnsi="Arial" w:cs="Arial"/>
          <w:sz w:val="22"/>
          <w:szCs w:val="22"/>
          <w:lang w:val="fr-FR"/>
        </w:rPr>
        <w:t>en 2019</w:t>
      </w:r>
      <w:r w:rsidR="00F314EB" w:rsidRPr="003A723D">
        <w:rPr>
          <w:rFonts w:ascii="Arial" w:hAnsi="Arial" w:cs="Arial"/>
          <w:sz w:val="22"/>
          <w:szCs w:val="22"/>
          <w:lang w:val="fr-FR"/>
        </w:rPr>
        <w:t>,</w:t>
      </w:r>
      <w:r w:rsidR="00FE26A2">
        <w:rPr>
          <w:rFonts w:ascii="Arial" w:hAnsi="Arial" w:cs="Arial"/>
          <w:sz w:val="22"/>
          <w:szCs w:val="22"/>
          <w:lang w:val="fr-FR"/>
        </w:rPr>
        <w:t xml:space="preserve"> </w:t>
      </w:r>
      <w:r w:rsidR="00F314EB" w:rsidRPr="003A723D">
        <w:rPr>
          <w:rFonts w:ascii="Arial" w:hAnsi="Arial" w:cs="Arial"/>
          <w:sz w:val="22"/>
          <w:szCs w:val="22"/>
          <w:lang w:val="fr-FR"/>
        </w:rPr>
        <w:t xml:space="preserve">et, par la suite, </w:t>
      </w:r>
      <w:r w:rsidR="00FB6B38" w:rsidRPr="003A723D">
        <w:rPr>
          <w:rFonts w:ascii="Arial" w:hAnsi="Arial" w:cs="Arial"/>
          <w:sz w:val="22"/>
          <w:szCs w:val="22"/>
          <w:lang w:val="fr-FR"/>
        </w:rPr>
        <w:t>l</w:t>
      </w:r>
      <w:r w:rsidR="005C5419" w:rsidRPr="003A723D">
        <w:rPr>
          <w:rFonts w:ascii="Arial" w:hAnsi="Arial" w:cs="Arial"/>
          <w:sz w:val="22"/>
          <w:szCs w:val="22"/>
          <w:lang w:val="fr-FR"/>
        </w:rPr>
        <w:t>’</w:t>
      </w:r>
      <w:r w:rsidR="00FB6B38" w:rsidRPr="003A723D">
        <w:rPr>
          <w:rFonts w:ascii="Arial" w:hAnsi="Arial" w:cs="Arial"/>
          <w:sz w:val="22"/>
          <w:szCs w:val="22"/>
          <w:lang w:val="fr-FR"/>
        </w:rPr>
        <w:t>Assemblée générale de l</w:t>
      </w:r>
      <w:r w:rsidR="005C5419" w:rsidRPr="003A723D">
        <w:rPr>
          <w:rFonts w:ascii="Arial" w:hAnsi="Arial" w:cs="Arial"/>
          <w:sz w:val="22"/>
          <w:szCs w:val="22"/>
          <w:lang w:val="fr-FR"/>
        </w:rPr>
        <w:t>’</w:t>
      </w:r>
      <w:r w:rsidR="00FB6B38" w:rsidRPr="003A723D">
        <w:rPr>
          <w:rFonts w:ascii="Arial" w:hAnsi="Arial" w:cs="Arial"/>
          <w:sz w:val="22"/>
          <w:szCs w:val="22"/>
          <w:lang w:val="fr-FR"/>
        </w:rPr>
        <w:t>OMPI</w:t>
      </w:r>
      <w:r w:rsidR="00EB7FED" w:rsidRPr="003A723D">
        <w:rPr>
          <w:rFonts w:ascii="Arial" w:hAnsi="Arial" w:cs="Arial"/>
          <w:sz w:val="22"/>
          <w:szCs w:val="22"/>
          <w:lang w:val="fr-FR"/>
        </w:rPr>
        <w:t>,</w:t>
      </w:r>
      <w:r w:rsidR="00FB6B38" w:rsidRPr="003A723D">
        <w:rPr>
          <w:rFonts w:ascii="Arial" w:hAnsi="Arial" w:cs="Arial"/>
          <w:sz w:val="22"/>
          <w:szCs w:val="22"/>
          <w:lang w:val="fr-FR"/>
        </w:rPr>
        <w:t xml:space="preserve"> </w:t>
      </w:r>
      <w:r w:rsidR="002F0E09" w:rsidRPr="003A723D">
        <w:rPr>
          <w:rFonts w:ascii="Arial" w:hAnsi="Arial" w:cs="Arial"/>
          <w:sz w:val="22"/>
          <w:szCs w:val="22"/>
          <w:lang w:val="fr-FR"/>
        </w:rPr>
        <w:t>en 2019</w:t>
      </w:r>
      <w:r w:rsidR="00FB6B38" w:rsidRPr="003A723D">
        <w:rPr>
          <w:rFonts w:ascii="Arial" w:hAnsi="Arial" w:cs="Arial"/>
          <w:sz w:val="22"/>
          <w:szCs w:val="22"/>
          <w:lang w:val="fr-FR"/>
        </w:rPr>
        <w:t xml:space="preserve"> et </w:t>
      </w:r>
      <w:r w:rsidR="002F0E09" w:rsidRPr="003A723D">
        <w:rPr>
          <w:rFonts w:ascii="Arial" w:hAnsi="Arial" w:cs="Arial"/>
          <w:sz w:val="22"/>
          <w:szCs w:val="22"/>
          <w:lang w:val="fr-FR"/>
        </w:rPr>
        <w:t>en 2021</w:t>
      </w:r>
      <w:r w:rsidR="00EB7FED" w:rsidRPr="003A723D">
        <w:rPr>
          <w:rFonts w:ascii="Arial" w:hAnsi="Arial" w:cs="Arial"/>
          <w:sz w:val="22"/>
          <w:szCs w:val="22"/>
          <w:lang w:val="fr-FR"/>
        </w:rPr>
        <w:t>,</w:t>
      </w:r>
      <w:r w:rsidR="00FB6B38" w:rsidRPr="003A723D">
        <w:rPr>
          <w:rFonts w:ascii="Arial" w:hAnsi="Arial" w:cs="Arial"/>
          <w:sz w:val="22"/>
          <w:szCs w:val="22"/>
          <w:lang w:val="fr-FR"/>
        </w:rPr>
        <w:t xml:space="preserve"> est convenue de l</w:t>
      </w:r>
      <w:r w:rsidR="005C5419" w:rsidRPr="003A723D">
        <w:rPr>
          <w:rFonts w:ascii="Arial" w:hAnsi="Arial" w:cs="Arial"/>
          <w:sz w:val="22"/>
          <w:szCs w:val="22"/>
          <w:lang w:val="fr-FR"/>
        </w:rPr>
        <w:t>’</w:t>
      </w:r>
      <w:r w:rsidR="00FB6B38" w:rsidRPr="003A723D">
        <w:rPr>
          <w:rFonts w:ascii="Arial" w:hAnsi="Arial" w:cs="Arial"/>
          <w:sz w:val="22"/>
          <w:szCs w:val="22"/>
          <w:lang w:val="fr-FR"/>
        </w:rPr>
        <w:t>inclure comme document de travail</w:t>
      </w:r>
      <w:r w:rsidR="00CA044B" w:rsidRPr="003A723D">
        <w:rPr>
          <w:rFonts w:ascii="Arial" w:hAnsi="Arial" w:cs="Arial"/>
          <w:sz w:val="22"/>
          <w:szCs w:val="22"/>
          <w:lang w:val="fr-FR"/>
        </w:rPr>
        <w:t xml:space="preserve"> </w:t>
      </w:r>
      <w:r w:rsidR="00C57FD7" w:rsidRPr="003A723D">
        <w:rPr>
          <w:rFonts w:ascii="Arial" w:hAnsi="Arial" w:cs="Arial"/>
          <w:sz w:val="22"/>
          <w:szCs w:val="22"/>
          <w:lang w:val="fr-FR"/>
        </w:rPr>
        <w:t>(WIPO/GRTKF/IC/42/5)</w:t>
      </w:r>
      <w:r w:rsidR="00CA044B" w:rsidRPr="003A723D">
        <w:rPr>
          <w:rFonts w:ascii="Arial" w:hAnsi="Arial" w:cs="Arial"/>
          <w:sz w:val="22"/>
          <w:szCs w:val="22"/>
          <w:lang w:val="fr-FR"/>
        </w:rPr>
        <w:t>.</w:t>
      </w:r>
      <w:r w:rsidR="008C26F1" w:rsidRPr="003A723D">
        <w:rPr>
          <w:rFonts w:ascii="Arial" w:hAnsi="Arial" w:cs="Arial"/>
          <w:sz w:val="22"/>
          <w:szCs w:val="22"/>
          <w:lang w:val="fr-FR"/>
        </w:rPr>
        <w:t xml:space="preserve"> </w:t>
      </w:r>
      <w:r w:rsidR="00DF5D9B" w:rsidRPr="003A723D">
        <w:rPr>
          <w:rFonts w:ascii="Arial" w:hAnsi="Arial" w:cs="Arial"/>
          <w:sz w:val="22"/>
          <w:szCs w:val="22"/>
          <w:lang w:val="fr-FR"/>
        </w:rPr>
        <w:t xml:space="preserve"> </w:t>
      </w:r>
      <w:r w:rsidR="007069D1" w:rsidRPr="003A723D">
        <w:rPr>
          <w:rFonts w:ascii="Arial" w:hAnsi="Arial" w:cs="Arial"/>
          <w:sz w:val="22"/>
          <w:szCs w:val="22"/>
          <w:lang w:val="fr-FR"/>
        </w:rPr>
        <w:t>Le présent texte s</w:t>
      </w:r>
      <w:r w:rsidR="005C5419" w:rsidRPr="003A723D">
        <w:rPr>
          <w:rFonts w:ascii="Arial" w:hAnsi="Arial" w:cs="Arial"/>
          <w:sz w:val="22"/>
          <w:szCs w:val="22"/>
          <w:lang w:val="fr-FR"/>
        </w:rPr>
        <w:t>’</w:t>
      </w:r>
      <w:r w:rsidR="007069D1" w:rsidRPr="003A723D">
        <w:rPr>
          <w:rFonts w:ascii="Arial" w:hAnsi="Arial" w:cs="Arial"/>
          <w:sz w:val="22"/>
          <w:szCs w:val="22"/>
          <w:lang w:val="fr-FR"/>
        </w:rPr>
        <w:t xml:space="preserve">efforce de concilier les intérêts et les droits des fournisseurs et des utilisateurs de ressources génétiques et de savoirs traditionnels </w:t>
      </w:r>
      <w:r w:rsidR="00C51670" w:rsidRPr="003A723D">
        <w:rPr>
          <w:rFonts w:ascii="Arial" w:hAnsi="Arial" w:cs="Arial"/>
          <w:sz w:val="22"/>
          <w:szCs w:val="22"/>
          <w:lang w:val="fr-FR"/>
        </w:rPr>
        <w:t>qui y sont associés</w:t>
      </w:r>
      <w:r w:rsidR="007069D1" w:rsidRPr="003A723D">
        <w:rPr>
          <w:rFonts w:ascii="Arial" w:hAnsi="Arial" w:cs="Arial"/>
          <w:sz w:val="22"/>
          <w:szCs w:val="22"/>
          <w:lang w:val="fr-FR"/>
        </w:rPr>
        <w:t>, sans lesquels, à mon sens, nous ne parviendrons pas à un accord mutuellement bénéfiq</w:t>
      </w:r>
      <w:r w:rsidR="003A723D" w:rsidRPr="003A723D">
        <w:rPr>
          <w:rFonts w:ascii="Arial" w:hAnsi="Arial" w:cs="Arial"/>
          <w:sz w:val="22"/>
          <w:szCs w:val="22"/>
          <w:lang w:val="fr-FR"/>
        </w:rPr>
        <w:t>ue.  Il</w:t>
      </w:r>
      <w:r w:rsidR="00FB6B38" w:rsidRPr="003A723D">
        <w:rPr>
          <w:rFonts w:ascii="Arial" w:hAnsi="Arial" w:cs="Arial"/>
          <w:sz w:val="22"/>
          <w:szCs w:val="22"/>
          <w:lang w:val="fr-FR"/>
        </w:rPr>
        <w:t xml:space="preserve"> s</w:t>
      </w:r>
      <w:r w:rsidR="005C5419" w:rsidRPr="003A723D">
        <w:rPr>
          <w:rFonts w:ascii="Arial" w:hAnsi="Arial" w:cs="Arial"/>
          <w:sz w:val="22"/>
          <w:szCs w:val="22"/>
          <w:lang w:val="fr-FR"/>
        </w:rPr>
        <w:t>’</w:t>
      </w:r>
      <w:r w:rsidR="00FB6B38" w:rsidRPr="003A723D">
        <w:rPr>
          <w:rFonts w:ascii="Arial" w:hAnsi="Arial" w:cs="Arial"/>
          <w:sz w:val="22"/>
          <w:szCs w:val="22"/>
          <w:lang w:val="fr-FR"/>
        </w:rPr>
        <w:t>efforce aussi d</w:t>
      </w:r>
      <w:r w:rsidR="005C5419" w:rsidRPr="003A723D">
        <w:rPr>
          <w:rFonts w:ascii="Arial" w:hAnsi="Arial" w:cs="Arial"/>
          <w:sz w:val="22"/>
          <w:szCs w:val="22"/>
          <w:lang w:val="fr-FR"/>
        </w:rPr>
        <w:t>’</w:t>
      </w:r>
      <w:r w:rsidR="00FB6B38" w:rsidRPr="003A723D">
        <w:rPr>
          <w:rFonts w:ascii="Arial" w:hAnsi="Arial" w:cs="Arial"/>
          <w:sz w:val="22"/>
          <w:szCs w:val="22"/>
          <w:lang w:val="fr-FR"/>
        </w:rPr>
        <w:t>intégrer les deux</w:t>
      </w:r>
      <w:r w:rsidR="00DF5D9B" w:rsidRPr="003A723D">
        <w:rPr>
          <w:rFonts w:ascii="Arial" w:hAnsi="Arial" w:cs="Arial"/>
          <w:sz w:val="22"/>
          <w:szCs w:val="22"/>
          <w:lang w:val="fr-FR"/>
        </w:rPr>
        <w:t> </w:t>
      </w:r>
      <w:r w:rsidR="00FB6B38" w:rsidRPr="003A723D">
        <w:rPr>
          <w:rFonts w:ascii="Arial" w:hAnsi="Arial" w:cs="Arial"/>
          <w:sz w:val="22"/>
          <w:szCs w:val="22"/>
          <w:lang w:val="fr-FR"/>
        </w:rPr>
        <w:t>principaux mécanismes proposés par les États membres aux fins de la réalisation du mandat de l</w:t>
      </w:r>
      <w:r w:rsidR="005C5419" w:rsidRPr="003A723D">
        <w:rPr>
          <w:rFonts w:ascii="Arial" w:hAnsi="Arial" w:cs="Arial"/>
          <w:sz w:val="22"/>
          <w:szCs w:val="22"/>
          <w:lang w:val="fr-FR"/>
        </w:rPr>
        <w:t>’</w:t>
      </w:r>
      <w:r w:rsidR="00FB6B38" w:rsidRPr="003A723D">
        <w:rPr>
          <w:rFonts w:ascii="Arial" w:hAnsi="Arial" w:cs="Arial"/>
          <w:sz w:val="22"/>
          <w:szCs w:val="22"/>
          <w:lang w:val="fr-FR"/>
        </w:rPr>
        <w:t>IGC en ce qui concerne les ressources génétiques</w:t>
      </w:r>
      <w:r w:rsidR="005C5419" w:rsidRPr="003A723D">
        <w:rPr>
          <w:rFonts w:ascii="Arial" w:hAnsi="Arial" w:cs="Arial"/>
          <w:sz w:val="22"/>
          <w:szCs w:val="22"/>
          <w:lang w:val="fr-FR"/>
        </w:rPr>
        <w:t> :</w:t>
      </w:r>
      <w:r w:rsidR="00FB6B38" w:rsidRPr="003A723D">
        <w:rPr>
          <w:rFonts w:ascii="Arial" w:hAnsi="Arial" w:cs="Arial"/>
          <w:sz w:val="22"/>
          <w:szCs w:val="22"/>
          <w:lang w:val="fr-FR"/>
        </w:rPr>
        <w:t xml:space="preserve"> un régime de divulgation </w:t>
      </w:r>
      <w:r w:rsidR="007223B9" w:rsidRPr="003A723D">
        <w:rPr>
          <w:rFonts w:ascii="Arial" w:hAnsi="Arial" w:cs="Arial"/>
          <w:sz w:val="22"/>
          <w:szCs w:val="22"/>
          <w:lang w:val="fr-FR"/>
        </w:rPr>
        <w:t xml:space="preserve">obligatoire </w:t>
      </w:r>
      <w:r w:rsidR="00FB6B38" w:rsidRPr="003A723D">
        <w:rPr>
          <w:rFonts w:ascii="Arial" w:hAnsi="Arial" w:cs="Arial"/>
          <w:sz w:val="22"/>
          <w:szCs w:val="22"/>
          <w:lang w:val="fr-FR"/>
        </w:rPr>
        <w:t>et des initiatives relatives aux systèmes d</w:t>
      </w:r>
      <w:r w:rsidR="005C5419" w:rsidRPr="003A723D">
        <w:rPr>
          <w:rFonts w:ascii="Arial" w:hAnsi="Arial" w:cs="Arial"/>
          <w:sz w:val="22"/>
          <w:szCs w:val="22"/>
          <w:lang w:val="fr-FR"/>
        </w:rPr>
        <w:t>’</w:t>
      </w:r>
      <w:r w:rsidR="00FB6B38" w:rsidRPr="003A723D">
        <w:rPr>
          <w:rFonts w:ascii="Arial" w:hAnsi="Arial" w:cs="Arial"/>
          <w:sz w:val="22"/>
          <w:szCs w:val="22"/>
          <w:lang w:val="fr-FR"/>
        </w:rPr>
        <w:t>information</w:t>
      </w:r>
      <w:r w:rsidR="007223B9" w:rsidRPr="003A723D">
        <w:rPr>
          <w:rFonts w:ascii="Arial" w:hAnsi="Arial" w:cs="Arial"/>
          <w:sz w:val="22"/>
          <w:szCs w:val="22"/>
          <w:lang w:val="fr-FR"/>
        </w:rPr>
        <w:t xml:space="preserve"> pour faciliter les recherches sur l</w:t>
      </w:r>
      <w:r w:rsidR="005C5419" w:rsidRPr="003A723D">
        <w:rPr>
          <w:rFonts w:ascii="Arial" w:hAnsi="Arial" w:cs="Arial"/>
          <w:sz w:val="22"/>
          <w:szCs w:val="22"/>
          <w:lang w:val="fr-FR"/>
        </w:rPr>
        <w:t>’</w:t>
      </w:r>
      <w:r w:rsidR="007223B9" w:rsidRPr="003A723D">
        <w:rPr>
          <w:rFonts w:ascii="Arial" w:hAnsi="Arial" w:cs="Arial"/>
          <w:sz w:val="22"/>
          <w:szCs w:val="22"/>
          <w:lang w:val="fr-FR"/>
        </w:rPr>
        <w:t>état de la technique</w:t>
      </w:r>
      <w:r w:rsidR="00D7428A" w:rsidRPr="003A723D">
        <w:rPr>
          <w:rFonts w:ascii="Arial" w:hAnsi="Arial" w:cs="Arial"/>
          <w:sz w:val="22"/>
          <w:szCs w:val="22"/>
          <w:lang w:val="fr-FR"/>
        </w:rPr>
        <w:t>.</w:t>
      </w:r>
    </w:p>
    <w:p w14:paraId="3F7425B6" w14:textId="77777777" w:rsidR="00082637" w:rsidRPr="003A723D" w:rsidRDefault="00082637" w:rsidP="00D7428A">
      <w:pPr>
        <w:rPr>
          <w:rFonts w:ascii="Arial" w:hAnsi="Arial" w:cs="Arial"/>
          <w:sz w:val="22"/>
          <w:szCs w:val="22"/>
          <w:lang w:val="fr-FR"/>
        </w:rPr>
      </w:pPr>
    </w:p>
    <w:p w14:paraId="76F392A1" w14:textId="586A0DC7" w:rsidR="002F0E09" w:rsidRPr="003A723D" w:rsidRDefault="00A23C5E" w:rsidP="00FE26A2">
      <w:pPr>
        <w:tabs>
          <w:tab w:val="left" w:pos="567"/>
        </w:tabs>
        <w:rPr>
          <w:rFonts w:ascii="Arial" w:hAnsi="Arial" w:cs="Arial"/>
          <w:sz w:val="22"/>
          <w:szCs w:val="22"/>
          <w:lang w:val="fr-FR"/>
        </w:rPr>
      </w:pPr>
      <w:r w:rsidRPr="003A723D">
        <w:rPr>
          <w:rFonts w:ascii="Arial" w:hAnsi="Arial" w:cs="Arial"/>
          <w:sz w:val="22"/>
          <w:szCs w:val="22"/>
          <w:lang w:val="fr-FR"/>
        </w:rPr>
        <w:t>7.</w:t>
      </w:r>
      <w:r w:rsidRPr="003A723D">
        <w:rPr>
          <w:rFonts w:ascii="Arial" w:hAnsi="Arial" w:cs="Arial"/>
          <w:sz w:val="22"/>
          <w:szCs w:val="22"/>
          <w:lang w:val="fr-FR"/>
        </w:rPr>
        <w:tab/>
      </w:r>
      <w:r w:rsidR="003C6945" w:rsidRPr="003A723D">
        <w:rPr>
          <w:rFonts w:ascii="Arial" w:hAnsi="Arial" w:cs="Arial"/>
          <w:sz w:val="22"/>
          <w:szCs w:val="22"/>
          <w:lang w:val="fr-FR"/>
        </w:rPr>
        <w:t xml:space="preserve">Je suis </w:t>
      </w:r>
      <w:r w:rsidR="00082637" w:rsidRPr="003A723D">
        <w:rPr>
          <w:rFonts w:ascii="Arial" w:hAnsi="Arial" w:cs="Arial"/>
          <w:sz w:val="22"/>
          <w:szCs w:val="22"/>
          <w:lang w:val="fr-FR"/>
        </w:rPr>
        <w:t>aussi</w:t>
      </w:r>
      <w:r w:rsidR="003C6945" w:rsidRPr="003A723D">
        <w:rPr>
          <w:rFonts w:ascii="Arial" w:hAnsi="Arial" w:cs="Arial"/>
          <w:sz w:val="22"/>
          <w:szCs w:val="22"/>
          <w:lang w:val="fr-FR"/>
        </w:rPr>
        <w:t xml:space="preserve"> convaincu qu</w:t>
      </w:r>
      <w:r w:rsidR="005C5419" w:rsidRPr="003A723D">
        <w:rPr>
          <w:rFonts w:ascii="Arial" w:hAnsi="Arial" w:cs="Arial"/>
          <w:sz w:val="22"/>
          <w:szCs w:val="22"/>
          <w:lang w:val="fr-FR"/>
        </w:rPr>
        <w:t>’</w:t>
      </w:r>
      <w:r w:rsidR="003C6945" w:rsidRPr="003A723D">
        <w:rPr>
          <w:rFonts w:ascii="Arial" w:hAnsi="Arial" w:cs="Arial"/>
          <w:sz w:val="22"/>
          <w:szCs w:val="22"/>
          <w:lang w:val="fr-FR"/>
        </w:rPr>
        <w:t xml:space="preserve">une </w:t>
      </w:r>
      <w:r w:rsidR="003C6945" w:rsidRPr="003A723D">
        <w:rPr>
          <w:rFonts w:ascii="Arial" w:hAnsi="Arial" w:cs="Arial"/>
          <w:b/>
          <w:sz w:val="22"/>
          <w:szCs w:val="22"/>
          <w:lang w:val="fr-FR"/>
        </w:rPr>
        <w:t>meilleure compréhension des modalités d</w:t>
      </w:r>
      <w:r w:rsidR="005C5419" w:rsidRPr="003A723D">
        <w:rPr>
          <w:rFonts w:ascii="Arial" w:hAnsi="Arial" w:cs="Arial"/>
          <w:b/>
          <w:sz w:val="22"/>
          <w:szCs w:val="22"/>
          <w:lang w:val="fr-FR"/>
        </w:rPr>
        <w:t>’</w:t>
      </w:r>
      <w:r w:rsidR="003C6945" w:rsidRPr="003A723D">
        <w:rPr>
          <w:rFonts w:ascii="Arial" w:hAnsi="Arial" w:cs="Arial"/>
          <w:b/>
          <w:sz w:val="22"/>
          <w:szCs w:val="22"/>
          <w:lang w:val="fr-FR"/>
        </w:rPr>
        <w:t>une exigence de divulgation à l</w:t>
      </w:r>
      <w:r w:rsidR="005C5419" w:rsidRPr="003A723D">
        <w:rPr>
          <w:rFonts w:ascii="Arial" w:hAnsi="Arial" w:cs="Arial"/>
          <w:b/>
          <w:sz w:val="22"/>
          <w:szCs w:val="22"/>
          <w:lang w:val="fr-FR"/>
        </w:rPr>
        <w:t>’</w:t>
      </w:r>
      <w:r w:rsidR="003C6945" w:rsidRPr="003A723D">
        <w:rPr>
          <w:rFonts w:ascii="Arial" w:hAnsi="Arial" w:cs="Arial"/>
          <w:b/>
          <w:sz w:val="22"/>
          <w:szCs w:val="22"/>
          <w:lang w:val="fr-FR"/>
        </w:rPr>
        <w:t>échelon international permettrait aux décideurs de prendre des décisions en connaissance de cause concernant les coûts, les risques et les avantages d</w:t>
      </w:r>
      <w:r w:rsidR="005C5419" w:rsidRPr="003A723D">
        <w:rPr>
          <w:rFonts w:ascii="Arial" w:hAnsi="Arial" w:cs="Arial"/>
          <w:b/>
          <w:sz w:val="22"/>
          <w:szCs w:val="22"/>
          <w:lang w:val="fr-FR"/>
        </w:rPr>
        <w:t>’</w:t>
      </w:r>
      <w:r w:rsidR="003C6945" w:rsidRPr="003A723D">
        <w:rPr>
          <w:rFonts w:ascii="Arial" w:hAnsi="Arial" w:cs="Arial"/>
          <w:b/>
          <w:sz w:val="22"/>
          <w:szCs w:val="22"/>
          <w:lang w:val="fr-FR"/>
        </w:rPr>
        <w:t>une exigence de divulgation</w:t>
      </w:r>
      <w:r w:rsidR="00D7428A" w:rsidRPr="003A723D">
        <w:rPr>
          <w:rFonts w:ascii="Arial" w:hAnsi="Arial" w:cs="Arial"/>
          <w:b/>
          <w:sz w:val="22"/>
          <w:szCs w:val="22"/>
          <w:lang w:val="fr-FR"/>
        </w:rPr>
        <w:t>.</w:t>
      </w:r>
    </w:p>
    <w:p w14:paraId="4813A372" w14:textId="46564721" w:rsidR="00082637" w:rsidRPr="003A723D" w:rsidRDefault="00082637" w:rsidP="00D7428A">
      <w:pPr>
        <w:rPr>
          <w:rFonts w:ascii="Arial" w:hAnsi="Arial" w:cs="Arial"/>
          <w:sz w:val="22"/>
          <w:szCs w:val="22"/>
          <w:lang w:val="fr-FR"/>
        </w:rPr>
      </w:pPr>
    </w:p>
    <w:p w14:paraId="1E35539A" w14:textId="3A9B4824" w:rsidR="002F0E09" w:rsidRPr="003A723D" w:rsidRDefault="00F91161" w:rsidP="00FE26A2">
      <w:pPr>
        <w:tabs>
          <w:tab w:val="left" w:pos="567"/>
        </w:tabs>
        <w:rPr>
          <w:rFonts w:ascii="Arial" w:hAnsi="Arial" w:cs="Arial"/>
          <w:sz w:val="22"/>
          <w:szCs w:val="22"/>
          <w:lang w:val="fr-FR"/>
        </w:rPr>
      </w:pPr>
      <w:r w:rsidRPr="003A723D">
        <w:rPr>
          <w:rFonts w:ascii="Arial" w:hAnsi="Arial" w:cs="Arial"/>
          <w:sz w:val="22"/>
          <w:szCs w:val="22"/>
          <w:lang w:val="fr-FR"/>
        </w:rPr>
        <w:t>8.</w:t>
      </w:r>
      <w:r w:rsidRPr="003A723D">
        <w:rPr>
          <w:rFonts w:ascii="Arial" w:hAnsi="Arial" w:cs="Arial"/>
          <w:sz w:val="22"/>
          <w:szCs w:val="22"/>
          <w:lang w:val="fr-FR"/>
        </w:rPr>
        <w:tab/>
      </w:r>
      <w:r w:rsidR="00082637" w:rsidRPr="003A723D">
        <w:rPr>
          <w:rFonts w:ascii="Arial" w:hAnsi="Arial" w:cs="Arial"/>
          <w:sz w:val="22"/>
          <w:szCs w:val="22"/>
          <w:lang w:val="fr-FR"/>
        </w:rPr>
        <w:t xml:space="preserve">En outre, les États membres doivent avoir une meilleure compréhension des questions techniques et pratiques </w:t>
      </w:r>
      <w:r w:rsidR="00082637" w:rsidRPr="003A723D">
        <w:rPr>
          <w:rFonts w:ascii="Arial" w:hAnsi="Arial" w:cs="Arial"/>
          <w:color w:val="000000"/>
          <w:sz w:val="22"/>
          <w:szCs w:val="22"/>
          <w:lang w:val="fr-FR"/>
        </w:rPr>
        <w:t xml:space="preserve">relatives </w:t>
      </w:r>
      <w:r w:rsidR="00082637" w:rsidRPr="003A723D">
        <w:rPr>
          <w:rFonts w:ascii="Arial" w:hAnsi="Arial" w:cs="Arial"/>
          <w:sz w:val="22"/>
          <w:szCs w:val="22"/>
          <w:lang w:val="fr-FR"/>
        </w:rPr>
        <w:t>à la mise en place et au fonctionnement des systèmes d</w:t>
      </w:r>
      <w:r w:rsidR="005C5419" w:rsidRPr="003A723D">
        <w:rPr>
          <w:rFonts w:ascii="Arial" w:hAnsi="Arial" w:cs="Arial"/>
          <w:sz w:val="22"/>
          <w:szCs w:val="22"/>
          <w:lang w:val="fr-FR"/>
        </w:rPr>
        <w:t>’</w:t>
      </w:r>
      <w:r w:rsidR="00082637" w:rsidRPr="003A723D">
        <w:rPr>
          <w:rFonts w:ascii="Arial" w:hAnsi="Arial" w:cs="Arial"/>
          <w:sz w:val="22"/>
          <w:szCs w:val="22"/>
          <w:lang w:val="fr-FR"/>
        </w:rPr>
        <w:t>information et des différents types de mécanismes de diligence raisonnable.</w:t>
      </w:r>
    </w:p>
    <w:p w14:paraId="3DF89C2F" w14:textId="794D1BED" w:rsidR="00082637" w:rsidRPr="003A723D" w:rsidRDefault="00082637" w:rsidP="00D7428A">
      <w:pPr>
        <w:rPr>
          <w:rFonts w:ascii="Arial" w:hAnsi="Arial" w:cs="Arial"/>
          <w:sz w:val="22"/>
          <w:szCs w:val="22"/>
          <w:lang w:val="fr-FR"/>
        </w:rPr>
      </w:pPr>
    </w:p>
    <w:p w14:paraId="798116A1" w14:textId="07D882DF" w:rsidR="00082637" w:rsidRPr="003A723D" w:rsidRDefault="00082637" w:rsidP="00FE26A2">
      <w:pPr>
        <w:tabs>
          <w:tab w:val="left" w:pos="567"/>
        </w:tabs>
        <w:rPr>
          <w:rFonts w:ascii="Arial" w:hAnsi="Arial" w:cs="Arial"/>
          <w:sz w:val="22"/>
          <w:szCs w:val="22"/>
          <w:lang w:val="fr-FR"/>
        </w:rPr>
      </w:pPr>
      <w:r w:rsidRPr="003A723D">
        <w:rPr>
          <w:rFonts w:ascii="Arial" w:hAnsi="Arial" w:cs="Arial"/>
          <w:color w:val="000000"/>
          <w:sz w:val="22"/>
          <w:szCs w:val="22"/>
          <w:lang w:val="fr-FR"/>
        </w:rPr>
        <w:t>9.</w:t>
      </w:r>
      <w:r w:rsidRPr="003A723D">
        <w:rPr>
          <w:rFonts w:ascii="Arial" w:hAnsi="Arial" w:cs="Arial"/>
          <w:color w:val="000000"/>
          <w:sz w:val="22"/>
          <w:szCs w:val="22"/>
          <w:lang w:val="fr-FR"/>
        </w:rPr>
        <w:tab/>
        <w:t>Dans le cadre de l</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élaboration du présent texte,</w:t>
      </w:r>
    </w:p>
    <w:p w14:paraId="684E18FE" w14:textId="77777777" w:rsidR="00082637" w:rsidRPr="003A723D" w:rsidRDefault="00082637" w:rsidP="00D7428A">
      <w:pPr>
        <w:rPr>
          <w:rFonts w:ascii="Arial" w:hAnsi="Arial" w:cs="Arial"/>
          <w:sz w:val="22"/>
          <w:szCs w:val="22"/>
          <w:lang w:val="fr-FR"/>
        </w:rPr>
      </w:pPr>
    </w:p>
    <w:p w14:paraId="05FDC308" w14:textId="031C0981" w:rsidR="00082637" w:rsidRPr="003A723D" w:rsidRDefault="00733CA3" w:rsidP="00FE26A2">
      <w:pPr>
        <w:pStyle w:val="ListParagraph"/>
        <w:numPr>
          <w:ilvl w:val="0"/>
          <w:numId w:val="24"/>
        </w:numPr>
        <w:ind w:left="1134" w:hanging="567"/>
        <w:rPr>
          <w:rFonts w:ascii="Arial" w:hAnsi="Arial" w:cs="Arial"/>
          <w:sz w:val="22"/>
          <w:szCs w:val="22"/>
          <w:lang w:val="fr-FR"/>
        </w:rPr>
      </w:pPr>
      <w:r w:rsidRPr="003A723D">
        <w:rPr>
          <w:rFonts w:ascii="Arial" w:hAnsi="Arial" w:cs="Arial"/>
          <w:color w:val="000000"/>
          <w:sz w:val="22"/>
          <w:szCs w:val="22"/>
          <w:lang w:val="fr-FR"/>
        </w:rPr>
        <w:t>j</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ai examiné la documentation existante de l</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IGC</w:t>
      </w:r>
      <w:r w:rsidRPr="003A723D">
        <w:rPr>
          <w:rStyle w:val="FootnoteReference"/>
          <w:rFonts w:ascii="Arial" w:hAnsi="Arial" w:cs="Arial"/>
          <w:color w:val="000000"/>
          <w:sz w:val="22"/>
          <w:szCs w:val="22"/>
          <w:lang w:val="fr-FR"/>
        </w:rPr>
        <w:footnoteReference w:id="3"/>
      </w:r>
      <w:r w:rsidRPr="003A723D">
        <w:rPr>
          <w:rFonts w:ascii="Arial" w:hAnsi="Arial" w:cs="Arial"/>
          <w:color w:val="000000"/>
          <w:sz w:val="22"/>
          <w:szCs w:val="22"/>
          <w:lang w:val="fr-FR"/>
        </w:rPr>
        <w:t xml:space="preserve"> ainsi que la publication intitulée </w:t>
      </w:r>
      <w:r w:rsidRPr="003A723D">
        <w:rPr>
          <w:rFonts w:ascii="Arial" w:hAnsi="Arial" w:cs="Arial"/>
          <w:i/>
          <w:color w:val="000000"/>
          <w:sz w:val="22"/>
          <w:szCs w:val="22"/>
          <w:lang w:val="fr-FR"/>
        </w:rPr>
        <w:t xml:space="preserve">Key Questions on Patent </w:t>
      </w:r>
      <w:proofErr w:type="spellStart"/>
      <w:r w:rsidRPr="003A723D">
        <w:rPr>
          <w:rFonts w:ascii="Arial" w:hAnsi="Arial" w:cs="Arial"/>
          <w:i/>
          <w:color w:val="000000"/>
          <w:sz w:val="22"/>
          <w:szCs w:val="22"/>
          <w:lang w:val="fr-FR"/>
        </w:rPr>
        <w:t>Disclosure</w:t>
      </w:r>
      <w:proofErr w:type="spellEnd"/>
      <w:r w:rsidRPr="003A723D">
        <w:rPr>
          <w:rFonts w:ascii="Arial" w:hAnsi="Arial" w:cs="Arial"/>
          <w:i/>
          <w:color w:val="000000"/>
          <w:sz w:val="22"/>
          <w:szCs w:val="22"/>
          <w:lang w:val="fr-FR"/>
        </w:rPr>
        <w:t xml:space="preserve"> </w:t>
      </w:r>
      <w:proofErr w:type="spellStart"/>
      <w:r w:rsidRPr="003A723D">
        <w:rPr>
          <w:rFonts w:ascii="Arial" w:hAnsi="Arial" w:cs="Arial"/>
          <w:i/>
          <w:color w:val="000000"/>
          <w:sz w:val="22"/>
          <w:szCs w:val="22"/>
          <w:lang w:val="fr-FR"/>
        </w:rPr>
        <w:t>Requirements</w:t>
      </w:r>
      <w:proofErr w:type="spellEnd"/>
      <w:r w:rsidRPr="003A723D">
        <w:rPr>
          <w:rFonts w:ascii="Arial" w:hAnsi="Arial" w:cs="Arial"/>
          <w:i/>
          <w:color w:val="000000"/>
          <w:sz w:val="22"/>
          <w:szCs w:val="22"/>
          <w:lang w:val="fr-FR"/>
        </w:rPr>
        <w:t xml:space="preserve"> for </w:t>
      </w:r>
      <w:proofErr w:type="spellStart"/>
      <w:r w:rsidRPr="003A723D">
        <w:rPr>
          <w:rFonts w:ascii="Arial" w:hAnsi="Arial" w:cs="Arial"/>
          <w:i/>
          <w:color w:val="000000"/>
          <w:sz w:val="22"/>
          <w:szCs w:val="22"/>
          <w:lang w:val="fr-FR"/>
        </w:rPr>
        <w:t>Genetic</w:t>
      </w:r>
      <w:proofErr w:type="spellEnd"/>
      <w:r w:rsidRPr="003A723D">
        <w:rPr>
          <w:rFonts w:ascii="Arial" w:hAnsi="Arial" w:cs="Arial"/>
          <w:i/>
          <w:color w:val="000000"/>
          <w:sz w:val="22"/>
          <w:szCs w:val="22"/>
          <w:lang w:val="fr-FR"/>
        </w:rPr>
        <w:t xml:space="preserve"> </w:t>
      </w:r>
      <w:proofErr w:type="spellStart"/>
      <w:r w:rsidRPr="003A723D">
        <w:rPr>
          <w:rFonts w:ascii="Arial" w:hAnsi="Arial" w:cs="Arial"/>
          <w:i/>
          <w:color w:val="000000"/>
          <w:sz w:val="22"/>
          <w:szCs w:val="22"/>
          <w:lang w:val="fr-FR"/>
        </w:rPr>
        <w:t>Resources</w:t>
      </w:r>
      <w:proofErr w:type="spellEnd"/>
      <w:r w:rsidRPr="003A723D">
        <w:rPr>
          <w:rFonts w:ascii="Arial" w:hAnsi="Arial" w:cs="Arial"/>
          <w:i/>
          <w:color w:val="000000"/>
          <w:sz w:val="22"/>
          <w:szCs w:val="22"/>
          <w:lang w:val="fr-FR"/>
        </w:rPr>
        <w:t xml:space="preserve"> and </w:t>
      </w:r>
      <w:proofErr w:type="spellStart"/>
      <w:r w:rsidRPr="003A723D">
        <w:rPr>
          <w:rFonts w:ascii="Arial" w:hAnsi="Arial" w:cs="Arial"/>
          <w:i/>
          <w:color w:val="000000"/>
          <w:sz w:val="22"/>
          <w:szCs w:val="22"/>
          <w:lang w:val="fr-FR"/>
        </w:rPr>
        <w:t>Traditional</w:t>
      </w:r>
      <w:proofErr w:type="spellEnd"/>
      <w:r w:rsidRPr="003A723D">
        <w:rPr>
          <w:rFonts w:ascii="Arial" w:hAnsi="Arial" w:cs="Arial"/>
          <w:i/>
          <w:color w:val="000000"/>
          <w:sz w:val="22"/>
          <w:szCs w:val="22"/>
          <w:lang w:val="fr-FR"/>
        </w:rPr>
        <w:t xml:space="preserve"> </w:t>
      </w:r>
      <w:proofErr w:type="spellStart"/>
      <w:r w:rsidRPr="003A723D">
        <w:rPr>
          <w:rFonts w:ascii="Arial" w:hAnsi="Arial" w:cs="Arial"/>
          <w:i/>
          <w:color w:val="000000"/>
          <w:sz w:val="22"/>
          <w:szCs w:val="22"/>
          <w:lang w:val="fr-FR"/>
        </w:rPr>
        <w:t>Knowledge</w:t>
      </w:r>
      <w:proofErr w:type="spellEnd"/>
      <w:r w:rsidRPr="003A723D">
        <w:rPr>
          <w:rFonts w:ascii="Arial" w:hAnsi="Arial" w:cs="Arial"/>
          <w:color w:val="000000"/>
          <w:sz w:val="22"/>
          <w:szCs w:val="22"/>
          <w:lang w:val="fr-FR"/>
        </w:rPr>
        <w:t xml:space="preserve"> (Questions essentielles sur les exigences de divulgation des ressources génétiques et des savoirs traditionnels dans les demandes de brevet) du Secrétariat de l</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OMPI;</w:t>
      </w:r>
    </w:p>
    <w:p w14:paraId="08A0F45D" w14:textId="31A060BD" w:rsidR="00082637" w:rsidRPr="003A723D" w:rsidRDefault="00733CA3" w:rsidP="00FE26A2">
      <w:pPr>
        <w:pStyle w:val="ListParagraph"/>
        <w:numPr>
          <w:ilvl w:val="0"/>
          <w:numId w:val="24"/>
        </w:numPr>
        <w:ind w:left="1134" w:hanging="567"/>
        <w:rPr>
          <w:rFonts w:ascii="Arial" w:hAnsi="Arial" w:cs="Arial"/>
          <w:sz w:val="22"/>
          <w:szCs w:val="22"/>
          <w:lang w:val="fr-FR"/>
        </w:rPr>
      </w:pPr>
      <w:proofErr w:type="gramStart"/>
      <w:r w:rsidRPr="003A723D">
        <w:rPr>
          <w:rFonts w:ascii="Arial" w:hAnsi="Arial" w:cs="Arial"/>
          <w:color w:val="000000"/>
          <w:sz w:val="22"/>
          <w:szCs w:val="22"/>
          <w:lang w:val="fr-FR"/>
        </w:rPr>
        <w:t>j</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ai</w:t>
      </w:r>
      <w:proofErr w:type="gramEnd"/>
      <w:r w:rsidRPr="003A723D">
        <w:rPr>
          <w:rFonts w:ascii="Arial" w:hAnsi="Arial" w:cs="Arial"/>
          <w:sz w:val="22"/>
          <w:szCs w:val="22"/>
          <w:lang w:val="fr-FR"/>
        </w:rPr>
        <w:t xml:space="preserve"> tenté d</w:t>
      </w:r>
      <w:r w:rsidR="005C5419" w:rsidRPr="003A723D">
        <w:rPr>
          <w:rFonts w:ascii="Arial" w:hAnsi="Arial" w:cs="Arial"/>
          <w:sz w:val="22"/>
          <w:szCs w:val="22"/>
          <w:lang w:val="fr-FR"/>
        </w:rPr>
        <w:t>’</w:t>
      </w:r>
      <w:r w:rsidRPr="003A723D">
        <w:rPr>
          <w:rFonts w:ascii="Arial" w:hAnsi="Arial" w:cs="Arial"/>
          <w:sz w:val="22"/>
          <w:szCs w:val="22"/>
          <w:lang w:val="fr-FR"/>
        </w:rPr>
        <w:t xml:space="preserve">aborder les principaux risques </w:t>
      </w:r>
      <w:r w:rsidRPr="003A723D">
        <w:rPr>
          <w:rFonts w:ascii="Arial" w:hAnsi="Arial" w:cs="Arial"/>
          <w:color w:val="000000"/>
          <w:sz w:val="22"/>
          <w:szCs w:val="22"/>
          <w:lang w:val="fr-FR"/>
        </w:rPr>
        <w:t xml:space="preserve">recensés </w:t>
      </w:r>
      <w:r w:rsidRPr="003A723D">
        <w:rPr>
          <w:rFonts w:ascii="Arial" w:hAnsi="Arial" w:cs="Arial"/>
          <w:sz w:val="22"/>
          <w:szCs w:val="22"/>
          <w:lang w:val="fr-FR"/>
        </w:rPr>
        <w:t xml:space="preserve">par les utilisateurs, </w:t>
      </w:r>
      <w:r w:rsidRPr="003A723D">
        <w:rPr>
          <w:rFonts w:ascii="Arial" w:hAnsi="Arial" w:cs="Arial"/>
          <w:color w:val="000000"/>
          <w:sz w:val="22"/>
          <w:szCs w:val="22"/>
          <w:lang w:val="fr-FR"/>
        </w:rPr>
        <w:t>notamment en ce qui concerne</w:t>
      </w:r>
      <w:r w:rsidRPr="003A723D">
        <w:rPr>
          <w:rFonts w:ascii="Arial" w:hAnsi="Arial" w:cs="Arial"/>
          <w:sz w:val="22"/>
          <w:szCs w:val="22"/>
          <w:lang w:val="fr-FR"/>
        </w:rPr>
        <w:t xml:space="preserve"> la sécurité juridique, </w:t>
      </w:r>
      <w:r w:rsidRPr="003A723D">
        <w:rPr>
          <w:rFonts w:ascii="Arial" w:hAnsi="Arial" w:cs="Arial"/>
          <w:color w:val="000000"/>
          <w:sz w:val="22"/>
          <w:szCs w:val="22"/>
          <w:lang w:val="fr-FR"/>
        </w:rPr>
        <w:t>l</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accès aux ressources génétiques et aux savoirs traditionnels qui y sont associés, et les</w:t>
      </w:r>
      <w:r w:rsidRPr="003A723D">
        <w:rPr>
          <w:rFonts w:ascii="Arial" w:hAnsi="Arial" w:cs="Arial"/>
          <w:sz w:val="22"/>
          <w:szCs w:val="22"/>
          <w:lang w:val="fr-FR"/>
        </w:rPr>
        <w:t xml:space="preserve"> coûts et charges transactionnels; </w:t>
      </w:r>
      <w:r w:rsidRPr="003A723D">
        <w:rPr>
          <w:rFonts w:ascii="Arial" w:hAnsi="Arial"/>
          <w:sz w:val="22"/>
          <w:lang w:val="fr-FR"/>
        </w:rPr>
        <w:t xml:space="preserve"> </w:t>
      </w:r>
      <w:r w:rsidRPr="003A723D">
        <w:rPr>
          <w:rFonts w:ascii="Arial" w:hAnsi="Arial" w:cs="Arial"/>
          <w:sz w:val="22"/>
          <w:szCs w:val="22"/>
          <w:lang w:val="fr-FR"/>
        </w:rPr>
        <w:t>et</w:t>
      </w:r>
    </w:p>
    <w:p w14:paraId="4CC254C4" w14:textId="44BFC1F4" w:rsidR="002F0E09" w:rsidRPr="003A723D" w:rsidRDefault="009965B2" w:rsidP="00FE26A2">
      <w:pPr>
        <w:pStyle w:val="ListParagraph"/>
        <w:numPr>
          <w:ilvl w:val="0"/>
          <w:numId w:val="24"/>
        </w:numPr>
        <w:ind w:left="1134" w:hanging="567"/>
        <w:rPr>
          <w:rFonts w:ascii="Arial" w:hAnsi="Arial" w:cs="Arial"/>
          <w:sz w:val="22"/>
          <w:szCs w:val="22"/>
          <w:lang w:val="fr-FR"/>
        </w:rPr>
      </w:pPr>
      <w:proofErr w:type="gramStart"/>
      <w:r w:rsidRPr="003A723D">
        <w:rPr>
          <w:rFonts w:ascii="Arial" w:hAnsi="Arial" w:cs="Arial"/>
          <w:color w:val="000000"/>
          <w:sz w:val="22"/>
          <w:szCs w:val="22"/>
          <w:lang w:val="fr-FR"/>
        </w:rPr>
        <w:t>j</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ai</w:t>
      </w:r>
      <w:proofErr w:type="gramEnd"/>
      <w:r w:rsidRPr="003A723D">
        <w:rPr>
          <w:rFonts w:ascii="Arial" w:hAnsi="Arial" w:cs="Arial"/>
          <w:color w:val="000000"/>
          <w:sz w:val="22"/>
          <w:szCs w:val="22"/>
          <w:lang w:val="fr-FR"/>
        </w:rPr>
        <w:t xml:space="preserve"> tenu compte du souhait de laisser</w:t>
      </w:r>
      <w:r w:rsidR="00E45DBA" w:rsidRPr="003A723D">
        <w:rPr>
          <w:rFonts w:ascii="Arial" w:hAnsi="Arial" w:cs="Arial"/>
          <w:sz w:val="22"/>
          <w:szCs w:val="22"/>
          <w:lang w:val="fr-FR"/>
        </w:rPr>
        <w:t xml:space="preserve"> une certaine marge de manœuvre aux États membres qui ont déjà mis en place des régimes de divulgation, pour autant que cette marge de manœuvre ne compromette pas les avantages d</w:t>
      </w:r>
      <w:r w:rsidR="005C5419" w:rsidRPr="003A723D">
        <w:rPr>
          <w:rFonts w:ascii="Arial" w:hAnsi="Arial" w:cs="Arial"/>
          <w:sz w:val="22"/>
          <w:szCs w:val="22"/>
          <w:lang w:val="fr-FR"/>
        </w:rPr>
        <w:t>’</w:t>
      </w:r>
      <w:r w:rsidR="00E45DBA" w:rsidRPr="003A723D">
        <w:rPr>
          <w:rFonts w:ascii="Arial" w:hAnsi="Arial" w:cs="Arial"/>
          <w:sz w:val="22"/>
          <w:szCs w:val="22"/>
          <w:lang w:val="fr-FR"/>
        </w:rPr>
        <w:t>u</w:t>
      </w:r>
      <w:r w:rsidR="00E45DBA" w:rsidRPr="003A723D">
        <w:rPr>
          <w:rFonts w:ascii="Arial" w:hAnsi="Arial" w:cs="Arial"/>
          <w:color w:val="000000"/>
          <w:sz w:val="22"/>
          <w:szCs w:val="22"/>
          <w:lang w:val="fr-FR"/>
        </w:rPr>
        <w:t>n ensemble homogène de</w:t>
      </w:r>
      <w:r w:rsidR="00E45DBA" w:rsidRPr="003A723D">
        <w:rPr>
          <w:rFonts w:ascii="Arial" w:hAnsi="Arial" w:cs="Arial"/>
          <w:sz w:val="22"/>
          <w:szCs w:val="22"/>
          <w:lang w:val="fr-FR"/>
        </w:rPr>
        <w:t xml:space="preserve"> normes internationales dans ce domaine.</w:t>
      </w:r>
    </w:p>
    <w:p w14:paraId="67BEBAEC" w14:textId="7ED50233" w:rsidR="00082637" w:rsidRPr="003A723D" w:rsidRDefault="00082637" w:rsidP="00D7428A">
      <w:pPr>
        <w:rPr>
          <w:rFonts w:ascii="Arial" w:hAnsi="Arial" w:cs="Arial"/>
          <w:sz w:val="22"/>
          <w:szCs w:val="22"/>
          <w:lang w:val="fr-FR"/>
        </w:rPr>
      </w:pPr>
    </w:p>
    <w:p w14:paraId="30F39AC5" w14:textId="45EC7E10" w:rsidR="00082637" w:rsidRPr="003A723D" w:rsidRDefault="001A0788" w:rsidP="00FE26A2">
      <w:pPr>
        <w:tabs>
          <w:tab w:val="left" w:pos="567"/>
        </w:tabs>
        <w:rPr>
          <w:rFonts w:ascii="Arial" w:hAnsi="Arial" w:cs="Arial"/>
          <w:color w:val="000000"/>
          <w:sz w:val="22"/>
          <w:szCs w:val="22"/>
          <w:lang w:val="fr-FR"/>
        </w:rPr>
      </w:pPr>
      <w:r w:rsidRPr="003A723D">
        <w:rPr>
          <w:rFonts w:ascii="Arial" w:hAnsi="Arial" w:cs="Arial"/>
          <w:color w:val="000000"/>
          <w:sz w:val="22"/>
          <w:szCs w:val="22"/>
          <w:lang w:val="fr-FR"/>
        </w:rPr>
        <w:t>10.</w:t>
      </w:r>
      <w:r w:rsidRPr="003A723D">
        <w:rPr>
          <w:rFonts w:ascii="Arial" w:hAnsi="Arial" w:cs="Arial"/>
          <w:color w:val="000000"/>
          <w:sz w:val="22"/>
          <w:szCs w:val="22"/>
          <w:lang w:val="fr-FR"/>
        </w:rPr>
        <w:tab/>
      </w:r>
      <w:r w:rsidR="00E45DBA" w:rsidRPr="003A723D">
        <w:rPr>
          <w:rFonts w:ascii="Arial" w:hAnsi="Arial" w:cs="Arial"/>
          <w:color w:val="000000"/>
          <w:sz w:val="22"/>
          <w:szCs w:val="22"/>
          <w:lang w:val="fr-FR"/>
        </w:rPr>
        <w:t>Le texte vise essentiellement à augmenter la transparence par rapport à l</w:t>
      </w:r>
      <w:r w:rsidR="005C5419" w:rsidRPr="003A723D">
        <w:rPr>
          <w:rFonts w:ascii="Arial" w:hAnsi="Arial" w:cs="Arial"/>
          <w:color w:val="000000"/>
          <w:sz w:val="22"/>
          <w:szCs w:val="22"/>
          <w:lang w:val="fr-FR"/>
        </w:rPr>
        <w:t>’</w:t>
      </w:r>
      <w:r w:rsidR="00E45DBA" w:rsidRPr="003A723D">
        <w:rPr>
          <w:rFonts w:ascii="Arial" w:hAnsi="Arial" w:cs="Arial"/>
          <w:color w:val="000000"/>
          <w:sz w:val="22"/>
          <w:szCs w:val="22"/>
          <w:lang w:val="fr-FR"/>
        </w:rPr>
        <w:t xml:space="preserve">utilisation des ressources génétiques et des savoirs traditionnels </w:t>
      </w:r>
      <w:r w:rsidR="00C51670" w:rsidRPr="003A723D">
        <w:rPr>
          <w:rFonts w:ascii="Arial" w:hAnsi="Arial" w:cs="Arial"/>
          <w:color w:val="000000"/>
          <w:sz w:val="22"/>
          <w:szCs w:val="22"/>
          <w:lang w:val="fr-FR"/>
        </w:rPr>
        <w:t>qui y sont associés</w:t>
      </w:r>
      <w:r w:rsidR="00E45DBA" w:rsidRPr="003A723D">
        <w:rPr>
          <w:rFonts w:ascii="Arial" w:hAnsi="Arial" w:cs="Arial"/>
          <w:color w:val="000000"/>
          <w:sz w:val="22"/>
          <w:szCs w:val="22"/>
          <w:lang w:val="fr-FR"/>
        </w:rPr>
        <w:t xml:space="preserve"> au sein du système des brevets, ce qui améliorerait l</w:t>
      </w:r>
      <w:r w:rsidR="005C5419" w:rsidRPr="003A723D">
        <w:rPr>
          <w:rFonts w:ascii="Arial" w:hAnsi="Arial" w:cs="Arial"/>
          <w:color w:val="000000"/>
          <w:sz w:val="22"/>
          <w:szCs w:val="22"/>
          <w:lang w:val="fr-FR"/>
        </w:rPr>
        <w:t>’</w:t>
      </w:r>
      <w:r w:rsidR="00E45DBA" w:rsidRPr="003A723D">
        <w:rPr>
          <w:rFonts w:ascii="Arial" w:hAnsi="Arial" w:cs="Arial"/>
          <w:color w:val="000000"/>
          <w:sz w:val="22"/>
          <w:szCs w:val="22"/>
          <w:lang w:val="fr-FR"/>
        </w:rPr>
        <w:t>efficacité et la qualité de celui</w:t>
      </w:r>
      <w:r w:rsidR="00234797">
        <w:rPr>
          <w:rFonts w:ascii="Arial" w:hAnsi="Arial" w:cs="Arial"/>
          <w:color w:val="000000"/>
          <w:sz w:val="22"/>
          <w:szCs w:val="22"/>
          <w:lang w:val="fr-FR"/>
        </w:rPr>
        <w:noBreakHyphen/>
      </w:r>
      <w:r w:rsidR="00E45DBA" w:rsidRPr="003A723D">
        <w:rPr>
          <w:rFonts w:ascii="Arial" w:hAnsi="Arial" w:cs="Arial"/>
          <w:color w:val="000000"/>
          <w:sz w:val="22"/>
          <w:szCs w:val="22"/>
          <w:lang w:val="fr-FR"/>
        </w:rPr>
        <w:t>ci, ce qui, à mon sens, faciliterait également le partage des avantages et contribuerait à prévenir la délivrance de brevets indus et l</w:t>
      </w:r>
      <w:r w:rsidR="005C5419" w:rsidRPr="003A723D">
        <w:rPr>
          <w:rFonts w:ascii="Arial" w:hAnsi="Arial" w:cs="Arial"/>
          <w:color w:val="000000"/>
          <w:sz w:val="22"/>
          <w:szCs w:val="22"/>
          <w:lang w:val="fr-FR"/>
        </w:rPr>
        <w:t>’</w:t>
      </w:r>
      <w:r w:rsidR="00E45DBA" w:rsidRPr="003A723D">
        <w:rPr>
          <w:rFonts w:ascii="Arial" w:hAnsi="Arial" w:cs="Arial"/>
          <w:color w:val="000000"/>
          <w:sz w:val="22"/>
          <w:szCs w:val="22"/>
          <w:lang w:val="fr-FR"/>
        </w:rPr>
        <w:t xml:space="preserve">appropriation illicite de ressources génétiques et de savoirs </w:t>
      </w:r>
      <w:r w:rsidR="00E45DBA" w:rsidRPr="003A723D">
        <w:rPr>
          <w:rFonts w:ascii="Arial" w:hAnsi="Arial" w:cs="Arial"/>
          <w:color w:val="000000"/>
          <w:sz w:val="22"/>
          <w:szCs w:val="22"/>
          <w:lang w:val="fr-FR"/>
        </w:rPr>
        <w:lastRenderedPageBreak/>
        <w:t xml:space="preserve">traditionnels </w:t>
      </w:r>
      <w:r w:rsidR="00C51670" w:rsidRPr="003A723D">
        <w:rPr>
          <w:rFonts w:ascii="Arial" w:hAnsi="Arial" w:cs="Arial"/>
          <w:color w:val="000000"/>
          <w:sz w:val="22"/>
          <w:szCs w:val="22"/>
          <w:lang w:val="fr-FR"/>
        </w:rPr>
        <w:t>qui y sont associés</w:t>
      </w:r>
      <w:r w:rsidR="00E45DBA" w:rsidRPr="003A723D">
        <w:rPr>
          <w:rFonts w:ascii="Arial" w:hAnsi="Arial" w:cs="Arial"/>
          <w:color w:val="000000"/>
          <w:sz w:val="22"/>
          <w:szCs w:val="22"/>
          <w:lang w:val="fr-FR"/>
        </w:rPr>
        <w:t>.</w:t>
      </w:r>
      <w:r w:rsidR="00CA20C0">
        <w:rPr>
          <w:rFonts w:ascii="Arial" w:hAnsi="Arial" w:cs="Arial"/>
          <w:color w:val="000000"/>
          <w:sz w:val="22"/>
          <w:szCs w:val="22"/>
          <w:lang w:val="fr-FR"/>
        </w:rPr>
        <w:t xml:space="preserve">  </w:t>
      </w:r>
      <w:r w:rsidR="00CA20C0" w:rsidRPr="00CA20C0">
        <w:rPr>
          <w:rFonts w:ascii="Arial" w:hAnsi="Arial" w:cs="Arial"/>
          <w:color w:val="000000"/>
          <w:sz w:val="22"/>
          <w:szCs w:val="22"/>
          <w:lang w:val="fr-FR"/>
        </w:rPr>
        <w:t>Pour parvenir à ces résultats, le texte établit au niveau international un cadre de normes minimales et maximales</w:t>
      </w:r>
      <w:r w:rsidR="00CA20C0">
        <w:rPr>
          <w:rFonts w:ascii="Arial" w:hAnsi="Arial" w:cs="Arial"/>
          <w:color w:val="000000"/>
          <w:sz w:val="22"/>
          <w:szCs w:val="22"/>
          <w:lang w:val="fr-FR"/>
        </w:rPr>
        <w:t>.</w:t>
      </w:r>
    </w:p>
    <w:p w14:paraId="0C854472" w14:textId="77777777" w:rsidR="00082637" w:rsidRPr="003A723D" w:rsidRDefault="00082637" w:rsidP="00D7428A">
      <w:pPr>
        <w:rPr>
          <w:rFonts w:ascii="Arial" w:hAnsi="Arial" w:cs="Arial"/>
          <w:sz w:val="22"/>
          <w:szCs w:val="22"/>
          <w:lang w:val="fr-FR"/>
        </w:rPr>
      </w:pPr>
    </w:p>
    <w:p w14:paraId="2456B8FC" w14:textId="136C8E8C" w:rsidR="002F0E09" w:rsidRPr="003A723D" w:rsidRDefault="00E45DBA" w:rsidP="00FE26A2">
      <w:pPr>
        <w:tabs>
          <w:tab w:val="left" w:pos="567"/>
        </w:tabs>
        <w:rPr>
          <w:rFonts w:ascii="Arial" w:hAnsi="Arial" w:cs="Arial"/>
          <w:sz w:val="22"/>
          <w:szCs w:val="22"/>
          <w:lang w:val="fr-FR"/>
        </w:rPr>
      </w:pPr>
      <w:r w:rsidRPr="003A723D">
        <w:rPr>
          <w:rFonts w:ascii="Arial" w:hAnsi="Arial" w:cs="Arial"/>
          <w:sz w:val="22"/>
          <w:szCs w:val="22"/>
          <w:lang w:val="fr-FR"/>
        </w:rPr>
        <w:t>11</w:t>
      </w:r>
      <w:r w:rsidRPr="003A723D">
        <w:rPr>
          <w:rFonts w:ascii="Arial" w:hAnsi="Arial" w:cs="Arial"/>
          <w:color w:val="000000"/>
          <w:sz w:val="22"/>
          <w:szCs w:val="22"/>
          <w:lang w:val="fr-FR"/>
        </w:rPr>
        <w:t>.</w:t>
      </w:r>
      <w:r w:rsidRPr="003A723D">
        <w:rPr>
          <w:rFonts w:ascii="Arial" w:hAnsi="Arial" w:cs="Arial"/>
          <w:color w:val="000000"/>
          <w:sz w:val="22"/>
          <w:szCs w:val="22"/>
          <w:lang w:val="fr-FR"/>
        </w:rPr>
        <w:tab/>
        <w:t>Bien qu</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il n</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y ait pas eu de</w:t>
      </w:r>
      <w:r w:rsidRPr="003A723D">
        <w:rPr>
          <w:rFonts w:ascii="Arial" w:hAnsi="Arial" w:cs="Arial"/>
          <w:sz w:val="22"/>
          <w:szCs w:val="22"/>
          <w:lang w:val="fr-FR"/>
        </w:rPr>
        <w:t xml:space="preserve"> négociations formelles sur les </w:t>
      </w:r>
      <w:r w:rsidRPr="003A723D">
        <w:rPr>
          <w:rFonts w:ascii="Arial" w:hAnsi="Arial" w:cs="Arial"/>
          <w:color w:val="000000"/>
          <w:sz w:val="22"/>
          <w:szCs w:val="22"/>
          <w:lang w:val="fr-FR"/>
        </w:rPr>
        <w:t xml:space="preserve">ressources génétiques </w:t>
      </w:r>
      <w:r w:rsidR="002F0E09" w:rsidRPr="003A723D">
        <w:rPr>
          <w:rFonts w:ascii="Arial" w:hAnsi="Arial" w:cs="Arial"/>
          <w:sz w:val="22"/>
          <w:szCs w:val="22"/>
          <w:lang w:val="fr-FR"/>
        </w:rPr>
        <w:t>depuis 2018</w:t>
      </w:r>
      <w:r w:rsidRPr="003A723D">
        <w:rPr>
          <w:rFonts w:ascii="Arial" w:hAnsi="Arial" w:cs="Arial"/>
          <w:sz w:val="22"/>
          <w:szCs w:val="22"/>
          <w:lang w:val="fr-FR"/>
        </w:rPr>
        <w:t>, plusieurs activités informelles ont</w:t>
      </w:r>
      <w:r w:rsidRPr="003A723D">
        <w:rPr>
          <w:rFonts w:ascii="Arial" w:hAnsi="Arial" w:cs="Arial"/>
          <w:color w:val="000000"/>
          <w:sz w:val="22"/>
          <w:szCs w:val="22"/>
          <w:lang w:val="fr-FR"/>
        </w:rPr>
        <w:t xml:space="preserve"> cependant</w:t>
      </w:r>
      <w:r w:rsidRPr="003A723D">
        <w:rPr>
          <w:rFonts w:ascii="Arial" w:hAnsi="Arial" w:cs="Arial"/>
          <w:sz w:val="22"/>
          <w:szCs w:val="22"/>
          <w:lang w:val="fr-FR"/>
        </w:rPr>
        <w:t xml:space="preserve"> été menées </w:t>
      </w:r>
      <w:r w:rsidRPr="003A723D">
        <w:rPr>
          <w:rFonts w:ascii="Arial" w:hAnsi="Arial" w:cs="Arial"/>
          <w:color w:val="000000"/>
          <w:sz w:val="22"/>
          <w:szCs w:val="22"/>
          <w:lang w:val="fr-FR"/>
        </w:rPr>
        <w:t xml:space="preserve">afin de </w:t>
      </w:r>
      <w:r w:rsidRPr="003A723D">
        <w:rPr>
          <w:rFonts w:ascii="Arial" w:hAnsi="Arial" w:cs="Arial"/>
          <w:sz w:val="22"/>
          <w:szCs w:val="22"/>
          <w:lang w:val="fr-FR"/>
        </w:rPr>
        <w:t>maintenir la dynamique des travaux d</w:t>
      </w:r>
      <w:r w:rsidRPr="003A723D">
        <w:rPr>
          <w:rFonts w:ascii="Arial" w:hAnsi="Arial" w:cs="Arial"/>
          <w:color w:val="000000"/>
          <w:sz w:val="22"/>
          <w:szCs w:val="22"/>
          <w:lang w:val="fr-FR"/>
        </w:rPr>
        <w:t>e l</w:t>
      </w:r>
      <w:r w:rsidR="005C5419" w:rsidRPr="003A723D">
        <w:rPr>
          <w:rFonts w:ascii="Arial" w:hAnsi="Arial" w:cs="Arial"/>
          <w:color w:val="000000"/>
          <w:sz w:val="22"/>
          <w:szCs w:val="22"/>
          <w:lang w:val="fr-FR"/>
        </w:rPr>
        <w:t>’</w:t>
      </w:r>
      <w:r w:rsidR="003A723D" w:rsidRPr="003A723D">
        <w:rPr>
          <w:rFonts w:ascii="Arial" w:hAnsi="Arial" w:cs="Arial"/>
          <w:color w:val="000000"/>
          <w:sz w:val="22"/>
          <w:szCs w:val="22"/>
          <w:lang w:val="fr-FR"/>
        </w:rPr>
        <w:t>IGC.  On</w:t>
      </w:r>
      <w:r w:rsidRPr="003A723D">
        <w:rPr>
          <w:rFonts w:ascii="Arial" w:hAnsi="Arial" w:cs="Arial"/>
          <w:color w:val="000000"/>
          <w:sz w:val="22"/>
          <w:szCs w:val="22"/>
          <w:lang w:val="fr-FR"/>
        </w:rPr>
        <w:t xml:space="preserve"> peut notamment citer u</w:t>
      </w:r>
      <w:r w:rsidRPr="003A723D">
        <w:rPr>
          <w:rFonts w:ascii="Arial" w:hAnsi="Arial" w:cs="Arial"/>
          <w:sz w:val="22"/>
          <w:szCs w:val="22"/>
          <w:lang w:val="fr-FR"/>
        </w:rPr>
        <w:t>n séminaire de l</w:t>
      </w:r>
      <w:r w:rsidR="005C5419" w:rsidRPr="003A723D">
        <w:rPr>
          <w:rFonts w:ascii="Arial" w:hAnsi="Arial" w:cs="Arial"/>
          <w:sz w:val="22"/>
          <w:szCs w:val="22"/>
          <w:lang w:val="fr-FR"/>
        </w:rPr>
        <w:t>’</w:t>
      </w:r>
      <w:r w:rsidRPr="003A723D">
        <w:rPr>
          <w:rFonts w:ascii="Arial" w:hAnsi="Arial" w:cs="Arial"/>
          <w:sz w:val="22"/>
          <w:szCs w:val="22"/>
          <w:lang w:val="fr-FR"/>
        </w:rPr>
        <w:t xml:space="preserve">OMPI sur les </w:t>
      </w:r>
      <w:r w:rsidRPr="003A723D">
        <w:rPr>
          <w:rFonts w:ascii="Arial" w:hAnsi="Arial" w:cs="Arial"/>
          <w:color w:val="000000"/>
          <w:sz w:val="22"/>
          <w:szCs w:val="22"/>
          <w:lang w:val="fr-FR"/>
        </w:rPr>
        <w:t>ressources génétiques</w:t>
      </w:r>
      <w:r w:rsidRPr="003A723D">
        <w:rPr>
          <w:rFonts w:ascii="Arial" w:hAnsi="Arial" w:cs="Arial"/>
          <w:sz w:val="22"/>
          <w:szCs w:val="22"/>
          <w:lang w:val="fr-FR"/>
        </w:rPr>
        <w:t>, de</w:t>
      </w:r>
      <w:r w:rsidRPr="003A723D">
        <w:rPr>
          <w:rFonts w:ascii="Arial" w:hAnsi="Arial" w:cs="Arial"/>
          <w:color w:val="000000"/>
          <w:sz w:val="22"/>
          <w:szCs w:val="22"/>
          <w:lang w:val="fr-FR"/>
        </w:rPr>
        <w:t>s</w:t>
      </w:r>
      <w:r w:rsidRPr="003A723D">
        <w:rPr>
          <w:rFonts w:ascii="Arial" w:hAnsi="Arial" w:cs="Arial"/>
          <w:sz w:val="22"/>
          <w:szCs w:val="22"/>
          <w:lang w:val="fr-FR"/>
        </w:rPr>
        <w:t xml:space="preserve"> séances d</w:t>
      </w:r>
      <w:r w:rsidR="005C5419" w:rsidRPr="003A723D">
        <w:rPr>
          <w:rFonts w:ascii="Arial" w:hAnsi="Arial" w:cs="Arial"/>
          <w:sz w:val="22"/>
          <w:szCs w:val="22"/>
          <w:lang w:val="fr-FR"/>
        </w:rPr>
        <w:t>’</w:t>
      </w:r>
      <w:r w:rsidRPr="003A723D">
        <w:rPr>
          <w:rFonts w:ascii="Arial" w:hAnsi="Arial" w:cs="Arial"/>
          <w:sz w:val="22"/>
          <w:szCs w:val="22"/>
          <w:lang w:val="fr-FR"/>
        </w:rPr>
        <w:t>information de l</w:t>
      </w:r>
      <w:r w:rsidR="005C5419" w:rsidRPr="003A723D">
        <w:rPr>
          <w:rFonts w:ascii="Arial" w:hAnsi="Arial" w:cs="Arial"/>
          <w:sz w:val="22"/>
          <w:szCs w:val="22"/>
          <w:lang w:val="fr-FR"/>
        </w:rPr>
        <w:t>’</w:t>
      </w:r>
      <w:r w:rsidRPr="003A723D">
        <w:rPr>
          <w:rFonts w:ascii="Arial" w:hAnsi="Arial" w:cs="Arial"/>
          <w:sz w:val="22"/>
          <w:szCs w:val="22"/>
          <w:lang w:val="fr-FR"/>
        </w:rPr>
        <w:t>OMPI sur l</w:t>
      </w:r>
      <w:r w:rsidR="005C5419" w:rsidRPr="003A723D">
        <w:rPr>
          <w:rFonts w:ascii="Arial" w:hAnsi="Arial" w:cs="Arial"/>
          <w:sz w:val="22"/>
          <w:szCs w:val="22"/>
          <w:lang w:val="fr-FR"/>
        </w:rPr>
        <w:t>’</w:t>
      </w:r>
      <w:r w:rsidRPr="003A723D">
        <w:rPr>
          <w:rFonts w:ascii="Arial" w:hAnsi="Arial" w:cs="Arial"/>
          <w:sz w:val="22"/>
          <w:szCs w:val="22"/>
          <w:lang w:val="fr-FR"/>
        </w:rPr>
        <w:t xml:space="preserve">état </w:t>
      </w:r>
      <w:r w:rsidRPr="003A723D">
        <w:rPr>
          <w:rFonts w:ascii="Arial" w:hAnsi="Arial" w:cs="Arial"/>
          <w:color w:val="000000"/>
          <w:sz w:val="22"/>
          <w:szCs w:val="22"/>
          <w:lang w:val="fr-FR"/>
        </w:rPr>
        <w:t>d</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 xml:space="preserve">avancement </w:t>
      </w:r>
      <w:r w:rsidRPr="003A723D">
        <w:rPr>
          <w:rFonts w:ascii="Arial" w:hAnsi="Arial" w:cs="Arial"/>
          <w:sz w:val="22"/>
          <w:szCs w:val="22"/>
          <w:lang w:val="fr-FR"/>
        </w:rPr>
        <w:t>des négociations et de</w:t>
      </w:r>
      <w:r w:rsidRPr="003A723D">
        <w:rPr>
          <w:rFonts w:ascii="Arial" w:hAnsi="Arial" w:cs="Arial"/>
          <w:color w:val="000000"/>
          <w:sz w:val="22"/>
          <w:szCs w:val="22"/>
          <w:lang w:val="fr-FR"/>
        </w:rPr>
        <w:t>s</w:t>
      </w:r>
      <w:r w:rsidRPr="003A723D">
        <w:rPr>
          <w:rFonts w:ascii="Arial" w:hAnsi="Arial" w:cs="Arial"/>
          <w:sz w:val="22"/>
          <w:szCs w:val="22"/>
          <w:lang w:val="fr-FR"/>
        </w:rPr>
        <w:t xml:space="preserve"> consultations informelles que j</w:t>
      </w:r>
      <w:r w:rsidR="005C5419" w:rsidRPr="003A723D">
        <w:rPr>
          <w:rFonts w:ascii="Arial" w:hAnsi="Arial" w:cs="Arial"/>
          <w:sz w:val="22"/>
          <w:szCs w:val="22"/>
          <w:lang w:val="fr-FR"/>
        </w:rPr>
        <w:t>’</w:t>
      </w:r>
      <w:r w:rsidRPr="003A723D">
        <w:rPr>
          <w:rFonts w:ascii="Arial" w:hAnsi="Arial" w:cs="Arial"/>
          <w:sz w:val="22"/>
          <w:szCs w:val="22"/>
          <w:lang w:val="fr-FR"/>
        </w:rPr>
        <w:t xml:space="preserve">ai tenues </w:t>
      </w:r>
      <w:r w:rsidR="002F0E09" w:rsidRPr="003A723D">
        <w:rPr>
          <w:rFonts w:ascii="Arial" w:hAnsi="Arial" w:cs="Arial"/>
          <w:sz w:val="22"/>
          <w:szCs w:val="22"/>
          <w:lang w:val="fr-FR"/>
        </w:rPr>
        <w:t>en 2021</w:t>
      </w:r>
      <w:r w:rsidRPr="003A723D">
        <w:rPr>
          <w:rFonts w:ascii="Arial" w:hAnsi="Arial" w:cs="Arial"/>
          <w:sz w:val="22"/>
          <w:szCs w:val="22"/>
          <w:lang w:val="fr-FR"/>
        </w:rPr>
        <w:t xml:space="preserve"> avec tous les groupes sur le texte du préside</w:t>
      </w:r>
      <w:r w:rsidR="003A723D" w:rsidRPr="003A723D">
        <w:rPr>
          <w:rFonts w:ascii="Arial" w:hAnsi="Arial" w:cs="Arial"/>
          <w:sz w:val="22"/>
          <w:szCs w:val="22"/>
          <w:lang w:val="fr-FR"/>
        </w:rPr>
        <w:t>nt.  En</w:t>
      </w:r>
      <w:r w:rsidRPr="003A723D">
        <w:rPr>
          <w:rFonts w:ascii="Arial" w:hAnsi="Arial" w:cs="Arial"/>
          <w:sz w:val="22"/>
          <w:szCs w:val="22"/>
          <w:lang w:val="fr-FR"/>
        </w:rPr>
        <w:t xml:space="preserve"> outre, j</w:t>
      </w:r>
      <w:r w:rsidR="005C5419" w:rsidRPr="003A723D">
        <w:rPr>
          <w:rFonts w:ascii="Arial" w:hAnsi="Arial" w:cs="Arial"/>
          <w:sz w:val="22"/>
          <w:szCs w:val="22"/>
          <w:lang w:val="fr-FR"/>
        </w:rPr>
        <w:t>’</w:t>
      </w:r>
      <w:r w:rsidRPr="003A723D">
        <w:rPr>
          <w:rFonts w:ascii="Arial" w:hAnsi="Arial" w:cs="Arial"/>
          <w:sz w:val="22"/>
          <w:szCs w:val="22"/>
          <w:lang w:val="fr-FR"/>
        </w:rPr>
        <w:t xml:space="preserve">ai reçu des commentaires sur le texte </w:t>
      </w:r>
      <w:r w:rsidRPr="003A723D">
        <w:rPr>
          <w:rFonts w:ascii="Arial" w:hAnsi="Arial" w:cs="Arial"/>
          <w:color w:val="000000"/>
          <w:sz w:val="22"/>
          <w:szCs w:val="22"/>
          <w:lang w:val="fr-FR"/>
        </w:rPr>
        <w:t xml:space="preserve">du président </w:t>
      </w:r>
      <w:r w:rsidRPr="003A723D">
        <w:rPr>
          <w:rFonts w:ascii="Arial" w:hAnsi="Arial" w:cs="Arial"/>
          <w:sz w:val="22"/>
          <w:szCs w:val="22"/>
          <w:lang w:val="fr-FR"/>
        </w:rPr>
        <w:t>de la part des États membres et des observateu</w:t>
      </w:r>
      <w:r w:rsidR="003A723D" w:rsidRPr="003A723D">
        <w:rPr>
          <w:rFonts w:ascii="Arial" w:hAnsi="Arial" w:cs="Arial"/>
          <w:sz w:val="22"/>
          <w:szCs w:val="22"/>
          <w:lang w:val="fr-FR"/>
        </w:rPr>
        <w:t xml:space="preserve">rs.  </w:t>
      </w:r>
      <w:r w:rsidR="003A723D" w:rsidRPr="003A723D">
        <w:rPr>
          <w:rFonts w:ascii="Arial" w:hAnsi="Arial" w:cs="Arial"/>
          <w:color w:val="000000"/>
          <w:sz w:val="22"/>
          <w:szCs w:val="22"/>
          <w:lang w:val="fr-FR"/>
        </w:rPr>
        <w:t>On</w:t>
      </w:r>
      <w:r w:rsidRPr="003A723D">
        <w:rPr>
          <w:rFonts w:ascii="Arial" w:hAnsi="Arial" w:cs="Arial"/>
          <w:color w:val="000000"/>
          <w:sz w:val="22"/>
          <w:szCs w:val="22"/>
          <w:lang w:val="fr-FR"/>
        </w:rPr>
        <w:t xml:space="preserve"> trouvera ci</w:t>
      </w:r>
      <w:r w:rsidR="00234797">
        <w:rPr>
          <w:rFonts w:ascii="Arial" w:hAnsi="Arial" w:cs="Arial"/>
          <w:color w:val="000000"/>
          <w:sz w:val="22"/>
          <w:szCs w:val="22"/>
          <w:lang w:val="fr-FR"/>
        </w:rPr>
        <w:noBreakHyphen/>
      </w:r>
      <w:r w:rsidRPr="003A723D">
        <w:rPr>
          <w:rFonts w:ascii="Arial" w:hAnsi="Arial" w:cs="Arial"/>
          <w:color w:val="000000"/>
          <w:sz w:val="22"/>
          <w:szCs w:val="22"/>
          <w:lang w:val="fr-FR"/>
        </w:rPr>
        <w:t>après u</w:t>
      </w:r>
      <w:r w:rsidRPr="003A723D">
        <w:rPr>
          <w:rFonts w:ascii="Arial" w:hAnsi="Arial" w:cs="Arial"/>
          <w:sz w:val="22"/>
          <w:szCs w:val="22"/>
          <w:lang w:val="fr-FR"/>
        </w:rPr>
        <w:t xml:space="preserve">n résumé </w:t>
      </w:r>
      <w:r w:rsidRPr="003A723D">
        <w:rPr>
          <w:rFonts w:ascii="Arial" w:hAnsi="Arial" w:cs="Arial"/>
          <w:color w:val="000000"/>
          <w:sz w:val="22"/>
          <w:szCs w:val="22"/>
          <w:lang w:val="fr-FR"/>
        </w:rPr>
        <w:t xml:space="preserve">détaillé </w:t>
      </w:r>
      <w:r w:rsidRPr="003A723D">
        <w:rPr>
          <w:rFonts w:ascii="Arial" w:hAnsi="Arial" w:cs="Arial"/>
          <w:sz w:val="22"/>
          <w:szCs w:val="22"/>
          <w:lang w:val="fr-FR"/>
        </w:rPr>
        <w:t>des résultats de mes consultations</w:t>
      </w:r>
      <w:r w:rsidR="005C5419" w:rsidRPr="003A723D">
        <w:rPr>
          <w:rFonts w:ascii="Arial" w:hAnsi="Arial" w:cs="Arial"/>
          <w:sz w:val="22"/>
          <w:szCs w:val="22"/>
          <w:lang w:val="fr-FR"/>
        </w:rPr>
        <w:t> :</w:t>
      </w:r>
    </w:p>
    <w:p w14:paraId="7A86DF8D" w14:textId="563AAEF4" w:rsidR="00082637" w:rsidRPr="003A723D" w:rsidRDefault="00082637" w:rsidP="00D7428A">
      <w:pPr>
        <w:rPr>
          <w:rFonts w:ascii="Arial" w:hAnsi="Arial" w:cs="Arial"/>
          <w:sz w:val="22"/>
          <w:szCs w:val="22"/>
          <w:lang w:val="fr-FR"/>
        </w:rPr>
      </w:pPr>
    </w:p>
    <w:p w14:paraId="2C257B9F" w14:textId="12C0558A" w:rsidR="00082637" w:rsidRPr="003A723D" w:rsidRDefault="00734A9F" w:rsidP="00FE26A2">
      <w:pPr>
        <w:pStyle w:val="ListParagraph"/>
        <w:numPr>
          <w:ilvl w:val="0"/>
          <w:numId w:val="29"/>
        </w:numPr>
        <w:ind w:left="1134" w:hanging="567"/>
        <w:rPr>
          <w:rFonts w:ascii="Arial" w:hAnsi="Arial" w:cs="Arial"/>
          <w:sz w:val="22"/>
          <w:szCs w:val="22"/>
          <w:lang w:val="fr-FR"/>
        </w:rPr>
      </w:pPr>
      <w:proofErr w:type="gramStart"/>
      <w:r w:rsidRPr="003A723D">
        <w:rPr>
          <w:rFonts w:ascii="Arial" w:hAnsi="Arial" w:cs="Arial"/>
          <w:sz w:val="22"/>
          <w:szCs w:val="22"/>
          <w:lang w:val="fr-FR"/>
        </w:rPr>
        <w:t>l</w:t>
      </w:r>
      <w:r w:rsidR="00D22273" w:rsidRPr="003A723D">
        <w:rPr>
          <w:rFonts w:ascii="Arial" w:hAnsi="Arial" w:cs="Arial"/>
          <w:sz w:val="22"/>
          <w:szCs w:val="22"/>
          <w:lang w:val="fr-FR"/>
        </w:rPr>
        <w:t>e</w:t>
      </w:r>
      <w:proofErr w:type="gramEnd"/>
      <w:r w:rsidR="00D22273" w:rsidRPr="003A723D">
        <w:rPr>
          <w:rFonts w:ascii="Arial" w:hAnsi="Arial" w:cs="Arial"/>
          <w:sz w:val="22"/>
          <w:szCs w:val="22"/>
          <w:lang w:val="fr-FR"/>
        </w:rPr>
        <w:t xml:space="preserve"> projet de texte</w:t>
      </w:r>
      <w:r w:rsidRPr="003A723D">
        <w:rPr>
          <w:rFonts w:ascii="Arial" w:hAnsi="Arial" w:cs="Arial"/>
          <w:sz w:val="22"/>
          <w:szCs w:val="22"/>
          <w:lang w:val="fr-FR"/>
        </w:rPr>
        <w:t>,</w:t>
      </w:r>
      <w:r w:rsidR="00D22273" w:rsidRPr="003A723D">
        <w:rPr>
          <w:rFonts w:ascii="Arial" w:hAnsi="Arial" w:cs="Arial"/>
          <w:sz w:val="22"/>
          <w:szCs w:val="22"/>
          <w:lang w:val="fr-FR"/>
        </w:rPr>
        <w:t xml:space="preserve"> en tant que document de base</w:t>
      </w:r>
      <w:r w:rsidRPr="003A723D">
        <w:rPr>
          <w:rFonts w:ascii="Arial" w:hAnsi="Arial" w:cs="Arial"/>
          <w:sz w:val="22"/>
          <w:szCs w:val="22"/>
          <w:lang w:val="fr-FR"/>
        </w:rPr>
        <w:t>,</w:t>
      </w:r>
      <w:r w:rsidR="00D22273" w:rsidRPr="003A723D">
        <w:rPr>
          <w:rFonts w:ascii="Arial" w:hAnsi="Arial" w:cs="Arial"/>
          <w:sz w:val="22"/>
          <w:szCs w:val="22"/>
          <w:lang w:val="fr-FR"/>
        </w:rPr>
        <w:t xml:space="preserve"> recueille un large soutien interrégional, même si des divergences de vues subsistent quan</w:t>
      </w:r>
      <w:r w:rsidRPr="003A723D">
        <w:rPr>
          <w:rFonts w:ascii="Arial" w:hAnsi="Arial" w:cs="Arial"/>
          <w:sz w:val="22"/>
          <w:szCs w:val="22"/>
          <w:lang w:val="fr-FR"/>
        </w:rPr>
        <w:t>t à la portée de cet instrument;</w:t>
      </w:r>
    </w:p>
    <w:p w14:paraId="03F3EB07" w14:textId="7262A278" w:rsidR="00082637" w:rsidRPr="003A723D" w:rsidRDefault="00734A9F" w:rsidP="00FE26A2">
      <w:pPr>
        <w:pStyle w:val="ListParagraph"/>
        <w:numPr>
          <w:ilvl w:val="0"/>
          <w:numId w:val="29"/>
        </w:numPr>
        <w:ind w:left="1134" w:hanging="567"/>
        <w:rPr>
          <w:rFonts w:ascii="Arial" w:hAnsi="Arial" w:cs="Arial"/>
          <w:sz w:val="22"/>
          <w:szCs w:val="22"/>
          <w:lang w:val="fr-FR"/>
        </w:rPr>
      </w:pPr>
      <w:proofErr w:type="gramStart"/>
      <w:r w:rsidRPr="003A723D">
        <w:rPr>
          <w:rFonts w:ascii="Arial" w:hAnsi="Arial" w:cs="Arial"/>
          <w:sz w:val="22"/>
          <w:szCs w:val="22"/>
          <w:lang w:val="fr-FR"/>
        </w:rPr>
        <w:t>m</w:t>
      </w:r>
      <w:r w:rsidR="00D22273" w:rsidRPr="003A723D">
        <w:rPr>
          <w:rFonts w:ascii="Arial" w:hAnsi="Arial" w:cs="Arial"/>
          <w:sz w:val="22"/>
          <w:szCs w:val="22"/>
          <w:lang w:val="fr-FR"/>
        </w:rPr>
        <w:t>algré</w:t>
      </w:r>
      <w:proofErr w:type="gramEnd"/>
      <w:r w:rsidR="00D22273" w:rsidRPr="003A723D">
        <w:rPr>
          <w:rFonts w:ascii="Arial" w:hAnsi="Arial" w:cs="Arial"/>
          <w:sz w:val="22"/>
          <w:szCs w:val="22"/>
          <w:lang w:val="fr-FR"/>
        </w:rPr>
        <w:t xml:space="preserve"> un large soutien en faveur du texte, plusieurs États membres restent opposés à un mécanisme de divulgation obligatoire, préférant des mécanismes </w:t>
      </w:r>
      <w:r w:rsidRPr="003A723D">
        <w:rPr>
          <w:rFonts w:ascii="Arial" w:hAnsi="Arial" w:cs="Arial"/>
          <w:sz w:val="22"/>
          <w:szCs w:val="22"/>
          <w:lang w:val="fr-FR"/>
        </w:rPr>
        <w:t>défensifs non obligatoires;</w:t>
      </w:r>
    </w:p>
    <w:p w14:paraId="51099EB2" w14:textId="59DA7A1E" w:rsidR="002F0E09" w:rsidRPr="003A723D" w:rsidRDefault="00734A9F" w:rsidP="00FE26A2">
      <w:pPr>
        <w:pStyle w:val="ListParagraph"/>
        <w:numPr>
          <w:ilvl w:val="0"/>
          <w:numId w:val="29"/>
        </w:numPr>
        <w:ind w:left="1134" w:hanging="567"/>
        <w:rPr>
          <w:rFonts w:ascii="Arial" w:hAnsi="Arial" w:cs="Arial"/>
          <w:sz w:val="22"/>
          <w:szCs w:val="22"/>
          <w:lang w:val="fr-FR"/>
        </w:rPr>
      </w:pPr>
      <w:proofErr w:type="gramStart"/>
      <w:r w:rsidRPr="003A723D">
        <w:rPr>
          <w:rFonts w:ascii="Arial" w:hAnsi="Arial" w:cs="Arial"/>
          <w:sz w:val="22"/>
          <w:szCs w:val="22"/>
          <w:lang w:val="fr-FR"/>
        </w:rPr>
        <w:t>l</w:t>
      </w:r>
      <w:r w:rsidR="00D22273" w:rsidRPr="003A723D">
        <w:rPr>
          <w:rFonts w:ascii="Arial" w:hAnsi="Arial" w:cs="Arial"/>
          <w:sz w:val="22"/>
          <w:szCs w:val="22"/>
          <w:lang w:val="fr-FR"/>
        </w:rPr>
        <w:t>es</w:t>
      </w:r>
      <w:proofErr w:type="gramEnd"/>
      <w:r w:rsidR="00D22273" w:rsidRPr="003A723D">
        <w:rPr>
          <w:rFonts w:ascii="Arial" w:hAnsi="Arial" w:cs="Arial"/>
          <w:sz w:val="22"/>
          <w:szCs w:val="22"/>
          <w:lang w:val="fr-FR"/>
        </w:rPr>
        <w:t xml:space="preserve"> principales questions politiques</w:t>
      </w:r>
      <w:r w:rsidR="00D22273" w:rsidRPr="003A723D">
        <w:rPr>
          <w:rFonts w:ascii="Arial" w:hAnsi="Arial" w:cs="Arial"/>
          <w:color w:val="000000"/>
          <w:sz w:val="22"/>
          <w:szCs w:val="22"/>
          <w:lang w:val="fr-FR"/>
        </w:rPr>
        <w:t xml:space="preserve"> et </w:t>
      </w:r>
      <w:r w:rsidR="00D22273" w:rsidRPr="003A723D">
        <w:rPr>
          <w:rFonts w:ascii="Arial" w:hAnsi="Arial" w:cs="Arial"/>
          <w:sz w:val="22"/>
          <w:szCs w:val="22"/>
          <w:lang w:val="fr-FR"/>
        </w:rPr>
        <w:t>techniques soulevées nécessit</w:t>
      </w:r>
      <w:r w:rsidR="00D22273" w:rsidRPr="003A723D">
        <w:rPr>
          <w:rFonts w:ascii="Arial" w:hAnsi="Arial" w:cs="Arial"/>
          <w:color w:val="000000"/>
          <w:sz w:val="22"/>
          <w:szCs w:val="22"/>
          <w:lang w:val="fr-FR"/>
        </w:rPr>
        <w:t>a</w:t>
      </w:r>
      <w:r w:rsidR="00D22273" w:rsidRPr="003A723D">
        <w:rPr>
          <w:rFonts w:ascii="Arial" w:hAnsi="Arial" w:cs="Arial"/>
          <w:sz w:val="22"/>
          <w:szCs w:val="22"/>
          <w:lang w:val="fr-FR"/>
        </w:rPr>
        <w:t xml:space="preserve">nt un examen plus approfondi </w:t>
      </w:r>
      <w:r w:rsidR="00DE64AC" w:rsidRPr="003A723D">
        <w:rPr>
          <w:rFonts w:ascii="Arial" w:hAnsi="Arial" w:cs="Arial"/>
          <w:sz w:val="22"/>
          <w:szCs w:val="22"/>
          <w:lang w:val="fr-FR"/>
        </w:rPr>
        <w:t>concernent</w:t>
      </w:r>
      <w:r w:rsidR="005C5419" w:rsidRPr="003A723D">
        <w:rPr>
          <w:rFonts w:ascii="Arial" w:hAnsi="Arial" w:cs="Arial"/>
          <w:sz w:val="22"/>
          <w:szCs w:val="22"/>
          <w:lang w:val="fr-FR"/>
        </w:rPr>
        <w:t> :</w:t>
      </w:r>
    </w:p>
    <w:p w14:paraId="1D721BF5" w14:textId="6AD81F9E" w:rsidR="00082637" w:rsidRPr="003A723D" w:rsidRDefault="00734A9F"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sz w:val="22"/>
          <w:szCs w:val="22"/>
          <w:lang w:val="fr-FR"/>
        </w:rPr>
        <w:t>les</w:t>
      </w:r>
      <w:proofErr w:type="gramEnd"/>
      <w:r w:rsidRPr="003A723D">
        <w:rPr>
          <w:rFonts w:ascii="Arial" w:hAnsi="Arial" w:cs="Arial"/>
          <w:sz w:val="22"/>
          <w:szCs w:val="22"/>
          <w:lang w:val="fr-FR"/>
        </w:rPr>
        <w:t xml:space="preserve"> o</w:t>
      </w:r>
      <w:r w:rsidR="00D22273" w:rsidRPr="003A723D">
        <w:rPr>
          <w:rFonts w:ascii="Arial" w:hAnsi="Arial" w:cs="Arial"/>
          <w:sz w:val="22"/>
          <w:szCs w:val="22"/>
          <w:lang w:val="fr-FR"/>
        </w:rPr>
        <w:t>bjectifs de l</w:t>
      </w:r>
      <w:r w:rsidR="005C5419" w:rsidRPr="003A723D">
        <w:rPr>
          <w:rFonts w:ascii="Arial" w:hAnsi="Arial" w:cs="Arial"/>
          <w:sz w:val="22"/>
          <w:szCs w:val="22"/>
          <w:lang w:val="fr-FR"/>
        </w:rPr>
        <w:t>’</w:t>
      </w:r>
      <w:r w:rsidR="00D22273" w:rsidRPr="003A723D">
        <w:rPr>
          <w:rFonts w:ascii="Arial" w:hAnsi="Arial" w:cs="Arial"/>
          <w:sz w:val="22"/>
          <w:szCs w:val="22"/>
          <w:lang w:val="fr-FR"/>
        </w:rPr>
        <w:t>instrument;</w:t>
      </w:r>
    </w:p>
    <w:p w14:paraId="538B92E6" w14:textId="7779B202" w:rsidR="00082637" w:rsidRPr="003A723D" w:rsidRDefault="00734A9F"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color w:val="000000"/>
          <w:sz w:val="22"/>
          <w:szCs w:val="22"/>
          <w:lang w:val="fr-FR"/>
        </w:rPr>
        <w:t>les</w:t>
      </w:r>
      <w:proofErr w:type="gramEnd"/>
      <w:r w:rsidRPr="003A723D">
        <w:rPr>
          <w:rFonts w:ascii="Arial" w:hAnsi="Arial" w:cs="Arial"/>
          <w:color w:val="000000"/>
          <w:sz w:val="22"/>
          <w:szCs w:val="22"/>
          <w:lang w:val="fr-FR"/>
        </w:rPr>
        <w:t xml:space="preserve"> </w:t>
      </w:r>
      <w:r w:rsidR="00D22273" w:rsidRPr="003A723D">
        <w:rPr>
          <w:rFonts w:ascii="Arial" w:hAnsi="Arial" w:cs="Arial"/>
          <w:color w:val="000000"/>
          <w:sz w:val="22"/>
          <w:szCs w:val="22"/>
          <w:lang w:val="fr-FR"/>
        </w:rPr>
        <w:t xml:space="preserve">liens </w:t>
      </w:r>
      <w:r w:rsidR="00D22273" w:rsidRPr="003A723D">
        <w:rPr>
          <w:rFonts w:ascii="Arial" w:hAnsi="Arial" w:cs="Arial"/>
          <w:sz w:val="22"/>
          <w:szCs w:val="22"/>
          <w:lang w:val="fr-FR"/>
        </w:rPr>
        <w:t xml:space="preserve">avec </w:t>
      </w:r>
      <w:r w:rsidR="00D22273" w:rsidRPr="003A723D">
        <w:rPr>
          <w:rFonts w:ascii="Arial" w:hAnsi="Arial" w:cs="Arial"/>
          <w:color w:val="000000"/>
          <w:sz w:val="22"/>
          <w:szCs w:val="22"/>
          <w:lang w:val="fr-FR"/>
        </w:rPr>
        <w:t xml:space="preserve">des </w:t>
      </w:r>
      <w:r w:rsidR="00D22273" w:rsidRPr="003A723D">
        <w:rPr>
          <w:rFonts w:ascii="Arial" w:hAnsi="Arial" w:cs="Arial"/>
          <w:sz w:val="22"/>
          <w:szCs w:val="22"/>
          <w:lang w:val="fr-FR"/>
        </w:rPr>
        <w:t>instruments internationaux connexes, notamment la Convention sur la diversité biologique (CDB) et le Protocole de Nagoya sur l</w:t>
      </w:r>
      <w:r w:rsidR="005C5419" w:rsidRPr="003A723D">
        <w:rPr>
          <w:rFonts w:ascii="Arial" w:hAnsi="Arial" w:cs="Arial"/>
          <w:sz w:val="22"/>
          <w:szCs w:val="22"/>
          <w:lang w:val="fr-FR"/>
        </w:rPr>
        <w:t>’</w:t>
      </w:r>
      <w:r w:rsidR="00D22273" w:rsidRPr="003A723D">
        <w:rPr>
          <w:rFonts w:ascii="Arial" w:hAnsi="Arial" w:cs="Arial"/>
          <w:sz w:val="22"/>
          <w:szCs w:val="22"/>
          <w:lang w:val="fr-FR"/>
        </w:rPr>
        <w:t xml:space="preserve">accès aux ressources génétiques et le partage juste et équitable des avantages découlant de leur utilisation </w:t>
      </w:r>
      <w:r w:rsidR="00D22273" w:rsidRPr="003A723D">
        <w:rPr>
          <w:rFonts w:ascii="Arial" w:hAnsi="Arial" w:cs="Arial"/>
          <w:color w:val="000000"/>
          <w:sz w:val="22"/>
          <w:szCs w:val="22"/>
          <w:lang w:val="fr-FR"/>
        </w:rPr>
        <w:t xml:space="preserve">relatif </w:t>
      </w:r>
      <w:r w:rsidR="00D22273" w:rsidRPr="003A723D">
        <w:rPr>
          <w:rFonts w:ascii="Arial" w:hAnsi="Arial" w:cs="Arial"/>
          <w:sz w:val="22"/>
          <w:szCs w:val="22"/>
          <w:lang w:val="fr-FR"/>
        </w:rPr>
        <w:t xml:space="preserve">à la Convention sur la diversité biologique (Protocole de Nagoya) et la Déclaration des </w:t>
      </w:r>
      <w:r w:rsidR="005C5419" w:rsidRPr="003A723D">
        <w:rPr>
          <w:rFonts w:ascii="Arial" w:hAnsi="Arial" w:cs="Arial"/>
          <w:sz w:val="22"/>
          <w:szCs w:val="22"/>
          <w:lang w:val="fr-FR"/>
        </w:rPr>
        <w:t>Nations Unies</w:t>
      </w:r>
      <w:r w:rsidR="00D22273" w:rsidRPr="003A723D">
        <w:rPr>
          <w:rFonts w:ascii="Arial" w:hAnsi="Arial" w:cs="Arial"/>
          <w:sz w:val="22"/>
          <w:szCs w:val="22"/>
          <w:lang w:val="fr-FR"/>
        </w:rPr>
        <w:t xml:space="preserve"> sur les droits des peuples autochtones;</w:t>
      </w:r>
    </w:p>
    <w:p w14:paraId="126466DC" w14:textId="4C082946" w:rsidR="00082637" w:rsidRPr="003A723D" w:rsidRDefault="00D22273"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sz w:val="22"/>
          <w:szCs w:val="22"/>
          <w:lang w:val="fr-FR"/>
        </w:rPr>
        <w:t>l</w:t>
      </w:r>
      <w:r w:rsidR="005C5419" w:rsidRPr="003A723D">
        <w:rPr>
          <w:rFonts w:ascii="Arial" w:hAnsi="Arial" w:cs="Arial"/>
          <w:sz w:val="22"/>
          <w:szCs w:val="22"/>
          <w:lang w:val="fr-FR"/>
        </w:rPr>
        <w:t>’</w:t>
      </w:r>
      <w:r w:rsidRPr="003A723D">
        <w:rPr>
          <w:rFonts w:ascii="Arial" w:hAnsi="Arial" w:cs="Arial"/>
          <w:sz w:val="22"/>
          <w:szCs w:val="22"/>
          <w:lang w:val="fr-FR"/>
        </w:rPr>
        <w:t>accent</w:t>
      </w:r>
      <w:proofErr w:type="gramEnd"/>
      <w:r w:rsidRPr="003A723D">
        <w:rPr>
          <w:rFonts w:ascii="Arial" w:hAnsi="Arial" w:cs="Arial"/>
          <w:sz w:val="22"/>
          <w:szCs w:val="22"/>
          <w:lang w:val="fr-FR"/>
        </w:rPr>
        <w:t xml:space="preserve"> </w:t>
      </w:r>
      <w:r w:rsidR="00DE64AC" w:rsidRPr="003A723D">
        <w:rPr>
          <w:rFonts w:ascii="Arial" w:hAnsi="Arial" w:cs="Arial"/>
          <w:sz w:val="22"/>
          <w:szCs w:val="22"/>
          <w:lang w:val="fr-FR"/>
        </w:rPr>
        <w:t xml:space="preserve">qui doit être mis </w:t>
      </w:r>
      <w:r w:rsidRPr="003A723D">
        <w:rPr>
          <w:rFonts w:ascii="Arial" w:hAnsi="Arial" w:cs="Arial"/>
          <w:sz w:val="22"/>
          <w:szCs w:val="22"/>
          <w:lang w:val="fr-FR"/>
        </w:rPr>
        <w:t>sur les droits des peuples autochtones dans l</w:t>
      </w:r>
      <w:r w:rsidR="005C5419" w:rsidRPr="003A723D">
        <w:rPr>
          <w:rFonts w:ascii="Arial" w:hAnsi="Arial" w:cs="Arial"/>
          <w:sz w:val="22"/>
          <w:szCs w:val="22"/>
          <w:lang w:val="fr-FR"/>
        </w:rPr>
        <w:t>’</w:t>
      </w:r>
      <w:r w:rsidRPr="003A723D">
        <w:rPr>
          <w:rFonts w:ascii="Arial" w:hAnsi="Arial" w:cs="Arial"/>
          <w:sz w:val="22"/>
          <w:szCs w:val="22"/>
          <w:lang w:val="fr-FR"/>
        </w:rPr>
        <w:t>objectif/le préambule;</w:t>
      </w:r>
    </w:p>
    <w:p w14:paraId="6B937719" w14:textId="3AA183CC" w:rsidR="00082637" w:rsidRPr="003A723D" w:rsidRDefault="00734A9F"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sz w:val="22"/>
          <w:szCs w:val="22"/>
          <w:lang w:val="fr-FR"/>
        </w:rPr>
        <w:t>des</w:t>
      </w:r>
      <w:proofErr w:type="gramEnd"/>
      <w:r w:rsidR="00D22273" w:rsidRPr="003A723D">
        <w:rPr>
          <w:rFonts w:ascii="Arial" w:hAnsi="Arial" w:cs="Arial"/>
          <w:sz w:val="22"/>
          <w:szCs w:val="22"/>
          <w:lang w:val="fr-FR"/>
        </w:rPr>
        <w:t xml:space="preserve"> modifications visant à améliorer les </w:t>
      </w:r>
      <w:r w:rsidR="002F0E09" w:rsidRPr="003A723D">
        <w:rPr>
          <w:rFonts w:ascii="Arial" w:hAnsi="Arial" w:cs="Arial"/>
          <w:color w:val="000000"/>
          <w:sz w:val="22"/>
          <w:szCs w:val="22"/>
          <w:lang w:val="fr-FR"/>
        </w:rPr>
        <w:t>a</w:t>
      </w:r>
      <w:r w:rsidR="002F0E09" w:rsidRPr="003A723D">
        <w:rPr>
          <w:rFonts w:ascii="Arial" w:hAnsi="Arial" w:cs="Arial"/>
          <w:sz w:val="22"/>
          <w:szCs w:val="22"/>
          <w:lang w:val="fr-FR"/>
        </w:rPr>
        <w:t>rticles</w:t>
      </w:r>
      <w:r w:rsidR="002F0E09" w:rsidRPr="003A723D">
        <w:rPr>
          <w:rFonts w:ascii="Arial" w:hAnsi="Arial" w:cs="Arial"/>
          <w:color w:val="000000"/>
          <w:sz w:val="22"/>
          <w:szCs w:val="22"/>
          <w:lang w:val="fr-FR"/>
        </w:rPr>
        <w:t> </w:t>
      </w:r>
      <w:r w:rsidR="002F0E09" w:rsidRPr="003A723D">
        <w:rPr>
          <w:rFonts w:ascii="Arial" w:hAnsi="Arial" w:cs="Arial"/>
          <w:sz w:val="22"/>
          <w:szCs w:val="22"/>
          <w:lang w:val="fr-FR"/>
        </w:rPr>
        <w:t>3</w:t>
      </w:r>
      <w:r w:rsidR="00D22273" w:rsidRPr="003A723D">
        <w:rPr>
          <w:rFonts w:ascii="Arial" w:hAnsi="Arial" w:cs="Arial"/>
          <w:sz w:val="22"/>
          <w:szCs w:val="22"/>
          <w:lang w:val="fr-FR"/>
        </w:rPr>
        <w:t xml:space="preserve"> et 6 afin de réduire les ambiguïtés dans l</w:t>
      </w:r>
      <w:r w:rsidR="005C5419" w:rsidRPr="003A723D">
        <w:rPr>
          <w:rFonts w:ascii="Arial" w:hAnsi="Arial" w:cs="Arial"/>
          <w:sz w:val="22"/>
          <w:szCs w:val="22"/>
          <w:lang w:val="fr-FR"/>
        </w:rPr>
        <w:t>’</w:t>
      </w:r>
      <w:r w:rsidR="00D22273" w:rsidRPr="003A723D">
        <w:rPr>
          <w:rFonts w:ascii="Arial" w:hAnsi="Arial" w:cs="Arial"/>
          <w:sz w:val="22"/>
          <w:szCs w:val="22"/>
          <w:lang w:val="fr-FR"/>
        </w:rPr>
        <w:t>intérêt de la sécurité juridique;</w:t>
      </w:r>
    </w:p>
    <w:p w14:paraId="060EAF0A" w14:textId="6EE73B61" w:rsidR="00082637" w:rsidRPr="003A723D" w:rsidRDefault="00734A9F"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sz w:val="22"/>
          <w:szCs w:val="22"/>
          <w:lang w:val="fr-FR"/>
        </w:rPr>
        <w:t>l</w:t>
      </w:r>
      <w:r w:rsidR="00C51670" w:rsidRPr="003A723D">
        <w:rPr>
          <w:rFonts w:ascii="Arial" w:hAnsi="Arial" w:cs="Arial"/>
          <w:sz w:val="22"/>
          <w:szCs w:val="22"/>
          <w:lang w:val="fr-FR"/>
        </w:rPr>
        <w:t>es</w:t>
      </w:r>
      <w:proofErr w:type="gramEnd"/>
      <w:r w:rsidR="00C51670" w:rsidRPr="003A723D">
        <w:rPr>
          <w:rFonts w:ascii="Arial" w:hAnsi="Arial" w:cs="Arial"/>
          <w:sz w:val="22"/>
          <w:szCs w:val="22"/>
          <w:lang w:val="fr-FR"/>
        </w:rPr>
        <w:t xml:space="preserve"> préoccupations de certains États membres concernant les divergences par rapport à leurs régimes régionaux</w:t>
      </w:r>
      <w:r w:rsidR="00C51670" w:rsidRPr="003A723D">
        <w:rPr>
          <w:rFonts w:ascii="Arial" w:hAnsi="Arial" w:cs="Arial"/>
          <w:color w:val="000000"/>
          <w:sz w:val="22"/>
          <w:szCs w:val="22"/>
          <w:lang w:val="fr-FR"/>
        </w:rPr>
        <w:t xml:space="preserve"> ou </w:t>
      </w:r>
      <w:r w:rsidR="00C51670" w:rsidRPr="003A723D">
        <w:rPr>
          <w:rFonts w:ascii="Arial" w:hAnsi="Arial" w:cs="Arial"/>
          <w:sz w:val="22"/>
          <w:szCs w:val="22"/>
          <w:lang w:val="fr-FR"/>
        </w:rPr>
        <w:t xml:space="preserve">nationaux existants ou à leurs positions politiques, notamment en ce qui concerne la portée des droits, les sanctions et les relations avec leurs </w:t>
      </w:r>
      <w:r w:rsidR="00C51670" w:rsidRPr="003A723D">
        <w:rPr>
          <w:rFonts w:ascii="Arial" w:hAnsi="Arial" w:cs="Arial"/>
          <w:color w:val="000000"/>
          <w:sz w:val="22"/>
          <w:szCs w:val="22"/>
          <w:lang w:val="fr-FR"/>
        </w:rPr>
        <w:t xml:space="preserve">systèmes </w:t>
      </w:r>
      <w:r w:rsidR="00C51670" w:rsidRPr="003A723D">
        <w:rPr>
          <w:rFonts w:ascii="Arial" w:hAnsi="Arial" w:cs="Arial"/>
          <w:sz w:val="22"/>
          <w:szCs w:val="22"/>
          <w:lang w:val="fr-FR"/>
        </w:rPr>
        <w:t>d</w:t>
      </w:r>
      <w:r w:rsidR="005C5419" w:rsidRPr="003A723D">
        <w:rPr>
          <w:rFonts w:ascii="Arial" w:hAnsi="Arial" w:cs="Arial"/>
          <w:sz w:val="22"/>
          <w:szCs w:val="22"/>
          <w:lang w:val="fr-FR"/>
        </w:rPr>
        <w:t>’</w:t>
      </w:r>
      <w:r w:rsidR="00C51670" w:rsidRPr="003A723D">
        <w:rPr>
          <w:rFonts w:ascii="Arial" w:hAnsi="Arial" w:cs="Arial"/>
          <w:sz w:val="22"/>
          <w:szCs w:val="22"/>
          <w:lang w:val="fr-FR"/>
        </w:rPr>
        <w:t>accès et de partage des avantages</w:t>
      </w:r>
      <w:r w:rsidR="00DF5D9B" w:rsidRPr="003A723D">
        <w:rPr>
          <w:rFonts w:ascii="Arial" w:hAnsi="Arial" w:cs="Arial"/>
          <w:sz w:val="22"/>
          <w:szCs w:val="22"/>
          <w:lang w:val="fr-FR"/>
        </w:rPr>
        <w:t xml:space="preserve">; </w:t>
      </w:r>
      <w:r w:rsidR="00C51670" w:rsidRPr="003A723D">
        <w:rPr>
          <w:rFonts w:ascii="Arial" w:hAnsi="Arial" w:cs="Arial"/>
          <w:sz w:val="22"/>
          <w:szCs w:val="22"/>
          <w:lang w:val="fr-FR"/>
        </w:rPr>
        <w:t xml:space="preserve"> et</w:t>
      </w:r>
    </w:p>
    <w:p w14:paraId="71F1E9C6" w14:textId="2BB84184" w:rsidR="002F0E09" w:rsidRPr="003A723D" w:rsidRDefault="00C51670" w:rsidP="00FE26A2">
      <w:pPr>
        <w:pStyle w:val="ListParagraph"/>
        <w:numPr>
          <w:ilvl w:val="1"/>
          <w:numId w:val="29"/>
        </w:numPr>
        <w:ind w:left="1701" w:hanging="567"/>
        <w:rPr>
          <w:rFonts w:ascii="Arial" w:hAnsi="Arial" w:cs="Arial"/>
          <w:sz w:val="22"/>
          <w:szCs w:val="22"/>
          <w:lang w:val="fr-FR"/>
        </w:rPr>
      </w:pPr>
      <w:proofErr w:type="gramStart"/>
      <w:r w:rsidRPr="003A723D">
        <w:rPr>
          <w:rFonts w:ascii="Arial" w:hAnsi="Arial" w:cs="Arial"/>
          <w:color w:val="000000"/>
          <w:sz w:val="22"/>
          <w:szCs w:val="22"/>
          <w:lang w:val="fr-FR"/>
        </w:rPr>
        <w:t>l</w:t>
      </w:r>
      <w:r w:rsidR="005C5419" w:rsidRPr="003A723D">
        <w:rPr>
          <w:rFonts w:ascii="Arial" w:hAnsi="Arial" w:cs="Arial"/>
          <w:color w:val="000000"/>
          <w:sz w:val="22"/>
          <w:szCs w:val="22"/>
          <w:lang w:val="fr-FR"/>
        </w:rPr>
        <w:t>’</w:t>
      </w:r>
      <w:r w:rsidRPr="003A723D">
        <w:rPr>
          <w:rFonts w:ascii="Arial" w:hAnsi="Arial" w:cs="Arial"/>
          <w:color w:val="000000"/>
          <w:sz w:val="22"/>
          <w:szCs w:val="22"/>
          <w:lang w:val="fr-FR"/>
        </w:rPr>
        <w:t>ex</w:t>
      </w:r>
      <w:r w:rsidRPr="003A723D">
        <w:rPr>
          <w:rFonts w:ascii="Arial" w:hAnsi="Arial" w:cs="Arial"/>
          <w:sz w:val="22"/>
          <w:szCs w:val="22"/>
          <w:lang w:val="fr-FR"/>
        </w:rPr>
        <w:t>amen</w:t>
      </w:r>
      <w:proofErr w:type="gramEnd"/>
      <w:r w:rsidRPr="003A723D">
        <w:rPr>
          <w:rFonts w:ascii="Arial" w:hAnsi="Arial" w:cs="Arial"/>
          <w:sz w:val="22"/>
          <w:szCs w:val="22"/>
          <w:lang w:val="fr-FR"/>
        </w:rPr>
        <w:t xml:space="preserve"> d</w:t>
      </w:r>
      <w:r w:rsidR="005C5419" w:rsidRPr="003A723D">
        <w:rPr>
          <w:rFonts w:ascii="Arial" w:hAnsi="Arial" w:cs="Arial"/>
          <w:sz w:val="22"/>
          <w:szCs w:val="22"/>
          <w:lang w:val="fr-FR"/>
        </w:rPr>
        <w:t>’</w:t>
      </w:r>
      <w:r w:rsidRPr="003A723D">
        <w:rPr>
          <w:rFonts w:ascii="Arial" w:hAnsi="Arial" w:cs="Arial"/>
          <w:sz w:val="22"/>
          <w:szCs w:val="22"/>
          <w:lang w:val="fr-FR"/>
        </w:rPr>
        <w:t>une clause de réciprocité et d</w:t>
      </w:r>
      <w:r w:rsidR="005C5419" w:rsidRPr="003A723D">
        <w:rPr>
          <w:rFonts w:ascii="Arial" w:hAnsi="Arial" w:cs="Arial"/>
          <w:sz w:val="22"/>
          <w:szCs w:val="22"/>
          <w:lang w:val="fr-FR"/>
        </w:rPr>
        <w:t>’</w:t>
      </w:r>
      <w:r w:rsidRPr="003A723D">
        <w:rPr>
          <w:rFonts w:ascii="Arial" w:hAnsi="Arial" w:cs="Arial"/>
          <w:sz w:val="22"/>
          <w:szCs w:val="22"/>
          <w:lang w:val="fr-FR"/>
        </w:rPr>
        <w:t>un système d</w:t>
      </w:r>
      <w:r w:rsidR="005C5419" w:rsidRPr="003A723D">
        <w:rPr>
          <w:rFonts w:ascii="Arial" w:hAnsi="Arial" w:cs="Arial"/>
          <w:sz w:val="22"/>
          <w:szCs w:val="22"/>
          <w:lang w:val="fr-FR"/>
        </w:rPr>
        <w:t>’</w:t>
      </w:r>
      <w:r w:rsidRPr="003A723D">
        <w:rPr>
          <w:rFonts w:ascii="Arial" w:hAnsi="Arial" w:cs="Arial"/>
          <w:sz w:val="22"/>
          <w:szCs w:val="22"/>
          <w:lang w:val="fr-FR"/>
        </w:rPr>
        <w:t xml:space="preserve">information international relatif aux ressources génétiques et aux savoirs traditionnels </w:t>
      </w:r>
      <w:r w:rsidRPr="003A723D">
        <w:rPr>
          <w:rFonts w:ascii="Arial" w:hAnsi="Arial" w:cs="Arial"/>
          <w:color w:val="000000"/>
          <w:sz w:val="22"/>
          <w:szCs w:val="22"/>
          <w:lang w:val="fr-FR"/>
        </w:rPr>
        <w:t>qui y sont associés.</w:t>
      </w:r>
    </w:p>
    <w:p w14:paraId="118EC62D" w14:textId="77777777" w:rsidR="00234797" w:rsidRPr="00451D0A" w:rsidRDefault="00234797" w:rsidP="00542C9A">
      <w:pPr>
        <w:rPr>
          <w:rFonts w:ascii="Arial" w:hAnsi="Arial" w:cs="Arial"/>
          <w:sz w:val="22"/>
          <w:szCs w:val="22"/>
          <w:lang w:val="fr-FR"/>
        </w:rPr>
      </w:pPr>
    </w:p>
    <w:p w14:paraId="2D556572" w14:textId="77777777" w:rsidR="00234797" w:rsidRPr="00234797" w:rsidRDefault="00234797" w:rsidP="004A29DC">
      <w:pPr>
        <w:rPr>
          <w:rFonts w:ascii="Arial" w:hAnsi="Arial" w:cs="Arial"/>
          <w:sz w:val="22"/>
          <w:szCs w:val="22"/>
          <w:lang w:val="fr-FR"/>
        </w:rPr>
      </w:pPr>
    </w:p>
    <w:p w14:paraId="402189A0" w14:textId="77777777" w:rsidR="00234797" w:rsidRPr="00451D0A" w:rsidRDefault="00234797" w:rsidP="00E6052D">
      <w:pPr>
        <w:rPr>
          <w:rFonts w:ascii="Arial" w:hAnsi="Arial" w:cs="Arial"/>
          <w:b/>
          <w:sz w:val="22"/>
          <w:szCs w:val="22"/>
          <w:u w:val="single"/>
          <w:lang w:val="fr-FR"/>
        </w:rPr>
      </w:pPr>
      <w:r w:rsidRPr="00451D0A">
        <w:rPr>
          <w:rFonts w:ascii="Arial" w:hAnsi="Arial" w:cs="Arial"/>
          <w:b/>
          <w:color w:val="000000"/>
          <w:sz w:val="22"/>
          <w:szCs w:val="22"/>
          <w:u w:val="single"/>
          <w:lang w:val="fr-FR"/>
        </w:rPr>
        <w:t>Examen des questions essentielles</w:t>
      </w:r>
    </w:p>
    <w:p w14:paraId="61A99657" w14:textId="77777777" w:rsidR="00234797" w:rsidRPr="00451D0A" w:rsidRDefault="00234797" w:rsidP="00903A62">
      <w:pPr>
        <w:rPr>
          <w:rFonts w:ascii="Arial" w:hAnsi="Arial" w:cs="Arial"/>
          <w:b/>
          <w:sz w:val="22"/>
          <w:szCs w:val="22"/>
          <w:u w:val="single"/>
          <w:lang w:val="fr-FR"/>
        </w:rPr>
      </w:pPr>
    </w:p>
    <w:p w14:paraId="41F971EE" w14:textId="77777777" w:rsidR="00234797" w:rsidRPr="00451D0A" w:rsidRDefault="00234797" w:rsidP="007069D1">
      <w:pPr>
        <w:rPr>
          <w:rFonts w:ascii="Arial" w:hAnsi="Arial" w:cs="Arial"/>
          <w:i/>
          <w:sz w:val="22"/>
          <w:szCs w:val="22"/>
          <w:lang w:val="fr-FR"/>
        </w:rPr>
      </w:pPr>
      <w:r w:rsidRPr="00451D0A">
        <w:rPr>
          <w:rFonts w:ascii="Arial" w:hAnsi="Arial" w:cs="Arial"/>
          <w:i/>
          <w:color w:val="000000"/>
          <w:sz w:val="22"/>
          <w:szCs w:val="22"/>
          <w:lang w:val="fr-FR"/>
        </w:rPr>
        <w:t>Contexte international</w:t>
      </w:r>
    </w:p>
    <w:p w14:paraId="199487A3" w14:textId="77777777" w:rsidR="00234797" w:rsidRPr="00451D0A" w:rsidRDefault="00234797" w:rsidP="00903A62">
      <w:pPr>
        <w:rPr>
          <w:rFonts w:ascii="Arial" w:hAnsi="Arial" w:cs="Arial"/>
          <w:sz w:val="22"/>
          <w:szCs w:val="22"/>
          <w:lang w:val="fr-FR"/>
        </w:rPr>
      </w:pPr>
    </w:p>
    <w:p w14:paraId="72243953" w14:textId="77777777" w:rsidR="00234797" w:rsidRPr="00EC5B65" w:rsidRDefault="00234797" w:rsidP="00EC5B65">
      <w:pPr>
        <w:tabs>
          <w:tab w:val="left" w:pos="567"/>
        </w:tabs>
        <w:rPr>
          <w:rFonts w:ascii="Arial" w:hAnsi="Arial" w:cs="Arial"/>
          <w:sz w:val="22"/>
          <w:szCs w:val="22"/>
          <w:lang w:val="fr-FR"/>
        </w:rPr>
      </w:pPr>
      <w:r w:rsidRPr="00EC5B65">
        <w:rPr>
          <w:rFonts w:ascii="Arial" w:hAnsi="Arial" w:cs="Arial"/>
          <w:sz w:val="22"/>
          <w:szCs w:val="22"/>
          <w:lang w:val="fr-FR"/>
        </w:rPr>
        <w:t>11.</w:t>
      </w:r>
      <w:r w:rsidRPr="00EC5B65">
        <w:rPr>
          <w:rFonts w:ascii="Arial" w:hAnsi="Arial" w:cs="Arial"/>
          <w:sz w:val="22"/>
          <w:szCs w:val="22"/>
          <w:lang w:val="fr-FR"/>
        </w:rPr>
        <w:tab/>
        <w:t xml:space="preserve">Les instruments internationaux réglementant l’accès aux ressources génétiques et le partage des avantages qui en découlent sont la CDB, le Protocole de Nagoya et le Traité international sur les ressources </w:t>
      </w:r>
      <w:proofErr w:type="spellStart"/>
      <w:r w:rsidRPr="00EC5B65">
        <w:rPr>
          <w:rFonts w:ascii="Arial" w:hAnsi="Arial" w:cs="Arial"/>
          <w:sz w:val="22"/>
          <w:szCs w:val="22"/>
          <w:lang w:val="fr-FR"/>
        </w:rPr>
        <w:t>phytogénétiques</w:t>
      </w:r>
      <w:proofErr w:type="spellEnd"/>
      <w:r w:rsidRPr="00EC5B65">
        <w:rPr>
          <w:rFonts w:ascii="Arial" w:hAnsi="Arial" w:cs="Arial"/>
          <w:sz w:val="22"/>
          <w:szCs w:val="22"/>
          <w:lang w:val="fr-FR"/>
        </w:rPr>
        <w:t xml:space="preserve"> pour l’alimentation et l’agriculture (TIRPAA) de l’Organisation des Nations Unies pour l’alimentation et l’agriculture.</w:t>
      </w:r>
    </w:p>
    <w:p w14:paraId="72B81F6F" w14:textId="77777777" w:rsidR="00234797" w:rsidRPr="00EC5B65" w:rsidRDefault="00234797" w:rsidP="00F77BAE">
      <w:pPr>
        <w:rPr>
          <w:rFonts w:ascii="Arial" w:hAnsi="Arial" w:cs="Arial"/>
          <w:sz w:val="22"/>
          <w:szCs w:val="22"/>
          <w:lang w:val="fr-FR"/>
        </w:rPr>
      </w:pPr>
    </w:p>
    <w:p w14:paraId="1C9ACFF3" w14:textId="77777777" w:rsidR="00234797" w:rsidRPr="00451D0A" w:rsidRDefault="00234797" w:rsidP="00EC5B65">
      <w:pPr>
        <w:tabs>
          <w:tab w:val="left" w:pos="567"/>
        </w:tabs>
        <w:rPr>
          <w:rFonts w:ascii="Arial" w:hAnsi="Arial" w:cs="Arial"/>
          <w:sz w:val="22"/>
          <w:szCs w:val="22"/>
          <w:lang w:val="fr-FR"/>
        </w:rPr>
      </w:pPr>
      <w:r w:rsidRPr="00451D0A">
        <w:rPr>
          <w:rFonts w:ascii="Arial" w:hAnsi="Arial" w:cs="Arial"/>
          <w:color w:val="000000"/>
          <w:sz w:val="22"/>
          <w:szCs w:val="22"/>
          <w:lang w:val="fr-FR"/>
        </w:rPr>
        <w:t>12.</w:t>
      </w:r>
      <w:r w:rsidRPr="00451D0A">
        <w:rPr>
          <w:rFonts w:ascii="Arial" w:hAnsi="Arial" w:cs="Arial"/>
          <w:color w:val="000000"/>
          <w:sz w:val="22"/>
          <w:szCs w:val="22"/>
          <w:lang w:val="fr-FR"/>
        </w:rPr>
        <w:tab/>
        <w:t xml:space="preserve">L’importance de ces instruments tient au fait qu’ils sont les premiers instruments multilatéraux à traiter de la protection des ressources génétiques et des savoirs traditionnels qui y sont associés, y compris de l’accès et du partage des avantages.  </w:t>
      </w:r>
      <w:r w:rsidRPr="00451D0A">
        <w:rPr>
          <w:rFonts w:ascii="Arial" w:hAnsi="Arial" w:cs="Arial"/>
          <w:sz w:val="22"/>
          <w:szCs w:val="22"/>
          <w:lang w:val="fr-FR"/>
        </w:rPr>
        <w:t xml:space="preserve">Un élément clé des négociations du protocole de Nagoya concernait les points de contrôle nationaux et la question de savoir si l’office des brevets devait être spécifiquement désigné comme un point </w:t>
      </w:r>
      <w:r w:rsidRPr="00451D0A">
        <w:rPr>
          <w:rFonts w:ascii="Arial" w:hAnsi="Arial" w:cs="Arial"/>
          <w:sz w:val="22"/>
          <w:szCs w:val="22"/>
          <w:lang w:val="fr-FR"/>
        </w:rPr>
        <w:lastRenderedPageBreak/>
        <w:t xml:space="preserve">de contrôle.  </w:t>
      </w:r>
      <w:r w:rsidRPr="00451D0A">
        <w:rPr>
          <w:rFonts w:ascii="Arial" w:hAnsi="Arial" w:cs="Arial"/>
          <w:color w:val="000000"/>
          <w:sz w:val="22"/>
          <w:szCs w:val="22"/>
          <w:lang w:val="fr-FR"/>
        </w:rPr>
        <w:t>Finalement, cela n’a pas été accepté, car des discussions sont en cours au sein de l’OMPI concernant la divulgation des ressources génétiques et des savoirs traditionnels qui y sont associés dans le cadre du système de la propriété intellectuelle</w:t>
      </w:r>
      <w:r w:rsidRPr="00451D0A">
        <w:rPr>
          <w:rFonts w:ascii="Arial" w:hAnsi="Arial" w:cs="Arial"/>
          <w:sz w:val="22"/>
          <w:szCs w:val="22"/>
          <w:lang w:val="fr-FR"/>
        </w:rPr>
        <w:t>.</w:t>
      </w:r>
    </w:p>
    <w:p w14:paraId="7A286308" w14:textId="77777777" w:rsidR="00234797" w:rsidRPr="00451D0A" w:rsidRDefault="00234797" w:rsidP="00F77BAE">
      <w:pPr>
        <w:rPr>
          <w:rFonts w:ascii="Arial" w:hAnsi="Arial" w:cs="Arial"/>
          <w:sz w:val="22"/>
          <w:szCs w:val="22"/>
          <w:lang w:val="fr-FR"/>
        </w:rPr>
      </w:pPr>
    </w:p>
    <w:p w14:paraId="7A6C2E3A" w14:textId="77777777" w:rsidR="00234797" w:rsidRPr="00451D0A" w:rsidRDefault="00234797" w:rsidP="00EC5B65">
      <w:pPr>
        <w:tabs>
          <w:tab w:val="left" w:pos="567"/>
        </w:tabs>
        <w:rPr>
          <w:rFonts w:ascii="Arial" w:hAnsi="Arial" w:cs="Arial"/>
          <w:sz w:val="22"/>
          <w:szCs w:val="22"/>
          <w:lang w:val="fr-FR"/>
        </w:rPr>
      </w:pPr>
      <w:r w:rsidRPr="00451D0A">
        <w:rPr>
          <w:rFonts w:ascii="Arial" w:hAnsi="Arial" w:cs="Arial"/>
          <w:sz w:val="22"/>
          <w:szCs w:val="22"/>
          <w:lang w:val="fr-FR"/>
        </w:rPr>
        <w:t>13.</w:t>
      </w:r>
      <w:r w:rsidRPr="00451D0A">
        <w:rPr>
          <w:rFonts w:ascii="Arial" w:hAnsi="Arial" w:cs="Arial"/>
          <w:sz w:val="22"/>
          <w:szCs w:val="22"/>
          <w:lang w:val="fr-FR"/>
        </w:rPr>
        <w:tab/>
      </w:r>
      <w:r w:rsidRPr="00451D0A">
        <w:rPr>
          <w:rFonts w:ascii="Arial" w:hAnsi="Arial" w:cs="Arial"/>
          <w:color w:val="000000"/>
          <w:sz w:val="22"/>
          <w:szCs w:val="22"/>
          <w:lang w:val="fr-FR"/>
        </w:rPr>
        <w:t>De mon point de vue, compte tenu du contexte international, je pense que les négociations de l’IGC relatives aux ressources génétiques concernent précisément le système de la propriété intellectuelle et le rôle qu’il devrait jouer, le cas échéant, pour faciliter “</w:t>
      </w:r>
      <w:r w:rsidRPr="00451D0A">
        <w:rPr>
          <w:rFonts w:ascii="Arial" w:hAnsi="Arial" w:cs="Arial"/>
          <w:i/>
          <w:color w:val="000000"/>
          <w:sz w:val="22"/>
          <w:szCs w:val="22"/>
          <w:lang w:val="fr-FR"/>
        </w:rPr>
        <w:t>la protection efficace et équilibrée des ressources génétiques et des savoirs traditionnels qui y sont associés</w:t>
      </w:r>
      <w:r w:rsidRPr="00451D0A">
        <w:rPr>
          <w:rFonts w:ascii="Arial" w:hAnsi="Arial" w:cs="Arial"/>
          <w:color w:val="000000"/>
          <w:sz w:val="22"/>
          <w:szCs w:val="22"/>
          <w:lang w:val="fr-FR"/>
        </w:rPr>
        <w:t>”.</w:t>
      </w:r>
    </w:p>
    <w:p w14:paraId="23365EE2" w14:textId="77777777" w:rsidR="00234797" w:rsidRPr="00451D0A" w:rsidRDefault="00234797" w:rsidP="00F77BAE">
      <w:pPr>
        <w:rPr>
          <w:rFonts w:ascii="Arial" w:hAnsi="Arial" w:cs="Arial"/>
          <w:sz w:val="22"/>
          <w:szCs w:val="22"/>
          <w:lang w:val="fr-FR"/>
        </w:rPr>
      </w:pPr>
    </w:p>
    <w:p w14:paraId="77E2C8A8" w14:textId="3AA6E90B" w:rsidR="00234797" w:rsidRPr="00451D0A" w:rsidRDefault="00234797" w:rsidP="00EC5B65">
      <w:pPr>
        <w:tabs>
          <w:tab w:val="left" w:pos="567"/>
        </w:tabs>
        <w:rPr>
          <w:rFonts w:ascii="Arial" w:hAnsi="Arial" w:cs="Arial"/>
          <w:b/>
          <w:sz w:val="22"/>
          <w:szCs w:val="22"/>
          <w:lang w:val="fr-FR"/>
        </w:rPr>
      </w:pPr>
      <w:r w:rsidRPr="00451D0A">
        <w:rPr>
          <w:rFonts w:ascii="Arial" w:hAnsi="Arial" w:cs="Arial"/>
          <w:color w:val="000000"/>
          <w:sz w:val="22"/>
          <w:szCs w:val="22"/>
          <w:lang w:val="fr-FR"/>
        </w:rPr>
        <w:t>14.</w:t>
      </w:r>
      <w:r w:rsidRPr="00451D0A">
        <w:rPr>
          <w:rFonts w:ascii="Arial" w:hAnsi="Arial" w:cs="Arial"/>
          <w:color w:val="000000"/>
          <w:sz w:val="22"/>
          <w:szCs w:val="22"/>
          <w:lang w:val="fr-FR"/>
        </w:rPr>
        <w:tab/>
        <w:t>Les questions essentielles auxquelles doit répondre l’IGC sont les suivantes :</w:t>
      </w:r>
      <w:r w:rsidRPr="00451D0A">
        <w:rPr>
          <w:rFonts w:ascii="Arial" w:hAnsi="Arial" w:cs="Arial"/>
          <w:b/>
          <w:color w:val="000000"/>
          <w:sz w:val="22"/>
          <w:szCs w:val="22"/>
          <w:lang w:val="fr-FR"/>
        </w:rPr>
        <w:t xml:space="preserve"> 1)</w:t>
      </w:r>
      <w:r>
        <w:rPr>
          <w:rFonts w:ascii="Arial" w:hAnsi="Arial" w:cs="Arial"/>
          <w:b/>
          <w:color w:val="000000"/>
          <w:sz w:val="22"/>
          <w:szCs w:val="22"/>
          <w:lang w:val="fr-FR"/>
        </w:rPr>
        <w:t> </w:t>
      </w:r>
      <w:r w:rsidRPr="00451D0A">
        <w:rPr>
          <w:rFonts w:ascii="Arial" w:hAnsi="Arial" w:cs="Arial"/>
          <w:b/>
          <w:color w:val="000000"/>
          <w:sz w:val="22"/>
          <w:szCs w:val="22"/>
          <w:lang w:val="fr-FR"/>
        </w:rPr>
        <w:t xml:space="preserve">le système de la propriété intellectuelle </w:t>
      </w:r>
      <w:proofErr w:type="spellStart"/>
      <w:r w:rsidRPr="00451D0A">
        <w:rPr>
          <w:rFonts w:ascii="Arial" w:hAnsi="Arial" w:cs="Arial"/>
          <w:b/>
          <w:color w:val="000000"/>
          <w:sz w:val="22"/>
          <w:szCs w:val="22"/>
          <w:lang w:val="fr-FR"/>
        </w:rPr>
        <w:t>a</w:t>
      </w:r>
      <w:r>
        <w:rPr>
          <w:rFonts w:ascii="Arial" w:hAnsi="Arial" w:cs="Arial"/>
          <w:b/>
          <w:color w:val="000000"/>
          <w:sz w:val="22"/>
          <w:szCs w:val="22"/>
          <w:lang w:val="fr-FR"/>
        </w:rPr>
        <w:noBreakHyphen/>
      </w:r>
      <w:r w:rsidRPr="00451D0A">
        <w:rPr>
          <w:rFonts w:ascii="Arial" w:hAnsi="Arial" w:cs="Arial"/>
          <w:b/>
          <w:color w:val="000000"/>
          <w:sz w:val="22"/>
          <w:szCs w:val="22"/>
          <w:lang w:val="fr-FR"/>
        </w:rPr>
        <w:t>t</w:t>
      </w:r>
      <w:r>
        <w:rPr>
          <w:rFonts w:ascii="Arial" w:hAnsi="Arial" w:cs="Arial"/>
          <w:b/>
          <w:color w:val="000000"/>
          <w:sz w:val="22"/>
          <w:szCs w:val="22"/>
          <w:lang w:val="fr-FR"/>
        </w:rPr>
        <w:noBreakHyphen/>
      </w:r>
      <w:r w:rsidRPr="00451D0A">
        <w:rPr>
          <w:rFonts w:ascii="Arial" w:hAnsi="Arial" w:cs="Arial"/>
          <w:b/>
          <w:color w:val="000000"/>
          <w:sz w:val="22"/>
          <w:szCs w:val="22"/>
          <w:lang w:val="fr-FR"/>
        </w:rPr>
        <w:t>il</w:t>
      </w:r>
      <w:proofErr w:type="spellEnd"/>
      <w:r w:rsidRPr="00451D0A">
        <w:rPr>
          <w:rFonts w:ascii="Arial" w:hAnsi="Arial" w:cs="Arial"/>
          <w:b/>
          <w:color w:val="000000"/>
          <w:sz w:val="22"/>
          <w:szCs w:val="22"/>
          <w:lang w:val="fr-FR"/>
        </w:rPr>
        <w:t xml:space="preserve"> un rôle à jouer au niveau international pour appuyer la protection des ressources génétiques et des savoirs traditionnels </w:t>
      </w:r>
      <w:proofErr w:type="gramStart"/>
      <w:r w:rsidRPr="00451D0A">
        <w:rPr>
          <w:rFonts w:ascii="Arial" w:hAnsi="Arial" w:cs="Arial"/>
          <w:b/>
          <w:color w:val="000000"/>
          <w:sz w:val="22"/>
          <w:szCs w:val="22"/>
          <w:lang w:val="fr-FR"/>
        </w:rPr>
        <w:t>associés?</w:t>
      </w:r>
      <w:r>
        <w:rPr>
          <w:rFonts w:ascii="Arial" w:hAnsi="Arial" w:cs="Arial"/>
          <w:b/>
          <w:color w:val="000000"/>
          <w:sz w:val="22"/>
          <w:szCs w:val="22"/>
          <w:lang w:val="fr-FR"/>
        </w:rPr>
        <w:t>;</w:t>
      </w:r>
      <w:proofErr w:type="gramEnd"/>
      <w:r>
        <w:rPr>
          <w:rFonts w:ascii="Arial" w:hAnsi="Arial" w:cs="Arial"/>
          <w:b/>
          <w:color w:val="000000"/>
          <w:sz w:val="22"/>
          <w:szCs w:val="22"/>
          <w:lang w:val="fr-FR"/>
        </w:rPr>
        <w:t xml:space="preserve"> </w:t>
      </w:r>
      <w:r w:rsidRPr="00451D0A">
        <w:rPr>
          <w:rFonts w:ascii="Arial" w:hAnsi="Arial" w:cs="Arial"/>
          <w:b/>
          <w:color w:val="000000"/>
          <w:sz w:val="22"/>
          <w:szCs w:val="22"/>
          <w:lang w:val="fr-FR"/>
        </w:rPr>
        <w:t xml:space="preserve"> 2)</w:t>
      </w:r>
      <w:r>
        <w:rPr>
          <w:rFonts w:ascii="Arial" w:hAnsi="Arial" w:cs="Arial"/>
          <w:b/>
          <w:color w:val="000000"/>
          <w:sz w:val="22"/>
          <w:szCs w:val="22"/>
          <w:lang w:val="fr-FR"/>
        </w:rPr>
        <w:t> </w:t>
      </w:r>
      <w:r w:rsidRPr="00451D0A">
        <w:rPr>
          <w:rFonts w:ascii="Arial" w:hAnsi="Arial" w:cs="Arial"/>
          <w:b/>
          <w:color w:val="000000"/>
          <w:sz w:val="22"/>
          <w:szCs w:val="22"/>
          <w:lang w:val="fr-FR"/>
        </w:rPr>
        <w:t>quels sont les objectifs d’un tel rôle?</w:t>
      </w:r>
      <w:r>
        <w:rPr>
          <w:rFonts w:ascii="Arial" w:hAnsi="Arial" w:cs="Arial"/>
          <w:b/>
          <w:color w:val="000000"/>
          <w:sz w:val="22"/>
          <w:szCs w:val="22"/>
          <w:lang w:val="fr-FR"/>
        </w:rPr>
        <w:t xml:space="preserve">; </w:t>
      </w:r>
      <w:r w:rsidRPr="00451D0A">
        <w:rPr>
          <w:rFonts w:ascii="Arial" w:hAnsi="Arial" w:cs="Arial"/>
          <w:b/>
          <w:color w:val="000000"/>
          <w:sz w:val="22"/>
          <w:szCs w:val="22"/>
          <w:lang w:val="fr-FR"/>
        </w:rPr>
        <w:t xml:space="preserve"> et</w:t>
      </w:r>
      <w:r>
        <w:rPr>
          <w:rFonts w:ascii="Arial" w:hAnsi="Arial" w:cs="Arial"/>
          <w:b/>
          <w:color w:val="000000"/>
          <w:sz w:val="22"/>
          <w:szCs w:val="22"/>
          <w:lang w:val="fr-FR"/>
        </w:rPr>
        <w:t> </w:t>
      </w:r>
      <w:r w:rsidRPr="00451D0A">
        <w:rPr>
          <w:rFonts w:ascii="Arial" w:hAnsi="Arial" w:cs="Arial"/>
          <w:b/>
          <w:color w:val="000000"/>
          <w:sz w:val="22"/>
          <w:szCs w:val="22"/>
          <w:lang w:val="fr-FR"/>
        </w:rPr>
        <w:t>3)</w:t>
      </w:r>
      <w:r>
        <w:rPr>
          <w:rFonts w:ascii="Arial" w:hAnsi="Arial" w:cs="Arial"/>
          <w:b/>
          <w:color w:val="000000"/>
          <w:sz w:val="22"/>
          <w:szCs w:val="22"/>
          <w:lang w:val="fr-FR"/>
        </w:rPr>
        <w:t> </w:t>
      </w:r>
      <w:r w:rsidRPr="00451D0A">
        <w:rPr>
          <w:rFonts w:ascii="Arial" w:hAnsi="Arial" w:cs="Arial"/>
          <w:b/>
          <w:color w:val="000000"/>
          <w:sz w:val="22"/>
          <w:szCs w:val="22"/>
          <w:lang w:val="fr-FR"/>
        </w:rPr>
        <w:t>quels sont les mécanismes appropriés?</w:t>
      </w:r>
    </w:p>
    <w:p w14:paraId="5238DCF3" w14:textId="77777777" w:rsidR="00234797" w:rsidRPr="00451D0A" w:rsidRDefault="00234797" w:rsidP="00F77BAE">
      <w:pPr>
        <w:rPr>
          <w:rFonts w:ascii="Arial" w:hAnsi="Arial" w:cs="Arial"/>
          <w:sz w:val="22"/>
          <w:szCs w:val="22"/>
          <w:lang w:val="fr-FR"/>
        </w:rPr>
      </w:pPr>
    </w:p>
    <w:p w14:paraId="6A81434C" w14:textId="77777777" w:rsidR="00234797" w:rsidRPr="00451D0A" w:rsidRDefault="00234797" w:rsidP="00EC5B65">
      <w:pPr>
        <w:tabs>
          <w:tab w:val="left" w:pos="567"/>
        </w:tabs>
        <w:rPr>
          <w:rFonts w:ascii="Arial" w:hAnsi="Arial" w:cs="Arial"/>
          <w:sz w:val="22"/>
          <w:szCs w:val="22"/>
          <w:lang w:val="fr-FR"/>
        </w:rPr>
      </w:pPr>
      <w:r w:rsidRPr="00451D0A">
        <w:rPr>
          <w:rFonts w:ascii="Arial" w:hAnsi="Arial" w:cs="Arial"/>
          <w:color w:val="000000"/>
          <w:sz w:val="22"/>
          <w:szCs w:val="22"/>
          <w:lang w:val="fr-FR"/>
        </w:rPr>
        <w:t>14.</w:t>
      </w:r>
      <w:r w:rsidRPr="00451D0A">
        <w:rPr>
          <w:rFonts w:ascii="Arial" w:hAnsi="Arial" w:cs="Arial"/>
          <w:color w:val="000000"/>
          <w:sz w:val="22"/>
          <w:szCs w:val="22"/>
          <w:lang w:val="fr-FR"/>
        </w:rPr>
        <w:tab/>
        <w:t>En ce qui concerne ces questions, il semble y avoir un consensus clair, dont témoignent les documents de travail de l’IGC, selon lequel le système de propriété intellectuelle a un rôle à jouer.</w:t>
      </w:r>
    </w:p>
    <w:p w14:paraId="7BFF9F76" w14:textId="77777777" w:rsidR="00234797" w:rsidRPr="00451D0A" w:rsidRDefault="00234797" w:rsidP="00F77BAE">
      <w:pPr>
        <w:rPr>
          <w:rFonts w:ascii="Arial" w:hAnsi="Arial" w:cs="Arial"/>
          <w:i/>
          <w:sz w:val="22"/>
          <w:szCs w:val="22"/>
          <w:lang w:val="fr-FR"/>
        </w:rPr>
      </w:pPr>
    </w:p>
    <w:p w14:paraId="18955E71" w14:textId="77777777" w:rsidR="00234797" w:rsidRPr="00451D0A" w:rsidRDefault="00234797" w:rsidP="007069D1">
      <w:pPr>
        <w:rPr>
          <w:rFonts w:ascii="Arial" w:hAnsi="Arial" w:cs="Arial"/>
          <w:i/>
          <w:sz w:val="22"/>
          <w:szCs w:val="22"/>
          <w:lang w:val="fr-FR"/>
        </w:rPr>
      </w:pPr>
      <w:r w:rsidRPr="00451D0A">
        <w:rPr>
          <w:rFonts w:ascii="Arial" w:hAnsi="Arial" w:cs="Arial"/>
          <w:i/>
          <w:color w:val="000000"/>
          <w:sz w:val="22"/>
          <w:szCs w:val="22"/>
          <w:lang w:val="fr-FR"/>
        </w:rPr>
        <w:t>Objet</w:t>
      </w:r>
    </w:p>
    <w:p w14:paraId="3554D02C" w14:textId="77777777" w:rsidR="00234797" w:rsidRPr="00451D0A" w:rsidRDefault="00234797" w:rsidP="00F77BAE">
      <w:pPr>
        <w:rPr>
          <w:rFonts w:ascii="Arial" w:hAnsi="Arial" w:cs="Arial"/>
          <w:i/>
          <w:sz w:val="22"/>
          <w:szCs w:val="22"/>
          <w:lang w:val="fr-FR"/>
        </w:rPr>
      </w:pPr>
    </w:p>
    <w:p w14:paraId="11C2E787" w14:textId="77777777" w:rsidR="00234797" w:rsidRPr="00234797" w:rsidRDefault="00234797" w:rsidP="00EC5B65">
      <w:pPr>
        <w:tabs>
          <w:tab w:val="left" w:pos="567"/>
        </w:tabs>
        <w:rPr>
          <w:rFonts w:ascii="Arial" w:hAnsi="Arial" w:cs="Arial"/>
          <w:sz w:val="22"/>
          <w:szCs w:val="22"/>
          <w:lang w:val="fr-FR"/>
        </w:rPr>
      </w:pPr>
      <w:r w:rsidRPr="00451D0A">
        <w:rPr>
          <w:rFonts w:ascii="Arial" w:hAnsi="Arial" w:cs="Arial"/>
          <w:color w:val="000000"/>
          <w:sz w:val="22"/>
          <w:szCs w:val="22"/>
          <w:lang w:val="fr-FR"/>
        </w:rPr>
        <w:t>15.</w:t>
      </w:r>
      <w:r w:rsidRPr="00451D0A">
        <w:rPr>
          <w:rFonts w:ascii="Arial" w:hAnsi="Arial" w:cs="Arial"/>
          <w:color w:val="000000"/>
          <w:sz w:val="22"/>
          <w:szCs w:val="22"/>
          <w:lang w:val="fr-FR"/>
        </w:rPr>
        <w:tab/>
        <w:t xml:space="preserve">lors de l’examen de ces questions, il est important de tenir compte de la nature du sujet.  Les ressources génétiques peuvent être distinguées des deux autres thèmes traités par l’IGC : les savoirs </w:t>
      </w:r>
      <w:r w:rsidRPr="00234797">
        <w:rPr>
          <w:rFonts w:ascii="Arial" w:hAnsi="Arial" w:cs="Arial"/>
          <w:sz w:val="22"/>
          <w:szCs w:val="22"/>
          <w:lang w:val="fr-FR"/>
        </w:rPr>
        <w:t>traditionnels et les expressions culturelles traditionnelles qui, étant des créations de l’esprit humain, peuvent être considérés comme une “propriété intellectuelle” susceptible d’être protégée directement par un instrument de propriété intellectuelle.  Les ressources génétiques, en revanche, ne sont pas des créations de l’esprit humain et les questions de propriété intellectuelle qu’elles soulèvent sont différentes.</w:t>
      </w:r>
    </w:p>
    <w:p w14:paraId="7D38DAB7" w14:textId="77777777" w:rsidR="00234797" w:rsidRPr="00234797" w:rsidRDefault="00234797" w:rsidP="00B431DB">
      <w:pPr>
        <w:rPr>
          <w:rFonts w:ascii="Arial" w:hAnsi="Arial" w:cs="Arial"/>
          <w:sz w:val="22"/>
          <w:szCs w:val="22"/>
          <w:lang w:val="fr-FR"/>
        </w:rPr>
      </w:pPr>
    </w:p>
    <w:p w14:paraId="092B92EC" w14:textId="77777777"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16.</w:t>
      </w:r>
      <w:r w:rsidRPr="00234797">
        <w:rPr>
          <w:rFonts w:ascii="Arial" w:hAnsi="Arial" w:cs="Arial"/>
          <w:sz w:val="22"/>
          <w:szCs w:val="22"/>
          <w:lang w:val="fr-FR"/>
        </w:rPr>
        <w:tab/>
        <w:t>Les inventions mises au point sur la base de ressources génétiques peuvent être brevetables et, par conséquent, certains membres craignent que des brevets soient délivrés par erreur pour des inventions mises au point sur la base de ressources génétiques.  Ils souhaitent que soient améliorées la qualité de l’examen des brevets et l’efficacité et la transparence du système.  Une option consisterait à faire en sorte que les offices de brevets aient accès à l’information appropriée.  D’autres membres estiment que le système des brevets/de la propriété intellectuelle devrait également faciliter le respect des obligations en matière d’accès et de partage des avantages, eu égard en particulier au consentement préalable en connaissance de cause, aux conditions convenues d’un commun accord ou au partage juste et équitable des avantages, découlant des instruments internationaux susmentionnés.</w:t>
      </w:r>
    </w:p>
    <w:p w14:paraId="67B025B3" w14:textId="77777777" w:rsidR="00234797" w:rsidRPr="00234797" w:rsidRDefault="00234797" w:rsidP="00903A62">
      <w:pPr>
        <w:rPr>
          <w:rFonts w:ascii="Arial" w:hAnsi="Arial" w:cs="Arial"/>
          <w:sz w:val="22"/>
          <w:szCs w:val="22"/>
          <w:lang w:val="fr-FR"/>
        </w:rPr>
      </w:pPr>
    </w:p>
    <w:p w14:paraId="6BA3262E" w14:textId="77777777" w:rsidR="00234797" w:rsidRPr="00234797" w:rsidRDefault="00234797" w:rsidP="007069D1">
      <w:pPr>
        <w:rPr>
          <w:rFonts w:ascii="Arial" w:hAnsi="Arial" w:cs="Arial"/>
          <w:i/>
          <w:sz w:val="22"/>
          <w:szCs w:val="22"/>
          <w:lang w:val="fr-FR"/>
        </w:rPr>
      </w:pPr>
      <w:r w:rsidRPr="00234797">
        <w:rPr>
          <w:rFonts w:ascii="Arial" w:hAnsi="Arial" w:cs="Arial"/>
          <w:i/>
          <w:sz w:val="22"/>
          <w:szCs w:val="22"/>
          <w:lang w:val="fr-FR"/>
        </w:rPr>
        <w:t>Objectifs</w:t>
      </w:r>
    </w:p>
    <w:p w14:paraId="6CFCB0F6" w14:textId="77777777" w:rsidR="00234797" w:rsidRPr="00451D0A" w:rsidRDefault="00234797" w:rsidP="00903A62">
      <w:pPr>
        <w:rPr>
          <w:rFonts w:ascii="Arial" w:hAnsi="Arial" w:cs="Arial"/>
          <w:i/>
          <w:sz w:val="22"/>
          <w:szCs w:val="22"/>
          <w:lang w:val="fr-FR"/>
        </w:rPr>
      </w:pPr>
    </w:p>
    <w:p w14:paraId="351DD01E" w14:textId="30DC1FC4" w:rsidR="00234797" w:rsidRPr="00451D0A" w:rsidRDefault="00234797" w:rsidP="00EC5B65">
      <w:pPr>
        <w:tabs>
          <w:tab w:val="left" w:pos="567"/>
        </w:tabs>
        <w:rPr>
          <w:rFonts w:ascii="Arial" w:hAnsi="Arial" w:cs="Arial"/>
          <w:sz w:val="22"/>
          <w:szCs w:val="22"/>
          <w:lang w:val="fr-FR"/>
        </w:rPr>
      </w:pPr>
      <w:r w:rsidRPr="00451D0A">
        <w:rPr>
          <w:rFonts w:ascii="Arial" w:hAnsi="Arial" w:cs="Arial"/>
          <w:sz w:val="22"/>
          <w:szCs w:val="22"/>
          <w:lang w:val="fr-FR"/>
        </w:rPr>
        <w:t>17.</w:t>
      </w:r>
      <w:r w:rsidRPr="00451D0A">
        <w:rPr>
          <w:rFonts w:ascii="Arial" w:hAnsi="Arial" w:cs="Arial"/>
          <w:sz w:val="22"/>
          <w:szCs w:val="22"/>
          <w:lang w:val="fr-FR"/>
        </w:rPr>
        <w:tab/>
      </w:r>
      <w:r w:rsidRPr="00451D0A">
        <w:rPr>
          <w:rFonts w:ascii="Arial" w:hAnsi="Arial" w:cs="Arial"/>
          <w:color w:val="000000"/>
          <w:sz w:val="22"/>
          <w:szCs w:val="22"/>
          <w:lang w:val="fr-FR"/>
        </w:rPr>
        <w:t>Reflétant les différents points de vue des États membres évoqués ci</w:t>
      </w:r>
      <w:r>
        <w:rPr>
          <w:rFonts w:ascii="Arial" w:hAnsi="Arial" w:cs="Arial"/>
          <w:color w:val="000000"/>
          <w:sz w:val="22"/>
          <w:szCs w:val="22"/>
          <w:lang w:val="fr-FR"/>
        </w:rPr>
        <w:noBreakHyphen/>
      </w:r>
      <w:r w:rsidRPr="00451D0A">
        <w:rPr>
          <w:rFonts w:ascii="Arial" w:hAnsi="Arial" w:cs="Arial"/>
          <w:color w:val="000000"/>
          <w:sz w:val="22"/>
          <w:szCs w:val="22"/>
          <w:lang w:val="fr-FR"/>
        </w:rPr>
        <w:t>dessus, trois objectifs ont été identifiés dans les documents de travail :</w:t>
      </w:r>
    </w:p>
    <w:p w14:paraId="53C5E763" w14:textId="77777777" w:rsidR="00234797" w:rsidRPr="00451D0A" w:rsidRDefault="00234797" w:rsidP="004D4CFA">
      <w:pPr>
        <w:rPr>
          <w:rFonts w:ascii="Arial" w:hAnsi="Arial" w:cs="Arial"/>
          <w:sz w:val="22"/>
          <w:szCs w:val="22"/>
          <w:lang w:val="fr-FR"/>
        </w:rPr>
      </w:pPr>
    </w:p>
    <w:p w14:paraId="6A4AAEA8" w14:textId="235CD776" w:rsidR="00234797" w:rsidRPr="00451D0A" w:rsidRDefault="00234797" w:rsidP="00EC5B65">
      <w:pPr>
        <w:pStyle w:val="ListParagraph"/>
        <w:numPr>
          <w:ilvl w:val="0"/>
          <w:numId w:val="26"/>
        </w:numPr>
        <w:ind w:left="1134" w:hanging="567"/>
        <w:rPr>
          <w:rFonts w:ascii="Arial" w:hAnsi="Arial" w:cs="Arial"/>
          <w:sz w:val="22"/>
          <w:szCs w:val="22"/>
          <w:lang w:val="fr-FR"/>
        </w:rPr>
      </w:pPr>
      <w:proofErr w:type="gramStart"/>
      <w:r w:rsidRPr="00451D0A">
        <w:rPr>
          <w:rFonts w:ascii="Arial" w:hAnsi="Arial" w:cs="Arial"/>
          <w:color w:val="000000"/>
          <w:sz w:val="22"/>
          <w:szCs w:val="22"/>
          <w:lang w:val="fr-FR"/>
        </w:rPr>
        <w:t>améliorer</w:t>
      </w:r>
      <w:proofErr w:type="gramEnd"/>
      <w:r w:rsidRPr="00451D0A">
        <w:rPr>
          <w:rFonts w:ascii="Arial" w:hAnsi="Arial" w:cs="Arial"/>
          <w:color w:val="000000"/>
          <w:sz w:val="22"/>
          <w:szCs w:val="22"/>
          <w:lang w:val="fr-FR"/>
        </w:rPr>
        <w:t xml:space="preserve"> l’efficacité, la transparence et la qualité du système des brevets/de la propriété intellectuelle relatif aux ressources génétiques et aux</w:t>
      </w:r>
      <w:r>
        <w:rPr>
          <w:rFonts w:ascii="Arial" w:hAnsi="Arial" w:cs="Arial"/>
          <w:color w:val="000000"/>
          <w:sz w:val="22"/>
          <w:szCs w:val="22"/>
          <w:lang w:val="fr-FR"/>
        </w:rPr>
        <w:t xml:space="preserve"> savoirs traditionnels associés;</w:t>
      </w:r>
    </w:p>
    <w:p w14:paraId="4E1B603C" w14:textId="22C35F24" w:rsidR="00234797" w:rsidRPr="00451D0A" w:rsidRDefault="00234797" w:rsidP="00EC5B65">
      <w:pPr>
        <w:pStyle w:val="ListParagraph"/>
        <w:numPr>
          <w:ilvl w:val="0"/>
          <w:numId w:val="26"/>
        </w:numPr>
        <w:ind w:left="1134" w:hanging="567"/>
        <w:rPr>
          <w:rFonts w:ascii="Arial" w:hAnsi="Arial" w:cs="Arial"/>
          <w:sz w:val="22"/>
          <w:szCs w:val="22"/>
          <w:lang w:val="fr-FR"/>
        </w:rPr>
      </w:pPr>
      <w:proofErr w:type="gramStart"/>
      <w:r w:rsidRPr="00451D0A">
        <w:rPr>
          <w:rFonts w:ascii="Arial" w:hAnsi="Arial" w:cs="Arial"/>
          <w:color w:val="000000"/>
          <w:sz w:val="22"/>
          <w:szCs w:val="22"/>
          <w:lang w:val="fr-FR"/>
        </w:rPr>
        <w:t>faciliter</w:t>
      </w:r>
      <w:proofErr w:type="gramEnd"/>
      <w:r w:rsidRPr="00451D0A">
        <w:rPr>
          <w:rFonts w:ascii="Arial" w:hAnsi="Arial" w:cs="Arial"/>
          <w:color w:val="000000"/>
          <w:sz w:val="22"/>
          <w:szCs w:val="22"/>
          <w:lang w:val="fr-FR"/>
        </w:rPr>
        <w:t xml:space="preserve"> le soutien mutuel entre les accords relatifs aux ressources génétiques et les savoirs traditionnels associés</w:t>
      </w:r>
      <w:r>
        <w:rPr>
          <w:rFonts w:ascii="Arial" w:hAnsi="Arial" w:cs="Arial"/>
          <w:color w:val="000000"/>
          <w:sz w:val="22"/>
          <w:szCs w:val="22"/>
          <w:lang w:val="fr-FR"/>
        </w:rPr>
        <w:t xml:space="preserve">; </w:t>
      </w:r>
      <w:r w:rsidRPr="00451D0A">
        <w:rPr>
          <w:rFonts w:ascii="Arial" w:hAnsi="Arial" w:cs="Arial"/>
          <w:color w:val="000000"/>
          <w:sz w:val="22"/>
          <w:szCs w:val="22"/>
          <w:lang w:val="fr-FR"/>
        </w:rPr>
        <w:t xml:space="preserve"> et</w:t>
      </w:r>
    </w:p>
    <w:p w14:paraId="0B47CBA5" w14:textId="77777777" w:rsidR="00234797" w:rsidRPr="00451D0A" w:rsidRDefault="00234797" w:rsidP="00EC5B65">
      <w:pPr>
        <w:pStyle w:val="ListParagraph"/>
        <w:numPr>
          <w:ilvl w:val="0"/>
          <w:numId w:val="26"/>
        </w:numPr>
        <w:ind w:left="1134" w:hanging="567"/>
        <w:rPr>
          <w:rFonts w:ascii="Arial" w:hAnsi="Arial" w:cs="Arial"/>
          <w:sz w:val="22"/>
          <w:szCs w:val="22"/>
          <w:lang w:val="fr-FR"/>
        </w:rPr>
      </w:pPr>
      <w:proofErr w:type="gramStart"/>
      <w:r w:rsidRPr="00451D0A">
        <w:rPr>
          <w:rFonts w:ascii="Arial" w:hAnsi="Arial" w:cs="Arial"/>
          <w:color w:val="000000"/>
          <w:sz w:val="22"/>
          <w:szCs w:val="22"/>
          <w:lang w:val="fr-FR"/>
        </w:rPr>
        <w:t>veiller</w:t>
      </w:r>
      <w:proofErr w:type="gramEnd"/>
      <w:r w:rsidRPr="00451D0A">
        <w:rPr>
          <w:rFonts w:ascii="Arial" w:hAnsi="Arial" w:cs="Arial"/>
          <w:color w:val="000000"/>
          <w:sz w:val="22"/>
          <w:szCs w:val="22"/>
          <w:lang w:val="fr-FR"/>
        </w:rPr>
        <w:t xml:space="preserve"> à ce que les offices de brevets aient accès à l’information appropriée afin d’éviter l’octroi de droits de propriété intellectuelle indus ou la délivrance de brevets indus.</w:t>
      </w:r>
    </w:p>
    <w:p w14:paraId="5C5C375B" w14:textId="77777777" w:rsidR="00234797" w:rsidRPr="00451D0A" w:rsidRDefault="00234797" w:rsidP="00903A62">
      <w:pPr>
        <w:rPr>
          <w:rFonts w:ascii="Arial" w:hAnsi="Arial" w:cs="Arial"/>
          <w:sz w:val="22"/>
          <w:szCs w:val="22"/>
          <w:lang w:val="fr-FR"/>
        </w:rPr>
      </w:pPr>
    </w:p>
    <w:p w14:paraId="58C483A9" w14:textId="3BB86484" w:rsidR="00234797" w:rsidRPr="00451D0A" w:rsidRDefault="00234797" w:rsidP="00EC5B65">
      <w:pPr>
        <w:tabs>
          <w:tab w:val="left" w:pos="567"/>
        </w:tabs>
        <w:rPr>
          <w:rFonts w:ascii="Arial" w:hAnsi="Arial" w:cs="Arial"/>
          <w:i/>
          <w:sz w:val="22"/>
          <w:szCs w:val="22"/>
          <w:lang w:val="fr-FR"/>
        </w:rPr>
      </w:pPr>
      <w:r w:rsidRPr="00451D0A">
        <w:rPr>
          <w:rFonts w:ascii="Arial" w:hAnsi="Arial" w:cs="Arial"/>
          <w:color w:val="000000"/>
          <w:sz w:val="22"/>
          <w:szCs w:val="22"/>
          <w:lang w:val="fr-FR"/>
        </w:rPr>
        <w:t>18.</w:t>
      </w:r>
      <w:r w:rsidRPr="00451D0A">
        <w:rPr>
          <w:rFonts w:ascii="Arial" w:hAnsi="Arial" w:cs="Arial"/>
          <w:color w:val="000000"/>
          <w:sz w:val="22"/>
          <w:szCs w:val="22"/>
          <w:lang w:val="fr-FR"/>
        </w:rPr>
        <w:tab/>
        <w:t>En examinant ces objectifs, je constate qu’ils semblent constituer une approche équilibrée des intérêts de tous les États membres.  De même, l’objectif 3 pourrait être considéré comme appuyant ou sous</w:t>
      </w:r>
      <w:r>
        <w:rPr>
          <w:rFonts w:ascii="Arial" w:hAnsi="Arial" w:cs="Arial"/>
          <w:color w:val="000000"/>
          <w:sz w:val="22"/>
          <w:szCs w:val="22"/>
          <w:lang w:val="fr-FR"/>
        </w:rPr>
        <w:noBreakHyphen/>
      </w:r>
      <w:r w:rsidRPr="00451D0A">
        <w:rPr>
          <w:rFonts w:ascii="Arial" w:hAnsi="Arial" w:cs="Arial"/>
          <w:color w:val="000000"/>
          <w:sz w:val="22"/>
          <w:szCs w:val="22"/>
          <w:lang w:val="fr-FR"/>
        </w:rPr>
        <w:t xml:space="preserve">tendant les objectifs 1 et 2.  En outre, de mon point de vue, l’objectif 1 exprime clairement une intention concernant le rôle du système de la propriété intellectuelle dans la promotion de la protection de l’objet au niveau international, </w:t>
      </w:r>
      <w:r w:rsidRPr="00451D0A">
        <w:rPr>
          <w:rFonts w:ascii="Arial" w:hAnsi="Arial" w:cs="Arial"/>
          <w:i/>
          <w:color w:val="000000"/>
          <w:sz w:val="22"/>
          <w:szCs w:val="22"/>
          <w:lang w:val="fr-FR"/>
        </w:rPr>
        <w:t xml:space="preserve">en améliorant l’efficacité, la transparence et la qualité du système des brevets/de la propriété intellectuelle relatif aux ressources génétiques et aux savoirs traditionnels associés.  </w:t>
      </w:r>
      <w:r w:rsidRPr="00451D0A">
        <w:rPr>
          <w:rFonts w:ascii="Arial" w:hAnsi="Arial" w:cs="Arial"/>
          <w:color w:val="000000"/>
          <w:sz w:val="22"/>
          <w:szCs w:val="22"/>
          <w:lang w:val="fr-FR"/>
        </w:rPr>
        <w:t>Un objectif qui faciliterait également le soutien mutuel entre les accords internationaux relatifs à la protection des ressources génétiques et des savoirs traditionnels associés, et empêcherait l’octroi de droits de propriété intellectuelle indus ou la délivrance de brevets indus.</w:t>
      </w:r>
    </w:p>
    <w:p w14:paraId="05FBCFED" w14:textId="77777777" w:rsidR="00234797" w:rsidRPr="00451D0A" w:rsidRDefault="00234797">
      <w:pPr>
        <w:rPr>
          <w:rFonts w:ascii="Arial" w:hAnsi="Arial" w:cs="Arial"/>
          <w:i/>
          <w:sz w:val="22"/>
          <w:szCs w:val="22"/>
          <w:lang w:val="fr-FR"/>
        </w:rPr>
      </w:pPr>
    </w:p>
    <w:p w14:paraId="28646F4C" w14:textId="77777777" w:rsidR="00234797" w:rsidRPr="00451D0A" w:rsidRDefault="00234797" w:rsidP="00EC5B65">
      <w:pPr>
        <w:tabs>
          <w:tab w:val="left" w:pos="567"/>
        </w:tabs>
        <w:rPr>
          <w:rFonts w:ascii="Arial" w:hAnsi="Arial" w:cs="Arial"/>
          <w:i/>
          <w:sz w:val="22"/>
          <w:szCs w:val="22"/>
          <w:lang w:val="fr-FR"/>
        </w:rPr>
      </w:pPr>
      <w:r w:rsidRPr="00451D0A">
        <w:rPr>
          <w:rFonts w:ascii="Arial" w:hAnsi="Arial" w:cs="Arial"/>
          <w:i/>
          <w:color w:val="000000"/>
          <w:sz w:val="22"/>
          <w:szCs w:val="22"/>
          <w:lang w:val="fr-FR"/>
        </w:rPr>
        <w:t>19.</w:t>
      </w:r>
      <w:r w:rsidRPr="00451D0A">
        <w:rPr>
          <w:rFonts w:ascii="Arial" w:hAnsi="Arial" w:cs="Arial"/>
          <w:i/>
          <w:color w:val="000000"/>
          <w:sz w:val="22"/>
          <w:szCs w:val="22"/>
          <w:lang w:val="fr-FR"/>
        </w:rPr>
        <w:tab/>
        <w:t>Les questions essentielles que les États membres doivent examiner sont les suivantes :</w:t>
      </w:r>
    </w:p>
    <w:p w14:paraId="300E72EE" w14:textId="77777777" w:rsidR="00234797" w:rsidRPr="00451D0A" w:rsidRDefault="00234797" w:rsidP="00734697">
      <w:pPr>
        <w:rPr>
          <w:rFonts w:ascii="Arial" w:hAnsi="Arial" w:cs="Arial"/>
          <w:i/>
          <w:sz w:val="22"/>
          <w:szCs w:val="22"/>
          <w:lang w:val="fr-FR"/>
        </w:rPr>
      </w:pPr>
    </w:p>
    <w:p w14:paraId="355BD068" w14:textId="13711176" w:rsidR="00234797" w:rsidRPr="00451D0A" w:rsidRDefault="00234797" w:rsidP="00234797">
      <w:pPr>
        <w:pStyle w:val="ListParagraph"/>
        <w:numPr>
          <w:ilvl w:val="0"/>
          <w:numId w:val="28"/>
        </w:numPr>
        <w:ind w:left="1134" w:hanging="567"/>
        <w:rPr>
          <w:rFonts w:ascii="Arial" w:hAnsi="Arial" w:cs="Arial"/>
          <w:i/>
          <w:sz w:val="22"/>
          <w:szCs w:val="22"/>
          <w:lang w:val="fr-FR"/>
        </w:rPr>
      </w:pPr>
      <w:r w:rsidRPr="00451D0A">
        <w:rPr>
          <w:rFonts w:ascii="Arial" w:hAnsi="Arial" w:cs="Arial"/>
          <w:i/>
          <w:color w:val="000000"/>
          <w:sz w:val="22"/>
          <w:szCs w:val="22"/>
          <w:lang w:val="fr-FR"/>
        </w:rPr>
        <w:t>L’objectif 3 est</w:t>
      </w:r>
      <w:r>
        <w:rPr>
          <w:rFonts w:ascii="Arial" w:hAnsi="Arial" w:cs="Arial"/>
          <w:i/>
          <w:color w:val="000000"/>
          <w:sz w:val="22"/>
          <w:szCs w:val="22"/>
          <w:lang w:val="fr-FR"/>
        </w:rPr>
        <w:noBreakHyphen/>
      </w:r>
      <w:r w:rsidRPr="00451D0A">
        <w:rPr>
          <w:rFonts w:ascii="Arial" w:hAnsi="Arial" w:cs="Arial"/>
          <w:i/>
          <w:color w:val="000000"/>
          <w:sz w:val="22"/>
          <w:szCs w:val="22"/>
          <w:lang w:val="fr-FR"/>
        </w:rPr>
        <w:t>il suffisamment précis pour établir une relation implicite avec les objectifs 1 et 2?</w:t>
      </w:r>
    </w:p>
    <w:p w14:paraId="1E56E53F" w14:textId="6378FAD9" w:rsidR="00234797" w:rsidRPr="00451D0A" w:rsidRDefault="00234797" w:rsidP="00234797">
      <w:pPr>
        <w:pStyle w:val="ListParagraph"/>
        <w:numPr>
          <w:ilvl w:val="0"/>
          <w:numId w:val="28"/>
        </w:numPr>
        <w:ind w:left="1134" w:hanging="567"/>
        <w:rPr>
          <w:rFonts w:ascii="Arial" w:hAnsi="Arial" w:cs="Arial"/>
          <w:i/>
          <w:sz w:val="22"/>
          <w:szCs w:val="22"/>
          <w:lang w:val="fr-FR"/>
        </w:rPr>
      </w:pPr>
      <w:r w:rsidRPr="00451D0A">
        <w:rPr>
          <w:rFonts w:ascii="Arial" w:hAnsi="Arial" w:cs="Arial"/>
          <w:i/>
          <w:color w:val="000000"/>
          <w:sz w:val="22"/>
          <w:szCs w:val="22"/>
          <w:lang w:val="fr-FR"/>
        </w:rPr>
        <w:t>Si la réponse est non, les membres accepteraient</w:t>
      </w:r>
      <w:r>
        <w:rPr>
          <w:rFonts w:ascii="Arial" w:hAnsi="Arial" w:cs="Arial"/>
          <w:i/>
          <w:color w:val="000000"/>
          <w:sz w:val="22"/>
          <w:szCs w:val="22"/>
          <w:lang w:val="fr-FR"/>
        </w:rPr>
        <w:noBreakHyphen/>
      </w:r>
      <w:r w:rsidRPr="00451D0A">
        <w:rPr>
          <w:rFonts w:ascii="Arial" w:hAnsi="Arial" w:cs="Arial"/>
          <w:i/>
          <w:color w:val="000000"/>
          <w:sz w:val="22"/>
          <w:szCs w:val="22"/>
          <w:lang w:val="fr-FR"/>
        </w:rPr>
        <w:t>ils les trois objectifs comme une formule équilibrée protégeant les intérêts de tous les États membres?</w:t>
      </w:r>
    </w:p>
    <w:p w14:paraId="06A575F6" w14:textId="27FE7E54" w:rsidR="00234797" w:rsidRPr="00451D0A" w:rsidRDefault="00234797" w:rsidP="00234797">
      <w:pPr>
        <w:pStyle w:val="ListParagraph"/>
        <w:numPr>
          <w:ilvl w:val="0"/>
          <w:numId w:val="28"/>
        </w:numPr>
        <w:ind w:left="1134" w:hanging="567"/>
        <w:rPr>
          <w:rFonts w:ascii="Arial" w:hAnsi="Arial" w:cs="Arial"/>
          <w:i/>
          <w:sz w:val="22"/>
          <w:szCs w:val="22"/>
          <w:lang w:val="fr-FR"/>
        </w:rPr>
      </w:pPr>
      <w:r w:rsidRPr="00451D0A">
        <w:rPr>
          <w:rFonts w:ascii="Arial" w:hAnsi="Arial" w:cs="Arial"/>
          <w:i/>
          <w:color w:val="000000"/>
          <w:sz w:val="22"/>
          <w:szCs w:val="22"/>
          <w:lang w:val="fr-FR"/>
        </w:rPr>
        <w:t>Si la réponse aux questions 1 et 2 est non, quelle formule permettrait d’obtenir un consensus et le préambule pourrait</w:t>
      </w:r>
      <w:r>
        <w:rPr>
          <w:rFonts w:ascii="Arial" w:hAnsi="Arial" w:cs="Arial"/>
          <w:i/>
          <w:color w:val="000000"/>
          <w:sz w:val="22"/>
          <w:szCs w:val="22"/>
          <w:lang w:val="fr-FR"/>
        </w:rPr>
        <w:noBreakHyphen/>
      </w:r>
      <w:r w:rsidRPr="00451D0A">
        <w:rPr>
          <w:rFonts w:ascii="Arial" w:hAnsi="Arial" w:cs="Arial"/>
          <w:i/>
          <w:color w:val="000000"/>
          <w:sz w:val="22"/>
          <w:szCs w:val="22"/>
          <w:lang w:val="fr-FR"/>
        </w:rPr>
        <w:t>il être utilisé pour répondre aux préoccupations des États membres?</w:t>
      </w:r>
    </w:p>
    <w:p w14:paraId="14AB0A34" w14:textId="77777777" w:rsidR="00234797" w:rsidRPr="00451D0A" w:rsidRDefault="00234797" w:rsidP="00903A62">
      <w:pPr>
        <w:rPr>
          <w:rFonts w:ascii="Arial" w:hAnsi="Arial" w:cs="Arial"/>
          <w:sz w:val="22"/>
          <w:szCs w:val="22"/>
          <w:lang w:val="fr-FR"/>
        </w:rPr>
      </w:pPr>
    </w:p>
    <w:p w14:paraId="00B32A56" w14:textId="77777777" w:rsidR="00234797" w:rsidRPr="00451D0A" w:rsidRDefault="00234797" w:rsidP="00EA4F1F">
      <w:pPr>
        <w:rPr>
          <w:rFonts w:ascii="Arial" w:hAnsi="Arial" w:cs="Arial"/>
          <w:i/>
          <w:color w:val="000000"/>
          <w:sz w:val="22"/>
          <w:szCs w:val="22"/>
          <w:lang w:val="fr-FR"/>
        </w:rPr>
      </w:pPr>
      <w:r w:rsidRPr="00451D0A">
        <w:rPr>
          <w:rFonts w:ascii="Arial" w:hAnsi="Arial" w:cs="Arial"/>
          <w:i/>
          <w:color w:val="000000"/>
          <w:sz w:val="22"/>
          <w:szCs w:val="22"/>
          <w:lang w:val="fr-FR"/>
        </w:rPr>
        <w:t>Mécanismes de politique générale</w:t>
      </w:r>
    </w:p>
    <w:p w14:paraId="746BD69E" w14:textId="77777777" w:rsidR="00234797" w:rsidRPr="00451D0A" w:rsidRDefault="00234797" w:rsidP="00903A62">
      <w:pPr>
        <w:rPr>
          <w:rFonts w:ascii="Arial" w:hAnsi="Arial" w:cs="Arial"/>
          <w:sz w:val="22"/>
          <w:szCs w:val="22"/>
          <w:lang w:val="fr-FR"/>
        </w:rPr>
      </w:pPr>
    </w:p>
    <w:p w14:paraId="68156023" w14:textId="77777777"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20.</w:t>
      </w:r>
      <w:r w:rsidRPr="00234797">
        <w:rPr>
          <w:rFonts w:ascii="Arial" w:hAnsi="Arial" w:cs="Arial"/>
          <w:sz w:val="22"/>
          <w:szCs w:val="22"/>
          <w:lang w:val="fr-FR"/>
        </w:rPr>
        <w:tab/>
        <w:t>Le document de synthèse (WIPO/GRTKF/IC/42/4) présente deux approches générales ou “mécanismes” applicables dans le cadre de l’examen des questions de propriété intellectuelle relatives aux ressources génétiques.</w:t>
      </w:r>
    </w:p>
    <w:p w14:paraId="171603F2" w14:textId="77777777" w:rsidR="00234797" w:rsidRPr="00234797" w:rsidRDefault="00234797" w:rsidP="00A55DE5">
      <w:pPr>
        <w:rPr>
          <w:rFonts w:ascii="Arial" w:hAnsi="Arial" w:cs="Arial"/>
          <w:sz w:val="22"/>
          <w:szCs w:val="22"/>
          <w:lang w:val="fr-FR"/>
        </w:rPr>
      </w:pPr>
    </w:p>
    <w:p w14:paraId="42A21D9A" w14:textId="77777777" w:rsidR="00234797" w:rsidRPr="00234797" w:rsidRDefault="00234797" w:rsidP="00234797">
      <w:pPr>
        <w:pStyle w:val="ListParagraph"/>
        <w:numPr>
          <w:ilvl w:val="0"/>
          <w:numId w:val="23"/>
        </w:numPr>
        <w:ind w:left="1134" w:hanging="567"/>
        <w:rPr>
          <w:rFonts w:ascii="Arial" w:hAnsi="Arial" w:cs="Arial"/>
          <w:sz w:val="22"/>
          <w:szCs w:val="22"/>
          <w:lang w:val="fr-FR"/>
        </w:rPr>
      </w:pPr>
      <w:r w:rsidRPr="00234797">
        <w:rPr>
          <w:rFonts w:ascii="Arial" w:hAnsi="Arial" w:cs="Arial"/>
          <w:b/>
          <w:sz w:val="22"/>
          <w:szCs w:val="22"/>
          <w:lang w:val="fr-FR"/>
        </w:rPr>
        <w:t xml:space="preserve">Mesures défensives.  </w:t>
      </w:r>
      <w:r w:rsidRPr="00234797">
        <w:rPr>
          <w:rFonts w:ascii="Arial" w:hAnsi="Arial" w:cs="Arial"/>
          <w:sz w:val="22"/>
          <w:szCs w:val="22"/>
          <w:lang w:val="fr-FR"/>
        </w:rPr>
        <w:t>Cette approche prévoit des mesures telles que l’utilisation de bases de données, de codes de conduite volontaires et de lignes directrices pour les offices de propriété intellectuelle/de brevets, de mécanismes de règlement extrajudiciaire des litiges et de systèmes de diligence requise au sein des offices de brevets en vertu de la législation nationale en vue de veiller au respect des règles applicables en matière de systèmes d’accès et de partage des avantages.</w:t>
      </w:r>
    </w:p>
    <w:p w14:paraId="605669BF" w14:textId="77777777" w:rsidR="00234797" w:rsidRPr="00234797" w:rsidRDefault="00234797" w:rsidP="00234797">
      <w:pPr>
        <w:rPr>
          <w:rFonts w:ascii="Arial" w:hAnsi="Arial" w:cs="Arial"/>
          <w:sz w:val="22"/>
          <w:szCs w:val="22"/>
          <w:lang w:val="fr-FR"/>
        </w:rPr>
      </w:pPr>
    </w:p>
    <w:p w14:paraId="6E23A531" w14:textId="04CC5E60" w:rsidR="00234797" w:rsidRPr="00234797" w:rsidRDefault="00234797" w:rsidP="00234797">
      <w:pPr>
        <w:pStyle w:val="ListParagraph"/>
        <w:numPr>
          <w:ilvl w:val="0"/>
          <w:numId w:val="23"/>
        </w:numPr>
        <w:ind w:left="1134" w:hanging="567"/>
        <w:rPr>
          <w:rFonts w:ascii="Arial" w:hAnsi="Arial" w:cs="Arial"/>
          <w:sz w:val="22"/>
          <w:szCs w:val="22"/>
          <w:lang w:val="fr-FR"/>
        </w:rPr>
      </w:pPr>
      <w:r w:rsidRPr="00234797">
        <w:rPr>
          <w:rFonts w:ascii="Arial" w:hAnsi="Arial" w:cs="Arial"/>
          <w:b/>
          <w:sz w:val="22"/>
          <w:szCs w:val="22"/>
          <w:lang w:val="fr-FR"/>
        </w:rPr>
        <w:t xml:space="preserve">Exigence de divulgation.  </w:t>
      </w:r>
      <w:r w:rsidRPr="00234797">
        <w:rPr>
          <w:rFonts w:ascii="Arial" w:hAnsi="Arial" w:cs="Arial"/>
          <w:sz w:val="22"/>
          <w:szCs w:val="22"/>
          <w:lang w:val="fr-FR"/>
        </w:rPr>
        <w:t>L’inclusion, dans le cadre de la législation en matière de propriété intellectuelle/de brevets, d’une exigence de divulgation relative à la divulgation d’informations (par exemple, des informations sur le pays d’origine ou la source des ressources génétiques et des savoirs traditionnels associés) dans les demandes, lorsque l’objet de la protection/l’invention revendiquée est matériellement ou directement fondé sur des ressources génétiques ou des savoirs traditionnels associés.  Dans le cadre de cette approche, les mesures défensives (ci</w:t>
      </w:r>
      <w:r w:rsidRPr="00234797">
        <w:rPr>
          <w:rFonts w:ascii="Arial" w:hAnsi="Arial" w:cs="Arial"/>
          <w:sz w:val="22"/>
          <w:szCs w:val="22"/>
          <w:lang w:val="fr-FR"/>
        </w:rPr>
        <w:noBreakHyphen/>
        <w:t>après) sont considérées comme des mesures complémentaires à une exigence de divulgation et non comme une solution de rechange pour atteindre les objectifs de politique générale.</w:t>
      </w:r>
    </w:p>
    <w:p w14:paraId="68853CB6" w14:textId="77777777" w:rsidR="00234797" w:rsidRPr="00234797" w:rsidRDefault="00234797" w:rsidP="0076431B">
      <w:pPr>
        <w:rPr>
          <w:rFonts w:ascii="Arial" w:hAnsi="Arial" w:cs="Arial"/>
          <w:sz w:val="22"/>
          <w:szCs w:val="22"/>
          <w:lang w:val="fr-FR"/>
        </w:rPr>
      </w:pPr>
    </w:p>
    <w:p w14:paraId="5A771251" w14:textId="77777777" w:rsidR="00234797" w:rsidRPr="00234797" w:rsidRDefault="00234797" w:rsidP="007069D1">
      <w:pPr>
        <w:rPr>
          <w:rFonts w:ascii="Arial" w:hAnsi="Arial" w:cs="Arial"/>
          <w:i/>
          <w:sz w:val="22"/>
          <w:szCs w:val="22"/>
          <w:lang w:val="fr-FR"/>
        </w:rPr>
      </w:pPr>
      <w:r w:rsidRPr="00234797">
        <w:rPr>
          <w:rFonts w:ascii="Arial" w:hAnsi="Arial" w:cs="Arial"/>
          <w:i/>
          <w:sz w:val="22"/>
          <w:szCs w:val="22"/>
          <w:lang w:val="fr-FR"/>
        </w:rPr>
        <w:t>Mesures défensives</w:t>
      </w:r>
    </w:p>
    <w:p w14:paraId="2506A576" w14:textId="77777777" w:rsidR="00234797" w:rsidRPr="00234797" w:rsidRDefault="00234797" w:rsidP="007D19AA">
      <w:pPr>
        <w:rPr>
          <w:rFonts w:ascii="Arial" w:hAnsi="Arial" w:cs="Arial"/>
          <w:i/>
          <w:sz w:val="22"/>
          <w:szCs w:val="22"/>
          <w:lang w:val="fr-FR"/>
        </w:rPr>
      </w:pPr>
    </w:p>
    <w:p w14:paraId="0B067943" w14:textId="3F173121"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21.</w:t>
      </w:r>
      <w:r w:rsidRPr="00234797">
        <w:rPr>
          <w:rFonts w:ascii="Arial" w:hAnsi="Arial" w:cs="Arial"/>
          <w:sz w:val="22"/>
          <w:szCs w:val="22"/>
          <w:lang w:val="fr-FR"/>
        </w:rPr>
        <w:tab/>
        <w:t xml:space="preserve">En ce qui concerne les </w:t>
      </w:r>
      <w:r w:rsidRPr="00234797">
        <w:rPr>
          <w:rFonts w:ascii="Arial" w:hAnsi="Arial" w:cs="Arial"/>
          <w:b/>
          <w:sz w:val="22"/>
          <w:szCs w:val="22"/>
          <w:lang w:val="fr-FR"/>
        </w:rPr>
        <w:t>mesures défensives</w:t>
      </w:r>
      <w:r w:rsidRPr="00234797">
        <w:rPr>
          <w:rFonts w:ascii="Arial" w:hAnsi="Arial" w:cs="Arial"/>
          <w:sz w:val="22"/>
          <w:szCs w:val="22"/>
          <w:lang w:val="fr-FR"/>
        </w:rPr>
        <w:t xml:space="preserve"> indiquées dans le document de synthèse ou les recommandations communes, il convient de noter que certains États membres sont d’avis que la meilleure solution pour atteindre les objectifs consisterait à adopter uniquement ces mesures, sans autres exigences de divulgation, tandis que d’autres États membres </w:t>
      </w:r>
      <w:r w:rsidRPr="00234797">
        <w:rPr>
          <w:rFonts w:ascii="Arial" w:hAnsi="Arial" w:cs="Arial"/>
          <w:sz w:val="22"/>
          <w:szCs w:val="22"/>
          <w:lang w:val="fr-FR"/>
        </w:rPr>
        <w:lastRenderedPageBreak/>
        <w:t>estiment que les exigences de divulgation pourraient être assorties de ces mesures.  Compte tenu de ce qui précède, les États membres souhaiteront peut</w:t>
      </w:r>
      <w:r w:rsidRPr="00234797">
        <w:rPr>
          <w:rFonts w:ascii="Arial" w:hAnsi="Arial" w:cs="Arial"/>
          <w:sz w:val="22"/>
          <w:szCs w:val="22"/>
          <w:lang w:val="fr-FR"/>
        </w:rPr>
        <w:noBreakHyphen/>
        <w:t>être examiner plus avant la nature des normes internationales, et la nécessité de les établir, concernant :</w:t>
      </w:r>
    </w:p>
    <w:p w14:paraId="1266A734" w14:textId="77777777" w:rsidR="00234797" w:rsidRPr="00234797" w:rsidRDefault="00234797" w:rsidP="007D19AA">
      <w:pPr>
        <w:rPr>
          <w:rFonts w:ascii="Arial" w:hAnsi="Arial" w:cs="Arial"/>
          <w:sz w:val="22"/>
          <w:szCs w:val="22"/>
          <w:lang w:val="fr-FR"/>
        </w:rPr>
      </w:pPr>
    </w:p>
    <w:p w14:paraId="072941A6" w14:textId="77777777" w:rsidR="00234797" w:rsidRPr="00234797" w:rsidRDefault="00234797" w:rsidP="00234797">
      <w:pPr>
        <w:pStyle w:val="ListParagraph"/>
        <w:numPr>
          <w:ilvl w:val="0"/>
          <w:numId w:val="22"/>
        </w:numPr>
        <w:ind w:left="1134" w:hanging="567"/>
        <w:rPr>
          <w:rFonts w:ascii="Arial" w:hAnsi="Arial" w:cs="Arial"/>
          <w:sz w:val="22"/>
          <w:szCs w:val="22"/>
          <w:lang w:val="fr-FR"/>
        </w:rPr>
      </w:pPr>
      <w:proofErr w:type="gramStart"/>
      <w:r w:rsidRPr="00234797">
        <w:rPr>
          <w:rFonts w:ascii="Arial" w:hAnsi="Arial" w:cs="Arial"/>
          <w:sz w:val="22"/>
          <w:szCs w:val="22"/>
          <w:lang w:val="fr-FR"/>
        </w:rPr>
        <w:t>des</w:t>
      </w:r>
      <w:proofErr w:type="gramEnd"/>
      <w:r w:rsidRPr="00234797">
        <w:rPr>
          <w:rFonts w:ascii="Arial" w:hAnsi="Arial" w:cs="Arial"/>
          <w:sz w:val="22"/>
          <w:szCs w:val="22"/>
          <w:lang w:val="fr-FR"/>
        </w:rPr>
        <w:t xml:space="preserve"> </w:t>
      </w:r>
      <w:r w:rsidRPr="00234797">
        <w:rPr>
          <w:rFonts w:ascii="Arial" w:hAnsi="Arial" w:cs="Arial"/>
          <w:b/>
          <w:sz w:val="22"/>
          <w:szCs w:val="22"/>
          <w:lang w:val="fr-FR"/>
        </w:rPr>
        <w:t>mesures complémentaires fondées sur la diligence requise</w:t>
      </w:r>
      <w:r w:rsidRPr="00234797">
        <w:rPr>
          <w:rFonts w:ascii="Arial" w:hAnsi="Arial" w:cs="Arial"/>
          <w:sz w:val="22"/>
          <w:szCs w:val="22"/>
          <w:lang w:val="fr-FR"/>
        </w:rPr>
        <w:t xml:space="preserve"> afin d’établir l’accès aux ressources génétiques conformément à la législation applicable en matière d’accès et de partage des avantages;</w:t>
      </w:r>
    </w:p>
    <w:p w14:paraId="54C822EB" w14:textId="77777777" w:rsidR="00234797" w:rsidRPr="00234797" w:rsidRDefault="00234797" w:rsidP="00234797">
      <w:pPr>
        <w:pStyle w:val="ListParagraph"/>
        <w:numPr>
          <w:ilvl w:val="0"/>
          <w:numId w:val="22"/>
        </w:numPr>
        <w:ind w:left="1134" w:hanging="567"/>
        <w:rPr>
          <w:rFonts w:ascii="Arial" w:hAnsi="Arial" w:cs="Arial"/>
          <w:sz w:val="22"/>
          <w:szCs w:val="22"/>
          <w:lang w:val="fr-FR"/>
        </w:rPr>
      </w:pPr>
      <w:proofErr w:type="gramStart"/>
      <w:r w:rsidRPr="00234797">
        <w:rPr>
          <w:rFonts w:ascii="Arial" w:hAnsi="Arial" w:cs="Arial"/>
          <w:sz w:val="22"/>
          <w:szCs w:val="22"/>
          <w:lang w:val="fr-FR"/>
        </w:rPr>
        <w:t>des</w:t>
      </w:r>
      <w:proofErr w:type="gramEnd"/>
      <w:r w:rsidRPr="00234797">
        <w:rPr>
          <w:rFonts w:ascii="Arial" w:hAnsi="Arial" w:cs="Arial"/>
          <w:sz w:val="22"/>
          <w:szCs w:val="22"/>
          <w:lang w:val="fr-FR"/>
        </w:rPr>
        <w:t xml:space="preserve"> </w:t>
      </w:r>
      <w:r w:rsidRPr="00234797">
        <w:rPr>
          <w:rFonts w:ascii="Arial" w:hAnsi="Arial" w:cs="Arial"/>
          <w:b/>
          <w:sz w:val="22"/>
          <w:szCs w:val="22"/>
          <w:lang w:val="fr-FR"/>
        </w:rPr>
        <w:t>mesures administratives</w:t>
      </w:r>
      <w:r w:rsidRPr="00234797">
        <w:rPr>
          <w:rFonts w:ascii="Arial" w:hAnsi="Arial" w:cs="Arial"/>
          <w:sz w:val="22"/>
          <w:szCs w:val="22"/>
          <w:lang w:val="fr-FR"/>
        </w:rPr>
        <w:t xml:space="preserve"> visant à empêcher la délivrance indue de brevets pour des inventions revendiquées fondées sur des ressources génétiques ou mises au point sur la base de ressources génétiques;</w:t>
      </w:r>
    </w:p>
    <w:p w14:paraId="1CF07241" w14:textId="77777777" w:rsidR="00234797" w:rsidRPr="00234797" w:rsidRDefault="00234797" w:rsidP="00234797">
      <w:pPr>
        <w:pStyle w:val="ListParagraph"/>
        <w:numPr>
          <w:ilvl w:val="0"/>
          <w:numId w:val="22"/>
        </w:numPr>
        <w:ind w:left="1134" w:hanging="567"/>
        <w:rPr>
          <w:rFonts w:ascii="Arial" w:hAnsi="Arial" w:cs="Arial"/>
          <w:sz w:val="22"/>
          <w:szCs w:val="22"/>
          <w:lang w:val="fr-FR"/>
        </w:rPr>
      </w:pPr>
      <w:proofErr w:type="gramStart"/>
      <w:r w:rsidRPr="00234797">
        <w:rPr>
          <w:rFonts w:ascii="Arial" w:hAnsi="Arial" w:cs="Arial"/>
          <w:sz w:val="22"/>
          <w:szCs w:val="22"/>
          <w:lang w:val="fr-FR"/>
        </w:rPr>
        <w:t>des</w:t>
      </w:r>
      <w:proofErr w:type="gramEnd"/>
      <w:r w:rsidRPr="00234797">
        <w:rPr>
          <w:rFonts w:ascii="Arial" w:hAnsi="Arial" w:cs="Arial"/>
          <w:sz w:val="22"/>
          <w:szCs w:val="22"/>
          <w:lang w:val="fr-FR"/>
        </w:rPr>
        <w:t xml:space="preserve"> </w:t>
      </w:r>
      <w:r w:rsidRPr="00234797">
        <w:rPr>
          <w:rFonts w:ascii="Arial" w:hAnsi="Arial" w:cs="Arial"/>
          <w:b/>
          <w:sz w:val="22"/>
          <w:szCs w:val="22"/>
          <w:lang w:val="fr-FR"/>
        </w:rPr>
        <w:t>mesures administratives</w:t>
      </w:r>
      <w:r w:rsidRPr="00234797">
        <w:rPr>
          <w:rFonts w:ascii="Arial" w:hAnsi="Arial" w:cs="Arial"/>
          <w:sz w:val="22"/>
          <w:szCs w:val="22"/>
          <w:lang w:val="fr-FR"/>
        </w:rPr>
        <w:t xml:space="preserve"> visant à autoriser les tiers à contester la validité de brevets en rapport avec des ressources génétiques;  et</w:t>
      </w:r>
    </w:p>
    <w:p w14:paraId="4F5BFC22" w14:textId="77777777" w:rsidR="00234797" w:rsidRPr="00234797" w:rsidRDefault="00234797" w:rsidP="00234797">
      <w:pPr>
        <w:pStyle w:val="ListParagraph"/>
        <w:numPr>
          <w:ilvl w:val="0"/>
          <w:numId w:val="22"/>
        </w:numPr>
        <w:ind w:left="1134" w:hanging="567"/>
        <w:rPr>
          <w:rFonts w:ascii="Arial" w:hAnsi="Arial" w:cs="Arial"/>
          <w:sz w:val="22"/>
          <w:szCs w:val="22"/>
          <w:lang w:val="fr-FR"/>
        </w:rPr>
      </w:pPr>
      <w:proofErr w:type="gramStart"/>
      <w:r w:rsidRPr="00234797">
        <w:rPr>
          <w:rFonts w:ascii="Arial" w:hAnsi="Arial" w:cs="Arial"/>
          <w:sz w:val="22"/>
          <w:szCs w:val="22"/>
          <w:lang w:val="fr-FR"/>
        </w:rPr>
        <w:t>des</w:t>
      </w:r>
      <w:proofErr w:type="gramEnd"/>
      <w:r w:rsidRPr="00234797">
        <w:rPr>
          <w:rFonts w:ascii="Arial" w:hAnsi="Arial" w:cs="Arial"/>
          <w:sz w:val="22"/>
          <w:szCs w:val="22"/>
          <w:lang w:val="fr-FR"/>
        </w:rPr>
        <w:t xml:space="preserve"> </w:t>
      </w:r>
      <w:r w:rsidRPr="00234797">
        <w:rPr>
          <w:rFonts w:ascii="Arial" w:hAnsi="Arial" w:cs="Arial"/>
          <w:b/>
          <w:sz w:val="22"/>
          <w:szCs w:val="22"/>
          <w:lang w:val="fr-FR"/>
        </w:rPr>
        <w:t>codes de conduite volontaires et des lignes directrices</w:t>
      </w:r>
      <w:r w:rsidRPr="00234797">
        <w:rPr>
          <w:rFonts w:ascii="Arial" w:hAnsi="Arial" w:cs="Arial"/>
          <w:sz w:val="22"/>
          <w:szCs w:val="22"/>
          <w:lang w:val="fr-FR"/>
        </w:rPr>
        <w:t xml:space="preserve"> à l’intention des utilisateurs concernant l’utilisation des ressources génétiques.</w:t>
      </w:r>
    </w:p>
    <w:p w14:paraId="16E479FF" w14:textId="77777777" w:rsidR="00234797" w:rsidRPr="00451D0A" w:rsidRDefault="00234797" w:rsidP="007D19AA">
      <w:pPr>
        <w:spacing w:line="276" w:lineRule="auto"/>
        <w:rPr>
          <w:rFonts w:ascii="Arial" w:hAnsi="Arial" w:cs="Arial"/>
          <w:sz w:val="22"/>
          <w:szCs w:val="22"/>
          <w:lang w:val="fr-FR"/>
        </w:rPr>
      </w:pPr>
    </w:p>
    <w:p w14:paraId="5628F6B7" w14:textId="4B8C95AC"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22.</w:t>
      </w:r>
      <w:r w:rsidRPr="00234797">
        <w:rPr>
          <w:rFonts w:ascii="Arial" w:hAnsi="Arial" w:cs="Arial"/>
          <w:sz w:val="22"/>
          <w:szCs w:val="22"/>
          <w:lang w:val="fr-FR"/>
        </w:rPr>
        <w:tab/>
        <w:t xml:space="preserve">Il semblerait que la plupart des États membres soient d’avis que les </w:t>
      </w:r>
      <w:r w:rsidRPr="00234797">
        <w:rPr>
          <w:rFonts w:ascii="Arial" w:hAnsi="Arial" w:cs="Arial"/>
          <w:b/>
          <w:sz w:val="22"/>
          <w:szCs w:val="22"/>
          <w:lang w:val="fr-FR"/>
        </w:rPr>
        <w:t>bases de données</w:t>
      </w:r>
      <w:r w:rsidRPr="00234797">
        <w:rPr>
          <w:rFonts w:ascii="Arial" w:hAnsi="Arial" w:cs="Arial"/>
          <w:sz w:val="22"/>
          <w:szCs w:val="22"/>
          <w:lang w:val="fr-FR"/>
        </w:rPr>
        <w:t>, quelle que soit l’approche ou la combinaison d’approches, peuvent jouer un rôle fondamental en ce qui concerne le système de la propriété intellectuelle/des brevets et les ressources génétiques.  À ce titre, les États membres souhaiteront peut</w:t>
      </w:r>
      <w:r w:rsidRPr="00234797">
        <w:rPr>
          <w:rFonts w:ascii="Arial" w:hAnsi="Arial" w:cs="Arial"/>
          <w:sz w:val="22"/>
          <w:szCs w:val="22"/>
          <w:lang w:val="fr-FR"/>
        </w:rPr>
        <w:noBreakHyphen/>
        <w:t>être examiner les normes internationales et les sauvegardes nécessaires en rapport avec les bases de données d’information sur les ressources génétiques.  Si l’instrument est également applicable aux savoirs traditionnels associés aux ressources génétiques, quels types de mesures complémentaires pourraient être nécessaires s’agissant des savoirs traditionnels largement partagés et/ou accessibles au public?</w:t>
      </w:r>
    </w:p>
    <w:p w14:paraId="7C8DA477" w14:textId="77777777" w:rsidR="00234797" w:rsidRPr="00234797" w:rsidRDefault="00234797" w:rsidP="007D19AA">
      <w:pPr>
        <w:rPr>
          <w:rFonts w:ascii="Arial" w:hAnsi="Arial" w:cs="Arial"/>
          <w:i/>
          <w:sz w:val="22"/>
          <w:szCs w:val="22"/>
          <w:lang w:val="fr-FR"/>
        </w:rPr>
      </w:pPr>
    </w:p>
    <w:p w14:paraId="60EB6F33" w14:textId="790CECCA"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23.</w:t>
      </w:r>
      <w:r w:rsidRPr="00234797">
        <w:rPr>
          <w:rFonts w:ascii="Arial" w:hAnsi="Arial" w:cs="Arial"/>
          <w:sz w:val="22"/>
          <w:szCs w:val="22"/>
          <w:lang w:val="fr-FR"/>
        </w:rPr>
        <w:tab/>
        <w:t>Nonobstant l’absence actuelle d’accord sur une exigence de divulgation, il serait utile selon moi de déterminer pour lesquelles de ces mesures l’IGC estime judicieux d’établir des normes internationales, par exemple les bases de données.  Cela permettrait peut</w:t>
      </w:r>
      <w:r w:rsidRPr="00234797">
        <w:rPr>
          <w:rFonts w:ascii="Arial" w:hAnsi="Arial" w:cs="Arial"/>
          <w:sz w:val="22"/>
          <w:szCs w:val="22"/>
          <w:lang w:val="fr-FR"/>
        </w:rPr>
        <w:noBreakHyphen/>
        <w:t>être au secrétariat ou à un groupe de travail distinct de procéder à un examen plus approfondi de ces mesures et de présenter des recommandations au comité.</w:t>
      </w:r>
    </w:p>
    <w:p w14:paraId="4315EF0A" w14:textId="77777777" w:rsidR="00234797" w:rsidRPr="00234797" w:rsidRDefault="00234797" w:rsidP="007D19AA">
      <w:pPr>
        <w:rPr>
          <w:rFonts w:ascii="Arial" w:hAnsi="Arial" w:cs="Arial"/>
          <w:sz w:val="22"/>
          <w:szCs w:val="22"/>
          <w:lang w:val="fr-FR"/>
        </w:rPr>
      </w:pPr>
    </w:p>
    <w:p w14:paraId="3B80219C" w14:textId="77777777" w:rsidR="00234797" w:rsidRPr="00234797" w:rsidRDefault="00234797" w:rsidP="007069D1">
      <w:pPr>
        <w:rPr>
          <w:rFonts w:ascii="Arial" w:hAnsi="Arial" w:cs="Arial"/>
          <w:i/>
          <w:sz w:val="22"/>
          <w:szCs w:val="22"/>
          <w:lang w:val="fr-FR"/>
        </w:rPr>
      </w:pPr>
      <w:r w:rsidRPr="00234797">
        <w:rPr>
          <w:rFonts w:ascii="Arial" w:hAnsi="Arial" w:cs="Arial"/>
          <w:i/>
          <w:sz w:val="22"/>
          <w:szCs w:val="22"/>
          <w:lang w:val="fr-FR"/>
        </w:rPr>
        <w:t>Exigence de divulgation</w:t>
      </w:r>
    </w:p>
    <w:p w14:paraId="3D962262" w14:textId="77777777" w:rsidR="00234797" w:rsidRPr="00234797" w:rsidRDefault="00234797" w:rsidP="007D19AA">
      <w:pPr>
        <w:rPr>
          <w:rFonts w:ascii="Arial" w:hAnsi="Arial" w:cs="Arial"/>
          <w:sz w:val="22"/>
          <w:szCs w:val="22"/>
          <w:lang w:val="fr-FR"/>
        </w:rPr>
      </w:pPr>
    </w:p>
    <w:p w14:paraId="43B1D2BB" w14:textId="77777777"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24.</w:t>
      </w:r>
      <w:r w:rsidRPr="00234797">
        <w:rPr>
          <w:rFonts w:ascii="Arial" w:hAnsi="Arial" w:cs="Arial"/>
          <w:sz w:val="22"/>
          <w:szCs w:val="22"/>
          <w:lang w:val="fr-FR"/>
        </w:rPr>
        <w:tab/>
        <w:t>S’agissant de l’exigence de divulgation, l’approche a été considérablement améliorée durant la période des négociations avec l’intégration d’une option de mécanisme administratif visant à garantir la transparence au sein du système de la propriété intellectuelle/des brevets, au lieu d’un système fondé sur une exigence de brevetabilité quant au fond.  Cependant, parmi les États membres favorables à une forme de régime de divulgation, des variations subsistent quant à la portée de ce régime.  Ces différences portent plus précisément sur :</w:t>
      </w:r>
    </w:p>
    <w:p w14:paraId="17EE3491" w14:textId="77777777" w:rsidR="00234797" w:rsidRPr="00234797" w:rsidRDefault="00234797" w:rsidP="00A55DE5">
      <w:pPr>
        <w:rPr>
          <w:rFonts w:ascii="Arial" w:hAnsi="Arial" w:cs="Arial"/>
          <w:sz w:val="22"/>
          <w:szCs w:val="22"/>
          <w:lang w:val="fr-FR"/>
        </w:rPr>
      </w:pPr>
    </w:p>
    <w:p w14:paraId="28634FFB" w14:textId="77777777" w:rsidR="00234797" w:rsidRPr="00234797" w:rsidRDefault="00234797" w:rsidP="00234797">
      <w:pPr>
        <w:pStyle w:val="ListParagraph"/>
        <w:numPr>
          <w:ilvl w:val="0"/>
          <w:numId w:val="17"/>
        </w:numPr>
        <w:ind w:left="1134" w:hanging="567"/>
        <w:rPr>
          <w:rFonts w:ascii="Arial" w:hAnsi="Arial" w:cs="Arial"/>
          <w:sz w:val="22"/>
          <w:szCs w:val="22"/>
          <w:lang w:val="fr-FR"/>
        </w:rPr>
      </w:pPr>
      <w:proofErr w:type="gramStart"/>
      <w:r w:rsidRPr="00234797">
        <w:rPr>
          <w:rFonts w:ascii="Arial" w:hAnsi="Arial" w:cs="Arial"/>
          <w:sz w:val="22"/>
          <w:szCs w:val="22"/>
          <w:lang w:val="fr-FR"/>
        </w:rPr>
        <w:t>la</w:t>
      </w:r>
      <w:proofErr w:type="gramEnd"/>
      <w:r w:rsidRPr="00234797">
        <w:rPr>
          <w:rFonts w:ascii="Arial" w:hAnsi="Arial" w:cs="Arial"/>
          <w:sz w:val="22"/>
          <w:szCs w:val="22"/>
          <w:lang w:val="fr-FR"/>
        </w:rPr>
        <w:t xml:space="preserve"> portée des droits de propriété intellectuelle couverts,</w:t>
      </w:r>
    </w:p>
    <w:p w14:paraId="05001798" w14:textId="77777777" w:rsidR="00234797" w:rsidRPr="00234797" w:rsidRDefault="00234797" w:rsidP="00234797">
      <w:pPr>
        <w:pStyle w:val="ListParagraph"/>
        <w:numPr>
          <w:ilvl w:val="0"/>
          <w:numId w:val="17"/>
        </w:numPr>
        <w:ind w:left="1134" w:hanging="567"/>
        <w:rPr>
          <w:rFonts w:ascii="Arial" w:hAnsi="Arial" w:cs="Arial"/>
          <w:sz w:val="22"/>
          <w:szCs w:val="22"/>
          <w:lang w:val="fr-FR"/>
        </w:rPr>
      </w:pPr>
      <w:proofErr w:type="gramStart"/>
      <w:r w:rsidRPr="00234797">
        <w:rPr>
          <w:rFonts w:ascii="Arial" w:hAnsi="Arial" w:cs="Arial"/>
          <w:sz w:val="22"/>
          <w:szCs w:val="22"/>
          <w:lang w:val="fr-FR"/>
        </w:rPr>
        <w:t>la</w:t>
      </w:r>
      <w:proofErr w:type="gramEnd"/>
      <w:r w:rsidRPr="00234797">
        <w:rPr>
          <w:rFonts w:ascii="Arial" w:hAnsi="Arial" w:cs="Arial"/>
          <w:sz w:val="22"/>
          <w:szCs w:val="22"/>
          <w:lang w:val="fr-FR"/>
        </w:rPr>
        <w:t xml:space="preserve"> nature du facteur déclenchant, qui entraînerait l’obligation de divulgation,</w:t>
      </w:r>
    </w:p>
    <w:p w14:paraId="6F95D9AA" w14:textId="77777777" w:rsidR="00234797" w:rsidRPr="00234797" w:rsidRDefault="00234797" w:rsidP="00234797">
      <w:pPr>
        <w:pStyle w:val="ListParagraph"/>
        <w:numPr>
          <w:ilvl w:val="0"/>
          <w:numId w:val="17"/>
        </w:numPr>
        <w:ind w:left="1134" w:hanging="567"/>
        <w:rPr>
          <w:rFonts w:ascii="Arial" w:hAnsi="Arial" w:cs="Arial"/>
          <w:sz w:val="22"/>
          <w:szCs w:val="22"/>
          <w:lang w:val="fr-FR"/>
        </w:rPr>
      </w:pPr>
      <w:proofErr w:type="gramStart"/>
      <w:r w:rsidRPr="00234797">
        <w:rPr>
          <w:rFonts w:ascii="Arial" w:hAnsi="Arial" w:cs="Arial"/>
          <w:sz w:val="22"/>
          <w:szCs w:val="22"/>
          <w:lang w:val="fr-FR"/>
        </w:rPr>
        <w:t>la</w:t>
      </w:r>
      <w:proofErr w:type="gramEnd"/>
      <w:r w:rsidRPr="00234797">
        <w:rPr>
          <w:rFonts w:ascii="Arial" w:hAnsi="Arial" w:cs="Arial"/>
          <w:sz w:val="22"/>
          <w:szCs w:val="22"/>
          <w:lang w:val="fr-FR"/>
        </w:rPr>
        <w:t xml:space="preserve"> nature des sanctions, en particulier la révocation, et</w:t>
      </w:r>
    </w:p>
    <w:p w14:paraId="62CC387B" w14:textId="77777777" w:rsidR="00234797" w:rsidRPr="00234797" w:rsidRDefault="00234797" w:rsidP="00234797">
      <w:pPr>
        <w:pStyle w:val="ListParagraph"/>
        <w:numPr>
          <w:ilvl w:val="0"/>
          <w:numId w:val="17"/>
        </w:numPr>
        <w:ind w:left="1134" w:hanging="567"/>
        <w:rPr>
          <w:rFonts w:ascii="Arial" w:hAnsi="Arial" w:cs="Arial"/>
          <w:sz w:val="22"/>
          <w:szCs w:val="22"/>
          <w:lang w:val="fr-FR"/>
        </w:rPr>
      </w:pPr>
      <w:proofErr w:type="gramStart"/>
      <w:r w:rsidRPr="00234797">
        <w:rPr>
          <w:rFonts w:ascii="Arial" w:hAnsi="Arial" w:cs="Arial"/>
          <w:sz w:val="22"/>
          <w:szCs w:val="22"/>
          <w:lang w:val="fr-FR"/>
        </w:rPr>
        <w:t>la</w:t>
      </w:r>
      <w:proofErr w:type="gramEnd"/>
      <w:r w:rsidRPr="00234797">
        <w:rPr>
          <w:rFonts w:ascii="Arial" w:hAnsi="Arial" w:cs="Arial"/>
          <w:sz w:val="22"/>
          <w:szCs w:val="22"/>
          <w:lang w:val="fr-FR"/>
        </w:rPr>
        <w:t xml:space="preserve"> relation avec les régimes d’accès et de partage des avantages, par exemple le Protocole de Nagoya.</w:t>
      </w:r>
    </w:p>
    <w:p w14:paraId="4F9FABE9" w14:textId="77777777" w:rsidR="00234797" w:rsidRPr="00234797" w:rsidRDefault="00234797" w:rsidP="00A55DE5">
      <w:pPr>
        <w:rPr>
          <w:rFonts w:ascii="Arial" w:hAnsi="Arial" w:cs="Arial"/>
          <w:sz w:val="22"/>
          <w:szCs w:val="22"/>
          <w:lang w:val="fr-FR"/>
        </w:rPr>
      </w:pPr>
    </w:p>
    <w:p w14:paraId="3B92F2B2" w14:textId="77777777" w:rsidR="00234797" w:rsidRPr="00234797" w:rsidRDefault="00234797" w:rsidP="00EC5B65">
      <w:pPr>
        <w:shd w:val="clear" w:color="auto" w:fill="FFFFFF" w:themeFill="background1"/>
        <w:tabs>
          <w:tab w:val="left" w:pos="567"/>
        </w:tabs>
        <w:rPr>
          <w:rFonts w:ascii="Arial" w:hAnsi="Arial" w:cs="Arial"/>
          <w:sz w:val="22"/>
          <w:szCs w:val="22"/>
          <w:lang w:val="fr-FR"/>
        </w:rPr>
      </w:pPr>
      <w:r w:rsidRPr="00234797">
        <w:rPr>
          <w:rFonts w:ascii="Arial" w:hAnsi="Arial" w:cs="Arial"/>
          <w:sz w:val="22"/>
          <w:szCs w:val="22"/>
          <w:lang w:val="fr-FR"/>
        </w:rPr>
        <w:t>25.</w:t>
      </w:r>
      <w:r w:rsidRPr="00234797">
        <w:rPr>
          <w:rFonts w:ascii="Arial" w:hAnsi="Arial" w:cs="Arial"/>
          <w:sz w:val="22"/>
          <w:szCs w:val="22"/>
          <w:lang w:val="fr-FR"/>
        </w:rPr>
        <w:tab/>
        <w:t xml:space="preserve">Ces divergences reflètent la manière dont les régimes de divulgation sont réglementés aux niveaux national et régional, dans le cadre de la législation relative à l’environnement ou à la biodiversité, de la législation relative aux brevets ou d’une combinaison des deux.  Les divergences pourraient éventuellement renforcer l’incertitude juridique et la charge ou les coûts liés à la réglementation pour les entreprises opérant sur plusieurs territoires.  Les États membres doivent envisager d’examiner si l’établissement d’une série de normes internationales en matière de divulgation relative aux ressources génétiques ou aux savoirs </w:t>
      </w:r>
      <w:r w:rsidRPr="00234797">
        <w:rPr>
          <w:rFonts w:ascii="Arial" w:hAnsi="Arial" w:cs="Arial"/>
          <w:sz w:val="22"/>
          <w:szCs w:val="22"/>
          <w:lang w:val="fr-FR"/>
        </w:rPr>
        <w:lastRenderedPageBreak/>
        <w:t>traditionnels qui leur sont associés dans le cadre du système de la propriété intellectuelle pourrait contribuer à réduire ces risques potentiels.</w:t>
      </w:r>
    </w:p>
    <w:p w14:paraId="0F756378" w14:textId="77777777" w:rsidR="00234797" w:rsidRPr="00234797" w:rsidRDefault="00234797" w:rsidP="00903A62">
      <w:pPr>
        <w:rPr>
          <w:rFonts w:ascii="Arial" w:hAnsi="Arial" w:cs="Arial"/>
          <w:sz w:val="22"/>
          <w:szCs w:val="22"/>
          <w:lang w:val="fr-FR"/>
        </w:rPr>
      </w:pPr>
    </w:p>
    <w:p w14:paraId="2575AD0A" w14:textId="55CD931D" w:rsidR="00234797" w:rsidRPr="00234797" w:rsidRDefault="00234797" w:rsidP="00EC5B65">
      <w:pPr>
        <w:tabs>
          <w:tab w:val="left" w:pos="567"/>
        </w:tabs>
        <w:rPr>
          <w:rFonts w:ascii="Arial" w:hAnsi="Arial" w:cs="Arial"/>
          <w:sz w:val="22"/>
          <w:szCs w:val="22"/>
          <w:lang w:val="fr-FR"/>
        </w:rPr>
      </w:pPr>
      <w:r w:rsidRPr="00234797">
        <w:rPr>
          <w:rFonts w:ascii="Arial" w:hAnsi="Arial" w:cs="Arial"/>
          <w:sz w:val="22"/>
          <w:szCs w:val="22"/>
          <w:lang w:val="fr-FR"/>
        </w:rPr>
        <w:t>26.</w:t>
      </w:r>
      <w:r w:rsidRPr="00234797">
        <w:rPr>
          <w:rFonts w:ascii="Arial" w:hAnsi="Arial" w:cs="Arial"/>
          <w:sz w:val="22"/>
          <w:szCs w:val="22"/>
          <w:lang w:val="fr-FR"/>
        </w:rPr>
        <w:tab/>
        <w:t>Les États membres pourraient envisager de mettre l’accent sur les questions essentielles ci</w:t>
      </w:r>
      <w:r w:rsidRPr="00234797">
        <w:rPr>
          <w:rFonts w:ascii="Arial" w:hAnsi="Arial" w:cs="Arial"/>
          <w:sz w:val="22"/>
          <w:szCs w:val="22"/>
          <w:lang w:val="fr-FR"/>
        </w:rPr>
        <w:noBreakHyphen/>
        <w:t>après relatives aux exigences en matière de divulgation à la quarante</w:t>
      </w:r>
      <w:r w:rsidRPr="00234797">
        <w:rPr>
          <w:rFonts w:ascii="Arial" w:hAnsi="Arial" w:cs="Arial"/>
          <w:sz w:val="22"/>
          <w:szCs w:val="22"/>
          <w:lang w:val="fr-FR"/>
        </w:rPr>
        <w:noBreakHyphen/>
        <w:t xml:space="preserve">deuxième session de l’IGC.  Lors de l’examen de ces questions, les membres pourront également </w:t>
      </w:r>
      <w:proofErr w:type="spellStart"/>
      <w:r w:rsidRPr="00234797">
        <w:rPr>
          <w:rFonts w:ascii="Arial" w:hAnsi="Arial" w:cs="Arial"/>
          <w:sz w:val="22"/>
          <w:szCs w:val="22"/>
          <w:lang w:val="fr-FR"/>
        </w:rPr>
        <w:t>juger</w:t>
      </w:r>
      <w:proofErr w:type="spellEnd"/>
      <w:r w:rsidRPr="00234797">
        <w:rPr>
          <w:rFonts w:ascii="Arial" w:hAnsi="Arial" w:cs="Arial"/>
          <w:sz w:val="22"/>
          <w:szCs w:val="22"/>
          <w:lang w:val="fr-FR"/>
        </w:rPr>
        <w:t xml:space="preserve"> utile de se référer aux notes explicatives contenues dans le texte du président, relatives à ces questions essentielles.</w:t>
      </w:r>
    </w:p>
    <w:p w14:paraId="2E7C262F" w14:textId="77777777" w:rsidR="00234797" w:rsidRPr="00234797" w:rsidRDefault="00234797" w:rsidP="00903A62">
      <w:pPr>
        <w:rPr>
          <w:rFonts w:ascii="Arial" w:hAnsi="Arial" w:cs="Arial"/>
          <w:sz w:val="22"/>
          <w:szCs w:val="22"/>
          <w:lang w:val="fr-FR"/>
        </w:rPr>
      </w:pPr>
    </w:p>
    <w:p w14:paraId="6BD1B2D6" w14:textId="77777777" w:rsidR="00234797" w:rsidRPr="00234797" w:rsidRDefault="00234797" w:rsidP="00234797">
      <w:pPr>
        <w:pStyle w:val="ListParagraph"/>
        <w:numPr>
          <w:ilvl w:val="0"/>
          <w:numId w:val="21"/>
        </w:numPr>
        <w:ind w:left="1701" w:hanging="567"/>
        <w:rPr>
          <w:rFonts w:ascii="Arial" w:hAnsi="Arial" w:cs="Arial"/>
          <w:b/>
          <w:sz w:val="22"/>
          <w:szCs w:val="22"/>
          <w:lang w:val="fr-FR"/>
        </w:rPr>
      </w:pPr>
      <w:r w:rsidRPr="00234797">
        <w:rPr>
          <w:rFonts w:ascii="Arial" w:hAnsi="Arial" w:cs="Arial"/>
          <w:b/>
          <w:sz w:val="22"/>
          <w:szCs w:val="22"/>
          <w:lang w:val="fr-FR"/>
        </w:rPr>
        <w:t>Portée/Objet</w:t>
      </w:r>
    </w:p>
    <w:p w14:paraId="66C6ACCF" w14:textId="77777777" w:rsidR="00234797" w:rsidRPr="00234797" w:rsidRDefault="00234797" w:rsidP="00234797">
      <w:pPr>
        <w:ind w:left="567"/>
        <w:rPr>
          <w:rFonts w:ascii="Arial" w:hAnsi="Arial" w:cs="Arial"/>
          <w:sz w:val="22"/>
          <w:szCs w:val="22"/>
          <w:lang w:val="fr-FR"/>
        </w:rPr>
      </w:pPr>
    </w:p>
    <w:p w14:paraId="6EE05EC8"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Une question fondamentale sur laquelle les États membres sont invités à se pencher concerne la question de savoir si l’instrument devrait être applicable uniquement aux droits de brevet (et aux demandes de brevet) ou également aux autres droits de propriété intellectuelle.  Les exigences en matière de divulgation ont été incorporées à la législation relative à la propriété intellectuelle dans un grand nombre de pays.  Dans plusieurs de ces pays, ces exigences s’appliquent en particulier au droit des brevets, par exemple en Suède et en Chine.  Dans d’autres pays, tels que l’Éthiopie et le Brésil, ces exigences s’appliquent à tous les droits de propriété intellectuelle pertinents.</w:t>
      </w:r>
    </w:p>
    <w:p w14:paraId="30A119D7" w14:textId="77777777" w:rsidR="00234797" w:rsidRPr="00234797" w:rsidRDefault="00234797" w:rsidP="00234797">
      <w:pPr>
        <w:ind w:left="567"/>
        <w:rPr>
          <w:rFonts w:ascii="Arial" w:hAnsi="Arial" w:cs="Arial"/>
          <w:sz w:val="22"/>
          <w:szCs w:val="22"/>
          <w:lang w:val="fr-FR"/>
        </w:rPr>
      </w:pPr>
    </w:p>
    <w:p w14:paraId="2F691843"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Il semblerait que cela dépende au type de législation dans laquelle les exigences en matière de divulgation sont incorporées.  Cela signifie que les exigences en matière de divulgation dans la législation sur les brevets s’appliquent aux droits ou aux demandes de brevet, tandis que les exigences incorporées dans la législation relative à la biodiversité ou à l’accès et au partage des avantages sont souvent applicables à tous les droits de propriété intellectuelle pertinents.</w:t>
      </w:r>
    </w:p>
    <w:p w14:paraId="6DD47CEE" w14:textId="77777777" w:rsidR="00234797" w:rsidRPr="00234797" w:rsidRDefault="00234797" w:rsidP="00234797">
      <w:pPr>
        <w:ind w:left="567"/>
        <w:rPr>
          <w:rFonts w:ascii="Arial" w:hAnsi="Arial" w:cs="Arial"/>
          <w:sz w:val="22"/>
          <w:szCs w:val="22"/>
          <w:lang w:val="fr-FR"/>
        </w:rPr>
      </w:pPr>
    </w:p>
    <w:p w14:paraId="0BC9B851"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Je pense, étant donné que la commercialisation principale des ressources génétiques se fait dans le cadre du système des brevets, que l’instrument devrait initialement s’appliquer uniquement aux systèmes de brevets et que les États membres pourraient examiner ultérieurement d’autres domaines de la propriété intellectuelle.</w:t>
      </w:r>
    </w:p>
    <w:p w14:paraId="54B0A6A9" w14:textId="77777777" w:rsidR="00234797" w:rsidRPr="00234797" w:rsidRDefault="00234797" w:rsidP="00234797">
      <w:pPr>
        <w:ind w:left="567"/>
        <w:rPr>
          <w:rFonts w:ascii="Arial" w:hAnsi="Arial" w:cs="Arial"/>
          <w:sz w:val="22"/>
          <w:szCs w:val="22"/>
          <w:lang w:val="fr-FR"/>
        </w:rPr>
      </w:pPr>
    </w:p>
    <w:p w14:paraId="17F673D2"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 xml:space="preserve">Les États membres sont également invités à examiner si, en sus des ressources génétiques, l’instrument devrait aussi être applicable aux savoirs traditionnels qui leur sont associés.  </w:t>
      </w:r>
      <w:r w:rsidRPr="00234797">
        <w:rPr>
          <w:rFonts w:ascii="Arial Unicode MS" w:hAnsi="Arial Unicode MS" w:cs="Arial Unicode MS"/>
          <w:sz w:val="22"/>
          <w:szCs w:val="22"/>
          <w:lang w:val="fr-FR"/>
        </w:rPr>
        <w:t>Il convient de noter que les savoirs traditionnels ne sont pas toujours associés à des ressources génétiques.  Il convient également de noter qu’une disposition relative à une exigence en matière de divulgation a été incorporée au texte relatif aux savoirs traditionnels actuellement soumis à l’IGC pour examen.  Les États membres pourraient par conséquent envisager d’examiner la question de savoir si les exigences en matière de divulgation dans le texte relatif aux ressources génétiques devraient aussi s’appliquer aux savoirs traditionnels associés aux ressources génétiques</w:t>
      </w:r>
      <w:r w:rsidRPr="00234797">
        <w:rPr>
          <w:rFonts w:ascii="Arial" w:hAnsi="Arial" w:cs="Arial"/>
          <w:sz w:val="22"/>
          <w:szCs w:val="22"/>
          <w:lang w:val="fr-FR"/>
        </w:rPr>
        <w:t>.</w:t>
      </w:r>
    </w:p>
    <w:p w14:paraId="64C5EB45" w14:textId="77777777" w:rsidR="00234797" w:rsidRPr="00234797" w:rsidRDefault="00234797" w:rsidP="00234797">
      <w:pPr>
        <w:ind w:left="567"/>
        <w:rPr>
          <w:rFonts w:ascii="Arial" w:hAnsi="Arial" w:cs="Arial"/>
          <w:sz w:val="22"/>
          <w:szCs w:val="22"/>
          <w:lang w:val="fr-FR"/>
        </w:rPr>
      </w:pPr>
    </w:p>
    <w:p w14:paraId="17DFA7CF"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En rapport avec cette question, les États membres devraient aussi définir les termes “ressources génétiques” (y compris la question de savoir si les dérivés doivent être incorporés dans la définition des ressources génétiques) et “savoirs traditionnels associés aux ressources génétiques”.</w:t>
      </w:r>
      <w:r w:rsidRPr="00234797">
        <w:rPr>
          <w:rFonts w:ascii="Arial" w:hAnsi="Arial"/>
          <w:sz w:val="22"/>
          <w:lang w:val="fr-FR"/>
        </w:rPr>
        <w:t xml:space="preserve">  </w:t>
      </w:r>
      <w:r w:rsidRPr="00234797">
        <w:rPr>
          <w:rFonts w:ascii="Arial" w:hAnsi="Arial" w:cs="Arial"/>
          <w:sz w:val="22"/>
          <w:szCs w:val="22"/>
          <w:lang w:val="fr-FR"/>
        </w:rPr>
        <w:t>Une autre question concernerait le point de savoir quelles exclusions du champ d’application matériel des exigences en matière de divulgation pourraient être envisagées.</w:t>
      </w:r>
    </w:p>
    <w:p w14:paraId="7A357FB2" w14:textId="77777777" w:rsidR="00234797" w:rsidRPr="00234797" w:rsidRDefault="00234797" w:rsidP="00234797">
      <w:pPr>
        <w:spacing w:line="276" w:lineRule="auto"/>
        <w:ind w:left="567"/>
        <w:rPr>
          <w:rFonts w:ascii="Arial" w:hAnsi="Arial" w:cs="Arial"/>
          <w:b/>
          <w:sz w:val="22"/>
          <w:szCs w:val="22"/>
          <w:lang w:val="fr-FR"/>
        </w:rPr>
      </w:pPr>
    </w:p>
    <w:p w14:paraId="7170C526" w14:textId="77777777" w:rsidR="00234797" w:rsidRPr="00234797" w:rsidRDefault="00234797" w:rsidP="00234797">
      <w:pPr>
        <w:pStyle w:val="ListParagraph"/>
        <w:numPr>
          <w:ilvl w:val="0"/>
          <w:numId w:val="21"/>
        </w:numPr>
        <w:ind w:left="1701" w:hanging="567"/>
        <w:rPr>
          <w:rFonts w:ascii="Arial" w:hAnsi="Arial" w:cs="Arial"/>
          <w:b/>
          <w:sz w:val="22"/>
          <w:szCs w:val="22"/>
          <w:lang w:val="fr-FR"/>
        </w:rPr>
      </w:pPr>
      <w:r w:rsidRPr="00234797">
        <w:rPr>
          <w:rFonts w:ascii="Arial" w:hAnsi="Arial" w:cs="Arial"/>
          <w:b/>
          <w:sz w:val="22"/>
          <w:szCs w:val="22"/>
          <w:lang w:val="fr-FR"/>
        </w:rPr>
        <w:t>Nature de la divulgation</w:t>
      </w:r>
    </w:p>
    <w:p w14:paraId="0E483BD1" w14:textId="77777777" w:rsidR="00234797" w:rsidRPr="00234797" w:rsidRDefault="00234797" w:rsidP="00234797">
      <w:pPr>
        <w:ind w:left="567"/>
        <w:rPr>
          <w:rFonts w:ascii="Arial" w:hAnsi="Arial" w:cs="Arial"/>
          <w:sz w:val="22"/>
          <w:szCs w:val="22"/>
          <w:lang w:val="fr-FR"/>
        </w:rPr>
      </w:pPr>
    </w:p>
    <w:p w14:paraId="042B81E5" w14:textId="77777777" w:rsidR="00234797" w:rsidRPr="00234797" w:rsidRDefault="00234797" w:rsidP="00234797">
      <w:pPr>
        <w:ind w:left="567"/>
        <w:rPr>
          <w:rFonts w:ascii="Arial" w:hAnsi="Arial" w:cs="Arial"/>
          <w:sz w:val="22"/>
          <w:szCs w:val="22"/>
          <w:lang w:val="fr-FR"/>
        </w:rPr>
      </w:pPr>
      <w:r w:rsidRPr="00234797">
        <w:rPr>
          <w:rFonts w:ascii="Arial" w:hAnsi="Arial" w:cs="Arial"/>
          <w:sz w:val="22"/>
          <w:szCs w:val="22"/>
          <w:lang w:val="fr-FR"/>
        </w:rPr>
        <w:t xml:space="preserve">Un grand nombre de pays ont adopté dans leur législation nationale certains types d’exigences en matière de divulgation relatives aux ressources génétiques ou aux </w:t>
      </w:r>
      <w:r w:rsidRPr="00234797">
        <w:rPr>
          <w:rFonts w:ascii="Arial" w:hAnsi="Arial" w:cs="Arial"/>
          <w:sz w:val="22"/>
          <w:szCs w:val="22"/>
          <w:lang w:val="fr-FR"/>
        </w:rPr>
        <w:lastRenderedPageBreak/>
        <w:t>savoirs traditionnels, en définissant différents niveaux d’obligations pour les déposants :</w:t>
      </w:r>
    </w:p>
    <w:p w14:paraId="1422CDD0" w14:textId="77777777" w:rsidR="00234797" w:rsidRPr="00234797" w:rsidRDefault="00234797" w:rsidP="00234797">
      <w:pPr>
        <w:ind w:left="567"/>
        <w:rPr>
          <w:rFonts w:ascii="Arial" w:hAnsi="Arial" w:cs="Arial"/>
          <w:sz w:val="22"/>
          <w:szCs w:val="22"/>
          <w:lang w:val="fr-FR"/>
        </w:rPr>
      </w:pPr>
    </w:p>
    <w:p w14:paraId="163E7111" w14:textId="77777777" w:rsidR="00234797" w:rsidRPr="00234797" w:rsidRDefault="00234797" w:rsidP="00EB1C3D">
      <w:pPr>
        <w:pStyle w:val="ListParagraph"/>
        <w:numPr>
          <w:ilvl w:val="0"/>
          <w:numId w:val="22"/>
        </w:numPr>
        <w:ind w:left="1701" w:hanging="567"/>
        <w:rPr>
          <w:rFonts w:ascii="Arial" w:hAnsi="Arial" w:cs="Arial"/>
          <w:sz w:val="22"/>
          <w:szCs w:val="22"/>
          <w:lang w:val="fr-FR"/>
        </w:rPr>
      </w:pPr>
      <w:r w:rsidRPr="00234797">
        <w:rPr>
          <w:rFonts w:ascii="Arial" w:hAnsi="Arial" w:cs="Arial"/>
          <w:sz w:val="22"/>
          <w:szCs w:val="22"/>
          <w:lang w:val="fr-FR"/>
        </w:rPr>
        <w:t>Exigences en matière de divulgation obligatoire en rapport avec les conditions de forme, se rapportant à la nécessité de soumettre certains types de documents ou un support matériel exigé.</w:t>
      </w:r>
    </w:p>
    <w:p w14:paraId="74845E1B" w14:textId="77777777" w:rsidR="00234797" w:rsidRPr="00234797" w:rsidRDefault="00234797" w:rsidP="00903A62">
      <w:pPr>
        <w:pStyle w:val="ListParagraph"/>
        <w:ind w:left="1566"/>
        <w:rPr>
          <w:rFonts w:ascii="Arial" w:hAnsi="Arial" w:cs="Arial"/>
          <w:sz w:val="22"/>
          <w:szCs w:val="22"/>
          <w:lang w:val="fr-FR"/>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234797" w:rsidRPr="00234797" w14:paraId="4ADC4575" w14:textId="77777777" w:rsidTr="00190325">
        <w:tc>
          <w:tcPr>
            <w:tcW w:w="7364" w:type="dxa"/>
            <w:shd w:val="clear" w:color="auto" w:fill="D0CECE" w:themeFill="background2" w:themeFillShade="E6"/>
          </w:tcPr>
          <w:p w14:paraId="151B3636" w14:textId="77777777" w:rsidR="00234797" w:rsidRPr="00234797" w:rsidRDefault="00234797" w:rsidP="007069D1">
            <w:pPr>
              <w:pStyle w:val="ListParagraph"/>
              <w:ind w:left="0"/>
              <w:rPr>
                <w:lang w:val="fr-FR"/>
              </w:rPr>
            </w:pPr>
            <w:r w:rsidRPr="00234797">
              <w:rPr>
                <w:lang w:val="fr-FR"/>
              </w:rPr>
              <w:t xml:space="preserve">Par exemple, </w:t>
            </w:r>
            <w:r w:rsidRPr="00234797">
              <w:rPr>
                <w:b/>
                <w:lang w:val="fr-FR"/>
              </w:rPr>
              <w:t>Suisse</w:t>
            </w:r>
            <w:r w:rsidRPr="00234797">
              <w:rPr>
                <w:lang w:val="fr-FR"/>
              </w:rPr>
              <w:t xml:space="preserve"> : l’article 49.a) de la </w:t>
            </w:r>
            <w:r w:rsidRPr="00234797">
              <w:rPr>
                <w:i/>
                <w:lang w:val="fr-FR"/>
              </w:rPr>
              <w:t>loi fédérale du 25 juin 1954 sur les brevets d’invention (état au 1</w:t>
            </w:r>
            <w:r w:rsidRPr="00234797">
              <w:rPr>
                <w:i/>
                <w:vertAlign w:val="superscript"/>
                <w:lang w:val="fr-FR"/>
              </w:rPr>
              <w:t>er</w:t>
            </w:r>
            <w:r w:rsidRPr="00234797">
              <w:rPr>
                <w:i/>
                <w:lang w:val="fr-FR"/>
              </w:rPr>
              <w:t> janvier 2012)</w:t>
            </w:r>
            <w:r w:rsidRPr="00234797">
              <w:rPr>
                <w:lang w:val="fr-FR"/>
              </w:rPr>
              <w:t xml:space="preserve"> énonce ce qui suit :</w:t>
            </w:r>
          </w:p>
          <w:p w14:paraId="4FFB6798" w14:textId="164673E8" w:rsidR="00234797" w:rsidRPr="00234797" w:rsidRDefault="00234797" w:rsidP="00EB1C3D">
            <w:pPr>
              <w:pStyle w:val="ListParagraph"/>
              <w:ind w:left="550"/>
              <w:rPr>
                <w:lang w:val="fr-FR"/>
              </w:rPr>
            </w:pPr>
            <w:r w:rsidRPr="00234797">
              <w:rPr>
                <w:lang w:val="fr-FR"/>
              </w:rPr>
              <w:t xml:space="preserve">“La demande de brevet doit contenir des indications concernant la source : a) de la ressource génétique à laquelle l’inventeur ou le requérant a eu accès, pour autant que l’invention porte directement sur cette </w:t>
            </w:r>
            <w:proofErr w:type="gramStart"/>
            <w:r w:rsidRPr="00234797">
              <w:rPr>
                <w:lang w:val="fr-FR"/>
              </w:rPr>
              <w:t>ressource;  b</w:t>
            </w:r>
            <w:proofErr w:type="gramEnd"/>
            <w:r w:rsidRPr="00234797">
              <w:rPr>
                <w:lang w:val="fr-FR"/>
              </w:rPr>
              <w:t>) du savoir traditionnel des communautés autochtones ou locales relatif aux ressources génétiques auxquelles l’inventeur ou le requérant a eu accès, pour autant que l’invention porte directement sur ce savoir”</w:t>
            </w:r>
            <w:r w:rsidR="00EB1C3D">
              <w:rPr>
                <w:lang w:val="fr-FR"/>
              </w:rPr>
              <w:t>.</w:t>
            </w:r>
          </w:p>
          <w:p w14:paraId="7AC211F9" w14:textId="77777777" w:rsidR="00234797" w:rsidRPr="00234797" w:rsidRDefault="00234797" w:rsidP="00190325">
            <w:pPr>
              <w:rPr>
                <w:lang w:val="fr-FR"/>
              </w:rPr>
            </w:pPr>
          </w:p>
          <w:p w14:paraId="023882E9" w14:textId="77777777" w:rsidR="00234797" w:rsidRPr="00234797" w:rsidRDefault="00234797" w:rsidP="007069D1">
            <w:pPr>
              <w:rPr>
                <w:lang w:val="fr-FR"/>
              </w:rPr>
            </w:pPr>
            <w:r w:rsidRPr="00234797">
              <w:rPr>
                <w:lang w:val="fr-FR"/>
              </w:rPr>
              <w:t xml:space="preserve">L’article 81.a) de la </w:t>
            </w:r>
            <w:r w:rsidRPr="00234797">
              <w:rPr>
                <w:i/>
                <w:lang w:val="fr-FR"/>
              </w:rPr>
              <w:t>loi fédérale</w:t>
            </w:r>
            <w:r w:rsidRPr="00234797">
              <w:rPr>
                <w:lang w:val="fr-FR"/>
              </w:rPr>
              <w:t xml:space="preserve"> dispose ce qui suit :</w:t>
            </w:r>
          </w:p>
          <w:p w14:paraId="4D02C517" w14:textId="130A7D54" w:rsidR="00234797" w:rsidRPr="00234797" w:rsidRDefault="00234797" w:rsidP="00EB1C3D">
            <w:pPr>
              <w:pStyle w:val="ListParagraph"/>
              <w:ind w:left="550"/>
              <w:rPr>
                <w:lang w:val="fr-FR"/>
              </w:rPr>
            </w:pPr>
            <w:r w:rsidRPr="00234797">
              <w:rPr>
                <w:lang w:val="fr-FR"/>
              </w:rPr>
              <w:t>“Celui qui fournit intentionnellement de faux renseignements visés à l’article 49.a) est puni d’une amende de 100 000 francs maximum.  Le juge peut ordonner la publication du jugement”</w:t>
            </w:r>
            <w:r w:rsidR="00EB1C3D">
              <w:rPr>
                <w:lang w:val="fr-FR"/>
              </w:rPr>
              <w:t>.</w:t>
            </w:r>
          </w:p>
          <w:p w14:paraId="7E4FCFC8" w14:textId="77777777" w:rsidR="00234797" w:rsidRPr="00234797" w:rsidRDefault="00234797" w:rsidP="00190325">
            <w:pPr>
              <w:pStyle w:val="ListParagraph"/>
              <w:ind w:left="0"/>
              <w:rPr>
                <w:b/>
                <w:bCs/>
                <w:lang w:val="fr-FR"/>
              </w:rPr>
            </w:pPr>
          </w:p>
          <w:p w14:paraId="56E326FD" w14:textId="77777777" w:rsidR="00234797" w:rsidRPr="00234797" w:rsidRDefault="00234797" w:rsidP="007069D1">
            <w:pPr>
              <w:pStyle w:val="ListParagraph"/>
              <w:ind w:left="0"/>
              <w:rPr>
                <w:lang w:val="fr-FR"/>
              </w:rPr>
            </w:pPr>
            <w:r w:rsidRPr="00234797">
              <w:rPr>
                <w:b/>
                <w:lang w:val="fr-FR"/>
              </w:rPr>
              <w:t>Norvège</w:t>
            </w:r>
            <w:r w:rsidRPr="00234797">
              <w:rPr>
                <w:lang w:val="fr-FR"/>
              </w:rPr>
              <w:t xml:space="preserve"> : l’article 8.b) de la </w:t>
            </w:r>
            <w:r w:rsidRPr="00234797">
              <w:rPr>
                <w:i/>
                <w:lang w:val="fr-FR"/>
              </w:rPr>
              <w:t>loi sur les brevets n° 9 du 15 décembre 1967 (version récapitulative de 2016)</w:t>
            </w:r>
            <w:r w:rsidRPr="00234797">
              <w:rPr>
                <w:lang w:val="fr-FR"/>
              </w:rPr>
              <w:t xml:space="preserve"> indique ce qui suit :</w:t>
            </w:r>
          </w:p>
          <w:p w14:paraId="635B9126" w14:textId="2AA936FD" w:rsidR="00234797" w:rsidRPr="00234797" w:rsidRDefault="00234797" w:rsidP="00EB1C3D">
            <w:pPr>
              <w:pStyle w:val="ListParagraph"/>
              <w:ind w:left="550"/>
              <w:rPr>
                <w:lang w:val="fr-FR"/>
              </w:rPr>
            </w:pPr>
            <w:r w:rsidRPr="00234797">
              <w:rPr>
                <w:lang w:val="fr-FR"/>
              </w:rPr>
              <w:t>“Si une invention porte sur du matériel biologique ou des [savoirs traditionnels], ou est fondée sur leur utilisation, la demande de brevet doit contenir des informations relatives au pays dans lequel l’inventeur a prélevé ou duquel il a reçu ce matériel ou ces savoirs (pays fournisseur).  Si la législation du pays fournisseur prévoit que l’accès au matériel biologique ou l’utilisation des [savoirs traditionnels] doit faire l’objet d’un consentement préalable, la demande doit préciser si ledit consentement a été obtenu.  […] Tout manquement à l’obligation de divulgation des informations est passible d’une sanction, conformément au paragraphe 221 du Code civil pénal général.  L’obligation de divulgation des informations est sans préjudice du traitement des demandes ou de la validité des droits découlant des brevets délivrés”</w:t>
            </w:r>
            <w:r w:rsidR="00EB1C3D">
              <w:rPr>
                <w:lang w:val="fr-FR"/>
              </w:rPr>
              <w:t>.</w:t>
            </w:r>
          </w:p>
        </w:tc>
      </w:tr>
    </w:tbl>
    <w:p w14:paraId="7F616D7F" w14:textId="77777777" w:rsidR="00234797" w:rsidRPr="00234797" w:rsidRDefault="00234797" w:rsidP="00EB1C3D">
      <w:pPr>
        <w:pStyle w:val="ListParagraph"/>
        <w:ind w:left="1701" w:hanging="567"/>
        <w:rPr>
          <w:rFonts w:ascii="Arial" w:hAnsi="Arial" w:cs="Arial"/>
          <w:sz w:val="22"/>
          <w:szCs w:val="22"/>
          <w:lang w:val="fr-FR"/>
        </w:rPr>
      </w:pPr>
    </w:p>
    <w:p w14:paraId="57B292BA" w14:textId="52535FE7" w:rsidR="00234797" w:rsidRPr="00234797" w:rsidRDefault="00234797" w:rsidP="00EB1C3D">
      <w:pPr>
        <w:pStyle w:val="ListParagraph"/>
        <w:numPr>
          <w:ilvl w:val="0"/>
          <w:numId w:val="22"/>
        </w:numPr>
        <w:ind w:left="1701" w:hanging="567"/>
        <w:rPr>
          <w:rFonts w:ascii="Arial" w:hAnsi="Arial" w:cs="Arial"/>
          <w:sz w:val="22"/>
          <w:szCs w:val="22"/>
          <w:lang w:val="fr-FR"/>
        </w:rPr>
      </w:pPr>
      <w:r w:rsidRPr="00234797">
        <w:rPr>
          <w:rFonts w:ascii="Arial" w:hAnsi="Arial" w:cs="Arial"/>
          <w:sz w:val="22"/>
          <w:szCs w:val="22"/>
          <w:lang w:val="fr-FR"/>
        </w:rPr>
        <w:t>Exigences de fond en matière de divulgation obligatoire en rapport avec la nature de l’invention ou des normes de brevetabilité sous</w:t>
      </w:r>
      <w:r w:rsidRPr="00234797">
        <w:rPr>
          <w:rFonts w:ascii="Arial" w:hAnsi="Arial" w:cs="Arial"/>
          <w:sz w:val="22"/>
          <w:szCs w:val="22"/>
          <w:lang w:val="fr-FR"/>
        </w:rPr>
        <w:noBreakHyphen/>
        <w:t>jacentes.  En d’autres termes, de telles exigences de divulgation sont considérées comme ayant une incidence sur la brevetabilité.</w:t>
      </w:r>
    </w:p>
    <w:p w14:paraId="78B3D17E" w14:textId="77777777" w:rsidR="00234797" w:rsidRPr="00234797" w:rsidRDefault="00234797" w:rsidP="00EB1C3D">
      <w:pPr>
        <w:pStyle w:val="ListParagraph"/>
        <w:ind w:left="1701" w:hanging="567"/>
        <w:rPr>
          <w:rFonts w:ascii="Arial" w:hAnsi="Arial" w:cs="Arial"/>
          <w:sz w:val="22"/>
          <w:szCs w:val="22"/>
          <w:lang w:val="fr-FR"/>
        </w:rPr>
      </w:pPr>
    </w:p>
    <w:tbl>
      <w:tblPr>
        <w:tblStyle w:val="TableGrid"/>
        <w:tblW w:w="7364" w:type="dxa"/>
        <w:tblInd w:w="1744" w:type="dxa"/>
        <w:shd w:val="clear" w:color="auto" w:fill="D0CECE" w:themeFill="background2" w:themeFillShade="E6"/>
        <w:tblLook w:val="04A0" w:firstRow="1" w:lastRow="0" w:firstColumn="1" w:lastColumn="0" w:noHBand="0" w:noVBand="1"/>
      </w:tblPr>
      <w:tblGrid>
        <w:gridCol w:w="7364"/>
      </w:tblGrid>
      <w:tr w:rsidR="00234797" w:rsidRPr="00234797" w14:paraId="6FCC1F5F" w14:textId="77777777" w:rsidTr="00190325">
        <w:tc>
          <w:tcPr>
            <w:tcW w:w="7364" w:type="dxa"/>
            <w:shd w:val="clear" w:color="auto" w:fill="D0CECE" w:themeFill="background2" w:themeFillShade="E6"/>
          </w:tcPr>
          <w:p w14:paraId="2578CC81" w14:textId="77777777" w:rsidR="00234797" w:rsidRPr="00234797" w:rsidRDefault="00234797" w:rsidP="007069D1">
            <w:pPr>
              <w:pStyle w:val="NormalWeb"/>
              <w:rPr>
                <w:rFonts w:ascii="Arial" w:hAnsi="Arial" w:cs="Arial"/>
                <w:lang w:val="fr-FR"/>
              </w:rPr>
            </w:pPr>
            <w:r w:rsidRPr="00234797">
              <w:rPr>
                <w:rFonts w:ascii="Arial" w:hAnsi="Arial" w:cs="Arial"/>
                <w:lang w:val="fr-FR"/>
              </w:rPr>
              <w:t xml:space="preserve">Par exemple, </w:t>
            </w:r>
            <w:r w:rsidRPr="00234797">
              <w:rPr>
                <w:rFonts w:ascii="Arial" w:hAnsi="Arial" w:cs="Arial"/>
                <w:b/>
                <w:lang w:val="fr-FR"/>
              </w:rPr>
              <w:t>Afrique du Sud</w:t>
            </w:r>
            <w:r w:rsidRPr="00234797">
              <w:rPr>
                <w:rFonts w:ascii="Arial" w:hAnsi="Arial" w:cs="Arial"/>
                <w:lang w:val="fr-FR"/>
              </w:rPr>
              <w:t xml:space="preserve"> : l’article 30 de la </w:t>
            </w:r>
            <w:r w:rsidRPr="00234797">
              <w:rPr>
                <w:rFonts w:ascii="Arial" w:hAnsi="Arial" w:cs="Arial"/>
                <w:i/>
                <w:lang w:val="fr-FR"/>
              </w:rPr>
              <w:t>loi modificative n° 20 de 2005 sur les brevets</w:t>
            </w:r>
            <w:r w:rsidRPr="00234797">
              <w:rPr>
                <w:rFonts w:ascii="Arial" w:hAnsi="Arial" w:cs="Arial"/>
                <w:lang w:val="fr-FR"/>
              </w:rPr>
              <w:t xml:space="preserve"> énonce ce qui suit :</w:t>
            </w:r>
          </w:p>
          <w:p w14:paraId="264A42E9" w14:textId="77777777" w:rsidR="00234797" w:rsidRPr="00234797" w:rsidRDefault="00234797" w:rsidP="00EB1C3D">
            <w:pPr>
              <w:pStyle w:val="NormalWeb"/>
              <w:ind w:left="550"/>
              <w:rPr>
                <w:rFonts w:ascii="Arial" w:hAnsi="Arial" w:cs="Arial"/>
                <w:lang w:val="fr-FR"/>
              </w:rPr>
            </w:pPr>
            <w:r w:rsidRPr="00234797">
              <w:rPr>
                <w:rFonts w:ascii="Arial" w:hAnsi="Arial" w:cs="Arial"/>
                <w:lang w:val="fr-FR"/>
              </w:rPr>
              <w:t>“3A) Tout déposant soumettant une demande de brevet accompagnée d’un mémoire descriptif complet doit, avant que la demande soit acceptée, déposer au service d’enregistrement une déclaration de la manière prescrite précisant si l’invention pour laquelle une protection est revendiquée se fonde sur une ressource biologique ou [génétique] autochtone ou sur [un savoir traditionnel] ou sur son utilisation, ou bien si elle en découle.</w:t>
            </w:r>
          </w:p>
          <w:p w14:paraId="09F5BA84" w14:textId="16BA5293" w:rsidR="00234797" w:rsidRPr="00234797" w:rsidRDefault="00234797" w:rsidP="00EB1C3D">
            <w:pPr>
              <w:pStyle w:val="NormalWeb"/>
              <w:ind w:left="550"/>
              <w:rPr>
                <w:rFonts w:ascii="Arial" w:hAnsi="Arial" w:cs="Arial"/>
                <w:lang w:val="fr-FR"/>
              </w:rPr>
            </w:pPr>
            <w:r w:rsidRPr="00234797">
              <w:rPr>
                <w:rFonts w:ascii="Arial" w:hAnsi="Arial" w:cs="Arial"/>
                <w:lang w:val="fr-FR"/>
              </w:rPr>
              <w:lastRenderedPageBreak/>
              <w:t>“3B) Le service d’enregistrement doit demander au déposant de fournir la preuve de la manière prescrite de son droit ou autorisation de recourir à la ressource biologique ou [génétique] autochtone, ou au savoir traditionnel ou à son utilisation si un déposant présente une déclaration reconnaissant que l’invention pour laquelle une protection est revendiquée se fonde sur une ressource biologique ou [génétique] autochtone, ou sur [un savoir traditionnel] ou sur son utilisation, ou bien si elle en découle”</w:t>
            </w:r>
            <w:r w:rsidR="00EB1C3D">
              <w:rPr>
                <w:rFonts w:ascii="Arial" w:hAnsi="Arial" w:cs="Arial"/>
                <w:lang w:val="fr-FR"/>
              </w:rPr>
              <w:t>.</w:t>
            </w:r>
          </w:p>
          <w:p w14:paraId="33011393" w14:textId="77777777" w:rsidR="00234797" w:rsidRPr="00234797" w:rsidRDefault="00234797" w:rsidP="00190325">
            <w:pPr>
              <w:pStyle w:val="NormalWeb"/>
              <w:rPr>
                <w:rFonts w:ascii="Arial" w:hAnsi="Arial" w:cs="Arial"/>
                <w:lang w:val="fr-FR"/>
              </w:rPr>
            </w:pPr>
          </w:p>
          <w:p w14:paraId="4B58BC07" w14:textId="77777777" w:rsidR="00234797" w:rsidRPr="00234797" w:rsidRDefault="00234797" w:rsidP="007069D1">
            <w:pPr>
              <w:pStyle w:val="NormalWeb"/>
              <w:rPr>
                <w:rFonts w:ascii="Arial" w:hAnsi="Arial" w:cs="Arial"/>
                <w:lang w:val="fr-FR"/>
              </w:rPr>
            </w:pPr>
            <w:r w:rsidRPr="00234797">
              <w:rPr>
                <w:rFonts w:ascii="Arial" w:hAnsi="Arial" w:cs="Arial"/>
                <w:b/>
                <w:lang w:val="fr-FR"/>
              </w:rPr>
              <w:t>Inde</w:t>
            </w:r>
            <w:r w:rsidRPr="00234797">
              <w:rPr>
                <w:rFonts w:ascii="Arial" w:hAnsi="Arial" w:cs="Arial"/>
                <w:lang w:val="fr-FR"/>
              </w:rPr>
              <w:t> : l’article </w:t>
            </w:r>
            <w:proofErr w:type="gramStart"/>
            <w:r w:rsidRPr="00234797">
              <w:rPr>
                <w:rFonts w:ascii="Arial" w:hAnsi="Arial" w:cs="Arial"/>
                <w:lang w:val="fr-FR"/>
              </w:rPr>
              <w:t>10.4)d</w:t>
            </w:r>
            <w:proofErr w:type="gramEnd"/>
            <w:r w:rsidRPr="00234797">
              <w:rPr>
                <w:rFonts w:ascii="Arial" w:hAnsi="Arial" w:cs="Arial"/>
                <w:lang w:val="fr-FR"/>
              </w:rPr>
              <w:t xml:space="preserve">)ii) de la </w:t>
            </w:r>
            <w:r w:rsidRPr="00234797">
              <w:rPr>
                <w:rFonts w:ascii="Arial" w:hAnsi="Arial" w:cs="Arial"/>
                <w:i/>
                <w:lang w:val="fr-FR"/>
              </w:rPr>
              <w:t>loi de 1970 sur les brevets, modifiée par la loi (modificative) sur les brevets de 2005</w:t>
            </w:r>
            <w:r w:rsidRPr="00234797">
              <w:rPr>
                <w:rFonts w:ascii="Arial" w:hAnsi="Arial" w:cs="Arial"/>
                <w:lang w:val="fr-FR"/>
              </w:rPr>
              <w:t>, énonce que :</w:t>
            </w:r>
          </w:p>
          <w:p w14:paraId="26323947" w14:textId="21344E16" w:rsidR="00234797" w:rsidRPr="00234797" w:rsidRDefault="00234797" w:rsidP="00EB1C3D">
            <w:pPr>
              <w:pStyle w:val="NormalWeb"/>
              <w:ind w:left="550"/>
              <w:rPr>
                <w:rFonts w:ascii="Arial" w:hAnsi="Arial" w:cs="Arial"/>
                <w:lang w:val="fr-FR"/>
              </w:rPr>
            </w:pPr>
            <w:r w:rsidRPr="00234797">
              <w:rPr>
                <w:rFonts w:ascii="Arial" w:hAnsi="Arial" w:cs="Arial"/>
                <w:lang w:val="fr-FR"/>
              </w:rPr>
              <w:t>“Si un déposant mentionne un matériel biologique dans le mémoire descriptif ne pouvant pas être décrit de manière à satisfaire les clauses a) et b)7, et si le matériel n’est pas disponible au public, la demande doit être complétée en transmettant le matériel à une autorité de dépôt internationale selon le Traité de Budapest et en satisfaisant les conditions suivantes, à savoir : […] d) indiquer la source et l’origine géographique du matériel dans le mémoire descriptif si celui</w:t>
            </w:r>
            <w:r w:rsidRPr="00234797">
              <w:rPr>
                <w:rFonts w:ascii="Arial" w:hAnsi="Arial" w:cs="Arial"/>
                <w:lang w:val="fr-FR"/>
              </w:rPr>
              <w:noBreakHyphen/>
              <w:t>ci est utilisé dans une invention”</w:t>
            </w:r>
            <w:r w:rsidR="00EB1C3D">
              <w:rPr>
                <w:rFonts w:ascii="Arial" w:hAnsi="Arial" w:cs="Arial"/>
                <w:lang w:val="fr-FR"/>
              </w:rPr>
              <w:t>.</w:t>
            </w:r>
          </w:p>
        </w:tc>
      </w:tr>
    </w:tbl>
    <w:p w14:paraId="04DC83C4" w14:textId="77777777" w:rsidR="00234797" w:rsidRPr="00234797" w:rsidRDefault="00234797" w:rsidP="00EB1C3D">
      <w:pPr>
        <w:pStyle w:val="ListParagraph"/>
        <w:ind w:left="1701" w:hanging="567"/>
        <w:rPr>
          <w:rFonts w:ascii="Arial" w:hAnsi="Arial" w:cs="Arial"/>
          <w:sz w:val="22"/>
          <w:szCs w:val="22"/>
          <w:lang w:val="fr-FR"/>
        </w:rPr>
      </w:pPr>
    </w:p>
    <w:p w14:paraId="1AB79A3F" w14:textId="77777777" w:rsidR="00234797" w:rsidRPr="00234797" w:rsidRDefault="00234797" w:rsidP="00EB1C3D">
      <w:pPr>
        <w:pStyle w:val="ListParagraph"/>
        <w:numPr>
          <w:ilvl w:val="0"/>
          <w:numId w:val="22"/>
        </w:numPr>
        <w:ind w:left="1701" w:hanging="567"/>
        <w:rPr>
          <w:rFonts w:ascii="Arial" w:hAnsi="Arial" w:cs="Arial"/>
          <w:sz w:val="22"/>
          <w:szCs w:val="22"/>
          <w:lang w:val="fr-FR"/>
        </w:rPr>
      </w:pPr>
      <w:r w:rsidRPr="00234797">
        <w:rPr>
          <w:rFonts w:ascii="Arial" w:hAnsi="Arial" w:cs="Arial"/>
          <w:sz w:val="22"/>
          <w:szCs w:val="22"/>
          <w:lang w:val="fr-FR"/>
        </w:rPr>
        <w:t>Exigences en matière de divulgation volontaire dans le cadre de la procédure relative aux brevets sans aucune incidence sur le traitement ou la validité des brevets.</w:t>
      </w:r>
    </w:p>
    <w:p w14:paraId="10A52487" w14:textId="77777777" w:rsidR="00234797" w:rsidRPr="00234797" w:rsidRDefault="00234797" w:rsidP="00EB1C3D">
      <w:pPr>
        <w:pStyle w:val="ListParagraph"/>
        <w:ind w:left="1701" w:hanging="567"/>
        <w:rPr>
          <w:rFonts w:ascii="Arial" w:hAnsi="Arial" w:cs="Arial"/>
          <w:sz w:val="22"/>
          <w:szCs w:val="22"/>
          <w:lang w:val="fr-FR"/>
        </w:rPr>
      </w:pPr>
    </w:p>
    <w:tbl>
      <w:tblPr>
        <w:tblStyle w:val="TableGrid"/>
        <w:tblW w:w="7429" w:type="dxa"/>
        <w:tblInd w:w="1679" w:type="dxa"/>
        <w:shd w:val="clear" w:color="auto" w:fill="D0CECE" w:themeFill="background2" w:themeFillShade="E6"/>
        <w:tblLook w:val="04A0" w:firstRow="1" w:lastRow="0" w:firstColumn="1" w:lastColumn="0" w:noHBand="0" w:noVBand="1"/>
      </w:tblPr>
      <w:tblGrid>
        <w:gridCol w:w="7429"/>
      </w:tblGrid>
      <w:tr w:rsidR="00234797" w:rsidRPr="00234797" w14:paraId="5CDD89BD" w14:textId="77777777" w:rsidTr="00190325">
        <w:tc>
          <w:tcPr>
            <w:tcW w:w="7429" w:type="dxa"/>
            <w:shd w:val="clear" w:color="auto" w:fill="D0CECE" w:themeFill="background2" w:themeFillShade="E6"/>
          </w:tcPr>
          <w:p w14:paraId="2A770704" w14:textId="77777777" w:rsidR="00234797" w:rsidRPr="00234797" w:rsidRDefault="00234797" w:rsidP="007069D1">
            <w:pPr>
              <w:pStyle w:val="ListParagraph"/>
              <w:ind w:left="0"/>
              <w:rPr>
                <w:lang w:val="fr-FR"/>
              </w:rPr>
            </w:pPr>
            <w:r w:rsidRPr="00234797">
              <w:rPr>
                <w:lang w:val="fr-FR"/>
              </w:rPr>
              <w:t xml:space="preserve">Par exemple, </w:t>
            </w:r>
            <w:r w:rsidRPr="00234797">
              <w:rPr>
                <w:b/>
                <w:lang w:val="fr-FR"/>
              </w:rPr>
              <w:t>Allemagne</w:t>
            </w:r>
            <w:r w:rsidRPr="00234797">
              <w:rPr>
                <w:lang w:val="fr-FR"/>
              </w:rPr>
              <w:t xml:space="preserve"> : l’article 34.a) de la </w:t>
            </w:r>
            <w:r w:rsidRPr="00234797">
              <w:rPr>
                <w:i/>
                <w:lang w:val="fr-FR"/>
              </w:rPr>
              <w:t>loi du 16 décembre 1980 sur les brevets (modifiée en dernier par l’article premier de la loi du 19 octobre 2013)</w:t>
            </w:r>
            <w:r w:rsidRPr="00234797">
              <w:rPr>
                <w:lang w:val="fr-FR"/>
              </w:rPr>
              <w:t xml:space="preserve"> indique que :</w:t>
            </w:r>
          </w:p>
          <w:p w14:paraId="3354F23B" w14:textId="38558C6D" w:rsidR="00234797" w:rsidRPr="00234797" w:rsidRDefault="00234797" w:rsidP="00EB1C3D">
            <w:pPr>
              <w:pStyle w:val="ListParagraph"/>
              <w:ind w:left="567"/>
              <w:rPr>
                <w:lang w:val="fr-FR"/>
              </w:rPr>
            </w:pPr>
            <w:r w:rsidRPr="00234797">
              <w:rPr>
                <w:lang w:val="fr-FR"/>
              </w:rPr>
              <w:t>“Lorsqu’une invention porte sur une matière biologique d’origine végétale ou animale ou utilise une telle matière, la demande devrait comporter une information concernant le lieu géographique d’origine de cette matière, si celui</w:t>
            </w:r>
            <w:r w:rsidRPr="00234797">
              <w:rPr>
                <w:lang w:val="fr-FR"/>
              </w:rPr>
              <w:noBreakHyphen/>
              <w:t>ci est connu.  L’examen des demandes ou la validité des droits découlant de l’octroi de brevets ne devraient souffrir aucun préjudice”</w:t>
            </w:r>
            <w:r w:rsidR="00EB1C3D">
              <w:rPr>
                <w:lang w:val="fr-FR"/>
              </w:rPr>
              <w:t>.</w:t>
            </w:r>
          </w:p>
        </w:tc>
      </w:tr>
    </w:tbl>
    <w:p w14:paraId="39F9FC5D" w14:textId="77777777" w:rsidR="00234797" w:rsidRPr="00234797" w:rsidRDefault="00234797" w:rsidP="00903A62">
      <w:pPr>
        <w:rPr>
          <w:rFonts w:ascii="Arial" w:hAnsi="Arial" w:cs="Arial"/>
          <w:sz w:val="22"/>
          <w:szCs w:val="22"/>
          <w:lang w:val="fr-FR"/>
        </w:rPr>
      </w:pPr>
    </w:p>
    <w:p w14:paraId="46535A6B" w14:textId="77777777" w:rsidR="00234797" w:rsidRPr="00234797" w:rsidRDefault="00234797" w:rsidP="00EB1C3D">
      <w:pPr>
        <w:ind w:left="567"/>
        <w:rPr>
          <w:rFonts w:ascii="Arial" w:hAnsi="Arial" w:cs="Arial"/>
          <w:sz w:val="22"/>
          <w:szCs w:val="22"/>
          <w:lang w:val="fr-FR"/>
        </w:rPr>
      </w:pPr>
      <w:r w:rsidRPr="00234797">
        <w:rPr>
          <w:rFonts w:ascii="Arial" w:hAnsi="Arial" w:cs="Arial"/>
          <w:sz w:val="22"/>
          <w:szCs w:val="22"/>
          <w:lang w:val="fr-FR"/>
        </w:rPr>
        <w:t>À mon avis, l’instrument devrait prévoir une exigence obligatoire.  Pour renforcer la sécurité juridique, une telle exigence de divulgation devrait indiquer clairement ce qui déclencherait l’obligation de divulgation (“</w:t>
      </w:r>
      <w:r w:rsidRPr="00234797">
        <w:rPr>
          <w:rFonts w:ascii="Arial" w:hAnsi="Arial" w:cs="Arial"/>
          <w:i/>
          <w:sz w:val="22"/>
          <w:szCs w:val="22"/>
          <w:lang w:val="fr-FR"/>
        </w:rPr>
        <w:t>facteur déclenchant</w:t>
      </w:r>
      <w:r w:rsidRPr="00234797">
        <w:rPr>
          <w:rFonts w:ascii="Arial" w:hAnsi="Arial" w:cs="Arial"/>
          <w:sz w:val="22"/>
          <w:szCs w:val="22"/>
          <w:lang w:val="fr-FR"/>
        </w:rPr>
        <w:t>”) et quelles informations devraient être divulguées (“</w:t>
      </w:r>
      <w:r w:rsidRPr="00234797">
        <w:rPr>
          <w:rFonts w:ascii="Arial" w:hAnsi="Arial" w:cs="Arial"/>
          <w:i/>
          <w:sz w:val="22"/>
          <w:szCs w:val="22"/>
          <w:lang w:val="fr-FR"/>
        </w:rPr>
        <w:t>contenu</w:t>
      </w:r>
      <w:r w:rsidRPr="00234797">
        <w:rPr>
          <w:rFonts w:ascii="Arial" w:hAnsi="Arial" w:cs="Arial"/>
          <w:sz w:val="22"/>
          <w:szCs w:val="22"/>
          <w:lang w:val="fr-FR"/>
        </w:rPr>
        <w:t>”).</w:t>
      </w:r>
    </w:p>
    <w:p w14:paraId="06C0A486" w14:textId="77777777" w:rsidR="00234797" w:rsidRPr="00234797" w:rsidRDefault="00234797" w:rsidP="00903A62">
      <w:pPr>
        <w:rPr>
          <w:rFonts w:ascii="Arial" w:hAnsi="Arial" w:cs="Arial"/>
          <w:sz w:val="22"/>
          <w:szCs w:val="22"/>
          <w:lang w:val="fr-FR"/>
        </w:rPr>
      </w:pPr>
    </w:p>
    <w:p w14:paraId="27746081" w14:textId="77777777" w:rsidR="00234797" w:rsidRPr="00234797" w:rsidRDefault="00234797" w:rsidP="00EB1C3D">
      <w:pPr>
        <w:pStyle w:val="ListParagraph"/>
        <w:numPr>
          <w:ilvl w:val="0"/>
          <w:numId w:val="21"/>
        </w:numPr>
        <w:ind w:left="1701" w:hanging="567"/>
        <w:rPr>
          <w:rFonts w:ascii="Arial" w:hAnsi="Arial" w:cs="Arial"/>
          <w:b/>
          <w:sz w:val="22"/>
          <w:szCs w:val="22"/>
          <w:lang w:val="fr-FR"/>
        </w:rPr>
      </w:pPr>
      <w:r w:rsidRPr="00234797">
        <w:rPr>
          <w:rFonts w:ascii="Arial" w:hAnsi="Arial" w:cs="Arial"/>
          <w:b/>
          <w:sz w:val="22"/>
          <w:szCs w:val="22"/>
          <w:lang w:val="fr-FR"/>
        </w:rPr>
        <w:t>Facteur déclenchant la divulgation</w:t>
      </w:r>
    </w:p>
    <w:p w14:paraId="36A6F4B4" w14:textId="77777777" w:rsidR="00234797" w:rsidRPr="00234797" w:rsidRDefault="00234797" w:rsidP="00EB1C3D">
      <w:pPr>
        <w:ind w:left="567"/>
        <w:rPr>
          <w:rFonts w:ascii="Arial" w:hAnsi="Arial" w:cs="Arial"/>
          <w:sz w:val="22"/>
          <w:szCs w:val="22"/>
          <w:lang w:val="fr-FR"/>
        </w:rPr>
      </w:pPr>
    </w:p>
    <w:p w14:paraId="3E066DF0" w14:textId="77777777" w:rsidR="00234797" w:rsidRPr="00234797" w:rsidRDefault="00234797" w:rsidP="00EB1C3D">
      <w:pPr>
        <w:ind w:left="567"/>
        <w:rPr>
          <w:rFonts w:ascii="Arial" w:hAnsi="Arial" w:cs="Arial"/>
          <w:sz w:val="22"/>
          <w:szCs w:val="22"/>
          <w:lang w:val="fr-FR"/>
        </w:rPr>
      </w:pPr>
      <w:r w:rsidRPr="00234797">
        <w:rPr>
          <w:rFonts w:ascii="Arial" w:hAnsi="Arial" w:cs="Arial"/>
          <w:sz w:val="22"/>
          <w:szCs w:val="22"/>
          <w:lang w:val="fr-FR"/>
        </w:rPr>
        <w:t>Deux options ont été proposées en ce qui concerne la question du facteur déclenchant la divulgation : l’invention découle de “l’utilisation de” ou “est directement fondé sur”.</w:t>
      </w:r>
    </w:p>
    <w:p w14:paraId="17B47425" w14:textId="77777777" w:rsidR="00234797" w:rsidRPr="00234797" w:rsidRDefault="00234797" w:rsidP="00EB1C3D">
      <w:pPr>
        <w:ind w:left="567"/>
        <w:rPr>
          <w:rFonts w:ascii="Arial" w:hAnsi="Arial" w:cs="Arial"/>
          <w:sz w:val="22"/>
          <w:szCs w:val="22"/>
          <w:lang w:val="fr-FR"/>
        </w:rPr>
      </w:pPr>
    </w:p>
    <w:p w14:paraId="00D86EC3" w14:textId="5FEDE385" w:rsidR="00234797" w:rsidRPr="00234797" w:rsidRDefault="00234797" w:rsidP="00EB1C3D">
      <w:pPr>
        <w:pStyle w:val="ListParagraph"/>
        <w:numPr>
          <w:ilvl w:val="0"/>
          <w:numId w:val="22"/>
        </w:numPr>
        <w:ind w:left="1701" w:hanging="567"/>
        <w:rPr>
          <w:rFonts w:ascii="Arial" w:hAnsi="Arial" w:cs="Arial"/>
          <w:sz w:val="22"/>
          <w:szCs w:val="22"/>
          <w:lang w:val="fr-FR"/>
        </w:rPr>
      </w:pPr>
      <w:r w:rsidRPr="00234797">
        <w:rPr>
          <w:rFonts w:ascii="Arial" w:hAnsi="Arial" w:cs="Arial"/>
          <w:sz w:val="22"/>
          <w:szCs w:val="22"/>
          <w:lang w:val="fr-FR"/>
        </w:rPr>
        <w:t>“Utilisation” est un terme utilisé dans le Protocole de Nagoya, qui met l’accent sur la recherche</w:t>
      </w:r>
      <w:r w:rsidRPr="00234797">
        <w:rPr>
          <w:rFonts w:ascii="Arial" w:hAnsi="Arial" w:cs="Arial"/>
          <w:sz w:val="22"/>
          <w:szCs w:val="22"/>
          <w:lang w:val="fr-FR"/>
        </w:rPr>
        <w:noBreakHyphen/>
        <w:t>développement.  Dans certains pays, le terme “usage” est utilisé en lieu et place d’“utilisation”.</w:t>
      </w:r>
    </w:p>
    <w:p w14:paraId="0A1DCE9D" w14:textId="77777777" w:rsidR="00234797" w:rsidRPr="00EB1C3D" w:rsidRDefault="00234797" w:rsidP="00EB1C3D">
      <w:pPr>
        <w:ind w:left="567"/>
        <w:rPr>
          <w:rFonts w:ascii="Arial" w:hAnsi="Arial" w:cs="Arial"/>
          <w:sz w:val="22"/>
          <w:szCs w:val="22"/>
          <w:lang w:val="fr-FR"/>
        </w:rPr>
      </w:pPr>
    </w:p>
    <w:tbl>
      <w:tblPr>
        <w:tblStyle w:val="TableGrid"/>
        <w:tblW w:w="7364" w:type="dxa"/>
        <w:tblInd w:w="1744" w:type="dxa"/>
        <w:tblLook w:val="04A0" w:firstRow="1" w:lastRow="0" w:firstColumn="1" w:lastColumn="0" w:noHBand="0" w:noVBand="1"/>
      </w:tblPr>
      <w:tblGrid>
        <w:gridCol w:w="7364"/>
      </w:tblGrid>
      <w:tr w:rsidR="00234797" w:rsidRPr="00234797" w14:paraId="7B07CFF9" w14:textId="77777777" w:rsidTr="00190325">
        <w:tc>
          <w:tcPr>
            <w:tcW w:w="7364" w:type="dxa"/>
            <w:shd w:val="clear" w:color="auto" w:fill="D0CECE" w:themeFill="background2" w:themeFillShade="E6"/>
          </w:tcPr>
          <w:p w14:paraId="348C111D" w14:textId="77777777" w:rsidR="00234797" w:rsidRPr="00234797" w:rsidRDefault="00234797" w:rsidP="007069D1">
            <w:pPr>
              <w:pStyle w:val="NormalWeb"/>
              <w:rPr>
                <w:rFonts w:ascii="Arial" w:hAnsi="Arial" w:cs="Arial"/>
                <w:lang w:val="fr-FR"/>
              </w:rPr>
            </w:pPr>
            <w:r w:rsidRPr="00234797">
              <w:rPr>
                <w:rFonts w:ascii="Arial" w:hAnsi="Arial" w:cs="Arial"/>
                <w:lang w:val="fr-FR"/>
              </w:rPr>
              <w:lastRenderedPageBreak/>
              <w:t xml:space="preserve">Par exemple, </w:t>
            </w:r>
            <w:r w:rsidRPr="00234797">
              <w:rPr>
                <w:rFonts w:ascii="Arial" w:hAnsi="Arial" w:cs="Arial"/>
                <w:b/>
                <w:lang w:val="fr-FR"/>
              </w:rPr>
              <w:t>République populaire de Chine</w:t>
            </w:r>
            <w:r w:rsidRPr="00234797">
              <w:rPr>
                <w:rFonts w:ascii="Arial" w:hAnsi="Arial" w:cs="Arial"/>
                <w:lang w:val="fr-FR"/>
              </w:rPr>
              <w:t xml:space="preserve"> : l’article 26 de la </w:t>
            </w:r>
            <w:r w:rsidRPr="00234797">
              <w:rPr>
                <w:rFonts w:ascii="Arial" w:hAnsi="Arial" w:cs="Arial"/>
                <w:i/>
                <w:lang w:val="fr-FR"/>
              </w:rPr>
              <w:t>loi sur les brevets (modifié par la décision du 27 décembre 2008 concernant la révision de la loi sur les brevets)</w:t>
            </w:r>
            <w:r w:rsidRPr="00234797">
              <w:rPr>
                <w:rFonts w:ascii="Arial" w:hAnsi="Arial" w:cs="Arial"/>
                <w:lang w:val="fr-FR"/>
              </w:rPr>
              <w:t xml:space="preserve"> dispose que :</w:t>
            </w:r>
          </w:p>
          <w:p w14:paraId="7C794DBA" w14:textId="2750E1EF" w:rsidR="00234797" w:rsidRPr="00234797" w:rsidRDefault="00234797" w:rsidP="00EB1C3D">
            <w:pPr>
              <w:pStyle w:val="NormalWeb"/>
              <w:ind w:left="550"/>
              <w:rPr>
                <w:rFonts w:ascii="Arial" w:hAnsi="Arial" w:cs="Arial"/>
                <w:lang w:val="fr-FR"/>
              </w:rPr>
            </w:pPr>
            <w:r w:rsidRPr="00234797">
              <w:rPr>
                <w:rFonts w:ascii="Arial" w:hAnsi="Arial" w:cs="Arial"/>
                <w:lang w:val="fr-FR"/>
              </w:rPr>
              <w:t>“S’agissant d’une invention</w:t>
            </w:r>
            <w:r w:rsidRPr="00234797">
              <w:rPr>
                <w:rFonts w:ascii="Arial" w:hAnsi="Arial" w:cs="Arial"/>
                <w:lang w:val="fr-FR"/>
              </w:rPr>
              <w:noBreakHyphen/>
              <w:t>création dont la réalisation dépend de [ressources génétiques], le déposant doit, dans les documents relatifs à la demande de brevet, indiquer la source directe et la source originelle des ressources génétiques”.</w:t>
            </w:r>
          </w:p>
          <w:p w14:paraId="54A7C601" w14:textId="77777777" w:rsidR="00234797" w:rsidRPr="00234797" w:rsidRDefault="00234797" w:rsidP="00190325">
            <w:pPr>
              <w:pStyle w:val="NormalWeb"/>
              <w:rPr>
                <w:rFonts w:ascii="Arial" w:hAnsi="Arial" w:cs="Arial"/>
                <w:lang w:val="fr-FR"/>
              </w:rPr>
            </w:pPr>
          </w:p>
          <w:p w14:paraId="4363E61C" w14:textId="16BF6065" w:rsidR="00234797" w:rsidRPr="00234797" w:rsidRDefault="00234797" w:rsidP="007069D1">
            <w:pPr>
              <w:pStyle w:val="NormalWeb"/>
              <w:rPr>
                <w:rFonts w:ascii="Arial" w:hAnsi="Arial" w:cs="Arial"/>
                <w:lang w:val="fr-FR"/>
              </w:rPr>
            </w:pPr>
            <w:r w:rsidRPr="00234797">
              <w:rPr>
                <w:rFonts w:ascii="Arial" w:hAnsi="Arial" w:cs="Arial"/>
                <w:lang w:val="fr-FR"/>
              </w:rPr>
              <w:t>Les règles d’application pertinentes indiquent également que l’expression “l’invention</w:t>
            </w:r>
            <w:r w:rsidRPr="00234797">
              <w:rPr>
                <w:rFonts w:ascii="Arial" w:hAnsi="Arial" w:cs="Arial"/>
                <w:lang w:val="fr-FR"/>
              </w:rPr>
              <w:noBreakHyphen/>
              <w:t xml:space="preserve">création dont la réalisation dépend de ressources génétiques” renvoie à </w:t>
            </w:r>
            <w:proofErr w:type="gramStart"/>
            <w:r w:rsidRPr="00234797">
              <w:rPr>
                <w:rFonts w:ascii="Arial" w:hAnsi="Arial" w:cs="Arial"/>
                <w:lang w:val="fr-FR"/>
              </w:rPr>
              <w:t>“[</w:t>
            </w:r>
            <w:proofErr w:type="gramEnd"/>
            <w:r w:rsidRPr="00234797">
              <w:rPr>
                <w:rFonts w:ascii="Arial" w:hAnsi="Arial" w:cs="Arial"/>
                <w:lang w:val="fr-FR"/>
              </w:rPr>
              <w:t>…] l’invention</w:t>
            </w:r>
            <w:r w:rsidRPr="00234797">
              <w:rPr>
                <w:rFonts w:ascii="Arial" w:hAnsi="Arial" w:cs="Arial"/>
                <w:lang w:val="fr-FR"/>
              </w:rPr>
              <w:noBreakHyphen/>
              <w:t>création dont la réalisation repose sur la fonction génétique des [ressources génétiques]”.</w:t>
            </w:r>
          </w:p>
          <w:p w14:paraId="6A7FA087" w14:textId="77777777" w:rsidR="00234797" w:rsidRPr="00EB1C3D" w:rsidRDefault="00234797" w:rsidP="00190325">
            <w:pPr>
              <w:pStyle w:val="NormalWeb"/>
              <w:rPr>
                <w:rFonts w:ascii="Arial" w:hAnsi="Arial" w:cs="Arial"/>
                <w:bCs/>
                <w:lang w:val="fr-FR"/>
              </w:rPr>
            </w:pPr>
          </w:p>
          <w:p w14:paraId="3D3E4B83" w14:textId="77777777" w:rsidR="00234797" w:rsidRPr="00234797" w:rsidRDefault="00234797" w:rsidP="007069D1">
            <w:pPr>
              <w:pStyle w:val="NormalWeb"/>
              <w:rPr>
                <w:rFonts w:ascii="Arial" w:hAnsi="Arial" w:cs="Arial"/>
                <w:lang w:val="fr-FR"/>
              </w:rPr>
            </w:pPr>
            <w:r w:rsidRPr="00234797">
              <w:rPr>
                <w:rFonts w:ascii="Arial" w:hAnsi="Arial" w:cs="Arial"/>
                <w:b/>
                <w:lang w:val="fr-FR"/>
              </w:rPr>
              <w:t>Inde</w:t>
            </w:r>
            <w:r w:rsidRPr="00234797">
              <w:rPr>
                <w:rFonts w:ascii="Arial" w:hAnsi="Arial" w:cs="Arial"/>
                <w:lang w:val="fr-FR"/>
              </w:rPr>
              <w:t xml:space="preserve"> : l’article 10 de la </w:t>
            </w:r>
            <w:r w:rsidRPr="00234797">
              <w:rPr>
                <w:rFonts w:ascii="Arial" w:hAnsi="Arial" w:cs="Arial"/>
                <w:i/>
                <w:lang w:val="fr-FR"/>
              </w:rPr>
              <w:t>loi (modificative) de 2002 sur les brevets</w:t>
            </w:r>
            <w:r w:rsidRPr="00234797">
              <w:rPr>
                <w:rFonts w:ascii="Arial" w:hAnsi="Arial" w:cs="Arial"/>
                <w:lang w:val="fr-FR"/>
              </w:rPr>
              <w:t xml:space="preserve"> dispose que :</w:t>
            </w:r>
          </w:p>
          <w:p w14:paraId="19E3ACB8" w14:textId="77777777" w:rsidR="00234797" w:rsidRPr="00234797" w:rsidRDefault="00234797" w:rsidP="00EB1C3D">
            <w:pPr>
              <w:pStyle w:val="NormalWeb"/>
              <w:ind w:left="550"/>
              <w:rPr>
                <w:rFonts w:ascii="Arial" w:hAnsi="Arial" w:cs="Arial"/>
                <w:lang w:val="fr-FR"/>
              </w:rPr>
            </w:pPr>
            <w:r w:rsidRPr="00234797">
              <w:rPr>
                <w:rFonts w:ascii="Arial" w:hAnsi="Arial" w:cs="Arial"/>
                <w:lang w:val="fr-FR"/>
              </w:rPr>
              <w:t>“Chaque mémoire descriptif complet […] divulgue la source et l’origine géographique du matériel biologique contenu dans le mémoire, en cas d’utilisation dans une invention”.</w:t>
            </w:r>
          </w:p>
          <w:p w14:paraId="4E65D74D" w14:textId="77777777" w:rsidR="00234797" w:rsidRPr="00EB1C3D" w:rsidRDefault="00234797" w:rsidP="00190325">
            <w:pPr>
              <w:pStyle w:val="NormalWeb"/>
              <w:rPr>
                <w:rFonts w:ascii="Arial" w:hAnsi="Arial" w:cs="Arial"/>
                <w:bCs/>
                <w:lang w:val="fr-FR"/>
              </w:rPr>
            </w:pPr>
          </w:p>
          <w:p w14:paraId="34017140" w14:textId="77777777" w:rsidR="00234797" w:rsidRPr="00234797" w:rsidRDefault="00234797" w:rsidP="007069D1">
            <w:pPr>
              <w:pStyle w:val="NormalWeb"/>
              <w:rPr>
                <w:rFonts w:ascii="Arial" w:hAnsi="Arial" w:cs="Arial"/>
                <w:lang w:val="fr-FR"/>
              </w:rPr>
            </w:pPr>
            <w:r w:rsidRPr="00234797">
              <w:rPr>
                <w:rFonts w:ascii="Arial" w:hAnsi="Arial" w:cs="Arial"/>
                <w:b/>
                <w:lang w:val="fr-FR"/>
              </w:rPr>
              <w:t>Norvège</w:t>
            </w:r>
            <w:r w:rsidRPr="00234797">
              <w:rPr>
                <w:rFonts w:ascii="Arial" w:hAnsi="Arial" w:cs="Arial"/>
                <w:lang w:val="fr-FR"/>
              </w:rPr>
              <w:t xml:space="preserve"> : l’article 8b de la </w:t>
            </w:r>
            <w:r w:rsidRPr="00234797">
              <w:rPr>
                <w:rFonts w:ascii="Arial" w:hAnsi="Arial" w:cs="Arial"/>
                <w:i/>
                <w:lang w:val="fr-FR"/>
              </w:rPr>
              <w:t>loi sur les brevets n° 9 du 15 décembre 1967 (mise à jour en 2016)</w:t>
            </w:r>
            <w:r w:rsidRPr="00234797">
              <w:rPr>
                <w:rFonts w:ascii="Arial" w:hAnsi="Arial" w:cs="Arial"/>
                <w:lang w:val="fr-FR"/>
              </w:rPr>
              <w:t xml:space="preserve"> dispose que :</w:t>
            </w:r>
          </w:p>
          <w:p w14:paraId="36627AA5" w14:textId="3F3C4904" w:rsidR="00234797" w:rsidRPr="00234797" w:rsidRDefault="00234797" w:rsidP="00EB1C3D">
            <w:pPr>
              <w:pStyle w:val="NormalWeb"/>
              <w:ind w:left="550"/>
              <w:rPr>
                <w:rFonts w:ascii="Arial" w:hAnsi="Arial" w:cs="Arial"/>
                <w:lang w:val="fr-FR"/>
              </w:rPr>
            </w:pPr>
            <w:r w:rsidRPr="00234797">
              <w:rPr>
                <w:rFonts w:ascii="Arial" w:hAnsi="Arial" w:cs="Arial"/>
                <w:lang w:val="fr-FR"/>
              </w:rPr>
              <w:t>“Si une invention porte sur du matériel biologique ou des savoirs traditionnels ou est fondée sur leur utilisation, la demande de brevet doit contenir des informations relatives au pays dans lequel l’inventeur a prélevé ou duquel il a reçu ce matériel ou ces savoirs (pays fournisseur).  Si la législation du pays fournisseur prévoit que l’accès au matériel biologique ou l’utilisation des savoirs traditionnels doit faire l’objet d’un consentement préalable, la demande doit préciser si ledit consentement a été obtenu”</w:t>
            </w:r>
            <w:r w:rsidR="00EB1C3D">
              <w:rPr>
                <w:rFonts w:ascii="Arial" w:hAnsi="Arial" w:cs="Arial"/>
                <w:lang w:val="fr-FR"/>
              </w:rPr>
              <w:t>.</w:t>
            </w:r>
            <w:r w:rsidRPr="00234797">
              <w:rPr>
                <w:rFonts w:ascii="Arial" w:hAnsi="Arial" w:cs="Arial"/>
                <w:lang w:val="fr-FR"/>
              </w:rPr>
              <w:t xml:space="preserve"> </w:t>
            </w:r>
          </w:p>
        </w:tc>
      </w:tr>
    </w:tbl>
    <w:p w14:paraId="75C280F5" w14:textId="77777777" w:rsidR="00234797" w:rsidRPr="00234797" w:rsidRDefault="00234797" w:rsidP="00EB1C3D">
      <w:pPr>
        <w:rPr>
          <w:rFonts w:ascii="Arial" w:hAnsi="Arial" w:cs="Arial"/>
          <w:sz w:val="22"/>
          <w:szCs w:val="22"/>
          <w:lang w:val="fr-FR"/>
        </w:rPr>
      </w:pPr>
    </w:p>
    <w:p w14:paraId="41DA40CC" w14:textId="77777777" w:rsidR="00234797" w:rsidRPr="00234797" w:rsidRDefault="00234797" w:rsidP="00EB1C3D">
      <w:pPr>
        <w:pStyle w:val="ListParagraph"/>
        <w:numPr>
          <w:ilvl w:val="0"/>
          <w:numId w:val="22"/>
        </w:numPr>
        <w:ind w:left="1701" w:hanging="567"/>
        <w:rPr>
          <w:rFonts w:ascii="Arial" w:hAnsi="Arial"/>
          <w:sz w:val="22"/>
          <w:lang w:val="fr-FR"/>
        </w:rPr>
      </w:pPr>
      <w:r w:rsidRPr="00234797">
        <w:rPr>
          <w:rFonts w:ascii="Arial" w:hAnsi="Arial" w:cs="Arial"/>
          <w:sz w:val="22"/>
          <w:szCs w:val="22"/>
          <w:lang w:val="fr-FR"/>
        </w:rPr>
        <w:t>“Directement fondé sur” signifie que la ressource génétique doit être directement utilisée aux fins de l’invention.</w:t>
      </w:r>
    </w:p>
    <w:p w14:paraId="6CF4AD72" w14:textId="77777777" w:rsidR="00234797" w:rsidRPr="00234797" w:rsidRDefault="00234797" w:rsidP="00EB1C3D">
      <w:pPr>
        <w:pStyle w:val="ListParagraph"/>
        <w:ind w:left="0"/>
        <w:rPr>
          <w:rFonts w:ascii="Arial" w:hAnsi="Arial" w:cs="Arial"/>
          <w:sz w:val="22"/>
          <w:szCs w:val="22"/>
          <w:lang w:val="fr-FR"/>
        </w:rPr>
      </w:pPr>
    </w:p>
    <w:tbl>
      <w:tblPr>
        <w:tblStyle w:val="TableGrid"/>
        <w:tblW w:w="7364" w:type="dxa"/>
        <w:tblInd w:w="1744" w:type="dxa"/>
        <w:tblLook w:val="04A0" w:firstRow="1" w:lastRow="0" w:firstColumn="1" w:lastColumn="0" w:noHBand="0" w:noVBand="1"/>
      </w:tblPr>
      <w:tblGrid>
        <w:gridCol w:w="7364"/>
      </w:tblGrid>
      <w:tr w:rsidR="00234797" w:rsidRPr="00234797" w14:paraId="2E57EBCD" w14:textId="77777777" w:rsidTr="00190325">
        <w:tc>
          <w:tcPr>
            <w:tcW w:w="7364" w:type="dxa"/>
            <w:shd w:val="clear" w:color="auto" w:fill="D0CECE" w:themeFill="background2" w:themeFillShade="E6"/>
          </w:tcPr>
          <w:p w14:paraId="01AED85E" w14:textId="779F4F5C" w:rsidR="00234797" w:rsidRPr="00234797" w:rsidRDefault="00234797" w:rsidP="007069D1">
            <w:pPr>
              <w:pStyle w:val="ListParagraph"/>
              <w:ind w:left="0"/>
              <w:rPr>
                <w:lang w:val="fr-FR"/>
              </w:rPr>
            </w:pPr>
            <w:r w:rsidRPr="00234797">
              <w:rPr>
                <w:lang w:val="fr-FR"/>
              </w:rPr>
              <w:t xml:space="preserve">Par exemple, </w:t>
            </w:r>
            <w:r w:rsidRPr="00234797">
              <w:rPr>
                <w:b/>
                <w:lang w:val="fr-FR"/>
              </w:rPr>
              <w:t>Suisse</w:t>
            </w:r>
            <w:r w:rsidRPr="00234797">
              <w:rPr>
                <w:lang w:val="fr-FR"/>
              </w:rPr>
              <w:t xml:space="preserve"> : l’article 49 de la </w:t>
            </w:r>
            <w:r w:rsidRPr="00234797">
              <w:rPr>
                <w:i/>
                <w:lang w:val="fr-FR"/>
              </w:rPr>
              <w:t>loi portant modification de la loi sur les brevets du 2 juin 2007, RO </w:t>
            </w:r>
            <w:bookmarkStart w:id="0" w:name="_GoBack"/>
            <w:bookmarkEnd w:id="0"/>
            <w:r w:rsidRPr="00234797">
              <w:rPr>
                <w:i/>
                <w:lang w:val="fr-FR"/>
              </w:rPr>
              <w:t>2008 2551</w:t>
            </w:r>
            <w:r w:rsidRPr="00234797">
              <w:rPr>
                <w:lang w:val="fr-FR"/>
              </w:rPr>
              <w:t xml:space="preserve"> dispose que :</w:t>
            </w:r>
          </w:p>
          <w:p w14:paraId="2BAF3BA2" w14:textId="77777777" w:rsidR="00234797" w:rsidRPr="00234797" w:rsidRDefault="00234797" w:rsidP="00EB1C3D">
            <w:pPr>
              <w:pStyle w:val="ListParagraph"/>
              <w:ind w:left="550"/>
              <w:rPr>
                <w:lang w:val="fr-FR"/>
              </w:rPr>
            </w:pPr>
            <w:r w:rsidRPr="00234797">
              <w:rPr>
                <w:lang w:val="fr-FR"/>
              </w:rPr>
              <w:t>“Pour les inventions fondées sur des ressources génétiques ou des savoirs traditionnels, la demande de brevet doit contenir des indications concernant la source :</w:t>
            </w:r>
          </w:p>
          <w:p w14:paraId="7C8F7324" w14:textId="7D5382E0" w:rsidR="00234797" w:rsidRPr="00234797" w:rsidRDefault="00EB1C3D" w:rsidP="00EB1C3D">
            <w:pPr>
              <w:pStyle w:val="ListParagraph"/>
              <w:tabs>
                <w:tab w:val="left" w:pos="1684"/>
              </w:tabs>
              <w:ind w:left="1134"/>
              <w:rPr>
                <w:lang w:val="fr-FR"/>
              </w:rPr>
            </w:pPr>
            <w:r>
              <w:rPr>
                <w:lang w:val="fr-FR"/>
              </w:rPr>
              <w:t xml:space="preserve">a) </w:t>
            </w:r>
            <w:r>
              <w:rPr>
                <w:lang w:val="fr-FR"/>
              </w:rPr>
              <w:tab/>
            </w:r>
            <w:r w:rsidR="00234797" w:rsidRPr="00234797">
              <w:rPr>
                <w:lang w:val="fr-FR"/>
              </w:rPr>
              <w:t>de la ressource génétique à laquelle l’inventeur ou le requérant a eu accès, pour autant que l’invention porte directement sur cette ressource;</w:t>
            </w:r>
          </w:p>
          <w:p w14:paraId="26413340" w14:textId="3720F2FC" w:rsidR="00234797" w:rsidRPr="00234797" w:rsidRDefault="00EB1C3D" w:rsidP="00EB1C3D">
            <w:pPr>
              <w:pStyle w:val="ListParagraph"/>
              <w:tabs>
                <w:tab w:val="left" w:pos="1684"/>
              </w:tabs>
              <w:ind w:left="1134"/>
              <w:rPr>
                <w:lang w:val="fr-FR"/>
              </w:rPr>
            </w:pPr>
            <w:r>
              <w:rPr>
                <w:lang w:val="fr-FR"/>
              </w:rPr>
              <w:t xml:space="preserve">b) </w:t>
            </w:r>
            <w:r>
              <w:rPr>
                <w:lang w:val="fr-FR"/>
              </w:rPr>
              <w:tab/>
            </w:r>
            <w:r w:rsidR="00234797" w:rsidRPr="00234797">
              <w:rPr>
                <w:lang w:val="fr-FR"/>
              </w:rPr>
              <w:t>du savoir traditionnel des communautés indigènes ou locales relatif aux ressources génétiques auxquelles l’inventeur ou le requérant a eu accès, pour autant que l’invention porte directement sur ce savoir”.</w:t>
            </w:r>
          </w:p>
        </w:tc>
      </w:tr>
    </w:tbl>
    <w:p w14:paraId="7DFDF13C" w14:textId="77777777" w:rsidR="00234797" w:rsidRPr="00234797" w:rsidRDefault="00234797" w:rsidP="00105A2D">
      <w:pPr>
        <w:ind w:left="567"/>
        <w:rPr>
          <w:rFonts w:ascii="Arial" w:hAnsi="Arial" w:cs="Arial"/>
          <w:sz w:val="22"/>
          <w:szCs w:val="22"/>
          <w:lang w:val="fr-FR"/>
        </w:rPr>
      </w:pPr>
    </w:p>
    <w:p w14:paraId="121C7BDE" w14:textId="77777777" w:rsidR="00234797" w:rsidRPr="00234797" w:rsidRDefault="00234797" w:rsidP="00105A2D">
      <w:pPr>
        <w:ind w:left="567"/>
        <w:rPr>
          <w:rFonts w:ascii="Arial" w:hAnsi="Arial" w:cs="Arial"/>
          <w:sz w:val="22"/>
          <w:szCs w:val="22"/>
          <w:lang w:val="fr-FR"/>
        </w:rPr>
      </w:pPr>
      <w:r w:rsidRPr="00234797">
        <w:rPr>
          <w:rFonts w:ascii="Arial" w:hAnsi="Arial" w:cs="Arial"/>
          <w:sz w:val="22"/>
          <w:szCs w:val="22"/>
          <w:lang w:val="fr-FR"/>
        </w:rPr>
        <w:t>La définition des termes “utilisation de” et “directement fondé sur” est une autre question à examiner.</w:t>
      </w:r>
    </w:p>
    <w:p w14:paraId="69C8AADE" w14:textId="77777777" w:rsidR="00234797" w:rsidRPr="00234797" w:rsidRDefault="00234797" w:rsidP="00105A2D">
      <w:pPr>
        <w:ind w:left="567"/>
        <w:rPr>
          <w:rFonts w:ascii="Arial" w:hAnsi="Arial" w:cs="Arial"/>
          <w:sz w:val="22"/>
          <w:szCs w:val="22"/>
          <w:lang w:val="fr-FR"/>
        </w:rPr>
      </w:pPr>
    </w:p>
    <w:p w14:paraId="525001D4" w14:textId="77777777" w:rsidR="00234797" w:rsidRPr="00234797" w:rsidRDefault="00234797" w:rsidP="00105A2D">
      <w:pPr>
        <w:ind w:left="567"/>
        <w:rPr>
          <w:rFonts w:ascii="Arial" w:hAnsi="Arial" w:cs="Arial"/>
          <w:sz w:val="22"/>
          <w:szCs w:val="22"/>
          <w:lang w:val="fr-FR"/>
        </w:rPr>
      </w:pPr>
      <w:r w:rsidRPr="00234797">
        <w:rPr>
          <w:rFonts w:ascii="Arial" w:hAnsi="Arial" w:cs="Arial"/>
          <w:sz w:val="22"/>
          <w:szCs w:val="22"/>
          <w:lang w:val="fr-FR"/>
        </w:rPr>
        <w:t>“Dérivé de” est un autre terme qui est utilisé dans certaines législations nationales.  Il pourrait s’agir du facteur le plus large.  En l’absence d’une définition précise, le terme peut être interprété comme englobant différents éléments, allant des inventions directement et physiquement dérivées d’une ressource génétique à tout produit issu de la biologie synthétique qui est créé avec des séquences de gènes obtenus simplement à partir d’un référentiel ou d’une base de données en ligne, en passant par tout élément qui se situerait entre ces deux options.</w:t>
      </w:r>
    </w:p>
    <w:p w14:paraId="62631388" w14:textId="77777777" w:rsidR="00234797" w:rsidRPr="00234797" w:rsidRDefault="00234797" w:rsidP="00105A2D">
      <w:pPr>
        <w:ind w:left="567"/>
        <w:rPr>
          <w:rFonts w:ascii="Arial" w:hAnsi="Arial" w:cs="Arial"/>
          <w:sz w:val="22"/>
          <w:szCs w:val="22"/>
          <w:lang w:val="fr-FR"/>
        </w:rPr>
      </w:pPr>
    </w:p>
    <w:tbl>
      <w:tblPr>
        <w:tblStyle w:val="TableGrid"/>
        <w:tblW w:w="7364" w:type="dxa"/>
        <w:tblInd w:w="1744" w:type="dxa"/>
        <w:tblLook w:val="04A0" w:firstRow="1" w:lastRow="0" w:firstColumn="1" w:lastColumn="0" w:noHBand="0" w:noVBand="1"/>
      </w:tblPr>
      <w:tblGrid>
        <w:gridCol w:w="7364"/>
      </w:tblGrid>
      <w:tr w:rsidR="00234797" w:rsidRPr="00234797" w14:paraId="02933EF5" w14:textId="77777777" w:rsidTr="00190325">
        <w:tc>
          <w:tcPr>
            <w:tcW w:w="7364" w:type="dxa"/>
            <w:shd w:val="clear" w:color="auto" w:fill="D0CECE" w:themeFill="background2" w:themeFillShade="E6"/>
          </w:tcPr>
          <w:p w14:paraId="0DF1295E" w14:textId="77777777" w:rsidR="00234797" w:rsidRPr="00234797" w:rsidRDefault="00234797" w:rsidP="007069D1">
            <w:pPr>
              <w:pStyle w:val="ListParagraph"/>
              <w:ind w:left="0"/>
              <w:rPr>
                <w:lang w:val="fr-FR"/>
              </w:rPr>
            </w:pPr>
            <w:r w:rsidRPr="00234797">
              <w:rPr>
                <w:lang w:val="fr-FR"/>
              </w:rPr>
              <w:t xml:space="preserve">Par exemple, </w:t>
            </w:r>
            <w:r w:rsidRPr="00234797">
              <w:rPr>
                <w:b/>
                <w:lang w:val="fr-FR"/>
              </w:rPr>
              <w:t>Communauté andine</w:t>
            </w:r>
            <w:r w:rsidRPr="00234797">
              <w:rPr>
                <w:lang w:val="fr-FR"/>
              </w:rPr>
              <w:t xml:space="preserve"> : l’article 26 de la </w:t>
            </w:r>
            <w:r w:rsidRPr="00234797">
              <w:rPr>
                <w:i/>
                <w:lang w:val="fr-FR"/>
              </w:rPr>
              <w:t>décision n° 486 relative à la création du régime commun de propriété industrielle (2000)</w:t>
            </w:r>
            <w:r w:rsidRPr="00234797">
              <w:rPr>
                <w:lang w:val="fr-FR"/>
              </w:rPr>
              <w:t xml:space="preserve"> dispose que :</w:t>
            </w:r>
          </w:p>
          <w:p w14:paraId="77CCB045" w14:textId="1A8E404E" w:rsidR="00234797" w:rsidRPr="00234797" w:rsidRDefault="00234797" w:rsidP="00105A2D">
            <w:pPr>
              <w:pStyle w:val="ListParagraph"/>
              <w:ind w:left="550"/>
              <w:rPr>
                <w:lang w:val="fr-FR"/>
              </w:rPr>
            </w:pPr>
            <w:r w:rsidRPr="00234797">
              <w:rPr>
                <w:lang w:val="fr-FR"/>
              </w:rPr>
              <w:t>“La demande de brevet doit être déposée auprès de l’office national compétent et contenir :</w:t>
            </w:r>
            <w:r w:rsidR="00105A2D">
              <w:rPr>
                <w:lang w:val="fr-FR"/>
              </w:rPr>
              <w:t xml:space="preserve"> […] h) </w:t>
            </w:r>
            <w:r w:rsidRPr="00234797">
              <w:rPr>
                <w:lang w:val="fr-FR"/>
              </w:rPr>
              <w:t>une copie du contrat d’accès, lorsque les produits ou procédés faisant l’objet d’une demande de brevet ont été obtenus ou mis au point à partir de ressources génétiques ou de produits dérivés de celles</w:t>
            </w:r>
            <w:r w:rsidRPr="00234797">
              <w:rPr>
                <w:lang w:val="fr-FR"/>
              </w:rPr>
              <w:noBreakHyphen/>
              <w:t xml:space="preserve">ci qui ont pour origine un quelconque pays membre; </w:t>
            </w:r>
            <w:r w:rsidR="00105A2D">
              <w:rPr>
                <w:lang w:val="fr-FR"/>
              </w:rPr>
              <w:t xml:space="preserve"> </w:t>
            </w:r>
            <w:r w:rsidRPr="00234797">
              <w:rPr>
                <w:lang w:val="fr-FR"/>
              </w:rPr>
              <w:t>i)</w:t>
            </w:r>
            <w:r w:rsidR="00105A2D">
              <w:rPr>
                <w:lang w:val="fr-FR"/>
              </w:rPr>
              <w:t> </w:t>
            </w:r>
            <w:r w:rsidRPr="00234797">
              <w:rPr>
                <w:lang w:val="fr-FR"/>
              </w:rPr>
              <w:t>le cas échéant, une copie du document attestant la concession de la licence ou l’autorisation d’utiliser les savoirs traditionnels des communautés autochtones, afro</w:t>
            </w:r>
            <w:r w:rsidRPr="00234797">
              <w:rPr>
                <w:lang w:val="fr-FR"/>
              </w:rPr>
              <w:noBreakHyphen/>
              <w:t>américaines ou locales des pays membres, lorsque les produits et procédés dont la protection est demandée ont été obtenus pour mise au point à partir de ces connaissances, qui ont pour origine un quelconque des pays membres, conformément aux dispositions de la Décision 391 ainsi qu’aux modifications dont elles ont fait l’objet et aux règles correspondantes qui sont en vigueur […]”.</w:t>
            </w:r>
          </w:p>
        </w:tc>
      </w:tr>
    </w:tbl>
    <w:p w14:paraId="65E2E217" w14:textId="77777777" w:rsidR="00234797" w:rsidRPr="00234797" w:rsidRDefault="00234797" w:rsidP="00105A2D">
      <w:pPr>
        <w:ind w:left="567"/>
        <w:rPr>
          <w:rFonts w:ascii="Arial" w:hAnsi="Arial" w:cs="Arial"/>
          <w:sz w:val="22"/>
          <w:szCs w:val="22"/>
          <w:lang w:val="fr-FR"/>
        </w:rPr>
      </w:pPr>
    </w:p>
    <w:p w14:paraId="4C088930" w14:textId="77777777" w:rsidR="00234797" w:rsidRPr="00234797" w:rsidRDefault="00234797" w:rsidP="00105A2D">
      <w:pPr>
        <w:ind w:left="567"/>
        <w:rPr>
          <w:rFonts w:ascii="Arial" w:hAnsi="Arial" w:cs="Arial"/>
          <w:sz w:val="22"/>
          <w:szCs w:val="22"/>
          <w:lang w:val="fr-FR"/>
        </w:rPr>
      </w:pPr>
      <w:r w:rsidRPr="00234797">
        <w:rPr>
          <w:rFonts w:ascii="Arial" w:hAnsi="Arial" w:cs="Arial"/>
          <w:sz w:val="22"/>
          <w:szCs w:val="22"/>
          <w:lang w:val="fr-FR"/>
        </w:rPr>
        <w:t>D’autres termes utilisés comme facteurs déclenchant la divulgation sont, notamment, “obtenus ou mis au point à partir de”, “fondé sur”, “en réponse à” et “concernant”.</w:t>
      </w:r>
    </w:p>
    <w:p w14:paraId="7E83D871" w14:textId="77777777" w:rsidR="00234797" w:rsidRPr="00234797" w:rsidRDefault="00234797" w:rsidP="00105A2D">
      <w:pPr>
        <w:ind w:left="567"/>
        <w:rPr>
          <w:rFonts w:ascii="Arial" w:hAnsi="Arial" w:cs="Arial"/>
          <w:sz w:val="22"/>
          <w:szCs w:val="22"/>
          <w:lang w:val="fr-FR"/>
        </w:rPr>
      </w:pPr>
    </w:p>
    <w:p w14:paraId="2313575F" w14:textId="6F2EF4EA" w:rsidR="00234797" w:rsidRPr="00234797" w:rsidRDefault="00234797" w:rsidP="00105A2D">
      <w:pPr>
        <w:ind w:left="567"/>
        <w:rPr>
          <w:rFonts w:ascii="Arial" w:hAnsi="Arial" w:cs="Arial"/>
          <w:sz w:val="22"/>
          <w:szCs w:val="22"/>
          <w:lang w:val="fr-FR"/>
        </w:rPr>
      </w:pPr>
      <w:r w:rsidRPr="00234797">
        <w:rPr>
          <w:rFonts w:ascii="Arial" w:hAnsi="Arial" w:cs="Arial"/>
          <w:sz w:val="22"/>
          <w:szCs w:val="22"/>
          <w:lang w:val="fr-FR"/>
        </w:rPr>
        <w:t>À mon avis, l’expression “directement fondé sur” indique clairement un lien de causalité et constitue peut</w:t>
      </w:r>
      <w:r w:rsidRPr="00234797">
        <w:rPr>
          <w:rFonts w:ascii="Arial" w:hAnsi="Arial" w:cs="Arial"/>
          <w:sz w:val="22"/>
          <w:szCs w:val="22"/>
          <w:lang w:val="fr-FR"/>
        </w:rPr>
        <w:noBreakHyphen/>
        <w:t>être le facteur déclenchant le plus restrictif.  En pratique, cela signifierait que seules les ressources génétiques sans lesquelles l’invention n’aurait pas été possible devraient être divulguées.  Il est clair que, quels que soient les termes utilisés, la définition du facteur déclenchant est fondamentale pour le champ d’application de l’instrument et l’impact sur la sécurité juridique, et requiert un examen attentif.</w:t>
      </w:r>
    </w:p>
    <w:p w14:paraId="380B95C7" w14:textId="77777777" w:rsidR="00234797" w:rsidRPr="00234797" w:rsidRDefault="00234797" w:rsidP="00105A2D">
      <w:pPr>
        <w:ind w:left="567"/>
        <w:rPr>
          <w:rFonts w:ascii="Arial" w:hAnsi="Arial" w:cs="Arial"/>
          <w:sz w:val="22"/>
          <w:szCs w:val="22"/>
          <w:lang w:val="fr-FR"/>
        </w:rPr>
      </w:pPr>
    </w:p>
    <w:p w14:paraId="2F7DCAF6" w14:textId="77777777" w:rsidR="00234797" w:rsidRPr="00234797" w:rsidRDefault="00234797" w:rsidP="00105A2D">
      <w:pPr>
        <w:pStyle w:val="ListParagraph"/>
        <w:numPr>
          <w:ilvl w:val="0"/>
          <w:numId w:val="21"/>
        </w:numPr>
        <w:ind w:left="1701" w:hanging="567"/>
        <w:rPr>
          <w:rFonts w:ascii="Arial" w:hAnsi="Arial" w:cs="Arial"/>
          <w:b/>
          <w:sz w:val="22"/>
          <w:szCs w:val="22"/>
          <w:lang w:val="fr-FR"/>
        </w:rPr>
      </w:pPr>
      <w:r w:rsidRPr="00234797">
        <w:rPr>
          <w:rFonts w:ascii="Arial" w:hAnsi="Arial" w:cs="Arial"/>
          <w:b/>
          <w:sz w:val="22"/>
          <w:szCs w:val="22"/>
          <w:lang w:val="fr-FR"/>
        </w:rPr>
        <w:t>Contenu de la divulgation</w:t>
      </w:r>
    </w:p>
    <w:p w14:paraId="07E006C7" w14:textId="77777777" w:rsidR="00234797" w:rsidRPr="00234797" w:rsidRDefault="00234797" w:rsidP="00105A2D">
      <w:pPr>
        <w:ind w:left="567"/>
        <w:rPr>
          <w:rFonts w:ascii="Arial" w:hAnsi="Arial" w:cs="Arial"/>
          <w:sz w:val="22"/>
          <w:szCs w:val="22"/>
          <w:lang w:val="fr-FR"/>
        </w:rPr>
      </w:pPr>
    </w:p>
    <w:p w14:paraId="3870B7BE" w14:textId="77777777" w:rsidR="00234797" w:rsidRPr="00234797" w:rsidRDefault="00234797" w:rsidP="00105A2D">
      <w:pPr>
        <w:ind w:left="567"/>
        <w:rPr>
          <w:rFonts w:ascii="Arial" w:hAnsi="Arial" w:cs="Arial"/>
          <w:sz w:val="22"/>
          <w:szCs w:val="22"/>
          <w:lang w:val="fr-FR"/>
        </w:rPr>
      </w:pPr>
      <w:r w:rsidRPr="00234797">
        <w:rPr>
          <w:rFonts w:ascii="Arial" w:hAnsi="Arial" w:cs="Arial"/>
          <w:sz w:val="22"/>
          <w:szCs w:val="22"/>
          <w:lang w:val="fr-FR"/>
        </w:rPr>
        <w:t>Trois catégories d’informations ont été proposées en ce qui concerne le contenu de la divulgation :</w:t>
      </w:r>
    </w:p>
    <w:p w14:paraId="5745B762" w14:textId="77777777" w:rsidR="00234797" w:rsidRPr="00234797" w:rsidRDefault="00234797" w:rsidP="00105A2D">
      <w:pPr>
        <w:ind w:left="567"/>
        <w:rPr>
          <w:rFonts w:ascii="Arial" w:hAnsi="Arial" w:cs="Arial"/>
          <w:sz w:val="22"/>
          <w:szCs w:val="22"/>
          <w:lang w:val="fr-FR"/>
        </w:rPr>
      </w:pPr>
    </w:p>
    <w:p w14:paraId="28990FC2" w14:textId="742EFD61" w:rsidR="00234797" w:rsidRPr="00234797" w:rsidRDefault="00234797" w:rsidP="00105A2D">
      <w:pPr>
        <w:tabs>
          <w:tab w:val="left" w:pos="2268"/>
        </w:tabs>
        <w:ind w:left="1134" w:firstLine="567"/>
        <w:rPr>
          <w:rFonts w:ascii="Arial" w:hAnsi="Arial" w:cs="Arial"/>
          <w:sz w:val="22"/>
          <w:szCs w:val="22"/>
          <w:lang w:val="fr-FR"/>
        </w:rPr>
      </w:pPr>
      <w:r w:rsidRPr="00234797">
        <w:rPr>
          <w:rFonts w:ascii="Arial" w:hAnsi="Arial" w:cs="Arial"/>
          <w:sz w:val="22"/>
          <w:szCs w:val="22"/>
          <w:lang w:val="fr-FR"/>
        </w:rPr>
        <w:t xml:space="preserve">1) </w:t>
      </w:r>
      <w:r w:rsidR="00105A2D">
        <w:rPr>
          <w:rFonts w:ascii="Arial" w:hAnsi="Arial" w:cs="Arial"/>
          <w:sz w:val="22"/>
          <w:szCs w:val="22"/>
          <w:lang w:val="fr-FR"/>
        </w:rPr>
        <w:tab/>
      </w:r>
      <w:r w:rsidRPr="00234797">
        <w:rPr>
          <w:rFonts w:ascii="Arial" w:hAnsi="Arial" w:cs="Arial"/>
          <w:sz w:val="22"/>
          <w:szCs w:val="22"/>
          <w:lang w:val="fr-FR"/>
        </w:rPr>
        <w:t>le pays d’origine;</w:t>
      </w:r>
    </w:p>
    <w:p w14:paraId="12FE4133" w14:textId="77777777" w:rsidR="00234797" w:rsidRPr="00234797" w:rsidRDefault="00234797" w:rsidP="00105A2D">
      <w:pPr>
        <w:ind w:left="567"/>
        <w:rPr>
          <w:rFonts w:ascii="Arial" w:hAnsi="Arial" w:cs="Arial"/>
          <w:sz w:val="22"/>
          <w:szCs w:val="22"/>
          <w:lang w:val="fr-FR"/>
        </w:rPr>
      </w:pPr>
    </w:p>
    <w:tbl>
      <w:tblPr>
        <w:tblStyle w:val="TableGrid"/>
        <w:tblW w:w="0" w:type="auto"/>
        <w:tblInd w:w="1728" w:type="dxa"/>
        <w:tblLook w:val="04A0" w:firstRow="1" w:lastRow="0" w:firstColumn="1" w:lastColumn="0" w:noHBand="0" w:noVBand="1"/>
      </w:tblPr>
      <w:tblGrid>
        <w:gridCol w:w="7282"/>
      </w:tblGrid>
      <w:tr w:rsidR="00234797" w:rsidRPr="00234797" w14:paraId="1D896EAC" w14:textId="77777777" w:rsidTr="00190325">
        <w:tc>
          <w:tcPr>
            <w:tcW w:w="7380" w:type="dxa"/>
            <w:shd w:val="clear" w:color="auto" w:fill="D0CECE" w:themeFill="background2" w:themeFillShade="E6"/>
          </w:tcPr>
          <w:p w14:paraId="3F17EC16" w14:textId="77777777" w:rsidR="00234797" w:rsidRPr="00234797" w:rsidRDefault="00234797" w:rsidP="007069D1">
            <w:pPr>
              <w:rPr>
                <w:lang w:val="fr-FR"/>
              </w:rPr>
            </w:pPr>
            <w:r w:rsidRPr="00234797">
              <w:rPr>
                <w:lang w:val="fr-FR"/>
              </w:rPr>
              <w:t xml:space="preserve">Par exemple, </w:t>
            </w:r>
            <w:r w:rsidRPr="00234797">
              <w:rPr>
                <w:b/>
                <w:lang w:val="fr-FR"/>
              </w:rPr>
              <w:t>Norvège</w:t>
            </w:r>
            <w:r w:rsidRPr="00234797">
              <w:rPr>
                <w:lang w:val="fr-FR"/>
              </w:rPr>
              <w:t xml:space="preserve"> : l’article 8.b) de la </w:t>
            </w:r>
            <w:r w:rsidRPr="00234797">
              <w:rPr>
                <w:i/>
                <w:lang w:val="fr-FR"/>
              </w:rPr>
              <w:t>loi sur les brevets n° 9 du 15 décembre 1967 (mise à jour en 2016)</w:t>
            </w:r>
            <w:r w:rsidRPr="00234797">
              <w:rPr>
                <w:lang w:val="fr-FR"/>
              </w:rPr>
              <w:t xml:space="preserve"> contient une règle très précise :</w:t>
            </w:r>
          </w:p>
          <w:p w14:paraId="13C8E86E" w14:textId="41E7BF27" w:rsidR="00234797" w:rsidRPr="00234797" w:rsidRDefault="00234797" w:rsidP="00BB6F01">
            <w:pPr>
              <w:ind w:left="570"/>
              <w:rPr>
                <w:lang w:val="fr-FR"/>
              </w:rPr>
            </w:pPr>
            <w:r w:rsidRPr="00234797">
              <w:rPr>
                <w:lang w:val="fr-FR"/>
              </w:rPr>
              <w:t xml:space="preserve">“Si une invention concerne ou utilise du matériel biologique, la demande de brevet doit comporter des informations sur le pays dans lequel l’inventeur a prélevé ou duquel il a reçu le matériel (le </w:t>
            </w:r>
            <w:r w:rsidRPr="00234797">
              <w:rPr>
                <w:lang w:val="fr-FR"/>
              </w:rPr>
              <w:lastRenderedPageBreak/>
              <w:t>pays fournisseur).  S’il s’ensuit des dispositions de la législation nationale du pays fournisseur que l’accès au matériel biologique doit faire l’objet d’un consentement préalable, la demande doit indiquer si un tel consentement a été obtenu.  Si le pays fournisseur n’est pas le même que le pays d’origine du matériel biologique, la demande doit également faire état du pays d’origine.  Par pays d’origine, on entend le pays où le matériel a été prélevé dans son environnement naturel.  Si la législation nationale du pays d’origine exige que l’accès au matériel biologique fasse l’objet d’un consentement préalable, la demande doit préciser si ce consentement a été obtenu.  Si les informations visées dans le présent alinéa ne sont pas connues, le déposant doit l’indiquer”</w:t>
            </w:r>
            <w:r w:rsidR="00105A2D">
              <w:rPr>
                <w:lang w:val="fr-FR"/>
              </w:rPr>
              <w:t>.</w:t>
            </w:r>
          </w:p>
        </w:tc>
      </w:tr>
    </w:tbl>
    <w:p w14:paraId="3C67847E" w14:textId="77777777" w:rsidR="00234797" w:rsidRPr="00234797" w:rsidRDefault="00234797" w:rsidP="00105A2D">
      <w:pPr>
        <w:tabs>
          <w:tab w:val="left" w:pos="2268"/>
        </w:tabs>
        <w:ind w:left="1701"/>
        <w:rPr>
          <w:rFonts w:ascii="Arial" w:hAnsi="Arial" w:cs="Arial"/>
          <w:sz w:val="22"/>
          <w:szCs w:val="22"/>
          <w:lang w:val="fr-FR"/>
        </w:rPr>
      </w:pPr>
    </w:p>
    <w:p w14:paraId="6A529E9A" w14:textId="79DA5267" w:rsidR="00234797" w:rsidRPr="00234797" w:rsidRDefault="00234797" w:rsidP="00105A2D">
      <w:pPr>
        <w:tabs>
          <w:tab w:val="left" w:pos="2268"/>
        </w:tabs>
        <w:ind w:left="1701"/>
        <w:rPr>
          <w:rFonts w:ascii="Arial" w:hAnsi="Arial" w:cs="Arial"/>
          <w:sz w:val="22"/>
          <w:szCs w:val="22"/>
          <w:lang w:val="fr-FR"/>
        </w:rPr>
      </w:pPr>
      <w:r w:rsidRPr="00234797">
        <w:rPr>
          <w:rFonts w:ascii="Arial" w:hAnsi="Arial" w:cs="Arial"/>
          <w:sz w:val="22"/>
          <w:szCs w:val="22"/>
          <w:lang w:val="fr-FR"/>
        </w:rPr>
        <w:t xml:space="preserve">2) </w:t>
      </w:r>
      <w:r w:rsidR="00105A2D">
        <w:rPr>
          <w:rFonts w:ascii="Arial" w:hAnsi="Arial" w:cs="Arial"/>
          <w:sz w:val="22"/>
          <w:szCs w:val="22"/>
          <w:lang w:val="fr-FR"/>
        </w:rPr>
        <w:tab/>
      </w:r>
      <w:r w:rsidRPr="00234797">
        <w:rPr>
          <w:rFonts w:ascii="Arial" w:hAnsi="Arial" w:cs="Arial"/>
          <w:sz w:val="22"/>
          <w:szCs w:val="22"/>
          <w:lang w:val="fr-FR"/>
        </w:rPr>
        <w:t xml:space="preserve">la source des ressources génétiques ou des savoirs </w:t>
      </w:r>
      <w:proofErr w:type="gramStart"/>
      <w:r w:rsidRPr="00234797">
        <w:rPr>
          <w:rFonts w:ascii="Arial" w:hAnsi="Arial" w:cs="Arial"/>
          <w:sz w:val="22"/>
          <w:szCs w:val="22"/>
          <w:lang w:val="fr-FR"/>
        </w:rPr>
        <w:t>traditionnels;  et</w:t>
      </w:r>
      <w:proofErr w:type="gramEnd"/>
    </w:p>
    <w:p w14:paraId="7E9B690F" w14:textId="77777777" w:rsidR="00234797" w:rsidRPr="00234797" w:rsidRDefault="00234797" w:rsidP="00105A2D">
      <w:pPr>
        <w:tabs>
          <w:tab w:val="left" w:pos="2268"/>
        </w:tabs>
        <w:ind w:left="1701"/>
        <w:rPr>
          <w:rFonts w:ascii="Arial" w:hAnsi="Arial" w:cs="Arial"/>
          <w:sz w:val="22"/>
          <w:szCs w:val="22"/>
          <w:lang w:val="fr-FR"/>
        </w:rPr>
      </w:pPr>
    </w:p>
    <w:tbl>
      <w:tblPr>
        <w:tblStyle w:val="TableGrid"/>
        <w:tblW w:w="0" w:type="auto"/>
        <w:tblInd w:w="1728" w:type="dxa"/>
        <w:tblLook w:val="04A0" w:firstRow="1" w:lastRow="0" w:firstColumn="1" w:lastColumn="0" w:noHBand="0" w:noVBand="1"/>
      </w:tblPr>
      <w:tblGrid>
        <w:gridCol w:w="7282"/>
      </w:tblGrid>
      <w:tr w:rsidR="00234797" w:rsidRPr="00234797" w14:paraId="4C049FDA" w14:textId="77777777" w:rsidTr="00190325">
        <w:tc>
          <w:tcPr>
            <w:tcW w:w="7380" w:type="dxa"/>
            <w:shd w:val="clear" w:color="auto" w:fill="D0CECE" w:themeFill="background2" w:themeFillShade="E6"/>
          </w:tcPr>
          <w:p w14:paraId="2B1A72F7" w14:textId="77777777" w:rsidR="00234797" w:rsidRPr="00234797" w:rsidRDefault="00234797" w:rsidP="007069D1">
            <w:pPr>
              <w:rPr>
                <w:lang w:val="fr-FR"/>
              </w:rPr>
            </w:pPr>
            <w:r w:rsidRPr="00234797">
              <w:rPr>
                <w:lang w:val="fr-FR"/>
              </w:rPr>
              <w:t xml:space="preserve">Par exemple, </w:t>
            </w:r>
            <w:r w:rsidRPr="00234797">
              <w:rPr>
                <w:b/>
                <w:lang w:val="fr-FR"/>
              </w:rPr>
              <w:t>République populaire de Chine</w:t>
            </w:r>
            <w:r w:rsidRPr="00234797">
              <w:rPr>
                <w:lang w:val="fr-FR"/>
              </w:rPr>
              <w:t xml:space="preserve"> : l’article 26.5) de la </w:t>
            </w:r>
            <w:r w:rsidRPr="00234797">
              <w:rPr>
                <w:i/>
                <w:lang w:val="fr-FR"/>
              </w:rPr>
              <w:t xml:space="preserve">loi chinoise sur les brevets (modifiée), datée du 27 décembre 2008 et entrée en vigueur en octobre 2009 </w:t>
            </w:r>
            <w:r w:rsidRPr="00234797">
              <w:rPr>
                <w:lang w:val="fr-FR"/>
              </w:rPr>
              <w:t>dispose que : “</w:t>
            </w:r>
          </w:p>
          <w:p w14:paraId="30B933CA" w14:textId="1F8E7051" w:rsidR="00234797" w:rsidRPr="00234797" w:rsidRDefault="00234797" w:rsidP="00BB6F01">
            <w:pPr>
              <w:ind w:left="570"/>
              <w:rPr>
                <w:lang w:val="fr-FR"/>
              </w:rPr>
            </w:pPr>
            <w:r w:rsidRPr="00234797">
              <w:rPr>
                <w:lang w:val="fr-FR"/>
              </w:rPr>
              <w:t>[…] Pour une invention</w:t>
            </w:r>
            <w:r w:rsidRPr="00234797">
              <w:rPr>
                <w:lang w:val="fr-FR"/>
              </w:rPr>
              <w:noBreakHyphen/>
              <w:t>création dont la réalisation dépend de ressources génétiques, le déposant doit indiquer la source directe et la source originelle desdites ressources génétiques dans les documents relatifs à la demande;  le déposant doit justifier les raisons pour lesquelles la source originelle desdites ressources génétiques ne peut pas être indiquée, le cas échéant”.</w:t>
            </w:r>
          </w:p>
        </w:tc>
      </w:tr>
    </w:tbl>
    <w:p w14:paraId="6875555F" w14:textId="77777777" w:rsidR="00234797" w:rsidRPr="00234797" w:rsidRDefault="00234797" w:rsidP="00105A2D">
      <w:pPr>
        <w:tabs>
          <w:tab w:val="left" w:pos="2268"/>
        </w:tabs>
        <w:ind w:left="1701"/>
        <w:rPr>
          <w:rFonts w:ascii="Arial" w:hAnsi="Arial" w:cs="Arial"/>
          <w:sz w:val="22"/>
          <w:szCs w:val="22"/>
          <w:lang w:val="fr-FR"/>
        </w:rPr>
      </w:pPr>
    </w:p>
    <w:p w14:paraId="7858FBEB" w14:textId="3A33B76B" w:rsidR="00234797" w:rsidRPr="00234797" w:rsidRDefault="00234797" w:rsidP="00105A2D">
      <w:pPr>
        <w:tabs>
          <w:tab w:val="left" w:pos="2268"/>
        </w:tabs>
        <w:ind w:left="1701"/>
        <w:rPr>
          <w:rFonts w:ascii="Arial" w:hAnsi="Arial" w:cs="Arial"/>
          <w:sz w:val="22"/>
          <w:szCs w:val="22"/>
          <w:lang w:val="fr-FR"/>
        </w:rPr>
      </w:pPr>
      <w:r w:rsidRPr="00234797">
        <w:rPr>
          <w:rFonts w:ascii="Arial" w:hAnsi="Arial" w:cs="Arial"/>
          <w:sz w:val="22"/>
          <w:szCs w:val="22"/>
          <w:lang w:val="fr-FR"/>
        </w:rPr>
        <w:t xml:space="preserve">3) </w:t>
      </w:r>
      <w:r w:rsidR="00105A2D">
        <w:rPr>
          <w:rFonts w:ascii="Arial" w:hAnsi="Arial" w:cs="Arial"/>
          <w:sz w:val="22"/>
          <w:szCs w:val="22"/>
          <w:lang w:val="fr-FR"/>
        </w:rPr>
        <w:tab/>
      </w:r>
      <w:r w:rsidRPr="00234797">
        <w:rPr>
          <w:rFonts w:ascii="Arial" w:hAnsi="Arial" w:cs="Arial"/>
          <w:sz w:val="22"/>
          <w:szCs w:val="22"/>
          <w:lang w:val="fr-FR"/>
        </w:rPr>
        <w:t>des informations relatives au respect des exigences en matière d’accès et de partage des avantages, y compris le consentement préalable en connaissance de cause.</w:t>
      </w:r>
    </w:p>
    <w:p w14:paraId="08C5617B" w14:textId="77777777" w:rsidR="00234797" w:rsidRPr="00234797" w:rsidRDefault="00234797" w:rsidP="00105A2D">
      <w:pPr>
        <w:tabs>
          <w:tab w:val="left" w:pos="2268"/>
        </w:tabs>
        <w:ind w:left="1701"/>
        <w:rPr>
          <w:rFonts w:ascii="Arial" w:hAnsi="Arial" w:cs="Arial"/>
          <w:sz w:val="22"/>
          <w:szCs w:val="22"/>
          <w:lang w:val="fr-FR"/>
        </w:rPr>
      </w:pPr>
    </w:p>
    <w:tbl>
      <w:tblPr>
        <w:tblStyle w:val="TableGrid"/>
        <w:tblW w:w="0" w:type="auto"/>
        <w:tblInd w:w="1728" w:type="dxa"/>
        <w:tblLook w:val="04A0" w:firstRow="1" w:lastRow="0" w:firstColumn="1" w:lastColumn="0" w:noHBand="0" w:noVBand="1"/>
      </w:tblPr>
      <w:tblGrid>
        <w:gridCol w:w="7282"/>
      </w:tblGrid>
      <w:tr w:rsidR="00234797" w:rsidRPr="00234797" w14:paraId="6FB3B500" w14:textId="77777777" w:rsidTr="00190325">
        <w:tc>
          <w:tcPr>
            <w:tcW w:w="7380" w:type="dxa"/>
            <w:shd w:val="clear" w:color="auto" w:fill="D0CECE" w:themeFill="background2" w:themeFillShade="E6"/>
          </w:tcPr>
          <w:p w14:paraId="17396FF2" w14:textId="77777777" w:rsidR="00234797" w:rsidRPr="00234797" w:rsidRDefault="00234797" w:rsidP="007069D1">
            <w:pPr>
              <w:rPr>
                <w:lang w:val="fr-FR"/>
              </w:rPr>
            </w:pPr>
            <w:r w:rsidRPr="00234797">
              <w:rPr>
                <w:lang w:val="fr-FR"/>
              </w:rPr>
              <w:t xml:space="preserve">Par exemple, </w:t>
            </w:r>
            <w:r w:rsidRPr="00234797">
              <w:rPr>
                <w:b/>
                <w:lang w:val="fr-FR"/>
              </w:rPr>
              <w:t>Communauté andine</w:t>
            </w:r>
            <w:r w:rsidRPr="00234797">
              <w:rPr>
                <w:lang w:val="fr-FR"/>
              </w:rPr>
              <w:t xml:space="preserve"> : l’article 26 de la </w:t>
            </w:r>
            <w:r w:rsidRPr="00234797">
              <w:rPr>
                <w:i/>
                <w:lang w:val="fr-FR"/>
              </w:rPr>
              <w:t>décision n° 486 de 2000 établissant le régime commun de propriété industrielle</w:t>
            </w:r>
            <w:r w:rsidRPr="00234797">
              <w:rPr>
                <w:lang w:val="fr-FR"/>
              </w:rPr>
              <w:t xml:space="preserve"> précise qu’une demande de brevet doit contenir :</w:t>
            </w:r>
          </w:p>
          <w:p w14:paraId="11885C9A" w14:textId="2325D617" w:rsidR="00234797" w:rsidRPr="00234797" w:rsidRDefault="00234797" w:rsidP="00BB6F01">
            <w:pPr>
              <w:ind w:left="570"/>
              <w:rPr>
                <w:lang w:val="fr-FR"/>
              </w:rPr>
            </w:pPr>
            <w:r w:rsidRPr="00234797">
              <w:rPr>
                <w:lang w:val="fr-FR"/>
              </w:rPr>
              <w:t>“[une] copie du contrat d’accès lorsque les produits ou les procédés pour lesquels un brevet est demandé ont été obtenus ou développés à partir de ressources génétiques ou de produits dérivés de ces dernières dont le pays d’origine est un des pays membres;  […] s’il y a lieu, une copie du document prouvant l’autorisation d’utiliser les savoirs traditionnels des Afro</w:t>
            </w:r>
            <w:r w:rsidRPr="00234797">
              <w:rPr>
                <w:lang w:val="fr-FR"/>
              </w:rPr>
              <w:noBreakHyphen/>
              <w:t>Américains autochtones ou des communautés locales de pays membres lorsque les produits ou les procédés pour lesquels une protection est demandée ont été obtenus ou développés à partir des savoirs en question dont le pays d’origine est un des pays membres, conformément aux dispositions de la décision 391 et à celles de ses amendements et règlements d’application en vigueur”.</w:t>
            </w:r>
          </w:p>
          <w:p w14:paraId="37553093" w14:textId="77777777" w:rsidR="00234797" w:rsidRPr="00234797" w:rsidRDefault="00234797" w:rsidP="00190325">
            <w:pPr>
              <w:rPr>
                <w:lang w:val="fr-FR"/>
              </w:rPr>
            </w:pPr>
          </w:p>
          <w:p w14:paraId="5A354CD2" w14:textId="77777777" w:rsidR="00234797" w:rsidRPr="00234797" w:rsidRDefault="00234797" w:rsidP="007069D1">
            <w:pPr>
              <w:rPr>
                <w:lang w:val="fr-FR"/>
              </w:rPr>
            </w:pPr>
            <w:r w:rsidRPr="00234797">
              <w:rPr>
                <w:b/>
                <w:lang w:val="fr-FR"/>
              </w:rPr>
              <w:t>Afrique du Sud :</w:t>
            </w:r>
            <w:r w:rsidRPr="00234797">
              <w:rPr>
                <w:lang w:val="fr-FR"/>
              </w:rPr>
              <w:t xml:space="preserve"> l’article 30 de la </w:t>
            </w:r>
            <w:r w:rsidRPr="00234797">
              <w:rPr>
                <w:i/>
                <w:lang w:val="fr-FR"/>
              </w:rPr>
              <w:t xml:space="preserve">loi modificative n° 20 de 2005 sur les brevets </w:t>
            </w:r>
            <w:r w:rsidRPr="00234797">
              <w:rPr>
                <w:lang w:val="fr-FR"/>
              </w:rPr>
              <w:t>indique que :</w:t>
            </w:r>
          </w:p>
          <w:p w14:paraId="49D0F0D3" w14:textId="77777777" w:rsidR="00234797" w:rsidRPr="00234797" w:rsidRDefault="00234797" w:rsidP="00BB6F01">
            <w:pPr>
              <w:ind w:left="570"/>
              <w:rPr>
                <w:lang w:val="fr-FR"/>
              </w:rPr>
            </w:pPr>
            <w:r w:rsidRPr="00234797">
              <w:rPr>
                <w:lang w:val="fr-FR"/>
              </w:rPr>
              <w:t xml:space="preserve">“Tout déposant soumettant une demande de brevet accompagnée d’un mémoire descriptif complet doit, avant que la demande soit acceptée, déposer au service d’enregistrement une déclaration de la manière prescrite précisant si l’invention pour laquelle une protection est revendiquée se fonde sur une ressource biologique ou génétique autochtone ou sur un savoir traditionnel ou sur son utilisation, ou bien si elle en découle.  Le service d’enregistrement </w:t>
            </w:r>
            <w:r w:rsidRPr="00234797">
              <w:rPr>
                <w:lang w:val="fr-FR"/>
              </w:rPr>
              <w:lastRenderedPageBreak/>
              <w:t>doit demander au déposant de fournir la preuve de la manière prescrite de son droit ou autorisation de recourir à la ressource biologique ou génétique autochtone, ou au savoir traditionnel ou à son utilisation si un déposant présente une déclaration reconnaissant que l’invention pour laquelle une protection est revendiquée se fonde sur une ressource biologique ou génétique autochtone, ou sur un savoir traditionnel ou sur son utilisation, ou bien si elle en découle”.</w:t>
            </w:r>
          </w:p>
        </w:tc>
      </w:tr>
    </w:tbl>
    <w:p w14:paraId="5C33C5D9" w14:textId="77777777" w:rsidR="00234797" w:rsidRPr="00234797" w:rsidRDefault="00234797" w:rsidP="00BB6F01">
      <w:pPr>
        <w:ind w:left="567"/>
        <w:rPr>
          <w:rFonts w:ascii="Arial" w:hAnsi="Arial" w:cs="Arial"/>
          <w:sz w:val="22"/>
          <w:szCs w:val="22"/>
          <w:lang w:val="fr-FR"/>
        </w:rPr>
      </w:pPr>
    </w:p>
    <w:p w14:paraId="4939F19E" w14:textId="77777777" w:rsidR="00234797" w:rsidRPr="00234797" w:rsidRDefault="00234797" w:rsidP="00BB6F01">
      <w:pPr>
        <w:ind w:left="567"/>
        <w:rPr>
          <w:rFonts w:ascii="Arial" w:hAnsi="Arial" w:cs="Arial"/>
          <w:sz w:val="22"/>
          <w:szCs w:val="22"/>
          <w:lang w:val="fr-FR"/>
        </w:rPr>
      </w:pPr>
      <w:r w:rsidRPr="00234797">
        <w:rPr>
          <w:rFonts w:ascii="Arial" w:hAnsi="Arial" w:cs="Arial"/>
          <w:sz w:val="22"/>
          <w:szCs w:val="22"/>
          <w:lang w:val="fr-FR"/>
        </w:rPr>
        <w:t>Je pense que, en fonction des circonstances particulières, il serait envisageable de demander la divulgation de certaines informations.  Dans cette optique, si le déposant de la demande de brevet le connaît, le pays d’origine des ressources génétiques doit être divulgué.  Lorsqu’il n’est pas possible pour le déposant de divulguer cette information, la source des ressources génétiques doit être divulguée.  Enfin, si aucune des informations précédentes n’est disponible, le déposant doit faire une déclaration en ce sens.  En outre, nous devons examiner s’il est nécessaire de faire une distinction entre les informations à divulguer concernant les savoirs traditionnels associés et les ressources génétiques.</w:t>
      </w:r>
    </w:p>
    <w:p w14:paraId="4EF727CB" w14:textId="77777777" w:rsidR="00234797" w:rsidRPr="00234797" w:rsidRDefault="00234797" w:rsidP="00BB6F01">
      <w:pPr>
        <w:ind w:left="567"/>
        <w:rPr>
          <w:rFonts w:ascii="Arial" w:hAnsi="Arial" w:cs="Arial"/>
          <w:sz w:val="22"/>
          <w:szCs w:val="22"/>
          <w:lang w:val="fr-FR"/>
        </w:rPr>
      </w:pPr>
    </w:p>
    <w:p w14:paraId="7ABE7813" w14:textId="77777777" w:rsidR="00234797" w:rsidRPr="00234797" w:rsidRDefault="00234797" w:rsidP="00BB6F01">
      <w:pPr>
        <w:ind w:left="567"/>
        <w:rPr>
          <w:rFonts w:ascii="Arial" w:hAnsi="Arial" w:cs="Arial"/>
          <w:sz w:val="22"/>
          <w:szCs w:val="22"/>
          <w:lang w:val="fr-FR"/>
        </w:rPr>
      </w:pPr>
      <w:r w:rsidRPr="00234797">
        <w:rPr>
          <w:rFonts w:ascii="Arial" w:hAnsi="Arial" w:cs="Arial"/>
          <w:sz w:val="22"/>
          <w:szCs w:val="22"/>
          <w:lang w:val="fr-FR"/>
        </w:rPr>
        <w:t>En outre, lors de la détermination des catégories d’informations devant être divulguées, il convient également de se pencher sur la définition des termes “pays d’origine” et “sources”.</w:t>
      </w:r>
    </w:p>
    <w:p w14:paraId="78116F3A" w14:textId="77777777" w:rsidR="00234797" w:rsidRPr="00234797" w:rsidRDefault="00234797" w:rsidP="00BB6F01">
      <w:pPr>
        <w:ind w:left="567"/>
        <w:rPr>
          <w:rFonts w:ascii="Arial" w:hAnsi="Arial" w:cs="Arial"/>
          <w:sz w:val="22"/>
          <w:szCs w:val="22"/>
          <w:lang w:val="fr-FR"/>
        </w:rPr>
      </w:pPr>
    </w:p>
    <w:p w14:paraId="4FE50DDD" w14:textId="0B9681E0" w:rsidR="00234797" w:rsidRPr="00234797" w:rsidRDefault="00234797" w:rsidP="00BB6F01">
      <w:pPr>
        <w:pStyle w:val="ListParagraph"/>
        <w:numPr>
          <w:ilvl w:val="0"/>
          <w:numId w:val="21"/>
        </w:numPr>
        <w:tabs>
          <w:tab w:val="left" w:pos="1701"/>
        </w:tabs>
        <w:ind w:left="1134" w:firstLine="0"/>
        <w:rPr>
          <w:rFonts w:ascii="Arial" w:hAnsi="Arial" w:cs="Arial"/>
          <w:b/>
          <w:sz w:val="22"/>
          <w:szCs w:val="22"/>
          <w:lang w:val="fr-FR"/>
        </w:rPr>
      </w:pPr>
      <w:r w:rsidRPr="00234797">
        <w:rPr>
          <w:rFonts w:ascii="Arial" w:hAnsi="Arial" w:cs="Arial"/>
          <w:b/>
          <w:sz w:val="22"/>
          <w:szCs w:val="22"/>
          <w:lang w:val="fr-FR"/>
        </w:rPr>
        <w:t>Conséquences du non</w:t>
      </w:r>
      <w:r w:rsidRPr="00234797">
        <w:rPr>
          <w:rFonts w:ascii="Arial" w:hAnsi="Arial" w:cs="Arial"/>
          <w:b/>
          <w:sz w:val="22"/>
          <w:szCs w:val="22"/>
          <w:lang w:val="fr-FR"/>
        </w:rPr>
        <w:noBreakHyphen/>
        <w:t>respect de l’exigence de divulgation</w:t>
      </w:r>
    </w:p>
    <w:p w14:paraId="2151B2A0" w14:textId="77777777" w:rsidR="00234797" w:rsidRPr="00234797" w:rsidRDefault="00234797" w:rsidP="00BB6F01">
      <w:pPr>
        <w:ind w:left="567"/>
        <w:rPr>
          <w:rFonts w:ascii="Arial" w:hAnsi="Arial" w:cs="Arial"/>
          <w:sz w:val="22"/>
          <w:szCs w:val="22"/>
          <w:lang w:val="fr-FR"/>
        </w:rPr>
      </w:pPr>
    </w:p>
    <w:p w14:paraId="563E67B6" w14:textId="77777777" w:rsidR="00234797" w:rsidRPr="00234797" w:rsidRDefault="00234797" w:rsidP="00BB6F01">
      <w:pPr>
        <w:ind w:left="567"/>
        <w:rPr>
          <w:rFonts w:ascii="Arial" w:hAnsi="Arial" w:cs="Arial"/>
          <w:sz w:val="22"/>
          <w:szCs w:val="22"/>
          <w:lang w:val="fr-FR"/>
        </w:rPr>
      </w:pPr>
      <w:r w:rsidRPr="00234797">
        <w:rPr>
          <w:rFonts w:ascii="Arial" w:hAnsi="Arial" w:cs="Arial"/>
          <w:sz w:val="22"/>
          <w:szCs w:val="22"/>
          <w:lang w:val="fr-FR"/>
        </w:rPr>
        <w:t>Comme je l’ai indiqué plus haut, le document de synthèse a été considérablement amélioré avec l’intégration d’une option de mécanisme administratif visant à garantir la transparence au sein du système de propriété intellectuelle/des brevets, au lieu d’un système unique fondé sur une exigence de brevetabilité quant au fond.  L’une des questions à examiner concerne le point de savoir si les mesures applicables avant et après la délivrance du brevet doivent être indiquées en détail dans l’instrument, étant entendu que les instruments internationaux prévoient généralement des normes minimales assorties d’éléments de flexibilité permettant aux États membres de mettre en œuvre ces instruments internationaux dans le domaine de la propriété intellectuelle.</w:t>
      </w:r>
    </w:p>
    <w:p w14:paraId="331D84D0" w14:textId="77777777" w:rsidR="00234797" w:rsidRPr="00234797" w:rsidRDefault="00234797" w:rsidP="00BB6F01">
      <w:pPr>
        <w:ind w:left="567"/>
        <w:rPr>
          <w:rFonts w:ascii="Arial" w:hAnsi="Arial" w:cs="Arial"/>
          <w:sz w:val="22"/>
          <w:szCs w:val="22"/>
          <w:lang w:val="fr-FR"/>
        </w:rPr>
      </w:pPr>
    </w:p>
    <w:p w14:paraId="0E7CF549" w14:textId="2F05554D" w:rsidR="00234797" w:rsidRPr="00234797" w:rsidRDefault="00234797" w:rsidP="00BB6F01">
      <w:pPr>
        <w:ind w:left="567"/>
        <w:rPr>
          <w:rFonts w:ascii="Arial" w:hAnsi="Arial" w:cs="Arial"/>
          <w:sz w:val="22"/>
          <w:szCs w:val="22"/>
          <w:lang w:val="fr-FR"/>
        </w:rPr>
      </w:pPr>
      <w:r w:rsidRPr="00234797">
        <w:rPr>
          <w:rFonts w:ascii="Arial" w:hAnsi="Arial" w:cs="Arial"/>
          <w:sz w:val="22"/>
          <w:szCs w:val="22"/>
          <w:lang w:val="fr-FR"/>
        </w:rPr>
        <w:t>Une question fondamentale en ce qui concerne les conséquences du non</w:t>
      </w:r>
      <w:r w:rsidRPr="00234797">
        <w:rPr>
          <w:rFonts w:ascii="Arial" w:hAnsi="Arial" w:cs="Arial"/>
          <w:sz w:val="22"/>
          <w:szCs w:val="22"/>
          <w:lang w:val="fr-FR"/>
        </w:rPr>
        <w:noBreakHyphen/>
        <w:t>respect de l’exigence de divulgation concerne le point de savoir si ce non</w:t>
      </w:r>
      <w:r w:rsidRPr="00234797">
        <w:rPr>
          <w:rFonts w:ascii="Arial" w:hAnsi="Arial" w:cs="Arial"/>
          <w:sz w:val="22"/>
          <w:szCs w:val="22"/>
          <w:lang w:val="fr-FR"/>
        </w:rPr>
        <w:noBreakHyphen/>
        <w:t>respect de l’exigence de divulgation a une incidence sur la validité d’un brevet délivré et, dans l’affirmative, quelles seraient les conditions de révocation admises, compte tenu en particulier du fait qu’un mécanisme administratif a été intégré?</w:t>
      </w:r>
      <w:r w:rsidRPr="00234797">
        <w:rPr>
          <w:rFonts w:ascii="Arial" w:hAnsi="Arial"/>
          <w:sz w:val="22"/>
          <w:lang w:val="fr-FR"/>
        </w:rPr>
        <w:t xml:space="preserve">  </w:t>
      </w:r>
      <w:r w:rsidRPr="00234797">
        <w:rPr>
          <w:rFonts w:ascii="Arial" w:hAnsi="Arial" w:cs="Arial"/>
          <w:sz w:val="22"/>
          <w:szCs w:val="22"/>
          <w:lang w:val="fr-FR"/>
        </w:rPr>
        <w:t>Outre la révocation, quelles autres options sont prévues?</w:t>
      </w:r>
    </w:p>
    <w:p w14:paraId="6ADA9D33" w14:textId="77777777" w:rsidR="00234797" w:rsidRPr="00234797" w:rsidRDefault="00234797" w:rsidP="00BB6F01">
      <w:pPr>
        <w:ind w:left="567"/>
        <w:rPr>
          <w:rFonts w:ascii="Arial" w:hAnsi="Arial" w:cs="Arial"/>
          <w:sz w:val="22"/>
          <w:szCs w:val="22"/>
          <w:lang w:val="fr-FR"/>
        </w:rPr>
      </w:pPr>
    </w:p>
    <w:tbl>
      <w:tblPr>
        <w:tblStyle w:val="TableGrid"/>
        <w:tblW w:w="8214" w:type="dxa"/>
        <w:tblInd w:w="894" w:type="dxa"/>
        <w:tblLook w:val="04A0" w:firstRow="1" w:lastRow="0" w:firstColumn="1" w:lastColumn="0" w:noHBand="0" w:noVBand="1"/>
      </w:tblPr>
      <w:tblGrid>
        <w:gridCol w:w="8214"/>
      </w:tblGrid>
      <w:tr w:rsidR="00234797" w:rsidRPr="00234797" w14:paraId="5F81A889" w14:textId="77777777" w:rsidTr="00190325">
        <w:tc>
          <w:tcPr>
            <w:tcW w:w="8214" w:type="dxa"/>
            <w:shd w:val="clear" w:color="auto" w:fill="D0CECE" w:themeFill="background2" w:themeFillShade="E6"/>
          </w:tcPr>
          <w:p w14:paraId="5FCDA9C2" w14:textId="77777777" w:rsidR="00234797" w:rsidRPr="00234797" w:rsidRDefault="00234797" w:rsidP="007069D1">
            <w:pPr>
              <w:pStyle w:val="NormalWeb"/>
              <w:rPr>
                <w:rFonts w:ascii="Arial" w:hAnsi="Arial" w:cs="Arial"/>
                <w:lang w:val="fr-FR"/>
              </w:rPr>
            </w:pPr>
            <w:r w:rsidRPr="00234797">
              <w:rPr>
                <w:rFonts w:ascii="Arial" w:hAnsi="Arial" w:cs="Arial"/>
                <w:lang w:val="fr-FR"/>
              </w:rPr>
              <w:t xml:space="preserve">Par exemple, </w:t>
            </w:r>
            <w:r w:rsidRPr="00234797">
              <w:rPr>
                <w:rFonts w:ascii="Arial" w:hAnsi="Arial" w:cs="Arial"/>
                <w:b/>
                <w:lang w:val="fr-FR"/>
              </w:rPr>
              <w:t>Suisse</w:t>
            </w:r>
            <w:r w:rsidRPr="00234797">
              <w:rPr>
                <w:rFonts w:ascii="Arial" w:hAnsi="Arial" w:cs="Arial"/>
                <w:lang w:val="fr-FR"/>
              </w:rPr>
              <w:t xml:space="preserve"> : l’article 81.a) de la </w:t>
            </w:r>
            <w:r w:rsidRPr="00234797">
              <w:rPr>
                <w:rFonts w:ascii="Arial" w:hAnsi="Arial" w:cs="Arial"/>
                <w:i/>
                <w:lang w:val="fr-FR"/>
              </w:rPr>
              <w:t>loi fédérale du 25 juin 1954 sur les brevets d’invention (état au 1</w:t>
            </w:r>
            <w:r w:rsidRPr="00234797">
              <w:rPr>
                <w:rFonts w:ascii="Arial" w:hAnsi="Arial" w:cs="Arial"/>
                <w:i/>
                <w:vertAlign w:val="superscript"/>
                <w:lang w:val="fr-FR"/>
              </w:rPr>
              <w:t>er</w:t>
            </w:r>
            <w:r w:rsidRPr="00234797">
              <w:rPr>
                <w:rFonts w:ascii="Arial" w:hAnsi="Arial" w:cs="Arial"/>
                <w:i/>
                <w:lang w:val="fr-FR"/>
              </w:rPr>
              <w:t> janvier 2012)</w:t>
            </w:r>
            <w:r w:rsidRPr="00234797">
              <w:rPr>
                <w:rFonts w:ascii="Arial" w:hAnsi="Arial" w:cs="Arial"/>
                <w:lang w:val="fr-FR"/>
              </w:rPr>
              <w:t xml:space="preserve"> prévoit une amende pour fourniture de faux renseignements mais pas l’invalidation du brevet :</w:t>
            </w:r>
          </w:p>
          <w:p w14:paraId="6FF6579B" w14:textId="77777777" w:rsidR="00234797" w:rsidRPr="00234797" w:rsidRDefault="00234797" w:rsidP="00BB6F01">
            <w:pPr>
              <w:pStyle w:val="NormalWeb"/>
              <w:ind w:left="567"/>
              <w:rPr>
                <w:rFonts w:ascii="Arial" w:hAnsi="Arial" w:cs="Arial"/>
                <w:lang w:val="fr-FR"/>
              </w:rPr>
            </w:pPr>
            <w:r w:rsidRPr="00234797">
              <w:rPr>
                <w:rFonts w:ascii="Arial" w:hAnsi="Arial" w:cs="Arial"/>
                <w:lang w:val="fr-FR"/>
              </w:rPr>
              <w:t>“Celui qui fournit intentionnellement de faux renseignements visés à l’art.  49a [sur la divulgation de la source] est puni d’une amende de 100 000 francs maximum.  Le juge peut ordonner la publication du jugement.”</w:t>
            </w:r>
          </w:p>
          <w:p w14:paraId="588BD73C" w14:textId="77777777" w:rsidR="00234797" w:rsidRPr="00234797" w:rsidRDefault="00234797" w:rsidP="00190325">
            <w:pPr>
              <w:pStyle w:val="NormalWeb"/>
              <w:rPr>
                <w:rFonts w:ascii="Arial" w:hAnsi="Arial" w:cs="Arial"/>
                <w:lang w:val="fr-FR"/>
              </w:rPr>
            </w:pPr>
          </w:p>
          <w:p w14:paraId="07CCF171" w14:textId="77777777" w:rsidR="00234797" w:rsidRPr="00234797" w:rsidRDefault="00234797" w:rsidP="007069D1">
            <w:pPr>
              <w:pStyle w:val="NormalWeb"/>
              <w:rPr>
                <w:rFonts w:ascii="Arial" w:hAnsi="Arial" w:cs="Arial"/>
                <w:lang w:val="fr-FR"/>
              </w:rPr>
            </w:pPr>
            <w:r w:rsidRPr="00234797">
              <w:rPr>
                <w:rFonts w:ascii="Arial" w:hAnsi="Arial" w:cs="Arial"/>
                <w:b/>
                <w:lang w:val="fr-FR"/>
              </w:rPr>
              <w:lastRenderedPageBreak/>
              <w:t>Communauté andine</w:t>
            </w:r>
            <w:r w:rsidRPr="00234797">
              <w:rPr>
                <w:rFonts w:ascii="Arial" w:hAnsi="Arial" w:cs="Arial"/>
                <w:lang w:val="fr-FR"/>
              </w:rPr>
              <w:t xml:space="preserve"> : l’article 75 de la </w:t>
            </w:r>
            <w:r w:rsidRPr="00234797">
              <w:rPr>
                <w:rFonts w:ascii="Arial" w:hAnsi="Arial" w:cs="Arial"/>
                <w:i/>
                <w:lang w:val="fr-FR"/>
              </w:rPr>
              <w:t>décision n° 486 établissant le régime commun concernant la propriété industrielle (2000)</w:t>
            </w:r>
            <w:r w:rsidRPr="00234797">
              <w:rPr>
                <w:rFonts w:ascii="Arial" w:hAnsi="Arial" w:cs="Arial"/>
                <w:lang w:val="fr-FR"/>
              </w:rPr>
              <w:t xml:space="preserve"> est ainsi libellé :</w:t>
            </w:r>
          </w:p>
          <w:p w14:paraId="5C572AF4" w14:textId="77777777" w:rsidR="00234797" w:rsidRPr="00234797" w:rsidRDefault="00234797" w:rsidP="00BB6F01">
            <w:pPr>
              <w:pStyle w:val="NormalWeb"/>
              <w:ind w:left="567"/>
              <w:rPr>
                <w:rFonts w:ascii="Arial" w:hAnsi="Arial" w:cs="Arial"/>
                <w:lang w:val="fr-FR"/>
              </w:rPr>
            </w:pPr>
            <w:r w:rsidRPr="00234797">
              <w:rPr>
                <w:rFonts w:ascii="Arial" w:hAnsi="Arial" w:cs="Arial"/>
                <w:lang w:val="fr-FR"/>
              </w:rPr>
              <w:t>“L’autorité nationale compétente prononce, d’office ou à la demande de toute personne et à tout moment, la nullité absolue du brevet dans les cas suivants :</w:t>
            </w:r>
          </w:p>
          <w:p w14:paraId="1717C79B" w14:textId="77777777" w:rsidR="00234797" w:rsidRPr="00234797" w:rsidRDefault="00234797" w:rsidP="00BB6F01">
            <w:pPr>
              <w:pStyle w:val="NormalWeb"/>
              <w:ind w:left="567"/>
              <w:rPr>
                <w:rFonts w:ascii="Arial" w:hAnsi="Arial" w:cs="Arial"/>
                <w:lang w:val="fr-FR"/>
              </w:rPr>
            </w:pPr>
            <w:r w:rsidRPr="00234797">
              <w:rPr>
                <w:rFonts w:ascii="Arial" w:hAnsi="Arial" w:cs="Arial"/>
                <w:lang w:val="fr-FR"/>
              </w:rPr>
              <w:t>“[…]</w:t>
            </w:r>
          </w:p>
          <w:p w14:paraId="06514D8B" w14:textId="58875907" w:rsidR="00234797" w:rsidRPr="00234797" w:rsidRDefault="00234797" w:rsidP="00BB6F01">
            <w:pPr>
              <w:pStyle w:val="NormalWeb"/>
              <w:tabs>
                <w:tab w:val="left" w:pos="1130"/>
              </w:tabs>
              <w:ind w:left="567"/>
              <w:rPr>
                <w:rFonts w:ascii="Arial" w:hAnsi="Arial" w:cs="Arial"/>
                <w:lang w:val="fr-FR"/>
              </w:rPr>
            </w:pPr>
            <w:r w:rsidRPr="00234797">
              <w:rPr>
                <w:rFonts w:ascii="Arial" w:hAnsi="Arial" w:cs="Arial"/>
                <w:lang w:val="fr-FR"/>
              </w:rPr>
              <w:t xml:space="preserve">“g) </w:t>
            </w:r>
            <w:r w:rsidR="00BB6F01">
              <w:rPr>
                <w:rFonts w:ascii="Arial" w:hAnsi="Arial" w:cs="Arial"/>
                <w:lang w:val="fr-FR"/>
              </w:rPr>
              <w:tab/>
            </w:r>
            <w:r w:rsidRPr="00234797">
              <w:rPr>
                <w:rFonts w:ascii="Arial" w:hAnsi="Arial" w:cs="Arial"/>
                <w:lang w:val="fr-FR"/>
              </w:rPr>
              <w:t>le cas échéant, la copie du contrat d’accès n’a pas été présentée, lorsque les produits ou les procédés pour lesquels le brevet est demandé ont été obtenus ou mis au point à partir de ressources génétiques ou de produits dérivés de celles</w:t>
            </w:r>
            <w:r w:rsidRPr="00234797">
              <w:rPr>
                <w:rFonts w:ascii="Arial" w:hAnsi="Arial" w:cs="Arial"/>
                <w:lang w:val="fr-FR"/>
              </w:rPr>
              <w:noBreakHyphen/>
              <w:t>ci originaires de l’un quelconque des pays membres;</w:t>
            </w:r>
          </w:p>
          <w:p w14:paraId="781884DD" w14:textId="3620C329" w:rsidR="00234797" w:rsidRPr="00234797" w:rsidRDefault="00234797" w:rsidP="00BB6F01">
            <w:pPr>
              <w:pStyle w:val="NormalWeb"/>
              <w:tabs>
                <w:tab w:val="left" w:pos="1117"/>
              </w:tabs>
              <w:ind w:left="567"/>
              <w:rPr>
                <w:rFonts w:ascii="Arial" w:hAnsi="Arial" w:cs="Arial"/>
                <w:lang w:val="fr-FR"/>
              </w:rPr>
            </w:pPr>
            <w:r w:rsidRPr="00234797">
              <w:rPr>
                <w:rFonts w:ascii="Arial" w:hAnsi="Arial" w:cs="Arial"/>
                <w:lang w:val="fr-FR"/>
              </w:rPr>
              <w:t xml:space="preserve">“h) </w:t>
            </w:r>
            <w:r w:rsidR="00BB6F01">
              <w:rPr>
                <w:rFonts w:ascii="Arial" w:hAnsi="Arial" w:cs="Arial"/>
                <w:lang w:val="fr-FR"/>
              </w:rPr>
              <w:tab/>
            </w:r>
            <w:r w:rsidRPr="00234797">
              <w:rPr>
                <w:rFonts w:ascii="Arial" w:hAnsi="Arial" w:cs="Arial"/>
                <w:lang w:val="fr-FR"/>
              </w:rPr>
              <w:t>le cas échéant, une copie du document attestant la concession de la licence ou l’octroi de l’autorisation portant sur l’utilisation des savoirs traditionnels des communautés autochtones, afro</w:t>
            </w:r>
            <w:r w:rsidRPr="00234797">
              <w:rPr>
                <w:rFonts w:ascii="Arial" w:hAnsi="Arial" w:cs="Arial"/>
                <w:lang w:val="fr-FR"/>
              </w:rPr>
              <w:noBreakHyphen/>
              <w:t>américaines ou locales des pays membres n’a pas été présentée, lorsque les produits ou les procédés dont la protection est demandée ont été obtenus ou mis au point à partir de ces savoirs originaires de l’un quelconque des pays membres”.</w:t>
            </w:r>
          </w:p>
          <w:p w14:paraId="5FAE1B67" w14:textId="77777777" w:rsidR="00234797" w:rsidRPr="00234797" w:rsidRDefault="00234797" w:rsidP="00190325">
            <w:pPr>
              <w:pStyle w:val="NormalWeb"/>
              <w:rPr>
                <w:rFonts w:ascii="Arial" w:hAnsi="Arial" w:cs="Arial"/>
                <w:b/>
                <w:bCs/>
                <w:lang w:val="fr-FR"/>
              </w:rPr>
            </w:pPr>
          </w:p>
          <w:p w14:paraId="355E27D8" w14:textId="77777777" w:rsidR="00234797" w:rsidRPr="00234797" w:rsidRDefault="00234797" w:rsidP="007069D1">
            <w:pPr>
              <w:pStyle w:val="NormalWeb"/>
              <w:rPr>
                <w:rFonts w:ascii="Arial" w:hAnsi="Arial" w:cs="Arial"/>
                <w:lang w:val="fr-FR"/>
              </w:rPr>
            </w:pPr>
            <w:r w:rsidRPr="00234797">
              <w:rPr>
                <w:rFonts w:ascii="Arial" w:hAnsi="Arial" w:cs="Arial"/>
                <w:b/>
                <w:lang w:val="fr-FR"/>
              </w:rPr>
              <w:t>Afrique du Sud</w:t>
            </w:r>
            <w:r w:rsidRPr="00234797">
              <w:rPr>
                <w:rFonts w:ascii="Arial" w:hAnsi="Arial" w:cs="Arial"/>
                <w:lang w:val="fr-FR"/>
              </w:rPr>
              <w:t xml:space="preserve"> : l’article 61 de la </w:t>
            </w:r>
            <w:r w:rsidRPr="00234797">
              <w:rPr>
                <w:rFonts w:ascii="Arial" w:hAnsi="Arial" w:cs="Arial"/>
                <w:i/>
                <w:lang w:val="fr-FR"/>
              </w:rPr>
              <w:t xml:space="preserve">loi de 2005 modifiant la loi sur les brevets (loi n° 20 de 2005) </w:t>
            </w:r>
            <w:r w:rsidRPr="00234797">
              <w:rPr>
                <w:rFonts w:ascii="Arial" w:hAnsi="Arial" w:cs="Arial"/>
                <w:lang w:val="fr-FR"/>
              </w:rPr>
              <w:t>est ainsi libellé :</w:t>
            </w:r>
          </w:p>
          <w:p w14:paraId="782B52BF" w14:textId="77777777" w:rsidR="00234797" w:rsidRPr="00234797" w:rsidRDefault="00234797" w:rsidP="00BB6F01">
            <w:pPr>
              <w:pStyle w:val="NormalWeb"/>
              <w:ind w:left="567"/>
              <w:rPr>
                <w:rFonts w:ascii="Arial" w:hAnsi="Arial" w:cs="Arial"/>
                <w:lang w:val="fr-FR"/>
              </w:rPr>
            </w:pPr>
            <w:r w:rsidRPr="00234797">
              <w:rPr>
                <w:rFonts w:ascii="Arial" w:hAnsi="Arial" w:cs="Arial"/>
                <w:lang w:val="fr-FR"/>
              </w:rPr>
              <w:t>“Toute personne peut, à tout moment, demander selon la forme prescrite la révocation d’un brevet sur la base de l’un des motifs suivants uniquement, à savoir […] le fait que la déclaration prescrite formulée à l’égard de la demande de brevet ou la déclaration formulée en vertu de l’article 30.3A) [concernant l’exigence de divulgation] contienne une fausse déclaration ou affirmation qui est essentielle et dont le titulaire du brevet connaissait ou devait raisonnablement connaître le caractère faux au moment où la déclaration ou l’affirmation a été formulée”.</w:t>
            </w:r>
          </w:p>
          <w:p w14:paraId="31125BF4" w14:textId="77777777" w:rsidR="00234797" w:rsidRPr="00234797" w:rsidRDefault="00234797" w:rsidP="00BB6F01">
            <w:pPr>
              <w:pStyle w:val="NormalWeb"/>
              <w:ind w:left="567"/>
              <w:rPr>
                <w:rFonts w:ascii="Arial" w:hAnsi="Arial" w:cs="Arial"/>
                <w:lang w:val="fr-FR"/>
              </w:rPr>
            </w:pPr>
          </w:p>
          <w:p w14:paraId="285E6F24" w14:textId="77777777" w:rsidR="00234797" w:rsidRPr="00234797" w:rsidRDefault="00234797" w:rsidP="007069D1">
            <w:pPr>
              <w:pStyle w:val="NormalWeb"/>
              <w:rPr>
                <w:rFonts w:ascii="Arial" w:hAnsi="Arial" w:cs="Arial"/>
                <w:lang w:val="fr-FR"/>
              </w:rPr>
            </w:pPr>
            <w:r w:rsidRPr="00234797">
              <w:rPr>
                <w:rFonts w:ascii="Arial" w:hAnsi="Arial" w:cs="Arial"/>
                <w:b/>
                <w:lang w:val="fr-FR"/>
              </w:rPr>
              <w:t>Inde</w:t>
            </w:r>
            <w:r w:rsidRPr="00234797">
              <w:rPr>
                <w:rFonts w:ascii="Arial" w:hAnsi="Arial" w:cs="Arial"/>
                <w:lang w:val="fr-FR"/>
              </w:rPr>
              <w:t> : l’article </w:t>
            </w:r>
            <w:proofErr w:type="gramStart"/>
            <w:r w:rsidRPr="00234797">
              <w:rPr>
                <w:rFonts w:ascii="Arial" w:hAnsi="Arial" w:cs="Arial"/>
                <w:lang w:val="fr-FR"/>
              </w:rPr>
              <w:t>10.4)d</w:t>
            </w:r>
            <w:proofErr w:type="gramEnd"/>
            <w:r w:rsidRPr="00234797">
              <w:rPr>
                <w:rFonts w:ascii="Arial" w:hAnsi="Arial" w:cs="Arial"/>
                <w:lang w:val="fr-FR"/>
              </w:rPr>
              <w:t xml:space="preserve">)ii) de la </w:t>
            </w:r>
            <w:r w:rsidRPr="00234797">
              <w:rPr>
                <w:rFonts w:ascii="Arial" w:hAnsi="Arial" w:cs="Arial"/>
                <w:i/>
                <w:lang w:val="fr-FR"/>
              </w:rPr>
              <w:t>loi de 1970 sur les brevets, modifiée par la loi (modificative) sur les brevets de 2005</w:t>
            </w:r>
            <w:r w:rsidRPr="00234797">
              <w:rPr>
                <w:rFonts w:ascii="Arial" w:hAnsi="Arial" w:cs="Arial"/>
                <w:lang w:val="fr-FR"/>
              </w:rPr>
              <w:t>, énonce que :</w:t>
            </w:r>
          </w:p>
          <w:p w14:paraId="49DA8734" w14:textId="349BB898" w:rsidR="00234797" w:rsidRPr="00234797" w:rsidRDefault="00234797" w:rsidP="00BB6F01">
            <w:pPr>
              <w:pStyle w:val="NormalWeb"/>
              <w:ind w:left="567"/>
              <w:rPr>
                <w:rFonts w:ascii="Arial" w:hAnsi="Arial" w:cs="Arial"/>
                <w:lang w:val="fr-FR"/>
              </w:rPr>
            </w:pPr>
            <w:r w:rsidRPr="00234797">
              <w:rPr>
                <w:rFonts w:ascii="Arial" w:hAnsi="Arial" w:cs="Arial"/>
                <w:lang w:val="fr-FR"/>
              </w:rPr>
              <w:t>“Si un déposant mentionne un matériel biologique dans le mémoire descriptif ne pouvant pas être décrit de manière à satisfaire les clauses a) et b)7, et si le matériel n’est pas disponible au public, la demande doit être complétée en transmettant le matériel à une autorité de dépôt internationale selon le Traité de Budapest et en satisfaisant les conditions suivantes, à savoir : […] d) indiquer la source et l’origine géographique du matériel dans le mémoire descriptif si celui</w:t>
            </w:r>
            <w:r w:rsidRPr="00234797">
              <w:rPr>
                <w:rFonts w:ascii="Arial" w:hAnsi="Arial" w:cs="Arial"/>
                <w:lang w:val="fr-FR"/>
              </w:rPr>
              <w:noBreakHyphen/>
              <w:t>ci est utilisé dans une invention”.</w:t>
            </w:r>
          </w:p>
        </w:tc>
      </w:tr>
    </w:tbl>
    <w:p w14:paraId="0C2B7706" w14:textId="77777777" w:rsidR="00234797" w:rsidRPr="00234797" w:rsidRDefault="00234797" w:rsidP="00903A62">
      <w:pPr>
        <w:rPr>
          <w:rFonts w:ascii="Arial" w:hAnsi="Arial" w:cs="Arial"/>
          <w:sz w:val="22"/>
          <w:szCs w:val="22"/>
          <w:lang w:val="fr-FR"/>
        </w:rPr>
      </w:pPr>
    </w:p>
    <w:p w14:paraId="7A81E031" w14:textId="4BE59E6F" w:rsidR="00234797" w:rsidRPr="00234797" w:rsidRDefault="00234797" w:rsidP="00BB6F01">
      <w:pPr>
        <w:ind w:left="567"/>
        <w:rPr>
          <w:rFonts w:ascii="Arial" w:hAnsi="Arial" w:cs="Arial"/>
          <w:sz w:val="22"/>
          <w:szCs w:val="22"/>
          <w:lang w:val="fr-FR"/>
        </w:rPr>
      </w:pPr>
      <w:r w:rsidRPr="00234797">
        <w:rPr>
          <w:rFonts w:ascii="Arial" w:hAnsi="Arial" w:cs="Arial"/>
          <w:sz w:val="22"/>
          <w:szCs w:val="22"/>
          <w:lang w:val="fr-FR"/>
        </w:rPr>
        <w:t>Je suis d’avis qu’il faut laisser aux parties le soin de décider des mesures à mettre en place en cas de non</w:t>
      </w:r>
      <w:r w:rsidRPr="00234797">
        <w:rPr>
          <w:rFonts w:ascii="Arial" w:hAnsi="Arial" w:cs="Arial"/>
          <w:sz w:val="22"/>
          <w:szCs w:val="22"/>
          <w:lang w:val="fr-FR"/>
        </w:rPr>
        <w:noBreakHyphen/>
        <w:t xml:space="preserve">respect d’une exigence de divulgation.  Cette flexibilité s’appliquerait à la réglementation des sanctions avant et après la délivrance.  Toutefois, afin d’assurer la sécurité juridique et de faciliter le partage des avantages, </w:t>
      </w:r>
      <w:r w:rsidRPr="00234797">
        <w:rPr>
          <w:rFonts w:ascii="Arial" w:hAnsi="Arial" w:cs="Arial"/>
          <w:sz w:val="22"/>
          <w:szCs w:val="22"/>
          <w:lang w:val="fr-FR"/>
        </w:rPr>
        <w:lastRenderedPageBreak/>
        <w:t>les parties ne devraient pas pouvoir révoquer un brevet ou le rendre inopposable au seul motif qu’un déposant n’a pas fourni les informations requises.</w:t>
      </w:r>
    </w:p>
    <w:p w14:paraId="6382AEC9" w14:textId="77777777" w:rsidR="00234797" w:rsidRPr="00234797" w:rsidRDefault="00234797" w:rsidP="00903A62">
      <w:pPr>
        <w:rPr>
          <w:rFonts w:ascii="Arial" w:hAnsi="Arial" w:cs="Arial"/>
          <w:b/>
          <w:sz w:val="22"/>
          <w:szCs w:val="22"/>
          <w:u w:val="single"/>
          <w:lang w:val="fr-FR"/>
        </w:rPr>
      </w:pPr>
    </w:p>
    <w:p w14:paraId="27783FF2" w14:textId="77777777" w:rsidR="00234797" w:rsidRPr="00234797" w:rsidRDefault="00234797" w:rsidP="007069D1">
      <w:pPr>
        <w:rPr>
          <w:rFonts w:ascii="Arial" w:hAnsi="Arial" w:cs="Arial"/>
          <w:b/>
          <w:sz w:val="22"/>
          <w:szCs w:val="22"/>
          <w:u w:val="single"/>
          <w:lang w:val="fr-FR"/>
        </w:rPr>
      </w:pPr>
      <w:r w:rsidRPr="00234797">
        <w:rPr>
          <w:rFonts w:ascii="Arial" w:hAnsi="Arial" w:cs="Arial"/>
          <w:b/>
          <w:sz w:val="22"/>
          <w:szCs w:val="22"/>
          <w:u w:val="single"/>
          <w:lang w:val="fr-FR"/>
        </w:rPr>
        <w:t>Autres ressources utiles</w:t>
      </w:r>
    </w:p>
    <w:p w14:paraId="4B39E21B" w14:textId="77777777" w:rsidR="00234797" w:rsidRPr="00234797" w:rsidRDefault="00234797" w:rsidP="00903A62">
      <w:pPr>
        <w:rPr>
          <w:rFonts w:ascii="Arial" w:hAnsi="Arial" w:cs="Arial"/>
          <w:sz w:val="22"/>
          <w:szCs w:val="22"/>
          <w:lang w:val="fr-FR"/>
        </w:rPr>
      </w:pPr>
    </w:p>
    <w:p w14:paraId="06A412AF" w14:textId="5AA53705" w:rsidR="00234797" w:rsidRPr="00234797" w:rsidRDefault="00BB6F01" w:rsidP="00EC5B65">
      <w:pPr>
        <w:tabs>
          <w:tab w:val="left" w:pos="567"/>
        </w:tabs>
        <w:rPr>
          <w:rFonts w:ascii="Arial" w:hAnsi="Arial" w:cs="Arial"/>
          <w:sz w:val="22"/>
          <w:szCs w:val="22"/>
          <w:lang w:val="fr-FR"/>
        </w:rPr>
      </w:pPr>
      <w:r>
        <w:rPr>
          <w:rFonts w:ascii="Arial" w:hAnsi="Arial" w:cs="Arial"/>
          <w:sz w:val="22"/>
          <w:szCs w:val="22"/>
          <w:lang w:val="fr-FR"/>
        </w:rPr>
        <w:t>27.</w:t>
      </w:r>
      <w:r w:rsidR="00234797" w:rsidRPr="00234797">
        <w:rPr>
          <w:rFonts w:ascii="Arial" w:hAnsi="Arial" w:cs="Arial"/>
          <w:sz w:val="22"/>
          <w:szCs w:val="22"/>
          <w:lang w:val="fr-FR"/>
        </w:rPr>
        <w:tab/>
        <w:t>Je signale que des ressources utiles sont disponibles sur le site Web de l’OMPI et que les États membres pourraient s’en servir comme documentation de référence pour préparer la quarante</w:t>
      </w:r>
      <w:r w:rsidR="00234797" w:rsidRPr="00234797">
        <w:rPr>
          <w:rFonts w:ascii="Arial" w:hAnsi="Arial" w:cs="Arial"/>
          <w:sz w:val="22"/>
          <w:szCs w:val="22"/>
          <w:lang w:val="fr-FR"/>
        </w:rPr>
        <w:noBreakHyphen/>
        <w:t>deuxième session de l’IGC.</w:t>
      </w:r>
    </w:p>
    <w:p w14:paraId="5F6D7420" w14:textId="160F3AB2" w:rsidR="00234797" w:rsidRPr="00234797" w:rsidRDefault="00234797" w:rsidP="00EC5B65">
      <w:pPr>
        <w:pStyle w:val="ListParagraph"/>
        <w:numPr>
          <w:ilvl w:val="0"/>
          <w:numId w:val="19"/>
        </w:numPr>
        <w:spacing w:before="100" w:beforeAutospacing="1" w:after="100" w:afterAutospacing="1"/>
        <w:ind w:left="1134" w:hanging="567"/>
        <w:rPr>
          <w:rFonts w:ascii="Arial" w:eastAsia="Times New Roman" w:hAnsi="Arial" w:cs="Arial"/>
          <w:sz w:val="22"/>
          <w:szCs w:val="22"/>
          <w:lang w:val="fr-FR" w:eastAsia="zh-CN"/>
        </w:rPr>
      </w:pPr>
      <w:r w:rsidRPr="00234797">
        <w:rPr>
          <w:rFonts w:ascii="Arial" w:eastAsia="Times New Roman" w:hAnsi="Arial" w:cs="Arial"/>
          <w:sz w:val="22"/>
          <w:szCs w:val="22"/>
          <w:lang w:val="fr-FR" w:eastAsia="zh-CN"/>
        </w:rPr>
        <w:t xml:space="preserve">Questions essentielles sur les exigences de divulgation en matière de brevets concernant les ressources génétiques et les savoirs traditionnels : </w:t>
      </w:r>
      <w:hyperlink r:id="rId7" w:history="1">
        <w:r w:rsidRPr="00234797">
          <w:rPr>
            <w:rStyle w:val="Hyperlink"/>
            <w:rFonts w:ascii="Arial" w:eastAsia="Times New Roman" w:hAnsi="Arial" w:cs="Arial"/>
            <w:color w:val="auto"/>
            <w:sz w:val="22"/>
            <w:szCs w:val="22"/>
            <w:lang w:val="fr-FR" w:eastAsia="zh-CN"/>
          </w:rPr>
          <w:t>https://www.wipo.int/publications/fr/details.jsp?id=4194</w:t>
        </w:r>
      </w:hyperlink>
      <w:r w:rsidR="00BB6F01">
        <w:rPr>
          <w:rFonts w:ascii="Arial" w:eastAsia="Times New Roman" w:hAnsi="Arial" w:cs="Arial"/>
          <w:sz w:val="22"/>
          <w:szCs w:val="22"/>
          <w:lang w:val="fr-FR" w:eastAsia="zh-CN"/>
        </w:rPr>
        <w:t>;</w:t>
      </w:r>
    </w:p>
    <w:p w14:paraId="050CE471" w14:textId="0E338E49" w:rsidR="00234797" w:rsidRPr="00234797" w:rsidRDefault="00234797" w:rsidP="00EC5B65">
      <w:pPr>
        <w:pStyle w:val="ListParagraph"/>
        <w:numPr>
          <w:ilvl w:val="0"/>
          <w:numId w:val="19"/>
        </w:numPr>
        <w:spacing w:before="100" w:beforeAutospacing="1" w:after="100" w:afterAutospacing="1"/>
        <w:ind w:left="1134" w:hanging="567"/>
        <w:rPr>
          <w:rFonts w:ascii="Arial" w:eastAsia="Times New Roman" w:hAnsi="Arial" w:cs="Arial"/>
          <w:sz w:val="22"/>
          <w:szCs w:val="22"/>
          <w:lang w:val="fr-FR" w:eastAsia="zh-CN"/>
        </w:rPr>
      </w:pPr>
      <w:r w:rsidRPr="00234797">
        <w:rPr>
          <w:rFonts w:ascii="Arial" w:eastAsia="Times New Roman" w:hAnsi="Arial" w:cs="Arial"/>
          <w:sz w:val="22"/>
          <w:szCs w:val="22"/>
          <w:lang w:val="fr-FR" w:eastAsia="zh-CN"/>
        </w:rPr>
        <w:t xml:space="preserve">Tableau sur les exigences de divulgation, </w:t>
      </w:r>
      <w:hyperlink r:id="rId8" w:history="1">
        <w:r w:rsidRPr="00234797">
          <w:rPr>
            <w:rStyle w:val="Hyperlink"/>
            <w:rFonts w:ascii="Arial" w:eastAsia="Times New Roman" w:hAnsi="Arial" w:cs="Arial"/>
            <w:color w:val="auto"/>
            <w:sz w:val="22"/>
            <w:szCs w:val="22"/>
            <w:lang w:val="fr-FR" w:eastAsia="zh-CN"/>
          </w:rPr>
          <w:t>https://www.wipo.int/export/sites/www/tk/en/documents/pdf/genetic_resources_disclosure.pdf</w:t>
        </w:r>
      </w:hyperlink>
      <w:r w:rsidR="00BB6F01">
        <w:rPr>
          <w:rFonts w:ascii="Arial" w:eastAsia="Times New Roman" w:hAnsi="Arial" w:cs="Arial"/>
          <w:sz w:val="22"/>
          <w:szCs w:val="22"/>
          <w:lang w:val="fr-FR" w:eastAsia="zh-CN"/>
        </w:rPr>
        <w:t>;</w:t>
      </w:r>
    </w:p>
    <w:p w14:paraId="5AA47D58" w14:textId="77777777" w:rsidR="00234797" w:rsidRPr="00234797" w:rsidRDefault="00234797" w:rsidP="00EC5B65">
      <w:pPr>
        <w:pStyle w:val="ListParagraph"/>
        <w:numPr>
          <w:ilvl w:val="0"/>
          <w:numId w:val="19"/>
        </w:numPr>
        <w:ind w:left="1134" w:hanging="567"/>
        <w:rPr>
          <w:rFonts w:ascii="Arial" w:hAnsi="Arial" w:cs="Arial"/>
          <w:sz w:val="22"/>
          <w:szCs w:val="22"/>
          <w:lang w:val="fr-FR"/>
        </w:rPr>
      </w:pPr>
      <w:r w:rsidRPr="00234797">
        <w:rPr>
          <w:rFonts w:ascii="Arial" w:hAnsi="Arial" w:cs="Arial"/>
          <w:sz w:val="22"/>
          <w:szCs w:val="22"/>
          <w:lang w:val="fr-FR"/>
        </w:rPr>
        <w:t>Dossier d’information n° 10 : Propriété intellectuelle et ressources génétiques,</w:t>
      </w:r>
      <w:r w:rsidRPr="00234797">
        <w:rPr>
          <w:lang w:val="fr-FR"/>
        </w:rPr>
        <w:t xml:space="preserve"> </w:t>
      </w:r>
      <w:hyperlink r:id="rId9" w:history="1">
        <w:r w:rsidRPr="00234797">
          <w:rPr>
            <w:rStyle w:val="Hyperlink"/>
            <w:rFonts w:ascii="Arial" w:hAnsi="Arial" w:cs="Arial"/>
            <w:color w:val="auto"/>
            <w:sz w:val="22"/>
            <w:szCs w:val="22"/>
            <w:lang w:val="fr-FR"/>
          </w:rPr>
          <w:t>https://www.wipo.int/edocs/pubdocs/fr/wipo_pub_tk_10.pdf</w:t>
        </w:r>
      </w:hyperlink>
      <w:r w:rsidRPr="00234797">
        <w:rPr>
          <w:rFonts w:ascii="Arial" w:hAnsi="Arial" w:cs="Arial"/>
          <w:sz w:val="22"/>
          <w:szCs w:val="22"/>
          <w:lang w:val="fr-FR"/>
        </w:rPr>
        <w:t>;</w:t>
      </w:r>
    </w:p>
    <w:p w14:paraId="73697EF1" w14:textId="77777777" w:rsidR="00234797" w:rsidRPr="00234797" w:rsidRDefault="00234797" w:rsidP="00EC5B65">
      <w:pPr>
        <w:pStyle w:val="ListParagraph"/>
        <w:numPr>
          <w:ilvl w:val="0"/>
          <w:numId w:val="19"/>
        </w:numPr>
        <w:ind w:left="1134" w:hanging="567"/>
        <w:rPr>
          <w:rFonts w:ascii="Arial" w:hAnsi="Arial" w:cs="Arial"/>
          <w:sz w:val="22"/>
          <w:szCs w:val="22"/>
          <w:lang w:val="fr-FR"/>
        </w:rPr>
      </w:pPr>
      <w:r w:rsidRPr="00234797">
        <w:rPr>
          <w:rFonts w:ascii="Arial" w:hAnsi="Arial" w:cs="Arial"/>
          <w:sz w:val="22"/>
          <w:szCs w:val="22"/>
          <w:lang w:val="fr-FR"/>
        </w:rPr>
        <w:t xml:space="preserve">Données d’expérience régionales, nationales, locales et communautaires, </w:t>
      </w:r>
      <w:hyperlink r:id="rId10" w:history="1">
        <w:r w:rsidRPr="00234797">
          <w:rPr>
            <w:rStyle w:val="Hyperlink"/>
            <w:rFonts w:ascii="Arial" w:hAnsi="Arial" w:cs="Arial"/>
            <w:color w:val="auto"/>
            <w:sz w:val="22"/>
            <w:szCs w:val="22"/>
            <w:lang w:val="fr-FR"/>
          </w:rPr>
          <w:t>https://www.wipo.int/tk/fr/resources/tk_experiences.html</w:t>
        </w:r>
      </w:hyperlink>
      <w:r w:rsidRPr="00234797">
        <w:rPr>
          <w:rFonts w:ascii="Arial" w:hAnsi="Arial" w:cs="Arial"/>
          <w:sz w:val="22"/>
          <w:szCs w:val="22"/>
          <w:lang w:val="fr-FR"/>
        </w:rPr>
        <w:t>;</w:t>
      </w:r>
    </w:p>
    <w:p w14:paraId="496286B0" w14:textId="650C61E8" w:rsidR="00234797" w:rsidRPr="00BB6F01" w:rsidRDefault="00234797" w:rsidP="008F7724">
      <w:pPr>
        <w:pStyle w:val="ListParagraph"/>
        <w:numPr>
          <w:ilvl w:val="0"/>
          <w:numId w:val="19"/>
        </w:numPr>
        <w:ind w:left="1134" w:hanging="567"/>
        <w:rPr>
          <w:rFonts w:ascii="Arial" w:hAnsi="Arial" w:cs="Arial"/>
          <w:sz w:val="22"/>
          <w:szCs w:val="22"/>
          <w:lang w:val="fr-FR"/>
        </w:rPr>
      </w:pPr>
      <w:r w:rsidRPr="00BB6F01">
        <w:rPr>
          <w:rFonts w:ascii="Arial" w:hAnsi="Arial" w:cs="Arial"/>
          <w:sz w:val="22"/>
          <w:szCs w:val="22"/>
          <w:lang w:val="fr-FR"/>
        </w:rPr>
        <w:t>Conférences et exposés sur des thèmes choisis</w:t>
      </w:r>
      <w:r w:rsidR="00BB6F01" w:rsidRPr="00BB6F01">
        <w:rPr>
          <w:rFonts w:ascii="Arial" w:hAnsi="Arial" w:cs="Arial"/>
          <w:sz w:val="22"/>
          <w:szCs w:val="22"/>
          <w:lang w:val="fr-FR"/>
        </w:rPr>
        <w:t>,</w:t>
      </w:r>
      <w:r w:rsidR="00BB6F01">
        <w:rPr>
          <w:rFonts w:ascii="Arial" w:hAnsi="Arial" w:cs="Arial"/>
          <w:sz w:val="22"/>
          <w:szCs w:val="22"/>
          <w:lang w:val="fr-FR"/>
        </w:rPr>
        <w:t xml:space="preserve"> </w:t>
      </w:r>
      <w:hyperlink r:id="rId11" w:anchor="4" w:history="1">
        <w:r w:rsidRPr="00BB6F01">
          <w:rPr>
            <w:rStyle w:val="Hyperlink"/>
            <w:rFonts w:ascii="Arial" w:hAnsi="Arial" w:cs="Arial"/>
            <w:color w:val="auto"/>
            <w:sz w:val="22"/>
            <w:szCs w:val="22"/>
            <w:lang w:val="fr-FR"/>
          </w:rPr>
          <w:t>https://www.wipo.int/tk/en/resources/tk_experiences.html#4</w:t>
        </w:r>
      </w:hyperlink>
    </w:p>
    <w:p w14:paraId="63D5F27D" w14:textId="77777777" w:rsidR="00234797" w:rsidRPr="00234797" w:rsidRDefault="00234797" w:rsidP="00EC5B65">
      <w:pPr>
        <w:numPr>
          <w:ilvl w:val="1"/>
          <w:numId w:val="19"/>
        </w:numPr>
        <w:ind w:left="1701" w:hanging="567"/>
        <w:rPr>
          <w:rFonts w:ascii="Arial" w:hAnsi="Arial" w:cs="Arial"/>
          <w:sz w:val="22"/>
          <w:szCs w:val="22"/>
          <w:lang w:val="fr-FR"/>
        </w:rPr>
      </w:pPr>
      <w:r w:rsidRPr="00234797">
        <w:rPr>
          <w:rFonts w:ascii="Arial" w:hAnsi="Arial" w:cs="Arial"/>
          <w:sz w:val="22"/>
          <w:szCs w:val="22"/>
          <w:lang w:val="fr-FR"/>
        </w:rPr>
        <w:t xml:space="preserve">Exposés sur les exigences de </w:t>
      </w:r>
      <w:proofErr w:type="gramStart"/>
      <w:r w:rsidRPr="00234797">
        <w:rPr>
          <w:rFonts w:ascii="Arial" w:hAnsi="Arial" w:cs="Arial"/>
          <w:sz w:val="22"/>
          <w:szCs w:val="22"/>
          <w:lang w:val="fr-FR"/>
        </w:rPr>
        <w:t>divulgation;  et</w:t>
      </w:r>
      <w:proofErr w:type="gramEnd"/>
    </w:p>
    <w:p w14:paraId="21C49C79" w14:textId="77777777" w:rsidR="00234797" w:rsidRPr="00234797" w:rsidRDefault="00234797" w:rsidP="00EC5B65">
      <w:pPr>
        <w:numPr>
          <w:ilvl w:val="1"/>
          <w:numId w:val="19"/>
        </w:numPr>
        <w:ind w:left="1701" w:hanging="567"/>
        <w:rPr>
          <w:rFonts w:ascii="Arial" w:hAnsi="Arial" w:cs="Arial"/>
          <w:sz w:val="22"/>
          <w:szCs w:val="22"/>
          <w:lang w:val="fr-FR"/>
        </w:rPr>
      </w:pPr>
      <w:r w:rsidRPr="00234797">
        <w:rPr>
          <w:rFonts w:ascii="Arial" w:hAnsi="Arial" w:cs="Arial"/>
          <w:sz w:val="22"/>
          <w:szCs w:val="22"/>
          <w:lang w:val="fr-FR"/>
        </w:rPr>
        <w:t>Exposés sur les bases de données.</w:t>
      </w:r>
    </w:p>
    <w:p w14:paraId="0EB3997D" w14:textId="77777777" w:rsidR="00234797" w:rsidRPr="00234797" w:rsidRDefault="00234797" w:rsidP="00903A62">
      <w:pPr>
        <w:rPr>
          <w:rFonts w:ascii="Arial" w:hAnsi="Arial" w:cs="Arial"/>
          <w:sz w:val="22"/>
          <w:szCs w:val="22"/>
          <w:lang w:val="fr-FR"/>
        </w:rPr>
      </w:pPr>
    </w:p>
    <w:p w14:paraId="5CB82C59" w14:textId="29ED67B1" w:rsidR="004A29DC" w:rsidRPr="00234797" w:rsidRDefault="00234797" w:rsidP="00BB6F01">
      <w:pPr>
        <w:jc w:val="center"/>
        <w:rPr>
          <w:rFonts w:ascii="Arial" w:hAnsi="Arial" w:cs="Arial"/>
          <w:sz w:val="22"/>
          <w:szCs w:val="22"/>
          <w:lang w:val="fr-FR"/>
        </w:rPr>
      </w:pPr>
      <w:r w:rsidRPr="00234797">
        <w:rPr>
          <w:rFonts w:ascii="Arial" w:hAnsi="Arial" w:cs="Arial"/>
          <w:sz w:val="22"/>
          <w:szCs w:val="22"/>
          <w:lang w:val="fr-FR"/>
        </w:rPr>
        <w:t>___________</w:t>
      </w:r>
    </w:p>
    <w:sectPr w:rsidR="004A29DC" w:rsidRPr="00234797" w:rsidSect="00F02AF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3F85C" w14:textId="77777777" w:rsidR="00F039B6" w:rsidRDefault="00F039B6" w:rsidP="004A29DC">
      <w:r>
        <w:separator/>
      </w:r>
    </w:p>
  </w:endnote>
  <w:endnote w:type="continuationSeparator" w:id="0">
    <w:p w14:paraId="59C80916" w14:textId="77777777" w:rsidR="00F039B6" w:rsidRDefault="00F039B6" w:rsidP="004A29DC">
      <w:r>
        <w:continuationSeparator/>
      </w:r>
    </w:p>
  </w:endnote>
  <w:endnote w:type="continuationNotice" w:id="1">
    <w:p w14:paraId="47329CCB" w14:textId="77777777" w:rsidR="00D31224" w:rsidRDefault="00D31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27104834"/>
      <w:docPartObj>
        <w:docPartGallery w:val="Page Numbers (Bottom of Page)"/>
        <w:docPartUnique/>
      </w:docPartObj>
    </w:sdtPr>
    <w:sdtEndPr>
      <w:rPr>
        <w:rStyle w:val="PageNumber"/>
      </w:rPr>
    </w:sdtEndPr>
    <w:sdtContent>
      <w:p w14:paraId="03E09829" w14:textId="54554FE3"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93244">
          <w:rPr>
            <w:rStyle w:val="PageNumber"/>
            <w:noProof/>
          </w:rPr>
          <w:t>14</w:t>
        </w:r>
        <w:r>
          <w:rPr>
            <w:rStyle w:val="PageNumber"/>
          </w:rPr>
          <w:fldChar w:fldCharType="end"/>
        </w:r>
      </w:p>
    </w:sdtContent>
  </w:sdt>
  <w:p w14:paraId="5A3A17DD" w14:textId="77777777" w:rsidR="00822615" w:rsidRDefault="00822615" w:rsidP="00F91161">
    <w:pPr>
      <w:pStyle w:val="Footer"/>
      <w:ind w:right="360"/>
    </w:pPr>
  </w:p>
  <w:p w14:paraId="77DF6315" w14:textId="77777777" w:rsidR="002E7247" w:rsidRDefault="002E72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3652564"/>
      <w:docPartObj>
        <w:docPartGallery w:val="Page Numbers (Bottom of Page)"/>
        <w:docPartUnique/>
      </w:docPartObj>
    </w:sdtPr>
    <w:sdtEndPr>
      <w:rPr>
        <w:rStyle w:val="PageNumber"/>
      </w:rPr>
    </w:sdtEndPr>
    <w:sdtContent>
      <w:p w14:paraId="4A2FACAA" w14:textId="1366EEC1" w:rsidR="002E7247" w:rsidRDefault="002E7247" w:rsidP="00036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93244">
          <w:rPr>
            <w:rStyle w:val="PageNumber"/>
            <w:noProof/>
          </w:rPr>
          <w:t>15</w:t>
        </w:r>
        <w:r>
          <w:rPr>
            <w:rStyle w:val="PageNumber"/>
          </w:rPr>
          <w:fldChar w:fldCharType="end"/>
        </w:r>
      </w:p>
    </w:sdtContent>
  </w:sdt>
  <w:p w14:paraId="47776377" w14:textId="77777777" w:rsidR="002E7247" w:rsidRDefault="002E7247" w:rsidP="002E72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12298423"/>
      <w:docPartObj>
        <w:docPartGallery w:val="Page Numbers (Bottom of Page)"/>
        <w:docPartUnique/>
      </w:docPartObj>
    </w:sdtPr>
    <w:sdtEndPr>
      <w:rPr>
        <w:rStyle w:val="PageNumber"/>
      </w:rPr>
    </w:sdtEndPr>
    <w:sdtContent>
      <w:p w14:paraId="4AEFE2E6" w14:textId="260106A8" w:rsidR="00822615" w:rsidRDefault="00822615" w:rsidP="008226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02AF9">
          <w:rPr>
            <w:rStyle w:val="PageNumber"/>
            <w:noProof/>
          </w:rPr>
          <w:t>1</w:t>
        </w:r>
        <w:r>
          <w:rPr>
            <w:rStyle w:val="PageNumber"/>
          </w:rPr>
          <w:fldChar w:fldCharType="end"/>
        </w:r>
      </w:p>
    </w:sdtContent>
  </w:sdt>
  <w:p w14:paraId="6FE0627A" w14:textId="77777777" w:rsidR="00822615" w:rsidRDefault="00822615" w:rsidP="00F91161">
    <w:pPr>
      <w:pStyle w:val="Footer"/>
      <w:ind w:right="360"/>
    </w:pPr>
  </w:p>
  <w:p w14:paraId="3160F8B7" w14:textId="77777777" w:rsidR="00822615" w:rsidRDefault="00822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38911" w14:textId="77777777" w:rsidR="00F039B6" w:rsidRDefault="00F039B6" w:rsidP="004A29DC">
      <w:r>
        <w:separator/>
      </w:r>
    </w:p>
  </w:footnote>
  <w:footnote w:type="continuationSeparator" w:id="0">
    <w:p w14:paraId="1DB58682" w14:textId="77777777" w:rsidR="00F039B6" w:rsidRDefault="00F039B6" w:rsidP="004A29DC">
      <w:r>
        <w:continuationSeparator/>
      </w:r>
    </w:p>
  </w:footnote>
  <w:footnote w:type="continuationNotice" w:id="1">
    <w:p w14:paraId="4FC0E120" w14:textId="77777777" w:rsidR="00D31224" w:rsidRDefault="00D31224"/>
  </w:footnote>
  <w:footnote w:id="2">
    <w:p w14:paraId="591CFA57" w14:textId="3EFC7EAB" w:rsidR="00F671BC" w:rsidRPr="00F671BC" w:rsidRDefault="00F671BC" w:rsidP="00FE26A2">
      <w:pPr>
        <w:pStyle w:val="FootnoteText"/>
        <w:tabs>
          <w:tab w:val="left" w:pos="567"/>
        </w:tabs>
        <w:rPr>
          <w:szCs w:val="18"/>
          <w:lang w:val="fr-FR"/>
        </w:rPr>
      </w:pPr>
      <w:r w:rsidRPr="00F671BC">
        <w:rPr>
          <w:rStyle w:val="FootnoteReference"/>
          <w:szCs w:val="18"/>
          <w:lang w:val="fr-FR"/>
        </w:rPr>
        <w:footnoteRef/>
      </w:r>
      <w:r w:rsidRPr="00F671BC">
        <w:rPr>
          <w:szCs w:val="18"/>
          <w:lang w:val="fr-FR"/>
        </w:rPr>
        <w:t xml:space="preserve"> </w:t>
      </w:r>
      <w:r w:rsidR="00FE26A2">
        <w:rPr>
          <w:szCs w:val="18"/>
          <w:lang w:val="fr-FR"/>
        </w:rPr>
        <w:tab/>
      </w:r>
      <w:r w:rsidRPr="00F671BC">
        <w:rPr>
          <w:szCs w:val="18"/>
          <w:lang w:val="fr-FR"/>
        </w:rPr>
        <w:t xml:space="preserve">Note </w:t>
      </w:r>
      <w:r>
        <w:rPr>
          <w:szCs w:val="18"/>
          <w:lang w:val="fr-FR"/>
        </w:rPr>
        <w:t>du Secrétariat de l</w:t>
      </w:r>
      <w:r w:rsidR="00D53236">
        <w:rPr>
          <w:szCs w:val="18"/>
          <w:lang w:val="fr-FR"/>
        </w:rPr>
        <w:t>’</w:t>
      </w:r>
      <w:r>
        <w:rPr>
          <w:szCs w:val="18"/>
          <w:lang w:val="fr-FR"/>
        </w:rPr>
        <w:t>OMPI</w:t>
      </w:r>
      <w:r w:rsidR="00D53236">
        <w:rPr>
          <w:szCs w:val="18"/>
          <w:lang w:val="fr-FR"/>
        </w:rPr>
        <w:t> :</w:t>
      </w:r>
      <w:r w:rsidRPr="00F671BC">
        <w:rPr>
          <w:szCs w:val="18"/>
          <w:lang w:val="fr-FR"/>
        </w:rPr>
        <w:t xml:space="preserve"> </w:t>
      </w:r>
      <w:r>
        <w:rPr>
          <w:szCs w:val="18"/>
          <w:lang w:val="fr-FR"/>
        </w:rPr>
        <w:t>le président de l</w:t>
      </w:r>
      <w:r w:rsidR="00D53236">
        <w:rPr>
          <w:szCs w:val="18"/>
          <w:lang w:val="fr-FR"/>
        </w:rPr>
        <w:t>’</w:t>
      </w:r>
      <w:r>
        <w:rPr>
          <w:szCs w:val="18"/>
          <w:lang w:val="fr-FR"/>
        </w:rPr>
        <w:t>IGC, M.</w:t>
      </w:r>
      <w:r w:rsidR="00143FA5">
        <w:rPr>
          <w:szCs w:val="18"/>
          <w:lang w:val="fr-FR"/>
        </w:rPr>
        <w:t> </w:t>
      </w:r>
      <w:r w:rsidR="00CA53BC">
        <w:rPr>
          <w:szCs w:val="18"/>
          <w:lang w:val="fr-FR"/>
        </w:rPr>
        <w:t>Ian </w:t>
      </w:r>
      <w:proofErr w:type="spellStart"/>
      <w:r w:rsidRPr="00F671BC">
        <w:rPr>
          <w:szCs w:val="18"/>
          <w:lang w:val="fr-FR"/>
        </w:rPr>
        <w:t>Goss</w:t>
      </w:r>
      <w:proofErr w:type="spellEnd"/>
      <w:r w:rsidRPr="00F671BC">
        <w:rPr>
          <w:szCs w:val="18"/>
          <w:lang w:val="fr-FR"/>
        </w:rPr>
        <w:t xml:space="preserve">, </w:t>
      </w:r>
      <w:r>
        <w:rPr>
          <w:szCs w:val="18"/>
          <w:lang w:val="fr-FR"/>
        </w:rPr>
        <w:t>a établi la présente note d</w:t>
      </w:r>
      <w:r w:rsidR="00D53236">
        <w:rPr>
          <w:szCs w:val="18"/>
          <w:lang w:val="fr-FR"/>
        </w:rPr>
        <w:t>’</w:t>
      </w:r>
      <w:r>
        <w:rPr>
          <w:szCs w:val="18"/>
          <w:lang w:val="fr-FR"/>
        </w:rPr>
        <w:t>information pour aider les États membres à préparer la quarante</w:t>
      </w:r>
      <w:r w:rsidR="00FE26A2">
        <w:rPr>
          <w:szCs w:val="18"/>
          <w:lang w:val="fr-FR"/>
        </w:rPr>
        <w:noBreakHyphen/>
      </w:r>
      <w:r>
        <w:rPr>
          <w:szCs w:val="18"/>
          <w:lang w:val="fr-FR"/>
        </w:rPr>
        <w:t>deux</w:t>
      </w:r>
      <w:r w:rsidR="00D53236">
        <w:rPr>
          <w:szCs w:val="18"/>
          <w:lang w:val="fr-FR"/>
        </w:rPr>
        <w:t>ième session</w:t>
      </w:r>
      <w:r>
        <w:rPr>
          <w:szCs w:val="18"/>
          <w:lang w:val="fr-FR"/>
        </w:rPr>
        <w:t xml:space="preserve"> de l</w:t>
      </w:r>
      <w:r w:rsidR="00D53236">
        <w:rPr>
          <w:szCs w:val="18"/>
          <w:lang w:val="fr-FR"/>
        </w:rPr>
        <w:t>’</w:t>
      </w:r>
      <w:r>
        <w:rPr>
          <w:szCs w:val="18"/>
          <w:lang w:val="fr-FR"/>
        </w:rPr>
        <w:t>IGC</w:t>
      </w:r>
      <w:r w:rsidRPr="00F671BC">
        <w:rPr>
          <w:szCs w:val="18"/>
          <w:lang w:val="fr-FR"/>
        </w:rPr>
        <w:t>.</w:t>
      </w:r>
    </w:p>
  </w:footnote>
  <w:footnote w:id="3">
    <w:p w14:paraId="3375663A" w14:textId="288B6FE6" w:rsidR="00733CA3" w:rsidRPr="00F671BC" w:rsidRDefault="00733CA3" w:rsidP="00FE26A2">
      <w:pPr>
        <w:pStyle w:val="FootnoteText"/>
        <w:tabs>
          <w:tab w:val="left" w:pos="567"/>
        </w:tabs>
        <w:rPr>
          <w:lang w:val="fr-FR"/>
        </w:rPr>
      </w:pPr>
      <w:r w:rsidRPr="00F671BC">
        <w:rPr>
          <w:rStyle w:val="FootnoteReference"/>
          <w:lang w:val="fr-FR"/>
        </w:rPr>
        <w:footnoteRef/>
      </w:r>
      <w:r w:rsidRPr="00F671BC">
        <w:rPr>
          <w:lang w:val="fr-FR"/>
        </w:rPr>
        <w:t xml:space="preserve"> </w:t>
      </w:r>
      <w:r w:rsidR="00FE26A2">
        <w:rPr>
          <w:lang w:val="fr-FR"/>
        </w:rPr>
        <w:tab/>
      </w:r>
      <w:r w:rsidRPr="00F671BC">
        <w:rPr>
          <w:lang w:val="fr-FR"/>
        </w:rPr>
        <w:t xml:space="preserve">Notamment les </w:t>
      </w:r>
      <w:r w:rsidRPr="00F671BC">
        <w:rPr>
          <w:color w:val="000000"/>
          <w:lang w:val="fr-FR"/>
        </w:rPr>
        <w:t xml:space="preserve">documents </w:t>
      </w:r>
      <w:r w:rsidRPr="00F671BC">
        <w:rPr>
          <w:lang w:val="fr-FR"/>
        </w:rPr>
        <w:t>suivants</w:t>
      </w:r>
      <w:r w:rsidR="00D53236">
        <w:rPr>
          <w:lang w:val="fr-FR"/>
        </w:rPr>
        <w:t> :</w:t>
      </w:r>
      <w:r w:rsidRPr="00F671BC">
        <w:rPr>
          <w:lang w:val="fr-FR"/>
        </w:rPr>
        <w:t xml:space="preserve"> WIPO/GRTKF/IC/42/4 Document de synthèse concernant la propriété intellectuelle relative aux ressources génétiques</w:t>
      </w:r>
      <w:r w:rsidR="00DF5D9B" w:rsidRPr="00F671BC">
        <w:rPr>
          <w:lang w:val="fr-FR"/>
        </w:rPr>
        <w:t xml:space="preserve">; </w:t>
      </w:r>
      <w:r w:rsidRPr="00F671BC">
        <w:rPr>
          <w:lang w:val="fr-FR"/>
        </w:rPr>
        <w:t xml:space="preserve"> WIPO/GRTKF/IC/42/9 Recommandation commune concernant les ressources génétiques et les savoirs traditionnels qui y sont associés;  WIPO/GRTK</w:t>
      </w:r>
      <w:r w:rsidR="00FE26A2">
        <w:rPr>
          <w:lang w:val="fr-FR"/>
        </w:rPr>
        <w:t>F/IC/42/10 </w:t>
      </w:r>
      <w:r w:rsidRPr="00F671BC">
        <w:rPr>
          <w:lang w:val="fr-FR"/>
        </w:rPr>
        <w:t>Recommandation commune concernant l</w:t>
      </w:r>
      <w:r w:rsidR="00D53236">
        <w:rPr>
          <w:lang w:val="fr-FR"/>
        </w:rPr>
        <w:t>’</w:t>
      </w:r>
      <w:r w:rsidRPr="00F671BC">
        <w:rPr>
          <w:lang w:val="fr-FR"/>
        </w:rPr>
        <w:t>utilisation de bases de données pour la protection défensive des ressources génétiques et des savoirs traditionnels qui y sont associés</w:t>
      </w:r>
      <w:r w:rsidR="00DF5D9B" w:rsidRPr="00F671BC">
        <w:rPr>
          <w:lang w:val="fr-FR"/>
        </w:rPr>
        <w:t xml:space="preserve">; </w:t>
      </w:r>
      <w:r w:rsidRPr="00F671BC">
        <w:rPr>
          <w:lang w:val="fr-FR"/>
        </w:rPr>
        <w:t xml:space="preserve"> WIPO/GRTKF/IC/11/10 Déclaration de la source des ressources génétiques et des savoirs traditionnels dans les demandes de brevet</w:t>
      </w:r>
      <w:r w:rsidR="00D53236">
        <w:rPr>
          <w:lang w:val="fr-FR"/>
        </w:rPr>
        <w:t> :</w:t>
      </w:r>
      <w:r w:rsidRPr="00F671BC">
        <w:rPr>
          <w:lang w:val="fr-FR"/>
        </w:rPr>
        <w:t xml:space="preserve"> propositions de la Suisse</w:t>
      </w:r>
      <w:r w:rsidR="00DF5D9B" w:rsidRPr="00F671BC">
        <w:rPr>
          <w:lang w:val="fr-FR"/>
        </w:rPr>
        <w:t xml:space="preserve">; </w:t>
      </w:r>
      <w:r w:rsidRPr="00F671BC">
        <w:rPr>
          <w:lang w:val="fr-FR"/>
        </w:rPr>
        <w:t xml:space="preserve"> WIPO/GRTKF/IC/8/11 Proposition de l</w:t>
      </w:r>
      <w:r w:rsidR="00D53236">
        <w:rPr>
          <w:lang w:val="fr-FR"/>
        </w:rPr>
        <w:t>’</w:t>
      </w:r>
      <w:r w:rsidRPr="00F671BC">
        <w:rPr>
          <w:lang w:val="fr-FR"/>
        </w:rPr>
        <w:t>Union européenne</w:t>
      </w:r>
      <w:r w:rsidR="00D53236">
        <w:rPr>
          <w:lang w:val="fr-FR"/>
        </w:rPr>
        <w:t> :</w:t>
      </w:r>
      <w:r w:rsidRPr="00F671BC">
        <w:rPr>
          <w:lang w:val="fr-FR"/>
        </w:rPr>
        <w:t xml:space="preserve"> Divulgation de l</w:t>
      </w:r>
      <w:r w:rsidR="00D53236">
        <w:rPr>
          <w:lang w:val="fr-FR"/>
        </w:rPr>
        <w:t>’</w:t>
      </w:r>
      <w:r w:rsidRPr="00F671BC">
        <w:rPr>
          <w:lang w:val="fr-FR"/>
        </w:rPr>
        <w:t xml:space="preserve">origine ou de la source des ressources génétiques et des savoirs traditionnels </w:t>
      </w:r>
      <w:r w:rsidR="00C51670" w:rsidRPr="00F671BC">
        <w:rPr>
          <w:lang w:val="fr-FR"/>
        </w:rPr>
        <w:t>qui y sont associés</w:t>
      </w:r>
      <w:r w:rsidRPr="00F671BC">
        <w:rPr>
          <w:lang w:val="fr-FR"/>
        </w:rPr>
        <w:t xml:space="preserve"> dans les demandes de brevet</w:t>
      </w:r>
      <w:r w:rsidR="00DF5D9B" w:rsidRPr="00F671BC">
        <w:rPr>
          <w:lang w:val="fr-FR"/>
        </w:rPr>
        <w:t xml:space="preserve">; </w:t>
      </w:r>
      <w:r w:rsidRPr="00F671BC">
        <w:rPr>
          <w:lang w:val="fr-FR"/>
        </w:rPr>
        <w:t xml:space="preserve"> WIPO/GRTKF/IC/17/10 Proposition du Groupe des pays africains relative aux ressources génétiques et aux travaux futurs</w:t>
      </w:r>
      <w:r w:rsidR="00DF5D9B" w:rsidRPr="00F671BC">
        <w:rPr>
          <w:lang w:val="fr-FR"/>
        </w:rPr>
        <w:t xml:space="preserve">; </w:t>
      </w:r>
      <w:r w:rsidRPr="00F671BC">
        <w:rPr>
          <w:lang w:val="fr-FR"/>
        </w:rPr>
        <w:t xml:space="preserve"> et WIPO/GRTKF/IC/42/8 Incidence économique des retards de traitement et de l</w:t>
      </w:r>
      <w:r w:rsidR="00D53236">
        <w:rPr>
          <w:lang w:val="fr-FR"/>
        </w:rPr>
        <w:t>’</w:t>
      </w:r>
      <w:r w:rsidRPr="00F671BC">
        <w:rPr>
          <w:lang w:val="fr-FR"/>
        </w:rPr>
        <w:t>incertitude concernant les droits de brevet</w:t>
      </w:r>
      <w:r w:rsidR="00D53236">
        <w:rPr>
          <w:lang w:val="fr-FR"/>
        </w:rPr>
        <w:t> :</w:t>
      </w:r>
      <w:r w:rsidRPr="00F671BC">
        <w:rPr>
          <w:lang w:val="fr-FR"/>
        </w:rPr>
        <w:t xml:space="preserve"> préoccupations des États</w:t>
      </w:r>
      <w:r w:rsidR="00FE26A2">
        <w:rPr>
          <w:lang w:val="fr-FR"/>
        </w:rPr>
        <w:noBreakHyphen/>
      </w:r>
      <w:r w:rsidRPr="00F671BC">
        <w:rPr>
          <w:lang w:val="fr-FR"/>
        </w:rPr>
        <w:t>Unis d</w:t>
      </w:r>
      <w:r w:rsidR="00D53236">
        <w:rPr>
          <w:lang w:val="fr-FR"/>
        </w:rPr>
        <w:t>’</w:t>
      </w:r>
      <w:r w:rsidRPr="00F671BC">
        <w:rPr>
          <w:lang w:val="fr-FR"/>
        </w:rPr>
        <w:t>Amérique face aux propositions relatives à de nouvelles exigences de divulgation.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41A1A" w14:textId="6EDE0FAC" w:rsidR="00822615" w:rsidRDefault="00822615" w:rsidP="00822615">
    <w:pPr>
      <w:pStyle w:val="Header"/>
    </w:pPr>
  </w:p>
  <w:p w14:paraId="260E7B10" w14:textId="77777777" w:rsidR="00822615" w:rsidRDefault="00822615" w:rsidP="00F91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C25E1" w14:textId="1F0AB2B8" w:rsidR="00822615" w:rsidRDefault="00822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1804" w14:textId="6F156E6A" w:rsidR="00822615" w:rsidRDefault="00822615" w:rsidP="00822615">
    <w:pPr>
      <w:pStyle w:val="Header"/>
    </w:pPr>
  </w:p>
  <w:p w14:paraId="7EE757F4" w14:textId="77777777" w:rsidR="00822615" w:rsidRDefault="00822615" w:rsidP="00F91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690"/>
    <w:multiLevelType w:val="hybridMultilevel"/>
    <w:tmpl w:val="330E1ED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05333636"/>
    <w:multiLevelType w:val="hybridMultilevel"/>
    <w:tmpl w:val="F402A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8F6725"/>
    <w:multiLevelType w:val="hybridMultilevel"/>
    <w:tmpl w:val="AB1A70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8A1F24"/>
    <w:multiLevelType w:val="hybridMultilevel"/>
    <w:tmpl w:val="D696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64B17"/>
    <w:multiLevelType w:val="hybridMultilevel"/>
    <w:tmpl w:val="0060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0633B"/>
    <w:multiLevelType w:val="hybridMultilevel"/>
    <w:tmpl w:val="2D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85C1A"/>
    <w:multiLevelType w:val="hybridMultilevel"/>
    <w:tmpl w:val="1D7EE17E"/>
    <w:lvl w:ilvl="0" w:tplc="626AF7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F662EC"/>
    <w:multiLevelType w:val="hybridMultilevel"/>
    <w:tmpl w:val="1682E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75714"/>
    <w:multiLevelType w:val="hybridMultilevel"/>
    <w:tmpl w:val="DEA630E0"/>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22C17B38"/>
    <w:multiLevelType w:val="hybridMultilevel"/>
    <w:tmpl w:val="D8BAF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43484"/>
    <w:multiLevelType w:val="hybridMultilevel"/>
    <w:tmpl w:val="81D2BE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F2354F"/>
    <w:multiLevelType w:val="hybridMultilevel"/>
    <w:tmpl w:val="BFE2C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11D30"/>
    <w:multiLevelType w:val="hybridMultilevel"/>
    <w:tmpl w:val="F050AD0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7627579"/>
    <w:multiLevelType w:val="hybridMultilevel"/>
    <w:tmpl w:val="08BC6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D3DED"/>
    <w:multiLevelType w:val="hybridMultilevel"/>
    <w:tmpl w:val="BB702BF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A283EC6"/>
    <w:multiLevelType w:val="hybridMultilevel"/>
    <w:tmpl w:val="FD2622BA"/>
    <w:lvl w:ilvl="0" w:tplc="04090001">
      <w:start w:val="1"/>
      <w:numFmt w:val="bullet"/>
      <w:lvlText w:val=""/>
      <w:lvlJc w:val="left"/>
      <w:pPr>
        <w:ind w:left="774" w:hanging="360"/>
      </w:pPr>
      <w:rPr>
        <w:rFonts w:ascii="Symbol" w:hAnsi="Symbol"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6" w15:restartNumberingAfterBreak="0">
    <w:nsid w:val="422D78CC"/>
    <w:multiLevelType w:val="hybridMultilevel"/>
    <w:tmpl w:val="EA382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49255A"/>
    <w:multiLevelType w:val="hybridMultilevel"/>
    <w:tmpl w:val="6CAEA9A0"/>
    <w:lvl w:ilvl="0" w:tplc="08090001">
      <w:start w:val="1"/>
      <w:numFmt w:val="bullet"/>
      <w:lvlText w:val=""/>
      <w:lvlJc w:val="left"/>
      <w:pPr>
        <w:ind w:left="901" w:hanging="360"/>
      </w:pPr>
      <w:rPr>
        <w:rFonts w:ascii="Symbol" w:hAnsi="Symbol" w:hint="default"/>
      </w:rPr>
    </w:lvl>
    <w:lvl w:ilvl="1" w:tplc="08090003">
      <w:start w:val="1"/>
      <w:numFmt w:val="bullet"/>
      <w:lvlText w:val="o"/>
      <w:lvlJc w:val="left"/>
      <w:pPr>
        <w:ind w:left="1621" w:hanging="360"/>
      </w:pPr>
      <w:rPr>
        <w:rFonts w:ascii="Courier New" w:hAnsi="Courier New" w:hint="default"/>
      </w:rPr>
    </w:lvl>
    <w:lvl w:ilvl="2" w:tplc="08090005" w:tentative="1">
      <w:start w:val="1"/>
      <w:numFmt w:val="bullet"/>
      <w:lvlText w:val=""/>
      <w:lvlJc w:val="left"/>
      <w:pPr>
        <w:ind w:left="2341" w:hanging="360"/>
      </w:pPr>
      <w:rPr>
        <w:rFonts w:ascii="Wingdings" w:hAnsi="Wingdings" w:hint="default"/>
      </w:rPr>
    </w:lvl>
    <w:lvl w:ilvl="3" w:tplc="08090001" w:tentative="1">
      <w:start w:val="1"/>
      <w:numFmt w:val="bullet"/>
      <w:lvlText w:val=""/>
      <w:lvlJc w:val="left"/>
      <w:pPr>
        <w:ind w:left="3061" w:hanging="360"/>
      </w:pPr>
      <w:rPr>
        <w:rFonts w:ascii="Symbol" w:hAnsi="Symbol" w:hint="default"/>
      </w:rPr>
    </w:lvl>
    <w:lvl w:ilvl="4" w:tplc="08090003" w:tentative="1">
      <w:start w:val="1"/>
      <w:numFmt w:val="bullet"/>
      <w:lvlText w:val="o"/>
      <w:lvlJc w:val="left"/>
      <w:pPr>
        <w:ind w:left="3781" w:hanging="360"/>
      </w:pPr>
      <w:rPr>
        <w:rFonts w:ascii="Courier New" w:hAnsi="Courier New" w:hint="default"/>
      </w:rPr>
    </w:lvl>
    <w:lvl w:ilvl="5" w:tplc="08090005" w:tentative="1">
      <w:start w:val="1"/>
      <w:numFmt w:val="bullet"/>
      <w:lvlText w:val=""/>
      <w:lvlJc w:val="left"/>
      <w:pPr>
        <w:ind w:left="4501" w:hanging="360"/>
      </w:pPr>
      <w:rPr>
        <w:rFonts w:ascii="Wingdings" w:hAnsi="Wingdings" w:hint="default"/>
      </w:rPr>
    </w:lvl>
    <w:lvl w:ilvl="6" w:tplc="08090001" w:tentative="1">
      <w:start w:val="1"/>
      <w:numFmt w:val="bullet"/>
      <w:lvlText w:val=""/>
      <w:lvlJc w:val="left"/>
      <w:pPr>
        <w:ind w:left="5221" w:hanging="360"/>
      </w:pPr>
      <w:rPr>
        <w:rFonts w:ascii="Symbol" w:hAnsi="Symbol" w:hint="default"/>
      </w:rPr>
    </w:lvl>
    <w:lvl w:ilvl="7" w:tplc="08090003" w:tentative="1">
      <w:start w:val="1"/>
      <w:numFmt w:val="bullet"/>
      <w:lvlText w:val="o"/>
      <w:lvlJc w:val="left"/>
      <w:pPr>
        <w:ind w:left="5941" w:hanging="360"/>
      </w:pPr>
      <w:rPr>
        <w:rFonts w:ascii="Courier New" w:hAnsi="Courier New" w:hint="default"/>
      </w:rPr>
    </w:lvl>
    <w:lvl w:ilvl="8" w:tplc="08090005" w:tentative="1">
      <w:start w:val="1"/>
      <w:numFmt w:val="bullet"/>
      <w:lvlText w:val=""/>
      <w:lvlJc w:val="left"/>
      <w:pPr>
        <w:ind w:left="6661" w:hanging="360"/>
      </w:pPr>
      <w:rPr>
        <w:rFonts w:ascii="Wingdings" w:hAnsi="Wingdings" w:hint="default"/>
      </w:rPr>
    </w:lvl>
  </w:abstractNum>
  <w:abstractNum w:abstractNumId="18" w15:restartNumberingAfterBreak="0">
    <w:nsid w:val="4E554B64"/>
    <w:multiLevelType w:val="hybridMultilevel"/>
    <w:tmpl w:val="02E8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12DBF"/>
    <w:multiLevelType w:val="hybridMultilevel"/>
    <w:tmpl w:val="5EB6E7D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5699648A"/>
    <w:multiLevelType w:val="hybridMultilevel"/>
    <w:tmpl w:val="A44C84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5C7B26F7"/>
    <w:multiLevelType w:val="hybridMultilevel"/>
    <w:tmpl w:val="F7586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80640"/>
    <w:multiLevelType w:val="hybridMultilevel"/>
    <w:tmpl w:val="F2AAFB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332266"/>
    <w:multiLevelType w:val="hybridMultilevel"/>
    <w:tmpl w:val="9D6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96DB4"/>
    <w:multiLevelType w:val="hybridMultilevel"/>
    <w:tmpl w:val="28280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91731"/>
    <w:multiLevelType w:val="hybridMultilevel"/>
    <w:tmpl w:val="DA86F376"/>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26" w15:restartNumberingAfterBreak="0">
    <w:nsid w:val="6D7629F9"/>
    <w:multiLevelType w:val="hybridMultilevel"/>
    <w:tmpl w:val="CB9A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2213D"/>
    <w:multiLevelType w:val="hybridMultilevel"/>
    <w:tmpl w:val="98AEB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B41A39"/>
    <w:multiLevelType w:val="hybridMultilevel"/>
    <w:tmpl w:val="67384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25"/>
  </w:num>
  <w:num w:numId="3">
    <w:abstractNumId w:val="26"/>
  </w:num>
  <w:num w:numId="4">
    <w:abstractNumId w:val="10"/>
  </w:num>
  <w:num w:numId="5">
    <w:abstractNumId w:val="21"/>
  </w:num>
  <w:num w:numId="6">
    <w:abstractNumId w:val="4"/>
  </w:num>
  <w:num w:numId="7">
    <w:abstractNumId w:val="23"/>
  </w:num>
  <w:num w:numId="8">
    <w:abstractNumId w:val="0"/>
  </w:num>
  <w:num w:numId="9">
    <w:abstractNumId w:val="8"/>
  </w:num>
  <w:num w:numId="10">
    <w:abstractNumId w:val="5"/>
  </w:num>
  <w:num w:numId="11">
    <w:abstractNumId w:val="15"/>
  </w:num>
  <w:num w:numId="12">
    <w:abstractNumId w:val="27"/>
  </w:num>
  <w:num w:numId="13">
    <w:abstractNumId w:val="24"/>
  </w:num>
  <w:num w:numId="14">
    <w:abstractNumId w:val="13"/>
  </w:num>
  <w:num w:numId="15">
    <w:abstractNumId w:val="3"/>
  </w:num>
  <w:num w:numId="16">
    <w:abstractNumId w:val="9"/>
  </w:num>
  <w:num w:numId="17">
    <w:abstractNumId w:val="22"/>
  </w:num>
  <w:num w:numId="18">
    <w:abstractNumId w:val="16"/>
  </w:num>
  <w:num w:numId="19">
    <w:abstractNumId w:val="11"/>
  </w:num>
  <w:num w:numId="20">
    <w:abstractNumId w:val="19"/>
  </w:num>
  <w:num w:numId="21">
    <w:abstractNumId w:val="6"/>
  </w:num>
  <w:num w:numId="22">
    <w:abstractNumId w:val="28"/>
  </w:num>
  <w:num w:numId="23">
    <w:abstractNumId w:val="7"/>
  </w:num>
  <w:num w:numId="24">
    <w:abstractNumId w:val="1"/>
  </w:num>
  <w:num w:numId="25">
    <w:abstractNumId w:val="18"/>
  </w:num>
  <w:num w:numId="26">
    <w:abstractNumId w:val="2"/>
  </w:num>
  <w:num w:numId="27">
    <w:abstractNumId w:val="12"/>
  </w:num>
  <w:num w:numId="28">
    <w:abstractNumId w:val="1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A3037E"/>
    <w:rsid w:val="0001181B"/>
    <w:rsid w:val="00021A74"/>
    <w:rsid w:val="000223D0"/>
    <w:rsid w:val="000313C7"/>
    <w:rsid w:val="0003771C"/>
    <w:rsid w:val="00074E35"/>
    <w:rsid w:val="00082637"/>
    <w:rsid w:val="0008589A"/>
    <w:rsid w:val="000B37E4"/>
    <w:rsid w:val="000C3F5E"/>
    <w:rsid w:val="000E33B6"/>
    <w:rsid w:val="00105A2D"/>
    <w:rsid w:val="00107038"/>
    <w:rsid w:val="00112A6D"/>
    <w:rsid w:val="00114671"/>
    <w:rsid w:val="00121F9F"/>
    <w:rsid w:val="001305A8"/>
    <w:rsid w:val="00143FA5"/>
    <w:rsid w:val="001579A6"/>
    <w:rsid w:val="00164294"/>
    <w:rsid w:val="00167A25"/>
    <w:rsid w:val="001A0788"/>
    <w:rsid w:val="001A4242"/>
    <w:rsid w:val="001B33DC"/>
    <w:rsid w:val="001E7A25"/>
    <w:rsid w:val="00201244"/>
    <w:rsid w:val="00210557"/>
    <w:rsid w:val="0021763F"/>
    <w:rsid w:val="002311A9"/>
    <w:rsid w:val="00234797"/>
    <w:rsid w:val="002568B0"/>
    <w:rsid w:val="00261856"/>
    <w:rsid w:val="00270F5E"/>
    <w:rsid w:val="002806AE"/>
    <w:rsid w:val="002D25BE"/>
    <w:rsid w:val="002E7247"/>
    <w:rsid w:val="002F0E09"/>
    <w:rsid w:val="00342EF4"/>
    <w:rsid w:val="00344304"/>
    <w:rsid w:val="00377ED8"/>
    <w:rsid w:val="00390DA7"/>
    <w:rsid w:val="003A723D"/>
    <w:rsid w:val="003C1EFC"/>
    <w:rsid w:val="003C6945"/>
    <w:rsid w:val="003C6DF2"/>
    <w:rsid w:val="003E49F4"/>
    <w:rsid w:val="00402547"/>
    <w:rsid w:val="00442D9D"/>
    <w:rsid w:val="00451955"/>
    <w:rsid w:val="004717BD"/>
    <w:rsid w:val="004722D1"/>
    <w:rsid w:val="004A29DC"/>
    <w:rsid w:val="004A5F8B"/>
    <w:rsid w:val="004B430E"/>
    <w:rsid w:val="004D052F"/>
    <w:rsid w:val="004D1EB2"/>
    <w:rsid w:val="004D3868"/>
    <w:rsid w:val="004D4CFA"/>
    <w:rsid w:val="004D738F"/>
    <w:rsid w:val="0050542C"/>
    <w:rsid w:val="0050768D"/>
    <w:rsid w:val="00542C9A"/>
    <w:rsid w:val="005638BD"/>
    <w:rsid w:val="005974E6"/>
    <w:rsid w:val="005A2D59"/>
    <w:rsid w:val="005B54D0"/>
    <w:rsid w:val="005C2B6F"/>
    <w:rsid w:val="005C5419"/>
    <w:rsid w:val="006335FD"/>
    <w:rsid w:val="00635628"/>
    <w:rsid w:val="00650352"/>
    <w:rsid w:val="00654488"/>
    <w:rsid w:val="00666DFD"/>
    <w:rsid w:val="00693068"/>
    <w:rsid w:val="006F34DC"/>
    <w:rsid w:val="006F51C2"/>
    <w:rsid w:val="007069D1"/>
    <w:rsid w:val="00711EE3"/>
    <w:rsid w:val="007223B9"/>
    <w:rsid w:val="00733CA3"/>
    <w:rsid w:val="00734697"/>
    <w:rsid w:val="00734A9F"/>
    <w:rsid w:val="00771936"/>
    <w:rsid w:val="00771B52"/>
    <w:rsid w:val="00783061"/>
    <w:rsid w:val="007A1EFB"/>
    <w:rsid w:val="007D19AA"/>
    <w:rsid w:val="007D6A0C"/>
    <w:rsid w:val="007E0D5B"/>
    <w:rsid w:val="00820B4E"/>
    <w:rsid w:val="00822615"/>
    <w:rsid w:val="00830527"/>
    <w:rsid w:val="00837D06"/>
    <w:rsid w:val="008911AF"/>
    <w:rsid w:val="008A1782"/>
    <w:rsid w:val="008C26F1"/>
    <w:rsid w:val="008C7E47"/>
    <w:rsid w:val="008E154F"/>
    <w:rsid w:val="008E678F"/>
    <w:rsid w:val="00902133"/>
    <w:rsid w:val="00903A62"/>
    <w:rsid w:val="0090572F"/>
    <w:rsid w:val="00920AF3"/>
    <w:rsid w:val="00945BB3"/>
    <w:rsid w:val="00955A0A"/>
    <w:rsid w:val="00990C56"/>
    <w:rsid w:val="00994080"/>
    <w:rsid w:val="009965B2"/>
    <w:rsid w:val="009C0592"/>
    <w:rsid w:val="009C6CD0"/>
    <w:rsid w:val="009D38AB"/>
    <w:rsid w:val="009E672C"/>
    <w:rsid w:val="00A06CA7"/>
    <w:rsid w:val="00A1027B"/>
    <w:rsid w:val="00A114E5"/>
    <w:rsid w:val="00A143E1"/>
    <w:rsid w:val="00A17143"/>
    <w:rsid w:val="00A23C5E"/>
    <w:rsid w:val="00A3037E"/>
    <w:rsid w:val="00A4421A"/>
    <w:rsid w:val="00A453FC"/>
    <w:rsid w:val="00A46002"/>
    <w:rsid w:val="00A55DE5"/>
    <w:rsid w:val="00A57D2A"/>
    <w:rsid w:val="00A62CBB"/>
    <w:rsid w:val="00A711AA"/>
    <w:rsid w:val="00B02EA0"/>
    <w:rsid w:val="00B03110"/>
    <w:rsid w:val="00B16938"/>
    <w:rsid w:val="00B17341"/>
    <w:rsid w:val="00B431DB"/>
    <w:rsid w:val="00B47D38"/>
    <w:rsid w:val="00B80A42"/>
    <w:rsid w:val="00BA2F4A"/>
    <w:rsid w:val="00BB6844"/>
    <w:rsid w:val="00BB6F01"/>
    <w:rsid w:val="00BD36FA"/>
    <w:rsid w:val="00C13DBF"/>
    <w:rsid w:val="00C51670"/>
    <w:rsid w:val="00C57FD7"/>
    <w:rsid w:val="00C92A8D"/>
    <w:rsid w:val="00CA044B"/>
    <w:rsid w:val="00CA20C0"/>
    <w:rsid w:val="00CA53BC"/>
    <w:rsid w:val="00CA7028"/>
    <w:rsid w:val="00CC71EA"/>
    <w:rsid w:val="00CE36CA"/>
    <w:rsid w:val="00D22273"/>
    <w:rsid w:val="00D31224"/>
    <w:rsid w:val="00D443D7"/>
    <w:rsid w:val="00D52F64"/>
    <w:rsid w:val="00D53236"/>
    <w:rsid w:val="00D7428A"/>
    <w:rsid w:val="00D8633B"/>
    <w:rsid w:val="00D949E9"/>
    <w:rsid w:val="00D95C39"/>
    <w:rsid w:val="00DB72AC"/>
    <w:rsid w:val="00DC6B86"/>
    <w:rsid w:val="00DD18A3"/>
    <w:rsid w:val="00DD760E"/>
    <w:rsid w:val="00DE64AC"/>
    <w:rsid w:val="00DF5D9B"/>
    <w:rsid w:val="00E14A36"/>
    <w:rsid w:val="00E262A1"/>
    <w:rsid w:val="00E340DE"/>
    <w:rsid w:val="00E45DBA"/>
    <w:rsid w:val="00EB1C3D"/>
    <w:rsid w:val="00EB7FED"/>
    <w:rsid w:val="00ED2E77"/>
    <w:rsid w:val="00ED423F"/>
    <w:rsid w:val="00ED576A"/>
    <w:rsid w:val="00ED68E2"/>
    <w:rsid w:val="00EE7AB1"/>
    <w:rsid w:val="00F02AF9"/>
    <w:rsid w:val="00F039B6"/>
    <w:rsid w:val="00F10184"/>
    <w:rsid w:val="00F11E7C"/>
    <w:rsid w:val="00F13674"/>
    <w:rsid w:val="00F1450A"/>
    <w:rsid w:val="00F17B55"/>
    <w:rsid w:val="00F310E5"/>
    <w:rsid w:val="00F314EB"/>
    <w:rsid w:val="00F63D5F"/>
    <w:rsid w:val="00F671BC"/>
    <w:rsid w:val="00F77173"/>
    <w:rsid w:val="00F77BAE"/>
    <w:rsid w:val="00F8459D"/>
    <w:rsid w:val="00F91161"/>
    <w:rsid w:val="00F93244"/>
    <w:rsid w:val="00FA075F"/>
    <w:rsid w:val="00FA7492"/>
    <w:rsid w:val="00FB6B38"/>
    <w:rsid w:val="00FC266C"/>
    <w:rsid w:val="00FC7894"/>
    <w:rsid w:val="00FE080B"/>
    <w:rsid w:val="00FE26A2"/>
    <w:rsid w:val="00FE68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CD13DF"/>
  <w14:defaultImageDpi w14:val="330"/>
  <w15:chartTrackingRefBased/>
  <w15:docId w15:val="{21111B05-5731-AB45-A772-CA5D3B4A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3F"/>
    <w:pPr>
      <w:ind w:left="720"/>
      <w:contextualSpacing/>
    </w:pPr>
  </w:style>
  <w:style w:type="paragraph" w:styleId="NormalWeb">
    <w:name w:val="Normal (Web)"/>
    <w:basedOn w:val="Normal"/>
    <w:uiPriority w:val="99"/>
    <w:unhideWhenUsed/>
    <w:rsid w:val="004A29DC"/>
    <w:pPr>
      <w:spacing w:before="100" w:beforeAutospacing="1" w:after="100" w:afterAutospacing="1"/>
    </w:pPr>
    <w:rPr>
      <w:rFonts w:ascii="Times New Roman" w:eastAsia="Times New Roman" w:hAnsi="Times New Roman" w:cs="Times New Roman"/>
      <w:lang w:val="en-AU"/>
    </w:rPr>
  </w:style>
  <w:style w:type="paragraph" w:styleId="FootnoteText">
    <w:name w:val="footnote text"/>
    <w:basedOn w:val="Normal"/>
    <w:link w:val="FootnoteTextChar"/>
    <w:rsid w:val="004A29DC"/>
    <w:rPr>
      <w:rFonts w:ascii="Arial" w:eastAsia="SimSun" w:hAnsi="Arial" w:cs="Arial"/>
      <w:sz w:val="18"/>
      <w:szCs w:val="20"/>
      <w:lang w:val="en-US" w:eastAsia="zh-CN"/>
    </w:rPr>
  </w:style>
  <w:style w:type="character" w:customStyle="1" w:styleId="FootnoteTextChar">
    <w:name w:val="Footnote Text Char"/>
    <w:basedOn w:val="DefaultParagraphFont"/>
    <w:link w:val="FootnoteText"/>
    <w:rsid w:val="004A29DC"/>
    <w:rPr>
      <w:rFonts w:ascii="Arial" w:eastAsia="SimSun" w:hAnsi="Arial" w:cs="Arial"/>
      <w:sz w:val="18"/>
      <w:szCs w:val="20"/>
      <w:lang w:val="en-US" w:eastAsia="zh-CN"/>
    </w:rPr>
  </w:style>
  <w:style w:type="character" w:styleId="FootnoteReference">
    <w:name w:val="footnote reference"/>
    <w:aliases w:val="4_G,Footnotes refss,Footnote Ref,16 Point,Superscript 6 Point,Footnote Refernece,Footnote number,ftref,a Footnote Reference,FZ,Appel note de bas de page,Texto de nota al pie,referencia nota al pie,BVI fnr,Ref,Appel note de bas de p."/>
    <w:basedOn w:val="DefaultParagraphFont"/>
    <w:qFormat/>
    <w:rsid w:val="004A29DC"/>
    <w:rPr>
      <w:vertAlign w:val="superscript"/>
    </w:rPr>
  </w:style>
  <w:style w:type="character" w:customStyle="1" w:styleId="Bold">
    <w:name w:val="Bold"/>
    <w:rsid w:val="004A29DC"/>
    <w:rPr>
      <w:b/>
    </w:rPr>
  </w:style>
  <w:style w:type="character" w:styleId="Hyperlink">
    <w:name w:val="Hyperlink"/>
    <w:rsid w:val="00903A62"/>
    <w:rPr>
      <w:color w:val="0000FF"/>
      <w:u w:val="single"/>
    </w:rPr>
  </w:style>
  <w:style w:type="table" w:styleId="TableGrid">
    <w:name w:val="Table Grid"/>
    <w:basedOn w:val="TableNormal"/>
    <w:uiPriority w:val="59"/>
    <w:unhideWhenUsed/>
    <w:rsid w:val="00903A62"/>
    <w:rPr>
      <w:rFonts w:ascii="Arial" w:eastAsiaTheme="minorEastAsia" w:hAnsi="Arial"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247"/>
    <w:pPr>
      <w:tabs>
        <w:tab w:val="center" w:pos="4680"/>
        <w:tab w:val="right" w:pos="9360"/>
      </w:tabs>
    </w:pPr>
  </w:style>
  <w:style w:type="character" w:customStyle="1" w:styleId="FooterChar">
    <w:name w:val="Footer Char"/>
    <w:basedOn w:val="DefaultParagraphFont"/>
    <w:link w:val="Footer"/>
    <w:uiPriority w:val="99"/>
    <w:rsid w:val="002E7247"/>
  </w:style>
  <w:style w:type="character" w:styleId="PageNumber">
    <w:name w:val="page number"/>
    <w:basedOn w:val="DefaultParagraphFont"/>
    <w:uiPriority w:val="99"/>
    <w:semiHidden/>
    <w:unhideWhenUsed/>
    <w:rsid w:val="002E7247"/>
  </w:style>
  <w:style w:type="paragraph" w:styleId="BalloonText">
    <w:name w:val="Balloon Text"/>
    <w:basedOn w:val="Normal"/>
    <w:link w:val="BalloonTextChar"/>
    <w:uiPriority w:val="99"/>
    <w:semiHidden/>
    <w:unhideWhenUsed/>
    <w:rsid w:val="003C1E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1EFC"/>
    <w:rPr>
      <w:rFonts w:ascii="Times New Roman" w:hAnsi="Times New Roman" w:cs="Times New Roman"/>
      <w:sz w:val="18"/>
      <w:szCs w:val="18"/>
    </w:rPr>
  </w:style>
  <w:style w:type="paragraph" w:styleId="Revision">
    <w:name w:val="Revision"/>
    <w:hidden/>
    <w:uiPriority w:val="99"/>
    <w:semiHidden/>
    <w:rsid w:val="00CE36CA"/>
  </w:style>
  <w:style w:type="character" w:styleId="CommentReference">
    <w:name w:val="annotation reference"/>
    <w:basedOn w:val="DefaultParagraphFont"/>
    <w:uiPriority w:val="99"/>
    <w:semiHidden/>
    <w:unhideWhenUsed/>
    <w:rsid w:val="00CE36CA"/>
    <w:rPr>
      <w:sz w:val="16"/>
      <w:szCs w:val="16"/>
    </w:rPr>
  </w:style>
  <w:style w:type="paragraph" w:styleId="CommentText">
    <w:name w:val="annotation text"/>
    <w:basedOn w:val="Normal"/>
    <w:link w:val="CommentTextChar"/>
    <w:uiPriority w:val="99"/>
    <w:semiHidden/>
    <w:unhideWhenUsed/>
    <w:rsid w:val="00CE36CA"/>
    <w:rPr>
      <w:sz w:val="20"/>
      <w:szCs w:val="20"/>
    </w:rPr>
  </w:style>
  <w:style w:type="character" w:customStyle="1" w:styleId="CommentTextChar">
    <w:name w:val="Comment Text Char"/>
    <w:basedOn w:val="DefaultParagraphFont"/>
    <w:link w:val="CommentText"/>
    <w:uiPriority w:val="99"/>
    <w:semiHidden/>
    <w:rsid w:val="00CE36CA"/>
    <w:rPr>
      <w:sz w:val="20"/>
      <w:szCs w:val="20"/>
    </w:rPr>
  </w:style>
  <w:style w:type="paragraph" w:styleId="CommentSubject">
    <w:name w:val="annotation subject"/>
    <w:basedOn w:val="CommentText"/>
    <w:next w:val="CommentText"/>
    <w:link w:val="CommentSubjectChar"/>
    <w:uiPriority w:val="99"/>
    <w:semiHidden/>
    <w:unhideWhenUsed/>
    <w:rsid w:val="00CE36CA"/>
    <w:rPr>
      <w:b/>
      <w:bCs/>
    </w:rPr>
  </w:style>
  <w:style w:type="character" w:customStyle="1" w:styleId="CommentSubjectChar">
    <w:name w:val="Comment Subject Char"/>
    <w:basedOn w:val="CommentTextChar"/>
    <w:link w:val="CommentSubject"/>
    <w:uiPriority w:val="99"/>
    <w:semiHidden/>
    <w:rsid w:val="00CE36CA"/>
    <w:rPr>
      <w:b/>
      <w:bCs/>
      <w:sz w:val="20"/>
      <w:szCs w:val="20"/>
    </w:rPr>
  </w:style>
  <w:style w:type="paragraph" w:styleId="Header">
    <w:name w:val="header"/>
    <w:basedOn w:val="Normal"/>
    <w:link w:val="HeaderChar"/>
    <w:uiPriority w:val="99"/>
    <w:unhideWhenUsed/>
    <w:rsid w:val="00822615"/>
    <w:pPr>
      <w:tabs>
        <w:tab w:val="center" w:pos="4680"/>
        <w:tab w:val="right" w:pos="9360"/>
      </w:tabs>
    </w:pPr>
  </w:style>
  <w:style w:type="character" w:customStyle="1" w:styleId="HeaderChar">
    <w:name w:val="Header Char"/>
    <w:basedOn w:val="DefaultParagraphFont"/>
    <w:link w:val="Header"/>
    <w:uiPriority w:val="99"/>
    <w:rsid w:val="00822615"/>
  </w:style>
  <w:style w:type="character" w:styleId="FollowedHyperlink">
    <w:name w:val="FollowedHyperlink"/>
    <w:basedOn w:val="DefaultParagraphFont"/>
    <w:uiPriority w:val="99"/>
    <w:semiHidden/>
    <w:unhideWhenUsed/>
    <w:rsid w:val="002347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658">
      <w:bodyDiv w:val="1"/>
      <w:marLeft w:val="0"/>
      <w:marRight w:val="0"/>
      <w:marTop w:val="0"/>
      <w:marBottom w:val="0"/>
      <w:divBdr>
        <w:top w:val="none" w:sz="0" w:space="0" w:color="auto"/>
        <w:left w:val="none" w:sz="0" w:space="0" w:color="auto"/>
        <w:bottom w:val="none" w:sz="0" w:space="0" w:color="auto"/>
        <w:right w:val="none" w:sz="0" w:space="0" w:color="auto"/>
      </w:divBdr>
    </w:div>
    <w:div w:id="495069848">
      <w:bodyDiv w:val="1"/>
      <w:marLeft w:val="0"/>
      <w:marRight w:val="0"/>
      <w:marTop w:val="0"/>
      <w:marBottom w:val="0"/>
      <w:divBdr>
        <w:top w:val="none" w:sz="0" w:space="0" w:color="auto"/>
        <w:left w:val="none" w:sz="0" w:space="0" w:color="auto"/>
        <w:bottom w:val="none" w:sz="0" w:space="0" w:color="auto"/>
        <w:right w:val="none" w:sz="0" w:space="0" w:color="auto"/>
      </w:divBdr>
      <w:divsChild>
        <w:div w:id="493110014">
          <w:marLeft w:val="0"/>
          <w:marRight w:val="0"/>
          <w:marTop w:val="0"/>
          <w:marBottom w:val="0"/>
          <w:divBdr>
            <w:top w:val="none" w:sz="0" w:space="0" w:color="auto"/>
            <w:left w:val="none" w:sz="0" w:space="0" w:color="auto"/>
            <w:bottom w:val="none" w:sz="0" w:space="0" w:color="auto"/>
            <w:right w:val="none" w:sz="0" w:space="0" w:color="auto"/>
          </w:divBdr>
          <w:divsChild>
            <w:div w:id="1985815835">
              <w:marLeft w:val="0"/>
              <w:marRight w:val="0"/>
              <w:marTop w:val="0"/>
              <w:marBottom w:val="0"/>
              <w:divBdr>
                <w:top w:val="none" w:sz="0" w:space="0" w:color="auto"/>
                <w:left w:val="none" w:sz="0" w:space="0" w:color="auto"/>
                <w:bottom w:val="none" w:sz="0" w:space="0" w:color="auto"/>
                <w:right w:val="none" w:sz="0" w:space="0" w:color="auto"/>
              </w:divBdr>
              <w:divsChild>
                <w:div w:id="974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447053">
      <w:bodyDiv w:val="1"/>
      <w:marLeft w:val="0"/>
      <w:marRight w:val="0"/>
      <w:marTop w:val="0"/>
      <w:marBottom w:val="0"/>
      <w:divBdr>
        <w:top w:val="none" w:sz="0" w:space="0" w:color="auto"/>
        <w:left w:val="none" w:sz="0" w:space="0" w:color="auto"/>
        <w:bottom w:val="none" w:sz="0" w:space="0" w:color="auto"/>
        <w:right w:val="none" w:sz="0" w:space="0" w:color="auto"/>
      </w:divBdr>
      <w:divsChild>
        <w:div w:id="2006282446">
          <w:marLeft w:val="0"/>
          <w:marRight w:val="0"/>
          <w:marTop w:val="0"/>
          <w:marBottom w:val="0"/>
          <w:divBdr>
            <w:top w:val="none" w:sz="0" w:space="0" w:color="auto"/>
            <w:left w:val="none" w:sz="0" w:space="0" w:color="auto"/>
            <w:bottom w:val="none" w:sz="0" w:space="0" w:color="auto"/>
            <w:right w:val="none" w:sz="0" w:space="0" w:color="auto"/>
          </w:divBdr>
          <w:divsChild>
            <w:div w:id="536089057">
              <w:marLeft w:val="0"/>
              <w:marRight w:val="0"/>
              <w:marTop w:val="0"/>
              <w:marBottom w:val="0"/>
              <w:divBdr>
                <w:top w:val="none" w:sz="0" w:space="0" w:color="auto"/>
                <w:left w:val="none" w:sz="0" w:space="0" w:color="auto"/>
                <w:bottom w:val="none" w:sz="0" w:space="0" w:color="auto"/>
                <w:right w:val="none" w:sz="0" w:space="0" w:color="auto"/>
              </w:divBdr>
              <w:divsChild>
                <w:div w:id="11436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export/sites/www/tk/en/documents/pdf/genetic_resources_disclosur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ipo.int/publications/fr/details.jsp?id=4194"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tk/en/resources/tk_experienc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wipo.int/tk/fr/resources/tk_experienc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edocs/pubdocs/fr/wipo_pub_tk_10.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15</Pages>
  <Words>6594</Words>
  <Characters>37719</Characters>
  <Application>Microsoft Office Word</Application>
  <DocSecurity>0</DocSecurity>
  <Lines>628</Lines>
  <Paragraphs>265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Goss</dc:creator>
  <cp:keywords>FOR OFFICIAL USE ONLY</cp:keywords>
  <dc:description/>
  <cp:lastModifiedBy>OLIVIÉ Karen</cp:lastModifiedBy>
  <cp:revision>7</cp:revision>
  <dcterms:created xsi:type="dcterms:W3CDTF">2022-02-25T14:37:00Z</dcterms:created>
  <dcterms:modified xsi:type="dcterms:W3CDTF">2022-02-25T15:22:00Z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dbdcf2f7-2bdf-4bcf-b04a-afa227496995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