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5129D" w:rsidRPr="008B2CC1" w14:paraId="4C54BE2F" w14:textId="77777777" w:rsidTr="00C81DA0">
        <w:tc>
          <w:tcPr>
            <w:tcW w:w="4513" w:type="dxa"/>
            <w:tcBorders>
              <w:bottom w:val="single" w:sz="4" w:space="0" w:color="auto"/>
            </w:tcBorders>
            <w:tcMar>
              <w:bottom w:w="170" w:type="dxa"/>
            </w:tcMar>
          </w:tcPr>
          <w:p w14:paraId="6DF4AB36" w14:textId="77777777" w:rsidR="00C5129D" w:rsidRPr="008B2CC1" w:rsidRDefault="00C5129D" w:rsidP="00C81DA0"/>
        </w:tc>
        <w:tc>
          <w:tcPr>
            <w:tcW w:w="4337" w:type="dxa"/>
            <w:tcBorders>
              <w:bottom w:val="single" w:sz="4" w:space="0" w:color="auto"/>
            </w:tcBorders>
            <w:tcMar>
              <w:left w:w="0" w:type="dxa"/>
              <w:right w:w="0" w:type="dxa"/>
            </w:tcMar>
          </w:tcPr>
          <w:p w14:paraId="5E5928BB" w14:textId="77777777" w:rsidR="00C5129D" w:rsidRPr="008B2CC1" w:rsidRDefault="00C5129D" w:rsidP="00C81DA0">
            <w:r>
              <w:rPr>
                <w:noProof/>
                <w:lang w:val="en-US" w:eastAsia="en-US"/>
              </w:rPr>
              <w:drawing>
                <wp:inline distT="0" distB="0" distL="0" distR="0" wp14:anchorId="03F3D2EB" wp14:editId="3BEF32D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D7C805A" w14:textId="77777777" w:rsidR="00C5129D" w:rsidRPr="008B2CC1" w:rsidRDefault="00C5129D" w:rsidP="00C81DA0">
            <w:pPr>
              <w:jc w:val="right"/>
            </w:pPr>
            <w:r>
              <w:rPr>
                <w:b/>
                <w:sz w:val="40"/>
                <w:szCs w:val="40"/>
              </w:rPr>
              <w:t>F</w:t>
            </w:r>
          </w:p>
        </w:tc>
      </w:tr>
      <w:tr w:rsidR="00C5129D" w:rsidRPr="001832A6" w14:paraId="24A6B4FA" w14:textId="77777777" w:rsidTr="00C81DA0">
        <w:trPr>
          <w:trHeight w:hRule="exact" w:val="357"/>
        </w:trPr>
        <w:tc>
          <w:tcPr>
            <w:tcW w:w="9356" w:type="dxa"/>
            <w:gridSpan w:val="3"/>
            <w:tcBorders>
              <w:top w:val="single" w:sz="4" w:space="0" w:color="auto"/>
            </w:tcBorders>
            <w:tcMar>
              <w:top w:w="170" w:type="dxa"/>
              <w:left w:w="0" w:type="dxa"/>
              <w:right w:w="0" w:type="dxa"/>
            </w:tcMar>
            <w:vAlign w:val="bottom"/>
          </w:tcPr>
          <w:p w14:paraId="6A10E178" w14:textId="77777777" w:rsidR="00C5129D" w:rsidRPr="0090731E" w:rsidRDefault="00C5129D" w:rsidP="00C81DA0">
            <w:pPr>
              <w:jc w:val="right"/>
              <w:rPr>
                <w:rFonts w:ascii="Arial Black" w:hAnsi="Arial Black"/>
                <w:caps/>
                <w:sz w:val="15"/>
              </w:rPr>
            </w:pPr>
            <w:r>
              <w:rPr>
                <w:rFonts w:ascii="Arial Black" w:hAnsi="Arial Black"/>
                <w:caps/>
                <w:sz w:val="15"/>
                <w:lang w:val="fr-FR"/>
              </w:rPr>
              <w:t>WIPO/GRTKF/IC/41</w:t>
            </w:r>
            <w:r w:rsidRPr="00114704">
              <w:rPr>
                <w:rFonts w:ascii="Arial Black" w:hAnsi="Arial Black"/>
                <w:caps/>
                <w:sz w:val="15"/>
                <w:lang w:val="fr-FR"/>
              </w:rPr>
              <w:t>/</w:t>
            </w:r>
            <w:bookmarkStart w:id="0" w:name="Code"/>
            <w:bookmarkEnd w:id="0"/>
            <w:r>
              <w:rPr>
                <w:rFonts w:ascii="Arial Black" w:hAnsi="Arial Black"/>
                <w:caps/>
                <w:sz w:val="15"/>
                <w:lang w:val="fr-FR"/>
              </w:rPr>
              <w:t>6</w:t>
            </w:r>
          </w:p>
        </w:tc>
      </w:tr>
      <w:tr w:rsidR="00C5129D" w:rsidRPr="001832A6" w14:paraId="175728A0" w14:textId="77777777" w:rsidTr="00C81DA0">
        <w:trPr>
          <w:trHeight w:hRule="exact" w:val="170"/>
        </w:trPr>
        <w:tc>
          <w:tcPr>
            <w:tcW w:w="9356" w:type="dxa"/>
            <w:gridSpan w:val="3"/>
            <w:noWrap/>
            <w:tcMar>
              <w:left w:w="0" w:type="dxa"/>
              <w:right w:w="0" w:type="dxa"/>
            </w:tcMar>
            <w:vAlign w:val="bottom"/>
          </w:tcPr>
          <w:p w14:paraId="2A79A261" w14:textId="38677BA0" w:rsidR="00C5129D" w:rsidRPr="0090731E" w:rsidRDefault="00C5129D" w:rsidP="00C81DA0">
            <w:pPr>
              <w:jc w:val="right"/>
              <w:rPr>
                <w:rFonts w:ascii="Arial Black" w:hAnsi="Arial Black"/>
                <w:caps/>
                <w:sz w:val="15"/>
              </w:rPr>
            </w:pPr>
            <w:r w:rsidRPr="00114704">
              <w:rPr>
                <w:rFonts w:ascii="Arial Black" w:hAnsi="Arial Black"/>
                <w:caps/>
                <w:sz w:val="15"/>
                <w:lang w:val="fr-FR"/>
              </w:rPr>
              <w:t>ORIGINAL</w:t>
            </w:r>
            <w:r w:rsidR="009D3767">
              <w:rPr>
                <w:rFonts w:ascii="Arial Black" w:hAnsi="Arial Black"/>
                <w:caps/>
                <w:sz w:val="15"/>
                <w:lang w:val="fr-FR"/>
              </w:rPr>
              <w:t> :</w:t>
            </w:r>
            <w:r>
              <w:rPr>
                <w:rFonts w:ascii="Arial Black" w:hAnsi="Arial Black"/>
                <w:caps/>
                <w:sz w:val="15"/>
              </w:rPr>
              <w:t xml:space="preserve"> </w:t>
            </w:r>
            <w:bookmarkStart w:id="1" w:name="Original"/>
            <w:bookmarkEnd w:id="1"/>
            <w:r>
              <w:rPr>
                <w:rFonts w:ascii="Arial Black" w:hAnsi="Arial Black"/>
                <w:caps/>
                <w:sz w:val="15"/>
              </w:rPr>
              <w:t>anglais</w:t>
            </w:r>
            <w:r w:rsidRPr="0090731E">
              <w:rPr>
                <w:rFonts w:ascii="Arial Black" w:hAnsi="Arial Black"/>
                <w:caps/>
                <w:sz w:val="15"/>
              </w:rPr>
              <w:t xml:space="preserve"> </w:t>
            </w:r>
          </w:p>
        </w:tc>
      </w:tr>
      <w:tr w:rsidR="00C5129D" w:rsidRPr="001832A6" w14:paraId="6E40596C" w14:textId="77777777" w:rsidTr="00C81DA0">
        <w:trPr>
          <w:trHeight w:hRule="exact" w:val="198"/>
        </w:trPr>
        <w:tc>
          <w:tcPr>
            <w:tcW w:w="9356" w:type="dxa"/>
            <w:gridSpan w:val="3"/>
            <w:tcMar>
              <w:left w:w="0" w:type="dxa"/>
              <w:right w:w="0" w:type="dxa"/>
            </w:tcMar>
            <w:vAlign w:val="bottom"/>
          </w:tcPr>
          <w:p w14:paraId="05BE3D3F" w14:textId="637189B6" w:rsidR="00C5129D" w:rsidRPr="0090731E" w:rsidRDefault="00C5129D" w:rsidP="00C81DA0">
            <w:pPr>
              <w:jc w:val="right"/>
              <w:rPr>
                <w:rFonts w:ascii="Arial Black" w:hAnsi="Arial Black"/>
                <w:caps/>
                <w:sz w:val="15"/>
              </w:rPr>
            </w:pPr>
            <w:r w:rsidRPr="00114704">
              <w:rPr>
                <w:rFonts w:ascii="Arial Black" w:hAnsi="Arial Black"/>
                <w:caps/>
                <w:sz w:val="15"/>
                <w:lang w:val="fr-FR"/>
              </w:rPr>
              <w:t>DATE</w:t>
            </w:r>
            <w:r w:rsidR="009D3767">
              <w:rPr>
                <w:rFonts w:ascii="Arial Black" w:hAnsi="Arial Black"/>
                <w:caps/>
                <w:sz w:val="15"/>
                <w:lang w:val="fr-FR"/>
              </w:rPr>
              <w:t> :</w:t>
            </w:r>
            <w:r>
              <w:rPr>
                <w:rFonts w:ascii="Arial Black" w:hAnsi="Arial Black"/>
                <w:caps/>
                <w:sz w:val="15"/>
              </w:rPr>
              <w:t xml:space="preserve"> </w:t>
            </w:r>
            <w:bookmarkStart w:id="2" w:name="Date"/>
            <w:bookmarkEnd w:id="2"/>
            <w:r>
              <w:rPr>
                <w:rFonts w:ascii="Arial Black" w:hAnsi="Arial Black"/>
                <w:caps/>
                <w:sz w:val="15"/>
              </w:rPr>
              <w:t>15 janvier 2020</w:t>
            </w:r>
            <w:r w:rsidRPr="0090731E">
              <w:rPr>
                <w:rFonts w:ascii="Arial Black" w:hAnsi="Arial Black"/>
                <w:caps/>
                <w:sz w:val="15"/>
              </w:rPr>
              <w:t xml:space="preserve"> </w:t>
            </w:r>
          </w:p>
        </w:tc>
      </w:tr>
    </w:tbl>
    <w:p w14:paraId="35B385A3" w14:textId="77777777" w:rsidR="00C5129D" w:rsidRPr="008B2CC1" w:rsidRDefault="00C5129D" w:rsidP="00C5129D"/>
    <w:p w14:paraId="431A8C5D" w14:textId="77777777" w:rsidR="00C5129D" w:rsidRPr="008B2CC1" w:rsidRDefault="00C5129D" w:rsidP="00C5129D"/>
    <w:p w14:paraId="6C87B6EE" w14:textId="77777777" w:rsidR="00C5129D" w:rsidRPr="008B2CC1" w:rsidRDefault="00C5129D" w:rsidP="00C5129D"/>
    <w:p w14:paraId="2D81BEED" w14:textId="77777777" w:rsidR="00C5129D" w:rsidRPr="008B2CC1" w:rsidRDefault="00C5129D" w:rsidP="00C5129D"/>
    <w:p w14:paraId="65864451" w14:textId="77777777" w:rsidR="00C5129D" w:rsidRPr="008B2CC1" w:rsidRDefault="00C5129D" w:rsidP="00C5129D"/>
    <w:p w14:paraId="6AF7B66F" w14:textId="6A502AFE" w:rsidR="00C5129D" w:rsidRPr="00E72767" w:rsidRDefault="00C5129D" w:rsidP="00C5129D">
      <w:pPr>
        <w:rPr>
          <w:b/>
          <w:sz w:val="28"/>
          <w:szCs w:val="28"/>
          <w:lang w:val="fr-FR"/>
        </w:rPr>
      </w:pPr>
      <w:r w:rsidRPr="00114704">
        <w:rPr>
          <w:b/>
          <w:sz w:val="28"/>
          <w:szCs w:val="28"/>
          <w:lang w:val="fr-FR"/>
        </w:rPr>
        <w:t xml:space="preserve">Comité intergouvernemental de la propriété intellectuelle relative </w:t>
      </w:r>
      <w:r>
        <w:rPr>
          <w:b/>
          <w:sz w:val="28"/>
          <w:szCs w:val="28"/>
          <w:lang w:val="fr-FR"/>
        </w:rPr>
        <w:t>aux</w:t>
      </w:r>
      <w:r w:rsidR="00836FFE">
        <w:rPr>
          <w:b/>
          <w:sz w:val="28"/>
          <w:szCs w:val="28"/>
          <w:lang w:val="fr-FR"/>
        </w:rPr>
        <w:t xml:space="preserve"> </w:t>
      </w:r>
      <w:r w:rsidRPr="00114704">
        <w:rPr>
          <w:b/>
          <w:sz w:val="28"/>
          <w:szCs w:val="28"/>
          <w:lang w:val="fr-FR"/>
        </w:rPr>
        <w:t>ressources génétiques, aux savoirs traditionnels et au folklore</w:t>
      </w:r>
    </w:p>
    <w:p w14:paraId="3C1EA674" w14:textId="77777777" w:rsidR="00C5129D" w:rsidRDefault="00C5129D" w:rsidP="00C5129D"/>
    <w:p w14:paraId="7EE479CB" w14:textId="77777777" w:rsidR="00C5129D" w:rsidRDefault="00C5129D" w:rsidP="00C5129D"/>
    <w:p w14:paraId="1E214FCB" w14:textId="4593367E" w:rsidR="00C5129D" w:rsidRDefault="00C5129D" w:rsidP="00C5129D">
      <w:pPr>
        <w:rPr>
          <w:b/>
          <w:sz w:val="24"/>
          <w:szCs w:val="24"/>
        </w:rPr>
      </w:pPr>
      <w:r>
        <w:rPr>
          <w:b/>
          <w:sz w:val="24"/>
          <w:szCs w:val="24"/>
        </w:rPr>
        <w:t>Quarante</w:t>
      </w:r>
      <w:r w:rsidR="009D3767">
        <w:rPr>
          <w:b/>
          <w:sz w:val="24"/>
          <w:szCs w:val="24"/>
        </w:rPr>
        <w:t> et unième session</w:t>
      </w:r>
    </w:p>
    <w:p w14:paraId="7EFED9B6" w14:textId="597501D3" w:rsidR="00C5129D" w:rsidRDefault="00C5129D" w:rsidP="00C5129D">
      <w:pPr>
        <w:rPr>
          <w:b/>
          <w:sz w:val="24"/>
          <w:szCs w:val="24"/>
        </w:rPr>
      </w:pPr>
      <w:r>
        <w:rPr>
          <w:b/>
          <w:sz w:val="24"/>
          <w:szCs w:val="24"/>
        </w:rPr>
        <w:t>Genève, 16 – 20</w:t>
      </w:r>
      <w:r w:rsidR="00B23CBA">
        <w:rPr>
          <w:b/>
          <w:sz w:val="24"/>
          <w:szCs w:val="24"/>
        </w:rPr>
        <w:t> </w:t>
      </w:r>
      <w:r>
        <w:rPr>
          <w:b/>
          <w:sz w:val="24"/>
          <w:szCs w:val="24"/>
        </w:rPr>
        <w:t>mars</w:t>
      </w:r>
      <w:r w:rsidR="00B23CBA">
        <w:rPr>
          <w:b/>
          <w:sz w:val="24"/>
          <w:szCs w:val="24"/>
        </w:rPr>
        <w:t> </w:t>
      </w:r>
      <w:r>
        <w:rPr>
          <w:b/>
          <w:sz w:val="24"/>
          <w:szCs w:val="24"/>
        </w:rPr>
        <w:t>2020</w:t>
      </w:r>
    </w:p>
    <w:p w14:paraId="11F31973" w14:textId="77777777" w:rsidR="00C5129D" w:rsidRPr="008B2CC1" w:rsidRDefault="00C5129D" w:rsidP="00C5129D"/>
    <w:p w14:paraId="36240DD8" w14:textId="77777777" w:rsidR="00C5129D" w:rsidRDefault="00C5129D" w:rsidP="00C5129D"/>
    <w:p w14:paraId="2033F2BC" w14:textId="77777777" w:rsidR="00C5129D" w:rsidRPr="008B2CC1" w:rsidRDefault="00C5129D" w:rsidP="00C5129D"/>
    <w:p w14:paraId="0A8E6A2C" w14:textId="77777777" w:rsidR="00D8191F" w:rsidRPr="006F6B7A" w:rsidRDefault="00655FE4" w:rsidP="00655FE4">
      <w:pPr>
        <w:rPr>
          <w:caps/>
          <w:sz w:val="24"/>
        </w:rPr>
      </w:pPr>
      <w:r w:rsidRPr="006F6B7A">
        <w:rPr>
          <w:caps/>
          <w:sz w:val="24"/>
        </w:rPr>
        <w:t>Rapport sur la compilation de données relatives aux bases de données sur les ressources génétiques et les savoirs traditionnels qui y</w:t>
      </w:r>
      <w:r w:rsidR="00981348" w:rsidRPr="006F6B7A">
        <w:rPr>
          <w:caps/>
          <w:sz w:val="24"/>
        </w:rPr>
        <w:t> </w:t>
      </w:r>
      <w:r w:rsidRPr="006F6B7A">
        <w:rPr>
          <w:caps/>
          <w:sz w:val="24"/>
        </w:rPr>
        <w:t>sont associés</w:t>
      </w:r>
    </w:p>
    <w:p w14:paraId="148BDF72" w14:textId="77777777" w:rsidR="00D8191F" w:rsidRDefault="00D8191F"/>
    <w:p w14:paraId="29564248" w14:textId="77777777" w:rsidR="00D8191F" w:rsidRDefault="00655FE4" w:rsidP="00655FE4">
      <w:pPr>
        <w:rPr>
          <w:i/>
        </w:rPr>
      </w:pPr>
      <w:bookmarkStart w:id="3" w:name="_GoBack"/>
      <w:r w:rsidRPr="009E09B8">
        <w:rPr>
          <w:i/>
        </w:rPr>
        <w:t>Document établi par le Secrétariat</w:t>
      </w:r>
    </w:p>
    <w:bookmarkEnd w:id="3"/>
    <w:p w14:paraId="6D399F91" w14:textId="77777777" w:rsidR="00D8191F" w:rsidRDefault="00D8191F"/>
    <w:p w14:paraId="56AB6E97" w14:textId="77777777" w:rsidR="00D8191F" w:rsidRDefault="00D8191F"/>
    <w:p w14:paraId="09BE8CDF" w14:textId="77777777" w:rsidR="00D8191F" w:rsidRDefault="00D8191F"/>
    <w:p w14:paraId="1BC7F986" w14:textId="77777777" w:rsidR="00D8191F" w:rsidRDefault="00655FE4" w:rsidP="006F6B7A">
      <w:pPr>
        <w:pStyle w:val="Heading1"/>
      </w:pPr>
      <w:r w:rsidRPr="009E09B8">
        <w:t>Historique et contexte</w:t>
      </w:r>
    </w:p>
    <w:p w14:paraId="61BC4B64" w14:textId="77777777" w:rsidR="00D8191F" w:rsidRDefault="00D8191F"/>
    <w:p w14:paraId="4CE1B081" w14:textId="07DE16AC" w:rsidR="00D8191F"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9D3767">
        <w:t>’</w:t>
      </w:r>
      <w:r w:rsidR="002472D1" w:rsidRPr="009E09B8">
        <w:t>une manière ou d</w:t>
      </w:r>
      <w:r w:rsidR="009D3767">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DF3BBB" w:rsidRPr="009E09B8">
        <w:t>es</w:t>
      </w:r>
      <w:r w:rsidR="00DF3BBB">
        <w:t xml:space="preserve">.  </w:t>
      </w:r>
      <w:r w:rsidR="00DF3BBB"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9D3767">
        <w:t>-</w:t>
      </w:r>
      <w:r w:rsidR="00446A8E" w:rsidRPr="009E09B8">
        <w:t>après dénommé “IGC”).</w:t>
      </w:r>
    </w:p>
    <w:p w14:paraId="0BFD2C77" w14:textId="087A2445" w:rsidR="00D8191F" w:rsidRDefault="002472D1" w:rsidP="002816D1">
      <w:pPr>
        <w:pStyle w:val="ONUMFS"/>
      </w:pPr>
      <w:r w:rsidRPr="009E09B8">
        <w:t>D</w:t>
      </w:r>
      <w:r w:rsidR="009D3767">
        <w:t>’</w:t>
      </w:r>
      <w:r w:rsidRPr="009E09B8">
        <w:t>une manière</w:t>
      </w:r>
      <w:r w:rsidR="00446A8E" w:rsidRPr="009E09B8">
        <w:t xml:space="preserve"> général</w:t>
      </w:r>
      <w:r w:rsidRPr="009E09B8">
        <w:t>e</w:t>
      </w:r>
      <w:r w:rsidR="005C2F92" w:rsidRPr="009E09B8">
        <w:t xml:space="preserve">, </w:t>
      </w:r>
      <w:r w:rsidR="00446A8E" w:rsidRPr="009E09B8">
        <w:t>l</w:t>
      </w:r>
      <w:r w:rsidR="009D3767">
        <w:t>’</w:t>
      </w:r>
      <w:r w:rsidR="0093320A" w:rsidRPr="009E09B8">
        <w:t xml:space="preserve">IGC a </w:t>
      </w:r>
      <w:r w:rsidR="00446A8E" w:rsidRPr="009E09B8">
        <w:t>examiné l</w:t>
      </w:r>
      <w:r w:rsidR="009D3767">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9D3767">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DF3BBB" w:rsidRPr="009E09B8">
        <w:t>es</w:t>
      </w:r>
      <w:r w:rsidR="00DF3BBB">
        <w:t xml:space="preserve">.  </w:t>
      </w:r>
      <w:r w:rsidR="00DF3BBB"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DF3BBB" w:rsidRPr="009E09B8">
        <w:t>es</w:t>
      </w:r>
      <w:r w:rsidR="00DF3BBB">
        <w:t xml:space="preserve">.  </w:t>
      </w:r>
      <w:r w:rsidR="00DF3BBB"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9D3767">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9D3767">
        <w:t>’</w:t>
      </w:r>
      <w:r w:rsidR="00446A8E" w:rsidRPr="009E09B8">
        <w:t>OMPI ont examiné la possibilité de confier à l</w:t>
      </w:r>
      <w:r w:rsidR="009D3767">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9D3767">
        <w:rPr>
          <w:bCs/>
        </w:rPr>
        <w:t>’</w:t>
      </w:r>
      <w:r w:rsidR="002816D1" w:rsidRPr="009E09B8">
        <w:rPr>
          <w:bCs/>
        </w:rPr>
        <w:t>élaborer de nouveaux critères qui permettraient l</w:t>
      </w:r>
      <w:r w:rsidR="009D3767">
        <w:rPr>
          <w:bCs/>
        </w:rPr>
        <w:t>’</w:t>
      </w:r>
      <w:r w:rsidR="002816D1" w:rsidRPr="009E09B8">
        <w:rPr>
          <w:bCs/>
        </w:rPr>
        <w:t>intégration effective de la documentation en matière de savoirs traditionnels dans l</w:t>
      </w:r>
      <w:r w:rsidR="009D3767">
        <w:rPr>
          <w:bCs/>
        </w:rPr>
        <w:t>’</w:t>
      </w:r>
      <w:r w:rsidR="002816D1" w:rsidRPr="009E09B8">
        <w:rPr>
          <w:bCs/>
        </w:rPr>
        <w:t>état de la technique consultable</w:t>
      </w:r>
      <w:r w:rsidR="007A74C3" w:rsidRPr="009E09B8">
        <w:t xml:space="preserve"> (</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9D3767" w:rsidRPr="009E09B8">
        <w:t>document</w:t>
      </w:r>
      <w:r w:rsidR="009D3767">
        <w:t xml:space="preserve"> </w:t>
      </w:r>
      <w:r w:rsidR="009D3767" w:rsidRPr="009E09B8">
        <w:t>WI</w:t>
      </w:r>
      <w:r w:rsidR="007A74C3" w:rsidRPr="009E09B8">
        <w:t xml:space="preserve">PO/GRTKF/IC/1/3).  </w:t>
      </w:r>
      <w:r w:rsidR="002816D1" w:rsidRPr="009E09B8">
        <w:t>L</w:t>
      </w:r>
      <w:r w:rsidR="009D3767">
        <w:t>’</w:t>
      </w:r>
      <w:r w:rsidR="007A74C3" w:rsidRPr="009E09B8">
        <w:t xml:space="preserve">IGC a </w:t>
      </w:r>
      <w:r w:rsidR="002816D1" w:rsidRPr="009E09B8">
        <w:t xml:space="preserve">en outre examiné les rôles </w:t>
      </w:r>
      <w:r w:rsidR="002816D1" w:rsidRPr="009E09B8">
        <w:lastRenderedPageBreak/>
        <w:t>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9D3767">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9D3767">
        <w:t>-</w:t>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9D3767" w:rsidRPr="009E09B8">
        <w:t>document</w:t>
      </w:r>
      <w:r w:rsidR="009D3767">
        <w:t xml:space="preserve"> </w:t>
      </w:r>
      <w:r w:rsidR="009D3767" w:rsidRPr="009E09B8">
        <w:t>WI</w:t>
      </w:r>
      <w:r w:rsidR="007A74C3" w:rsidRPr="009E09B8">
        <w:t>PO/GRTKF/IC/3/8).</w:t>
      </w:r>
    </w:p>
    <w:p w14:paraId="28141E80" w14:textId="52074199" w:rsidR="00D8191F"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9D3767">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9D3767">
        <w:rPr>
          <w:bCs/>
        </w:rPr>
        <w:t> :</w:t>
      </w:r>
    </w:p>
    <w:p w14:paraId="68E1882A" w14:textId="04BF9583" w:rsidR="00D8191F" w:rsidRDefault="002816D1" w:rsidP="00AF236D">
      <w:pPr>
        <w:pStyle w:val="ONUMFS"/>
        <w:numPr>
          <w:ilvl w:val="0"/>
          <w:numId w:val="36"/>
        </w:numPr>
        <w:tabs>
          <w:tab w:val="clear" w:pos="567"/>
        </w:tabs>
        <w:ind w:left="993" w:hanging="426"/>
        <w:rPr>
          <w:bCs/>
        </w:rPr>
      </w:pPr>
      <w:proofErr w:type="gramStart"/>
      <w:r w:rsidRPr="009E09B8">
        <w:rPr>
          <w:bCs/>
        </w:rPr>
        <w:t>les</w:t>
      </w:r>
      <w:proofErr w:type="gramEnd"/>
      <w:r w:rsidRPr="009E09B8">
        <w:rPr>
          <w:bCs/>
        </w:rPr>
        <w:t xml:space="preserve">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9D3767">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9D3767">
        <w:rPr>
          <w:szCs w:val="22"/>
        </w:rPr>
        <w:t>-</w:t>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9D3767">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20C16769" w14:textId="5E9AD0C3" w:rsidR="00D8191F" w:rsidRDefault="008E0F11" w:rsidP="00AF236D">
      <w:pPr>
        <w:pStyle w:val="ONUMFS"/>
        <w:numPr>
          <w:ilvl w:val="0"/>
          <w:numId w:val="36"/>
        </w:numPr>
        <w:tabs>
          <w:tab w:val="clear" w:pos="567"/>
        </w:tabs>
        <w:ind w:left="993" w:hanging="426"/>
        <w:rPr>
          <w:szCs w:val="22"/>
        </w:rPr>
      </w:pPr>
      <w:proofErr w:type="gramStart"/>
      <w:r w:rsidRPr="009E09B8">
        <w:rPr>
          <w:szCs w:val="22"/>
        </w:rPr>
        <w:t>les</w:t>
      </w:r>
      <w:proofErr w:type="gramEnd"/>
      <w:r w:rsidRPr="009E09B8">
        <w:rPr>
          <w:szCs w:val="22"/>
        </w:rPr>
        <w:t xml:space="preserve">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9D3767">
        <w:rPr>
          <w:szCs w:val="22"/>
        </w:rPr>
        <w:t>’</w:t>
      </w:r>
      <w:r w:rsidRPr="009E09B8">
        <w:rPr>
          <w:szCs w:val="22"/>
        </w:rPr>
        <w:t>élaboration de l</w:t>
      </w:r>
      <w:r w:rsidR="009D3767">
        <w:rPr>
          <w:szCs w:val="22"/>
        </w:rPr>
        <w:t>’</w:t>
      </w:r>
      <w:r w:rsidRPr="009E09B8">
        <w:rPr>
          <w:szCs w:val="22"/>
        </w:rPr>
        <w:t>instrument d</w:t>
      </w:r>
      <w:r w:rsidR="009D3767">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9D3767">
        <w:rPr>
          <w:szCs w:val="22"/>
        </w:rPr>
        <w:t>-</w:t>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0BE83D1C" w14:textId="54382788" w:rsidR="00D8191F"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9D3767">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DF3BBB" w:rsidRPr="009E09B8">
        <w:rPr>
          <w:bCs/>
        </w:rPr>
        <w:t>ls</w:t>
      </w:r>
      <w:r w:rsidR="00DF3BBB">
        <w:rPr>
          <w:bCs/>
        </w:rPr>
        <w:t xml:space="preserve">.  </w:t>
      </w:r>
      <w:r w:rsidR="00DF3BBB" w:rsidRPr="009E09B8">
        <w:rPr>
          <w:bCs/>
        </w:rPr>
        <w:t>S</w:t>
      </w:r>
      <w:r w:rsidR="00DF3BBB">
        <w:rPr>
          <w:bCs/>
        </w:rPr>
        <w:t>’</w:t>
      </w:r>
      <w:r w:rsidR="00DF3BBB"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9D3767">
        <w:rPr>
          <w:bCs/>
        </w:rPr>
        <w:t>ième session</w:t>
      </w:r>
      <w:r w:rsidR="006647A1" w:rsidRPr="009E09B8">
        <w:rPr>
          <w:bCs/>
        </w:rPr>
        <w:t xml:space="preserve"> de l</w:t>
      </w:r>
      <w:r w:rsidR="009D3767">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D54467" w:rsidRPr="009E09B8">
        <w:t xml:space="preserve">”, </w:t>
      </w:r>
      <w:r w:rsidR="006647A1" w:rsidRPr="009E09B8">
        <w:t xml:space="preserve">qui </w:t>
      </w:r>
      <w:r w:rsidR="00D54467" w:rsidRPr="009E09B8">
        <w:t>propos</w:t>
      </w:r>
      <w:r w:rsidR="006647A1" w:rsidRPr="009E09B8">
        <w:t>ait la création d</w:t>
      </w:r>
      <w:r w:rsidR="009D3767">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46C40427" w14:textId="3B49EF77" w:rsidR="00D8191F" w:rsidRDefault="006647A1" w:rsidP="00655FE4">
      <w:pPr>
        <w:pStyle w:val="ONUMFS"/>
        <w:rPr>
          <w:bCs/>
        </w:rPr>
      </w:pPr>
      <w:r w:rsidRPr="009E09B8">
        <w:rPr>
          <w:bCs/>
        </w:rPr>
        <w:t>Un nombre croissant d</w:t>
      </w:r>
      <w:r w:rsidR="009D3767">
        <w:rPr>
          <w:bCs/>
        </w:rPr>
        <w:t>’</w:t>
      </w:r>
      <w:r w:rsidR="00AE51A6" w:rsidRPr="009E09B8">
        <w:rPr>
          <w:bCs/>
        </w:rPr>
        <w:t xml:space="preserve">initiatives </w:t>
      </w:r>
      <w:r w:rsidRPr="009E09B8">
        <w:rPr>
          <w:bCs/>
        </w:rPr>
        <w:t>portent sur l</w:t>
      </w:r>
      <w:r w:rsidR="009D3767">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DF3BBB" w:rsidRPr="009E09B8">
        <w:rPr>
          <w:szCs w:val="22"/>
        </w:rPr>
        <w:t>ve</w:t>
      </w:r>
      <w:r w:rsidR="00DF3BBB">
        <w:rPr>
          <w:szCs w:val="22"/>
        </w:rPr>
        <w:t xml:space="preserve">.  </w:t>
      </w:r>
      <w:r w:rsidR="00DF3BBB"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9D3767">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9D3767">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9D3767">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DF3BBB" w:rsidRPr="009E09B8">
        <w:rPr>
          <w:bCs/>
        </w:rPr>
        <w:t>ls</w:t>
      </w:r>
      <w:r w:rsidR="00DF3BBB">
        <w:rPr>
          <w:bCs/>
        </w:rPr>
        <w:t xml:space="preserve">.  </w:t>
      </w:r>
      <w:r w:rsidR="00DF3BBB"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9D3767">
        <w:rPr>
          <w:bCs/>
        </w:rPr>
        <w:t>-</w:t>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7B74FD01" w14:textId="7C32FB83" w:rsidR="00D8191F" w:rsidRDefault="00655FE4" w:rsidP="00655FE4">
      <w:pPr>
        <w:pStyle w:val="ONUMFS"/>
      </w:pPr>
      <w:r w:rsidRPr="009E09B8">
        <w:t>En</w:t>
      </w:r>
      <w:r w:rsidR="00E47AF3" w:rsidRPr="009E09B8">
        <w:t> </w:t>
      </w:r>
      <w:r w:rsidRPr="009E09B8">
        <w:t>2017, l</w:t>
      </w:r>
      <w:r w:rsidR="009D3767">
        <w:t>’</w:t>
      </w:r>
      <w:r w:rsidRPr="009E09B8">
        <w:t>Assemblée générale de l</w:t>
      </w:r>
      <w:r w:rsidR="009D3767">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9D3767">
        <w:t>’</w:t>
      </w:r>
      <w:r w:rsidRPr="009E09B8">
        <w:t>éventuelles lacunes”.</w:t>
      </w:r>
    </w:p>
    <w:p w14:paraId="4B5BDB48" w14:textId="43458975" w:rsidR="006F6B7A" w:rsidRDefault="00E47AF3" w:rsidP="00906373">
      <w:pPr>
        <w:pStyle w:val="ONUMFS"/>
        <w:spacing w:before="120"/>
      </w:pPr>
      <w:r w:rsidRPr="009E09B8">
        <w:t>Conformément à cette</w:t>
      </w:r>
      <w:r w:rsidR="00DF796D" w:rsidRPr="009E09B8">
        <w:t xml:space="preserve"> d</w:t>
      </w:r>
      <w:r w:rsidRPr="009E09B8">
        <w:t>é</w:t>
      </w:r>
      <w:r w:rsidR="00DF796D" w:rsidRPr="009E09B8">
        <w:t xml:space="preserve">cision, </w:t>
      </w:r>
      <w:r w:rsidRPr="009E09B8">
        <w:t xml:space="preserve">le </w:t>
      </w:r>
      <w:r w:rsidR="009D3767" w:rsidRPr="009E09B8">
        <w:t>document</w:t>
      </w:r>
      <w:r w:rsidR="009D3767">
        <w:t xml:space="preserve"> WI</w:t>
      </w:r>
      <w:r w:rsidR="009461BE">
        <w:t>PO/GRTKF/IC/35/5 a été étab</w:t>
      </w:r>
      <w:r w:rsidR="00DF3BBB">
        <w:t>li.  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de documents disponibles sur le site Web de l</w:t>
      </w:r>
      <w:r w:rsidR="009D3767">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06373">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9D3767">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 xml:space="preserve">des données </w:t>
      </w:r>
      <w:r w:rsidR="00625ABE" w:rsidRPr="009E09B8">
        <w:lastRenderedPageBreak/>
        <w:t>d</w:t>
      </w:r>
      <w:r w:rsidR="009D3767">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9D3767">
        <w:t>’</w:t>
      </w:r>
      <w:r w:rsidR="00625ABE" w:rsidRPr="009E09B8">
        <w:t xml:space="preserve">évolution </w:t>
      </w:r>
      <w:r w:rsidR="00AE03F4" w:rsidRPr="009E09B8">
        <w:t>histori</w:t>
      </w:r>
      <w:r w:rsidR="00625ABE" w:rsidRPr="009E09B8">
        <w:t>que des négociations sur la base d</w:t>
      </w:r>
      <w:r w:rsidR="009D3767">
        <w:t>’</w:t>
      </w:r>
      <w:r w:rsidR="00625ABE" w:rsidRPr="009E09B8">
        <w:t>un texte menées à l</w:t>
      </w:r>
      <w:r w:rsidR="009D3767">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DF3BBB" w:rsidRPr="009E09B8">
        <w:t>és</w:t>
      </w:r>
      <w:r w:rsidR="00DF3BBB">
        <w:t xml:space="preserve">.  </w:t>
      </w:r>
      <w:r w:rsidR="00DF3BBB"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DF3BBB" w:rsidRPr="009E09B8">
        <w:t>ts</w:t>
      </w:r>
      <w:r w:rsidR="00DF3BBB">
        <w:t>.  Le</w:t>
      </w:r>
      <w:r w:rsidR="009461BE">
        <w:t xml:space="preserve"> même document, assorti de quelques mises à jour, </w:t>
      </w:r>
      <w:r w:rsidR="003F28FC">
        <w:t xml:space="preserve">a été </w:t>
      </w:r>
      <w:r w:rsidR="009461BE">
        <w:t>rediffusé pour l</w:t>
      </w:r>
      <w:r w:rsidR="002D0086">
        <w:t>es</w:t>
      </w:r>
      <w:r w:rsidR="009461BE">
        <w:t xml:space="preserve"> </w:t>
      </w:r>
      <w:r w:rsidR="003F28FC">
        <w:t>trente</w:t>
      </w:r>
      <w:r w:rsidR="009D3767">
        <w:t>-</w:t>
      </w:r>
      <w:r w:rsidR="003F28FC">
        <w:t>s</w:t>
      </w:r>
      <w:r w:rsidR="00387F3F">
        <w:t>ix</w:t>
      </w:r>
      <w:r w:rsidR="006B178C">
        <w:t>ième</w:t>
      </w:r>
      <w:r w:rsidR="0055525C">
        <w:t>,</w:t>
      </w:r>
      <w:r w:rsidR="002D0086">
        <w:t xml:space="preserve"> trente</w:t>
      </w:r>
      <w:r w:rsidR="009D3767">
        <w:t>-</w:t>
      </w:r>
      <w:r w:rsidR="002D0086">
        <w:t>septième</w:t>
      </w:r>
      <w:r w:rsidR="007E384A">
        <w:t>,</w:t>
      </w:r>
      <w:r w:rsidR="0055525C">
        <w:t xml:space="preserve"> trente</w:t>
      </w:r>
      <w:r w:rsidR="009D3767">
        <w:t>-</w:t>
      </w:r>
      <w:r w:rsidR="0055525C">
        <w:t>huitième</w:t>
      </w:r>
      <w:r w:rsidR="00AF236D">
        <w:t>,</w:t>
      </w:r>
      <w:r w:rsidR="007E384A">
        <w:t xml:space="preserve"> trente</w:t>
      </w:r>
      <w:r w:rsidR="009D3767">
        <w:t>-</w:t>
      </w:r>
      <w:r w:rsidR="007E384A">
        <w:t>neuv</w:t>
      </w:r>
      <w:r w:rsidR="00813173">
        <w:t>ième</w:t>
      </w:r>
      <w:r w:rsidR="00AF236D">
        <w:t xml:space="preserve"> et quarant</w:t>
      </w:r>
      <w:r w:rsidR="009D3767">
        <w:t>ième session</w:t>
      </w:r>
      <w:r w:rsidR="002D0086">
        <w:t>s</w:t>
      </w:r>
      <w:r w:rsidR="003F28FC">
        <w:t xml:space="preserve"> de l</w:t>
      </w:r>
      <w:r w:rsidR="009D3767">
        <w:t>’</w:t>
      </w:r>
      <w:r w:rsidR="003F28FC">
        <w:t>IGC et est rediffusé pour la présente session également</w:t>
      </w:r>
      <w:r w:rsidR="009461BE">
        <w:t>.</w:t>
      </w:r>
    </w:p>
    <w:p w14:paraId="0FADB6E0" w14:textId="1F71A856" w:rsidR="00D8191F" w:rsidRDefault="00372B34" w:rsidP="006F6B7A">
      <w:pPr>
        <w:pStyle w:val="Heading1"/>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9D3767">
        <w:t>’</w:t>
      </w:r>
      <w:r w:rsidR="00625ABE" w:rsidRPr="009E09B8">
        <w:t>OMPI</w:t>
      </w:r>
    </w:p>
    <w:p w14:paraId="164D70A4" w14:textId="77777777" w:rsidR="00D8191F" w:rsidRDefault="00D8191F" w:rsidP="00655FE4"/>
    <w:p w14:paraId="3FD437EC" w14:textId="72314CCE" w:rsidR="00D8191F" w:rsidRDefault="000F23F3" w:rsidP="000F23F3">
      <w:pPr>
        <w:pStyle w:val="ONUMFS"/>
      </w:pPr>
      <w:r w:rsidRPr="009E09B8">
        <w:t>La fixation des savoirs traditionnels soulève d</w:t>
      </w:r>
      <w:r w:rsidR="009D3767">
        <w:t>’</w:t>
      </w:r>
      <w:r w:rsidRPr="009E09B8">
        <w:t>importantes questions, notamment dans le domaine de la propriété intellectuel</w:t>
      </w:r>
      <w:r w:rsidR="00DF3BBB" w:rsidRPr="009E09B8">
        <w:t>le</w:t>
      </w:r>
      <w:r w:rsidR="00DF3BBB">
        <w:t xml:space="preserve">.  </w:t>
      </w:r>
      <w:r w:rsidR="00DF3BBB" w:rsidRPr="009E09B8">
        <w:t>L</w:t>
      </w:r>
      <w:r w:rsidR="00DF3BBB">
        <w:t>’</w:t>
      </w:r>
      <w:r w:rsidR="00DF3BBB" w:rsidRPr="009E09B8">
        <w:rPr>
          <w:b/>
          <w:bCs/>
        </w:rPr>
        <w:t>i</w:t>
      </w:r>
      <w:r w:rsidRPr="009E09B8">
        <w:rPr>
          <w:b/>
          <w:bCs/>
        </w:rPr>
        <w:t>nstrument d</w:t>
      </w:r>
      <w:r w:rsidR="009D3767">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DF3BBB" w:rsidRPr="009E09B8">
        <w:t>ce</w:t>
      </w:r>
      <w:r w:rsidR="00DF3BBB">
        <w:t xml:space="preserve">.  </w:t>
      </w:r>
      <w:r w:rsidR="00DF3BBB"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DF3BBB" w:rsidRPr="009E09B8">
        <w:t>ls</w:t>
      </w:r>
      <w:r w:rsidR="00DF3BBB">
        <w:t xml:space="preserve">.  </w:t>
      </w:r>
      <w:r w:rsidR="00DF3BBB" w:rsidRPr="009E09B8">
        <w:t>On</w:t>
      </w:r>
      <w:r w:rsidR="008A3C4F" w:rsidRPr="009E09B8">
        <w:t xml:space="preserve"> le trouvera à l</w:t>
      </w:r>
      <w:r w:rsidR="009D3767">
        <w:t>’</w:t>
      </w:r>
      <w:r w:rsidR="008A3C4F" w:rsidRPr="009E09B8">
        <w:t>adresse</w:t>
      </w:r>
      <w:r w:rsidR="00792283">
        <w:t> </w:t>
      </w:r>
      <w:hyperlink r:id="rId9" w:history="1">
        <w:r w:rsidR="00AF236D" w:rsidRPr="00EA0C42">
          <w:rPr>
            <w:rStyle w:val="Hyperlink"/>
          </w:rPr>
          <w:t>https://www.wipo.int/publications/fr/details.jsp?id=4235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9D3767">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9D3767">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9D3767">
        <w:t>’</w:t>
      </w:r>
      <w:r w:rsidR="00296644" w:rsidRPr="009E09B8">
        <w:t xml:space="preserve">IGC </w:t>
      </w:r>
      <w:r w:rsidR="008A3C4F" w:rsidRPr="009E09B8">
        <w:t>à sa trois</w:t>
      </w:r>
      <w:r w:rsidR="009D3767">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9D3767">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74228491" w14:textId="4E49B725" w:rsidR="00D8191F" w:rsidRDefault="00EB758D" w:rsidP="002D0086">
      <w:pPr>
        <w:pStyle w:val="ONUMFS"/>
      </w:pPr>
      <w:r w:rsidRPr="009E09B8">
        <w:t>Comme brièvement mentionné ci</w:t>
      </w:r>
      <w:r w:rsidR="009D3767">
        <w:t>-</w:t>
      </w:r>
      <w:r w:rsidRPr="009E09B8">
        <w:t>dessus</w:t>
      </w:r>
      <w:r w:rsidR="005D7ACB" w:rsidRPr="009E09B8">
        <w:t xml:space="preserve">, </w:t>
      </w:r>
      <w:r w:rsidRPr="009E09B8">
        <w:t>à la première session de l</w:t>
      </w:r>
      <w:r w:rsidR="009D3767">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9D3767">
        <w:t>’</w:t>
      </w:r>
      <w:r w:rsidR="00B56CFC" w:rsidRPr="009E09B8">
        <w:t>état de la technique consult</w:t>
      </w:r>
      <w:r w:rsidR="00560F39" w:rsidRPr="009E09B8">
        <w:t xml:space="preserve">able, </w:t>
      </w:r>
      <w:r w:rsidR="009D3767">
        <w:t>à savoir</w:t>
      </w:r>
      <w:r w:rsidR="00B56CFC" w:rsidRPr="009E09B8">
        <w:t xml:space="preserve">, </w:t>
      </w:r>
      <w:r w:rsidR="00B56CFC" w:rsidRPr="009E09B8">
        <w:rPr>
          <w:szCs w:val="22"/>
        </w:rPr>
        <w:t>le manque de bases de données de littérature non</w:t>
      </w:r>
      <w:r w:rsidR="009D3767">
        <w:rPr>
          <w:szCs w:val="22"/>
        </w:rPr>
        <w:t>-</w:t>
      </w:r>
      <w:r w:rsidR="00B56CFC" w:rsidRPr="009E09B8">
        <w:rPr>
          <w:szCs w:val="22"/>
        </w:rPr>
        <w:t>brevet relative à l</w:t>
      </w:r>
      <w:r w:rsidR="009D3767">
        <w:rPr>
          <w:szCs w:val="22"/>
        </w:rPr>
        <w:t>’</w:t>
      </w:r>
      <w:r w:rsidR="00B56CFC" w:rsidRPr="009E09B8">
        <w:rPr>
          <w:szCs w:val="22"/>
        </w:rPr>
        <w:t>état de la technique, contenant des informations sur la documentation en matière de savoirs traditionnels;  le manque d</w:t>
      </w:r>
      <w:r w:rsidR="009D3767">
        <w:rPr>
          <w:szCs w:val="22"/>
        </w:rPr>
        <w:t>’</w:t>
      </w:r>
      <w:r w:rsidR="00B56CFC" w:rsidRPr="009E09B8">
        <w:rPr>
          <w:szCs w:val="22"/>
        </w:rPr>
        <w:t>outils de classement pour les savoirs traditionnels, nécessaires à l</w:t>
      </w:r>
      <w:r w:rsidR="009D3767">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 xml:space="preserve">du </w:t>
      </w:r>
      <w:r w:rsidR="009D3767" w:rsidRPr="009E09B8">
        <w:t>document</w:t>
      </w:r>
      <w:r w:rsidR="009D3767">
        <w:t xml:space="preserve"> </w:t>
      </w:r>
      <w:r w:rsidR="009D3767" w:rsidRPr="009E09B8">
        <w:t>WI</w:t>
      </w:r>
      <w:r w:rsidR="00560F39" w:rsidRPr="009E09B8">
        <w:t xml:space="preserve">PO/GRTKF/IC/1/3). </w:t>
      </w:r>
      <w:r w:rsidR="005D7ACB" w:rsidRPr="009E09B8">
        <w:t xml:space="preserve"> </w:t>
      </w:r>
      <w:r w:rsidR="00C2108C" w:rsidRPr="009E09B8">
        <w:t>À la deux</w:t>
      </w:r>
      <w:r w:rsidR="009D3767">
        <w:t>ième session</w:t>
      </w:r>
      <w:r w:rsidR="00C2108C" w:rsidRPr="009E09B8">
        <w:t xml:space="preserve"> de l</w:t>
      </w:r>
      <w:r w:rsidR="009D3767">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9D3767" w:rsidRPr="009E09B8">
        <w:t>document</w:t>
      </w:r>
      <w:r w:rsidR="009D3767">
        <w:t xml:space="preserve"> </w:t>
      </w:r>
      <w:r w:rsidR="009D3767" w:rsidRPr="009E09B8">
        <w:t>WI</w:t>
      </w:r>
      <w:r w:rsidR="005D7ACB" w:rsidRPr="009E09B8">
        <w:t xml:space="preserve">PO/GRTKF/IC/2/6 a </w:t>
      </w:r>
      <w:r w:rsidR="00C2108C" w:rsidRPr="009E09B8">
        <w:t>été établi concernant la prise en considération des savoirs traditionnels dans l</w:t>
      </w:r>
      <w:r w:rsidR="009D3767">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9D3767">
        <w:t>’</w:t>
      </w:r>
      <w:r w:rsidR="00C2108C" w:rsidRPr="009E09B8">
        <w:t>échange de littérature non</w:t>
      </w:r>
      <w:r w:rsidR="009D3767">
        <w:t>-</w:t>
      </w:r>
      <w:r w:rsidR="00C2108C" w:rsidRPr="009E09B8">
        <w:t>brevet en lien avec les savoirs traditionne</w:t>
      </w:r>
      <w:r w:rsidR="00DF3BBB" w:rsidRPr="009E09B8">
        <w:t>ls</w:t>
      </w:r>
      <w:r w:rsidR="00DF3BBB">
        <w:t xml:space="preserve">.  </w:t>
      </w:r>
      <w:r w:rsidR="00DF3BBB" w:rsidRPr="009E09B8">
        <w:t xml:space="preserve">À </w:t>
      </w:r>
      <w:r w:rsidR="00EC148F" w:rsidRPr="009E09B8">
        <w:t>la trois</w:t>
      </w:r>
      <w:r w:rsidR="009D3767">
        <w:t>ième session</w:t>
      </w:r>
      <w:r w:rsidR="00EC148F" w:rsidRPr="009E09B8">
        <w:t xml:space="preserve"> de l</w:t>
      </w:r>
      <w:r w:rsidR="009D3767">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9D3767" w:rsidRPr="009E09B8">
        <w:t>document</w:t>
      </w:r>
      <w:r w:rsidR="009D3767">
        <w:t xml:space="preserve"> </w:t>
      </w:r>
      <w:r w:rsidR="009D3767" w:rsidRPr="009E09B8">
        <w:t>WI</w:t>
      </w:r>
      <w:r w:rsidR="005D7ACB" w:rsidRPr="009E09B8">
        <w:t xml:space="preserve">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9D3767">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9D3767">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DF3BBB" w:rsidRPr="009E09B8">
        <w:t>ls</w:t>
      </w:r>
      <w:r w:rsidR="00DF3BBB">
        <w:t xml:space="preserve">.  </w:t>
      </w:r>
      <w:r w:rsidR="00DF3BBB"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9D3767">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9D3767">
        <w:t>’</w:t>
      </w:r>
      <w:r w:rsidR="00EC148F" w:rsidRPr="009E09B8">
        <w:t>envisager l</w:t>
      </w:r>
      <w:r w:rsidR="009D3767">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DF3BBB" w:rsidRPr="009E09B8">
        <w:rPr>
          <w:b/>
        </w:rPr>
        <w:t>PCT</w:t>
      </w:r>
      <w:r w:rsidR="00DF3BBB">
        <w:rPr>
          <w:b/>
        </w:rPr>
        <w:t xml:space="preserve">.  </w:t>
      </w:r>
      <w:r w:rsidR="00DF3BBB" w:rsidRPr="009E09B8">
        <w:t>En</w:t>
      </w:r>
      <w:r w:rsidR="00600915" w:rsidRPr="009E09B8">
        <w:t> </w:t>
      </w:r>
      <w:r w:rsidR="00BE062F" w:rsidRPr="009E09B8">
        <w:t>2005, i</w:t>
      </w:r>
      <w:r w:rsidR="00600915" w:rsidRPr="009E09B8">
        <w:t>l a été convenu</w:t>
      </w:r>
      <w:r w:rsidR="002D0086">
        <w:t>, à la Réunion des administrations internationales</w:t>
      </w:r>
      <w:r w:rsidR="0082573F">
        <w:t xml:space="preserve"> du PCT</w:t>
      </w:r>
      <w:r w:rsidR="002D0086">
        <w:t xml:space="preserve"> (PCT/MIA)</w:t>
      </w:r>
      <w:r w:rsidR="00600915" w:rsidRPr="009E09B8">
        <w:t xml:space="preserve"> d</w:t>
      </w:r>
      <w:r w:rsidR="009D3767">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w:t>
      </w:r>
      <w:r w:rsidR="0082573F" w:rsidRPr="009E09B8">
        <w:t>document</w:t>
      </w:r>
      <w:r w:rsidR="0082573F">
        <w:t xml:space="preserve"> </w:t>
      </w:r>
      <w:r w:rsidR="0082573F" w:rsidRPr="009E09B8">
        <w:t>PC</w:t>
      </w:r>
      <w:r w:rsidR="00BE062F" w:rsidRPr="009E09B8">
        <w:t>T/MIA/11/5)</w:t>
      </w:r>
      <w:r w:rsidR="00155F75" w:rsidRPr="009E09B8">
        <w:t>.</w:t>
      </w:r>
      <w:r w:rsidR="009C199B">
        <w:t xml:space="preserve"> </w:t>
      </w:r>
      <w:r w:rsidR="00897452">
        <w:t xml:space="preserve"> </w:t>
      </w:r>
      <w:r w:rsidR="002D0086" w:rsidRPr="002D0086">
        <w:t xml:space="preserve">Il a également été décidé de créer </w:t>
      </w:r>
      <w:r w:rsidR="002D0086">
        <w:t>une équipe d</w:t>
      </w:r>
      <w:r w:rsidR="009D3767">
        <w:t>’</w:t>
      </w:r>
      <w:r w:rsidR="002D0086">
        <w:t>experts</w:t>
      </w:r>
      <w:r w:rsidR="002D0086" w:rsidRPr="002D0086">
        <w:t xml:space="preserve"> chargé</w:t>
      </w:r>
      <w:r w:rsidR="002D0086">
        <w:t>e</w:t>
      </w:r>
      <w:r w:rsidR="002D0086" w:rsidRPr="002D0086">
        <w:t xml:space="preserve"> d</w:t>
      </w:r>
      <w:r w:rsidR="009D3767">
        <w:t>’</w:t>
      </w:r>
      <w:r w:rsidR="002D0086" w:rsidRPr="002D0086">
        <w:t>entreprendre un examen complet de la documentation minimale</w:t>
      </w:r>
      <w:r w:rsidR="0082573F" w:rsidRPr="002D0086">
        <w:t xml:space="preserve"> du</w:t>
      </w:r>
      <w:r w:rsidR="0082573F">
        <w:t> </w:t>
      </w:r>
      <w:r w:rsidR="0082573F" w:rsidRPr="002D0086">
        <w:t>PCT</w:t>
      </w:r>
      <w:r w:rsidR="002D0086" w:rsidRPr="002D0086">
        <w:t>, et cet examen devrait porter à la fois sur la documentation</w:t>
      </w:r>
      <w:r w:rsidR="002D0086">
        <w:t xml:space="preserve"> sur les brevets </w:t>
      </w:r>
      <w:r w:rsidR="002D0086" w:rsidRPr="002D0086">
        <w:t xml:space="preserve">et la </w:t>
      </w:r>
      <w:r w:rsidR="002D0086">
        <w:t>littérature non</w:t>
      </w:r>
      <w:r w:rsidR="009D3767">
        <w:t>-</w:t>
      </w:r>
      <w:r w:rsidR="002D0086">
        <w:t>brevet</w:t>
      </w:r>
      <w:r w:rsidR="002D0086" w:rsidRPr="002D0086">
        <w:t xml:space="preserve">, </w:t>
      </w:r>
      <w:r w:rsidR="009D3767">
        <w:t>y compris</w:t>
      </w:r>
      <w:r w:rsidR="002D0086" w:rsidRPr="002D0086">
        <w:t xml:space="preserve"> les bases de données sur les savoirs traditionnels (</w:t>
      </w:r>
      <w:r w:rsidR="0082573F" w:rsidRPr="002D0086">
        <w:t>paragraphes</w:t>
      </w:r>
      <w:r w:rsidR="0082573F">
        <w:t> </w:t>
      </w:r>
      <w:r w:rsidR="0082573F" w:rsidRPr="002D0086">
        <w:t>9</w:t>
      </w:r>
      <w:r w:rsidR="002D0086" w:rsidRPr="002D0086">
        <w:t xml:space="preserve"> à 12 et 18 du document PCT/MIA/11/14)</w:t>
      </w:r>
      <w:r w:rsidR="009C199B">
        <w:t>.</w:t>
      </w:r>
    </w:p>
    <w:p w14:paraId="125A7608" w14:textId="654FD52C" w:rsidR="00D8191F" w:rsidRPr="006F6B7A" w:rsidRDefault="0082573F" w:rsidP="00BE7606">
      <w:pPr>
        <w:pStyle w:val="ONUMFS"/>
        <w:rPr>
          <w:lang w:val="fr-FR"/>
        </w:rPr>
      </w:pPr>
      <w:r>
        <w:lastRenderedPageBreak/>
        <w:t>En 2015</w:t>
      </w:r>
      <w:r w:rsidR="0012425E">
        <w:t>, l</w:t>
      </w:r>
      <w:r w:rsidR="009D3767">
        <w:t>’</w:t>
      </w:r>
      <w:r w:rsidR="0012425E">
        <w:t>Inde a demandé à la Réunion des administrations internationales du</w:t>
      </w:r>
      <w:r w:rsidR="00D35084">
        <w:t> </w:t>
      </w:r>
      <w:r w:rsidR="0012425E">
        <w:t>PCT d</w:t>
      </w:r>
      <w:r w:rsidR="009D3767">
        <w:t>’</w:t>
      </w:r>
      <w:r w:rsidR="0012425E">
        <w:t>ajouter la Bibliothèque numérique des savoirs traditionnels de l</w:t>
      </w:r>
      <w:r w:rsidR="009D3767">
        <w:t>’</w:t>
      </w:r>
      <w:r w:rsidR="0012425E">
        <w:t xml:space="preserve">Inde </w:t>
      </w:r>
      <w:r w:rsidR="00C15E10">
        <w:t>à la documentation minimale du PCT (</w:t>
      </w:r>
      <w:r w:rsidR="009D3767">
        <w:t>document PC</w:t>
      </w:r>
      <w:r w:rsidR="00C15E10">
        <w:t>T/MIA/22/8).</w:t>
      </w:r>
      <w:r w:rsidR="00897452">
        <w:t xml:space="preserve"> </w:t>
      </w:r>
      <w:r w:rsidR="00C15E10">
        <w:t xml:space="preserve"> L</w:t>
      </w:r>
      <w:r w:rsidR="009D3767">
        <w:t>’</w:t>
      </w:r>
      <w:r w:rsidR="00C15E10">
        <w:t>année suivante, la Réunion des administrations internationales du PCT a renvoyé cette question à l</w:t>
      </w:r>
      <w:r w:rsidR="009D3767">
        <w:t>’</w:t>
      </w:r>
      <w:r w:rsidR="00C15E10">
        <w:t>Équipe d</w:t>
      </w:r>
      <w:r w:rsidR="009D3767">
        <w:t>’</w:t>
      </w:r>
      <w:r w:rsidR="00C15E10">
        <w:t>experts chargée de la documentation minimale du PCT</w:t>
      </w:r>
      <w:r w:rsidR="00BA36B4">
        <w:t>, dotée d</w:t>
      </w:r>
      <w:r w:rsidR="009D3767">
        <w:t>’</w:t>
      </w:r>
      <w:r w:rsidR="00BA36B4">
        <w:t xml:space="preserve">un mandat renouvelé (paragraphe 85 du </w:t>
      </w:r>
      <w:r w:rsidR="009D3767">
        <w:t>document PC</w:t>
      </w:r>
      <w:r w:rsidR="00BA36B4">
        <w:t xml:space="preserve">T/MIA/23/14). </w:t>
      </w:r>
      <w:r w:rsidR="00897452">
        <w:t xml:space="preserve"> </w:t>
      </w:r>
      <w:r w:rsidR="004331DB">
        <w:t>Lors de</w:t>
      </w:r>
      <w:r w:rsidR="00BA36B4">
        <w:t xml:space="preserve"> la Réunion des administrations internationales du PCT tenue en février 2018, l</w:t>
      </w:r>
      <w:r w:rsidR="009D3767">
        <w:t>’</w:t>
      </w:r>
      <w:r w:rsidR="00BA36B4">
        <w:t>Inde a présenté un document de travail</w:t>
      </w:r>
      <w:r w:rsidR="00D35084">
        <w:t xml:space="preserve"> complémentaire</w:t>
      </w:r>
      <w:r w:rsidR="00BA36B4">
        <w:t xml:space="preserve"> </w:t>
      </w:r>
      <w:r w:rsidR="00D35084">
        <w:t>sur l</w:t>
      </w:r>
      <w:r w:rsidR="009D3767">
        <w:t>’</w:t>
      </w:r>
      <w:r w:rsidR="00D35084">
        <w:t>intégration de la Bibliothèque numérique des savoirs traditionnels de l</w:t>
      </w:r>
      <w:r w:rsidR="009D3767">
        <w:t>’</w:t>
      </w:r>
      <w:r w:rsidR="00D35084">
        <w:t xml:space="preserve">Inde à la documentation minimale du PCT, </w:t>
      </w:r>
      <w:r w:rsidR="00D35084" w:rsidRPr="00D35084">
        <w:t>ainsi qu</w:t>
      </w:r>
      <w:r w:rsidR="009D3767">
        <w:t>’</w:t>
      </w:r>
      <w:r w:rsidR="00D35084" w:rsidRPr="00D35084">
        <w:t>un accord d</w:t>
      </w:r>
      <w:r w:rsidR="009D3767">
        <w:t>’</w:t>
      </w:r>
      <w:r w:rsidR="00D35084" w:rsidRPr="00D35084">
        <w:t>accès révisé visant à répondre aux préoccupations exprimées par certaines autorités internationales lors des précédents débats sur la proposition (</w:t>
      </w:r>
      <w:r w:rsidR="009D3767" w:rsidRPr="00D35084">
        <w:t>document</w:t>
      </w:r>
      <w:r w:rsidR="009D3767">
        <w:t xml:space="preserve"> </w:t>
      </w:r>
      <w:r w:rsidR="009D3767" w:rsidRPr="00D35084">
        <w:t>PC</w:t>
      </w:r>
      <w:r w:rsidR="00D35084" w:rsidRPr="00D35084">
        <w:t xml:space="preserve">T/MIA/25/9).  </w:t>
      </w:r>
      <w:r w:rsidR="0058762C" w:rsidRPr="0058762C">
        <w:t>L</w:t>
      </w:r>
      <w:r w:rsidR="009D3767">
        <w:t>’</w:t>
      </w:r>
      <w:r w:rsidR="0058762C" w:rsidRPr="0058762C">
        <w:t>Office indien des brevets a depuis communiqué ces documents à l</w:t>
      </w:r>
      <w:r w:rsidR="009D3767">
        <w:t>’</w:t>
      </w:r>
      <w:r w:rsidR="0058762C" w:rsidRPr="0058762C">
        <w:t>équipe d</w:t>
      </w:r>
      <w:r w:rsidR="009D3767">
        <w:t>’</w:t>
      </w:r>
      <w:r w:rsidR="0058762C" w:rsidRPr="0058762C">
        <w:t>experts en vue de leur examen, conformément à l</w:t>
      </w:r>
      <w:r w:rsidR="009D3767">
        <w:t>’</w:t>
      </w:r>
      <w:r w:rsidR="0058762C" w:rsidRPr="0058762C">
        <w:t>objectif de recommander les conditions et les normes requises pour l</w:t>
      </w:r>
      <w:r w:rsidR="009D3767">
        <w:t>’</w:t>
      </w:r>
      <w:r w:rsidR="0058762C" w:rsidRPr="0058762C">
        <w:t>examen, l</w:t>
      </w:r>
      <w:r w:rsidR="009D3767">
        <w:t>’</w:t>
      </w:r>
      <w:r w:rsidR="0058762C" w:rsidRPr="0058762C">
        <w:t>ajout et le maintien de la littérature non</w:t>
      </w:r>
      <w:r w:rsidR="009D3767">
        <w:t>-</w:t>
      </w:r>
      <w:r w:rsidR="0058762C" w:rsidRPr="0058762C">
        <w:t>brevet et l</w:t>
      </w:r>
      <w:r w:rsidR="009D3767">
        <w:t>’</w:t>
      </w:r>
      <w:r w:rsidR="0058762C" w:rsidRPr="0058762C">
        <w:t xml:space="preserve">état de la technique </w:t>
      </w:r>
      <w:r w:rsidR="0058762C">
        <w:t>découlant</w:t>
      </w:r>
      <w:r w:rsidR="0058762C" w:rsidRPr="0058762C">
        <w:t xml:space="preserve"> </w:t>
      </w:r>
      <w:r w:rsidR="0058762C">
        <w:t xml:space="preserve">de </w:t>
      </w:r>
      <w:r w:rsidR="0058762C" w:rsidRPr="0058762C">
        <w:t>savoirs traditionne</w:t>
      </w:r>
      <w:r w:rsidR="00DF3BBB" w:rsidRPr="0058762C">
        <w:t>ls</w:t>
      </w:r>
      <w:r w:rsidR="00DF3BBB">
        <w:t xml:space="preserve">.  </w:t>
      </w:r>
      <w:r w:rsidR="00DF3BBB" w:rsidRPr="007A395C">
        <w:t>Da</w:t>
      </w:r>
      <w:r w:rsidR="007A395C" w:rsidRPr="007A395C">
        <w:t xml:space="preserve">ns un premier temps, en </w:t>
      </w:r>
      <w:r w:rsidRPr="007A395C">
        <w:t>juillet</w:t>
      </w:r>
      <w:r>
        <w:t> </w:t>
      </w:r>
      <w:r w:rsidRPr="007A395C">
        <w:t>20</w:t>
      </w:r>
      <w:r w:rsidR="007A395C" w:rsidRPr="007A395C">
        <w:t>18, un questionnaire sur la littérature non</w:t>
      </w:r>
      <w:r w:rsidR="009D3767">
        <w:t>-</w:t>
      </w:r>
      <w:r w:rsidR="007A395C" w:rsidRPr="007A395C">
        <w:t>brevet, l</w:t>
      </w:r>
      <w:r w:rsidR="009D3767">
        <w:t>’</w:t>
      </w:r>
      <w:r w:rsidR="007A395C" w:rsidRPr="007A395C">
        <w:t>état de la technique découlant de savoirs traditionnels et l</w:t>
      </w:r>
      <w:r w:rsidR="009D3767">
        <w:t>’</w:t>
      </w:r>
      <w:r w:rsidR="007A395C" w:rsidRPr="007A395C">
        <w:t>inclusion de bases de données dans la documentation minimale</w:t>
      </w:r>
      <w:r w:rsidRPr="007A395C">
        <w:t xml:space="preserve"> du</w:t>
      </w:r>
      <w:r>
        <w:t> </w:t>
      </w:r>
      <w:r w:rsidRPr="007A395C">
        <w:t>PCT</w:t>
      </w:r>
      <w:r w:rsidR="007A395C" w:rsidRPr="007A395C">
        <w:t xml:space="preserve"> a été </w:t>
      </w:r>
      <w:r w:rsidR="007A395C" w:rsidRPr="006F6B7A">
        <w:t>diffusé aux administrations chargées de la recherche internationale et de l</w:t>
      </w:r>
      <w:r w:rsidR="009D3767">
        <w:t>’</w:t>
      </w:r>
      <w:r w:rsidR="007A395C" w:rsidRPr="006F6B7A">
        <w:t>examen préliminaire</w:t>
      </w:r>
      <w:r w:rsidR="00DC12A4" w:rsidRPr="006F6B7A">
        <w:rPr>
          <w:rStyle w:val="FootnoteReference"/>
        </w:rPr>
        <w:footnoteReference w:id="3"/>
      </w:r>
      <w:r w:rsidR="007A395C" w:rsidRPr="006F6B7A">
        <w:t>.</w:t>
      </w:r>
      <w:r w:rsidR="0070083F" w:rsidRPr="006F6B7A">
        <w:rPr>
          <w:szCs w:val="22"/>
        </w:rPr>
        <w:t xml:space="preserve"> </w:t>
      </w:r>
      <w:r w:rsidR="00897452">
        <w:t xml:space="preserve"> </w:t>
      </w:r>
      <w:r w:rsidR="00F5778B" w:rsidRPr="006F6B7A">
        <w:rPr>
          <w:szCs w:val="22"/>
        </w:rPr>
        <w:t>Quinze d</w:t>
      </w:r>
      <w:r w:rsidR="009D3767">
        <w:rPr>
          <w:szCs w:val="22"/>
        </w:rPr>
        <w:t>’</w:t>
      </w:r>
      <w:r w:rsidR="00F5778B" w:rsidRPr="006F6B7A">
        <w:rPr>
          <w:szCs w:val="22"/>
        </w:rPr>
        <w:t>entre elles ont répondu au questionnai</w:t>
      </w:r>
      <w:r w:rsidR="00DF3BBB" w:rsidRPr="006F6B7A">
        <w:rPr>
          <w:szCs w:val="22"/>
        </w:rPr>
        <w:t>re</w:t>
      </w:r>
      <w:r w:rsidR="00DF3BBB">
        <w:rPr>
          <w:szCs w:val="22"/>
        </w:rPr>
        <w:t xml:space="preserve">.  </w:t>
      </w:r>
      <w:r w:rsidR="00DF3BBB" w:rsidRPr="006F6B7A">
        <w:rPr>
          <w:szCs w:val="22"/>
          <w:lang w:val="fr-FR"/>
        </w:rPr>
        <w:t>Un</w:t>
      </w:r>
      <w:r w:rsidR="00F5778B" w:rsidRPr="006F6B7A">
        <w:rPr>
          <w:szCs w:val="22"/>
          <w:lang w:val="fr-FR"/>
        </w:rPr>
        <w:t>e analyse complète sera publiée sur le site wiki de l</w:t>
      </w:r>
      <w:r w:rsidR="009D3767">
        <w:rPr>
          <w:szCs w:val="22"/>
          <w:lang w:val="fr-FR"/>
        </w:rPr>
        <w:t>’</w:t>
      </w:r>
      <w:r w:rsidR="00F5778B" w:rsidRPr="006F6B7A">
        <w:rPr>
          <w:szCs w:val="22"/>
          <w:lang w:val="fr-FR"/>
        </w:rPr>
        <w:t>équipe d</w:t>
      </w:r>
      <w:r w:rsidR="009D3767">
        <w:rPr>
          <w:szCs w:val="22"/>
          <w:lang w:val="fr-FR"/>
        </w:rPr>
        <w:t>’</w:t>
      </w:r>
      <w:r w:rsidR="00F5778B" w:rsidRPr="006F6B7A">
        <w:rPr>
          <w:szCs w:val="22"/>
          <w:lang w:val="fr-FR"/>
        </w:rPr>
        <w:t>experts et communiquée au Groupe de travail</w:t>
      </w:r>
      <w:r w:rsidRPr="006F6B7A">
        <w:rPr>
          <w:szCs w:val="22"/>
          <w:lang w:val="fr-FR"/>
        </w:rPr>
        <w:t xml:space="preserve"> du</w:t>
      </w:r>
      <w:r>
        <w:rPr>
          <w:szCs w:val="22"/>
          <w:lang w:val="fr-FR"/>
        </w:rPr>
        <w:t> </w:t>
      </w:r>
      <w:r w:rsidRPr="006F6B7A">
        <w:rPr>
          <w:szCs w:val="22"/>
          <w:lang w:val="fr-FR"/>
        </w:rPr>
        <w:t>PCT</w:t>
      </w:r>
      <w:r w:rsidR="00F5778B" w:rsidRPr="006F6B7A">
        <w:rPr>
          <w:szCs w:val="22"/>
          <w:lang w:val="fr-FR"/>
        </w:rPr>
        <w:t xml:space="preserve"> afin de servir de base à de nouvelles discussio</w:t>
      </w:r>
      <w:r w:rsidR="00DF3BBB" w:rsidRPr="006F6B7A">
        <w:rPr>
          <w:szCs w:val="22"/>
          <w:lang w:val="fr-FR"/>
        </w:rPr>
        <w:t>ns</w:t>
      </w:r>
      <w:r w:rsidR="00DF3BBB">
        <w:rPr>
          <w:szCs w:val="22"/>
          <w:lang w:val="fr-FR"/>
        </w:rPr>
        <w:t xml:space="preserve">.  </w:t>
      </w:r>
      <w:r w:rsidR="00DF3BBB" w:rsidRPr="006F6B7A">
        <w:rPr>
          <w:szCs w:val="22"/>
          <w:lang w:val="fr-FR"/>
        </w:rPr>
        <w:t>Un</w:t>
      </w:r>
      <w:r w:rsidR="00F5778B" w:rsidRPr="006F6B7A">
        <w:rPr>
          <w:szCs w:val="22"/>
          <w:lang w:val="fr-FR"/>
        </w:rPr>
        <w:t xml:space="preserve"> examen préliminaire suggérait que certaines des préoccupations majeures étaient liées au fait que les meilleures sources de littérature non</w:t>
      </w:r>
      <w:r w:rsidR="009D3767">
        <w:rPr>
          <w:szCs w:val="22"/>
          <w:lang w:val="fr-FR"/>
        </w:rPr>
        <w:t>-</w:t>
      </w:r>
      <w:r w:rsidR="00F5778B" w:rsidRPr="006F6B7A">
        <w:rPr>
          <w:szCs w:val="22"/>
          <w:lang w:val="fr-FR"/>
        </w:rPr>
        <w:t>brevet étaient en constante évolution et difficiles à cern</w:t>
      </w:r>
      <w:r w:rsidR="00DF3BBB" w:rsidRPr="006F6B7A">
        <w:rPr>
          <w:szCs w:val="22"/>
          <w:lang w:val="fr-FR"/>
        </w:rPr>
        <w:t>er</w:t>
      </w:r>
      <w:r w:rsidR="00DF3BBB">
        <w:rPr>
          <w:szCs w:val="22"/>
          <w:lang w:val="fr-FR"/>
        </w:rPr>
        <w:t xml:space="preserve">.  </w:t>
      </w:r>
      <w:r w:rsidR="00DF3BBB" w:rsidRPr="006F6B7A">
        <w:rPr>
          <w:szCs w:val="22"/>
          <w:lang w:val="fr-FR"/>
        </w:rPr>
        <w:t>De</w:t>
      </w:r>
      <w:r w:rsidR="00F5778B" w:rsidRPr="006F6B7A">
        <w:rPr>
          <w:szCs w:val="22"/>
          <w:lang w:val="fr-FR"/>
        </w:rPr>
        <w:t xml:space="preserve"> nombreuses recherches faisaient appel à des sources non comprises dans la documentation minima</w:t>
      </w:r>
      <w:r w:rsidR="00DF3BBB" w:rsidRPr="006F6B7A">
        <w:rPr>
          <w:szCs w:val="22"/>
          <w:lang w:val="fr-FR"/>
        </w:rPr>
        <w:t>le</w:t>
      </w:r>
      <w:r w:rsidR="00DF3BBB">
        <w:rPr>
          <w:szCs w:val="22"/>
          <w:lang w:val="fr-FR"/>
        </w:rPr>
        <w:t xml:space="preserve">.  </w:t>
      </w:r>
      <w:r w:rsidR="00DF3BBB" w:rsidRPr="006F6B7A">
        <w:rPr>
          <w:szCs w:val="22"/>
          <w:lang w:val="fr-FR"/>
        </w:rPr>
        <w:t>L</w:t>
      </w:r>
      <w:r w:rsidR="00DF3BBB">
        <w:rPr>
          <w:szCs w:val="22"/>
          <w:lang w:val="fr-FR"/>
        </w:rPr>
        <w:t>’</w:t>
      </w:r>
      <w:r w:rsidR="00DF3BBB" w:rsidRPr="006F6B7A">
        <w:rPr>
          <w:szCs w:val="22"/>
          <w:lang w:val="fr-FR"/>
        </w:rPr>
        <w:t>a</w:t>
      </w:r>
      <w:r w:rsidR="00BE7606" w:rsidRPr="006F6B7A">
        <w:rPr>
          <w:szCs w:val="22"/>
          <w:lang w:val="fr-FR"/>
        </w:rPr>
        <w:t>ccès à la littérature non</w:t>
      </w:r>
      <w:r w:rsidR="009D3767">
        <w:rPr>
          <w:szCs w:val="22"/>
          <w:lang w:val="fr-FR"/>
        </w:rPr>
        <w:t>-</w:t>
      </w:r>
      <w:r w:rsidR="00BE7606" w:rsidRPr="006F6B7A">
        <w:rPr>
          <w:szCs w:val="22"/>
          <w:lang w:val="fr-FR"/>
        </w:rPr>
        <w:t>brevet était parfois difficile et des préoccupations ont été exprimées quant aux restrictions en termes de confidentialité qui pourraient limiter la capacité des examinateurs, des déposants et des tiers s</w:t>
      </w:r>
      <w:r w:rsidR="009D3767">
        <w:rPr>
          <w:szCs w:val="22"/>
          <w:lang w:val="fr-FR"/>
        </w:rPr>
        <w:t>’</w:t>
      </w:r>
      <w:r w:rsidR="00BE7606" w:rsidRPr="006F6B7A">
        <w:rPr>
          <w:szCs w:val="22"/>
          <w:lang w:val="fr-FR"/>
        </w:rPr>
        <w:t>agissant d</w:t>
      </w:r>
      <w:r w:rsidR="009D3767">
        <w:rPr>
          <w:szCs w:val="22"/>
          <w:lang w:val="fr-FR"/>
        </w:rPr>
        <w:t>’</w:t>
      </w:r>
      <w:r w:rsidR="00BE7606" w:rsidRPr="006F6B7A">
        <w:rPr>
          <w:szCs w:val="22"/>
          <w:lang w:val="fr-FR"/>
        </w:rPr>
        <w:t>évaluer correctement les références à l</w:t>
      </w:r>
      <w:r w:rsidR="009D3767">
        <w:rPr>
          <w:szCs w:val="22"/>
          <w:lang w:val="fr-FR"/>
        </w:rPr>
        <w:t>’</w:t>
      </w:r>
      <w:r w:rsidR="00BE7606" w:rsidRPr="006F6B7A">
        <w:rPr>
          <w:szCs w:val="22"/>
          <w:lang w:val="fr-FR"/>
        </w:rPr>
        <w:t>état de la technique</w:t>
      </w:r>
      <w:r w:rsidR="00BE7606" w:rsidRPr="006F6B7A">
        <w:rPr>
          <w:rStyle w:val="FootnoteReference"/>
          <w:szCs w:val="22"/>
          <w:lang w:val="fr-FR"/>
        </w:rPr>
        <w:footnoteReference w:id="4"/>
      </w:r>
      <w:r w:rsidR="00BE7606" w:rsidRPr="006F6B7A">
        <w:rPr>
          <w:szCs w:val="22"/>
          <w:lang w:val="fr-FR"/>
        </w:rPr>
        <w:t>.</w:t>
      </w:r>
    </w:p>
    <w:p w14:paraId="3C7089C4" w14:textId="5DBFBD13" w:rsidR="00D8191F"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9D3767">
        <w:t>’</w:t>
      </w:r>
      <w:r w:rsidR="0097504E" w:rsidRPr="009E09B8">
        <w:t>OMPI et d</w:t>
      </w:r>
      <w:r w:rsidR="009D3767">
        <w:t>’</w:t>
      </w:r>
      <w:r w:rsidR="0097504E" w:rsidRPr="009E09B8">
        <w:t>autres</w:t>
      </w:r>
      <w:r w:rsidR="00176219" w:rsidRPr="009E09B8">
        <w:t xml:space="preserve"> organi</w:t>
      </w:r>
      <w:r w:rsidR="0097504E" w:rsidRPr="009E09B8">
        <w:t>s</w:t>
      </w:r>
      <w:r w:rsidR="00176219" w:rsidRPr="009E09B8">
        <w:t>atio</w:t>
      </w:r>
      <w:r w:rsidR="00DF3BBB" w:rsidRPr="009E09B8">
        <w:t>ns</w:t>
      </w:r>
      <w:r w:rsidR="00DF3BBB">
        <w:t xml:space="preserve">.  </w:t>
      </w:r>
      <w:r w:rsidR="00DF3BBB"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9D3767">
        <w:rPr>
          <w:szCs w:val="22"/>
        </w:rPr>
        <w:t>’</w:t>
      </w:r>
      <w:r w:rsidR="0097504E" w:rsidRPr="009E09B8">
        <w:rPr>
          <w:szCs w:val="22"/>
        </w:rPr>
        <w:t>adresse</w:t>
      </w:r>
      <w:r w:rsidR="00176219" w:rsidRPr="009E09B8">
        <w:t xml:space="preserve"> </w:t>
      </w:r>
      <w:hyperlink r:id="rId10" w:history="1">
        <w:r w:rsidR="00AF236D">
          <w:rPr>
            <w:rStyle w:val="Hyperlink"/>
            <w:szCs w:val="22"/>
          </w:rPr>
          <w:t>https://www.wipo.int/tk/fr/resources/db_registry.html</w:t>
        </w:r>
      </w:hyperlink>
      <w:r w:rsidR="002C6CAD" w:rsidRPr="008B7C02">
        <w:rPr>
          <w:szCs w:val="22"/>
        </w:rPr>
        <w:t>.</w:t>
      </w:r>
    </w:p>
    <w:p w14:paraId="7B11838F" w14:textId="77777777" w:rsidR="00D8191F" w:rsidRDefault="00655FE4" w:rsidP="006F6B7A">
      <w:pPr>
        <w:pStyle w:val="Heading1"/>
      </w:pPr>
      <w:r w:rsidRPr="009E09B8">
        <w:t>Propositions des États membres</w:t>
      </w:r>
    </w:p>
    <w:p w14:paraId="69F0F08B" w14:textId="77777777" w:rsidR="00D8191F" w:rsidRDefault="00D8191F" w:rsidP="00C71CF5">
      <w:pPr>
        <w:keepNext/>
      </w:pPr>
    </w:p>
    <w:p w14:paraId="1A54A391" w14:textId="5B445AAC" w:rsidR="00D8191F" w:rsidRDefault="0097504E" w:rsidP="00655FE4">
      <w:pPr>
        <w:pStyle w:val="ONUMFS"/>
        <w:rPr>
          <w:szCs w:val="22"/>
        </w:rPr>
      </w:pPr>
      <w:r w:rsidRPr="009E09B8">
        <w:rPr>
          <w:szCs w:val="22"/>
        </w:rPr>
        <w:t>Depuis la création de l</w:t>
      </w:r>
      <w:r w:rsidR="009D3767">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DF3BBB" w:rsidRPr="009E09B8">
        <w:rPr>
          <w:szCs w:val="22"/>
        </w:rPr>
        <w:t>és</w:t>
      </w:r>
      <w:r w:rsidR="00DF3BBB">
        <w:rPr>
          <w:szCs w:val="22"/>
        </w:rPr>
        <w:t xml:space="preserve">.  </w:t>
      </w:r>
      <w:r w:rsidR="00DF3BBB" w:rsidRPr="009E09B8">
        <w:rPr>
          <w:szCs w:val="22"/>
        </w:rPr>
        <w:t>On</w:t>
      </w:r>
      <w:r w:rsidRPr="009E09B8">
        <w:rPr>
          <w:szCs w:val="22"/>
        </w:rPr>
        <w:t xml:space="preserve"> trouvera ces propositions ci</w:t>
      </w:r>
      <w:r w:rsidR="009D3767">
        <w:rPr>
          <w:szCs w:val="22"/>
        </w:rPr>
        <w:t>-</w:t>
      </w:r>
      <w:r w:rsidRPr="009E09B8">
        <w:rPr>
          <w:szCs w:val="22"/>
        </w:rPr>
        <w:t>après, par ordre chronologique</w:t>
      </w:r>
      <w:r w:rsidR="002C6CAD" w:rsidRPr="009E09B8">
        <w:rPr>
          <w:szCs w:val="22"/>
        </w:rPr>
        <w:t>.</w:t>
      </w:r>
    </w:p>
    <w:p w14:paraId="58C4DA10" w14:textId="3F851B51" w:rsidR="00D8191F" w:rsidRDefault="00040CC4" w:rsidP="00655FE4">
      <w:pPr>
        <w:pStyle w:val="ONUMFS"/>
        <w:rPr>
          <w:szCs w:val="22"/>
        </w:rPr>
      </w:pPr>
      <w:r w:rsidRPr="009E09B8">
        <w:rPr>
          <w:szCs w:val="22"/>
        </w:rPr>
        <w:t>À la première session de l</w:t>
      </w:r>
      <w:r w:rsidR="009D3767">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9D3767">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9D3767">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9D3767">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9D3767">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9D3767">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9D3767">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6284CE94" w14:textId="740D08A5" w:rsidR="00D8191F" w:rsidRDefault="003709A0" w:rsidP="00655FE4">
      <w:pPr>
        <w:pStyle w:val="ONUMFS"/>
        <w:rPr>
          <w:szCs w:val="22"/>
        </w:rPr>
      </w:pPr>
      <w:r w:rsidRPr="009E09B8">
        <w:rPr>
          <w:szCs w:val="22"/>
        </w:rPr>
        <w:t xml:space="preserve">À la </w:t>
      </w:r>
      <w:r w:rsidRPr="009E09B8">
        <w:t>deux</w:t>
      </w:r>
      <w:r w:rsidR="009D3767">
        <w:t>ième session</w:t>
      </w:r>
      <w:r w:rsidRPr="009E09B8">
        <w:t xml:space="preserve"> de l</w:t>
      </w:r>
      <w:r w:rsidR="009D3767">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9D3767">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42BC0F8D" w14:textId="0E9EF28A" w:rsidR="00D8191F" w:rsidRDefault="003709A0" w:rsidP="00481C05">
      <w:pPr>
        <w:pStyle w:val="ONUMFS"/>
      </w:pPr>
      <w:r w:rsidRPr="009E09B8">
        <w:lastRenderedPageBreak/>
        <w:t>À la trois</w:t>
      </w:r>
      <w:r w:rsidR="009D3767">
        <w:t>ième session</w:t>
      </w:r>
      <w:r w:rsidRPr="009E09B8">
        <w:t xml:space="preserve"> de l</w:t>
      </w:r>
      <w:r w:rsidR="009D3767">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9D3767">
        <w:t>’</w:t>
      </w:r>
      <w:r w:rsidR="00481C05" w:rsidRPr="009E09B8">
        <w:t>assurer une “protection défensive” des savoirs traditionnels divulgués</w:t>
      </w:r>
      <w:r w:rsidR="00BB473A" w:rsidRPr="009E09B8">
        <w:t>”.</w:t>
      </w:r>
    </w:p>
    <w:p w14:paraId="6C61D024" w14:textId="4D59C33F" w:rsidR="00D8191F" w:rsidRDefault="00481C05" w:rsidP="00481C05">
      <w:pPr>
        <w:pStyle w:val="ONUMFS"/>
      </w:pPr>
      <w:r w:rsidRPr="009E09B8">
        <w:t>À la quatr</w:t>
      </w:r>
      <w:r w:rsidR="009D3767">
        <w:t>ième session</w:t>
      </w:r>
      <w:r w:rsidRPr="009E09B8">
        <w:t xml:space="preserve"> de l</w:t>
      </w:r>
      <w:r w:rsidR="009D3767">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29D8EBA6" w14:textId="70B610FB" w:rsidR="00D8191F" w:rsidRDefault="00487A48" w:rsidP="00487A48">
      <w:pPr>
        <w:pStyle w:val="ONUMFS"/>
      </w:pPr>
      <w:r w:rsidRPr="009E09B8">
        <w:t>À la neuv</w:t>
      </w:r>
      <w:r w:rsidR="009D3767">
        <w:t>ième session</w:t>
      </w:r>
      <w:r w:rsidRPr="009E09B8">
        <w:t xml:space="preserve"> de l</w:t>
      </w:r>
      <w:r w:rsidR="009D3767">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9D3767">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DF3BBB" w:rsidRPr="009E09B8">
        <w:t>er</w:t>
      </w:r>
      <w:r w:rsidR="00DF3BBB">
        <w:t xml:space="preserve">.  </w:t>
      </w:r>
      <w:r w:rsidR="00DF3BBB"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9D3767">
        <w:t>’</w:t>
      </w:r>
      <w:r w:rsidR="00DF0023" w:rsidRPr="009E09B8">
        <w:t xml:space="preserve">IGC </w:t>
      </w:r>
      <w:r w:rsidRPr="009E09B8">
        <w:t xml:space="preserve">à </w:t>
      </w:r>
      <w:r w:rsidR="00DF0023" w:rsidRPr="009E09B8">
        <w:t>s</w:t>
      </w:r>
      <w:r w:rsidRPr="009E09B8">
        <w:t>a vingt</w:t>
      </w:r>
      <w:r w:rsidR="009D3767">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9D3767">
        <w:t>ième session</w:t>
      </w:r>
      <w:r w:rsidRPr="009E09B8">
        <w:t xml:space="preserve"> de l</w:t>
      </w:r>
      <w:r w:rsidR="009D3767">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9D3767" w:rsidRPr="009E09B8">
        <w:t>document</w:t>
      </w:r>
      <w:r w:rsidR="009D3767">
        <w:t xml:space="preserve"> </w:t>
      </w:r>
      <w:r w:rsidR="009D3767" w:rsidRPr="009E09B8">
        <w:t>WI</w:t>
      </w:r>
      <w:r w:rsidR="00970D4B" w:rsidRPr="009E09B8">
        <w:t xml:space="preserve">PO/GRTKF/IC/11/11, </w:t>
      </w:r>
      <w:r w:rsidRPr="009E09B8">
        <w:t>intitulé</w:t>
      </w:r>
      <w:r w:rsidR="00970D4B" w:rsidRPr="009E09B8">
        <w:t xml:space="preserve"> “</w:t>
      </w:r>
      <w:r w:rsidRPr="009E09B8">
        <w:t xml:space="preserve">Explication complémentaire du Japon concernant le </w:t>
      </w:r>
      <w:r w:rsidR="009D3767" w:rsidRPr="009E09B8">
        <w:t>document</w:t>
      </w:r>
      <w:r w:rsidR="009D3767">
        <w:t xml:space="preserve"> </w:t>
      </w:r>
      <w:r w:rsidR="009D3767" w:rsidRPr="009E09B8">
        <w:t>WI</w:t>
      </w:r>
      <w:r w:rsidRPr="009E09B8">
        <w:t>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DF3BBB" w:rsidRPr="009E09B8">
        <w:t>és</w:t>
      </w:r>
      <w:r w:rsidR="00DF3BBB">
        <w:t xml:space="preserve">.  </w:t>
      </w:r>
      <w:r w:rsidR="00DF3BBB" w:rsidRPr="009E09B8">
        <w:t>Le</w:t>
      </w:r>
      <w:r w:rsidR="00D47C14" w:rsidRPr="009E09B8">
        <w:t xml:space="preserve"> document a </w:t>
      </w:r>
      <w:r w:rsidRPr="009E09B8">
        <w:t xml:space="preserve">été présenté de nouveau à </w:t>
      </w:r>
      <w:r w:rsidR="00DF0023" w:rsidRPr="009E09B8">
        <w:t>l</w:t>
      </w:r>
      <w:r w:rsidR="009D3767">
        <w:t>’</w:t>
      </w:r>
      <w:r w:rsidR="00DF0023" w:rsidRPr="009E09B8">
        <w:t>IGC à s</w:t>
      </w:r>
      <w:r w:rsidRPr="009E09B8">
        <w:t>a vingt</w:t>
      </w:r>
      <w:r w:rsidR="009D3767">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63D9D8A7" w14:textId="5174E2E8" w:rsidR="00D8191F" w:rsidRDefault="00487A48" w:rsidP="00655FE4">
      <w:pPr>
        <w:pStyle w:val="ONUMFS"/>
      </w:pPr>
      <w:r w:rsidRPr="009E09B8">
        <w:t>À la dix</w:t>
      </w:r>
      <w:r w:rsidR="009D3767">
        <w:t>-</w:t>
      </w:r>
      <w:r w:rsidRPr="009E09B8">
        <w:t>sept</w:t>
      </w:r>
      <w:r w:rsidR="009D3767">
        <w:t>ième session</w:t>
      </w:r>
      <w:r w:rsidRPr="009E09B8">
        <w:t xml:space="preserve"> de l</w:t>
      </w:r>
      <w:r w:rsidR="009D3767">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9D3767">
        <w:t>’</w:t>
      </w:r>
      <w:r w:rsidR="00DF0023" w:rsidRPr="009E09B8">
        <w:t>envisager l</w:t>
      </w:r>
      <w:r w:rsidR="009D3767">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DF3BBB" w:rsidRPr="009E09B8">
        <w:t>ve</w:t>
      </w:r>
      <w:r w:rsidR="00DF3BBB">
        <w:t xml:space="preserve">.  </w:t>
      </w:r>
      <w:r w:rsidR="00DF3BBB" w:rsidRPr="009E09B8">
        <w:t>Le</w:t>
      </w:r>
      <w:r w:rsidR="00655FE4" w:rsidRPr="009E09B8">
        <w:t xml:space="preserve"> document a été présenté de nouveau à l</w:t>
      </w:r>
      <w:r w:rsidR="009D3767">
        <w:t>’</w:t>
      </w:r>
      <w:r w:rsidR="00655FE4" w:rsidRPr="009E09B8">
        <w:t>IGC à sa vingt</w:t>
      </w:r>
      <w:r w:rsidR="009D3767">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79A55BE6" w14:textId="66CBCFE6" w:rsidR="00D8191F" w:rsidRDefault="00DF0023" w:rsidP="00D551A4">
      <w:pPr>
        <w:pStyle w:val="ONUMFS"/>
      </w:pPr>
      <w:r w:rsidRPr="009E09B8">
        <w:t>À la vingt</w:t>
      </w:r>
      <w:r w:rsidR="009D3767">
        <w:t>ième session</w:t>
      </w:r>
      <w:r w:rsidRPr="009E09B8">
        <w:t xml:space="preserve"> de l</w:t>
      </w:r>
      <w:r w:rsidR="009D3767">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9D3767">
        <w:t>-</w:t>
      </w:r>
      <w:r w:rsidRPr="009E09B8">
        <w:t>Unis d</w:t>
      </w:r>
      <w:r w:rsidR="009D3767">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proofErr w:type="spellStart"/>
      <w:r w:rsidR="00D47C14" w:rsidRPr="009E09B8">
        <w:t>R</w:t>
      </w:r>
      <w:r w:rsidR="007E01C7" w:rsidRPr="009E09B8">
        <w:t>ev</w:t>
      </w:r>
      <w:proofErr w:type="spellEnd"/>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9D3767">
        <w:t>’</w:t>
      </w:r>
      <w:r w:rsidR="00D551A4" w:rsidRPr="009E09B8">
        <w:t>utiliser les bases de données pour éviter que des brevets ne soient délivrés par erreur et permettre à des tiers de contester la validité d</w:t>
      </w:r>
      <w:r w:rsidR="009D3767">
        <w:t>’</w:t>
      </w:r>
      <w:r w:rsidR="00D551A4" w:rsidRPr="009E09B8">
        <w:t>un brev</w:t>
      </w:r>
      <w:r w:rsidR="00DF3BBB" w:rsidRPr="009E09B8">
        <w:t>et</w:t>
      </w:r>
      <w:r w:rsidR="00DF3BBB">
        <w:t xml:space="preserve">.  </w:t>
      </w:r>
      <w:r w:rsidR="00DF3BBB" w:rsidRPr="009E09B8">
        <w:t>Le</w:t>
      </w:r>
      <w:r w:rsidR="00D47C14" w:rsidRPr="009E09B8">
        <w:t xml:space="preserve"> document a </w:t>
      </w:r>
      <w:r w:rsidR="00D551A4" w:rsidRPr="009E09B8">
        <w:t xml:space="preserve">été présenté de nouveau </w:t>
      </w:r>
      <w:r w:rsidR="00AE3D83" w:rsidRPr="009E09B8">
        <w:t>aux sessions suivantes de l</w:t>
      </w:r>
      <w:r w:rsidR="009D3767">
        <w:t>’</w:t>
      </w:r>
      <w:r w:rsidR="00AE3D83" w:rsidRPr="009E09B8">
        <w:t>IGC</w:t>
      </w:r>
      <w:r w:rsidR="009D3767">
        <w:t> :</w:t>
      </w:r>
      <w:r w:rsidR="00A94E05" w:rsidRPr="009E09B8">
        <w:t xml:space="preserve"> </w:t>
      </w:r>
      <w:r w:rsidR="00052390" w:rsidRPr="009E09B8">
        <w:t>WIPO/GRTKF/IC/23/5</w:t>
      </w:r>
      <w:r w:rsidR="007A4572" w:rsidRPr="009E09B8">
        <w:t>, WIPO/GRTKF/IC/24/5</w:t>
      </w:r>
      <w:r w:rsidR="00FD7F9F" w:rsidRPr="009E09B8">
        <w:t xml:space="preserve">, WIPO/GRTKF/IC/26/5, </w:t>
      </w:r>
      <w:r w:rsidR="001A79C0" w:rsidRPr="009E09B8">
        <w:t>WIPO/GRTKF/IC/27/6</w:t>
      </w:r>
      <w:r w:rsidR="00391760" w:rsidRPr="009E09B8">
        <w:t>, WIPO/GRTKF/IC/28/7, WIPO/GRTKF/IC/29/5, WIPO/GRTKF/IC/30/6, WIPO/GRTKF/IC/31/5</w:t>
      </w:r>
      <w:r w:rsidR="00FD7F9F" w:rsidRPr="009E09B8">
        <w:t>, WIPO/GRTKF/I</w:t>
      </w:r>
      <w:r w:rsidR="00391760" w:rsidRPr="009E09B8">
        <w:t>C/32/6</w:t>
      </w:r>
      <w:r w:rsidR="009461BE">
        <w:t>, WIPO/GRTKF/IC/34/9</w:t>
      </w:r>
      <w:r w:rsidR="00BB15EC">
        <w:t>, WIPO/GRTKF/IC/35/7</w:t>
      </w:r>
      <w:r w:rsidR="00B80341">
        <w:t>,</w:t>
      </w:r>
      <w:r w:rsidR="0042567E">
        <w:t xml:space="preserve"> </w:t>
      </w:r>
      <w:r w:rsidR="00391760" w:rsidRPr="009E09B8">
        <w:t>WIPO/GRTKF/IC/</w:t>
      </w:r>
      <w:r w:rsidR="00BB15EC">
        <w:t>36/7</w:t>
      </w:r>
      <w:r w:rsidR="00B80341">
        <w:t>, WIPO/GRTKF/IC/37/12</w:t>
      </w:r>
      <w:r w:rsidR="0070083F">
        <w:t>,</w:t>
      </w:r>
      <w:r w:rsidR="00B80341">
        <w:t xml:space="preserve"> WIPO/GRTKF/IC/38/10</w:t>
      </w:r>
      <w:r w:rsidR="00CA05B3">
        <w:t>,</w:t>
      </w:r>
      <w:r w:rsidR="0070083F" w:rsidRPr="0070083F">
        <w:t xml:space="preserve"> </w:t>
      </w:r>
      <w:r w:rsidR="0070083F">
        <w:t>WIPO/GRTKF/IC/39/13</w:t>
      </w:r>
      <w:r w:rsidR="00CA05B3">
        <w:t xml:space="preserve"> et WIPO/GRTKF/IC/40/15</w:t>
      </w:r>
      <w:r w:rsidR="00052390" w:rsidRPr="009E09B8">
        <w:t>.</w:t>
      </w:r>
    </w:p>
    <w:p w14:paraId="01A88294" w14:textId="3BC7CB44" w:rsidR="00D8191F" w:rsidRDefault="00D551A4" w:rsidP="00D551A4">
      <w:pPr>
        <w:pStyle w:val="ONUMFS"/>
      </w:pPr>
      <w:r w:rsidRPr="009E09B8">
        <w:t>À la vingt</w:t>
      </w:r>
      <w:r w:rsidR="009D3767">
        <w:t>-</w:t>
      </w:r>
      <w:r w:rsidRPr="009E09B8">
        <w:t>trois</w:t>
      </w:r>
      <w:r w:rsidR="009D3767">
        <w:t>ième session</w:t>
      </w:r>
      <w:r w:rsidRPr="009E09B8">
        <w:t xml:space="preserve"> de l</w:t>
      </w:r>
      <w:r w:rsidR="009D3767">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9D3767">
        <w:t>-</w:t>
      </w:r>
      <w:r w:rsidRPr="009E09B8">
        <w:t>Unis d</w:t>
      </w:r>
      <w:r w:rsidR="009D3767">
        <w:t>’</w:t>
      </w:r>
      <w:r w:rsidRPr="009E09B8">
        <w:t>Amérique, du Japon et de la République de Corée ont présenté une</w:t>
      </w:r>
      <w:r w:rsidR="00052390" w:rsidRPr="009E09B8">
        <w:t xml:space="preserve"> “</w:t>
      </w:r>
      <w:r w:rsidRPr="009E09B8">
        <w:t>Recommandation commune concernant l</w:t>
      </w:r>
      <w:r w:rsidR="009D3767">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AE3D83" w:rsidRPr="009E09B8">
        <w:t xml:space="preserve">aux </w:t>
      </w:r>
      <w:r w:rsidRPr="009E09B8">
        <w:t>se</w:t>
      </w:r>
      <w:r w:rsidR="00052390" w:rsidRPr="009E09B8">
        <w:t>ssions</w:t>
      </w:r>
      <w:r w:rsidRPr="009E09B8">
        <w:t xml:space="preserve"> </w:t>
      </w:r>
      <w:r w:rsidR="00AE3D83" w:rsidRPr="009E09B8">
        <w:t>suivantes de l</w:t>
      </w:r>
      <w:r w:rsidR="009D3767">
        <w:t>’</w:t>
      </w:r>
      <w:r w:rsidR="00AE3D83" w:rsidRPr="009E09B8">
        <w:t>IGC</w:t>
      </w:r>
      <w:r w:rsidR="009D3767">
        <w:t> :</w:t>
      </w:r>
      <w:r w:rsidR="00A94E05" w:rsidRPr="009E09B8">
        <w:t xml:space="preserve"> </w:t>
      </w:r>
      <w:r w:rsidR="007A4572" w:rsidRPr="009E09B8">
        <w:t>WIPO/GRTKF/IC/24/7</w:t>
      </w:r>
      <w:r w:rsidR="00052390" w:rsidRPr="009E09B8">
        <w:t>, WIPO/G</w:t>
      </w:r>
      <w:r w:rsidR="00FD7F9F" w:rsidRPr="009E09B8">
        <w:t>RTKF/IC/26/6</w:t>
      </w:r>
      <w:r w:rsidR="001A79C0" w:rsidRPr="009E09B8">
        <w:t>, WIPO/GRTKF/IC/27/7</w:t>
      </w:r>
      <w:r w:rsidR="00391760" w:rsidRPr="009E09B8">
        <w:t>, WIPO/GRTKF/IC/28/8, WIPO/GRTKF/IC/29/6, WIPO/GRTKF/IC/30/7, WIPO/GRTKF/IC/31/6</w:t>
      </w:r>
      <w:r w:rsidR="00052390" w:rsidRPr="009E09B8">
        <w:t>, WIPO/GRTKF/I</w:t>
      </w:r>
      <w:r w:rsidR="00391760" w:rsidRPr="009E09B8">
        <w:t>C/32/7</w:t>
      </w:r>
      <w:r w:rsidR="009461BE">
        <w:t>, WIPO/GRTKF/IC/34/10</w:t>
      </w:r>
      <w:r w:rsidR="008028A6">
        <w:t xml:space="preserve">, </w:t>
      </w:r>
      <w:r w:rsidR="008028A6" w:rsidRPr="009E09B8">
        <w:t>WIPO/GRTKF/IC/3</w:t>
      </w:r>
      <w:r w:rsidR="008028A6">
        <w:t>5</w:t>
      </w:r>
      <w:r w:rsidR="008028A6" w:rsidRPr="009E09B8">
        <w:t>/</w:t>
      </w:r>
      <w:r w:rsidR="008028A6">
        <w:t>8</w:t>
      </w:r>
      <w:r w:rsidR="00B80341">
        <w:t xml:space="preserve">, </w:t>
      </w:r>
      <w:r w:rsidR="00391760" w:rsidRPr="009E09B8">
        <w:t>WIPO/GRTKF/IC/</w:t>
      </w:r>
      <w:r w:rsidR="008028A6">
        <w:t>36</w:t>
      </w:r>
      <w:r w:rsidR="00391760" w:rsidRPr="009E09B8">
        <w:t>/</w:t>
      </w:r>
      <w:r w:rsidR="009461BE">
        <w:t>8</w:t>
      </w:r>
      <w:r w:rsidR="00B80341">
        <w:t>, WIPO/GRTKF/IC/37/13</w:t>
      </w:r>
      <w:r w:rsidR="001E52E5">
        <w:t>,</w:t>
      </w:r>
      <w:r w:rsidR="00B80341">
        <w:t xml:space="preserve"> WIPO/GRTKF/IC/38/11</w:t>
      </w:r>
      <w:r w:rsidR="00AF236D">
        <w:t>,</w:t>
      </w:r>
      <w:r w:rsidR="001E52E5">
        <w:t xml:space="preserve"> WIPO/GRTKF/IC/39/14</w:t>
      </w:r>
      <w:r w:rsidR="00AF236D">
        <w:t xml:space="preserve"> et WIPO/GRTKF/IC/40/16</w:t>
      </w:r>
      <w:r w:rsidR="00052390" w:rsidRPr="009E09B8">
        <w:t>.</w:t>
      </w:r>
    </w:p>
    <w:p w14:paraId="5550A3A3" w14:textId="42DF34FF" w:rsidR="00D8191F" w:rsidRDefault="00655FE4" w:rsidP="006F6B7A">
      <w:pPr>
        <w:pStyle w:val="Heading1"/>
      </w:pPr>
      <w:r w:rsidRPr="009E09B8">
        <w:lastRenderedPageBreak/>
        <w:t>Données d</w:t>
      </w:r>
      <w:r w:rsidR="009D3767">
        <w:t>’</w:t>
      </w:r>
      <w:r w:rsidRPr="009E09B8">
        <w:t>expérience régionales et nationales</w:t>
      </w:r>
    </w:p>
    <w:p w14:paraId="11A294AF" w14:textId="77777777" w:rsidR="00D8191F" w:rsidRDefault="00D8191F" w:rsidP="00655FE4"/>
    <w:p w14:paraId="0EFCC6D9" w14:textId="36F02376" w:rsidR="00D8191F" w:rsidRDefault="00655FE4" w:rsidP="008763E1">
      <w:pPr>
        <w:pStyle w:val="ONUMFS"/>
      </w:pPr>
      <w:r w:rsidRPr="009E09B8">
        <w:t>À sa réunion de novembre</w:t>
      </w:r>
      <w:r w:rsidR="00AB1A13" w:rsidRPr="009E09B8">
        <w:t> </w:t>
      </w:r>
      <w:r w:rsidRPr="009E09B8">
        <w:t>1999, le groupe de travail de l</w:t>
      </w:r>
      <w:r w:rsidR="009D3767">
        <w:t>’</w:t>
      </w:r>
      <w:r w:rsidRPr="009E09B8">
        <w:t>OMPI sur la biotechnologie est convenu d</w:t>
      </w:r>
      <w:r w:rsidR="009D3767">
        <w:t>’</w:t>
      </w:r>
      <w:r w:rsidRPr="009E09B8">
        <w:t>établir une liste de questions sur les pratiques concernant la protection par brevet des inventions biotechnologiques et des systèmes de protection des obtentions végétales ou d</w:t>
      </w:r>
      <w:r w:rsidR="009D3767">
        <w:t>’</w:t>
      </w:r>
      <w:r w:rsidRPr="009E09B8">
        <w:t>une combinaison des deux</w:t>
      </w:r>
      <w:r w:rsidR="00E97C7F">
        <w:t> </w:t>
      </w:r>
      <w:r w:rsidRPr="009E09B8">
        <w:t>par les États membres de l</w:t>
      </w:r>
      <w:r w:rsidR="009D3767">
        <w:t>’</w:t>
      </w:r>
      <w:r w:rsidRPr="009E09B8">
        <w:t>O</w:t>
      </w:r>
      <w:r w:rsidR="00DF3BBB" w:rsidRPr="009E09B8">
        <w:t>MPI</w:t>
      </w:r>
      <w:r w:rsidR="00DF3BBB">
        <w:t xml:space="preserve">.  </w:t>
      </w:r>
      <w:r w:rsidR="00DF3BBB"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DF3BBB" w:rsidRPr="009E09B8">
        <w:t>es</w:t>
      </w:r>
      <w:r w:rsidR="00DF3BBB">
        <w:t xml:space="preserve">.  </w:t>
      </w:r>
      <w:r w:rsidR="00DF3BBB" w:rsidRPr="009E09B8">
        <w:t>Ci</w:t>
      </w:r>
      <w:r w:rsidR="008763E1" w:rsidRPr="009E09B8">
        <w:t>nquante</w:t>
      </w:r>
      <w:r w:rsidR="009D3767">
        <w:t>-</w:t>
      </w:r>
      <w:r w:rsidR="008763E1" w:rsidRPr="009E09B8">
        <w:t>six</w:t>
      </w:r>
      <w:r w:rsidR="00AB1A13" w:rsidRPr="009E09B8">
        <w:t> </w:t>
      </w:r>
      <w:r w:rsidR="008763E1" w:rsidRPr="009E09B8">
        <w:t xml:space="preserve">États membres (Allemagne, </w:t>
      </w:r>
      <w:r w:rsidR="009D3767">
        <w:t>Arabie saoudite</w:t>
      </w:r>
      <w:r w:rsidR="008763E1" w:rsidRPr="009E09B8">
        <w:t xml:space="preserve">, Australie, Autriche, Bangladesh, </w:t>
      </w:r>
      <w:proofErr w:type="spellStart"/>
      <w:r w:rsidR="008763E1" w:rsidRPr="009E09B8">
        <w:t>Bélarus</w:t>
      </w:r>
      <w:proofErr w:type="spellEnd"/>
      <w:r w:rsidR="008763E1" w:rsidRPr="009E09B8">
        <w:t>, Belgique, Bénin, Brésil, Bulgarie, Cameroun, Canada, Chine, Chypre, Colombie, Cuba, Danemark, El</w:t>
      </w:r>
      <w:r w:rsidR="002B5072" w:rsidRPr="009E09B8">
        <w:t> </w:t>
      </w:r>
      <w:r w:rsidR="008763E1" w:rsidRPr="009E09B8">
        <w:t>Salvador, Équateur, Estonie, États</w:t>
      </w:r>
      <w:r w:rsidR="009D3767">
        <w:t>-</w:t>
      </w:r>
      <w:r w:rsidR="008763E1" w:rsidRPr="009E09B8">
        <w:t>Unis d</w:t>
      </w:r>
      <w:r w:rsidR="009D3767">
        <w:t>’</w:t>
      </w:r>
      <w:r w:rsidR="008763E1" w:rsidRPr="009E09B8">
        <w:t>Amérique, Éthiopie, ex</w:t>
      </w:r>
      <w:r w:rsidR="009D3767">
        <w:t>-</w:t>
      </w:r>
      <w:r w:rsidR="008763E1" w:rsidRPr="009E09B8">
        <w:t>République yougoslave de Macédoine, Fédération de Russie, Finlande, Guatemala, Hongrie, Inde, Irlande, Islande, Italie, Japon, Kazakhstan, Lituanie, Madagascar, Malaisie, Mexique, Norvège, Nouvelle</w:t>
      </w:r>
      <w:r w:rsidR="009D3767">
        <w:t>-</w:t>
      </w:r>
      <w:r w:rsidR="008763E1" w:rsidRPr="009E09B8">
        <w:t>Zélande, Ouzbékistan, Panama, Pays</w:t>
      </w:r>
      <w:r w:rsidR="009D3767">
        <w:t>-</w:t>
      </w:r>
      <w:r w:rsidR="008763E1" w:rsidRPr="009E09B8">
        <w:t>Bas, Philippines, Pologne, Portugal, République de Corée, Royaume</w:t>
      </w:r>
      <w:r w:rsidR="009D3767">
        <w:t>-</w:t>
      </w:r>
      <w:r w:rsidR="008763E1" w:rsidRPr="009E09B8">
        <w:t>Uni, Slovaquie, Slovénie, Sri</w:t>
      </w:r>
      <w:r w:rsidR="002B5072" w:rsidRPr="009E09B8">
        <w:t> </w:t>
      </w:r>
      <w:r w:rsidR="008763E1" w:rsidRPr="009E09B8">
        <w:t>Lanka, Suède, Suisse, Thaïlande, Uruguay, Venezuela (République bolivarienne du), Zambie) ainsi que l</w:t>
      </w:r>
      <w:r w:rsidR="009D3767">
        <w:t>’</w:t>
      </w:r>
      <w:r w:rsidR="008763E1" w:rsidRPr="009E09B8">
        <w:t>Union européenne ont répondu à la totalité des questions figurant sur la lis</w:t>
      </w:r>
      <w:r w:rsidR="00DF3BBB" w:rsidRPr="009E09B8">
        <w:t>te</w:t>
      </w:r>
      <w:r w:rsidR="00DF3BBB">
        <w:t xml:space="preserve">.  </w:t>
      </w:r>
      <w:r w:rsidR="00DF3BBB" w:rsidRPr="009E09B8">
        <w:t>Le</w:t>
      </w:r>
      <w:r w:rsidR="008763E1" w:rsidRPr="009E09B8">
        <w:t xml:space="preserve">s </w:t>
      </w:r>
      <w:r w:rsidR="009D3767" w:rsidRPr="009E09B8">
        <w:t>documents</w:t>
      </w:r>
      <w:r w:rsidR="009D3767">
        <w:t xml:space="preserve"> </w:t>
      </w:r>
      <w:r w:rsidR="009D3767" w:rsidRPr="009E09B8">
        <w:t>WI</w:t>
      </w:r>
      <w:r w:rsidR="008763E1" w:rsidRPr="009E09B8">
        <w:t>PO/GRTKF/IC/1/6 et WIPO/GRTKF/IC/1/6</w:t>
      </w:r>
      <w:r w:rsidR="002B5072" w:rsidRPr="009E09B8">
        <w:t> </w:t>
      </w:r>
      <w:r w:rsidR="008763E1" w:rsidRPr="009E09B8">
        <w:t>Corr. présentent, de façon synoptique, les informations reçues.</w:t>
      </w:r>
    </w:p>
    <w:p w14:paraId="5132EB90" w14:textId="0B9588D8" w:rsidR="00D8191F" w:rsidRDefault="00AB1A13" w:rsidP="00AB1A13">
      <w:pPr>
        <w:pStyle w:val="ONUMFS"/>
      </w:pPr>
      <w:r w:rsidRPr="009E09B8">
        <w:t>La délé</w:t>
      </w:r>
      <w:r w:rsidR="008F01F4" w:rsidRPr="009E09B8">
        <w:t xml:space="preserve">gation </w:t>
      </w:r>
      <w:r w:rsidRPr="009E09B8">
        <w:t>des États</w:t>
      </w:r>
      <w:r w:rsidR="009D3767">
        <w:t>-</w:t>
      </w:r>
      <w:r w:rsidR="008F01F4" w:rsidRPr="009E09B8">
        <w:t>Uni</w:t>
      </w:r>
      <w:r w:rsidRPr="009E09B8">
        <w:t>s d</w:t>
      </w:r>
      <w:r w:rsidR="009D3767">
        <w:t>’</w:t>
      </w:r>
      <w:r w:rsidR="008F01F4" w:rsidRPr="009E09B8">
        <w:t>Am</w:t>
      </w:r>
      <w:r w:rsidRPr="009E09B8">
        <w:t>é</w:t>
      </w:r>
      <w:r w:rsidR="008F01F4" w:rsidRPr="009E09B8">
        <w:t>ri</w:t>
      </w:r>
      <w:r w:rsidRPr="009E09B8">
        <w:t>que a présenté le</w:t>
      </w:r>
      <w:r w:rsidR="008F01F4" w:rsidRPr="009E09B8">
        <w:t xml:space="preserve"> </w:t>
      </w:r>
      <w:r w:rsidR="009D3767" w:rsidRPr="009E09B8">
        <w:t>document</w:t>
      </w:r>
      <w:r w:rsidR="009D3767">
        <w:t xml:space="preserve"> </w:t>
      </w:r>
      <w:r w:rsidR="009D3767"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9D3767">
        <w:rPr>
          <w:szCs w:val="22"/>
        </w:rPr>
        <w:t>-</w:t>
      </w:r>
      <w:r w:rsidRPr="009E09B8">
        <w:rPr>
          <w:szCs w:val="22"/>
        </w:rPr>
        <w:t>Unis d</w:t>
      </w:r>
      <w:r w:rsidR="009D3767">
        <w:rPr>
          <w:szCs w:val="22"/>
        </w:rPr>
        <w:t>’</w:t>
      </w:r>
      <w:r w:rsidRPr="009E09B8">
        <w:rPr>
          <w:szCs w:val="22"/>
        </w:rPr>
        <w:t>Amérique”</w:t>
      </w:r>
      <w:r w:rsidR="008F01F4" w:rsidRPr="009E09B8">
        <w:t xml:space="preserve">, </w:t>
      </w:r>
      <w:r w:rsidRPr="009E09B8">
        <w:t>qui comprend notamment ses données d</w:t>
      </w:r>
      <w:r w:rsidR="009D3767">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42DD6642" w14:textId="149CB6D2" w:rsidR="00D8191F" w:rsidRDefault="00AB1A13" w:rsidP="00EF32F0">
      <w:pPr>
        <w:pStyle w:val="ONUMFS"/>
      </w:pPr>
      <w:r w:rsidRPr="009E09B8">
        <w:t xml:space="preserve">Le </w:t>
      </w:r>
      <w:r w:rsidR="009D3767" w:rsidRPr="009E09B8">
        <w:t>document</w:t>
      </w:r>
      <w:r w:rsidR="009D3767">
        <w:t xml:space="preserve"> </w:t>
      </w:r>
      <w:r w:rsidR="009D3767" w:rsidRPr="009E09B8">
        <w:t>WI</w:t>
      </w:r>
      <w:r w:rsidR="006A0F41" w:rsidRPr="009E09B8">
        <w:t xml:space="preserve">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w:t>
      </w:r>
      <w:r w:rsidR="00B23CBA">
        <w:rPr>
          <w:szCs w:val="22"/>
        </w:rPr>
        <w:t>.</w:t>
      </w:r>
      <w:r w:rsidR="00EF32F0" w:rsidRPr="009E09B8">
        <w:rPr>
          <w:szCs w:val="22"/>
        </w:rPr>
        <w:t>186</w:t>
      </w:r>
      <w:r w:rsidR="009D3767">
        <w:rPr>
          <w:szCs w:val="22"/>
        </w:rPr>
        <w:t>-</w:t>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620CF22C" w14:textId="120B7F1C" w:rsidR="00D8191F" w:rsidRDefault="00D923F4" w:rsidP="00043F07">
      <w:pPr>
        <w:pStyle w:val="ONUMFS"/>
      </w:pPr>
      <w:r w:rsidRPr="009E09B8">
        <w:t xml:space="preserve">Le </w:t>
      </w:r>
      <w:r w:rsidR="009D3767" w:rsidRPr="009E09B8">
        <w:t>document</w:t>
      </w:r>
      <w:r w:rsidR="009D3767">
        <w:t xml:space="preserve"> </w:t>
      </w:r>
      <w:r w:rsidR="009D3767" w:rsidRPr="009E09B8">
        <w:t>WI</w:t>
      </w:r>
      <w:r w:rsidR="00D74BA6" w:rsidRPr="009E09B8">
        <w:t>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9D3767">
        <w:t>-</w:t>
      </w:r>
      <w:r w:rsidR="00043F07" w:rsidRPr="009E09B8">
        <w:t>après</w:t>
      </w:r>
      <w:r w:rsidR="009D3767">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w:t>
      </w:r>
      <w:proofErr w:type="spellStart"/>
      <w:r w:rsidR="00043F07" w:rsidRPr="009E09B8">
        <w:t>StoryBase</w:t>
      </w:r>
      <w:proofErr w:type="spellEnd"/>
      <w:r w:rsidR="00043F07" w:rsidRPr="009E09B8">
        <w:t xml:space="preserve">” des tribus </w:t>
      </w:r>
      <w:proofErr w:type="spellStart"/>
      <w:r w:rsidR="00043F07" w:rsidRPr="009E09B8">
        <w:t>Tulalip</w:t>
      </w:r>
      <w:proofErr w:type="spellEnd"/>
      <w:r w:rsidR="00043F07" w:rsidRPr="009E09B8">
        <w:t xml:space="preserve"> de l</w:t>
      </w:r>
      <w:r w:rsidR="009D3767">
        <w:t>’</w:t>
      </w:r>
      <w:r w:rsidR="00043F07" w:rsidRPr="009E09B8">
        <w:t>État de Washington,</w:t>
      </w:r>
      <w:r w:rsidR="003A624F" w:rsidRPr="009E09B8">
        <w:t xml:space="preserve"> </w:t>
      </w:r>
      <w:r w:rsidR="00043F07" w:rsidRPr="009E09B8">
        <w:t>bibliothèque numérique des savoirs traditionnels de l</w:t>
      </w:r>
      <w:r w:rsidR="009D3767">
        <w:t>’</w:t>
      </w:r>
      <w:proofErr w:type="spellStart"/>
      <w:r w:rsidR="00043F07" w:rsidRPr="009E09B8">
        <w:t>ayurveda</w:t>
      </w:r>
      <w:proofErr w:type="spellEnd"/>
      <w:r w:rsidR="003A624F" w:rsidRPr="009E09B8">
        <w:t xml:space="preserve"> </w:t>
      </w:r>
      <w:r w:rsidR="00043F07" w:rsidRPr="009E09B8">
        <w:t>et registres des savoirs collectifs des peuples autochtones prévus par la loi n° 27811 du Pér</w:t>
      </w:r>
      <w:r w:rsidR="00DF3BBB" w:rsidRPr="009E09B8">
        <w:t>ou</w:t>
      </w:r>
      <w:r w:rsidR="00DF3BBB">
        <w:t xml:space="preserve">.  </w:t>
      </w:r>
      <w:r w:rsidR="00DF3BBB" w:rsidRPr="009E09B8">
        <w:t>Le</w:t>
      </w:r>
      <w:r w:rsidR="00513585" w:rsidRPr="009E09B8">
        <w:t xml:space="preserve"> document a </w:t>
      </w:r>
      <w:r w:rsidR="00043F07" w:rsidRPr="009E09B8">
        <w:t xml:space="preserve">été actualisé </w:t>
      </w:r>
      <w:r w:rsidR="00BC150A" w:rsidRPr="009E09B8">
        <w:t>par l</w:t>
      </w:r>
      <w:r w:rsidR="009D3767">
        <w:t>’</w:t>
      </w:r>
      <w:r w:rsidR="00BC150A" w:rsidRPr="009E09B8">
        <w:t xml:space="preserve">IGC </w:t>
      </w:r>
      <w:r w:rsidR="00043F07" w:rsidRPr="009E09B8">
        <w:t xml:space="preserve">à </w:t>
      </w:r>
      <w:r w:rsidR="00BC150A" w:rsidRPr="009E09B8">
        <w:t>s</w:t>
      </w:r>
      <w:r w:rsidR="00043F07" w:rsidRPr="009E09B8">
        <w:t>a huit</w:t>
      </w:r>
      <w:r w:rsidR="009D3767">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6ED3486E" w14:textId="159E0A21" w:rsidR="00D8191F" w:rsidRDefault="00043F07" w:rsidP="00043F07">
      <w:pPr>
        <w:pStyle w:val="ONUMFS"/>
      </w:pPr>
      <w:r w:rsidRPr="009E09B8">
        <w:t>À la neuv</w:t>
      </w:r>
      <w:r w:rsidR="009D3767">
        <w:t>ième session</w:t>
      </w:r>
      <w:r w:rsidRPr="009E09B8">
        <w:t xml:space="preserve"> de l</w:t>
      </w:r>
      <w:r w:rsidR="009D3767">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9D3767">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9D3767" w:rsidRPr="009E09B8">
        <w:t>document</w:t>
      </w:r>
      <w:r w:rsidR="009D3767">
        <w:t xml:space="preserve"> </w:t>
      </w:r>
      <w:r w:rsidR="009D3767" w:rsidRPr="009E09B8">
        <w:t>WI</w:t>
      </w:r>
      <w:r w:rsidR="000C7791" w:rsidRPr="009E09B8">
        <w:t xml:space="preserve">PO/GRTKF/IC/9/11, </w:t>
      </w:r>
      <w:r w:rsidRPr="009E09B8">
        <w:t>i</w:t>
      </w:r>
      <w:r w:rsidR="000C7791" w:rsidRPr="009E09B8">
        <w:t>ntit</w:t>
      </w:r>
      <w:r w:rsidRPr="009E09B8">
        <w:t>ulé</w:t>
      </w:r>
      <w:r w:rsidR="000C7791" w:rsidRPr="009E09B8">
        <w:t xml:space="preserve"> “</w:t>
      </w:r>
      <w:r w:rsidRPr="009E09B8">
        <w:rPr>
          <w:szCs w:val="22"/>
        </w:rPr>
        <w:t>République d</w:t>
      </w:r>
      <w:r w:rsidR="009D3767">
        <w:rPr>
          <w:szCs w:val="22"/>
        </w:rPr>
        <w:t>’</w:t>
      </w:r>
      <w:r w:rsidRPr="009E09B8">
        <w:rPr>
          <w:szCs w:val="22"/>
        </w:rPr>
        <w:t>Afrique du Sud</w:t>
      </w:r>
      <w:r w:rsidR="009D3767">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0D1752C4" w14:textId="77F455C9" w:rsidR="00D8191F" w:rsidRDefault="008763E1" w:rsidP="008763E1">
      <w:pPr>
        <w:pStyle w:val="ONUMFS"/>
      </w:pPr>
      <w:r w:rsidRPr="009E09B8">
        <w:t>La délégation de l</w:t>
      </w:r>
      <w:r w:rsidR="009D3767">
        <w:t>’</w:t>
      </w:r>
      <w:r w:rsidRPr="009E09B8">
        <w:t>Indonésie a présenté un rapport sur le Forum afro</w:t>
      </w:r>
      <w:r w:rsidR="009D3767">
        <w:t>-</w:t>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9D3767" w:rsidRPr="009E09B8">
        <w:t>document</w:t>
      </w:r>
      <w:r w:rsidR="009D3767">
        <w:t xml:space="preserve"> </w:t>
      </w:r>
      <w:r w:rsidR="009D3767" w:rsidRPr="009E09B8">
        <w:t>WI</w:t>
      </w:r>
      <w:r w:rsidR="001B383C" w:rsidRPr="009E09B8">
        <w:t xml:space="preserve">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des exposés présent</w:t>
      </w:r>
      <w:r w:rsidR="00DF3BBB" w:rsidRPr="009E09B8">
        <w:t>és</w:t>
      </w:r>
      <w:r w:rsidR="00DF3BBB">
        <w:t xml:space="preserve">.  </w:t>
      </w:r>
      <w:r w:rsidR="00DF3BBB"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9D3767">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9D3767">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63820190" w14:textId="280783B3" w:rsidR="00D8191F" w:rsidRDefault="008763E1" w:rsidP="008763E1">
      <w:pPr>
        <w:pStyle w:val="ONUMFS"/>
      </w:pPr>
      <w:r w:rsidRPr="009E09B8">
        <w:t>À la quinz</w:t>
      </w:r>
      <w:r w:rsidR="009D3767">
        <w:t>ième session</w:t>
      </w:r>
      <w:r w:rsidRPr="009E09B8">
        <w:t xml:space="preserve"> de l</w:t>
      </w:r>
      <w:r w:rsidR="009D3767">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9D3767">
        <w:t>-</w:t>
      </w:r>
      <w:r w:rsidRPr="009E09B8">
        <w:t>après ont communiqué leurs politiques, mesures ou données d</w:t>
      </w:r>
      <w:r w:rsidR="009D3767">
        <w:t>’</w:t>
      </w:r>
      <w:r w:rsidRPr="009E09B8">
        <w:t>expérience concernant les bases de données</w:t>
      </w:r>
      <w:r w:rsidR="009D3767">
        <w:t> :</w:t>
      </w:r>
    </w:p>
    <w:p w14:paraId="729510D7" w14:textId="104F8942" w:rsidR="00D8191F" w:rsidRDefault="008763E1" w:rsidP="005302E2">
      <w:pPr>
        <w:pStyle w:val="ONUMFS"/>
        <w:keepNext/>
        <w:numPr>
          <w:ilvl w:val="0"/>
          <w:numId w:val="37"/>
        </w:numPr>
        <w:ind w:left="1134" w:hanging="567"/>
        <w:contextualSpacing/>
      </w:pPr>
      <w:proofErr w:type="gramStart"/>
      <w:r w:rsidRPr="009E09B8">
        <w:lastRenderedPageBreak/>
        <w:t>la</w:t>
      </w:r>
      <w:proofErr w:type="gramEnd"/>
      <w:r w:rsidRPr="009E09B8">
        <w:t xml:space="preserve"> délégation de l</w:t>
      </w:r>
      <w:r w:rsidR="009D3767">
        <w:t>’</w:t>
      </w:r>
      <w:r w:rsidRPr="009E09B8">
        <w:t>Algérie (document WIPO/GRTKF/IC/16/INF/10);</w:t>
      </w:r>
    </w:p>
    <w:p w14:paraId="21AA5350" w14:textId="7CD15DBC" w:rsidR="00D8191F" w:rsidRDefault="00F644BD" w:rsidP="00F644BD">
      <w:pPr>
        <w:pStyle w:val="ONUMFS"/>
        <w:numPr>
          <w:ilvl w:val="0"/>
          <w:numId w:val="37"/>
        </w:numPr>
        <w:ind w:left="1134" w:hanging="567"/>
        <w:contextualSpacing/>
      </w:pPr>
      <w:proofErr w:type="gramStart"/>
      <w:r w:rsidRPr="009E09B8">
        <w:t>la</w:t>
      </w:r>
      <w:proofErr w:type="gramEnd"/>
      <w:r w:rsidRPr="009E09B8">
        <w:t xml:space="preserve"> représentante de l</w:t>
      </w:r>
      <w:r w:rsidR="009D3767">
        <w:t>’</w:t>
      </w:r>
      <w:r w:rsidRPr="009E09B8">
        <w:t>Institut international pour l</w:t>
      </w:r>
      <w:r w:rsidR="009D3767">
        <w:t>’</w:t>
      </w:r>
      <w:r w:rsidRPr="009E09B8">
        <w:t xml:space="preserve">environnement et le développement (IIED) </w:t>
      </w:r>
      <w:r w:rsidR="0075289E" w:rsidRPr="009E09B8">
        <w:t>(document WIPO/GRTKF/IC/16/INF/13);</w:t>
      </w:r>
    </w:p>
    <w:p w14:paraId="39A8AA62" w14:textId="77777777" w:rsidR="00D8191F" w:rsidRDefault="008763E1" w:rsidP="008763E1">
      <w:pPr>
        <w:pStyle w:val="ONUMFS"/>
        <w:numPr>
          <w:ilvl w:val="0"/>
          <w:numId w:val="37"/>
        </w:numPr>
        <w:ind w:left="1134" w:hanging="567"/>
        <w:contextualSpacing/>
      </w:pPr>
      <w:proofErr w:type="gramStart"/>
      <w:r w:rsidRPr="009E09B8">
        <w:t>la</w:t>
      </w:r>
      <w:proofErr w:type="gramEnd"/>
      <w:r w:rsidRPr="009E09B8">
        <w:t xml:space="preserve"> délégation du Mexique (document WIPO/GRTKF/IC/16/INF/16);  et</w:t>
      </w:r>
    </w:p>
    <w:p w14:paraId="27A10B0C" w14:textId="77777777" w:rsidR="00D8191F" w:rsidRDefault="008763E1" w:rsidP="008763E1">
      <w:pPr>
        <w:pStyle w:val="ONUMFS"/>
        <w:numPr>
          <w:ilvl w:val="0"/>
          <w:numId w:val="37"/>
        </w:numPr>
        <w:ind w:left="1134" w:hanging="567"/>
      </w:pPr>
      <w:proofErr w:type="gramStart"/>
      <w:r w:rsidRPr="009E09B8">
        <w:t>la</w:t>
      </w:r>
      <w:proofErr w:type="gramEnd"/>
      <w:r w:rsidRPr="009E09B8">
        <w:t xml:space="preserve"> délégation du Kenya (document WIPO/GRTKF/IC/16/INF/25).</w:t>
      </w:r>
    </w:p>
    <w:p w14:paraId="537608E1" w14:textId="04C42EAE" w:rsidR="00D8191F" w:rsidRDefault="008763E1" w:rsidP="008763E1">
      <w:pPr>
        <w:pStyle w:val="ONUMFS"/>
        <w:rPr>
          <w:szCs w:val="22"/>
        </w:rPr>
      </w:pPr>
      <w:r w:rsidRPr="009E09B8">
        <w:rPr>
          <w:szCs w:val="22"/>
        </w:rPr>
        <w:t>À sa vingt</w:t>
      </w:r>
      <w:r w:rsidR="009D3767">
        <w:rPr>
          <w:szCs w:val="22"/>
        </w:rPr>
        <w:t>-</w:t>
      </w:r>
      <w:r w:rsidRPr="009E09B8">
        <w:rPr>
          <w:szCs w:val="22"/>
        </w:rPr>
        <w:t>neuv</w:t>
      </w:r>
      <w:r w:rsidR="009D3767">
        <w:rPr>
          <w:szCs w:val="22"/>
        </w:rPr>
        <w:t>ième session</w:t>
      </w:r>
      <w:r w:rsidRPr="009E09B8">
        <w:rPr>
          <w:szCs w:val="22"/>
        </w:rPr>
        <w:t xml:space="preserve"> (février</w:t>
      </w:r>
      <w:r w:rsidR="00F644BD" w:rsidRPr="009E09B8">
        <w:rPr>
          <w:szCs w:val="22"/>
        </w:rPr>
        <w:t> </w:t>
      </w:r>
      <w:r w:rsidRPr="009E09B8">
        <w:rPr>
          <w:szCs w:val="22"/>
        </w:rPr>
        <w:t>2016), l</w:t>
      </w:r>
      <w:r w:rsidR="009D3767">
        <w:rPr>
          <w:szCs w:val="22"/>
        </w:rPr>
        <w:t>’</w:t>
      </w:r>
      <w:r w:rsidRPr="009E09B8">
        <w:rPr>
          <w:szCs w:val="22"/>
        </w:rPr>
        <w:t>IGC a décidé qu</w:t>
      </w:r>
      <w:r w:rsidR="009D3767">
        <w:rPr>
          <w:szCs w:val="22"/>
        </w:rPr>
        <w:t>’</w:t>
      </w:r>
      <w:r w:rsidRPr="009E09B8">
        <w:rPr>
          <w:szCs w:val="22"/>
        </w:rPr>
        <w:t>“[E]</w:t>
      </w:r>
      <w:r w:rsidR="00B23CBA">
        <w:rPr>
          <w:szCs w:val="22"/>
        </w:rPr>
        <w:t>u</w:t>
      </w:r>
      <w:r w:rsidR="00A84F53" w:rsidRPr="009E09B8">
        <w:rPr>
          <w:szCs w:val="22"/>
        </w:rPr>
        <w:t> </w:t>
      </w:r>
      <w:r w:rsidRPr="009E09B8">
        <w:rPr>
          <w:szCs w:val="22"/>
        </w:rPr>
        <w:t>égard aux ressources que les participants du comité voudront peut</w:t>
      </w:r>
      <w:r w:rsidR="009D3767">
        <w:rPr>
          <w:szCs w:val="22"/>
        </w:rPr>
        <w:t>-</w:t>
      </w:r>
      <w:r w:rsidRPr="009E09B8">
        <w:rPr>
          <w:szCs w:val="22"/>
        </w:rPr>
        <w:t>être utiliser en tant qu</w:t>
      </w:r>
      <w:r w:rsidR="009D3767">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9D3767">
        <w:rPr>
          <w:szCs w:val="22"/>
        </w:rPr>
        <w:t>’</w:t>
      </w:r>
      <w:r w:rsidRPr="009E09B8">
        <w:rPr>
          <w:szCs w:val="22"/>
        </w:rPr>
        <w:t>IGC en tant que documentation de référence, et le Secrétariat communiquera, dans un document d</w:t>
      </w:r>
      <w:r w:rsidR="009D3767">
        <w:rPr>
          <w:szCs w:val="22"/>
        </w:rPr>
        <w:t>’</w:t>
      </w:r>
      <w:r w:rsidRPr="009E09B8">
        <w:rPr>
          <w:szCs w:val="22"/>
        </w:rPr>
        <w:t>information présenté à la trent</w:t>
      </w:r>
      <w:r w:rsidR="009D3767">
        <w:rPr>
          <w:szCs w:val="22"/>
        </w:rPr>
        <w:t>ième session</w:t>
      </w:r>
      <w:r w:rsidRPr="009E09B8">
        <w:rPr>
          <w:szCs w:val="22"/>
        </w:rPr>
        <w:t xml:space="preserve"> de l</w:t>
      </w:r>
      <w:r w:rsidR="009D3767">
        <w:rPr>
          <w:szCs w:val="22"/>
        </w:rPr>
        <w:t>’</w:t>
      </w:r>
      <w:r w:rsidRPr="009E09B8">
        <w:rPr>
          <w:szCs w:val="22"/>
        </w:rPr>
        <w:t>IGC, une liste de ces références telles qu</w:t>
      </w:r>
      <w:r w:rsidR="009D3767">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9D3767">
        <w:rPr>
          <w:szCs w:val="22"/>
        </w:rPr>
        <w:t>-</w:t>
      </w:r>
      <w:r w:rsidR="00A84F53" w:rsidRPr="009E09B8">
        <w:rPr>
          <w:szCs w:val="22"/>
        </w:rPr>
        <w:t>Unis d</w:t>
      </w:r>
      <w:r w:rsidR="009D3767">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9D3767">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9D3767" w:rsidRPr="009E09B8">
        <w:rPr>
          <w:szCs w:val="22"/>
        </w:rPr>
        <w:t>documents</w:t>
      </w:r>
      <w:r w:rsidR="009D3767">
        <w:rPr>
          <w:szCs w:val="22"/>
        </w:rPr>
        <w:t xml:space="preserve"> </w:t>
      </w:r>
      <w:r w:rsidR="009D3767" w:rsidRPr="009E09B8">
        <w:rPr>
          <w:szCs w:val="22"/>
        </w:rPr>
        <w:t>WI</w:t>
      </w:r>
      <w:r w:rsidR="00000DAE" w:rsidRPr="009E09B8">
        <w:rPr>
          <w:szCs w:val="22"/>
        </w:rPr>
        <w:t xml:space="preserve">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0A5E3AF7" w14:textId="2D712C1C" w:rsidR="00D8191F"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9D3767">
        <w:t>’</w:t>
      </w:r>
      <w:r w:rsidRPr="009E09B8">
        <w:t xml:space="preserve">OMPI ont </w:t>
      </w:r>
      <w:r w:rsidR="006B0612" w:rsidRPr="009E09B8">
        <w:t>organi</w:t>
      </w:r>
      <w:r w:rsidRPr="009E09B8">
        <w:t>sé conjointement une Conférence internationale sur l</w:t>
      </w:r>
      <w:r w:rsidR="009D3767">
        <w:t>’</w:t>
      </w:r>
      <w:r w:rsidRPr="009E09B8">
        <w:t>utilisation de la bibliothèque numérique des savoirs traditionnels en tant que modèle de protection des savoirs traditionne</w:t>
      </w:r>
      <w:r w:rsidR="00DF3BBB" w:rsidRPr="009E09B8">
        <w:t>ls</w:t>
      </w:r>
      <w:r w:rsidR="00DF3BBB">
        <w:t xml:space="preserve">.  </w:t>
      </w:r>
      <w:r w:rsidR="00DF3BBB" w:rsidRPr="009E09B8">
        <w:t>De</w:t>
      </w:r>
      <w:r w:rsidRPr="009E09B8">
        <w:t>s e</w:t>
      </w:r>
      <w:r w:rsidR="00C83D95" w:rsidRPr="009E09B8">
        <w:t xml:space="preserve">xperts </w:t>
      </w:r>
      <w:r w:rsidR="001A7E57" w:rsidRPr="009E09B8">
        <w:t>d</w:t>
      </w:r>
      <w:r w:rsidR="009D3767">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9D3767">
        <w:rPr>
          <w:szCs w:val="22"/>
        </w:rPr>
        <w:t>’</w:t>
      </w:r>
      <w:r w:rsidR="001A7E57" w:rsidRPr="009E09B8">
        <w:rPr>
          <w:szCs w:val="22"/>
        </w:rPr>
        <w:t>Office européen des brevets (OEB) et de l</w:t>
      </w:r>
      <w:r w:rsidR="009D3767">
        <w:rPr>
          <w:szCs w:val="22"/>
        </w:rPr>
        <w:t>’</w:t>
      </w:r>
      <w:r w:rsidR="001A7E57" w:rsidRPr="009E09B8">
        <w:rPr>
          <w:szCs w:val="22"/>
        </w:rPr>
        <w:t>Office des brevets et des marques des États</w:t>
      </w:r>
      <w:r w:rsidR="009D3767">
        <w:rPr>
          <w:szCs w:val="22"/>
        </w:rPr>
        <w:t>-</w:t>
      </w:r>
      <w:r w:rsidR="001A7E57" w:rsidRPr="009E09B8">
        <w:rPr>
          <w:szCs w:val="22"/>
        </w:rPr>
        <w:t>Unis d</w:t>
      </w:r>
      <w:r w:rsidR="009D3767">
        <w:rPr>
          <w:szCs w:val="22"/>
        </w:rPr>
        <w:t>’</w:t>
      </w:r>
      <w:r w:rsidR="001A7E57" w:rsidRPr="009E09B8">
        <w:rPr>
          <w:szCs w:val="22"/>
        </w:rPr>
        <w:t xml:space="preserve">Amérique (USPTO) ont fait part de leurs données </w:t>
      </w:r>
      <w:r w:rsidR="001A7E57" w:rsidRPr="009E09B8">
        <w:t>d</w:t>
      </w:r>
      <w:r w:rsidR="009D3767">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DF3BBB" w:rsidRPr="009E09B8">
        <w:t>es</w:t>
      </w:r>
      <w:r w:rsidR="00DF3BBB">
        <w:t xml:space="preserve">.  </w:t>
      </w:r>
      <w:r w:rsidR="00DF3BBB" w:rsidRPr="009E09B8">
        <w:t>Le</w:t>
      </w:r>
      <w:r w:rsidR="001A7E57" w:rsidRPr="009E09B8">
        <w:t>urs exposés peuvent être consultés à l</w:t>
      </w:r>
      <w:r w:rsidR="009D3767">
        <w:t>’</w:t>
      </w:r>
      <w:r w:rsidR="001A7E57" w:rsidRPr="009E09B8">
        <w:t>adresse</w:t>
      </w:r>
      <w:r w:rsidR="00792283">
        <w:t> </w:t>
      </w:r>
      <w:hyperlink r:id="rId11" w:history="1">
        <w:r w:rsidR="00AF236D" w:rsidRPr="00EA0C42">
          <w:rPr>
            <w:rStyle w:val="Hyperlink"/>
            <w:szCs w:val="22"/>
          </w:rPr>
          <w:t>https://www.wipo.int/meetings/fr/details.jsp?meeting_id=22423</w:t>
        </w:r>
      </w:hyperlink>
      <w:r w:rsidR="00C83D95" w:rsidRPr="009E09B8">
        <w:t>.</w:t>
      </w:r>
    </w:p>
    <w:p w14:paraId="571ED34E" w14:textId="0F8D719C" w:rsidR="00D8191F" w:rsidRDefault="001A7E57" w:rsidP="00655FE4">
      <w:pPr>
        <w:pStyle w:val="ONUMFS"/>
        <w:rPr>
          <w:szCs w:val="22"/>
        </w:rPr>
      </w:pPr>
      <w:r w:rsidRPr="009E09B8">
        <w:rPr>
          <w:szCs w:val="22"/>
        </w:rPr>
        <w:t>E</w:t>
      </w:r>
      <w:r w:rsidR="00C86F0D" w:rsidRPr="009E09B8">
        <w:rPr>
          <w:szCs w:val="22"/>
        </w:rPr>
        <w:t>n</w:t>
      </w:r>
      <w:r w:rsidRPr="009E09B8">
        <w:rPr>
          <w:szCs w:val="22"/>
        </w:rPr>
        <w:t> </w:t>
      </w:r>
      <w:r w:rsidR="00C86F0D" w:rsidRPr="009E09B8">
        <w:rPr>
          <w:szCs w:val="22"/>
        </w:rPr>
        <w:t xml:space="preserve">2015, 2016 </w:t>
      </w:r>
      <w:r w:rsidRPr="009E09B8">
        <w:rPr>
          <w:szCs w:val="22"/>
        </w:rPr>
        <w:t>et </w:t>
      </w:r>
      <w:r w:rsidR="00C86F0D" w:rsidRPr="009E09B8">
        <w:rPr>
          <w:szCs w:val="22"/>
        </w:rPr>
        <w:t xml:space="preserve">2017,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9D3767">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DF3BBB" w:rsidRPr="009E09B8">
        <w:rPr>
          <w:szCs w:val="22"/>
        </w:rPr>
        <w:t>ls</w:t>
      </w:r>
      <w:r w:rsidR="00DF3BBB">
        <w:rPr>
          <w:szCs w:val="22"/>
        </w:rPr>
        <w:t xml:space="preserve">.  </w:t>
      </w:r>
      <w:r w:rsidR="00DF3BBB"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9D3767">
        <w:rPr>
          <w:szCs w:val="22"/>
        </w:rPr>
        <w:t>-</w:t>
      </w:r>
      <w:r w:rsidRPr="009E09B8">
        <w:rPr>
          <w:szCs w:val="22"/>
        </w:rPr>
        <w:t>après ont part</w:t>
      </w:r>
      <w:r w:rsidR="00391050" w:rsidRPr="009E09B8">
        <w:rPr>
          <w:szCs w:val="22"/>
        </w:rPr>
        <w:t>agé</w:t>
      </w:r>
      <w:r w:rsidRPr="009E09B8">
        <w:rPr>
          <w:szCs w:val="22"/>
        </w:rPr>
        <w:t xml:space="preserve"> leurs données d</w:t>
      </w:r>
      <w:r w:rsidR="009D3767">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9D3767">
        <w:rPr>
          <w:szCs w:val="22"/>
        </w:rPr>
        <w:t> :</w:t>
      </w:r>
    </w:p>
    <w:p w14:paraId="2FFDFFCB" w14:textId="437D36D1" w:rsidR="00D8191F"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9D3767">
        <w:rPr>
          <w:szCs w:val="22"/>
          <w:lang w:val="es-ES_tradnl"/>
        </w:rPr>
        <w:t> :</w:t>
      </w:r>
      <w:r w:rsidRPr="009E09B8">
        <w:rPr>
          <w:szCs w:val="22"/>
          <w:lang w:val="es-ES_tradnl"/>
        </w:rPr>
        <w:t xml:space="preserve"> </w:t>
      </w:r>
      <w:r w:rsidR="00343504">
        <w:fldChar w:fldCharType="begin"/>
      </w:r>
      <w:r w:rsidR="00343504" w:rsidRPr="00343504">
        <w:rPr>
          <w:lang w:val="es-US"/>
        </w:rPr>
        <w:instrText xml:space="preserve"> HYPERLINK "https://www.wipo.int/edocs/mdocs/tk/en/wipo_iptk_ge_16/wipo_iptk_ge_16_presentation_15sackey.pdf" </w:instrText>
      </w:r>
      <w:r w:rsidR="00343504">
        <w:fldChar w:fldCharType="separate"/>
      </w:r>
      <w:r w:rsidR="00B80341" w:rsidRPr="00201AE5">
        <w:rPr>
          <w:rStyle w:val="Hyperlink"/>
          <w:szCs w:val="22"/>
          <w:lang w:val="es-ES_tradnl"/>
        </w:rPr>
        <w:t>https://www.wipo.int/edocs/mdocs/tk/en/wipo_iptk_ge_16/wipo_iptk_ge_16_presentation_15sackey.pdf</w:t>
      </w:r>
      <w:r w:rsidR="00343504">
        <w:rPr>
          <w:rStyle w:val="Hyperlink"/>
          <w:szCs w:val="22"/>
          <w:lang w:val="es-ES_tradnl"/>
        </w:rPr>
        <w:fldChar w:fldCharType="end"/>
      </w:r>
      <w:r w:rsidRPr="008B7C02">
        <w:rPr>
          <w:szCs w:val="22"/>
          <w:lang w:val="es-ES_tradnl"/>
        </w:rPr>
        <w:t>;</w:t>
      </w:r>
    </w:p>
    <w:p w14:paraId="5920274E" w14:textId="425A83A4" w:rsidR="00D8191F"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9D3767">
        <w:rPr>
          <w:szCs w:val="22"/>
          <w:lang w:val="es-ES_tradnl"/>
        </w:rPr>
        <w:t> :</w:t>
      </w:r>
      <w:r w:rsidR="002D7C89" w:rsidRPr="009E09B8">
        <w:rPr>
          <w:szCs w:val="22"/>
          <w:lang w:val="es-ES_tradnl"/>
        </w:rPr>
        <w:t xml:space="preserve"> </w:t>
      </w:r>
      <w:r w:rsidR="00343504">
        <w:fldChar w:fldCharType="begin"/>
      </w:r>
      <w:r w:rsidR="00343504" w:rsidRPr="00343504">
        <w:rPr>
          <w:lang w:val="es-US"/>
        </w:rPr>
        <w:instrText xml:space="preserve"> HYPERLINK "https://www.wipo.int/edocs/mdocs/tk/en/wipo_iptk_ge_2_15/wipo_iptk_ge_2_15_presentation_enrico_luzzatto.pdf" </w:instrText>
      </w:r>
      <w:r w:rsidR="00343504">
        <w:fldChar w:fldCharType="separate"/>
      </w:r>
      <w:r w:rsidR="00B80341" w:rsidRPr="00201AE5">
        <w:rPr>
          <w:rStyle w:val="Hyperlink"/>
          <w:szCs w:val="22"/>
          <w:lang w:val="es-ES_tradnl"/>
        </w:rPr>
        <w:t>https://www.wipo.int/edocs/mdocs/tk/en/wipo_iptk_ge_2_15/wipo_iptk_ge_2_15_presentation_enrico_luzzatto.pdf</w:t>
      </w:r>
      <w:r w:rsidR="00343504">
        <w:rPr>
          <w:rStyle w:val="Hyperlink"/>
          <w:szCs w:val="22"/>
          <w:lang w:val="es-ES_tradnl"/>
        </w:rPr>
        <w:fldChar w:fldCharType="end"/>
      </w:r>
      <w:r w:rsidR="002D7C89" w:rsidRPr="009E09B8">
        <w:rPr>
          <w:szCs w:val="22"/>
          <w:lang w:val="es-ES_tradnl"/>
        </w:rPr>
        <w:t>;</w:t>
      </w:r>
    </w:p>
    <w:p w14:paraId="66DC9885" w14:textId="2DC27905" w:rsidR="00D8191F" w:rsidRDefault="00BA67BA" w:rsidP="00F66DFB">
      <w:pPr>
        <w:pStyle w:val="ONUMFS"/>
        <w:keepNext/>
        <w:keepLines/>
        <w:numPr>
          <w:ilvl w:val="0"/>
          <w:numId w:val="38"/>
        </w:numPr>
        <w:ind w:left="1134" w:hanging="567"/>
        <w:contextualSpacing/>
        <w:rPr>
          <w:szCs w:val="22"/>
          <w:lang w:val="de-CH"/>
        </w:rPr>
      </w:pPr>
      <w:r w:rsidRPr="009E09B8">
        <w:rPr>
          <w:szCs w:val="22"/>
          <w:lang w:val="de-CH"/>
        </w:rPr>
        <w:t>Inde</w:t>
      </w:r>
      <w:r w:rsidR="009D3767">
        <w:rPr>
          <w:szCs w:val="22"/>
          <w:lang w:val="de-CH"/>
        </w:rPr>
        <w:t> :</w:t>
      </w:r>
      <w:r w:rsidR="002D7C89" w:rsidRPr="009E09B8">
        <w:rPr>
          <w:szCs w:val="22"/>
          <w:lang w:val="de-CH"/>
        </w:rPr>
        <w:t xml:space="preserve"> </w:t>
      </w:r>
      <w:r w:rsidR="00343504">
        <w:fldChar w:fldCharType="begin"/>
      </w:r>
      <w:r w:rsidR="00343504" w:rsidRPr="00343504">
        <w:rPr>
          <w:lang w:val="de-CH"/>
        </w:rPr>
        <w:instrText xml:space="preserve"> HYPERLINK "https://www.wipo.int/edocs/mdocs/tk/en/wipo_iptk_ge_2_15/wipo_iptk_ge_2_15_presentation_usha_rao.pdf" </w:instrText>
      </w:r>
      <w:r w:rsidR="00343504">
        <w:fldChar w:fldCharType="separate"/>
      </w:r>
      <w:r w:rsidR="00B80341" w:rsidRPr="00201AE5">
        <w:rPr>
          <w:rStyle w:val="Hyperlink"/>
          <w:szCs w:val="22"/>
          <w:lang w:val="de-CH"/>
        </w:rPr>
        <w:t>https://www.wipo.int/edocs/mdocs/tk/en/wipo_iptk_ge_2_15/wipo_iptk_ge_2_15_presentation_usha_rao.pdf</w:t>
      </w:r>
      <w:r w:rsidR="00343504">
        <w:rPr>
          <w:rStyle w:val="Hyperlink"/>
          <w:szCs w:val="22"/>
          <w:lang w:val="de-CH"/>
        </w:rPr>
        <w:fldChar w:fldCharType="end"/>
      </w:r>
      <w:r w:rsidR="002D7C89" w:rsidRPr="009E09B8">
        <w:rPr>
          <w:szCs w:val="22"/>
          <w:lang w:val="de-CH"/>
        </w:rPr>
        <w:t>;</w:t>
      </w:r>
      <w:r w:rsidRPr="009E09B8">
        <w:rPr>
          <w:szCs w:val="22"/>
          <w:lang w:val="de-CH"/>
        </w:rPr>
        <w:t xml:space="preserve">  </w:t>
      </w:r>
      <w:r w:rsidR="00343504">
        <w:fldChar w:fldCharType="begin"/>
      </w:r>
      <w:r w:rsidR="00343504" w:rsidRPr="00343504">
        <w:rPr>
          <w:lang w:val="de-CH"/>
        </w:rPr>
        <w:instrText xml:space="preserve"> HYPERLINK "https://www.wipo.int/edocs/mdocs/tk/en/wipo_iptk_ge_2_16/wipo_iptk_ge_2_16_presentation_12javed.pdf" </w:instrText>
      </w:r>
      <w:r w:rsidR="00343504">
        <w:fldChar w:fldCharType="separate"/>
      </w:r>
      <w:r w:rsidR="00B80341" w:rsidRPr="00201AE5">
        <w:rPr>
          <w:rStyle w:val="Hyperlink"/>
          <w:szCs w:val="22"/>
          <w:lang w:val="de-CH"/>
        </w:rPr>
        <w:t>https://www.wipo.int/edocs/mdocs/tk/en/wipo_iptk_ge_2_16/wipo_iptk_ge_2_16_presentation_12javed.pdf</w:t>
      </w:r>
      <w:r w:rsidR="00343504">
        <w:rPr>
          <w:rStyle w:val="Hyperlink"/>
          <w:szCs w:val="22"/>
          <w:lang w:val="de-CH"/>
        </w:rPr>
        <w:fldChar w:fldCharType="end"/>
      </w:r>
      <w:r w:rsidR="002D7C89" w:rsidRPr="009E09B8">
        <w:rPr>
          <w:szCs w:val="22"/>
          <w:lang w:val="de-CH"/>
        </w:rPr>
        <w:t>;</w:t>
      </w:r>
      <w:r w:rsidRPr="009E09B8">
        <w:rPr>
          <w:szCs w:val="22"/>
          <w:lang w:val="de-CH"/>
        </w:rPr>
        <w:t xml:space="preserve">  </w:t>
      </w:r>
      <w:r w:rsidR="00343504">
        <w:fldChar w:fldCharType="begin"/>
      </w:r>
      <w:r w:rsidR="00343504" w:rsidRPr="00343504">
        <w:rPr>
          <w:lang w:val="de-CH"/>
        </w:rPr>
        <w:instrText xml:space="preserve"> HYPERLINK "https://www.wipo.int/edocs/mdocs/tk/en/wipo_iptk_ge_16/wipo_iptk_ge_16_presentation_13dhar.pdf" </w:instrText>
      </w:r>
      <w:r w:rsidR="00343504">
        <w:fldChar w:fldCharType="separate"/>
      </w:r>
      <w:r w:rsidR="00B80341" w:rsidRPr="00201AE5">
        <w:rPr>
          <w:rStyle w:val="Hyperlink"/>
          <w:szCs w:val="22"/>
          <w:lang w:val="de-CH"/>
        </w:rPr>
        <w:t>https://www.wipo.int/edocs/mdocs/tk/en/wipo_iptk_ge_16/wipo_iptk_ge_16_presentation_13dhar.pdf</w:t>
      </w:r>
      <w:r w:rsidR="00343504">
        <w:rPr>
          <w:rStyle w:val="Hyperlink"/>
          <w:szCs w:val="22"/>
          <w:lang w:val="de-CH"/>
        </w:rPr>
        <w:fldChar w:fldCharType="end"/>
      </w:r>
      <w:r w:rsidR="002D7C89" w:rsidRPr="009E09B8">
        <w:rPr>
          <w:szCs w:val="22"/>
          <w:lang w:val="de-CH"/>
        </w:rPr>
        <w:t>;</w:t>
      </w:r>
    </w:p>
    <w:p w14:paraId="5C58C1B8" w14:textId="3A098944" w:rsidR="00D8191F" w:rsidRDefault="00BA67BA" w:rsidP="00655FE4">
      <w:pPr>
        <w:pStyle w:val="ONUMFS"/>
        <w:numPr>
          <w:ilvl w:val="0"/>
          <w:numId w:val="38"/>
        </w:numPr>
        <w:ind w:left="1134" w:hanging="567"/>
        <w:contextualSpacing/>
        <w:rPr>
          <w:szCs w:val="22"/>
          <w:lang w:val="fr-FR"/>
        </w:rPr>
      </w:pPr>
      <w:r w:rsidRPr="009E09B8">
        <w:rPr>
          <w:szCs w:val="22"/>
          <w:lang w:val="fr-FR"/>
        </w:rPr>
        <w:t>Japon</w:t>
      </w:r>
      <w:r w:rsidR="009D3767">
        <w:rPr>
          <w:szCs w:val="22"/>
          <w:lang w:val="fr-FR"/>
        </w:rPr>
        <w:t> :</w:t>
      </w:r>
      <w:r w:rsidR="002D7C89" w:rsidRPr="009E09B8">
        <w:rPr>
          <w:szCs w:val="22"/>
          <w:lang w:val="fr-FR"/>
        </w:rPr>
        <w:t xml:space="preserve"> </w:t>
      </w:r>
      <w:hyperlink r:id="rId12" w:history="1">
        <w:r w:rsidR="00B80341" w:rsidRPr="00201AE5">
          <w:rPr>
            <w:rStyle w:val="Hyperlink"/>
            <w:szCs w:val="22"/>
            <w:lang w:val="fr-FR"/>
          </w:rPr>
          <w:t>https://www.wipo.int/edocs/mdocs/tk/en/wipo_iptk_ge_2_15/wipo_iptk_ge_2_15_presentation_yoshinari_oyama.pdf</w:t>
        </w:r>
      </w:hyperlink>
      <w:r w:rsidR="002D7C89" w:rsidRPr="009E09B8">
        <w:rPr>
          <w:szCs w:val="22"/>
          <w:lang w:val="fr-FR"/>
        </w:rPr>
        <w:t>;</w:t>
      </w:r>
    </w:p>
    <w:p w14:paraId="7FCB9316" w14:textId="310274A5" w:rsidR="00D8191F"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9D3767">
        <w:rPr>
          <w:szCs w:val="22"/>
        </w:rPr>
        <w:t> :</w:t>
      </w:r>
      <w:r w:rsidR="002D7C89" w:rsidRPr="009E09B8">
        <w:rPr>
          <w:szCs w:val="22"/>
        </w:rPr>
        <w:t xml:space="preserve"> </w:t>
      </w:r>
      <w:hyperlink r:id="rId13" w:history="1">
        <w:r w:rsidR="00B80341" w:rsidRPr="00201AE5">
          <w:rPr>
            <w:rStyle w:val="Hyperlink"/>
            <w:szCs w:val="22"/>
          </w:rPr>
          <w:t>https://www.wipo.int/edocs/mdocs/tk/en/wipo_iptk_ge_16/wipo_iptk_ge_16_presentation_17williams.pdf</w:t>
        </w:r>
      </w:hyperlink>
      <w:r w:rsidR="002D7C89" w:rsidRPr="009E09B8">
        <w:rPr>
          <w:szCs w:val="22"/>
        </w:rPr>
        <w:t>;</w:t>
      </w:r>
    </w:p>
    <w:p w14:paraId="2CAABFA2" w14:textId="5DC4D869" w:rsidR="00D8191F" w:rsidRDefault="00BA67BA" w:rsidP="00655FE4">
      <w:pPr>
        <w:pStyle w:val="ONUMFS"/>
        <w:numPr>
          <w:ilvl w:val="0"/>
          <w:numId w:val="38"/>
        </w:numPr>
        <w:ind w:left="1134" w:hanging="567"/>
        <w:rPr>
          <w:szCs w:val="22"/>
        </w:rPr>
      </w:pPr>
      <w:r w:rsidRPr="009E09B8">
        <w:rPr>
          <w:szCs w:val="22"/>
        </w:rPr>
        <w:t>Afrique du Sud</w:t>
      </w:r>
      <w:r w:rsidR="009D3767">
        <w:rPr>
          <w:szCs w:val="22"/>
        </w:rPr>
        <w:t> :</w:t>
      </w:r>
      <w:r w:rsidR="002D7C89" w:rsidRPr="009E09B8">
        <w:rPr>
          <w:szCs w:val="22"/>
        </w:rPr>
        <w:t xml:space="preserve"> </w:t>
      </w:r>
      <w:hyperlink r:id="rId14" w:history="1">
        <w:r w:rsidR="00B80341" w:rsidRPr="00201AE5">
          <w:rPr>
            <w:rStyle w:val="Hyperlink"/>
            <w:szCs w:val="22"/>
          </w:rPr>
          <w:t>https://www.wipo.int/edocs/mdocs/tk/en/wipo_iptk_ge_2_15/wipo_iptk_ge_2_15_presentation_yonah_seleti.pdf</w:t>
        </w:r>
      </w:hyperlink>
      <w:r w:rsidR="0050361A" w:rsidRPr="009E09B8">
        <w:rPr>
          <w:szCs w:val="22"/>
        </w:rPr>
        <w:t>.</w:t>
      </w:r>
    </w:p>
    <w:p w14:paraId="1B8299F8" w14:textId="77777777" w:rsidR="00D8191F" w:rsidRDefault="008763E1" w:rsidP="008763E1">
      <w:pPr>
        <w:pStyle w:val="Heading1"/>
      </w:pPr>
      <w:r w:rsidRPr="009E09B8">
        <w:lastRenderedPageBreak/>
        <w:t>Évolution historique du texte sur les savoirs traditionnels</w:t>
      </w:r>
    </w:p>
    <w:p w14:paraId="7C597723" w14:textId="77777777" w:rsidR="00D8191F" w:rsidRDefault="00D8191F" w:rsidP="00655FE4"/>
    <w:p w14:paraId="1D5A86EA" w14:textId="7577EA41" w:rsidR="00D8191F" w:rsidRDefault="001A7E57" w:rsidP="00280B59">
      <w:pPr>
        <w:pStyle w:val="ONUMFS"/>
      </w:pPr>
      <w:r w:rsidRPr="009E09B8">
        <w:t>À la demande des États m</w:t>
      </w:r>
      <w:r w:rsidR="00F3613B" w:rsidRPr="009E09B8">
        <w:t xml:space="preserve">embres, </w:t>
      </w:r>
      <w:r w:rsidRPr="009E09B8">
        <w:t>à la sept</w:t>
      </w:r>
      <w:r w:rsidR="009D3767">
        <w:t>ième session</w:t>
      </w:r>
      <w:r w:rsidRPr="009E09B8">
        <w:t xml:space="preserve"> de l</w:t>
      </w:r>
      <w:r w:rsidR="009D3767">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9D3767" w:rsidRPr="009E09B8">
        <w:t>document</w:t>
      </w:r>
      <w:r w:rsidR="009D3767">
        <w:t xml:space="preserve"> </w:t>
      </w:r>
      <w:r w:rsidR="009D3767" w:rsidRPr="009E09B8">
        <w:t>WI</w:t>
      </w:r>
      <w:r w:rsidR="00F3613B" w:rsidRPr="009E09B8">
        <w:t xml:space="preserve">PO/GRTKF/IC/7/5, </w:t>
      </w:r>
      <w:r w:rsidR="001F45D8" w:rsidRPr="009E09B8">
        <w:t xml:space="preserve">en vue de son </w:t>
      </w:r>
      <w:r w:rsidR="00280B59" w:rsidRPr="009E09B8">
        <w:t>utilis</w:t>
      </w:r>
      <w:r w:rsidR="001F45D8" w:rsidRPr="009E09B8">
        <w:t>ation</w:t>
      </w:r>
      <w:r w:rsidR="00280B59" w:rsidRPr="009E09B8">
        <w:t xml:space="preserve"> par l</w:t>
      </w:r>
      <w:r w:rsidR="009D3767">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DF3BBB" w:rsidRPr="009E09B8">
        <w:t>ls</w:t>
      </w:r>
      <w:r w:rsidR="00DF3BBB">
        <w:t xml:space="preserve">.  </w:t>
      </w:r>
      <w:r w:rsidR="00DF3BBB"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DF3BBB" w:rsidRPr="009E09B8">
        <w:t>ls</w:t>
      </w:r>
      <w:r w:rsidR="00DF3BBB">
        <w:t xml:space="preserve">.  </w:t>
      </w:r>
      <w:r w:rsidR="00DF3BBB" w:rsidRPr="009E09B8">
        <w:t>Il</w:t>
      </w:r>
      <w:r w:rsidR="008763E1" w:rsidRPr="009E09B8">
        <w:t xml:space="preserve"> a été révisé et rediffusé à plusieurs reprises lors des sessions ultérieures de l</w:t>
      </w:r>
      <w:r w:rsidR="009D3767">
        <w:t>’</w:t>
      </w:r>
      <w:r w:rsidR="008763E1" w:rsidRPr="009E09B8">
        <w:t xml:space="preserve">IGC </w:t>
      </w:r>
      <w:r w:rsidR="00280B59" w:rsidRPr="009E09B8">
        <w:t>(</w:t>
      </w:r>
      <w:r w:rsidR="008763E1" w:rsidRPr="009E09B8">
        <w:t>WIPO/GRTKF/IC/8/5, WIPO/GRTKF/IC/9/5, WIPO/GRTKF/IC/16/5, WIPO/GRTKF/IC/17/5 et WIPO/GRTKF/IC/18/5).</w:t>
      </w:r>
    </w:p>
    <w:p w14:paraId="704D514A" w14:textId="36C22195" w:rsidR="00D8191F" w:rsidRDefault="00280B59" w:rsidP="00CB3B6B">
      <w:pPr>
        <w:pStyle w:val="ONUMFS"/>
      </w:pPr>
      <w:r w:rsidRPr="009E09B8">
        <w:t>Le deuxième groupe de travail intersessions (IWG 2) s</w:t>
      </w:r>
      <w:r w:rsidR="009D3767">
        <w:t>’</w:t>
      </w:r>
      <w:r w:rsidRPr="009E09B8">
        <w:t>est réuni du 21 au 25 février 2011 pour débattre des savoirs traditionne</w:t>
      </w:r>
      <w:r w:rsidR="00DF3BBB" w:rsidRPr="009E09B8">
        <w:t>ls</w:t>
      </w:r>
      <w:r w:rsidR="00DF3BBB">
        <w:t xml:space="preserve">.  </w:t>
      </w:r>
      <w:r w:rsidR="00DF3BBB" w:rsidRPr="009E09B8">
        <w:t>Il</w:t>
      </w:r>
      <w:r w:rsidR="00CB3B6B" w:rsidRPr="009E09B8">
        <w:t xml:space="preserve"> a établi l</w:t>
      </w:r>
      <w:r w:rsidR="008C0EB1" w:rsidRPr="009E09B8">
        <w:t xml:space="preserve">e </w:t>
      </w:r>
      <w:r w:rsidR="009D3767" w:rsidRPr="009E09B8">
        <w:t>document</w:t>
      </w:r>
      <w:r w:rsidR="009D3767">
        <w:t xml:space="preserve"> </w:t>
      </w:r>
      <w:r w:rsidR="009D3767" w:rsidRPr="009E09B8">
        <w:t>WI</w:t>
      </w:r>
      <w:r w:rsidR="008C0EB1" w:rsidRPr="009E09B8">
        <w:t xml:space="preserve">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9D3767">
        <w:t> :</w:t>
      </w:r>
      <w:r w:rsidR="00CB3B6B" w:rsidRPr="009E09B8">
        <w:t xml:space="preserve"> projet d</w:t>
      </w:r>
      <w:r w:rsidR="009D3767">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9D3767">
        <w:t>’</w:t>
      </w:r>
      <w:r w:rsidR="00CB3B6B" w:rsidRPr="009E09B8">
        <w:t>autres formes d</w:t>
      </w:r>
      <w:r w:rsidR="009D3767">
        <w:t>’</w:t>
      </w:r>
      <w:r w:rsidR="00CB3B6B" w:rsidRPr="009E09B8">
        <w:t>enre</w:t>
      </w:r>
      <w:r w:rsidR="008C0EB1" w:rsidRPr="009E09B8">
        <w:t>gistr</w:t>
      </w:r>
      <w:r w:rsidR="00CB3B6B" w:rsidRPr="009E09B8">
        <w:t>ement des savoirs traditionnels à des fins de transparence, de sécurité et de conservation des savoirs traditionne</w:t>
      </w:r>
      <w:r w:rsidR="00DF3BBB" w:rsidRPr="009E09B8">
        <w:t>ls</w:t>
      </w:r>
      <w:r w:rsidR="00DF3BBB">
        <w:t xml:space="preserve">.  </w:t>
      </w:r>
      <w:r w:rsidR="00DF3BBB" w:rsidRPr="009E09B8">
        <w:t>Ce</w:t>
      </w:r>
      <w:r w:rsidR="00CB3B6B" w:rsidRPr="009E09B8">
        <w:t xml:space="preserve"> projet a été examiné à nouveau par l</w:t>
      </w:r>
      <w:r w:rsidR="009D3767">
        <w:t>’</w:t>
      </w:r>
      <w:r w:rsidR="00CB3B6B" w:rsidRPr="009E09B8">
        <w:t>IGC à sa vingt</w:t>
      </w:r>
      <w:r w:rsidR="009D3767">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9D3767" w:rsidRPr="009E09B8">
        <w:t>document</w:t>
      </w:r>
      <w:r w:rsidR="009D3767">
        <w:t xml:space="preserve"> </w:t>
      </w:r>
      <w:r w:rsidR="009D3767" w:rsidRPr="009E09B8">
        <w:t>WI</w:t>
      </w:r>
      <w:r w:rsidR="008C0EB1" w:rsidRPr="009E09B8">
        <w:t xml:space="preserve">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3612794C" w14:textId="2C042B22" w:rsidR="00D8191F" w:rsidRDefault="00CB3B6B" w:rsidP="008763E1">
      <w:pPr>
        <w:pStyle w:val="ONUMFS"/>
      </w:pPr>
      <w:r w:rsidRPr="009E09B8">
        <w:t>À sa vingt</w:t>
      </w:r>
      <w:r w:rsidR="009D3767">
        <w:t> et unième session</w:t>
      </w:r>
      <w:r w:rsidRPr="009E09B8">
        <w:t xml:space="preserve"> (av</w:t>
      </w:r>
      <w:r w:rsidR="006E662D" w:rsidRPr="009E09B8">
        <w:t>ril</w:t>
      </w:r>
      <w:r w:rsidRPr="009E09B8">
        <w:t> </w:t>
      </w:r>
      <w:r w:rsidR="006E662D" w:rsidRPr="009E09B8">
        <w:t>2012)</w:t>
      </w:r>
      <w:r w:rsidRPr="009E09B8">
        <w:t>, l</w:t>
      </w:r>
      <w:r w:rsidR="009D3767">
        <w:t>’</w:t>
      </w:r>
      <w:r w:rsidRPr="009E09B8">
        <w:t>IGC a poursuivi l</w:t>
      </w:r>
      <w:r w:rsidR="009D3767">
        <w:t>’</w:t>
      </w:r>
      <w:r w:rsidRPr="009E09B8">
        <w:t>élaboration du projet d</w:t>
      </w:r>
      <w:r w:rsidR="009D3767">
        <w:t>’</w:t>
      </w:r>
      <w:r w:rsidR="002B43A6" w:rsidRPr="009E09B8">
        <w:t xml:space="preserve">articles, </w:t>
      </w:r>
      <w:r w:rsidRPr="009E09B8">
        <w:t>qui est devenu le</w:t>
      </w:r>
      <w:r w:rsidR="002B43A6" w:rsidRPr="009E09B8">
        <w:t xml:space="preserve"> </w:t>
      </w:r>
      <w:r w:rsidR="009D3767" w:rsidRPr="009E09B8">
        <w:t>document</w:t>
      </w:r>
      <w:r w:rsidR="009D3767">
        <w:t xml:space="preserve"> </w:t>
      </w:r>
      <w:r w:rsidR="009D3767"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DF3BBB" w:rsidRPr="009E09B8">
        <w:t>es</w:t>
      </w:r>
      <w:r w:rsidR="00DF3BBB">
        <w:t xml:space="preserve">.  </w:t>
      </w:r>
      <w:r w:rsidR="00DF3BBB" w:rsidRPr="009E09B8">
        <w:t>Le</w:t>
      </w:r>
      <w:r w:rsidR="008763E1" w:rsidRPr="009E09B8">
        <w:t xml:space="preserve"> comité a poursuivi l</w:t>
      </w:r>
      <w:r w:rsidR="009D3767">
        <w:t>’</w:t>
      </w:r>
      <w:r w:rsidR="008763E1" w:rsidRPr="009E09B8">
        <w:t>examen du texte lors de sessions ultérieures (WIPO/GRTKF/IC/25/6, WIPO/GRTKF/IC/27/4, WIPO/GRTKF/IC/28/5, WIPO/GRTKF/IC/31/4, WIPO/GRTKF/IC/32/4</w:t>
      </w:r>
      <w:r w:rsidR="00591DE0">
        <w:t xml:space="preserve">, </w:t>
      </w:r>
      <w:r w:rsidR="00591DE0" w:rsidRPr="009E09B8">
        <w:t>WIPO/GRTKF/IC/34/5</w:t>
      </w:r>
      <w:r w:rsidR="002D0086">
        <w:t>, WIPO/GRTKF/IC/37/4</w:t>
      </w:r>
      <w:r w:rsidR="00B80341">
        <w:t>,</w:t>
      </w:r>
      <w:r w:rsidR="008763E1" w:rsidRPr="009E09B8">
        <w:t xml:space="preserve"> WIPO/GRTKF/IC/</w:t>
      </w:r>
      <w:r w:rsidR="002D0086">
        <w:t>38</w:t>
      </w:r>
      <w:r w:rsidR="00591DE0">
        <w:t>/4</w:t>
      </w:r>
      <w:r w:rsidR="00FE1B2B">
        <w:t>,</w:t>
      </w:r>
      <w:r w:rsidR="00B80341">
        <w:t xml:space="preserve"> WIPO/GRTKF/39/4</w:t>
      </w:r>
      <w:r w:rsidR="00AF236D">
        <w:t>,</w:t>
      </w:r>
      <w:r w:rsidR="00FE1B2B">
        <w:t xml:space="preserve"> WIPO/GRTKF/IC/40/4</w:t>
      </w:r>
      <w:r w:rsidR="00AF236D">
        <w:t xml:space="preserve"> et WIPO/GRTKF/IC/40/18</w:t>
      </w:r>
      <w:r w:rsidR="008763E1" w:rsidRPr="009E09B8">
        <w:t>).</w:t>
      </w:r>
    </w:p>
    <w:p w14:paraId="66F08411" w14:textId="77777777" w:rsidR="00D8191F" w:rsidRDefault="008763E1" w:rsidP="00D83FFA">
      <w:pPr>
        <w:pStyle w:val="Heading1"/>
        <w:keepLines/>
      </w:pPr>
      <w:r w:rsidRPr="009E09B8">
        <w:t>Évolution historique du texte sur les ressources génétiques</w:t>
      </w:r>
    </w:p>
    <w:p w14:paraId="34075BF7" w14:textId="77777777" w:rsidR="00D8191F" w:rsidRDefault="00D8191F" w:rsidP="00D83FFA">
      <w:pPr>
        <w:keepNext/>
        <w:keepLines/>
      </w:pPr>
    </w:p>
    <w:p w14:paraId="0D31EF2D" w14:textId="5270C7C8" w:rsidR="00D8191F" w:rsidRDefault="00864967" w:rsidP="00D83FFA">
      <w:pPr>
        <w:pStyle w:val="ONUMFS"/>
        <w:keepNext/>
        <w:keepLines/>
      </w:pPr>
      <w:r w:rsidRPr="009E09B8">
        <w:t>À la demande des États m</w:t>
      </w:r>
      <w:r w:rsidR="00C50443" w:rsidRPr="009E09B8">
        <w:t xml:space="preserve">embres, </w:t>
      </w:r>
      <w:r w:rsidRPr="009E09B8">
        <w:t>à la onz</w:t>
      </w:r>
      <w:r w:rsidR="009D3767">
        <w:t>ième session</w:t>
      </w:r>
      <w:r w:rsidRPr="009E09B8">
        <w:t xml:space="preserve"> de l</w:t>
      </w:r>
      <w:r w:rsidR="009D3767">
        <w:t>’</w:t>
      </w:r>
      <w:r w:rsidR="00C50443" w:rsidRPr="009E09B8">
        <w:t>IGC (</w:t>
      </w:r>
      <w:r w:rsidRPr="009E09B8">
        <w:t>juillet </w:t>
      </w:r>
      <w:r w:rsidR="00C50443" w:rsidRPr="009E09B8">
        <w:t xml:space="preserve">2007), </w:t>
      </w:r>
      <w:r w:rsidRPr="009E09B8">
        <w:t xml:space="preserve">le Secrétariat a établi, dans le </w:t>
      </w:r>
      <w:r w:rsidR="009D3767" w:rsidRPr="009E09B8">
        <w:t>document</w:t>
      </w:r>
      <w:r w:rsidR="009D3767">
        <w:t xml:space="preserve"> </w:t>
      </w:r>
      <w:r w:rsidR="009D3767"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9D3767">
        <w:t>’</w:t>
      </w:r>
      <w:r w:rsidRPr="009E09B8">
        <w:t>options pour la poursuite des activités en cours ou l</w:t>
      </w:r>
      <w:r w:rsidR="009D3767">
        <w:t>’</w:t>
      </w:r>
      <w:r w:rsidRPr="009E09B8">
        <w:t>engagement de nouvelles activités concernant les ressources génétiqu</w:t>
      </w:r>
      <w:r w:rsidR="00DF3BBB" w:rsidRPr="009E09B8">
        <w:t>es</w:t>
      </w:r>
      <w:r w:rsidR="00DF3BBB">
        <w:t xml:space="preserve">.  </w:t>
      </w:r>
      <w:r w:rsidR="00DF3BBB"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9D3767">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9D3767">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9D3767">
        <w:t>’</w:t>
      </w:r>
      <w:r w:rsidR="005E2303" w:rsidRPr="009E09B8">
        <w:t>IGC (WIPO/GRTKF/IC/12/8 (a), WIPO/GRTKF/IC/13/8 (a), WIPO/GRTKF/IC/16/6, WIPO/GRTKF/IC/17/6, WIPO/GRTKF/IC/18/10, WIPO/GRTKF/IC/19/7 et WIPO/GRTKF/IC/20/5).</w:t>
      </w:r>
    </w:p>
    <w:p w14:paraId="5E62478E" w14:textId="3BEC20EC" w:rsidR="00D8191F"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9D3767">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DF3BBB" w:rsidRPr="009E09B8">
        <w:t>es</w:t>
      </w:r>
      <w:r w:rsidR="00DF3BBB">
        <w:t xml:space="preserve">.  </w:t>
      </w:r>
      <w:r w:rsidR="00DF3BBB" w:rsidRPr="009E09B8">
        <w:t>Il</w:t>
      </w:r>
      <w:r w:rsidR="009B27E2" w:rsidRPr="009E09B8">
        <w:t xml:space="preserve"> a établi le</w:t>
      </w:r>
      <w:r w:rsidR="00C50443" w:rsidRPr="009E09B8">
        <w:t xml:space="preserve"> </w:t>
      </w:r>
      <w:r w:rsidR="009D3767" w:rsidRPr="009E09B8">
        <w:t>document</w:t>
      </w:r>
      <w:r w:rsidR="009D3767">
        <w:t xml:space="preserve"> </w:t>
      </w:r>
      <w:r w:rsidR="009D3767" w:rsidRPr="009E09B8">
        <w:t>WI</w:t>
      </w:r>
      <w:r w:rsidR="00C50443" w:rsidRPr="009E09B8">
        <w:t xml:space="preserve">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9D3767">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DF3BBB" w:rsidRPr="009E09B8">
        <w:t>es</w:t>
      </w:r>
      <w:r w:rsidR="00DF3BBB">
        <w:t xml:space="preserve">.  </w:t>
      </w:r>
      <w:r w:rsidR="00DF3BBB" w:rsidRPr="009E09B8">
        <w:t>Ce</w:t>
      </w:r>
      <w:r w:rsidRPr="009E09B8">
        <w:t xml:space="preserve"> projet a été examiné plus avant </w:t>
      </w:r>
      <w:r w:rsidR="009B27E2" w:rsidRPr="009E09B8">
        <w:t>par l</w:t>
      </w:r>
      <w:r w:rsidR="009D3767">
        <w:t>’</w:t>
      </w:r>
      <w:r w:rsidR="009B27E2" w:rsidRPr="009E09B8">
        <w:t>IGC à</w:t>
      </w:r>
      <w:r w:rsidRPr="009E09B8">
        <w:t xml:space="preserve"> </w:t>
      </w:r>
      <w:r w:rsidR="009B27E2" w:rsidRPr="009E09B8">
        <w:t>s</w:t>
      </w:r>
      <w:r w:rsidRPr="009E09B8">
        <w:t>es dix</w:t>
      </w:r>
      <w:r w:rsidR="009D3767">
        <w:t>-</w:t>
      </w:r>
      <w:r w:rsidRPr="009E09B8">
        <w:t>neuvième et vingt</w:t>
      </w:r>
      <w:r w:rsidR="009D3767">
        <w:t>ième session</w:t>
      </w:r>
      <w:r w:rsidRPr="009E09B8">
        <w:t>s (</w:t>
      </w:r>
      <w:r w:rsidR="009D3767" w:rsidRPr="009E09B8">
        <w:t>documents</w:t>
      </w:r>
      <w:r w:rsidR="009D3767">
        <w:t xml:space="preserve"> </w:t>
      </w:r>
      <w:r w:rsidR="009D3767" w:rsidRPr="009E09B8">
        <w:t>WI</w:t>
      </w:r>
      <w:r w:rsidRPr="009E09B8">
        <w:t>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9D3767" w:rsidRPr="009E09B8">
        <w:t>document</w:t>
      </w:r>
      <w:r w:rsidR="009D3767">
        <w:t xml:space="preserve"> </w:t>
      </w:r>
      <w:r w:rsidR="009D3767" w:rsidRPr="009E09B8">
        <w:t>WI</w:t>
      </w:r>
      <w:r w:rsidR="00C50443" w:rsidRPr="009E09B8">
        <w:t>PO/GRTKF/IC/18/9 (</w:t>
      </w:r>
      <w:r w:rsidR="009D3767" w:rsidRPr="009E09B8">
        <w:t>documents</w:t>
      </w:r>
      <w:r w:rsidR="009D3767">
        <w:t xml:space="preserve"> </w:t>
      </w:r>
      <w:r w:rsidR="009D3767" w:rsidRPr="009E09B8">
        <w:t>WI</w:t>
      </w:r>
      <w:r w:rsidR="00C50443" w:rsidRPr="009E09B8">
        <w:t xml:space="preserve">PO/GRTKF/IC/19/11 </w:t>
      </w:r>
      <w:r w:rsidR="009B27E2" w:rsidRPr="009E09B8">
        <w:t>et</w:t>
      </w:r>
      <w:r w:rsidR="00C50443" w:rsidRPr="009E09B8">
        <w:t xml:space="preserve"> WIPO/GRTKF/IC/20/6).</w:t>
      </w:r>
    </w:p>
    <w:p w14:paraId="2DDD96A7" w14:textId="213EB0C3" w:rsidR="00D8191F" w:rsidRDefault="005E2303" w:rsidP="005E2303">
      <w:pPr>
        <w:pStyle w:val="ONUMFS"/>
      </w:pPr>
      <w:r w:rsidRPr="009E09B8">
        <w:t>À sa vingt</w:t>
      </w:r>
      <w:r w:rsidR="009D3767">
        <w:t>ième session</w:t>
      </w:r>
      <w:r w:rsidRPr="009E09B8">
        <w:t xml:space="preserve"> (février</w:t>
      </w:r>
      <w:r w:rsidR="00FE0BAC" w:rsidRPr="009E09B8">
        <w:t> </w:t>
      </w:r>
      <w:r w:rsidRPr="009E09B8">
        <w:t>2012), l</w:t>
      </w:r>
      <w:r w:rsidR="009D3767">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DF3BBB" w:rsidRPr="009E09B8">
        <w:t>es</w:t>
      </w:r>
      <w:r w:rsidR="00DF3BBB">
        <w:t xml:space="preserve">.  </w:t>
      </w:r>
      <w:r w:rsidR="00DF3BBB" w:rsidRPr="009E09B8">
        <w:t>Le</w:t>
      </w:r>
      <w:r w:rsidRPr="009E09B8">
        <w:t xml:space="preserve"> comité a </w:t>
      </w:r>
      <w:r w:rsidRPr="009E09B8">
        <w:lastRenderedPageBreak/>
        <w:t>poursuivi l</w:t>
      </w:r>
      <w:r w:rsidR="009D3767">
        <w:t>’</w:t>
      </w:r>
      <w:r w:rsidRPr="009E09B8">
        <w:t>examen du texte lors de ses sessions ultérieures (WIPO/GRTKF/IC/25/5, WIPO/GRTKF/IC/26/4, WIPO/GRTKF/IC/28/4, WIPO/GRTKF/IC/29/4, WIPO/GRTKF/IC/30/4</w:t>
      </w:r>
      <w:r w:rsidR="009461BE">
        <w:t>, WIPO/GRTKF/IC/34/4</w:t>
      </w:r>
      <w:r w:rsidR="002D47DD">
        <w:t>,</w:t>
      </w:r>
      <w:r w:rsidR="002D47DD" w:rsidRPr="00026D0C">
        <w:t xml:space="preserve"> </w:t>
      </w:r>
      <w:r w:rsidR="002D47DD">
        <w:t>WIPO/GRTKF/IC/35</w:t>
      </w:r>
      <w:r w:rsidR="002D47DD" w:rsidRPr="007A4572">
        <w:t>/4</w:t>
      </w:r>
      <w:r w:rsidR="008777AC">
        <w:t>,</w:t>
      </w:r>
      <w:r w:rsidRPr="009E09B8">
        <w:t xml:space="preserve"> WIPO/GRTKF/IC/</w:t>
      </w:r>
      <w:r w:rsidR="002D47DD">
        <w:t>36</w:t>
      </w:r>
      <w:r w:rsidRPr="009E09B8">
        <w:t>/4</w:t>
      </w:r>
      <w:r w:rsidR="00AF236D">
        <w:t>,</w:t>
      </w:r>
      <w:r w:rsidR="008777AC">
        <w:t xml:space="preserve"> WIPO/GRTKF/IC/40/6</w:t>
      </w:r>
      <w:r w:rsidR="00AF236D">
        <w:t xml:space="preserve"> et WIPO/GRTKF/IC/41/4</w:t>
      </w:r>
      <w:r w:rsidRPr="009E09B8">
        <w:t>).</w:t>
      </w:r>
    </w:p>
    <w:p w14:paraId="545C0B20" w14:textId="7FB79ED5" w:rsidR="00AF236D" w:rsidRDefault="00AF236D" w:rsidP="005E2303">
      <w:pPr>
        <w:pStyle w:val="ONUMFS"/>
      </w:pPr>
      <w:r>
        <w:rPr>
          <w:color w:val="000000"/>
        </w:rPr>
        <w:t>En avril 2019, M. Ian </w:t>
      </w:r>
      <w:r w:rsidRPr="004F2E63">
        <w:rPr>
          <w:color w:val="000000"/>
        </w:rPr>
        <w:t>Goss, président de l</w:t>
      </w:r>
      <w:r w:rsidR="009D3767">
        <w:rPr>
          <w:color w:val="000000"/>
        </w:rPr>
        <w:t>’</w:t>
      </w:r>
      <w:r w:rsidRPr="004F2E63">
        <w:rPr>
          <w:color w:val="000000"/>
        </w:rPr>
        <w:t>IGC pour l</w:t>
      </w:r>
      <w:r w:rsidR="009D3767">
        <w:rPr>
          <w:color w:val="000000"/>
        </w:rPr>
        <w:t>’</w:t>
      </w:r>
      <w:r w:rsidRPr="004F2E63">
        <w:rPr>
          <w:color w:val="000000"/>
        </w:rPr>
        <w:t>exercice biennal</w:t>
      </w:r>
      <w:r>
        <w:rPr>
          <w:color w:val="000000"/>
        </w:rPr>
        <w:t> </w:t>
      </w:r>
      <w:r w:rsidRPr="004F2E63">
        <w:rPr>
          <w:color w:val="000000"/>
        </w:rPr>
        <w:t>2018</w:t>
      </w:r>
      <w:r w:rsidR="009D3767">
        <w:rPr>
          <w:color w:val="000000"/>
        </w:rPr>
        <w:t>-</w:t>
      </w:r>
      <w:r w:rsidRPr="004F2E63">
        <w:rPr>
          <w:color w:val="000000"/>
        </w:rPr>
        <w:t>2019, a établi le texte d</w:t>
      </w:r>
      <w:r w:rsidR="009D3767">
        <w:rPr>
          <w:color w:val="000000"/>
        </w:rPr>
        <w:t>’</w:t>
      </w:r>
      <w:r w:rsidRPr="004F2E63">
        <w:rPr>
          <w:color w:val="000000"/>
        </w:rPr>
        <w:t xml:space="preserve">un </w:t>
      </w:r>
      <w:r w:rsidRPr="00CA05B3">
        <w:rPr>
          <w:i/>
          <w:color w:val="000000"/>
        </w:rPr>
        <w:t>projet d</w:t>
      </w:r>
      <w:r w:rsidR="009D3767">
        <w:rPr>
          <w:i/>
          <w:color w:val="000000"/>
        </w:rPr>
        <w:t>’</w:t>
      </w:r>
      <w:r w:rsidRPr="00CA05B3">
        <w:rPr>
          <w:i/>
          <w:color w:val="000000"/>
        </w:rPr>
        <w:t>instrument juridique international sur la propriété intellectuelle relative aux ressources génétiques et aux savoirs traditionnels associés aux ressources génétiques</w:t>
      </w:r>
      <w:r w:rsidRPr="004F2E63">
        <w:rPr>
          <w:color w:val="000000"/>
        </w:rPr>
        <w:t>, qui comprend des dispositions sur les exigences de divulgati</w:t>
      </w:r>
      <w:r w:rsidR="00DF3BBB" w:rsidRPr="004F2E63">
        <w:rPr>
          <w:color w:val="000000"/>
        </w:rPr>
        <w:t>on</w:t>
      </w:r>
      <w:r w:rsidR="00DF3BBB">
        <w:rPr>
          <w:color w:val="000000"/>
        </w:rPr>
        <w:t xml:space="preserve">.  </w:t>
      </w:r>
      <w:r w:rsidR="00DF3BBB" w:rsidRPr="004F2E63">
        <w:rPr>
          <w:color w:val="000000"/>
        </w:rPr>
        <w:t>Le</w:t>
      </w:r>
      <w:r w:rsidRPr="004F2E63">
        <w:rPr>
          <w:color w:val="000000"/>
        </w:rPr>
        <w:t xml:space="preserve"> texte figure dans le </w:t>
      </w:r>
      <w:r w:rsidR="009D3767" w:rsidRPr="004F2E63">
        <w:rPr>
          <w:color w:val="000000"/>
        </w:rPr>
        <w:t>document</w:t>
      </w:r>
      <w:r w:rsidR="009D3767">
        <w:rPr>
          <w:color w:val="000000"/>
        </w:rPr>
        <w:t xml:space="preserve"> </w:t>
      </w:r>
      <w:r w:rsidR="009D3767" w:rsidRPr="004F2E63">
        <w:rPr>
          <w:color w:val="000000"/>
        </w:rPr>
        <w:t>WI</w:t>
      </w:r>
      <w:r w:rsidRPr="004F2E63">
        <w:rPr>
          <w:color w:val="000000"/>
        </w:rPr>
        <w:t>PO/GRTKF/IC/41/5</w:t>
      </w:r>
      <w:r>
        <w:rPr>
          <w:color w:val="000000"/>
        </w:rPr>
        <w:t>.</w:t>
      </w:r>
    </w:p>
    <w:p w14:paraId="1B73F78F" w14:textId="77777777" w:rsidR="00D8191F" w:rsidRDefault="005E2303" w:rsidP="005E2303">
      <w:pPr>
        <w:pStyle w:val="Heading1"/>
      </w:pPr>
      <w:r w:rsidRPr="009E09B8">
        <w:t>Autres documents</w:t>
      </w:r>
    </w:p>
    <w:p w14:paraId="4AECD6E1" w14:textId="77777777" w:rsidR="00D8191F" w:rsidRDefault="00D8191F" w:rsidP="00655FE4"/>
    <w:p w14:paraId="3E827B8C" w14:textId="5DFF077C" w:rsidR="00D8191F"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9D3767">
        <w:t>ième session</w:t>
      </w:r>
      <w:r w:rsidRPr="009E09B8">
        <w:t xml:space="preserve"> de l</w:t>
      </w:r>
      <w:r w:rsidR="009D3767">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9D3767" w:rsidRPr="009E09B8">
        <w:t>document</w:t>
      </w:r>
      <w:r w:rsidR="009D3767">
        <w:t xml:space="preserve"> </w:t>
      </w:r>
      <w:r w:rsidR="009D3767" w:rsidRPr="009E09B8">
        <w:t>WI</w:t>
      </w:r>
      <w:r w:rsidR="00AE49FA" w:rsidRPr="009E09B8">
        <w:t xml:space="preserve">PO/GRTKF/IC/3/8, </w:t>
      </w:r>
      <w:r w:rsidRPr="009E09B8">
        <w:t>i</w:t>
      </w:r>
      <w:r w:rsidR="00AE49FA" w:rsidRPr="009E09B8">
        <w:t>ntit</w:t>
      </w:r>
      <w:r w:rsidRPr="009E09B8">
        <w:t>u</w:t>
      </w:r>
      <w:r w:rsidR="00AE49FA" w:rsidRPr="009E09B8">
        <w:t>l</w:t>
      </w:r>
      <w:r w:rsidRPr="009E09B8">
        <w:t>é “Éléments d</w:t>
      </w:r>
      <w:r w:rsidR="009D3767">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2A08BD41" w14:textId="4A7508EE" w:rsidR="00D8191F" w:rsidRDefault="00287209" w:rsidP="00655FE4">
      <w:pPr>
        <w:pStyle w:val="ONUMFS"/>
      </w:pPr>
      <w:r w:rsidRPr="009E09B8">
        <w:t>La délé</w:t>
      </w:r>
      <w:r w:rsidR="00AE49FA" w:rsidRPr="009E09B8">
        <w:t xml:space="preserve">gation </w:t>
      </w:r>
      <w:r w:rsidRPr="009E09B8">
        <w:t>de l</w:t>
      </w:r>
      <w:r w:rsidR="009D3767">
        <w:t>’</w:t>
      </w:r>
      <w:r w:rsidRPr="009E09B8">
        <w:t>Union européenn</w:t>
      </w:r>
      <w:r w:rsidR="00AE49FA" w:rsidRPr="009E09B8">
        <w:t xml:space="preserve">e, </w:t>
      </w:r>
      <w:r w:rsidRPr="009E09B8">
        <w:t>au nom de l</w:t>
      </w:r>
      <w:r w:rsidR="009D3767">
        <w:t>’</w:t>
      </w:r>
      <w:r w:rsidRPr="009E09B8">
        <w:t>Union européenne et de ses États mem</w:t>
      </w:r>
      <w:r w:rsidR="00AE49FA" w:rsidRPr="009E09B8">
        <w:t xml:space="preserve">bres, </w:t>
      </w:r>
      <w:r w:rsidRPr="009E09B8">
        <w:t xml:space="preserve">a fait part de son point de vue sur les bases de données dans le </w:t>
      </w:r>
      <w:r w:rsidR="009D3767" w:rsidRPr="009E09B8">
        <w:t>document</w:t>
      </w:r>
      <w:r w:rsidR="009D3767">
        <w:t xml:space="preserve"> </w:t>
      </w:r>
      <w:r w:rsidR="009D3767" w:rsidRPr="009E09B8">
        <w:t>WI</w:t>
      </w:r>
      <w:r w:rsidR="00AE49FA" w:rsidRPr="009E09B8">
        <w:t>PO/GRTKF/IC/3/16.</w:t>
      </w:r>
    </w:p>
    <w:p w14:paraId="3FFAE3AA" w14:textId="28846EA3" w:rsidR="00D8191F" w:rsidRDefault="00D93AEA" w:rsidP="00D93AEA">
      <w:pPr>
        <w:pStyle w:val="ONUMFS"/>
      </w:pPr>
      <w:r w:rsidRPr="009E09B8">
        <w:t>À la cinqu</w:t>
      </w:r>
      <w:r w:rsidR="009D3767">
        <w:t>ième session</w:t>
      </w:r>
      <w:r w:rsidRPr="009E09B8">
        <w:t xml:space="preserve"> de l</w:t>
      </w:r>
      <w:r w:rsidR="009D3767">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9D3767" w:rsidRPr="009E09B8">
        <w:t>document</w:t>
      </w:r>
      <w:r w:rsidR="009D3767">
        <w:t xml:space="preserve"> </w:t>
      </w:r>
      <w:r w:rsidR="009D3767" w:rsidRPr="009E09B8">
        <w:t>WI</w:t>
      </w:r>
      <w:r w:rsidR="00AE49FA" w:rsidRPr="009E09B8">
        <w:t xml:space="preserve">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9D3767">
        <w:t>’</w:t>
      </w:r>
      <w:r w:rsidR="00AE49FA" w:rsidRPr="009E09B8">
        <w:t xml:space="preserve">IGC </w:t>
      </w:r>
      <w:r w:rsidRPr="009E09B8">
        <w:t>sur les</w:t>
      </w:r>
      <w:r w:rsidR="00AE49FA" w:rsidRPr="009E09B8">
        <w:t xml:space="preserve"> bases</w:t>
      </w:r>
      <w:r w:rsidRPr="009E09B8">
        <w:t xml:space="preserve"> de donné</w:t>
      </w:r>
      <w:r w:rsidR="00DF3BBB" w:rsidRPr="009E09B8">
        <w:t>es</w:t>
      </w:r>
      <w:r w:rsidR="00DF3BBB">
        <w:t xml:space="preserve">.  </w:t>
      </w:r>
      <w:r w:rsidR="00DF3BBB" w:rsidRPr="009E09B8">
        <w:t>Au</w:t>
      </w:r>
      <w:r w:rsidRPr="009E09B8">
        <w:t xml:space="preserve">x sixième </w:t>
      </w:r>
      <w:r w:rsidR="00AE49FA" w:rsidRPr="009E09B8">
        <w:t>(</w:t>
      </w:r>
      <w:r w:rsidRPr="009E09B8">
        <w:t>mars </w:t>
      </w:r>
      <w:r w:rsidR="00AE49FA" w:rsidRPr="009E09B8">
        <w:t>2004)</w:t>
      </w:r>
      <w:r w:rsidR="009D3767">
        <w:t> et onzième</w:t>
      </w:r>
      <w:r w:rsidR="00AE49FA" w:rsidRPr="009E09B8">
        <w:t xml:space="preserve"> (</w:t>
      </w:r>
      <w:r w:rsidRPr="009E09B8">
        <w:t>juillet </w:t>
      </w:r>
      <w:r w:rsidR="00AE49FA" w:rsidRPr="009E09B8">
        <w:t>2007)</w:t>
      </w:r>
      <w:r w:rsidRPr="009E09B8">
        <w:t xml:space="preserve"> sessions de l</w:t>
      </w:r>
      <w:r w:rsidR="009D3767">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796E32D7" w14:textId="4315C7EA" w:rsidR="00D8191F" w:rsidRDefault="00D93AEA" w:rsidP="00395B33">
      <w:pPr>
        <w:pStyle w:val="ONUMFS"/>
      </w:pPr>
      <w:r w:rsidRPr="009E09B8">
        <w:t>À la vingt</w:t>
      </w:r>
      <w:r w:rsidR="009D3767">
        <w:t>-</w:t>
      </w:r>
      <w:r w:rsidRPr="009E09B8">
        <w:t>sept</w:t>
      </w:r>
      <w:r w:rsidR="009D3767">
        <w:t>ième session</w:t>
      </w:r>
      <w:r w:rsidRPr="009E09B8">
        <w:t xml:space="preserve"> de l</w:t>
      </w:r>
      <w:r w:rsidR="009D3767">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9D3767">
        <w:t>-</w:t>
      </w:r>
      <w:r w:rsidRPr="009E09B8">
        <w:t>Unis d</w:t>
      </w:r>
      <w:r w:rsidR="009D3767">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9D3767">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9D3767">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9D3767">
        <w:t>’</w:t>
      </w:r>
      <w:r w:rsidR="00395B33" w:rsidRPr="009E09B8">
        <w:t xml:space="preserve">utilisation de bases de données pour les ressources génétiques </w:t>
      </w:r>
      <w:r w:rsidR="00AE49FA" w:rsidRPr="009E09B8">
        <w:t>o</w:t>
      </w:r>
      <w:r w:rsidR="00395B33" w:rsidRPr="009E09B8">
        <w:t>u les savoirs traditionne</w:t>
      </w:r>
      <w:r w:rsidR="00DF3BBB" w:rsidRPr="009E09B8">
        <w:t>ls</w:t>
      </w:r>
      <w:r w:rsidR="00DF3BBB">
        <w:t xml:space="preserve">.  </w:t>
      </w:r>
      <w:r w:rsidR="00DF3BBB" w:rsidRPr="009E09B8">
        <w:t>Ce</w:t>
      </w:r>
      <w:r w:rsidR="00AE49FA" w:rsidRPr="009E09B8">
        <w:t xml:space="preserve"> document </w:t>
      </w:r>
      <w:r w:rsidR="00395B33" w:rsidRPr="009E09B8">
        <w:t>rassemblait les observations de l</w:t>
      </w:r>
      <w:r w:rsidR="009D3767">
        <w:t>’</w:t>
      </w:r>
      <w:r w:rsidR="00395B33" w:rsidRPr="009E09B8">
        <w:t xml:space="preserve">Afrique du Sud, du </w:t>
      </w:r>
      <w:r w:rsidR="00AE49FA" w:rsidRPr="009E09B8">
        <w:t xml:space="preserve">Canada, </w:t>
      </w:r>
      <w:r w:rsidR="00395B33" w:rsidRPr="009E09B8">
        <w:t>des États</w:t>
      </w:r>
      <w:r w:rsidR="009D3767">
        <w:t>-</w:t>
      </w:r>
      <w:r w:rsidR="00395B33" w:rsidRPr="009E09B8">
        <w:t>Unis d</w:t>
      </w:r>
      <w:r w:rsidR="009D3767">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DF3BBB" w:rsidRPr="009E09B8">
        <w:t>ns</w:t>
      </w:r>
      <w:r w:rsidR="00DF3BBB">
        <w:t xml:space="preserve">.  </w:t>
      </w:r>
      <w:r w:rsidR="00DF3BBB" w:rsidRPr="009E09B8">
        <w:t>Le</w:t>
      </w:r>
      <w:r w:rsidR="00395B33" w:rsidRPr="009E09B8">
        <w:t> </w:t>
      </w:r>
      <w:r w:rsidR="005E2303" w:rsidRPr="009E09B8">
        <w:t>document a été présenté de nouveau à l</w:t>
      </w:r>
      <w:r w:rsidR="009D3767">
        <w:t>’</w:t>
      </w:r>
      <w:r w:rsidR="005E2303" w:rsidRPr="009E09B8">
        <w:t>IGC à sa vingt</w:t>
      </w:r>
      <w:r w:rsidR="009D3767">
        <w:t>-</w:t>
      </w:r>
      <w:r w:rsidR="005E2303" w:rsidRPr="009E09B8">
        <w:t>huit</w:t>
      </w:r>
      <w:r w:rsidR="009D3767">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2EF51D17" w14:textId="7F219C8A" w:rsidR="00D8191F" w:rsidRDefault="00395B33" w:rsidP="005302E2">
      <w:pPr>
        <w:pStyle w:val="ONUMFS"/>
      </w:pPr>
      <w:r w:rsidRPr="009E09B8">
        <w:t>E</w:t>
      </w:r>
      <w:r w:rsidR="00AE49FA" w:rsidRPr="009E09B8">
        <w:t>n</w:t>
      </w:r>
      <w:r w:rsidRPr="009E09B8">
        <w:t> </w:t>
      </w:r>
      <w:r w:rsidR="00AE49FA" w:rsidRPr="009E09B8">
        <w:t xml:space="preserve">2015, 2016 </w:t>
      </w:r>
      <w:r w:rsidRPr="009E09B8">
        <w:t>et </w:t>
      </w:r>
      <w:r w:rsidR="00AE49FA" w:rsidRPr="009E09B8">
        <w:t xml:space="preserve">2017, </w:t>
      </w:r>
      <w:r w:rsidRPr="009E09B8">
        <w:t>l</w:t>
      </w:r>
      <w:r w:rsidR="00AE49FA" w:rsidRPr="009E09B8">
        <w:t xml:space="preserve">e </w:t>
      </w:r>
      <w:r w:rsidRPr="009E09B8">
        <w:t>S</w:t>
      </w:r>
      <w:r w:rsidR="00AE49FA" w:rsidRPr="009E09B8">
        <w:t>ecr</w:t>
      </w:r>
      <w:r w:rsidRPr="009E09B8">
        <w:t>é</w:t>
      </w:r>
      <w:r w:rsidR="00AE49FA" w:rsidRPr="009E09B8">
        <w:t xml:space="preserve">tariat </w:t>
      </w:r>
      <w:r w:rsidRPr="009E09B8">
        <w:t>de l</w:t>
      </w:r>
      <w:r w:rsidR="009D3767">
        <w:t>’</w:t>
      </w:r>
      <w:r w:rsidRPr="009E09B8">
        <w:t xml:space="preserve">OMPI a </w:t>
      </w:r>
      <w:r w:rsidR="00AE49FA" w:rsidRPr="009E09B8">
        <w:t>organi</w:t>
      </w:r>
      <w:r w:rsidRPr="009E09B8">
        <w:t xml:space="preserve">sé plusieurs séminaires sur la propriété </w:t>
      </w:r>
      <w:r w:rsidR="00AE49FA" w:rsidRPr="009E09B8">
        <w:t>intellectu</w:t>
      </w:r>
      <w:r w:rsidRPr="009E09B8">
        <w:t>e</w:t>
      </w:r>
      <w:r w:rsidR="00AE49FA" w:rsidRPr="009E09B8">
        <w:t>l</w:t>
      </w:r>
      <w:r w:rsidRPr="009E09B8">
        <w:t>le relative aux ressources génétiques et aux savoirs</w:t>
      </w:r>
      <w:r w:rsidR="00AE49FA" w:rsidRPr="009E09B8">
        <w:t xml:space="preserve"> </w:t>
      </w:r>
      <w:r w:rsidRPr="009E09B8">
        <w:t>traditionne</w:t>
      </w:r>
      <w:r w:rsidR="00DF3BBB" w:rsidRPr="009E09B8">
        <w:t>ls</w:t>
      </w:r>
      <w:r w:rsidR="00DF3BBB">
        <w:t xml:space="preserve">.  </w:t>
      </w:r>
      <w:r w:rsidR="00DF3BBB" w:rsidRPr="009E09B8">
        <w:t>Le</w:t>
      </w:r>
      <w:r w:rsidRPr="009E09B8">
        <w:t>s</w:t>
      </w:r>
      <w:r w:rsidR="007A340E" w:rsidRPr="009E09B8">
        <w:t> conférencièr</w:t>
      </w:r>
      <w:r w:rsidRPr="009E09B8">
        <w:t>es des pays ci</w:t>
      </w:r>
      <w:r w:rsidR="009D3767">
        <w:t>-</w:t>
      </w:r>
      <w:r w:rsidRPr="009E09B8">
        <w:t>après ont part</w:t>
      </w:r>
      <w:r w:rsidR="00BF46A4" w:rsidRPr="009E09B8">
        <w:t>agé</w:t>
      </w:r>
      <w:r w:rsidRPr="009E09B8">
        <w:t xml:space="preserve"> leurs données </w:t>
      </w:r>
      <w:r w:rsidR="00AE49FA" w:rsidRPr="009E09B8">
        <w:t>d</w:t>
      </w:r>
      <w:r w:rsidR="009D3767">
        <w:t>’</w:t>
      </w:r>
      <w:r w:rsidR="00AE49FA" w:rsidRPr="009E09B8">
        <w:t>exp</w:t>
      </w:r>
      <w:r w:rsidRPr="009E09B8">
        <w:t>é</w:t>
      </w:r>
      <w:r w:rsidR="00AE49FA" w:rsidRPr="009E09B8">
        <w:t>rience</w:t>
      </w:r>
      <w:r w:rsidRPr="009E09B8">
        <w:t xml:space="preserve"> </w:t>
      </w:r>
      <w:r w:rsidR="00AE49FA" w:rsidRPr="009E09B8">
        <w:t>s</w:t>
      </w:r>
      <w:r w:rsidRPr="009E09B8">
        <w:t xml:space="preserve">ur les </w:t>
      </w:r>
      <w:r w:rsidR="00EA2C7C" w:rsidRPr="009E09B8">
        <w:t>bases</w:t>
      </w:r>
      <w:r w:rsidRPr="009E09B8">
        <w:t xml:space="preserve"> de données</w:t>
      </w:r>
      <w:r w:rsidR="009D3767">
        <w:t> :</w:t>
      </w:r>
    </w:p>
    <w:p w14:paraId="4F1CBF43" w14:textId="7FDB282F" w:rsidR="00D8191F" w:rsidRDefault="00BA67BA" w:rsidP="00655FE4">
      <w:pPr>
        <w:pStyle w:val="ONUMFS"/>
        <w:numPr>
          <w:ilvl w:val="0"/>
          <w:numId w:val="39"/>
        </w:numPr>
        <w:ind w:left="1134" w:hanging="567"/>
        <w:contextualSpacing/>
        <w:rPr>
          <w:szCs w:val="22"/>
        </w:rPr>
      </w:pPr>
      <w:r w:rsidRPr="009E09B8">
        <w:rPr>
          <w:szCs w:val="22"/>
        </w:rPr>
        <w:t>Mme</w:t>
      </w:r>
      <w:r w:rsidR="00395B33" w:rsidRPr="009E09B8">
        <w:rPr>
          <w:szCs w:val="22"/>
        </w:rPr>
        <w:t> </w:t>
      </w:r>
      <w:r w:rsidR="00AE49FA" w:rsidRPr="009E09B8">
        <w:rPr>
          <w:szCs w:val="22"/>
        </w:rPr>
        <w:t>Shelley Rowe</w:t>
      </w:r>
      <w:r w:rsidR="009D3767">
        <w:rPr>
          <w:szCs w:val="22"/>
        </w:rPr>
        <w:t> :</w:t>
      </w:r>
      <w:r w:rsidR="00AE49FA" w:rsidRPr="009E09B8">
        <w:rPr>
          <w:szCs w:val="22"/>
        </w:rPr>
        <w:t xml:space="preserve"> </w:t>
      </w:r>
      <w:hyperlink r:id="rId15" w:history="1">
        <w:r w:rsidR="00B80341" w:rsidRPr="00D8191F">
          <w:rPr>
            <w:rStyle w:val="Hyperlink"/>
            <w:szCs w:val="22"/>
          </w:rPr>
          <w:t>https://www.wipo.int/edocs/mdocs/tk/en/wipo_iptk_ge_16/wipo_iptk_ge_16_presentation_14rowe.pdf</w:t>
        </w:r>
      </w:hyperlink>
      <w:r w:rsidR="00AE49FA" w:rsidRPr="009E09B8">
        <w:rPr>
          <w:szCs w:val="22"/>
        </w:rPr>
        <w:t xml:space="preserve">;  </w:t>
      </w:r>
      <w:r w:rsidR="00BF46A4" w:rsidRPr="009E09B8">
        <w:rPr>
          <w:szCs w:val="22"/>
        </w:rPr>
        <w:t>et</w:t>
      </w:r>
    </w:p>
    <w:p w14:paraId="32FEFCC9" w14:textId="70C7518B" w:rsidR="00D8191F" w:rsidRPr="00C5129D" w:rsidRDefault="00BA67BA" w:rsidP="00655FE4">
      <w:pPr>
        <w:pStyle w:val="ONUMFS"/>
        <w:numPr>
          <w:ilvl w:val="0"/>
          <w:numId w:val="39"/>
        </w:numPr>
        <w:ind w:left="1134" w:hanging="567"/>
        <w:rPr>
          <w:szCs w:val="22"/>
          <w:lang w:val="en-US"/>
        </w:rPr>
      </w:pPr>
      <w:proofErr w:type="spellStart"/>
      <w:r w:rsidRPr="00C5129D">
        <w:rPr>
          <w:szCs w:val="22"/>
          <w:lang w:val="en-US"/>
        </w:rPr>
        <w:t>Mme</w:t>
      </w:r>
      <w:proofErr w:type="spellEnd"/>
      <w:r w:rsidR="00BF46A4" w:rsidRPr="00C5129D">
        <w:rPr>
          <w:szCs w:val="22"/>
          <w:lang w:val="en-US"/>
        </w:rPr>
        <w:t> </w:t>
      </w:r>
      <w:r w:rsidR="00AE49FA" w:rsidRPr="00C5129D">
        <w:rPr>
          <w:szCs w:val="22"/>
          <w:lang w:val="en-US"/>
        </w:rPr>
        <w:t>Aroha</w:t>
      </w:r>
      <w:r w:rsidR="00BF46A4" w:rsidRPr="00C5129D">
        <w:rPr>
          <w:szCs w:val="22"/>
          <w:lang w:val="en-US"/>
        </w:rPr>
        <w:t> </w:t>
      </w:r>
      <w:proofErr w:type="spellStart"/>
      <w:r w:rsidR="00AE49FA" w:rsidRPr="00C5129D">
        <w:rPr>
          <w:szCs w:val="22"/>
          <w:lang w:val="en-US"/>
        </w:rPr>
        <w:t>Te</w:t>
      </w:r>
      <w:proofErr w:type="spellEnd"/>
      <w:r w:rsidR="00BF46A4" w:rsidRPr="00C5129D">
        <w:rPr>
          <w:szCs w:val="22"/>
          <w:lang w:val="en-US"/>
        </w:rPr>
        <w:t> </w:t>
      </w:r>
      <w:proofErr w:type="spellStart"/>
      <w:r w:rsidR="00AE49FA" w:rsidRPr="00C5129D">
        <w:rPr>
          <w:szCs w:val="22"/>
          <w:lang w:val="en-US"/>
        </w:rPr>
        <w:t>Pareake</w:t>
      </w:r>
      <w:proofErr w:type="spellEnd"/>
      <w:r w:rsidR="00BF46A4" w:rsidRPr="00C5129D">
        <w:rPr>
          <w:szCs w:val="22"/>
          <w:lang w:val="en-US"/>
        </w:rPr>
        <w:t> </w:t>
      </w:r>
      <w:proofErr w:type="gramStart"/>
      <w:r w:rsidR="00AE49FA" w:rsidRPr="00C5129D">
        <w:rPr>
          <w:szCs w:val="22"/>
          <w:lang w:val="en-US"/>
        </w:rPr>
        <w:t>Mead</w:t>
      </w:r>
      <w:r w:rsidR="009D3767">
        <w:rPr>
          <w:szCs w:val="22"/>
          <w:lang w:val="en-US"/>
        </w:rPr>
        <w:t> :</w:t>
      </w:r>
      <w:proofErr w:type="gramEnd"/>
      <w:r w:rsidRPr="00C5129D">
        <w:rPr>
          <w:szCs w:val="22"/>
          <w:lang w:val="en-US"/>
        </w:rPr>
        <w:t xml:space="preserve"> </w:t>
      </w:r>
      <w:hyperlink r:id="rId16" w:history="1">
        <w:r w:rsidR="00AE49FA" w:rsidRPr="00C5129D">
          <w:rPr>
            <w:rStyle w:val="Hyperlink"/>
            <w:szCs w:val="22"/>
            <w:lang w:val="en-US"/>
          </w:rPr>
          <w:t>http</w:t>
        </w:r>
        <w:r w:rsidR="00B80341" w:rsidRPr="00C5129D">
          <w:rPr>
            <w:rStyle w:val="Hyperlink"/>
            <w:szCs w:val="22"/>
            <w:lang w:val="en-US"/>
          </w:rPr>
          <w:t>s</w:t>
        </w:r>
        <w:r w:rsidR="00AE49FA" w:rsidRPr="00C5129D">
          <w:rPr>
            <w:rStyle w:val="Hyperlink"/>
            <w:szCs w:val="22"/>
            <w:lang w:val="en-US"/>
          </w:rPr>
          <w:t>://www.wipo.int/edocs/mdocs/tk/en/wipo_iptk_ge_16/wipo_iptk_ge_16_presentation_16mead.pdf</w:t>
        </w:r>
      </w:hyperlink>
      <w:r w:rsidR="00AE49FA" w:rsidRPr="00C5129D">
        <w:rPr>
          <w:szCs w:val="22"/>
          <w:lang w:val="en-US"/>
        </w:rPr>
        <w:t>.</w:t>
      </w:r>
    </w:p>
    <w:p w14:paraId="267B38E2" w14:textId="439F790C" w:rsidR="00D8191F" w:rsidRDefault="005E2303" w:rsidP="00AF236D">
      <w:pPr>
        <w:pStyle w:val="ONUMFS"/>
        <w:ind w:left="5533"/>
        <w:rPr>
          <w:i/>
        </w:rPr>
      </w:pPr>
      <w:r w:rsidRPr="009E09B8">
        <w:rPr>
          <w:i/>
        </w:rPr>
        <w:lastRenderedPageBreak/>
        <w:t xml:space="preserve">Le comité est invité à prendre note du </w:t>
      </w:r>
      <w:r w:rsidRPr="00AF236D">
        <w:rPr>
          <w:i/>
        </w:rPr>
        <w:t>présent</w:t>
      </w:r>
      <w:r w:rsidRPr="009E09B8">
        <w:rPr>
          <w:i/>
        </w:rPr>
        <w:t xml:space="preserve"> document et, s</w:t>
      </w:r>
      <w:r w:rsidR="009D3767">
        <w:rPr>
          <w:i/>
        </w:rPr>
        <w:t>’</w:t>
      </w:r>
      <w:r w:rsidRPr="009E09B8">
        <w:rPr>
          <w:i/>
        </w:rPr>
        <w:t>il le souhaite, à formuler des observations, notamment afin de recenser d</w:t>
      </w:r>
      <w:r w:rsidR="009D3767">
        <w:rPr>
          <w:i/>
        </w:rPr>
        <w:t>’</w:t>
      </w:r>
      <w:r w:rsidRPr="009E09B8">
        <w:rPr>
          <w:i/>
        </w:rPr>
        <w:t>éventuelles lacunes.</w:t>
      </w:r>
    </w:p>
    <w:p w14:paraId="10C71203" w14:textId="62BC1715" w:rsidR="00AF236D" w:rsidRDefault="00AF236D" w:rsidP="00AF236D">
      <w:pPr>
        <w:pStyle w:val="ONUMFS"/>
        <w:numPr>
          <w:ilvl w:val="0"/>
          <w:numId w:val="0"/>
        </w:numPr>
        <w:spacing w:after="0"/>
        <w:jc w:val="both"/>
        <w:rPr>
          <w:i/>
        </w:rPr>
      </w:pPr>
    </w:p>
    <w:p w14:paraId="64CE5C0A" w14:textId="77777777" w:rsidR="00AF236D" w:rsidRDefault="00AF236D" w:rsidP="00AF236D">
      <w:pPr>
        <w:pStyle w:val="ONUMFS"/>
        <w:numPr>
          <w:ilvl w:val="0"/>
          <w:numId w:val="0"/>
        </w:numPr>
        <w:spacing w:after="0"/>
        <w:jc w:val="both"/>
        <w:rPr>
          <w:i/>
        </w:rPr>
      </w:pPr>
    </w:p>
    <w:p w14:paraId="2C66E8F3" w14:textId="7B3E4B31" w:rsidR="00655FE4" w:rsidRPr="009E09B8" w:rsidRDefault="00655FE4">
      <w:pPr>
        <w:pStyle w:val="Endofdocument-Annex"/>
      </w:pPr>
      <w:r w:rsidRPr="009E09B8">
        <w:t>[Fin du document]</w:t>
      </w:r>
    </w:p>
    <w:sectPr w:rsidR="00655FE4" w:rsidRPr="009E09B8" w:rsidSect="007646DA">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9663D" w14:textId="77777777" w:rsidR="007646DA" w:rsidRDefault="007646DA" w:rsidP="00764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D802D" w14:textId="77777777" w:rsidR="00DF3BBB" w:rsidRDefault="00DF3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A05B" w14:textId="77777777" w:rsidR="007646DA" w:rsidRDefault="0076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7CACB8FD"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B77B52">
        <w:t>’</w:t>
      </w:r>
      <w:r w:rsidRPr="009E09B8">
        <w:t>ensemble des différentes formes de fixation.  Le présent document ne traite pas des bases de données ni d</w:t>
      </w:r>
      <w:r w:rsidR="00B77B52">
        <w:t>’</w:t>
      </w:r>
      <w:r w:rsidRPr="009E09B8">
        <w:t>aucune autre forme de fixation, relatives aux expressions culturelles traditionnelles.</w:t>
      </w:r>
    </w:p>
  </w:footnote>
  <w:footnote w:id="3">
    <w:p w14:paraId="5062E808" w14:textId="39875274" w:rsidR="00DC12A4" w:rsidRPr="00834B07" w:rsidRDefault="00DC12A4" w:rsidP="00DC12A4">
      <w:pPr>
        <w:pStyle w:val="FootnoteText"/>
        <w:rPr>
          <w:lang w:val="fr-FR"/>
        </w:rPr>
      </w:pPr>
      <w:r w:rsidRPr="006F6B7A">
        <w:rPr>
          <w:rStyle w:val="FootnoteReference"/>
        </w:rPr>
        <w:footnoteRef/>
      </w:r>
      <w:r w:rsidRPr="006F6B7A">
        <w:t xml:space="preserve"> </w:t>
      </w:r>
      <w:r w:rsidRPr="006F6B7A">
        <w:rPr>
          <w:lang w:val="fr-FR"/>
        </w:rPr>
        <w:tab/>
        <w:t xml:space="preserve">Circulaire C.PCT 1544 du </w:t>
      </w:r>
      <w:r w:rsidR="00C91D2E" w:rsidRPr="006F6B7A">
        <w:rPr>
          <w:lang w:val="fr-FR"/>
        </w:rPr>
        <w:t>9</w:t>
      </w:r>
      <w:r w:rsidR="00C91D2E">
        <w:rPr>
          <w:lang w:val="fr-FR"/>
        </w:rPr>
        <w:t> </w:t>
      </w:r>
      <w:r w:rsidR="00C91D2E" w:rsidRPr="006F6B7A">
        <w:rPr>
          <w:lang w:val="fr-FR"/>
        </w:rPr>
        <w:t>juillet</w:t>
      </w:r>
      <w:r w:rsidR="00C91D2E">
        <w:rPr>
          <w:lang w:val="fr-FR"/>
        </w:rPr>
        <w:t> </w:t>
      </w:r>
      <w:r w:rsidR="00C91D2E" w:rsidRPr="006F6B7A">
        <w:rPr>
          <w:lang w:val="fr-FR"/>
        </w:rPr>
        <w:t>20</w:t>
      </w:r>
      <w:r w:rsidRPr="006F6B7A">
        <w:rPr>
          <w:lang w:val="fr-FR"/>
        </w:rPr>
        <w:t>18, publiée à l</w:t>
      </w:r>
      <w:r w:rsidR="00B77B52">
        <w:rPr>
          <w:lang w:val="fr-FR"/>
        </w:rPr>
        <w:t>’</w:t>
      </w:r>
      <w:r w:rsidRPr="006F6B7A">
        <w:rPr>
          <w:lang w:val="fr-FR"/>
        </w:rPr>
        <w:t xml:space="preserve">adresse </w:t>
      </w:r>
      <w:hyperlink r:id="rId1" w:history="1">
        <w:r w:rsidR="00B80341" w:rsidRPr="00D53469">
          <w:rPr>
            <w:rStyle w:val="Hyperlink"/>
          </w:rPr>
          <w:t>https://www.wipo.int/export/sites/www/pct/en/circulars/2018/1544.pdf</w:t>
        </w:r>
      </w:hyperlink>
    </w:p>
  </w:footnote>
  <w:footnote w:id="4">
    <w:p w14:paraId="6EA03CBF" w14:textId="7680C55A" w:rsidR="00BE7606" w:rsidRPr="006F6B7A" w:rsidRDefault="00BE7606">
      <w:pPr>
        <w:pStyle w:val="FootnoteText"/>
        <w:rPr>
          <w:lang w:val="fr-FR"/>
        </w:rPr>
      </w:pPr>
      <w:r w:rsidRPr="006F6B7A">
        <w:rPr>
          <w:rStyle w:val="FootnoteReference"/>
        </w:rPr>
        <w:footnoteRef/>
      </w:r>
      <w:r w:rsidRPr="006F6B7A">
        <w:t xml:space="preserve"> </w:t>
      </w:r>
      <w:r w:rsidRPr="006F6B7A">
        <w:tab/>
        <w:t xml:space="preserve">Voir le </w:t>
      </w:r>
      <w:r w:rsidR="00C91D2E" w:rsidRPr="006F6B7A">
        <w:t>paragraphe</w:t>
      </w:r>
      <w:r w:rsidR="00C91D2E">
        <w:t> </w:t>
      </w:r>
      <w:r w:rsidR="00C91D2E" w:rsidRPr="006F6B7A">
        <w:t>7</w:t>
      </w:r>
      <w:r w:rsidRPr="006F6B7A">
        <w:t>6 du document PCT/MIA/26/13.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A1C0" w14:textId="22C4A205" w:rsidR="007646DA" w:rsidRPr="00906373" w:rsidRDefault="007646DA" w:rsidP="007646DA">
    <w:pPr>
      <w:jc w:val="right"/>
      <w:rPr>
        <w:lang w:val="en-US"/>
      </w:rPr>
    </w:pPr>
    <w:r w:rsidRPr="00906373">
      <w:rPr>
        <w:lang w:val="en-US"/>
      </w:rPr>
      <w:t>WIPO/GRTKF/IC/</w:t>
    </w:r>
    <w:r>
      <w:rPr>
        <w:lang w:val="en-US"/>
      </w:rPr>
      <w:t>41</w:t>
    </w:r>
    <w:r w:rsidRPr="00906373">
      <w:rPr>
        <w:lang w:val="en-US"/>
      </w:rPr>
      <w:t>/</w:t>
    </w:r>
    <w:r>
      <w:rPr>
        <w:lang w:val="en-US"/>
      </w:rPr>
      <w:t>6</w:t>
    </w:r>
  </w:p>
  <w:p w14:paraId="4F3C0E6D" w14:textId="5079AB6F" w:rsidR="007646DA" w:rsidRPr="00906373" w:rsidRDefault="007646DA" w:rsidP="007646DA">
    <w:pPr>
      <w:jc w:val="right"/>
      <w:rPr>
        <w:lang w:val="en-US"/>
      </w:rPr>
    </w:pPr>
    <w:proofErr w:type="gramStart"/>
    <w:r w:rsidRPr="00906373">
      <w:rPr>
        <w:lang w:val="en-US"/>
      </w:rPr>
      <w:t>page</w:t>
    </w:r>
    <w:proofErr w:type="gramEnd"/>
    <w:r w:rsidRPr="00906373">
      <w:rPr>
        <w:lang w:val="en-US"/>
      </w:rPr>
      <w:t> </w:t>
    </w:r>
    <w:r>
      <w:fldChar w:fldCharType="begin"/>
    </w:r>
    <w:r w:rsidRPr="00906373">
      <w:rPr>
        <w:lang w:val="en-US"/>
      </w:rPr>
      <w:instrText xml:space="preserve"> PAGE  \* MERGEFORMAT </w:instrText>
    </w:r>
    <w:r>
      <w:fldChar w:fldCharType="separate"/>
    </w:r>
    <w:r w:rsidR="00343504">
      <w:rPr>
        <w:noProof/>
        <w:lang w:val="en-US"/>
      </w:rPr>
      <w:t>10</w:t>
    </w:r>
    <w:r>
      <w:fldChar w:fldCharType="end"/>
    </w:r>
  </w:p>
  <w:p w14:paraId="4E0256F8" w14:textId="77777777" w:rsidR="007646DA" w:rsidRDefault="007646DA" w:rsidP="007646DA">
    <w:pPr>
      <w:jc w:val="right"/>
      <w:rPr>
        <w:lang w:val="en-US"/>
      </w:rPr>
    </w:pPr>
  </w:p>
  <w:p w14:paraId="4ACF4D19" w14:textId="77777777" w:rsidR="007646DA" w:rsidRPr="00906373" w:rsidRDefault="007646DA" w:rsidP="007646DA">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01C0" w14:textId="017C25A7" w:rsidR="009B27E2" w:rsidRPr="00906373" w:rsidRDefault="009B27E2" w:rsidP="00477D6B">
    <w:pPr>
      <w:jc w:val="right"/>
      <w:rPr>
        <w:lang w:val="en-US"/>
      </w:rPr>
    </w:pPr>
    <w:r w:rsidRPr="00906373">
      <w:rPr>
        <w:lang w:val="en-US"/>
      </w:rPr>
      <w:t>WIPO/GRTKF/IC/</w:t>
    </w:r>
    <w:r w:rsidR="00D53469">
      <w:rPr>
        <w:lang w:val="en-US"/>
      </w:rPr>
      <w:t>4</w:t>
    </w:r>
    <w:r w:rsidR="004A4584">
      <w:rPr>
        <w:lang w:val="en-US"/>
      </w:rPr>
      <w:t>1</w:t>
    </w:r>
    <w:r w:rsidR="00BB15EC" w:rsidRPr="00906373">
      <w:rPr>
        <w:lang w:val="en-US"/>
      </w:rPr>
      <w:t>/</w:t>
    </w:r>
    <w:r w:rsidR="004A4584">
      <w:rPr>
        <w:lang w:val="en-US"/>
      </w:rPr>
      <w:t>6</w:t>
    </w:r>
  </w:p>
  <w:p w14:paraId="53A6D10E" w14:textId="0EB793D0" w:rsidR="009B27E2" w:rsidRPr="00906373" w:rsidRDefault="009B27E2" w:rsidP="00477D6B">
    <w:pPr>
      <w:jc w:val="right"/>
      <w:rPr>
        <w:lang w:val="en-US"/>
      </w:rPr>
    </w:pPr>
    <w:proofErr w:type="gramStart"/>
    <w:r w:rsidRPr="00906373">
      <w:rPr>
        <w:lang w:val="en-US"/>
      </w:rPr>
      <w:t>page</w:t>
    </w:r>
    <w:proofErr w:type="gramEnd"/>
    <w:r w:rsidR="00792283" w:rsidRPr="00906373">
      <w:rPr>
        <w:lang w:val="en-US"/>
      </w:rPr>
      <w:t> </w:t>
    </w:r>
    <w:r>
      <w:fldChar w:fldCharType="begin"/>
    </w:r>
    <w:r w:rsidRPr="00906373">
      <w:rPr>
        <w:lang w:val="en-US"/>
      </w:rPr>
      <w:instrText xml:space="preserve"> PAGE  \* MERGEFORMAT </w:instrText>
    </w:r>
    <w:r>
      <w:fldChar w:fldCharType="separate"/>
    </w:r>
    <w:r w:rsidR="00343504">
      <w:rPr>
        <w:noProof/>
        <w:lang w:val="en-US"/>
      </w:rPr>
      <w:t>9</w:t>
    </w:r>
    <w:r>
      <w:fldChar w:fldCharType="end"/>
    </w:r>
  </w:p>
  <w:p w14:paraId="41AEE9AA" w14:textId="16E1E73E" w:rsidR="009B27E2" w:rsidRDefault="009B27E2" w:rsidP="00477D6B">
    <w:pPr>
      <w:jc w:val="right"/>
      <w:rPr>
        <w:lang w:val="en-US"/>
      </w:rPr>
    </w:pPr>
  </w:p>
  <w:p w14:paraId="737103AC" w14:textId="77777777" w:rsidR="006F6B7A" w:rsidRPr="00906373" w:rsidRDefault="006F6B7A" w:rsidP="00477D6B">
    <w:pP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FC318" w14:textId="389E8DE7" w:rsidR="007646DA" w:rsidRDefault="00764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50D94"/>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3342880"/>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2417"/>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2503"/>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rawingGridHorizontalSpacing w:val="110"/>
  <w:displayHorizontalDrawingGridEvery w:val="0"/>
  <w:displayVerticalDrawingGridEvery w:val="0"/>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34DCD"/>
    <w:rsid w:val="00040CC4"/>
    <w:rsid w:val="000435B5"/>
    <w:rsid w:val="00043CAA"/>
    <w:rsid w:val="00043F07"/>
    <w:rsid w:val="000440E1"/>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7425"/>
    <w:rsid w:val="000C7791"/>
    <w:rsid w:val="000C7EFE"/>
    <w:rsid w:val="000D1383"/>
    <w:rsid w:val="000D1775"/>
    <w:rsid w:val="000D44C6"/>
    <w:rsid w:val="000D52CA"/>
    <w:rsid w:val="000D5DD0"/>
    <w:rsid w:val="000D690A"/>
    <w:rsid w:val="000D6A3D"/>
    <w:rsid w:val="000D7F58"/>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2425E"/>
    <w:rsid w:val="00130252"/>
    <w:rsid w:val="00130F65"/>
    <w:rsid w:val="001362EE"/>
    <w:rsid w:val="00146C9D"/>
    <w:rsid w:val="00150EB1"/>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2E5"/>
    <w:rsid w:val="001E56F7"/>
    <w:rsid w:val="001E6C4F"/>
    <w:rsid w:val="001F4005"/>
    <w:rsid w:val="001F45D8"/>
    <w:rsid w:val="001F5D07"/>
    <w:rsid w:val="001F78AA"/>
    <w:rsid w:val="001F7B11"/>
    <w:rsid w:val="00201AE5"/>
    <w:rsid w:val="0020670E"/>
    <w:rsid w:val="00210192"/>
    <w:rsid w:val="00211A98"/>
    <w:rsid w:val="00220AC5"/>
    <w:rsid w:val="0022396F"/>
    <w:rsid w:val="00225773"/>
    <w:rsid w:val="00225907"/>
    <w:rsid w:val="0022718D"/>
    <w:rsid w:val="00234BA5"/>
    <w:rsid w:val="00242152"/>
    <w:rsid w:val="00243FE6"/>
    <w:rsid w:val="002443E2"/>
    <w:rsid w:val="002472D1"/>
    <w:rsid w:val="0025117A"/>
    <w:rsid w:val="00257CE9"/>
    <w:rsid w:val="0026210D"/>
    <w:rsid w:val="002634C4"/>
    <w:rsid w:val="00264078"/>
    <w:rsid w:val="00270768"/>
    <w:rsid w:val="00271972"/>
    <w:rsid w:val="00273C7E"/>
    <w:rsid w:val="00274B73"/>
    <w:rsid w:val="002762E5"/>
    <w:rsid w:val="00280B59"/>
    <w:rsid w:val="002816D1"/>
    <w:rsid w:val="00282252"/>
    <w:rsid w:val="00284B74"/>
    <w:rsid w:val="00284D51"/>
    <w:rsid w:val="00287209"/>
    <w:rsid w:val="002928D3"/>
    <w:rsid w:val="00296644"/>
    <w:rsid w:val="002A1CDD"/>
    <w:rsid w:val="002A2659"/>
    <w:rsid w:val="002B173C"/>
    <w:rsid w:val="002B2725"/>
    <w:rsid w:val="002B43A6"/>
    <w:rsid w:val="002B4DC7"/>
    <w:rsid w:val="002B5072"/>
    <w:rsid w:val="002B528F"/>
    <w:rsid w:val="002B7814"/>
    <w:rsid w:val="002C43D2"/>
    <w:rsid w:val="002C6CAD"/>
    <w:rsid w:val="002C7404"/>
    <w:rsid w:val="002C7A5D"/>
    <w:rsid w:val="002D0086"/>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3504"/>
    <w:rsid w:val="00345B15"/>
    <w:rsid w:val="00353311"/>
    <w:rsid w:val="0035706F"/>
    <w:rsid w:val="0036035F"/>
    <w:rsid w:val="00361450"/>
    <w:rsid w:val="003673CF"/>
    <w:rsid w:val="003679F4"/>
    <w:rsid w:val="003709A0"/>
    <w:rsid w:val="00370A3E"/>
    <w:rsid w:val="00371D9C"/>
    <w:rsid w:val="00372B34"/>
    <w:rsid w:val="00372F18"/>
    <w:rsid w:val="00374900"/>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567E"/>
    <w:rsid w:val="00427AF4"/>
    <w:rsid w:val="00430BBB"/>
    <w:rsid w:val="004318B3"/>
    <w:rsid w:val="004331DB"/>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3F67"/>
    <w:rsid w:val="004A4584"/>
    <w:rsid w:val="004A79D2"/>
    <w:rsid w:val="004B2711"/>
    <w:rsid w:val="004C05A1"/>
    <w:rsid w:val="004C2215"/>
    <w:rsid w:val="004C382A"/>
    <w:rsid w:val="004C6808"/>
    <w:rsid w:val="004D11A7"/>
    <w:rsid w:val="004D378D"/>
    <w:rsid w:val="004D7C81"/>
    <w:rsid w:val="004E087E"/>
    <w:rsid w:val="004E10C4"/>
    <w:rsid w:val="004E1709"/>
    <w:rsid w:val="004E4447"/>
    <w:rsid w:val="004E71D2"/>
    <w:rsid w:val="004F43E7"/>
    <w:rsid w:val="004F7E37"/>
    <w:rsid w:val="005019FF"/>
    <w:rsid w:val="0050361A"/>
    <w:rsid w:val="00510EE8"/>
    <w:rsid w:val="00512C0D"/>
    <w:rsid w:val="00513585"/>
    <w:rsid w:val="00516FFB"/>
    <w:rsid w:val="00520DFF"/>
    <w:rsid w:val="00524FAA"/>
    <w:rsid w:val="005253AF"/>
    <w:rsid w:val="005261F7"/>
    <w:rsid w:val="00527D69"/>
    <w:rsid w:val="005302E2"/>
    <w:rsid w:val="0053057A"/>
    <w:rsid w:val="00530717"/>
    <w:rsid w:val="00530E68"/>
    <w:rsid w:val="0054022D"/>
    <w:rsid w:val="0054035E"/>
    <w:rsid w:val="00544060"/>
    <w:rsid w:val="00547303"/>
    <w:rsid w:val="00553D5E"/>
    <w:rsid w:val="0055525C"/>
    <w:rsid w:val="00560A29"/>
    <w:rsid w:val="00560F39"/>
    <w:rsid w:val="00564DC6"/>
    <w:rsid w:val="00570964"/>
    <w:rsid w:val="00571772"/>
    <w:rsid w:val="00572C7A"/>
    <w:rsid w:val="0057529A"/>
    <w:rsid w:val="0057535D"/>
    <w:rsid w:val="005763C2"/>
    <w:rsid w:val="00576D44"/>
    <w:rsid w:val="0057702D"/>
    <w:rsid w:val="005803AF"/>
    <w:rsid w:val="00586344"/>
    <w:rsid w:val="0058762C"/>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6C34"/>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91990"/>
    <w:rsid w:val="006A0062"/>
    <w:rsid w:val="006A0F41"/>
    <w:rsid w:val="006A3154"/>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6F6B7A"/>
    <w:rsid w:val="0070083F"/>
    <w:rsid w:val="00702F84"/>
    <w:rsid w:val="007045E0"/>
    <w:rsid w:val="00710594"/>
    <w:rsid w:val="00712184"/>
    <w:rsid w:val="007156D4"/>
    <w:rsid w:val="007157D1"/>
    <w:rsid w:val="007169B3"/>
    <w:rsid w:val="00725362"/>
    <w:rsid w:val="00725378"/>
    <w:rsid w:val="00727634"/>
    <w:rsid w:val="007320E2"/>
    <w:rsid w:val="00733723"/>
    <w:rsid w:val="00741D5F"/>
    <w:rsid w:val="00744F61"/>
    <w:rsid w:val="007475F5"/>
    <w:rsid w:val="007515DE"/>
    <w:rsid w:val="0075289E"/>
    <w:rsid w:val="007646DA"/>
    <w:rsid w:val="00770E4B"/>
    <w:rsid w:val="00780036"/>
    <w:rsid w:val="00780DC6"/>
    <w:rsid w:val="00785321"/>
    <w:rsid w:val="0078710B"/>
    <w:rsid w:val="007906E6"/>
    <w:rsid w:val="00792283"/>
    <w:rsid w:val="00795606"/>
    <w:rsid w:val="0079706F"/>
    <w:rsid w:val="007A0F1D"/>
    <w:rsid w:val="007A340E"/>
    <w:rsid w:val="007A395C"/>
    <w:rsid w:val="007A4524"/>
    <w:rsid w:val="007A4572"/>
    <w:rsid w:val="007A6E7A"/>
    <w:rsid w:val="007A74C3"/>
    <w:rsid w:val="007D0FAC"/>
    <w:rsid w:val="007D1613"/>
    <w:rsid w:val="007D5B0F"/>
    <w:rsid w:val="007E01C7"/>
    <w:rsid w:val="007E1589"/>
    <w:rsid w:val="007E384A"/>
    <w:rsid w:val="007E4874"/>
    <w:rsid w:val="007E60AD"/>
    <w:rsid w:val="007E70A6"/>
    <w:rsid w:val="007F2835"/>
    <w:rsid w:val="007F4252"/>
    <w:rsid w:val="008028A6"/>
    <w:rsid w:val="008030F2"/>
    <w:rsid w:val="00803317"/>
    <w:rsid w:val="008063D4"/>
    <w:rsid w:val="008075E6"/>
    <w:rsid w:val="00807C27"/>
    <w:rsid w:val="00813173"/>
    <w:rsid w:val="008171F8"/>
    <w:rsid w:val="0081774F"/>
    <w:rsid w:val="00821366"/>
    <w:rsid w:val="00824AC1"/>
    <w:rsid w:val="0082573F"/>
    <w:rsid w:val="00826009"/>
    <w:rsid w:val="0082649E"/>
    <w:rsid w:val="00832E3E"/>
    <w:rsid w:val="008349EC"/>
    <w:rsid w:val="00834ABF"/>
    <w:rsid w:val="00834B07"/>
    <w:rsid w:val="00836FFE"/>
    <w:rsid w:val="00837696"/>
    <w:rsid w:val="008421CD"/>
    <w:rsid w:val="00843987"/>
    <w:rsid w:val="00846690"/>
    <w:rsid w:val="00850556"/>
    <w:rsid w:val="0085086E"/>
    <w:rsid w:val="00854B01"/>
    <w:rsid w:val="008566D9"/>
    <w:rsid w:val="00863989"/>
    <w:rsid w:val="00864967"/>
    <w:rsid w:val="00873E1A"/>
    <w:rsid w:val="008763E1"/>
    <w:rsid w:val="00877408"/>
    <w:rsid w:val="008777AC"/>
    <w:rsid w:val="00881728"/>
    <w:rsid w:val="008949DE"/>
    <w:rsid w:val="0089741C"/>
    <w:rsid w:val="00897452"/>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373"/>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2881"/>
    <w:rsid w:val="009C75E5"/>
    <w:rsid w:val="009D07C4"/>
    <w:rsid w:val="009D1F7A"/>
    <w:rsid w:val="009D3767"/>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27D6"/>
    <w:rsid w:val="00A3604A"/>
    <w:rsid w:val="00A36E55"/>
    <w:rsid w:val="00A42DAF"/>
    <w:rsid w:val="00A44EBB"/>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236D"/>
    <w:rsid w:val="00AF4665"/>
    <w:rsid w:val="00AF655A"/>
    <w:rsid w:val="00AF67BB"/>
    <w:rsid w:val="00B05532"/>
    <w:rsid w:val="00B05A69"/>
    <w:rsid w:val="00B06736"/>
    <w:rsid w:val="00B06F97"/>
    <w:rsid w:val="00B10469"/>
    <w:rsid w:val="00B213F2"/>
    <w:rsid w:val="00B23CBA"/>
    <w:rsid w:val="00B23EF9"/>
    <w:rsid w:val="00B30D8B"/>
    <w:rsid w:val="00B30DC2"/>
    <w:rsid w:val="00B45C8D"/>
    <w:rsid w:val="00B52711"/>
    <w:rsid w:val="00B52BE5"/>
    <w:rsid w:val="00B564EE"/>
    <w:rsid w:val="00B56CFC"/>
    <w:rsid w:val="00B57824"/>
    <w:rsid w:val="00B669AD"/>
    <w:rsid w:val="00B71A6B"/>
    <w:rsid w:val="00B7414E"/>
    <w:rsid w:val="00B75E43"/>
    <w:rsid w:val="00B76EEC"/>
    <w:rsid w:val="00B77B52"/>
    <w:rsid w:val="00B80341"/>
    <w:rsid w:val="00B8068F"/>
    <w:rsid w:val="00B8377C"/>
    <w:rsid w:val="00B83CC6"/>
    <w:rsid w:val="00B8431D"/>
    <w:rsid w:val="00B844E6"/>
    <w:rsid w:val="00B90931"/>
    <w:rsid w:val="00B9151C"/>
    <w:rsid w:val="00B9255D"/>
    <w:rsid w:val="00B94273"/>
    <w:rsid w:val="00B96200"/>
    <w:rsid w:val="00B972E9"/>
    <w:rsid w:val="00B9734B"/>
    <w:rsid w:val="00BA36B4"/>
    <w:rsid w:val="00BA67BA"/>
    <w:rsid w:val="00BB15EC"/>
    <w:rsid w:val="00BB30B9"/>
    <w:rsid w:val="00BB473A"/>
    <w:rsid w:val="00BB6A49"/>
    <w:rsid w:val="00BB753F"/>
    <w:rsid w:val="00BC06C5"/>
    <w:rsid w:val="00BC08BF"/>
    <w:rsid w:val="00BC150A"/>
    <w:rsid w:val="00BC57B2"/>
    <w:rsid w:val="00BD1067"/>
    <w:rsid w:val="00BE062F"/>
    <w:rsid w:val="00BE1342"/>
    <w:rsid w:val="00BE2F3A"/>
    <w:rsid w:val="00BE6C25"/>
    <w:rsid w:val="00BE7606"/>
    <w:rsid w:val="00BF2FE1"/>
    <w:rsid w:val="00BF46A4"/>
    <w:rsid w:val="00BF4936"/>
    <w:rsid w:val="00BF5DC2"/>
    <w:rsid w:val="00BF79A6"/>
    <w:rsid w:val="00C01090"/>
    <w:rsid w:val="00C1192E"/>
    <w:rsid w:val="00C11BFE"/>
    <w:rsid w:val="00C14B49"/>
    <w:rsid w:val="00C15E10"/>
    <w:rsid w:val="00C2108C"/>
    <w:rsid w:val="00C214DE"/>
    <w:rsid w:val="00C22446"/>
    <w:rsid w:val="00C24542"/>
    <w:rsid w:val="00C24890"/>
    <w:rsid w:val="00C24A52"/>
    <w:rsid w:val="00C276B3"/>
    <w:rsid w:val="00C44003"/>
    <w:rsid w:val="00C47BA1"/>
    <w:rsid w:val="00C50443"/>
    <w:rsid w:val="00C5129D"/>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91D2E"/>
    <w:rsid w:val="00C93B0A"/>
    <w:rsid w:val="00C946CC"/>
    <w:rsid w:val="00CA05B3"/>
    <w:rsid w:val="00CB205D"/>
    <w:rsid w:val="00CB3022"/>
    <w:rsid w:val="00CB3B6B"/>
    <w:rsid w:val="00CB5D83"/>
    <w:rsid w:val="00CB6F18"/>
    <w:rsid w:val="00CB79CA"/>
    <w:rsid w:val="00CC0EA1"/>
    <w:rsid w:val="00CC170C"/>
    <w:rsid w:val="00CC635A"/>
    <w:rsid w:val="00CD1338"/>
    <w:rsid w:val="00CD1A9E"/>
    <w:rsid w:val="00CD4ACB"/>
    <w:rsid w:val="00CF1276"/>
    <w:rsid w:val="00CF2A59"/>
    <w:rsid w:val="00CF4996"/>
    <w:rsid w:val="00CF4C92"/>
    <w:rsid w:val="00D01586"/>
    <w:rsid w:val="00D02FAF"/>
    <w:rsid w:val="00D12695"/>
    <w:rsid w:val="00D15133"/>
    <w:rsid w:val="00D20201"/>
    <w:rsid w:val="00D24655"/>
    <w:rsid w:val="00D31075"/>
    <w:rsid w:val="00D35084"/>
    <w:rsid w:val="00D3631E"/>
    <w:rsid w:val="00D44E54"/>
    <w:rsid w:val="00D45252"/>
    <w:rsid w:val="00D4664B"/>
    <w:rsid w:val="00D46772"/>
    <w:rsid w:val="00D47C14"/>
    <w:rsid w:val="00D501DE"/>
    <w:rsid w:val="00D53469"/>
    <w:rsid w:val="00D5349A"/>
    <w:rsid w:val="00D54467"/>
    <w:rsid w:val="00D551A4"/>
    <w:rsid w:val="00D61EC7"/>
    <w:rsid w:val="00D71B4D"/>
    <w:rsid w:val="00D74BA6"/>
    <w:rsid w:val="00D77A5D"/>
    <w:rsid w:val="00D77E0A"/>
    <w:rsid w:val="00D8191F"/>
    <w:rsid w:val="00D83751"/>
    <w:rsid w:val="00D83FFA"/>
    <w:rsid w:val="00D85A65"/>
    <w:rsid w:val="00D86578"/>
    <w:rsid w:val="00D923F4"/>
    <w:rsid w:val="00D93AEA"/>
    <w:rsid w:val="00D93D55"/>
    <w:rsid w:val="00D962C3"/>
    <w:rsid w:val="00D96B2C"/>
    <w:rsid w:val="00DA1339"/>
    <w:rsid w:val="00DA64C8"/>
    <w:rsid w:val="00DB0DD5"/>
    <w:rsid w:val="00DB24E1"/>
    <w:rsid w:val="00DB2BBE"/>
    <w:rsid w:val="00DB467C"/>
    <w:rsid w:val="00DC12A4"/>
    <w:rsid w:val="00DC193B"/>
    <w:rsid w:val="00DD04FB"/>
    <w:rsid w:val="00DD3219"/>
    <w:rsid w:val="00DD4A92"/>
    <w:rsid w:val="00DE1F47"/>
    <w:rsid w:val="00DF0023"/>
    <w:rsid w:val="00DF2943"/>
    <w:rsid w:val="00DF3BBB"/>
    <w:rsid w:val="00DF4C66"/>
    <w:rsid w:val="00DF53F6"/>
    <w:rsid w:val="00DF77BC"/>
    <w:rsid w:val="00DF796D"/>
    <w:rsid w:val="00E04EE9"/>
    <w:rsid w:val="00E11028"/>
    <w:rsid w:val="00E21F07"/>
    <w:rsid w:val="00E22405"/>
    <w:rsid w:val="00E33129"/>
    <w:rsid w:val="00E335FE"/>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F0A11"/>
    <w:rsid w:val="00EF32F0"/>
    <w:rsid w:val="00EF38A0"/>
    <w:rsid w:val="00F00ACE"/>
    <w:rsid w:val="00F065CA"/>
    <w:rsid w:val="00F148D4"/>
    <w:rsid w:val="00F15270"/>
    <w:rsid w:val="00F152D7"/>
    <w:rsid w:val="00F16906"/>
    <w:rsid w:val="00F229EA"/>
    <w:rsid w:val="00F26782"/>
    <w:rsid w:val="00F31AC7"/>
    <w:rsid w:val="00F32EAA"/>
    <w:rsid w:val="00F358B6"/>
    <w:rsid w:val="00F3613B"/>
    <w:rsid w:val="00F37219"/>
    <w:rsid w:val="00F408E8"/>
    <w:rsid w:val="00F40B76"/>
    <w:rsid w:val="00F43307"/>
    <w:rsid w:val="00F54A82"/>
    <w:rsid w:val="00F56A7F"/>
    <w:rsid w:val="00F5778B"/>
    <w:rsid w:val="00F57C75"/>
    <w:rsid w:val="00F644BD"/>
    <w:rsid w:val="00F66152"/>
    <w:rsid w:val="00F66DFB"/>
    <w:rsid w:val="00F8373D"/>
    <w:rsid w:val="00F83C01"/>
    <w:rsid w:val="00F84B32"/>
    <w:rsid w:val="00F87E89"/>
    <w:rsid w:val="00F914CB"/>
    <w:rsid w:val="00FB0231"/>
    <w:rsid w:val="00FB1F55"/>
    <w:rsid w:val="00FB5E90"/>
    <w:rsid w:val="00FC629C"/>
    <w:rsid w:val="00FC7A13"/>
    <w:rsid w:val="00FD6BB3"/>
    <w:rsid w:val="00FD7454"/>
    <w:rsid w:val="00FD7F9F"/>
    <w:rsid w:val="00FE0BAC"/>
    <w:rsid w:val="00FE1B2B"/>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 w:type="character" w:customStyle="1" w:styleId="FootnoteTextChar">
    <w:name w:val="Footnote Text Char"/>
    <w:basedOn w:val="DefaultParagraphFont"/>
    <w:link w:val="FootnoteText"/>
    <w:semiHidden/>
    <w:rsid w:val="0070083F"/>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17william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edocs/mdocs/tk/en/wipo_iptk_ge_2_15/wipo_iptk_ge_2_15_presentation_yoshinari_oyam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6mead.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etails.jsp?meeting_id=224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4rowe.pdf" TargetMode="External"/><Relationship Id="rId23" Type="http://schemas.openxmlformats.org/officeDocument/2006/relationships/fontTable" Target="fontTable.xml"/><Relationship Id="rId10" Type="http://schemas.openxmlformats.org/officeDocument/2006/relationships/hyperlink" Target="https://www.wipo.int/tk/fr/resources/db_registry.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publications/fr/details.jsp?id=4235" TargetMode="External"/><Relationship Id="rId14" Type="http://schemas.openxmlformats.org/officeDocument/2006/relationships/hyperlink" Target="https://www.wipo.int/edocs/mdocs/tk/en/wipo_iptk_ge_2_15/wipo_iptk_ge_2_15_presentation_yonah_seleti.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E96E-18A6-4725-8E7D-9B910C64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4CAF5E81</Template>
  <TotalTime>0</TotalTime>
  <Pages>10</Pages>
  <Words>4376</Words>
  <Characters>27596</Characters>
  <Application>Microsoft Office Word</Application>
  <DocSecurity>0</DocSecurity>
  <Lines>434</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31987</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FOR OFFICIAL USE ONLY</cp:keywords>
  <cp:lastModifiedBy/>
  <cp:revision>1</cp:revision>
  <dcterms:created xsi:type="dcterms:W3CDTF">2020-02-17T10:50:00Z</dcterms:created>
  <dcterms:modified xsi:type="dcterms:W3CDTF">2020-02-18T15:24:00Z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ad4dba65-f384-4416-bd0b-678e024df429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