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eastAsia="fr-FR"/>
              </w:rPr>
              <w:drawing>
                <wp:inline distT="0" distB="0" distL="0" distR="0" wp14:anchorId="6700ACEE" wp14:editId="1FF70A31">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E506BC">
            <w:pPr>
              <w:jc w:val="right"/>
              <w:rPr>
                <w:rFonts w:ascii="Arial Black" w:hAnsi="Arial Black"/>
                <w:caps/>
                <w:sz w:val="15"/>
              </w:rPr>
            </w:pPr>
            <w:r w:rsidRPr="00E8642C">
              <w:rPr>
                <w:rFonts w:ascii="Arial Black" w:hAnsi="Arial Black"/>
                <w:caps/>
                <w:sz w:val="15"/>
              </w:rPr>
              <w:t>WIPO/GRTKF/IC/</w:t>
            </w:r>
            <w:r w:rsidR="00E506BC">
              <w:rPr>
                <w:rFonts w:ascii="Arial Black" w:hAnsi="Arial Black"/>
                <w:caps/>
                <w:sz w:val="15"/>
              </w:rPr>
              <w:t>40</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4D2AA1">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E506BC">
            <w:pPr>
              <w:jc w:val="right"/>
              <w:rPr>
                <w:rFonts w:ascii="Arial Black" w:hAnsi="Arial Black"/>
                <w:caps/>
                <w:sz w:val="15"/>
              </w:rPr>
            </w:pPr>
            <w:r w:rsidRPr="00E8642C">
              <w:rPr>
                <w:rFonts w:ascii="Arial Black" w:hAnsi="Arial Black"/>
                <w:caps/>
                <w:sz w:val="15"/>
              </w:rPr>
              <w:t>DATE</w:t>
            </w:r>
            <w:r w:rsidR="004D2AA1">
              <w:rPr>
                <w:rFonts w:ascii="Arial Black" w:hAnsi="Arial Black"/>
                <w:caps/>
                <w:sz w:val="15"/>
              </w:rPr>
              <w:t> :</w:t>
            </w:r>
            <w:r w:rsidRPr="00E8642C">
              <w:rPr>
                <w:rFonts w:ascii="Arial Black" w:hAnsi="Arial Black"/>
                <w:caps/>
                <w:sz w:val="15"/>
              </w:rPr>
              <w:t xml:space="preserve"> </w:t>
            </w:r>
            <w:r w:rsidR="00BB3BEF">
              <w:rPr>
                <w:rFonts w:ascii="Arial Black" w:hAnsi="Arial Black"/>
                <w:caps/>
                <w:sz w:val="15"/>
              </w:rPr>
              <w:t>10 </w:t>
            </w:r>
            <w:r w:rsidR="00E506BC">
              <w:rPr>
                <w:rFonts w:ascii="Arial Black" w:hAnsi="Arial Black"/>
                <w:caps/>
                <w:sz w:val="15"/>
              </w:rPr>
              <w:t>AVRIL </w:t>
            </w:r>
            <w:r w:rsidR="00BB3BEF">
              <w:rPr>
                <w:rFonts w:ascii="Arial Black" w:hAnsi="Arial Black"/>
                <w:caps/>
                <w:sz w:val="15"/>
              </w:rPr>
              <w:t>2019</w:t>
            </w:r>
          </w:p>
        </w:tc>
      </w:tr>
    </w:tbl>
    <w:p w:rsidR="00D05100" w:rsidRPr="00E8642C" w:rsidRDefault="00AF32FD" w:rsidP="00912E24">
      <w:pPr>
        <w:spacing w:before="1200" w:after="600"/>
        <w:rPr>
          <w:rFonts w:cs="Arial"/>
          <w:b/>
          <w:sz w:val="28"/>
          <w:szCs w:val="28"/>
        </w:rPr>
      </w:pPr>
      <w:r w:rsidRPr="00E8642C">
        <w:rPr>
          <w:rFonts w:cs="Arial"/>
          <w:b/>
          <w:sz w:val="28"/>
          <w:szCs w:val="28"/>
        </w:rPr>
        <w:t>Comité intergouvernemental de la propriété intellectuelle relative aux</w:t>
      </w:r>
      <w:r w:rsidR="003F6300">
        <w:rPr>
          <w:rFonts w:cs="Arial"/>
          <w:b/>
          <w:sz w:val="28"/>
          <w:szCs w:val="28"/>
        </w:rPr>
        <w:t xml:space="preserve"> </w:t>
      </w:r>
      <w:r w:rsidRPr="00E8642C">
        <w:rPr>
          <w:rFonts w:cs="Arial"/>
          <w:b/>
          <w:sz w:val="28"/>
          <w:szCs w:val="28"/>
        </w:rPr>
        <w:t>ressources génétiques, aux savoirs traditionnels et au folklore</w:t>
      </w:r>
    </w:p>
    <w:p w:rsidR="00D05100" w:rsidRPr="00E8642C" w:rsidRDefault="00E506BC" w:rsidP="00EF6794">
      <w:pPr>
        <w:rPr>
          <w:rFonts w:cs="Arial"/>
          <w:b/>
          <w:sz w:val="24"/>
          <w:szCs w:val="24"/>
        </w:rPr>
      </w:pPr>
      <w:r>
        <w:rPr>
          <w:rFonts w:cs="Arial"/>
          <w:b/>
          <w:sz w:val="24"/>
          <w:szCs w:val="24"/>
        </w:rPr>
        <w:t>Quarant</w:t>
      </w:r>
      <w:r w:rsidR="00BB3BEF">
        <w:rPr>
          <w:rFonts w:cs="Arial"/>
          <w:b/>
          <w:sz w:val="24"/>
          <w:szCs w:val="24"/>
        </w:rPr>
        <w:t>ième </w:t>
      </w:r>
      <w:r w:rsidR="004D2AA1">
        <w:rPr>
          <w:rFonts w:cs="Arial"/>
          <w:b/>
          <w:sz w:val="24"/>
          <w:szCs w:val="24"/>
        </w:rPr>
        <w:t>session</w:t>
      </w:r>
    </w:p>
    <w:p w:rsidR="00D05100" w:rsidRPr="00E8642C" w:rsidRDefault="00AF32FD" w:rsidP="00EF6794">
      <w:pPr>
        <w:rPr>
          <w:rFonts w:cs="Arial"/>
          <w:b/>
          <w:sz w:val="24"/>
          <w:szCs w:val="24"/>
        </w:rPr>
      </w:pPr>
      <w:r w:rsidRPr="00E8642C">
        <w:rPr>
          <w:rFonts w:cs="Arial"/>
          <w:b/>
          <w:sz w:val="24"/>
          <w:szCs w:val="24"/>
        </w:rPr>
        <w:t xml:space="preserve">Genève, </w:t>
      </w:r>
      <w:r w:rsidR="00BB3BEF">
        <w:rPr>
          <w:rFonts w:cs="Arial"/>
          <w:b/>
          <w:sz w:val="24"/>
          <w:szCs w:val="24"/>
        </w:rPr>
        <w:t>1</w:t>
      </w:r>
      <w:r w:rsidR="00E506BC">
        <w:rPr>
          <w:rFonts w:cs="Arial"/>
          <w:b/>
          <w:sz w:val="24"/>
          <w:szCs w:val="24"/>
        </w:rPr>
        <w:t>7</w:t>
      </w:r>
      <w:r w:rsidR="00BB3BEF">
        <w:rPr>
          <w:rFonts w:cs="Arial"/>
          <w:b/>
          <w:sz w:val="24"/>
          <w:szCs w:val="24"/>
        </w:rPr>
        <w:t xml:space="preserve"> </w:t>
      </w:r>
      <w:r w:rsidR="00957D11" w:rsidRPr="00E8642C">
        <w:rPr>
          <w:rFonts w:cs="Arial"/>
          <w:b/>
          <w:sz w:val="24"/>
          <w:szCs w:val="24"/>
        </w:rPr>
        <w:t>–</w:t>
      </w:r>
      <w:r w:rsidR="00957D11">
        <w:rPr>
          <w:rFonts w:cs="Arial"/>
          <w:b/>
          <w:sz w:val="24"/>
          <w:szCs w:val="24"/>
        </w:rPr>
        <w:t xml:space="preserve"> </w:t>
      </w:r>
      <w:r w:rsidR="00BB3BEF">
        <w:rPr>
          <w:rFonts w:cs="Arial"/>
          <w:b/>
          <w:sz w:val="24"/>
          <w:szCs w:val="24"/>
        </w:rPr>
        <w:t>2</w:t>
      </w:r>
      <w:r w:rsidR="00E506BC">
        <w:rPr>
          <w:rFonts w:cs="Arial"/>
          <w:b/>
          <w:sz w:val="24"/>
          <w:szCs w:val="24"/>
        </w:rPr>
        <w:t>1</w:t>
      </w:r>
      <w:r w:rsidR="00BB3BEF">
        <w:rPr>
          <w:rFonts w:cs="Arial"/>
          <w:b/>
          <w:sz w:val="24"/>
          <w:szCs w:val="24"/>
        </w:rPr>
        <w:t> </w:t>
      </w:r>
      <w:r w:rsidR="00E506BC">
        <w:rPr>
          <w:rFonts w:cs="Arial"/>
          <w:b/>
          <w:sz w:val="24"/>
          <w:szCs w:val="24"/>
        </w:rPr>
        <w:t>juin</w:t>
      </w:r>
      <w:r w:rsidR="00BB3BEF" w:rsidRPr="00E8642C">
        <w:rPr>
          <w:rFonts w:cs="Arial"/>
          <w:b/>
          <w:color w:val="000000"/>
          <w:sz w:val="24"/>
          <w:szCs w:val="22"/>
        </w:rPr>
        <w:t> </w:t>
      </w:r>
      <w:r w:rsidR="0061367E" w:rsidRPr="00E8642C">
        <w:rPr>
          <w:rFonts w:cs="Arial"/>
          <w:b/>
          <w:sz w:val="24"/>
          <w:szCs w:val="24"/>
        </w:rPr>
        <w:t>20</w:t>
      </w:r>
      <w:r w:rsidR="00AE66F5" w:rsidRPr="00E8642C">
        <w:rPr>
          <w:rFonts w:cs="Arial"/>
          <w:b/>
          <w:sz w:val="24"/>
          <w:szCs w:val="24"/>
        </w:rPr>
        <w:t>1</w:t>
      </w:r>
      <w:r w:rsidR="002B36FC" w:rsidRPr="00E8642C">
        <w:rPr>
          <w:rFonts w:cs="Arial"/>
          <w:b/>
          <w:sz w:val="24"/>
          <w:szCs w:val="24"/>
        </w:rPr>
        <w:t>8</w:t>
      </w:r>
    </w:p>
    <w:p w:rsidR="00D05100" w:rsidRPr="00E8642C" w:rsidRDefault="007019FF" w:rsidP="00912E24">
      <w:pPr>
        <w:spacing w:before="720" w:after="360"/>
        <w:rPr>
          <w:b/>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DF55A4" w:rsidRDefault="0051068B" w:rsidP="00EF6794">
      <w:pPr>
        <w:pStyle w:val="Heading1"/>
        <w:rPr>
          <w:b/>
          <w:u w:val="single"/>
        </w:rPr>
      </w:pPr>
      <w:r w:rsidRPr="00DF55A4">
        <w:rPr>
          <w:b/>
          <w:u w:val="single"/>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r w:rsidR="00693FC7">
        <w:t xml:space="preserve"> </w:t>
      </w:r>
      <w:r w:rsidR="00750750">
        <w:t>Un index est inclus pour plus de commodité.</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AF32FD" w:rsidRPr="00E8642C" w:rsidRDefault="00AF32FD" w:rsidP="00DF55A4">
      <w:pPr>
        <w:pStyle w:val="Endofdocument"/>
        <w:spacing w:after="0" w:line="240" w:lineRule="auto"/>
        <w:ind w:left="5533"/>
        <w:rPr>
          <w:rFonts w:cs="Arial"/>
          <w:szCs w:val="22"/>
        </w:rPr>
        <w:sectPr w:rsidR="00AF32FD" w:rsidRPr="00E8642C" w:rsidSect="00DC26CA">
          <w:headerReference w:type="even" r:id="rId9"/>
          <w:headerReference w:type="default" r:id="rId10"/>
          <w:footerReference w:type="even" r:id="rId11"/>
          <w:footerReference w:type="default" r:id="rId12"/>
          <w:footerReference w:type="first" r:id="rId13"/>
          <w:footnotePr>
            <w:numRestart w:val="eachSect"/>
          </w:footnotePr>
          <w:pgSz w:w="11907" w:h="16840" w:code="9"/>
          <w:pgMar w:top="567" w:right="1134" w:bottom="1418" w:left="1418" w:header="510" w:footer="1021" w:gutter="0"/>
          <w:pgNumType w:start="1"/>
          <w:cols w:space="720"/>
          <w:titlePg/>
          <w:docGrid w:linePitch="272"/>
        </w:sectPr>
      </w:pPr>
      <w:r w:rsidRPr="00E8642C">
        <w:rPr>
          <w:szCs w:val="22"/>
        </w:rPr>
        <w:t>[L</w:t>
      </w:r>
      <w:r w:rsidR="004D2AA1">
        <w:rPr>
          <w:szCs w:val="22"/>
        </w:rPr>
        <w:t>’</w:t>
      </w:r>
      <w:r w:rsidRPr="00E8642C">
        <w:rPr>
          <w:szCs w:val="22"/>
        </w:rPr>
        <w:t>annexe suit]</w:t>
      </w: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Default="00D05100" w:rsidP="00EF6794">
      <w:pPr>
        <w:rPr>
          <w:rFonts w:cs="Arial"/>
          <w:szCs w:val="22"/>
        </w:rPr>
      </w:pPr>
    </w:p>
    <w:p w:rsidR="00E506BC" w:rsidRPr="00E8642C" w:rsidRDefault="00E506BC" w:rsidP="00EF6794">
      <w:pPr>
        <w:rPr>
          <w:rFonts w:cs="Arial"/>
          <w:szCs w:val="22"/>
        </w:rPr>
      </w:pP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C67D83">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d’un commun accord</w:t>
      </w:r>
      <w:r>
        <w:rPr>
          <w:noProof/>
        </w:rPr>
        <w:tab/>
      </w:r>
      <w:r>
        <w:rPr>
          <w:noProof/>
        </w:rPr>
        <w:fldChar w:fldCharType="begin"/>
      </w:r>
      <w:r>
        <w:rPr>
          <w:noProof/>
        </w:rPr>
        <w:instrText xml:space="preserve"> PAGEREF _Toc7772504 \h </w:instrText>
      </w:r>
      <w:r>
        <w:rPr>
          <w:noProof/>
        </w:rPr>
      </w:r>
      <w:r>
        <w:rPr>
          <w:noProof/>
        </w:rPr>
        <w:fldChar w:fldCharType="separate"/>
      </w:r>
      <w:r>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concernant les mesures à prendre pour interdire et empêcher l’importation, l’exportation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des Nations Unies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Déclaration universelle des droits de l’homme</w:t>
      </w:r>
      <w:r>
        <w:rPr>
          <w:noProof/>
        </w:rPr>
        <w:tab/>
      </w:r>
      <w:r>
        <w:rPr>
          <w:noProof/>
        </w:rPr>
        <w:fldChar w:fldCharType="begin"/>
      </w:r>
      <w:r>
        <w:rPr>
          <w:noProof/>
        </w:rPr>
        <w:instrText xml:space="preserve"> PAGEREF _Toc7772520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Pr>
          <w:noProof/>
        </w:rPr>
        <w:noBreakHyphen/>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l’action</w:t>
      </w:r>
      <w:r>
        <w:rPr>
          <w:noProof/>
        </w:rPr>
        <w:tab/>
      </w:r>
      <w:r>
        <w:rPr>
          <w:noProof/>
        </w:rPr>
        <w:fldChar w:fldCharType="begin"/>
      </w:r>
      <w:r>
        <w:rPr>
          <w:noProof/>
        </w:rPr>
        <w:instrText xml:space="preserve"> PAGEREF _Toc7772536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l’OMPI sur la fixation des savoirs traditionnels (Instrument d’aide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d’échange d’information</w:t>
      </w:r>
      <w:r>
        <w:rPr>
          <w:noProof/>
        </w:rPr>
        <w:tab/>
      </w:r>
      <w:r>
        <w:rPr>
          <w:noProof/>
        </w:rPr>
        <w:fldChar w:fldCharType="begin"/>
      </w:r>
      <w:r>
        <w:rPr>
          <w:noProof/>
        </w:rPr>
        <w:instrText xml:space="preserve"> PAGEREF _Toc7772553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Modification</w:t>
      </w:r>
      <w:r>
        <w:rPr>
          <w:noProof/>
        </w:rPr>
        <w:tab/>
      </w:r>
      <w:r>
        <w:rPr>
          <w:noProof/>
        </w:rPr>
        <w:fldChar w:fldCharType="begin"/>
      </w:r>
      <w:r>
        <w:rPr>
          <w:noProof/>
        </w:rPr>
        <w:instrText xml:space="preserve"> PAGEREF _Toc7772556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Mutilation</w:t>
      </w:r>
      <w:r>
        <w:rPr>
          <w:noProof/>
        </w:rPr>
        <w:tab/>
      </w:r>
      <w:r>
        <w:rPr>
          <w:noProof/>
        </w:rPr>
        <w:fldChar w:fldCharType="begin"/>
      </w:r>
      <w:r>
        <w:rPr>
          <w:noProof/>
        </w:rPr>
        <w:instrText xml:space="preserve"> PAGEREF _Toc7772557 \h </w:instrText>
      </w:r>
      <w:r>
        <w:rPr>
          <w:noProof/>
        </w:rPr>
      </w:r>
      <w:r>
        <w:rPr>
          <w:noProof/>
        </w:rPr>
        <w:fldChar w:fldCharType="separate"/>
      </w:r>
      <w:r>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t>Sui generis</w:t>
      </w:r>
      <w:r>
        <w:rPr>
          <w:noProof/>
        </w:rPr>
        <w:tab/>
      </w:r>
      <w:r>
        <w:rPr>
          <w:noProof/>
        </w:rPr>
        <w:fldChar w:fldCharType="begin"/>
      </w:r>
      <w:r>
        <w:rPr>
          <w:noProof/>
        </w:rPr>
        <w:instrText xml:space="preserve"> PAGEREF _Toc7772592 \h </w:instrText>
      </w:r>
      <w:r>
        <w:rPr>
          <w:noProof/>
        </w:rPr>
      </w:r>
      <w:r>
        <w:rPr>
          <w:noProof/>
        </w:rPr>
        <w:fldChar w:fldCharType="separate"/>
      </w:r>
      <w:r>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Traité international sur les ressources phytogénétiques pour l’alimentation et l’agriculture</w:t>
      </w:r>
      <w:r>
        <w:rPr>
          <w:noProof/>
        </w:rPr>
        <w:tab/>
      </w:r>
      <w:r>
        <w:rPr>
          <w:noProof/>
        </w:rPr>
        <w:fldChar w:fldCharType="begin"/>
      </w:r>
      <w:r>
        <w:rPr>
          <w:noProof/>
        </w:rPr>
        <w:instrText xml:space="preserve"> PAGEREF _Toc7772593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Pr>
          <w:noProof/>
        </w:rPr>
        <w:t>56</w:t>
      </w:r>
      <w:r>
        <w:rPr>
          <w:noProof/>
        </w:rPr>
        <w:fldChar w:fldCharType="end"/>
      </w:r>
    </w:p>
    <w:p w:rsidR="00F9045F" w:rsidRDefault="00D55594">
      <w:r>
        <w:fldChar w:fldCharType="end"/>
      </w:r>
    </w:p>
    <w:p w:rsidR="00D55594" w:rsidRDefault="00D55594">
      <w:r>
        <w:br w:type="page"/>
      </w:r>
    </w:p>
    <w:p w:rsidR="00DD607D" w:rsidRPr="00E8642C" w:rsidRDefault="00DD607D" w:rsidP="00EF6794">
      <w:pPr>
        <w:pStyle w:val="Heading2"/>
        <w:spacing w:line="240" w:lineRule="auto"/>
      </w:pPr>
      <w:bookmarkStart w:id="5" w:name="_Toc7772485"/>
      <w:r w:rsidRPr="00E8642C">
        <w:lastRenderedPageBreak/>
        <w:t>Accès et partage des avantages</w:t>
      </w:r>
      <w:bookmarkEnd w:id="5"/>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En ce qui concerne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 w:name="_Toc7772486"/>
      <w:r w:rsidRPr="00E8642C">
        <w:t>Accord de transfert de matériel</w:t>
      </w:r>
      <w:bookmarkEnd w:id="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Les accords de transfert de matériel sont des partenariats de recherche commerciale et universitaire portant sur le transfert de matériel biologique, tel que germoplasme,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germoplasme,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 xml:space="preserve">accès </w:t>
      </w:r>
      <w:r w:rsidRPr="00E8642C">
        <w:rPr>
          <w:rFonts w:cs="Arial"/>
          <w:szCs w:val="22"/>
        </w:rPr>
        <w:lastRenderedPageBreak/>
        <w:t>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a élaboré et adopté en 2006 un Accord type de transfert de matériel dans le cadre de la mise en œuvre du Traité international sur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7" w:name="_Toc7772487"/>
      <w:r w:rsidRPr="00E8642C">
        <w:t>Accord et participation</w:t>
      </w:r>
      <w:bookmarkEnd w:id="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8" w:name="_Toc7772488"/>
      <w:r w:rsidRPr="00E8642C">
        <w:t>Activité inventive</w:t>
      </w:r>
      <w:bookmarkEnd w:id="8"/>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bookmarkStart w:id="9" w:name="_Toc7772489"/>
      <w:r w:rsidRPr="00E8642C">
        <w:t>Adaptation</w:t>
      </w:r>
      <w:bookmarkEnd w:id="9"/>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10" w:name="_Ref289433821"/>
      <w:r w:rsidRPr="00E8642C">
        <w:rPr>
          <w:rStyle w:val="FootnoteReference"/>
          <w:rFonts w:cs="Arial"/>
          <w:szCs w:val="22"/>
        </w:rPr>
        <w:footnoteReference w:id="12"/>
      </w:r>
      <w:bookmarkEnd w:id="10"/>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Black</w:t>
      </w:r>
      <w:r w:rsidR="004D2AA1">
        <w:rPr>
          <w:rFonts w:cs="Arial"/>
          <w:szCs w:val="22"/>
        </w:rPr>
        <w:t>’</w:t>
      </w:r>
      <w:r w:rsidRPr="00E8642C">
        <w:rPr>
          <w:rFonts w:cs="Arial"/>
          <w:szCs w:val="22"/>
        </w:rPr>
        <w:t>s Law Dictionary</w:t>
      </w:r>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11" w:name="_Toc7772490"/>
      <w:r w:rsidRPr="00E8642C">
        <w:lastRenderedPageBreak/>
        <w:t>Appropriation illicite</w:t>
      </w:r>
      <w:bookmarkEnd w:id="1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 la propriété intellectuelle, le Black</w:t>
      </w:r>
      <w:r w:rsidR="004D2AA1">
        <w:rPr>
          <w:rFonts w:cs="Arial"/>
          <w:szCs w:val="22"/>
        </w:rPr>
        <w:t>’</w:t>
      </w:r>
      <w:r w:rsidRPr="00E8642C">
        <w:rPr>
          <w:rFonts w:cs="Arial"/>
          <w:szCs w:val="22"/>
        </w:rPr>
        <w:t>s Law Dictionary définit le terme “appropriation illicite” de la manière suivante</w:t>
      </w:r>
      <w:r w:rsidR="004D2AA1">
        <w:rPr>
          <w:rFonts w:cs="Arial"/>
          <w:szCs w:val="22"/>
        </w:rPr>
        <w:t> :</w:t>
      </w:r>
      <w:r w:rsidRPr="00E8642C">
        <w:rPr>
          <w:rFonts w:cs="Arial"/>
          <w:szCs w:val="22"/>
        </w:rPr>
        <w:t xml:space="preserve"> “un délit en </w:t>
      </w:r>
      <w:r w:rsidRPr="00007531">
        <w:rPr>
          <w:i/>
        </w:rPr>
        <w:t>common law</w:t>
      </w:r>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r w:rsidRPr="00007531">
        <w:rPr>
          <w:i/>
        </w:rPr>
        <w:t>common l</w:t>
      </w:r>
      <w:r w:rsidR="00007531" w:rsidRPr="00007531">
        <w:rPr>
          <w:i/>
        </w:rPr>
        <w:t>aw</w:t>
      </w:r>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w:t>
      </w:r>
      <w:bookmarkStart w:id="12" w:name="_GoBack"/>
      <w:bookmarkEnd w:id="12"/>
      <w:r w:rsidRPr="00E8642C">
        <w:rPr>
          <w:rFonts w:cs="Arial"/>
          <w:szCs w:val="22"/>
        </w:rPr>
        <w:t>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3" w:name="_Toc7772491"/>
      <w:r w:rsidRPr="00E8642C">
        <w:t>Atteinte (“derogatory action” en anglais)</w:t>
      </w:r>
      <w:bookmarkEnd w:id="13"/>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4" w:name="_Toc7772492"/>
      <w:r w:rsidRPr="00E8642C">
        <w:t>Atteinte (“infringement” en anglais)</w:t>
      </w:r>
      <w:bookmarkEnd w:id="14"/>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 xml:space="preserve">s Law Dictionary,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 xml:space="preserve">objet en question, lorsque cette </w:t>
      </w:r>
      <w:r w:rsidRPr="00E8642C">
        <w:rPr>
          <w:rFonts w:cs="Arial"/>
          <w:szCs w:val="22"/>
        </w:rPr>
        <w:lastRenderedPageBreak/>
        <w:t>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5" w:name="_Toc7772493"/>
      <w:r w:rsidRPr="00E8642C">
        <w:t>Base de données des accords d</w:t>
      </w:r>
      <w:r w:rsidR="004D2AA1">
        <w:t>’</w:t>
      </w:r>
      <w:r w:rsidRPr="00E8642C">
        <w:t>accès et de partage des avantages en matière de biodiversité</w:t>
      </w:r>
      <w:bookmarkEnd w:id="15"/>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bookmarkStart w:id="16" w:name="_Toc7772494"/>
      <w:r w:rsidRPr="00E8642C">
        <w:t>Bénéficiaires</w:t>
      </w:r>
      <w:bookmarkEnd w:id="16"/>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bookmarkStart w:id="17" w:name="_Toc7772495"/>
      <w:r w:rsidRPr="00E8642C">
        <w:lastRenderedPageBreak/>
        <w:t>Bibliothèque numérique des savoirs traditionnels</w:t>
      </w:r>
      <w:bookmarkEnd w:id="17"/>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experts en médecine traditionnelle (Ayurveda, Unani,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r w:rsidRPr="00E8642C">
        <w:rPr>
          <w:rFonts w:cs="Arial"/>
          <w:szCs w:val="22"/>
        </w:rPr>
        <w:t>Ayurveda, l</w:t>
      </w:r>
      <w:r w:rsidR="004D2AA1">
        <w:rPr>
          <w:rFonts w:cs="Arial"/>
          <w:szCs w:val="22"/>
        </w:rPr>
        <w:t>’</w:t>
      </w:r>
      <w:r w:rsidRPr="00E8642C">
        <w:rPr>
          <w:rFonts w:cs="Arial"/>
          <w:szCs w:val="22"/>
        </w:rPr>
        <w:t>Unani, le Siddha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numérique sur les savoirs traditionnels a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Slokas sanskrits anciens et les examinateurs de brevets à l</w:t>
      </w:r>
      <w:r w:rsidR="004D2AA1">
        <w:rPr>
          <w:rFonts w:cs="Arial"/>
          <w:szCs w:val="22"/>
        </w:rPr>
        <w:t>’</w:t>
      </w:r>
      <w:r w:rsidRPr="00E8642C">
        <w:rPr>
          <w:rFonts w:cs="Arial"/>
          <w:szCs w:val="22"/>
        </w:rPr>
        <w:t>échelle mondiale, car cette base de données fournira des informations sur des noms modernes et également locaux dans une langue et dans un format compréhensibles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0D5705" w:rsidP="00EF6794">
      <w:pPr>
        <w:pStyle w:val="Heading2"/>
        <w:keepLines/>
        <w:spacing w:line="240" w:lineRule="auto"/>
        <w:rPr>
          <w:bCs w:val="0"/>
        </w:rPr>
      </w:pPr>
      <w:bookmarkStart w:id="18" w:name="_Toc7772496"/>
      <w:r w:rsidRPr="00E8642C">
        <w:rPr>
          <w:bCs w:val="0"/>
        </w:rPr>
        <w:t>B</w:t>
      </w:r>
      <w:r w:rsidR="006B600F">
        <w:rPr>
          <w:bCs w:val="0"/>
        </w:rPr>
        <w:t>iotechnologie</w:t>
      </w:r>
      <w:bookmarkEnd w:id="18"/>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 xml:space="preserve">ADN, la biologie moléculaire et les applications génétiques, la définition couvre diverses technologies </w:t>
      </w:r>
      <w:r w:rsidRPr="00E8642C">
        <w:rPr>
          <w:rFonts w:cs="Arial"/>
          <w:iCs/>
          <w:szCs w:val="22"/>
        </w:rPr>
        <w:lastRenderedPageBreak/>
        <w:t>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“nanobiotechnologie”</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19" w:name="_Toc7772497"/>
      <w:r w:rsidRPr="00E8642C">
        <w:t>Bons usages</w:t>
      </w:r>
      <w:bookmarkEnd w:id="19"/>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bookmarkStart w:id="20" w:name="_Toc7772498"/>
      <w:r w:rsidRPr="00E8642C">
        <w:t>Brevet</w:t>
      </w:r>
      <w:bookmarkEnd w:id="20"/>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r w:rsidRPr="00E8642C">
        <w:rPr>
          <w:rFonts w:cs="Arial"/>
          <w:iCs/>
          <w:szCs w:val="22"/>
        </w:rPr>
        <w:t xml:space="preserve">“[…] un brevet pourra être obtenu pour toute invention, de produit ou de procédé, dans tous </w:t>
      </w:r>
      <w:r w:rsidRPr="00E8642C">
        <w:rPr>
          <w:rFonts w:cs="Arial"/>
          <w:iCs/>
          <w:szCs w:val="22"/>
        </w:rPr>
        <w:lastRenderedPageBreak/>
        <w:t>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1" w:name="_Toc7772499"/>
      <w:r w:rsidRPr="00E8642C">
        <w:t>Classification des ressources en savoirs traditionnels</w:t>
      </w:r>
      <w:bookmarkEnd w:id="2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(Ayurveda, Unani,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22" w:name="_Toc7772500"/>
      <w:r w:rsidRPr="00E8642C">
        <w:t>Classification internationale des brevets</w:t>
      </w:r>
      <w:bookmarkEnd w:id="22"/>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3" w:name="_Toc7772501"/>
      <w:r w:rsidRPr="00E8642C">
        <w:t>Communauté culturelle</w:t>
      </w:r>
      <w:bookmarkEnd w:id="23"/>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5" w:name="_Toc7772502"/>
      <w:r w:rsidRPr="00E8642C">
        <w:lastRenderedPageBreak/>
        <w:t>Communautés autochtones et locales</w:t>
      </w:r>
      <w:bookmarkEnd w:id="25"/>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“[c]haque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accès aux ressources génétiques et le partage juste et équitable des avantages résultant de leur utilisation relatif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[e]ncourager ou soutenir, selon qu</w:t>
      </w:r>
      <w:r w:rsidR="004D2AA1">
        <w:rPr>
          <w:rFonts w:cs="Arial"/>
          <w:szCs w:val="22"/>
        </w:rPr>
        <w:t>’</w:t>
      </w:r>
      <w:r w:rsidRPr="00E8642C">
        <w:rPr>
          <w:rFonts w:cs="Arial"/>
          <w:szCs w:val="22"/>
        </w:rPr>
        <w:t>il convient, les efforts des agriculteurs et des communautés locales pour gérer et conserver à la ferme leurs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Organisation régionale africaine 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 xml:space="preserve">américaine ou </w:t>
      </w:r>
      <w:r w:rsidRPr="00E8642C">
        <w:rPr>
          <w:rFonts w:cs="Arial"/>
          <w:szCs w:val="22"/>
        </w:rPr>
        <w:lastRenderedPageBreak/>
        <w:t>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groupe humain, comprenant les descendants des communautés Quilombo,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26" w:name="_Toc7772503"/>
      <w:r w:rsidRPr="00E8642C">
        <w:t>Concurrence déloyale</w:t>
      </w:r>
      <w:bookmarkEnd w:id="26"/>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la “concurrence déloyale” comme “tout acte de concurrence déloyale ou illicite en matière de commerce;  spécialement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“[n]otamment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7" w:name="_Toc7772504"/>
      <w:r w:rsidRPr="00E8642C">
        <w:t>Conditions convenues d</w:t>
      </w:r>
      <w:r w:rsidR="004D2AA1">
        <w:t>’</w:t>
      </w:r>
      <w:r w:rsidRPr="00E8642C">
        <w:t>un commun accord</w:t>
      </w:r>
      <w:bookmarkEnd w:id="27"/>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accès aux ressources génétiques et le partage juste et équitable des avantages découlant de leur utilisation relatif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article 6 et 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w:t>
      </w:r>
      <w:r w:rsidRPr="00E8642C">
        <w:rPr>
          <w:iCs/>
        </w:rPr>
        <w:lastRenderedPageBreak/>
        <w:t>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accès à la justice;  et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bookmarkStart w:id="28" w:name="_Toc7772505"/>
      <w:r w:rsidRPr="00E8642C">
        <w:t>Conditions</w:t>
      </w:r>
      <w:r w:rsidRPr="00E8642C">
        <w:rPr>
          <w:i/>
        </w:rPr>
        <w:t xml:space="preserve"> in situ</w:t>
      </w:r>
      <w:bookmarkEnd w:id="28"/>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29" w:name="_Toc7772506"/>
      <w:r w:rsidRPr="00E8642C">
        <w:t>Connaissances écologiques traditionnelles/connaissances environnementales traditionnelles</w:t>
      </w:r>
      <w:bookmarkEnd w:id="2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Dene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0" w:name="_Toc7772507"/>
      <w:r w:rsidRPr="00E8642C">
        <w:t>Consentement préalable en connaissance de cause</w:t>
      </w:r>
      <w:bookmarkEnd w:id="30"/>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lastRenderedPageBreak/>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[c]haque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 xml:space="preserve">informations détaillées sur le contrat, les avantages éventuels, les incidences </w:t>
      </w:r>
      <w:r w:rsidRPr="00E8642C">
        <w:rPr>
          <w:rFonts w:cs="Arial"/>
          <w:szCs w:val="22"/>
        </w:rPr>
        <w:lastRenderedPageBreak/>
        <w:t>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bookmarkStart w:id="31" w:name="_Toc7772508"/>
      <w:r w:rsidRPr="00E8642C">
        <w:t>Conservation</w:t>
      </w:r>
      <w:r w:rsidRPr="00E8642C">
        <w:rPr>
          <w:i/>
        </w:rPr>
        <w:t xml:space="preserve"> ex situ</w:t>
      </w:r>
      <w:bookmarkEnd w:id="31"/>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32" w:name="_Toc7772509"/>
      <w:r w:rsidRPr="00E8642C">
        <w:t>Consultation</w:t>
      </w:r>
      <w:bookmarkEnd w:id="32"/>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Selon le Black</w:t>
      </w:r>
      <w:r w:rsidR="004D2AA1">
        <w:rPr>
          <w:rFonts w:cs="Arial"/>
          <w:szCs w:val="22"/>
        </w:rPr>
        <w:t>’</w:t>
      </w:r>
      <w:r w:rsidRPr="00E8642C">
        <w:rPr>
          <w:rFonts w:cs="Arial"/>
          <w:szCs w:val="22"/>
        </w:rPr>
        <w:t>s Law Dictionary,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33"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bookmarkStart w:id="34" w:name="_Toc7772510"/>
      <w:r w:rsidRPr="00E8642C">
        <w:t>Contexte coutumier</w:t>
      </w:r>
      <w:bookmarkEnd w:id="34"/>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bookmarkStart w:id="35" w:name="_Toc7772511"/>
      <w:r w:rsidRPr="00E8642C">
        <w:t>Contexte traditionnel</w:t>
      </w:r>
      <w:bookmarkEnd w:id="3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une 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 xml:space="preserve">Le terme </w:t>
      </w:r>
      <w:r w:rsidRPr="00E8642C">
        <w:rPr>
          <w:rFonts w:cs="Arial"/>
          <w:szCs w:val="22"/>
        </w:rPr>
        <w:lastRenderedPageBreak/>
        <w:t>“traditionnel”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36" w:name="_Toc7772512"/>
      <w:r w:rsidRPr="00E8642C">
        <w:t>Contrats de licence</w:t>
      </w:r>
      <w:bookmarkEnd w:id="36"/>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37" w:name="_Toc7772513"/>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bookmarkEnd w:id="37"/>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lastRenderedPageBreak/>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8" w:name="_Toc7772514"/>
      <w:r w:rsidRPr="00E8642C">
        <w:t>Convention de l</w:t>
      </w:r>
      <w:r w:rsidR="004D2AA1">
        <w:t>’</w:t>
      </w:r>
      <w:r w:rsidRPr="00E8642C">
        <w:t>UNESCO pour la sauvegarde du patrimoine culturel immatériel</w:t>
      </w:r>
      <w:bookmarkEnd w:id="38"/>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39" w:name="_Toc7772515"/>
      <w:r w:rsidRPr="00E8642C">
        <w:t>Convention de l</w:t>
      </w:r>
      <w:r w:rsidR="004D2AA1">
        <w:t>’</w:t>
      </w:r>
      <w:r w:rsidRPr="00E8642C">
        <w:t>UNESCO sur la protection et la promotion de la diversité des expressions culturelles</w:t>
      </w:r>
      <w:bookmarkEnd w:id="3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0" w:name="_Toc7772516"/>
      <w:r w:rsidRPr="00E8642C">
        <w:t>Convention sur la diversité biologique</w:t>
      </w:r>
      <w:bookmarkEnd w:id="40"/>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bookmarkStart w:id="41" w:name="_Toc7772517"/>
      <w:r w:rsidRPr="00E8642C">
        <w:t>Créations et innovations fondées sur les traditions</w:t>
      </w:r>
      <w:bookmarkEnd w:id="4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lastRenderedPageBreak/>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2" w:name="_Toc7772518"/>
      <w:r w:rsidRPr="00E8642C">
        <w:t>Cultures traditionnelles</w:t>
      </w:r>
      <w:bookmarkEnd w:id="42"/>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3" w:name="_Toc7772519"/>
      <w:r w:rsidRPr="00E8642C">
        <w:t xml:space="preserve">Déclaration des </w:t>
      </w:r>
      <w:r w:rsidR="004D2AA1">
        <w:t>Nations Unies</w:t>
      </w:r>
      <w:r w:rsidRPr="00E8642C">
        <w:t xml:space="preserve"> sur les droits des peuples autochtones</w:t>
      </w:r>
      <w:bookmarkEnd w:id="4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 xml:space="preserve">“[e]n concertation avec les peuples autochtones, les États prennent des mesures efficaces pour </w:t>
      </w:r>
      <w:r w:rsidRPr="00E8642C">
        <w:rPr>
          <w:rFonts w:cs="Arial"/>
          <w:iCs/>
          <w:szCs w:val="22"/>
        </w:rPr>
        <w:lastRenderedPageBreak/>
        <w:t>reconnaître ces droits et en protéger l</w:t>
      </w:r>
      <w:r w:rsidR="004D2AA1">
        <w:rPr>
          <w:rFonts w:cs="Arial"/>
          <w:iCs/>
          <w:szCs w:val="22"/>
        </w:rPr>
        <w:t>’</w:t>
      </w:r>
      <w:r w:rsidRPr="00E8642C">
        <w:rPr>
          <w:rFonts w:cs="Arial"/>
          <w:iCs/>
          <w:szCs w:val="22"/>
        </w:rPr>
        <w:t>exercice</w:t>
      </w:r>
      <w:r w:rsidRPr="00E8642C">
        <w:rPr>
          <w:rFonts w:cs="Arial"/>
          <w:szCs w:val="22"/>
        </w:rPr>
        <w:t>”.  En ce qui concerne la médecine traditionnelle, 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bookmarkStart w:id="44" w:name="_Toc7772520"/>
      <w:r w:rsidRPr="00E8642C">
        <w:t>Déclaration universelle des droits de l</w:t>
      </w:r>
      <w:r w:rsidR="004D2AA1">
        <w:t>’</w:t>
      </w:r>
      <w:r w:rsidRPr="00E8642C">
        <w:t>homme</w:t>
      </w:r>
      <w:bookmarkEnd w:id="44"/>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5" w:name="_Toc7772521"/>
      <w:r w:rsidRPr="00E8642C">
        <w:t>Dépositaire</w:t>
      </w:r>
      <w:bookmarkEnd w:id="4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Oxford English Dictionary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un gardien”.  Le Merriam</w:t>
      </w:r>
      <w:r w:rsidR="005A7440">
        <w:rPr>
          <w:rFonts w:cs="Arial"/>
          <w:szCs w:val="22"/>
        </w:rPr>
        <w:noBreakHyphen/>
      </w:r>
      <w:r w:rsidRPr="00E8642C">
        <w:rPr>
          <w:rFonts w:cs="Arial"/>
          <w:szCs w:val="22"/>
        </w:rPr>
        <w:t>Webster</w:t>
      </w:r>
      <w:r w:rsidR="00D050A0">
        <w:rPr>
          <w:rFonts w:cs="Arial"/>
          <w:szCs w:val="22"/>
        </w:rPr>
        <w:t> </w:t>
      </w:r>
      <w:r w:rsidRPr="00E8642C">
        <w:rPr>
          <w:rFonts w:cs="Arial"/>
          <w:szCs w:val="22"/>
        </w:rPr>
        <w:t>Dictionary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bookmarkStart w:id="46" w:name="_Toc7772522"/>
      <w:r w:rsidRPr="00E8642C">
        <w:t>Dérivé</w:t>
      </w:r>
      <w:bookmarkEnd w:id="4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47" w:name="_Toc7772523"/>
      <w:r w:rsidRPr="00E8642C">
        <w:t>Détenteur</w:t>
      </w:r>
      <w:bookmarkEnd w:id="4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48" w:name="_Toc7772524"/>
      <w:r w:rsidRPr="00E8642C">
        <w:t>Diligence requise</w:t>
      </w:r>
      <w:bookmarkEnd w:id="48"/>
    </w:p>
    <w:p w:rsidR="00DD607D" w:rsidRPr="00E8642C" w:rsidRDefault="00DD607D" w:rsidP="00EF6794"/>
    <w:p w:rsidR="00DD607D" w:rsidRPr="00E8642C" w:rsidRDefault="00DD607D" w:rsidP="00EF6794">
      <w:r w:rsidRPr="00E8642C">
        <w:rPr>
          <w:color w:val="000000"/>
        </w:rPr>
        <w:t>Le Black</w:t>
      </w:r>
      <w:r w:rsidR="004D2AA1">
        <w:rPr>
          <w:color w:val="000000"/>
        </w:rPr>
        <w:t>’</w:t>
      </w:r>
      <w:r w:rsidRPr="00E8642C">
        <w:rPr>
          <w:color w:val="000000"/>
        </w:rPr>
        <w:t xml:space="preserve">s Law Dictionary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49" w:name="_Toc7772525"/>
      <w:r w:rsidRPr="00E8642C">
        <w:t>Dispositions types OMPI</w:t>
      </w:r>
      <w:r w:rsidR="005A7440">
        <w:noBreakHyphen/>
      </w:r>
      <w:r w:rsidRPr="00E8642C">
        <w:t>UNESCO de législation nationale sur la protection des expressions du folklore contre leur exploitation illicite et autres actions dommageables</w:t>
      </w:r>
      <w:bookmarkEnd w:id="49"/>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0D5705" w:rsidP="00EF6794">
      <w:pPr>
        <w:pStyle w:val="Heading2"/>
        <w:spacing w:line="240" w:lineRule="auto"/>
      </w:pPr>
      <w:bookmarkStart w:id="50" w:name="_Toc7772526"/>
      <w:r w:rsidRPr="00E8642C">
        <w:t>D</w:t>
      </w:r>
      <w:r w:rsidR="006B600F">
        <w:t>iversité biologique</w:t>
      </w:r>
      <w:bookmarkEnd w:id="50"/>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bookmarkStart w:id="51" w:name="_Toc7772527"/>
      <w:r w:rsidRPr="00E8642C">
        <w:t>Diversité culturelle</w:t>
      </w:r>
      <w:bookmarkEnd w:id="5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lastRenderedPageBreak/>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52" w:name="_Toc7772528"/>
      <w:r w:rsidRPr="00E8642C">
        <w:t>Divulgation</w:t>
      </w:r>
      <w:bookmarkEnd w:id="52"/>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Selon le Black</w:t>
      </w:r>
      <w:r w:rsidR="004D2AA1">
        <w:rPr>
          <w:rFonts w:cs="Arial"/>
          <w:szCs w:val="22"/>
        </w:rPr>
        <w:t>’</w:t>
      </w:r>
      <w:r w:rsidRPr="00E8642C">
        <w:rPr>
          <w:rFonts w:cs="Arial"/>
          <w:szCs w:val="22"/>
        </w:rPr>
        <w:t>s Law Dictionary,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3" w:name="_Toc7772529"/>
      <w:r w:rsidRPr="00E8642C">
        <w:t>Documentation minimale du PCT</w:t>
      </w:r>
      <w:bookmarkEnd w:id="53"/>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[d]ocuments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xml:space="preserve">.  </w:t>
      </w:r>
      <w:r w:rsidRPr="00E8642C">
        <w:rPr>
          <w:rFonts w:cs="Arial"/>
          <w:szCs w:val="22"/>
          <w:lang w:eastAsia="zh-CN"/>
        </w:rPr>
        <w:lastRenderedPageBreak/>
        <w:t>Par exemple, l</w:t>
      </w:r>
      <w:r w:rsidR="004D2AA1">
        <w:rPr>
          <w:rFonts w:cs="Arial"/>
          <w:szCs w:val="22"/>
          <w:lang w:eastAsia="zh-CN"/>
        </w:rPr>
        <w:t>’</w:t>
      </w:r>
      <w:r w:rsidRPr="00E8642C">
        <w:rPr>
          <w:rFonts w:cs="Arial"/>
          <w:i/>
          <w:iCs/>
          <w:szCs w:val="22"/>
          <w:lang w:eastAsia="zh-CN"/>
        </w:rPr>
        <w:t xml:space="preserve">Indian Journal of Traditional Knowledge </w:t>
      </w:r>
      <w:r w:rsidRPr="00E8642C">
        <w:rPr>
          <w:rFonts w:cs="Arial"/>
          <w:szCs w:val="22"/>
          <w:lang w:eastAsia="zh-CN"/>
        </w:rPr>
        <w:t>et le</w:t>
      </w:r>
      <w:r w:rsidRPr="00E8642C">
        <w:rPr>
          <w:rFonts w:cs="Arial"/>
          <w:i/>
          <w:iCs/>
          <w:szCs w:val="22"/>
          <w:lang w:eastAsia="zh-CN"/>
        </w:rPr>
        <w:t xml:space="preserve"> Korean Journal of Traditional Knowledge</w:t>
      </w:r>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54" w:name="_Toc7772530"/>
      <w:r w:rsidRPr="00E8642C">
        <w:t>Domaine public</w:t>
      </w:r>
      <w:bookmarkEnd w:id="54"/>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55" w:name="_Toc7772531"/>
      <w:r w:rsidRPr="00E8642C">
        <w:t>Droit et protocoles coutumiers</w:t>
      </w:r>
      <w:bookmarkEnd w:id="5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Le Black</w:t>
      </w:r>
      <w:r w:rsidR="004D2AA1">
        <w:rPr>
          <w:rFonts w:cs="Arial"/>
        </w:rPr>
        <w:t>’</w:t>
      </w:r>
      <w:r w:rsidRPr="00E8642C">
        <w:rPr>
          <w:rFonts w:cs="Arial"/>
        </w:rPr>
        <w:t>s Law Dictionary définit le “droit coutumier” de la manière suivante</w:t>
      </w:r>
      <w:r w:rsidR="004D2AA1">
        <w:rPr>
          <w:rFonts w:cs="Arial"/>
        </w:rPr>
        <w:t> :</w:t>
      </w:r>
      <w:r w:rsidRPr="00E8642C">
        <w:rPr>
          <w:rFonts w:cs="Arial"/>
        </w:rPr>
        <w:t xml:space="preserve"> “[e]nsemble d</w:t>
      </w:r>
      <w:r w:rsidR="004D2AA1">
        <w:rPr>
          <w:rFonts w:cs="Arial"/>
        </w:rPr>
        <w:t>’</w:t>
      </w:r>
      <w:r w:rsidRPr="00E8642C">
        <w:rPr>
          <w:rFonts w:cs="Arial"/>
        </w:rPr>
        <w:t>usages acceptés comme des obligations légales ou des règles de conduite obligatoires;  pratiques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 xml:space="preserve">Le droit coutumier a également été défini comme “des principes reconnus localement, et des normes ou des règles plus spécifiques, qui sont maintenus et transmis par voie orale, et appliqués par des institutions </w:t>
      </w:r>
      <w:r w:rsidRPr="00E8642C">
        <w:rPr>
          <w:rFonts w:cs="Arial"/>
          <w:szCs w:val="22"/>
        </w:rPr>
        <w:lastRenderedPageBreak/>
        <w:t>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bookmarkStart w:id="56" w:name="_Toc7772532"/>
      <w:r w:rsidRPr="00E8642C">
        <w:t>Droits des agriculteurs</w:t>
      </w:r>
      <w:bookmarkEnd w:id="56"/>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apporter à la conservation et à la mise en valeur des ressources phytogénétiques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a) la protection des connaissances traditionnelles présentant un intérêt pour les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utilisation des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utilisation durable des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Code international de conduite pour la collecte et le transfert de matériel phytogénétique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 xml:space="preserve">origine et de diversité des </w:t>
      </w:r>
      <w:r w:rsidRPr="00E8642C">
        <w:rPr>
          <w:rFonts w:cs="Arial"/>
          <w:iCs/>
          <w:szCs w:val="22"/>
        </w:rPr>
        <w:lastRenderedPageBreak/>
        <w:t>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57" w:name="_Toc7772533"/>
      <w:r w:rsidRPr="00E8642C">
        <w:t>État de la technique</w:t>
      </w:r>
      <w:bookmarkEnd w:id="57"/>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a été;  par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lastRenderedPageBreak/>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bookmarkStart w:id="58" w:name="_Toc7772534"/>
      <w:r w:rsidRPr="00E8642C">
        <w:t>Exception</w:t>
      </w:r>
      <w:bookmarkEnd w:id="5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59" w:name="_Toc7772535"/>
      <w:r w:rsidRPr="00E8642C">
        <w:t>Exigences de divulgation</w:t>
      </w:r>
      <w:bookmarkEnd w:id="59"/>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la source effective de la ressource génétique ou du savoir traditionnel (fonction de divulgation relative au lieu où la ressource génétique ou le savoir traditionnel 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 xml:space="preserve">origine a été obtenu), ou une localisation plus précise (par exemple, </w:t>
      </w:r>
      <w:r w:rsidRPr="00E8642C">
        <w:rPr>
          <w:rFonts w:cs="Arial"/>
          <w:szCs w:val="22"/>
        </w:rPr>
        <w:lastRenderedPageBreak/>
        <w:t>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0" w:name="_Toc7772536"/>
      <w:r w:rsidRPr="00E8642C">
        <w:t>Expression par l</w:t>
      </w:r>
      <w:r w:rsidR="004D2AA1">
        <w:t>’</w:t>
      </w:r>
      <w:r w:rsidRPr="00E8642C">
        <w:t>action</w:t>
      </w:r>
      <w:bookmarkEnd w:id="60"/>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61" w:name="_Toc7772537"/>
      <w:r w:rsidRPr="00E8642C">
        <w:t>Expressions culturelles</w:t>
      </w:r>
      <w:bookmarkEnd w:id="6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62" w:name="_Toc7772538"/>
      <w:r w:rsidRPr="00E8642C">
        <w:t>Expressions culturelles traditionnelles</w:t>
      </w:r>
      <w:bookmarkEnd w:id="6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 xml:space="preserve">s termes “expressions culturelles traditionnelles” et “expressions du folklore” sont utilisés comme des synonymes interchangeables et peuvent être désignés par le seul terme “expressions culturelles </w:t>
      </w:r>
      <w:r w:rsidRPr="00E8642C">
        <w:rPr>
          <w:rFonts w:cs="Arial"/>
          <w:szCs w:val="22"/>
        </w:rPr>
        <w:lastRenderedPageBreak/>
        <w:t>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opportunité de ces termes ou d</w:t>
      </w:r>
      <w:r w:rsidR="004D2AA1">
        <w:rPr>
          <w:rFonts w:cs="Arial"/>
          <w:szCs w:val="22"/>
        </w:rPr>
        <w:t>’</w:t>
      </w:r>
      <w:r w:rsidRPr="00E8642C">
        <w:rPr>
          <w:rFonts w:cs="Arial"/>
          <w:szCs w:val="22"/>
        </w:rPr>
        <w:t>autres termes;  par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63" w:name="_Toc7772539"/>
      <w:r w:rsidRPr="00E8642C">
        <w:t>Expressions du folklore</w:t>
      </w:r>
      <w:bookmarkEnd w:id="63"/>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64" w:name="_Toc7772540"/>
      <w:r w:rsidRPr="00E8642C">
        <w:t>Expressions tangibles</w:t>
      </w:r>
      <w:bookmarkEnd w:id="6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“tangible” caractérise ce qui peut être touché et vu;  est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(Black</w:t>
      </w:r>
      <w:r w:rsidR="004D2AA1">
        <w:rPr>
          <w:rFonts w:cs="Arial"/>
          <w:szCs w:val="22"/>
        </w:rPr>
        <w:t>’</w:t>
      </w:r>
      <w:r w:rsidRPr="00E8642C">
        <w:rPr>
          <w:rFonts w:cs="Arial"/>
          <w:szCs w:val="22"/>
        </w:rPr>
        <w:t>s Law Dictionary).</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bookmarkStart w:id="65" w:name="_Toc7772541"/>
      <w:r w:rsidRPr="00E8642C">
        <w:lastRenderedPageBreak/>
        <w:t>Fixation (“documentation” en anglais)</w:t>
      </w:r>
      <w:bookmarkEnd w:id="65"/>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Oxford English Dictionary définit la fixation comme l</w:t>
      </w:r>
      <w:r w:rsidR="004D2AA1">
        <w:rPr>
          <w:rFonts w:cs="Arial"/>
          <w:szCs w:val="22"/>
        </w:rPr>
        <w:t>’</w:t>
      </w:r>
      <w:r w:rsidRPr="00E8642C">
        <w:rPr>
          <w:rFonts w:cs="Arial"/>
          <w:szCs w:val="22"/>
        </w:rPr>
        <w:t>accumulation, le classement et la diffusion de l</w:t>
      </w:r>
      <w:r w:rsidR="004D2AA1">
        <w:rPr>
          <w:rFonts w:cs="Arial"/>
          <w:szCs w:val="22"/>
        </w:rPr>
        <w:t>’</w:t>
      </w:r>
      <w:r w:rsidRPr="00E8642C">
        <w:rPr>
          <w:rFonts w:cs="Arial"/>
          <w:szCs w:val="22"/>
        </w:rPr>
        <w:t>information;  le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bookmarkStart w:id="66" w:name="_Toc7772542"/>
      <w:r w:rsidRPr="00E8642C">
        <w:t>Fixation (“fixation” en anglais)</w:t>
      </w:r>
      <w:bookmarkEnd w:id="6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8" w:name="_Toc7772543"/>
      <w:r w:rsidRPr="00E8642C">
        <w:t>Folklore</w:t>
      </w:r>
      <w:bookmarkEnd w:id="68"/>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lastRenderedPageBreak/>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  au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69" w:name="_Toc7772544"/>
      <w:r w:rsidRPr="00E8642C">
        <w:t>Formalité</w:t>
      </w:r>
      <w:bookmarkEnd w:id="69"/>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Le Black</w:t>
      </w:r>
      <w:r w:rsidR="004D2AA1">
        <w:rPr>
          <w:rFonts w:cs="Arial"/>
          <w:snapToGrid w:val="0"/>
          <w:szCs w:val="22"/>
        </w:rPr>
        <w:t>’</w:t>
      </w:r>
      <w:r w:rsidRPr="00AA3C26">
        <w:rPr>
          <w:rFonts w:cs="Arial"/>
          <w:snapToGrid w:val="0"/>
          <w:szCs w:val="22"/>
        </w:rPr>
        <w:t>s Law Dictionary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bookmarkStart w:id="70" w:name="_Toc7772545"/>
      <w:r w:rsidRPr="00E8642C">
        <w:lastRenderedPageBreak/>
        <w:t>Fournisseurs et destinataires de ressources génétiques</w:t>
      </w:r>
      <w:bookmarkEnd w:id="70"/>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bookmarkStart w:id="71" w:name="_Toc7772546"/>
      <w:r w:rsidRPr="00E8642C">
        <w:t>Identité culturelle</w:t>
      </w:r>
      <w:bookmarkEnd w:id="7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72" w:name="_Toc7772547"/>
      <w:r w:rsidRPr="00E8642C">
        <w:t>Instrument de l</w:t>
      </w:r>
      <w:r w:rsidR="004D2AA1">
        <w:t>’</w:t>
      </w:r>
      <w:r w:rsidRPr="00E8642C">
        <w:t>OMPI sur la fixation des savoirs traditionnels (Instrument d</w:t>
      </w:r>
      <w:r w:rsidR="004D2AA1">
        <w:t>’</w:t>
      </w:r>
      <w:r w:rsidRPr="00E8642C">
        <w:t>aide à la fixation des savoirs traditionnels)</w:t>
      </w:r>
      <w:bookmarkEnd w:id="7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 xml:space="preserve">OMPI sur la fixation des savoirs traditionnels qui est soumis à consultation aidera à évaluer les options en matière de propriété </w:t>
      </w:r>
      <w:r w:rsidRPr="00AA3C26">
        <w:rPr>
          <w:rFonts w:cs="Arial"/>
          <w:szCs w:val="22"/>
        </w:rPr>
        <w:lastRenderedPageBreak/>
        <w:t>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bookmarkStart w:id="73" w:name="_Toc7772548"/>
      <w:r w:rsidRPr="00E8642C">
        <w:t>Intégrité</w:t>
      </w:r>
      <w:bookmarkEnd w:id="73"/>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bookmarkStart w:id="74" w:name="_Toc7772549"/>
      <w:r w:rsidRPr="00E8642C">
        <w:t>Inventions biotechnologiques</w:t>
      </w:r>
      <w:bookmarkEnd w:id="74"/>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6B600F" w:rsidP="00EF6794">
      <w:pPr>
        <w:pStyle w:val="Heading2"/>
        <w:spacing w:line="240" w:lineRule="auto"/>
        <w:rPr>
          <w:rStyle w:val="Strong"/>
          <w:b/>
          <w:bCs/>
          <w:caps/>
        </w:rPr>
      </w:pPr>
      <w:bookmarkStart w:id="75" w:name="_Toc7772550"/>
      <w:r w:rsidRPr="00E8642C">
        <w:t xml:space="preserve">Lignes directrices de </w:t>
      </w:r>
      <w:r>
        <w:t>B</w:t>
      </w:r>
      <w:r w:rsidRPr="00E8642C">
        <w:t>onn sur l</w:t>
      </w:r>
      <w:r w:rsidR="000D5705">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bookmarkStart w:id="76" w:name="_Toc7772551"/>
      <w:r w:rsidRPr="00E8642C">
        <w:t>Limitations</w:t>
      </w:r>
      <w:bookmarkEnd w:id="76"/>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“Limitation”, selon le Black</w:t>
      </w:r>
      <w:r w:rsidR="004D2AA1">
        <w:rPr>
          <w:rFonts w:cs="Arial"/>
          <w:szCs w:val="22"/>
        </w:rPr>
        <w:t>’</w:t>
      </w:r>
      <w:r w:rsidRPr="00E8642C">
        <w:rPr>
          <w:rFonts w:cs="Arial"/>
          <w:szCs w:val="22"/>
        </w:rPr>
        <w:t>s Law Dictionary,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lastRenderedPageBreak/>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6B600F" w:rsidP="00EF6794">
      <w:pPr>
        <w:pStyle w:val="Heading2"/>
        <w:spacing w:line="240" w:lineRule="auto"/>
      </w:pPr>
      <w:bookmarkStart w:id="77" w:name="_Toc7772552"/>
      <w:r w:rsidRPr="00E8642C">
        <w:t>Mat</w:t>
      </w:r>
      <w:r>
        <w:t>é</w:t>
      </w:r>
      <w:r w:rsidRPr="00E8642C">
        <w:t>riel g</w:t>
      </w:r>
      <w:r>
        <w:t>é</w:t>
      </w:r>
      <w:r w:rsidRPr="00E8642C">
        <w:t>n</w:t>
      </w:r>
      <w:r>
        <w:t>é</w:t>
      </w:r>
      <w:r w:rsidRPr="00E8642C">
        <w:t>tique</w:t>
      </w:r>
      <w:bookmarkEnd w:id="77"/>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8" w:name="_Toc7772553"/>
      <w:r w:rsidRPr="00E8642C">
        <w:t>Mécanisme d</w:t>
      </w:r>
      <w:r w:rsidR="004D2AA1">
        <w:t>’</w:t>
      </w:r>
      <w:r w:rsidRPr="00E8642C">
        <w:t>échange d</w:t>
      </w:r>
      <w:r w:rsidR="004D2AA1">
        <w:t>’</w:t>
      </w:r>
      <w:r w:rsidRPr="00E8642C">
        <w:t>information</w:t>
      </w:r>
      <w:bookmarkEnd w:id="78"/>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79" w:name="_Toc7772554"/>
      <w:r w:rsidRPr="00E8642C">
        <w:t>Médecine traditionnelle</w:t>
      </w:r>
      <w:bookmarkEnd w:id="7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 xml:space="preserve">animaux et/ou de minéraux, des traitements spirituels, des techniques manuelles et exercices, </w:t>
      </w:r>
      <w:r w:rsidRPr="00E8642C">
        <w:rPr>
          <w:rFonts w:cs="Arial"/>
          <w:szCs w:val="22"/>
        </w:rPr>
        <w:lastRenderedPageBreak/>
        <w:t>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80" w:name="_Toc7772555"/>
      <w:r w:rsidRPr="00E8642C">
        <w:t>Minorité</w:t>
      </w:r>
      <w:bookmarkEnd w:id="80"/>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Selon le Black</w:t>
      </w:r>
      <w:r w:rsidR="004D2AA1">
        <w:rPr>
          <w:rFonts w:cs="Arial"/>
          <w:szCs w:val="22"/>
        </w:rPr>
        <w:t>’</w:t>
      </w:r>
      <w:r w:rsidRPr="00E8642C">
        <w:rPr>
          <w:rFonts w:cs="Arial"/>
          <w:szCs w:val="22"/>
        </w:rPr>
        <w:t>s Law Dictionary,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bookmarkStart w:id="81" w:name="_Toc7772556"/>
      <w:r w:rsidRPr="00E8642C">
        <w:t>Modification</w:t>
      </w:r>
      <w:bookmarkEnd w:id="8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2" w:name="_Toc7772557"/>
      <w:r w:rsidRPr="00E8642C">
        <w:t>Mutilation</w:t>
      </w:r>
      <w:bookmarkEnd w:id="8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Oxford English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3" w:name="_Toc7772558"/>
      <w:r w:rsidRPr="00E8642C">
        <w:t>Nation</w:t>
      </w:r>
      <w:bookmarkEnd w:id="83"/>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84" w:name="_Ref289681765"/>
      <w:r w:rsidRPr="00E8642C">
        <w:rPr>
          <w:rFonts w:cs="Arial"/>
          <w:szCs w:val="22"/>
        </w:rPr>
        <w:t>Le Black</w:t>
      </w:r>
      <w:r w:rsidR="004D2AA1">
        <w:rPr>
          <w:rFonts w:cs="Arial"/>
          <w:szCs w:val="22"/>
        </w:rPr>
        <w:t>’</w:t>
      </w:r>
      <w:r w:rsidRPr="00E8642C">
        <w:rPr>
          <w:rFonts w:cs="Arial"/>
          <w:szCs w:val="22"/>
        </w:rPr>
        <w:t>s Law Dictionary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bookmarkStart w:id="85" w:name="_Toc7772559"/>
      <w:r w:rsidRPr="00E8642C">
        <w:t>Nouveauté</w:t>
      </w:r>
      <w:bookmarkEnd w:id="85"/>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“[a]ux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“[u]ne invention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 xml:space="preserve">article122.b), et que le brevet ou la </w:t>
      </w:r>
      <w:r w:rsidRPr="00E8642C">
        <w:rPr>
          <w:rFonts w:cs="Arial"/>
          <w:iCs/>
          <w:szCs w:val="22"/>
          <w:lang w:eastAsia="en-US" w:bidi="th-TH"/>
        </w:rPr>
        <w:lastRenderedPageBreak/>
        <w:t>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86" w:name="_Toc7772560"/>
      <w:r w:rsidRPr="00E8642C">
        <w:t>Œuvre dérivée</w:t>
      </w:r>
      <w:bookmarkEnd w:id="86"/>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bookmarkStart w:id="90" w:name="_Toc7772561"/>
      <w:r w:rsidRPr="00E8642C">
        <w:t>Offensant</w:t>
      </w:r>
      <w:bookmarkEnd w:id="90"/>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adjectif “offensant” vise ce qui provoque mécontentement, colère ou ressentiment;  contraire à ce que l</w:t>
      </w:r>
      <w:r w:rsidR="004D2AA1">
        <w:rPr>
          <w:rFonts w:cs="Arial"/>
          <w:szCs w:val="22"/>
        </w:rPr>
        <w:t>’</w:t>
      </w:r>
      <w:r w:rsidRPr="00E8642C">
        <w:rPr>
          <w:rFonts w:cs="Arial"/>
          <w:szCs w:val="22"/>
        </w:rPr>
        <w:t>on considère habituellement comme décent ou moral (Black</w:t>
      </w:r>
      <w:r w:rsidR="004D2AA1">
        <w:rPr>
          <w:rFonts w:cs="Arial"/>
          <w:szCs w:val="22"/>
        </w:rPr>
        <w:t>’</w:t>
      </w:r>
      <w:r w:rsidRPr="00E8642C">
        <w:rPr>
          <w:rFonts w:cs="Arial"/>
          <w:szCs w:val="22"/>
        </w:rPr>
        <w:t>s Law Dictionary).</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91" w:name="_Toc7772562"/>
      <w:r w:rsidRPr="00E8642C">
        <w:lastRenderedPageBreak/>
        <w:t>Patrimoine (des peuples autochtones)</w:t>
      </w:r>
      <w:bookmarkEnd w:id="91"/>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r w:rsidRPr="00E8642C">
        <w:rPr>
          <w:rFonts w:cs="Arial"/>
          <w:szCs w:val="22"/>
        </w:rPr>
        <w:t>Irene Da</w:t>
      </w:r>
      <w:r w:rsidR="00007531" w:rsidRPr="00E8642C">
        <w:rPr>
          <w:rFonts w:cs="Arial"/>
          <w:szCs w:val="22"/>
        </w:rPr>
        <w:t>es</w:t>
      </w:r>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2" w:name="_Toc7772563"/>
      <w:r w:rsidRPr="00E8642C">
        <w:t>Patrimoine culturel</w:t>
      </w:r>
      <w:bookmarkEnd w:id="92"/>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lastRenderedPageBreak/>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3" w:name="_Toc7772564"/>
      <w:r w:rsidRPr="00E8642C">
        <w:t>Patrimoine culturel immatériel</w:t>
      </w:r>
      <w:bookmarkEnd w:id="93"/>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s Law Dictionary,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immatériel;  b)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bookmarkStart w:id="94" w:name="_Toc7772565"/>
      <w:r w:rsidRPr="00E8642C">
        <w:t>Pays d</w:t>
      </w:r>
      <w:r w:rsidR="004D2AA1">
        <w:t>’</w:t>
      </w:r>
      <w:r w:rsidRPr="00E8642C">
        <w:t>origine des ressources génétiques</w:t>
      </w:r>
      <w:bookmarkEnd w:id="94"/>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5" w:name="_Toc7772566"/>
      <w:r w:rsidRPr="00E8642C">
        <w:t>Pays fournisseur de ressources génétiques</w:t>
      </w:r>
      <w:bookmarkEnd w:id="95"/>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lastRenderedPageBreak/>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bookmarkStart w:id="96" w:name="_Toc7772567"/>
      <w:r w:rsidRPr="00E8642C">
        <w:t>Peuples autochtones</w:t>
      </w:r>
      <w:bookmarkEnd w:id="96"/>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Martínez Cobo,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r w:rsidRPr="00E8642C">
        <w:rPr>
          <w:rFonts w:cs="Arial"/>
          <w:iCs/>
          <w:szCs w:val="22"/>
        </w:rPr>
        <w:t>préinvasion</w:t>
      </w:r>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 xml:space="preserve">un lien historique avec une région </w:t>
      </w:r>
      <w:r w:rsidRPr="00E8642C">
        <w:rPr>
          <w:rFonts w:cs="Arial"/>
          <w:szCs w:val="22"/>
        </w:rPr>
        <w:lastRenderedPageBreak/>
        <w:t>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auto</w:t>
      </w:r>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sz w:val="22"/>
          <w:szCs w:val="22"/>
          <w:lang w:val="fr-FR"/>
        </w:rPr>
        <w:t>institutions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autres groupes ou par les autorités nationales en tant que collectivité distincte;  et</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Oxford Dictionary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35 de la Constitution du Canada indique que “</w:t>
      </w:r>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“préinvasion”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ethnique, </w:t>
      </w:r>
      <w:r w:rsidRPr="00E8642C">
        <w:rPr>
          <w:rFonts w:cs="Arial"/>
          <w:iCs/>
          <w:szCs w:val="22"/>
        </w:rPr>
        <w:lastRenderedPageBreak/>
        <w:t>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bookmarkStart w:id="97" w:name="_Toc7772568"/>
      <w:r w:rsidRPr="00E8642C">
        <w:t>Pratiques coutumières</w:t>
      </w:r>
      <w:bookmarkEnd w:id="97"/>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bookmarkStart w:id="98" w:name="_Toc7772569"/>
      <w:r w:rsidRPr="00E8642C">
        <w:t>Préservation</w:t>
      </w:r>
      <w:bookmarkEnd w:id="9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bookmarkStart w:id="99" w:name="_Toc7772570"/>
      <w:r w:rsidRPr="00E8642C">
        <w:t>Principes directeurs de propriété intellectuelle applicables aux contrats concernant l</w:t>
      </w:r>
      <w:r w:rsidR="004D2AA1">
        <w:t>’</w:t>
      </w:r>
      <w:r w:rsidRPr="00E8642C">
        <w:t>accès et le partage des avantages</w:t>
      </w:r>
      <w:bookmarkEnd w:id="99"/>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lastRenderedPageBreak/>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100" w:name="_Toc7772571"/>
      <w:r w:rsidRPr="00E8642C">
        <w:t>Propriété culturelle</w:t>
      </w:r>
      <w:bookmarkEnd w:id="100"/>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 xml:space="preserve">inscriptions, monnaies et sceaux gravés;  f) le matériel ethnologique;  </w:t>
      </w:r>
      <w:r w:rsidRPr="00E8642C">
        <w:rPr>
          <w:rFonts w:cs="Arial"/>
          <w:snapToGrid w:val="0"/>
          <w:szCs w:val="22"/>
        </w:rPr>
        <w:lastRenderedPageBreak/>
        <w:t>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1" w:name="_Toc7772572"/>
      <w:r w:rsidRPr="00E8642C">
        <w:t>Protection</w:t>
      </w:r>
      <w:bookmarkEnd w:id="10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bookmarkStart w:id="102" w:name="_Toc7772573"/>
      <w:r w:rsidRPr="00E8642C">
        <w:t>Protocole</w:t>
      </w:r>
      <w:bookmarkEnd w:id="102"/>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lastRenderedPageBreak/>
        <w:t>Les protocoles sont des accords juridiques, des codes de conduite, des directives ou des ensembles de mœurs qui expliquent comment les gens devraient se comporter dans certaines 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bookmarkStart w:id="103" w:name="_Toc7772574"/>
      <w:r w:rsidRPr="00E8642C">
        <w:t>Protocole de Nagoya sur l</w:t>
      </w:r>
      <w:r w:rsidR="004D2AA1">
        <w:t>’</w:t>
      </w:r>
      <w:r w:rsidRPr="00E8642C">
        <w:t>accès aux ressources génétiques et le partage juste et équitable des avantages découlant de leur utilisation relatif à la Convention sur la diversité biologique (2010)</w:t>
      </w:r>
      <w:bookmarkEnd w:id="103"/>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04" w:name="_Toc7772575"/>
      <w:r w:rsidRPr="00E8642C">
        <w:t>Protocole de Swakopmund relatif à la protection des savoirs traditionnels et des expressions du folklore</w:t>
      </w:r>
      <w:bookmarkEnd w:id="10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05" w:name="_Toc7772576"/>
      <w:r w:rsidRPr="00E8642C">
        <w:t>Publiquement disponible</w:t>
      </w:r>
      <w:bookmarkEnd w:id="10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 xml:space="preserve">accès et de partage des avantages ont opéré une distinction entre “domaine public” et “publiquement disponible” spécifiquement pour les connaissances traditionnelles associées aux </w:t>
      </w:r>
      <w:r w:rsidRPr="00E8642C">
        <w:rPr>
          <w:rFonts w:cs="Arial"/>
          <w:szCs w:val="22"/>
        </w:rPr>
        <w:lastRenderedPageBreak/>
        <w:t>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un détenteur de connaissances traditionnelles qui est identifiable pourrait encore être requis et les dispositions du partage des avantages rendues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bookmarkStart w:id="106" w:name="_Toc7772577"/>
      <w:r w:rsidRPr="00E8642C">
        <w:t>Registres de savoirs traditionnels</w:t>
      </w:r>
      <w:bookmarkEnd w:id="106"/>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 xml:space="preserve">cet égard, ces registres peuvent davantage être sujets à </w:t>
      </w:r>
      <w:r w:rsidRPr="00E8642C">
        <w:rPr>
          <w:rFonts w:cs="Arial"/>
          <w:szCs w:val="22"/>
        </w:rPr>
        <w:lastRenderedPageBreak/>
        <w:t>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r w:rsidRPr="00E8642C">
        <w:rPr>
          <w:rFonts w:cs="Arial"/>
          <w:iCs/>
          <w:szCs w:val="22"/>
        </w:rPr>
        <w:t>Indecopi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autochtones;  b)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bookmarkStart w:id="107" w:name="_Toc7772578"/>
      <w:r w:rsidRPr="00E8642C">
        <w:t>Règlement extrajudiciaire des litiges</w:t>
      </w:r>
      <w:bookmarkEnd w:id="107"/>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bookmarkStart w:id="108" w:name="_Toc7772579"/>
      <w:r w:rsidRPr="00E8642C">
        <w:lastRenderedPageBreak/>
        <w:t>Rémunération équitable</w:t>
      </w:r>
      <w:bookmarkEnd w:id="108"/>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9" w:name="_Toc7772580"/>
      <w:r w:rsidRPr="00E8642C">
        <w:t>Réputation</w:t>
      </w:r>
      <w:bookmarkEnd w:id="10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bookmarkStart w:id="110" w:name="_Toc7772581"/>
      <w:r w:rsidRPr="00E8642C">
        <w:t>Respect mutuel</w:t>
      </w:r>
      <w:bookmarkEnd w:id="110"/>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une relation de réciprocité (Oxford English Dictionary).</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11" w:name="_Toc7772582"/>
      <w:r w:rsidRPr="00E8642C">
        <w:t>Ressources biologiques</w:t>
      </w:r>
      <w:bookmarkEnd w:id="111"/>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0D5705" w:rsidP="00EF6794">
      <w:pPr>
        <w:pStyle w:val="Heading2"/>
        <w:spacing w:line="240" w:lineRule="auto"/>
        <w:rPr>
          <w:rStyle w:val="Strong"/>
          <w:b/>
        </w:rPr>
      </w:pPr>
      <w:bookmarkStart w:id="112" w:name="_Toc7772583"/>
      <w:r w:rsidRPr="00E8642C">
        <w:rPr>
          <w:rStyle w:val="Strong"/>
          <w:b/>
        </w:rPr>
        <w:t>R</w:t>
      </w:r>
      <w:r w:rsidR="006B600F">
        <w:rPr>
          <w:rStyle w:val="Strong"/>
          <w:b/>
        </w:rPr>
        <w:t>essources génétiques</w:t>
      </w:r>
      <w:bookmarkEnd w:id="112"/>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r w:rsidRPr="00E8642C">
        <w:rPr>
          <w:rFonts w:cs="Arial"/>
          <w:iCs/>
          <w:szCs w:val="22"/>
        </w:rPr>
        <w:t>germoplasme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Traité international sur les ressources phytogénétiques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définit les “ressources phytogénétiques”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pour la collecte et le transfert de matériel phytogénétique</w:t>
      </w:r>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phytogénétiques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Engagement international sur les ressources phytogénétiques</w:t>
      </w:r>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13" w:name="_Toc7772584"/>
      <w:r w:rsidRPr="00E8642C">
        <w:lastRenderedPageBreak/>
        <w:t>Sacré</w:t>
      </w:r>
      <w:bookmarkEnd w:id="113"/>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Rev.),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4" w:name="_Toc7772585"/>
      <w:r w:rsidRPr="00E8642C">
        <w:t>Sauvegarde</w:t>
      </w:r>
      <w:bookmarkEnd w:id="114"/>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5" w:name="_Toc7772586"/>
      <w:r w:rsidRPr="00E8642C">
        <w:t>Savoirs autochtones</w:t>
      </w:r>
      <w:bookmarkEnd w:id="11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bookmarkStart w:id="116" w:name="_Toc7772587"/>
      <w:r w:rsidRPr="00E8642C">
        <w:t>Savoirs traditionnels</w:t>
      </w:r>
      <w:bookmarkEnd w:id="116"/>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7" w:name="_Toc7772588"/>
      <w:r w:rsidRPr="00E8642C">
        <w:t>Savoirs traditionnels codifiés</w:t>
      </w:r>
      <w:bookmarkEnd w:id="117"/>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nsi, en Asie du Sud, les systèmes de savoirs codifiés comprennent la médecine ayurvédique, codifiée dans 54 livres faisant autorité, le système Siddha, codifié dans 29 livres faisant autorité, et le système Unani Tibb,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 xml:space="preserve">dire les savoirs traditionnels qui se présentent sous une forme écrite et qui relèvent du domaine public;  et ii) les savoirs traditionnels non codifiés, qui font partie des traditions orales des communautés </w:t>
      </w:r>
      <w:r w:rsidRPr="00E8642C">
        <w:rPr>
          <w:rFonts w:cs="Arial"/>
          <w:szCs w:val="22"/>
        </w:rPr>
        <w:lastRenderedPageBreak/>
        <w:t>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bookmarkStart w:id="118" w:name="_Toc7772589"/>
      <w:r w:rsidRPr="00E8642C">
        <w:t>Savoirs traditionnels divulgués</w:t>
      </w:r>
      <w:bookmarkEnd w:id="11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bookmarkStart w:id="119" w:name="_Toc7772590"/>
      <w:r w:rsidRPr="00E8642C">
        <w:t>Secret</w:t>
      </w:r>
      <w:bookmarkEnd w:id="11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0" w:name="_Toc7772591"/>
      <w:r w:rsidRPr="00E8642C">
        <w:t>Source de ressources génétiques</w:t>
      </w:r>
      <w:bookmarkEnd w:id="120"/>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bookmarkStart w:id="121" w:name="_Toc7772592"/>
      <w:r w:rsidRPr="00E8642C">
        <w:rPr>
          <w:i/>
        </w:rPr>
        <w:t>Sui generis</w:t>
      </w:r>
      <w:bookmarkEnd w:id="121"/>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lastRenderedPageBreak/>
        <w:t>Le Black</w:t>
      </w:r>
      <w:r w:rsidR="004D2AA1">
        <w:rPr>
          <w:rFonts w:cs="Arial"/>
          <w:szCs w:val="22"/>
        </w:rPr>
        <w:t>’</w:t>
      </w:r>
      <w:r w:rsidRPr="00E8642C">
        <w:rPr>
          <w:rFonts w:cs="Arial"/>
          <w:szCs w:val="22"/>
        </w:rPr>
        <w:t>s Law Dictionary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122" w:name="_Toc7772593"/>
      <w:r w:rsidRPr="00E8642C">
        <w:t>Traité international sur les ressources phytogénétiques pour l</w:t>
      </w:r>
      <w:r w:rsidR="004D2AA1">
        <w:t>’</w:t>
      </w:r>
      <w:r w:rsidRPr="00E8642C">
        <w:t>alimentation et l</w:t>
      </w:r>
      <w:r w:rsidR="004D2AA1">
        <w:t>’</w:t>
      </w:r>
      <w:r w:rsidRPr="00E8642C">
        <w:t>agriculture</w:t>
      </w:r>
      <w:bookmarkEnd w:id="122"/>
    </w:p>
    <w:p w:rsidR="00DD607D" w:rsidRPr="00E8642C" w:rsidRDefault="00DD607D" w:rsidP="00EF6794"/>
    <w:p w:rsidR="00DD607D" w:rsidRPr="00E8642C" w:rsidRDefault="00DD607D" w:rsidP="00EF6794">
      <w:r w:rsidRPr="00E8642C">
        <w:t>Le Traité international sur les ressources phytogénétiques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avoir accès au matériel phytogénétique;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bookmarkStart w:id="123" w:name="_Toc7772594"/>
      <w:r w:rsidRPr="00E8642C">
        <w:t>Utilisation</w:t>
      </w:r>
      <w:bookmarkEnd w:id="123"/>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4" w:name="_Toc7772595"/>
      <w:r w:rsidRPr="00E8642C">
        <w:t>Utilisation des expressions culturelles traditionnelles/savoirs traditionnels</w:t>
      </w:r>
      <w:bookmarkEnd w:id="124"/>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 xml:space="preserve">expression </w:t>
      </w:r>
      <w:r w:rsidRPr="00E8642C">
        <w:rPr>
          <w:rFonts w:cs="Arial"/>
          <w:szCs w:val="22"/>
        </w:rPr>
        <w:lastRenderedPageBreak/>
        <w:t>“utilisation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auteur, le Black</w:t>
      </w:r>
      <w:r w:rsidR="004D2AA1">
        <w:rPr>
          <w:rFonts w:cs="Arial"/>
          <w:szCs w:val="22"/>
        </w:rPr>
        <w:t>’</w:t>
      </w:r>
      <w:r w:rsidRPr="00E8642C">
        <w:rPr>
          <w:rFonts w:cs="Arial"/>
          <w:szCs w:val="22"/>
        </w:rPr>
        <w:t>s Law Dictionary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“[a]ppartenant à la maison ou à la famille;  domestique</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“[c]haque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25" w:name="_Toc7772596"/>
      <w:r w:rsidRPr="00E8642C">
        <w:t>Utilisation illicite</w:t>
      </w:r>
      <w:r w:rsidRPr="00E8642C">
        <w:rPr>
          <w:rStyle w:val="FootnoteReference"/>
          <w:b w:val="0"/>
          <w:bCs w:val="0"/>
          <w:caps/>
        </w:rPr>
        <w:footnoteReference w:id="172"/>
      </w:r>
      <w:bookmarkEnd w:id="125"/>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default" r:id="rId14"/>
      <w:footerReference w:type="default" r:id="rId15"/>
      <w:headerReference w:type="first" r:id="rId16"/>
      <w:footerReference w:type="first" r:id="rId17"/>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F4" w:rsidRDefault="00AD06F4">
      <w:r>
        <w:separator/>
      </w:r>
    </w:p>
    <w:p w:rsidR="00AD06F4" w:rsidRDefault="00AD06F4"/>
  </w:endnote>
  <w:endnote w:type="continuationSeparator" w:id="0">
    <w:p w:rsidR="00AD06F4" w:rsidRDefault="00AD06F4">
      <w:r>
        <w:continuationSeparator/>
      </w:r>
    </w:p>
    <w:p w:rsidR="00AD06F4" w:rsidRDefault="00AD06F4"/>
  </w:endnote>
  <w:endnote w:type="continuationNotice" w:id="1">
    <w:p w:rsidR="00AD06F4" w:rsidRDefault="00AD06F4"/>
    <w:p w:rsidR="00AD06F4" w:rsidRDefault="00AD0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Footer"/>
    </w:pPr>
  </w:p>
  <w:p w:rsidR="00AD06F4" w:rsidRDefault="00AD06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Footer"/>
    </w:pPr>
  </w:p>
  <w:p w:rsidR="00AD06F4" w:rsidRDefault="00AD06F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Footer"/>
    </w:pPr>
  </w:p>
  <w:p w:rsidR="00AD06F4" w:rsidRDefault="00AD06F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Footer"/>
    </w:pPr>
  </w:p>
  <w:p w:rsidR="00AD06F4" w:rsidRDefault="00AD06F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Pr="008576A7" w:rsidRDefault="00AD06F4"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F4" w:rsidRDefault="00AD06F4">
      <w:r>
        <w:separator/>
      </w:r>
    </w:p>
    <w:p w:rsidR="00AD06F4" w:rsidRDefault="00AD06F4"/>
  </w:footnote>
  <w:footnote w:type="continuationSeparator" w:id="0">
    <w:p w:rsidR="00AD06F4" w:rsidRDefault="00AD06F4">
      <w:r>
        <w:separator/>
      </w:r>
    </w:p>
    <w:p w:rsidR="00AD06F4" w:rsidRDefault="00AD06F4" w:rsidP="00BD4DE0">
      <w:pPr>
        <w:spacing w:after="60"/>
      </w:pPr>
      <w:r w:rsidRPr="009D30E6">
        <w:rPr>
          <w:sz w:val="17"/>
          <w:szCs w:val="17"/>
        </w:rPr>
        <w:t>[Suite de la note de la page précédente]</w:t>
      </w:r>
    </w:p>
    <w:p w:rsidR="00AD06F4" w:rsidRDefault="00AD06F4"/>
  </w:footnote>
  <w:footnote w:type="continuationNotice" w:id="1">
    <w:p w:rsidR="00AD06F4" w:rsidRPr="009D30E6" w:rsidRDefault="00AD06F4" w:rsidP="00BD4DE0">
      <w:pPr>
        <w:spacing w:before="60"/>
        <w:jc w:val="right"/>
        <w:rPr>
          <w:sz w:val="17"/>
          <w:szCs w:val="17"/>
        </w:rPr>
      </w:pPr>
      <w:r w:rsidRPr="009D30E6">
        <w:rPr>
          <w:sz w:val="17"/>
          <w:szCs w:val="17"/>
        </w:rPr>
        <w:t>[Suite de la note page suivante]</w:t>
      </w:r>
    </w:p>
    <w:p w:rsidR="00AD06F4" w:rsidRDefault="00AD06F4"/>
  </w:footnote>
  <w:footnote w:id="2">
    <w:p w:rsidR="00AD06F4" w:rsidRPr="00E55DB1" w:rsidRDefault="00AD06F4"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AD06F4" w:rsidRPr="00E55DB1" w:rsidRDefault="00AD06F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AD06F4" w:rsidRPr="00E55DB1" w:rsidRDefault="00AD06F4"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AD06F4" w:rsidRPr="00E55DB1" w:rsidRDefault="00AD06F4"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AD06F4" w:rsidRPr="00E55DB1" w:rsidRDefault="00AD06F4"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https://www.wipo.int/tk/en/databases/contracts/index.html</w:t>
      </w:r>
      <w:r w:rsidRPr="00E55DB1">
        <w:rPr>
          <w:rFonts w:cs="Arial"/>
          <w:noProof/>
          <w:sz w:val="18"/>
          <w:szCs w:val="18"/>
        </w:rPr>
        <w:t>.</w:t>
      </w:r>
    </w:p>
  </w:footnote>
  <w:footnote w:id="8">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AD06F4" w:rsidRPr="00E55DB1" w:rsidRDefault="00AD06F4"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AD06F4" w:rsidRPr="00E55DB1" w:rsidRDefault="00AD06F4"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AD06F4" w:rsidRPr="00E55DB1" w:rsidRDefault="00AD06F4"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r w:rsidRPr="00286DCE">
        <w:rPr>
          <w:rStyle w:val="Hyperlink"/>
          <w:rFonts w:cs="Arial"/>
          <w:noProof/>
          <w:color w:val="auto"/>
          <w:sz w:val="18"/>
          <w:szCs w:val="18"/>
          <w:u w:val="none"/>
        </w:rPr>
        <w:t>https://www.wipo.int/tk/en/databases/contracts/index.html</w:t>
      </w:r>
      <w:r w:rsidRPr="00E55DB1">
        <w:rPr>
          <w:rFonts w:cs="Arial"/>
          <w:noProof/>
          <w:sz w:val="18"/>
          <w:szCs w:val="18"/>
        </w:rPr>
        <w:t>.</w:t>
      </w:r>
    </w:p>
  </w:footnote>
  <w:footnote w:id="18">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AD06F4" w:rsidRPr="00E55DB1" w:rsidRDefault="00AD06F4"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4"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AD06F4" w:rsidRPr="00E55DB1" w:rsidRDefault="00AD06F4"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AD06F4" w:rsidRPr="00E55DB1" w:rsidRDefault="00AD06F4"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AD06F4" w:rsidRPr="00E55DB1" w:rsidRDefault="00AD06F4"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AD06F4" w:rsidRPr="00E55DB1" w:rsidRDefault="00AD06F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AD06F4" w:rsidRPr="00E55DB1" w:rsidRDefault="00AD06F4"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AD06F4" w:rsidRPr="00E55DB1" w:rsidRDefault="00AD06F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AD06F4" w:rsidRPr="00E55DB1" w:rsidRDefault="00AD06F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AD06F4" w:rsidRPr="00E55DB1" w:rsidRDefault="00AD06F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AD06F4" w:rsidRPr="00E55DB1" w:rsidRDefault="00AD06F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AD06F4" w:rsidRPr="00E55DB1" w:rsidRDefault="00AD06F4"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AD06F4" w:rsidRPr="00E55DB1" w:rsidRDefault="00AD06F4"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AD06F4" w:rsidRPr="00E55DB1" w:rsidRDefault="00AD06F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AD06F4" w:rsidRPr="00E55DB1" w:rsidRDefault="00AD06F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https://www.wipo.int/pct/fr/texts/glossary.html#D</w:t>
      </w:r>
      <w:r w:rsidRPr="00E55DB1">
        <w:rPr>
          <w:rFonts w:cs="Arial"/>
          <w:noProof/>
          <w:sz w:val="18"/>
          <w:szCs w:val="18"/>
        </w:rPr>
        <w:t>.</w:t>
      </w:r>
    </w:p>
  </w:footnote>
  <w:footnote w:id="56">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AD06F4" w:rsidRPr="00E55DB1" w:rsidRDefault="00AD06F4"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AD06F4" w:rsidRPr="00E55DB1" w:rsidRDefault="00AD06F4"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AD06F4" w:rsidRPr="00E55DB1" w:rsidRDefault="00AD06F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AD06F4" w:rsidRPr="00E55DB1" w:rsidRDefault="00AD06F4"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8"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9"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0"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AD06F4" w:rsidRPr="00E55DB1" w:rsidRDefault="00AD06F4"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r w:rsidRPr="00E1729C">
        <w:rPr>
          <w:rStyle w:val="Hyperlink"/>
          <w:rFonts w:cs="Arial"/>
          <w:color w:val="auto"/>
          <w:sz w:val="18"/>
          <w:szCs w:val="18"/>
          <w:u w:val="none"/>
        </w:rPr>
        <w:t>https://www.wipo.int/wipolex/fr/details.jsp?id=16061</w:t>
      </w:r>
      <w:r w:rsidRPr="00E55DB1">
        <w:rPr>
          <w:rFonts w:cs="Arial"/>
          <w:sz w:val="18"/>
          <w:szCs w:val="18"/>
        </w:rPr>
        <w:t>.</w:t>
      </w:r>
    </w:p>
  </w:footnote>
  <w:footnote w:id="67">
    <w:p w:rsidR="00AD06F4" w:rsidRPr="00E55DB1" w:rsidRDefault="00AD06F4"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AD06F4" w:rsidRPr="00E55DB1" w:rsidRDefault="00AD06F4"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r w:rsidRPr="000518AA">
        <w:rPr>
          <w:rStyle w:val="Hyperlink"/>
          <w:rFonts w:cs="Arial"/>
          <w:noProof/>
          <w:color w:val="auto"/>
          <w:sz w:val="18"/>
          <w:szCs w:val="18"/>
          <w:u w:val="none"/>
        </w:rPr>
        <w:t>https://www.wipo.int/publications/fr/details.jsp?id=4194</w:t>
      </w:r>
      <w:r w:rsidRPr="00E55DB1">
        <w:rPr>
          <w:rFonts w:cs="Arial"/>
          <w:noProof/>
          <w:sz w:val="18"/>
          <w:szCs w:val="18"/>
        </w:rPr>
        <w:t>.</w:t>
      </w:r>
    </w:p>
  </w:footnote>
  <w:footnote w:id="72">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AD06F4" w:rsidRPr="00E55DB1" w:rsidRDefault="00AD06F4"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AD06F4" w:rsidRPr="00E55DB1" w:rsidRDefault="00AD06F4"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AD06F4" w:rsidRPr="00E55DB1" w:rsidRDefault="00AD06F4"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AD06F4" w:rsidRPr="00E55DB1" w:rsidRDefault="00AD06F4"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AD06F4" w:rsidRPr="00E55DB1" w:rsidRDefault="00AD06F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AD06F4" w:rsidRPr="00E55DB1" w:rsidRDefault="00AD06F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AD06F4" w:rsidRPr="00E55DB1" w:rsidRDefault="00AD06F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AD06F4" w:rsidRPr="00E55DB1" w:rsidRDefault="00AD06F4"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AD06F4" w:rsidRPr="00E55DB1" w:rsidRDefault="00AD06F4"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AD06F4" w:rsidRPr="00E55DB1" w:rsidRDefault="00AD06F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AD06F4" w:rsidRPr="00E55DB1" w:rsidRDefault="00AD06F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AD06F4" w:rsidRPr="00E55DB1" w:rsidRDefault="00AD06F4"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AD06F4" w:rsidRPr="00E55DB1" w:rsidRDefault="00AD06F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1"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AD06F4" w:rsidRPr="00E55DB1" w:rsidRDefault="00AD06F4"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r w:rsidRPr="00E1729C">
        <w:rPr>
          <w:rStyle w:val="Hyperlink"/>
          <w:rFonts w:cs="Arial"/>
          <w:color w:val="auto"/>
          <w:sz w:val="18"/>
          <w:szCs w:val="18"/>
          <w:u w:val="none"/>
        </w:rPr>
        <w:t>https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AD06F4" w:rsidRPr="00E55DB1" w:rsidRDefault="00AD06F4"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AD06F4" w:rsidRPr="00E55DB1" w:rsidRDefault="00AD06F4"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AD06F4" w:rsidRPr="00E55DB1" w:rsidRDefault="00AD06F4"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AD06F4" w:rsidRPr="00E55DB1" w:rsidRDefault="00AD06F4"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AD06F4" w:rsidRPr="00E55DB1" w:rsidRDefault="00AD06F4"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AD06F4" w:rsidRPr="00E55DB1" w:rsidRDefault="00AD06F4"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t xml:space="preserve">Glossaire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l’adresse</w:t>
      </w:r>
      <w:proofErr w:type="spellEnd"/>
      <w:r w:rsidRPr="00E55DB1">
        <w:rPr>
          <w:rFonts w:cs="Arial"/>
          <w:sz w:val="18"/>
          <w:szCs w:val="18"/>
          <w:lang w:val="en-US"/>
        </w:rPr>
        <w:t xml:space="preserve"> </w:t>
      </w:r>
      <w:hyperlink r:id="rId12" w:history="1">
        <w:r w:rsidRPr="00E55DB1">
          <w:rPr>
            <w:rStyle w:val="Hyperlink"/>
            <w:rFonts w:cs="Arial"/>
            <w:color w:val="auto"/>
            <w:sz w:val="18"/>
            <w:szCs w:val="18"/>
            <w:u w:val="none"/>
            <w:lang w:val="en-US"/>
          </w:rPr>
          <w:t>https://www.unenvironment.org/resources/report/glossary-terms-negotiators-multilateral-environmental-agreements</w:t>
        </w:r>
      </w:hyperlink>
      <w:r w:rsidRPr="00E55DB1">
        <w:rPr>
          <w:rFonts w:cs="Arial"/>
          <w:sz w:val="18"/>
          <w:szCs w:val="18"/>
          <w:lang w:val="en-US"/>
        </w:rPr>
        <w:t>.</w:t>
      </w:r>
    </w:p>
  </w:footnote>
  <w:footnote w:id="104">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AD06F4" w:rsidRPr="00E55DB1" w:rsidRDefault="00AD06F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AD06F4" w:rsidRPr="00E55DB1" w:rsidRDefault="00AD06F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AD06F4" w:rsidRPr="00E55DB1" w:rsidRDefault="00AD06F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AD06F4" w:rsidRPr="00E55DB1" w:rsidRDefault="00AD06F4"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3"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4"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5"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AD06F4" w:rsidRPr="00E55DB1" w:rsidRDefault="00AD06F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AD06F4" w:rsidRPr="00E55DB1" w:rsidRDefault="00AD06F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AD06F4" w:rsidRPr="00E55DB1" w:rsidRDefault="00AD06F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AD06F4" w:rsidRPr="00E55DB1" w:rsidRDefault="00AD06F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AD06F4" w:rsidRPr="00E55DB1" w:rsidRDefault="00AD06F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AD06F4" w:rsidRPr="00E55DB1" w:rsidRDefault="00AD06F4"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hyperlink r:id="rId16"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AD06F4" w:rsidRPr="00E55DB1" w:rsidRDefault="00AD06F4"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17"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8"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AD06F4" w:rsidRPr="00E55DB1" w:rsidRDefault="00AD06F4"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9"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AD06F4" w:rsidRPr="00E55DB1" w:rsidRDefault="00AD06F4"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AD06F4" w:rsidRPr="00E55DB1" w:rsidRDefault="00AD06F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w:t>
      </w:r>
      <w:r>
        <w:rPr>
          <w:rFonts w:cs="Arial"/>
          <w:noProof/>
          <w:sz w:val="18"/>
          <w:szCs w:val="18"/>
        </w:rPr>
        <w:t>38/6</w:t>
      </w:r>
      <w:r w:rsidRPr="00E55DB1">
        <w:rPr>
          <w:rFonts w:cs="Arial"/>
          <w:noProof/>
          <w:sz w:val="18"/>
          <w:szCs w:val="18"/>
        </w:rPr>
        <w:t>. intitulé “Protection des savoirs traditionnels : projet</w:t>
      </w:r>
      <w:r>
        <w:rPr>
          <w:rFonts w:cs="Arial"/>
          <w:noProof/>
          <w:sz w:val="18"/>
          <w:szCs w:val="18"/>
        </w:rPr>
        <w:t xml:space="preserve"> actualisé</w:t>
      </w:r>
      <w:r w:rsidRPr="00E55DB1">
        <w:rPr>
          <w:rFonts w:cs="Arial"/>
          <w:noProof/>
          <w:sz w:val="18"/>
          <w:szCs w:val="18"/>
        </w:rPr>
        <w:t xml:space="preserve"> d’analyse des lacunes y relatives : version révisée”.</w:t>
      </w:r>
    </w:p>
  </w:footnote>
  <w:footnote w:id="131">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AD06F4" w:rsidRPr="00E55DB1" w:rsidRDefault="00AD06F4"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AD06F4" w:rsidRPr="00E55DB1" w:rsidRDefault="00AD06F4"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AD06F4" w:rsidRPr="00E55DB1" w:rsidRDefault="00AD06F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20"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r w:rsidRPr="00E1729C">
        <w:rPr>
          <w:rStyle w:val="Hyperlink"/>
          <w:rFonts w:cs="Arial"/>
          <w:noProof/>
          <w:color w:val="auto"/>
          <w:sz w:val="18"/>
          <w:szCs w:val="18"/>
          <w:u w:val="none"/>
        </w:rPr>
        <w:t>https://www.wipo.int/wipolex/fr/details.jsp?id=3420</w:t>
      </w:r>
      <w:r w:rsidRPr="00E55DB1">
        <w:rPr>
          <w:rFonts w:cs="Arial"/>
          <w:noProof/>
          <w:sz w:val="18"/>
          <w:szCs w:val="18"/>
        </w:rPr>
        <w:t>.</w:t>
      </w:r>
    </w:p>
  </w:footnote>
  <w:footnote w:id="148">
    <w:p w:rsidR="00AD06F4" w:rsidRPr="00E55DB1" w:rsidRDefault="00AD06F4"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r w:rsidRPr="00286DCE">
        <w:rPr>
          <w:rStyle w:val="Hyperlink"/>
          <w:rFonts w:cs="Arial"/>
          <w:color w:val="auto"/>
          <w:sz w:val="18"/>
          <w:szCs w:val="18"/>
          <w:u w:val="none"/>
        </w:rPr>
        <w:t>https://www.wipo.int/publications/fr/details.jsp?id=3877</w:t>
      </w:r>
      <w:r w:rsidRPr="00E55DB1">
        <w:rPr>
          <w:rFonts w:cs="Arial"/>
          <w:sz w:val="18"/>
          <w:szCs w:val="18"/>
        </w:rPr>
        <w:t xml:space="preserve">.  </w:t>
      </w:r>
    </w:p>
  </w:footnote>
  <w:footnote w:id="149">
    <w:p w:rsidR="00AD06F4" w:rsidRPr="00E55DB1" w:rsidRDefault="00AD06F4"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AD06F4" w:rsidRPr="00E55DB1" w:rsidRDefault="00AD06F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AD06F4" w:rsidRPr="00E55DB1" w:rsidRDefault="00AD06F4"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AD06F4" w:rsidRPr="00E55DB1" w:rsidRDefault="00AD06F4"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AD06F4" w:rsidRPr="00E55DB1" w:rsidRDefault="00AD06F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AD06F4" w:rsidRPr="00E55DB1" w:rsidRDefault="00AD06F4"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r w:rsidRPr="00E1729C">
        <w:rPr>
          <w:rStyle w:val="Hyperlink"/>
          <w:rFonts w:cs="Arial"/>
          <w:color w:val="auto"/>
          <w:sz w:val="18"/>
          <w:szCs w:val="18"/>
          <w:u w:val="none"/>
        </w:rPr>
        <w:t>https://www.wipo.int/edocs/pubdocs/fr/tk/768/wipo_pub_768.pdf</w:t>
      </w:r>
      <w:r w:rsidRPr="00E55DB1">
        <w:rPr>
          <w:rFonts w:cs="Arial"/>
          <w:noProof/>
          <w:sz w:val="18"/>
          <w:szCs w:val="18"/>
        </w:rPr>
        <w:t>.</w:t>
      </w:r>
    </w:p>
  </w:footnote>
  <w:footnote w:id="155">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AD06F4" w:rsidRPr="00E55DB1" w:rsidRDefault="00AD06F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r w:rsidRPr="00E1729C">
        <w:rPr>
          <w:rStyle w:val="Hyperlink"/>
          <w:rFonts w:cs="Arial"/>
          <w:noProof/>
          <w:color w:val="auto"/>
          <w:sz w:val="18"/>
          <w:szCs w:val="18"/>
          <w:u w:val="none"/>
        </w:rPr>
        <w:t>https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AD06F4" w:rsidRPr="00E55DB1" w:rsidRDefault="00AD06F4"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AD06F4" w:rsidRPr="00E55DB1" w:rsidRDefault="00AD06F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AD06F4" w:rsidRPr="00E55DB1" w:rsidRDefault="00AD06F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AD06F4" w:rsidRPr="00E55DB1" w:rsidRDefault="00AD06F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AD06F4" w:rsidRPr="00E55DB1" w:rsidRDefault="00AD06F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AD06F4" w:rsidRPr="00E55DB1" w:rsidRDefault="00AD06F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AD06F4" w:rsidRPr="00E55DB1" w:rsidRDefault="00AD06F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AD06F4" w:rsidRPr="00E55DB1" w:rsidRDefault="00AD06F4"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AD06F4" w:rsidRPr="00E55DB1" w:rsidRDefault="00AD06F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AD06F4" w:rsidRDefault="00AD06F4">
    <w:pPr>
      <w:pStyle w:val="Header"/>
      <w:ind w:right="360"/>
    </w:pPr>
  </w:p>
  <w:p w:rsidR="00AD06F4" w:rsidRDefault="00AD06F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Header"/>
      <w:jc w:val="right"/>
      <w:rPr>
        <w:szCs w:val="22"/>
      </w:rPr>
    </w:pPr>
    <w:proofErr w:type="spellStart"/>
    <w:r>
      <w:rPr>
        <w:szCs w:val="22"/>
      </w:rPr>
      <w:t>WIPO</w:t>
    </w:r>
    <w:proofErr w:type="spellEnd"/>
    <w:r>
      <w:rPr>
        <w:szCs w:val="22"/>
      </w:rPr>
      <w:t>/</w:t>
    </w:r>
    <w:proofErr w:type="spellStart"/>
    <w:r>
      <w:rPr>
        <w:szCs w:val="22"/>
      </w:rPr>
      <w:t>GRTKF</w:t>
    </w:r>
    <w:proofErr w:type="spellEnd"/>
    <w:r>
      <w:rPr>
        <w:szCs w:val="22"/>
      </w:rPr>
      <w:t>/IC/</w:t>
    </w:r>
    <w:r w:rsidR="00C67D83">
      <w:rPr>
        <w:szCs w:val="22"/>
      </w:rPr>
      <w:t>40</w:t>
    </w:r>
    <w:r>
      <w:rPr>
        <w:szCs w:val="22"/>
      </w:rPr>
      <w:t>/</w:t>
    </w:r>
    <w:proofErr w:type="spellStart"/>
    <w:r>
      <w:rPr>
        <w:szCs w:val="22"/>
      </w:rPr>
      <w:t>INF</w:t>
    </w:r>
    <w:proofErr w:type="spellEnd"/>
    <w:r>
      <w:rPr>
        <w:szCs w:val="22"/>
      </w:rPr>
      <w:t>/7</w:t>
    </w:r>
  </w:p>
  <w:p w:rsidR="00AD06F4" w:rsidRDefault="00AD06F4">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C67D83">
      <w:rPr>
        <w:rStyle w:val="PageNumber"/>
        <w:noProof/>
        <w:szCs w:val="22"/>
      </w:rPr>
      <w:t>2</w:t>
    </w:r>
    <w:r>
      <w:rPr>
        <w:rStyle w:val="PageNumber"/>
        <w:szCs w:val="22"/>
      </w:rPr>
      <w:fldChar w:fldCharType="end"/>
    </w:r>
  </w:p>
  <w:p w:rsidR="00AD06F4" w:rsidRDefault="00AD06F4">
    <w:pPr>
      <w:pStyle w:val="Header"/>
      <w:jc w:val="right"/>
    </w:pPr>
  </w:p>
  <w:p w:rsidR="00AD06F4" w:rsidRDefault="00AD06F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Default="00AD06F4">
    <w:pPr>
      <w:pStyle w:val="Header"/>
      <w:jc w:val="right"/>
      <w:rPr>
        <w:szCs w:val="22"/>
      </w:rPr>
    </w:pPr>
    <w:proofErr w:type="spellStart"/>
    <w:r>
      <w:rPr>
        <w:szCs w:val="22"/>
      </w:rPr>
      <w:t>WIPO</w:t>
    </w:r>
    <w:proofErr w:type="spellEnd"/>
    <w:r>
      <w:rPr>
        <w:szCs w:val="22"/>
      </w:rPr>
      <w:t>/</w:t>
    </w:r>
    <w:proofErr w:type="spellStart"/>
    <w:r>
      <w:rPr>
        <w:szCs w:val="22"/>
      </w:rPr>
      <w:t>GRTKF</w:t>
    </w:r>
    <w:proofErr w:type="spellEnd"/>
    <w:r>
      <w:rPr>
        <w:szCs w:val="22"/>
      </w:rPr>
      <w:t>/IC/</w:t>
    </w:r>
    <w:r w:rsidR="00C67D83">
      <w:rPr>
        <w:szCs w:val="22"/>
      </w:rPr>
      <w:t>40</w:t>
    </w:r>
    <w:r>
      <w:rPr>
        <w:szCs w:val="22"/>
      </w:rPr>
      <w:t>/</w:t>
    </w:r>
    <w:proofErr w:type="spellStart"/>
    <w:r>
      <w:rPr>
        <w:szCs w:val="22"/>
      </w:rPr>
      <w:t>INF</w:t>
    </w:r>
    <w:proofErr w:type="spellEnd"/>
    <w:r>
      <w:rPr>
        <w:szCs w:val="22"/>
      </w:rPr>
      <w:t>/7</w:t>
    </w:r>
  </w:p>
  <w:p w:rsidR="00AD06F4" w:rsidRDefault="00AD06F4">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C67D83">
      <w:rPr>
        <w:rStyle w:val="PageNumber"/>
        <w:noProof/>
        <w:szCs w:val="22"/>
      </w:rPr>
      <w:t>7</w:t>
    </w:r>
    <w:r>
      <w:rPr>
        <w:rStyle w:val="PageNumber"/>
        <w:szCs w:val="22"/>
      </w:rPr>
      <w:fldChar w:fldCharType="end"/>
    </w:r>
  </w:p>
  <w:p w:rsidR="00AD06F4" w:rsidRDefault="00AD06F4">
    <w:pPr>
      <w:pStyle w:val="Header"/>
      <w:tabs>
        <w:tab w:val="clear" w:pos="9072"/>
        <w:tab w:val="right" w:pos="9100"/>
      </w:tabs>
      <w:jc w:val="right"/>
      <w:rPr>
        <w:szCs w:val="22"/>
      </w:rPr>
    </w:pPr>
  </w:p>
  <w:p w:rsidR="00AD06F4" w:rsidRDefault="00AD06F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4" w:rsidRPr="001E0485" w:rsidRDefault="00AD06F4">
    <w:pPr>
      <w:ind w:right="-1"/>
      <w:jc w:val="right"/>
      <w:rPr>
        <w:szCs w:val="22"/>
        <w:lang w:val="en-US"/>
      </w:rPr>
    </w:pPr>
    <w:r w:rsidRPr="001E0485">
      <w:rPr>
        <w:szCs w:val="22"/>
        <w:lang w:val="en-US"/>
      </w:rPr>
      <w:t>WIPO/</w:t>
    </w:r>
    <w:proofErr w:type="spellStart"/>
    <w:r w:rsidRPr="001E0485">
      <w:rPr>
        <w:szCs w:val="22"/>
        <w:lang w:val="en-US"/>
      </w:rPr>
      <w:t>GRTKF</w:t>
    </w:r>
    <w:proofErr w:type="spellEnd"/>
    <w:r w:rsidRPr="001E0485">
      <w:rPr>
        <w:szCs w:val="22"/>
        <w:lang w:val="en-US"/>
      </w:rPr>
      <w:t>/IC/</w:t>
    </w:r>
    <w:r w:rsidR="00C67D83">
      <w:rPr>
        <w:szCs w:val="22"/>
        <w:lang w:val="en-US"/>
      </w:rPr>
      <w:t>40</w:t>
    </w:r>
    <w:r w:rsidRPr="001E0485">
      <w:rPr>
        <w:szCs w:val="22"/>
        <w:lang w:val="en-US"/>
      </w:rPr>
      <w:t>/INF/7</w:t>
    </w:r>
  </w:p>
  <w:p w:rsidR="00AD06F4" w:rsidRPr="001E0485" w:rsidRDefault="00AD06F4">
    <w:pPr>
      <w:pStyle w:val="Header"/>
      <w:jc w:val="right"/>
      <w:rPr>
        <w:szCs w:val="22"/>
        <w:lang w:val="en-US"/>
      </w:rPr>
    </w:pPr>
    <w:r w:rsidRPr="001E0485">
      <w:rPr>
        <w:szCs w:val="22"/>
        <w:lang w:val="en-US"/>
      </w:rPr>
      <w:t>ANNEXE</w:t>
    </w:r>
  </w:p>
  <w:p w:rsidR="00AD06F4" w:rsidRPr="001E0485" w:rsidRDefault="00AD06F4">
    <w:pPr>
      <w:pStyle w:val="Header"/>
      <w:jc w:val="right"/>
      <w:rPr>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A0AAE"/>
    <w:rsid w:val="001C33FB"/>
    <w:rsid w:val="001E0485"/>
    <w:rsid w:val="001F7FBB"/>
    <w:rsid w:val="00204A5E"/>
    <w:rsid w:val="00214D43"/>
    <w:rsid w:val="00225416"/>
    <w:rsid w:val="002554A9"/>
    <w:rsid w:val="00263702"/>
    <w:rsid w:val="00285A43"/>
    <w:rsid w:val="00286DCE"/>
    <w:rsid w:val="002A016C"/>
    <w:rsid w:val="002A7EBB"/>
    <w:rsid w:val="002B36FC"/>
    <w:rsid w:val="002C52C4"/>
    <w:rsid w:val="002C7F2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85A"/>
    <w:rsid w:val="00422819"/>
    <w:rsid w:val="00423AA2"/>
    <w:rsid w:val="00431983"/>
    <w:rsid w:val="00436E83"/>
    <w:rsid w:val="004401F3"/>
    <w:rsid w:val="00467A45"/>
    <w:rsid w:val="0047417E"/>
    <w:rsid w:val="00492E7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B25AE"/>
    <w:rsid w:val="006B600F"/>
    <w:rsid w:val="006C4BAC"/>
    <w:rsid w:val="006D53E0"/>
    <w:rsid w:val="006D55A8"/>
    <w:rsid w:val="006E4D63"/>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06F4"/>
    <w:rsid w:val="00AD42C0"/>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C069E2"/>
    <w:rsid w:val="00C070E9"/>
    <w:rsid w:val="00C10455"/>
    <w:rsid w:val="00C21AB4"/>
    <w:rsid w:val="00C27F71"/>
    <w:rsid w:val="00C33F04"/>
    <w:rsid w:val="00C42572"/>
    <w:rsid w:val="00C430F7"/>
    <w:rsid w:val="00C4686F"/>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337E4"/>
    <w:rsid w:val="00D41D90"/>
    <w:rsid w:val="00D55594"/>
    <w:rsid w:val="00D61F7F"/>
    <w:rsid w:val="00D63E89"/>
    <w:rsid w:val="00D67152"/>
    <w:rsid w:val="00D7422E"/>
    <w:rsid w:val="00D81740"/>
    <w:rsid w:val="00D85F2A"/>
    <w:rsid w:val="00D91C97"/>
    <w:rsid w:val="00DA3BB7"/>
    <w:rsid w:val="00DC0787"/>
    <w:rsid w:val="00DC26CA"/>
    <w:rsid w:val="00DC5C9E"/>
    <w:rsid w:val="00DD607D"/>
    <w:rsid w:val="00DF55A4"/>
    <w:rsid w:val="00E0296C"/>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6794"/>
    <w:rsid w:val="00F017C6"/>
    <w:rsid w:val="00F14F6F"/>
    <w:rsid w:val="00F24435"/>
    <w:rsid w:val="00F25B2F"/>
    <w:rsid w:val="00F26BC9"/>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1F3A6F"/>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uspto.gov/web/offices/pac/mpep/mpep-9015-appx-l.html%23al_d1fbe1_19797_b0" TargetMode="External"/><Relationship Id="rId18" Type="http://schemas.openxmlformats.org/officeDocument/2006/relationships/hyperlink" Target="http://www.ifad.org/english/indigenous/documents/ip_policy_f.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nenvironment.org/resources/report/glossary-terms-negotiators-multilateral-environmental-agreements" TargetMode="External"/><Relationship Id="rId17" Type="http://schemas.openxmlformats.org/officeDocument/2006/relationships/hyperlink" Target="http://www.fao.org/docrep/013/i1857f/i1857f00.pdf"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edocs.unep.org/handle/20.500.11822/7569" TargetMode="External"/><Relationship Id="rId20" Type="http://schemas.openxmlformats.org/officeDocument/2006/relationships/hyperlink" Target="http://www.law.duke.edu/cspd/itkpaper"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s://www.gpo.gov/fdsys/pkg/USCODE-2011-title35/pdf/USCODE-2011-title35-partII-chap11-sec122.pdf" TargetMode="External"/><Relationship Id="rId10" Type="http://schemas.openxmlformats.org/officeDocument/2006/relationships/hyperlink" Target="https://www.gpo.gov/fdsys/pkg/USCODE-2011-title35/pdf/USCODE-2011-title35-partII-chap11-sec122.pdf" TargetMode="External"/><Relationship Id="rId19"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DAD3-52D2-417A-8431-CD0490B9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58</Pages>
  <Words>24537</Words>
  <Characters>147922</Characters>
  <Application>Microsoft Office Word</Application>
  <DocSecurity>0</DocSecurity>
  <Lines>2311</Lines>
  <Paragraphs>1002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171457</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COUTURE Sébastien</cp:lastModifiedBy>
  <cp:revision>16</cp:revision>
  <cp:lastPrinted>2018-01-30T11:57:00Z</cp:lastPrinted>
  <dcterms:created xsi:type="dcterms:W3CDTF">2019-01-29T09:01:00Z</dcterms:created>
  <dcterms:modified xsi:type="dcterms:W3CDTF">2019-05-03T08:41:00Z</dcterms:modified>
</cp:coreProperties>
</file>