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F43A28" w:rsidRPr="00F43A28" w:rsidTr="00E62088">
        <w:tc>
          <w:tcPr>
            <w:tcW w:w="4513" w:type="dxa"/>
            <w:tcBorders>
              <w:bottom w:val="single" w:sz="4" w:space="0" w:color="auto"/>
            </w:tcBorders>
            <w:tcMar>
              <w:bottom w:w="170" w:type="dxa"/>
            </w:tcMar>
          </w:tcPr>
          <w:p w:rsidR="00E64D32" w:rsidRPr="00F43A28" w:rsidRDefault="00E64D32" w:rsidP="00E62088">
            <w:pPr>
              <w:rPr>
                <w:color w:val="008000"/>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E64D32" w:rsidRPr="00F43A28" w:rsidRDefault="00E64D32" w:rsidP="00E62088">
            <w:pPr>
              <w:rPr>
                <w:color w:val="008000"/>
                <w:lang w:val="fr-FR"/>
              </w:rPr>
            </w:pPr>
            <w:r w:rsidRPr="009D1007">
              <w:rPr>
                <w:noProof/>
                <w:lang w:val="fr-CH" w:eastAsia="fr-CH"/>
              </w:rPr>
              <w:drawing>
                <wp:inline distT="0" distB="0" distL="0" distR="0" wp14:anchorId="7FEDC051" wp14:editId="5EF7F1B7">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64D32" w:rsidRPr="009D1007" w:rsidRDefault="00E64D32" w:rsidP="00E62088">
            <w:pPr>
              <w:jc w:val="right"/>
              <w:rPr>
                <w:lang w:val="fr-FR"/>
              </w:rPr>
            </w:pPr>
            <w:r w:rsidRPr="009D1007">
              <w:rPr>
                <w:b/>
                <w:sz w:val="40"/>
                <w:szCs w:val="40"/>
                <w:lang w:val="fr-FR"/>
              </w:rPr>
              <w:t>F</w:t>
            </w:r>
          </w:p>
        </w:tc>
      </w:tr>
      <w:tr w:rsidR="00F43A28" w:rsidRPr="00F43A28" w:rsidTr="00E62088">
        <w:trPr>
          <w:trHeight w:hRule="exact" w:val="357"/>
        </w:trPr>
        <w:tc>
          <w:tcPr>
            <w:tcW w:w="9356" w:type="dxa"/>
            <w:gridSpan w:val="3"/>
            <w:tcBorders>
              <w:top w:val="single" w:sz="4" w:space="0" w:color="auto"/>
            </w:tcBorders>
            <w:tcMar>
              <w:top w:w="170" w:type="dxa"/>
              <w:left w:w="0" w:type="dxa"/>
              <w:right w:w="0" w:type="dxa"/>
            </w:tcMar>
            <w:vAlign w:val="bottom"/>
          </w:tcPr>
          <w:p w:rsidR="00E64D32" w:rsidRPr="009D1007" w:rsidRDefault="00E64D32" w:rsidP="00E62088">
            <w:pPr>
              <w:jc w:val="right"/>
              <w:rPr>
                <w:rFonts w:ascii="Arial Black" w:hAnsi="Arial Black"/>
                <w:caps/>
                <w:sz w:val="15"/>
                <w:lang w:val="fr-FR"/>
              </w:rPr>
            </w:pPr>
            <w:r w:rsidRPr="009D1007">
              <w:rPr>
                <w:rFonts w:ascii="Arial Black" w:hAnsi="Arial Black"/>
                <w:caps/>
                <w:sz w:val="15"/>
                <w:lang w:val="fr-FR"/>
              </w:rPr>
              <w:t>WIPO/GRTKF/IC/40/</w:t>
            </w:r>
            <w:bookmarkStart w:id="2" w:name="Code"/>
            <w:bookmarkEnd w:id="2"/>
            <w:r w:rsidRPr="009D1007">
              <w:rPr>
                <w:rFonts w:ascii="Arial Black" w:hAnsi="Arial Black"/>
                <w:caps/>
                <w:sz w:val="15"/>
                <w:lang w:val="fr-FR"/>
              </w:rPr>
              <w:t>11</w:t>
            </w:r>
          </w:p>
        </w:tc>
      </w:tr>
      <w:tr w:rsidR="00F43A28" w:rsidRPr="00F43A28" w:rsidTr="00E62088">
        <w:trPr>
          <w:trHeight w:hRule="exact" w:val="170"/>
        </w:trPr>
        <w:tc>
          <w:tcPr>
            <w:tcW w:w="9356" w:type="dxa"/>
            <w:gridSpan w:val="3"/>
            <w:noWrap/>
            <w:tcMar>
              <w:left w:w="0" w:type="dxa"/>
              <w:right w:w="0" w:type="dxa"/>
            </w:tcMar>
            <w:vAlign w:val="bottom"/>
          </w:tcPr>
          <w:p w:rsidR="00E64D32" w:rsidRPr="009D1007" w:rsidRDefault="00E64D32" w:rsidP="00E62088">
            <w:pPr>
              <w:jc w:val="right"/>
              <w:rPr>
                <w:rFonts w:ascii="Arial Black" w:hAnsi="Arial Black"/>
                <w:caps/>
                <w:sz w:val="15"/>
                <w:lang w:val="fr-FR"/>
              </w:rPr>
            </w:pPr>
            <w:r w:rsidRPr="009D1007">
              <w:rPr>
                <w:rFonts w:ascii="Arial Black" w:hAnsi="Arial Black"/>
                <w:caps/>
                <w:sz w:val="15"/>
                <w:lang w:val="fr-FR"/>
              </w:rPr>
              <w:t>ORIGINAL</w:t>
            </w:r>
            <w:r w:rsidR="00B5502A">
              <w:rPr>
                <w:rFonts w:ascii="Arial Black" w:hAnsi="Arial Black"/>
                <w:caps/>
                <w:sz w:val="15"/>
                <w:lang w:val="fr-FR"/>
              </w:rPr>
              <w:t> :</w:t>
            </w:r>
            <w:r w:rsidRPr="009D1007">
              <w:rPr>
                <w:rFonts w:ascii="Arial Black" w:hAnsi="Arial Black"/>
                <w:caps/>
                <w:sz w:val="15"/>
                <w:lang w:val="fr-FR"/>
              </w:rPr>
              <w:t xml:space="preserve"> </w:t>
            </w:r>
            <w:bookmarkStart w:id="3" w:name="Original"/>
            <w:bookmarkEnd w:id="3"/>
            <w:r w:rsidRPr="009D1007">
              <w:rPr>
                <w:rFonts w:ascii="Arial Black" w:hAnsi="Arial Black"/>
                <w:caps/>
                <w:sz w:val="15"/>
                <w:lang w:val="fr-FR"/>
              </w:rPr>
              <w:t xml:space="preserve">anglais </w:t>
            </w:r>
          </w:p>
        </w:tc>
      </w:tr>
      <w:tr w:rsidR="00F43A28" w:rsidRPr="00F43A28" w:rsidTr="00E62088">
        <w:trPr>
          <w:trHeight w:hRule="exact" w:val="198"/>
        </w:trPr>
        <w:tc>
          <w:tcPr>
            <w:tcW w:w="9356" w:type="dxa"/>
            <w:gridSpan w:val="3"/>
            <w:tcMar>
              <w:left w:w="0" w:type="dxa"/>
              <w:right w:w="0" w:type="dxa"/>
            </w:tcMar>
            <w:vAlign w:val="bottom"/>
          </w:tcPr>
          <w:p w:rsidR="00E64D32" w:rsidRPr="009D1007" w:rsidRDefault="00E64D32" w:rsidP="00E62088">
            <w:pPr>
              <w:jc w:val="right"/>
              <w:rPr>
                <w:rFonts w:ascii="Arial Black" w:hAnsi="Arial Black"/>
                <w:caps/>
                <w:sz w:val="15"/>
                <w:lang w:val="fr-FR"/>
              </w:rPr>
            </w:pPr>
            <w:r w:rsidRPr="009D1007">
              <w:rPr>
                <w:rFonts w:ascii="Arial Black" w:hAnsi="Arial Black"/>
                <w:caps/>
                <w:sz w:val="15"/>
                <w:lang w:val="fr-FR"/>
              </w:rPr>
              <w:t>DATE</w:t>
            </w:r>
            <w:r w:rsidR="00B5502A">
              <w:rPr>
                <w:rFonts w:ascii="Arial Black" w:hAnsi="Arial Black"/>
                <w:caps/>
                <w:sz w:val="15"/>
                <w:lang w:val="fr-FR"/>
              </w:rPr>
              <w:t> :</w:t>
            </w:r>
            <w:r w:rsidRPr="009D1007">
              <w:rPr>
                <w:rFonts w:ascii="Arial Black" w:hAnsi="Arial Black"/>
                <w:caps/>
                <w:sz w:val="15"/>
                <w:lang w:val="fr-FR"/>
              </w:rPr>
              <w:t xml:space="preserve"> </w:t>
            </w:r>
            <w:bookmarkStart w:id="4" w:name="Date"/>
            <w:bookmarkEnd w:id="4"/>
            <w:r w:rsidRPr="009D1007">
              <w:rPr>
                <w:rFonts w:ascii="Arial Black" w:hAnsi="Arial Black"/>
                <w:caps/>
                <w:sz w:val="15"/>
                <w:lang w:val="fr-FR"/>
              </w:rPr>
              <w:t>2</w:t>
            </w:r>
            <w:r w:rsidR="00F43A28" w:rsidRPr="009D1007">
              <w:rPr>
                <w:rFonts w:ascii="Arial Black" w:hAnsi="Arial Black"/>
                <w:caps/>
                <w:sz w:val="15"/>
                <w:lang w:val="fr-FR"/>
              </w:rPr>
              <w:t>4 mai 20</w:t>
            </w:r>
            <w:r w:rsidRPr="009D1007">
              <w:rPr>
                <w:rFonts w:ascii="Arial Black" w:hAnsi="Arial Black"/>
                <w:caps/>
                <w:sz w:val="15"/>
                <w:lang w:val="fr-FR"/>
              </w:rPr>
              <w:t xml:space="preserve">19 </w:t>
            </w:r>
          </w:p>
        </w:tc>
      </w:tr>
    </w:tbl>
    <w:p w:rsidR="002B1543" w:rsidRPr="009D1007" w:rsidRDefault="002B1543" w:rsidP="00E64D32">
      <w:pPr>
        <w:rPr>
          <w:lang w:val="fr-FR"/>
        </w:rPr>
      </w:pPr>
    </w:p>
    <w:p w:rsidR="002B1543" w:rsidRPr="009D1007" w:rsidRDefault="002B1543" w:rsidP="00E64D32">
      <w:pPr>
        <w:rPr>
          <w:lang w:val="fr-FR"/>
        </w:rPr>
      </w:pPr>
    </w:p>
    <w:p w:rsidR="002B1543" w:rsidRPr="009D1007" w:rsidRDefault="002B1543" w:rsidP="00E64D32">
      <w:pPr>
        <w:rPr>
          <w:lang w:val="fr-FR"/>
        </w:rPr>
      </w:pPr>
    </w:p>
    <w:p w:rsidR="002B1543" w:rsidRPr="009D1007" w:rsidRDefault="002B1543" w:rsidP="00E64D32">
      <w:pPr>
        <w:rPr>
          <w:lang w:val="fr-FR"/>
        </w:rPr>
      </w:pPr>
    </w:p>
    <w:p w:rsidR="002B1543" w:rsidRPr="009D1007" w:rsidRDefault="002B1543" w:rsidP="00E64D32">
      <w:pPr>
        <w:rPr>
          <w:lang w:val="fr-FR"/>
        </w:rPr>
      </w:pPr>
    </w:p>
    <w:p w:rsidR="002B1543" w:rsidRPr="009D1007" w:rsidRDefault="00B5502A" w:rsidP="00E64D32">
      <w:pPr>
        <w:rPr>
          <w:b/>
          <w:sz w:val="28"/>
          <w:szCs w:val="28"/>
          <w:lang w:val="fr-FR"/>
        </w:rPr>
      </w:pPr>
      <w:r>
        <w:rPr>
          <w:b/>
          <w:sz w:val="28"/>
          <w:szCs w:val="28"/>
          <w:lang w:val="fr-FR"/>
        </w:rPr>
        <w:t>Comité intergouvernemental de la propriété intellectuelle relative aux ressources génétiques, aux savoirs traditionnels et au folklore</w:t>
      </w:r>
    </w:p>
    <w:p w:rsidR="002B1543" w:rsidRPr="009D1007" w:rsidRDefault="002B1543" w:rsidP="00E64D32">
      <w:pPr>
        <w:rPr>
          <w:lang w:val="fr-FR"/>
        </w:rPr>
      </w:pPr>
    </w:p>
    <w:p w:rsidR="002B1543" w:rsidRPr="009D1007" w:rsidRDefault="002B1543" w:rsidP="00E64D32">
      <w:pPr>
        <w:rPr>
          <w:lang w:val="fr-FR"/>
        </w:rPr>
      </w:pPr>
    </w:p>
    <w:p w:rsidR="002B1543" w:rsidRPr="009D1007" w:rsidRDefault="00E64D32" w:rsidP="00E64D32">
      <w:pPr>
        <w:rPr>
          <w:b/>
          <w:sz w:val="24"/>
          <w:szCs w:val="24"/>
          <w:lang w:val="fr-FR"/>
        </w:rPr>
      </w:pPr>
      <w:r w:rsidRPr="009D1007">
        <w:rPr>
          <w:b/>
          <w:sz w:val="24"/>
          <w:szCs w:val="24"/>
          <w:lang w:val="fr-FR"/>
        </w:rPr>
        <w:t>Quarant</w:t>
      </w:r>
      <w:r w:rsidR="0082449C">
        <w:rPr>
          <w:b/>
          <w:sz w:val="24"/>
          <w:szCs w:val="24"/>
          <w:lang w:val="fr-FR"/>
        </w:rPr>
        <w:t>ième session</w:t>
      </w:r>
    </w:p>
    <w:p w:rsidR="002B1543" w:rsidRPr="009D1007" w:rsidRDefault="00E64D32" w:rsidP="00E64D32">
      <w:pPr>
        <w:rPr>
          <w:b/>
          <w:sz w:val="24"/>
          <w:szCs w:val="24"/>
          <w:lang w:val="fr-FR"/>
        </w:rPr>
      </w:pPr>
      <w:r w:rsidRPr="009D1007">
        <w:rPr>
          <w:b/>
          <w:sz w:val="24"/>
          <w:szCs w:val="24"/>
          <w:lang w:val="fr-FR"/>
        </w:rPr>
        <w:t>Genève, 17 – 2</w:t>
      </w:r>
      <w:r w:rsidR="00F43A28" w:rsidRPr="009D1007">
        <w:rPr>
          <w:b/>
          <w:sz w:val="24"/>
          <w:szCs w:val="24"/>
          <w:lang w:val="fr-FR"/>
        </w:rPr>
        <w:t>1 juin 20</w:t>
      </w:r>
      <w:r w:rsidRPr="009D1007">
        <w:rPr>
          <w:b/>
          <w:sz w:val="24"/>
          <w:szCs w:val="24"/>
          <w:lang w:val="fr-FR"/>
        </w:rPr>
        <w:t>19</w:t>
      </w:r>
    </w:p>
    <w:p w:rsidR="002B1543" w:rsidRPr="009D1007" w:rsidRDefault="002B1543" w:rsidP="00E64D32">
      <w:pPr>
        <w:rPr>
          <w:lang w:val="fr-FR"/>
        </w:rPr>
      </w:pPr>
    </w:p>
    <w:p w:rsidR="002B1543" w:rsidRPr="009D1007" w:rsidRDefault="002B1543" w:rsidP="00E64D32">
      <w:pPr>
        <w:rPr>
          <w:lang w:val="fr-FR"/>
        </w:rPr>
      </w:pPr>
    </w:p>
    <w:p w:rsidR="002B1543" w:rsidRPr="009D1007" w:rsidRDefault="002B1543" w:rsidP="00E64D32">
      <w:pPr>
        <w:rPr>
          <w:lang w:val="fr-FR"/>
        </w:rPr>
      </w:pPr>
    </w:p>
    <w:p w:rsidR="002B1543" w:rsidRPr="009D1007" w:rsidRDefault="002B1543" w:rsidP="00E6072E">
      <w:pPr>
        <w:rPr>
          <w:caps/>
          <w:sz w:val="24"/>
          <w:lang w:val="fr-FR"/>
        </w:rPr>
      </w:pPr>
      <w:r w:rsidRPr="009D1007">
        <w:rPr>
          <w:caps/>
          <w:sz w:val="24"/>
          <w:lang w:val="fr-FR"/>
        </w:rPr>
        <w:t>Incidence économique des retards de traitement et de l</w:t>
      </w:r>
      <w:r w:rsidR="0082449C">
        <w:rPr>
          <w:caps/>
          <w:sz w:val="24"/>
          <w:lang w:val="fr-FR"/>
        </w:rPr>
        <w:t>’</w:t>
      </w:r>
      <w:r w:rsidRPr="009D1007">
        <w:rPr>
          <w:caps/>
          <w:sz w:val="24"/>
          <w:lang w:val="fr-FR"/>
        </w:rPr>
        <w:t>incertitude concernant les droits de brevet</w:t>
      </w:r>
      <w:r w:rsidR="00B5502A">
        <w:rPr>
          <w:caps/>
          <w:sz w:val="24"/>
          <w:lang w:val="fr-FR"/>
        </w:rPr>
        <w:t> :</w:t>
      </w:r>
      <w:r w:rsidRPr="009D1007">
        <w:rPr>
          <w:caps/>
          <w:sz w:val="24"/>
          <w:lang w:val="fr-FR"/>
        </w:rPr>
        <w:t xml:space="preserve"> préoccupations des </w:t>
      </w:r>
      <w:r w:rsidR="00B5502A">
        <w:rPr>
          <w:caps/>
          <w:sz w:val="24"/>
          <w:lang w:val="fr-FR"/>
        </w:rPr>
        <w:t>États-Unis d’Amérique</w:t>
      </w:r>
      <w:r w:rsidRPr="009D1007">
        <w:rPr>
          <w:caps/>
          <w:sz w:val="24"/>
          <w:lang w:val="fr-FR"/>
        </w:rPr>
        <w:t xml:space="preserve"> face aux propositions relatives à de nouvelles exigences de divulgation</w:t>
      </w:r>
    </w:p>
    <w:p w:rsidR="002B1543" w:rsidRPr="009D1007" w:rsidRDefault="002B1543" w:rsidP="00E6072E">
      <w:pPr>
        <w:rPr>
          <w:lang w:val="fr-FR"/>
        </w:rPr>
      </w:pPr>
    </w:p>
    <w:p w:rsidR="002B1543" w:rsidRPr="009D1007" w:rsidRDefault="002B1543" w:rsidP="00E6072E">
      <w:pPr>
        <w:rPr>
          <w:i/>
          <w:lang w:val="fr-FR"/>
        </w:rPr>
      </w:pPr>
      <w:r w:rsidRPr="009D1007">
        <w:rPr>
          <w:i/>
          <w:lang w:val="fr-FR"/>
        </w:rPr>
        <w:t xml:space="preserve">Document établi par la délégation des </w:t>
      </w:r>
      <w:r w:rsidR="00B5502A">
        <w:rPr>
          <w:i/>
          <w:lang w:val="fr-FR"/>
        </w:rPr>
        <w:t>États-Unis d’Amérique</w:t>
      </w:r>
    </w:p>
    <w:p w:rsidR="002B1543" w:rsidRPr="009D1007" w:rsidRDefault="002B1543" w:rsidP="00E6072E">
      <w:pPr>
        <w:rPr>
          <w:lang w:val="fr-FR"/>
        </w:rPr>
      </w:pPr>
    </w:p>
    <w:p w:rsidR="002B1543" w:rsidRPr="009D1007" w:rsidRDefault="002B1543" w:rsidP="00E6072E">
      <w:pPr>
        <w:rPr>
          <w:lang w:val="fr-FR"/>
        </w:rPr>
      </w:pPr>
    </w:p>
    <w:p w:rsidR="002B1543" w:rsidRPr="009D1007" w:rsidRDefault="002B1543" w:rsidP="00E6072E">
      <w:pPr>
        <w:rPr>
          <w:lang w:val="fr-FR"/>
        </w:rPr>
      </w:pPr>
    </w:p>
    <w:p w:rsidR="002B1543" w:rsidRPr="009D1007" w:rsidRDefault="00E6072E" w:rsidP="00E6072E">
      <w:pPr>
        <w:rPr>
          <w:lang w:val="fr-FR"/>
        </w:rPr>
      </w:pPr>
      <w:r w:rsidRPr="009D1007">
        <w:rPr>
          <w:lang w:val="fr-FR"/>
        </w:rPr>
        <w:t>INTRODUCTION</w:t>
      </w:r>
    </w:p>
    <w:p w:rsidR="002B1543" w:rsidRPr="009D1007" w:rsidRDefault="002B1543" w:rsidP="00E6072E">
      <w:pPr>
        <w:rPr>
          <w:lang w:val="fr-FR"/>
        </w:rPr>
      </w:pPr>
    </w:p>
    <w:p w:rsidR="002B1543" w:rsidRPr="009D1007" w:rsidRDefault="0080481C" w:rsidP="009D1007">
      <w:pPr>
        <w:pStyle w:val="ONUMFS"/>
        <w:rPr>
          <w:lang w:val="fr-FR"/>
        </w:rPr>
      </w:pPr>
      <w:r w:rsidRPr="004C3367">
        <w:rPr>
          <w:lang w:val="fr-FR"/>
        </w:rPr>
        <w:t>Le 2</w:t>
      </w:r>
      <w:r w:rsidR="00F43A28" w:rsidRPr="004C3367">
        <w:rPr>
          <w:lang w:val="fr-FR"/>
        </w:rPr>
        <w:t>3 mai 20</w:t>
      </w:r>
      <w:r w:rsidRPr="004C3367">
        <w:rPr>
          <w:lang w:val="fr-FR"/>
        </w:rPr>
        <w:t>19</w:t>
      </w:r>
      <w:r w:rsidR="00E6072E" w:rsidRPr="009D1007">
        <w:rPr>
          <w:lang w:val="fr-FR"/>
        </w:rPr>
        <w:t xml:space="preserve">, </w:t>
      </w:r>
      <w:r w:rsidRPr="009D1007">
        <w:rPr>
          <w:lang w:val="fr-FR"/>
        </w:rPr>
        <w:t>le Bureau international de l</w:t>
      </w:r>
      <w:r w:rsidR="0082449C">
        <w:rPr>
          <w:lang w:val="fr-FR"/>
        </w:rPr>
        <w:t>’</w:t>
      </w:r>
      <w:r w:rsidRPr="009D1007">
        <w:rPr>
          <w:lang w:val="fr-FR"/>
        </w:rPr>
        <w:t xml:space="preserve">Organisation Mondiale de la Propriété Intellectuelle (OMPI) a reçu une demande de la Mission permanente des </w:t>
      </w:r>
      <w:r w:rsidR="00B5502A">
        <w:rPr>
          <w:lang w:val="fr-FR"/>
        </w:rPr>
        <w:t>États-Unis d’Amérique</w:t>
      </w:r>
      <w:r w:rsidRPr="009D1007">
        <w:rPr>
          <w:lang w:val="fr-FR"/>
        </w:rPr>
        <w:t xml:space="preserve"> auprès de l</w:t>
      </w:r>
      <w:r w:rsidR="0082449C">
        <w:rPr>
          <w:lang w:val="fr-FR"/>
        </w:rPr>
        <w:t>’</w:t>
      </w:r>
      <w:r w:rsidRPr="009D1007">
        <w:rPr>
          <w:lang w:val="fr-FR"/>
        </w:rPr>
        <w:t>Organisation mondiale du commerce (OMC) tendant à soumettre à nouveau le</w:t>
      </w:r>
      <w:r w:rsidR="00E6072E" w:rsidRPr="009D1007">
        <w:rPr>
          <w:lang w:val="fr-FR"/>
        </w:rPr>
        <w:t xml:space="preserve"> </w:t>
      </w:r>
      <w:r w:rsidRPr="009D1007">
        <w:rPr>
          <w:lang w:val="fr-FR"/>
        </w:rPr>
        <w:t>document intitulé “Incidence économique des retards de traitement et de l</w:t>
      </w:r>
      <w:r w:rsidR="0082449C">
        <w:rPr>
          <w:lang w:val="fr-FR"/>
        </w:rPr>
        <w:t>’</w:t>
      </w:r>
      <w:r w:rsidRPr="009D1007">
        <w:rPr>
          <w:lang w:val="fr-FR"/>
        </w:rPr>
        <w:t>incertitude concernant les droits de brevet</w:t>
      </w:r>
      <w:r w:rsidR="00B5502A">
        <w:rPr>
          <w:lang w:val="fr-FR"/>
        </w:rPr>
        <w:t> :</w:t>
      </w:r>
      <w:r w:rsidRPr="009D1007">
        <w:rPr>
          <w:lang w:val="fr-FR"/>
        </w:rPr>
        <w:t xml:space="preserve"> préoccupations des </w:t>
      </w:r>
      <w:r w:rsidR="00B5502A">
        <w:rPr>
          <w:lang w:val="fr-FR"/>
        </w:rPr>
        <w:t>États-Unis d’Amérique</w:t>
      </w:r>
      <w:r w:rsidRPr="009D1007">
        <w:rPr>
          <w:lang w:val="fr-FR"/>
        </w:rPr>
        <w:t xml:space="preserve"> face aux propositions relatives à de nouvelles exigences de divulgation” figurant dans le </w:t>
      </w:r>
      <w:r w:rsidR="00F43A28" w:rsidRPr="009D1007">
        <w:rPr>
          <w:lang w:val="fr-FR"/>
        </w:rPr>
        <w:t>document WI</w:t>
      </w:r>
      <w:r w:rsidRPr="009D1007">
        <w:rPr>
          <w:lang w:val="fr-FR"/>
        </w:rPr>
        <w:t xml:space="preserve">PO/GRTKF/IC/39/10, pour examen à la </w:t>
      </w:r>
      <w:r w:rsidRPr="004C3367">
        <w:rPr>
          <w:lang w:val="fr-FR"/>
        </w:rPr>
        <w:t>quarant</w:t>
      </w:r>
      <w:r w:rsidR="0082449C">
        <w:rPr>
          <w:lang w:val="fr-FR"/>
        </w:rPr>
        <w:t>ième session</w:t>
      </w:r>
      <w:r w:rsidRPr="009D1007">
        <w:rPr>
          <w:lang w:val="fr-FR"/>
        </w:rPr>
        <w:t xml:space="preserve"> du </w:t>
      </w:r>
      <w:r w:rsidR="00B5502A">
        <w:rPr>
          <w:lang w:val="fr-FR"/>
        </w:rPr>
        <w:t>Comité intergouvernemental de la propriété intellectuelle relative aux ressources génétiques, aux savoirs traditionnels et au folklore</w:t>
      </w:r>
      <w:r w:rsidRPr="009D1007">
        <w:rPr>
          <w:lang w:val="fr-FR"/>
        </w:rPr>
        <w:t xml:space="preserve"> (IGC).</w:t>
      </w:r>
    </w:p>
    <w:p w:rsidR="00F43A28" w:rsidRPr="009D1007" w:rsidRDefault="0080481C" w:rsidP="009D1007">
      <w:pPr>
        <w:pStyle w:val="ONUMFS"/>
        <w:rPr>
          <w:lang w:val="fr-FR"/>
        </w:rPr>
      </w:pPr>
      <w:r w:rsidRPr="009D1007">
        <w:rPr>
          <w:lang w:val="fr-FR"/>
        </w:rPr>
        <w:t>Conformément à cette demande, l</w:t>
      </w:r>
      <w:r w:rsidR="0082449C">
        <w:rPr>
          <w:lang w:val="fr-FR"/>
        </w:rPr>
        <w:t>’</w:t>
      </w:r>
      <w:r w:rsidRPr="009D1007">
        <w:rPr>
          <w:lang w:val="fr-FR"/>
        </w:rPr>
        <w:t>annexe du présent document contient le texte susmentionné</w:t>
      </w:r>
      <w:r w:rsidR="00E6072E" w:rsidRPr="009D1007">
        <w:rPr>
          <w:lang w:val="fr-FR"/>
        </w:rPr>
        <w:t>.</w:t>
      </w:r>
    </w:p>
    <w:p w:rsidR="009D1007" w:rsidRPr="009D1007" w:rsidRDefault="00F43A28" w:rsidP="00C524FE">
      <w:pPr>
        <w:pStyle w:val="ONUMFS"/>
        <w:ind w:left="5533"/>
        <w:rPr>
          <w:lang w:val="fr-FR"/>
        </w:rPr>
      </w:pPr>
      <w:r w:rsidRPr="009D1007">
        <w:rPr>
          <w:i/>
          <w:lang w:val="fr-FR"/>
        </w:rPr>
        <w:t>Le comité est invité à prendre note de la proposition contenue dans l</w:t>
      </w:r>
      <w:r w:rsidR="0082449C">
        <w:rPr>
          <w:i/>
          <w:lang w:val="fr-FR"/>
        </w:rPr>
        <w:t>’</w:t>
      </w:r>
      <w:r w:rsidRPr="009D1007">
        <w:rPr>
          <w:i/>
          <w:lang w:val="fr-FR"/>
        </w:rPr>
        <w:t>annexe du présent document et à l</w:t>
      </w:r>
      <w:r w:rsidR="0082449C">
        <w:rPr>
          <w:i/>
          <w:lang w:val="fr-FR"/>
        </w:rPr>
        <w:t>’</w:t>
      </w:r>
      <w:r w:rsidRPr="009D1007">
        <w:rPr>
          <w:i/>
          <w:lang w:val="fr-FR"/>
        </w:rPr>
        <w:t>examiner.</w:t>
      </w:r>
    </w:p>
    <w:p w:rsidR="00F43A28" w:rsidRPr="009D1007" w:rsidRDefault="00E6072E" w:rsidP="009D1007">
      <w:pPr>
        <w:pStyle w:val="Endofdocument-Annex"/>
        <w:rPr>
          <w:lang w:val="fr-FR"/>
        </w:rPr>
      </w:pPr>
      <w:r w:rsidRPr="009D1007">
        <w:rPr>
          <w:lang w:val="fr-FR"/>
        </w:rPr>
        <w:t>[</w:t>
      </w:r>
      <w:r w:rsidR="00F43A28" w:rsidRPr="009D1007">
        <w:rPr>
          <w:lang w:val="fr-FR"/>
        </w:rPr>
        <w:t>L</w:t>
      </w:r>
      <w:r w:rsidR="0082449C">
        <w:rPr>
          <w:lang w:val="fr-FR"/>
        </w:rPr>
        <w:t>’</w:t>
      </w:r>
      <w:r w:rsidR="00F43A28" w:rsidRPr="009D1007">
        <w:rPr>
          <w:lang w:val="fr-FR"/>
        </w:rPr>
        <w:t>annexe suit</w:t>
      </w:r>
      <w:r w:rsidRPr="009D1007">
        <w:rPr>
          <w:lang w:val="fr-FR"/>
        </w:rPr>
        <w:t>]</w:t>
      </w:r>
    </w:p>
    <w:p w:rsidR="00E6072E" w:rsidRPr="009D1007" w:rsidRDefault="00E6072E" w:rsidP="00E6072E">
      <w:pPr>
        <w:rPr>
          <w:lang w:val="fr-FR"/>
        </w:rPr>
        <w:sectPr w:rsidR="00E6072E" w:rsidRPr="009D1007" w:rsidSect="00B5502A">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7" w:left="1417" w:header="510" w:footer="1020" w:gutter="0"/>
          <w:cols w:space="720"/>
          <w:titlePg/>
          <w:docGrid w:linePitch="299"/>
        </w:sectPr>
      </w:pPr>
    </w:p>
    <w:p w:rsidR="002B1543" w:rsidRPr="009D1007" w:rsidRDefault="002B1543" w:rsidP="00E6072E">
      <w:pPr>
        <w:jc w:val="center"/>
        <w:rPr>
          <w:b/>
          <w:szCs w:val="22"/>
          <w:lang w:val="fr-FR"/>
        </w:rPr>
      </w:pPr>
    </w:p>
    <w:p w:rsidR="00F43A28" w:rsidRPr="009D1007" w:rsidRDefault="00F43A28" w:rsidP="00F43A28">
      <w:pPr>
        <w:jc w:val="center"/>
        <w:rPr>
          <w:b/>
          <w:szCs w:val="22"/>
          <w:lang w:val="fr-FR"/>
        </w:rPr>
      </w:pPr>
      <w:r w:rsidRPr="009D1007">
        <w:rPr>
          <w:b/>
          <w:szCs w:val="22"/>
          <w:lang w:val="fr-FR"/>
        </w:rPr>
        <w:t>Incidence économique des retards de traitement et de l</w:t>
      </w:r>
      <w:r w:rsidR="0082449C">
        <w:rPr>
          <w:b/>
          <w:szCs w:val="22"/>
          <w:lang w:val="fr-FR"/>
        </w:rPr>
        <w:t>’</w:t>
      </w:r>
      <w:r w:rsidRPr="009D1007">
        <w:rPr>
          <w:b/>
          <w:szCs w:val="22"/>
          <w:lang w:val="fr-FR"/>
        </w:rPr>
        <w:t>incertitude</w:t>
      </w:r>
    </w:p>
    <w:p w:rsidR="00F43A28" w:rsidRPr="009D1007" w:rsidRDefault="00F43A28" w:rsidP="00F43A28">
      <w:pPr>
        <w:jc w:val="center"/>
        <w:rPr>
          <w:b/>
          <w:szCs w:val="22"/>
          <w:lang w:val="fr-FR"/>
        </w:rPr>
      </w:pPr>
      <w:r w:rsidRPr="009D1007">
        <w:rPr>
          <w:b/>
          <w:szCs w:val="22"/>
          <w:lang w:val="fr-FR"/>
        </w:rPr>
        <w:t>concernant les droits de brevet</w:t>
      </w:r>
      <w:r w:rsidR="00B5502A">
        <w:rPr>
          <w:b/>
          <w:szCs w:val="22"/>
          <w:lang w:val="fr-FR"/>
        </w:rPr>
        <w:t> :</w:t>
      </w:r>
    </w:p>
    <w:p w:rsidR="00F43A28" w:rsidRPr="009D1007" w:rsidRDefault="00F43A28" w:rsidP="00F43A28">
      <w:pPr>
        <w:jc w:val="center"/>
        <w:rPr>
          <w:b/>
          <w:szCs w:val="22"/>
          <w:lang w:val="fr-FR"/>
        </w:rPr>
      </w:pPr>
      <w:r w:rsidRPr="009D1007">
        <w:rPr>
          <w:b/>
          <w:szCs w:val="22"/>
          <w:lang w:val="fr-FR"/>
        </w:rPr>
        <w:t xml:space="preserve">préoccupations des </w:t>
      </w:r>
      <w:r w:rsidR="00B5502A">
        <w:rPr>
          <w:b/>
          <w:szCs w:val="22"/>
          <w:lang w:val="fr-FR"/>
        </w:rPr>
        <w:t>États-Unis d’Amérique</w:t>
      </w:r>
      <w:r w:rsidRPr="009D1007">
        <w:rPr>
          <w:b/>
          <w:szCs w:val="22"/>
          <w:lang w:val="fr-FR"/>
        </w:rPr>
        <w:t xml:space="preserve"> face aux propositions relatives à de nouvelles exigences de divulgation</w:t>
      </w:r>
    </w:p>
    <w:p w:rsidR="00F43A28" w:rsidRPr="009D1007" w:rsidRDefault="00F43A28" w:rsidP="00F43A28">
      <w:pPr>
        <w:spacing w:after="480"/>
        <w:jc w:val="center"/>
        <w:rPr>
          <w:b/>
          <w:szCs w:val="22"/>
          <w:lang w:val="fr-FR"/>
        </w:rPr>
      </w:pPr>
      <w:r w:rsidRPr="009D1007">
        <w:rPr>
          <w:b/>
          <w:szCs w:val="22"/>
          <w:lang w:val="fr-FR"/>
        </w:rPr>
        <w:t xml:space="preserve">Communication des </w:t>
      </w:r>
      <w:r w:rsidR="00B5502A">
        <w:rPr>
          <w:b/>
          <w:szCs w:val="22"/>
          <w:lang w:val="fr-FR"/>
        </w:rPr>
        <w:t>États-Unis d’Amérique</w:t>
      </w:r>
    </w:p>
    <w:p w:rsidR="00F43A28" w:rsidRPr="009D1007" w:rsidRDefault="00F43A28" w:rsidP="00F43A28">
      <w:pPr>
        <w:spacing w:after="180"/>
        <w:rPr>
          <w:b/>
          <w:i/>
          <w:szCs w:val="22"/>
          <w:lang w:val="fr-FR"/>
        </w:rPr>
      </w:pPr>
      <w:r w:rsidRPr="009D1007">
        <w:rPr>
          <w:b/>
          <w:i/>
          <w:szCs w:val="22"/>
          <w:lang w:val="fr-FR"/>
        </w:rPr>
        <w:t>Informations générales</w:t>
      </w:r>
    </w:p>
    <w:p w:rsidR="00F43A28" w:rsidRPr="009D1007" w:rsidRDefault="00F43A28" w:rsidP="00F43A28">
      <w:pPr>
        <w:spacing w:after="180"/>
        <w:rPr>
          <w:szCs w:val="22"/>
          <w:lang w:val="fr-FR"/>
        </w:rPr>
      </w:pPr>
      <w:r w:rsidRPr="009D1007">
        <w:rPr>
          <w:szCs w:val="22"/>
          <w:lang w:val="fr-FR"/>
        </w:rPr>
        <w:t xml:space="preserve">Le </w:t>
      </w:r>
      <w:r w:rsidR="00B5502A">
        <w:rPr>
          <w:szCs w:val="22"/>
          <w:lang w:val="fr-FR"/>
        </w:rPr>
        <w:t>Comité intergouvernemental de la propriété intellectuelle relative aux ressources génétiques, aux savoirs traditionnels et au folklore</w:t>
      </w:r>
      <w:r w:rsidRPr="009D1007">
        <w:rPr>
          <w:szCs w:val="22"/>
          <w:lang w:val="fr-FR"/>
        </w:rPr>
        <w:t xml:space="preserve"> (IGC) de l</w:t>
      </w:r>
      <w:r w:rsidR="0082449C">
        <w:rPr>
          <w:szCs w:val="22"/>
          <w:lang w:val="fr-FR"/>
        </w:rPr>
        <w:t>’</w:t>
      </w:r>
      <w:r w:rsidRPr="009D1007">
        <w:rPr>
          <w:szCs w:val="22"/>
          <w:lang w:val="fr-FR"/>
        </w:rPr>
        <w:t>Organisation Mondiale de la Propriété Intellectuelle (OMPI) a notamment pour mandat de conduire des négociations sur la base d</w:t>
      </w:r>
      <w:r w:rsidR="0082449C">
        <w:rPr>
          <w:szCs w:val="22"/>
          <w:lang w:val="fr-FR"/>
        </w:rPr>
        <w:t>’</w:t>
      </w:r>
      <w:r w:rsidRPr="009D1007">
        <w:rPr>
          <w:szCs w:val="22"/>
          <w:lang w:val="fr-FR"/>
        </w:rPr>
        <w:t>un texte concernant la propriété intellectuelle et les ressources génétiques</w:t>
      </w:r>
      <w:r w:rsidR="00B5502A">
        <w:rPr>
          <w:szCs w:val="22"/>
          <w:lang w:val="fr-FR"/>
        </w:rPr>
        <w:t xml:space="preserve">.  </w:t>
      </w:r>
      <w:r w:rsidRPr="009D1007">
        <w:rPr>
          <w:szCs w:val="22"/>
          <w:lang w:val="fr-FR"/>
        </w:rPr>
        <w:t>Dans cette instance, il a été proposé de prévoir dans le document de synthèse de nouvelles exigences en matière de divulgation dans les demandes de brevet pour des inventions fondées sur des ressources génétiques et les savoirs traditionnels qui y sont associés</w:t>
      </w:r>
      <w:r w:rsidRPr="009D1007">
        <w:rPr>
          <w:rStyle w:val="Appelnotedebasdep"/>
          <w:szCs w:val="22"/>
          <w:lang w:val="fr-FR"/>
        </w:rPr>
        <w:footnoteReference w:id="2"/>
      </w:r>
      <w:r w:rsidR="00B5502A">
        <w:rPr>
          <w:szCs w:val="22"/>
          <w:lang w:val="fr-FR"/>
        </w:rPr>
        <w:t xml:space="preserve">.  </w:t>
      </w:r>
      <w:r w:rsidRPr="009D1007">
        <w:rPr>
          <w:szCs w:val="22"/>
          <w:lang w:val="fr-FR"/>
        </w:rPr>
        <w:t>Plusieurs de ces propositions imposeraient aux déposants l</w:t>
      </w:r>
      <w:r w:rsidR="0082449C">
        <w:rPr>
          <w:szCs w:val="22"/>
          <w:lang w:val="fr-FR"/>
        </w:rPr>
        <w:t>’</w:t>
      </w:r>
      <w:r w:rsidRPr="009D1007">
        <w:rPr>
          <w:szCs w:val="22"/>
          <w:lang w:val="fr-FR"/>
        </w:rPr>
        <w:t>obligation de divulguer les renseignements suivants dans leurs demandes de brevet</w:t>
      </w:r>
      <w:r w:rsidR="00B5502A">
        <w:rPr>
          <w:szCs w:val="22"/>
          <w:lang w:val="fr-FR"/>
        </w:rPr>
        <w:t> :</w:t>
      </w:r>
    </w:p>
    <w:p w:rsidR="00F43A28" w:rsidRPr="009D1007" w:rsidRDefault="00F43A28" w:rsidP="00F43A28">
      <w:pPr>
        <w:ind w:left="1134" w:hanging="567"/>
        <w:rPr>
          <w:szCs w:val="22"/>
          <w:lang w:val="fr-FR"/>
        </w:rPr>
      </w:pPr>
      <w:r w:rsidRPr="009D1007">
        <w:rPr>
          <w:szCs w:val="22"/>
          <w:lang w:val="fr-FR"/>
        </w:rPr>
        <w:t>1)</w:t>
      </w:r>
      <w:r w:rsidRPr="009D1007">
        <w:rPr>
          <w:szCs w:val="22"/>
          <w:lang w:val="fr-FR"/>
        </w:rPr>
        <w:tab/>
        <w:t>la source et l</w:t>
      </w:r>
      <w:r w:rsidR="0082449C">
        <w:rPr>
          <w:szCs w:val="22"/>
          <w:lang w:val="fr-FR"/>
        </w:rPr>
        <w:t>’</w:t>
      </w:r>
      <w:r w:rsidRPr="009D1007">
        <w:rPr>
          <w:szCs w:val="22"/>
          <w:lang w:val="fr-FR"/>
        </w:rPr>
        <w:t>origine du matériel génétique ou biologique utilisé pour réaliser l</w:t>
      </w:r>
      <w:r w:rsidR="0082449C">
        <w:rPr>
          <w:szCs w:val="22"/>
          <w:lang w:val="fr-FR"/>
        </w:rPr>
        <w:t>’</w:t>
      </w:r>
      <w:r w:rsidRPr="009D1007">
        <w:rPr>
          <w:szCs w:val="22"/>
          <w:lang w:val="fr-FR"/>
        </w:rPr>
        <w:t>invention dont la protection est demandée;</w:t>
      </w:r>
    </w:p>
    <w:p w:rsidR="00F43A28" w:rsidRPr="009D1007" w:rsidRDefault="00F43A28" w:rsidP="00F43A28">
      <w:pPr>
        <w:ind w:left="1134" w:hanging="567"/>
        <w:rPr>
          <w:szCs w:val="22"/>
          <w:lang w:val="fr-FR"/>
        </w:rPr>
      </w:pPr>
      <w:r w:rsidRPr="009D1007">
        <w:rPr>
          <w:szCs w:val="22"/>
          <w:lang w:val="fr-FR"/>
        </w:rPr>
        <w:t>2)</w:t>
      </w:r>
      <w:r w:rsidRPr="009D1007">
        <w:rPr>
          <w:szCs w:val="22"/>
          <w:lang w:val="fr-FR"/>
        </w:rPr>
        <w:tab/>
        <w:t>la preuve du consentement préalable donné en connaissance de cause et des conditions convenues d</w:t>
      </w:r>
      <w:r w:rsidR="0082449C">
        <w:rPr>
          <w:szCs w:val="22"/>
          <w:lang w:val="fr-FR"/>
        </w:rPr>
        <w:t>’</w:t>
      </w:r>
      <w:r w:rsidRPr="009D1007">
        <w:rPr>
          <w:szCs w:val="22"/>
          <w:lang w:val="fr-FR"/>
        </w:rPr>
        <w:t>un commun accord pour l</w:t>
      </w:r>
      <w:r w:rsidR="0082449C">
        <w:rPr>
          <w:szCs w:val="22"/>
          <w:lang w:val="fr-FR"/>
        </w:rPr>
        <w:t>’</w:t>
      </w:r>
      <w:r w:rsidRPr="009D1007">
        <w:rPr>
          <w:szCs w:val="22"/>
          <w:lang w:val="fr-FR"/>
        </w:rPr>
        <w:t>utilisation de la ressource génétique</w:t>
      </w:r>
      <w:r w:rsidR="00B5502A">
        <w:rPr>
          <w:szCs w:val="22"/>
          <w:lang w:val="fr-FR"/>
        </w:rPr>
        <w:t xml:space="preserve">;  </w:t>
      </w:r>
      <w:r w:rsidRPr="009D1007">
        <w:rPr>
          <w:szCs w:val="22"/>
          <w:lang w:val="fr-FR"/>
        </w:rPr>
        <w:t>et</w:t>
      </w:r>
    </w:p>
    <w:p w:rsidR="00F43A28" w:rsidRPr="009D1007" w:rsidRDefault="00F43A28" w:rsidP="00F43A28">
      <w:pPr>
        <w:spacing w:after="180"/>
        <w:ind w:left="567"/>
        <w:rPr>
          <w:szCs w:val="22"/>
          <w:lang w:val="fr-FR"/>
        </w:rPr>
      </w:pPr>
      <w:r w:rsidRPr="009D1007">
        <w:rPr>
          <w:szCs w:val="22"/>
          <w:lang w:val="fr-FR"/>
        </w:rPr>
        <w:t>3)</w:t>
      </w:r>
      <w:r w:rsidRPr="009D1007">
        <w:rPr>
          <w:szCs w:val="22"/>
          <w:lang w:val="fr-FR"/>
        </w:rPr>
        <w:tab/>
        <w:t>la preuve du partage équitable des avantages tirés de l</w:t>
      </w:r>
      <w:r w:rsidR="0082449C">
        <w:rPr>
          <w:szCs w:val="22"/>
          <w:lang w:val="fr-FR"/>
        </w:rPr>
        <w:t>’</w:t>
      </w:r>
      <w:r w:rsidRPr="009D1007">
        <w:rPr>
          <w:szCs w:val="22"/>
          <w:lang w:val="fr-FR"/>
        </w:rPr>
        <w:t>invention</w:t>
      </w:r>
      <w:r w:rsidRPr="009D1007">
        <w:rPr>
          <w:rStyle w:val="Appelnotedebasdep"/>
          <w:szCs w:val="22"/>
          <w:lang w:val="fr-FR"/>
        </w:rPr>
        <w:footnoteReference w:id="3"/>
      </w:r>
      <w:r w:rsidRPr="009D1007">
        <w:rPr>
          <w:szCs w:val="22"/>
          <w:lang w:val="fr-FR"/>
        </w:rPr>
        <w:t>.</w:t>
      </w:r>
    </w:p>
    <w:p w:rsidR="00F43A28" w:rsidRPr="009D1007" w:rsidRDefault="00F43A28" w:rsidP="00F43A28">
      <w:pPr>
        <w:spacing w:after="180"/>
        <w:rPr>
          <w:szCs w:val="22"/>
          <w:lang w:val="fr-FR"/>
        </w:rPr>
      </w:pPr>
      <w:r w:rsidRPr="009D1007">
        <w:rPr>
          <w:szCs w:val="22"/>
          <w:lang w:val="fr-FR"/>
        </w:rPr>
        <w:t>Parmi les sanctions qu</w:t>
      </w:r>
      <w:r w:rsidR="0082449C">
        <w:rPr>
          <w:szCs w:val="22"/>
          <w:lang w:val="fr-FR"/>
        </w:rPr>
        <w:t>’</w:t>
      </w:r>
      <w:r w:rsidRPr="009D1007">
        <w:rPr>
          <w:szCs w:val="22"/>
          <w:lang w:val="fr-FR"/>
        </w:rPr>
        <w:t>il est proposé d</w:t>
      </w:r>
      <w:r w:rsidR="0082449C">
        <w:rPr>
          <w:szCs w:val="22"/>
          <w:lang w:val="fr-FR"/>
        </w:rPr>
        <w:t>’</w:t>
      </w:r>
      <w:r w:rsidRPr="009D1007">
        <w:rPr>
          <w:szCs w:val="22"/>
          <w:lang w:val="fr-FR"/>
        </w:rPr>
        <w:t>imposer aux déposants et aux titulaires qui ne se conformeraient pas à ces exigences figurent le rejet de la demande de brevet et la révocation du brevet</w:t>
      </w:r>
      <w:r w:rsidRPr="009D1007">
        <w:rPr>
          <w:rStyle w:val="Appelnotedebasdep"/>
          <w:szCs w:val="22"/>
          <w:lang w:val="fr-FR"/>
        </w:rPr>
        <w:footnoteReference w:id="4"/>
      </w:r>
      <w:r w:rsidRPr="009D1007">
        <w:rPr>
          <w:szCs w:val="22"/>
          <w:lang w:val="fr-FR"/>
        </w:rPr>
        <w:t>.</w:t>
      </w:r>
    </w:p>
    <w:p w:rsidR="00F43A28" w:rsidRPr="009D1007" w:rsidRDefault="00F43A28" w:rsidP="00F43A28">
      <w:pPr>
        <w:spacing w:after="180"/>
        <w:rPr>
          <w:szCs w:val="22"/>
          <w:lang w:val="fr-FR"/>
        </w:rPr>
      </w:pPr>
      <w:r w:rsidRPr="009D1007">
        <w:rPr>
          <w:szCs w:val="22"/>
          <w:lang w:val="fr-FR"/>
        </w:rPr>
        <w:t>Comme expliqué en détail ci</w:t>
      </w:r>
      <w:r w:rsidR="0082449C">
        <w:rPr>
          <w:szCs w:val="22"/>
          <w:lang w:val="fr-FR"/>
        </w:rPr>
        <w:t>-</w:t>
      </w:r>
      <w:r w:rsidRPr="009D1007">
        <w:rPr>
          <w:szCs w:val="22"/>
          <w:lang w:val="fr-FR"/>
        </w:rPr>
        <w:t>dessous, ces exigences pourraient avoir un effet dévastateur sur la recherche</w:t>
      </w:r>
      <w:r w:rsidR="0082449C">
        <w:rPr>
          <w:szCs w:val="22"/>
          <w:lang w:val="fr-FR"/>
        </w:rPr>
        <w:t>-</w:t>
      </w:r>
      <w:r w:rsidRPr="009D1007">
        <w:rPr>
          <w:szCs w:val="22"/>
          <w:lang w:val="fr-FR"/>
        </w:rPr>
        <w:t>développement dans le domaine de la biotechnologie et des produits pharmaceutiques en raison des incertitudes qu</w:t>
      </w:r>
      <w:r w:rsidR="0082449C">
        <w:rPr>
          <w:szCs w:val="22"/>
          <w:lang w:val="fr-FR"/>
        </w:rPr>
        <w:t>’</w:t>
      </w:r>
      <w:r w:rsidRPr="009D1007">
        <w:rPr>
          <w:szCs w:val="22"/>
          <w:lang w:val="fr-FR"/>
        </w:rPr>
        <w:t>elles introduiraient dans la protection par brevet.</w:t>
      </w:r>
    </w:p>
    <w:p w:rsidR="00F43A28" w:rsidRPr="009D1007" w:rsidRDefault="00F43A28" w:rsidP="00F43A28">
      <w:pPr>
        <w:spacing w:after="180"/>
        <w:rPr>
          <w:szCs w:val="22"/>
          <w:lang w:val="fr-FR"/>
        </w:rPr>
      </w:pPr>
      <w:r w:rsidRPr="009D1007">
        <w:rPr>
          <w:szCs w:val="22"/>
          <w:lang w:val="fr-FR"/>
        </w:rPr>
        <w:t>La valeur des inventions biotechnologiques et pharmaceutiques augmente généralement avec le temps, une fois que les autorités de contrôle ont délivré l</w:t>
      </w:r>
      <w:r w:rsidR="0082449C">
        <w:rPr>
          <w:szCs w:val="22"/>
          <w:lang w:val="fr-FR"/>
        </w:rPr>
        <w:t>’</w:t>
      </w:r>
      <w:r w:rsidRPr="009D1007">
        <w:rPr>
          <w:szCs w:val="22"/>
          <w:lang w:val="fr-FR"/>
        </w:rPr>
        <w:t>autorisation de commercialisation et que les professionnels de la santé ont reconnu leur intérêt</w:t>
      </w:r>
      <w:r w:rsidRPr="009D1007">
        <w:rPr>
          <w:rStyle w:val="Appelnotedebasdep"/>
          <w:szCs w:val="22"/>
          <w:lang w:val="fr-FR"/>
        </w:rPr>
        <w:footnoteReference w:id="5"/>
      </w:r>
      <w:r w:rsidR="00B5502A">
        <w:rPr>
          <w:szCs w:val="22"/>
          <w:lang w:val="fr-FR"/>
        </w:rPr>
        <w:t xml:space="preserve">.  </w:t>
      </w:r>
      <w:r w:rsidRPr="009D1007">
        <w:rPr>
          <w:szCs w:val="22"/>
          <w:lang w:val="fr-FR"/>
        </w:rPr>
        <w:t>En conséquence, les concurrents ont tendance à attaquer les inventions biotechnologiques et pharmaceutiques après l</w:t>
      </w:r>
      <w:r w:rsidR="0082449C">
        <w:rPr>
          <w:szCs w:val="22"/>
          <w:lang w:val="fr-FR"/>
        </w:rPr>
        <w:t>’</w:t>
      </w:r>
      <w:r w:rsidRPr="009D1007">
        <w:rPr>
          <w:szCs w:val="22"/>
          <w:lang w:val="fr-FR"/>
        </w:rPr>
        <w:t>approbation réglementaire et la délivrance du brevet</w:t>
      </w:r>
      <w:r w:rsidRPr="009D1007">
        <w:rPr>
          <w:rStyle w:val="Appelnotedebasdep"/>
          <w:szCs w:val="22"/>
          <w:lang w:val="fr-FR"/>
        </w:rPr>
        <w:footnoteReference w:id="6"/>
      </w:r>
      <w:r w:rsidRPr="009D1007">
        <w:rPr>
          <w:szCs w:val="22"/>
          <w:lang w:val="fr-FR"/>
        </w:rPr>
        <w:t>.</w:t>
      </w:r>
    </w:p>
    <w:p w:rsidR="00F43A28" w:rsidRPr="009D1007" w:rsidRDefault="00F43A28" w:rsidP="00F43A28">
      <w:pPr>
        <w:spacing w:after="180"/>
        <w:rPr>
          <w:szCs w:val="22"/>
          <w:lang w:val="fr-FR"/>
        </w:rPr>
      </w:pPr>
      <w:r w:rsidRPr="009D1007">
        <w:rPr>
          <w:szCs w:val="22"/>
          <w:lang w:val="fr-FR"/>
        </w:rPr>
        <w:t>Les incertitudes créées par les exigences de divulgation pourraient entraîner des retards non négligeables dans la procédure d</w:t>
      </w:r>
      <w:r w:rsidR="0082449C">
        <w:rPr>
          <w:szCs w:val="22"/>
          <w:lang w:val="fr-FR"/>
        </w:rPr>
        <w:t>’</w:t>
      </w:r>
      <w:r w:rsidRPr="009D1007">
        <w:rPr>
          <w:szCs w:val="22"/>
          <w:lang w:val="fr-FR"/>
        </w:rPr>
        <w:t>examen des demandes de brevet</w:t>
      </w:r>
      <w:r w:rsidR="00B5502A">
        <w:rPr>
          <w:szCs w:val="22"/>
          <w:lang w:val="fr-FR"/>
        </w:rPr>
        <w:t xml:space="preserve">.  </w:t>
      </w:r>
      <w:r w:rsidRPr="009D1007">
        <w:rPr>
          <w:szCs w:val="22"/>
          <w:lang w:val="fr-FR"/>
        </w:rPr>
        <w:t>Elles pourraient avoir une incidence négative sur le processus de mise au point de médicaments, qui nécessite des ressources importantes, en réduisant la valeur du brevet et en rendant hasardeux l</w:t>
      </w:r>
      <w:r w:rsidR="0082449C">
        <w:rPr>
          <w:szCs w:val="22"/>
          <w:lang w:val="fr-FR"/>
        </w:rPr>
        <w:t>’</w:t>
      </w:r>
      <w:r w:rsidRPr="009D1007">
        <w:rPr>
          <w:szCs w:val="22"/>
          <w:lang w:val="fr-FR"/>
        </w:rPr>
        <w:t>investissement dans la recherche</w:t>
      </w:r>
      <w:r w:rsidR="0082449C">
        <w:rPr>
          <w:szCs w:val="22"/>
          <w:lang w:val="fr-FR"/>
        </w:rPr>
        <w:t>-</w:t>
      </w:r>
      <w:r w:rsidRPr="009D1007">
        <w:rPr>
          <w:szCs w:val="22"/>
          <w:lang w:val="fr-FR"/>
        </w:rPr>
        <w:t>développement</w:t>
      </w:r>
      <w:r w:rsidRPr="009D1007">
        <w:rPr>
          <w:rStyle w:val="Appelnotedebasdep"/>
          <w:szCs w:val="22"/>
          <w:lang w:val="fr-FR"/>
        </w:rPr>
        <w:footnoteReference w:id="7"/>
      </w:r>
      <w:r w:rsidR="00B5502A">
        <w:rPr>
          <w:szCs w:val="22"/>
          <w:lang w:val="fr-FR"/>
        </w:rPr>
        <w:t xml:space="preserve">.  </w:t>
      </w:r>
      <w:r w:rsidRPr="009D1007">
        <w:rPr>
          <w:szCs w:val="22"/>
          <w:lang w:val="fr-FR"/>
        </w:rPr>
        <w:t>Les sources d</w:t>
      </w:r>
      <w:r w:rsidR="0082449C">
        <w:rPr>
          <w:szCs w:val="22"/>
          <w:lang w:val="fr-FR"/>
        </w:rPr>
        <w:t>’</w:t>
      </w:r>
      <w:r w:rsidRPr="009D1007">
        <w:rPr>
          <w:szCs w:val="22"/>
          <w:lang w:val="fr-FR"/>
        </w:rPr>
        <w:t>incertitude liées aux nouvelles exigences de divulgation et leurs effets économiques connexes sont présentées de manière détaillée dans les sections ci</w:t>
      </w:r>
      <w:r w:rsidR="0082449C">
        <w:rPr>
          <w:szCs w:val="22"/>
          <w:lang w:val="fr-FR"/>
        </w:rPr>
        <w:t>-</w:t>
      </w:r>
      <w:r w:rsidRPr="009D1007">
        <w:rPr>
          <w:szCs w:val="22"/>
          <w:lang w:val="fr-FR"/>
        </w:rPr>
        <w:t>après.</w:t>
      </w:r>
    </w:p>
    <w:p w:rsidR="00F43A28" w:rsidRPr="009D1007" w:rsidRDefault="00F43A28" w:rsidP="00F43A28">
      <w:pPr>
        <w:spacing w:after="180"/>
        <w:rPr>
          <w:b/>
          <w:i/>
          <w:szCs w:val="22"/>
          <w:lang w:val="fr-FR"/>
        </w:rPr>
      </w:pPr>
      <w:r w:rsidRPr="009D1007">
        <w:rPr>
          <w:b/>
          <w:i/>
          <w:szCs w:val="22"/>
          <w:lang w:val="fr-FR"/>
        </w:rPr>
        <w:t>Incertitude provoquée par les nouvelles exigences de divulgation</w:t>
      </w:r>
    </w:p>
    <w:p w:rsidR="00F43A28" w:rsidRPr="009D1007" w:rsidRDefault="00F43A28" w:rsidP="00F43A28">
      <w:pPr>
        <w:spacing w:after="180"/>
        <w:rPr>
          <w:szCs w:val="22"/>
          <w:lang w:val="fr-FR"/>
        </w:rPr>
      </w:pPr>
      <w:r w:rsidRPr="009D1007">
        <w:rPr>
          <w:szCs w:val="22"/>
          <w:lang w:val="fr-FR"/>
        </w:rPr>
        <w:t>Les propositions relatives à de nouvelles exigences de divulgation figurant dans le document de synthèse introduiraient des incertitudes</w:t>
      </w:r>
      <w:r w:rsidRPr="009D1007">
        <w:rPr>
          <w:rStyle w:val="Appelnotedebasdep"/>
          <w:szCs w:val="22"/>
          <w:lang w:val="fr-FR"/>
        </w:rPr>
        <w:footnoteReference w:id="8"/>
      </w:r>
      <w:r w:rsidRPr="009D1007">
        <w:rPr>
          <w:szCs w:val="22"/>
          <w:lang w:val="fr-FR"/>
        </w:rPr>
        <w:t xml:space="preserve"> dans le système des brevets, en ce qui concerne à la fois le traitement et l</w:t>
      </w:r>
      <w:r w:rsidR="0082449C">
        <w:rPr>
          <w:szCs w:val="22"/>
          <w:lang w:val="fr-FR"/>
        </w:rPr>
        <w:t>’</w:t>
      </w:r>
      <w:r w:rsidRPr="009D1007">
        <w:rPr>
          <w:szCs w:val="22"/>
          <w:lang w:val="fr-FR"/>
        </w:rPr>
        <w:t>examen des demandes de brevet et les droits attachés au brevet après la délivrance.</w:t>
      </w:r>
    </w:p>
    <w:p w:rsidR="00F43A28" w:rsidRPr="009D1007" w:rsidRDefault="00F43A28" w:rsidP="00F43A28">
      <w:pPr>
        <w:spacing w:after="180"/>
        <w:rPr>
          <w:szCs w:val="22"/>
          <w:lang w:val="fr-FR"/>
        </w:rPr>
      </w:pPr>
      <w:r w:rsidRPr="009D1007">
        <w:rPr>
          <w:szCs w:val="22"/>
          <w:lang w:val="fr-FR"/>
        </w:rPr>
        <w:t>Ces exigences introduiraient des incertitudes dans le traitement et l</w:t>
      </w:r>
      <w:r w:rsidR="0082449C">
        <w:rPr>
          <w:szCs w:val="22"/>
          <w:lang w:val="fr-FR"/>
        </w:rPr>
        <w:t>’</w:t>
      </w:r>
      <w:r w:rsidRPr="009D1007">
        <w:rPr>
          <w:szCs w:val="22"/>
          <w:lang w:val="fr-FR"/>
        </w:rPr>
        <w:t>examen des demandes de brevet pour les déposants comme pour les examinateurs</w:t>
      </w:r>
      <w:r w:rsidR="00B5502A">
        <w:rPr>
          <w:szCs w:val="22"/>
          <w:lang w:val="fr-FR"/>
        </w:rPr>
        <w:t xml:space="preserve">.  </w:t>
      </w:r>
      <w:r w:rsidRPr="009D1007">
        <w:rPr>
          <w:szCs w:val="22"/>
          <w:lang w:val="fr-FR"/>
        </w:rPr>
        <w:t>En ce qui concerne les déposants, il faudra se demander quand la divulgation est exigée</w:t>
      </w:r>
      <w:r w:rsidR="00B5502A">
        <w:rPr>
          <w:szCs w:val="22"/>
          <w:lang w:val="fr-FR"/>
        </w:rPr>
        <w:t xml:space="preserve">.  </w:t>
      </w:r>
      <w:r w:rsidRPr="009D1007">
        <w:rPr>
          <w:szCs w:val="22"/>
          <w:lang w:val="fr-FR"/>
        </w:rPr>
        <w:t>Il conviendra de déterminer pour toutes les demandes de brevet</w:t>
      </w:r>
      <w:r w:rsidRPr="009D1007">
        <w:rPr>
          <w:i/>
          <w:szCs w:val="22"/>
          <w:lang w:val="fr-FR"/>
        </w:rPr>
        <w:t xml:space="preserve"> si</w:t>
      </w:r>
      <w:r w:rsidRPr="009D1007">
        <w:rPr>
          <w:szCs w:val="22"/>
          <w:lang w:val="fr-FR"/>
        </w:rPr>
        <w:t xml:space="preserve"> la divulgation est nécessaire, même s</w:t>
      </w:r>
      <w:r w:rsidR="0082449C">
        <w:rPr>
          <w:szCs w:val="22"/>
          <w:lang w:val="fr-FR"/>
        </w:rPr>
        <w:t>’</w:t>
      </w:r>
      <w:r w:rsidRPr="009D1007">
        <w:rPr>
          <w:szCs w:val="22"/>
          <w:lang w:val="fr-FR"/>
        </w:rPr>
        <w:t>il est finalement établi qu</w:t>
      </w:r>
      <w:r w:rsidR="0082449C">
        <w:rPr>
          <w:szCs w:val="22"/>
          <w:lang w:val="fr-FR"/>
        </w:rPr>
        <w:t>’</w:t>
      </w:r>
      <w:r w:rsidRPr="009D1007">
        <w:rPr>
          <w:szCs w:val="22"/>
          <w:lang w:val="fr-FR"/>
        </w:rPr>
        <w:t>elle ne l</w:t>
      </w:r>
      <w:r w:rsidR="0082449C">
        <w:rPr>
          <w:szCs w:val="22"/>
          <w:lang w:val="fr-FR"/>
        </w:rPr>
        <w:t>’</w:t>
      </w:r>
      <w:r w:rsidRPr="009D1007">
        <w:rPr>
          <w:szCs w:val="22"/>
          <w:lang w:val="fr-FR"/>
        </w:rPr>
        <w:t xml:space="preserve">est </w:t>
      </w:r>
      <w:r w:rsidRPr="009D1007">
        <w:rPr>
          <w:i/>
          <w:szCs w:val="22"/>
          <w:lang w:val="fr-FR"/>
        </w:rPr>
        <w:t>pas</w:t>
      </w:r>
      <w:r w:rsidR="00B5502A">
        <w:rPr>
          <w:i/>
          <w:szCs w:val="22"/>
          <w:lang w:val="fr-FR"/>
        </w:rPr>
        <w:t xml:space="preserve">.  </w:t>
      </w:r>
      <w:r w:rsidRPr="009D1007">
        <w:rPr>
          <w:szCs w:val="22"/>
          <w:lang w:val="fr-FR"/>
        </w:rPr>
        <w:t>Par ailleurs, des renseignements peuvent faire défaut concernant le lieu d</w:t>
      </w:r>
      <w:r w:rsidR="0082449C">
        <w:rPr>
          <w:szCs w:val="22"/>
          <w:lang w:val="fr-FR"/>
        </w:rPr>
        <w:t>’</w:t>
      </w:r>
      <w:r w:rsidRPr="009D1007">
        <w:rPr>
          <w:szCs w:val="22"/>
          <w:lang w:val="fr-FR"/>
        </w:rPr>
        <w:t>origine d</w:t>
      </w:r>
      <w:r w:rsidR="0082449C">
        <w:rPr>
          <w:szCs w:val="22"/>
          <w:lang w:val="fr-FR"/>
        </w:rPr>
        <w:t>’</w:t>
      </w:r>
      <w:r w:rsidRPr="009D1007">
        <w:rPr>
          <w:szCs w:val="22"/>
          <w:lang w:val="fr-FR"/>
        </w:rPr>
        <w:t>un échantillon biologique, qui peut être différent du lieu où l</w:t>
      </w:r>
      <w:r w:rsidR="0082449C">
        <w:rPr>
          <w:szCs w:val="22"/>
          <w:lang w:val="fr-FR"/>
        </w:rPr>
        <w:t>’</w:t>
      </w:r>
      <w:r w:rsidRPr="009D1007">
        <w:rPr>
          <w:szCs w:val="22"/>
          <w:lang w:val="fr-FR"/>
        </w:rPr>
        <w:t>inventeur l</w:t>
      </w:r>
      <w:r w:rsidR="0082449C">
        <w:rPr>
          <w:szCs w:val="22"/>
          <w:lang w:val="fr-FR"/>
        </w:rPr>
        <w:t>’</w:t>
      </w:r>
      <w:r w:rsidRPr="009D1007">
        <w:rPr>
          <w:szCs w:val="22"/>
          <w:lang w:val="fr-FR"/>
        </w:rPr>
        <w:t>a obtenu</w:t>
      </w:r>
      <w:r w:rsidRPr="009D1007">
        <w:rPr>
          <w:rStyle w:val="Appelnotedebasdep"/>
          <w:szCs w:val="22"/>
          <w:lang w:val="fr-FR"/>
        </w:rPr>
        <w:footnoteReference w:id="9"/>
      </w:r>
      <w:r w:rsidR="00B5502A">
        <w:rPr>
          <w:szCs w:val="22"/>
          <w:lang w:val="fr-FR"/>
        </w:rPr>
        <w:t xml:space="preserve">.  </w:t>
      </w:r>
      <w:r w:rsidRPr="009D1007">
        <w:rPr>
          <w:szCs w:val="22"/>
          <w:lang w:val="fr-FR"/>
        </w:rPr>
        <w:t>Le déposant peut également se poser des questions sur la façon de se conformer à une exigence de divulgation, dans la mesure où de nombreuses expériences réussies peuvent avoir des origines spontanées</w:t>
      </w:r>
      <w:r w:rsidRPr="009D1007">
        <w:rPr>
          <w:rStyle w:val="Appelnotedebasdep"/>
          <w:szCs w:val="22"/>
          <w:lang w:val="fr-FR"/>
        </w:rPr>
        <w:footnoteReference w:id="10"/>
      </w:r>
      <w:r w:rsidR="00B5502A">
        <w:rPr>
          <w:szCs w:val="22"/>
          <w:lang w:val="fr-FR"/>
        </w:rPr>
        <w:t xml:space="preserve">.  </w:t>
      </w:r>
      <w:r w:rsidRPr="009D1007">
        <w:rPr>
          <w:szCs w:val="22"/>
          <w:lang w:val="fr-FR"/>
        </w:rPr>
        <w:t>Par conséquent, le déposant peut avoir à effectuer des recherches supplémentaires avant la divulgation pour s</w:t>
      </w:r>
      <w:r w:rsidR="0082449C">
        <w:rPr>
          <w:szCs w:val="22"/>
          <w:lang w:val="fr-FR"/>
        </w:rPr>
        <w:t>’</w:t>
      </w:r>
      <w:r w:rsidRPr="009D1007">
        <w:rPr>
          <w:szCs w:val="22"/>
          <w:lang w:val="fr-FR"/>
        </w:rPr>
        <w:t>assurer de l</w:t>
      </w:r>
      <w:r w:rsidR="0082449C">
        <w:rPr>
          <w:szCs w:val="22"/>
          <w:lang w:val="fr-FR"/>
        </w:rPr>
        <w:t>’</w:t>
      </w:r>
      <w:r w:rsidRPr="009D1007">
        <w:rPr>
          <w:szCs w:val="22"/>
          <w:lang w:val="fr-FR"/>
        </w:rPr>
        <w:t>exactitude des renseignements fournis, ou peut s</w:t>
      </w:r>
      <w:r w:rsidR="0082449C">
        <w:rPr>
          <w:szCs w:val="22"/>
          <w:lang w:val="fr-FR"/>
        </w:rPr>
        <w:t>’</w:t>
      </w:r>
      <w:r w:rsidRPr="009D1007">
        <w:rPr>
          <w:szCs w:val="22"/>
          <w:lang w:val="fr-FR"/>
        </w:rPr>
        <w:t>exposer à un rejet de la part de l</w:t>
      </w:r>
      <w:r w:rsidR="0082449C">
        <w:rPr>
          <w:szCs w:val="22"/>
          <w:lang w:val="fr-FR"/>
        </w:rPr>
        <w:t>’</w:t>
      </w:r>
      <w:r w:rsidRPr="009D1007">
        <w:rPr>
          <w:szCs w:val="22"/>
          <w:lang w:val="fr-FR"/>
        </w:rPr>
        <w:t>examinateur, à la contestation future de tout droit de brevet octroyé sur la base de la demande considérée ou à d</w:t>
      </w:r>
      <w:r w:rsidR="0082449C">
        <w:rPr>
          <w:szCs w:val="22"/>
          <w:lang w:val="fr-FR"/>
        </w:rPr>
        <w:t>’</w:t>
      </w:r>
      <w:r w:rsidRPr="009D1007">
        <w:rPr>
          <w:szCs w:val="22"/>
          <w:lang w:val="fr-FR"/>
        </w:rPr>
        <w:t>autres sanctions</w:t>
      </w:r>
      <w:r w:rsidR="00B5502A">
        <w:rPr>
          <w:szCs w:val="22"/>
          <w:lang w:val="fr-FR"/>
        </w:rPr>
        <w:t xml:space="preserve">.  </w:t>
      </w:r>
      <w:r w:rsidRPr="009D1007">
        <w:rPr>
          <w:szCs w:val="22"/>
          <w:lang w:val="fr-FR"/>
        </w:rPr>
        <w:t>De plus, la portée et l</w:t>
      </w:r>
      <w:r w:rsidR="0082449C">
        <w:rPr>
          <w:szCs w:val="22"/>
          <w:lang w:val="fr-FR"/>
        </w:rPr>
        <w:t>’</w:t>
      </w:r>
      <w:r w:rsidRPr="009D1007">
        <w:rPr>
          <w:szCs w:val="22"/>
          <w:lang w:val="fr-FR"/>
        </w:rPr>
        <w:t>applicabilité des nouvelles exigences de divulgation ne sont pas encore connues, ce qui accroît le degré d</w:t>
      </w:r>
      <w:r w:rsidR="0082449C">
        <w:rPr>
          <w:szCs w:val="22"/>
          <w:lang w:val="fr-FR"/>
        </w:rPr>
        <w:t>’</w:t>
      </w:r>
      <w:r w:rsidRPr="009D1007">
        <w:rPr>
          <w:szCs w:val="22"/>
          <w:lang w:val="fr-FR"/>
        </w:rPr>
        <w:t>incertitude pour les déposants comme pour les titulaires</w:t>
      </w:r>
      <w:r w:rsidRPr="009D1007">
        <w:rPr>
          <w:rStyle w:val="Appelnotedebasdep"/>
          <w:szCs w:val="22"/>
          <w:lang w:val="fr-FR"/>
        </w:rPr>
        <w:footnoteReference w:id="11"/>
      </w:r>
      <w:r w:rsidR="00B5502A">
        <w:rPr>
          <w:szCs w:val="22"/>
          <w:lang w:val="fr-FR"/>
        </w:rPr>
        <w:t xml:space="preserve">.  </w:t>
      </w:r>
      <w:r w:rsidRPr="009D1007">
        <w:rPr>
          <w:szCs w:val="22"/>
          <w:lang w:val="fr-FR"/>
        </w:rPr>
        <w:t>Lorsque l</w:t>
      </w:r>
      <w:r w:rsidR="0082449C">
        <w:rPr>
          <w:szCs w:val="22"/>
          <w:lang w:val="fr-FR"/>
        </w:rPr>
        <w:t>’</w:t>
      </w:r>
      <w:r w:rsidRPr="009D1007">
        <w:rPr>
          <w:szCs w:val="22"/>
          <w:lang w:val="fr-FR"/>
        </w:rPr>
        <w:t>incertitude quant à la valeur des droits de brevet est forte, les inventeurs sont dissuadés de chercher à obtenir une protection par brevet et sont davantage susceptibles de recourir à des accords de non</w:t>
      </w:r>
      <w:r w:rsidR="0082449C">
        <w:rPr>
          <w:szCs w:val="22"/>
          <w:lang w:val="fr-FR"/>
        </w:rPr>
        <w:t>-</w:t>
      </w:r>
      <w:r w:rsidRPr="009D1007">
        <w:rPr>
          <w:szCs w:val="22"/>
          <w:lang w:val="fr-FR"/>
        </w:rPr>
        <w:t>divulgation et aux secrets d</w:t>
      </w:r>
      <w:r w:rsidR="0082449C">
        <w:rPr>
          <w:szCs w:val="22"/>
          <w:lang w:val="fr-FR"/>
        </w:rPr>
        <w:t>’</w:t>
      </w:r>
      <w:r w:rsidRPr="009D1007">
        <w:rPr>
          <w:szCs w:val="22"/>
          <w:lang w:val="fr-FR"/>
        </w:rPr>
        <w:t>affaires pour protéger leurs investissements.</w:t>
      </w:r>
    </w:p>
    <w:p w:rsidR="00F43A28" w:rsidRPr="009D1007" w:rsidRDefault="00F43A28" w:rsidP="00F43A28">
      <w:pPr>
        <w:spacing w:after="180"/>
        <w:rPr>
          <w:szCs w:val="22"/>
          <w:lang w:val="fr-FR"/>
        </w:rPr>
      </w:pPr>
      <w:r w:rsidRPr="009D1007">
        <w:rPr>
          <w:szCs w:val="22"/>
          <w:lang w:val="fr-FR"/>
        </w:rPr>
        <w:t>Lorsque des demandes de brevet sont déposées, les renseignements divulgués tendent à ne pas être harmonisés, augmentant la durée et l</w:t>
      </w:r>
      <w:r w:rsidR="0082449C">
        <w:rPr>
          <w:szCs w:val="22"/>
          <w:lang w:val="fr-FR"/>
        </w:rPr>
        <w:t>’</w:t>
      </w:r>
      <w:r w:rsidRPr="009D1007">
        <w:rPr>
          <w:szCs w:val="22"/>
          <w:lang w:val="fr-FR"/>
        </w:rPr>
        <w:t>inefficacité de la procédure d</w:t>
      </w:r>
      <w:r w:rsidR="0082449C">
        <w:rPr>
          <w:szCs w:val="22"/>
          <w:lang w:val="fr-FR"/>
        </w:rPr>
        <w:t>’</w:t>
      </w:r>
      <w:r w:rsidRPr="009D1007">
        <w:rPr>
          <w:szCs w:val="22"/>
          <w:lang w:val="fr-FR"/>
        </w:rPr>
        <w:t>examen</w:t>
      </w:r>
      <w:r w:rsidR="00B5502A">
        <w:rPr>
          <w:szCs w:val="22"/>
          <w:lang w:val="fr-FR"/>
        </w:rPr>
        <w:t xml:space="preserve">.  </w:t>
      </w:r>
      <w:r w:rsidRPr="009D1007">
        <w:rPr>
          <w:szCs w:val="22"/>
          <w:lang w:val="fr-FR"/>
        </w:rPr>
        <w:t>Une étude réalisée en 2012 par l</w:t>
      </w:r>
      <w:r w:rsidR="0082449C">
        <w:rPr>
          <w:szCs w:val="22"/>
          <w:lang w:val="fr-FR"/>
        </w:rPr>
        <w:t>’</w:t>
      </w:r>
      <w:r w:rsidRPr="009D1007">
        <w:rPr>
          <w:szCs w:val="22"/>
          <w:lang w:val="fr-FR"/>
        </w:rPr>
        <w:t>Office coréen de la propriété intellectuelle (KIPO) a révélé que, dans les demandes de brevet relevant du domaine de la biotechnologie, les ressources génétiques étaient divulguées sous des formes très variées, que ce soit au moyen du terme scientifique latin, du nom vernaculaire, voire du terme utilisé par les communautés locales</w:t>
      </w:r>
      <w:r w:rsidRPr="009D1007">
        <w:rPr>
          <w:rStyle w:val="Appelnotedebasdep"/>
          <w:szCs w:val="22"/>
          <w:lang w:val="fr-FR"/>
        </w:rPr>
        <w:footnoteReference w:id="12"/>
      </w:r>
      <w:r w:rsidR="00B5502A">
        <w:rPr>
          <w:szCs w:val="22"/>
          <w:lang w:val="fr-FR"/>
        </w:rPr>
        <w:t xml:space="preserve">.  </w:t>
      </w:r>
      <w:r w:rsidRPr="009D1007">
        <w:rPr>
          <w:szCs w:val="22"/>
          <w:lang w:val="fr-FR"/>
        </w:rPr>
        <w:t>L</w:t>
      </w:r>
      <w:r w:rsidR="0082449C">
        <w:rPr>
          <w:szCs w:val="22"/>
          <w:lang w:val="fr-FR"/>
        </w:rPr>
        <w:t>’</w:t>
      </w:r>
      <w:r w:rsidRPr="009D1007">
        <w:rPr>
          <w:szCs w:val="22"/>
          <w:lang w:val="fr-FR"/>
        </w:rPr>
        <w:t>étude a fait apparaître que “les examinateurs de brevets avaient dû étudier une par une plus de 5000 ressources génétiques afin de déterminer laquelle avait été utilisée”</w:t>
      </w:r>
      <w:r w:rsidRPr="009D1007">
        <w:rPr>
          <w:rStyle w:val="Appelnotedebasdep"/>
          <w:szCs w:val="22"/>
          <w:lang w:val="fr-FR"/>
        </w:rPr>
        <w:footnoteReference w:id="13"/>
      </w:r>
      <w:r w:rsidR="00B5502A">
        <w:rPr>
          <w:szCs w:val="22"/>
          <w:lang w:val="fr-FR"/>
        </w:rPr>
        <w:t xml:space="preserve">.  </w:t>
      </w:r>
      <w:r w:rsidRPr="009D1007">
        <w:rPr>
          <w:szCs w:val="22"/>
          <w:lang w:val="fr-FR"/>
        </w:rPr>
        <w:t>Elle a également montré que “[l</w:t>
      </w:r>
      <w:r w:rsidR="0082449C">
        <w:rPr>
          <w:szCs w:val="22"/>
          <w:lang w:val="fr-FR"/>
        </w:rPr>
        <w:t>’</w:t>
      </w:r>
      <w:r w:rsidRPr="009D1007">
        <w:rPr>
          <w:szCs w:val="22"/>
          <w:lang w:val="fr-FR"/>
        </w:rPr>
        <w:t>]origine des ressources génétiques utilisées était généralement peu claire, certaines provenant de marchés traditionnels, d</w:t>
      </w:r>
      <w:r w:rsidR="0082449C">
        <w:rPr>
          <w:szCs w:val="22"/>
          <w:lang w:val="fr-FR"/>
        </w:rPr>
        <w:t>’</w:t>
      </w:r>
      <w:r w:rsidRPr="009D1007">
        <w:rPr>
          <w:szCs w:val="22"/>
          <w:lang w:val="fr-FR"/>
        </w:rPr>
        <w:t>autres des montagnes ou d</w:t>
      </w:r>
      <w:r w:rsidR="0082449C">
        <w:rPr>
          <w:szCs w:val="22"/>
          <w:lang w:val="fr-FR"/>
        </w:rPr>
        <w:t>’</w:t>
      </w:r>
      <w:r w:rsidRPr="009D1007">
        <w:rPr>
          <w:szCs w:val="22"/>
          <w:lang w:val="fr-FR"/>
        </w:rPr>
        <w:t>entreprises”</w:t>
      </w:r>
      <w:r w:rsidRPr="009D1007">
        <w:rPr>
          <w:rStyle w:val="Appelnotedebasdep"/>
          <w:szCs w:val="22"/>
          <w:lang w:val="fr-FR"/>
        </w:rPr>
        <w:footnoteReference w:id="14"/>
      </w:r>
      <w:r w:rsidR="00B5502A">
        <w:rPr>
          <w:szCs w:val="22"/>
          <w:lang w:val="fr-FR"/>
        </w:rPr>
        <w:t xml:space="preserve">.  </w:t>
      </w:r>
      <w:r w:rsidRPr="009D1007">
        <w:rPr>
          <w:szCs w:val="22"/>
          <w:lang w:val="fr-FR"/>
        </w:rPr>
        <w:t>Il faudra au minimum consacrer du temps supplémentaire à la recherche et à l</w:t>
      </w:r>
      <w:r w:rsidR="0082449C">
        <w:rPr>
          <w:szCs w:val="22"/>
          <w:lang w:val="fr-FR"/>
        </w:rPr>
        <w:t>’</w:t>
      </w:r>
      <w:r w:rsidRPr="009D1007">
        <w:rPr>
          <w:szCs w:val="22"/>
          <w:lang w:val="fr-FR"/>
        </w:rPr>
        <w:t>examen pour vérifier les renseignements fournis en application de la nouvelle exigence de divulgation, ce qui représentera une charge supplémentaire en termes de ressources financières et humaines pour les offices de brevets</w:t>
      </w:r>
      <w:r w:rsidR="00B5502A">
        <w:rPr>
          <w:szCs w:val="22"/>
          <w:lang w:val="fr-FR"/>
        </w:rPr>
        <w:t xml:space="preserve">.  </w:t>
      </w:r>
      <w:r w:rsidRPr="009D1007">
        <w:rPr>
          <w:szCs w:val="22"/>
          <w:lang w:val="fr-FR"/>
        </w:rPr>
        <w:t>De plus, compte tenu du manque de clarté et d</w:t>
      </w:r>
      <w:r w:rsidR="0082449C">
        <w:rPr>
          <w:szCs w:val="22"/>
          <w:lang w:val="fr-FR"/>
        </w:rPr>
        <w:t>’</w:t>
      </w:r>
      <w:r w:rsidRPr="009D1007">
        <w:rPr>
          <w:szCs w:val="22"/>
          <w:lang w:val="fr-FR"/>
        </w:rPr>
        <w:t>homogénéité des divulgations et de l</w:t>
      </w:r>
      <w:r w:rsidR="0082449C">
        <w:rPr>
          <w:szCs w:val="22"/>
          <w:lang w:val="fr-FR"/>
        </w:rPr>
        <w:t>’</w:t>
      </w:r>
      <w:r w:rsidRPr="009D1007">
        <w:rPr>
          <w:szCs w:val="22"/>
          <w:lang w:val="fr-FR"/>
        </w:rPr>
        <w:t>imperfection des outils de recherche, de nombreux offices de brevets pourraient même ne pas être en mesure de déterminer si les renseignements fournis sur les ressources génétiques sont corrects et exacts au</w:t>
      </w:r>
      <w:r w:rsidR="0082449C">
        <w:rPr>
          <w:szCs w:val="22"/>
          <w:lang w:val="fr-FR"/>
        </w:rPr>
        <w:t>-</w:t>
      </w:r>
      <w:r w:rsidRPr="009D1007">
        <w:rPr>
          <w:szCs w:val="22"/>
          <w:lang w:val="fr-FR"/>
        </w:rPr>
        <w:t>delà d</w:t>
      </w:r>
      <w:r w:rsidR="0082449C">
        <w:rPr>
          <w:szCs w:val="22"/>
          <w:lang w:val="fr-FR"/>
        </w:rPr>
        <w:t>’</w:t>
      </w:r>
      <w:r w:rsidRPr="009D1007">
        <w:rPr>
          <w:szCs w:val="22"/>
          <w:lang w:val="fr-FR"/>
        </w:rPr>
        <w:t>une simple vérification de forme</w:t>
      </w:r>
      <w:r w:rsidRPr="009D1007">
        <w:rPr>
          <w:rStyle w:val="Appelnotedebasdep"/>
          <w:szCs w:val="22"/>
          <w:lang w:val="fr-FR"/>
        </w:rPr>
        <w:footnoteReference w:id="15"/>
      </w:r>
      <w:r w:rsidRPr="009D1007">
        <w:rPr>
          <w:szCs w:val="22"/>
          <w:lang w:val="fr-FR"/>
        </w:rPr>
        <w:t>.</w:t>
      </w:r>
    </w:p>
    <w:p w:rsidR="00F43A28" w:rsidRPr="009D1007" w:rsidRDefault="00F43A28" w:rsidP="00F43A28">
      <w:pPr>
        <w:spacing w:before="240" w:after="180"/>
        <w:rPr>
          <w:b/>
          <w:bCs/>
          <w:i/>
          <w:szCs w:val="22"/>
          <w:lang w:val="fr-FR"/>
        </w:rPr>
      </w:pPr>
      <w:r w:rsidRPr="009D1007">
        <w:rPr>
          <w:b/>
          <w:bCs/>
          <w:i/>
          <w:szCs w:val="22"/>
          <w:lang w:val="fr-FR"/>
        </w:rPr>
        <w:t>Incidence économique du retard dans la procédure d</w:t>
      </w:r>
      <w:r w:rsidR="0082449C">
        <w:rPr>
          <w:b/>
          <w:bCs/>
          <w:i/>
          <w:szCs w:val="22"/>
          <w:lang w:val="fr-FR"/>
        </w:rPr>
        <w:t>’</w:t>
      </w:r>
      <w:r w:rsidRPr="009D1007">
        <w:rPr>
          <w:b/>
          <w:bCs/>
          <w:i/>
          <w:szCs w:val="22"/>
          <w:lang w:val="fr-FR"/>
        </w:rPr>
        <w:t>examen des demandes de brevet</w:t>
      </w:r>
    </w:p>
    <w:p w:rsidR="00F43A28" w:rsidRPr="009D1007" w:rsidRDefault="00F43A28" w:rsidP="00F43A28">
      <w:pPr>
        <w:spacing w:after="180"/>
        <w:rPr>
          <w:szCs w:val="22"/>
          <w:lang w:val="fr-FR"/>
        </w:rPr>
      </w:pPr>
      <w:r w:rsidRPr="009D1007">
        <w:rPr>
          <w:szCs w:val="22"/>
          <w:lang w:val="fr-FR"/>
        </w:rPr>
        <w:t>Les sources d</w:t>
      </w:r>
      <w:r w:rsidR="0082449C">
        <w:rPr>
          <w:szCs w:val="22"/>
          <w:lang w:val="fr-FR"/>
        </w:rPr>
        <w:t>’</w:t>
      </w:r>
      <w:r w:rsidRPr="009D1007">
        <w:rPr>
          <w:szCs w:val="22"/>
          <w:lang w:val="fr-FR"/>
        </w:rPr>
        <w:t>inefficacité susmentionnées peuvent retarder la délivrance d</w:t>
      </w:r>
      <w:r w:rsidR="0082449C">
        <w:rPr>
          <w:szCs w:val="22"/>
          <w:lang w:val="fr-FR"/>
        </w:rPr>
        <w:t>’</w:t>
      </w:r>
      <w:r w:rsidRPr="009D1007">
        <w:rPr>
          <w:szCs w:val="22"/>
          <w:lang w:val="fr-FR"/>
        </w:rPr>
        <w:t>un brevet en imposant des exigences supplémentaires aux déposants et aux examinateurs</w:t>
      </w:r>
      <w:r w:rsidR="00B5502A">
        <w:rPr>
          <w:szCs w:val="22"/>
          <w:lang w:val="fr-FR"/>
        </w:rPr>
        <w:t xml:space="preserve">.  </w:t>
      </w:r>
      <w:r w:rsidRPr="009D1007">
        <w:rPr>
          <w:szCs w:val="22"/>
          <w:lang w:val="fr-FR"/>
        </w:rPr>
        <w:t>Une étude récente réalisée par Joan Farre</w:t>
      </w:r>
      <w:r w:rsidR="0082449C">
        <w:rPr>
          <w:szCs w:val="22"/>
          <w:lang w:val="fr-FR"/>
        </w:rPr>
        <w:t>-</w:t>
      </w:r>
      <w:r w:rsidRPr="009D1007">
        <w:rPr>
          <w:szCs w:val="22"/>
          <w:lang w:val="fr-FR"/>
        </w:rPr>
        <w:t>Mensa et publiée par l</w:t>
      </w:r>
      <w:r w:rsidR="0082449C">
        <w:rPr>
          <w:szCs w:val="22"/>
          <w:lang w:val="fr-FR"/>
        </w:rPr>
        <w:t>’</w:t>
      </w:r>
      <w:r w:rsidRPr="009D1007">
        <w:rPr>
          <w:szCs w:val="22"/>
          <w:lang w:val="fr-FR"/>
        </w:rPr>
        <w:t xml:space="preserve">Office des brevets et des marques des </w:t>
      </w:r>
      <w:r w:rsidR="00B5502A">
        <w:rPr>
          <w:szCs w:val="22"/>
          <w:lang w:val="fr-FR"/>
        </w:rPr>
        <w:t>États-Unis d’Amérique</w:t>
      </w:r>
      <w:r w:rsidRPr="009D1007">
        <w:rPr>
          <w:szCs w:val="22"/>
          <w:lang w:val="fr-FR"/>
        </w:rPr>
        <w:t xml:space="preserve"> (USPTO) a révélé que les “retards dans la procédure d</w:t>
      </w:r>
      <w:r w:rsidR="0082449C">
        <w:rPr>
          <w:szCs w:val="22"/>
          <w:lang w:val="fr-FR"/>
        </w:rPr>
        <w:t>’</w:t>
      </w:r>
      <w:r w:rsidRPr="009D1007">
        <w:rPr>
          <w:szCs w:val="22"/>
          <w:lang w:val="fr-FR"/>
        </w:rPr>
        <w:t>examen des demandes de brevet freinent la croissance, la création d</w:t>
      </w:r>
      <w:r w:rsidR="0082449C">
        <w:rPr>
          <w:szCs w:val="22"/>
          <w:lang w:val="fr-FR"/>
        </w:rPr>
        <w:t>’</w:t>
      </w:r>
      <w:r w:rsidRPr="009D1007">
        <w:rPr>
          <w:szCs w:val="22"/>
          <w:lang w:val="fr-FR"/>
        </w:rPr>
        <w:t>emploi et l</w:t>
      </w:r>
      <w:r w:rsidR="0082449C">
        <w:rPr>
          <w:szCs w:val="22"/>
          <w:lang w:val="fr-FR"/>
        </w:rPr>
        <w:t>’</w:t>
      </w:r>
      <w:r w:rsidRPr="009D1007">
        <w:rPr>
          <w:szCs w:val="22"/>
          <w:lang w:val="fr-FR"/>
        </w:rPr>
        <w:t>innovation de l</w:t>
      </w:r>
      <w:r w:rsidR="0082449C">
        <w:rPr>
          <w:szCs w:val="22"/>
          <w:lang w:val="fr-FR"/>
        </w:rPr>
        <w:t>’</w:t>
      </w:r>
      <w:r w:rsidRPr="009D1007">
        <w:rPr>
          <w:szCs w:val="22"/>
          <w:lang w:val="fr-FR"/>
        </w:rPr>
        <w:t>entreprise, même si la demande de brevet finit par aboutir”</w:t>
      </w:r>
      <w:r w:rsidRPr="009D1007">
        <w:rPr>
          <w:rStyle w:val="Appelnotedebasdep"/>
          <w:szCs w:val="22"/>
          <w:lang w:val="fr-FR"/>
        </w:rPr>
        <w:footnoteReference w:id="16"/>
      </w:r>
      <w:r w:rsidR="00B5502A">
        <w:rPr>
          <w:szCs w:val="22"/>
          <w:lang w:val="fr-FR"/>
        </w:rPr>
        <w:t xml:space="preserve">.  </w:t>
      </w:r>
      <w:r w:rsidRPr="009D1007">
        <w:rPr>
          <w:szCs w:val="22"/>
          <w:lang w:val="fr-FR"/>
        </w:rPr>
        <w:t>L</w:t>
      </w:r>
      <w:r w:rsidR="0082449C">
        <w:rPr>
          <w:szCs w:val="22"/>
          <w:lang w:val="fr-FR"/>
        </w:rPr>
        <w:t>’</w:t>
      </w:r>
      <w:r w:rsidRPr="009D1007">
        <w:rPr>
          <w:szCs w:val="22"/>
          <w:lang w:val="fr-FR"/>
        </w:rPr>
        <w:t>étude portait sur 45 819 premières demandes de brevet déposées depuis 2001 auprès de l</w:t>
      </w:r>
      <w:r w:rsidR="0082449C">
        <w:rPr>
          <w:szCs w:val="22"/>
          <w:lang w:val="fr-FR"/>
        </w:rPr>
        <w:t>’</w:t>
      </w:r>
      <w:r w:rsidRPr="009D1007">
        <w:rPr>
          <w:szCs w:val="22"/>
          <w:lang w:val="fr-FR"/>
        </w:rPr>
        <w:t>USPTO par de jeunes entreprises américaines dans les domaines pharmaceutique, biochimique et autres</w:t>
      </w:r>
      <w:r w:rsidRPr="009D1007">
        <w:rPr>
          <w:rStyle w:val="Appelnotedebasdep"/>
          <w:szCs w:val="22"/>
          <w:lang w:val="fr-FR"/>
        </w:rPr>
        <w:footnoteReference w:id="17"/>
      </w:r>
      <w:r w:rsidR="00B5502A">
        <w:rPr>
          <w:szCs w:val="22"/>
          <w:lang w:val="fr-FR"/>
        </w:rPr>
        <w:t xml:space="preserve">.  </w:t>
      </w:r>
      <w:r w:rsidRPr="009D1007">
        <w:rPr>
          <w:szCs w:val="22"/>
          <w:lang w:val="fr-FR"/>
        </w:rPr>
        <w:t>Concernant les données, l</w:t>
      </w:r>
      <w:r w:rsidR="0082449C">
        <w:rPr>
          <w:szCs w:val="22"/>
          <w:lang w:val="fr-FR"/>
        </w:rPr>
        <w:t>’</w:t>
      </w:r>
      <w:r w:rsidRPr="009D1007">
        <w:rPr>
          <w:szCs w:val="22"/>
          <w:lang w:val="fr-FR"/>
        </w:rPr>
        <w:t>étude est fondée sur les bases de données internes de l</w:t>
      </w:r>
      <w:r w:rsidR="0082449C">
        <w:rPr>
          <w:szCs w:val="22"/>
          <w:lang w:val="fr-FR"/>
        </w:rPr>
        <w:t>’</w:t>
      </w:r>
      <w:r w:rsidRPr="009D1007">
        <w:rPr>
          <w:szCs w:val="22"/>
          <w:lang w:val="fr-FR"/>
        </w:rPr>
        <w:t>USPTO, qui contiennent des données rétrospectives détaillées pour toutes les demandes de brevet, et sur plusieurs bases de données financières contenant des données sur l</w:t>
      </w:r>
      <w:r w:rsidR="0082449C">
        <w:rPr>
          <w:szCs w:val="22"/>
          <w:lang w:val="fr-FR"/>
        </w:rPr>
        <w:t>’</w:t>
      </w:r>
      <w:r w:rsidRPr="009D1007">
        <w:rPr>
          <w:szCs w:val="22"/>
          <w:lang w:val="fr-FR"/>
        </w:rPr>
        <w:t>emploi, les ventes, le financement et la croissance des entreprises concernées</w:t>
      </w:r>
      <w:r w:rsidRPr="009D1007">
        <w:rPr>
          <w:rStyle w:val="Appelnotedebasdep"/>
          <w:szCs w:val="22"/>
          <w:lang w:val="fr-FR"/>
        </w:rPr>
        <w:footnoteReference w:id="18"/>
      </w:r>
      <w:r w:rsidR="00B5502A">
        <w:rPr>
          <w:szCs w:val="22"/>
          <w:lang w:val="fr-FR"/>
        </w:rPr>
        <w:t xml:space="preserve">.  </w:t>
      </w:r>
      <w:r w:rsidRPr="009D1007">
        <w:rPr>
          <w:szCs w:val="22"/>
          <w:lang w:val="fr-FR"/>
        </w:rPr>
        <w:t>Au moyen d</w:t>
      </w:r>
      <w:r w:rsidR="0082449C">
        <w:rPr>
          <w:szCs w:val="22"/>
          <w:lang w:val="fr-FR"/>
        </w:rPr>
        <w:t>’</w:t>
      </w:r>
      <w:r w:rsidRPr="009D1007">
        <w:rPr>
          <w:szCs w:val="22"/>
          <w:lang w:val="fr-FR"/>
        </w:rPr>
        <w:t>une analyse de régression, Farre</w:t>
      </w:r>
      <w:r w:rsidR="0082449C">
        <w:rPr>
          <w:szCs w:val="22"/>
          <w:lang w:val="fr-FR"/>
        </w:rPr>
        <w:t>-</w:t>
      </w:r>
      <w:r w:rsidRPr="009D1007">
        <w:rPr>
          <w:szCs w:val="22"/>
          <w:lang w:val="fr-FR"/>
        </w:rPr>
        <w:t>Mensa a étudié l</w:t>
      </w:r>
      <w:r w:rsidR="0082449C">
        <w:rPr>
          <w:szCs w:val="22"/>
          <w:lang w:val="fr-FR"/>
        </w:rPr>
        <w:t>’</w:t>
      </w:r>
      <w:r w:rsidRPr="009D1007">
        <w:rPr>
          <w:szCs w:val="22"/>
          <w:lang w:val="fr-FR"/>
        </w:rPr>
        <w:t>effet des retards de traitement des demandes de brevet sur la croissance des entreprises</w:t>
      </w:r>
      <w:r w:rsidRPr="009D1007">
        <w:rPr>
          <w:rStyle w:val="Appelnotedebasdep"/>
          <w:szCs w:val="22"/>
          <w:lang w:val="fr-FR"/>
        </w:rPr>
        <w:footnoteReference w:id="19"/>
      </w:r>
      <w:r w:rsidRPr="009D1007">
        <w:rPr>
          <w:szCs w:val="22"/>
          <w:lang w:val="fr-FR"/>
        </w:rPr>
        <w:t>.</w:t>
      </w:r>
    </w:p>
    <w:p w:rsidR="00F43A28" w:rsidRPr="009D1007" w:rsidRDefault="00F43A28" w:rsidP="00F43A28">
      <w:pPr>
        <w:spacing w:before="240" w:after="180"/>
        <w:rPr>
          <w:szCs w:val="22"/>
          <w:lang w:val="fr-FR"/>
        </w:rPr>
      </w:pPr>
      <w:r w:rsidRPr="009D1007">
        <w:rPr>
          <w:szCs w:val="22"/>
          <w:lang w:val="fr-FR"/>
        </w:rPr>
        <w:t>La figure 4 de Farre</w:t>
      </w:r>
      <w:r w:rsidR="0082449C">
        <w:rPr>
          <w:szCs w:val="22"/>
          <w:lang w:val="fr-FR"/>
        </w:rPr>
        <w:t>-</w:t>
      </w:r>
      <w:r w:rsidRPr="009D1007">
        <w:rPr>
          <w:szCs w:val="22"/>
          <w:lang w:val="fr-FR"/>
        </w:rPr>
        <w:t>Mensa reproduite ci</w:t>
      </w:r>
      <w:r w:rsidR="0082449C">
        <w:rPr>
          <w:szCs w:val="22"/>
          <w:lang w:val="fr-FR"/>
        </w:rPr>
        <w:t>-</w:t>
      </w:r>
      <w:r w:rsidRPr="009D1007">
        <w:rPr>
          <w:szCs w:val="22"/>
          <w:lang w:val="fr-FR"/>
        </w:rPr>
        <w:t>dessous est révélatrice.</w:t>
      </w:r>
    </w:p>
    <w:p w:rsidR="00F43A28" w:rsidRPr="009D1007" w:rsidRDefault="00F43A28" w:rsidP="00F43A28">
      <w:pPr>
        <w:spacing w:before="240" w:after="180"/>
        <w:rPr>
          <w:b/>
          <w:bCs/>
          <w:szCs w:val="22"/>
          <w:lang w:val="fr-FR"/>
        </w:rPr>
      </w:pPr>
      <w:r w:rsidRPr="009D1007">
        <w:rPr>
          <w:b/>
          <w:bCs/>
          <w:szCs w:val="22"/>
          <w:lang w:val="fr-FR"/>
        </w:rPr>
        <w:t>Figure 4</w:t>
      </w:r>
      <w:r w:rsidR="00B5502A">
        <w:rPr>
          <w:b/>
          <w:bCs/>
          <w:szCs w:val="22"/>
          <w:lang w:val="fr-FR"/>
        </w:rPr>
        <w:t xml:space="preserve">.  </w:t>
      </w:r>
      <w:r w:rsidRPr="009D1007">
        <w:rPr>
          <w:b/>
          <w:bCs/>
          <w:szCs w:val="22"/>
          <w:lang w:val="fr-FR"/>
        </w:rPr>
        <w:t>Effet des retards de traitement des demandes de brevet sur la croissance des entreprises</w:t>
      </w:r>
      <w:r w:rsidRPr="009D1007">
        <w:rPr>
          <w:rStyle w:val="Appelnotedebasdep"/>
          <w:b/>
          <w:bCs/>
          <w:szCs w:val="22"/>
          <w:lang w:val="fr-FR"/>
        </w:rPr>
        <w:footnoteReference w:id="20"/>
      </w:r>
      <w:r w:rsidRPr="009D1007">
        <w:rPr>
          <w:b/>
          <w:bCs/>
          <w:szCs w:val="22"/>
          <w:lang w:val="fr-FR"/>
        </w:rPr>
        <w:t>.</w:t>
      </w:r>
    </w:p>
    <w:p w:rsidR="00F43A28" w:rsidRPr="009D1007" w:rsidRDefault="00F43A28" w:rsidP="00F43A28">
      <w:pPr>
        <w:spacing w:after="180"/>
        <w:rPr>
          <w:szCs w:val="22"/>
          <w:lang w:val="fr-FR"/>
        </w:rPr>
      </w:pPr>
      <w:r w:rsidRPr="009D1007">
        <w:rPr>
          <w:szCs w:val="22"/>
          <w:lang w:val="fr-FR"/>
        </w:rPr>
        <w:t>Cette figure illustre l</w:t>
      </w:r>
      <w:r w:rsidR="0082449C">
        <w:rPr>
          <w:szCs w:val="22"/>
          <w:lang w:val="fr-FR"/>
        </w:rPr>
        <w:t>’</w:t>
      </w:r>
      <w:r w:rsidRPr="009D1007">
        <w:rPr>
          <w:szCs w:val="22"/>
          <w:lang w:val="fr-FR"/>
        </w:rPr>
        <w:t>effet estimé d</w:t>
      </w:r>
      <w:r w:rsidR="0082449C">
        <w:rPr>
          <w:szCs w:val="22"/>
          <w:lang w:val="fr-FR"/>
        </w:rPr>
        <w:t>’</w:t>
      </w:r>
      <w:r w:rsidRPr="009D1007">
        <w:rPr>
          <w:szCs w:val="22"/>
          <w:lang w:val="fr-FR"/>
        </w:rPr>
        <w:t>un retard d</w:t>
      </w:r>
      <w:r w:rsidR="0082449C">
        <w:rPr>
          <w:szCs w:val="22"/>
          <w:lang w:val="fr-FR"/>
        </w:rPr>
        <w:t>’</w:t>
      </w:r>
      <w:r w:rsidRPr="009D1007">
        <w:rPr>
          <w:szCs w:val="22"/>
          <w:lang w:val="fr-FR"/>
        </w:rPr>
        <w:t>un an dans le traitement de la première demande de brevet d</w:t>
      </w:r>
      <w:r w:rsidR="0082449C">
        <w:rPr>
          <w:szCs w:val="22"/>
          <w:lang w:val="fr-FR"/>
        </w:rPr>
        <w:t>’</w:t>
      </w:r>
      <w:r w:rsidRPr="009D1007">
        <w:rPr>
          <w:szCs w:val="22"/>
          <w:lang w:val="fr-FR"/>
        </w:rPr>
        <w:t>une jeune entreprise sur l</w:t>
      </w:r>
      <w:r w:rsidR="0082449C">
        <w:rPr>
          <w:szCs w:val="22"/>
          <w:lang w:val="fr-FR"/>
        </w:rPr>
        <w:t>’</w:t>
      </w:r>
      <w:r w:rsidRPr="009D1007">
        <w:rPr>
          <w:szCs w:val="22"/>
          <w:lang w:val="fr-FR"/>
        </w:rPr>
        <w:t>emploi (graphique A) et sur les ventes (graphique B) de cette entreprise au cours des</w:t>
      </w:r>
      <w:r w:rsidR="00B5502A">
        <w:rPr>
          <w:szCs w:val="22"/>
          <w:lang w:val="fr-FR"/>
        </w:rPr>
        <w:t xml:space="preserve"> cinq </w:t>
      </w:r>
      <w:r w:rsidRPr="009D1007">
        <w:rPr>
          <w:szCs w:val="22"/>
          <w:lang w:val="fr-FR"/>
        </w:rPr>
        <w:t>années suivant la première décision sur la demande</w:t>
      </w:r>
      <w:r w:rsidRPr="009D1007">
        <w:rPr>
          <w:rStyle w:val="Appelnotedebasdep"/>
          <w:szCs w:val="22"/>
          <w:lang w:val="fr-FR"/>
        </w:rPr>
        <w:footnoteReference w:id="21"/>
      </w:r>
      <w:r w:rsidR="00B5502A">
        <w:rPr>
          <w:szCs w:val="22"/>
          <w:lang w:val="fr-FR"/>
        </w:rPr>
        <w:t xml:space="preserve">.  </w:t>
      </w:r>
      <w:r w:rsidRPr="009D1007">
        <w:rPr>
          <w:szCs w:val="22"/>
          <w:lang w:val="fr-FR"/>
        </w:rPr>
        <w:t>Plus précisément, la ligne continue montre l</w:t>
      </w:r>
      <w:r w:rsidR="0082449C">
        <w:rPr>
          <w:szCs w:val="22"/>
          <w:lang w:val="fr-FR"/>
        </w:rPr>
        <w:t>’</w:t>
      </w:r>
      <w:r w:rsidRPr="009D1007">
        <w:rPr>
          <w:szCs w:val="22"/>
          <w:lang w:val="fr-FR"/>
        </w:rPr>
        <w:t>effet estimé du retard sur des horizons de un à</w:t>
      </w:r>
      <w:r w:rsidR="00B5502A">
        <w:rPr>
          <w:szCs w:val="22"/>
          <w:lang w:val="fr-FR"/>
        </w:rPr>
        <w:t xml:space="preserve"> cinq </w:t>
      </w:r>
      <w:r w:rsidRPr="009D1007">
        <w:rPr>
          <w:szCs w:val="22"/>
          <w:lang w:val="fr-FR"/>
        </w:rPr>
        <w:t>ans après la date de la première action, tandis que les lignes en pointillé montrent les intervalles de confiance à 95%</w:t>
      </w:r>
      <w:r w:rsidRPr="009D1007">
        <w:rPr>
          <w:rStyle w:val="Appelnotedebasdep"/>
          <w:szCs w:val="22"/>
          <w:lang w:val="fr-FR"/>
        </w:rPr>
        <w:footnoteReference w:id="22"/>
      </w:r>
      <w:r w:rsidRPr="009D1007">
        <w:rPr>
          <w:szCs w:val="22"/>
          <w:lang w:val="fr-FR"/>
        </w:rPr>
        <w:t>.</w:t>
      </w:r>
    </w:p>
    <w:p w:rsidR="00F43A28" w:rsidRPr="009D1007" w:rsidRDefault="00F43A28" w:rsidP="00F43A28">
      <w:pPr>
        <w:keepNext/>
        <w:rPr>
          <w:b/>
          <w:bCs/>
          <w:szCs w:val="22"/>
          <w:lang w:val="fr-FR"/>
        </w:rPr>
      </w:pPr>
      <w:r w:rsidRPr="009D1007">
        <w:rPr>
          <w:b/>
          <w:bCs/>
          <w:szCs w:val="22"/>
          <w:lang w:val="fr-FR"/>
        </w:rPr>
        <w:t>Graphique</w:t>
      </w:r>
      <w:r w:rsidR="00B5502A">
        <w:rPr>
          <w:b/>
          <w:bCs/>
          <w:szCs w:val="22"/>
          <w:lang w:val="fr-FR"/>
        </w:rPr>
        <w:t xml:space="preserve"> </w:t>
      </w:r>
      <w:r w:rsidR="00B5502A" w:rsidRPr="009D1007">
        <w:rPr>
          <w:b/>
          <w:bCs/>
          <w:szCs w:val="22"/>
          <w:lang w:val="fr-FR"/>
        </w:rPr>
        <w:t>A</w:t>
      </w:r>
      <w:r w:rsidR="00B5502A">
        <w:rPr>
          <w:b/>
          <w:bCs/>
          <w:szCs w:val="22"/>
          <w:lang w:val="fr-FR"/>
        </w:rPr>
        <w:t>. </w:t>
      </w:r>
      <w:r w:rsidRPr="009D1007">
        <w:rPr>
          <w:b/>
          <w:bCs/>
          <w:szCs w:val="22"/>
          <w:lang w:val="fr-FR"/>
        </w:rPr>
        <w:t>Évolution de l</w:t>
      </w:r>
      <w:r w:rsidR="0082449C">
        <w:rPr>
          <w:b/>
          <w:bCs/>
          <w:szCs w:val="22"/>
          <w:lang w:val="fr-FR"/>
        </w:rPr>
        <w:t>’</w:t>
      </w:r>
      <w:r w:rsidRPr="009D1007">
        <w:rPr>
          <w:b/>
          <w:bCs/>
          <w:szCs w:val="22"/>
          <w:lang w:val="fr-FR"/>
        </w:rPr>
        <w:t>emploi</w:t>
      </w:r>
    </w:p>
    <w:p w:rsidR="00F43A28" w:rsidRPr="009D1007" w:rsidRDefault="00F43A28" w:rsidP="00F43A28">
      <w:pPr>
        <w:rPr>
          <w:szCs w:val="22"/>
          <w:lang w:val="fr-FR"/>
        </w:rPr>
      </w:pPr>
      <w:r w:rsidRPr="009D1007">
        <w:rPr>
          <w:noProof/>
          <w:szCs w:val="22"/>
          <w:lang w:val="fr-CH" w:eastAsia="fr-CH"/>
        </w:rPr>
        <w:drawing>
          <wp:inline distT="0" distB="0" distL="0" distR="0" wp14:anchorId="47E88063" wp14:editId="3D922564">
            <wp:extent cx="5695950" cy="261977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4712" cy="2628401"/>
                    </a:xfrm>
                    <a:prstGeom prst="rect">
                      <a:avLst/>
                    </a:prstGeom>
                    <a:noFill/>
                    <a:ln>
                      <a:noFill/>
                    </a:ln>
                  </pic:spPr>
                </pic:pic>
              </a:graphicData>
            </a:graphic>
          </wp:inline>
        </w:drawing>
      </w:r>
    </w:p>
    <w:p w:rsidR="00F43A28" w:rsidRPr="009D1007" w:rsidRDefault="00F43A28" w:rsidP="00F43A28">
      <w:pPr>
        <w:spacing w:after="180"/>
        <w:jc w:val="center"/>
        <w:rPr>
          <w:rFonts w:ascii="Times New Roman" w:hAnsi="Times New Roman" w:cs="Times New Roman"/>
          <w:szCs w:val="22"/>
          <w:lang w:val="fr-FR"/>
        </w:rPr>
      </w:pPr>
      <w:r w:rsidRPr="009D1007">
        <w:rPr>
          <w:rFonts w:ascii="Times New Roman" w:hAnsi="Times New Roman" w:cs="Times New Roman"/>
          <w:szCs w:val="22"/>
          <w:lang w:val="fr-FR"/>
        </w:rPr>
        <w:t>Effet de chaque année supplémentaire de traitement</w:t>
      </w:r>
      <w:r w:rsidR="00B5502A">
        <w:rPr>
          <w:rFonts w:ascii="Times New Roman" w:hAnsi="Times New Roman" w:cs="Times New Roman"/>
          <w:szCs w:val="22"/>
          <w:lang w:val="fr-FR"/>
        </w:rPr>
        <w:t> :</w:t>
      </w:r>
      <w:r w:rsidRPr="009D1007">
        <w:rPr>
          <w:rFonts w:ascii="Times New Roman" w:hAnsi="Times New Roman" w:cs="Times New Roman"/>
          <w:szCs w:val="22"/>
          <w:lang w:val="fr-FR"/>
        </w:rPr>
        <w:t xml:space="preserve"> diminution de l</w:t>
      </w:r>
      <w:r w:rsidR="0082449C">
        <w:rPr>
          <w:rFonts w:ascii="Times New Roman" w:hAnsi="Times New Roman" w:cs="Times New Roman"/>
          <w:szCs w:val="22"/>
          <w:lang w:val="fr-FR"/>
        </w:rPr>
        <w:t>’</w:t>
      </w:r>
      <w:r w:rsidRPr="009D1007">
        <w:rPr>
          <w:rFonts w:ascii="Times New Roman" w:hAnsi="Times New Roman" w:cs="Times New Roman"/>
          <w:szCs w:val="22"/>
          <w:lang w:val="fr-FR"/>
        </w:rPr>
        <w:t>emploi après t années.</w:t>
      </w:r>
    </w:p>
    <w:p w:rsidR="00F43A28" w:rsidRPr="009D1007" w:rsidRDefault="00F43A28" w:rsidP="00F43A28">
      <w:pPr>
        <w:spacing w:before="240"/>
        <w:rPr>
          <w:b/>
          <w:bCs/>
          <w:szCs w:val="22"/>
          <w:lang w:val="fr-FR"/>
        </w:rPr>
      </w:pPr>
      <w:r w:rsidRPr="009D1007">
        <w:rPr>
          <w:b/>
          <w:bCs/>
          <w:szCs w:val="22"/>
          <w:lang w:val="fr-FR"/>
        </w:rPr>
        <w:t>Graphique</w:t>
      </w:r>
      <w:r w:rsidR="00B5502A">
        <w:rPr>
          <w:b/>
          <w:bCs/>
          <w:szCs w:val="22"/>
          <w:lang w:val="fr-FR"/>
        </w:rPr>
        <w:t xml:space="preserve"> </w:t>
      </w:r>
      <w:r w:rsidR="00B5502A" w:rsidRPr="009D1007">
        <w:rPr>
          <w:b/>
          <w:bCs/>
          <w:szCs w:val="22"/>
          <w:lang w:val="fr-FR"/>
        </w:rPr>
        <w:t>B</w:t>
      </w:r>
      <w:r w:rsidR="00B5502A">
        <w:rPr>
          <w:b/>
          <w:bCs/>
          <w:szCs w:val="22"/>
          <w:lang w:val="fr-FR"/>
        </w:rPr>
        <w:t>. </w:t>
      </w:r>
      <w:r w:rsidRPr="009D1007">
        <w:rPr>
          <w:b/>
          <w:bCs/>
          <w:szCs w:val="22"/>
          <w:lang w:val="fr-FR"/>
        </w:rPr>
        <w:t>Évolution des ventes</w:t>
      </w:r>
    </w:p>
    <w:p w:rsidR="00F43A28" w:rsidRPr="009D1007" w:rsidRDefault="00F43A28" w:rsidP="00F43A28">
      <w:pPr>
        <w:rPr>
          <w:szCs w:val="22"/>
          <w:lang w:val="fr-FR"/>
        </w:rPr>
      </w:pPr>
      <w:r w:rsidRPr="009D1007">
        <w:rPr>
          <w:noProof/>
          <w:szCs w:val="22"/>
          <w:lang w:val="fr-CH" w:eastAsia="fr-CH"/>
        </w:rPr>
        <w:drawing>
          <wp:inline distT="0" distB="0" distL="0" distR="0" wp14:anchorId="2AB1357C" wp14:editId="6B5DACD0">
            <wp:extent cx="5591540" cy="2571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2263" cy="2576682"/>
                    </a:xfrm>
                    <a:prstGeom prst="rect">
                      <a:avLst/>
                    </a:prstGeom>
                    <a:noFill/>
                    <a:ln>
                      <a:noFill/>
                    </a:ln>
                  </pic:spPr>
                </pic:pic>
              </a:graphicData>
            </a:graphic>
          </wp:inline>
        </w:drawing>
      </w:r>
    </w:p>
    <w:p w:rsidR="00F43A28" w:rsidRPr="009D1007" w:rsidRDefault="00F43A28" w:rsidP="00F43A28">
      <w:pPr>
        <w:spacing w:after="180"/>
        <w:jc w:val="center"/>
        <w:rPr>
          <w:rFonts w:ascii="Times New Roman" w:hAnsi="Times New Roman" w:cs="Times New Roman"/>
          <w:szCs w:val="22"/>
          <w:lang w:val="fr-FR"/>
        </w:rPr>
      </w:pPr>
      <w:r w:rsidRPr="009D1007">
        <w:rPr>
          <w:rFonts w:ascii="Times New Roman" w:hAnsi="Times New Roman" w:cs="Times New Roman"/>
          <w:szCs w:val="22"/>
          <w:lang w:val="fr-FR"/>
        </w:rPr>
        <w:t>Effet de chaque année supplémentaire de traitement</w:t>
      </w:r>
      <w:r w:rsidR="00B5502A">
        <w:rPr>
          <w:rFonts w:ascii="Times New Roman" w:hAnsi="Times New Roman" w:cs="Times New Roman"/>
          <w:szCs w:val="22"/>
          <w:lang w:val="fr-FR"/>
        </w:rPr>
        <w:t> :</w:t>
      </w:r>
      <w:r w:rsidRPr="009D1007">
        <w:rPr>
          <w:rFonts w:ascii="Times New Roman" w:hAnsi="Times New Roman" w:cs="Times New Roman"/>
          <w:szCs w:val="22"/>
          <w:lang w:val="fr-FR"/>
        </w:rPr>
        <w:t xml:space="preserve"> diminution des ventes après t années</w:t>
      </w:r>
    </w:p>
    <w:p w:rsidR="00F43A28" w:rsidRPr="009D1007" w:rsidRDefault="00F43A28" w:rsidP="00F43A28">
      <w:pPr>
        <w:spacing w:after="180"/>
        <w:rPr>
          <w:szCs w:val="22"/>
          <w:lang w:val="fr-FR"/>
        </w:rPr>
      </w:pPr>
      <w:r w:rsidRPr="009D1007">
        <w:rPr>
          <w:szCs w:val="22"/>
          <w:lang w:val="fr-FR"/>
        </w:rPr>
        <w:t>Le graphique A de la figure 4 montre que, pour chaque année de retard dans l</w:t>
      </w:r>
      <w:r w:rsidR="0082449C">
        <w:rPr>
          <w:szCs w:val="22"/>
          <w:lang w:val="fr-FR"/>
        </w:rPr>
        <w:t>’</w:t>
      </w:r>
      <w:r w:rsidRPr="009D1007">
        <w:rPr>
          <w:szCs w:val="22"/>
          <w:lang w:val="fr-FR"/>
        </w:rPr>
        <w:t>instruction de la demande de brevet, l</w:t>
      </w:r>
      <w:r w:rsidR="0082449C">
        <w:rPr>
          <w:szCs w:val="22"/>
          <w:lang w:val="fr-FR"/>
        </w:rPr>
        <w:t>’</w:t>
      </w:r>
      <w:r w:rsidRPr="009D1007">
        <w:rPr>
          <w:szCs w:val="22"/>
          <w:lang w:val="fr-FR"/>
        </w:rPr>
        <w:t>emploi a diminué de 2,4% au cours de la première année suivant la délivrance du brevet et de 12,7% et 19,3% sur</w:t>
      </w:r>
      <w:r w:rsidR="00B5502A">
        <w:rPr>
          <w:szCs w:val="22"/>
          <w:lang w:val="fr-FR"/>
        </w:rPr>
        <w:t xml:space="preserve"> trois </w:t>
      </w:r>
      <w:r w:rsidRPr="009D1007">
        <w:rPr>
          <w:szCs w:val="22"/>
          <w:lang w:val="fr-FR"/>
        </w:rPr>
        <w:t>et</w:t>
      </w:r>
      <w:r w:rsidR="00B5502A">
        <w:rPr>
          <w:szCs w:val="22"/>
          <w:lang w:val="fr-FR"/>
        </w:rPr>
        <w:t xml:space="preserve"> cinq </w:t>
      </w:r>
      <w:r w:rsidRPr="009D1007">
        <w:rPr>
          <w:szCs w:val="22"/>
          <w:lang w:val="fr-FR"/>
        </w:rPr>
        <w:t>ans, respectivement</w:t>
      </w:r>
      <w:r w:rsidRPr="009D1007">
        <w:rPr>
          <w:rStyle w:val="Appelnotedebasdep"/>
          <w:szCs w:val="22"/>
          <w:lang w:val="fr-FR"/>
        </w:rPr>
        <w:footnoteReference w:id="23"/>
      </w:r>
      <w:r w:rsidR="00B5502A">
        <w:rPr>
          <w:szCs w:val="22"/>
          <w:lang w:val="fr-FR"/>
        </w:rPr>
        <w:t xml:space="preserve">.  </w:t>
      </w:r>
      <w:r w:rsidRPr="009D1007">
        <w:rPr>
          <w:szCs w:val="22"/>
          <w:lang w:val="fr-FR"/>
        </w:rPr>
        <w:t>Le graphique B montre que “[l]es ventes présentent une tendance négative similaire après la décision”, chaque année de retard entraînant une baisse de 3,6%, 12,8% et 28,4% des ventes à un,</w:t>
      </w:r>
      <w:r w:rsidR="00B5502A">
        <w:rPr>
          <w:szCs w:val="22"/>
          <w:lang w:val="fr-FR"/>
        </w:rPr>
        <w:t xml:space="preserve"> trois </w:t>
      </w:r>
      <w:r w:rsidRPr="009D1007">
        <w:rPr>
          <w:szCs w:val="22"/>
          <w:lang w:val="fr-FR"/>
        </w:rPr>
        <w:t>et</w:t>
      </w:r>
      <w:r w:rsidR="00B5502A">
        <w:rPr>
          <w:szCs w:val="22"/>
          <w:lang w:val="fr-FR"/>
        </w:rPr>
        <w:t xml:space="preserve"> cinq </w:t>
      </w:r>
      <w:r w:rsidRPr="009D1007">
        <w:rPr>
          <w:szCs w:val="22"/>
          <w:lang w:val="fr-FR"/>
        </w:rPr>
        <w:t>ans respectivement de la première décision sur la demande</w:t>
      </w:r>
      <w:r w:rsidRPr="009D1007">
        <w:rPr>
          <w:rStyle w:val="Appelnotedebasdep"/>
          <w:szCs w:val="22"/>
          <w:lang w:val="fr-FR"/>
        </w:rPr>
        <w:footnoteReference w:id="24"/>
      </w:r>
      <w:r w:rsidRPr="009D1007">
        <w:rPr>
          <w:szCs w:val="22"/>
          <w:lang w:val="fr-FR"/>
        </w:rPr>
        <w:t>.</w:t>
      </w:r>
    </w:p>
    <w:p w:rsidR="00F43A28" w:rsidRPr="009D1007" w:rsidRDefault="00F43A28" w:rsidP="00F43A28">
      <w:pPr>
        <w:spacing w:after="180"/>
        <w:rPr>
          <w:szCs w:val="22"/>
          <w:lang w:val="fr-FR"/>
        </w:rPr>
      </w:pPr>
      <w:r w:rsidRPr="009D1007">
        <w:rPr>
          <w:szCs w:val="22"/>
          <w:lang w:val="fr-FR"/>
        </w:rPr>
        <w:t>Cette étude a également révélé que chaque année supplémentaire nécessaire à l</w:t>
      </w:r>
      <w:r w:rsidR="0082449C">
        <w:rPr>
          <w:szCs w:val="22"/>
          <w:lang w:val="fr-FR"/>
        </w:rPr>
        <w:t>’</w:t>
      </w:r>
      <w:r w:rsidRPr="009D1007">
        <w:rPr>
          <w:szCs w:val="22"/>
          <w:lang w:val="fr-FR"/>
        </w:rPr>
        <w:t>USPTO pour examiner une demande réduisait de moitié la probabilité qu</w:t>
      </w:r>
      <w:r w:rsidR="0082449C">
        <w:rPr>
          <w:szCs w:val="22"/>
          <w:lang w:val="fr-FR"/>
        </w:rPr>
        <w:t>’</w:t>
      </w:r>
      <w:r w:rsidRPr="009D1007">
        <w:rPr>
          <w:szCs w:val="22"/>
          <w:lang w:val="fr-FR"/>
        </w:rPr>
        <w:t>une jeune entreprise ouvre son capital</w:t>
      </w:r>
      <w:r w:rsidRPr="009D1007">
        <w:rPr>
          <w:rStyle w:val="Appelnotedebasdep"/>
          <w:szCs w:val="22"/>
          <w:lang w:val="fr-FR"/>
        </w:rPr>
        <w:footnoteReference w:id="25"/>
      </w:r>
      <w:r w:rsidR="00B5502A">
        <w:rPr>
          <w:szCs w:val="22"/>
          <w:lang w:val="fr-FR"/>
        </w:rPr>
        <w:t xml:space="preserve">.  </w:t>
      </w:r>
      <w:r w:rsidRPr="009D1007">
        <w:rPr>
          <w:szCs w:val="22"/>
          <w:lang w:val="fr-FR"/>
        </w:rPr>
        <w:t>En fait, selon Farre</w:t>
      </w:r>
      <w:r w:rsidR="0082449C">
        <w:rPr>
          <w:szCs w:val="22"/>
          <w:lang w:val="fr-FR"/>
        </w:rPr>
        <w:t>-</w:t>
      </w:r>
      <w:r w:rsidRPr="009D1007">
        <w:rPr>
          <w:szCs w:val="22"/>
          <w:lang w:val="fr-FR"/>
        </w:rPr>
        <w:t>Mensa, “[é]conomiquement, un retard de</w:t>
      </w:r>
      <w:r w:rsidR="00B5502A">
        <w:rPr>
          <w:szCs w:val="22"/>
          <w:lang w:val="fr-FR"/>
        </w:rPr>
        <w:t xml:space="preserve"> deux </w:t>
      </w:r>
      <w:r w:rsidRPr="009D1007">
        <w:rPr>
          <w:szCs w:val="22"/>
          <w:lang w:val="fr-FR"/>
        </w:rPr>
        <w:t>ans a la même incidence négative sur la croissance et la réussite d</w:t>
      </w:r>
      <w:r w:rsidR="0082449C">
        <w:rPr>
          <w:szCs w:val="22"/>
          <w:lang w:val="fr-FR"/>
        </w:rPr>
        <w:t>’</w:t>
      </w:r>
      <w:r w:rsidRPr="009D1007">
        <w:rPr>
          <w:szCs w:val="22"/>
          <w:lang w:val="fr-FR"/>
        </w:rPr>
        <w:t>une jeune entreprise que le rejet pur et simple de la demande de brevet”</w:t>
      </w:r>
      <w:r w:rsidRPr="009D1007">
        <w:rPr>
          <w:rStyle w:val="Appelnotedebasdep"/>
          <w:szCs w:val="22"/>
          <w:lang w:val="fr-FR"/>
        </w:rPr>
        <w:footnoteReference w:id="26"/>
      </w:r>
      <w:r w:rsidRPr="009D1007">
        <w:rPr>
          <w:szCs w:val="22"/>
          <w:lang w:val="fr-FR"/>
        </w:rPr>
        <w:t>.</w:t>
      </w:r>
    </w:p>
    <w:p w:rsidR="00F43A28" w:rsidRPr="009D1007" w:rsidRDefault="00F43A28" w:rsidP="00F43A28">
      <w:pPr>
        <w:spacing w:after="180"/>
        <w:rPr>
          <w:lang w:val="fr-FR"/>
        </w:rPr>
      </w:pPr>
      <w:r w:rsidRPr="009D1007">
        <w:rPr>
          <w:lang w:val="fr-FR"/>
        </w:rPr>
        <w:t>Le rapport sur l</w:t>
      </w:r>
      <w:r w:rsidR="0082449C">
        <w:rPr>
          <w:lang w:val="fr-FR"/>
        </w:rPr>
        <w:t>’</w:t>
      </w:r>
      <w:r w:rsidRPr="009D1007">
        <w:rPr>
          <w:lang w:val="fr-FR"/>
        </w:rPr>
        <w:t>impact économique des exigences de divulgation figurant dans les demandes de brevet relatives à l</w:t>
      </w:r>
      <w:r w:rsidR="0082449C">
        <w:rPr>
          <w:lang w:val="fr-FR"/>
        </w:rPr>
        <w:t>’</w:t>
      </w:r>
      <w:r w:rsidRPr="009D1007">
        <w:rPr>
          <w:lang w:val="fr-FR"/>
        </w:rPr>
        <w:t>innovation fondée sur les “ressources génétiques”, commandé par l</w:t>
      </w:r>
      <w:r w:rsidR="0082449C">
        <w:rPr>
          <w:lang w:val="fr-FR"/>
        </w:rPr>
        <w:t>’</w:t>
      </w:r>
      <w:r w:rsidRPr="009D1007">
        <w:rPr>
          <w:lang w:val="fr-FR"/>
        </w:rPr>
        <w:t>IFPMA et Crop Life International et présenté récemment lors d</w:t>
      </w:r>
      <w:r w:rsidR="0082449C">
        <w:rPr>
          <w:lang w:val="fr-FR"/>
        </w:rPr>
        <w:t>’</w:t>
      </w:r>
      <w:r w:rsidRPr="009D1007">
        <w:rPr>
          <w:lang w:val="fr-FR"/>
        </w:rPr>
        <w:t>une manifestation organisée en marge de la trente</w:t>
      </w:r>
      <w:r w:rsidR="0082449C">
        <w:rPr>
          <w:lang w:val="fr-FR"/>
        </w:rPr>
        <w:t>-</w:t>
      </w:r>
      <w:r w:rsidRPr="009D1007">
        <w:rPr>
          <w:lang w:val="fr-FR"/>
        </w:rPr>
        <w:t>six</w:t>
      </w:r>
      <w:r w:rsidR="0082449C">
        <w:rPr>
          <w:lang w:val="fr-FR"/>
        </w:rPr>
        <w:t>ième session</w:t>
      </w:r>
      <w:r w:rsidRPr="009D1007">
        <w:rPr>
          <w:lang w:val="fr-FR"/>
        </w:rPr>
        <w:t xml:space="preserve"> de l</w:t>
      </w:r>
      <w:r w:rsidR="0082449C">
        <w:rPr>
          <w:lang w:val="fr-FR"/>
        </w:rPr>
        <w:t>’</w:t>
      </w:r>
      <w:r w:rsidRPr="009D1007">
        <w:rPr>
          <w:lang w:val="fr-FR"/>
        </w:rPr>
        <w:t>IGC, a révélé qu</w:t>
      </w:r>
      <w:r w:rsidR="0082449C">
        <w:rPr>
          <w:lang w:val="fr-FR"/>
        </w:rPr>
        <w:t>’</w:t>
      </w:r>
      <w:r w:rsidRPr="009D1007">
        <w:rPr>
          <w:lang w:val="fr-FR"/>
        </w:rPr>
        <w:t>en Inde comme au Brésil, ces exigences ont considérablement retardé la procédure de traitement des brevets</w:t>
      </w:r>
      <w:r w:rsidRPr="009D1007">
        <w:rPr>
          <w:rStyle w:val="Appelnotedebasdep"/>
          <w:lang w:val="fr-FR"/>
        </w:rPr>
        <w:footnoteReference w:id="27"/>
      </w:r>
      <w:r w:rsidR="00B5502A">
        <w:rPr>
          <w:lang w:val="fr-FR"/>
        </w:rPr>
        <w:t xml:space="preserve">.  </w:t>
      </w:r>
      <w:r w:rsidRPr="009D1007">
        <w:rPr>
          <w:lang w:val="fr-FR"/>
        </w:rPr>
        <w:t>En outre, ces exigences pourraient avoir une incidence négative sur les coûts liés à la recherche</w:t>
      </w:r>
      <w:r w:rsidR="0082449C">
        <w:rPr>
          <w:lang w:val="fr-FR"/>
        </w:rPr>
        <w:t>-</w:t>
      </w:r>
      <w:r w:rsidRPr="009D1007">
        <w:rPr>
          <w:lang w:val="fr-FR"/>
        </w:rPr>
        <w:t>développement et accroîtraient les incertitudes entourant le système des brevets</w:t>
      </w:r>
      <w:r w:rsidRPr="009D1007">
        <w:rPr>
          <w:rStyle w:val="Appelnotedebasdep"/>
          <w:lang w:val="fr-FR"/>
        </w:rPr>
        <w:footnoteReference w:id="28"/>
      </w:r>
      <w:r w:rsidRPr="009D1007">
        <w:rPr>
          <w:lang w:val="fr-FR"/>
        </w:rPr>
        <w:t>.</w:t>
      </w:r>
    </w:p>
    <w:p w:rsidR="00F43A28" w:rsidRPr="009D1007" w:rsidRDefault="00F43A28" w:rsidP="00F43A28">
      <w:pPr>
        <w:spacing w:after="180"/>
        <w:rPr>
          <w:b/>
          <w:i/>
          <w:szCs w:val="22"/>
          <w:lang w:val="fr-FR"/>
        </w:rPr>
      </w:pPr>
      <w:r w:rsidRPr="009D1007">
        <w:rPr>
          <w:b/>
          <w:i/>
          <w:szCs w:val="22"/>
          <w:lang w:val="fr-FR"/>
        </w:rPr>
        <w:t>Incidence économique de l</w:t>
      </w:r>
      <w:r w:rsidR="0082449C">
        <w:rPr>
          <w:b/>
          <w:i/>
          <w:szCs w:val="22"/>
          <w:lang w:val="fr-FR"/>
        </w:rPr>
        <w:t>’</w:t>
      </w:r>
      <w:r w:rsidRPr="009D1007">
        <w:rPr>
          <w:b/>
          <w:i/>
          <w:szCs w:val="22"/>
          <w:lang w:val="fr-FR"/>
        </w:rPr>
        <w:t>incertitude concernant les droits de brevet</w:t>
      </w:r>
    </w:p>
    <w:p w:rsidR="00F43A28" w:rsidRPr="009D1007" w:rsidRDefault="00F43A28" w:rsidP="00F43A28">
      <w:pPr>
        <w:spacing w:after="220"/>
        <w:rPr>
          <w:szCs w:val="22"/>
          <w:lang w:val="fr-FR"/>
        </w:rPr>
      </w:pPr>
      <w:r w:rsidRPr="009D1007">
        <w:rPr>
          <w:szCs w:val="22"/>
          <w:lang w:val="fr-FR"/>
        </w:rPr>
        <w:t>Une nouvelle exigence en matière de divulgation pourrait entraîner des incertitudes au sujet non seulement de l</w:t>
      </w:r>
      <w:r w:rsidR="0082449C">
        <w:rPr>
          <w:szCs w:val="22"/>
          <w:lang w:val="fr-FR"/>
        </w:rPr>
        <w:t>’</w:t>
      </w:r>
      <w:r w:rsidRPr="009D1007">
        <w:rPr>
          <w:szCs w:val="22"/>
          <w:lang w:val="fr-FR"/>
        </w:rPr>
        <w:t>instruction de la demande de brevet mais également des droits de brevet, ce qui peut affecter la compétitivité globale d</w:t>
      </w:r>
      <w:r w:rsidR="0082449C">
        <w:rPr>
          <w:szCs w:val="22"/>
          <w:lang w:val="fr-FR"/>
        </w:rPr>
        <w:t>’</w:t>
      </w:r>
      <w:r w:rsidRPr="009D1007">
        <w:rPr>
          <w:szCs w:val="22"/>
          <w:lang w:val="fr-FR"/>
        </w:rPr>
        <w:t>une entreprise</w:t>
      </w:r>
      <w:r w:rsidR="00B5502A">
        <w:rPr>
          <w:szCs w:val="22"/>
          <w:lang w:val="fr-FR"/>
        </w:rPr>
        <w:t xml:space="preserve">.  </w:t>
      </w:r>
      <w:r w:rsidRPr="009D1007">
        <w:rPr>
          <w:szCs w:val="22"/>
          <w:lang w:val="fr-FR"/>
        </w:rPr>
        <w:t>La présente section porte sur les incidences économiques de l</w:t>
      </w:r>
      <w:r w:rsidR="0082449C">
        <w:rPr>
          <w:szCs w:val="22"/>
          <w:lang w:val="fr-FR"/>
        </w:rPr>
        <w:t>’</w:t>
      </w:r>
      <w:r w:rsidRPr="009D1007">
        <w:rPr>
          <w:szCs w:val="22"/>
          <w:lang w:val="fr-FR"/>
        </w:rPr>
        <w:t>incertitude au sujet des droits de brevet pour ce qui concerne les contrats de licence, l</w:t>
      </w:r>
      <w:r w:rsidR="0082449C">
        <w:rPr>
          <w:szCs w:val="22"/>
          <w:lang w:val="fr-FR"/>
        </w:rPr>
        <w:t>’</w:t>
      </w:r>
      <w:r w:rsidRPr="009D1007">
        <w:rPr>
          <w:szCs w:val="22"/>
          <w:lang w:val="fr-FR"/>
        </w:rPr>
        <w:t>investissement dans la recherche</w:t>
      </w:r>
      <w:r w:rsidR="0082449C">
        <w:rPr>
          <w:szCs w:val="22"/>
          <w:lang w:val="fr-FR"/>
        </w:rPr>
        <w:t>-</w:t>
      </w:r>
      <w:r w:rsidRPr="009D1007">
        <w:rPr>
          <w:szCs w:val="22"/>
          <w:lang w:val="fr-FR"/>
        </w:rPr>
        <w:t>développement et les procédures judiciaires.</w:t>
      </w:r>
    </w:p>
    <w:p w:rsidR="00F43A28" w:rsidRPr="009D1007" w:rsidRDefault="00F43A28" w:rsidP="00F43A28">
      <w:pPr>
        <w:spacing w:after="220"/>
        <w:rPr>
          <w:szCs w:val="22"/>
          <w:lang w:val="fr-FR"/>
        </w:rPr>
      </w:pPr>
      <w:r w:rsidRPr="009D1007">
        <w:rPr>
          <w:szCs w:val="22"/>
          <w:lang w:val="fr-FR"/>
        </w:rPr>
        <w:t>“L</w:t>
      </w:r>
      <w:r w:rsidR="0082449C">
        <w:rPr>
          <w:szCs w:val="22"/>
          <w:lang w:val="fr-FR"/>
        </w:rPr>
        <w:t>’</w:t>
      </w:r>
      <w:r w:rsidRPr="009D1007">
        <w:rPr>
          <w:szCs w:val="22"/>
          <w:lang w:val="fr-FR"/>
        </w:rPr>
        <w:t>idée que la protection par brevet augmente la capacité d</w:t>
      </w:r>
      <w:r w:rsidR="0082449C">
        <w:rPr>
          <w:szCs w:val="22"/>
          <w:lang w:val="fr-FR"/>
        </w:rPr>
        <w:t>’</w:t>
      </w:r>
      <w:r w:rsidRPr="009D1007">
        <w:rPr>
          <w:szCs w:val="22"/>
          <w:lang w:val="fr-FR"/>
        </w:rPr>
        <w:t>une entreprise de retirer les dividendes de ses innovations est courante dans la littérature”</w:t>
      </w:r>
      <w:r w:rsidRPr="009D1007">
        <w:rPr>
          <w:rStyle w:val="Appelnotedebasdep"/>
          <w:szCs w:val="22"/>
          <w:lang w:val="fr-FR"/>
        </w:rPr>
        <w:footnoteReference w:id="29"/>
      </w:r>
      <w:r w:rsidR="00B5502A">
        <w:rPr>
          <w:szCs w:val="22"/>
          <w:lang w:val="fr-FR"/>
        </w:rPr>
        <w:t xml:space="preserve">.  </w:t>
      </w:r>
      <w:r w:rsidRPr="009D1007">
        <w:rPr>
          <w:szCs w:val="22"/>
          <w:lang w:val="fr-FR"/>
        </w:rPr>
        <w:t>Pour illustrer l</w:t>
      </w:r>
      <w:r w:rsidR="0082449C">
        <w:rPr>
          <w:szCs w:val="22"/>
          <w:lang w:val="fr-FR"/>
        </w:rPr>
        <w:t>’</w:t>
      </w:r>
      <w:r w:rsidRPr="009D1007">
        <w:rPr>
          <w:szCs w:val="22"/>
          <w:lang w:val="fr-FR"/>
        </w:rPr>
        <w:t>importance économique et la valeur perçue sur le marché de la protection par brevet, Joshua Gans a réalisé une étude à partir d</w:t>
      </w:r>
      <w:r w:rsidR="0082449C">
        <w:rPr>
          <w:szCs w:val="22"/>
          <w:lang w:val="fr-FR"/>
        </w:rPr>
        <w:t>’</w:t>
      </w:r>
      <w:r w:rsidRPr="009D1007">
        <w:rPr>
          <w:szCs w:val="22"/>
          <w:lang w:val="fr-FR"/>
        </w:rPr>
        <w:t>un échantillon de près de 200 contrats de licence technologique entre de jeunes innovateurs et des entreprises en aval dans</w:t>
      </w:r>
      <w:r w:rsidR="00B5502A">
        <w:rPr>
          <w:szCs w:val="22"/>
          <w:lang w:val="fr-FR"/>
        </w:rPr>
        <w:t xml:space="preserve"> quatre </w:t>
      </w:r>
      <w:r w:rsidRPr="009D1007">
        <w:rPr>
          <w:szCs w:val="22"/>
          <w:lang w:val="fr-FR"/>
        </w:rPr>
        <w:t>secteurs industriels</w:t>
      </w:r>
      <w:r w:rsidRPr="009D1007">
        <w:rPr>
          <w:rStyle w:val="Appelnotedebasdep"/>
          <w:szCs w:val="22"/>
          <w:lang w:val="fr-FR"/>
        </w:rPr>
        <w:footnoteReference w:id="30"/>
      </w:r>
      <w:r w:rsidR="00B5502A">
        <w:rPr>
          <w:szCs w:val="22"/>
          <w:lang w:val="fr-FR"/>
        </w:rPr>
        <w:t xml:space="preserve">.  </w:t>
      </w:r>
      <w:r w:rsidRPr="009D1007">
        <w:rPr>
          <w:szCs w:val="22"/>
          <w:lang w:val="fr-FR"/>
        </w:rPr>
        <w:t>Pour chaque contrat, l</w:t>
      </w:r>
      <w:r w:rsidR="0082449C">
        <w:rPr>
          <w:szCs w:val="22"/>
          <w:lang w:val="fr-FR"/>
        </w:rPr>
        <w:t>’</w:t>
      </w:r>
      <w:r w:rsidRPr="009D1007">
        <w:rPr>
          <w:szCs w:val="22"/>
          <w:lang w:val="fr-FR"/>
        </w:rPr>
        <w:t>auteur a recueilli les données concernant l</w:t>
      </w:r>
      <w:r w:rsidR="0082449C">
        <w:rPr>
          <w:szCs w:val="22"/>
          <w:lang w:val="fr-FR"/>
        </w:rPr>
        <w:t>’</w:t>
      </w:r>
      <w:r w:rsidRPr="009D1007">
        <w:rPr>
          <w:szCs w:val="22"/>
          <w:lang w:val="fr-FR"/>
        </w:rPr>
        <w:t>annonce de la date de conclusion de la licence, le secteur d</w:t>
      </w:r>
      <w:r w:rsidR="0082449C">
        <w:rPr>
          <w:szCs w:val="22"/>
          <w:lang w:val="fr-FR"/>
        </w:rPr>
        <w:t>’</w:t>
      </w:r>
      <w:r w:rsidRPr="009D1007">
        <w:rPr>
          <w:szCs w:val="22"/>
          <w:lang w:val="fr-FR"/>
        </w:rPr>
        <w:t>activité concerné, l</w:t>
      </w:r>
      <w:r w:rsidR="0082449C">
        <w:rPr>
          <w:szCs w:val="22"/>
          <w:lang w:val="fr-FR"/>
        </w:rPr>
        <w:t>’</w:t>
      </w:r>
      <w:r w:rsidRPr="009D1007">
        <w:rPr>
          <w:szCs w:val="22"/>
          <w:lang w:val="fr-FR"/>
        </w:rPr>
        <w:t>emplacement et l</w:t>
      </w:r>
      <w:r w:rsidR="0082449C">
        <w:rPr>
          <w:szCs w:val="22"/>
          <w:lang w:val="fr-FR"/>
        </w:rPr>
        <w:t>’</w:t>
      </w:r>
      <w:r w:rsidRPr="009D1007">
        <w:rPr>
          <w:szCs w:val="22"/>
          <w:lang w:val="fr-FR"/>
        </w:rPr>
        <w:t>ancienneté de l</w:t>
      </w:r>
      <w:r w:rsidR="0082449C">
        <w:rPr>
          <w:szCs w:val="22"/>
          <w:lang w:val="fr-FR"/>
        </w:rPr>
        <w:t>’</w:t>
      </w:r>
      <w:r w:rsidRPr="009D1007">
        <w:rPr>
          <w:szCs w:val="22"/>
          <w:lang w:val="fr-FR"/>
        </w:rPr>
        <w:t>entreprise</w:t>
      </w:r>
      <w:r w:rsidRPr="009D1007">
        <w:rPr>
          <w:rStyle w:val="Appelnotedebasdep"/>
          <w:szCs w:val="22"/>
          <w:lang w:val="fr-FR"/>
        </w:rPr>
        <w:footnoteReference w:id="31"/>
      </w:r>
      <w:r w:rsidR="00B5502A">
        <w:rPr>
          <w:szCs w:val="22"/>
          <w:lang w:val="fr-FR"/>
        </w:rPr>
        <w:t xml:space="preserve">.  </w:t>
      </w:r>
      <w:r w:rsidRPr="009D1007">
        <w:rPr>
          <w:szCs w:val="22"/>
          <w:lang w:val="fr-FR"/>
        </w:rPr>
        <w:t>Pour chaque couple brevet</w:t>
      </w:r>
      <w:r w:rsidR="0082449C">
        <w:rPr>
          <w:szCs w:val="22"/>
          <w:lang w:val="fr-FR"/>
        </w:rPr>
        <w:t>-</w:t>
      </w:r>
      <w:r w:rsidRPr="009D1007">
        <w:rPr>
          <w:szCs w:val="22"/>
          <w:lang w:val="fr-FR"/>
        </w:rPr>
        <w:t>licence, des données de brevet détaillées ont été recueillies auprès de l</w:t>
      </w:r>
      <w:r w:rsidR="0082449C">
        <w:rPr>
          <w:szCs w:val="22"/>
          <w:lang w:val="fr-FR"/>
        </w:rPr>
        <w:t>’</w:t>
      </w:r>
      <w:r w:rsidRPr="009D1007">
        <w:rPr>
          <w:szCs w:val="22"/>
          <w:lang w:val="fr-FR"/>
        </w:rPr>
        <w:t>USPTO et du National Bureau of Economic Research (NBER) et les renseignements sur le financement au moyen de capital</w:t>
      </w:r>
      <w:r w:rsidR="0082449C">
        <w:rPr>
          <w:szCs w:val="22"/>
          <w:lang w:val="fr-FR"/>
        </w:rPr>
        <w:t>-</w:t>
      </w:r>
      <w:r w:rsidRPr="009D1007">
        <w:rPr>
          <w:szCs w:val="22"/>
          <w:lang w:val="fr-FR"/>
        </w:rPr>
        <w:t>risque ont été extraits de la base de données Venture Economics</w:t>
      </w:r>
      <w:r w:rsidRPr="009D1007">
        <w:rPr>
          <w:rStyle w:val="Appelnotedebasdep"/>
          <w:szCs w:val="22"/>
          <w:lang w:val="fr-FR"/>
        </w:rPr>
        <w:footnoteReference w:id="32"/>
      </w:r>
      <w:r w:rsidRPr="009D1007">
        <w:rPr>
          <w:szCs w:val="22"/>
          <w:lang w:val="fr-FR"/>
        </w:rPr>
        <w:t>.</w:t>
      </w:r>
    </w:p>
    <w:p w:rsidR="00F43A28" w:rsidRPr="009D1007" w:rsidRDefault="00F43A28" w:rsidP="00F43A28">
      <w:pPr>
        <w:spacing w:after="220"/>
        <w:rPr>
          <w:szCs w:val="22"/>
          <w:lang w:val="fr-FR"/>
        </w:rPr>
      </w:pPr>
      <w:r w:rsidRPr="009D1007">
        <w:rPr>
          <w:szCs w:val="22"/>
          <w:lang w:val="fr-FR"/>
        </w:rPr>
        <w:t>En comparant la date de conclusion des licences et celle de la délivrance des brevets correspondants, l</w:t>
      </w:r>
      <w:r w:rsidR="0082449C">
        <w:rPr>
          <w:szCs w:val="22"/>
          <w:lang w:val="fr-FR"/>
        </w:rPr>
        <w:t>’</w:t>
      </w:r>
      <w:r w:rsidRPr="009D1007">
        <w:rPr>
          <w:szCs w:val="22"/>
          <w:lang w:val="fr-FR"/>
        </w:rPr>
        <w:t>étude a mis en évidence “une corrélation remarquable entre la date de délivrance du brevet est délivré et celle de la conclusion du contrat de licence”</w:t>
      </w:r>
      <w:r w:rsidRPr="009D1007">
        <w:rPr>
          <w:rStyle w:val="Appelnotedebasdep"/>
          <w:szCs w:val="22"/>
          <w:lang w:val="fr-FR"/>
        </w:rPr>
        <w:footnoteReference w:id="33"/>
      </w:r>
      <w:r w:rsidRPr="009D1007">
        <w:rPr>
          <w:szCs w:val="22"/>
          <w:lang w:val="fr-FR"/>
        </w:rPr>
        <w:t>.</w:t>
      </w:r>
    </w:p>
    <w:p w:rsidR="00F43A28" w:rsidRPr="009D1007" w:rsidRDefault="00F43A28" w:rsidP="00F43A28">
      <w:pPr>
        <w:keepNext/>
        <w:spacing w:after="120"/>
        <w:rPr>
          <w:szCs w:val="22"/>
          <w:lang w:val="fr-FR"/>
        </w:rPr>
      </w:pPr>
      <w:r w:rsidRPr="009D1007">
        <w:rPr>
          <w:szCs w:val="22"/>
          <w:lang w:val="fr-FR"/>
        </w:rPr>
        <w:t>La figure 2 de Gans reproduite ci</w:t>
      </w:r>
      <w:r w:rsidR="0082449C">
        <w:rPr>
          <w:szCs w:val="22"/>
          <w:lang w:val="fr-FR"/>
        </w:rPr>
        <w:t>-</w:t>
      </w:r>
      <w:r w:rsidRPr="009D1007">
        <w:rPr>
          <w:szCs w:val="22"/>
          <w:lang w:val="fr-FR"/>
        </w:rPr>
        <w:t>dessous est révélatrice.</w:t>
      </w:r>
    </w:p>
    <w:p w:rsidR="00F43A28" w:rsidRPr="009D1007" w:rsidRDefault="00F43A28" w:rsidP="00F43A28">
      <w:pPr>
        <w:rPr>
          <w:szCs w:val="22"/>
          <w:lang w:val="fr-FR"/>
        </w:rPr>
      </w:pPr>
      <w:r w:rsidRPr="009D1007">
        <w:rPr>
          <w:szCs w:val="22"/>
          <w:lang w:val="fr-FR"/>
        </w:rPr>
        <w:t xml:space="preserve">Figure 2 </w:t>
      </w:r>
      <w:r w:rsidRPr="009D1007">
        <w:rPr>
          <w:szCs w:val="22"/>
          <w:lang w:val="fr-FR"/>
        </w:rPr>
        <w:tab/>
        <w:t>Répartition de l</w:t>
      </w:r>
      <w:r w:rsidR="0082449C">
        <w:rPr>
          <w:szCs w:val="22"/>
          <w:lang w:val="fr-FR"/>
        </w:rPr>
        <w:t>’</w:t>
      </w:r>
      <w:r w:rsidRPr="009D1007">
        <w:rPr>
          <w:szCs w:val="22"/>
          <w:lang w:val="fr-FR"/>
        </w:rPr>
        <w:t>écart entre la date de délivrance d</w:t>
      </w:r>
      <w:r w:rsidR="0082449C">
        <w:rPr>
          <w:szCs w:val="22"/>
          <w:lang w:val="fr-FR"/>
        </w:rPr>
        <w:t>’</w:t>
      </w:r>
      <w:r w:rsidRPr="009D1007">
        <w:rPr>
          <w:szCs w:val="22"/>
          <w:lang w:val="fr-FR"/>
        </w:rPr>
        <w:t>un brevet et la date de concession d</w:t>
      </w:r>
      <w:r w:rsidR="0082449C">
        <w:rPr>
          <w:szCs w:val="22"/>
          <w:lang w:val="fr-FR"/>
        </w:rPr>
        <w:t>’</w:t>
      </w:r>
      <w:r w:rsidRPr="009D1007">
        <w:rPr>
          <w:szCs w:val="22"/>
          <w:lang w:val="fr-FR"/>
        </w:rPr>
        <w:t>une licence</w:t>
      </w:r>
    </w:p>
    <w:p w:rsidR="00F43A28" w:rsidRPr="009D1007" w:rsidRDefault="00F43A28" w:rsidP="00F43A28">
      <w:pPr>
        <w:jc w:val="center"/>
        <w:rPr>
          <w:szCs w:val="22"/>
          <w:lang w:val="fr-FR"/>
        </w:rPr>
      </w:pPr>
      <w:r w:rsidRPr="009D1007">
        <w:rPr>
          <w:noProof/>
          <w:szCs w:val="22"/>
          <w:lang w:val="fr-CH" w:eastAsia="fr-CH"/>
        </w:rPr>
        <w:drawing>
          <wp:inline distT="0" distB="0" distL="0" distR="0" wp14:anchorId="03BB8E71" wp14:editId="4D5447A9">
            <wp:extent cx="3908636" cy="3064213"/>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33088" cy="3083382"/>
                    </a:xfrm>
                    <a:prstGeom prst="rect">
                      <a:avLst/>
                    </a:prstGeom>
                    <a:noFill/>
                    <a:ln>
                      <a:noFill/>
                    </a:ln>
                  </pic:spPr>
                </pic:pic>
              </a:graphicData>
            </a:graphic>
          </wp:inline>
        </w:drawing>
      </w:r>
    </w:p>
    <w:p w:rsidR="00F43A28" w:rsidRPr="009D1007" w:rsidRDefault="00F43A28" w:rsidP="00F43A28">
      <w:pPr>
        <w:jc w:val="center"/>
        <w:rPr>
          <w:rFonts w:ascii="Times New Roman" w:hAnsi="Times New Roman" w:cs="Times New Roman"/>
          <w:szCs w:val="22"/>
          <w:lang w:val="fr-FR"/>
        </w:rPr>
      </w:pPr>
      <w:r w:rsidRPr="009D1007">
        <w:rPr>
          <w:rFonts w:ascii="Times New Roman" w:hAnsi="Times New Roman" w:cs="Times New Roman"/>
          <w:szCs w:val="22"/>
          <w:lang w:val="fr-FR"/>
        </w:rPr>
        <w:t>Fréquence</w:t>
      </w:r>
    </w:p>
    <w:p w:rsidR="00F43A28" w:rsidRPr="009D1007" w:rsidRDefault="00F43A28" w:rsidP="00F43A28">
      <w:pPr>
        <w:spacing w:after="180"/>
        <w:jc w:val="center"/>
        <w:rPr>
          <w:rFonts w:ascii="Times New Roman" w:hAnsi="Times New Roman" w:cs="Times New Roman"/>
          <w:szCs w:val="22"/>
          <w:lang w:val="fr-FR"/>
        </w:rPr>
      </w:pPr>
      <w:r w:rsidRPr="009D1007">
        <w:rPr>
          <w:rFonts w:ascii="Times New Roman" w:hAnsi="Times New Roman" w:cs="Times New Roman"/>
          <w:szCs w:val="22"/>
          <w:lang w:val="fr-FR"/>
        </w:rPr>
        <w:t>Date de concession de la licence – date de délivrance du brevet (en mois)</w:t>
      </w:r>
    </w:p>
    <w:p w:rsidR="00F43A28" w:rsidRPr="009D1007" w:rsidRDefault="00F43A28" w:rsidP="00F43A28">
      <w:pPr>
        <w:spacing w:after="180"/>
        <w:rPr>
          <w:szCs w:val="22"/>
          <w:lang w:val="fr-FR"/>
        </w:rPr>
      </w:pPr>
      <w:r w:rsidRPr="009D1007">
        <w:rPr>
          <w:szCs w:val="22"/>
          <w:lang w:val="fr-FR"/>
        </w:rPr>
        <w:t>La figure 2 illustre la répartition de l</w:t>
      </w:r>
      <w:r w:rsidR="0082449C">
        <w:rPr>
          <w:szCs w:val="22"/>
          <w:lang w:val="fr-FR"/>
        </w:rPr>
        <w:t>’</w:t>
      </w:r>
      <w:r w:rsidRPr="009D1007">
        <w:rPr>
          <w:szCs w:val="22"/>
          <w:lang w:val="fr-FR"/>
        </w:rPr>
        <w:t>écart entre le délai de délivrance des brevets et le délai de concession des licences</w:t>
      </w:r>
      <w:r w:rsidR="00B5502A">
        <w:rPr>
          <w:szCs w:val="22"/>
          <w:lang w:val="fr-FR"/>
        </w:rPr>
        <w:t xml:space="preserve">.  </w:t>
      </w:r>
      <w:r w:rsidRPr="009D1007">
        <w:rPr>
          <w:szCs w:val="22"/>
          <w:lang w:val="fr-FR"/>
        </w:rPr>
        <w:t>Les données à gauche du zéro se rapportent aux contrats de licence conclus avant la délivrance du brevet et celles situées à droite correspondent à des licences conclues après la délivrance</w:t>
      </w:r>
      <w:r w:rsidRPr="009D1007">
        <w:rPr>
          <w:rStyle w:val="Appelnotedebasdep"/>
          <w:szCs w:val="22"/>
          <w:lang w:val="fr-FR"/>
        </w:rPr>
        <w:footnoteReference w:id="34"/>
      </w:r>
      <w:r w:rsidRPr="009D1007">
        <w:rPr>
          <w:szCs w:val="22"/>
          <w:lang w:val="fr-FR"/>
        </w:rPr>
        <w:t>.</w:t>
      </w:r>
    </w:p>
    <w:p w:rsidR="00F43A28" w:rsidRPr="009D1007" w:rsidRDefault="00F43A28" w:rsidP="00F43A28">
      <w:pPr>
        <w:spacing w:after="180"/>
        <w:rPr>
          <w:szCs w:val="22"/>
          <w:lang w:val="fr-FR"/>
        </w:rPr>
      </w:pPr>
      <w:r w:rsidRPr="009D1007">
        <w:rPr>
          <w:szCs w:val="22"/>
          <w:lang w:val="fr-FR"/>
        </w:rPr>
        <w:t>Il est important de noter que la figure 2 montre une augmentation nette du nombre de licences au moment où le brevet est délivré</w:t>
      </w:r>
      <w:r w:rsidRPr="009D1007">
        <w:rPr>
          <w:szCs w:val="22"/>
          <w:vertAlign w:val="superscript"/>
          <w:lang w:val="fr-FR"/>
        </w:rPr>
        <w:footnoteReference w:id="35"/>
      </w:r>
      <w:r w:rsidR="00B5502A">
        <w:rPr>
          <w:szCs w:val="22"/>
          <w:lang w:val="fr-FR"/>
        </w:rPr>
        <w:t xml:space="preserve">.  </w:t>
      </w:r>
      <w:r w:rsidRPr="009D1007">
        <w:rPr>
          <w:szCs w:val="22"/>
          <w:lang w:val="fr-FR"/>
        </w:rPr>
        <w:t>Toutefois, si les nouvelles exigences en matière de divulgation sont adoptées, le traitement des demandes et la délivrance des brevets pourraient être retardés, ce qui réduirait la probabilité de concéder des licences</w:t>
      </w:r>
      <w:r w:rsidR="00B5502A">
        <w:rPr>
          <w:szCs w:val="22"/>
          <w:lang w:val="fr-FR"/>
        </w:rPr>
        <w:t xml:space="preserve">.  </w:t>
      </w:r>
      <w:r w:rsidRPr="009D1007">
        <w:rPr>
          <w:szCs w:val="22"/>
          <w:lang w:val="fr-FR"/>
        </w:rPr>
        <w:t>De plus, ces demandes de brevet et ces brevets pourraient avoir une valeur inférieure sur le marché en raison des risques de rejet fondé sur la divulgation et de contestation après la délivrance</w:t>
      </w:r>
      <w:r w:rsidR="00B5502A">
        <w:rPr>
          <w:szCs w:val="22"/>
          <w:lang w:val="fr-FR"/>
        </w:rPr>
        <w:t xml:space="preserve">.  </w:t>
      </w:r>
      <w:r w:rsidRPr="009D1007">
        <w:rPr>
          <w:szCs w:val="22"/>
          <w:lang w:val="fr-FR"/>
        </w:rPr>
        <w:t>En effet, une étude précédente de Gans a révélé que “les jeunes entreprises sont davantage susceptibles de concéder une licence (ou d</w:t>
      </w:r>
      <w:r w:rsidR="0082449C">
        <w:rPr>
          <w:szCs w:val="22"/>
          <w:lang w:val="fr-FR"/>
        </w:rPr>
        <w:t>’</w:t>
      </w:r>
      <w:r w:rsidRPr="009D1007">
        <w:rPr>
          <w:szCs w:val="22"/>
          <w:lang w:val="fr-FR"/>
        </w:rPr>
        <w:t>être rachetées) si elles sont titulaires d</w:t>
      </w:r>
      <w:r w:rsidR="0082449C">
        <w:rPr>
          <w:szCs w:val="22"/>
          <w:lang w:val="fr-FR"/>
        </w:rPr>
        <w:t>’</w:t>
      </w:r>
      <w:r w:rsidRPr="009D1007">
        <w:rPr>
          <w:szCs w:val="22"/>
          <w:lang w:val="fr-FR"/>
        </w:rPr>
        <w:t>un ou plusieurs brevets ou si elles considèrent que la protection par brevet est relativement “efficace”</w:t>
      </w:r>
      <w:r w:rsidR="00B5502A">
        <w:rPr>
          <w:szCs w:val="22"/>
          <w:lang w:val="fr-FR"/>
        </w:rPr>
        <w:t xml:space="preserve">.  </w:t>
      </w:r>
      <w:r w:rsidRPr="009D1007">
        <w:rPr>
          <w:szCs w:val="22"/>
          <w:lang w:val="fr-FR"/>
        </w:rPr>
        <w:t>Mais… lorsque la protection par brevet est inefficace parce que… des brevets peu clairs rendent l</w:t>
      </w:r>
      <w:r w:rsidR="0082449C">
        <w:rPr>
          <w:szCs w:val="22"/>
          <w:lang w:val="fr-FR"/>
        </w:rPr>
        <w:t>’</w:t>
      </w:r>
      <w:r w:rsidRPr="009D1007">
        <w:rPr>
          <w:szCs w:val="22"/>
          <w:lang w:val="fr-FR"/>
        </w:rPr>
        <w:t>application des droits incertaine, il y a moins de chances de conclure une licence soit accordée.”</w:t>
      </w:r>
      <w:r w:rsidRPr="009D1007">
        <w:rPr>
          <w:szCs w:val="22"/>
          <w:vertAlign w:val="superscript"/>
          <w:lang w:val="fr-FR"/>
        </w:rPr>
        <w:footnoteReference w:id="36"/>
      </w:r>
    </w:p>
    <w:p w:rsidR="00F43A28" w:rsidRPr="009D1007" w:rsidRDefault="00F43A28" w:rsidP="00F43A28">
      <w:pPr>
        <w:keepNext/>
        <w:keepLines/>
        <w:spacing w:after="180"/>
        <w:rPr>
          <w:szCs w:val="22"/>
          <w:lang w:val="fr-FR"/>
        </w:rPr>
      </w:pPr>
      <w:r w:rsidRPr="009D1007">
        <w:rPr>
          <w:szCs w:val="22"/>
          <w:lang w:val="fr-FR"/>
        </w:rPr>
        <w:t>“Les investisseurs privés ne seront pas enclins à investir dans la production de connaissances s</w:t>
      </w:r>
      <w:r w:rsidR="0082449C">
        <w:rPr>
          <w:szCs w:val="22"/>
          <w:lang w:val="fr-FR"/>
        </w:rPr>
        <w:t>’</w:t>
      </w:r>
      <w:r w:rsidRPr="009D1007">
        <w:rPr>
          <w:szCs w:val="22"/>
          <w:lang w:val="fr-FR"/>
        </w:rPr>
        <w:t>ils n</w:t>
      </w:r>
      <w:r w:rsidR="0082449C">
        <w:rPr>
          <w:szCs w:val="22"/>
          <w:lang w:val="fr-FR"/>
        </w:rPr>
        <w:t>’</w:t>
      </w:r>
      <w:r w:rsidRPr="009D1007">
        <w:rPr>
          <w:szCs w:val="22"/>
          <w:lang w:val="fr-FR"/>
        </w:rPr>
        <w:t>y voient pas une opportunité… d</w:t>
      </w:r>
      <w:r w:rsidR="0082449C">
        <w:rPr>
          <w:szCs w:val="22"/>
          <w:lang w:val="fr-FR"/>
        </w:rPr>
        <w:t>’</w:t>
      </w:r>
      <w:r w:rsidRPr="009D1007">
        <w:rPr>
          <w:szCs w:val="22"/>
          <w:lang w:val="fr-FR"/>
        </w:rPr>
        <w:t>obtenir un retour sur investissement satisfaisant”</w:t>
      </w:r>
      <w:r w:rsidRPr="009D1007">
        <w:rPr>
          <w:szCs w:val="22"/>
          <w:vertAlign w:val="superscript"/>
          <w:lang w:val="fr-FR"/>
        </w:rPr>
        <w:footnoteReference w:id="37"/>
      </w:r>
      <w:r w:rsidR="00B5502A">
        <w:rPr>
          <w:szCs w:val="22"/>
          <w:lang w:val="fr-FR"/>
        </w:rPr>
        <w:t xml:space="preserve">.  </w:t>
      </w:r>
      <w:r w:rsidRPr="009D1007">
        <w:rPr>
          <w:szCs w:val="22"/>
          <w:lang w:val="fr-FR"/>
        </w:rPr>
        <w:t>Par conséquent, l</w:t>
      </w:r>
      <w:r w:rsidR="0082449C">
        <w:rPr>
          <w:szCs w:val="22"/>
          <w:lang w:val="fr-FR"/>
        </w:rPr>
        <w:t>’</w:t>
      </w:r>
      <w:r w:rsidRPr="009D1007">
        <w:rPr>
          <w:szCs w:val="22"/>
          <w:lang w:val="fr-FR"/>
        </w:rPr>
        <w:t>incertitude quant aux retombées commerciales futures joue un rôle crucial dans la décision d</w:t>
      </w:r>
      <w:r w:rsidR="0082449C">
        <w:rPr>
          <w:szCs w:val="22"/>
          <w:lang w:val="fr-FR"/>
        </w:rPr>
        <w:t>’</w:t>
      </w:r>
      <w:r w:rsidRPr="009D1007">
        <w:rPr>
          <w:szCs w:val="22"/>
          <w:lang w:val="fr-FR"/>
        </w:rPr>
        <w:t>investir dans la recherche</w:t>
      </w:r>
      <w:r w:rsidR="0082449C">
        <w:rPr>
          <w:szCs w:val="22"/>
          <w:lang w:val="fr-FR"/>
        </w:rPr>
        <w:t>-</w:t>
      </w:r>
      <w:r w:rsidRPr="009D1007">
        <w:rPr>
          <w:szCs w:val="22"/>
          <w:lang w:val="fr-FR"/>
        </w:rPr>
        <w:t>développement</w:t>
      </w:r>
      <w:r w:rsidRPr="009D1007">
        <w:rPr>
          <w:szCs w:val="22"/>
          <w:vertAlign w:val="superscript"/>
          <w:lang w:val="fr-FR"/>
        </w:rPr>
        <w:footnoteReference w:id="38"/>
      </w:r>
      <w:r w:rsidR="00B5502A">
        <w:rPr>
          <w:szCs w:val="22"/>
          <w:lang w:val="fr-FR"/>
        </w:rPr>
        <w:t xml:space="preserve">.  </w:t>
      </w:r>
      <w:r w:rsidRPr="009D1007">
        <w:rPr>
          <w:szCs w:val="22"/>
          <w:lang w:val="fr-FR"/>
        </w:rPr>
        <w:t>Une étude dirigée par Dirk Czarnitzki montre que le niveau des investissements dans la recherche</w:t>
      </w:r>
      <w:r w:rsidR="0082449C">
        <w:rPr>
          <w:szCs w:val="22"/>
          <w:lang w:val="fr-FR"/>
        </w:rPr>
        <w:t>-</w:t>
      </w:r>
      <w:r w:rsidRPr="009D1007">
        <w:rPr>
          <w:szCs w:val="22"/>
          <w:lang w:val="fr-FR"/>
        </w:rPr>
        <w:t>développement diminue à mesure que le degré d</w:t>
      </w:r>
      <w:r w:rsidR="0082449C">
        <w:rPr>
          <w:szCs w:val="22"/>
          <w:lang w:val="fr-FR"/>
        </w:rPr>
        <w:t>’</w:t>
      </w:r>
      <w:r w:rsidRPr="009D1007">
        <w:rPr>
          <w:szCs w:val="22"/>
          <w:lang w:val="fr-FR"/>
        </w:rPr>
        <w:t>incertitude quant aux dividendes de l</w:t>
      </w:r>
      <w:r w:rsidR="0082449C">
        <w:rPr>
          <w:szCs w:val="22"/>
          <w:lang w:val="fr-FR"/>
        </w:rPr>
        <w:t>’</w:t>
      </w:r>
      <w:r w:rsidRPr="009D1007">
        <w:rPr>
          <w:szCs w:val="22"/>
          <w:lang w:val="fr-FR"/>
        </w:rPr>
        <w:t>innovation augmente</w:t>
      </w:r>
      <w:r w:rsidRPr="009D1007">
        <w:rPr>
          <w:rStyle w:val="Appelnotedebasdep"/>
          <w:szCs w:val="22"/>
          <w:lang w:val="fr-FR"/>
        </w:rPr>
        <w:footnoteReference w:id="39"/>
      </w:r>
      <w:r w:rsidR="00B5502A">
        <w:rPr>
          <w:szCs w:val="22"/>
          <w:lang w:val="fr-FR"/>
        </w:rPr>
        <w:t xml:space="preserve">.  </w:t>
      </w:r>
      <w:r w:rsidRPr="009D1007">
        <w:rPr>
          <w:szCs w:val="22"/>
          <w:lang w:val="fr-FR"/>
        </w:rPr>
        <w:t>Czarnitzki a étudié 566 entreprises innovantes sur plusieurs années en s</w:t>
      </w:r>
      <w:r w:rsidR="0082449C">
        <w:rPr>
          <w:szCs w:val="22"/>
          <w:lang w:val="fr-FR"/>
        </w:rPr>
        <w:t>’</w:t>
      </w:r>
      <w:r w:rsidRPr="009D1007">
        <w:rPr>
          <w:szCs w:val="22"/>
          <w:lang w:val="fr-FR"/>
        </w:rPr>
        <w:t>appuyant notamment sur le Mannheim Innovation Panel (MIP) (une enquête de longue date sur les entreprises européennes) et sur les données de l</w:t>
      </w:r>
      <w:r w:rsidR="0082449C">
        <w:rPr>
          <w:szCs w:val="22"/>
          <w:lang w:val="fr-FR"/>
        </w:rPr>
        <w:t>’</w:t>
      </w:r>
      <w:r w:rsidRPr="009D1007">
        <w:rPr>
          <w:szCs w:val="22"/>
          <w:lang w:val="fr-FR"/>
        </w:rPr>
        <w:t>Office allemand des brevets et des marques concernant la prise de brevets par les entreprises</w:t>
      </w:r>
      <w:r w:rsidRPr="009D1007">
        <w:rPr>
          <w:rStyle w:val="Appelnotedebasdep"/>
          <w:szCs w:val="22"/>
          <w:lang w:val="fr-FR"/>
        </w:rPr>
        <w:footnoteReference w:id="40"/>
      </w:r>
      <w:r w:rsidR="00B5502A">
        <w:rPr>
          <w:szCs w:val="22"/>
          <w:lang w:val="fr-FR"/>
        </w:rPr>
        <w:t xml:space="preserve">.  </w:t>
      </w:r>
      <w:r w:rsidRPr="009D1007">
        <w:rPr>
          <w:szCs w:val="22"/>
          <w:lang w:val="fr-FR"/>
        </w:rPr>
        <w:t>Dans les modèles à effets mixtes comme dans les modèles à effets aléatoires, Czarnitzki a constaté que l</w:t>
      </w:r>
      <w:r w:rsidR="0082449C">
        <w:rPr>
          <w:szCs w:val="22"/>
          <w:lang w:val="fr-FR"/>
        </w:rPr>
        <w:t>’</w:t>
      </w:r>
      <w:r w:rsidRPr="009D1007">
        <w:rPr>
          <w:szCs w:val="22"/>
          <w:lang w:val="fr-FR"/>
        </w:rPr>
        <w:t>incertitude sur les marchés des nouveaux produits réduisait considérablement l</w:t>
      </w:r>
      <w:r w:rsidR="0082449C">
        <w:rPr>
          <w:szCs w:val="22"/>
          <w:lang w:val="fr-FR"/>
        </w:rPr>
        <w:t>’</w:t>
      </w:r>
      <w:r w:rsidRPr="009D1007">
        <w:rPr>
          <w:szCs w:val="22"/>
          <w:lang w:val="fr-FR"/>
        </w:rPr>
        <w:t>investissement dans la recherche</w:t>
      </w:r>
      <w:r w:rsidR="0082449C">
        <w:rPr>
          <w:szCs w:val="22"/>
          <w:lang w:val="fr-FR"/>
        </w:rPr>
        <w:t>-</w:t>
      </w:r>
      <w:r w:rsidRPr="009D1007">
        <w:rPr>
          <w:szCs w:val="22"/>
          <w:lang w:val="fr-FR"/>
        </w:rPr>
        <w:t>développement au niveau des entreprises</w:t>
      </w:r>
      <w:r w:rsidRPr="009D1007">
        <w:rPr>
          <w:rStyle w:val="Appelnotedebasdep"/>
          <w:szCs w:val="22"/>
          <w:lang w:val="fr-FR"/>
        </w:rPr>
        <w:footnoteReference w:id="41"/>
      </w:r>
      <w:r w:rsidR="00B5502A">
        <w:rPr>
          <w:szCs w:val="22"/>
          <w:lang w:val="fr-FR"/>
        </w:rPr>
        <w:t xml:space="preserve">.  </w:t>
      </w:r>
      <w:r w:rsidRPr="009D1007">
        <w:rPr>
          <w:szCs w:val="22"/>
          <w:lang w:val="fr-FR"/>
        </w:rPr>
        <w:t>Par exemple, avec le modèle mixte B, Czarnitzki a constaté qu</w:t>
      </w:r>
      <w:r w:rsidR="0082449C">
        <w:rPr>
          <w:szCs w:val="22"/>
          <w:lang w:val="fr-FR"/>
        </w:rPr>
        <w:t>’</w:t>
      </w:r>
      <w:r w:rsidRPr="009D1007">
        <w:rPr>
          <w:szCs w:val="22"/>
          <w:lang w:val="fr-FR"/>
        </w:rPr>
        <w:t>une augmentation de 10% de l</w:t>
      </w:r>
      <w:r w:rsidR="0082449C">
        <w:rPr>
          <w:szCs w:val="22"/>
          <w:lang w:val="fr-FR"/>
        </w:rPr>
        <w:t>’</w:t>
      </w:r>
      <w:r w:rsidRPr="009D1007">
        <w:rPr>
          <w:szCs w:val="22"/>
          <w:lang w:val="fr-FR"/>
        </w:rPr>
        <w:t>incertitude provoquait une réduction de 23% de l</w:t>
      </w:r>
      <w:r w:rsidR="0082449C">
        <w:rPr>
          <w:szCs w:val="22"/>
          <w:lang w:val="fr-FR"/>
        </w:rPr>
        <w:t>’</w:t>
      </w:r>
      <w:r w:rsidRPr="009D1007">
        <w:rPr>
          <w:szCs w:val="22"/>
          <w:lang w:val="fr-FR"/>
        </w:rPr>
        <w:t>investissement dans la recherche</w:t>
      </w:r>
      <w:r w:rsidR="0082449C">
        <w:rPr>
          <w:szCs w:val="22"/>
          <w:lang w:val="fr-FR"/>
        </w:rPr>
        <w:t>-</w:t>
      </w:r>
      <w:r w:rsidRPr="009D1007">
        <w:rPr>
          <w:szCs w:val="22"/>
          <w:lang w:val="fr-FR"/>
        </w:rPr>
        <w:t>développement</w:t>
      </w:r>
      <w:r w:rsidRPr="009D1007">
        <w:rPr>
          <w:rStyle w:val="Appelnotedebasdep"/>
          <w:szCs w:val="22"/>
          <w:lang w:val="fr-FR"/>
        </w:rPr>
        <w:footnoteReference w:id="42"/>
      </w:r>
      <w:r w:rsidRPr="009D1007">
        <w:rPr>
          <w:szCs w:val="22"/>
          <w:lang w:val="fr-FR"/>
        </w:rPr>
        <w:t>.</w:t>
      </w:r>
    </w:p>
    <w:p w:rsidR="00F43A28" w:rsidRPr="009D1007" w:rsidRDefault="00F43A28" w:rsidP="00F43A28">
      <w:pPr>
        <w:spacing w:after="180"/>
        <w:rPr>
          <w:szCs w:val="22"/>
          <w:lang w:val="fr-FR"/>
        </w:rPr>
      </w:pPr>
      <w:r w:rsidRPr="009D1007">
        <w:rPr>
          <w:szCs w:val="22"/>
          <w:lang w:val="fr-FR"/>
        </w:rPr>
        <w:t>Bien que Czarnitzki ait également constaté que la protection par brevet atténuait l</w:t>
      </w:r>
      <w:r w:rsidR="0082449C">
        <w:rPr>
          <w:szCs w:val="22"/>
          <w:lang w:val="fr-FR"/>
        </w:rPr>
        <w:t>’</w:t>
      </w:r>
      <w:r w:rsidRPr="009D1007">
        <w:rPr>
          <w:szCs w:val="22"/>
          <w:lang w:val="fr-FR"/>
        </w:rPr>
        <w:t>influence de l</w:t>
      </w:r>
      <w:r w:rsidR="0082449C">
        <w:rPr>
          <w:szCs w:val="22"/>
          <w:lang w:val="fr-FR"/>
        </w:rPr>
        <w:t>’</w:t>
      </w:r>
      <w:r w:rsidRPr="009D1007">
        <w:rPr>
          <w:szCs w:val="22"/>
          <w:lang w:val="fr-FR"/>
        </w:rPr>
        <w:t>incertitude sur les décisions des entreprises en matière de recherche</w:t>
      </w:r>
      <w:r w:rsidR="0082449C">
        <w:rPr>
          <w:szCs w:val="22"/>
          <w:lang w:val="fr-FR"/>
        </w:rPr>
        <w:t>-</w:t>
      </w:r>
      <w:r w:rsidRPr="009D1007">
        <w:rPr>
          <w:szCs w:val="22"/>
          <w:lang w:val="fr-FR"/>
        </w:rPr>
        <w:t>développement, “lorsque le brevet n</w:t>
      </w:r>
      <w:r w:rsidR="0082449C">
        <w:rPr>
          <w:szCs w:val="22"/>
          <w:lang w:val="fr-FR"/>
        </w:rPr>
        <w:t>’</w:t>
      </w:r>
      <w:r w:rsidRPr="009D1007">
        <w:rPr>
          <w:szCs w:val="22"/>
          <w:lang w:val="fr-FR"/>
        </w:rPr>
        <w:t>est pas un moyen de protection efficace, il ne peut atténuer l</w:t>
      </w:r>
      <w:r w:rsidR="0082449C">
        <w:rPr>
          <w:szCs w:val="22"/>
          <w:lang w:val="fr-FR"/>
        </w:rPr>
        <w:t>’</w:t>
      </w:r>
      <w:r w:rsidRPr="009D1007">
        <w:rPr>
          <w:szCs w:val="22"/>
          <w:lang w:val="fr-FR"/>
        </w:rPr>
        <w:t>effet de l</w:t>
      </w:r>
      <w:r w:rsidR="0082449C">
        <w:rPr>
          <w:szCs w:val="22"/>
          <w:lang w:val="fr-FR"/>
        </w:rPr>
        <w:t>’</w:t>
      </w:r>
      <w:r w:rsidRPr="009D1007">
        <w:rPr>
          <w:szCs w:val="22"/>
          <w:lang w:val="fr-FR"/>
        </w:rPr>
        <w:t>incertitude quant aux débouchés pour le produit”</w:t>
      </w:r>
      <w:r w:rsidRPr="009D1007">
        <w:rPr>
          <w:szCs w:val="22"/>
          <w:vertAlign w:val="superscript"/>
          <w:lang w:val="fr-FR"/>
        </w:rPr>
        <w:footnoteReference w:id="43"/>
      </w:r>
      <w:r w:rsidR="00B5502A">
        <w:rPr>
          <w:szCs w:val="22"/>
          <w:lang w:val="fr-FR"/>
        </w:rPr>
        <w:t xml:space="preserve">.  </w:t>
      </w:r>
      <w:r w:rsidRPr="009D1007">
        <w:rPr>
          <w:szCs w:val="22"/>
          <w:lang w:val="fr-FR"/>
        </w:rPr>
        <w:t>En d</w:t>
      </w:r>
      <w:r w:rsidR="0082449C">
        <w:rPr>
          <w:szCs w:val="22"/>
          <w:lang w:val="fr-FR"/>
        </w:rPr>
        <w:t>’</w:t>
      </w:r>
      <w:r w:rsidRPr="009D1007">
        <w:rPr>
          <w:szCs w:val="22"/>
          <w:lang w:val="fr-FR"/>
        </w:rPr>
        <w:t>autres termes, un brevet dont la valeur est incertaine, par exemple en raison de la nouvelle exigence de divulgation, n</w:t>
      </w:r>
      <w:r w:rsidR="0082449C">
        <w:rPr>
          <w:szCs w:val="22"/>
          <w:lang w:val="fr-FR"/>
        </w:rPr>
        <w:t>’</w:t>
      </w:r>
      <w:r w:rsidRPr="009D1007">
        <w:rPr>
          <w:szCs w:val="22"/>
          <w:lang w:val="fr-FR"/>
        </w:rPr>
        <w:t>atténuerait probablement pas l</w:t>
      </w:r>
      <w:r w:rsidR="0082449C">
        <w:rPr>
          <w:szCs w:val="22"/>
          <w:lang w:val="fr-FR"/>
        </w:rPr>
        <w:t>’</w:t>
      </w:r>
      <w:r w:rsidRPr="009D1007">
        <w:rPr>
          <w:szCs w:val="22"/>
          <w:lang w:val="fr-FR"/>
        </w:rPr>
        <w:t>influence de l</w:t>
      </w:r>
      <w:r w:rsidR="0082449C">
        <w:rPr>
          <w:szCs w:val="22"/>
          <w:lang w:val="fr-FR"/>
        </w:rPr>
        <w:t>’</w:t>
      </w:r>
      <w:r w:rsidRPr="009D1007">
        <w:rPr>
          <w:szCs w:val="22"/>
          <w:lang w:val="fr-FR"/>
        </w:rPr>
        <w:t>incertitude sur la décision d</w:t>
      </w:r>
      <w:r w:rsidR="0082449C">
        <w:rPr>
          <w:szCs w:val="22"/>
          <w:lang w:val="fr-FR"/>
        </w:rPr>
        <w:t>’</w:t>
      </w:r>
      <w:r w:rsidRPr="009D1007">
        <w:rPr>
          <w:szCs w:val="22"/>
          <w:lang w:val="fr-FR"/>
        </w:rPr>
        <w:t>une entreprise en matière de recherche</w:t>
      </w:r>
      <w:r w:rsidR="0082449C">
        <w:rPr>
          <w:szCs w:val="22"/>
          <w:lang w:val="fr-FR"/>
        </w:rPr>
        <w:t>-</w:t>
      </w:r>
      <w:r w:rsidRPr="009D1007">
        <w:rPr>
          <w:szCs w:val="22"/>
          <w:lang w:val="fr-FR"/>
        </w:rPr>
        <w:t>développement.</w:t>
      </w:r>
    </w:p>
    <w:p w:rsidR="00F43A28" w:rsidRPr="009D1007" w:rsidRDefault="00F43A28" w:rsidP="00F43A28">
      <w:pPr>
        <w:spacing w:after="220"/>
        <w:rPr>
          <w:szCs w:val="22"/>
          <w:lang w:val="fr-FR"/>
        </w:rPr>
      </w:pPr>
      <w:r w:rsidRPr="009D1007">
        <w:rPr>
          <w:szCs w:val="22"/>
          <w:lang w:val="fr-FR"/>
        </w:rPr>
        <w:t>L</w:t>
      </w:r>
      <w:r w:rsidR="0082449C">
        <w:rPr>
          <w:szCs w:val="22"/>
          <w:lang w:val="fr-FR"/>
        </w:rPr>
        <w:t>’</w:t>
      </w:r>
      <w:r w:rsidRPr="009D1007">
        <w:rPr>
          <w:szCs w:val="22"/>
          <w:lang w:val="fr-FR"/>
        </w:rPr>
        <w:t>étude de Czarnitzki suggère que, face à l</w:t>
      </w:r>
      <w:r w:rsidR="0082449C">
        <w:rPr>
          <w:szCs w:val="22"/>
          <w:lang w:val="fr-FR"/>
        </w:rPr>
        <w:t>’</w:t>
      </w:r>
      <w:r w:rsidRPr="009D1007">
        <w:rPr>
          <w:szCs w:val="22"/>
          <w:lang w:val="fr-FR"/>
        </w:rPr>
        <w:t>incertitude, les entreprises sont davantage susceptibles de renoncer à la recherche</w:t>
      </w:r>
      <w:r w:rsidR="0082449C">
        <w:rPr>
          <w:szCs w:val="22"/>
          <w:lang w:val="fr-FR"/>
        </w:rPr>
        <w:t>-</w:t>
      </w:r>
      <w:r w:rsidRPr="009D1007">
        <w:rPr>
          <w:szCs w:val="22"/>
          <w:lang w:val="fr-FR"/>
        </w:rPr>
        <w:t>développement nécessaire pour inventer et obtenir des brevets</w:t>
      </w:r>
      <w:r w:rsidR="00B5502A">
        <w:rPr>
          <w:szCs w:val="22"/>
          <w:lang w:val="fr-FR"/>
        </w:rPr>
        <w:t xml:space="preserve">.  </w:t>
      </w:r>
      <w:r w:rsidRPr="009D1007">
        <w:rPr>
          <w:szCs w:val="22"/>
          <w:lang w:val="fr-FR"/>
        </w:rPr>
        <w:t>En conséquence, elles peuvent être amenées à s</w:t>
      </w:r>
      <w:r w:rsidR="0082449C">
        <w:rPr>
          <w:szCs w:val="22"/>
          <w:lang w:val="fr-FR"/>
        </w:rPr>
        <w:t>’</w:t>
      </w:r>
      <w:r w:rsidRPr="009D1007">
        <w:rPr>
          <w:szCs w:val="22"/>
          <w:lang w:val="fr-FR"/>
        </w:rPr>
        <w:t>en remettre à des formes de protection de la propriété intellectuelle plus faibles et sans divulgation, comme les secrets d</w:t>
      </w:r>
      <w:r w:rsidR="0082449C">
        <w:rPr>
          <w:szCs w:val="22"/>
          <w:lang w:val="fr-FR"/>
        </w:rPr>
        <w:t>’</w:t>
      </w:r>
      <w:r w:rsidRPr="009D1007">
        <w:rPr>
          <w:szCs w:val="22"/>
          <w:lang w:val="fr-FR"/>
        </w:rPr>
        <w:t>affaires</w:t>
      </w:r>
      <w:r w:rsidR="00B5502A">
        <w:rPr>
          <w:szCs w:val="22"/>
          <w:lang w:val="fr-FR"/>
        </w:rPr>
        <w:t xml:space="preserve">.  </w:t>
      </w:r>
      <w:r w:rsidRPr="009D1007">
        <w:rPr>
          <w:szCs w:val="22"/>
          <w:lang w:val="fr-FR"/>
        </w:rPr>
        <w:t>Pire encore, les entreprises peuvent décider de moins innover et de se fier aux recherches de leurs concurrents, au détriment du progrès scientifique et du développement industriel</w:t>
      </w:r>
      <w:r w:rsidRPr="009D1007">
        <w:rPr>
          <w:rStyle w:val="Appelnotedebasdep"/>
          <w:szCs w:val="22"/>
          <w:lang w:val="fr-FR"/>
        </w:rPr>
        <w:footnoteReference w:id="44"/>
      </w:r>
      <w:r w:rsidR="00B5502A">
        <w:rPr>
          <w:szCs w:val="22"/>
          <w:lang w:val="fr-FR"/>
        </w:rPr>
        <w:t xml:space="preserve">.  </w:t>
      </w:r>
      <w:r w:rsidRPr="009D1007">
        <w:rPr>
          <w:szCs w:val="22"/>
          <w:lang w:val="fr-FR"/>
        </w:rPr>
        <w:t xml:space="preserve">Comme les </w:t>
      </w:r>
      <w:r w:rsidR="00B5502A">
        <w:rPr>
          <w:szCs w:val="22"/>
          <w:lang w:val="fr-FR"/>
        </w:rPr>
        <w:t>États-Unis d’Amérique</w:t>
      </w:r>
      <w:r w:rsidRPr="009D1007">
        <w:rPr>
          <w:szCs w:val="22"/>
          <w:lang w:val="fr-FR"/>
        </w:rPr>
        <w:t xml:space="preserve"> l</w:t>
      </w:r>
      <w:r w:rsidR="0082449C">
        <w:rPr>
          <w:szCs w:val="22"/>
          <w:lang w:val="fr-FR"/>
        </w:rPr>
        <w:t>’</w:t>
      </w:r>
      <w:r w:rsidRPr="009D1007">
        <w:rPr>
          <w:szCs w:val="22"/>
          <w:lang w:val="fr-FR"/>
        </w:rPr>
        <w:t>ont déclaré précédemment, “[l]es nouvelles exigences de divulgation feront naître des incertitudes dans le système des brevets qui décourageront la recherche</w:t>
      </w:r>
      <w:r w:rsidR="0082449C">
        <w:rPr>
          <w:szCs w:val="22"/>
          <w:lang w:val="fr-FR"/>
        </w:rPr>
        <w:t>-</w:t>
      </w:r>
      <w:r w:rsidRPr="009D1007">
        <w:rPr>
          <w:szCs w:val="22"/>
          <w:lang w:val="fr-FR"/>
        </w:rPr>
        <w:t>développement, le recours au système des brevets et la publication correspondante des inventions qui demeureraient autrement confidentielles”</w:t>
      </w:r>
      <w:r w:rsidRPr="009D1007">
        <w:rPr>
          <w:rStyle w:val="Appelnotedebasdep"/>
          <w:szCs w:val="22"/>
          <w:lang w:val="fr-FR"/>
        </w:rPr>
        <w:footnoteReference w:id="45"/>
      </w:r>
      <w:r w:rsidRPr="009D1007">
        <w:rPr>
          <w:szCs w:val="22"/>
          <w:lang w:val="fr-FR"/>
        </w:rPr>
        <w:t>.</w:t>
      </w:r>
    </w:p>
    <w:p w:rsidR="00F43A28" w:rsidRPr="009D1007" w:rsidRDefault="00F43A28" w:rsidP="00F43A28">
      <w:pPr>
        <w:spacing w:after="220"/>
        <w:rPr>
          <w:szCs w:val="22"/>
          <w:lang w:val="fr-FR"/>
        </w:rPr>
      </w:pPr>
      <w:r w:rsidRPr="009D1007">
        <w:rPr>
          <w:szCs w:val="22"/>
          <w:lang w:val="fr-FR"/>
        </w:rPr>
        <w:t>Enfin, la présomption de validité des brevets est essentielle pour la concession de licences et la défense des droits</w:t>
      </w:r>
      <w:r w:rsidR="00B5502A">
        <w:rPr>
          <w:szCs w:val="22"/>
          <w:lang w:val="fr-FR"/>
        </w:rPr>
        <w:t xml:space="preserve">.  </w:t>
      </w:r>
      <w:r w:rsidRPr="009D1007">
        <w:rPr>
          <w:szCs w:val="22"/>
          <w:lang w:val="fr-FR"/>
        </w:rPr>
        <w:t>Dès lors que l</w:t>
      </w:r>
      <w:r w:rsidR="0082449C">
        <w:rPr>
          <w:szCs w:val="22"/>
          <w:lang w:val="fr-FR"/>
        </w:rPr>
        <w:t>’</w:t>
      </w:r>
      <w:r w:rsidRPr="009D1007">
        <w:rPr>
          <w:szCs w:val="22"/>
          <w:lang w:val="fr-FR"/>
        </w:rPr>
        <w:t>invalidation du brevet peut être prononcée en cas de non</w:t>
      </w:r>
      <w:r w:rsidR="0082449C">
        <w:rPr>
          <w:szCs w:val="22"/>
          <w:lang w:val="fr-FR"/>
        </w:rPr>
        <w:t>-</w:t>
      </w:r>
      <w:r w:rsidRPr="009D1007">
        <w:rPr>
          <w:szCs w:val="22"/>
          <w:lang w:val="fr-FR"/>
        </w:rPr>
        <w:t>respect d</w:t>
      </w:r>
      <w:r w:rsidR="0082449C">
        <w:rPr>
          <w:szCs w:val="22"/>
          <w:lang w:val="fr-FR"/>
        </w:rPr>
        <w:t>’</w:t>
      </w:r>
      <w:r w:rsidRPr="009D1007">
        <w:rPr>
          <w:szCs w:val="22"/>
          <w:lang w:val="fr-FR"/>
        </w:rPr>
        <w:t>une nouvelle exigence en matière de divulgation dans les demandes de brevet, il peut créer un “halo” d</w:t>
      </w:r>
      <w:r w:rsidR="0082449C">
        <w:rPr>
          <w:szCs w:val="22"/>
          <w:lang w:val="fr-FR"/>
        </w:rPr>
        <w:t>’</w:t>
      </w:r>
      <w:r w:rsidRPr="009D1007">
        <w:rPr>
          <w:szCs w:val="22"/>
          <w:lang w:val="fr-FR"/>
        </w:rPr>
        <w:t>incertitude qui diminue d</w:t>
      </w:r>
      <w:r w:rsidR="0082449C">
        <w:rPr>
          <w:szCs w:val="22"/>
          <w:lang w:val="fr-FR"/>
        </w:rPr>
        <w:t>’</w:t>
      </w:r>
      <w:r w:rsidRPr="009D1007">
        <w:rPr>
          <w:szCs w:val="22"/>
          <w:lang w:val="fr-FR"/>
        </w:rPr>
        <w:t>autant la valeur du brevet.</w:t>
      </w:r>
    </w:p>
    <w:p w:rsidR="00F43A28" w:rsidRPr="009D1007" w:rsidRDefault="00F43A28" w:rsidP="00F43A28">
      <w:pPr>
        <w:keepNext/>
        <w:keepLines/>
        <w:spacing w:after="220"/>
        <w:rPr>
          <w:b/>
          <w:i/>
          <w:szCs w:val="22"/>
          <w:lang w:val="fr-FR"/>
        </w:rPr>
      </w:pPr>
      <w:r w:rsidRPr="009D1007">
        <w:rPr>
          <w:b/>
          <w:i/>
          <w:szCs w:val="22"/>
          <w:lang w:val="fr-FR"/>
        </w:rPr>
        <w:t>Conclusion</w:t>
      </w:r>
    </w:p>
    <w:p w:rsidR="00F43A28" w:rsidRPr="009D1007" w:rsidRDefault="00F43A28" w:rsidP="00F43A28">
      <w:pPr>
        <w:keepNext/>
        <w:keepLines/>
        <w:rPr>
          <w:szCs w:val="22"/>
          <w:lang w:val="fr-FR"/>
        </w:rPr>
      </w:pPr>
      <w:r w:rsidRPr="009D1007">
        <w:rPr>
          <w:szCs w:val="22"/>
          <w:lang w:val="fr-FR"/>
        </w:rPr>
        <w:t xml:space="preserve">Pour les </w:t>
      </w:r>
      <w:r w:rsidR="00B5502A">
        <w:rPr>
          <w:szCs w:val="22"/>
          <w:lang w:val="fr-FR"/>
        </w:rPr>
        <w:t>États-Unis d’Amérique</w:t>
      </w:r>
      <w:r w:rsidRPr="009D1007">
        <w:rPr>
          <w:szCs w:val="22"/>
          <w:lang w:val="fr-FR"/>
        </w:rPr>
        <w:t>, les propositions relatives à de nouvelles exigences en matière de divulgation dans les demandes de brevet qui sont examinées à l</w:t>
      </w:r>
      <w:r w:rsidR="0082449C">
        <w:rPr>
          <w:szCs w:val="22"/>
          <w:lang w:val="fr-FR"/>
        </w:rPr>
        <w:t>’</w:t>
      </w:r>
      <w:r w:rsidRPr="009D1007">
        <w:rPr>
          <w:szCs w:val="22"/>
          <w:lang w:val="fr-FR"/>
        </w:rPr>
        <w:t>IGC sont source d</w:t>
      </w:r>
      <w:r w:rsidR="0082449C">
        <w:rPr>
          <w:szCs w:val="22"/>
          <w:lang w:val="fr-FR"/>
        </w:rPr>
        <w:t>’</w:t>
      </w:r>
      <w:r w:rsidRPr="009D1007">
        <w:rPr>
          <w:szCs w:val="22"/>
          <w:lang w:val="fr-FR"/>
        </w:rPr>
        <w:t>importantes préoccupations d</w:t>
      </w:r>
      <w:r w:rsidR="0082449C">
        <w:rPr>
          <w:szCs w:val="22"/>
          <w:lang w:val="fr-FR"/>
        </w:rPr>
        <w:t>’</w:t>
      </w:r>
      <w:r w:rsidRPr="009D1007">
        <w:rPr>
          <w:szCs w:val="22"/>
          <w:lang w:val="fr-FR"/>
        </w:rPr>
        <w:t>ordre économique</w:t>
      </w:r>
      <w:r w:rsidR="00B5502A">
        <w:rPr>
          <w:szCs w:val="22"/>
          <w:lang w:val="fr-FR"/>
        </w:rPr>
        <w:t xml:space="preserve">.  </w:t>
      </w:r>
      <w:r w:rsidRPr="009D1007">
        <w:rPr>
          <w:szCs w:val="22"/>
          <w:lang w:val="fr-FR"/>
        </w:rPr>
        <w:t>Ces exigences créeront dans le système des brevets une incertitude qui, au mieux, augmentera les coûts pour les inventeurs, les offices de propriété intellectuelle et le public et, au pire, limitera et découragera l</w:t>
      </w:r>
      <w:r w:rsidR="0082449C">
        <w:rPr>
          <w:szCs w:val="22"/>
          <w:lang w:val="fr-FR"/>
        </w:rPr>
        <w:t>’</w:t>
      </w:r>
      <w:r w:rsidRPr="009D1007">
        <w:rPr>
          <w:szCs w:val="22"/>
          <w:lang w:val="fr-FR"/>
        </w:rPr>
        <w:t>innovation et la divulgation publique des inventions, au détriment du progrès scientifique et technologique et du développement économique dans le monde entier</w:t>
      </w:r>
      <w:r w:rsidR="00B5502A">
        <w:rPr>
          <w:szCs w:val="22"/>
          <w:lang w:val="fr-FR"/>
        </w:rPr>
        <w:t xml:space="preserve">.  </w:t>
      </w:r>
      <w:r w:rsidRPr="009D1007">
        <w:rPr>
          <w:szCs w:val="22"/>
          <w:lang w:val="fr-FR"/>
        </w:rPr>
        <w:t xml:space="preserve">Les </w:t>
      </w:r>
      <w:r w:rsidR="00B5502A">
        <w:rPr>
          <w:szCs w:val="22"/>
          <w:lang w:val="fr-FR"/>
        </w:rPr>
        <w:t>États-Unis d’Amérique</w:t>
      </w:r>
      <w:r w:rsidRPr="009D1007">
        <w:rPr>
          <w:szCs w:val="22"/>
          <w:lang w:val="fr-FR"/>
        </w:rPr>
        <w:t xml:space="preserve"> ne sont toujours pas convaincus que les éventuels avantages qui découleraient des nouvelles exigences en matière de divulgation dans les demandes de brevet qui sont examinées par l</w:t>
      </w:r>
      <w:r w:rsidR="0082449C">
        <w:rPr>
          <w:szCs w:val="22"/>
          <w:lang w:val="fr-FR"/>
        </w:rPr>
        <w:t>’</w:t>
      </w:r>
      <w:r w:rsidRPr="009D1007">
        <w:rPr>
          <w:szCs w:val="22"/>
          <w:lang w:val="fr-FR"/>
        </w:rPr>
        <w:t>IGC compenseraient les préjudices réels et non négligeables qu</w:t>
      </w:r>
      <w:r w:rsidR="0082449C">
        <w:rPr>
          <w:szCs w:val="22"/>
          <w:lang w:val="fr-FR"/>
        </w:rPr>
        <w:t>’</w:t>
      </w:r>
      <w:r w:rsidRPr="009D1007">
        <w:rPr>
          <w:szCs w:val="22"/>
          <w:lang w:val="fr-FR"/>
        </w:rPr>
        <w:t>elles pourraient causer</w:t>
      </w:r>
      <w:r w:rsidR="00B5502A">
        <w:rPr>
          <w:szCs w:val="22"/>
          <w:lang w:val="fr-FR"/>
        </w:rPr>
        <w:t xml:space="preserve">.  </w:t>
      </w:r>
      <w:r w:rsidRPr="009D1007">
        <w:rPr>
          <w:szCs w:val="22"/>
          <w:lang w:val="fr-FR"/>
        </w:rPr>
        <w:t>Les avantages et l</w:t>
      </w:r>
      <w:r w:rsidR="0082449C">
        <w:rPr>
          <w:szCs w:val="22"/>
          <w:lang w:val="fr-FR"/>
        </w:rPr>
        <w:t>’</w:t>
      </w:r>
      <w:r w:rsidRPr="009D1007">
        <w:rPr>
          <w:szCs w:val="22"/>
          <w:lang w:val="fr-FR"/>
        </w:rPr>
        <w:t>intérêt économiques de ces nouvelles exigences ne reposent sur aucune preuve</w:t>
      </w:r>
      <w:r w:rsidR="00B5502A">
        <w:rPr>
          <w:szCs w:val="22"/>
          <w:lang w:val="fr-FR"/>
        </w:rPr>
        <w:t xml:space="preserve">.  </w:t>
      </w:r>
      <w:r w:rsidRPr="009D1007">
        <w:rPr>
          <w:szCs w:val="22"/>
          <w:lang w:val="fr-FR"/>
        </w:rPr>
        <w:t>Les faits suggèrent plutôt que ces nouvelles exigences pourraient avoir une incidence négative sur le système des brevets en vigueur depuis des centaines d</w:t>
      </w:r>
      <w:r w:rsidR="0082449C">
        <w:rPr>
          <w:szCs w:val="22"/>
          <w:lang w:val="fr-FR"/>
        </w:rPr>
        <w:t>’</w:t>
      </w:r>
      <w:r w:rsidRPr="009D1007">
        <w:rPr>
          <w:szCs w:val="22"/>
          <w:lang w:val="fr-FR"/>
        </w:rPr>
        <w:t>années dans de nombreuses régions du monde, dans l</w:t>
      </w:r>
      <w:r w:rsidR="0082449C">
        <w:rPr>
          <w:szCs w:val="22"/>
          <w:lang w:val="fr-FR"/>
        </w:rPr>
        <w:t>’</w:t>
      </w:r>
      <w:r w:rsidRPr="009D1007">
        <w:rPr>
          <w:szCs w:val="22"/>
          <w:lang w:val="fr-FR"/>
        </w:rPr>
        <w:t>intérêt de l</w:t>
      </w:r>
      <w:r w:rsidR="0082449C">
        <w:rPr>
          <w:szCs w:val="22"/>
          <w:lang w:val="fr-FR"/>
        </w:rPr>
        <w:t>’</w:t>
      </w:r>
      <w:r w:rsidRPr="009D1007">
        <w:rPr>
          <w:szCs w:val="22"/>
          <w:lang w:val="fr-FR"/>
        </w:rPr>
        <w:t>ensemble de la société</w:t>
      </w:r>
      <w:r w:rsidR="00B5502A">
        <w:rPr>
          <w:szCs w:val="22"/>
          <w:lang w:val="fr-FR"/>
        </w:rPr>
        <w:t xml:space="preserve">.  </w:t>
      </w:r>
      <w:r w:rsidRPr="009D1007">
        <w:rPr>
          <w:szCs w:val="22"/>
          <w:lang w:val="fr-FR"/>
        </w:rPr>
        <w:t>Ainsi, de nouvelles exigences en matière de divulgation dans les demandes de brevet auraient un impact négatif sur le développement économique</w:t>
      </w:r>
      <w:r w:rsidR="00B5502A">
        <w:rPr>
          <w:szCs w:val="22"/>
          <w:lang w:val="fr-FR"/>
        </w:rPr>
        <w:t xml:space="preserve">.  </w:t>
      </w:r>
      <w:r w:rsidRPr="009D1007">
        <w:rPr>
          <w:szCs w:val="22"/>
          <w:lang w:val="fr-FR"/>
        </w:rPr>
        <w:t xml:space="preserve">Par conséquent, les </w:t>
      </w:r>
      <w:r w:rsidR="00B5502A">
        <w:rPr>
          <w:szCs w:val="22"/>
          <w:lang w:val="fr-FR"/>
        </w:rPr>
        <w:t>États-Unis d’Amérique</w:t>
      </w:r>
      <w:r w:rsidRPr="009D1007">
        <w:rPr>
          <w:szCs w:val="22"/>
          <w:lang w:val="fr-FR"/>
        </w:rPr>
        <w:t xml:space="preserve"> invitent instamment à la prudence dans l</w:t>
      </w:r>
      <w:r w:rsidR="0082449C">
        <w:rPr>
          <w:szCs w:val="22"/>
          <w:lang w:val="fr-FR"/>
        </w:rPr>
        <w:t>’</w:t>
      </w:r>
      <w:r w:rsidRPr="009D1007">
        <w:rPr>
          <w:szCs w:val="22"/>
          <w:lang w:val="fr-FR"/>
        </w:rPr>
        <w:t>examen de ces propositions.</w:t>
      </w:r>
    </w:p>
    <w:p w:rsidR="002B1543" w:rsidRPr="009D1007" w:rsidRDefault="002B1543" w:rsidP="00E6072E">
      <w:pPr>
        <w:rPr>
          <w:szCs w:val="22"/>
          <w:lang w:val="fr-FR"/>
        </w:rPr>
      </w:pPr>
    </w:p>
    <w:p w:rsidR="002B1543" w:rsidRPr="009D1007" w:rsidRDefault="002B1543" w:rsidP="00E6072E">
      <w:pPr>
        <w:rPr>
          <w:lang w:val="fr-FR"/>
        </w:rPr>
      </w:pPr>
    </w:p>
    <w:p w:rsidR="002B1543" w:rsidRPr="009D1007" w:rsidRDefault="00E6072E" w:rsidP="009D1007">
      <w:pPr>
        <w:pStyle w:val="Endofdocument-Annex"/>
        <w:rPr>
          <w:lang w:val="fr-FR"/>
        </w:rPr>
      </w:pPr>
      <w:r w:rsidRPr="009D1007">
        <w:rPr>
          <w:lang w:val="fr-FR"/>
        </w:rPr>
        <w:t>[</w:t>
      </w:r>
      <w:r w:rsidR="00F43A28" w:rsidRPr="009D1007">
        <w:rPr>
          <w:lang w:val="fr-FR"/>
        </w:rPr>
        <w:t>Fin de l</w:t>
      </w:r>
      <w:r w:rsidR="0082449C">
        <w:rPr>
          <w:lang w:val="fr-FR"/>
        </w:rPr>
        <w:t>’</w:t>
      </w:r>
      <w:r w:rsidR="00F43A28" w:rsidRPr="009D1007">
        <w:rPr>
          <w:lang w:val="fr-FR"/>
        </w:rPr>
        <w:t xml:space="preserve">annexe et du </w:t>
      </w:r>
      <w:r w:rsidRPr="009D1007">
        <w:rPr>
          <w:lang w:val="fr-FR"/>
        </w:rPr>
        <w:t>document]</w:t>
      </w:r>
      <w:bookmarkStart w:id="5" w:name="Prepared"/>
      <w:bookmarkEnd w:id="5"/>
    </w:p>
    <w:p w:rsidR="002928D3" w:rsidRPr="009D1007" w:rsidRDefault="002928D3" w:rsidP="004A172C">
      <w:pPr>
        <w:ind w:left="5500"/>
        <w:rPr>
          <w:lang w:val="fr-FR"/>
        </w:rPr>
      </w:pPr>
    </w:p>
    <w:sectPr w:rsidR="002928D3" w:rsidRPr="009D1007" w:rsidSect="00B5502A">
      <w:headerReference w:type="default" r:id="rId17"/>
      <w:headerReference w:type="first" r:id="rId18"/>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72E" w:rsidRDefault="00E6072E">
      <w:r>
        <w:separator/>
      </w:r>
    </w:p>
  </w:endnote>
  <w:endnote w:type="continuationSeparator" w:id="0">
    <w:p w:rsidR="00E6072E" w:rsidRDefault="00E6072E" w:rsidP="003B38C1">
      <w:r>
        <w:separator/>
      </w:r>
    </w:p>
    <w:p w:rsidR="00E6072E" w:rsidRPr="003B38C1" w:rsidRDefault="00E6072E" w:rsidP="003B38C1">
      <w:pPr>
        <w:spacing w:after="60"/>
        <w:rPr>
          <w:sz w:val="17"/>
        </w:rPr>
      </w:pPr>
      <w:r>
        <w:rPr>
          <w:sz w:val="17"/>
        </w:rPr>
        <w:t>[Endnote continued from previous page]</w:t>
      </w:r>
    </w:p>
  </w:endnote>
  <w:endnote w:type="continuationNotice" w:id="1">
    <w:p w:rsidR="00E6072E" w:rsidRPr="003B38C1" w:rsidRDefault="00E6072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E8" w:rsidRDefault="00113CE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E8" w:rsidRDefault="00113CE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E8" w:rsidRDefault="00113C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72E" w:rsidRDefault="00E6072E">
      <w:r>
        <w:separator/>
      </w:r>
    </w:p>
  </w:footnote>
  <w:footnote w:type="continuationSeparator" w:id="0">
    <w:p w:rsidR="00E6072E" w:rsidRDefault="00E6072E" w:rsidP="008B60B2">
      <w:r>
        <w:separator/>
      </w:r>
    </w:p>
    <w:p w:rsidR="00E6072E" w:rsidRPr="00ED77FB" w:rsidRDefault="00E6072E" w:rsidP="008B60B2">
      <w:pPr>
        <w:spacing w:after="60"/>
        <w:rPr>
          <w:sz w:val="17"/>
          <w:szCs w:val="17"/>
        </w:rPr>
      </w:pPr>
      <w:r w:rsidRPr="00ED77FB">
        <w:rPr>
          <w:sz w:val="17"/>
          <w:szCs w:val="17"/>
        </w:rPr>
        <w:t>[Footnote continued from previous page]</w:t>
      </w:r>
    </w:p>
  </w:footnote>
  <w:footnote w:type="continuationNotice" w:id="1">
    <w:p w:rsidR="00E6072E" w:rsidRPr="00ED77FB" w:rsidRDefault="00E6072E" w:rsidP="008B60B2">
      <w:pPr>
        <w:spacing w:before="60"/>
        <w:jc w:val="right"/>
        <w:rPr>
          <w:sz w:val="17"/>
          <w:szCs w:val="17"/>
        </w:rPr>
      </w:pPr>
      <w:r w:rsidRPr="00ED77FB">
        <w:rPr>
          <w:sz w:val="17"/>
          <w:szCs w:val="17"/>
        </w:rPr>
        <w:t>[Footnote continued on next page]</w:t>
      </w:r>
    </w:p>
  </w:footnote>
  <w:footnote w:id="2">
    <w:p w:rsidR="00F43A28" w:rsidRPr="009D1007" w:rsidRDefault="00F43A28" w:rsidP="00F43A28">
      <w:pPr>
        <w:pStyle w:val="Notedebasdepage"/>
        <w:rPr>
          <w:lang w:val="fr-FR"/>
        </w:rPr>
      </w:pPr>
      <w:r w:rsidRPr="009D1007">
        <w:rPr>
          <w:rStyle w:val="Appelnotedebasdep"/>
          <w:lang w:val="fr-FR"/>
        </w:rPr>
        <w:footnoteRef/>
      </w:r>
      <w:r w:rsidRPr="009D1007">
        <w:rPr>
          <w:lang w:val="fr-FR"/>
        </w:rPr>
        <w:t xml:space="preserve"> </w:t>
      </w:r>
      <w:r w:rsidRPr="009D1007">
        <w:rPr>
          <w:lang w:val="fr-FR"/>
        </w:rPr>
        <w:tab/>
        <w:t xml:space="preserve">Organisation Mondiale de la Propriété Intellectuelle, Document de synthèse concernant la propriété intellectuelle relative aux ressources génétiques, WIPO/GRTKF/IC/36/4, 10–11 (2018), </w:t>
      </w:r>
      <w:r w:rsidR="00B5502A">
        <w:rPr>
          <w:lang w:val="fr-FR"/>
        </w:rPr>
        <w:t>http:</w:t>
      </w:r>
      <w:r w:rsidRPr="009D1007">
        <w:rPr>
          <w:lang w:val="fr-FR"/>
        </w:rPr>
        <w:t>//www.wipo.int/edocs/mdocs/tk/fr/wipo_grtkf_ic_36/wipo_grtkf_ic_36_4.pdf (consulté le 19 juin 2018).</w:t>
      </w:r>
    </w:p>
  </w:footnote>
  <w:footnote w:id="3">
    <w:p w:rsidR="00F43A28" w:rsidRPr="009D1007" w:rsidRDefault="00F43A28" w:rsidP="00F43A28">
      <w:pPr>
        <w:pStyle w:val="Notedebasdepage"/>
      </w:pPr>
      <w:r w:rsidRPr="009D1007">
        <w:rPr>
          <w:rStyle w:val="Appelnotedebasdep"/>
          <w:lang w:val="fr-FR"/>
        </w:rPr>
        <w:footnoteRef/>
      </w:r>
      <w:r w:rsidRPr="009D1007">
        <w:t xml:space="preserve"> </w:t>
      </w:r>
      <w:r w:rsidRPr="009D1007">
        <w:tab/>
        <w:t>Id</w:t>
      </w:r>
      <w:r w:rsidR="00B5502A">
        <w:t xml:space="preserve">.  </w:t>
      </w:r>
    </w:p>
  </w:footnote>
  <w:footnote w:id="4">
    <w:p w:rsidR="00F43A28" w:rsidRPr="009D1007" w:rsidRDefault="00F43A28" w:rsidP="00F43A28">
      <w:pPr>
        <w:pStyle w:val="Notedebasdepage"/>
      </w:pPr>
      <w:r w:rsidRPr="009D1007">
        <w:rPr>
          <w:rStyle w:val="Appelnotedebasdep"/>
          <w:lang w:val="fr-FR"/>
        </w:rPr>
        <w:footnoteRef/>
      </w:r>
      <w:r w:rsidRPr="009D1007">
        <w:t xml:space="preserve"> </w:t>
      </w:r>
      <w:r w:rsidRPr="009D1007">
        <w:tab/>
        <w:t>Id., 12.</w:t>
      </w:r>
    </w:p>
  </w:footnote>
  <w:footnote w:id="5">
    <w:p w:rsidR="00F43A28" w:rsidRPr="009D1007" w:rsidRDefault="00F43A28" w:rsidP="00F43A28">
      <w:pPr>
        <w:pStyle w:val="Notedebasdepage"/>
        <w:rPr>
          <w:lang w:val="fr-FR"/>
        </w:rPr>
      </w:pPr>
      <w:r w:rsidRPr="009D1007">
        <w:rPr>
          <w:rStyle w:val="Appelnotedebasdep"/>
          <w:lang w:val="fr-FR"/>
        </w:rPr>
        <w:footnoteRef/>
      </w:r>
      <w:r w:rsidRPr="009D1007">
        <w:t xml:space="preserve"> </w:t>
      </w:r>
      <w:r w:rsidRPr="009D1007">
        <w:tab/>
        <w:t>Dominic Keating, The WIPO IGC</w:t>
      </w:r>
      <w:r w:rsidR="00B5502A">
        <w:t> :</w:t>
      </w:r>
      <w:r w:rsidRPr="009D1007">
        <w:t xml:space="preserve"> a U.S</w:t>
      </w:r>
      <w:r w:rsidR="00B5502A">
        <w:t xml:space="preserve">.  </w:t>
      </w:r>
      <w:r w:rsidRPr="009D1007">
        <w:t>Perspective,</w:t>
      </w:r>
      <w:r w:rsidRPr="009D1007">
        <w:rPr>
          <w:i/>
        </w:rPr>
        <w:t xml:space="preserve"> in </w:t>
      </w:r>
      <w:r w:rsidRPr="009D1007">
        <w:t>Protecting Traditional Knowledge</w:t>
      </w:r>
      <w:r w:rsidR="00B5502A">
        <w:t> :</w:t>
      </w:r>
      <w:r w:rsidRPr="009D1007">
        <w:t xml:space="preserve"> The WIPO Intergovernmental Committee on Intellectual Property and Genetic Resources, Traditional Knowledge and Folklore, 270 (Daniel</w:t>
      </w:r>
      <w:r w:rsidR="00B5502A">
        <w:t xml:space="preserve"> </w:t>
      </w:r>
      <w:r w:rsidR="00B5502A" w:rsidRPr="009D1007">
        <w:t>F</w:t>
      </w:r>
      <w:r w:rsidR="00B5502A">
        <w:t>. </w:t>
      </w:r>
      <w:r w:rsidRPr="009D1007">
        <w:t>Robinson, Ahmed Abdel</w:t>
      </w:r>
      <w:r w:rsidR="00026751">
        <w:t>-</w:t>
      </w:r>
      <w:r w:rsidRPr="009D1007">
        <w:t>Latif et Pedro Roffe éd</w:t>
      </w:r>
      <w:r w:rsidR="00B5502A">
        <w:t xml:space="preserve">.  </w:t>
      </w:r>
      <w:r w:rsidRPr="009D1007">
        <w:rPr>
          <w:lang w:val="fr-FR"/>
        </w:rPr>
        <w:t>2016).</w:t>
      </w:r>
    </w:p>
  </w:footnote>
  <w:footnote w:id="6">
    <w:p w:rsidR="00F43A28" w:rsidRPr="009D1007" w:rsidRDefault="00F43A28" w:rsidP="00F43A28">
      <w:pPr>
        <w:pStyle w:val="Notedebasdepage"/>
        <w:rPr>
          <w:lang w:val="fr-FR"/>
        </w:rPr>
      </w:pPr>
      <w:r w:rsidRPr="009D1007">
        <w:rPr>
          <w:rStyle w:val="Appelnotedebasdep"/>
          <w:lang w:val="fr-FR"/>
        </w:rPr>
        <w:footnoteRef/>
      </w:r>
      <w:r w:rsidRPr="009D1007">
        <w:rPr>
          <w:lang w:val="fr-FR"/>
        </w:rPr>
        <w:t xml:space="preserve"> </w:t>
      </w:r>
      <w:r w:rsidRPr="009D1007">
        <w:rPr>
          <w:lang w:val="fr-FR"/>
        </w:rPr>
        <w:tab/>
        <w:t>Id.</w:t>
      </w:r>
    </w:p>
  </w:footnote>
  <w:footnote w:id="7">
    <w:p w:rsidR="00F43A28" w:rsidRPr="009D1007" w:rsidRDefault="00F43A28" w:rsidP="00F43A28">
      <w:pPr>
        <w:pStyle w:val="Notedebasdepage"/>
        <w:rPr>
          <w:lang w:val="fr-FR"/>
        </w:rPr>
      </w:pPr>
      <w:r w:rsidRPr="009D1007">
        <w:rPr>
          <w:rStyle w:val="Appelnotedebasdep"/>
          <w:lang w:val="fr-FR"/>
        </w:rPr>
        <w:footnoteRef/>
      </w:r>
      <w:r w:rsidRPr="009D1007">
        <w:rPr>
          <w:lang w:val="fr-FR"/>
        </w:rPr>
        <w:t xml:space="preserve"> </w:t>
      </w:r>
      <w:r w:rsidRPr="009D1007">
        <w:rPr>
          <w:lang w:val="fr-FR"/>
        </w:rPr>
        <w:tab/>
        <w:t xml:space="preserve">Keating, supra </w:t>
      </w:r>
      <w:r w:rsidR="00B5502A">
        <w:rPr>
          <w:lang w:val="fr-FR"/>
        </w:rPr>
        <w:t>n° </w:t>
      </w:r>
      <w:r w:rsidRPr="009D1007">
        <w:rPr>
          <w:lang w:val="fr-FR"/>
        </w:rPr>
        <w:t>4, 271.</w:t>
      </w:r>
    </w:p>
  </w:footnote>
  <w:footnote w:id="8">
    <w:p w:rsidR="00F43A28" w:rsidRPr="009D1007" w:rsidRDefault="00F43A28" w:rsidP="00F43A28">
      <w:pPr>
        <w:pStyle w:val="Notedebasdepage"/>
      </w:pPr>
      <w:r w:rsidRPr="009D1007">
        <w:rPr>
          <w:rStyle w:val="Appelnotedebasdep"/>
          <w:lang w:val="fr-FR"/>
        </w:rPr>
        <w:footnoteRef/>
      </w:r>
      <w:r w:rsidRPr="009D1007">
        <w:rPr>
          <w:lang w:val="fr-FR"/>
        </w:rPr>
        <w:t xml:space="preserve"> </w:t>
      </w:r>
      <w:r w:rsidRPr="009D1007">
        <w:rPr>
          <w:lang w:val="fr-FR"/>
        </w:rPr>
        <w:tab/>
        <w:t>Parmi les définitions économiques pertinentes de l</w:t>
      </w:r>
      <w:r w:rsidR="00026751">
        <w:rPr>
          <w:lang w:val="fr-FR"/>
        </w:rPr>
        <w:t>’</w:t>
      </w:r>
      <w:r w:rsidRPr="009D1007">
        <w:rPr>
          <w:lang w:val="fr-FR"/>
        </w:rPr>
        <w:t>incertitude figurent “un manque de confiance dans une croyance à des degrés divers (élevé</w:t>
      </w:r>
      <w:r w:rsidR="00026751">
        <w:rPr>
          <w:lang w:val="fr-FR"/>
        </w:rPr>
        <w:t>-</w:t>
      </w:r>
      <w:r w:rsidRPr="009D1007">
        <w:rPr>
          <w:lang w:val="fr-FR"/>
        </w:rPr>
        <w:t>faible)”, “un manque de connaissances préalables pertinentes pour la prise de décisions” et “un manque d</w:t>
      </w:r>
      <w:r w:rsidR="00026751">
        <w:rPr>
          <w:lang w:val="fr-FR"/>
        </w:rPr>
        <w:t>’</w:t>
      </w:r>
      <w:r w:rsidRPr="009D1007">
        <w:rPr>
          <w:lang w:val="fr-FR"/>
        </w:rPr>
        <w:t>informations pertinentes pour la prise de décisions”</w:t>
      </w:r>
      <w:r w:rsidR="00B5502A">
        <w:rPr>
          <w:lang w:val="fr-FR"/>
        </w:rPr>
        <w:t xml:space="preserve">.  </w:t>
      </w:r>
      <w:r w:rsidRPr="009D1007">
        <w:t>Irene Troy, Patent Transactions and Markets for Patents, Dealing with Uncertainty, Doctoral Thesis, Utrecht University 18, 80 (2012).</w:t>
      </w:r>
    </w:p>
  </w:footnote>
  <w:footnote w:id="9">
    <w:p w:rsidR="00F43A28" w:rsidRPr="009D1007" w:rsidRDefault="00F43A28" w:rsidP="00F43A28">
      <w:pPr>
        <w:pStyle w:val="Notedebasdepage"/>
        <w:rPr>
          <w:lang w:val="fr-FR"/>
        </w:rPr>
      </w:pPr>
      <w:r w:rsidRPr="009D1007">
        <w:rPr>
          <w:rStyle w:val="Appelnotedebasdep"/>
          <w:lang w:val="fr-FR"/>
        </w:rPr>
        <w:footnoteRef/>
      </w:r>
      <w:r w:rsidRPr="009D1007">
        <w:rPr>
          <w:lang w:val="fr-FR"/>
        </w:rPr>
        <w:t xml:space="preserve"> </w:t>
      </w:r>
      <w:r w:rsidRPr="009D1007">
        <w:rPr>
          <w:lang w:val="fr-FR"/>
        </w:rPr>
        <w:tab/>
        <w:t xml:space="preserve">Queen Mary Intellectual Property Research Institute, Report on Disclosure of Origin in Patent Applications pour la Commission européenne, Direction générale du commerce, 61 (2004), </w:t>
      </w:r>
      <w:r w:rsidR="00B5502A">
        <w:rPr>
          <w:lang w:val="fr-FR"/>
        </w:rPr>
        <w:t>http:</w:t>
      </w:r>
      <w:r w:rsidRPr="009D1007">
        <w:rPr>
          <w:lang w:val="fr-FR"/>
        </w:rPr>
        <w:t>//trade.ec.europa.eu/doclib/docs/2005/june/tradoc_123533.pdf (consulté le 19 juin 2018) [ci</w:t>
      </w:r>
      <w:r w:rsidR="00026751">
        <w:rPr>
          <w:lang w:val="fr-FR"/>
        </w:rPr>
        <w:t>-</w:t>
      </w:r>
      <w:r w:rsidRPr="009D1007">
        <w:rPr>
          <w:lang w:val="fr-FR"/>
        </w:rPr>
        <w:t>après “rapport CE 2004”].</w:t>
      </w:r>
    </w:p>
  </w:footnote>
  <w:footnote w:id="10">
    <w:p w:rsidR="00F43A28" w:rsidRPr="009D1007" w:rsidRDefault="00F43A28" w:rsidP="00F43A28">
      <w:pPr>
        <w:pStyle w:val="Notedebasdepage"/>
        <w:rPr>
          <w:lang w:val="fr-FR"/>
        </w:rPr>
      </w:pPr>
      <w:r w:rsidRPr="009D1007">
        <w:rPr>
          <w:rStyle w:val="Appelnotedebasdep"/>
          <w:lang w:val="fr-FR"/>
        </w:rPr>
        <w:footnoteRef/>
      </w:r>
      <w:r w:rsidRPr="009D1007">
        <w:rPr>
          <w:lang w:val="fr-FR"/>
        </w:rPr>
        <w:t xml:space="preserve"> </w:t>
      </w:r>
      <w:r w:rsidRPr="009D1007">
        <w:rPr>
          <w:lang w:val="fr-FR"/>
        </w:rPr>
        <w:tab/>
        <w:t>Voir id., 68.</w:t>
      </w:r>
    </w:p>
  </w:footnote>
  <w:footnote w:id="11">
    <w:p w:rsidR="00F43A28" w:rsidRPr="009D1007" w:rsidRDefault="00F43A28" w:rsidP="00F43A28">
      <w:pPr>
        <w:pStyle w:val="Notedebasdepage"/>
        <w:rPr>
          <w:lang w:val="fr-FR"/>
        </w:rPr>
      </w:pPr>
      <w:r w:rsidRPr="009D1007">
        <w:rPr>
          <w:rStyle w:val="Appelnotedebasdep"/>
          <w:lang w:val="fr-FR"/>
        </w:rPr>
        <w:footnoteRef/>
      </w:r>
      <w:r w:rsidRPr="009D1007">
        <w:rPr>
          <w:lang w:val="fr-FR"/>
        </w:rPr>
        <w:t xml:space="preserve"> </w:t>
      </w:r>
      <w:r w:rsidRPr="009D1007">
        <w:rPr>
          <w:lang w:val="fr-FR"/>
        </w:rPr>
        <w:tab/>
        <w:t xml:space="preserve">OMPI 2005, supra </w:t>
      </w:r>
      <w:r w:rsidR="00B5502A">
        <w:rPr>
          <w:lang w:val="fr-FR"/>
        </w:rPr>
        <w:t>n° </w:t>
      </w:r>
      <w:r w:rsidRPr="009D1007">
        <w:rPr>
          <w:lang w:val="fr-FR"/>
        </w:rPr>
        <w:t>8, 46</w:t>
      </w:r>
      <w:r w:rsidR="00B5502A">
        <w:rPr>
          <w:lang w:val="fr-FR"/>
        </w:rPr>
        <w:t xml:space="preserve">;  </w:t>
      </w:r>
      <w:r w:rsidRPr="009D1007">
        <w:rPr>
          <w:lang w:val="fr-FR"/>
        </w:rPr>
        <w:t>voir Rapport CE 2004, 76, “plus l</w:t>
      </w:r>
      <w:r w:rsidR="00026751">
        <w:rPr>
          <w:lang w:val="fr-FR"/>
        </w:rPr>
        <w:t>’</w:t>
      </w:r>
      <w:r w:rsidRPr="009D1007">
        <w:rPr>
          <w:lang w:val="fr-FR"/>
        </w:rPr>
        <w:t>exigence est large et complexe, plus l</w:t>
      </w:r>
      <w:r w:rsidR="00026751">
        <w:rPr>
          <w:lang w:val="fr-FR"/>
        </w:rPr>
        <w:t>’</w:t>
      </w:r>
      <w:r w:rsidRPr="009D1007">
        <w:rPr>
          <w:lang w:val="fr-FR"/>
        </w:rPr>
        <w:t>incertitude est grande”.</w:t>
      </w:r>
    </w:p>
  </w:footnote>
  <w:footnote w:id="12">
    <w:p w:rsidR="00F43A28" w:rsidRPr="009D1007" w:rsidRDefault="00F43A28" w:rsidP="00F43A28">
      <w:pPr>
        <w:pStyle w:val="Notedebasdepage"/>
        <w:rPr>
          <w:lang w:val="fr-FR"/>
        </w:rPr>
      </w:pPr>
      <w:r w:rsidRPr="009D1007">
        <w:rPr>
          <w:rStyle w:val="Appelnotedebasdep"/>
          <w:lang w:val="fr-FR"/>
        </w:rPr>
        <w:footnoteRef/>
      </w:r>
      <w:r w:rsidRPr="009D1007">
        <w:rPr>
          <w:lang w:val="fr-FR"/>
        </w:rPr>
        <w:t xml:space="preserve"> </w:t>
      </w:r>
      <w:r w:rsidRPr="009D1007">
        <w:rPr>
          <w:lang w:val="fr-FR"/>
        </w:rPr>
        <w:tab/>
        <w:t xml:space="preserve">Organisation Mondiale de la Propriété Intellectuelle, </w:t>
      </w:r>
      <w:r w:rsidR="00B5502A">
        <w:rPr>
          <w:lang w:val="fr-FR"/>
        </w:rPr>
        <w:t>Comité intergouvernemental de la propriété intellectuelle relative aux ressources génétiques, aux savoirs traditionnels et au folklore</w:t>
      </w:r>
      <w:r w:rsidRPr="009D1007">
        <w:rPr>
          <w:lang w:val="fr-FR"/>
        </w:rPr>
        <w:t>, Projet de rapport, WIPO/GRTKF/IC/23/8 </w:t>
      </w:r>
      <w:r w:rsidR="00B5502A">
        <w:rPr>
          <w:lang w:val="fr-FR"/>
        </w:rPr>
        <w:t xml:space="preserve">Prov. </w:t>
      </w:r>
      <w:r w:rsidRPr="009D1007">
        <w:rPr>
          <w:lang w:val="fr-FR"/>
        </w:rPr>
        <w:t xml:space="preserve">2, 26 (2013), </w:t>
      </w:r>
      <w:r w:rsidR="00B5502A">
        <w:rPr>
          <w:lang w:val="fr-FR"/>
        </w:rPr>
        <w:t>http:</w:t>
      </w:r>
      <w:r w:rsidRPr="009D1007">
        <w:rPr>
          <w:lang w:val="fr-FR"/>
        </w:rPr>
        <w:t>//www.wipo.int/edocs/mdocs/tk/fr/wipo_grtkf_ic_25/wipo_grtkf_ic_25_ref_grtkf_23_8_prov_2.pdf (consulté le 19 juin 2018) [ci</w:t>
      </w:r>
      <w:r w:rsidR="00026751">
        <w:rPr>
          <w:lang w:val="fr-FR"/>
        </w:rPr>
        <w:t>-</w:t>
      </w:r>
      <w:r w:rsidRPr="009D1007">
        <w:rPr>
          <w:lang w:val="fr-FR"/>
        </w:rPr>
        <w:t>après “OMPI 2013”].</w:t>
      </w:r>
    </w:p>
  </w:footnote>
  <w:footnote w:id="13">
    <w:p w:rsidR="00F43A28" w:rsidRPr="009D1007" w:rsidRDefault="00F43A28" w:rsidP="00F43A28">
      <w:pPr>
        <w:pStyle w:val="Notedebasdepage"/>
        <w:rPr>
          <w:lang w:val="fr-FR"/>
        </w:rPr>
      </w:pPr>
      <w:r w:rsidRPr="009D1007">
        <w:rPr>
          <w:rStyle w:val="Appelnotedebasdep"/>
          <w:lang w:val="fr-FR"/>
        </w:rPr>
        <w:footnoteRef/>
      </w:r>
      <w:r w:rsidRPr="009D1007">
        <w:rPr>
          <w:lang w:val="fr-FR"/>
        </w:rPr>
        <w:t xml:space="preserve"> </w:t>
      </w:r>
      <w:r w:rsidRPr="009D1007">
        <w:rPr>
          <w:lang w:val="fr-FR"/>
        </w:rPr>
        <w:tab/>
        <w:t>Id.</w:t>
      </w:r>
    </w:p>
  </w:footnote>
  <w:footnote w:id="14">
    <w:p w:rsidR="00F43A28" w:rsidRPr="009D1007" w:rsidRDefault="00F43A28" w:rsidP="00F43A28">
      <w:pPr>
        <w:pStyle w:val="Notedebasdepage"/>
        <w:rPr>
          <w:lang w:val="fr-FR"/>
        </w:rPr>
      </w:pPr>
      <w:r w:rsidRPr="009D1007">
        <w:rPr>
          <w:rStyle w:val="Appelnotedebasdep"/>
          <w:lang w:val="fr-FR"/>
        </w:rPr>
        <w:footnoteRef/>
      </w:r>
      <w:r w:rsidRPr="009D1007">
        <w:rPr>
          <w:lang w:val="fr-FR"/>
        </w:rPr>
        <w:t xml:space="preserve"> </w:t>
      </w:r>
      <w:r w:rsidRPr="009D1007">
        <w:rPr>
          <w:lang w:val="fr-FR"/>
        </w:rPr>
        <w:tab/>
        <w:t>Id.</w:t>
      </w:r>
    </w:p>
  </w:footnote>
  <w:footnote w:id="15">
    <w:p w:rsidR="00F43A28" w:rsidRPr="009D1007" w:rsidRDefault="00F43A28" w:rsidP="00F43A28">
      <w:pPr>
        <w:pStyle w:val="Notedebasdepage"/>
        <w:rPr>
          <w:lang w:val="fr-FR"/>
        </w:rPr>
      </w:pPr>
      <w:r w:rsidRPr="009D1007">
        <w:rPr>
          <w:rStyle w:val="Appelnotedebasdep"/>
          <w:lang w:val="fr-FR"/>
        </w:rPr>
        <w:footnoteRef/>
      </w:r>
      <w:r w:rsidRPr="009D1007">
        <w:rPr>
          <w:lang w:val="fr-FR"/>
        </w:rPr>
        <w:t xml:space="preserve"> </w:t>
      </w:r>
      <w:r w:rsidRPr="009D1007">
        <w:rPr>
          <w:lang w:val="fr-FR"/>
        </w:rPr>
        <w:tab/>
        <w:t xml:space="preserve">Voir Claudio Chiarolla et Burcu Kiliç, Developing Patent Disclosure Requirements Related to Genetic Resources and Traditional Knowledge — Key Questions, Organisation Mondiale de la Propriété Intellectuelle 24, 88–89 (2017), </w:t>
      </w:r>
      <w:r w:rsidR="00B5502A">
        <w:rPr>
          <w:lang w:val="fr-FR"/>
        </w:rPr>
        <w:t>https:</w:t>
      </w:r>
      <w:r w:rsidRPr="009D1007">
        <w:rPr>
          <w:lang w:val="fr-FR"/>
        </w:rPr>
        <w:t>//ssrn.com/abstract=2987820 (consulté le 19 juin 2018)</w:t>
      </w:r>
      <w:r w:rsidR="00B5502A">
        <w:rPr>
          <w:lang w:val="fr-FR"/>
        </w:rPr>
        <w:t xml:space="preserve">;  </w:t>
      </w:r>
      <w:r w:rsidRPr="009D1007">
        <w:rPr>
          <w:lang w:val="fr-FR"/>
        </w:rPr>
        <w:t xml:space="preserve">voir également OMPI 2005, supra </w:t>
      </w:r>
      <w:r w:rsidR="00B5502A">
        <w:rPr>
          <w:lang w:val="fr-FR"/>
        </w:rPr>
        <w:t>n° </w:t>
      </w:r>
      <w:r w:rsidRPr="009D1007">
        <w:rPr>
          <w:lang w:val="fr-FR"/>
        </w:rPr>
        <w:t>13, 51, suggérant qu</w:t>
      </w:r>
      <w:r w:rsidR="00026751">
        <w:rPr>
          <w:lang w:val="fr-FR"/>
        </w:rPr>
        <w:t>’</w:t>
      </w:r>
      <w:r w:rsidRPr="009D1007">
        <w:rPr>
          <w:lang w:val="fr-FR"/>
        </w:rPr>
        <w:t>en l</w:t>
      </w:r>
      <w:r w:rsidR="00026751">
        <w:rPr>
          <w:lang w:val="fr-FR"/>
        </w:rPr>
        <w:t>’</w:t>
      </w:r>
      <w:r w:rsidRPr="009D1007">
        <w:rPr>
          <w:lang w:val="fr-FR"/>
        </w:rPr>
        <w:t>absence de procédures uniformes et prévisibles pour la communication et le traitement des renseignements divulgués, les examinateurs de brevets pourraient avoir des difficultés à vérifier les informations fournies par les déposants.</w:t>
      </w:r>
    </w:p>
  </w:footnote>
  <w:footnote w:id="16">
    <w:p w:rsidR="00F43A28" w:rsidRPr="009D1007" w:rsidRDefault="00F43A28" w:rsidP="00F43A28">
      <w:pPr>
        <w:pStyle w:val="Notedebasdepage"/>
        <w:rPr>
          <w:lang w:val="fr-FR"/>
        </w:rPr>
      </w:pPr>
      <w:r w:rsidRPr="009D1007">
        <w:rPr>
          <w:rStyle w:val="Appelnotedebasdep"/>
          <w:lang w:val="fr-FR"/>
        </w:rPr>
        <w:footnoteRef/>
      </w:r>
      <w:r w:rsidRPr="009D1007">
        <w:rPr>
          <w:lang w:val="fr-FR"/>
        </w:rPr>
        <w:t xml:space="preserve"> </w:t>
      </w:r>
      <w:r w:rsidRPr="009D1007">
        <w:rPr>
          <w:lang w:val="fr-FR"/>
        </w:rPr>
        <w:tab/>
        <w:t>Joan Farre</w:t>
      </w:r>
      <w:r w:rsidR="00026751">
        <w:rPr>
          <w:lang w:val="fr-FR"/>
        </w:rPr>
        <w:t>-</w:t>
      </w:r>
      <w:r w:rsidRPr="009D1007">
        <w:rPr>
          <w:lang w:val="fr-FR"/>
        </w:rPr>
        <w:t>Mensa et al., The Bright Side of Patents, document de travail économique de l</w:t>
      </w:r>
      <w:r w:rsidR="00026751">
        <w:rPr>
          <w:lang w:val="fr-FR"/>
        </w:rPr>
        <w:t>’</w:t>
      </w:r>
      <w:r w:rsidRPr="009D1007">
        <w:rPr>
          <w:lang w:val="fr-FR"/>
        </w:rPr>
        <w:t xml:space="preserve">USPTO </w:t>
      </w:r>
      <w:r w:rsidR="00B5502A">
        <w:rPr>
          <w:lang w:val="fr-FR"/>
        </w:rPr>
        <w:t>n° </w:t>
      </w:r>
      <w:r w:rsidRPr="009D1007">
        <w:rPr>
          <w:lang w:val="fr-FR"/>
        </w:rPr>
        <w:t>2015</w:t>
      </w:r>
      <w:r w:rsidR="00026751">
        <w:rPr>
          <w:lang w:val="fr-FR"/>
        </w:rPr>
        <w:t>-</w:t>
      </w:r>
      <w:r w:rsidRPr="009D1007">
        <w:rPr>
          <w:lang w:val="fr-FR"/>
        </w:rPr>
        <w:t xml:space="preserve">5, résumé (2015), </w:t>
      </w:r>
      <w:r w:rsidR="00B5502A">
        <w:rPr>
          <w:lang w:val="fr-FR"/>
        </w:rPr>
        <w:t>https:</w:t>
      </w:r>
      <w:r w:rsidRPr="009D1007">
        <w:rPr>
          <w:lang w:val="fr-FR"/>
        </w:rPr>
        <w:t>//www.uspto.gov/sites/default/files/documents/Patents%20030216%20USPTO%20Cover.pdf (consulté le 19 juin 2018)</w:t>
      </w:r>
      <w:r w:rsidR="00B5502A">
        <w:rPr>
          <w:lang w:val="fr-FR"/>
        </w:rPr>
        <w:t xml:space="preserve">;  </w:t>
      </w:r>
      <w:r w:rsidRPr="009D1007">
        <w:rPr>
          <w:lang w:val="fr-FR"/>
        </w:rPr>
        <w:t>voir également Joshua</w:t>
      </w:r>
      <w:r w:rsidR="00B5502A">
        <w:rPr>
          <w:lang w:val="fr-FR"/>
        </w:rPr>
        <w:t xml:space="preserve"> </w:t>
      </w:r>
      <w:r w:rsidR="00B5502A" w:rsidRPr="009D1007">
        <w:rPr>
          <w:lang w:val="fr-FR"/>
        </w:rPr>
        <w:t>S</w:t>
      </w:r>
      <w:r w:rsidR="00B5502A">
        <w:rPr>
          <w:lang w:val="fr-FR"/>
        </w:rPr>
        <w:t>. </w:t>
      </w:r>
      <w:r w:rsidRPr="009D1007">
        <w:rPr>
          <w:lang w:val="fr-FR"/>
        </w:rPr>
        <w:t>Gans et al., The Impact of Uncertain Intellectual Property Rights on the Market for Ideas</w:t>
      </w:r>
      <w:r w:rsidR="00B5502A">
        <w:rPr>
          <w:lang w:val="fr-FR"/>
        </w:rPr>
        <w:t> :</w:t>
      </w:r>
      <w:r w:rsidRPr="009D1007">
        <w:rPr>
          <w:lang w:val="fr-FR"/>
        </w:rPr>
        <w:t xml:space="preserve"> Evidence from Patent Grant Delays, 54(5) Mgmt</w:t>
      </w:r>
      <w:r w:rsidR="00B5502A">
        <w:rPr>
          <w:lang w:val="fr-FR"/>
        </w:rPr>
        <w:t xml:space="preserve">.  </w:t>
      </w:r>
      <w:r w:rsidRPr="009D1007">
        <w:rPr>
          <w:lang w:val="fr-FR"/>
        </w:rPr>
        <w:t>Sci</w:t>
      </w:r>
      <w:r w:rsidR="00B5502A">
        <w:rPr>
          <w:lang w:val="fr-FR"/>
        </w:rPr>
        <w:t xml:space="preserve">.  </w:t>
      </w:r>
      <w:r w:rsidRPr="009D1007">
        <w:rPr>
          <w:lang w:val="fr-FR"/>
        </w:rPr>
        <w:t>984, “les innovateurs font face à des coûts d</w:t>
      </w:r>
      <w:r w:rsidR="00026751">
        <w:rPr>
          <w:lang w:val="fr-FR"/>
        </w:rPr>
        <w:t>’</w:t>
      </w:r>
      <w:r w:rsidRPr="009D1007">
        <w:rPr>
          <w:lang w:val="fr-FR"/>
        </w:rPr>
        <w:t>opportunité importants s</w:t>
      </w:r>
      <w:r w:rsidR="00026751">
        <w:rPr>
          <w:lang w:val="fr-FR"/>
        </w:rPr>
        <w:t>’</w:t>
      </w:r>
      <w:r w:rsidRPr="009D1007">
        <w:rPr>
          <w:lang w:val="fr-FR"/>
        </w:rPr>
        <w:t>ils retardent la commercialisation tant que les demandes sont en instance”.</w:t>
      </w:r>
    </w:p>
  </w:footnote>
  <w:footnote w:id="17">
    <w:p w:rsidR="00F43A28" w:rsidRPr="009D1007" w:rsidRDefault="00F43A28" w:rsidP="00F43A28">
      <w:pPr>
        <w:pStyle w:val="Notedebasdepage"/>
        <w:rPr>
          <w:lang w:val="fr-FR"/>
        </w:rPr>
      </w:pPr>
      <w:r w:rsidRPr="009D1007">
        <w:rPr>
          <w:rStyle w:val="Appelnotedebasdep"/>
          <w:lang w:val="fr-FR"/>
        </w:rPr>
        <w:footnoteRef/>
      </w:r>
      <w:r w:rsidRPr="009D1007">
        <w:rPr>
          <w:lang w:val="fr-FR"/>
        </w:rPr>
        <w:t xml:space="preserve"> Farre</w:t>
      </w:r>
      <w:r w:rsidR="00026751">
        <w:rPr>
          <w:lang w:val="fr-FR"/>
        </w:rPr>
        <w:t>-</w:t>
      </w:r>
      <w:r w:rsidRPr="009D1007">
        <w:rPr>
          <w:lang w:val="fr-FR"/>
        </w:rPr>
        <w:t xml:space="preserve">Mensa, supra </w:t>
      </w:r>
      <w:r w:rsidR="00B5502A">
        <w:rPr>
          <w:lang w:val="fr-FR"/>
        </w:rPr>
        <w:t>n° </w:t>
      </w:r>
      <w:r w:rsidRPr="009D1007">
        <w:rPr>
          <w:lang w:val="fr-FR"/>
        </w:rPr>
        <w:t>18, 2.</w:t>
      </w:r>
    </w:p>
  </w:footnote>
  <w:footnote w:id="18">
    <w:p w:rsidR="00F43A28" w:rsidRPr="009D1007" w:rsidRDefault="00F43A28" w:rsidP="00F43A28">
      <w:pPr>
        <w:pStyle w:val="Notedebasdepage"/>
        <w:rPr>
          <w:lang w:val="fr-FR"/>
        </w:rPr>
      </w:pPr>
      <w:r w:rsidRPr="009D1007">
        <w:rPr>
          <w:rStyle w:val="Appelnotedebasdep"/>
          <w:lang w:val="fr-FR"/>
        </w:rPr>
        <w:footnoteRef/>
      </w:r>
      <w:r w:rsidRPr="009D1007">
        <w:rPr>
          <w:lang w:val="fr-FR"/>
        </w:rPr>
        <w:t xml:space="preserve"> </w:t>
      </w:r>
      <w:r w:rsidRPr="009D1007">
        <w:rPr>
          <w:lang w:val="fr-FR"/>
        </w:rPr>
        <w:tab/>
        <w:t>Id., 3, 4 et 10</w:t>
      </w:r>
      <w:r w:rsidR="00B5502A">
        <w:rPr>
          <w:lang w:val="fr-FR"/>
        </w:rPr>
        <w:t xml:space="preserve">.  </w:t>
      </w:r>
    </w:p>
  </w:footnote>
  <w:footnote w:id="19">
    <w:p w:rsidR="00F43A28" w:rsidRPr="009D1007" w:rsidRDefault="00F43A28" w:rsidP="00F43A28">
      <w:pPr>
        <w:pStyle w:val="Notedebasdepage"/>
        <w:rPr>
          <w:lang w:val="fr-FR"/>
        </w:rPr>
      </w:pPr>
      <w:r w:rsidRPr="009D1007">
        <w:rPr>
          <w:rStyle w:val="Appelnotedebasdep"/>
          <w:lang w:val="fr-FR"/>
        </w:rPr>
        <w:footnoteRef/>
      </w:r>
      <w:r w:rsidRPr="009D1007">
        <w:rPr>
          <w:lang w:val="fr-FR"/>
        </w:rPr>
        <w:t xml:space="preserve"> </w:t>
      </w:r>
      <w:r w:rsidRPr="009D1007">
        <w:rPr>
          <w:lang w:val="fr-FR"/>
        </w:rPr>
        <w:tab/>
        <w:t>Ibid., 20 et 40.</w:t>
      </w:r>
    </w:p>
  </w:footnote>
  <w:footnote w:id="20">
    <w:p w:rsidR="00F43A28" w:rsidRPr="009D1007" w:rsidRDefault="00F43A28" w:rsidP="00F43A28">
      <w:pPr>
        <w:pStyle w:val="Notedebasdepage"/>
        <w:rPr>
          <w:lang w:val="fr-FR"/>
        </w:rPr>
      </w:pPr>
      <w:r w:rsidRPr="009D1007">
        <w:rPr>
          <w:rStyle w:val="Appelnotedebasdep"/>
          <w:lang w:val="fr-FR"/>
        </w:rPr>
        <w:footnoteRef/>
      </w:r>
      <w:r w:rsidRPr="009D1007">
        <w:rPr>
          <w:lang w:val="fr-FR"/>
        </w:rPr>
        <w:t xml:space="preserve"> </w:t>
      </w:r>
      <w:r w:rsidRPr="009D1007">
        <w:rPr>
          <w:lang w:val="fr-FR"/>
        </w:rPr>
        <w:tab/>
        <w:t>Id., 40.</w:t>
      </w:r>
    </w:p>
  </w:footnote>
  <w:footnote w:id="21">
    <w:p w:rsidR="00F43A28" w:rsidRPr="009D1007" w:rsidRDefault="00F43A28" w:rsidP="00F43A28">
      <w:pPr>
        <w:pStyle w:val="Notedebasdepage"/>
        <w:rPr>
          <w:lang w:val="fr-FR"/>
        </w:rPr>
      </w:pPr>
      <w:r w:rsidRPr="009D1007">
        <w:rPr>
          <w:rStyle w:val="Appelnotedebasdep"/>
          <w:lang w:val="fr-FR"/>
        </w:rPr>
        <w:footnoteRef/>
      </w:r>
      <w:r w:rsidRPr="009D1007">
        <w:rPr>
          <w:lang w:val="fr-FR"/>
        </w:rPr>
        <w:t xml:space="preserve"> </w:t>
      </w:r>
      <w:r w:rsidRPr="009D1007">
        <w:rPr>
          <w:lang w:val="fr-FR"/>
        </w:rPr>
        <w:tab/>
        <w:t>Farre</w:t>
      </w:r>
      <w:r w:rsidR="00026751">
        <w:rPr>
          <w:lang w:val="fr-FR"/>
        </w:rPr>
        <w:t>-</w:t>
      </w:r>
      <w:r w:rsidRPr="009D1007">
        <w:rPr>
          <w:lang w:val="fr-FR"/>
        </w:rPr>
        <w:t xml:space="preserve">Mensa, supra </w:t>
      </w:r>
      <w:r w:rsidR="00B5502A">
        <w:rPr>
          <w:lang w:val="fr-FR"/>
        </w:rPr>
        <w:t>n° </w:t>
      </w:r>
      <w:r w:rsidRPr="009D1007">
        <w:rPr>
          <w:lang w:val="fr-FR"/>
        </w:rPr>
        <w:t>18, 40.</w:t>
      </w:r>
    </w:p>
  </w:footnote>
  <w:footnote w:id="22">
    <w:p w:rsidR="00F43A28" w:rsidRPr="009D1007" w:rsidRDefault="00F43A28" w:rsidP="00F43A28">
      <w:pPr>
        <w:pStyle w:val="Notedebasdepage"/>
        <w:rPr>
          <w:lang w:val="fr-FR"/>
        </w:rPr>
      </w:pPr>
      <w:r w:rsidRPr="009D1007">
        <w:rPr>
          <w:rStyle w:val="Appelnotedebasdep"/>
          <w:lang w:val="fr-FR"/>
        </w:rPr>
        <w:footnoteRef/>
      </w:r>
      <w:r w:rsidRPr="009D1007">
        <w:rPr>
          <w:lang w:val="fr-FR"/>
        </w:rPr>
        <w:t xml:space="preserve"> </w:t>
      </w:r>
      <w:r w:rsidRPr="009D1007">
        <w:rPr>
          <w:lang w:val="fr-FR"/>
        </w:rPr>
        <w:tab/>
        <w:t>Id., 20.</w:t>
      </w:r>
    </w:p>
  </w:footnote>
  <w:footnote w:id="23">
    <w:p w:rsidR="00F43A28" w:rsidRPr="009D1007" w:rsidRDefault="00F43A28" w:rsidP="00F43A28">
      <w:pPr>
        <w:pStyle w:val="Notedebasdepage"/>
        <w:rPr>
          <w:lang w:val="fr-FR"/>
        </w:rPr>
      </w:pPr>
      <w:r w:rsidRPr="009D1007">
        <w:rPr>
          <w:rStyle w:val="Appelnotedebasdep"/>
          <w:lang w:val="fr-FR"/>
        </w:rPr>
        <w:footnoteRef/>
      </w:r>
      <w:r w:rsidRPr="009D1007">
        <w:rPr>
          <w:lang w:val="fr-FR"/>
        </w:rPr>
        <w:t xml:space="preserve"> </w:t>
      </w:r>
      <w:r w:rsidRPr="009D1007">
        <w:rPr>
          <w:lang w:val="fr-FR"/>
        </w:rPr>
        <w:tab/>
        <w:t>Ibid., 20 et 22.</w:t>
      </w:r>
    </w:p>
  </w:footnote>
  <w:footnote w:id="24">
    <w:p w:rsidR="00F43A28" w:rsidRPr="009D1007" w:rsidRDefault="00F43A28" w:rsidP="00F43A28">
      <w:pPr>
        <w:pStyle w:val="Notedebasdepage"/>
        <w:rPr>
          <w:lang w:val="fr-FR"/>
        </w:rPr>
      </w:pPr>
      <w:r w:rsidRPr="009D1007">
        <w:rPr>
          <w:rStyle w:val="Appelnotedebasdep"/>
          <w:lang w:val="fr-FR"/>
        </w:rPr>
        <w:footnoteRef/>
      </w:r>
      <w:r w:rsidRPr="009D1007">
        <w:rPr>
          <w:lang w:val="fr-FR"/>
        </w:rPr>
        <w:t xml:space="preserve"> </w:t>
      </w:r>
      <w:r w:rsidRPr="009D1007">
        <w:rPr>
          <w:lang w:val="fr-FR"/>
        </w:rPr>
        <w:tab/>
        <w:t>Ibid., 22 et 23.</w:t>
      </w:r>
    </w:p>
  </w:footnote>
  <w:footnote w:id="25">
    <w:p w:rsidR="00F43A28" w:rsidRPr="009D1007" w:rsidRDefault="00F43A28" w:rsidP="00F43A28">
      <w:pPr>
        <w:pStyle w:val="Notedebasdepage"/>
        <w:rPr>
          <w:lang w:val="fr-FR"/>
        </w:rPr>
      </w:pPr>
      <w:r w:rsidRPr="009D1007">
        <w:rPr>
          <w:rStyle w:val="Appelnotedebasdep"/>
          <w:lang w:val="fr-FR"/>
        </w:rPr>
        <w:footnoteRef/>
      </w:r>
      <w:r w:rsidRPr="009D1007">
        <w:rPr>
          <w:lang w:val="fr-FR"/>
        </w:rPr>
        <w:t xml:space="preserve"> </w:t>
      </w:r>
      <w:r w:rsidRPr="009D1007">
        <w:rPr>
          <w:lang w:val="fr-FR"/>
        </w:rPr>
        <w:tab/>
        <w:t>Farre</w:t>
      </w:r>
      <w:r w:rsidR="00026751">
        <w:rPr>
          <w:lang w:val="fr-FR"/>
        </w:rPr>
        <w:t>-</w:t>
      </w:r>
      <w:r w:rsidRPr="009D1007">
        <w:rPr>
          <w:lang w:val="fr-FR"/>
        </w:rPr>
        <w:t xml:space="preserve">Mensa, supra </w:t>
      </w:r>
      <w:r w:rsidR="00B5502A">
        <w:rPr>
          <w:lang w:val="fr-FR"/>
        </w:rPr>
        <w:t>n° </w:t>
      </w:r>
      <w:r w:rsidRPr="009D1007">
        <w:rPr>
          <w:lang w:val="fr-FR"/>
        </w:rPr>
        <w:t>18, 3, 23, 47 (tableau 7).</w:t>
      </w:r>
    </w:p>
  </w:footnote>
  <w:footnote w:id="26">
    <w:p w:rsidR="00F43A28" w:rsidRPr="009D1007" w:rsidRDefault="00F43A28" w:rsidP="00F43A28">
      <w:pPr>
        <w:pStyle w:val="Notedebasdepage"/>
      </w:pPr>
      <w:r w:rsidRPr="009D1007">
        <w:rPr>
          <w:rStyle w:val="Appelnotedebasdep"/>
          <w:lang w:val="fr-FR"/>
        </w:rPr>
        <w:footnoteRef/>
      </w:r>
      <w:r w:rsidRPr="009D1007">
        <w:t xml:space="preserve"> </w:t>
      </w:r>
      <w:r w:rsidRPr="009D1007">
        <w:tab/>
        <w:t>Id., 3.</w:t>
      </w:r>
    </w:p>
  </w:footnote>
  <w:footnote w:id="27">
    <w:p w:rsidR="00F43A28" w:rsidRPr="009D1007" w:rsidRDefault="00F43A28" w:rsidP="00F43A28">
      <w:pPr>
        <w:pStyle w:val="Notedebasdepage"/>
      </w:pPr>
      <w:r w:rsidRPr="009D1007">
        <w:rPr>
          <w:rStyle w:val="Appelnotedebasdep"/>
        </w:rPr>
        <w:footnoteRef/>
      </w:r>
      <w:r w:rsidRPr="009D1007">
        <w:t xml:space="preserve"> </w:t>
      </w:r>
      <w:r w:rsidR="00B5502A">
        <w:t>https:</w:t>
      </w:r>
      <w:r w:rsidRPr="009D1007">
        <w:t>//www.ifpma.org/wp</w:t>
      </w:r>
      <w:r w:rsidR="00026751">
        <w:t>-</w:t>
      </w:r>
      <w:r w:rsidRPr="009D1007">
        <w:t>content/uploads/2018/06/Economic</w:t>
      </w:r>
      <w:r w:rsidR="00026751">
        <w:t>-</w:t>
      </w:r>
      <w:r w:rsidRPr="009D1007">
        <w:t>impact</w:t>
      </w:r>
      <w:r w:rsidR="00026751">
        <w:t>-</w:t>
      </w:r>
      <w:r w:rsidRPr="009D1007">
        <w:t>DRs</w:t>
      </w:r>
      <w:r w:rsidR="00026751">
        <w:t>-</w:t>
      </w:r>
      <w:r w:rsidRPr="009D1007">
        <w:t>for</w:t>
      </w:r>
      <w:r w:rsidR="00026751">
        <w:t>-</w:t>
      </w:r>
      <w:r w:rsidRPr="009D1007">
        <w:t>GRs</w:t>
      </w:r>
      <w:r w:rsidR="00026751">
        <w:t>-</w:t>
      </w:r>
      <w:r w:rsidRPr="009D1007">
        <w:t>final</w:t>
      </w:r>
      <w:r w:rsidR="00026751">
        <w:t>-</w:t>
      </w:r>
      <w:r w:rsidRPr="009D1007">
        <w:t>report_June2018.pdf</w:t>
      </w:r>
    </w:p>
  </w:footnote>
  <w:footnote w:id="28">
    <w:p w:rsidR="00F43A28" w:rsidRPr="009D1007" w:rsidRDefault="00F43A28" w:rsidP="00F43A28">
      <w:pPr>
        <w:pStyle w:val="Notedebasdepage"/>
      </w:pPr>
      <w:r w:rsidRPr="009D1007">
        <w:rPr>
          <w:rStyle w:val="Appelnotedebasdep"/>
        </w:rPr>
        <w:footnoteRef/>
      </w:r>
      <w:r w:rsidRPr="009D1007">
        <w:t xml:space="preserve"> Id., 12.</w:t>
      </w:r>
    </w:p>
  </w:footnote>
  <w:footnote w:id="29">
    <w:p w:rsidR="00F43A28" w:rsidRPr="009D1007" w:rsidRDefault="00F43A28" w:rsidP="00F43A28">
      <w:pPr>
        <w:pStyle w:val="Notedebasdepage"/>
      </w:pPr>
      <w:r w:rsidRPr="009D1007">
        <w:rPr>
          <w:rStyle w:val="Appelnotedebasdep"/>
          <w:lang w:val="fr-FR"/>
        </w:rPr>
        <w:footnoteRef/>
      </w:r>
      <w:r w:rsidRPr="009D1007">
        <w:t xml:space="preserve"> </w:t>
      </w:r>
      <w:r w:rsidRPr="009D1007">
        <w:tab/>
        <w:t>Dirk Czarnitzki et Andrew</w:t>
      </w:r>
      <w:r w:rsidR="00B5502A">
        <w:t> </w:t>
      </w:r>
      <w:r w:rsidR="00B5502A" w:rsidRPr="009D1007">
        <w:t>A</w:t>
      </w:r>
      <w:r w:rsidR="00B5502A">
        <w:t>. </w:t>
      </w:r>
      <w:r w:rsidRPr="009D1007">
        <w:t>Toole, Patent Protection, Market Certainty, and R</w:t>
      </w:r>
      <w:r w:rsidR="00026751">
        <w:t>-</w:t>
      </w:r>
      <w:r w:rsidRPr="009D1007">
        <w:t>D Investment, 93(1) The Review of Economic and Statistics 147 (2011).</w:t>
      </w:r>
    </w:p>
  </w:footnote>
  <w:footnote w:id="30">
    <w:p w:rsidR="00F43A28" w:rsidRPr="009D1007" w:rsidRDefault="00F43A28" w:rsidP="00F43A28">
      <w:pPr>
        <w:pStyle w:val="Notedebasdepage"/>
      </w:pPr>
      <w:r w:rsidRPr="009D1007">
        <w:rPr>
          <w:rStyle w:val="Appelnotedebasdep"/>
          <w:lang w:val="fr-FR"/>
        </w:rPr>
        <w:footnoteRef/>
      </w:r>
      <w:r w:rsidRPr="009D1007">
        <w:t xml:space="preserve"> </w:t>
      </w:r>
      <w:r w:rsidRPr="009D1007">
        <w:tab/>
        <w:t xml:space="preserve">Gans, supra </w:t>
      </w:r>
      <w:r w:rsidR="00B5502A">
        <w:t>n° </w:t>
      </w:r>
      <w:r w:rsidRPr="009D1007">
        <w:t>18, 989</w:t>
      </w:r>
      <w:r w:rsidR="00B5502A">
        <w:t xml:space="preserve">.  </w:t>
      </w:r>
    </w:p>
  </w:footnote>
  <w:footnote w:id="31">
    <w:p w:rsidR="00F43A28" w:rsidRPr="009D1007" w:rsidRDefault="00F43A28" w:rsidP="00F43A28">
      <w:pPr>
        <w:pStyle w:val="Notedebasdepage"/>
      </w:pPr>
      <w:r w:rsidRPr="009D1007">
        <w:rPr>
          <w:rStyle w:val="Appelnotedebasdep"/>
          <w:lang w:val="fr-FR"/>
        </w:rPr>
        <w:footnoteRef/>
      </w:r>
      <w:r w:rsidRPr="009D1007">
        <w:t xml:space="preserve"> </w:t>
      </w:r>
      <w:r w:rsidRPr="009D1007">
        <w:tab/>
        <w:t>Id.</w:t>
      </w:r>
    </w:p>
  </w:footnote>
  <w:footnote w:id="32">
    <w:p w:rsidR="00F43A28" w:rsidRPr="009D1007" w:rsidRDefault="00F43A28" w:rsidP="00F43A28">
      <w:pPr>
        <w:pStyle w:val="Notedebasdepage"/>
      </w:pPr>
      <w:r w:rsidRPr="009D1007">
        <w:rPr>
          <w:rStyle w:val="Appelnotedebasdep"/>
          <w:lang w:val="fr-FR"/>
        </w:rPr>
        <w:footnoteRef/>
      </w:r>
      <w:r w:rsidRPr="009D1007">
        <w:t xml:space="preserve"> </w:t>
      </w:r>
      <w:r w:rsidRPr="009D1007">
        <w:tab/>
        <w:t>Id.</w:t>
      </w:r>
    </w:p>
  </w:footnote>
  <w:footnote w:id="33">
    <w:p w:rsidR="00F43A28" w:rsidRPr="009D1007" w:rsidRDefault="00F43A28" w:rsidP="00F43A28">
      <w:pPr>
        <w:pStyle w:val="Notedebasdepage"/>
      </w:pPr>
      <w:r w:rsidRPr="009D1007">
        <w:rPr>
          <w:rStyle w:val="Appelnotedebasdep"/>
          <w:lang w:val="fr-FR"/>
        </w:rPr>
        <w:footnoteRef/>
      </w:r>
      <w:r w:rsidRPr="009D1007">
        <w:t xml:space="preserve"> </w:t>
      </w:r>
      <w:r w:rsidRPr="009D1007">
        <w:tab/>
        <w:t>Id., 990.</w:t>
      </w:r>
    </w:p>
  </w:footnote>
  <w:footnote w:id="34">
    <w:p w:rsidR="00F43A28" w:rsidRPr="009D1007" w:rsidRDefault="00F43A28" w:rsidP="00F43A28">
      <w:pPr>
        <w:pStyle w:val="Notedebasdepage"/>
      </w:pPr>
      <w:r w:rsidRPr="009D1007">
        <w:rPr>
          <w:rStyle w:val="Appelnotedebasdep"/>
          <w:lang w:val="fr-FR"/>
        </w:rPr>
        <w:footnoteRef/>
      </w:r>
      <w:r w:rsidRPr="009D1007">
        <w:t xml:space="preserve"> </w:t>
      </w:r>
      <w:r w:rsidRPr="009D1007">
        <w:tab/>
        <w:t xml:space="preserve">Gans, supra </w:t>
      </w:r>
      <w:r w:rsidR="00B5502A">
        <w:t>n° </w:t>
      </w:r>
      <w:r w:rsidRPr="009D1007">
        <w:t>18, 990.</w:t>
      </w:r>
    </w:p>
  </w:footnote>
  <w:footnote w:id="35">
    <w:p w:rsidR="00F43A28" w:rsidRPr="009D1007" w:rsidRDefault="00F43A28" w:rsidP="00F43A28">
      <w:pPr>
        <w:pStyle w:val="Notedebasdepage"/>
        <w:rPr>
          <w:i/>
        </w:rPr>
      </w:pPr>
      <w:r w:rsidRPr="009D1007">
        <w:rPr>
          <w:rStyle w:val="Appelnotedebasdep"/>
          <w:lang w:val="fr-FR"/>
        </w:rPr>
        <w:footnoteRef/>
      </w:r>
      <w:r w:rsidRPr="009D1007">
        <w:t xml:space="preserve"> </w:t>
      </w:r>
      <w:r w:rsidRPr="009D1007">
        <w:tab/>
        <w:t>Id</w:t>
      </w:r>
      <w:r w:rsidRPr="009D1007">
        <w:rPr>
          <w:i/>
        </w:rPr>
        <w:t>.</w:t>
      </w:r>
    </w:p>
  </w:footnote>
  <w:footnote w:id="36">
    <w:p w:rsidR="00F43A28" w:rsidRPr="009D1007" w:rsidRDefault="00F43A28" w:rsidP="00F43A28">
      <w:pPr>
        <w:pStyle w:val="Notedebasdepage"/>
      </w:pPr>
      <w:r w:rsidRPr="009D1007">
        <w:rPr>
          <w:rStyle w:val="Appelnotedebasdep"/>
          <w:lang w:val="fr-FR"/>
        </w:rPr>
        <w:footnoteRef/>
      </w:r>
      <w:r w:rsidRPr="009D1007">
        <w:t xml:space="preserve"> </w:t>
      </w:r>
      <w:r w:rsidRPr="009D1007">
        <w:tab/>
        <w:t>James Bessen et Michael</w:t>
      </w:r>
      <w:r w:rsidR="00B5502A">
        <w:t> </w:t>
      </w:r>
      <w:r w:rsidR="00B5502A" w:rsidRPr="009D1007">
        <w:t>J</w:t>
      </w:r>
      <w:r w:rsidR="00B5502A">
        <w:t>. </w:t>
      </w:r>
      <w:r w:rsidRPr="009D1007">
        <w:t xml:space="preserve">Meurer, </w:t>
      </w:r>
      <w:r w:rsidRPr="009D1007">
        <w:rPr>
          <w:i/>
        </w:rPr>
        <w:t>Patent Failure, How Judges, Bureaucrats, and Lawyers Put Innovators at Risk</w:t>
      </w:r>
      <w:r w:rsidRPr="009D1007">
        <w:t> 185 (Princeton Univ</w:t>
      </w:r>
      <w:r w:rsidR="00B5502A">
        <w:t xml:space="preserve">.  </w:t>
      </w:r>
      <w:r w:rsidRPr="009D1007">
        <w:t xml:space="preserve">Press 2008), citant Gans, Hsu et Stern, </w:t>
      </w:r>
      <w:r w:rsidRPr="009D1007">
        <w:rPr>
          <w:i/>
        </w:rPr>
        <w:t>When does start</w:t>
      </w:r>
      <w:r w:rsidR="00026751">
        <w:rPr>
          <w:i/>
        </w:rPr>
        <w:t>-</w:t>
      </w:r>
      <w:r w:rsidRPr="009D1007">
        <w:rPr>
          <w:i/>
        </w:rPr>
        <w:t>up innovation spur the gale of creative destruction?</w:t>
      </w:r>
      <w:r w:rsidRPr="009D1007">
        <w:t xml:space="preserve">, 33(4) </w:t>
      </w:r>
      <w:r w:rsidRPr="009D1007">
        <w:rPr>
          <w:smallCaps/>
        </w:rPr>
        <w:t xml:space="preserve">RAND </w:t>
      </w:r>
      <w:r w:rsidRPr="009D1007">
        <w:t>Journal of Economics 571–586 (2002).</w:t>
      </w:r>
    </w:p>
  </w:footnote>
  <w:footnote w:id="37">
    <w:p w:rsidR="00F43A28" w:rsidRPr="009D1007" w:rsidRDefault="00F43A28" w:rsidP="00F43A28">
      <w:pPr>
        <w:pStyle w:val="Notedebasdepage"/>
      </w:pPr>
      <w:r w:rsidRPr="009D1007">
        <w:rPr>
          <w:rStyle w:val="Appelnotedebasdep"/>
          <w:lang w:val="fr-FR"/>
        </w:rPr>
        <w:footnoteRef/>
      </w:r>
      <w:r w:rsidRPr="009D1007">
        <w:t xml:space="preserve"> </w:t>
      </w:r>
      <w:r w:rsidRPr="009D1007">
        <w:tab/>
        <w:t>Irene Troy et Raymond Werle, Uncertainty and the Market for Patents, Max Planck Institute for the Study of Societies, document de travail du MPlfG 08/2, 9 (2008).</w:t>
      </w:r>
    </w:p>
  </w:footnote>
  <w:footnote w:id="38">
    <w:p w:rsidR="00F43A28" w:rsidRPr="009D1007" w:rsidRDefault="00F43A28" w:rsidP="00F43A28">
      <w:pPr>
        <w:pStyle w:val="Notedebasdepage"/>
      </w:pPr>
      <w:r w:rsidRPr="009D1007">
        <w:rPr>
          <w:rStyle w:val="Appelnotedebasdep"/>
          <w:lang w:val="fr-FR"/>
        </w:rPr>
        <w:footnoteRef/>
      </w:r>
      <w:r w:rsidRPr="009D1007">
        <w:t xml:space="preserve"> </w:t>
      </w:r>
      <w:r w:rsidRPr="009D1007">
        <w:tab/>
        <w:t>Czarnitzki, supra</w:t>
      </w:r>
      <w:r w:rsidRPr="009D1007">
        <w:rPr>
          <w:i/>
        </w:rPr>
        <w:t xml:space="preserve"> </w:t>
      </w:r>
      <w:r w:rsidR="00B5502A">
        <w:t>n° </w:t>
      </w:r>
      <w:r w:rsidRPr="009D1007">
        <w:t>29, 148</w:t>
      </w:r>
      <w:r w:rsidR="00B5502A">
        <w:t xml:space="preserve">.  </w:t>
      </w:r>
    </w:p>
  </w:footnote>
  <w:footnote w:id="39">
    <w:p w:rsidR="00F43A28" w:rsidRPr="009D1007" w:rsidRDefault="00F43A28" w:rsidP="00F43A28">
      <w:pPr>
        <w:pStyle w:val="Notedebasdepage"/>
      </w:pPr>
      <w:r w:rsidRPr="009D1007">
        <w:rPr>
          <w:rStyle w:val="Appelnotedebasdep"/>
          <w:lang w:val="fr-FR"/>
        </w:rPr>
        <w:footnoteRef/>
      </w:r>
      <w:r w:rsidRPr="009D1007">
        <w:t xml:space="preserve"> </w:t>
      </w:r>
      <w:r w:rsidRPr="009D1007">
        <w:tab/>
        <w:t>Id.</w:t>
      </w:r>
    </w:p>
  </w:footnote>
  <w:footnote w:id="40">
    <w:p w:rsidR="00F43A28" w:rsidRPr="009D1007" w:rsidRDefault="00F43A28" w:rsidP="00F43A28">
      <w:pPr>
        <w:pStyle w:val="Notedebasdepage"/>
      </w:pPr>
      <w:r w:rsidRPr="009D1007">
        <w:rPr>
          <w:rStyle w:val="Appelnotedebasdep"/>
          <w:lang w:val="fr-FR"/>
        </w:rPr>
        <w:footnoteRef/>
      </w:r>
      <w:r w:rsidRPr="009D1007">
        <w:t xml:space="preserve"> </w:t>
      </w:r>
      <w:r w:rsidRPr="009D1007">
        <w:tab/>
        <w:t>Id., 149.</w:t>
      </w:r>
    </w:p>
  </w:footnote>
  <w:footnote w:id="41">
    <w:p w:rsidR="00F43A28" w:rsidRPr="009D1007" w:rsidRDefault="00F43A28" w:rsidP="00F43A28">
      <w:pPr>
        <w:pStyle w:val="Notedebasdepage"/>
      </w:pPr>
      <w:r w:rsidRPr="009D1007">
        <w:rPr>
          <w:rStyle w:val="Appelnotedebasdep"/>
          <w:lang w:val="fr-FR"/>
        </w:rPr>
        <w:footnoteRef/>
      </w:r>
      <w:r w:rsidRPr="009D1007">
        <w:t xml:space="preserve"> </w:t>
      </w:r>
      <w:r w:rsidRPr="009D1007">
        <w:tab/>
        <w:t>Id., 152.</w:t>
      </w:r>
    </w:p>
  </w:footnote>
  <w:footnote w:id="42">
    <w:p w:rsidR="00F43A28" w:rsidRPr="009D1007" w:rsidRDefault="00F43A28" w:rsidP="00F43A28">
      <w:pPr>
        <w:pStyle w:val="Notedebasdepage"/>
      </w:pPr>
      <w:r w:rsidRPr="009D1007">
        <w:rPr>
          <w:rStyle w:val="Appelnotedebasdep"/>
          <w:lang w:val="fr-FR"/>
        </w:rPr>
        <w:footnoteRef/>
      </w:r>
      <w:r w:rsidRPr="009D1007">
        <w:t xml:space="preserve"> </w:t>
      </w:r>
      <w:r w:rsidRPr="009D1007">
        <w:tab/>
        <w:t xml:space="preserve">Czarnitzki, supra </w:t>
      </w:r>
      <w:r w:rsidR="00B5502A">
        <w:t>n° </w:t>
      </w:r>
      <w:r w:rsidRPr="009D1007">
        <w:t>29, 153.</w:t>
      </w:r>
    </w:p>
  </w:footnote>
  <w:footnote w:id="43">
    <w:p w:rsidR="00F43A28" w:rsidRPr="009D1007" w:rsidRDefault="00F43A28" w:rsidP="00F43A28">
      <w:pPr>
        <w:pStyle w:val="Notedebasdepage"/>
      </w:pPr>
      <w:r w:rsidRPr="009D1007">
        <w:rPr>
          <w:rStyle w:val="Appelnotedebasdep"/>
          <w:lang w:val="fr-FR"/>
        </w:rPr>
        <w:footnoteRef/>
      </w:r>
      <w:r w:rsidRPr="009D1007">
        <w:t xml:space="preserve"> </w:t>
      </w:r>
      <w:r w:rsidRPr="009D1007">
        <w:tab/>
        <w:t>Id</w:t>
      </w:r>
      <w:r w:rsidRPr="009D1007">
        <w:rPr>
          <w:i/>
        </w:rPr>
        <w:t>.,</w:t>
      </w:r>
      <w:r w:rsidRPr="009D1007">
        <w:t xml:space="preserve"> 155.</w:t>
      </w:r>
    </w:p>
  </w:footnote>
  <w:footnote w:id="44">
    <w:p w:rsidR="00F43A28" w:rsidRPr="009D1007" w:rsidRDefault="00F43A28" w:rsidP="00F43A28">
      <w:pPr>
        <w:pStyle w:val="Notedebasdepage"/>
        <w:rPr>
          <w:lang w:val="fr-FR"/>
        </w:rPr>
      </w:pPr>
      <w:r w:rsidRPr="009D1007">
        <w:rPr>
          <w:rStyle w:val="Appelnotedebasdep"/>
          <w:lang w:val="fr-FR"/>
        </w:rPr>
        <w:footnoteRef/>
      </w:r>
      <w:r w:rsidRPr="009D1007">
        <w:t xml:space="preserve"> </w:t>
      </w:r>
      <w:r w:rsidRPr="009D1007">
        <w:tab/>
        <w:t>Voir Edson Beas Rodrigues Jr., Property rights, biocultural resources and two tragedies</w:t>
      </w:r>
      <w:r w:rsidR="00B5502A">
        <w:t> :</w:t>
      </w:r>
      <w:r w:rsidRPr="009D1007">
        <w:t xml:space="preserve"> Some lessons from Brazil, </w:t>
      </w:r>
      <w:r w:rsidRPr="009D1007">
        <w:rPr>
          <w:i/>
        </w:rPr>
        <w:t>in</w:t>
      </w:r>
      <w:r w:rsidRPr="009D1007">
        <w:t xml:space="preserve"> Genetic Resources and Traditional Knowledge, Case Studies and Conflict Interests 148–150 (Tania Bubela et</w:t>
      </w:r>
      <w:r w:rsidR="00B5502A">
        <w:t xml:space="preserve"> </w:t>
      </w:r>
      <w:r w:rsidR="00B5502A" w:rsidRPr="009D1007">
        <w:t>E</w:t>
      </w:r>
      <w:r w:rsidR="00B5502A">
        <w:t>. </w:t>
      </w:r>
      <w:r w:rsidRPr="009D1007">
        <w:t>Richard Gold, éd</w:t>
      </w:r>
      <w:r w:rsidR="00B5502A">
        <w:t xml:space="preserve">.  </w:t>
      </w:r>
      <w:r w:rsidRPr="009D1007">
        <w:rPr>
          <w:lang w:val="fr-FR"/>
        </w:rPr>
        <w:t>2012) (où il est fait observer que les lois visant à protéger les ressources biologiques dans les pays en développement ont entravé la conduite des activités scientifiques et amoindri l</w:t>
      </w:r>
      <w:r w:rsidR="00026751">
        <w:rPr>
          <w:lang w:val="fr-FR"/>
        </w:rPr>
        <w:t>’</w:t>
      </w:r>
      <w:r w:rsidRPr="009D1007">
        <w:rPr>
          <w:lang w:val="fr-FR"/>
        </w:rPr>
        <w:t>intérêt du secteur scientifique et du secteur de la production pour la recherche de ces ressources).</w:t>
      </w:r>
    </w:p>
  </w:footnote>
  <w:footnote w:id="45">
    <w:p w:rsidR="00F43A28" w:rsidRPr="009D1007" w:rsidRDefault="00F43A28" w:rsidP="00F43A28">
      <w:pPr>
        <w:pStyle w:val="Notedebasdepage"/>
        <w:rPr>
          <w:lang w:val="fr-FR"/>
        </w:rPr>
      </w:pPr>
      <w:r w:rsidRPr="009D1007">
        <w:rPr>
          <w:rStyle w:val="Appelnotedebasdep"/>
          <w:lang w:val="fr-FR"/>
        </w:rPr>
        <w:footnoteRef/>
      </w:r>
      <w:r w:rsidRPr="009D1007">
        <w:rPr>
          <w:lang w:val="fr-FR"/>
        </w:rPr>
        <w:t xml:space="preserve"> </w:t>
      </w:r>
      <w:r w:rsidRPr="009D1007">
        <w:rPr>
          <w:lang w:val="fr-FR"/>
        </w:rPr>
        <w:tab/>
        <w:t xml:space="preserve">OMPI 2005, supra </w:t>
      </w:r>
      <w:r w:rsidR="00B5502A">
        <w:rPr>
          <w:lang w:val="fr-FR"/>
        </w:rPr>
        <w:t>n° </w:t>
      </w:r>
      <w:r w:rsidRPr="009D1007">
        <w:rPr>
          <w:lang w:val="fr-FR"/>
        </w:rPr>
        <w:t>8, 40.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E8" w:rsidRDefault="00113CE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72E" w:rsidRDefault="00E6072E" w:rsidP="00477D6B">
    <w:pPr>
      <w:jc w:val="right"/>
    </w:pPr>
    <w:r>
      <w:t>WIPO/GRTKF/IC/38/15</w:t>
    </w:r>
  </w:p>
  <w:p w:rsidR="00E6072E" w:rsidRDefault="00E6072E" w:rsidP="00477D6B">
    <w:pPr>
      <w:jc w:val="right"/>
    </w:pPr>
    <w:r>
      <w:t>Annex</w:t>
    </w:r>
    <w:r w:rsidR="00113CE8">
      <w:t>e,</w:t>
    </w:r>
    <w:r>
      <w:t xml:space="preserve"> page </w:t>
    </w:r>
    <w:r>
      <w:fldChar w:fldCharType="begin"/>
    </w:r>
    <w:r>
      <w:instrText xml:space="preserve"> PAGE  \* MERGEFORMAT </w:instrText>
    </w:r>
    <w:r>
      <w:fldChar w:fldCharType="separate"/>
    </w:r>
    <w:r w:rsidR="009D1007">
      <w:rPr>
        <w:noProof/>
      </w:rPr>
      <w:t>2</w:t>
    </w:r>
    <w:r>
      <w:fldChar w:fldCharType="end"/>
    </w:r>
  </w:p>
  <w:p w:rsidR="00E6072E" w:rsidRDefault="00E6072E" w:rsidP="00477D6B">
    <w:pPr>
      <w:jc w:val="right"/>
    </w:pPr>
  </w:p>
  <w:p w:rsidR="00E6072E" w:rsidRDefault="00E6072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E8" w:rsidRDefault="00113CE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E6072E" w:rsidP="00477D6B">
    <w:pPr>
      <w:jc w:val="right"/>
    </w:pPr>
    <w:bookmarkStart w:id="6" w:name="Code2"/>
    <w:bookmarkEnd w:id="6"/>
    <w:r>
      <w:t>WIPO/GRTKF/IC/40/11</w:t>
    </w:r>
  </w:p>
  <w:p w:rsidR="00EC4E49" w:rsidRDefault="00D172DE" w:rsidP="00477D6B">
    <w:pPr>
      <w:jc w:val="right"/>
    </w:pPr>
    <w:r>
      <w:t>Annex</w:t>
    </w:r>
    <w:r w:rsidR="00F43A28">
      <w:t>e</w:t>
    </w:r>
    <w:r>
      <w:t xml:space="preserve">, </w:t>
    </w:r>
    <w:r w:rsidR="00EC4E49">
      <w:t xml:space="preserve">page </w:t>
    </w:r>
    <w:r w:rsidR="00EC4E49">
      <w:fldChar w:fldCharType="begin"/>
    </w:r>
    <w:r w:rsidR="00EC4E49">
      <w:instrText xml:space="preserve"> PAGE  \* MERGEFORMAT </w:instrText>
    </w:r>
    <w:r w:rsidR="00EC4E49">
      <w:fldChar w:fldCharType="separate"/>
    </w:r>
    <w:r w:rsidR="00B5502A">
      <w:rPr>
        <w:noProof/>
      </w:rPr>
      <w:t>8</w:t>
    </w:r>
    <w:r w:rsidR="00EC4E49">
      <w:fldChar w:fldCharType="end"/>
    </w:r>
  </w:p>
  <w:p w:rsidR="00EC4E49" w:rsidRDefault="00EC4E49" w:rsidP="00477D6B">
    <w:pPr>
      <w:jc w:val="right"/>
    </w:pPr>
  </w:p>
  <w:p w:rsidR="008A134B" w:rsidRDefault="008A134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2DE" w:rsidRDefault="00D172DE" w:rsidP="00D172DE">
    <w:pPr>
      <w:pStyle w:val="En-tte"/>
      <w:jc w:val="right"/>
    </w:pPr>
    <w:r>
      <w:t>WIPO/GRTKF/IC/40/11</w:t>
    </w:r>
  </w:p>
  <w:p w:rsidR="00D172DE" w:rsidRDefault="00D172DE" w:rsidP="00D172DE">
    <w:pPr>
      <w:pStyle w:val="En-tte"/>
      <w:jc w:val="right"/>
    </w:pPr>
    <w:r>
      <w:t>ANNEX</w:t>
    </w:r>
    <w:r w:rsidR="00F43A28">
      <w:t>E</w:t>
    </w:r>
  </w:p>
  <w:p w:rsidR="00D172DE" w:rsidRDefault="00D172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enumros"/>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empty"/>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E6072E"/>
    <w:rsid w:val="00026751"/>
    <w:rsid w:val="00043CAA"/>
    <w:rsid w:val="00075432"/>
    <w:rsid w:val="000968ED"/>
    <w:rsid w:val="000F5E56"/>
    <w:rsid w:val="00113CE8"/>
    <w:rsid w:val="00121ED4"/>
    <w:rsid w:val="001362EE"/>
    <w:rsid w:val="001647D5"/>
    <w:rsid w:val="001832A6"/>
    <w:rsid w:val="001E1BB2"/>
    <w:rsid w:val="0021217E"/>
    <w:rsid w:val="002634C4"/>
    <w:rsid w:val="002928D3"/>
    <w:rsid w:val="002B1543"/>
    <w:rsid w:val="002F1FE6"/>
    <w:rsid w:val="002F4E68"/>
    <w:rsid w:val="00312F7F"/>
    <w:rsid w:val="00361450"/>
    <w:rsid w:val="003673CF"/>
    <w:rsid w:val="003845C1"/>
    <w:rsid w:val="003A6F89"/>
    <w:rsid w:val="003B38C1"/>
    <w:rsid w:val="00423E3E"/>
    <w:rsid w:val="00427AF4"/>
    <w:rsid w:val="004647DA"/>
    <w:rsid w:val="00474062"/>
    <w:rsid w:val="00477D6B"/>
    <w:rsid w:val="004A172C"/>
    <w:rsid w:val="004C3367"/>
    <w:rsid w:val="005019FF"/>
    <w:rsid w:val="0053057A"/>
    <w:rsid w:val="00560A29"/>
    <w:rsid w:val="005C6649"/>
    <w:rsid w:val="00605827"/>
    <w:rsid w:val="00646050"/>
    <w:rsid w:val="006713CA"/>
    <w:rsid w:val="00676C5C"/>
    <w:rsid w:val="006967DF"/>
    <w:rsid w:val="00705BDB"/>
    <w:rsid w:val="00734479"/>
    <w:rsid w:val="007D1613"/>
    <w:rsid w:val="007E4C0E"/>
    <w:rsid w:val="0080481C"/>
    <w:rsid w:val="0082449C"/>
    <w:rsid w:val="008A134B"/>
    <w:rsid w:val="008B2CC1"/>
    <w:rsid w:val="008B60B2"/>
    <w:rsid w:val="0090731E"/>
    <w:rsid w:val="00916EE2"/>
    <w:rsid w:val="00966A22"/>
    <w:rsid w:val="0096722F"/>
    <w:rsid w:val="00980843"/>
    <w:rsid w:val="009D1007"/>
    <w:rsid w:val="009D1242"/>
    <w:rsid w:val="009E2791"/>
    <w:rsid w:val="009E3F6F"/>
    <w:rsid w:val="009F499F"/>
    <w:rsid w:val="00A119EE"/>
    <w:rsid w:val="00A37342"/>
    <w:rsid w:val="00A42DAF"/>
    <w:rsid w:val="00A45BD8"/>
    <w:rsid w:val="00A869B7"/>
    <w:rsid w:val="00AC205C"/>
    <w:rsid w:val="00AC7148"/>
    <w:rsid w:val="00AF0A6B"/>
    <w:rsid w:val="00B05A69"/>
    <w:rsid w:val="00B5502A"/>
    <w:rsid w:val="00B9734B"/>
    <w:rsid w:val="00BA30E2"/>
    <w:rsid w:val="00C11BFE"/>
    <w:rsid w:val="00C5068F"/>
    <w:rsid w:val="00C86D74"/>
    <w:rsid w:val="00CD04F1"/>
    <w:rsid w:val="00D172DE"/>
    <w:rsid w:val="00D45252"/>
    <w:rsid w:val="00D71B4D"/>
    <w:rsid w:val="00D93D55"/>
    <w:rsid w:val="00E15015"/>
    <w:rsid w:val="00E17E6D"/>
    <w:rsid w:val="00E335FE"/>
    <w:rsid w:val="00E6072E"/>
    <w:rsid w:val="00E64D32"/>
    <w:rsid w:val="00EA7D6E"/>
    <w:rsid w:val="00EB0C6C"/>
    <w:rsid w:val="00EB7454"/>
    <w:rsid w:val="00EC4E49"/>
    <w:rsid w:val="00ED77FB"/>
    <w:rsid w:val="00EE45FA"/>
    <w:rsid w:val="00F43A28"/>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56ABCCA"/>
  <w15:docId w15:val="{4FA96226-1DDA-422E-B651-8F00583C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Titre1">
    <w:name w:val="heading 1"/>
    <w:basedOn w:val="Normal"/>
    <w:next w:val="Normal"/>
    <w:qFormat/>
    <w:rsid w:val="00676C5C"/>
    <w:pPr>
      <w:keepNext/>
      <w:spacing w:before="240" w:after="60"/>
      <w:outlineLvl w:val="0"/>
    </w:pPr>
    <w:rPr>
      <w:b/>
      <w:bCs/>
      <w:caps/>
      <w:kern w:val="32"/>
      <w:szCs w:val="32"/>
    </w:rPr>
  </w:style>
  <w:style w:type="paragraph" w:styleId="Titre2">
    <w:name w:val="heading 2"/>
    <w:basedOn w:val="Normal"/>
    <w:next w:val="Normal"/>
    <w:qFormat/>
    <w:rsid w:val="00676C5C"/>
    <w:pPr>
      <w:keepNext/>
      <w:spacing w:before="240" w:after="60"/>
      <w:outlineLvl w:val="1"/>
    </w:pPr>
    <w:rPr>
      <w:bCs/>
      <w:iCs/>
      <w:caps/>
      <w:szCs w:val="28"/>
    </w:rPr>
  </w:style>
  <w:style w:type="paragraph" w:styleId="Titre3">
    <w:name w:val="heading 3"/>
    <w:basedOn w:val="Normal"/>
    <w:next w:val="Normal"/>
    <w:qFormat/>
    <w:rsid w:val="00676C5C"/>
    <w:pPr>
      <w:keepNext/>
      <w:spacing w:before="240" w:after="60"/>
      <w:outlineLvl w:val="2"/>
    </w:pPr>
    <w:rPr>
      <w:bCs/>
      <w:szCs w:val="26"/>
      <w:u w:val="single"/>
    </w:rPr>
  </w:style>
  <w:style w:type="paragraph" w:styleId="Titre4">
    <w:name w:val="heading 4"/>
    <w:basedOn w:val="Normal"/>
    <w:next w:val="Normal"/>
    <w:qFormat/>
    <w:rsid w:val="00676C5C"/>
    <w:pPr>
      <w:keepNext/>
      <w:spacing w:before="240" w:after="60"/>
      <w:outlineLvl w:val="3"/>
    </w:pPr>
    <w:rPr>
      <w:bCs/>
      <w:i/>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dofdocument-Annex">
    <w:name w:val="[End of document - Annex]"/>
    <w:basedOn w:val="Normal"/>
    <w:rsid w:val="0053057A"/>
    <w:pPr>
      <w:ind w:left="5534"/>
    </w:pPr>
  </w:style>
  <w:style w:type="paragraph" w:styleId="Corpsdetexte">
    <w:name w:val="Body Text"/>
    <w:basedOn w:val="Normal"/>
    <w:rsid w:val="00676C5C"/>
    <w:pPr>
      <w:spacing w:after="220"/>
    </w:pPr>
  </w:style>
  <w:style w:type="paragraph" w:styleId="Lgende">
    <w:name w:val="caption"/>
    <w:basedOn w:val="Normal"/>
    <w:next w:val="Normal"/>
    <w:qFormat/>
    <w:rsid w:val="00676C5C"/>
    <w:rPr>
      <w:b/>
      <w:bCs/>
      <w:sz w:val="18"/>
    </w:rPr>
  </w:style>
  <w:style w:type="paragraph" w:styleId="Commentaire">
    <w:name w:val="annotation text"/>
    <w:basedOn w:val="Normal"/>
    <w:semiHidden/>
    <w:rsid w:val="00676C5C"/>
    <w:rPr>
      <w:sz w:val="18"/>
    </w:rPr>
  </w:style>
  <w:style w:type="paragraph" w:styleId="Notedefin">
    <w:name w:val="endnote text"/>
    <w:basedOn w:val="Normal"/>
    <w:semiHidden/>
    <w:rsid w:val="00676C5C"/>
    <w:rPr>
      <w:sz w:val="18"/>
    </w:rPr>
  </w:style>
  <w:style w:type="paragraph" w:styleId="Pieddepage">
    <w:name w:val="footer"/>
    <w:basedOn w:val="Normal"/>
    <w:semiHidden/>
    <w:rsid w:val="00676C5C"/>
    <w:pPr>
      <w:tabs>
        <w:tab w:val="center" w:pos="4320"/>
        <w:tab w:val="right" w:pos="8640"/>
      </w:tabs>
    </w:pPr>
  </w:style>
  <w:style w:type="paragraph" w:styleId="Notedebasdepage">
    <w:name w:val="footnote text"/>
    <w:basedOn w:val="Normal"/>
    <w:semiHidden/>
    <w:rsid w:val="00676C5C"/>
    <w:rPr>
      <w:sz w:val="18"/>
    </w:rPr>
  </w:style>
  <w:style w:type="paragraph" w:styleId="En-tte">
    <w:name w:val="header"/>
    <w:basedOn w:val="Normal"/>
    <w:link w:val="En-tteCar"/>
    <w:uiPriority w:val="99"/>
    <w:rsid w:val="00676C5C"/>
    <w:pPr>
      <w:tabs>
        <w:tab w:val="center" w:pos="4536"/>
        <w:tab w:val="right" w:pos="9072"/>
      </w:tabs>
    </w:pPr>
  </w:style>
  <w:style w:type="paragraph" w:styleId="Listenumros">
    <w:name w:val="List Number"/>
    <w:basedOn w:val="Normal"/>
    <w:semiHidden/>
    <w:rsid w:val="00676C5C"/>
    <w:pPr>
      <w:numPr>
        <w:numId w:val="4"/>
      </w:numPr>
    </w:pPr>
  </w:style>
  <w:style w:type="paragraph" w:customStyle="1" w:styleId="ONUME">
    <w:name w:val="ONUM E"/>
    <w:basedOn w:val="Corpsdetexte"/>
    <w:rsid w:val="00676C5C"/>
    <w:pPr>
      <w:numPr>
        <w:numId w:val="5"/>
      </w:numPr>
    </w:pPr>
  </w:style>
  <w:style w:type="paragraph" w:customStyle="1" w:styleId="ONUMFS">
    <w:name w:val="ONUM FS"/>
    <w:basedOn w:val="Corpsdetexte"/>
    <w:rsid w:val="00676C5C"/>
    <w:pPr>
      <w:numPr>
        <w:numId w:val="6"/>
      </w:numPr>
    </w:pPr>
  </w:style>
  <w:style w:type="paragraph" w:styleId="Salutations">
    <w:name w:val="Salutation"/>
    <w:basedOn w:val="Normal"/>
    <w:next w:val="Normal"/>
    <w:semiHidden/>
    <w:rsid w:val="00676C5C"/>
  </w:style>
  <w:style w:type="paragraph" w:styleId="Signature">
    <w:name w:val="Signature"/>
    <w:basedOn w:val="Normal"/>
    <w:semiHidden/>
    <w:rsid w:val="00676C5C"/>
    <w:pPr>
      <w:ind w:left="5250"/>
    </w:pPr>
  </w:style>
  <w:style w:type="character" w:styleId="Appelnotedebasdep">
    <w:name w:val="footnote reference"/>
    <w:basedOn w:val="Policepardfaut"/>
    <w:uiPriority w:val="99"/>
    <w:semiHidden/>
    <w:unhideWhenUsed/>
    <w:rsid w:val="00E6072E"/>
    <w:rPr>
      <w:vertAlign w:val="superscript"/>
    </w:rPr>
  </w:style>
  <w:style w:type="character" w:customStyle="1" w:styleId="En-tteCar">
    <w:name w:val="En-tête Car"/>
    <w:basedOn w:val="Policepardfaut"/>
    <w:link w:val="En-tte"/>
    <w:uiPriority w:val="99"/>
    <w:rsid w:val="00E6072E"/>
    <w:rPr>
      <w:rFonts w:ascii="Arial" w:eastAsia="SimSun" w:hAnsi="Arial" w:cs="Arial"/>
      <w:sz w:val="22"/>
      <w:lang w:val="en-US" w:eastAsia="zh-CN"/>
    </w:rPr>
  </w:style>
  <w:style w:type="character" w:styleId="Lienhypertexte">
    <w:name w:val="Hyperlink"/>
    <w:basedOn w:val="Policepardfaut"/>
    <w:unhideWhenUsed/>
    <w:rsid w:val="00E6072E"/>
    <w:rPr>
      <w:color w:val="0000FF" w:themeColor="hyperlink"/>
      <w:u w:val="single"/>
    </w:rPr>
  </w:style>
  <w:style w:type="paragraph" w:styleId="Textedebulles">
    <w:name w:val="Balloon Text"/>
    <w:basedOn w:val="Normal"/>
    <w:link w:val="TextedebullesCar"/>
    <w:semiHidden/>
    <w:unhideWhenUsed/>
    <w:rsid w:val="009D1242"/>
    <w:rPr>
      <w:rFonts w:ascii="Segoe UI" w:hAnsi="Segoe UI" w:cs="Segoe UI"/>
      <w:sz w:val="18"/>
      <w:szCs w:val="18"/>
    </w:rPr>
  </w:style>
  <w:style w:type="character" w:customStyle="1" w:styleId="TextedebullesCar">
    <w:name w:val="Texte de bulles Car"/>
    <w:basedOn w:val="Policepardfaut"/>
    <w:link w:val="Textedebulles"/>
    <w:semiHidden/>
    <w:rsid w:val="009D1242"/>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40 (E).dotm</Template>
  <TotalTime>29</TotalTime>
  <Pages>9</Pages>
  <Words>2923</Words>
  <Characters>16741</Characters>
  <Application>Microsoft Office Word</Application>
  <DocSecurity>0</DocSecurity>
  <Lines>348</Lines>
  <Paragraphs>223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WIPO/GRTKF/IC/40/11</vt:lpstr>
      <vt:lpstr>WIPO/GRTKF/IC/40/11</vt:lpstr>
    </vt:vector>
  </TitlesOfParts>
  <Company>WIPO</Company>
  <LinksUpToDate>false</LinksUpToDate>
  <CharactersWithSpaces>19441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WIPO/GRTKF/IC/40/11</dc:title>
  <dc:creator>JIAO Fei</dc:creator>
  <cp:keywords>FOR OFFICIAL USE ONLY</cp:keywords>
  <cp:lastModifiedBy>PLUMLEY Mauricio</cp:lastModifiedBy>
  <cp:revision>15</cp:revision>
  <cp:lastPrinted>2019-05-27T09:39:00Z</cp:lastPrinted>
  <dcterms:created xsi:type="dcterms:W3CDTF">2019-05-27T09:39:00Z</dcterms:created>
  <dcterms:modified xsi:type="dcterms:W3CDTF">2019-05-27T13:51:00Z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89cb9b77-4bed-4760-b6b1-a526437b8056</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