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D9120D" w:rsidRPr="00D9120D" w:rsidTr="0060361B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04A38" w:rsidRPr="00D9120D" w:rsidRDefault="00104A38" w:rsidP="0060361B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04A38" w:rsidRPr="00D9120D" w:rsidRDefault="00104A38" w:rsidP="0060361B">
            <w:pPr>
              <w:rPr>
                <w:lang w:val="fr-FR"/>
              </w:rPr>
            </w:pPr>
            <w:r w:rsidRPr="00D9120D">
              <w:rPr>
                <w:noProof/>
                <w:lang w:val="fr-FR" w:eastAsia="fr-FR"/>
              </w:rPr>
              <w:drawing>
                <wp:inline distT="0" distB="0" distL="0" distR="0" wp14:anchorId="5BE5FCD8" wp14:editId="2121E4D4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04A38" w:rsidRPr="00D9120D" w:rsidRDefault="00104A38" w:rsidP="0060361B">
            <w:pPr>
              <w:jc w:val="right"/>
              <w:rPr>
                <w:lang w:val="fr-FR"/>
              </w:rPr>
            </w:pPr>
            <w:r w:rsidRPr="00D9120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D9120D" w:rsidRPr="00D9120D" w:rsidTr="0060361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04A38" w:rsidRPr="00D9120D" w:rsidRDefault="00104A38" w:rsidP="00892CD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9120D">
              <w:rPr>
                <w:rFonts w:ascii="Arial Black" w:hAnsi="Arial Black"/>
                <w:caps/>
                <w:sz w:val="15"/>
                <w:lang w:val="fr-FR"/>
              </w:rPr>
              <w:t xml:space="preserve">WIPO/GRTKF/IC/35 </w:t>
            </w:r>
          </w:p>
        </w:tc>
      </w:tr>
      <w:tr w:rsidR="00D9120D" w:rsidRPr="00D9120D" w:rsidTr="006036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04A38" w:rsidRPr="00D9120D" w:rsidRDefault="00104A38" w:rsidP="0060361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9120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7E7DAB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D9120D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D9120D" w:rsidRPr="00D9120D" w:rsidTr="006036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04A38" w:rsidRPr="00D9120D" w:rsidRDefault="00104A38" w:rsidP="00042E9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9120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7E7DAB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D9120D">
              <w:rPr>
                <w:rFonts w:ascii="Arial Black" w:hAnsi="Arial Black"/>
                <w:caps/>
                <w:sz w:val="15"/>
                <w:lang w:val="fr-FR"/>
              </w:rPr>
              <w:t xml:space="preserve"> 2</w:t>
            </w:r>
            <w:r w:rsidR="00C343AF" w:rsidRPr="00D9120D">
              <w:rPr>
                <w:rFonts w:ascii="Arial Black" w:hAnsi="Arial Black"/>
                <w:caps/>
                <w:sz w:val="15"/>
                <w:lang w:val="fr-FR"/>
              </w:rPr>
              <w:t>3 mars 20</w:t>
            </w:r>
            <w:r w:rsidR="00042E91" w:rsidRPr="00D9120D">
              <w:rPr>
                <w:rFonts w:ascii="Arial Black" w:hAnsi="Arial Black"/>
                <w:caps/>
                <w:sz w:val="15"/>
                <w:lang w:val="fr-FR"/>
              </w:rPr>
              <w:t>18</w:t>
            </w:r>
          </w:p>
        </w:tc>
      </w:tr>
    </w:tbl>
    <w:p w:rsidR="00B64B91" w:rsidRDefault="00B64B91" w:rsidP="00104A38">
      <w:pPr>
        <w:rPr>
          <w:szCs w:val="22"/>
          <w:lang w:val="fr-FR"/>
        </w:rPr>
      </w:pPr>
    </w:p>
    <w:p w:rsidR="00B64B91" w:rsidRDefault="00B64B91" w:rsidP="00104A38">
      <w:pPr>
        <w:rPr>
          <w:szCs w:val="22"/>
          <w:lang w:val="fr-FR"/>
        </w:rPr>
      </w:pPr>
    </w:p>
    <w:p w:rsidR="00B64B91" w:rsidRDefault="00B64B91" w:rsidP="00104A38">
      <w:pPr>
        <w:rPr>
          <w:szCs w:val="22"/>
          <w:lang w:val="fr-FR"/>
        </w:rPr>
      </w:pPr>
    </w:p>
    <w:p w:rsidR="00B64B91" w:rsidRDefault="00B64B91" w:rsidP="00104A38">
      <w:pPr>
        <w:rPr>
          <w:szCs w:val="22"/>
          <w:lang w:val="fr-FR"/>
        </w:rPr>
      </w:pPr>
    </w:p>
    <w:p w:rsidR="00B64B91" w:rsidRDefault="00B64B91" w:rsidP="00104A38">
      <w:pPr>
        <w:rPr>
          <w:szCs w:val="22"/>
          <w:lang w:val="fr-FR"/>
        </w:rPr>
      </w:pPr>
    </w:p>
    <w:p w:rsidR="00B64B91" w:rsidRDefault="00104A38" w:rsidP="00104A38">
      <w:pPr>
        <w:rPr>
          <w:b/>
          <w:sz w:val="28"/>
          <w:szCs w:val="28"/>
          <w:lang w:val="fr-FR"/>
        </w:rPr>
      </w:pPr>
      <w:r w:rsidRPr="00D9120D">
        <w:rPr>
          <w:b/>
          <w:sz w:val="28"/>
          <w:szCs w:val="28"/>
          <w:lang w:val="fr-FR"/>
        </w:rPr>
        <w:t>Comité intergouvernemental de la propriété intellectuelle relative aux</w:t>
      </w:r>
      <w:r w:rsidR="001A6822" w:rsidRPr="00D9120D">
        <w:rPr>
          <w:b/>
          <w:sz w:val="28"/>
          <w:szCs w:val="28"/>
          <w:lang w:val="fr-FR"/>
        </w:rPr>
        <w:t xml:space="preserve"> </w:t>
      </w:r>
      <w:r w:rsidRPr="00D9120D">
        <w:rPr>
          <w:b/>
          <w:sz w:val="28"/>
          <w:szCs w:val="28"/>
          <w:lang w:val="fr-FR"/>
        </w:rPr>
        <w:t>ressources génétiques, aux savoirs traditionnels et au folklore</w:t>
      </w:r>
    </w:p>
    <w:p w:rsidR="00B64B91" w:rsidRDefault="00B64B91" w:rsidP="00104A38">
      <w:pPr>
        <w:rPr>
          <w:szCs w:val="22"/>
          <w:lang w:val="fr-FR"/>
        </w:rPr>
      </w:pPr>
    </w:p>
    <w:p w:rsidR="00B64B91" w:rsidRDefault="00B64B91" w:rsidP="00104A38">
      <w:pPr>
        <w:rPr>
          <w:szCs w:val="22"/>
          <w:lang w:val="fr-FR"/>
        </w:rPr>
      </w:pPr>
    </w:p>
    <w:p w:rsidR="00B64B91" w:rsidRDefault="00104A38" w:rsidP="00104A38">
      <w:pPr>
        <w:rPr>
          <w:b/>
          <w:sz w:val="24"/>
          <w:szCs w:val="24"/>
          <w:lang w:val="fr-FR"/>
        </w:rPr>
      </w:pPr>
      <w:r w:rsidRPr="00D9120D">
        <w:rPr>
          <w:b/>
          <w:sz w:val="24"/>
          <w:szCs w:val="24"/>
          <w:lang w:val="fr-FR"/>
        </w:rPr>
        <w:t>Trente</w:t>
      </w:r>
      <w:r w:rsidR="007E7DAB">
        <w:rPr>
          <w:b/>
          <w:sz w:val="24"/>
          <w:szCs w:val="24"/>
          <w:lang w:val="fr-FR"/>
        </w:rPr>
        <w:t>-</w:t>
      </w:r>
      <w:r w:rsidRPr="00D9120D">
        <w:rPr>
          <w:b/>
          <w:sz w:val="24"/>
          <w:szCs w:val="24"/>
          <w:lang w:val="fr-FR"/>
        </w:rPr>
        <w:t>cinqu</w:t>
      </w:r>
      <w:r w:rsidR="007E7DAB">
        <w:rPr>
          <w:b/>
          <w:sz w:val="24"/>
          <w:szCs w:val="24"/>
          <w:lang w:val="fr-FR"/>
        </w:rPr>
        <w:t>ième session</w:t>
      </w:r>
    </w:p>
    <w:p w:rsidR="00B64B91" w:rsidRDefault="00104A38" w:rsidP="00104A38">
      <w:pPr>
        <w:rPr>
          <w:b/>
          <w:sz w:val="24"/>
          <w:szCs w:val="24"/>
          <w:lang w:val="fr-FR"/>
        </w:rPr>
      </w:pPr>
      <w:r w:rsidRPr="00D9120D">
        <w:rPr>
          <w:b/>
          <w:sz w:val="24"/>
          <w:szCs w:val="24"/>
          <w:lang w:val="fr-FR"/>
        </w:rPr>
        <w:t>Genève, 19 – 2</w:t>
      </w:r>
      <w:r w:rsidR="00C343AF" w:rsidRPr="00D9120D">
        <w:rPr>
          <w:b/>
          <w:sz w:val="24"/>
          <w:szCs w:val="24"/>
          <w:lang w:val="fr-FR"/>
        </w:rPr>
        <w:t>3 mars 20</w:t>
      </w:r>
      <w:r w:rsidRPr="00D9120D">
        <w:rPr>
          <w:b/>
          <w:sz w:val="24"/>
          <w:szCs w:val="24"/>
          <w:lang w:val="fr-FR"/>
        </w:rPr>
        <w:t>18</w:t>
      </w:r>
    </w:p>
    <w:p w:rsidR="00B64B91" w:rsidRDefault="00B64B91" w:rsidP="00104A38">
      <w:pPr>
        <w:pStyle w:val="Meetingdateplace"/>
        <w:ind w:left="0"/>
        <w:rPr>
          <w:b w:val="0"/>
          <w:sz w:val="22"/>
          <w:szCs w:val="22"/>
          <w:lang w:val="fr-FR"/>
        </w:rPr>
      </w:pPr>
    </w:p>
    <w:p w:rsidR="00B64B91" w:rsidRDefault="00B64B91" w:rsidP="00104A38">
      <w:pPr>
        <w:pStyle w:val="Meetingdateplace"/>
        <w:ind w:left="0"/>
        <w:rPr>
          <w:b w:val="0"/>
          <w:sz w:val="22"/>
          <w:szCs w:val="22"/>
          <w:lang w:val="fr-FR"/>
        </w:rPr>
      </w:pPr>
    </w:p>
    <w:p w:rsidR="00B64B91" w:rsidRDefault="00B64B91" w:rsidP="00104A38">
      <w:pPr>
        <w:pStyle w:val="Meetingdateplace"/>
        <w:ind w:left="0"/>
        <w:rPr>
          <w:b w:val="0"/>
          <w:sz w:val="22"/>
          <w:szCs w:val="22"/>
          <w:lang w:val="fr-FR"/>
        </w:rPr>
      </w:pPr>
    </w:p>
    <w:p w:rsidR="00B64B91" w:rsidRDefault="00375636" w:rsidP="00F22F06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D</w:t>
      </w:r>
      <w:r w:rsidR="00F22F06" w:rsidRPr="00D9120D">
        <w:rPr>
          <w:caps/>
          <w:sz w:val="24"/>
          <w:lang w:val="fr-FR"/>
        </w:rPr>
        <w:t>écisions de la trente</w:t>
      </w:r>
      <w:r w:rsidR="007E7DAB">
        <w:rPr>
          <w:caps/>
          <w:sz w:val="24"/>
          <w:lang w:val="fr-FR"/>
        </w:rPr>
        <w:t>-</w:t>
      </w:r>
      <w:r w:rsidR="00F22F06" w:rsidRPr="00D9120D">
        <w:rPr>
          <w:caps/>
          <w:sz w:val="24"/>
          <w:lang w:val="fr-FR"/>
        </w:rPr>
        <w:t>cinqu</w:t>
      </w:r>
      <w:r w:rsidR="007E7DAB">
        <w:rPr>
          <w:caps/>
          <w:sz w:val="24"/>
          <w:lang w:val="fr-FR"/>
        </w:rPr>
        <w:t>ième session</w:t>
      </w:r>
      <w:r w:rsidR="00F22F06" w:rsidRPr="00D9120D">
        <w:rPr>
          <w:caps/>
          <w:sz w:val="24"/>
          <w:lang w:val="fr-FR"/>
        </w:rPr>
        <w:t xml:space="preserve"> du comité</w:t>
      </w:r>
    </w:p>
    <w:p w:rsidR="00B64B91" w:rsidRDefault="00B64B91" w:rsidP="008B2CC1">
      <w:pPr>
        <w:rPr>
          <w:lang w:val="fr-FR"/>
        </w:rPr>
      </w:pPr>
    </w:p>
    <w:p w:rsidR="00B64B91" w:rsidRDefault="001D3D81" w:rsidP="00F22F06">
      <w:pPr>
        <w:rPr>
          <w:i/>
          <w:lang w:val="fr-FR"/>
        </w:rPr>
      </w:pPr>
      <w:bookmarkStart w:id="1" w:name="Prepared"/>
      <w:bookmarkEnd w:id="1"/>
      <w:proofErr w:type="gramStart"/>
      <w:r>
        <w:rPr>
          <w:i/>
          <w:lang w:val="fr-FR"/>
        </w:rPr>
        <w:t>adoptées</w:t>
      </w:r>
      <w:proofErr w:type="gramEnd"/>
      <w:r w:rsidR="00F22F06" w:rsidRPr="00D9120D">
        <w:rPr>
          <w:i/>
          <w:lang w:val="fr-FR"/>
        </w:rPr>
        <w:t xml:space="preserve"> par le </w:t>
      </w:r>
      <w:r>
        <w:rPr>
          <w:i/>
          <w:lang w:val="fr-FR"/>
        </w:rPr>
        <w:t>comité</w:t>
      </w:r>
    </w:p>
    <w:p w:rsidR="00B64B91" w:rsidRDefault="00B64B91">
      <w:pPr>
        <w:rPr>
          <w:lang w:val="fr-FR"/>
        </w:rPr>
      </w:pPr>
    </w:p>
    <w:p w:rsidR="00B64B91" w:rsidRDefault="00B64B91">
      <w:pPr>
        <w:rPr>
          <w:lang w:val="fr-FR"/>
        </w:rPr>
      </w:pPr>
    </w:p>
    <w:p w:rsidR="00B64B91" w:rsidRDefault="005428C9" w:rsidP="00AF39E8">
      <w:pPr>
        <w:spacing w:after="120" w:line="260" w:lineRule="atLeast"/>
        <w:rPr>
          <w:caps/>
          <w:szCs w:val="22"/>
          <w:lang w:val="fr-FR"/>
        </w:rPr>
      </w:pPr>
      <w:r w:rsidRPr="00D9120D">
        <w:rPr>
          <w:lang w:val="fr-FR"/>
        </w:rPr>
        <w:br w:type="page"/>
      </w:r>
      <w:r w:rsidR="00AF39E8" w:rsidRPr="00D9120D">
        <w:rPr>
          <w:caps/>
          <w:lang w:val="fr-FR"/>
        </w:rPr>
        <w:lastRenderedPageBreak/>
        <w:t xml:space="preserve">Décision en ce qui concerne le </w:t>
      </w:r>
      <w:r w:rsidR="00C343AF" w:rsidRPr="00D9120D">
        <w:rPr>
          <w:caps/>
          <w:lang w:val="fr-FR"/>
        </w:rPr>
        <w:t>point 2</w:t>
      </w:r>
      <w:r w:rsidR="00AF39E8" w:rsidRPr="00D9120D">
        <w:rPr>
          <w:caps/>
          <w:lang w:val="fr-FR"/>
        </w:rPr>
        <w:t xml:space="preserve"> de l</w:t>
      </w:r>
      <w:r w:rsidR="007E7DAB">
        <w:rPr>
          <w:caps/>
          <w:lang w:val="fr-FR"/>
        </w:rPr>
        <w:t>’</w:t>
      </w:r>
      <w:r w:rsidR="00AF39E8" w:rsidRPr="00D9120D">
        <w:rPr>
          <w:caps/>
          <w:lang w:val="fr-FR"/>
        </w:rPr>
        <w:t>ordre du jour</w:t>
      </w:r>
      <w:r w:rsidR="007E7DAB">
        <w:rPr>
          <w:caps/>
          <w:lang w:val="fr-FR"/>
        </w:rPr>
        <w:t> :</w:t>
      </w:r>
    </w:p>
    <w:p w:rsidR="00B64B91" w:rsidRDefault="00AF39E8" w:rsidP="00AF39E8">
      <w:pPr>
        <w:spacing w:after="120" w:line="260" w:lineRule="atLeast"/>
        <w:rPr>
          <w:caps/>
          <w:szCs w:val="22"/>
          <w:lang w:val="fr-FR"/>
        </w:rPr>
      </w:pPr>
      <w:r w:rsidRPr="00D9120D">
        <w:rPr>
          <w:caps/>
          <w:szCs w:val="22"/>
          <w:lang w:val="fr-FR"/>
        </w:rPr>
        <w:t>Élection des membres du bureau</w:t>
      </w:r>
    </w:p>
    <w:p w:rsidR="00B64B91" w:rsidRDefault="00AF39E8" w:rsidP="00B532F1">
      <w:pPr>
        <w:spacing w:after="120" w:line="260" w:lineRule="atLeast"/>
        <w:rPr>
          <w:szCs w:val="22"/>
          <w:lang w:val="fr-FR"/>
        </w:rPr>
      </w:pPr>
      <w:r w:rsidRPr="00D9120D">
        <w:rPr>
          <w:szCs w:val="22"/>
          <w:lang w:val="fr-FR"/>
        </w:rPr>
        <w:t>Sur proposition de la délégation de la Suisse, présentée au nom du groupe</w:t>
      </w:r>
      <w:r w:rsidR="001A6822" w:rsidRPr="00D9120D">
        <w:rPr>
          <w:szCs w:val="22"/>
          <w:lang w:val="fr-FR"/>
        </w:rPr>
        <w:t> </w:t>
      </w:r>
      <w:r w:rsidRPr="00D9120D">
        <w:rPr>
          <w:szCs w:val="22"/>
          <w:lang w:val="fr-FR"/>
        </w:rPr>
        <w:t>B et appuyée par la délégation de l</w:t>
      </w:r>
      <w:r w:rsidR="007E7DAB">
        <w:rPr>
          <w:szCs w:val="22"/>
          <w:lang w:val="fr-FR"/>
        </w:rPr>
        <w:t>’</w:t>
      </w:r>
      <w:r w:rsidRPr="00D9120D">
        <w:rPr>
          <w:szCs w:val="22"/>
          <w:lang w:val="fr-FR"/>
        </w:rPr>
        <w:t>Indonésie au nom du groupe des pays d</w:t>
      </w:r>
      <w:r w:rsidR="007E7DAB">
        <w:rPr>
          <w:szCs w:val="22"/>
          <w:lang w:val="fr-FR"/>
        </w:rPr>
        <w:t>’</w:t>
      </w:r>
      <w:r w:rsidRPr="00D9120D">
        <w:rPr>
          <w:szCs w:val="22"/>
          <w:lang w:val="fr-FR"/>
        </w:rPr>
        <w:t xml:space="preserve">Asie et du Pacifique, et </w:t>
      </w:r>
      <w:r w:rsidR="0008743C" w:rsidRPr="00D9120D">
        <w:rPr>
          <w:szCs w:val="22"/>
          <w:lang w:val="fr-FR"/>
        </w:rPr>
        <w:t>par</w:t>
      </w:r>
      <w:r w:rsidRPr="00D9120D">
        <w:rPr>
          <w:szCs w:val="22"/>
          <w:lang w:val="fr-FR"/>
        </w:rPr>
        <w:t xml:space="preserve"> la délégation de l</w:t>
      </w:r>
      <w:r w:rsidR="007E7DAB">
        <w:rPr>
          <w:szCs w:val="22"/>
          <w:lang w:val="fr-FR"/>
        </w:rPr>
        <w:t>’</w:t>
      </w:r>
      <w:r w:rsidRPr="00D9120D">
        <w:rPr>
          <w:szCs w:val="22"/>
          <w:lang w:val="fr-FR"/>
        </w:rPr>
        <w:t>Équateur, au nom du groupe des pays d</w:t>
      </w:r>
      <w:r w:rsidR="007E7DAB">
        <w:rPr>
          <w:szCs w:val="22"/>
          <w:lang w:val="fr-FR"/>
        </w:rPr>
        <w:t>’</w:t>
      </w:r>
      <w:r w:rsidRPr="00D9120D">
        <w:rPr>
          <w:szCs w:val="22"/>
          <w:lang w:val="fr-FR"/>
        </w:rPr>
        <w:t>Amérique latine et des Caraïbes (GRULAC), le comité, à l</w:t>
      </w:r>
      <w:r w:rsidR="007E7DAB">
        <w:rPr>
          <w:szCs w:val="22"/>
          <w:lang w:val="fr-FR"/>
        </w:rPr>
        <w:t>’</w:t>
      </w:r>
      <w:r w:rsidRPr="00D9120D">
        <w:rPr>
          <w:szCs w:val="22"/>
          <w:lang w:val="fr-FR"/>
        </w:rPr>
        <w:t>unanimité et par acclamation, a élu M. Ian </w:t>
      </w:r>
      <w:proofErr w:type="spellStart"/>
      <w:r w:rsidRPr="00D9120D">
        <w:rPr>
          <w:szCs w:val="22"/>
          <w:lang w:val="fr-FR"/>
        </w:rPr>
        <w:t>Goss</w:t>
      </w:r>
      <w:proofErr w:type="spellEnd"/>
      <w:r w:rsidRPr="00D9120D">
        <w:rPr>
          <w:szCs w:val="22"/>
          <w:lang w:val="fr-FR"/>
        </w:rPr>
        <w:t xml:space="preserve"> (Australie) président pour l</w:t>
      </w:r>
      <w:r w:rsidR="007E7DAB">
        <w:rPr>
          <w:szCs w:val="22"/>
          <w:lang w:val="fr-FR"/>
        </w:rPr>
        <w:t>’</w:t>
      </w:r>
      <w:r w:rsidRPr="00D9120D">
        <w:rPr>
          <w:szCs w:val="22"/>
          <w:lang w:val="fr-FR"/>
        </w:rPr>
        <w:t>exercice biennal 2018</w:t>
      </w:r>
      <w:r w:rsidR="007E7DAB">
        <w:rPr>
          <w:szCs w:val="22"/>
          <w:lang w:val="fr-FR"/>
        </w:rPr>
        <w:t>-</w:t>
      </w:r>
      <w:r w:rsidRPr="00D9120D">
        <w:rPr>
          <w:szCs w:val="22"/>
          <w:lang w:val="fr-FR"/>
        </w:rPr>
        <w:t>2019.</w:t>
      </w:r>
      <w:r w:rsidR="00D85698" w:rsidRPr="00D9120D">
        <w:rPr>
          <w:lang w:val="fr-FR"/>
        </w:rPr>
        <w:t xml:space="preserve">  </w:t>
      </w:r>
      <w:r w:rsidR="00B532F1" w:rsidRPr="00D9120D">
        <w:rPr>
          <w:szCs w:val="22"/>
          <w:lang w:val="fr-FR"/>
        </w:rPr>
        <w:t>Sur proposition de la délégation de la Suisse, présentée au nom du groupe</w:t>
      </w:r>
      <w:r w:rsidR="001A6822" w:rsidRPr="00D9120D">
        <w:rPr>
          <w:szCs w:val="22"/>
          <w:lang w:val="fr-FR"/>
        </w:rPr>
        <w:t> </w:t>
      </w:r>
      <w:r w:rsidR="00B532F1" w:rsidRPr="00D9120D">
        <w:rPr>
          <w:szCs w:val="22"/>
          <w:lang w:val="fr-FR"/>
        </w:rPr>
        <w:t>B et appuyée par la délégation de l</w:t>
      </w:r>
      <w:r w:rsidR="007E7DAB">
        <w:rPr>
          <w:szCs w:val="22"/>
          <w:lang w:val="fr-FR"/>
        </w:rPr>
        <w:t>’</w:t>
      </w:r>
      <w:r w:rsidR="00B532F1" w:rsidRPr="00D9120D">
        <w:rPr>
          <w:szCs w:val="22"/>
          <w:lang w:val="fr-FR"/>
        </w:rPr>
        <w:t>Indonésie au nom du groupe des pays d</w:t>
      </w:r>
      <w:r w:rsidR="007E7DAB">
        <w:rPr>
          <w:szCs w:val="22"/>
          <w:lang w:val="fr-FR"/>
        </w:rPr>
        <w:t>’</w:t>
      </w:r>
      <w:r w:rsidR="00B532F1" w:rsidRPr="00D9120D">
        <w:rPr>
          <w:szCs w:val="22"/>
          <w:lang w:val="fr-FR"/>
        </w:rPr>
        <w:t xml:space="preserve">Asie et du Pacifique, et </w:t>
      </w:r>
      <w:r w:rsidR="0008743C" w:rsidRPr="00D9120D">
        <w:rPr>
          <w:szCs w:val="22"/>
          <w:lang w:val="fr-FR"/>
        </w:rPr>
        <w:t>par</w:t>
      </w:r>
      <w:r w:rsidR="00B532F1" w:rsidRPr="00D9120D">
        <w:rPr>
          <w:szCs w:val="22"/>
          <w:lang w:val="fr-FR"/>
        </w:rPr>
        <w:t xml:space="preserve"> la délégation de l</w:t>
      </w:r>
      <w:r w:rsidR="007E7DAB">
        <w:rPr>
          <w:szCs w:val="22"/>
          <w:lang w:val="fr-FR"/>
        </w:rPr>
        <w:t>’</w:t>
      </w:r>
      <w:r w:rsidR="00B532F1" w:rsidRPr="00D9120D">
        <w:rPr>
          <w:szCs w:val="22"/>
          <w:lang w:val="fr-FR"/>
        </w:rPr>
        <w:t>Équateur, au nom</w:t>
      </w:r>
      <w:r w:rsidR="00C343AF" w:rsidRPr="00D9120D">
        <w:rPr>
          <w:szCs w:val="22"/>
          <w:lang w:val="fr-FR"/>
        </w:rPr>
        <w:t xml:space="preserve"> du GRU</w:t>
      </w:r>
      <w:r w:rsidR="00B532F1" w:rsidRPr="00D9120D">
        <w:rPr>
          <w:szCs w:val="22"/>
          <w:lang w:val="fr-FR"/>
        </w:rPr>
        <w:t xml:space="preserve">LAC, le comité a élu </w:t>
      </w:r>
      <w:r w:rsidR="00B532F1" w:rsidRPr="00D9120D">
        <w:rPr>
          <w:lang w:val="fr-FR"/>
        </w:rPr>
        <w:t>M.</w:t>
      </w:r>
      <w:r w:rsidR="001A6822" w:rsidRPr="00D9120D">
        <w:rPr>
          <w:szCs w:val="22"/>
          <w:lang w:val="fr-FR"/>
        </w:rPr>
        <w:t> </w:t>
      </w:r>
      <w:proofErr w:type="spellStart"/>
      <w:r w:rsidR="00B532F1" w:rsidRPr="00D9120D">
        <w:rPr>
          <w:szCs w:val="22"/>
          <w:lang w:val="fr-FR"/>
        </w:rPr>
        <w:t>Jukka</w:t>
      </w:r>
      <w:proofErr w:type="spellEnd"/>
      <w:r w:rsidR="00417C9E" w:rsidRPr="00D9120D">
        <w:rPr>
          <w:szCs w:val="22"/>
          <w:lang w:val="fr-FR"/>
        </w:rPr>
        <w:t> </w:t>
      </w:r>
      <w:proofErr w:type="spellStart"/>
      <w:r w:rsidR="00B532F1" w:rsidRPr="00D9120D">
        <w:rPr>
          <w:szCs w:val="22"/>
          <w:lang w:val="fr-FR"/>
        </w:rPr>
        <w:t>Liedes</w:t>
      </w:r>
      <w:proofErr w:type="spellEnd"/>
      <w:r w:rsidR="00B532F1" w:rsidRPr="00D9120D">
        <w:rPr>
          <w:szCs w:val="22"/>
          <w:lang w:val="fr-FR"/>
        </w:rPr>
        <w:t xml:space="preserve"> (Finlande) et, sur proposition de la délégation de l</w:t>
      </w:r>
      <w:r w:rsidR="007E7DAB">
        <w:rPr>
          <w:szCs w:val="22"/>
          <w:lang w:val="fr-FR"/>
        </w:rPr>
        <w:t>’</w:t>
      </w:r>
      <w:r w:rsidR="00B532F1" w:rsidRPr="00D9120D">
        <w:rPr>
          <w:szCs w:val="22"/>
          <w:lang w:val="fr-FR"/>
        </w:rPr>
        <w:t>Indonésie, présentée au nom du groupe des pays d</w:t>
      </w:r>
      <w:r w:rsidR="007E7DAB">
        <w:rPr>
          <w:szCs w:val="22"/>
          <w:lang w:val="fr-FR"/>
        </w:rPr>
        <w:t>’</w:t>
      </w:r>
      <w:r w:rsidR="00B532F1" w:rsidRPr="00D9120D">
        <w:rPr>
          <w:szCs w:val="22"/>
          <w:lang w:val="fr-FR"/>
        </w:rPr>
        <w:t>Asie et du Pacifique et appuyée par la délégation de la Suisse au nom du groupe</w:t>
      </w:r>
      <w:r w:rsidR="001A6822" w:rsidRPr="00D9120D">
        <w:rPr>
          <w:szCs w:val="22"/>
          <w:lang w:val="fr-FR"/>
        </w:rPr>
        <w:t> </w:t>
      </w:r>
      <w:r w:rsidR="00B532F1" w:rsidRPr="00D9120D">
        <w:rPr>
          <w:szCs w:val="22"/>
          <w:lang w:val="fr-FR"/>
        </w:rPr>
        <w:t xml:space="preserve">B, et </w:t>
      </w:r>
      <w:r w:rsidR="0008743C" w:rsidRPr="00D9120D">
        <w:rPr>
          <w:szCs w:val="22"/>
          <w:lang w:val="fr-FR"/>
        </w:rPr>
        <w:t>par</w:t>
      </w:r>
      <w:r w:rsidR="00B532F1" w:rsidRPr="00D9120D">
        <w:rPr>
          <w:szCs w:val="22"/>
          <w:lang w:val="fr-FR"/>
        </w:rPr>
        <w:t xml:space="preserve"> la délégation de l</w:t>
      </w:r>
      <w:r w:rsidR="007E7DAB">
        <w:rPr>
          <w:szCs w:val="22"/>
          <w:lang w:val="fr-FR"/>
        </w:rPr>
        <w:t>’</w:t>
      </w:r>
      <w:r w:rsidR="00B532F1" w:rsidRPr="00D9120D">
        <w:rPr>
          <w:szCs w:val="22"/>
          <w:lang w:val="fr-FR"/>
        </w:rPr>
        <w:t>Équateur, au nom</w:t>
      </w:r>
      <w:r w:rsidR="00C343AF" w:rsidRPr="00D9120D">
        <w:rPr>
          <w:szCs w:val="22"/>
          <w:lang w:val="fr-FR"/>
        </w:rPr>
        <w:t xml:space="preserve"> du GRU</w:t>
      </w:r>
      <w:r w:rsidR="00B532F1" w:rsidRPr="00D9120D">
        <w:rPr>
          <w:szCs w:val="22"/>
          <w:lang w:val="fr-FR"/>
        </w:rPr>
        <w:t>LAC, M.</w:t>
      </w:r>
      <w:r w:rsidR="001A6822" w:rsidRPr="00D9120D">
        <w:rPr>
          <w:szCs w:val="22"/>
          <w:lang w:val="fr-FR"/>
        </w:rPr>
        <w:t> </w:t>
      </w:r>
      <w:proofErr w:type="spellStart"/>
      <w:r w:rsidR="00B532F1" w:rsidRPr="00D9120D">
        <w:rPr>
          <w:szCs w:val="22"/>
          <w:lang w:val="fr-FR"/>
        </w:rPr>
        <w:t>Faizal</w:t>
      </w:r>
      <w:proofErr w:type="spellEnd"/>
      <w:r w:rsidR="00417C9E" w:rsidRPr="00D9120D">
        <w:rPr>
          <w:szCs w:val="22"/>
          <w:lang w:val="fr-FR"/>
        </w:rPr>
        <w:t> </w:t>
      </w:r>
      <w:proofErr w:type="spellStart"/>
      <w:r w:rsidR="00B532F1" w:rsidRPr="00D9120D">
        <w:rPr>
          <w:szCs w:val="22"/>
          <w:lang w:val="fr-FR"/>
        </w:rPr>
        <w:t>Chery</w:t>
      </w:r>
      <w:proofErr w:type="spellEnd"/>
      <w:r w:rsidR="00417C9E" w:rsidRPr="00D9120D">
        <w:rPr>
          <w:szCs w:val="22"/>
          <w:lang w:val="fr-FR"/>
        </w:rPr>
        <w:t> </w:t>
      </w:r>
      <w:proofErr w:type="spellStart"/>
      <w:r w:rsidR="00B532F1" w:rsidRPr="00D9120D">
        <w:rPr>
          <w:szCs w:val="22"/>
          <w:lang w:val="fr-FR"/>
        </w:rPr>
        <w:t>Sidharta</w:t>
      </w:r>
      <w:proofErr w:type="spellEnd"/>
      <w:r w:rsidR="00B532F1" w:rsidRPr="00D9120D">
        <w:rPr>
          <w:szCs w:val="22"/>
          <w:lang w:val="fr-FR"/>
        </w:rPr>
        <w:t xml:space="preserve"> (Indonésie) aux postes de vice</w:t>
      </w:r>
      <w:r w:rsidR="007E7DAB">
        <w:rPr>
          <w:szCs w:val="22"/>
          <w:lang w:val="fr-FR"/>
        </w:rPr>
        <w:t>-</w:t>
      </w:r>
      <w:r w:rsidR="00B532F1" w:rsidRPr="00D9120D">
        <w:rPr>
          <w:szCs w:val="22"/>
          <w:lang w:val="fr-FR"/>
        </w:rPr>
        <w:t>présidents pour la même période.</w:t>
      </w:r>
    </w:p>
    <w:p w:rsidR="00B64B91" w:rsidRDefault="00B64B91" w:rsidP="00931A71">
      <w:pPr>
        <w:spacing w:after="120" w:line="260" w:lineRule="atLeast"/>
        <w:rPr>
          <w:lang w:val="fr-FR"/>
        </w:rPr>
      </w:pPr>
    </w:p>
    <w:p w:rsidR="00B64B91" w:rsidRDefault="00B532F1" w:rsidP="00B532F1">
      <w:pPr>
        <w:spacing w:after="120" w:line="260" w:lineRule="atLeast"/>
        <w:rPr>
          <w:caps/>
          <w:szCs w:val="22"/>
          <w:lang w:val="fr-FR"/>
        </w:rPr>
      </w:pPr>
      <w:r w:rsidRPr="00D9120D">
        <w:rPr>
          <w:caps/>
          <w:szCs w:val="22"/>
          <w:lang w:val="fr-FR"/>
        </w:rPr>
        <w:t xml:space="preserve">Décision en ce qui concerne le </w:t>
      </w:r>
      <w:r w:rsidR="00C343AF" w:rsidRPr="00D9120D">
        <w:rPr>
          <w:caps/>
          <w:szCs w:val="22"/>
          <w:lang w:val="fr-FR"/>
        </w:rPr>
        <w:t>point 3</w:t>
      </w:r>
      <w:r w:rsidRPr="00D9120D">
        <w:rPr>
          <w:caps/>
          <w:szCs w:val="22"/>
          <w:lang w:val="fr-FR"/>
        </w:rPr>
        <w:t xml:space="preserve"> de l</w:t>
      </w:r>
      <w:r w:rsidR="007E7DAB">
        <w:rPr>
          <w:caps/>
          <w:szCs w:val="22"/>
          <w:lang w:val="fr-FR"/>
        </w:rPr>
        <w:t>’</w:t>
      </w:r>
      <w:r w:rsidRPr="00D9120D">
        <w:rPr>
          <w:caps/>
          <w:szCs w:val="22"/>
          <w:lang w:val="fr-FR"/>
        </w:rPr>
        <w:t>ordre du jour</w:t>
      </w:r>
      <w:r w:rsidR="007E7DAB">
        <w:rPr>
          <w:caps/>
          <w:szCs w:val="22"/>
          <w:lang w:val="fr-FR"/>
        </w:rPr>
        <w:t> :</w:t>
      </w:r>
    </w:p>
    <w:p w:rsidR="00B64B91" w:rsidRDefault="00B532F1" w:rsidP="00B532F1">
      <w:pPr>
        <w:spacing w:after="120" w:line="260" w:lineRule="atLeast"/>
        <w:rPr>
          <w:caps/>
          <w:szCs w:val="22"/>
          <w:lang w:val="fr-FR"/>
        </w:rPr>
      </w:pPr>
      <w:r w:rsidRPr="00D9120D">
        <w:rPr>
          <w:caps/>
          <w:szCs w:val="22"/>
          <w:lang w:val="fr-FR"/>
        </w:rPr>
        <w:t>Adoption de l</w:t>
      </w:r>
      <w:r w:rsidR="007E7DAB">
        <w:rPr>
          <w:caps/>
          <w:szCs w:val="22"/>
          <w:lang w:val="fr-FR"/>
        </w:rPr>
        <w:t>’</w:t>
      </w:r>
      <w:r w:rsidRPr="00D9120D">
        <w:rPr>
          <w:caps/>
          <w:szCs w:val="22"/>
          <w:lang w:val="fr-FR"/>
        </w:rPr>
        <w:t>ordre du jour</w:t>
      </w:r>
    </w:p>
    <w:p w:rsidR="00B64B91" w:rsidRDefault="00B532F1" w:rsidP="00B532F1">
      <w:pPr>
        <w:spacing w:after="120" w:line="260" w:lineRule="atLeast"/>
        <w:rPr>
          <w:szCs w:val="22"/>
          <w:lang w:val="fr-FR"/>
        </w:rPr>
      </w:pPr>
      <w:r w:rsidRPr="00D9120D">
        <w:rPr>
          <w:szCs w:val="22"/>
          <w:lang w:val="fr-FR"/>
        </w:rPr>
        <w:t>Le président a soumis pour adoption le projet d</w:t>
      </w:r>
      <w:r w:rsidR="007E7DAB">
        <w:rPr>
          <w:szCs w:val="22"/>
          <w:lang w:val="fr-FR"/>
        </w:rPr>
        <w:t>’</w:t>
      </w:r>
      <w:r w:rsidRPr="00D9120D">
        <w:rPr>
          <w:szCs w:val="22"/>
          <w:lang w:val="fr-FR"/>
        </w:rPr>
        <w:t>ordre du jour diffusé sous la cote</w:t>
      </w:r>
      <w:r w:rsidR="00155802" w:rsidRPr="00D9120D">
        <w:rPr>
          <w:szCs w:val="22"/>
          <w:lang w:val="fr-FR"/>
        </w:rPr>
        <w:t> </w:t>
      </w:r>
      <w:r w:rsidRPr="00D9120D">
        <w:rPr>
          <w:szCs w:val="22"/>
          <w:lang w:val="fr-FR"/>
        </w:rPr>
        <w:t>WIPO/GRTKF/IC/35/1</w:t>
      </w:r>
      <w:r w:rsidR="001A6822" w:rsidRPr="00D9120D">
        <w:rPr>
          <w:szCs w:val="22"/>
          <w:lang w:val="fr-FR"/>
        </w:rPr>
        <w:t> </w:t>
      </w:r>
      <w:r w:rsidRPr="00D9120D">
        <w:rPr>
          <w:szCs w:val="22"/>
          <w:lang w:val="fr-FR"/>
        </w:rPr>
        <w:t>Prov.2, qui a été adopté.</w:t>
      </w:r>
    </w:p>
    <w:p w:rsidR="00B64B91" w:rsidRDefault="00B64B91" w:rsidP="00931A71">
      <w:pPr>
        <w:spacing w:after="120" w:line="260" w:lineRule="atLeast"/>
        <w:rPr>
          <w:szCs w:val="22"/>
          <w:lang w:val="fr-FR"/>
        </w:rPr>
      </w:pPr>
    </w:p>
    <w:p w:rsidR="00B64B91" w:rsidRDefault="00B532F1" w:rsidP="00B532F1">
      <w:pPr>
        <w:spacing w:after="120" w:line="260" w:lineRule="atLeast"/>
        <w:rPr>
          <w:caps/>
          <w:szCs w:val="22"/>
          <w:lang w:val="fr-FR"/>
        </w:rPr>
      </w:pPr>
      <w:r w:rsidRPr="00D9120D">
        <w:rPr>
          <w:caps/>
          <w:szCs w:val="22"/>
          <w:lang w:val="fr-FR"/>
        </w:rPr>
        <w:t xml:space="preserve">Décision en ce qui concerne le </w:t>
      </w:r>
      <w:r w:rsidR="00C343AF" w:rsidRPr="00D9120D">
        <w:rPr>
          <w:caps/>
          <w:szCs w:val="22"/>
          <w:lang w:val="fr-FR"/>
        </w:rPr>
        <w:t>point 4</w:t>
      </w:r>
      <w:r w:rsidRPr="00D9120D">
        <w:rPr>
          <w:caps/>
          <w:szCs w:val="22"/>
          <w:lang w:val="fr-FR"/>
        </w:rPr>
        <w:t xml:space="preserve"> de l</w:t>
      </w:r>
      <w:r w:rsidR="007E7DAB">
        <w:rPr>
          <w:caps/>
          <w:szCs w:val="22"/>
          <w:lang w:val="fr-FR"/>
        </w:rPr>
        <w:t>’</w:t>
      </w:r>
      <w:r w:rsidRPr="00D9120D">
        <w:rPr>
          <w:caps/>
          <w:szCs w:val="22"/>
          <w:lang w:val="fr-FR"/>
        </w:rPr>
        <w:t>ordre du jour</w:t>
      </w:r>
      <w:r w:rsidR="007E7DAB">
        <w:rPr>
          <w:caps/>
          <w:szCs w:val="22"/>
          <w:lang w:val="fr-FR"/>
        </w:rPr>
        <w:t> :</w:t>
      </w:r>
    </w:p>
    <w:p w:rsidR="00B64B91" w:rsidRDefault="00B532F1" w:rsidP="00B532F1">
      <w:pPr>
        <w:spacing w:after="120" w:line="260" w:lineRule="atLeast"/>
        <w:rPr>
          <w:caps/>
          <w:szCs w:val="22"/>
          <w:lang w:val="fr-FR"/>
        </w:rPr>
      </w:pPr>
      <w:r w:rsidRPr="00D9120D">
        <w:rPr>
          <w:caps/>
          <w:szCs w:val="22"/>
          <w:lang w:val="fr-FR"/>
        </w:rPr>
        <w:t>Adoption du rapport de la trente</w:t>
      </w:r>
      <w:r w:rsidR="007E7DAB">
        <w:rPr>
          <w:caps/>
          <w:szCs w:val="22"/>
          <w:lang w:val="fr-FR"/>
        </w:rPr>
        <w:t>-</w:t>
      </w:r>
      <w:r w:rsidRPr="00D9120D">
        <w:rPr>
          <w:caps/>
          <w:szCs w:val="22"/>
          <w:lang w:val="fr-FR"/>
        </w:rPr>
        <w:t>quatr</w:t>
      </w:r>
      <w:r w:rsidR="007E7DAB">
        <w:rPr>
          <w:caps/>
          <w:szCs w:val="22"/>
          <w:lang w:val="fr-FR"/>
        </w:rPr>
        <w:t>ième session</w:t>
      </w:r>
    </w:p>
    <w:p w:rsidR="00B64B91" w:rsidRDefault="00B532F1" w:rsidP="00B532F1">
      <w:pPr>
        <w:spacing w:after="120" w:line="260" w:lineRule="atLeast"/>
        <w:rPr>
          <w:szCs w:val="22"/>
          <w:lang w:val="fr-FR"/>
        </w:rPr>
      </w:pPr>
      <w:r w:rsidRPr="00D9120D">
        <w:rPr>
          <w:szCs w:val="22"/>
          <w:lang w:val="fr-FR"/>
        </w:rPr>
        <w:t>Le président a soumis pour adoption le projet de rapport de la trente</w:t>
      </w:r>
      <w:r w:rsidR="007E7DAB">
        <w:rPr>
          <w:szCs w:val="22"/>
          <w:lang w:val="fr-FR"/>
        </w:rPr>
        <w:t>-</w:t>
      </w:r>
      <w:r w:rsidRPr="00D9120D">
        <w:rPr>
          <w:szCs w:val="22"/>
          <w:lang w:val="fr-FR"/>
        </w:rPr>
        <w:t>quatr</w:t>
      </w:r>
      <w:r w:rsidR="007E7DAB">
        <w:rPr>
          <w:szCs w:val="22"/>
          <w:lang w:val="fr-FR"/>
        </w:rPr>
        <w:t>ième session</w:t>
      </w:r>
      <w:r w:rsidRPr="00D9120D">
        <w:rPr>
          <w:szCs w:val="22"/>
          <w:lang w:val="fr-FR"/>
        </w:rPr>
        <w:t xml:space="preserve"> du comité (WIPO/GRTKF/IC/34/14</w:t>
      </w:r>
      <w:r w:rsidR="001A6822" w:rsidRPr="00D9120D">
        <w:rPr>
          <w:szCs w:val="22"/>
          <w:lang w:val="fr-FR"/>
        </w:rPr>
        <w:t> </w:t>
      </w:r>
      <w:r w:rsidRPr="00D9120D">
        <w:rPr>
          <w:szCs w:val="22"/>
          <w:lang w:val="fr-FR"/>
        </w:rPr>
        <w:t>Prov.3), qui a été adopté.</w:t>
      </w:r>
    </w:p>
    <w:p w:rsidR="00B64B91" w:rsidRDefault="00B64B91" w:rsidP="00931A71">
      <w:pPr>
        <w:spacing w:after="120" w:line="260" w:lineRule="atLeast"/>
        <w:rPr>
          <w:szCs w:val="22"/>
          <w:lang w:val="fr-FR"/>
        </w:rPr>
      </w:pPr>
    </w:p>
    <w:p w:rsidR="00B64B91" w:rsidRDefault="00B532F1" w:rsidP="00B532F1">
      <w:pPr>
        <w:spacing w:after="120" w:line="260" w:lineRule="atLeast"/>
        <w:rPr>
          <w:caps/>
          <w:szCs w:val="22"/>
          <w:lang w:val="fr-FR"/>
        </w:rPr>
      </w:pPr>
      <w:r w:rsidRPr="00D9120D">
        <w:rPr>
          <w:caps/>
          <w:szCs w:val="22"/>
          <w:lang w:val="fr-FR"/>
        </w:rPr>
        <w:t xml:space="preserve">Décision en ce qui concerne le </w:t>
      </w:r>
      <w:r w:rsidR="00C343AF" w:rsidRPr="00D9120D">
        <w:rPr>
          <w:caps/>
          <w:szCs w:val="22"/>
          <w:lang w:val="fr-FR"/>
        </w:rPr>
        <w:t>point 5</w:t>
      </w:r>
      <w:r w:rsidRPr="00D9120D">
        <w:rPr>
          <w:caps/>
          <w:szCs w:val="22"/>
          <w:lang w:val="fr-FR"/>
        </w:rPr>
        <w:t xml:space="preserve"> de l</w:t>
      </w:r>
      <w:r w:rsidR="007E7DAB">
        <w:rPr>
          <w:caps/>
          <w:szCs w:val="22"/>
          <w:lang w:val="fr-FR"/>
        </w:rPr>
        <w:t>’</w:t>
      </w:r>
      <w:r w:rsidRPr="00D9120D">
        <w:rPr>
          <w:caps/>
          <w:szCs w:val="22"/>
          <w:lang w:val="fr-FR"/>
        </w:rPr>
        <w:t>ordre du jour</w:t>
      </w:r>
      <w:r w:rsidR="007E7DAB">
        <w:rPr>
          <w:caps/>
          <w:szCs w:val="22"/>
          <w:lang w:val="fr-FR"/>
        </w:rPr>
        <w:t> :</w:t>
      </w:r>
    </w:p>
    <w:p w:rsidR="00B64B91" w:rsidRDefault="00B532F1" w:rsidP="00B532F1">
      <w:pPr>
        <w:spacing w:after="120" w:line="260" w:lineRule="atLeast"/>
        <w:rPr>
          <w:caps/>
          <w:szCs w:val="22"/>
          <w:lang w:val="fr-FR"/>
        </w:rPr>
      </w:pPr>
      <w:r w:rsidRPr="00D9120D">
        <w:rPr>
          <w:caps/>
          <w:szCs w:val="22"/>
          <w:lang w:val="fr-FR"/>
        </w:rPr>
        <w:t>Accréditation de certaines organisations</w:t>
      </w:r>
    </w:p>
    <w:p w:rsidR="00B64B91" w:rsidRDefault="006166AD" w:rsidP="00CA053D">
      <w:pPr>
        <w:spacing w:after="120" w:line="260" w:lineRule="atLeast"/>
        <w:rPr>
          <w:szCs w:val="22"/>
          <w:lang w:val="fr-FR"/>
        </w:rPr>
      </w:pPr>
      <w:r>
        <w:rPr>
          <w:szCs w:val="22"/>
          <w:lang w:val="fr-FR"/>
        </w:rPr>
        <w:t>L</w:t>
      </w:r>
      <w:r w:rsidR="007E7DAB">
        <w:rPr>
          <w:szCs w:val="22"/>
          <w:lang w:val="fr-FR"/>
        </w:rPr>
        <w:t>’</w:t>
      </w:r>
      <w:r>
        <w:rPr>
          <w:szCs w:val="22"/>
          <w:lang w:val="fr-FR"/>
        </w:rPr>
        <w:t>examen de ce point de l</w:t>
      </w:r>
      <w:r w:rsidR="007E7DAB">
        <w:rPr>
          <w:szCs w:val="22"/>
          <w:lang w:val="fr-FR"/>
        </w:rPr>
        <w:t>’</w:t>
      </w:r>
      <w:r>
        <w:rPr>
          <w:szCs w:val="22"/>
          <w:lang w:val="fr-FR"/>
        </w:rPr>
        <w:t>ordre du jour a été reporté</w:t>
      </w:r>
      <w:r w:rsidRPr="006166AD">
        <w:rPr>
          <w:szCs w:val="22"/>
          <w:lang w:val="fr-FR"/>
        </w:rPr>
        <w:t xml:space="preserve"> à la </w:t>
      </w:r>
      <w:r w:rsidR="001D3D81">
        <w:rPr>
          <w:szCs w:val="22"/>
          <w:lang w:val="fr-FR"/>
        </w:rPr>
        <w:t xml:space="preserve">trente-sixième </w:t>
      </w:r>
      <w:r w:rsidRPr="006166AD">
        <w:rPr>
          <w:szCs w:val="22"/>
          <w:lang w:val="fr-FR"/>
        </w:rPr>
        <w:t>session</w:t>
      </w:r>
      <w:bookmarkStart w:id="2" w:name="_GoBack"/>
      <w:bookmarkEnd w:id="2"/>
      <w:r>
        <w:rPr>
          <w:szCs w:val="22"/>
          <w:lang w:val="fr-FR"/>
        </w:rPr>
        <w:t>.</w:t>
      </w:r>
    </w:p>
    <w:p w:rsidR="00B64B91" w:rsidRDefault="00B64B91" w:rsidP="00931A71">
      <w:pPr>
        <w:spacing w:after="120" w:line="260" w:lineRule="atLeast"/>
        <w:rPr>
          <w:lang w:val="fr-FR"/>
        </w:rPr>
      </w:pPr>
    </w:p>
    <w:p w:rsidR="00B64B91" w:rsidRDefault="00B532F1" w:rsidP="00B532F1">
      <w:pPr>
        <w:spacing w:after="120" w:line="260" w:lineRule="atLeast"/>
        <w:rPr>
          <w:caps/>
          <w:szCs w:val="22"/>
          <w:lang w:val="fr-FR"/>
        </w:rPr>
      </w:pPr>
      <w:r w:rsidRPr="00D9120D">
        <w:rPr>
          <w:caps/>
          <w:szCs w:val="22"/>
          <w:lang w:val="fr-FR"/>
        </w:rPr>
        <w:t xml:space="preserve">Décision en ce qui concerne le </w:t>
      </w:r>
      <w:r w:rsidR="00C343AF" w:rsidRPr="00D9120D">
        <w:rPr>
          <w:caps/>
          <w:szCs w:val="22"/>
          <w:lang w:val="fr-FR"/>
        </w:rPr>
        <w:t>point 6</w:t>
      </w:r>
      <w:r w:rsidRPr="00D9120D">
        <w:rPr>
          <w:caps/>
          <w:szCs w:val="22"/>
          <w:lang w:val="fr-FR"/>
        </w:rPr>
        <w:t xml:space="preserve"> de l</w:t>
      </w:r>
      <w:r w:rsidR="007E7DAB">
        <w:rPr>
          <w:caps/>
          <w:szCs w:val="22"/>
          <w:lang w:val="fr-FR"/>
        </w:rPr>
        <w:t>’</w:t>
      </w:r>
      <w:r w:rsidRPr="00D9120D">
        <w:rPr>
          <w:caps/>
          <w:szCs w:val="22"/>
          <w:lang w:val="fr-FR"/>
        </w:rPr>
        <w:t>ordre du jour</w:t>
      </w:r>
      <w:r w:rsidR="007E7DAB">
        <w:rPr>
          <w:caps/>
          <w:szCs w:val="22"/>
          <w:lang w:val="fr-FR"/>
        </w:rPr>
        <w:t> :</w:t>
      </w:r>
    </w:p>
    <w:p w:rsidR="00B64B91" w:rsidRDefault="00B532F1" w:rsidP="00B532F1">
      <w:pPr>
        <w:spacing w:after="120" w:line="260" w:lineRule="atLeast"/>
        <w:rPr>
          <w:caps/>
          <w:szCs w:val="22"/>
          <w:lang w:val="fr-FR"/>
        </w:rPr>
      </w:pPr>
      <w:r w:rsidRPr="00D9120D">
        <w:rPr>
          <w:caps/>
          <w:szCs w:val="22"/>
          <w:lang w:val="fr-FR"/>
        </w:rPr>
        <w:t>Participation des communautés autochtones et locales</w:t>
      </w:r>
      <w:r w:rsidR="007E7DAB">
        <w:rPr>
          <w:caps/>
          <w:szCs w:val="22"/>
          <w:lang w:val="fr-FR"/>
        </w:rPr>
        <w:t> :</w:t>
      </w:r>
    </w:p>
    <w:p w:rsidR="00B64B91" w:rsidRDefault="00B532F1" w:rsidP="00B532F1">
      <w:pPr>
        <w:spacing w:line="260" w:lineRule="atLeast"/>
        <w:rPr>
          <w:szCs w:val="22"/>
          <w:lang w:val="fr-FR"/>
        </w:rPr>
      </w:pPr>
      <w:r w:rsidRPr="00D9120D">
        <w:rPr>
          <w:szCs w:val="22"/>
          <w:lang w:val="fr-FR"/>
        </w:rPr>
        <w:t xml:space="preserve">Le comité a pris note des </w:t>
      </w:r>
      <w:r w:rsidR="001863CE" w:rsidRPr="00D9120D">
        <w:rPr>
          <w:szCs w:val="22"/>
          <w:lang w:val="fr-FR"/>
        </w:rPr>
        <w:t>documents</w:t>
      </w:r>
      <w:r w:rsidR="001863CE">
        <w:rPr>
          <w:szCs w:val="22"/>
          <w:lang w:val="fr-FR"/>
        </w:rPr>
        <w:t xml:space="preserve"> </w:t>
      </w:r>
      <w:r w:rsidR="001863CE" w:rsidRPr="00D9120D">
        <w:rPr>
          <w:szCs w:val="22"/>
          <w:lang w:val="fr-FR"/>
        </w:rPr>
        <w:t>WI</w:t>
      </w:r>
      <w:r w:rsidRPr="00D9120D">
        <w:rPr>
          <w:szCs w:val="22"/>
          <w:lang w:val="fr-FR"/>
        </w:rPr>
        <w:t>PO/GRTKF/IC/35/3, WIPO/GRTKF/IC/35/INF/4 et WIPO/GRTKF/IC/35/INF/6.</w:t>
      </w:r>
    </w:p>
    <w:p w:rsidR="00B64B91" w:rsidRDefault="00B64B91" w:rsidP="00511D7E">
      <w:pPr>
        <w:spacing w:line="260" w:lineRule="atLeast"/>
        <w:rPr>
          <w:szCs w:val="22"/>
          <w:lang w:val="fr-FR"/>
        </w:rPr>
      </w:pPr>
    </w:p>
    <w:p w:rsidR="00B64B91" w:rsidRDefault="00B532F1" w:rsidP="00B532F1">
      <w:pPr>
        <w:spacing w:line="260" w:lineRule="atLeast"/>
        <w:rPr>
          <w:szCs w:val="22"/>
          <w:lang w:val="fr-FR"/>
        </w:rPr>
      </w:pPr>
      <w:r w:rsidRPr="00D9120D">
        <w:rPr>
          <w:szCs w:val="22"/>
          <w:lang w:val="fr-FR"/>
        </w:rPr>
        <w:t>Le comité a vivement encouragé et invité les membres du comité et tous les organismes publics ou privés intéressés à contribuer au Fonds de contributions volontaires de l</w:t>
      </w:r>
      <w:r w:rsidR="007E7DAB">
        <w:rPr>
          <w:szCs w:val="22"/>
          <w:lang w:val="fr-FR"/>
        </w:rPr>
        <w:t>’</w:t>
      </w:r>
      <w:r w:rsidRPr="00D9120D">
        <w:rPr>
          <w:szCs w:val="22"/>
          <w:lang w:val="fr-FR"/>
        </w:rPr>
        <w:t>OMPI pour les communautés autochtones et locales accréditées.</w:t>
      </w:r>
    </w:p>
    <w:p w:rsidR="00B64B91" w:rsidRDefault="00B64B91" w:rsidP="00511D7E">
      <w:pPr>
        <w:spacing w:line="260" w:lineRule="atLeast"/>
        <w:rPr>
          <w:szCs w:val="22"/>
          <w:lang w:val="fr-FR"/>
        </w:rPr>
      </w:pPr>
    </w:p>
    <w:p w:rsidR="00B64B91" w:rsidRDefault="00B532F1" w:rsidP="00B532F1">
      <w:pPr>
        <w:spacing w:line="260" w:lineRule="atLeast"/>
        <w:rPr>
          <w:szCs w:val="22"/>
          <w:lang w:val="fr-FR"/>
        </w:rPr>
      </w:pPr>
      <w:r w:rsidRPr="00D9120D">
        <w:rPr>
          <w:szCs w:val="22"/>
          <w:lang w:val="fr-FR"/>
        </w:rPr>
        <w:t>Le président a proposé les huit membres ci</w:t>
      </w:r>
      <w:r w:rsidR="007E7DAB">
        <w:rPr>
          <w:szCs w:val="22"/>
          <w:lang w:val="fr-FR"/>
        </w:rPr>
        <w:t>-</w:t>
      </w:r>
      <w:r w:rsidRPr="00D9120D">
        <w:rPr>
          <w:szCs w:val="22"/>
          <w:lang w:val="fr-FR"/>
        </w:rPr>
        <w:t>après pour siéger à titre individuel au Conseil consultatif, et le comité les a élus par acclamation</w:t>
      </w:r>
      <w:r w:rsidR="007E7DAB">
        <w:rPr>
          <w:szCs w:val="22"/>
          <w:lang w:val="fr-FR"/>
        </w:rPr>
        <w:t> :</w:t>
      </w:r>
      <w:r w:rsidRPr="00D9120D">
        <w:rPr>
          <w:szCs w:val="22"/>
          <w:lang w:val="fr-FR"/>
        </w:rPr>
        <w:t xml:space="preserve"> Mme</w:t>
      </w:r>
      <w:r w:rsidR="001A6822" w:rsidRPr="00D9120D">
        <w:rPr>
          <w:szCs w:val="22"/>
          <w:lang w:val="fr-FR"/>
        </w:rPr>
        <w:t> </w:t>
      </w:r>
      <w:r w:rsidRPr="00D9120D">
        <w:rPr>
          <w:szCs w:val="22"/>
          <w:lang w:val="fr-FR"/>
        </w:rPr>
        <w:t>Ali</w:t>
      </w:r>
      <w:r w:rsidR="00417C9E" w:rsidRPr="00D9120D">
        <w:rPr>
          <w:szCs w:val="22"/>
          <w:lang w:val="fr-FR"/>
        </w:rPr>
        <w:t> </w:t>
      </w:r>
      <w:proofErr w:type="spellStart"/>
      <w:r w:rsidRPr="00D9120D">
        <w:rPr>
          <w:szCs w:val="22"/>
          <w:lang w:val="fr-FR"/>
        </w:rPr>
        <w:t>Aii</w:t>
      </w:r>
      <w:proofErr w:type="spellEnd"/>
      <w:r w:rsidR="00417C9E" w:rsidRPr="00D9120D">
        <w:rPr>
          <w:szCs w:val="22"/>
          <w:lang w:val="fr-FR"/>
        </w:rPr>
        <w:t> </w:t>
      </w:r>
      <w:proofErr w:type="spellStart"/>
      <w:r w:rsidRPr="00D9120D">
        <w:rPr>
          <w:szCs w:val="22"/>
          <w:lang w:val="fr-FR"/>
        </w:rPr>
        <w:t>Shatu</w:t>
      </w:r>
      <w:proofErr w:type="spellEnd"/>
      <w:r w:rsidRPr="00D9120D">
        <w:rPr>
          <w:szCs w:val="22"/>
          <w:lang w:val="fr-FR"/>
        </w:rPr>
        <w:t xml:space="preserve">, membre de la </w:t>
      </w:r>
      <w:proofErr w:type="spellStart"/>
      <w:r w:rsidRPr="00D9120D">
        <w:rPr>
          <w:szCs w:val="22"/>
          <w:lang w:val="fr-FR"/>
        </w:rPr>
        <w:t>Mbororo</w:t>
      </w:r>
      <w:proofErr w:type="spellEnd"/>
      <w:r w:rsidR="00417C9E" w:rsidRPr="00D9120D">
        <w:rPr>
          <w:szCs w:val="22"/>
          <w:lang w:val="fr-FR"/>
        </w:rPr>
        <w:t> </w:t>
      </w:r>
      <w:r w:rsidRPr="00D9120D">
        <w:rPr>
          <w:szCs w:val="22"/>
          <w:lang w:val="fr-FR"/>
        </w:rPr>
        <w:t xml:space="preserve">Social Cultural </w:t>
      </w:r>
      <w:proofErr w:type="spellStart"/>
      <w:r w:rsidRPr="00D9120D">
        <w:rPr>
          <w:szCs w:val="22"/>
          <w:lang w:val="fr-FR"/>
        </w:rPr>
        <w:t>Development</w:t>
      </w:r>
      <w:proofErr w:type="spellEnd"/>
      <w:r w:rsidRPr="00D9120D">
        <w:rPr>
          <w:szCs w:val="22"/>
          <w:lang w:val="fr-FR"/>
        </w:rPr>
        <w:t xml:space="preserve"> Association (MBOSCUDA) (Cameroun);  M.</w:t>
      </w:r>
      <w:r w:rsidR="001A6822" w:rsidRPr="00D9120D">
        <w:rPr>
          <w:szCs w:val="22"/>
          <w:lang w:val="fr-FR"/>
        </w:rPr>
        <w:t> </w:t>
      </w:r>
      <w:r w:rsidRPr="00D9120D">
        <w:rPr>
          <w:szCs w:val="22"/>
          <w:lang w:val="fr-FR"/>
        </w:rPr>
        <w:t>Nelson</w:t>
      </w:r>
      <w:r w:rsidR="00417C9E" w:rsidRPr="00D9120D">
        <w:rPr>
          <w:szCs w:val="22"/>
          <w:lang w:val="fr-FR"/>
        </w:rPr>
        <w:t> </w:t>
      </w:r>
      <w:r w:rsidRPr="00D9120D">
        <w:rPr>
          <w:szCs w:val="22"/>
          <w:lang w:val="fr-FR"/>
        </w:rPr>
        <w:t>De</w:t>
      </w:r>
      <w:r w:rsidR="00417C9E" w:rsidRPr="00D9120D">
        <w:rPr>
          <w:szCs w:val="22"/>
          <w:lang w:val="fr-FR"/>
        </w:rPr>
        <w:t> </w:t>
      </w:r>
      <w:proofErr w:type="spellStart"/>
      <w:r w:rsidRPr="00D9120D">
        <w:rPr>
          <w:szCs w:val="22"/>
          <w:lang w:val="fr-FR"/>
        </w:rPr>
        <w:t>Leon</w:t>
      </w:r>
      <w:proofErr w:type="spellEnd"/>
      <w:r w:rsidR="00417C9E" w:rsidRPr="00D9120D">
        <w:rPr>
          <w:szCs w:val="22"/>
          <w:lang w:val="fr-FR"/>
        </w:rPr>
        <w:t> </w:t>
      </w:r>
      <w:proofErr w:type="spellStart"/>
      <w:r w:rsidRPr="00D9120D">
        <w:rPr>
          <w:szCs w:val="22"/>
          <w:lang w:val="fr-FR"/>
        </w:rPr>
        <w:t>Kantule</w:t>
      </w:r>
      <w:proofErr w:type="spellEnd"/>
      <w:r w:rsidRPr="00D9120D">
        <w:rPr>
          <w:szCs w:val="22"/>
          <w:lang w:val="fr-FR"/>
        </w:rPr>
        <w:t>, représentant de l</w:t>
      </w:r>
      <w:r w:rsidR="007E7DAB">
        <w:rPr>
          <w:szCs w:val="22"/>
          <w:lang w:val="fr-FR"/>
        </w:rPr>
        <w:t>’</w:t>
      </w:r>
      <w:r w:rsidRPr="00D9120D">
        <w:rPr>
          <w:szCs w:val="22"/>
          <w:lang w:val="fr-FR"/>
        </w:rPr>
        <w:t xml:space="preserve">Association of </w:t>
      </w:r>
      <w:proofErr w:type="spellStart"/>
      <w:r w:rsidRPr="00D9120D">
        <w:rPr>
          <w:szCs w:val="22"/>
          <w:lang w:val="fr-FR"/>
        </w:rPr>
        <w:t>Kunas</w:t>
      </w:r>
      <w:proofErr w:type="spellEnd"/>
      <w:r w:rsidRPr="00D9120D">
        <w:rPr>
          <w:szCs w:val="22"/>
          <w:lang w:val="fr-FR"/>
        </w:rPr>
        <w:t xml:space="preserve"> for Mother</w:t>
      </w:r>
      <w:r w:rsidR="00417C9E" w:rsidRPr="00D9120D">
        <w:rPr>
          <w:szCs w:val="22"/>
          <w:lang w:val="fr-FR"/>
        </w:rPr>
        <w:t> </w:t>
      </w:r>
      <w:proofErr w:type="spellStart"/>
      <w:r w:rsidRPr="00D9120D">
        <w:rPr>
          <w:szCs w:val="22"/>
          <w:lang w:val="fr-FR"/>
        </w:rPr>
        <w:t>Earth</w:t>
      </w:r>
      <w:proofErr w:type="spellEnd"/>
      <w:r w:rsidR="00417C9E" w:rsidRPr="00D9120D">
        <w:rPr>
          <w:szCs w:val="22"/>
          <w:lang w:val="fr-FR"/>
        </w:rPr>
        <w:t> </w:t>
      </w:r>
      <w:r w:rsidRPr="00D9120D">
        <w:rPr>
          <w:szCs w:val="22"/>
          <w:lang w:val="fr-FR"/>
        </w:rPr>
        <w:t>(</w:t>
      </w:r>
      <w:proofErr w:type="spellStart"/>
      <w:r w:rsidRPr="00D9120D">
        <w:rPr>
          <w:szCs w:val="22"/>
          <w:lang w:val="fr-FR"/>
        </w:rPr>
        <w:t>KUNA</w:t>
      </w:r>
      <w:proofErr w:type="spellEnd"/>
      <w:r w:rsidRPr="00D9120D">
        <w:rPr>
          <w:szCs w:val="22"/>
          <w:lang w:val="fr-FR"/>
        </w:rPr>
        <w:t>) (Panama);  Mme</w:t>
      </w:r>
      <w:r w:rsidR="001A6822" w:rsidRPr="00D9120D">
        <w:rPr>
          <w:szCs w:val="22"/>
          <w:lang w:val="fr-FR"/>
        </w:rPr>
        <w:t> </w:t>
      </w:r>
      <w:r w:rsidRPr="00D9120D">
        <w:rPr>
          <w:szCs w:val="22"/>
          <w:lang w:val="fr-FR"/>
        </w:rPr>
        <w:t>María</w:t>
      </w:r>
      <w:r w:rsidR="00417C9E" w:rsidRPr="00D9120D">
        <w:rPr>
          <w:szCs w:val="22"/>
          <w:lang w:val="fr-FR"/>
        </w:rPr>
        <w:t> </w:t>
      </w:r>
      <w:proofErr w:type="spellStart"/>
      <w:r w:rsidRPr="00D9120D">
        <w:rPr>
          <w:szCs w:val="22"/>
          <w:lang w:val="fr-FR"/>
        </w:rPr>
        <w:t>del</w:t>
      </w:r>
      <w:proofErr w:type="spellEnd"/>
      <w:r w:rsidR="00417C9E" w:rsidRPr="00D9120D">
        <w:rPr>
          <w:szCs w:val="22"/>
          <w:lang w:val="fr-FR"/>
        </w:rPr>
        <w:t> </w:t>
      </w:r>
      <w:r w:rsidRPr="00D9120D">
        <w:rPr>
          <w:szCs w:val="22"/>
          <w:lang w:val="fr-FR"/>
        </w:rPr>
        <w:t>Pilar</w:t>
      </w:r>
      <w:r w:rsidR="00417C9E" w:rsidRPr="00D9120D">
        <w:rPr>
          <w:szCs w:val="22"/>
          <w:lang w:val="fr-FR"/>
        </w:rPr>
        <w:t> </w:t>
      </w:r>
      <w:r w:rsidRPr="00D9120D">
        <w:rPr>
          <w:szCs w:val="22"/>
          <w:lang w:val="fr-FR"/>
        </w:rPr>
        <w:t>Escobar</w:t>
      </w:r>
      <w:r w:rsidR="00417C9E" w:rsidRPr="00D9120D">
        <w:rPr>
          <w:szCs w:val="22"/>
          <w:lang w:val="fr-FR"/>
        </w:rPr>
        <w:t> </w:t>
      </w:r>
      <w:r w:rsidRPr="00D9120D">
        <w:rPr>
          <w:szCs w:val="22"/>
          <w:lang w:val="fr-FR"/>
        </w:rPr>
        <w:t>Bautista, conseillère, Mission permanente du Mexique auprès de l</w:t>
      </w:r>
      <w:r w:rsidR="007E7DAB">
        <w:rPr>
          <w:szCs w:val="22"/>
          <w:lang w:val="fr-FR"/>
        </w:rPr>
        <w:t>’</w:t>
      </w:r>
      <w:r w:rsidRPr="00D9120D">
        <w:rPr>
          <w:szCs w:val="22"/>
          <w:lang w:val="fr-FR"/>
        </w:rPr>
        <w:t xml:space="preserve">Office des </w:t>
      </w:r>
      <w:r w:rsidR="007E7DAB">
        <w:rPr>
          <w:szCs w:val="22"/>
          <w:lang w:val="fr-FR"/>
        </w:rPr>
        <w:t>Nations Unies</w:t>
      </w:r>
      <w:r w:rsidRPr="00D9120D">
        <w:rPr>
          <w:szCs w:val="22"/>
          <w:lang w:val="fr-FR"/>
        </w:rPr>
        <w:t xml:space="preserve"> et des autres organisations internationales à Genève;  M.</w:t>
      </w:r>
      <w:r w:rsidR="001A6822" w:rsidRPr="00D9120D">
        <w:rPr>
          <w:szCs w:val="22"/>
          <w:lang w:val="fr-FR"/>
        </w:rPr>
        <w:t> </w:t>
      </w:r>
      <w:r w:rsidRPr="00D9120D">
        <w:rPr>
          <w:szCs w:val="22"/>
          <w:lang w:val="fr-FR"/>
        </w:rPr>
        <w:t>Efren</w:t>
      </w:r>
      <w:r w:rsidR="00417C9E" w:rsidRPr="00D9120D">
        <w:rPr>
          <w:szCs w:val="22"/>
          <w:lang w:val="fr-FR"/>
        </w:rPr>
        <w:t> </w:t>
      </w:r>
      <w:proofErr w:type="spellStart"/>
      <w:r w:rsidRPr="00D9120D">
        <w:rPr>
          <w:szCs w:val="22"/>
          <w:lang w:val="fr-FR"/>
        </w:rPr>
        <w:t>Jagdish</w:t>
      </w:r>
      <w:proofErr w:type="spellEnd"/>
      <w:r w:rsidR="00417C9E" w:rsidRPr="00D9120D">
        <w:rPr>
          <w:szCs w:val="22"/>
          <w:lang w:val="fr-FR"/>
        </w:rPr>
        <w:t> </w:t>
      </w:r>
      <w:proofErr w:type="spellStart"/>
      <w:r w:rsidRPr="00D9120D">
        <w:rPr>
          <w:szCs w:val="22"/>
          <w:lang w:val="fr-FR"/>
        </w:rPr>
        <w:t>Jogia</w:t>
      </w:r>
      <w:proofErr w:type="spellEnd"/>
      <w:r w:rsidRPr="00D9120D">
        <w:rPr>
          <w:szCs w:val="22"/>
          <w:lang w:val="fr-FR"/>
        </w:rPr>
        <w:t>, Senior Crown</w:t>
      </w:r>
      <w:r w:rsidR="00417C9E" w:rsidRPr="00D9120D">
        <w:rPr>
          <w:szCs w:val="22"/>
          <w:lang w:val="fr-FR"/>
        </w:rPr>
        <w:t> </w:t>
      </w:r>
      <w:proofErr w:type="spellStart"/>
      <w:r w:rsidRPr="00D9120D">
        <w:rPr>
          <w:szCs w:val="22"/>
          <w:lang w:val="fr-FR"/>
        </w:rPr>
        <w:t>Counsel</w:t>
      </w:r>
      <w:proofErr w:type="spellEnd"/>
      <w:r w:rsidRPr="00D9120D">
        <w:rPr>
          <w:szCs w:val="22"/>
          <w:lang w:val="fr-FR"/>
        </w:rPr>
        <w:t>, Bureau du procureur général, Cabinet du Premier ministre</w:t>
      </w:r>
      <w:r w:rsidR="00417C9E" w:rsidRPr="00D9120D">
        <w:rPr>
          <w:szCs w:val="22"/>
          <w:lang w:val="fr-FR"/>
        </w:rPr>
        <w:t> </w:t>
      </w:r>
      <w:r w:rsidRPr="00D9120D">
        <w:rPr>
          <w:szCs w:val="22"/>
          <w:lang w:val="fr-FR"/>
        </w:rPr>
        <w:t>(Tuvalu);  M.</w:t>
      </w:r>
      <w:r w:rsidR="001A6822" w:rsidRPr="00D9120D">
        <w:rPr>
          <w:szCs w:val="22"/>
          <w:lang w:val="fr-FR"/>
        </w:rPr>
        <w:t> </w:t>
      </w:r>
      <w:proofErr w:type="spellStart"/>
      <w:r w:rsidRPr="00D9120D">
        <w:rPr>
          <w:szCs w:val="22"/>
          <w:lang w:val="fr-FR"/>
        </w:rPr>
        <w:t>Gaziz</w:t>
      </w:r>
      <w:proofErr w:type="spellEnd"/>
      <w:r w:rsidR="00417C9E" w:rsidRPr="00D9120D">
        <w:rPr>
          <w:szCs w:val="22"/>
          <w:lang w:val="fr-FR"/>
        </w:rPr>
        <w:t> </w:t>
      </w:r>
      <w:proofErr w:type="spellStart"/>
      <w:r w:rsidRPr="00D9120D">
        <w:rPr>
          <w:szCs w:val="22"/>
          <w:lang w:val="fr-FR"/>
        </w:rPr>
        <w:t>Seitzhanov</w:t>
      </w:r>
      <w:proofErr w:type="spellEnd"/>
      <w:r w:rsidRPr="00D9120D">
        <w:rPr>
          <w:szCs w:val="22"/>
          <w:lang w:val="fr-FR"/>
        </w:rPr>
        <w:t>, troisième secrétaire, Mission permanente du Kazakhstan;  Mme</w:t>
      </w:r>
      <w:r w:rsidR="001A6822" w:rsidRPr="00D9120D">
        <w:rPr>
          <w:szCs w:val="22"/>
          <w:lang w:val="fr-FR"/>
        </w:rPr>
        <w:t> </w:t>
      </w:r>
      <w:r w:rsidRPr="00D9120D">
        <w:rPr>
          <w:szCs w:val="22"/>
          <w:lang w:val="fr-FR"/>
        </w:rPr>
        <w:t>Grace</w:t>
      </w:r>
      <w:r w:rsidR="00417C9E" w:rsidRPr="00D9120D">
        <w:rPr>
          <w:szCs w:val="22"/>
          <w:lang w:val="fr-FR"/>
        </w:rPr>
        <w:t> </w:t>
      </w:r>
      <w:proofErr w:type="spellStart"/>
      <w:r w:rsidRPr="00D9120D">
        <w:rPr>
          <w:szCs w:val="22"/>
          <w:lang w:val="fr-FR"/>
        </w:rPr>
        <w:t>Stripeikis</w:t>
      </w:r>
      <w:proofErr w:type="spellEnd"/>
      <w:r w:rsidRPr="00D9120D">
        <w:rPr>
          <w:szCs w:val="22"/>
          <w:lang w:val="fr-FR"/>
        </w:rPr>
        <w:t xml:space="preserve">, directrice exécutive, Section internationale de la propriété </w:t>
      </w:r>
      <w:r w:rsidRPr="00D9120D">
        <w:rPr>
          <w:szCs w:val="22"/>
          <w:lang w:val="fr-FR"/>
        </w:rPr>
        <w:lastRenderedPageBreak/>
        <w:t>intellectuelle, Département des affaires étrangères et du commerce (Australie);  Mme</w:t>
      </w:r>
      <w:r w:rsidR="001A6822" w:rsidRPr="00D9120D">
        <w:rPr>
          <w:szCs w:val="22"/>
          <w:lang w:val="fr-FR"/>
        </w:rPr>
        <w:t> </w:t>
      </w:r>
      <w:proofErr w:type="spellStart"/>
      <w:r w:rsidRPr="00D9120D">
        <w:rPr>
          <w:szCs w:val="22"/>
          <w:lang w:val="fr-FR"/>
        </w:rPr>
        <w:t>Polina</w:t>
      </w:r>
      <w:proofErr w:type="spellEnd"/>
      <w:r w:rsidR="00417C9E" w:rsidRPr="00D9120D">
        <w:rPr>
          <w:szCs w:val="22"/>
          <w:lang w:val="fr-FR"/>
        </w:rPr>
        <w:t> </w:t>
      </w:r>
      <w:proofErr w:type="spellStart"/>
      <w:r w:rsidRPr="00D9120D">
        <w:rPr>
          <w:szCs w:val="22"/>
          <w:lang w:val="fr-FR"/>
        </w:rPr>
        <w:t>Shulbaeva</w:t>
      </w:r>
      <w:proofErr w:type="spellEnd"/>
      <w:r w:rsidRPr="00D9120D">
        <w:rPr>
          <w:szCs w:val="22"/>
          <w:lang w:val="fr-FR"/>
        </w:rPr>
        <w:t>, coordinatrice, Centre d</w:t>
      </w:r>
      <w:r w:rsidR="007E7DAB">
        <w:rPr>
          <w:szCs w:val="22"/>
          <w:lang w:val="fr-FR"/>
        </w:rPr>
        <w:t>’</w:t>
      </w:r>
      <w:r w:rsidRPr="00D9120D">
        <w:rPr>
          <w:szCs w:val="22"/>
          <w:lang w:val="fr-FR"/>
        </w:rPr>
        <w:t>appui aux peuples autochtones du Nord/Centre de formation pour les autochtones russes (CSIPN/RITC) (Fédération de Russie);  et M.</w:t>
      </w:r>
      <w:r w:rsidR="001A6822" w:rsidRPr="00D9120D">
        <w:rPr>
          <w:szCs w:val="22"/>
          <w:lang w:val="fr-FR"/>
        </w:rPr>
        <w:t> </w:t>
      </w:r>
      <w:r w:rsidRPr="00D9120D">
        <w:rPr>
          <w:szCs w:val="22"/>
          <w:lang w:val="fr-FR"/>
        </w:rPr>
        <w:t>George</w:t>
      </w:r>
      <w:r w:rsidR="00417C9E" w:rsidRPr="00D9120D">
        <w:rPr>
          <w:szCs w:val="22"/>
          <w:lang w:val="fr-FR"/>
        </w:rPr>
        <w:t> </w:t>
      </w:r>
      <w:proofErr w:type="spellStart"/>
      <w:r w:rsidRPr="00D9120D">
        <w:rPr>
          <w:szCs w:val="22"/>
          <w:lang w:val="fr-FR"/>
        </w:rPr>
        <w:t>Tebagana</w:t>
      </w:r>
      <w:proofErr w:type="spellEnd"/>
      <w:r w:rsidRPr="00D9120D">
        <w:rPr>
          <w:szCs w:val="22"/>
          <w:lang w:val="fr-FR"/>
        </w:rPr>
        <w:t>, deuxième secrétaire, Mission permanente de l</w:t>
      </w:r>
      <w:r w:rsidR="007E7DAB">
        <w:rPr>
          <w:szCs w:val="22"/>
          <w:lang w:val="fr-FR"/>
        </w:rPr>
        <w:t>’</w:t>
      </w:r>
      <w:r w:rsidRPr="00D9120D">
        <w:rPr>
          <w:szCs w:val="22"/>
          <w:lang w:val="fr-FR"/>
        </w:rPr>
        <w:t>Ouganda.</w:t>
      </w:r>
    </w:p>
    <w:p w:rsidR="00B64B91" w:rsidRDefault="00B64B91" w:rsidP="00C36834">
      <w:pPr>
        <w:spacing w:line="260" w:lineRule="atLeast"/>
        <w:rPr>
          <w:szCs w:val="22"/>
          <w:lang w:val="fr-FR"/>
        </w:rPr>
      </w:pPr>
    </w:p>
    <w:p w:rsidR="00B64B91" w:rsidRDefault="00B532F1" w:rsidP="00B532F1">
      <w:pPr>
        <w:spacing w:after="120" w:line="260" w:lineRule="atLeast"/>
        <w:rPr>
          <w:szCs w:val="22"/>
          <w:lang w:val="fr-FR"/>
        </w:rPr>
      </w:pPr>
      <w:r w:rsidRPr="00D9120D">
        <w:rPr>
          <w:szCs w:val="22"/>
          <w:lang w:val="fr-FR"/>
        </w:rPr>
        <w:t>Le président a désigné M.</w:t>
      </w:r>
      <w:r w:rsidR="001A6822" w:rsidRPr="00D9120D">
        <w:rPr>
          <w:szCs w:val="22"/>
          <w:lang w:val="fr-FR"/>
        </w:rPr>
        <w:t> </w:t>
      </w:r>
      <w:proofErr w:type="spellStart"/>
      <w:r w:rsidRPr="00D9120D">
        <w:rPr>
          <w:szCs w:val="22"/>
          <w:lang w:val="fr-FR"/>
        </w:rPr>
        <w:t>Faizal</w:t>
      </w:r>
      <w:proofErr w:type="spellEnd"/>
      <w:r w:rsidR="00417C9E" w:rsidRPr="00D9120D">
        <w:rPr>
          <w:szCs w:val="22"/>
          <w:lang w:val="fr-FR"/>
        </w:rPr>
        <w:t> </w:t>
      </w:r>
      <w:proofErr w:type="spellStart"/>
      <w:r w:rsidRPr="00D9120D">
        <w:rPr>
          <w:szCs w:val="22"/>
          <w:lang w:val="fr-FR"/>
        </w:rPr>
        <w:t>Chery</w:t>
      </w:r>
      <w:proofErr w:type="spellEnd"/>
      <w:r w:rsidR="00417C9E" w:rsidRPr="00D9120D">
        <w:rPr>
          <w:szCs w:val="22"/>
          <w:lang w:val="fr-FR"/>
        </w:rPr>
        <w:t> </w:t>
      </w:r>
      <w:proofErr w:type="spellStart"/>
      <w:r w:rsidRPr="00D9120D">
        <w:rPr>
          <w:szCs w:val="22"/>
          <w:lang w:val="fr-FR"/>
        </w:rPr>
        <w:t>Sidharta</w:t>
      </w:r>
      <w:proofErr w:type="spellEnd"/>
      <w:r w:rsidRPr="00D9120D">
        <w:rPr>
          <w:szCs w:val="22"/>
          <w:lang w:val="fr-FR"/>
        </w:rPr>
        <w:t>, vice</w:t>
      </w:r>
      <w:r w:rsidR="007E7DAB">
        <w:rPr>
          <w:szCs w:val="22"/>
          <w:lang w:val="fr-FR"/>
        </w:rPr>
        <w:t>-</w:t>
      </w:r>
      <w:r w:rsidRPr="00D9120D">
        <w:rPr>
          <w:szCs w:val="22"/>
          <w:lang w:val="fr-FR"/>
        </w:rPr>
        <w:t>président du comité, comme président du Conseil consultatif.</w:t>
      </w:r>
    </w:p>
    <w:p w:rsidR="00B64B91" w:rsidRDefault="00B64B91" w:rsidP="00931A71">
      <w:pPr>
        <w:spacing w:after="120" w:line="260" w:lineRule="atLeast"/>
        <w:rPr>
          <w:szCs w:val="22"/>
          <w:lang w:val="fr-FR"/>
        </w:rPr>
      </w:pPr>
    </w:p>
    <w:p w:rsidR="00B64B91" w:rsidRDefault="00B532F1" w:rsidP="00B532F1">
      <w:pPr>
        <w:spacing w:after="120" w:line="260" w:lineRule="atLeast"/>
        <w:rPr>
          <w:caps/>
          <w:szCs w:val="22"/>
          <w:lang w:val="fr-FR"/>
        </w:rPr>
      </w:pPr>
      <w:r w:rsidRPr="00D9120D">
        <w:rPr>
          <w:caps/>
          <w:szCs w:val="22"/>
          <w:lang w:val="fr-FR"/>
        </w:rPr>
        <w:t xml:space="preserve">Décision en ce qui concerne le </w:t>
      </w:r>
      <w:r w:rsidR="00C343AF" w:rsidRPr="00D9120D">
        <w:rPr>
          <w:caps/>
          <w:szCs w:val="22"/>
          <w:lang w:val="fr-FR"/>
        </w:rPr>
        <w:t>point 7</w:t>
      </w:r>
      <w:r w:rsidRPr="00D9120D">
        <w:rPr>
          <w:caps/>
          <w:szCs w:val="22"/>
          <w:lang w:val="fr-FR"/>
        </w:rPr>
        <w:t xml:space="preserve"> de l</w:t>
      </w:r>
      <w:r w:rsidR="007E7DAB">
        <w:rPr>
          <w:caps/>
          <w:szCs w:val="22"/>
          <w:lang w:val="fr-FR"/>
        </w:rPr>
        <w:t>’</w:t>
      </w:r>
      <w:r w:rsidRPr="00D9120D">
        <w:rPr>
          <w:caps/>
          <w:szCs w:val="22"/>
          <w:lang w:val="fr-FR"/>
        </w:rPr>
        <w:t>ordre du jour</w:t>
      </w:r>
      <w:r w:rsidR="007E7DAB">
        <w:rPr>
          <w:caps/>
          <w:szCs w:val="22"/>
          <w:lang w:val="fr-FR"/>
        </w:rPr>
        <w:t> :</w:t>
      </w:r>
    </w:p>
    <w:p w:rsidR="00B64B91" w:rsidRDefault="00B532F1" w:rsidP="00B532F1">
      <w:pPr>
        <w:spacing w:after="120" w:line="260" w:lineRule="atLeast"/>
        <w:rPr>
          <w:caps/>
          <w:szCs w:val="22"/>
          <w:lang w:val="fr-FR"/>
        </w:rPr>
      </w:pPr>
      <w:r w:rsidRPr="00D9120D">
        <w:rPr>
          <w:caps/>
          <w:szCs w:val="22"/>
          <w:lang w:val="fr-FR"/>
        </w:rPr>
        <w:t>ressources génétiques</w:t>
      </w:r>
    </w:p>
    <w:p w:rsidR="00B64B91" w:rsidRDefault="00B532F1" w:rsidP="00B532F1">
      <w:pPr>
        <w:spacing w:after="120" w:line="260" w:lineRule="atLeast"/>
        <w:rPr>
          <w:rFonts w:eastAsia="Times New Roman"/>
          <w:szCs w:val="22"/>
          <w:lang w:val="fr-FR" w:eastAsia="en-US"/>
        </w:rPr>
      </w:pPr>
      <w:r w:rsidRPr="00D9120D">
        <w:rPr>
          <w:rFonts w:eastAsia="Times New Roman"/>
          <w:szCs w:val="22"/>
          <w:lang w:val="fr-FR" w:eastAsia="en-US"/>
        </w:rPr>
        <w:t xml:space="preserve">Le comité a élaboré, sur la base du </w:t>
      </w:r>
      <w:r w:rsidR="001863CE" w:rsidRPr="00D9120D">
        <w:rPr>
          <w:rFonts w:eastAsia="Times New Roman"/>
          <w:szCs w:val="22"/>
          <w:lang w:val="fr-FR" w:eastAsia="en-US"/>
        </w:rPr>
        <w:t>document</w:t>
      </w:r>
      <w:r w:rsidR="001863CE">
        <w:rPr>
          <w:rFonts w:eastAsia="Times New Roman"/>
          <w:szCs w:val="22"/>
          <w:lang w:val="fr-FR" w:eastAsia="en-US"/>
        </w:rPr>
        <w:t xml:space="preserve"> </w:t>
      </w:r>
      <w:r w:rsidR="001863CE" w:rsidRPr="00D9120D">
        <w:rPr>
          <w:rFonts w:eastAsia="Times New Roman"/>
          <w:szCs w:val="22"/>
          <w:lang w:val="fr-FR" w:eastAsia="en-US"/>
        </w:rPr>
        <w:t>WI</w:t>
      </w:r>
      <w:r w:rsidRPr="00D9120D">
        <w:rPr>
          <w:rFonts w:eastAsia="Times New Roman"/>
          <w:szCs w:val="22"/>
          <w:lang w:val="fr-FR" w:eastAsia="en-US"/>
        </w:rPr>
        <w:t>PO/GRTKF/IC/35/4, un nouveau document intitulé “Document de synthèse concernant la propriété intellectuelle relative aux ressources génétiques Rev.2”.</w:t>
      </w:r>
      <w:r w:rsidR="00A57769" w:rsidRPr="00D9120D">
        <w:rPr>
          <w:lang w:val="fr-FR"/>
        </w:rPr>
        <w:t xml:space="preserve">  </w:t>
      </w:r>
      <w:r w:rsidRPr="00D9120D">
        <w:rPr>
          <w:rFonts w:eastAsia="Times New Roman"/>
          <w:szCs w:val="22"/>
          <w:lang w:val="fr-FR" w:eastAsia="en-US"/>
        </w:rPr>
        <w:t>Il a décidé que, à la clôture de ce point de l</w:t>
      </w:r>
      <w:r w:rsidR="007E7DAB">
        <w:rPr>
          <w:rFonts w:eastAsia="Times New Roman"/>
          <w:szCs w:val="22"/>
          <w:lang w:val="fr-FR" w:eastAsia="en-US"/>
        </w:rPr>
        <w:t>’</w:t>
      </w:r>
      <w:r w:rsidRPr="00D9120D">
        <w:rPr>
          <w:rFonts w:eastAsia="Times New Roman"/>
          <w:szCs w:val="22"/>
          <w:lang w:val="fr-FR" w:eastAsia="en-US"/>
        </w:rPr>
        <w:t>ordre du jour le 2</w:t>
      </w:r>
      <w:r w:rsidR="00C343AF" w:rsidRPr="00D9120D">
        <w:rPr>
          <w:rFonts w:eastAsia="Times New Roman"/>
          <w:szCs w:val="22"/>
          <w:lang w:val="fr-FR" w:eastAsia="en-US"/>
        </w:rPr>
        <w:t>3 mars 20</w:t>
      </w:r>
      <w:r w:rsidRPr="00D9120D">
        <w:rPr>
          <w:rFonts w:eastAsia="Times New Roman"/>
          <w:szCs w:val="22"/>
          <w:lang w:val="fr-FR" w:eastAsia="en-US"/>
        </w:rPr>
        <w:t>18, le texte serait transmis à la trente</w:t>
      </w:r>
      <w:r w:rsidR="007E7DAB">
        <w:rPr>
          <w:rFonts w:eastAsia="Times New Roman"/>
          <w:szCs w:val="22"/>
          <w:lang w:val="fr-FR" w:eastAsia="en-US"/>
        </w:rPr>
        <w:t>-</w:t>
      </w:r>
      <w:r w:rsidRPr="00D9120D">
        <w:rPr>
          <w:rFonts w:eastAsia="Times New Roman"/>
          <w:szCs w:val="22"/>
          <w:lang w:val="fr-FR" w:eastAsia="en-US"/>
        </w:rPr>
        <w:t>six</w:t>
      </w:r>
      <w:r w:rsidR="007E7DAB">
        <w:rPr>
          <w:rFonts w:eastAsia="Times New Roman"/>
          <w:szCs w:val="22"/>
          <w:lang w:val="fr-FR" w:eastAsia="en-US"/>
        </w:rPr>
        <w:t>ième session</w:t>
      </w:r>
      <w:r w:rsidRPr="00D9120D">
        <w:rPr>
          <w:rFonts w:eastAsia="Times New Roman"/>
          <w:szCs w:val="22"/>
          <w:lang w:val="fr-FR" w:eastAsia="en-US"/>
        </w:rPr>
        <w:t xml:space="preserve"> du comité, conformément au mandat du comité pour l</w:t>
      </w:r>
      <w:r w:rsidR="007E7DAB">
        <w:rPr>
          <w:rFonts w:eastAsia="Times New Roman"/>
          <w:szCs w:val="22"/>
          <w:lang w:val="fr-FR" w:eastAsia="en-US"/>
        </w:rPr>
        <w:t>’</w:t>
      </w:r>
      <w:r w:rsidRPr="00D9120D">
        <w:rPr>
          <w:rFonts w:eastAsia="Times New Roman"/>
          <w:szCs w:val="22"/>
          <w:lang w:val="fr-FR" w:eastAsia="en-US"/>
        </w:rPr>
        <w:t xml:space="preserve">exercice </w:t>
      </w:r>
      <w:r w:rsidR="00C343AF" w:rsidRPr="00D9120D">
        <w:rPr>
          <w:rFonts w:eastAsia="Times New Roman"/>
          <w:szCs w:val="22"/>
          <w:lang w:val="fr-FR" w:eastAsia="en-US"/>
        </w:rPr>
        <w:t>biennal 2018</w:t>
      </w:r>
      <w:r w:rsidR="007E7DAB">
        <w:rPr>
          <w:rFonts w:eastAsia="Times New Roman"/>
          <w:szCs w:val="22"/>
          <w:lang w:val="fr-FR" w:eastAsia="en-US"/>
        </w:rPr>
        <w:t>-</w:t>
      </w:r>
      <w:r w:rsidRPr="00D9120D">
        <w:rPr>
          <w:rFonts w:eastAsia="Times New Roman"/>
          <w:szCs w:val="22"/>
          <w:lang w:val="fr-FR" w:eastAsia="en-US"/>
        </w:rPr>
        <w:t xml:space="preserve">2019 et au programme de travail </w:t>
      </w:r>
      <w:r w:rsidR="00C343AF" w:rsidRPr="00D9120D">
        <w:rPr>
          <w:rFonts w:eastAsia="Times New Roman"/>
          <w:szCs w:val="22"/>
          <w:lang w:val="fr-FR" w:eastAsia="en-US"/>
        </w:rPr>
        <w:t>pour 2018</w:t>
      </w:r>
      <w:r w:rsidR="00155802" w:rsidRPr="00D9120D">
        <w:rPr>
          <w:rFonts w:eastAsia="Times New Roman"/>
          <w:szCs w:val="22"/>
          <w:lang w:val="fr-FR" w:eastAsia="en-US"/>
        </w:rPr>
        <w:t> </w:t>
      </w:r>
      <w:r w:rsidRPr="00D9120D">
        <w:rPr>
          <w:rFonts w:eastAsia="Times New Roman"/>
          <w:szCs w:val="22"/>
          <w:lang w:val="fr-FR" w:eastAsia="en-US"/>
        </w:rPr>
        <w:t xml:space="preserve">figurant dans le </w:t>
      </w:r>
      <w:r w:rsidR="001863CE" w:rsidRPr="00D9120D">
        <w:rPr>
          <w:rFonts w:eastAsia="Times New Roman"/>
          <w:szCs w:val="22"/>
          <w:lang w:val="fr-FR" w:eastAsia="en-US"/>
        </w:rPr>
        <w:t>document</w:t>
      </w:r>
      <w:r w:rsidR="001863CE">
        <w:rPr>
          <w:rFonts w:eastAsia="Times New Roman"/>
          <w:szCs w:val="22"/>
          <w:lang w:val="fr-FR" w:eastAsia="en-US"/>
        </w:rPr>
        <w:t xml:space="preserve"> </w:t>
      </w:r>
      <w:r w:rsidR="001863CE" w:rsidRPr="00D9120D">
        <w:rPr>
          <w:rFonts w:eastAsia="Times New Roman"/>
          <w:szCs w:val="22"/>
          <w:lang w:val="fr-FR" w:eastAsia="en-US"/>
        </w:rPr>
        <w:t>WO</w:t>
      </w:r>
      <w:r w:rsidRPr="00D9120D">
        <w:rPr>
          <w:rFonts w:eastAsia="Times New Roman"/>
          <w:szCs w:val="22"/>
          <w:lang w:val="fr-FR" w:eastAsia="en-US"/>
        </w:rPr>
        <w:t>/GA/49/21.</w:t>
      </w:r>
    </w:p>
    <w:p w:rsidR="00B64B91" w:rsidRDefault="00B532F1" w:rsidP="00B532F1">
      <w:pPr>
        <w:spacing w:after="120" w:line="260" w:lineRule="atLeast"/>
        <w:rPr>
          <w:rFonts w:eastAsia="Times New Roman"/>
          <w:szCs w:val="22"/>
          <w:lang w:val="fr-FR" w:eastAsia="en-US"/>
        </w:rPr>
      </w:pPr>
      <w:r w:rsidRPr="00D9120D">
        <w:rPr>
          <w:rFonts w:eastAsia="Times New Roman"/>
          <w:szCs w:val="22"/>
          <w:lang w:val="fr-FR" w:eastAsia="en-US"/>
        </w:rPr>
        <w:t xml:space="preserve">Le comité a pris note et débattu des </w:t>
      </w:r>
      <w:r w:rsidR="001863CE" w:rsidRPr="00D9120D">
        <w:rPr>
          <w:rFonts w:eastAsia="Times New Roman"/>
          <w:szCs w:val="22"/>
          <w:lang w:val="fr-FR" w:eastAsia="en-US"/>
        </w:rPr>
        <w:t>documents</w:t>
      </w:r>
      <w:r w:rsidR="001863CE">
        <w:rPr>
          <w:rFonts w:eastAsia="Times New Roman"/>
          <w:szCs w:val="22"/>
          <w:lang w:val="fr-FR" w:eastAsia="en-US"/>
        </w:rPr>
        <w:t xml:space="preserve"> </w:t>
      </w:r>
      <w:r w:rsidR="001863CE" w:rsidRPr="00D9120D">
        <w:rPr>
          <w:rFonts w:eastAsia="Times New Roman"/>
          <w:szCs w:val="22"/>
          <w:lang w:val="fr-FR" w:eastAsia="en-US"/>
        </w:rPr>
        <w:t>WI</w:t>
      </w:r>
      <w:r w:rsidRPr="00D9120D">
        <w:rPr>
          <w:rFonts w:eastAsia="Times New Roman"/>
          <w:szCs w:val="22"/>
          <w:lang w:val="fr-FR" w:eastAsia="en-US"/>
        </w:rPr>
        <w:t>PO/GRTKF/IC/35/5, WIPO/GRTKF/IC/35/6, WIPO/GRTKF/IC/35/7, WIPO/GRTKF/IC/35/8, WIPO/GRTKF/IC/35/9, WIPO/GRTKF/IC/35/INF/7, WIPO/GRTKF/IC/35/INF/8 et WIPO/GRTKF/IC/35/INF/9.</w:t>
      </w:r>
    </w:p>
    <w:p w:rsidR="00B64B91" w:rsidRPr="00D50C51" w:rsidRDefault="00B64B91" w:rsidP="00931A71">
      <w:pPr>
        <w:spacing w:after="120" w:line="260" w:lineRule="atLeast"/>
        <w:rPr>
          <w:rFonts w:eastAsia="Times New Roman"/>
          <w:szCs w:val="22"/>
          <w:lang w:val="fr-FR"/>
        </w:rPr>
      </w:pPr>
    </w:p>
    <w:p w:rsidR="00B64B91" w:rsidRPr="00D50C51" w:rsidRDefault="00B532F1" w:rsidP="00B532F1">
      <w:pPr>
        <w:spacing w:after="120" w:line="260" w:lineRule="atLeast"/>
        <w:rPr>
          <w:rFonts w:eastAsia="Times New Roman"/>
          <w:caps/>
          <w:szCs w:val="22"/>
          <w:lang w:val="fr-FR"/>
        </w:rPr>
      </w:pPr>
      <w:r w:rsidRPr="00D50C51">
        <w:rPr>
          <w:rFonts w:eastAsia="Times New Roman"/>
          <w:caps/>
          <w:szCs w:val="22"/>
          <w:lang w:val="fr-FR"/>
        </w:rPr>
        <w:t xml:space="preserve">Décision en ce qui concerne le </w:t>
      </w:r>
      <w:r w:rsidR="00C343AF" w:rsidRPr="00D50C51">
        <w:rPr>
          <w:rFonts w:eastAsia="Times New Roman"/>
          <w:caps/>
          <w:szCs w:val="22"/>
          <w:lang w:val="fr-FR"/>
        </w:rPr>
        <w:t>point 8</w:t>
      </w:r>
      <w:r w:rsidRPr="00D50C51">
        <w:rPr>
          <w:rFonts w:eastAsia="Times New Roman"/>
          <w:caps/>
          <w:szCs w:val="22"/>
          <w:lang w:val="fr-FR"/>
        </w:rPr>
        <w:t xml:space="preserve"> de l</w:t>
      </w:r>
      <w:r w:rsidR="007E7DAB">
        <w:rPr>
          <w:rFonts w:eastAsia="Times New Roman"/>
          <w:caps/>
          <w:szCs w:val="22"/>
          <w:lang w:val="fr-FR"/>
        </w:rPr>
        <w:t>’</w:t>
      </w:r>
      <w:r w:rsidRPr="00D50C51">
        <w:rPr>
          <w:rFonts w:eastAsia="Times New Roman"/>
          <w:caps/>
          <w:szCs w:val="22"/>
          <w:lang w:val="fr-FR"/>
        </w:rPr>
        <w:t>ordre du jour</w:t>
      </w:r>
      <w:r w:rsidR="007E7DAB">
        <w:rPr>
          <w:rFonts w:eastAsia="Times New Roman"/>
          <w:caps/>
          <w:szCs w:val="22"/>
          <w:lang w:val="fr-FR"/>
        </w:rPr>
        <w:t> :</w:t>
      </w:r>
    </w:p>
    <w:p w:rsidR="00B64B91" w:rsidRPr="00D50C51" w:rsidRDefault="00A54F25" w:rsidP="00A54F25">
      <w:pPr>
        <w:spacing w:after="120" w:line="260" w:lineRule="atLeast"/>
        <w:rPr>
          <w:rFonts w:eastAsia="Times New Roman" w:cs="Tahoma"/>
          <w:caps/>
          <w:szCs w:val="22"/>
          <w:lang w:val="fr-FR"/>
        </w:rPr>
      </w:pPr>
      <w:r w:rsidRPr="00D50C51">
        <w:rPr>
          <w:rFonts w:eastAsia="Times New Roman" w:cs="Tahoma"/>
          <w:caps/>
          <w:szCs w:val="22"/>
          <w:lang w:val="fr-FR"/>
        </w:rPr>
        <w:t>Création d</w:t>
      </w:r>
      <w:r w:rsidR="007E7DAB">
        <w:rPr>
          <w:rFonts w:eastAsia="Times New Roman" w:cs="Tahoma"/>
          <w:caps/>
          <w:szCs w:val="22"/>
          <w:lang w:val="fr-FR"/>
        </w:rPr>
        <w:t>’</w:t>
      </w:r>
      <w:r w:rsidRPr="00D50C51">
        <w:rPr>
          <w:rFonts w:eastAsia="Times New Roman" w:cs="Tahoma"/>
          <w:caps/>
          <w:szCs w:val="22"/>
          <w:lang w:val="fr-FR"/>
        </w:rPr>
        <w:t>un ou plusieurs groupes spéciaux d</w:t>
      </w:r>
      <w:r w:rsidR="007E7DAB">
        <w:rPr>
          <w:rFonts w:eastAsia="Times New Roman" w:cs="Tahoma"/>
          <w:caps/>
          <w:szCs w:val="22"/>
          <w:lang w:val="fr-FR"/>
        </w:rPr>
        <w:t>’</w:t>
      </w:r>
      <w:r w:rsidRPr="00D50C51">
        <w:rPr>
          <w:rFonts w:eastAsia="Times New Roman" w:cs="Tahoma"/>
          <w:caps/>
          <w:szCs w:val="22"/>
          <w:lang w:val="fr-FR"/>
        </w:rPr>
        <w:t>experts</w:t>
      </w:r>
    </w:p>
    <w:p w:rsidR="007E7DAB" w:rsidRDefault="006166AD" w:rsidP="006166AD">
      <w:pPr>
        <w:spacing w:after="120" w:line="260" w:lineRule="atLeast"/>
        <w:rPr>
          <w:rFonts w:eastAsia="Times New Roman" w:cs="Tahoma"/>
          <w:szCs w:val="22"/>
          <w:lang w:val="fr-CH"/>
        </w:rPr>
      </w:pPr>
      <w:r w:rsidRPr="00D50C51">
        <w:rPr>
          <w:rFonts w:eastAsia="Times New Roman" w:cs="Tahoma"/>
          <w:szCs w:val="22"/>
          <w:lang w:val="fr-CH"/>
        </w:rPr>
        <w:t>Le mandat du Comité intergouvernemental de la propriété intellectuelle relative aux ressources génétiques, aux savoirs traditionnels et au folklore (ci</w:t>
      </w:r>
      <w:r w:rsidR="007E7DAB">
        <w:rPr>
          <w:rFonts w:eastAsia="Times New Roman" w:cs="Tahoma"/>
          <w:szCs w:val="22"/>
          <w:lang w:val="fr-CH"/>
        </w:rPr>
        <w:t>-</w:t>
      </w:r>
      <w:r w:rsidRPr="00D50C51">
        <w:rPr>
          <w:rFonts w:eastAsia="Times New Roman" w:cs="Tahoma"/>
          <w:szCs w:val="22"/>
          <w:lang w:val="fr-CH"/>
        </w:rPr>
        <w:t xml:space="preserve">après dénommé </w:t>
      </w:r>
      <w:r w:rsidR="007E7DAB">
        <w:rPr>
          <w:rFonts w:eastAsia="Times New Roman" w:cs="Tahoma"/>
          <w:szCs w:val="22"/>
          <w:lang w:val="fr-CH"/>
        </w:rPr>
        <w:t>“</w:t>
      </w:r>
      <w:r w:rsidR="007E7DAB" w:rsidRPr="00D50C51">
        <w:rPr>
          <w:rFonts w:eastAsia="Times New Roman" w:cs="Tahoma"/>
          <w:szCs w:val="22"/>
          <w:lang w:val="fr-CH"/>
        </w:rPr>
        <w:t>I</w:t>
      </w:r>
      <w:r w:rsidRPr="00D50C51">
        <w:rPr>
          <w:rFonts w:eastAsia="Times New Roman" w:cs="Tahoma"/>
          <w:szCs w:val="22"/>
          <w:lang w:val="fr-CH"/>
        </w:rPr>
        <w:t>G</w:t>
      </w:r>
      <w:r w:rsidR="007E7DAB" w:rsidRPr="00D50C51">
        <w:rPr>
          <w:rFonts w:eastAsia="Times New Roman" w:cs="Tahoma"/>
          <w:szCs w:val="22"/>
          <w:lang w:val="fr-CH"/>
        </w:rPr>
        <w:t>C</w:t>
      </w:r>
      <w:r w:rsidR="007E7DAB">
        <w:rPr>
          <w:rFonts w:eastAsia="Times New Roman" w:cs="Tahoma"/>
          <w:szCs w:val="22"/>
          <w:lang w:val="fr-CH"/>
        </w:rPr>
        <w:t>”</w:t>
      </w:r>
      <w:r w:rsidRPr="00D50C51">
        <w:rPr>
          <w:rFonts w:eastAsia="Times New Roman" w:cs="Tahoma"/>
          <w:szCs w:val="22"/>
          <w:lang w:val="fr-CH"/>
        </w:rPr>
        <w:t xml:space="preserve"> ou </w:t>
      </w:r>
      <w:r w:rsidR="007E7DAB">
        <w:rPr>
          <w:rFonts w:eastAsia="Times New Roman" w:cs="Tahoma"/>
          <w:szCs w:val="22"/>
          <w:lang w:val="fr-CH"/>
        </w:rPr>
        <w:t>“</w:t>
      </w:r>
      <w:r w:rsidR="007E7DAB" w:rsidRPr="00D50C51">
        <w:rPr>
          <w:rFonts w:eastAsia="Times New Roman" w:cs="Tahoma"/>
          <w:szCs w:val="22"/>
          <w:lang w:val="fr-CH"/>
        </w:rPr>
        <w:t>c</w:t>
      </w:r>
      <w:r w:rsidRPr="00D50C51">
        <w:rPr>
          <w:rFonts w:eastAsia="Times New Roman" w:cs="Tahoma"/>
          <w:szCs w:val="22"/>
          <w:lang w:val="fr-CH"/>
        </w:rPr>
        <w:t>omit</w:t>
      </w:r>
      <w:r w:rsidR="007E7DAB" w:rsidRPr="00D50C51">
        <w:rPr>
          <w:rFonts w:eastAsia="Times New Roman" w:cs="Tahoma"/>
          <w:szCs w:val="22"/>
          <w:lang w:val="fr-CH"/>
        </w:rPr>
        <w:t>é</w:t>
      </w:r>
      <w:r w:rsidR="007E7DAB">
        <w:rPr>
          <w:rFonts w:eastAsia="Times New Roman" w:cs="Tahoma"/>
          <w:szCs w:val="22"/>
          <w:lang w:val="fr-CH"/>
        </w:rPr>
        <w:t>”</w:t>
      </w:r>
      <w:r w:rsidRPr="00D50C51">
        <w:rPr>
          <w:rFonts w:eastAsia="Times New Roman" w:cs="Tahoma"/>
          <w:szCs w:val="22"/>
          <w:lang w:val="fr-CH"/>
        </w:rPr>
        <w:t>) pour l</w:t>
      </w:r>
      <w:r w:rsidR="007E7DAB">
        <w:rPr>
          <w:rFonts w:eastAsia="Times New Roman" w:cs="Tahoma"/>
          <w:szCs w:val="22"/>
          <w:lang w:val="fr-CH"/>
        </w:rPr>
        <w:t>’</w:t>
      </w:r>
      <w:r w:rsidRPr="00D50C51">
        <w:rPr>
          <w:rFonts w:eastAsia="Times New Roman" w:cs="Tahoma"/>
          <w:szCs w:val="22"/>
          <w:lang w:val="fr-CH"/>
        </w:rPr>
        <w:t xml:space="preserve">exercice </w:t>
      </w:r>
      <w:r w:rsidR="007E7DAB" w:rsidRPr="00D50C51">
        <w:rPr>
          <w:rFonts w:eastAsia="Times New Roman" w:cs="Tahoma"/>
          <w:szCs w:val="22"/>
          <w:lang w:val="fr-CH"/>
        </w:rPr>
        <w:t>biennal</w:t>
      </w:r>
      <w:r w:rsidR="007E7DAB">
        <w:rPr>
          <w:rFonts w:eastAsia="Times New Roman" w:cs="Tahoma"/>
          <w:szCs w:val="22"/>
          <w:lang w:val="fr-CH"/>
        </w:rPr>
        <w:t> </w:t>
      </w:r>
      <w:r w:rsidR="007E7DAB" w:rsidRPr="00D50C51">
        <w:rPr>
          <w:rFonts w:eastAsia="Times New Roman" w:cs="Tahoma"/>
          <w:szCs w:val="22"/>
          <w:lang w:val="fr-CH"/>
        </w:rPr>
        <w:t>2018</w:t>
      </w:r>
      <w:r w:rsidR="007E7DAB">
        <w:rPr>
          <w:rFonts w:eastAsia="Times New Roman" w:cs="Tahoma"/>
          <w:szCs w:val="22"/>
          <w:lang w:val="fr-CH"/>
        </w:rPr>
        <w:t>-</w:t>
      </w:r>
      <w:r w:rsidRPr="00D50C51">
        <w:rPr>
          <w:rFonts w:eastAsia="Times New Roman" w:cs="Tahoma"/>
          <w:szCs w:val="22"/>
          <w:lang w:val="fr-CH"/>
        </w:rPr>
        <w:t>2019 stipule que l</w:t>
      </w:r>
      <w:r w:rsidR="007E7DAB">
        <w:rPr>
          <w:rFonts w:eastAsia="Times New Roman" w:cs="Tahoma"/>
          <w:szCs w:val="22"/>
          <w:lang w:val="fr-CH"/>
        </w:rPr>
        <w:t>’</w:t>
      </w:r>
      <w:r w:rsidRPr="00D50C51">
        <w:rPr>
          <w:rFonts w:eastAsia="Times New Roman" w:cs="Tahoma"/>
          <w:szCs w:val="22"/>
          <w:lang w:val="fr-CH"/>
        </w:rPr>
        <w:t xml:space="preserve">IGC </w:t>
      </w:r>
      <w:r w:rsidR="007E7DAB">
        <w:rPr>
          <w:rFonts w:eastAsia="Times New Roman" w:cs="Tahoma"/>
          <w:szCs w:val="22"/>
          <w:lang w:val="fr-CH"/>
        </w:rPr>
        <w:t>“</w:t>
      </w:r>
      <w:r w:rsidR="007E7DAB" w:rsidRPr="00D50C51">
        <w:rPr>
          <w:rFonts w:eastAsia="Times New Roman" w:cs="Tahoma"/>
          <w:szCs w:val="22"/>
          <w:lang w:val="fr-CH"/>
        </w:rPr>
        <w:t>p</w:t>
      </w:r>
      <w:r w:rsidRPr="00D50C51">
        <w:rPr>
          <w:rFonts w:eastAsia="Times New Roman" w:cs="Tahoma"/>
          <w:szCs w:val="22"/>
          <w:lang w:val="fr-CH"/>
        </w:rPr>
        <w:t>eut créer un ou plusieurs groupes spéciaux d</w:t>
      </w:r>
      <w:r w:rsidR="007E7DAB">
        <w:rPr>
          <w:rFonts w:eastAsia="Times New Roman" w:cs="Tahoma"/>
          <w:szCs w:val="22"/>
          <w:lang w:val="fr-CH"/>
        </w:rPr>
        <w:t>’</w:t>
      </w:r>
      <w:r w:rsidRPr="00D50C51">
        <w:rPr>
          <w:rFonts w:eastAsia="Times New Roman" w:cs="Tahoma"/>
          <w:szCs w:val="22"/>
          <w:lang w:val="fr-CH"/>
        </w:rPr>
        <w:t>experts pour traiter d</w:t>
      </w:r>
      <w:r w:rsidR="007E7DAB">
        <w:rPr>
          <w:rFonts w:eastAsia="Times New Roman" w:cs="Tahoma"/>
          <w:szCs w:val="22"/>
          <w:lang w:val="fr-CH"/>
        </w:rPr>
        <w:t>’</w:t>
      </w:r>
      <w:r w:rsidRPr="00D50C51">
        <w:rPr>
          <w:rFonts w:eastAsia="Times New Roman" w:cs="Tahoma"/>
          <w:szCs w:val="22"/>
          <w:lang w:val="fr-CH"/>
        </w:rPr>
        <w:t>une question juridique, politique ou technique précis</w:t>
      </w:r>
      <w:r w:rsidR="007E7DAB" w:rsidRPr="00D50C51">
        <w:rPr>
          <w:rFonts w:eastAsia="Times New Roman" w:cs="Tahoma"/>
          <w:szCs w:val="22"/>
          <w:lang w:val="fr-CH"/>
        </w:rPr>
        <w:t>e</w:t>
      </w:r>
      <w:r w:rsidR="007E7DAB">
        <w:rPr>
          <w:rFonts w:eastAsia="Times New Roman" w:cs="Tahoma"/>
          <w:szCs w:val="22"/>
          <w:lang w:val="fr-CH"/>
        </w:rPr>
        <w:t>”</w:t>
      </w:r>
      <w:r w:rsidRPr="00D50C51">
        <w:rPr>
          <w:rFonts w:eastAsia="Times New Roman" w:cs="Tahoma"/>
          <w:szCs w:val="22"/>
          <w:lang w:val="fr-CH"/>
        </w:rPr>
        <w:t xml:space="preserve"> et que </w:t>
      </w:r>
      <w:r w:rsidR="007E7DAB">
        <w:rPr>
          <w:rFonts w:eastAsia="Times New Roman" w:cs="Tahoma"/>
          <w:szCs w:val="22"/>
          <w:lang w:val="fr-CH"/>
        </w:rPr>
        <w:t>“</w:t>
      </w:r>
      <w:r w:rsidR="007E7DAB" w:rsidRPr="00D50C51">
        <w:rPr>
          <w:rFonts w:eastAsia="Times New Roman" w:cs="Tahoma"/>
          <w:szCs w:val="22"/>
          <w:lang w:val="fr-CH"/>
        </w:rPr>
        <w:t>l</w:t>
      </w:r>
      <w:r w:rsidRPr="00D50C51">
        <w:rPr>
          <w:rFonts w:eastAsia="Times New Roman" w:cs="Tahoma"/>
          <w:szCs w:val="22"/>
          <w:lang w:val="fr-CH"/>
        </w:rPr>
        <w:t>es résultats des travaux de chaque groupe seront présentés au comité pour exame</w:t>
      </w:r>
      <w:r w:rsidR="007E7DAB" w:rsidRPr="00D50C51">
        <w:rPr>
          <w:rFonts w:eastAsia="Times New Roman" w:cs="Tahoma"/>
          <w:szCs w:val="22"/>
          <w:lang w:val="fr-CH"/>
        </w:rPr>
        <w:t>n</w:t>
      </w:r>
      <w:r w:rsidR="007E7DAB">
        <w:rPr>
          <w:rFonts w:eastAsia="Times New Roman" w:cs="Tahoma"/>
          <w:szCs w:val="22"/>
          <w:lang w:val="fr-CH"/>
        </w:rPr>
        <w:t>”</w:t>
      </w:r>
      <w:r w:rsidRPr="00D50C51">
        <w:rPr>
          <w:rFonts w:eastAsia="Times New Roman" w:cs="Tahoma"/>
          <w:szCs w:val="22"/>
          <w:lang w:val="fr-CH"/>
        </w:rPr>
        <w:t xml:space="preserve">.  Le mandat stipule également que </w:t>
      </w:r>
      <w:r w:rsidR="007E7DAB">
        <w:rPr>
          <w:rFonts w:eastAsia="Times New Roman" w:cs="Tahoma"/>
          <w:szCs w:val="22"/>
          <w:lang w:val="fr-CH"/>
        </w:rPr>
        <w:t>“</w:t>
      </w:r>
      <w:r w:rsidR="007E7DAB" w:rsidRPr="00D50C51">
        <w:rPr>
          <w:rFonts w:eastAsia="Times New Roman" w:cs="Tahoma"/>
          <w:szCs w:val="22"/>
          <w:lang w:val="fr-CH"/>
        </w:rPr>
        <w:t>l</w:t>
      </w:r>
      <w:r w:rsidRPr="00D50C51">
        <w:rPr>
          <w:rFonts w:eastAsia="Times New Roman" w:cs="Tahoma"/>
          <w:szCs w:val="22"/>
          <w:lang w:val="fr-CH"/>
        </w:rPr>
        <w:t>e ou les groupes d</w:t>
      </w:r>
      <w:r w:rsidR="007E7DAB">
        <w:rPr>
          <w:rFonts w:eastAsia="Times New Roman" w:cs="Tahoma"/>
          <w:szCs w:val="22"/>
          <w:lang w:val="fr-CH"/>
        </w:rPr>
        <w:t>’</w:t>
      </w:r>
      <w:r w:rsidRPr="00D50C51">
        <w:rPr>
          <w:rFonts w:eastAsia="Times New Roman" w:cs="Tahoma"/>
          <w:szCs w:val="22"/>
          <w:lang w:val="fr-CH"/>
        </w:rPr>
        <w:t>experts auront une représentation régionale équilibrée et appliqueront une méthode de travail efficac</w:t>
      </w:r>
      <w:r w:rsidR="007E7DAB" w:rsidRPr="00D50C51">
        <w:rPr>
          <w:rFonts w:eastAsia="Times New Roman" w:cs="Tahoma"/>
          <w:szCs w:val="22"/>
          <w:lang w:val="fr-CH"/>
        </w:rPr>
        <w:t>e</w:t>
      </w:r>
      <w:r w:rsidR="007E7DAB">
        <w:rPr>
          <w:rFonts w:eastAsia="Times New Roman" w:cs="Tahoma"/>
          <w:szCs w:val="22"/>
          <w:lang w:val="fr-CH"/>
        </w:rPr>
        <w:t>”</w:t>
      </w:r>
      <w:r w:rsidRPr="00D50C51">
        <w:rPr>
          <w:rFonts w:eastAsia="Times New Roman" w:cs="Tahoma"/>
          <w:szCs w:val="22"/>
          <w:lang w:val="fr-CH"/>
        </w:rPr>
        <w:t xml:space="preserve"> et qu</w:t>
      </w:r>
      <w:r w:rsidR="007E7DAB">
        <w:rPr>
          <w:rFonts w:eastAsia="Times New Roman" w:cs="Tahoma"/>
          <w:szCs w:val="22"/>
          <w:lang w:val="fr-CH"/>
        </w:rPr>
        <w:t>’</w:t>
      </w:r>
      <w:r w:rsidRPr="00D50C51">
        <w:rPr>
          <w:rFonts w:eastAsia="Times New Roman" w:cs="Tahoma"/>
          <w:szCs w:val="22"/>
          <w:lang w:val="fr-CH"/>
        </w:rPr>
        <w:t xml:space="preserve">ils </w:t>
      </w:r>
      <w:r w:rsidR="007E7DAB">
        <w:rPr>
          <w:rFonts w:eastAsia="Times New Roman" w:cs="Tahoma"/>
          <w:szCs w:val="22"/>
          <w:lang w:val="fr-CH"/>
        </w:rPr>
        <w:t>“</w:t>
      </w:r>
      <w:r w:rsidR="007E7DAB" w:rsidRPr="00D50C51">
        <w:rPr>
          <w:rFonts w:eastAsia="Times New Roman" w:cs="Tahoma"/>
          <w:szCs w:val="22"/>
          <w:lang w:val="fr-CH"/>
        </w:rPr>
        <w:t>s</w:t>
      </w:r>
      <w:r w:rsidRPr="00D50C51">
        <w:rPr>
          <w:rFonts w:eastAsia="Times New Roman" w:cs="Tahoma"/>
          <w:szCs w:val="22"/>
          <w:lang w:val="fr-CH"/>
        </w:rPr>
        <w:t>e réuniront les semaines au cours desquelles se tiendront les sessions de l</w:t>
      </w:r>
      <w:r w:rsidR="007E7DAB">
        <w:rPr>
          <w:rFonts w:eastAsia="Times New Roman" w:cs="Tahoma"/>
          <w:szCs w:val="22"/>
          <w:lang w:val="fr-CH"/>
        </w:rPr>
        <w:t>’</w:t>
      </w:r>
      <w:r w:rsidRPr="00D50C51">
        <w:rPr>
          <w:rFonts w:eastAsia="Times New Roman" w:cs="Tahoma"/>
          <w:szCs w:val="22"/>
          <w:lang w:val="fr-CH"/>
        </w:rPr>
        <w:t>IG</w:t>
      </w:r>
      <w:r w:rsidR="007E7DAB" w:rsidRPr="00D50C51">
        <w:rPr>
          <w:rFonts w:eastAsia="Times New Roman" w:cs="Tahoma"/>
          <w:szCs w:val="22"/>
          <w:lang w:val="fr-CH"/>
        </w:rPr>
        <w:t>C</w:t>
      </w:r>
      <w:r w:rsidR="007E7DAB">
        <w:rPr>
          <w:rFonts w:eastAsia="Times New Roman" w:cs="Tahoma"/>
          <w:szCs w:val="22"/>
          <w:lang w:val="fr-CH"/>
        </w:rPr>
        <w:t>”</w:t>
      </w:r>
      <w:r w:rsidRPr="00D50C51">
        <w:rPr>
          <w:rFonts w:eastAsia="Times New Roman" w:cs="Tahoma"/>
          <w:szCs w:val="22"/>
          <w:lang w:val="fr-CH"/>
        </w:rPr>
        <w:t>.</w:t>
      </w:r>
    </w:p>
    <w:p w:rsidR="00B64B91" w:rsidRPr="00D50C51" w:rsidRDefault="006166AD" w:rsidP="00A54F25">
      <w:pPr>
        <w:spacing w:after="120" w:line="260" w:lineRule="atLeast"/>
        <w:rPr>
          <w:rFonts w:eastAsia="Times New Roman" w:cs="Tahoma"/>
          <w:szCs w:val="22"/>
          <w:lang w:val="fr-FR"/>
        </w:rPr>
      </w:pPr>
      <w:r w:rsidRPr="00D50C51">
        <w:rPr>
          <w:rFonts w:eastAsia="Times New Roman" w:cs="Tahoma"/>
          <w:szCs w:val="22"/>
          <w:lang w:val="fr-FR"/>
        </w:rPr>
        <w:t>Dans ce contexte, l</w:t>
      </w:r>
      <w:r w:rsidR="006916BC" w:rsidRPr="00D50C51">
        <w:rPr>
          <w:rFonts w:eastAsia="Times New Roman" w:cs="Tahoma"/>
          <w:szCs w:val="22"/>
          <w:lang w:val="fr-FR"/>
        </w:rPr>
        <w:t xml:space="preserve">e comité est convenu </w:t>
      </w:r>
      <w:r w:rsidR="00E0304B" w:rsidRPr="00D50C51">
        <w:rPr>
          <w:rFonts w:eastAsia="Times New Roman" w:cs="Tahoma"/>
          <w:szCs w:val="22"/>
          <w:lang w:val="fr-FR"/>
        </w:rPr>
        <w:t xml:space="preserve">de créer </w:t>
      </w:r>
      <w:r w:rsidR="006916BC" w:rsidRPr="00D50C51">
        <w:rPr>
          <w:rFonts w:eastAsia="Times New Roman" w:cs="Tahoma"/>
          <w:szCs w:val="22"/>
          <w:lang w:val="fr-FR"/>
        </w:rPr>
        <w:t>un groupe spécial d</w:t>
      </w:r>
      <w:r w:rsidR="007E7DAB">
        <w:rPr>
          <w:rFonts w:eastAsia="Times New Roman" w:cs="Tahoma"/>
          <w:szCs w:val="22"/>
          <w:lang w:val="fr-FR"/>
        </w:rPr>
        <w:t>’</w:t>
      </w:r>
      <w:r w:rsidR="006916BC" w:rsidRPr="00D50C51">
        <w:rPr>
          <w:rFonts w:eastAsia="Times New Roman" w:cs="Tahoma"/>
          <w:szCs w:val="22"/>
          <w:lang w:val="fr-FR"/>
        </w:rPr>
        <w:t>experts sur les ressources génétiques organisé comme suit</w:t>
      </w:r>
      <w:r w:rsidR="007E7DAB">
        <w:rPr>
          <w:rFonts w:eastAsia="Times New Roman" w:cs="Tahoma"/>
          <w:szCs w:val="22"/>
          <w:lang w:val="fr-FR"/>
        </w:rPr>
        <w:t> :</w:t>
      </w:r>
    </w:p>
    <w:p w:rsidR="00B64B91" w:rsidRPr="007E7DAB" w:rsidRDefault="006916BC" w:rsidP="00A54F25">
      <w:pPr>
        <w:spacing w:after="120" w:line="260" w:lineRule="atLeast"/>
        <w:rPr>
          <w:rFonts w:eastAsia="Times New Roman" w:cs="Tahoma"/>
          <w:i/>
          <w:szCs w:val="22"/>
          <w:u w:val="single"/>
          <w:lang w:val="fr-FR"/>
        </w:rPr>
      </w:pPr>
      <w:r w:rsidRPr="007E7DAB">
        <w:rPr>
          <w:rFonts w:eastAsia="Times New Roman" w:cs="Tahoma"/>
          <w:i/>
          <w:szCs w:val="22"/>
          <w:u w:val="single"/>
          <w:lang w:val="fr-FR"/>
        </w:rPr>
        <w:t>Mandat</w:t>
      </w:r>
    </w:p>
    <w:p w:rsidR="00B64B91" w:rsidRDefault="006916BC" w:rsidP="00931A71">
      <w:pPr>
        <w:spacing w:after="120" w:line="260" w:lineRule="atLeast"/>
        <w:rPr>
          <w:rFonts w:eastAsia="Times New Roman"/>
          <w:szCs w:val="22"/>
          <w:lang w:val="fr-FR"/>
        </w:rPr>
      </w:pPr>
      <w:r w:rsidRPr="00D9120D">
        <w:rPr>
          <w:rFonts w:eastAsia="Times New Roman"/>
          <w:szCs w:val="22"/>
          <w:lang w:val="fr-FR"/>
        </w:rPr>
        <w:t>La session plénière de l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IGC est l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organe de négociation et de décisi</w:t>
      </w:r>
      <w:r w:rsidR="005D31C3" w:rsidRPr="00D9120D">
        <w:rPr>
          <w:rFonts w:eastAsia="Times New Roman"/>
          <w:szCs w:val="22"/>
          <w:lang w:val="fr-FR"/>
        </w:rPr>
        <w:t>on</w:t>
      </w:r>
      <w:r w:rsidR="005D31C3">
        <w:rPr>
          <w:rFonts w:eastAsia="Times New Roman"/>
          <w:szCs w:val="22"/>
          <w:lang w:val="fr-FR"/>
        </w:rPr>
        <w:t xml:space="preserve">.  </w:t>
      </w:r>
      <w:r w:rsidR="005D31C3" w:rsidRPr="00D9120D">
        <w:rPr>
          <w:rFonts w:eastAsia="Times New Roman"/>
          <w:szCs w:val="22"/>
          <w:lang w:val="fr-FR"/>
        </w:rPr>
        <w:t>Le</w:t>
      </w:r>
      <w:r w:rsidRPr="00D9120D">
        <w:rPr>
          <w:rFonts w:eastAsia="Times New Roman"/>
          <w:szCs w:val="22"/>
          <w:lang w:val="fr-FR"/>
        </w:rPr>
        <w:t xml:space="preserve"> groupe spécial d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experts est chargé d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appuyer et de faciliter les négociations dans le cadre de l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IGC.</w:t>
      </w:r>
    </w:p>
    <w:p w:rsidR="00B64B91" w:rsidRPr="00D50C51" w:rsidRDefault="006916BC" w:rsidP="007C30D3">
      <w:pPr>
        <w:spacing w:after="120" w:line="260" w:lineRule="atLeast"/>
        <w:rPr>
          <w:rFonts w:eastAsia="Times New Roman"/>
          <w:szCs w:val="22"/>
          <w:lang w:val="fr-FR"/>
        </w:rPr>
      </w:pPr>
      <w:r w:rsidRPr="00D50C51">
        <w:rPr>
          <w:rFonts w:eastAsia="Times New Roman"/>
          <w:szCs w:val="22"/>
          <w:lang w:val="fr-FR"/>
        </w:rPr>
        <w:t>Le groupe spécial d</w:t>
      </w:r>
      <w:r w:rsidR="007E7DAB">
        <w:rPr>
          <w:rFonts w:eastAsia="Times New Roman"/>
          <w:szCs w:val="22"/>
          <w:lang w:val="fr-FR"/>
        </w:rPr>
        <w:t>’</w:t>
      </w:r>
      <w:r w:rsidRPr="00D50C51">
        <w:rPr>
          <w:rFonts w:eastAsia="Times New Roman"/>
          <w:szCs w:val="22"/>
          <w:lang w:val="fr-FR"/>
        </w:rPr>
        <w:t xml:space="preserve">experts fournira des </w:t>
      </w:r>
      <w:r w:rsidR="00302B5D" w:rsidRPr="00D50C51">
        <w:rPr>
          <w:rFonts w:eastAsia="Times New Roman"/>
          <w:szCs w:val="22"/>
          <w:lang w:val="fr-FR"/>
        </w:rPr>
        <w:t xml:space="preserve">conseils et </w:t>
      </w:r>
      <w:r w:rsidR="00E0304B" w:rsidRPr="00D50C51">
        <w:rPr>
          <w:rFonts w:eastAsia="Times New Roman"/>
          <w:szCs w:val="22"/>
          <w:lang w:val="fr-FR"/>
        </w:rPr>
        <w:t xml:space="preserve">des </w:t>
      </w:r>
      <w:r w:rsidR="00302B5D" w:rsidRPr="00D50C51">
        <w:rPr>
          <w:rFonts w:eastAsia="Times New Roman"/>
          <w:szCs w:val="22"/>
          <w:lang w:val="fr-FR"/>
        </w:rPr>
        <w:t>analyses sur des questions d</w:t>
      </w:r>
      <w:r w:rsidR="007E7DAB">
        <w:rPr>
          <w:rFonts w:eastAsia="Times New Roman"/>
          <w:szCs w:val="22"/>
          <w:lang w:val="fr-FR"/>
        </w:rPr>
        <w:t>’</w:t>
      </w:r>
      <w:r w:rsidR="00302B5D" w:rsidRPr="00D50C51">
        <w:rPr>
          <w:rFonts w:eastAsia="Times New Roman"/>
          <w:szCs w:val="22"/>
          <w:lang w:val="fr-FR"/>
        </w:rPr>
        <w:t>ordre ju</w:t>
      </w:r>
      <w:r w:rsidR="007C30D3" w:rsidRPr="00D50C51">
        <w:rPr>
          <w:rFonts w:eastAsia="Times New Roman"/>
          <w:szCs w:val="22"/>
          <w:lang w:val="fr-FR"/>
        </w:rPr>
        <w:t>ridique, politique ou technique, notamment celles incluses dans</w:t>
      </w:r>
      <w:r w:rsidR="00302B5D" w:rsidRPr="00D50C51">
        <w:rPr>
          <w:rFonts w:eastAsia="Times New Roman"/>
          <w:szCs w:val="22"/>
          <w:lang w:val="fr-FR"/>
        </w:rPr>
        <w:t xml:space="preserve"> la liste indicative des questions figurant dans l</w:t>
      </w:r>
      <w:r w:rsidR="007E7DAB">
        <w:rPr>
          <w:rFonts w:eastAsia="Times New Roman"/>
          <w:szCs w:val="22"/>
          <w:lang w:val="fr-FR"/>
        </w:rPr>
        <w:t>’</w:t>
      </w:r>
      <w:r w:rsidR="00302B5D" w:rsidRPr="00D50C51">
        <w:rPr>
          <w:rFonts w:eastAsia="Times New Roman"/>
          <w:szCs w:val="22"/>
          <w:lang w:val="fr-FR"/>
        </w:rPr>
        <w:t>anne</w:t>
      </w:r>
      <w:r w:rsidR="005D31C3" w:rsidRPr="00D50C51">
        <w:rPr>
          <w:rFonts w:eastAsia="Times New Roman"/>
          <w:szCs w:val="22"/>
          <w:lang w:val="fr-FR"/>
        </w:rPr>
        <w:t>xe</w:t>
      </w:r>
      <w:r w:rsidR="005D31C3">
        <w:rPr>
          <w:rFonts w:eastAsia="Times New Roman"/>
          <w:szCs w:val="22"/>
          <w:lang w:val="fr-FR"/>
        </w:rPr>
        <w:t xml:space="preserve">.  </w:t>
      </w:r>
      <w:r w:rsidR="005D31C3" w:rsidRPr="00D50C51">
        <w:rPr>
          <w:rFonts w:eastAsia="Times New Roman"/>
          <w:szCs w:val="22"/>
          <w:lang w:val="fr-FR"/>
        </w:rPr>
        <w:t>Le</w:t>
      </w:r>
      <w:r w:rsidR="007C30D3" w:rsidRPr="00D50C51">
        <w:rPr>
          <w:rFonts w:eastAsia="Times New Roman"/>
          <w:szCs w:val="22"/>
          <w:lang w:val="fr-FR"/>
        </w:rPr>
        <w:t>s États membres, par l</w:t>
      </w:r>
      <w:r w:rsidR="007E7DAB">
        <w:rPr>
          <w:rFonts w:eastAsia="Times New Roman"/>
          <w:szCs w:val="22"/>
          <w:lang w:val="fr-FR"/>
        </w:rPr>
        <w:t>’</w:t>
      </w:r>
      <w:r w:rsidR="007C30D3" w:rsidRPr="00D50C51">
        <w:rPr>
          <w:rFonts w:eastAsia="Times New Roman"/>
          <w:szCs w:val="22"/>
          <w:lang w:val="fr-FR"/>
        </w:rPr>
        <w:t>intermédiaire des coordonnateurs régionaux, seront invités à suggérer des questions précises à soumettre à l</w:t>
      </w:r>
      <w:r w:rsidR="007E7DAB">
        <w:rPr>
          <w:rFonts w:eastAsia="Times New Roman"/>
          <w:szCs w:val="22"/>
          <w:lang w:val="fr-FR"/>
        </w:rPr>
        <w:t>’</w:t>
      </w:r>
      <w:r w:rsidR="007C30D3" w:rsidRPr="00D50C51">
        <w:rPr>
          <w:rFonts w:eastAsia="Times New Roman"/>
          <w:szCs w:val="22"/>
          <w:lang w:val="fr-FR"/>
        </w:rPr>
        <w:t>examen du groupe spécial d</w:t>
      </w:r>
      <w:r w:rsidR="007E7DAB">
        <w:rPr>
          <w:rFonts w:eastAsia="Times New Roman"/>
          <w:szCs w:val="22"/>
          <w:lang w:val="fr-FR"/>
        </w:rPr>
        <w:t>’</w:t>
      </w:r>
      <w:r w:rsidR="007C30D3" w:rsidRPr="00D50C51">
        <w:rPr>
          <w:rFonts w:eastAsia="Times New Roman"/>
          <w:szCs w:val="22"/>
          <w:lang w:val="fr-FR"/>
        </w:rPr>
        <w:t>exper</w:t>
      </w:r>
      <w:r w:rsidR="005D31C3" w:rsidRPr="00D50C51">
        <w:rPr>
          <w:rFonts w:eastAsia="Times New Roman"/>
          <w:szCs w:val="22"/>
          <w:lang w:val="fr-FR"/>
        </w:rPr>
        <w:t>ts</w:t>
      </w:r>
      <w:r w:rsidR="005D31C3">
        <w:rPr>
          <w:rFonts w:eastAsia="Times New Roman"/>
          <w:szCs w:val="22"/>
          <w:lang w:val="fr-FR"/>
        </w:rPr>
        <w:t xml:space="preserve">.  </w:t>
      </w:r>
      <w:r w:rsidR="005D31C3" w:rsidRPr="00D50C51">
        <w:rPr>
          <w:rFonts w:eastAsia="Times New Roman" w:cs="Tahoma"/>
          <w:szCs w:val="22"/>
          <w:lang w:val="fr-CH"/>
        </w:rPr>
        <w:t>Le</w:t>
      </w:r>
      <w:r w:rsidR="007C30D3" w:rsidRPr="00D50C51">
        <w:rPr>
          <w:rFonts w:eastAsia="Times New Roman" w:cs="Tahoma"/>
          <w:szCs w:val="22"/>
          <w:lang w:val="fr-CH"/>
        </w:rPr>
        <w:t xml:space="preserve"> président et les vice</w:t>
      </w:r>
      <w:r w:rsidR="007E7DAB">
        <w:rPr>
          <w:rFonts w:eastAsia="Times New Roman" w:cs="Tahoma"/>
          <w:szCs w:val="22"/>
          <w:lang w:val="fr-CH"/>
        </w:rPr>
        <w:t>-</w:t>
      </w:r>
      <w:r w:rsidR="007C30D3" w:rsidRPr="00D50C51">
        <w:rPr>
          <w:rFonts w:eastAsia="Times New Roman" w:cs="Tahoma"/>
          <w:szCs w:val="22"/>
          <w:lang w:val="fr-CH"/>
        </w:rPr>
        <w:t>présidents de l</w:t>
      </w:r>
      <w:r w:rsidR="007E7DAB">
        <w:rPr>
          <w:rFonts w:eastAsia="Times New Roman" w:cs="Tahoma"/>
          <w:szCs w:val="22"/>
          <w:lang w:val="fr-CH"/>
        </w:rPr>
        <w:t>’</w:t>
      </w:r>
      <w:r w:rsidR="007C30D3" w:rsidRPr="00D50C51">
        <w:rPr>
          <w:rFonts w:eastAsia="Times New Roman" w:cs="Tahoma"/>
          <w:szCs w:val="22"/>
          <w:lang w:val="fr-CH"/>
        </w:rPr>
        <w:t>IGC établiront une liste de questions précises à partir des suggestions formulées par les États membr</w:t>
      </w:r>
      <w:r w:rsidR="005D31C3" w:rsidRPr="00D50C51">
        <w:rPr>
          <w:rFonts w:eastAsia="Times New Roman" w:cs="Tahoma"/>
          <w:szCs w:val="22"/>
          <w:lang w:val="fr-CH"/>
        </w:rPr>
        <w:t>es</w:t>
      </w:r>
      <w:r w:rsidR="005D31C3">
        <w:rPr>
          <w:rFonts w:eastAsia="Times New Roman" w:cs="Tahoma"/>
          <w:szCs w:val="22"/>
          <w:lang w:val="fr-CH"/>
        </w:rPr>
        <w:t xml:space="preserve">.  </w:t>
      </w:r>
      <w:r w:rsidR="005D31C3" w:rsidRPr="00D50C51">
        <w:rPr>
          <w:rFonts w:eastAsia="Times New Roman" w:cs="Tahoma"/>
          <w:szCs w:val="22"/>
          <w:lang w:val="fr-CH"/>
        </w:rPr>
        <w:t>La</w:t>
      </w:r>
      <w:r w:rsidR="007C30D3" w:rsidRPr="00D50C51">
        <w:rPr>
          <w:rFonts w:eastAsia="Times New Roman" w:cs="Tahoma"/>
          <w:szCs w:val="22"/>
          <w:lang w:val="fr-CH"/>
        </w:rPr>
        <w:t xml:space="preserve"> liste doit être équilibrée et aussi brève et ciblée que possib</w:t>
      </w:r>
      <w:r w:rsidR="005D31C3" w:rsidRPr="00D50C51">
        <w:rPr>
          <w:rFonts w:eastAsia="Times New Roman" w:cs="Tahoma"/>
          <w:szCs w:val="22"/>
          <w:lang w:val="fr-CH"/>
        </w:rPr>
        <w:t>le</w:t>
      </w:r>
      <w:r w:rsidR="005D31C3">
        <w:rPr>
          <w:rFonts w:eastAsia="Times New Roman" w:cs="Tahoma"/>
          <w:szCs w:val="22"/>
          <w:lang w:val="fr-CH"/>
        </w:rPr>
        <w:t xml:space="preserve">.  </w:t>
      </w:r>
      <w:r w:rsidR="005D31C3" w:rsidRPr="00D50C51">
        <w:rPr>
          <w:rFonts w:eastAsia="Times New Roman" w:cs="Tahoma"/>
          <w:szCs w:val="22"/>
          <w:lang w:val="fr-CH"/>
        </w:rPr>
        <w:t>La</w:t>
      </w:r>
      <w:r w:rsidR="007C30D3" w:rsidRPr="00D50C51">
        <w:rPr>
          <w:rFonts w:eastAsia="Times New Roman" w:cs="Tahoma"/>
          <w:szCs w:val="22"/>
          <w:lang w:val="fr-CH"/>
        </w:rPr>
        <w:t xml:space="preserve"> liste provisoire sera transmise par le président de l</w:t>
      </w:r>
      <w:r w:rsidR="007E7DAB">
        <w:rPr>
          <w:rFonts w:eastAsia="Times New Roman" w:cs="Tahoma"/>
          <w:szCs w:val="22"/>
          <w:lang w:val="fr-CH"/>
        </w:rPr>
        <w:t>’</w:t>
      </w:r>
      <w:r w:rsidR="007C30D3" w:rsidRPr="00D50C51">
        <w:rPr>
          <w:rFonts w:eastAsia="Times New Roman" w:cs="Tahoma"/>
          <w:szCs w:val="22"/>
          <w:lang w:val="fr-CH"/>
        </w:rPr>
        <w:t xml:space="preserve">IGC aux </w:t>
      </w:r>
      <w:r w:rsidR="007C30D3" w:rsidRPr="00D50C51">
        <w:rPr>
          <w:rFonts w:eastAsia="Times New Roman"/>
          <w:szCs w:val="22"/>
          <w:lang w:val="fr-FR"/>
        </w:rPr>
        <w:t xml:space="preserve">coordonnateurs régionaux pour commentaires, </w:t>
      </w:r>
      <w:r w:rsidR="00302B5D" w:rsidRPr="00D50C51">
        <w:rPr>
          <w:rFonts w:eastAsia="Times New Roman"/>
          <w:szCs w:val="22"/>
          <w:lang w:val="fr-FR"/>
        </w:rPr>
        <w:t xml:space="preserve">et aux experts avant </w:t>
      </w:r>
      <w:r w:rsidR="00572CAB" w:rsidRPr="00D50C51">
        <w:rPr>
          <w:rFonts w:eastAsia="Times New Roman"/>
          <w:szCs w:val="22"/>
          <w:lang w:val="fr-FR"/>
        </w:rPr>
        <w:t>la</w:t>
      </w:r>
      <w:r w:rsidR="00302B5D" w:rsidRPr="00D50C51">
        <w:rPr>
          <w:rFonts w:eastAsia="Times New Roman"/>
          <w:szCs w:val="22"/>
          <w:lang w:val="fr-FR"/>
        </w:rPr>
        <w:t xml:space="preserve"> réunion du groupe.</w:t>
      </w:r>
    </w:p>
    <w:p w:rsidR="00B64B91" w:rsidRPr="00D50C51" w:rsidRDefault="00302B5D" w:rsidP="00931A71">
      <w:pPr>
        <w:spacing w:after="120" w:line="260" w:lineRule="atLeast"/>
        <w:rPr>
          <w:rFonts w:eastAsia="Times New Roman"/>
          <w:szCs w:val="22"/>
          <w:lang w:val="fr-FR"/>
        </w:rPr>
      </w:pPr>
      <w:r w:rsidRPr="00D50C51">
        <w:rPr>
          <w:rFonts w:eastAsia="Times New Roman"/>
          <w:szCs w:val="22"/>
          <w:lang w:val="fr-FR"/>
        </w:rPr>
        <w:t>Lors de la trente</w:t>
      </w:r>
      <w:r w:rsidR="007E7DAB">
        <w:rPr>
          <w:rFonts w:eastAsia="Times New Roman"/>
          <w:szCs w:val="22"/>
          <w:lang w:val="fr-FR"/>
        </w:rPr>
        <w:t>-</w:t>
      </w:r>
      <w:r w:rsidRPr="00D50C51">
        <w:rPr>
          <w:rFonts w:eastAsia="Times New Roman"/>
          <w:szCs w:val="22"/>
          <w:lang w:val="fr-FR"/>
        </w:rPr>
        <w:t>six</w:t>
      </w:r>
      <w:r w:rsidR="007E7DAB">
        <w:rPr>
          <w:rFonts w:eastAsia="Times New Roman"/>
          <w:szCs w:val="22"/>
          <w:lang w:val="fr-FR"/>
        </w:rPr>
        <w:t>ième session</w:t>
      </w:r>
      <w:r w:rsidRPr="00D50C51">
        <w:rPr>
          <w:rFonts w:eastAsia="Times New Roman"/>
          <w:szCs w:val="22"/>
          <w:lang w:val="fr-FR"/>
        </w:rPr>
        <w:t xml:space="preserve"> de l</w:t>
      </w:r>
      <w:r w:rsidR="007E7DAB">
        <w:rPr>
          <w:rFonts w:eastAsia="Times New Roman"/>
          <w:szCs w:val="22"/>
          <w:lang w:val="fr-FR"/>
        </w:rPr>
        <w:t>’</w:t>
      </w:r>
      <w:r w:rsidRPr="00D50C51">
        <w:rPr>
          <w:rFonts w:eastAsia="Times New Roman"/>
          <w:szCs w:val="22"/>
          <w:lang w:val="fr-FR"/>
        </w:rPr>
        <w:t xml:space="preserve">IGC, le groupe présentera à la session plénière </w:t>
      </w:r>
      <w:r w:rsidR="007F188B" w:rsidRPr="00D50C51">
        <w:rPr>
          <w:rFonts w:eastAsia="Times New Roman"/>
          <w:szCs w:val="22"/>
          <w:lang w:val="fr-FR"/>
        </w:rPr>
        <w:t>un rapport sur les résultats de ses travaux.</w:t>
      </w:r>
    </w:p>
    <w:p w:rsidR="007E7DAB" w:rsidRDefault="007F188B" w:rsidP="00931A71">
      <w:pPr>
        <w:spacing w:after="120" w:line="260" w:lineRule="atLeast"/>
        <w:rPr>
          <w:rFonts w:eastAsia="Times New Roman"/>
          <w:szCs w:val="22"/>
          <w:lang w:val="fr-FR"/>
        </w:rPr>
      </w:pPr>
      <w:r w:rsidRPr="00D9120D">
        <w:rPr>
          <w:rFonts w:eastAsia="Times New Roman"/>
          <w:szCs w:val="22"/>
          <w:lang w:val="fr-FR"/>
        </w:rPr>
        <w:t>La présentation de ce rapport par le président ou les vice</w:t>
      </w:r>
      <w:r w:rsidR="007E7DAB">
        <w:rPr>
          <w:rFonts w:eastAsia="Times New Roman"/>
          <w:szCs w:val="22"/>
          <w:lang w:val="fr-FR"/>
        </w:rPr>
        <w:t>-</w:t>
      </w:r>
      <w:r w:rsidRPr="00D9120D">
        <w:rPr>
          <w:rFonts w:eastAsia="Times New Roman"/>
          <w:szCs w:val="22"/>
          <w:lang w:val="fr-FR"/>
        </w:rPr>
        <w:t xml:space="preserve">présidents du groupe spécial </w:t>
      </w:r>
      <w:r w:rsidRPr="00D50C51">
        <w:rPr>
          <w:rFonts w:eastAsia="Times New Roman"/>
          <w:szCs w:val="22"/>
          <w:lang w:val="fr-FR"/>
        </w:rPr>
        <w:t>d</w:t>
      </w:r>
      <w:r w:rsidR="007E7DAB">
        <w:rPr>
          <w:rFonts w:eastAsia="Times New Roman"/>
          <w:szCs w:val="22"/>
          <w:lang w:val="fr-FR"/>
        </w:rPr>
        <w:t>’</w:t>
      </w:r>
      <w:r w:rsidRPr="00D50C51">
        <w:rPr>
          <w:rFonts w:eastAsia="Times New Roman"/>
          <w:szCs w:val="22"/>
          <w:lang w:val="fr-FR"/>
        </w:rPr>
        <w:t>experts sera inscrite à l</w:t>
      </w:r>
      <w:r w:rsidR="007E7DAB">
        <w:rPr>
          <w:rFonts w:eastAsia="Times New Roman"/>
          <w:szCs w:val="22"/>
          <w:lang w:val="fr-FR"/>
        </w:rPr>
        <w:t>’</w:t>
      </w:r>
      <w:r w:rsidRPr="00D50C51">
        <w:rPr>
          <w:rFonts w:eastAsia="Times New Roman"/>
          <w:szCs w:val="22"/>
          <w:lang w:val="fr-FR"/>
        </w:rPr>
        <w:t>ordre du jour de la trente</w:t>
      </w:r>
      <w:r w:rsidR="007E7DAB">
        <w:rPr>
          <w:rFonts w:eastAsia="Times New Roman"/>
          <w:szCs w:val="22"/>
          <w:lang w:val="fr-FR"/>
        </w:rPr>
        <w:t>-</w:t>
      </w:r>
      <w:r w:rsidRPr="00D50C51">
        <w:rPr>
          <w:rFonts w:eastAsia="Times New Roman"/>
          <w:szCs w:val="22"/>
          <w:lang w:val="fr-FR"/>
        </w:rPr>
        <w:t>six</w:t>
      </w:r>
      <w:r w:rsidR="007E7DAB">
        <w:rPr>
          <w:rFonts w:eastAsia="Times New Roman"/>
          <w:szCs w:val="22"/>
          <w:lang w:val="fr-FR"/>
        </w:rPr>
        <w:t>ième session</w:t>
      </w:r>
      <w:r w:rsidRPr="00D50C51">
        <w:rPr>
          <w:rFonts w:eastAsia="Times New Roman"/>
          <w:szCs w:val="22"/>
          <w:lang w:val="fr-FR"/>
        </w:rPr>
        <w:t xml:space="preserve"> de l</w:t>
      </w:r>
      <w:r w:rsidR="007E7DAB">
        <w:rPr>
          <w:rFonts w:eastAsia="Times New Roman"/>
          <w:szCs w:val="22"/>
          <w:lang w:val="fr-FR"/>
        </w:rPr>
        <w:t>’</w:t>
      </w:r>
      <w:r w:rsidR="0046080E" w:rsidRPr="00D50C51">
        <w:rPr>
          <w:rFonts w:eastAsia="Times New Roman"/>
          <w:szCs w:val="22"/>
          <w:lang w:val="fr-FR"/>
        </w:rPr>
        <w:t>IGC</w:t>
      </w:r>
      <w:r w:rsidR="007C30D3" w:rsidRPr="00D50C51">
        <w:rPr>
          <w:rFonts w:eastAsia="Times New Roman"/>
          <w:szCs w:val="22"/>
          <w:lang w:val="fr-FR"/>
        </w:rPr>
        <w:t xml:space="preserve"> et sera incluse dans le rapport de la trente</w:t>
      </w:r>
      <w:r w:rsidR="007E7DAB">
        <w:rPr>
          <w:rFonts w:eastAsia="Times New Roman"/>
          <w:szCs w:val="22"/>
          <w:lang w:val="fr-FR"/>
        </w:rPr>
        <w:t>-</w:t>
      </w:r>
      <w:r w:rsidR="007C30D3" w:rsidRPr="00D50C51">
        <w:rPr>
          <w:rFonts w:eastAsia="Times New Roman"/>
          <w:szCs w:val="22"/>
          <w:lang w:val="fr-FR"/>
        </w:rPr>
        <w:t>six</w:t>
      </w:r>
      <w:r w:rsidR="007E7DAB">
        <w:rPr>
          <w:rFonts w:eastAsia="Times New Roman"/>
          <w:szCs w:val="22"/>
          <w:lang w:val="fr-FR"/>
        </w:rPr>
        <w:t>ième session</w:t>
      </w:r>
      <w:r w:rsidR="007C30D3" w:rsidRPr="00D50C51">
        <w:rPr>
          <w:rFonts w:eastAsia="Times New Roman"/>
          <w:szCs w:val="22"/>
          <w:lang w:val="fr-FR"/>
        </w:rPr>
        <w:t xml:space="preserve"> de l</w:t>
      </w:r>
      <w:r w:rsidR="007E7DAB">
        <w:rPr>
          <w:rFonts w:eastAsia="Times New Roman"/>
          <w:szCs w:val="22"/>
          <w:lang w:val="fr-FR"/>
        </w:rPr>
        <w:t>’</w:t>
      </w:r>
      <w:r w:rsidR="007C30D3" w:rsidRPr="00D50C51">
        <w:rPr>
          <w:rFonts w:eastAsia="Times New Roman"/>
          <w:szCs w:val="22"/>
          <w:lang w:val="fr-FR"/>
        </w:rPr>
        <w:t>IGC</w:t>
      </w:r>
      <w:r w:rsidR="0046080E" w:rsidRPr="00D50C51">
        <w:rPr>
          <w:rFonts w:eastAsia="Times New Roman"/>
          <w:szCs w:val="22"/>
          <w:lang w:val="fr-FR"/>
        </w:rPr>
        <w:t>.</w:t>
      </w:r>
    </w:p>
    <w:p w:rsidR="00B64B91" w:rsidRPr="007E7DAB" w:rsidRDefault="007F188B" w:rsidP="00931A71">
      <w:pPr>
        <w:spacing w:after="120" w:line="260" w:lineRule="atLeast"/>
        <w:rPr>
          <w:rFonts w:eastAsia="Times New Roman"/>
          <w:szCs w:val="22"/>
          <w:u w:val="single"/>
          <w:lang w:val="fr-FR"/>
        </w:rPr>
      </w:pPr>
      <w:r w:rsidRPr="007E7DAB">
        <w:rPr>
          <w:rFonts w:eastAsia="Times New Roman"/>
          <w:i/>
          <w:szCs w:val="22"/>
          <w:u w:val="single"/>
          <w:lang w:val="fr-FR"/>
        </w:rPr>
        <w:t>Composition</w:t>
      </w:r>
    </w:p>
    <w:p w:rsidR="00B64B91" w:rsidRPr="00D50C51" w:rsidRDefault="007F188B" w:rsidP="00B64B91">
      <w:pPr>
        <w:spacing w:after="120" w:line="260" w:lineRule="atLeast"/>
        <w:rPr>
          <w:rFonts w:eastAsia="Times New Roman"/>
          <w:szCs w:val="22"/>
          <w:lang w:val="fr-FR"/>
        </w:rPr>
      </w:pPr>
      <w:r w:rsidRPr="00D50C51">
        <w:rPr>
          <w:rFonts w:eastAsia="Times New Roman"/>
          <w:szCs w:val="22"/>
          <w:lang w:val="fr-FR"/>
        </w:rPr>
        <w:t>Chaque groupe régional sera représenté par quatre</w:t>
      </w:r>
      <w:r w:rsidR="00172A99" w:rsidRPr="00D50C51">
        <w:rPr>
          <w:rFonts w:eastAsia="Times New Roman"/>
          <w:szCs w:val="22"/>
          <w:lang w:val="fr-FR"/>
        </w:rPr>
        <w:t> </w:t>
      </w:r>
      <w:r w:rsidRPr="00D50C51">
        <w:rPr>
          <w:rFonts w:eastAsia="Times New Roman"/>
          <w:szCs w:val="22"/>
          <w:lang w:val="fr-FR"/>
        </w:rPr>
        <w:t>experts au maxim</w:t>
      </w:r>
      <w:r w:rsidR="0046080E" w:rsidRPr="00D50C51">
        <w:rPr>
          <w:rFonts w:eastAsia="Times New Roman"/>
          <w:szCs w:val="22"/>
          <w:lang w:val="fr-FR"/>
        </w:rPr>
        <w:t xml:space="preserve">um.  </w:t>
      </w:r>
      <w:r w:rsidR="00B64B91" w:rsidRPr="00D50C51">
        <w:rPr>
          <w:rFonts w:eastAsia="Times New Roman"/>
          <w:szCs w:val="22"/>
          <w:lang w:val="fr-FR"/>
        </w:rPr>
        <w:t>L</w:t>
      </w:r>
      <w:r w:rsidR="007E7DAB">
        <w:rPr>
          <w:rFonts w:eastAsia="Times New Roman"/>
          <w:szCs w:val="22"/>
          <w:lang w:val="fr-FR"/>
        </w:rPr>
        <w:t>’</w:t>
      </w:r>
      <w:r w:rsidR="00B64B91" w:rsidRPr="00D50C51">
        <w:rPr>
          <w:rFonts w:eastAsia="Times New Roman"/>
          <w:szCs w:val="22"/>
          <w:lang w:val="fr-FR"/>
        </w:rPr>
        <w:t>Union européenne (UE) et les pays ayant une position commune seront invités à désigner deux</w:t>
      </w:r>
      <w:r w:rsidR="00465797">
        <w:rPr>
          <w:rFonts w:eastAsia="Times New Roman"/>
          <w:szCs w:val="22"/>
          <w:lang w:val="fr-FR"/>
        </w:rPr>
        <w:t> </w:t>
      </w:r>
      <w:r w:rsidR="00B64B91" w:rsidRPr="00D50C51">
        <w:rPr>
          <w:rFonts w:eastAsia="Times New Roman"/>
          <w:szCs w:val="22"/>
          <w:lang w:val="fr-FR"/>
        </w:rPr>
        <w:t>experts, sans exigences supplémentaires en matière de financeme</w:t>
      </w:r>
      <w:r w:rsidR="005D31C3" w:rsidRPr="00D50C51">
        <w:rPr>
          <w:rFonts w:eastAsia="Times New Roman"/>
          <w:szCs w:val="22"/>
          <w:lang w:val="fr-FR"/>
        </w:rPr>
        <w:t>nt</w:t>
      </w:r>
      <w:r w:rsidR="005D31C3">
        <w:rPr>
          <w:rFonts w:eastAsia="Times New Roman"/>
          <w:szCs w:val="22"/>
          <w:lang w:val="fr-FR"/>
        </w:rPr>
        <w:t xml:space="preserve">.  </w:t>
      </w:r>
      <w:r w:rsidR="005D31C3" w:rsidRPr="00D50C51">
        <w:rPr>
          <w:rFonts w:eastAsia="Times New Roman"/>
          <w:szCs w:val="22"/>
          <w:lang w:val="fr-FR"/>
        </w:rPr>
        <w:t>Le</w:t>
      </w:r>
      <w:r w:rsidRPr="00D50C51">
        <w:rPr>
          <w:rFonts w:eastAsia="Times New Roman"/>
          <w:szCs w:val="22"/>
          <w:lang w:val="fr-FR"/>
        </w:rPr>
        <w:t xml:space="preserve"> groupe de travail autochtone sera invité à désigner deux</w:t>
      </w:r>
      <w:r w:rsidR="00172A99" w:rsidRPr="00D50C51">
        <w:rPr>
          <w:rFonts w:eastAsia="Times New Roman"/>
          <w:szCs w:val="22"/>
          <w:lang w:val="fr-FR"/>
        </w:rPr>
        <w:t> </w:t>
      </w:r>
      <w:r w:rsidRPr="00D50C51">
        <w:rPr>
          <w:rFonts w:eastAsia="Times New Roman"/>
          <w:szCs w:val="22"/>
          <w:lang w:val="fr-FR"/>
        </w:rPr>
        <w:t xml:space="preserve">experts qui </w:t>
      </w:r>
      <w:r w:rsidR="00572CAB" w:rsidRPr="00D50C51">
        <w:rPr>
          <w:rFonts w:eastAsia="Times New Roman"/>
          <w:szCs w:val="22"/>
          <w:lang w:val="fr-FR"/>
        </w:rPr>
        <w:t>participeront aux travaux</w:t>
      </w:r>
      <w:r w:rsidRPr="00D50C51">
        <w:rPr>
          <w:rFonts w:eastAsia="Times New Roman"/>
          <w:szCs w:val="22"/>
          <w:lang w:val="fr-FR"/>
        </w:rPr>
        <w:t xml:space="preserve"> du grou</w:t>
      </w:r>
      <w:r w:rsidR="005D31C3" w:rsidRPr="00D50C51">
        <w:rPr>
          <w:rFonts w:eastAsia="Times New Roman"/>
          <w:szCs w:val="22"/>
          <w:lang w:val="fr-FR"/>
        </w:rPr>
        <w:t>pe</w:t>
      </w:r>
      <w:r w:rsidR="005D31C3">
        <w:rPr>
          <w:rFonts w:eastAsia="Times New Roman"/>
          <w:szCs w:val="22"/>
          <w:lang w:val="fr-FR"/>
        </w:rPr>
        <w:t xml:space="preserve">.  </w:t>
      </w:r>
      <w:r w:rsidR="005D31C3" w:rsidRPr="00D50C51">
        <w:rPr>
          <w:rFonts w:eastAsia="Times New Roman"/>
          <w:szCs w:val="22"/>
          <w:lang w:val="fr-FR"/>
        </w:rPr>
        <w:t>Le</w:t>
      </w:r>
      <w:r w:rsidRPr="00D50C51">
        <w:rPr>
          <w:rFonts w:eastAsia="Times New Roman"/>
          <w:szCs w:val="22"/>
          <w:lang w:val="fr-FR"/>
        </w:rPr>
        <w:t xml:space="preserve">s experts qui, de préférence, seront des spécialistes des questions traitées participeront à titre </w:t>
      </w:r>
      <w:r w:rsidR="00572CAB" w:rsidRPr="00D50C51">
        <w:rPr>
          <w:rFonts w:eastAsia="Times New Roman"/>
          <w:szCs w:val="22"/>
          <w:lang w:val="fr-FR"/>
        </w:rPr>
        <w:t>personnel.</w:t>
      </w:r>
    </w:p>
    <w:p w:rsidR="00B64B91" w:rsidRDefault="00572CAB" w:rsidP="00931A71">
      <w:pPr>
        <w:spacing w:after="120" w:line="260" w:lineRule="atLeast"/>
        <w:rPr>
          <w:rFonts w:eastAsia="Times New Roman"/>
          <w:szCs w:val="22"/>
          <w:lang w:val="fr-FR"/>
        </w:rPr>
      </w:pPr>
      <w:r w:rsidRPr="00D50C51">
        <w:rPr>
          <w:rFonts w:eastAsia="Times New Roman"/>
          <w:szCs w:val="22"/>
          <w:lang w:val="fr-FR"/>
        </w:rPr>
        <w:t>Les groupes régionaux</w:t>
      </w:r>
      <w:r w:rsidR="00B64B91" w:rsidRPr="00D50C51">
        <w:rPr>
          <w:rFonts w:eastAsia="Times New Roman"/>
          <w:szCs w:val="22"/>
          <w:lang w:val="fr-FR"/>
        </w:rPr>
        <w:t>, l</w:t>
      </w:r>
      <w:r w:rsidR="007E7DAB">
        <w:rPr>
          <w:rFonts w:eastAsia="Times New Roman"/>
          <w:szCs w:val="22"/>
          <w:lang w:val="fr-FR"/>
        </w:rPr>
        <w:t>’</w:t>
      </w:r>
      <w:r w:rsidR="00B64B91" w:rsidRPr="00D50C51">
        <w:rPr>
          <w:rFonts w:eastAsia="Times New Roman"/>
          <w:szCs w:val="22"/>
          <w:lang w:val="fr-FR"/>
        </w:rPr>
        <w:t>UE, les pays ayant une position commune</w:t>
      </w:r>
      <w:r w:rsidRPr="00D50C51">
        <w:rPr>
          <w:rFonts w:eastAsia="Times New Roman"/>
          <w:szCs w:val="22"/>
          <w:lang w:val="fr-FR"/>
        </w:rPr>
        <w:t xml:space="preserve"> et le groupe de travail autochtone seront invités par le Secrétariat à désigner leurs experts d</w:t>
      </w:r>
      <w:r w:rsidR="007E7DAB">
        <w:rPr>
          <w:rFonts w:eastAsia="Times New Roman"/>
          <w:szCs w:val="22"/>
          <w:lang w:val="fr-FR"/>
        </w:rPr>
        <w:t>’</w:t>
      </w:r>
      <w:r w:rsidR="00B64B91" w:rsidRPr="00D50C51">
        <w:rPr>
          <w:rFonts w:eastAsia="Times New Roman"/>
          <w:szCs w:val="22"/>
          <w:lang w:val="fr-FR"/>
        </w:rPr>
        <w:t>ici une date à préciser</w:t>
      </w:r>
      <w:r w:rsidRPr="00D50C51">
        <w:rPr>
          <w:rFonts w:eastAsia="Times New Roman"/>
          <w:szCs w:val="22"/>
          <w:lang w:val="fr-FR"/>
        </w:rPr>
        <w:t xml:space="preserve">, de </w:t>
      </w:r>
      <w:r w:rsidRPr="00D9120D">
        <w:rPr>
          <w:rFonts w:eastAsia="Times New Roman"/>
          <w:szCs w:val="22"/>
          <w:lang w:val="fr-FR"/>
        </w:rPr>
        <w:t>sorte que les dispositions nécessaires puissent être prises.</w:t>
      </w:r>
    </w:p>
    <w:p w:rsidR="00B64B91" w:rsidRDefault="00572CAB" w:rsidP="00931A71">
      <w:pPr>
        <w:spacing w:after="120" w:line="260" w:lineRule="atLeast"/>
        <w:rPr>
          <w:rFonts w:eastAsia="Times New Roman"/>
          <w:szCs w:val="22"/>
          <w:lang w:val="fr-FR"/>
        </w:rPr>
      </w:pPr>
      <w:r w:rsidRPr="00D9120D">
        <w:rPr>
          <w:rFonts w:eastAsia="Times New Roman"/>
          <w:szCs w:val="22"/>
          <w:lang w:val="fr-FR"/>
        </w:rPr>
        <w:t>Le Secrétariat est autorisé à inviter au maximum trois experts des milieux universitaire, de la société civile et du monde de l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entreprise à contribuer aux travaux du groupe spécial d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experts en présentant, par exemple, des exposés ou en répondant à des questions techniqu</w:t>
      </w:r>
      <w:r w:rsidR="005D31C3" w:rsidRPr="00D9120D">
        <w:rPr>
          <w:rFonts w:eastAsia="Times New Roman"/>
          <w:szCs w:val="22"/>
          <w:lang w:val="fr-FR"/>
        </w:rPr>
        <w:t>es</w:t>
      </w:r>
      <w:r w:rsidR="005D31C3">
        <w:rPr>
          <w:rFonts w:eastAsia="Times New Roman"/>
          <w:szCs w:val="22"/>
          <w:lang w:val="fr-FR"/>
        </w:rPr>
        <w:t xml:space="preserve">.  </w:t>
      </w:r>
      <w:r w:rsidR="005D31C3" w:rsidRPr="00D9120D">
        <w:rPr>
          <w:rFonts w:eastAsia="Times New Roman"/>
          <w:szCs w:val="22"/>
          <w:lang w:val="fr-FR"/>
        </w:rPr>
        <w:t>Il</w:t>
      </w:r>
      <w:r w:rsidRPr="00D9120D">
        <w:rPr>
          <w:rFonts w:eastAsia="Times New Roman"/>
          <w:szCs w:val="22"/>
          <w:lang w:val="fr-FR"/>
        </w:rPr>
        <w:t>s participeront également à titre personnel.</w:t>
      </w:r>
    </w:p>
    <w:p w:rsidR="00B64B91" w:rsidRDefault="00572CAB" w:rsidP="00931A71">
      <w:pPr>
        <w:spacing w:after="120" w:line="260" w:lineRule="atLeast"/>
        <w:rPr>
          <w:rFonts w:eastAsia="Times New Roman"/>
          <w:szCs w:val="22"/>
          <w:lang w:val="fr-FR"/>
        </w:rPr>
      </w:pPr>
      <w:r w:rsidRPr="00D9120D">
        <w:rPr>
          <w:rFonts w:eastAsia="Times New Roman"/>
          <w:szCs w:val="22"/>
          <w:lang w:val="fr-FR"/>
        </w:rPr>
        <w:t>Le président et les vice</w:t>
      </w:r>
      <w:r w:rsidR="007E7DAB">
        <w:rPr>
          <w:rFonts w:eastAsia="Times New Roman"/>
          <w:szCs w:val="22"/>
          <w:lang w:val="fr-FR"/>
        </w:rPr>
        <w:t>-</w:t>
      </w:r>
      <w:r w:rsidRPr="00D9120D">
        <w:rPr>
          <w:rFonts w:eastAsia="Times New Roman"/>
          <w:szCs w:val="22"/>
          <w:lang w:val="fr-FR"/>
        </w:rPr>
        <w:t>présidents de l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IGC seront invités à assister à la réunion du groupe spécial d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experts.</w:t>
      </w:r>
    </w:p>
    <w:p w:rsidR="00B64B91" w:rsidRPr="00B92FF8" w:rsidRDefault="00572CAB" w:rsidP="00931A71">
      <w:pPr>
        <w:spacing w:after="120" w:line="260" w:lineRule="atLeast"/>
        <w:rPr>
          <w:rFonts w:eastAsia="Times New Roman"/>
          <w:szCs w:val="22"/>
          <w:u w:val="single"/>
          <w:lang w:val="fr-FR"/>
        </w:rPr>
      </w:pPr>
      <w:r w:rsidRPr="00B92FF8">
        <w:rPr>
          <w:rFonts w:eastAsia="Times New Roman"/>
          <w:i/>
          <w:szCs w:val="22"/>
          <w:u w:val="single"/>
          <w:lang w:val="fr-FR"/>
        </w:rPr>
        <w:t>Date et lieu</w:t>
      </w:r>
    </w:p>
    <w:p w:rsidR="00B64B91" w:rsidRDefault="00572CAB" w:rsidP="00931A71">
      <w:pPr>
        <w:spacing w:after="120" w:line="260" w:lineRule="atLeast"/>
        <w:rPr>
          <w:rFonts w:eastAsia="Times New Roman"/>
          <w:szCs w:val="22"/>
          <w:lang w:val="fr-FR"/>
        </w:rPr>
      </w:pPr>
      <w:r w:rsidRPr="00D9120D">
        <w:rPr>
          <w:rFonts w:eastAsia="Times New Roman"/>
          <w:szCs w:val="22"/>
          <w:lang w:val="fr-FR"/>
        </w:rPr>
        <w:t>Le groupe spécial d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experts sur les ressources génétiques se réunira le dimanche 24 juin 2018 de 9 heures à 17 heures dans la salle NB 0.107, au siège de l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OMPI à Genève.</w:t>
      </w:r>
    </w:p>
    <w:p w:rsidR="00B64B91" w:rsidRPr="00B92FF8" w:rsidRDefault="00572CAB" w:rsidP="00931A71">
      <w:pPr>
        <w:spacing w:after="120" w:line="260" w:lineRule="atLeast"/>
        <w:rPr>
          <w:rFonts w:eastAsia="Times New Roman"/>
          <w:i/>
          <w:szCs w:val="22"/>
          <w:u w:val="single"/>
          <w:lang w:val="fr-FR"/>
        </w:rPr>
      </w:pPr>
      <w:r w:rsidRPr="00B92FF8">
        <w:rPr>
          <w:rFonts w:eastAsia="Times New Roman"/>
          <w:i/>
          <w:szCs w:val="22"/>
          <w:u w:val="single"/>
          <w:lang w:val="fr-FR"/>
        </w:rPr>
        <w:t>Financement</w:t>
      </w:r>
    </w:p>
    <w:p w:rsidR="00B64B91" w:rsidRDefault="00571B3C" w:rsidP="00931A71">
      <w:pPr>
        <w:spacing w:after="120" w:line="260" w:lineRule="atLeast"/>
        <w:rPr>
          <w:rFonts w:eastAsia="Times New Roman"/>
          <w:szCs w:val="22"/>
          <w:lang w:val="fr-FR"/>
        </w:rPr>
      </w:pPr>
      <w:r w:rsidRPr="00D9120D">
        <w:rPr>
          <w:rFonts w:eastAsia="Times New Roman"/>
          <w:szCs w:val="22"/>
          <w:lang w:val="fr-FR"/>
        </w:rPr>
        <w:t xml:space="preserve">Conformément au mécanisme de financement </w:t>
      </w:r>
      <w:r w:rsidR="0056019B" w:rsidRPr="00D9120D">
        <w:rPr>
          <w:rFonts w:eastAsia="Times New Roman"/>
          <w:szCs w:val="22"/>
          <w:lang w:val="fr-FR"/>
        </w:rPr>
        <w:t>approuvé</w:t>
      </w:r>
      <w:r w:rsidRPr="00D9120D">
        <w:rPr>
          <w:rFonts w:eastAsia="Times New Roman"/>
          <w:szCs w:val="22"/>
          <w:lang w:val="fr-FR"/>
        </w:rPr>
        <w:t xml:space="preserve"> dans le cadre de l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 xml:space="preserve">IGC, </w:t>
      </w:r>
      <w:r w:rsidR="0056019B" w:rsidRPr="00D9120D">
        <w:rPr>
          <w:rFonts w:eastAsia="Times New Roman"/>
          <w:szCs w:val="22"/>
          <w:lang w:val="fr-FR"/>
        </w:rPr>
        <w:t>la participation d</w:t>
      </w:r>
      <w:r w:rsidR="007E7DAB">
        <w:rPr>
          <w:rFonts w:eastAsia="Times New Roman"/>
          <w:szCs w:val="22"/>
          <w:lang w:val="fr-FR"/>
        </w:rPr>
        <w:t>’</w:t>
      </w:r>
      <w:r w:rsidR="0056019B" w:rsidRPr="00D9120D">
        <w:rPr>
          <w:rFonts w:eastAsia="Times New Roman"/>
          <w:szCs w:val="22"/>
          <w:lang w:val="fr-FR"/>
        </w:rPr>
        <w:t>un représentant de chacun des 36 pays retenus (sept pays de chaque région plus la Chine) à la trente</w:t>
      </w:r>
      <w:r w:rsidR="007E7DAB">
        <w:rPr>
          <w:rFonts w:eastAsia="Times New Roman"/>
          <w:szCs w:val="22"/>
          <w:lang w:val="fr-FR"/>
        </w:rPr>
        <w:t>-</w:t>
      </w:r>
      <w:r w:rsidR="0056019B" w:rsidRPr="00D9120D">
        <w:rPr>
          <w:rFonts w:eastAsia="Times New Roman"/>
          <w:szCs w:val="22"/>
          <w:lang w:val="fr-FR"/>
        </w:rPr>
        <w:t>six</w:t>
      </w:r>
      <w:r w:rsidR="007E7DAB">
        <w:rPr>
          <w:rFonts w:eastAsia="Times New Roman"/>
          <w:szCs w:val="22"/>
          <w:lang w:val="fr-FR"/>
        </w:rPr>
        <w:t>ième session</w:t>
      </w:r>
      <w:r w:rsidR="0056019B" w:rsidRPr="00D9120D">
        <w:rPr>
          <w:rFonts w:eastAsia="Times New Roman"/>
          <w:szCs w:val="22"/>
          <w:lang w:val="fr-FR"/>
        </w:rPr>
        <w:t xml:space="preserve"> </w:t>
      </w:r>
      <w:r w:rsidR="00F306B8" w:rsidRPr="00D9120D">
        <w:rPr>
          <w:rFonts w:eastAsia="Times New Roman"/>
          <w:szCs w:val="22"/>
          <w:lang w:val="fr-FR"/>
        </w:rPr>
        <w:t>de l</w:t>
      </w:r>
      <w:r w:rsidR="007E7DAB">
        <w:rPr>
          <w:rFonts w:eastAsia="Times New Roman"/>
          <w:szCs w:val="22"/>
          <w:lang w:val="fr-FR"/>
        </w:rPr>
        <w:t>’</w:t>
      </w:r>
      <w:r w:rsidR="00F306B8" w:rsidRPr="00D9120D">
        <w:rPr>
          <w:rFonts w:eastAsia="Times New Roman"/>
          <w:szCs w:val="22"/>
          <w:lang w:val="fr-FR"/>
        </w:rPr>
        <w:t xml:space="preserve">IGC </w:t>
      </w:r>
      <w:r w:rsidRPr="00D9120D">
        <w:rPr>
          <w:rFonts w:eastAsia="Times New Roman"/>
          <w:szCs w:val="22"/>
          <w:lang w:val="fr-FR"/>
        </w:rPr>
        <w:t xml:space="preserve">sera </w:t>
      </w:r>
      <w:r w:rsidR="001441D6" w:rsidRPr="00D9120D">
        <w:rPr>
          <w:rFonts w:eastAsia="Times New Roman"/>
          <w:szCs w:val="22"/>
          <w:lang w:val="fr-FR"/>
        </w:rPr>
        <w:t>prise en char</w:t>
      </w:r>
      <w:r w:rsidR="005D31C3" w:rsidRPr="00D9120D">
        <w:rPr>
          <w:rFonts w:eastAsia="Times New Roman"/>
          <w:szCs w:val="22"/>
          <w:lang w:val="fr-FR"/>
        </w:rPr>
        <w:t>ge</w:t>
      </w:r>
      <w:r w:rsidR="005D31C3">
        <w:rPr>
          <w:rFonts w:eastAsia="Times New Roman"/>
          <w:szCs w:val="22"/>
          <w:lang w:val="fr-FR"/>
        </w:rPr>
        <w:t xml:space="preserve">.  </w:t>
      </w:r>
      <w:r w:rsidR="005D31C3" w:rsidRPr="00D9120D">
        <w:rPr>
          <w:rFonts w:eastAsia="Times New Roman"/>
          <w:szCs w:val="22"/>
          <w:lang w:val="fr-FR"/>
        </w:rPr>
        <w:t>Co</w:t>
      </w:r>
      <w:r w:rsidR="0056019B" w:rsidRPr="00D9120D">
        <w:rPr>
          <w:rFonts w:eastAsia="Times New Roman"/>
          <w:szCs w:val="22"/>
          <w:lang w:val="fr-FR"/>
        </w:rPr>
        <w:t>mme d</w:t>
      </w:r>
      <w:r w:rsidR="007E7DAB">
        <w:rPr>
          <w:rFonts w:eastAsia="Times New Roman"/>
          <w:szCs w:val="22"/>
          <w:lang w:val="fr-FR"/>
        </w:rPr>
        <w:t>’</w:t>
      </w:r>
      <w:r w:rsidR="0056019B" w:rsidRPr="00D9120D">
        <w:rPr>
          <w:rFonts w:eastAsia="Times New Roman"/>
          <w:szCs w:val="22"/>
          <w:lang w:val="fr-FR"/>
        </w:rPr>
        <w:t xml:space="preserve">habitude, les coordonnateurs régionaux seront invités à indiquer le nom des pays </w:t>
      </w:r>
      <w:r w:rsidR="001441D6" w:rsidRPr="00D9120D">
        <w:rPr>
          <w:rFonts w:eastAsia="Times New Roman"/>
          <w:szCs w:val="22"/>
          <w:lang w:val="fr-FR"/>
        </w:rPr>
        <w:t>qui bénéficieront de ce financeme</w:t>
      </w:r>
      <w:r w:rsidR="005D31C3" w:rsidRPr="00D9120D">
        <w:rPr>
          <w:rFonts w:eastAsia="Times New Roman"/>
          <w:szCs w:val="22"/>
          <w:lang w:val="fr-FR"/>
        </w:rPr>
        <w:t>nt</w:t>
      </w:r>
      <w:r w:rsidR="005D31C3">
        <w:rPr>
          <w:rFonts w:eastAsia="Times New Roman"/>
          <w:szCs w:val="22"/>
          <w:lang w:val="fr-FR"/>
        </w:rPr>
        <w:t xml:space="preserve">.  </w:t>
      </w:r>
      <w:r w:rsidR="005D31C3" w:rsidRPr="00D9120D">
        <w:rPr>
          <w:rFonts w:eastAsia="Times New Roman"/>
          <w:szCs w:val="22"/>
          <w:lang w:val="fr-FR"/>
        </w:rPr>
        <w:t>Le</w:t>
      </w:r>
      <w:r w:rsidR="001441D6" w:rsidRPr="00D9120D">
        <w:rPr>
          <w:rFonts w:eastAsia="Times New Roman"/>
          <w:szCs w:val="22"/>
          <w:lang w:val="fr-FR"/>
        </w:rPr>
        <w:t>s pays concernés seront par la suite invités à désigner leurs représentants dont la participation aux travaux de l</w:t>
      </w:r>
      <w:r w:rsidR="007E7DAB">
        <w:rPr>
          <w:rFonts w:eastAsia="Times New Roman"/>
          <w:szCs w:val="22"/>
          <w:lang w:val="fr-FR"/>
        </w:rPr>
        <w:t>’</w:t>
      </w:r>
      <w:r w:rsidR="001441D6" w:rsidRPr="00D9120D">
        <w:rPr>
          <w:rFonts w:eastAsia="Times New Roman"/>
          <w:szCs w:val="22"/>
          <w:lang w:val="fr-FR"/>
        </w:rPr>
        <w:t>IGC sera prise en charge.</w:t>
      </w:r>
    </w:p>
    <w:p w:rsidR="00B64B91" w:rsidRDefault="001441D6" w:rsidP="00931A71">
      <w:pPr>
        <w:spacing w:after="120" w:line="260" w:lineRule="atLeast"/>
        <w:rPr>
          <w:rFonts w:eastAsia="Times New Roman"/>
          <w:szCs w:val="22"/>
          <w:lang w:val="fr-FR"/>
        </w:rPr>
      </w:pPr>
      <w:r w:rsidRPr="00D9120D">
        <w:rPr>
          <w:rFonts w:eastAsia="Times New Roman"/>
          <w:szCs w:val="22"/>
          <w:lang w:val="fr-FR"/>
        </w:rPr>
        <w:t>L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OMPI versera aux experts de chaque groupe régional participant aux travaux du groupe spécial d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experts qui bénéficient également de la prise en charge de</w:t>
      </w:r>
      <w:r w:rsidR="00F306B8" w:rsidRPr="00D9120D">
        <w:rPr>
          <w:rFonts w:eastAsia="Times New Roman"/>
          <w:szCs w:val="22"/>
          <w:lang w:val="fr-FR"/>
        </w:rPr>
        <w:t xml:space="preserve"> leur</w:t>
      </w:r>
      <w:r w:rsidRPr="00D9120D">
        <w:rPr>
          <w:rFonts w:eastAsia="Times New Roman"/>
          <w:szCs w:val="22"/>
          <w:lang w:val="fr-FR"/>
        </w:rPr>
        <w:t>s frais de participation aux travaux de l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 xml:space="preserve">IGC une indemnité journalière de subsistance </w:t>
      </w:r>
      <w:r w:rsidR="00E67B33" w:rsidRPr="00D9120D">
        <w:rPr>
          <w:rFonts w:eastAsia="Times New Roman"/>
          <w:szCs w:val="22"/>
          <w:lang w:val="fr-FR"/>
        </w:rPr>
        <w:t>supplémentaire, au taux généralement applicable pour l</w:t>
      </w:r>
      <w:r w:rsidR="007E7DAB">
        <w:rPr>
          <w:rFonts w:eastAsia="Times New Roman"/>
          <w:szCs w:val="22"/>
          <w:lang w:val="fr-FR"/>
        </w:rPr>
        <w:t>’</w:t>
      </w:r>
      <w:r w:rsidR="00E67B33" w:rsidRPr="00D9120D">
        <w:rPr>
          <w:rFonts w:eastAsia="Times New Roman"/>
          <w:szCs w:val="22"/>
          <w:lang w:val="fr-FR"/>
        </w:rPr>
        <w:t>IGC.  L</w:t>
      </w:r>
      <w:r w:rsidR="007E7DAB">
        <w:rPr>
          <w:rFonts w:eastAsia="Times New Roman"/>
          <w:szCs w:val="22"/>
          <w:lang w:val="fr-FR"/>
        </w:rPr>
        <w:t>’</w:t>
      </w:r>
      <w:r w:rsidR="00E67B33" w:rsidRPr="00D9120D">
        <w:rPr>
          <w:rFonts w:eastAsia="Times New Roman"/>
          <w:szCs w:val="22"/>
          <w:lang w:val="fr-FR"/>
        </w:rPr>
        <w:t>OMPI ne prendra pas en charge les dépenses des autres experts ou d</w:t>
      </w:r>
      <w:r w:rsidR="007E7DAB">
        <w:rPr>
          <w:rFonts w:eastAsia="Times New Roman"/>
          <w:szCs w:val="22"/>
          <w:lang w:val="fr-FR"/>
        </w:rPr>
        <w:t>’</w:t>
      </w:r>
      <w:r w:rsidR="00E67B33" w:rsidRPr="00D9120D">
        <w:rPr>
          <w:rFonts w:eastAsia="Times New Roman"/>
          <w:szCs w:val="22"/>
          <w:lang w:val="fr-FR"/>
        </w:rPr>
        <w:t>autres frais supplémentaires.</w:t>
      </w:r>
    </w:p>
    <w:p w:rsidR="00B64B91" w:rsidRDefault="00E67B33" w:rsidP="00931A71">
      <w:pPr>
        <w:spacing w:after="120" w:line="260" w:lineRule="atLeast"/>
        <w:rPr>
          <w:rFonts w:eastAsia="Times New Roman"/>
          <w:szCs w:val="22"/>
          <w:lang w:val="fr-FR"/>
        </w:rPr>
      </w:pPr>
      <w:r w:rsidRPr="00D9120D">
        <w:rPr>
          <w:rFonts w:eastAsia="Times New Roman"/>
          <w:szCs w:val="22"/>
          <w:lang w:val="fr-FR"/>
        </w:rPr>
        <w:t xml:space="preserve">Ce mécanisme de financement applicable </w:t>
      </w:r>
      <w:r w:rsidR="00F306B8" w:rsidRPr="00D9120D">
        <w:rPr>
          <w:rFonts w:eastAsia="Times New Roman"/>
          <w:szCs w:val="22"/>
          <w:lang w:val="fr-FR"/>
        </w:rPr>
        <w:t xml:space="preserve">au </w:t>
      </w:r>
      <w:r w:rsidRPr="00D9120D">
        <w:rPr>
          <w:rFonts w:eastAsia="Times New Roman"/>
          <w:szCs w:val="22"/>
          <w:lang w:val="fr-FR"/>
        </w:rPr>
        <w:t>groupe spécial d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experts ne constitue pas un précédent en ce qui concerne les autres réunions de l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OMPI.</w:t>
      </w:r>
    </w:p>
    <w:p w:rsidR="00B64B91" w:rsidRDefault="00E67B33" w:rsidP="00931A71">
      <w:pPr>
        <w:spacing w:after="120" w:line="260" w:lineRule="atLeast"/>
        <w:rPr>
          <w:rFonts w:eastAsia="Times New Roman"/>
          <w:szCs w:val="22"/>
          <w:lang w:val="fr-FR"/>
        </w:rPr>
      </w:pPr>
      <w:r w:rsidRPr="00D9120D">
        <w:rPr>
          <w:rFonts w:eastAsia="Times New Roman"/>
          <w:szCs w:val="22"/>
          <w:lang w:val="fr-FR"/>
        </w:rPr>
        <w:t>Si les experts autochtones devant participer aux travaux du groupe spécial d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experts bénéficient d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 xml:space="preserve">un financement du Fonds de contributions volontaires sur décision du Conseil consultatif ou </w:t>
      </w:r>
      <w:r w:rsidR="006956D4" w:rsidRPr="00D9120D">
        <w:rPr>
          <w:rFonts w:eastAsia="Times New Roman"/>
          <w:szCs w:val="22"/>
          <w:lang w:val="fr-FR"/>
        </w:rPr>
        <w:t>sont invités à participer aux débats du groupe de travail autochtone en marge de la trente</w:t>
      </w:r>
      <w:r w:rsidR="007E7DAB">
        <w:rPr>
          <w:rFonts w:eastAsia="Times New Roman"/>
          <w:szCs w:val="22"/>
          <w:lang w:val="fr-FR"/>
        </w:rPr>
        <w:t>-</w:t>
      </w:r>
      <w:r w:rsidR="006956D4" w:rsidRPr="00D9120D">
        <w:rPr>
          <w:rFonts w:eastAsia="Times New Roman"/>
          <w:szCs w:val="22"/>
          <w:lang w:val="fr-FR"/>
        </w:rPr>
        <w:t>six</w:t>
      </w:r>
      <w:r w:rsidR="007E7DAB">
        <w:rPr>
          <w:rFonts w:eastAsia="Times New Roman"/>
          <w:szCs w:val="22"/>
          <w:lang w:val="fr-FR"/>
        </w:rPr>
        <w:t>ième session</w:t>
      </w:r>
      <w:r w:rsidR="006956D4" w:rsidRPr="00D9120D">
        <w:rPr>
          <w:rFonts w:eastAsia="Times New Roman"/>
          <w:szCs w:val="22"/>
          <w:lang w:val="fr-FR"/>
        </w:rPr>
        <w:t xml:space="preserve"> de l</w:t>
      </w:r>
      <w:r w:rsidR="007E7DAB">
        <w:rPr>
          <w:rFonts w:eastAsia="Times New Roman"/>
          <w:szCs w:val="22"/>
          <w:lang w:val="fr-FR"/>
        </w:rPr>
        <w:t>’</w:t>
      </w:r>
      <w:r w:rsidR="006956D4" w:rsidRPr="00D9120D">
        <w:rPr>
          <w:rFonts w:eastAsia="Times New Roman"/>
          <w:szCs w:val="22"/>
          <w:lang w:val="fr-FR"/>
        </w:rPr>
        <w:t>IGC, l</w:t>
      </w:r>
      <w:r w:rsidR="007E7DAB">
        <w:rPr>
          <w:rFonts w:eastAsia="Times New Roman"/>
          <w:szCs w:val="22"/>
          <w:lang w:val="fr-FR"/>
        </w:rPr>
        <w:t>’</w:t>
      </w:r>
      <w:r w:rsidR="006956D4" w:rsidRPr="00D9120D">
        <w:rPr>
          <w:rFonts w:eastAsia="Times New Roman"/>
          <w:szCs w:val="22"/>
          <w:lang w:val="fr-FR"/>
        </w:rPr>
        <w:t>OMPI versera une indemnité journalière de subsistance au taux généralement applicable pour l</w:t>
      </w:r>
      <w:r w:rsidR="007E7DAB">
        <w:rPr>
          <w:rFonts w:eastAsia="Times New Roman"/>
          <w:szCs w:val="22"/>
          <w:lang w:val="fr-FR"/>
        </w:rPr>
        <w:t>’</w:t>
      </w:r>
      <w:r w:rsidR="006956D4" w:rsidRPr="00D9120D">
        <w:rPr>
          <w:rFonts w:eastAsia="Times New Roman"/>
          <w:szCs w:val="22"/>
          <w:lang w:val="fr-FR"/>
        </w:rPr>
        <w:t>IGC.  L</w:t>
      </w:r>
      <w:r w:rsidR="007E7DAB">
        <w:rPr>
          <w:rFonts w:eastAsia="Times New Roman"/>
          <w:szCs w:val="22"/>
          <w:lang w:val="fr-FR"/>
        </w:rPr>
        <w:t>’</w:t>
      </w:r>
      <w:r w:rsidR="006956D4" w:rsidRPr="00D9120D">
        <w:rPr>
          <w:rFonts w:eastAsia="Times New Roman"/>
          <w:szCs w:val="22"/>
          <w:lang w:val="fr-FR"/>
        </w:rPr>
        <w:t>OMPI ne prendra pas en charge les dépenses des autres experts autochtones ou d</w:t>
      </w:r>
      <w:r w:rsidR="007E7DAB">
        <w:rPr>
          <w:rFonts w:eastAsia="Times New Roman"/>
          <w:szCs w:val="22"/>
          <w:lang w:val="fr-FR"/>
        </w:rPr>
        <w:t>’</w:t>
      </w:r>
      <w:r w:rsidR="006956D4" w:rsidRPr="00D9120D">
        <w:rPr>
          <w:rFonts w:eastAsia="Times New Roman"/>
          <w:szCs w:val="22"/>
          <w:lang w:val="fr-FR"/>
        </w:rPr>
        <w:t>autres frais supplémentaires.</w:t>
      </w:r>
    </w:p>
    <w:p w:rsidR="00B64B91" w:rsidRPr="00B92FF8" w:rsidRDefault="006956D4" w:rsidP="00931A71">
      <w:pPr>
        <w:spacing w:after="120" w:line="260" w:lineRule="atLeast"/>
        <w:rPr>
          <w:rFonts w:eastAsia="Times New Roman"/>
          <w:i/>
          <w:szCs w:val="22"/>
          <w:u w:val="single"/>
          <w:lang w:val="fr-FR"/>
        </w:rPr>
      </w:pPr>
      <w:r w:rsidRPr="00B92FF8">
        <w:rPr>
          <w:rFonts w:eastAsia="Times New Roman"/>
          <w:i/>
          <w:szCs w:val="22"/>
          <w:u w:val="single"/>
          <w:lang w:val="fr-FR"/>
        </w:rPr>
        <w:t>Langues</w:t>
      </w:r>
    </w:p>
    <w:p w:rsidR="00B64B91" w:rsidRDefault="006956D4" w:rsidP="00931A71">
      <w:pPr>
        <w:spacing w:after="120" w:line="260" w:lineRule="atLeast"/>
        <w:rPr>
          <w:rFonts w:eastAsia="Times New Roman"/>
          <w:szCs w:val="22"/>
          <w:lang w:val="fr-FR"/>
        </w:rPr>
      </w:pPr>
      <w:r w:rsidRPr="00D9120D">
        <w:rPr>
          <w:rFonts w:eastAsia="Times New Roman"/>
          <w:szCs w:val="22"/>
          <w:lang w:val="fr-FR"/>
        </w:rPr>
        <w:t>Les langues de travail du groupe spécial d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experts seront le français, l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anglais et l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espagnol.</w:t>
      </w:r>
    </w:p>
    <w:p w:rsidR="00B64B91" w:rsidRPr="00B92FF8" w:rsidRDefault="006956D4" w:rsidP="00931A71">
      <w:pPr>
        <w:spacing w:after="120" w:line="260" w:lineRule="atLeast"/>
        <w:rPr>
          <w:rFonts w:eastAsia="Times New Roman"/>
          <w:i/>
          <w:szCs w:val="22"/>
          <w:u w:val="single"/>
          <w:lang w:val="fr-FR"/>
        </w:rPr>
      </w:pPr>
      <w:r w:rsidRPr="00B92FF8">
        <w:rPr>
          <w:rFonts w:eastAsia="Times New Roman"/>
          <w:i/>
          <w:szCs w:val="22"/>
          <w:u w:val="single"/>
          <w:lang w:val="fr-FR"/>
        </w:rPr>
        <w:t>Président ou vice</w:t>
      </w:r>
      <w:r w:rsidR="007E7DAB">
        <w:rPr>
          <w:rFonts w:eastAsia="Times New Roman"/>
          <w:i/>
          <w:szCs w:val="22"/>
          <w:u w:val="single"/>
          <w:lang w:val="fr-FR"/>
        </w:rPr>
        <w:t>-</w:t>
      </w:r>
      <w:r w:rsidRPr="00B92FF8">
        <w:rPr>
          <w:rFonts w:eastAsia="Times New Roman"/>
          <w:i/>
          <w:szCs w:val="22"/>
          <w:u w:val="single"/>
          <w:lang w:val="fr-FR"/>
        </w:rPr>
        <w:t>présidents du groupe spécial d</w:t>
      </w:r>
      <w:r w:rsidR="007E7DAB">
        <w:rPr>
          <w:rFonts w:eastAsia="Times New Roman"/>
          <w:i/>
          <w:szCs w:val="22"/>
          <w:u w:val="single"/>
          <w:lang w:val="fr-FR"/>
        </w:rPr>
        <w:t>’</w:t>
      </w:r>
      <w:r w:rsidRPr="00B92FF8">
        <w:rPr>
          <w:rFonts w:eastAsia="Times New Roman"/>
          <w:i/>
          <w:szCs w:val="22"/>
          <w:u w:val="single"/>
          <w:lang w:val="fr-FR"/>
        </w:rPr>
        <w:t>experts</w:t>
      </w:r>
    </w:p>
    <w:p w:rsidR="00B64B91" w:rsidRDefault="006956D4" w:rsidP="00931A71">
      <w:pPr>
        <w:spacing w:after="120" w:line="260" w:lineRule="atLeast"/>
        <w:rPr>
          <w:rFonts w:eastAsia="Times New Roman"/>
          <w:szCs w:val="22"/>
          <w:lang w:val="fr-FR"/>
        </w:rPr>
      </w:pPr>
      <w:r w:rsidRPr="00D9120D">
        <w:rPr>
          <w:rFonts w:eastAsia="Times New Roman"/>
          <w:szCs w:val="22"/>
          <w:lang w:val="fr-FR"/>
        </w:rPr>
        <w:t>Le président ou les vice</w:t>
      </w:r>
      <w:r w:rsidR="007E7DAB">
        <w:rPr>
          <w:rFonts w:eastAsia="Times New Roman"/>
          <w:szCs w:val="22"/>
          <w:lang w:val="fr-FR"/>
        </w:rPr>
        <w:t>-</w:t>
      </w:r>
      <w:r w:rsidRPr="00D9120D">
        <w:rPr>
          <w:rFonts w:eastAsia="Times New Roman"/>
          <w:szCs w:val="22"/>
          <w:lang w:val="fr-FR"/>
        </w:rPr>
        <w:t>présidents seront désignés par le président de l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IGC parmi les experts participant aux travaux</w:t>
      </w:r>
      <w:r w:rsidR="00B64B91">
        <w:rPr>
          <w:rFonts w:eastAsia="Times New Roman"/>
          <w:szCs w:val="22"/>
          <w:lang w:val="fr-FR"/>
        </w:rPr>
        <w:t xml:space="preserve"> avant la réunion du </w:t>
      </w:r>
      <w:r w:rsidR="00B64B91" w:rsidRPr="00D9120D">
        <w:rPr>
          <w:rFonts w:eastAsia="Times New Roman"/>
          <w:szCs w:val="22"/>
          <w:lang w:val="fr-FR"/>
        </w:rPr>
        <w:t>groupe spécial d</w:t>
      </w:r>
      <w:r w:rsidR="007E7DAB">
        <w:rPr>
          <w:rFonts w:eastAsia="Times New Roman"/>
          <w:szCs w:val="22"/>
          <w:lang w:val="fr-FR"/>
        </w:rPr>
        <w:t>’</w:t>
      </w:r>
      <w:r w:rsidR="00B64B91" w:rsidRPr="00D9120D">
        <w:rPr>
          <w:rFonts w:eastAsia="Times New Roman"/>
          <w:szCs w:val="22"/>
          <w:lang w:val="fr-FR"/>
        </w:rPr>
        <w:t>experts</w:t>
      </w:r>
      <w:r w:rsidR="00B64B91">
        <w:rPr>
          <w:rFonts w:eastAsia="Times New Roman"/>
          <w:szCs w:val="22"/>
          <w:lang w:val="fr-FR"/>
        </w:rPr>
        <w:t>, afin qu</w:t>
      </w:r>
      <w:r w:rsidR="007E7DAB">
        <w:rPr>
          <w:rFonts w:eastAsia="Times New Roman"/>
          <w:szCs w:val="22"/>
          <w:lang w:val="fr-FR"/>
        </w:rPr>
        <w:t>’</w:t>
      </w:r>
      <w:r w:rsidR="00B64B91">
        <w:rPr>
          <w:rFonts w:eastAsia="Times New Roman"/>
          <w:szCs w:val="22"/>
          <w:lang w:val="fr-FR"/>
        </w:rPr>
        <w:t xml:space="preserve">ils aient </w:t>
      </w:r>
      <w:r w:rsidR="00B64B91" w:rsidRPr="00B64B91">
        <w:rPr>
          <w:rFonts w:eastAsia="Times New Roman"/>
          <w:szCs w:val="22"/>
          <w:lang w:val="fr-FR"/>
        </w:rPr>
        <w:t>suffisamment de temps pour prendre les dispositions nécessaires</w:t>
      </w:r>
      <w:r w:rsidRPr="00D9120D">
        <w:rPr>
          <w:rFonts w:eastAsia="Times New Roman"/>
          <w:szCs w:val="22"/>
          <w:lang w:val="fr-FR"/>
        </w:rPr>
        <w:t>.</w:t>
      </w:r>
    </w:p>
    <w:p w:rsidR="00B64B91" w:rsidRPr="00B92FF8" w:rsidRDefault="006956D4" w:rsidP="00931A71">
      <w:pPr>
        <w:spacing w:after="120" w:line="260" w:lineRule="atLeast"/>
        <w:rPr>
          <w:rFonts w:eastAsia="Times New Roman"/>
          <w:szCs w:val="22"/>
          <w:u w:val="single"/>
          <w:lang w:val="fr-FR"/>
        </w:rPr>
      </w:pPr>
      <w:r w:rsidRPr="00B92FF8">
        <w:rPr>
          <w:rFonts w:eastAsia="Times New Roman"/>
          <w:i/>
          <w:szCs w:val="22"/>
          <w:u w:val="single"/>
          <w:lang w:val="fr-FR"/>
        </w:rPr>
        <w:t>Caractère officieux</w:t>
      </w:r>
    </w:p>
    <w:p w:rsidR="00B64B91" w:rsidRDefault="00A832FC" w:rsidP="006956D4">
      <w:pPr>
        <w:spacing w:after="120" w:line="260" w:lineRule="atLeast"/>
        <w:rPr>
          <w:rFonts w:eastAsia="Times New Roman"/>
          <w:szCs w:val="22"/>
          <w:lang w:val="fr-FR"/>
        </w:rPr>
      </w:pPr>
      <w:r w:rsidRPr="00D9120D">
        <w:rPr>
          <w:rFonts w:eastAsia="Times New Roman"/>
          <w:szCs w:val="22"/>
          <w:lang w:val="fr-FR"/>
        </w:rPr>
        <w:t>Les travaux du groupe spécial d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experts ne seront pas diffusés sur le Web, ni ne feront l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objet d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un rapport au même titre que les sessions plénières de l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IGC.</w:t>
      </w:r>
    </w:p>
    <w:p w:rsidR="00B64B91" w:rsidRDefault="006956D4" w:rsidP="006956D4">
      <w:pPr>
        <w:spacing w:after="120" w:line="260" w:lineRule="atLeast"/>
        <w:rPr>
          <w:rFonts w:eastAsia="Times New Roman"/>
          <w:szCs w:val="22"/>
          <w:lang w:val="fr-FR"/>
        </w:rPr>
      </w:pPr>
      <w:r w:rsidRPr="00D9120D">
        <w:rPr>
          <w:rFonts w:eastAsia="Times New Roman"/>
          <w:szCs w:val="22"/>
          <w:lang w:val="fr-FR"/>
        </w:rPr>
        <w:t>Tous les participants sont priés de respecter le caractère officieux des travaux du groupe et de s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abstenir de divulguer au public, que ce soit “en direct” ou à tout moment ultérieur, le contenu ou la nature des discussions qui ont lieu durant les travaux du groupe, ni en termes généraux ni en citant les propos d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un expert en particuli</w:t>
      </w:r>
      <w:r w:rsidR="005D31C3" w:rsidRPr="00D9120D">
        <w:rPr>
          <w:rFonts w:eastAsia="Times New Roman"/>
          <w:szCs w:val="22"/>
          <w:lang w:val="fr-FR"/>
        </w:rPr>
        <w:t>er</w:t>
      </w:r>
      <w:r w:rsidR="005D31C3">
        <w:rPr>
          <w:rFonts w:eastAsia="Times New Roman"/>
          <w:szCs w:val="22"/>
          <w:lang w:val="fr-FR"/>
        </w:rPr>
        <w:t xml:space="preserve">.  </w:t>
      </w:r>
      <w:r w:rsidR="005D31C3" w:rsidRPr="00D9120D">
        <w:rPr>
          <w:rFonts w:eastAsia="Times New Roman"/>
          <w:szCs w:val="22"/>
          <w:lang w:val="fr-FR"/>
        </w:rPr>
        <w:t>Ce</w:t>
      </w:r>
      <w:r w:rsidRPr="00D9120D">
        <w:rPr>
          <w:rFonts w:eastAsia="Times New Roman"/>
          <w:szCs w:val="22"/>
          <w:lang w:val="fr-FR"/>
        </w:rPr>
        <w:t>la vaut également pour les tweets, blogs, articles de presse et listes de diffusion électroniques</w:t>
      </w:r>
      <w:r w:rsidR="00F306B8" w:rsidRPr="00D9120D">
        <w:rPr>
          <w:rFonts w:eastAsia="Times New Roman"/>
          <w:szCs w:val="22"/>
          <w:lang w:val="fr-FR"/>
        </w:rPr>
        <w:t>.</w:t>
      </w:r>
    </w:p>
    <w:p w:rsidR="00B64B91" w:rsidRPr="00B92FF8" w:rsidRDefault="00A832FC" w:rsidP="00931A71">
      <w:pPr>
        <w:spacing w:after="120" w:line="260" w:lineRule="atLeast"/>
        <w:rPr>
          <w:rFonts w:eastAsia="Times New Roman"/>
          <w:i/>
          <w:szCs w:val="22"/>
          <w:u w:val="single"/>
          <w:lang w:val="fr-FR"/>
        </w:rPr>
      </w:pPr>
      <w:r w:rsidRPr="00B92FF8">
        <w:rPr>
          <w:rFonts w:eastAsia="Times New Roman"/>
          <w:i/>
          <w:szCs w:val="22"/>
          <w:u w:val="single"/>
          <w:lang w:val="fr-FR"/>
        </w:rPr>
        <w:t>Services de secrétariat</w:t>
      </w:r>
    </w:p>
    <w:p w:rsidR="00B64B91" w:rsidRDefault="00A832FC" w:rsidP="00931A71">
      <w:pPr>
        <w:spacing w:after="120" w:line="260" w:lineRule="atLeast"/>
        <w:rPr>
          <w:rFonts w:eastAsia="Times New Roman"/>
          <w:szCs w:val="22"/>
          <w:lang w:val="fr-FR"/>
        </w:rPr>
      </w:pPr>
      <w:r w:rsidRPr="00D9120D">
        <w:rPr>
          <w:rFonts w:eastAsia="Times New Roman"/>
          <w:szCs w:val="22"/>
          <w:lang w:val="fr-FR"/>
        </w:rPr>
        <w:t>Le Secrétariat de l</w:t>
      </w:r>
      <w:r w:rsidR="007E7DAB">
        <w:rPr>
          <w:rFonts w:eastAsia="Times New Roman"/>
          <w:szCs w:val="22"/>
          <w:lang w:val="fr-FR"/>
        </w:rPr>
        <w:t>’</w:t>
      </w:r>
      <w:r w:rsidRPr="00D9120D">
        <w:rPr>
          <w:rFonts w:eastAsia="Times New Roman"/>
          <w:szCs w:val="22"/>
          <w:lang w:val="fr-FR"/>
        </w:rPr>
        <w:t>OMPI facilitera le bon déroulement de la réunion et en assurera le secrétariat.</w:t>
      </w:r>
    </w:p>
    <w:p w:rsidR="00B64B91" w:rsidRDefault="00A54F25" w:rsidP="00A54F25">
      <w:pPr>
        <w:spacing w:after="120" w:line="260" w:lineRule="atLeast"/>
        <w:rPr>
          <w:rFonts w:eastAsia="Times New Roman"/>
          <w:caps/>
          <w:szCs w:val="22"/>
          <w:lang w:val="fr-FR"/>
        </w:rPr>
      </w:pPr>
      <w:r w:rsidRPr="00D9120D">
        <w:rPr>
          <w:rFonts w:eastAsia="Times New Roman"/>
          <w:caps/>
          <w:szCs w:val="22"/>
          <w:lang w:val="fr-FR"/>
        </w:rPr>
        <w:t xml:space="preserve">Décision en ce qui concerne le </w:t>
      </w:r>
      <w:r w:rsidR="00C343AF" w:rsidRPr="00D9120D">
        <w:rPr>
          <w:rFonts w:eastAsia="Times New Roman"/>
          <w:caps/>
          <w:szCs w:val="22"/>
          <w:lang w:val="fr-FR"/>
        </w:rPr>
        <w:t>point 9</w:t>
      </w:r>
      <w:r w:rsidRPr="00D9120D">
        <w:rPr>
          <w:rFonts w:eastAsia="Times New Roman"/>
          <w:caps/>
          <w:szCs w:val="22"/>
          <w:lang w:val="fr-FR"/>
        </w:rPr>
        <w:t xml:space="preserve"> de l</w:t>
      </w:r>
      <w:r w:rsidR="007E7DAB">
        <w:rPr>
          <w:rFonts w:eastAsia="Times New Roman"/>
          <w:caps/>
          <w:szCs w:val="22"/>
          <w:lang w:val="fr-FR"/>
        </w:rPr>
        <w:t>’</w:t>
      </w:r>
      <w:r w:rsidRPr="00D9120D">
        <w:rPr>
          <w:rFonts w:eastAsia="Times New Roman"/>
          <w:caps/>
          <w:szCs w:val="22"/>
          <w:lang w:val="fr-FR"/>
        </w:rPr>
        <w:t>ordre du jour</w:t>
      </w:r>
      <w:r w:rsidR="007E7DAB">
        <w:rPr>
          <w:rFonts w:eastAsia="Times New Roman"/>
          <w:caps/>
          <w:szCs w:val="22"/>
          <w:lang w:val="fr-FR"/>
        </w:rPr>
        <w:t> :</w:t>
      </w:r>
    </w:p>
    <w:p w:rsidR="00B64B91" w:rsidRDefault="00A54F25" w:rsidP="00A54F25">
      <w:pPr>
        <w:spacing w:after="120" w:line="260" w:lineRule="atLeast"/>
        <w:rPr>
          <w:rFonts w:eastAsia="Times New Roman" w:cs="Tahoma"/>
          <w:caps/>
          <w:szCs w:val="22"/>
          <w:lang w:val="fr-FR"/>
        </w:rPr>
      </w:pPr>
      <w:r w:rsidRPr="00D9120D">
        <w:rPr>
          <w:rFonts w:eastAsia="Times New Roman" w:cs="Tahoma"/>
          <w:caps/>
          <w:szCs w:val="22"/>
          <w:lang w:val="fr-FR"/>
        </w:rPr>
        <w:t>Questions diverses</w:t>
      </w:r>
    </w:p>
    <w:p w:rsidR="00B64B91" w:rsidRDefault="00A54F25" w:rsidP="00A54F25">
      <w:pPr>
        <w:spacing w:after="120" w:line="260" w:lineRule="atLeast"/>
        <w:rPr>
          <w:rFonts w:eastAsia="Times New Roman" w:cs="Tahoma"/>
          <w:szCs w:val="22"/>
          <w:lang w:val="fr-FR"/>
        </w:rPr>
      </w:pPr>
      <w:r w:rsidRPr="00D9120D">
        <w:rPr>
          <w:rFonts w:eastAsia="Times New Roman" w:cs="Tahoma"/>
          <w:szCs w:val="22"/>
          <w:lang w:val="fr-FR"/>
        </w:rPr>
        <w:t>Ce point de l</w:t>
      </w:r>
      <w:r w:rsidR="007E7DAB">
        <w:rPr>
          <w:rFonts w:eastAsia="Times New Roman" w:cs="Tahoma"/>
          <w:szCs w:val="22"/>
          <w:lang w:val="fr-FR"/>
        </w:rPr>
        <w:t>’</w:t>
      </w:r>
      <w:r w:rsidRPr="00D9120D">
        <w:rPr>
          <w:rFonts w:eastAsia="Times New Roman" w:cs="Tahoma"/>
          <w:szCs w:val="22"/>
          <w:lang w:val="fr-FR"/>
        </w:rPr>
        <w:t>ordre du jour n</w:t>
      </w:r>
      <w:r w:rsidR="007E7DAB">
        <w:rPr>
          <w:rFonts w:eastAsia="Times New Roman" w:cs="Tahoma"/>
          <w:szCs w:val="22"/>
          <w:lang w:val="fr-FR"/>
        </w:rPr>
        <w:t>’</w:t>
      </w:r>
      <w:r w:rsidRPr="00D9120D">
        <w:rPr>
          <w:rFonts w:eastAsia="Times New Roman" w:cs="Tahoma"/>
          <w:szCs w:val="22"/>
          <w:lang w:val="fr-FR"/>
        </w:rPr>
        <w:t>a fait l</w:t>
      </w:r>
      <w:r w:rsidR="007E7DAB">
        <w:rPr>
          <w:rFonts w:eastAsia="Times New Roman" w:cs="Tahoma"/>
          <w:szCs w:val="22"/>
          <w:lang w:val="fr-FR"/>
        </w:rPr>
        <w:t>’</w:t>
      </w:r>
      <w:r w:rsidRPr="00D9120D">
        <w:rPr>
          <w:rFonts w:eastAsia="Times New Roman" w:cs="Tahoma"/>
          <w:szCs w:val="22"/>
          <w:lang w:val="fr-FR"/>
        </w:rPr>
        <w:t>objet d</w:t>
      </w:r>
      <w:r w:rsidR="007E7DAB">
        <w:rPr>
          <w:rFonts w:eastAsia="Times New Roman" w:cs="Tahoma"/>
          <w:szCs w:val="22"/>
          <w:lang w:val="fr-FR"/>
        </w:rPr>
        <w:t>’</w:t>
      </w:r>
      <w:r w:rsidRPr="00D9120D">
        <w:rPr>
          <w:rFonts w:eastAsia="Times New Roman" w:cs="Tahoma"/>
          <w:szCs w:val="22"/>
          <w:lang w:val="fr-FR"/>
        </w:rPr>
        <w:t>aucune discussion.</w:t>
      </w:r>
    </w:p>
    <w:p w:rsidR="00B64B91" w:rsidRDefault="00B64B91" w:rsidP="00931A71">
      <w:pPr>
        <w:spacing w:after="120" w:line="260" w:lineRule="atLeast"/>
        <w:rPr>
          <w:rFonts w:eastAsia="Times New Roman" w:cs="Tahoma"/>
          <w:szCs w:val="22"/>
          <w:lang w:val="fr-FR"/>
        </w:rPr>
      </w:pPr>
    </w:p>
    <w:p w:rsidR="00B64B91" w:rsidRDefault="00A54F25" w:rsidP="00A54F25">
      <w:pPr>
        <w:spacing w:after="120" w:line="260" w:lineRule="atLeast"/>
        <w:rPr>
          <w:caps/>
          <w:szCs w:val="22"/>
          <w:lang w:val="fr-FR"/>
        </w:rPr>
      </w:pPr>
      <w:r w:rsidRPr="00D9120D">
        <w:rPr>
          <w:caps/>
          <w:szCs w:val="22"/>
          <w:lang w:val="fr-FR"/>
        </w:rPr>
        <w:t xml:space="preserve">Décision en ce qui concerne le </w:t>
      </w:r>
      <w:r w:rsidR="00C343AF" w:rsidRPr="00D9120D">
        <w:rPr>
          <w:caps/>
          <w:szCs w:val="22"/>
          <w:lang w:val="fr-FR"/>
        </w:rPr>
        <w:t>point 1</w:t>
      </w:r>
      <w:r w:rsidRPr="00D9120D">
        <w:rPr>
          <w:caps/>
          <w:szCs w:val="22"/>
          <w:lang w:val="fr-FR"/>
        </w:rPr>
        <w:t>0 de l</w:t>
      </w:r>
      <w:r w:rsidR="007E7DAB">
        <w:rPr>
          <w:caps/>
          <w:szCs w:val="22"/>
          <w:lang w:val="fr-FR"/>
        </w:rPr>
        <w:t>’</w:t>
      </w:r>
      <w:r w:rsidRPr="00D9120D">
        <w:rPr>
          <w:caps/>
          <w:szCs w:val="22"/>
          <w:lang w:val="fr-FR"/>
        </w:rPr>
        <w:t>ordre du jour</w:t>
      </w:r>
      <w:r w:rsidR="007E7DAB">
        <w:rPr>
          <w:caps/>
          <w:szCs w:val="22"/>
          <w:lang w:val="fr-FR"/>
        </w:rPr>
        <w:t> :</w:t>
      </w:r>
    </w:p>
    <w:p w:rsidR="00B64B91" w:rsidRDefault="00A54F25" w:rsidP="00A54F25">
      <w:pPr>
        <w:spacing w:after="120" w:line="260" w:lineRule="atLeast"/>
        <w:rPr>
          <w:caps/>
          <w:szCs w:val="22"/>
          <w:lang w:val="fr-FR"/>
        </w:rPr>
      </w:pPr>
      <w:r w:rsidRPr="00D9120D">
        <w:rPr>
          <w:caps/>
          <w:szCs w:val="22"/>
          <w:lang w:val="fr-FR"/>
        </w:rPr>
        <w:t>Clôture de la session</w:t>
      </w:r>
    </w:p>
    <w:p w:rsidR="00B64B91" w:rsidRDefault="00A54F25" w:rsidP="00A54F25">
      <w:pPr>
        <w:spacing w:after="120" w:line="260" w:lineRule="atLeast"/>
        <w:rPr>
          <w:szCs w:val="22"/>
          <w:lang w:val="fr-FR"/>
        </w:rPr>
      </w:pPr>
      <w:r w:rsidRPr="00D9120D">
        <w:rPr>
          <w:szCs w:val="22"/>
          <w:lang w:val="fr-FR"/>
        </w:rPr>
        <w:t xml:space="preserve">Le comité a adopté ses décisions relatives aux </w:t>
      </w:r>
      <w:r w:rsidR="00C343AF" w:rsidRPr="00D9120D">
        <w:rPr>
          <w:szCs w:val="22"/>
          <w:lang w:val="fr-FR"/>
        </w:rPr>
        <w:t>points 2</w:t>
      </w:r>
      <w:r w:rsidRPr="00D9120D">
        <w:rPr>
          <w:szCs w:val="22"/>
          <w:lang w:val="fr-FR"/>
        </w:rPr>
        <w:t>, 3, 4, 5, 6, 7 et 8 le 2</w:t>
      </w:r>
      <w:r w:rsidR="00C343AF" w:rsidRPr="00D9120D">
        <w:rPr>
          <w:szCs w:val="22"/>
          <w:lang w:val="fr-FR"/>
        </w:rPr>
        <w:t>3 mars 20</w:t>
      </w:r>
      <w:r w:rsidRPr="00D9120D">
        <w:rPr>
          <w:szCs w:val="22"/>
          <w:lang w:val="fr-FR"/>
        </w:rPr>
        <w:t>18.</w:t>
      </w:r>
      <w:r w:rsidR="00D71E80" w:rsidRPr="00D9120D">
        <w:rPr>
          <w:lang w:val="fr-FR"/>
        </w:rPr>
        <w:t xml:space="preserve"> </w:t>
      </w:r>
      <w:r w:rsidR="00E200A2" w:rsidRPr="00D9120D">
        <w:rPr>
          <w:lang w:val="fr-FR"/>
        </w:rPr>
        <w:t xml:space="preserve"> </w:t>
      </w:r>
      <w:r w:rsidRPr="00D9120D">
        <w:rPr>
          <w:szCs w:val="22"/>
          <w:lang w:val="fr-FR"/>
        </w:rPr>
        <w:t>Il est convenu qu</w:t>
      </w:r>
      <w:r w:rsidR="007E7DAB">
        <w:rPr>
          <w:szCs w:val="22"/>
          <w:lang w:val="fr-FR"/>
        </w:rPr>
        <w:t>’</w:t>
      </w:r>
      <w:r w:rsidRPr="00D9120D">
        <w:rPr>
          <w:szCs w:val="22"/>
          <w:lang w:val="fr-FR"/>
        </w:rPr>
        <w:t>un projet de rapport écrit contenant le texte de ces décisions, qui a fait l</w:t>
      </w:r>
      <w:r w:rsidR="007E7DAB">
        <w:rPr>
          <w:szCs w:val="22"/>
          <w:lang w:val="fr-FR"/>
        </w:rPr>
        <w:t>’</w:t>
      </w:r>
      <w:r w:rsidRPr="00D9120D">
        <w:rPr>
          <w:szCs w:val="22"/>
          <w:lang w:val="fr-FR"/>
        </w:rPr>
        <w:t>objet d</w:t>
      </w:r>
      <w:r w:rsidR="007E7DAB">
        <w:rPr>
          <w:szCs w:val="22"/>
          <w:lang w:val="fr-FR"/>
        </w:rPr>
        <w:t>’</w:t>
      </w:r>
      <w:r w:rsidRPr="00D9120D">
        <w:rPr>
          <w:szCs w:val="22"/>
          <w:lang w:val="fr-FR"/>
        </w:rPr>
        <w:t>un accord, et toutes les interventions prononcées devant le comité sera établi et distribué d</w:t>
      </w:r>
      <w:r w:rsidR="007E7DAB">
        <w:rPr>
          <w:szCs w:val="22"/>
          <w:lang w:val="fr-FR"/>
        </w:rPr>
        <w:t>’</w:t>
      </w:r>
      <w:r w:rsidRPr="00D9120D">
        <w:rPr>
          <w:szCs w:val="22"/>
          <w:lang w:val="fr-FR"/>
        </w:rPr>
        <w:t>ici au 18 mai 2018.</w:t>
      </w:r>
      <w:r w:rsidR="00D71E80" w:rsidRPr="00D9120D">
        <w:rPr>
          <w:lang w:val="fr-FR"/>
        </w:rPr>
        <w:t xml:space="preserve">  </w:t>
      </w:r>
      <w:r w:rsidRPr="00D9120D">
        <w:rPr>
          <w:szCs w:val="22"/>
          <w:lang w:val="fr-FR"/>
        </w:rPr>
        <w:t>Les participants du comité seraient invités à soumettre des corrections écrites relatives à leurs interventions figurant dans le projet de rapport avant qu</w:t>
      </w:r>
      <w:r w:rsidR="007E7DAB">
        <w:rPr>
          <w:szCs w:val="22"/>
          <w:lang w:val="fr-FR"/>
        </w:rPr>
        <w:t>’</w:t>
      </w:r>
      <w:r w:rsidRPr="00D9120D">
        <w:rPr>
          <w:szCs w:val="22"/>
          <w:lang w:val="fr-FR"/>
        </w:rPr>
        <w:t>une version finale du projet de rapport soit distribuée aux participants du comité pour adoption à la prochaine session du comité.</w:t>
      </w:r>
    </w:p>
    <w:p w:rsidR="00B64B91" w:rsidRDefault="00B64B91" w:rsidP="00931A71">
      <w:pPr>
        <w:spacing w:after="120" w:line="260" w:lineRule="atLeast"/>
        <w:rPr>
          <w:szCs w:val="22"/>
          <w:lang w:val="fr-FR"/>
        </w:rPr>
      </w:pPr>
    </w:p>
    <w:p w:rsidR="00B64B91" w:rsidRDefault="00B64B91" w:rsidP="00931A71">
      <w:pPr>
        <w:spacing w:after="120" w:line="260" w:lineRule="atLeast"/>
        <w:rPr>
          <w:szCs w:val="22"/>
          <w:lang w:val="fr-FR"/>
        </w:rPr>
      </w:pPr>
    </w:p>
    <w:p w:rsidR="00B64B91" w:rsidRDefault="00A54F25" w:rsidP="00A54F25">
      <w:pPr>
        <w:spacing w:after="120" w:line="260" w:lineRule="atLeast"/>
        <w:ind w:left="5043" w:firstLine="567"/>
        <w:rPr>
          <w:szCs w:val="22"/>
          <w:lang w:val="fr-FR"/>
        </w:rPr>
      </w:pPr>
      <w:r w:rsidRPr="00D9120D">
        <w:rPr>
          <w:szCs w:val="22"/>
          <w:lang w:val="fr-FR"/>
        </w:rPr>
        <w:t>[</w:t>
      </w:r>
      <w:r w:rsidR="00A832FC" w:rsidRPr="00D9120D">
        <w:rPr>
          <w:szCs w:val="22"/>
          <w:lang w:val="fr-FR"/>
        </w:rPr>
        <w:t>L</w:t>
      </w:r>
      <w:r w:rsidR="007E7DAB">
        <w:rPr>
          <w:szCs w:val="22"/>
          <w:lang w:val="fr-FR"/>
        </w:rPr>
        <w:t>’</w:t>
      </w:r>
      <w:r w:rsidR="00A832FC" w:rsidRPr="00D9120D">
        <w:rPr>
          <w:szCs w:val="22"/>
          <w:lang w:val="fr-FR"/>
        </w:rPr>
        <w:t>annexe suit</w:t>
      </w:r>
      <w:r w:rsidRPr="00D9120D">
        <w:rPr>
          <w:szCs w:val="22"/>
          <w:lang w:val="fr-FR"/>
        </w:rPr>
        <w:t>]</w:t>
      </w:r>
    </w:p>
    <w:p w:rsidR="00B64B91" w:rsidRDefault="00B64B91" w:rsidP="00CA7746">
      <w:pPr>
        <w:spacing w:after="120" w:line="260" w:lineRule="atLeast"/>
        <w:jc w:val="both"/>
        <w:rPr>
          <w:iCs/>
          <w:szCs w:val="22"/>
          <w:lang w:val="fr-FR"/>
        </w:rPr>
      </w:pPr>
    </w:p>
    <w:p w:rsidR="00D9120D" w:rsidRPr="00D9120D" w:rsidRDefault="00D9120D" w:rsidP="00D9120D">
      <w:pPr>
        <w:spacing w:after="120" w:line="260" w:lineRule="atLeast"/>
        <w:jc w:val="center"/>
        <w:rPr>
          <w:b/>
          <w:iCs/>
          <w:szCs w:val="22"/>
          <w:lang w:val="fr-FR"/>
        </w:rPr>
        <w:sectPr w:rsidR="00D9120D" w:rsidRPr="00D9120D" w:rsidSect="00D9120D">
          <w:headerReference w:type="default" r:id="rId10"/>
          <w:footerReference w:type="default" r:id="rId11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B64B91" w:rsidRDefault="001D599E" w:rsidP="00D9120D">
      <w:pPr>
        <w:spacing w:after="120" w:line="260" w:lineRule="atLeast"/>
        <w:jc w:val="center"/>
        <w:rPr>
          <w:b/>
          <w:iCs/>
          <w:szCs w:val="22"/>
          <w:lang w:val="fr-FR"/>
        </w:rPr>
      </w:pPr>
      <w:r w:rsidRPr="00D9120D">
        <w:rPr>
          <w:b/>
          <w:iCs/>
          <w:szCs w:val="22"/>
          <w:lang w:val="fr-FR"/>
        </w:rPr>
        <w:t>ANNEXE</w:t>
      </w:r>
    </w:p>
    <w:p w:rsidR="00B64B91" w:rsidRDefault="001D599E" w:rsidP="00D9120D">
      <w:pPr>
        <w:spacing w:after="120" w:line="260" w:lineRule="atLeast"/>
        <w:jc w:val="center"/>
        <w:rPr>
          <w:b/>
          <w:iCs/>
          <w:szCs w:val="22"/>
          <w:lang w:val="fr-FR"/>
        </w:rPr>
      </w:pPr>
      <w:r w:rsidRPr="00D9120D">
        <w:rPr>
          <w:b/>
          <w:iCs/>
          <w:szCs w:val="22"/>
          <w:lang w:val="fr-FR"/>
        </w:rPr>
        <w:t>Liste indicative des questions à traiter en particulier</w:t>
      </w:r>
    </w:p>
    <w:p w:rsidR="00B64B91" w:rsidRDefault="00B64B91" w:rsidP="00D9120D">
      <w:pPr>
        <w:spacing w:after="120" w:line="260" w:lineRule="atLeast"/>
        <w:jc w:val="center"/>
        <w:rPr>
          <w:b/>
          <w:iCs/>
          <w:szCs w:val="22"/>
          <w:lang w:val="fr-FR"/>
        </w:rPr>
      </w:pPr>
    </w:p>
    <w:p w:rsidR="00B64B91" w:rsidRDefault="001D599E" w:rsidP="00D9120D">
      <w:pPr>
        <w:pStyle w:val="ListParagraph"/>
        <w:numPr>
          <w:ilvl w:val="0"/>
          <w:numId w:val="11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Liste des termes relatifs au dispositif</w:t>
      </w:r>
    </w:p>
    <w:p w:rsidR="00B64B91" w:rsidRDefault="001D599E" w:rsidP="00D9120D">
      <w:pPr>
        <w:pStyle w:val="ListParagraph"/>
        <w:numPr>
          <w:ilvl w:val="0"/>
          <w:numId w:val="12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Savo</w:t>
      </w:r>
      <w:r w:rsidR="00FC724D" w:rsidRPr="00D9120D">
        <w:rPr>
          <w:iCs/>
          <w:szCs w:val="22"/>
          <w:lang w:val="fr-FR"/>
        </w:rPr>
        <w:t>i</w:t>
      </w:r>
      <w:r w:rsidRPr="00D9120D">
        <w:rPr>
          <w:iCs/>
          <w:szCs w:val="22"/>
          <w:lang w:val="fr-FR"/>
        </w:rPr>
        <w:t>rs traditionnels associés à des ressources génétiques</w:t>
      </w:r>
    </w:p>
    <w:p w:rsidR="00B64B91" w:rsidRDefault="001D599E" w:rsidP="00D9120D">
      <w:pPr>
        <w:pStyle w:val="ListParagraph"/>
        <w:numPr>
          <w:ilvl w:val="0"/>
          <w:numId w:val="12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Pays d</w:t>
      </w:r>
      <w:r w:rsidR="007E7DAB">
        <w:rPr>
          <w:iCs/>
          <w:szCs w:val="22"/>
          <w:lang w:val="fr-FR"/>
        </w:rPr>
        <w:t>’</w:t>
      </w:r>
      <w:r w:rsidRPr="00D9120D">
        <w:rPr>
          <w:iCs/>
          <w:szCs w:val="22"/>
          <w:lang w:val="fr-FR"/>
        </w:rPr>
        <w:t>origine</w:t>
      </w:r>
    </w:p>
    <w:p w:rsidR="00B64B91" w:rsidRDefault="001D599E" w:rsidP="00D9120D">
      <w:pPr>
        <w:pStyle w:val="ListParagraph"/>
        <w:numPr>
          <w:ilvl w:val="0"/>
          <w:numId w:val="12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Pays fournisseur</w:t>
      </w:r>
    </w:p>
    <w:p w:rsidR="00B64B91" w:rsidRDefault="001D599E" w:rsidP="00D9120D">
      <w:pPr>
        <w:pStyle w:val="ListParagraph"/>
        <w:numPr>
          <w:ilvl w:val="0"/>
          <w:numId w:val="12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Pays fournisseur de ressources génétiques</w:t>
      </w:r>
    </w:p>
    <w:p w:rsidR="00B64B91" w:rsidRDefault="001D599E" w:rsidP="00D9120D">
      <w:pPr>
        <w:pStyle w:val="ListParagraph"/>
        <w:numPr>
          <w:ilvl w:val="0"/>
          <w:numId w:val="12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Invention directement fondée sur</w:t>
      </w:r>
    </w:p>
    <w:p w:rsidR="00B64B91" w:rsidRDefault="001D599E" w:rsidP="00D9120D">
      <w:pPr>
        <w:pStyle w:val="ListParagraph"/>
        <w:numPr>
          <w:ilvl w:val="0"/>
          <w:numId w:val="12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Ressources génétiques/mat</w:t>
      </w:r>
      <w:r w:rsidR="00E0304B" w:rsidRPr="00D9120D">
        <w:rPr>
          <w:iCs/>
          <w:szCs w:val="22"/>
          <w:lang w:val="fr-FR"/>
        </w:rPr>
        <w:t>é</w:t>
      </w:r>
      <w:r w:rsidRPr="00D9120D">
        <w:rPr>
          <w:iCs/>
          <w:szCs w:val="22"/>
          <w:lang w:val="fr-FR"/>
        </w:rPr>
        <w:t>riel génétique/dérivé</w:t>
      </w:r>
    </w:p>
    <w:p w:rsidR="00B64B91" w:rsidRDefault="001D599E" w:rsidP="00D9120D">
      <w:pPr>
        <w:pStyle w:val="ListParagraph"/>
        <w:numPr>
          <w:ilvl w:val="0"/>
          <w:numId w:val="12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Source</w:t>
      </w:r>
    </w:p>
    <w:p w:rsidR="00B64B91" w:rsidRDefault="001D599E" w:rsidP="00D9120D">
      <w:pPr>
        <w:pStyle w:val="ListParagraph"/>
        <w:numPr>
          <w:ilvl w:val="0"/>
          <w:numId w:val="12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Utili</w:t>
      </w:r>
      <w:r w:rsidR="00E0304B" w:rsidRPr="00D9120D">
        <w:rPr>
          <w:iCs/>
          <w:szCs w:val="22"/>
          <w:lang w:val="fr-FR"/>
        </w:rPr>
        <w:t>s</w:t>
      </w:r>
      <w:r w:rsidRPr="00D9120D">
        <w:rPr>
          <w:iCs/>
          <w:szCs w:val="22"/>
          <w:lang w:val="fr-FR"/>
        </w:rPr>
        <w:t>ation</w:t>
      </w:r>
    </w:p>
    <w:p w:rsidR="00B64B91" w:rsidRDefault="00B64B91" w:rsidP="00D9120D">
      <w:pPr>
        <w:pStyle w:val="ListParagraph"/>
        <w:spacing w:after="120" w:line="260" w:lineRule="atLeast"/>
        <w:ind w:left="1440"/>
        <w:rPr>
          <w:iCs/>
          <w:szCs w:val="22"/>
          <w:lang w:val="fr-FR"/>
        </w:rPr>
      </w:pPr>
    </w:p>
    <w:p w:rsidR="00B64B91" w:rsidRDefault="001D599E" w:rsidP="00D9120D">
      <w:pPr>
        <w:pStyle w:val="ListParagraph"/>
        <w:numPr>
          <w:ilvl w:val="0"/>
          <w:numId w:val="11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Objet</w:t>
      </w:r>
    </w:p>
    <w:p w:rsidR="00B64B91" w:rsidRDefault="001D599E" w:rsidP="00D9120D">
      <w:pPr>
        <w:pStyle w:val="ListParagraph"/>
        <w:numPr>
          <w:ilvl w:val="0"/>
          <w:numId w:val="13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L</w:t>
      </w:r>
      <w:r w:rsidR="007E7DAB">
        <w:rPr>
          <w:iCs/>
          <w:szCs w:val="22"/>
          <w:lang w:val="fr-FR"/>
        </w:rPr>
        <w:t>’</w:t>
      </w:r>
      <w:r w:rsidRPr="00D9120D">
        <w:rPr>
          <w:iCs/>
          <w:szCs w:val="22"/>
          <w:lang w:val="fr-FR"/>
        </w:rPr>
        <w:t>instrument</w:t>
      </w:r>
      <w:r w:rsidR="00FC724D" w:rsidRPr="00D9120D">
        <w:rPr>
          <w:iCs/>
          <w:szCs w:val="22"/>
          <w:lang w:val="fr-FR"/>
        </w:rPr>
        <w:t xml:space="preserve"> doit</w:t>
      </w:r>
      <w:r w:rsidR="007E7DAB">
        <w:rPr>
          <w:iCs/>
          <w:szCs w:val="22"/>
          <w:lang w:val="fr-FR"/>
        </w:rPr>
        <w:t>-</w:t>
      </w:r>
      <w:r w:rsidR="00FC724D" w:rsidRPr="00D9120D">
        <w:rPr>
          <w:iCs/>
          <w:szCs w:val="22"/>
          <w:lang w:val="fr-FR"/>
        </w:rPr>
        <w:t>il s</w:t>
      </w:r>
      <w:r w:rsidR="007E7DAB">
        <w:rPr>
          <w:iCs/>
          <w:szCs w:val="22"/>
          <w:lang w:val="fr-FR"/>
        </w:rPr>
        <w:t>’</w:t>
      </w:r>
      <w:r w:rsidR="00FC724D" w:rsidRPr="00D9120D">
        <w:rPr>
          <w:iCs/>
          <w:szCs w:val="22"/>
          <w:lang w:val="fr-FR"/>
        </w:rPr>
        <w:t>appliquer</w:t>
      </w:r>
    </w:p>
    <w:p w:rsidR="00B64B91" w:rsidRDefault="00FC724D" w:rsidP="00D9120D">
      <w:pPr>
        <w:pStyle w:val="ListParagraph"/>
        <w:numPr>
          <w:ilvl w:val="0"/>
          <w:numId w:val="14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à tous les droits de propriété intellectuelle ou uniquement aux droits de brevet</w:t>
      </w:r>
    </w:p>
    <w:p w:rsidR="00B64B91" w:rsidRDefault="00FC724D" w:rsidP="00D9120D">
      <w:pPr>
        <w:pStyle w:val="ListParagraph"/>
        <w:numPr>
          <w:ilvl w:val="0"/>
          <w:numId w:val="13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Outre les ressources génétiques</w:t>
      </w:r>
      <w:r w:rsidR="007E7DAB">
        <w:rPr>
          <w:iCs/>
          <w:szCs w:val="22"/>
          <w:lang w:val="fr-FR"/>
        </w:rPr>
        <w:t> :</w:t>
      </w:r>
    </w:p>
    <w:p w:rsidR="00B64B91" w:rsidRDefault="00F306B8" w:rsidP="00D9120D">
      <w:pPr>
        <w:pStyle w:val="ListParagraph"/>
        <w:numPr>
          <w:ilvl w:val="0"/>
          <w:numId w:val="14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d</w:t>
      </w:r>
      <w:r w:rsidR="00FC724D" w:rsidRPr="00D9120D">
        <w:rPr>
          <w:iCs/>
          <w:szCs w:val="22"/>
          <w:lang w:val="fr-FR"/>
        </w:rPr>
        <w:t>érivés</w:t>
      </w:r>
    </w:p>
    <w:p w:rsidR="00B64B91" w:rsidRDefault="00F306B8" w:rsidP="00D9120D">
      <w:pPr>
        <w:pStyle w:val="ListParagraph"/>
        <w:numPr>
          <w:ilvl w:val="0"/>
          <w:numId w:val="14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s</w:t>
      </w:r>
      <w:r w:rsidR="00FC724D" w:rsidRPr="00D9120D">
        <w:rPr>
          <w:iCs/>
          <w:szCs w:val="22"/>
          <w:lang w:val="fr-FR"/>
        </w:rPr>
        <w:t xml:space="preserve">avoirs traditionnels associés </w:t>
      </w:r>
      <w:r w:rsidRPr="00D9120D">
        <w:rPr>
          <w:iCs/>
          <w:szCs w:val="22"/>
          <w:lang w:val="fr-FR"/>
        </w:rPr>
        <w:t>à des</w:t>
      </w:r>
      <w:r w:rsidR="00FC724D" w:rsidRPr="00D9120D">
        <w:rPr>
          <w:iCs/>
          <w:szCs w:val="22"/>
          <w:lang w:val="fr-FR"/>
        </w:rPr>
        <w:t xml:space="preserve"> ressources génétiques</w:t>
      </w:r>
    </w:p>
    <w:p w:rsidR="00B64B91" w:rsidRDefault="00B64B91" w:rsidP="00D9120D">
      <w:pPr>
        <w:pStyle w:val="ListParagraph"/>
        <w:spacing w:after="120" w:line="260" w:lineRule="atLeast"/>
        <w:ind w:left="2160"/>
        <w:rPr>
          <w:iCs/>
          <w:szCs w:val="22"/>
          <w:lang w:val="fr-FR"/>
        </w:rPr>
      </w:pPr>
    </w:p>
    <w:p w:rsidR="00B64B91" w:rsidRDefault="00FC724D" w:rsidP="00D9120D">
      <w:pPr>
        <w:pStyle w:val="ListParagraph"/>
        <w:numPr>
          <w:ilvl w:val="0"/>
          <w:numId w:val="11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Divulgation</w:t>
      </w:r>
    </w:p>
    <w:p w:rsidR="00B64B91" w:rsidRDefault="00FC724D" w:rsidP="00D9120D">
      <w:pPr>
        <w:pStyle w:val="ListParagraph"/>
        <w:numPr>
          <w:ilvl w:val="0"/>
          <w:numId w:val="15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Élément déclenchant de la divulgation</w:t>
      </w:r>
    </w:p>
    <w:p w:rsidR="00B64B91" w:rsidRDefault="00FC724D" w:rsidP="00D9120D">
      <w:pPr>
        <w:pStyle w:val="ListParagraph"/>
        <w:numPr>
          <w:ilvl w:val="0"/>
          <w:numId w:val="15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Teneur de la divulgation</w:t>
      </w:r>
    </w:p>
    <w:p w:rsidR="00B64B91" w:rsidRDefault="00FC724D" w:rsidP="00D9120D">
      <w:pPr>
        <w:pStyle w:val="ListParagraph"/>
        <w:numPr>
          <w:ilvl w:val="0"/>
          <w:numId w:val="15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Exceptions et limitations</w:t>
      </w:r>
    </w:p>
    <w:p w:rsidR="00B64B91" w:rsidRDefault="00FC724D" w:rsidP="00D9120D">
      <w:pPr>
        <w:pStyle w:val="ListParagraph"/>
        <w:numPr>
          <w:ilvl w:val="0"/>
          <w:numId w:val="15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Conséquence du non</w:t>
      </w:r>
      <w:r w:rsidR="007E7DAB">
        <w:rPr>
          <w:iCs/>
          <w:szCs w:val="22"/>
          <w:lang w:val="fr-FR"/>
        </w:rPr>
        <w:t>-</w:t>
      </w:r>
      <w:r w:rsidRPr="00D9120D">
        <w:rPr>
          <w:iCs/>
          <w:szCs w:val="22"/>
          <w:lang w:val="fr-FR"/>
        </w:rPr>
        <w:t>respect de l</w:t>
      </w:r>
      <w:r w:rsidR="007E7DAB">
        <w:rPr>
          <w:iCs/>
          <w:szCs w:val="22"/>
          <w:lang w:val="fr-FR"/>
        </w:rPr>
        <w:t>’</w:t>
      </w:r>
      <w:r w:rsidRPr="00D9120D">
        <w:rPr>
          <w:iCs/>
          <w:szCs w:val="22"/>
          <w:lang w:val="fr-FR"/>
        </w:rPr>
        <w:t>exigence de divulgation</w:t>
      </w:r>
    </w:p>
    <w:p w:rsidR="00B64B91" w:rsidRDefault="00B64B91" w:rsidP="00D9120D">
      <w:pPr>
        <w:pStyle w:val="ListParagraph"/>
        <w:spacing w:after="120" w:line="260" w:lineRule="atLeast"/>
        <w:ind w:left="1440"/>
        <w:rPr>
          <w:iCs/>
          <w:szCs w:val="22"/>
          <w:lang w:val="fr-FR"/>
        </w:rPr>
      </w:pPr>
    </w:p>
    <w:p w:rsidR="00B64B91" w:rsidRDefault="00E0304B" w:rsidP="00D9120D">
      <w:pPr>
        <w:pStyle w:val="ListParagraph"/>
        <w:numPr>
          <w:ilvl w:val="0"/>
          <w:numId w:val="11"/>
        </w:numPr>
        <w:spacing w:after="120" w:line="260" w:lineRule="atLeast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Mesures de diligence requise/Bases de données</w:t>
      </w:r>
    </w:p>
    <w:p w:rsidR="00B64B91" w:rsidRDefault="00B64B91" w:rsidP="00D9120D">
      <w:pPr>
        <w:spacing w:after="120" w:line="260" w:lineRule="atLeast"/>
        <w:rPr>
          <w:iCs/>
          <w:szCs w:val="22"/>
          <w:lang w:val="fr-FR"/>
        </w:rPr>
      </w:pPr>
    </w:p>
    <w:p w:rsidR="00B64B91" w:rsidRDefault="00E0304B" w:rsidP="00D9120D">
      <w:pPr>
        <w:spacing w:after="120" w:line="260" w:lineRule="atLeast"/>
        <w:ind w:firstLine="5670"/>
        <w:rPr>
          <w:iCs/>
          <w:szCs w:val="22"/>
          <w:lang w:val="fr-FR"/>
        </w:rPr>
      </w:pPr>
      <w:r w:rsidRPr="00D9120D">
        <w:rPr>
          <w:iCs/>
          <w:szCs w:val="22"/>
          <w:lang w:val="fr-FR"/>
        </w:rPr>
        <w:t>[Fin de l</w:t>
      </w:r>
      <w:r w:rsidR="007E7DAB">
        <w:rPr>
          <w:iCs/>
          <w:szCs w:val="22"/>
          <w:lang w:val="fr-FR"/>
        </w:rPr>
        <w:t>’</w:t>
      </w:r>
      <w:r w:rsidRPr="00D9120D">
        <w:rPr>
          <w:iCs/>
          <w:szCs w:val="22"/>
          <w:lang w:val="fr-FR"/>
        </w:rPr>
        <w:t>annexe et du document]</w:t>
      </w:r>
    </w:p>
    <w:p w:rsidR="00B64B91" w:rsidRDefault="00B64B91" w:rsidP="00D9120D">
      <w:pPr>
        <w:spacing w:after="120" w:line="260" w:lineRule="atLeast"/>
        <w:ind w:firstLine="5670"/>
        <w:rPr>
          <w:iCs/>
          <w:szCs w:val="22"/>
          <w:lang w:val="fr-FR"/>
        </w:rPr>
      </w:pPr>
    </w:p>
    <w:p w:rsidR="00B64B91" w:rsidRDefault="00B64B91" w:rsidP="00D9120D">
      <w:pPr>
        <w:spacing w:after="120" w:line="260" w:lineRule="atLeast"/>
        <w:ind w:firstLine="5670"/>
        <w:rPr>
          <w:iCs/>
          <w:szCs w:val="22"/>
          <w:lang w:val="fr-FR"/>
        </w:rPr>
      </w:pPr>
    </w:p>
    <w:p w:rsidR="00E0304B" w:rsidRPr="00D9120D" w:rsidRDefault="00E0304B" w:rsidP="00D9120D">
      <w:pPr>
        <w:spacing w:after="120" w:line="260" w:lineRule="atLeast"/>
        <w:ind w:firstLine="5670"/>
        <w:rPr>
          <w:iCs/>
          <w:szCs w:val="22"/>
          <w:lang w:val="fr-FR"/>
        </w:rPr>
      </w:pPr>
    </w:p>
    <w:sectPr w:rsidR="00E0304B" w:rsidRPr="00D9120D" w:rsidSect="00D9120D">
      <w:headerReference w:type="first" r:id="rId12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E88" w:rsidRDefault="008D5E88">
      <w:r>
        <w:separator/>
      </w:r>
    </w:p>
  </w:endnote>
  <w:endnote w:type="continuationSeparator" w:id="0">
    <w:p w:rsidR="008D5E88" w:rsidRDefault="008D5E88" w:rsidP="003B38C1">
      <w:r>
        <w:separator/>
      </w:r>
    </w:p>
    <w:p w:rsidR="008D5E88" w:rsidRPr="003B38C1" w:rsidRDefault="008D5E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5E88" w:rsidRPr="003B38C1" w:rsidRDefault="008D5E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636" w:rsidRDefault="003756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E88" w:rsidRDefault="008D5E88">
      <w:r>
        <w:separator/>
      </w:r>
    </w:p>
  </w:footnote>
  <w:footnote w:type="continuationSeparator" w:id="0">
    <w:p w:rsidR="008D5E88" w:rsidRDefault="008D5E88" w:rsidP="008B60B2">
      <w:r>
        <w:separator/>
      </w:r>
    </w:p>
    <w:p w:rsidR="008D5E88" w:rsidRPr="00ED77FB" w:rsidRDefault="008D5E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5E88" w:rsidRPr="00ED77FB" w:rsidRDefault="008D5E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0D" w:rsidRDefault="00D9120D" w:rsidP="00B12663">
    <w:pPr>
      <w:pStyle w:val="Header"/>
      <w:jc w:val="right"/>
    </w:pPr>
  </w:p>
  <w:p w:rsidR="00D9120D" w:rsidRDefault="00D9120D" w:rsidP="00B12663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375636">
      <w:rPr>
        <w:noProof/>
      </w:rPr>
      <w:t>2</w:t>
    </w:r>
    <w:r>
      <w:fldChar w:fldCharType="end"/>
    </w:r>
  </w:p>
  <w:p w:rsidR="00D9120D" w:rsidRDefault="00D9120D" w:rsidP="00B12663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0D" w:rsidRDefault="00D9120D" w:rsidP="006726DF">
    <w:pPr>
      <w:pStyle w:val="Header"/>
      <w:jc w:val="right"/>
    </w:pPr>
  </w:p>
  <w:p w:rsidR="00D9120D" w:rsidRDefault="00D9120D" w:rsidP="006726DF">
    <w:pPr>
      <w:pStyle w:val="Header"/>
      <w:jc w:val="right"/>
    </w:pPr>
    <w:r>
      <w:t>ANNEXE</w:t>
    </w:r>
  </w:p>
  <w:p w:rsidR="00D9120D" w:rsidRDefault="00D9120D" w:rsidP="006726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3BE01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F9907DA"/>
    <w:multiLevelType w:val="hybridMultilevel"/>
    <w:tmpl w:val="B36478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F1A"/>
    <w:multiLevelType w:val="hybridMultilevel"/>
    <w:tmpl w:val="55E6C02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9D124B6"/>
    <w:multiLevelType w:val="hybridMultilevel"/>
    <w:tmpl w:val="E58E3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8A6E05"/>
    <w:multiLevelType w:val="hybridMultilevel"/>
    <w:tmpl w:val="1542F8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955531"/>
    <w:multiLevelType w:val="hybridMultilevel"/>
    <w:tmpl w:val="ECC4CB6E"/>
    <w:lvl w:ilvl="0" w:tplc="49F8FB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C3BAB"/>
    <w:multiLevelType w:val="hybridMultilevel"/>
    <w:tmpl w:val="AC02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13"/>
  </w:num>
  <w:num w:numId="9">
    <w:abstractNumId w:val="12"/>
  </w:num>
  <w:num w:numId="10">
    <w:abstractNumId w:val="14"/>
  </w:num>
  <w:num w:numId="11">
    <w:abstractNumId w:val="8"/>
  </w:num>
  <w:num w:numId="12">
    <w:abstractNumId w:val="3"/>
  </w:num>
  <w:num w:numId="13">
    <w:abstractNumId w:val="10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5428C9"/>
    <w:rsid w:val="00001932"/>
    <w:rsid w:val="00001BEF"/>
    <w:rsid w:val="00005DC2"/>
    <w:rsid w:val="00020B0B"/>
    <w:rsid w:val="00025798"/>
    <w:rsid w:val="00031FD3"/>
    <w:rsid w:val="00034F1B"/>
    <w:rsid w:val="000350CA"/>
    <w:rsid w:val="000362A5"/>
    <w:rsid w:val="00042E91"/>
    <w:rsid w:val="00043CAA"/>
    <w:rsid w:val="00047DF0"/>
    <w:rsid w:val="0005374D"/>
    <w:rsid w:val="000565C4"/>
    <w:rsid w:val="00062057"/>
    <w:rsid w:val="00065E90"/>
    <w:rsid w:val="00071A99"/>
    <w:rsid w:val="00073BBA"/>
    <w:rsid w:val="00073E67"/>
    <w:rsid w:val="00075432"/>
    <w:rsid w:val="00077F64"/>
    <w:rsid w:val="00080964"/>
    <w:rsid w:val="00082E60"/>
    <w:rsid w:val="0008488C"/>
    <w:rsid w:val="0008523C"/>
    <w:rsid w:val="0008743C"/>
    <w:rsid w:val="000921DC"/>
    <w:rsid w:val="00095BB5"/>
    <w:rsid w:val="000968ED"/>
    <w:rsid w:val="000A107C"/>
    <w:rsid w:val="000A1944"/>
    <w:rsid w:val="000A60FB"/>
    <w:rsid w:val="000B007D"/>
    <w:rsid w:val="000B214E"/>
    <w:rsid w:val="000B2978"/>
    <w:rsid w:val="000D1B54"/>
    <w:rsid w:val="000D3909"/>
    <w:rsid w:val="000E39B1"/>
    <w:rsid w:val="000F5E56"/>
    <w:rsid w:val="0010308B"/>
    <w:rsid w:val="00104A38"/>
    <w:rsid w:val="00121780"/>
    <w:rsid w:val="0013083C"/>
    <w:rsid w:val="001362EE"/>
    <w:rsid w:val="001441D6"/>
    <w:rsid w:val="001442D3"/>
    <w:rsid w:val="00146DA5"/>
    <w:rsid w:val="001470CC"/>
    <w:rsid w:val="0015134A"/>
    <w:rsid w:val="00151441"/>
    <w:rsid w:val="00152411"/>
    <w:rsid w:val="00154FB1"/>
    <w:rsid w:val="00155802"/>
    <w:rsid w:val="00163E57"/>
    <w:rsid w:val="00165616"/>
    <w:rsid w:val="001709F8"/>
    <w:rsid w:val="0017247F"/>
    <w:rsid w:val="00172A99"/>
    <w:rsid w:val="00181D8F"/>
    <w:rsid w:val="001832A6"/>
    <w:rsid w:val="001863CE"/>
    <w:rsid w:val="001876C3"/>
    <w:rsid w:val="001928A3"/>
    <w:rsid w:val="001A07C7"/>
    <w:rsid w:val="001A3A17"/>
    <w:rsid w:val="001A5E48"/>
    <w:rsid w:val="001A6822"/>
    <w:rsid w:val="001B7EA2"/>
    <w:rsid w:val="001C2F18"/>
    <w:rsid w:val="001C455B"/>
    <w:rsid w:val="001D3D81"/>
    <w:rsid w:val="001D599E"/>
    <w:rsid w:val="001D5E3A"/>
    <w:rsid w:val="001D770C"/>
    <w:rsid w:val="001D7C80"/>
    <w:rsid w:val="001E1F6E"/>
    <w:rsid w:val="001E3FE6"/>
    <w:rsid w:val="001E6FC1"/>
    <w:rsid w:val="001F1EC2"/>
    <w:rsid w:val="001F795E"/>
    <w:rsid w:val="00202976"/>
    <w:rsid w:val="0020336C"/>
    <w:rsid w:val="00204B65"/>
    <w:rsid w:val="00206D37"/>
    <w:rsid w:val="00207E92"/>
    <w:rsid w:val="002134B9"/>
    <w:rsid w:val="00214A3C"/>
    <w:rsid w:val="00216048"/>
    <w:rsid w:val="00231B6C"/>
    <w:rsid w:val="00240A58"/>
    <w:rsid w:val="00252AB2"/>
    <w:rsid w:val="0025530F"/>
    <w:rsid w:val="00255D22"/>
    <w:rsid w:val="002564D5"/>
    <w:rsid w:val="00256FAF"/>
    <w:rsid w:val="00262AA8"/>
    <w:rsid w:val="002634C4"/>
    <w:rsid w:val="002638FD"/>
    <w:rsid w:val="00264F7E"/>
    <w:rsid w:val="002814AB"/>
    <w:rsid w:val="002824FB"/>
    <w:rsid w:val="00287BFD"/>
    <w:rsid w:val="00291B10"/>
    <w:rsid w:val="002928D3"/>
    <w:rsid w:val="002953D8"/>
    <w:rsid w:val="00295DD3"/>
    <w:rsid w:val="0029778A"/>
    <w:rsid w:val="002A43DB"/>
    <w:rsid w:val="002B3B55"/>
    <w:rsid w:val="002B7BD2"/>
    <w:rsid w:val="002C0313"/>
    <w:rsid w:val="002C2355"/>
    <w:rsid w:val="002C3382"/>
    <w:rsid w:val="002C5548"/>
    <w:rsid w:val="002C62CF"/>
    <w:rsid w:val="002D404E"/>
    <w:rsid w:val="002D5DFF"/>
    <w:rsid w:val="002F0DB8"/>
    <w:rsid w:val="002F1FE6"/>
    <w:rsid w:val="002F4E68"/>
    <w:rsid w:val="002F5463"/>
    <w:rsid w:val="002F799C"/>
    <w:rsid w:val="002F7DFF"/>
    <w:rsid w:val="00302B5D"/>
    <w:rsid w:val="003126FA"/>
    <w:rsid w:val="00312F7F"/>
    <w:rsid w:val="0031723F"/>
    <w:rsid w:val="003306CE"/>
    <w:rsid w:val="003333F0"/>
    <w:rsid w:val="00337195"/>
    <w:rsid w:val="00346218"/>
    <w:rsid w:val="00350495"/>
    <w:rsid w:val="00352782"/>
    <w:rsid w:val="003558D6"/>
    <w:rsid w:val="00361450"/>
    <w:rsid w:val="003651B6"/>
    <w:rsid w:val="003673CF"/>
    <w:rsid w:val="00373C09"/>
    <w:rsid w:val="00373EA5"/>
    <w:rsid w:val="00374100"/>
    <w:rsid w:val="00375636"/>
    <w:rsid w:val="00381777"/>
    <w:rsid w:val="003845C1"/>
    <w:rsid w:val="003A6F89"/>
    <w:rsid w:val="003B3135"/>
    <w:rsid w:val="003B38C1"/>
    <w:rsid w:val="003C6B19"/>
    <w:rsid w:val="003D144A"/>
    <w:rsid w:val="003D4844"/>
    <w:rsid w:val="003E1392"/>
    <w:rsid w:val="003E2A86"/>
    <w:rsid w:val="003E5833"/>
    <w:rsid w:val="003E5B9D"/>
    <w:rsid w:val="003F613B"/>
    <w:rsid w:val="00401142"/>
    <w:rsid w:val="00403790"/>
    <w:rsid w:val="0041001F"/>
    <w:rsid w:val="00410621"/>
    <w:rsid w:val="004177C5"/>
    <w:rsid w:val="00417C9E"/>
    <w:rsid w:val="004202B6"/>
    <w:rsid w:val="004235E1"/>
    <w:rsid w:val="00423E3E"/>
    <w:rsid w:val="004245AC"/>
    <w:rsid w:val="00427AF4"/>
    <w:rsid w:val="0043552C"/>
    <w:rsid w:val="004375EF"/>
    <w:rsid w:val="00445410"/>
    <w:rsid w:val="00450B59"/>
    <w:rsid w:val="0046080E"/>
    <w:rsid w:val="00461D05"/>
    <w:rsid w:val="004647DA"/>
    <w:rsid w:val="00465797"/>
    <w:rsid w:val="00474062"/>
    <w:rsid w:val="00476942"/>
    <w:rsid w:val="00477D6B"/>
    <w:rsid w:val="00482862"/>
    <w:rsid w:val="00484901"/>
    <w:rsid w:val="0049441E"/>
    <w:rsid w:val="00497B02"/>
    <w:rsid w:val="004A1E14"/>
    <w:rsid w:val="004B02C3"/>
    <w:rsid w:val="004C3CE5"/>
    <w:rsid w:val="004C4279"/>
    <w:rsid w:val="004C4411"/>
    <w:rsid w:val="004C47FC"/>
    <w:rsid w:val="004C594C"/>
    <w:rsid w:val="004C5DA2"/>
    <w:rsid w:val="004D129B"/>
    <w:rsid w:val="004F6DF5"/>
    <w:rsid w:val="005019FF"/>
    <w:rsid w:val="005045E7"/>
    <w:rsid w:val="005056A1"/>
    <w:rsid w:val="00511661"/>
    <w:rsid w:val="00511974"/>
    <w:rsid w:val="00511D7E"/>
    <w:rsid w:val="00513B37"/>
    <w:rsid w:val="00517162"/>
    <w:rsid w:val="00517365"/>
    <w:rsid w:val="0051793A"/>
    <w:rsid w:val="00520987"/>
    <w:rsid w:val="0052645E"/>
    <w:rsid w:val="00530547"/>
    <w:rsid w:val="0053057A"/>
    <w:rsid w:val="005342A9"/>
    <w:rsid w:val="0053669E"/>
    <w:rsid w:val="005367E7"/>
    <w:rsid w:val="005371E6"/>
    <w:rsid w:val="005375DC"/>
    <w:rsid w:val="005428C9"/>
    <w:rsid w:val="00545480"/>
    <w:rsid w:val="005454CD"/>
    <w:rsid w:val="005456CF"/>
    <w:rsid w:val="0055797E"/>
    <w:rsid w:val="0056019B"/>
    <w:rsid w:val="00560A29"/>
    <w:rsid w:val="00571B3C"/>
    <w:rsid w:val="00572C50"/>
    <w:rsid w:val="00572CAB"/>
    <w:rsid w:val="00582097"/>
    <w:rsid w:val="00583C53"/>
    <w:rsid w:val="00585336"/>
    <w:rsid w:val="00597848"/>
    <w:rsid w:val="005A172D"/>
    <w:rsid w:val="005B0853"/>
    <w:rsid w:val="005B11F1"/>
    <w:rsid w:val="005B3C7A"/>
    <w:rsid w:val="005B50D4"/>
    <w:rsid w:val="005B7568"/>
    <w:rsid w:val="005C383A"/>
    <w:rsid w:val="005C6649"/>
    <w:rsid w:val="005D0849"/>
    <w:rsid w:val="005D31C3"/>
    <w:rsid w:val="005E2009"/>
    <w:rsid w:val="005E4C5C"/>
    <w:rsid w:val="005E799A"/>
    <w:rsid w:val="005F2CF5"/>
    <w:rsid w:val="00603028"/>
    <w:rsid w:val="00605827"/>
    <w:rsid w:val="00610221"/>
    <w:rsid w:val="00611867"/>
    <w:rsid w:val="00611987"/>
    <w:rsid w:val="00613C99"/>
    <w:rsid w:val="006166AD"/>
    <w:rsid w:val="00616F75"/>
    <w:rsid w:val="00620560"/>
    <w:rsid w:val="00622E8E"/>
    <w:rsid w:val="0062784B"/>
    <w:rsid w:val="00640082"/>
    <w:rsid w:val="00646050"/>
    <w:rsid w:val="00646181"/>
    <w:rsid w:val="00651B39"/>
    <w:rsid w:val="00656733"/>
    <w:rsid w:val="00656E99"/>
    <w:rsid w:val="006601F4"/>
    <w:rsid w:val="00661DD3"/>
    <w:rsid w:val="006644FF"/>
    <w:rsid w:val="006713CA"/>
    <w:rsid w:val="006726DF"/>
    <w:rsid w:val="006766A7"/>
    <w:rsid w:val="00676C5C"/>
    <w:rsid w:val="006861AD"/>
    <w:rsid w:val="0069066E"/>
    <w:rsid w:val="006916BC"/>
    <w:rsid w:val="0069391F"/>
    <w:rsid w:val="006956D4"/>
    <w:rsid w:val="006A5A26"/>
    <w:rsid w:val="006B5AB0"/>
    <w:rsid w:val="006B77F9"/>
    <w:rsid w:val="006B7929"/>
    <w:rsid w:val="006B7B68"/>
    <w:rsid w:val="006C285E"/>
    <w:rsid w:val="006C6AAD"/>
    <w:rsid w:val="006C6D91"/>
    <w:rsid w:val="006D081C"/>
    <w:rsid w:val="006D3AD2"/>
    <w:rsid w:val="006D5F74"/>
    <w:rsid w:val="006E3C70"/>
    <w:rsid w:val="006E60F6"/>
    <w:rsid w:val="006F52FF"/>
    <w:rsid w:val="006F7496"/>
    <w:rsid w:val="00703430"/>
    <w:rsid w:val="00707D36"/>
    <w:rsid w:val="00713832"/>
    <w:rsid w:val="00716C2E"/>
    <w:rsid w:val="00717B47"/>
    <w:rsid w:val="007257DE"/>
    <w:rsid w:val="00731B01"/>
    <w:rsid w:val="00736C15"/>
    <w:rsid w:val="007448CF"/>
    <w:rsid w:val="00754813"/>
    <w:rsid w:val="00761013"/>
    <w:rsid w:val="0076116D"/>
    <w:rsid w:val="007652D3"/>
    <w:rsid w:val="00767182"/>
    <w:rsid w:val="0077451F"/>
    <w:rsid w:val="00777C94"/>
    <w:rsid w:val="00782DD2"/>
    <w:rsid w:val="00784A13"/>
    <w:rsid w:val="00785D7F"/>
    <w:rsid w:val="007907BE"/>
    <w:rsid w:val="00791AC0"/>
    <w:rsid w:val="007A0F4B"/>
    <w:rsid w:val="007A1190"/>
    <w:rsid w:val="007A23EF"/>
    <w:rsid w:val="007A4161"/>
    <w:rsid w:val="007A56BA"/>
    <w:rsid w:val="007B0983"/>
    <w:rsid w:val="007B13D7"/>
    <w:rsid w:val="007C261B"/>
    <w:rsid w:val="007C30D3"/>
    <w:rsid w:val="007C3BCD"/>
    <w:rsid w:val="007D1613"/>
    <w:rsid w:val="007D271A"/>
    <w:rsid w:val="007D4F65"/>
    <w:rsid w:val="007E152B"/>
    <w:rsid w:val="007E3DB7"/>
    <w:rsid w:val="007E3DEA"/>
    <w:rsid w:val="007E7DAB"/>
    <w:rsid w:val="007F188B"/>
    <w:rsid w:val="007F1E05"/>
    <w:rsid w:val="007F2974"/>
    <w:rsid w:val="00805D47"/>
    <w:rsid w:val="00812ACF"/>
    <w:rsid w:val="00824C70"/>
    <w:rsid w:val="0083252C"/>
    <w:rsid w:val="0083577D"/>
    <w:rsid w:val="00836C9F"/>
    <w:rsid w:val="0084019D"/>
    <w:rsid w:val="00840EAF"/>
    <w:rsid w:val="00845876"/>
    <w:rsid w:val="00850AB4"/>
    <w:rsid w:val="00853E4C"/>
    <w:rsid w:val="008558CD"/>
    <w:rsid w:val="008671C7"/>
    <w:rsid w:val="008753B7"/>
    <w:rsid w:val="008754C4"/>
    <w:rsid w:val="008843F7"/>
    <w:rsid w:val="00891C8C"/>
    <w:rsid w:val="00892CD4"/>
    <w:rsid w:val="00893D03"/>
    <w:rsid w:val="008A5896"/>
    <w:rsid w:val="008A6397"/>
    <w:rsid w:val="008A74D8"/>
    <w:rsid w:val="008A78A9"/>
    <w:rsid w:val="008B2CC1"/>
    <w:rsid w:val="008B58C5"/>
    <w:rsid w:val="008B60B2"/>
    <w:rsid w:val="008B7FB6"/>
    <w:rsid w:val="008C2F88"/>
    <w:rsid w:val="008D2E95"/>
    <w:rsid w:val="008D5E88"/>
    <w:rsid w:val="008D6B5A"/>
    <w:rsid w:val="008E053C"/>
    <w:rsid w:val="008E65FB"/>
    <w:rsid w:val="008F030D"/>
    <w:rsid w:val="009040E2"/>
    <w:rsid w:val="0090731E"/>
    <w:rsid w:val="009074EA"/>
    <w:rsid w:val="00910004"/>
    <w:rsid w:val="0091074A"/>
    <w:rsid w:val="00912D7E"/>
    <w:rsid w:val="00916EE2"/>
    <w:rsid w:val="0092199F"/>
    <w:rsid w:val="00924CB0"/>
    <w:rsid w:val="00927CAE"/>
    <w:rsid w:val="00931A71"/>
    <w:rsid w:val="00932A5B"/>
    <w:rsid w:val="009516EA"/>
    <w:rsid w:val="009604A8"/>
    <w:rsid w:val="00966890"/>
    <w:rsid w:val="00966A22"/>
    <w:rsid w:val="0096722F"/>
    <w:rsid w:val="00980843"/>
    <w:rsid w:val="00985AE3"/>
    <w:rsid w:val="00986C5A"/>
    <w:rsid w:val="0099041D"/>
    <w:rsid w:val="009929DE"/>
    <w:rsid w:val="00992B8B"/>
    <w:rsid w:val="00992D0C"/>
    <w:rsid w:val="0099438E"/>
    <w:rsid w:val="009944AB"/>
    <w:rsid w:val="00994B55"/>
    <w:rsid w:val="009959AF"/>
    <w:rsid w:val="009A3B7A"/>
    <w:rsid w:val="009A56D4"/>
    <w:rsid w:val="009A5997"/>
    <w:rsid w:val="009A6282"/>
    <w:rsid w:val="009B6C8C"/>
    <w:rsid w:val="009C53E2"/>
    <w:rsid w:val="009C63E7"/>
    <w:rsid w:val="009D2695"/>
    <w:rsid w:val="009D2AA7"/>
    <w:rsid w:val="009D47F6"/>
    <w:rsid w:val="009E2373"/>
    <w:rsid w:val="009E2791"/>
    <w:rsid w:val="009E3F6F"/>
    <w:rsid w:val="009E659F"/>
    <w:rsid w:val="009E6A37"/>
    <w:rsid w:val="009F0025"/>
    <w:rsid w:val="009F3043"/>
    <w:rsid w:val="009F499F"/>
    <w:rsid w:val="009F4CC2"/>
    <w:rsid w:val="00A0009C"/>
    <w:rsid w:val="00A0168C"/>
    <w:rsid w:val="00A01897"/>
    <w:rsid w:val="00A02910"/>
    <w:rsid w:val="00A12500"/>
    <w:rsid w:val="00A13EE3"/>
    <w:rsid w:val="00A1732B"/>
    <w:rsid w:val="00A177D3"/>
    <w:rsid w:val="00A21927"/>
    <w:rsid w:val="00A23D8A"/>
    <w:rsid w:val="00A42D74"/>
    <w:rsid w:val="00A42DAF"/>
    <w:rsid w:val="00A430D9"/>
    <w:rsid w:val="00A45BD8"/>
    <w:rsid w:val="00A5375D"/>
    <w:rsid w:val="00A54F25"/>
    <w:rsid w:val="00A57769"/>
    <w:rsid w:val="00A57F96"/>
    <w:rsid w:val="00A71AAA"/>
    <w:rsid w:val="00A732C6"/>
    <w:rsid w:val="00A73D1B"/>
    <w:rsid w:val="00A74A6B"/>
    <w:rsid w:val="00A77E14"/>
    <w:rsid w:val="00A81870"/>
    <w:rsid w:val="00A832FC"/>
    <w:rsid w:val="00A84CB3"/>
    <w:rsid w:val="00A869B7"/>
    <w:rsid w:val="00A87BB8"/>
    <w:rsid w:val="00A90C28"/>
    <w:rsid w:val="00A923B9"/>
    <w:rsid w:val="00A93823"/>
    <w:rsid w:val="00A97B48"/>
    <w:rsid w:val="00AB12FB"/>
    <w:rsid w:val="00AB5611"/>
    <w:rsid w:val="00AC068F"/>
    <w:rsid w:val="00AC07C0"/>
    <w:rsid w:val="00AC1225"/>
    <w:rsid w:val="00AC1B2E"/>
    <w:rsid w:val="00AC205C"/>
    <w:rsid w:val="00AC2965"/>
    <w:rsid w:val="00AD0492"/>
    <w:rsid w:val="00AD4BEE"/>
    <w:rsid w:val="00AD5B1F"/>
    <w:rsid w:val="00AE75B1"/>
    <w:rsid w:val="00AF0A2B"/>
    <w:rsid w:val="00AF0A6B"/>
    <w:rsid w:val="00AF39E8"/>
    <w:rsid w:val="00AF5B08"/>
    <w:rsid w:val="00AF656F"/>
    <w:rsid w:val="00AF7468"/>
    <w:rsid w:val="00B05A69"/>
    <w:rsid w:val="00B22ECE"/>
    <w:rsid w:val="00B248D7"/>
    <w:rsid w:val="00B352AA"/>
    <w:rsid w:val="00B4161B"/>
    <w:rsid w:val="00B4750F"/>
    <w:rsid w:val="00B5215E"/>
    <w:rsid w:val="00B5262E"/>
    <w:rsid w:val="00B532F1"/>
    <w:rsid w:val="00B64B91"/>
    <w:rsid w:val="00B66E59"/>
    <w:rsid w:val="00B66E89"/>
    <w:rsid w:val="00B85E2E"/>
    <w:rsid w:val="00B860C6"/>
    <w:rsid w:val="00B87F6E"/>
    <w:rsid w:val="00B87FAD"/>
    <w:rsid w:val="00B92FF8"/>
    <w:rsid w:val="00B9430B"/>
    <w:rsid w:val="00B94C3E"/>
    <w:rsid w:val="00B94DD1"/>
    <w:rsid w:val="00B9734B"/>
    <w:rsid w:val="00BA664E"/>
    <w:rsid w:val="00BB17C8"/>
    <w:rsid w:val="00BC11D9"/>
    <w:rsid w:val="00BC3598"/>
    <w:rsid w:val="00BE6033"/>
    <w:rsid w:val="00BE79B1"/>
    <w:rsid w:val="00BF15C7"/>
    <w:rsid w:val="00BF2338"/>
    <w:rsid w:val="00BF522C"/>
    <w:rsid w:val="00C015C1"/>
    <w:rsid w:val="00C073D1"/>
    <w:rsid w:val="00C11BFE"/>
    <w:rsid w:val="00C16A7C"/>
    <w:rsid w:val="00C172FF"/>
    <w:rsid w:val="00C234BB"/>
    <w:rsid w:val="00C24327"/>
    <w:rsid w:val="00C277B0"/>
    <w:rsid w:val="00C278C7"/>
    <w:rsid w:val="00C343AF"/>
    <w:rsid w:val="00C36834"/>
    <w:rsid w:val="00C3725B"/>
    <w:rsid w:val="00C5604A"/>
    <w:rsid w:val="00C5672B"/>
    <w:rsid w:val="00C62DA1"/>
    <w:rsid w:val="00C65076"/>
    <w:rsid w:val="00C7075A"/>
    <w:rsid w:val="00C73B54"/>
    <w:rsid w:val="00C759E1"/>
    <w:rsid w:val="00C75B46"/>
    <w:rsid w:val="00C76E73"/>
    <w:rsid w:val="00C818F2"/>
    <w:rsid w:val="00C907E8"/>
    <w:rsid w:val="00C90F37"/>
    <w:rsid w:val="00C93098"/>
    <w:rsid w:val="00C9761E"/>
    <w:rsid w:val="00CA04EB"/>
    <w:rsid w:val="00CA053D"/>
    <w:rsid w:val="00CA4785"/>
    <w:rsid w:val="00CA7149"/>
    <w:rsid w:val="00CA7746"/>
    <w:rsid w:val="00CB03EB"/>
    <w:rsid w:val="00CB05E0"/>
    <w:rsid w:val="00CB550F"/>
    <w:rsid w:val="00CC0A5A"/>
    <w:rsid w:val="00CC162F"/>
    <w:rsid w:val="00CC4E81"/>
    <w:rsid w:val="00CD1800"/>
    <w:rsid w:val="00CD2228"/>
    <w:rsid w:val="00CD2250"/>
    <w:rsid w:val="00CD3B25"/>
    <w:rsid w:val="00CD728A"/>
    <w:rsid w:val="00CE05A6"/>
    <w:rsid w:val="00D012AD"/>
    <w:rsid w:val="00D06510"/>
    <w:rsid w:val="00D107D4"/>
    <w:rsid w:val="00D11513"/>
    <w:rsid w:val="00D12F49"/>
    <w:rsid w:val="00D168C6"/>
    <w:rsid w:val="00D337A7"/>
    <w:rsid w:val="00D4215C"/>
    <w:rsid w:val="00D44E92"/>
    <w:rsid w:val="00D45252"/>
    <w:rsid w:val="00D45E1F"/>
    <w:rsid w:val="00D50C51"/>
    <w:rsid w:val="00D50FFC"/>
    <w:rsid w:val="00D5795C"/>
    <w:rsid w:val="00D629A8"/>
    <w:rsid w:val="00D6405C"/>
    <w:rsid w:val="00D71B4D"/>
    <w:rsid w:val="00D71E80"/>
    <w:rsid w:val="00D721E6"/>
    <w:rsid w:val="00D73B96"/>
    <w:rsid w:val="00D762E1"/>
    <w:rsid w:val="00D85698"/>
    <w:rsid w:val="00D9120D"/>
    <w:rsid w:val="00D91B6D"/>
    <w:rsid w:val="00D93D55"/>
    <w:rsid w:val="00D944C6"/>
    <w:rsid w:val="00D967DA"/>
    <w:rsid w:val="00DB0C7F"/>
    <w:rsid w:val="00DC35AB"/>
    <w:rsid w:val="00DC46BA"/>
    <w:rsid w:val="00DC76D0"/>
    <w:rsid w:val="00DD4024"/>
    <w:rsid w:val="00DD64A4"/>
    <w:rsid w:val="00DE65E4"/>
    <w:rsid w:val="00DE6A3B"/>
    <w:rsid w:val="00E00F56"/>
    <w:rsid w:val="00E0304B"/>
    <w:rsid w:val="00E07AC2"/>
    <w:rsid w:val="00E15BDB"/>
    <w:rsid w:val="00E17970"/>
    <w:rsid w:val="00E200A2"/>
    <w:rsid w:val="00E2611A"/>
    <w:rsid w:val="00E335FE"/>
    <w:rsid w:val="00E35FA5"/>
    <w:rsid w:val="00E40D96"/>
    <w:rsid w:val="00E43669"/>
    <w:rsid w:val="00E47666"/>
    <w:rsid w:val="00E51DA6"/>
    <w:rsid w:val="00E543EE"/>
    <w:rsid w:val="00E65B9B"/>
    <w:rsid w:val="00E67B33"/>
    <w:rsid w:val="00E90323"/>
    <w:rsid w:val="00E91D11"/>
    <w:rsid w:val="00EA016E"/>
    <w:rsid w:val="00EA1CEF"/>
    <w:rsid w:val="00EB0034"/>
    <w:rsid w:val="00EC4E49"/>
    <w:rsid w:val="00EC5340"/>
    <w:rsid w:val="00ED3330"/>
    <w:rsid w:val="00ED77FB"/>
    <w:rsid w:val="00EE021F"/>
    <w:rsid w:val="00EE45FA"/>
    <w:rsid w:val="00EE4D2D"/>
    <w:rsid w:val="00EF4BBD"/>
    <w:rsid w:val="00EF5F08"/>
    <w:rsid w:val="00F01DED"/>
    <w:rsid w:val="00F03A64"/>
    <w:rsid w:val="00F1492B"/>
    <w:rsid w:val="00F16585"/>
    <w:rsid w:val="00F22343"/>
    <w:rsid w:val="00F22F06"/>
    <w:rsid w:val="00F230F1"/>
    <w:rsid w:val="00F2335C"/>
    <w:rsid w:val="00F25AB5"/>
    <w:rsid w:val="00F306B8"/>
    <w:rsid w:val="00F3092E"/>
    <w:rsid w:val="00F311CD"/>
    <w:rsid w:val="00F32FDB"/>
    <w:rsid w:val="00F33D45"/>
    <w:rsid w:val="00F343A0"/>
    <w:rsid w:val="00F3602C"/>
    <w:rsid w:val="00F47246"/>
    <w:rsid w:val="00F50008"/>
    <w:rsid w:val="00F538D9"/>
    <w:rsid w:val="00F640E1"/>
    <w:rsid w:val="00F66152"/>
    <w:rsid w:val="00F70171"/>
    <w:rsid w:val="00F70CF7"/>
    <w:rsid w:val="00F76A1B"/>
    <w:rsid w:val="00F77A10"/>
    <w:rsid w:val="00F826ED"/>
    <w:rsid w:val="00F9034C"/>
    <w:rsid w:val="00F97667"/>
    <w:rsid w:val="00FA023D"/>
    <w:rsid w:val="00FA4164"/>
    <w:rsid w:val="00FA7368"/>
    <w:rsid w:val="00FB0A2C"/>
    <w:rsid w:val="00FB3F63"/>
    <w:rsid w:val="00FB511D"/>
    <w:rsid w:val="00FC12E3"/>
    <w:rsid w:val="00FC724D"/>
    <w:rsid w:val="00FD4FAB"/>
    <w:rsid w:val="00FD576E"/>
    <w:rsid w:val="00FD6AA5"/>
    <w:rsid w:val="00FE1763"/>
    <w:rsid w:val="00FE33BA"/>
    <w:rsid w:val="00FE46F6"/>
    <w:rsid w:val="00FE5DB0"/>
    <w:rsid w:val="00FE5F59"/>
    <w:rsid w:val="00FF06B1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LightList-Accent51">
    <w:name w:val="Light List - Accent 5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D5F74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9B6C8C"/>
    <w:pPr>
      <w:ind w:left="720"/>
      <w:contextualSpacing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52645E"/>
    <w:pPr>
      <w:ind w:left="567"/>
    </w:pPr>
  </w:style>
  <w:style w:type="paragraph" w:customStyle="1" w:styleId="Meetingdateplace">
    <w:name w:val="Meeting date &amp; place"/>
    <w:basedOn w:val="Normal"/>
    <w:next w:val="Normal"/>
    <w:rsid w:val="00104A38"/>
    <w:pPr>
      <w:spacing w:line="240" w:lineRule="atLeast"/>
      <w:ind w:left="1021"/>
    </w:pPr>
    <w:rPr>
      <w:rFonts w:eastAsia="Times New Roman" w:cs="Times New Roman"/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LightList-Accent51">
    <w:name w:val="Light List - Accent 5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D5F74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9B6C8C"/>
    <w:pPr>
      <w:ind w:left="720"/>
      <w:contextualSpacing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52645E"/>
    <w:pPr>
      <w:ind w:left="567"/>
    </w:pPr>
  </w:style>
  <w:style w:type="paragraph" w:customStyle="1" w:styleId="Meetingdateplace">
    <w:name w:val="Meeting date &amp; place"/>
    <w:basedOn w:val="Normal"/>
    <w:next w:val="Normal"/>
    <w:rsid w:val="00104A38"/>
    <w:pPr>
      <w:spacing w:line="240" w:lineRule="atLeast"/>
      <w:ind w:left="1021"/>
    </w:pPr>
    <w:rPr>
      <w:rFonts w:eastAsia="Times New Roman" w:cs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F74BC-46CC-4766-8E69-DD90FD89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1918</Words>
  <Characters>10650</Characters>
  <Application>Microsoft Office Word</Application>
  <DocSecurity>0</DocSecurity>
  <Lines>161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 Oluwatobiloba</dc:creator>
  <cp:keywords>ST</cp:keywords>
  <cp:lastModifiedBy>COUTURE Sébastien</cp:lastModifiedBy>
  <cp:revision>4</cp:revision>
  <cp:lastPrinted>2018-03-23T16:32:00Z</cp:lastPrinted>
  <dcterms:created xsi:type="dcterms:W3CDTF">2018-03-26T15:11:00Z</dcterms:created>
  <dcterms:modified xsi:type="dcterms:W3CDTF">2018-03-26T15:21:00Z</dcterms:modified>
</cp:coreProperties>
</file>