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216CE" w14:textId="2A5B49EF" w:rsidR="0039715D" w:rsidRPr="00AC1BD2" w:rsidRDefault="007C4FC7" w:rsidP="00243A34">
      <w:pPr>
        <w:tabs>
          <w:tab w:val="left" w:pos="567"/>
        </w:tabs>
        <w:ind w:left="-360"/>
        <w:jc w:val="center"/>
        <w:rPr>
          <w:rFonts w:cs="Arial"/>
          <w:b/>
          <w:szCs w:val="22"/>
        </w:rPr>
      </w:pPr>
      <w:r w:rsidRPr="00AC1BD2">
        <w:rPr>
          <w:rFonts w:cs="Arial"/>
          <w:b/>
          <w:szCs w:val="22"/>
        </w:rPr>
        <w:t>Note d</w:t>
      </w:r>
      <w:r w:rsidR="00025CB1" w:rsidRPr="00AC1BD2">
        <w:rPr>
          <w:rFonts w:cs="Arial"/>
          <w:b/>
          <w:szCs w:val="22"/>
        </w:rPr>
        <w:t>’</w:t>
      </w:r>
      <w:r w:rsidRPr="00AC1BD2">
        <w:rPr>
          <w:rFonts w:cs="Arial"/>
          <w:b/>
          <w:szCs w:val="22"/>
        </w:rPr>
        <w:t>information</w:t>
      </w:r>
    </w:p>
    <w:p w14:paraId="51718FBC" w14:textId="5E6825E7" w:rsidR="0039715D" w:rsidRPr="00AC1BD2" w:rsidRDefault="007C4FC7" w:rsidP="00243A34">
      <w:pPr>
        <w:tabs>
          <w:tab w:val="left" w:pos="567"/>
        </w:tabs>
        <w:ind w:left="-360"/>
        <w:jc w:val="center"/>
        <w:rPr>
          <w:rFonts w:cs="Arial"/>
          <w:b/>
          <w:szCs w:val="22"/>
        </w:rPr>
      </w:pPr>
      <w:proofErr w:type="gramStart"/>
      <w:r w:rsidRPr="00AC1BD2">
        <w:rPr>
          <w:rFonts w:cs="Arial"/>
          <w:b/>
          <w:szCs w:val="22"/>
        </w:rPr>
        <w:t>en</w:t>
      </w:r>
      <w:proofErr w:type="gramEnd"/>
      <w:r w:rsidRPr="00AC1BD2">
        <w:rPr>
          <w:rFonts w:cs="Arial"/>
          <w:b/>
          <w:szCs w:val="22"/>
        </w:rPr>
        <w:t xml:space="preserve"> vue de la trente</w:t>
      </w:r>
      <w:r w:rsidR="00243A34" w:rsidRPr="00AC1BD2">
        <w:rPr>
          <w:rFonts w:cs="Arial"/>
          <w:b/>
          <w:szCs w:val="22"/>
        </w:rPr>
        <w:noBreakHyphen/>
      </w:r>
      <w:r w:rsidRPr="00AC1BD2">
        <w:rPr>
          <w:rFonts w:cs="Arial"/>
          <w:b/>
          <w:szCs w:val="22"/>
        </w:rPr>
        <w:t>deuxième session de l</w:t>
      </w:r>
      <w:r w:rsidR="00025CB1" w:rsidRPr="00AC1BD2">
        <w:rPr>
          <w:rFonts w:cs="Arial"/>
          <w:b/>
          <w:szCs w:val="22"/>
        </w:rPr>
        <w:t>’</w:t>
      </w:r>
      <w:r w:rsidRPr="00AC1BD2">
        <w:rPr>
          <w:rFonts w:cs="Arial"/>
          <w:b/>
          <w:szCs w:val="22"/>
        </w:rPr>
        <w:t>IGC</w:t>
      </w:r>
    </w:p>
    <w:p w14:paraId="0CA40F9E" w14:textId="77777777" w:rsidR="0039715D" w:rsidRPr="00AC1BD2" w:rsidRDefault="0039715D" w:rsidP="00243A34">
      <w:pPr>
        <w:tabs>
          <w:tab w:val="left" w:pos="567"/>
        </w:tabs>
        <w:ind w:left="-360"/>
        <w:jc w:val="center"/>
        <w:rPr>
          <w:rFonts w:cs="Arial"/>
          <w:szCs w:val="22"/>
        </w:rPr>
      </w:pPr>
    </w:p>
    <w:p w14:paraId="1C23178E" w14:textId="6FE8EAC2" w:rsidR="0039715D" w:rsidRPr="00AC1BD2" w:rsidRDefault="001D5BA4" w:rsidP="00243A34">
      <w:pPr>
        <w:tabs>
          <w:tab w:val="left" w:pos="567"/>
        </w:tabs>
        <w:ind w:left="-360"/>
        <w:jc w:val="center"/>
        <w:rPr>
          <w:rFonts w:cs="Arial"/>
          <w:szCs w:val="22"/>
        </w:rPr>
      </w:pPr>
      <w:proofErr w:type="gramStart"/>
      <w:r w:rsidRPr="00AC1BD2">
        <w:rPr>
          <w:rFonts w:cs="Arial"/>
          <w:szCs w:val="22"/>
        </w:rPr>
        <w:t>établie</w:t>
      </w:r>
      <w:proofErr w:type="gramEnd"/>
      <w:r w:rsidRPr="00AC1BD2">
        <w:rPr>
          <w:rFonts w:cs="Arial"/>
          <w:szCs w:val="22"/>
        </w:rPr>
        <w:t xml:space="preserve"> </w:t>
      </w:r>
      <w:r w:rsidR="007C4FC7" w:rsidRPr="00AC1BD2">
        <w:rPr>
          <w:rFonts w:cs="Arial"/>
          <w:szCs w:val="22"/>
        </w:rPr>
        <w:t>par M</w:t>
      </w:r>
      <w:r w:rsidR="00872695" w:rsidRPr="00AC1BD2">
        <w:rPr>
          <w:rFonts w:cs="Arial"/>
          <w:szCs w:val="22"/>
        </w:rPr>
        <w:t>.</w:t>
      </w:r>
      <w:r w:rsidR="00197E51" w:rsidRPr="00AC1BD2">
        <w:rPr>
          <w:rFonts w:cs="Arial"/>
          <w:szCs w:val="22"/>
        </w:rPr>
        <w:t> </w:t>
      </w:r>
      <w:r w:rsidR="007C4FC7" w:rsidRPr="00AC1BD2">
        <w:rPr>
          <w:rFonts w:cs="Arial"/>
          <w:szCs w:val="22"/>
        </w:rPr>
        <w:t>Ian</w:t>
      </w:r>
      <w:r w:rsidR="00BD0A6E" w:rsidRPr="00AC1BD2">
        <w:rPr>
          <w:rFonts w:cs="Arial"/>
          <w:szCs w:val="22"/>
        </w:rPr>
        <w:t> </w:t>
      </w:r>
      <w:proofErr w:type="spellStart"/>
      <w:r w:rsidR="007C4FC7" w:rsidRPr="00AC1BD2">
        <w:rPr>
          <w:rFonts w:cs="Arial"/>
          <w:szCs w:val="22"/>
        </w:rPr>
        <w:t>Goss</w:t>
      </w:r>
      <w:proofErr w:type="spellEnd"/>
      <w:r w:rsidR="007C4FC7" w:rsidRPr="00AC1BD2">
        <w:rPr>
          <w:rFonts w:cs="Arial"/>
          <w:szCs w:val="22"/>
        </w:rPr>
        <w:t>, président de l</w:t>
      </w:r>
      <w:r w:rsidR="00025CB1" w:rsidRPr="00AC1BD2">
        <w:rPr>
          <w:rFonts w:cs="Arial"/>
          <w:szCs w:val="22"/>
        </w:rPr>
        <w:t>’</w:t>
      </w:r>
      <w:r w:rsidR="007C4FC7" w:rsidRPr="00AC1BD2">
        <w:rPr>
          <w:rFonts w:cs="Arial"/>
          <w:szCs w:val="22"/>
        </w:rPr>
        <w:t>IGC</w:t>
      </w:r>
    </w:p>
    <w:p w14:paraId="094B6E1E" w14:textId="77777777" w:rsidR="0039715D" w:rsidRPr="00AC1BD2" w:rsidRDefault="0039715D" w:rsidP="00243A34">
      <w:pPr>
        <w:tabs>
          <w:tab w:val="left" w:pos="567"/>
        </w:tabs>
        <w:ind w:left="-360"/>
        <w:jc w:val="center"/>
        <w:rPr>
          <w:rFonts w:cs="Arial"/>
          <w:szCs w:val="22"/>
        </w:rPr>
      </w:pPr>
    </w:p>
    <w:p w14:paraId="0CBFB658" w14:textId="286A6A64" w:rsidR="0039715D" w:rsidRPr="00AC1BD2" w:rsidRDefault="00025CB1" w:rsidP="00243A34">
      <w:pPr>
        <w:tabs>
          <w:tab w:val="left" w:pos="567"/>
        </w:tabs>
        <w:ind w:left="-360"/>
        <w:jc w:val="center"/>
        <w:rPr>
          <w:rFonts w:cs="Arial"/>
          <w:szCs w:val="22"/>
        </w:rPr>
      </w:pPr>
      <w:r w:rsidRPr="00AC1BD2">
        <w:rPr>
          <w:rFonts w:cs="Arial"/>
          <w:szCs w:val="22"/>
        </w:rPr>
        <w:t>3 novembre 20</w:t>
      </w:r>
      <w:r w:rsidR="00513BD3" w:rsidRPr="00AC1BD2">
        <w:rPr>
          <w:rFonts w:cs="Arial"/>
          <w:szCs w:val="22"/>
        </w:rPr>
        <w:t>16</w:t>
      </w:r>
    </w:p>
    <w:p w14:paraId="5FE614CB" w14:textId="2DCC2BF9" w:rsidR="0039715D" w:rsidRPr="00AC1BD2" w:rsidRDefault="0039715D" w:rsidP="00243A34">
      <w:pPr>
        <w:tabs>
          <w:tab w:val="left" w:pos="567"/>
        </w:tabs>
      </w:pPr>
    </w:p>
    <w:p w14:paraId="4CCE4E31" w14:textId="77777777" w:rsidR="00B506EC" w:rsidRPr="00AC1BD2" w:rsidRDefault="00B506EC" w:rsidP="00243A34">
      <w:pPr>
        <w:tabs>
          <w:tab w:val="left" w:pos="567"/>
        </w:tabs>
      </w:pPr>
    </w:p>
    <w:p w14:paraId="7B6EC68E" w14:textId="77777777" w:rsidR="0039715D" w:rsidRPr="00AC1BD2" w:rsidRDefault="007C4FC7" w:rsidP="00243A34">
      <w:pPr>
        <w:tabs>
          <w:tab w:val="left" w:pos="567"/>
        </w:tabs>
        <w:rPr>
          <w:rFonts w:cs="Arial"/>
          <w:b/>
          <w:szCs w:val="22"/>
        </w:rPr>
      </w:pPr>
      <w:r w:rsidRPr="00AC1BD2">
        <w:rPr>
          <w:rFonts w:cs="Arial"/>
          <w:b/>
          <w:szCs w:val="22"/>
        </w:rPr>
        <w:t>Introduction</w:t>
      </w:r>
    </w:p>
    <w:p w14:paraId="63C43CAE" w14:textId="77777777" w:rsidR="0039715D" w:rsidRPr="00AC1BD2" w:rsidRDefault="0039715D" w:rsidP="00243A34">
      <w:pPr>
        <w:tabs>
          <w:tab w:val="left" w:pos="567"/>
        </w:tabs>
        <w:rPr>
          <w:rFonts w:cs="Arial"/>
          <w:szCs w:val="22"/>
        </w:rPr>
      </w:pPr>
    </w:p>
    <w:p w14:paraId="3B9FD84A" w14:textId="51F6B832" w:rsidR="0039715D" w:rsidRPr="00AC1BD2" w:rsidRDefault="00033104" w:rsidP="00C37157">
      <w:pPr>
        <w:pStyle w:val="ONUMFS"/>
      </w:pPr>
      <w:r w:rsidRPr="00AC1BD2">
        <w:t>Afin d</w:t>
      </w:r>
      <w:r w:rsidR="00025CB1" w:rsidRPr="00AC1BD2">
        <w:t>’</w:t>
      </w:r>
      <w:r w:rsidRPr="00AC1BD2">
        <w:t>aider les États membre</w:t>
      </w:r>
      <w:r w:rsidR="00C50B8A" w:rsidRPr="00AC1BD2">
        <w:t>s</w:t>
      </w:r>
      <w:r w:rsidRPr="00AC1BD2">
        <w:t xml:space="preserve"> à préparer la trente</w:t>
      </w:r>
      <w:r w:rsidR="00243A34" w:rsidRPr="00AC1BD2">
        <w:noBreakHyphen/>
      </w:r>
      <w:r w:rsidRPr="00AC1BD2">
        <w:t>deuxième</w:t>
      </w:r>
      <w:r w:rsidR="00197E51" w:rsidRPr="00AC1BD2">
        <w:t> </w:t>
      </w:r>
      <w:r w:rsidRPr="00AC1BD2">
        <w:t>session de l</w:t>
      </w:r>
      <w:r w:rsidR="00025CB1" w:rsidRPr="00AC1BD2">
        <w:t>’</w:t>
      </w:r>
      <w:r w:rsidR="009F1C0E" w:rsidRPr="00AC1BD2">
        <w:t>IGC</w:t>
      </w:r>
      <w:r w:rsidRPr="00AC1BD2">
        <w:t xml:space="preserve">, </w:t>
      </w:r>
      <w:r w:rsidR="00B81886" w:rsidRPr="00AC1BD2">
        <w:t xml:space="preserve">et </w:t>
      </w:r>
      <w:r w:rsidRPr="00AC1BD2">
        <w:t xml:space="preserve">après avoir soigneusement examiné les débats </w:t>
      </w:r>
      <w:r w:rsidR="0061680C" w:rsidRPr="00AC1BD2">
        <w:t>intervenus au cours de la trente</w:t>
      </w:r>
      <w:r w:rsidR="00197E51" w:rsidRPr="00AC1BD2">
        <w:t> </w:t>
      </w:r>
      <w:r w:rsidR="0061680C" w:rsidRPr="00AC1BD2">
        <w:t>et</w:t>
      </w:r>
      <w:r w:rsidR="00197E51" w:rsidRPr="00AC1BD2">
        <w:t> </w:t>
      </w:r>
      <w:r w:rsidR="0061680C" w:rsidRPr="00AC1BD2">
        <w:t>unième</w:t>
      </w:r>
      <w:r w:rsidR="00197E51" w:rsidRPr="00AC1BD2">
        <w:t> </w:t>
      </w:r>
      <w:r w:rsidR="0061680C" w:rsidRPr="00AC1BD2">
        <w:t>session de l</w:t>
      </w:r>
      <w:r w:rsidR="00025CB1" w:rsidRPr="00AC1BD2">
        <w:t>’</w:t>
      </w:r>
      <w:r w:rsidR="0061680C" w:rsidRPr="00AC1BD2">
        <w:t>IGC, ainsi que le</w:t>
      </w:r>
      <w:r w:rsidRPr="00AC1BD2">
        <w:t xml:space="preserve"> </w:t>
      </w:r>
      <w:r w:rsidR="00EB3C60" w:rsidRPr="00AC1BD2">
        <w:t xml:space="preserve">document </w:t>
      </w:r>
      <w:proofErr w:type="spellStart"/>
      <w:r w:rsidR="00EB3C60" w:rsidRPr="00AC1BD2">
        <w:t>WIPO</w:t>
      </w:r>
      <w:proofErr w:type="spellEnd"/>
      <w:r w:rsidR="00EB3C60" w:rsidRPr="00AC1BD2">
        <w:t>/</w:t>
      </w:r>
      <w:proofErr w:type="spellStart"/>
      <w:r w:rsidR="00EB3C60" w:rsidRPr="00AC1BD2">
        <w:t>GR</w:t>
      </w:r>
      <w:r w:rsidR="00872695" w:rsidRPr="00AC1BD2">
        <w:t>TK</w:t>
      </w:r>
      <w:r w:rsidR="00EB3C60" w:rsidRPr="00AC1BD2">
        <w:t>F</w:t>
      </w:r>
      <w:proofErr w:type="spellEnd"/>
      <w:r w:rsidR="00EB3C60" w:rsidRPr="00AC1BD2">
        <w:t>/IC/32/4</w:t>
      </w:r>
      <w:r w:rsidR="00B81886" w:rsidRPr="00AC1BD2">
        <w:t>, j</w:t>
      </w:r>
      <w:r w:rsidR="00025CB1" w:rsidRPr="00AC1BD2">
        <w:t>’</w:t>
      </w:r>
      <w:r w:rsidR="00B81886" w:rsidRPr="00AC1BD2">
        <w:t>ai établi une note d</w:t>
      </w:r>
      <w:r w:rsidR="00025CB1" w:rsidRPr="00AC1BD2">
        <w:t>’</w:t>
      </w:r>
      <w:r w:rsidR="00B81886" w:rsidRPr="00AC1BD2">
        <w:t>information sur la base de celle que j</w:t>
      </w:r>
      <w:r w:rsidR="00025CB1" w:rsidRPr="00AC1BD2">
        <w:t>’</w:t>
      </w:r>
      <w:r w:rsidR="00B81886" w:rsidRPr="00AC1BD2">
        <w:t>avais rédigée en vue de la trente</w:t>
      </w:r>
      <w:r w:rsidR="00197E51" w:rsidRPr="00AC1BD2">
        <w:t> </w:t>
      </w:r>
      <w:r w:rsidR="00B81886" w:rsidRPr="00AC1BD2">
        <w:t>et</w:t>
      </w:r>
      <w:r w:rsidR="00197E51" w:rsidRPr="00AC1BD2">
        <w:t> </w:t>
      </w:r>
      <w:r w:rsidR="00B81886" w:rsidRPr="00AC1BD2">
        <w:t>unième</w:t>
      </w:r>
      <w:r w:rsidR="00197E51" w:rsidRPr="00AC1BD2">
        <w:t> </w:t>
      </w:r>
      <w:r w:rsidR="00B81886" w:rsidRPr="00AC1BD2">
        <w:t>session de l</w:t>
      </w:r>
      <w:r w:rsidR="00025CB1" w:rsidRPr="00AC1BD2">
        <w:t>’</w:t>
      </w:r>
      <w:r w:rsidR="00512111" w:rsidRPr="00AC1BD2">
        <w:t>IGC.  La</w:t>
      </w:r>
      <w:r w:rsidR="0061680C" w:rsidRPr="00AC1BD2">
        <w:t xml:space="preserve"> présente note d</w:t>
      </w:r>
      <w:r w:rsidR="00025CB1" w:rsidRPr="00AC1BD2">
        <w:t>’</w:t>
      </w:r>
      <w:r w:rsidR="0061680C" w:rsidRPr="00AC1BD2">
        <w:t>information succincte comprend</w:t>
      </w:r>
      <w:r w:rsidR="00025CB1" w:rsidRPr="00AC1BD2">
        <w:t> :</w:t>
      </w:r>
    </w:p>
    <w:p w14:paraId="362EFBC6" w14:textId="1A9FC2E3" w:rsidR="0039715D" w:rsidRPr="00AC1BD2" w:rsidRDefault="001D5BA4" w:rsidP="00243A34">
      <w:pPr>
        <w:numPr>
          <w:ilvl w:val="0"/>
          <w:numId w:val="13"/>
        </w:numPr>
        <w:tabs>
          <w:tab w:val="left" w:pos="567"/>
        </w:tabs>
        <w:ind w:left="1134" w:hanging="567"/>
        <w:rPr>
          <w:rFonts w:cs="Arial"/>
          <w:szCs w:val="22"/>
        </w:rPr>
      </w:pPr>
      <w:r w:rsidRPr="00AC1BD2">
        <w:rPr>
          <w:rFonts w:cs="Arial"/>
          <w:szCs w:val="22"/>
        </w:rPr>
        <w:t xml:space="preserve">les </w:t>
      </w:r>
      <w:r w:rsidR="0061680C" w:rsidRPr="00AC1BD2">
        <w:rPr>
          <w:rFonts w:cs="Arial"/>
          <w:szCs w:val="22"/>
        </w:rPr>
        <w:t>é</w:t>
      </w:r>
      <w:r w:rsidR="007C4FC7" w:rsidRPr="00AC1BD2">
        <w:rPr>
          <w:rFonts w:cs="Arial"/>
          <w:szCs w:val="22"/>
        </w:rPr>
        <w:t>léments clés du mandat de l</w:t>
      </w:r>
      <w:r w:rsidR="00025CB1" w:rsidRPr="00AC1BD2">
        <w:rPr>
          <w:rFonts w:cs="Arial"/>
          <w:szCs w:val="22"/>
        </w:rPr>
        <w:t>’</w:t>
      </w:r>
      <w:r w:rsidR="007C4FC7" w:rsidRPr="00AC1BD2">
        <w:rPr>
          <w:rFonts w:cs="Arial"/>
          <w:szCs w:val="22"/>
        </w:rPr>
        <w:t>IGC pour</w:t>
      </w:r>
      <w:r w:rsidR="00197E51" w:rsidRPr="00AC1BD2">
        <w:rPr>
          <w:rFonts w:cs="Arial"/>
          <w:szCs w:val="22"/>
        </w:rPr>
        <w:t> </w:t>
      </w:r>
      <w:r w:rsidR="007C4FC7" w:rsidRPr="00AC1BD2">
        <w:rPr>
          <w:rFonts w:cs="Arial"/>
          <w:szCs w:val="22"/>
        </w:rPr>
        <w:t>2016</w:t>
      </w:r>
      <w:r w:rsidR="00243A34" w:rsidRPr="00AC1BD2">
        <w:rPr>
          <w:rFonts w:cs="Arial"/>
          <w:szCs w:val="22"/>
        </w:rPr>
        <w:noBreakHyphen/>
      </w:r>
      <w:r w:rsidR="007C4FC7" w:rsidRPr="00AC1BD2">
        <w:rPr>
          <w:rFonts w:cs="Arial"/>
          <w:szCs w:val="22"/>
        </w:rPr>
        <w:t>2017</w:t>
      </w:r>
      <w:r w:rsidRPr="00AC1BD2">
        <w:rPr>
          <w:rFonts w:cs="Arial"/>
          <w:szCs w:val="22"/>
        </w:rPr>
        <w:t>;</w:t>
      </w:r>
    </w:p>
    <w:p w14:paraId="495BB1ED" w14:textId="61EC97C0" w:rsidR="0039715D" w:rsidRPr="00AC1BD2" w:rsidRDefault="0061680C" w:rsidP="00243A34">
      <w:pPr>
        <w:numPr>
          <w:ilvl w:val="0"/>
          <w:numId w:val="13"/>
        </w:numPr>
        <w:tabs>
          <w:tab w:val="left" w:pos="567"/>
        </w:tabs>
        <w:ind w:left="1134" w:hanging="567"/>
        <w:rPr>
          <w:rFonts w:cs="Arial"/>
          <w:szCs w:val="22"/>
        </w:rPr>
      </w:pPr>
      <w:r w:rsidRPr="00AC1BD2">
        <w:rPr>
          <w:rFonts w:cs="Arial"/>
          <w:szCs w:val="22"/>
        </w:rPr>
        <w:t>des réflexions sur la trente</w:t>
      </w:r>
      <w:r w:rsidR="00197E51" w:rsidRPr="00AC1BD2">
        <w:rPr>
          <w:rFonts w:cs="Arial"/>
          <w:szCs w:val="22"/>
        </w:rPr>
        <w:t> </w:t>
      </w:r>
      <w:r w:rsidRPr="00AC1BD2">
        <w:rPr>
          <w:rFonts w:cs="Arial"/>
          <w:szCs w:val="22"/>
        </w:rPr>
        <w:t>et</w:t>
      </w:r>
      <w:r w:rsidR="00197E51" w:rsidRPr="00AC1BD2">
        <w:rPr>
          <w:rFonts w:cs="Arial"/>
          <w:szCs w:val="22"/>
        </w:rPr>
        <w:t> </w:t>
      </w:r>
      <w:r w:rsidRPr="00AC1BD2">
        <w:rPr>
          <w:rFonts w:cs="Arial"/>
          <w:szCs w:val="22"/>
        </w:rPr>
        <w:t>unième</w:t>
      </w:r>
      <w:r w:rsidR="00197E51" w:rsidRPr="00AC1BD2">
        <w:rPr>
          <w:rFonts w:cs="Arial"/>
          <w:szCs w:val="22"/>
        </w:rPr>
        <w:t> </w:t>
      </w:r>
      <w:r w:rsidRPr="00AC1BD2">
        <w:rPr>
          <w:rFonts w:cs="Arial"/>
          <w:szCs w:val="22"/>
        </w:rPr>
        <w:t>session de l</w:t>
      </w:r>
      <w:r w:rsidR="00025CB1" w:rsidRPr="00AC1BD2">
        <w:rPr>
          <w:rFonts w:cs="Arial"/>
          <w:szCs w:val="22"/>
        </w:rPr>
        <w:t>’</w:t>
      </w:r>
      <w:r w:rsidRPr="00AC1BD2">
        <w:rPr>
          <w:rFonts w:cs="Arial"/>
          <w:szCs w:val="22"/>
        </w:rPr>
        <w:t>IGC</w:t>
      </w:r>
      <w:r w:rsidR="001D5BA4" w:rsidRPr="00AC1BD2">
        <w:rPr>
          <w:rFonts w:cs="Arial"/>
          <w:szCs w:val="22"/>
        </w:rPr>
        <w:t>;</w:t>
      </w:r>
    </w:p>
    <w:p w14:paraId="04B13A0D" w14:textId="6E523EE7" w:rsidR="0039715D" w:rsidRPr="00AC1BD2" w:rsidRDefault="001D5BA4" w:rsidP="00243A34">
      <w:pPr>
        <w:numPr>
          <w:ilvl w:val="0"/>
          <w:numId w:val="13"/>
        </w:numPr>
        <w:tabs>
          <w:tab w:val="left" w:pos="567"/>
        </w:tabs>
        <w:ind w:left="1134" w:hanging="567"/>
        <w:rPr>
          <w:rFonts w:cs="Arial"/>
          <w:szCs w:val="22"/>
        </w:rPr>
      </w:pPr>
      <w:r w:rsidRPr="00AC1BD2">
        <w:rPr>
          <w:rFonts w:cs="Arial"/>
          <w:szCs w:val="22"/>
        </w:rPr>
        <w:t xml:space="preserve">un </w:t>
      </w:r>
      <w:r w:rsidR="007C4FC7" w:rsidRPr="00AC1BD2">
        <w:rPr>
          <w:rFonts w:cs="Arial"/>
          <w:szCs w:val="22"/>
        </w:rPr>
        <w:t>résumé des questions essentielles que les États membres devraient, selon moi, examiner lors de la trente</w:t>
      </w:r>
      <w:r w:rsidR="00243A34" w:rsidRPr="00AC1BD2">
        <w:rPr>
          <w:rFonts w:cs="Arial"/>
          <w:szCs w:val="22"/>
        </w:rPr>
        <w:noBreakHyphen/>
      </w:r>
      <w:r w:rsidR="007C4FC7" w:rsidRPr="00AC1BD2">
        <w:rPr>
          <w:rFonts w:cs="Arial"/>
          <w:szCs w:val="22"/>
        </w:rPr>
        <w:t>deuxième</w:t>
      </w:r>
      <w:r w:rsidR="00197E51" w:rsidRPr="00AC1BD2">
        <w:rPr>
          <w:rFonts w:cs="Arial"/>
          <w:szCs w:val="22"/>
        </w:rPr>
        <w:t> </w:t>
      </w:r>
      <w:r w:rsidR="007C4FC7" w:rsidRPr="00AC1BD2">
        <w:rPr>
          <w:rFonts w:cs="Arial"/>
          <w:szCs w:val="22"/>
        </w:rPr>
        <w:t>session de l</w:t>
      </w:r>
      <w:r w:rsidR="00025CB1" w:rsidRPr="00AC1BD2">
        <w:rPr>
          <w:rFonts w:cs="Arial"/>
          <w:szCs w:val="22"/>
        </w:rPr>
        <w:t>’</w:t>
      </w:r>
      <w:r w:rsidR="007C4FC7" w:rsidRPr="00AC1BD2">
        <w:rPr>
          <w:rFonts w:cs="Arial"/>
          <w:szCs w:val="22"/>
        </w:rPr>
        <w:t>IGC</w:t>
      </w:r>
      <w:r w:rsidR="00243A34" w:rsidRPr="00AC1BD2">
        <w:rPr>
          <w:rFonts w:cs="Arial"/>
          <w:szCs w:val="22"/>
        </w:rPr>
        <w:t>;</w:t>
      </w:r>
      <w:r w:rsidRPr="00AC1BD2">
        <w:rPr>
          <w:rFonts w:cs="Arial"/>
          <w:szCs w:val="22"/>
        </w:rPr>
        <w:t xml:space="preserve"> </w:t>
      </w:r>
      <w:r w:rsidR="00243A34" w:rsidRPr="00AC1BD2">
        <w:rPr>
          <w:rFonts w:cs="Arial"/>
          <w:szCs w:val="22"/>
        </w:rPr>
        <w:t xml:space="preserve"> </w:t>
      </w:r>
      <w:r w:rsidRPr="00AC1BD2">
        <w:rPr>
          <w:rFonts w:cs="Arial"/>
          <w:szCs w:val="22"/>
        </w:rPr>
        <w:t>et</w:t>
      </w:r>
    </w:p>
    <w:p w14:paraId="6BF58725" w14:textId="08788140" w:rsidR="00025CB1" w:rsidRPr="00AC1BD2" w:rsidRDefault="001D5BA4" w:rsidP="00243A34">
      <w:pPr>
        <w:numPr>
          <w:ilvl w:val="0"/>
          <w:numId w:val="13"/>
        </w:numPr>
        <w:tabs>
          <w:tab w:val="left" w:pos="567"/>
        </w:tabs>
        <w:ind w:left="1134" w:hanging="567"/>
        <w:rPr>
          <w:rFonts w:cs="Arial"/>
          <w:szCs w:val="22"/>
        </w:rPr>
      </w:pPr>
      <w:r w:rsidRPr="00AC1BD2">
        <w:rPr>
          <w:rFonts w:cs="Arial"/>
          <w:szCs w:val="22"/>
        </w:rPr>
        <w:t>un résumé des autres questions qui pourraient aussi être abordées lors de cette session, étant entendu que, selon moi, leur examen est d</w:t>
      </w:r>
      <w:r w:rsidR="00025CB1" w:rsidRPr="00AC1BD2">
        <w:rPr>
          <w:rFonts w:cs="Arial"/>
          <w:szCs w:val="22"/>
        </w:rPr>
        <w:t>’</w:t>
      </w:r>
      <w:r w:rsidRPr="00AC1BD2">
        <w:rPr>
          <w:rFonts w:cs="Arial"/>
          <w:szCs w:val="22"/>
        </w:rPr>
        <w:t>importance secondaire par rapport à la résolution des questions essentielles</w:t>
      </w:r>
      <w:r w:rsidR="00872695" w:rsidRPr="00AC1BD2">
        <w:rPr>
          <w:rFonts w:cs="Arial"/>
          <w:szCs w:val="22"/>
        </w:rPr>
        <w:t>.</w:t>
      </w:r>
    </w:p>
    <w:p w14:paraId="6A28CA9A" w14:textId="510FF34C" w:rsidR="0039715D" w:rsidRPr="00AC1BD2" w:rsidRDefault="0039715D" w:rsidP="00243A34">
      <w:pPr>
        <w:tabs>
          <w:tab w:val="left" w:pos="567"/>
        </w:tabs>
        <w:rPr>
          <w:rFonts w:cs="Arial"/>
          <w:szCs w:val="22"/>
        </w:rPr>
      </w:pPr>
    </w:p>
    <w:p w14:paraId="6F16563A" w14:textId="3EE16A1B" w:rsidR="00025CB1" w:rsidRPr="00AC1BD2" w:rsidRDefault="007C4FC7" w:rsidP="00C37157">
      <w:pPr>
        <w:pStyle w:val="ONUMFS"/>
      </w:pPr>
      <w:r w:rsidRPr="00AC1BD2">
        <w:t>La présente note est informelle et ne possède aucun statut particuli</w:t>
      </w:r>
      <w:r w:rsidR="00512111" w:rsidRPr="00AC1BD2">
        <w:t xml:space="preserve">er.  </w:t>
      </w:r>
      <w:r w:rsidR="00512111" w:rsidRPr="00C37157">
        <w:rPr>
          <w:b/>
        </w:rPr>
        <w:t>Je</w:t>
      </w:r>
      <w:r w:rsidRPr="00C37157">
        <w:rPr>
          <w:b/>
        </w:rPr>
        <w:t xml:space="preserve"> souligne que toutes les vues qui peuvent y être exprimées sont uniquement les miennes, sans préjudice des positions éventuelles des États membres sur les questions considérées</w:t>
      </w:r>
      <w:r w:rsidR="00872695" w:rsidRPr="00C37157">
        <w:rPr>
          <w:b/>
        </w:rPr>
        <w:t>.</w:t>
      </w:r>
    </w:p>
    <w:p w14:paraId="219A792E" w14:textId="77777777" w:rsidR="00B506EC" w:rsidRPr="00AC1BD2" w:rsidRDefault="00B506EC" w:rsidP="00243A34">
      <w:pPr>
        <w:tabs>
          <w:tab w:val="left" w:pos="567"/>
        </w:tabs>
        <w:rPr>
          <w:rFonts w:cs="Arial"/>
          <w:szCs w:val="22"/>
        </w:rPr>
      </w:pPr>
    </w:p>
    <w:p w14:paraId="070F21AC" w14:textId="136EA5D4" w:rsidR="0039715D" w:rsidRPr="00AC1BD2" w:rsidRDefault="007C4FC7" w:rsidP="00243A34">
      <w:pPr>
        <w:tabs>
          <w:tab w:val="left" w:pos="567"/>
        </w:tabs>
        <w:rPr>
          <w:rFonts w:cs="Arial"/>
          <w:b/>
          <w:szCs w:val="22"/>
        </w:rPr>
      </w:pPr>
      <w:r w:rsidRPr="00AC1BD2">
        <w:rPr>
          <w:rFonts w:cs="Arial"/>
          <w:b/>
          <w:szCs w:val="22"/>
        </w:rPr>
        <w:t>Mandat pour l</w:t>
      </w:r>
      <w:r w:rsidR="00025CB1" w:rsidRPr="00AC1BD2">
        <w:rPr>
          <w:rFonts w:cs="Arial"/>
          <w:b/>
          <w:szCs w:val="22"/>
        </w:rPr>
        <w:t>’</w:t>
      </w:r>
      <w:r w:rsidRPr="00AC1BD2">
        <w:rPr>
          <w:rFonts w:cs="Arial"/>
          <w:b/>
          <w:szCs w:val="22"/>
        </w:rPr>
        <w:t>exercice biennal</w:t>
      </w:r>
      <w:r w:rsidR="00197E51" w:rsidRPr="00AC1BD2">
        <w:rPr>
          <w:rFonts w:cs="Arial"/>
          <w:b/>
          <w:szCs w:val="22"/>
        </w:rPr>
        <w:t> </w:t>
      </w:r>
      <w:r w:rsidRPr="00AC1BD2">
        <w:rPr>
          <w:rFonts w:cs="Arial"/>
          <w:b/>
          <w:szCs w:val="22"/>
        </w:rPr>
        <w:t>2016</w:t>
      </w:r>
      <w:r w:rsidR="00243A34" w:rsidRPr="00AC1BD2">
        <w:rPr>
          <w:rFonts w:cs="Arial"/>
          <w:b/>
          <w:szCs w:val="22"/>
        </w:rPr>
        <w:noBreakHyphen/>
      </w:r>
      <w:r w:rsidRPr="00AC1BD2">
        <w:rPr>
          <w:rFonts w:cs="Arial"/>
          <w:b/>
          <w:szCs w:val="22"/>
        </w:rPr>
        <w:t>2017</w:t>
      </w:r>
    </w:p>
    <w:p w14:paraId="6A8B6A12" w14:textId="77777777" w:rsidR="0039715D" w:rsidRPr="00AC1BD2" w:rsidRDefault="0039715D" w:rsidP="00243A34">
      <w:pPr>
        <w:tabs>
          <w:tab w:val="left" w:pos="567"/>
        </w:tabs>
        <w:rPr>
          <w:rFonts w:cs="Arial"/>
          <w:szCs w:val="22"/>
        </w:rPr>
      </w:pPr>
    </w:p>
    <w:p w14:paraId="6C636CD3" w14:textId="3B02D9DA" w:rsidR="0039715D" w:rsidRPr="00AC1BD2" w:rsidRDefault="007C4FC7" w:rsidP="00C37157">
      <w:pPr>
        <w:pStyle w:val="ONUMFS"/>
      </w:pPr>
      <w:r w:rsidRPr="00AC1BD2">
        <w:t>Pour définir les questions à traiter en priorité lors de la prochaine session de l</w:t>
      </w:r>
      <w:r w:rsidR="00025CB1" w:rsidRPr="00AC1BD2">
        <w:t>’</w:t>
      </w:r>
      <w:r w:rsidRPr="00AC1BD2">
        <w:t>IGC, les États membres devraient tenir compte des éléments clés du mandat actuel du comité ci</w:t>
      </w:r>
      <w:r w:rsidR="00243A34" w:rsidRPr="00AC1BD2">
        <w:noBreakHyphen/>
      </w:r>
      <w:r w:rsidRPr="00AC1BD2">
        <w:t>après</w:t>
      </w:r>
      <w:r w:rsidR="00025CB1" w:rsidRPr="00AC1BD2">
        <w:t> :</w:t>
      </w:r>
    </w:p>
    <w:p w14:paraId="2EBCBF9B" w14:textId="77777777" w:rsidR="0039715D" w:rsidRPr="00AC1BD2" w:rsidRDefault="007C4FC7" w:rsidP="00243A34">
      <w:pPr>
        <w:pStyle w:val="Default"/>
        <w:numPr>
          <w:ilvl w:val="0"/>
          <w:numId w:val="1"/>
        </w:numPr>
        <w:tabs>
          <w:tab w:val="clear" w:pos="720"/>
          <w:tab w:val="left" w:pos="567"/>
        </w:tabs>
        <w:ind w:left="1134" w:hanging="567"/>
        <w:rPr>
          <w:color w:val="auto"/>
          <w:sz w:val="22"/>
          <w:szCs w:val="22"/>
          <w:lang w:val="fr-FR"/>
        </w:rPr>
      </w:pPr>
      <w:r w:rsidRPr="00AC1BD2">
        <w:rPr>
          <w:color w:val="auto"/>
          <w:sz w:val="22"/>
          <w:szCs w:val="22"/>
          <w:lang w:val="fr-FR"/>
        </w:rPr>
        <w:t>“réduire les divergences actuelles”;</w:t>
      </w:r>
    </w:p>
    <w:p w14:paraId="1F5A125D" w14:textId="19E47D02" w:rsidR="00025CB1" w:rsidRPr="00AC1BD2" w:rsidRDefault="007C4FC7" w:rsidP="00243A34">
      <w:pPr>
        <w:pStyle w:val="Default"/>
        <w:numPr>
          <w:ilvl w:val="0"/>
          <w:numId w:val="1"/>
        </w:numPr>
        <w:tabs>
          <w:tab w:val="clear" w:pos="720"/>
          <w:tab w:val="left" w:pos="567"/>
        </w:tabs>
        <w:ind w:left="1134" w:hanging="567"/>
        <w:rPr>
          <w:color w:val="auto"/>
          <w:sz w:val="22"/>
          <w:szCs w:val="22"/>
          <w:lang w:val="fr-FR"/>
        </w:rPr>
      </w:pPr>
      <w:r w:rsidRPr="00AC1BD2">
        <w:rPr>
          <w:color w:val="auto"/>
          <w:sz w:val="22"/>
          <w:szCs w:val="22"/>
          <w:lang w:val="fr-FR"/>
        </w:rPr>
        <w:t xml:space="preserve">“afin de parvenir à un accord sur un ou plusieurs instruments juridiques internationaux </w:t>
      </w:r>
      <w:r w:rsidRPr="00AC1BD2">
        <w:rPr>
          <w:color w:val="auto"/>
          <w:sz w:val="22"/>
          <w:szCs w:val="22"/>
          <w:u w:val="single"/>
          <w:lang w:val="fr-FR"/>
        </w:rPr>
        <w:t>relatifs à la propriété intellectuelle</w:t>
      </w:r>
      <w:r w:rsidRPr="00AC1BD2">
        <w:rPr>
          <w:color w:val="auto"/>
          <w:sz w:val="22"/>
          <w:szCs w:val="22"/>
          <w:lang w:val="fr-FR"/>
        </w:rPr>
        <w:t xml:space="preserve">, propres à garantir une protection </w:t>
      </w:r>
      <w:r w:rsidRPr="00AC1BD2">
        <w:rPr>
          <w:color w:val="auto"/>
          <w:sz w:val="22"/>
          <w:szCs w:val="22"/>
          <w:u w:val="single"/>
          <w:lang w:val="fr-FR"/>
        </w:rPr>
        <w:t>équilibrée et effective</w:t>
      </w:r>
      <w:r w:rsidRPr="00AC1BD2">
        <w:rPr>
          <w:color w:val="auto"/>
          <w:sz w:val="22"/>
          <w:szCs w:val="22"/>
          <w:lang w:val="fr-FR"/>
        </w:rPr>
        <w:t xml:space="preserve"> des ressources génétiques, des savoirs traditionnels et des expressions culturelles traditionnelles” (</w:t>
      </w:r>
      <w:r w:rsidR="0061680C" w:rsidRPr="00AC1BD2">
        <w:rPr>
          <w:color w:val="auto"/>
          <w:sz w:val="22"/>
          <w:szCs w:val="22"/>
          <w:lang w:val="fr-FR"/>
        </w:rPr>
        <w:t>c</w:t>
      </w:r>
      <w:r w:rsidR="00025CB1" w:rsidRPr="00AC1BD2">
        <w:rPr>
          <w:color w:val="auto"/>
          <w:sz w:val="22"/>
          <w:szCs w:val="22"/>
          <w:lang w:val="fr-FR"/>
        </w:rPr>
        <w:t>’</w:t>
      </w:r>
      <w:r w:rsidR="0061680C" w:rsidRPr="00AC1BD2">
        <w:rPr>
          <w:color w:val="auto"/>
          <w:sz w:val="22"/>
          <w:szCs w:val="22"/>
          <w:lang w:val="fr-FR"/>
        </w:rPr>
        <w:t>est moi qui souligne</w:t>
      </w:r>
      <w:r w:rsidRPr="00AC1BD2">
        <w:rPr>
          <w:color w:val="auto"/>
          <w:sz w:val="22"/>
          <w:szCs w:val="22"/>
          <w:lang w:val="fr-FR"/>
        </w:rPr>
        <w:t>);</w:t>
      </w:r>
    </w:p>
    <w:p w14:paraId="5FFD4EBB" w14:textId="70C46E72" w:rsidR="0039715D" w:rsidRPr="00AC1BD2" w:rsidRDefault="007C4FC7" w:rsidP="00243A34">
      <w:pPr>
        <w:pStyle w:val="Default"/>
        <w:numPr>
          <w:ilvl w:val="0"/>
          <w:numId w:val="1"/>
        </w:numPr>
        <w:tabs>
          <w:tab w:val="clear" w:pos="720"/>
          <w:tab w:val="left" w:pos="567"/>
        </w:tabs>
        <w:ind w:left="1134" w:hanging="567"/>
        <w:rPr>
          <w:color w:val="auto"/>
          <w:sz w:val="22"/>
          <w:szCs w:val="22"/>
          <w:lang w:val="fr-FR"/>
        </w:rPr>
      </w:pPr>
      <w:r w:rsidRPr="00AC1BD2">
        <w:rPr>
          <w:color w:val="auto"/>
          <w:sz w:val="22"/>
          <w:szCs w:val="22"/>
          <w:lang w:val="fr-FR"/>
        </w:rPr>
        <w:t>“en s</w:t>
      </w:r>
      <w:r w:rsidR="00025CB1" w:rsidRPr="00AC1BD2">
        <w:rPr>
          <w:color w:val="auto"/>
          <w:sz w:val="22"/>
          <w:szCs w:val="22"/>
          <w:lang w:val="fr-FR"/>
        </w:rPr>
        <w:t>’</w:t>
      </w:r>
      <w:r w:rsidRPr="00AC1BD2">
        <w:rPr>
          <w:color w:val="auto"/>
          <w:sz w:val="22"/>
          <w:szCs w:val="22"/>
          <w:lang w:val="fr-FR"/>
        </w:rPr>
        <w:t>efforçant principalement de parvenir à une communauté de vues sur les questions essentielles telles que la définition de l</w:t>
      </w:r>
      <w:r w:rsidR="00025CB1" w:rsidRPr="00AC1BD2">
        <w:rPr>
          <w:color w:val="auto"/>
          <w:sz w:val="22"/>
          <w:szCs w:val="22"/>
          <w:lang w:val="fr-FR"/>
        </w:rPr>
        <w:t>’</w:t>
      </w:r>
      <w:r w:rsidRPr="00AC1BD2">
        <w:rPr>
          <w:color w:val="auto"/>
          <w:sz w:val="22"/>
          <w:szCs w:val="22"/>
          <w:lang w:val="fr-FR"/>
        </w:rPr>
        <w:t>appropriation illicite, les bénéficiaires, l</w:t>
      </w:r>
      <w:r w:rsidR="00025CB1" w:rsidRPr="00AC1BD2">
        <w:rPr>
          <w:color w:val="auto"/>
          <w:sz w:val="22"/>
          <w:szCs w:val="22"/>
          <w:lang w:val="fr-FR"/>
        </w:rPr>
        <w:t>’</w:t>
      </w:r>
      <w:r w:rsidRPr="00AC1BD2">
        <w:rPr>
          <w:color w:val="auto"/>
          <w:sz w:val="22"/>
          <w:szCs w:val="22"/>
          <w:lang w:val="fr-FR"/>
        </w:rPr>
        <w:t>objet de la protection, les objectifs, et le point de savoir quels objets relevant des savoirs traditionnels ou des expressions culturelles traditionnelles peuvent bénéficier d</w:t>
      </w:r>
      <w:r w:rsidR="00025CB1" w:rsidRPr="00AC1BD2">
        <w:rPr>
          <w:color w:val="auto"/>
          <w:sz w:val="22"/>
          <w:szCs w:val="22"/>
          <w:lang w:val="fr-FR"/>
        </w:rPr>
        <w:t>’</w:t>
      </w:r>
      <w:r w:rsidRPr="00AC1BD2">
        <w:rPr>
          <w:color w:val="auto"/>
          <w:sz w:val="22"/>
          <w:szCs w:val="22"/>
          <w:lang w:val="fr-FR"/>
        </w:rPr>
        <w:t xml:space="preserve">une protection au niveau international, </w:t>
      </w:r>
      <w:r w:rsidR="00025CB1" w:rsidRPr="00AC1BD2">
        <w:rPr>
          <w:color w:val="auto"/>
          <w:sz w:val="22"/>
          <w:szCs w:val="22"/>
          <w:lang w:val="fr-FR"/>
        </w:rPr>
        <w:t>y compris</w:t>
      </w:r>
      <w:r w:rsidRPr="00AC1BD2">
        <w:rPr>
          <w:color w:val="auto"/>
          <w:sz w:val="22"/>
          <w:szCs w:val="22"/>
          <w:lang w:val="fr-FR"/>
        </w:rPr>
        <w:t xml:space="preserve"> la prise en considération des exceptions et limitations et des rapports avec le domaine public”;</w:t>
      </w:r>
    </w:p>
    <w:p w14:paraId="21CE6278" w14:textId="77777777" w:rsidR="0039715D" w:rsidRPr="00AC1BD2" w:rsidRDefault="007C4FC7" w:rsidP="00243A34">
      <w:pPr>
        <w:pStyle w:val="Default"/>
        <w:numPr>
          <w:ilvl w:val="0"/>
          <w:numId w:val="1"/>
        </w:numPr>
        <w:tabs>
          <w:tab w:val="clear" w:pos="720"/>
          <w:tab w:val="left" w:pos="567"/>
        </w:tabs>
        <w:ind w:left="1134" w:hanging="567"/>
        <w:rPr>
          <w:color w:val="auto"/>
          <w:sz w:val="22"/>
          <w:szCs w:val="22"/>
          <w:lang w:val="fr-FR"/>
        </w:rPr>
      </w:pPr>
      <w:r w:rsidRPr="00AC1BD2">
        <w:rPr>
          <w:color w:val="auto"/>
          <w:sz w:val="22"/>
          <w:szCs w:val="22"/>
          <w:lang w:val="fr-FR"/>
        </w:rPr>
        <w:t>“suivant une approche fondée sur des bases factuelles”;</w:t>
      </w:r>
      <w:r w:rsidRPr="00AC1BD2">
        <w:rPr>
          <w:color w:val="auto"/>
          <w:sz w:val="22"/>
          <w:lang w:val="fr-FR"/>
        </w:rPr>
        <w:t xml:space="preserve">  </w:t>
      </w:r>
      <w:r w:rsidRPr="00AC1BD2">
        <w:rPr>
          <w:color w:val="auto"/>
          <w:sz w:val="22"/>
          <w:szCs w:val="22"/>
          <w:lang w:val="fr-FR"/>
        </w:rPr>
        <w:t>et</w:t>
      </w:r>
    </w:p>
    <w:p w14:paraId="0A8DFEDF" w14:textId="0C6FCBDB" w:rsidR="00025CB1" w:rsidRPr="00AC1BD2" w:rsidRDefault="007C4FC7" w:rsidP="00243A34">
      <w:pPr>
        <w:pStyle w:val="Default"/>
        <w:numPr>
          <w:ilvl w:val="0"/>
          <w:numId w:val="1"/>
        </w:numPr>
        <w:tabs>
          <w:tab w:val="clear" w:pos="720"/>
          <w:tab w:val="left" w:pos="567"/>
        </w:tabs>
        <w:ind w:left="1134" w:hanging="567"/>
        <w:rPr>
          <w:color w:val="auto"/>
          <w:sz w:val="22"/>
          <w:szCs w:val="22"/>
          <w:lang w:val="fr-FR"/>
        </w:rPr>
      </w:pPr>
      <w:r w:rsidRPr="00AC1BD2">
        <w:rPr>
          <w:color w:val="auto"/>
          <w:sz w:val="22"/>
          <w:szCs w:val="22"/>
          <w:lang w:val="fr-FR"/>
        </w:rPr>
        <w:t xml:space="preserve">“séminaires et ateliers intersessions afin de renforcer les connaissances et le consensus aux niveaux régional et </w:t>
      </w:r>
      <w:proofErr w:type="spellStart"/>
      <w:r w:rsidRPr="00AC1BD2">
        <w:rPr>
          <w:color w:val="auto"/>
          <w:sz w:val="22"/>
          <w:szCs w:val="22"/>
          <w:lang w:val="fr-FR"/>
        </w:rPr>
        <w:t>interrégional</w:t>
      </w:r>
      <w:proofErr w:type="spellEnd"/>
      <w:r w:rsidRPr="00AC1BD2">
        <w:rPr>
          <w:color w:val="auto"/>
          <w:sz w:val="22"/>
          <w:szCs w:val="22"/>
          <w:lang w:val="fr-FR"/>
        </w:rPr>
        <w:t xml:space="preserve"> sur les questions en rapport avec la propriété intellectuelle relative aux ressources génétiques, aux savoirs traditionnels et aux expressions culturelles traditionnelles en mettant l</w:t>
      </w:r>
      <w:r w:rsidR="00025CB1" w:rsidRPr="00AC1BD2">
        <w:rPr>
          <w:color w:val="auto"/>
          <w:sz w:val="22"/>
          <w:szCs w:val="22"/>
          <w:lang w:val="fr-FR"/>
        </w:rPr>
        <w:t>’</w:t>
      </w:r>
      <w:r w:rsidRPr="00AC1BD2">
        <w:rPr>
          <w:color w:val="auto"/>
          <w:sz w:val="22"/>
          <w:szCs w:val="22"/>
          <w:lang w:val="fr-FR"/>
        </w:rPr>
        <w:t>accent sur les questions non résolues”</w:t>
      </w:r>
      <w:r w:rsidR="00872695" w:rsidRPr="00AC1BD2">
        <w:rPr>
          <w:color w:val="auto"/>
          <w:sz w:val="22"/>
          <w:szCs w:val="22"/>
          <w:lang w:val="fr-FR"/>
        </w:rPr>
        <w:t>.</w:t>
      </w:r>
    </w:p>
    <w:p w14:paraId="1B6C11EF" w14:textId="46F6F125" w:rsidR="0039715D" w:rsidRPr="00AC1BD2" w:rsidRDefault="0039715D" w:rsidP="00243A34">
      <w:pPr>
        <w:pStyle w:val="Default"/>
        <w:tabs>
          <w:tab w:val="left" w:pos="567"/>
        </w:tabs>
        <w:rPr>
          <w:color w:val="auto"/>
          <w:sz w:val="22"/>
          <w:szCs w:val="22"/>
          <w:lang w:val="fr-FR"/>
        </w:rPr>
      </w:pPr>
    </w:p>
    <w:p w14:paraId="56F30385" w14:textId="1AF090CD" w:rsidR="008C74F6" w:rsidRPr="00C37157" w:rsidRDefault="0061680C" w:rsidP="00243A34">
      <w:pPr>
        <w:pStyle w:val="ONUMFS"/>
      </w:pPr>
      <w:r w:rsidRPr="00AC1BD2">
        <w:t>La trente</w:t>
      </w:r>
      <w:r w:rsidR="00243A34" w:rsidRPr="00AC1BD2">
        <w:noBreakHyphen/>
      </w:r>
      <w:r w:rsidRPr="00AC1BD2">
        <w:t>deuxième</w:t>
      </w:r>
      <w:r w:rsidR="00197E51" w:rsidRPr="00AC1BD2">
        <w:t> </w:t>
      </w:r>
      <w:r w:rsidRPr="00AC1BD2">
        <w:t>session de l</w:t>
      </w:r>
      <w:r w:rsidR="00025CB1" w:rsidRPr="00AC1BD2">
        <w:t>’</w:t>
      </w:r>
      <w:r w:rsidR="00665A36" w:rsidRPr="00AC1BD2">
        <w:t xml:space="preserve">IGC </w:t>
      </w:r>
      <w:r w:rsidR="0001710C" w:rsidRPr="00AC1BD2">
        <w:t>sera la deuxième des deux</w:t>
      </w:r>
      <w:r w:rsidR="00197E51" w:rsidRPr="00AC1BD2">
        <w:t> </w:t>
      </w:r>
      <w:r w:rsidR="00665A36" w:rsidRPr="00AC1BD2">
        <w:t>session</w:t>
      </w:r>
      <w:r w:rsidR="00D574D1" w:rsidRPr="00AC1BD2">
        <w:t>s</w:t>
      </w:r>
      <w:r w:rsidR="0001710C" w:rsidRPr="00AC1BD2">
        <w:t xml:space="preserve"> tenues cette année au sujet des savoirs traditionne</w:t>
      </w:r>
      <w:r w:rsidR="00512111" w:rsidRPr="00AC1BD2">
        <w:t>ls.  Co</w:t>
      </w:r>
      <w:r w:rsidR="0001710C" w:rsidRPr="00AC1BD2">
        <w:t>mme indiqué dans le programme de travail, elle</w:t>
      </w:r>
      <w:r w:rsidR="00D574D1" w:rsidRPr="00AC1BD2">
        <w:t xml:space="preserve"> </w:t>
      </w:r>
      <w:r w:rsidR="0001710C" w:rsidRPr="00AC1BD2">
        <w:t>devrait permettre de mener des négociations sur les savoirs traditionnels en mettant l</w:t>
      </w:r>
      <w:r w:rsidR="00025CB1" w:rsidRPr="00AC1BD2">
        <w:t>’</w:t>
      </w:r>
      <w:r w:rsidR="0001710C" w:rsidRPr="00AC1BD2">
        <w:t xml:space="preserve">accent </w:t>
      </w:r>
      <w:r w:rsidR="0001710C" w:rsidRPr="00AC1BD2">
        <w:lastRenderedPageBreak/>
        <w:t>sur les questions non résolues et en examinant des options relatives à un projet d</w:t>
      </w:r>
      <w:r w:rsidR="00025CB1" w:rsidRPr="00AC1BD2">
        <w:t>’</w:t>
      </w:r>
      <w:r w:rsidR="0001710C" w:rsidRPr="00AC1BD2">
        <w:t>instrument juridique</w:t>
      </w:r>
      <w:r w:rsidR="00C12BA0" w:rsidRPr="00AC1BD2">
        <w:t>.</w:t>
      </w:r>
    </w:p>
    <w:p w14:paraId="3E27A936" w14:textId="77777777" w:rsidR="00B506EC" w:rsidRPr="00AC1BD2" w:rsidRDefault="00B506EC" w:rsidP="00243A34">
      <w:pPr>
        <w:tabs>
          <w:tab w:val="left" w:pos="567"/>
        </w:tabs>
        <w:rPr>
          <w:rFonts w:cs="Arial"/>
          <w:szCs w:val="22"/>
        </w:rPr>
      </w:pPr>
    </w:p>
    <w:p w14:paraId="00208F6D" w14:textId="32BC65F5" w:rsidR="0039715D" w:rsidRPr="00AC1BD2" w:rsidRDefault="0001710C" w:rsidP="00243A34">
      <w:pPr>
        <w:tabs>
          <w:tab w:val="left" w:pos="567"/>
        </w:tabs>
        <w:rPr>
          <w:rFonts w:cs="Arial"/>
          <w:b/>
          <w:szCs w:val="22"/>
        </w:rPr>
      </w:pPr>
      <w:r w:rsidRPr="00AC1BD2">
        <w:rPr>
          <w:rFonts w:cs="Arial"/>
          <w:b/>
          <w:szCs w:val="22"/>
        </w:rPr>
        <w:t>Ré</w:t>
      </w:r>
      <w:r w:rsidR="000C007C" w:rsidRPr="00AC1BD2">
        <w:rPr>
          <w:rFonts w:cs="Arial"/>
          <w:b/>
          <w:szCs w:val="22"/>
        </w:rPr>
        <w:t>fle</w:t>
      </w:r>
      <w:r w:rsidRPr="00AC1BD2">
        <w:rPr>
          <w:rFonts w:cs="Arial"/>
          <w:b/>
          <w:szCs w:val="22"/>
        </w:rPr>
        <w:t>x</w:t>
      </w:r>
      <w:r w:rsidR="000C007C" w:rsidRPr="00AC1BD2">
        <w:rPr>
          <w:rFonts w:cs="Arial"/>
          <w:b/>
          <w:szCs w:val="22"/>
        </w:rPr>
        <w:t>ion</w:t>
      </w:r>
      <w:r w:rsidR="005A7812" w:rsidRPr="00AC1BD2">
        <w:rPr>
          <w:rFonts w:cs="Arial"/>
          <w:b/>
          <w:szCs w:val="22"/>
        </w:rPr>
        <w:t>s</w:t>
      </w:r>
      <w:r w:rsidR="000C007C" w:rsidRPr="00AC1BD2">
        <w:rPr>
          <w:rFonts w:cs="Arial"/>
          <w:b/>
          <w:szCs w:val="22"/>
        </w:rPr>
        <w:t xml:space="preserve"> </w:t>
      </w:r>
      <w:r w:rsidRPr="00AC1BD2">
        <w:rPr>
          <w:rFonts w:cs="Arial"/>
          <w:b/>
          <w:szCs w:val="22"/>
        </w:rPr>
        <w:t>sur la</w:t>
      </w:r>
      <w:r w:rsidR="000C007C" w:rsidRPr="00AC1BD2">
        <w:rPr>
          <w:rFonts w:cs="Arial"/>
          <w:b/>
          <w:szCs w:val="22"/>
        </w:rPr>
        <w:t xml:space="preserve"> </w:t>
      </w:r>
      <w:r w:rsidRPr="00AC1BD2">
        <w:rPr>
          <w:rFonts w:cs="Arial"/>
          <w:b/>
          <w:szCs w:val="22"/>
        </w:rPr>
        <w:t>trente</w:t>
      </w:r>
      <w:r w:rsidR="00197E51" w:rsidRPr="00AC1BD2">
        <w:rPr>
          <w:rFonts w:cs="Arial"/>
          <w:b/>
          <w:szCs w:val="22"/>
        </w:rPr>
        <w:t> </w:t>
      </w:r>
      <w:r w:rsidRPr="00AC1BD2">
        <w:rPr>
          <w:rFonts w:cs="Arial"/>
          <w:b/>
          <w:szCs w:val="22"/>
        </w:rPr>
        <w:t>et</w:t>
      </w:r>
      <w:r w:rsidR="00197E51" w:rsidRPr="00AC1BD2">
        <w:rPr>
          <w:rFonts w:cs="Arial"/>
          <w:b/>
          <w:szCs w:val="22"/>
        </w:rPr>
        <w:t> </w:t>
      </w:r>
      <w:r w:rsidRPr="00AC1BD2">
        <w:rPr>
          <w:rFonts w:cs="Arial"/>
          <w:b/>
          <w:szCs w:val="22"/>
        </w:rPr>
        <w:t>unième</w:t>
      </w:r>
      <w:r w:rsidR="00197E51" w:rsidRPr="00AC1BD2">
        <w:rPr>
          <w:rFonts w:cs="Arial"/>
          <w:b/>
          <w:szCs w:val="22"/>
        </w:rPr>
        <w:t> </w:t>
      </w:r>
      <w:r w:rsidRPr="00AC1BD2">
        <w:rPr>
          <w:rFonts w:cs="Arial"/>
          <w:b/>
          <w:szCs w:val="22"/>
        </w:rPr>
        <w:t>session de l</w:t>
      </w:r>
      <w:r w:rsidR="00025CB1" w:rsidRPr="00AC1BD2">
        <w:rPr>
          <w:rFonts w:cs="Arial"/>
          <w:b/>
          <w:szCs w:val="22"/>
        </w:rPr>
        <w:t>’</w:t>
      </w:r>
      <w:r w:rsidRPr="00AC1BD2">
        <w:rPr>
          <w:rFonts w:cs="Arial"/>
          <w:b/>
          <w:szCs w:val="22"/>
        </w:rPr>
        <w:t>IGC</w:t>
      </w:r>
    </w:p>
    <w:p w14:paraId="7C2AF6E6" w14:textId="77777777" w:rsidR="0039715D" w:rsidRPr="00C37157" w:rsidRDefault="0039715D" w:rsidP="00243A34">
      <w:pPr>
        <w:tabs>
          <w:tab w:val="left" w:pos="567"/>
        </w:tabs>
        <w:rPr>
          <w:rFonts w:cs="Arial"/>
          <w:szCs w:val="22"/>
        </w:rPr>
      </w:pPr>
    </w:p>
    <w:p w14:paraId="47E102A6" w14:textId="3C103763" w:rsidR="0039715D" w:rsidRPr="00AC1BD2" w:rsidRDefault="0001710C" w:rsidP="00C37157">
      <w:pPr>
        <w:pStyle w:val="ONUMFS"/>
      </w:pPr>
      <w:r w:rsidRPr="00AC1BD2">
        <w:t>L</w:t>
      </w:r>
      <w:r w:rsidR="00B57D64" w:rsidRPr="00AC1BD2">
        <w:t>ors de l</w:t>
      </w:r>
      <w:r w:rsidRPr="00AC1BD2">
        <w:t>a trente</w:t>
      </w:r>
      <w:r w:rsidR="00197E51" w:rsidRPr="00AC1BD2">
        <w:t> </w:t>
      </w:r>
      <w:r w:rsidRPr="00AC1BD2">
        <w:t>et</w:t>
      </w:r>
      <w:r w:rsidR="00197E51" w:rsidRPr="00AC1BD2">
        <w:t> </w:t>
      </w:r>
      <w:r w:rsidRPr="00AC1BD2">
        <w:t>unième</w:t>
      </w:r>
      <w:r w:rsidR="00197E51" w:rsidRPr="00AC1BD2">
        <w:t> </w:t>
      </w:r>
      <w:r w:rsidRPr="00AC1BD2">
        <w:t>session de l</w:t>
      </w:r>
      <w:r w:rsidR="00025CB1" w:rsidRPr="00AC1BD2">
        <w:t>’</w:t>
      </w:r>
      <w:r w:rsidRPr="00AC1BD2">
        <w:t>IGC</w:t>
      </w:r>
      <w:r w:rsidR="000C007C" w:rsidRPr="00AC1BD2">
        <w:t xml:space="preserve"> </w:t>
      </w:r>
      <w:r w:rsidR="00B57D64" w:rsidRPr="00AC1BD2">
        <w:t>s</w:t>
      </w:r>
      <w:r w:rsidR="00025CB1" w:rsidRPr="00AC1BD2">
        <w:t>’</w:t>
      </w:r>
      <w:r w:rsidR="00B57D64" w:rsidRPr="00AC1BD2">
        <w:t xml:space="preserve">est instaurée une discussion approfondie sur la plupart des questions </w:t>
      </w:r>
      <w:r w:rsidR="00F94EC3" w:rsidRPr="00AC1BD2">
        <w:t>essentielles</w:t>
      </w:r>
      <w:r w:rsidR="00B57D64" w:rsidRPr="00AC1BD2">
        <w:t xml:space="preserve"> exposées dans le mandat, </w:t>
      </w:r>
      <w:r w:rsidR="00025CB1" w:rsidRPr="00AC1BD2">
        <w:t>à savoir</w:t>
      </w:r>
      <w:r w:rsidR="00B57D64" w:rsidRPr="00AC1BD2">
        <w:t xml:space="preserve"> les objectifs, les bénéficiaires, l</w:t>
      </w:r>
      <w:r w:rsidR="00025CB1" w:rsidRPr="00AC1BD2">
        <w:t>’</w:t>
      </w:r>
      <w:r w:rsidR="00B57D64" w:rsidRPr="00AC1BD2">
        <w:t>objet, l</w:t>
      </w:r>
      <w:r w:rsidR="00025CB1" w:rsidRPr="00AC1BD2">
        <w:t>’</w:t>
      </w:r>
      <w:r w:rsidR="00B57D64" w:rsidRPr="00AC1BD2">
        <w:t xml:space="preserve">étendue de la protection et la définition de </w:t>
      </w:r>
      <w:r w:rsidR="001E4DB3" w:rsidRPr="00AC1BD2">
        <w:t>“</w:t>
      </w:r>
      <w:r w:rsidR="00B57D64" w:rsidRPr="00AC1BD2">
        <w:t>l</w:t>
      </w:r>
      <w:r w:rsidR="00025CB1" w:rsidRPr="00AC1BD2">
        <w:t>’</w:t>
      </w:r>
      <w:r w:rsidR="00B57D64" w:rsidRPr="00AC1BD2">
        <w:t>appropriation illicite</w:t>
      </w:r>
      <w:r w:rsidR="00806DFE" w:rsidRPr="00AC1BD2">
        <w:t>”</w:t>
      </w:r>
      <w:r w:rsidR="000C007C" w:rsidRPr="00AC1BD2">
        <w:t>.</w:t>
      </w:r>
    </w:p>
    <w:p w14:paraId="1525642B" w14:textId="381AAE93" w:rsidR="00CC115D" w:rsidRPr="00AC1BD2" w:rsidRDefault="00CC115D" w:rsidP="00C37157">
      <w:pPr>
        <w:pStyle w:val="ONUMFS"/>
      </w:pPr>
      <w:r w:rsidRPr="00AC1BD2">
        <w:t xml:space="preserve">Comme prévu dans la méthodologie convenue pour </w:t>
      </w:r>
      <w:r w:rsidR="0001710C" w:rsidRPr="00AC1BD2">
        <w:t>la trente</w:t>
      </w:r>
      <w:r w:rsidR="00197E51" w:rsidRPr="00AC1BD2">
        <w:t> </w:t>
      </w:r>
      <w:r w:rsidR="0001710C" w:rsidRPr="00AC1BD2">
        <w:t>et</w:t>
      </w:r>
      <w:r w:rsidR="00197E51" w:rsidRPr="00AC1BD2">
        <w:t> </w:t>
      </w:r>
      <w:r w:rsidR="0001710C" w:rsidRPr="00AC1BD2">
        <w:t>unième</w:t>
      </w:r>
      <w:r w:rsidR="00197E51" w:rsidRPr="00AC1BD2">
        <w:t> </w:t>
      </w:r>
      <w:r w:rsidR="0001710C" w:rsidRPr="00AC1BD2">
        <w:t>session de l</w:t>
      </w:r>
      <w:r w:rsidR="00025CB1" w:rsidRPr="00AC1BD2">
        <w:t>’</w:t>
      </w:r>
      <w:r w:rsidR="0001710C" w:rsidRPr="00AC1BD2">
        <w:t>IGC</w:t>
      </w:r>
      <w:r w:rsidR="006B1054" w:rsidRPr="00AC1BD2">
        <w:t xml:space="preserve">, </w:t>
      </w:r>
      <w:r w:rsidRPr="00AC1BD2">
        <w:t>les</w:t>
      </w:r>
      <w:r w:rsidR="006B1054" w:rsidRPr="00AC1BD2">
        <w:t xml:space="preserve"> </w:t>
      </w:r>
      <w:r w:rsidR="00EC4199" w:rsidRPr="00AC1BD2">
        <w:t>facilitat</w:t>
      </w:r>
      <w:r w:rsidRPr="00AC1BD2">
        <w:t>eu</w:t>
      </w:r>
      <w:r w:rsidR="00EC4199" w:rsidRPr="00AC1BD2">
        <w:t xml:space="preserve">rs </w:t>
      </w:r>
      <w:r w:rsidRPr="00AC1BD2">
        <w:t>ont établi une deuxième version révisée qui est devenue le</w:t>
      </w:r>
      <w:r w:rsidR="006B1054" w:rsidRPr="00AC1BD2">
        <w:t xml:space="preserve"> document </w:t>
      </w:r>
      <w:proofErr w:type="spellStart"/>
      <w:r w:rsidR="006B1054" w:rsidRPr="00AC1BD2">
        <w:t>WIPO</w:t>
      </w:r>
      <w:proofErr w:type="spellEnd"/>
      <w:r w:rsidR="006B1054" w:rsidRPr="00AC1BD2">
        <w:t>/</w:t>
      </w:r>
      <w:proofErr w:type="spellStart"/>
      <w:r w:rsidR="006B1054" w:rsidRPr="00AC1BD2">
        <w:t>GR</w:t>
      </w:r>
      <w:r w:rsidR="00EF24BB" w:rsidRPr="00AC1BD2">
        <w:t>TK</w:t>
      </w:r>
      <w:r w:rsidR="006B1054" w:rsidRPr="00AC1BD2">
        <w:t>F</w:t>
      </w:r>
      <w:proofErr w:type="spellEnd"/>
      <w:r w:rsidR="006B1054" w:rsidRPr="00AC1BD2">
        <w:t>/IC/32/4</w:t>
      </w:r>
      <w:r w:rsidR="00872695" w:rsidRPr="00AC1BD2">
        <w:t xml:space="preserve">.  </w:t>
      </w:r>
      <w:r w:rsidR="00212B1F" w:rsidRPr="00AC1BD2">
        <w:t>Selon moi, i</w:t>
      </w:r>
      <w:r w:rsidRPr="00AC1BD2">
        <w:t>ls sont parvenus à</w:t>
      </w:r>
      <w:r w:rsidR="00212B1F" w:rsidRPr="00AC1BD2">
        <w:t xml:space="preserve"> inclure dans ce document, de façon concise et ordonnée, tous les points de vue exprimés </w:t>
      </w:r>
      <w:r w:rsidR="00EB7100" w:rsidRPr="00AC1BD2">
        <w:t>sur les</w:t>
      </w:r>
      <w:r w:rsidR="00212B1F" w:rsidRPr="00AC1BD2">
        <w:t xml:space="preserve"> questions </w:t>
      </w:r>
      <w:r w:rsidR="00F94EC3" w:rsidRPr="00AC1BD2">
        <w:t>essentielles</w:t>
      </w:r>
      <w:r w:rsidR="00212B1F" w:rsidRPr="00AC1BD2">
        <w:t xml:space="preserve"> débattues lors de la trente</w:t>
      </w:r>
      <w:r w:rsidR="00197E51" w:rsidRPr="00AC1BD2">
        <w:t> </w:t>
      </w:r>
      <w:r w:rsidR="00212B1F" w:rsidRPr="00AC1BD2">
        <w:t>et</w:t>
      </w:r>
      <w:r w:rsidR="00197E51" w:rsidRPr="00AC1BD2">
        <w:t> </w:t>
      </w:r>
      <w:r w:rsidR="00212B1F" w:rsidRPr="00AC1BD2">
        <w:t>unième</w:t>
      </w:r>
      <w:r w:rsidR="00197E51" w:rsidRPr="00AC1BD2">
        <w:t> </w:t>
      </w:r>
      <w:r w:rsidR="00212B1F" w:rsidRPr="00AC1BD2">
        <w:t>session de l</w:t>
      </w:r>
      <w:r w:rsidR="00025CB1" w:rsidRPr="00AC1BD2">
        <w:t>’</w:t>
      </w:r>
      <w:r w:rsidR="00512111" w:rsidRPr="00AC1BD2">
        <w:t>IGC.  Il</w:t>
      </w:r>
      <w:r w:rsidR="00EB7100" w:rsidRPr="00AC1BD2">
        <w:t xml:space="preserve">s ont en particulier clairement exposé les différentes positions des États membres, </w:t>
      </w:r>
      <w:r w:rsidR="0006415D" w:rsidRPr="00AC1BD2">
        <w:t>énoncées dans le texte sous forme de variant</w:t>
      </w:r>
      <w:r w:rsidR="00512111" w:rsidRPr="00AC1BD2">
        <w:t>es.  Il</w:t>
      </w:r>
      <w:r w:rsidR="0006415D" w:rsidRPr="00AC1BD2">
        <w:t xml:space="preserve"> importera, au cours de la trente</w:t>
      </w:r>
      <w:r w:rsidR="00243A34" w:rsidRPr="00AC1BD2">
        <w:noBreakHyphen/>
      </w:r>
      <w:r w:rsidR="0006415D" w:rsidRPr="00AC1BD2">
        <w:t>deuxième</w:t>
      </w:r>
      <w:r w:rsidR="00197E51" w:rsidRPr="00AC1BD2">
        <w:t> </w:t>
      </w:r>
      <w:r w:rsidR="0006415D" w:rsidRPr="00AC1BD2">
        <w:t>session de l</w:t>
      </w:r>
      <w:r w:rsidR="00025CB1" w:rsidRPr="00AC1BD2">
        <w:t>’</w:t>
      </w:r>
      <w:r w:rsidR="0006415D" w:rsidRPr="00AC1BD2">
        <w:t xml:space="preserve">IGC, que nous tentions de rapprocher ces </w:t>
      </w:r>
      <w:r w:rsidR="00AF24CC" w:rsidRPr="00AC1BD2">
        <w:t>points de vue</w:t>
      </w:r>
      <w:r w:rsidR="0006415D" w:rsidRPr="00AC1BD2">
        <w:t>, conformément au mandat.</w:t>
      </w:r>
    </w:p>
    <w:p w14:paraId="6FA8DEB4" w14:textId="318885A0" w:rsidR="0006415D" w:rsidRPr="00AC1BD2" w:rsidRDefault="0006415D" w:rsidP="00C37157">
      <w:pPr>
        <w:pStyle w:val="ONUMFS"/>
      </w:pPr>
      <w:r w:rsidRPr="00AC1BD2">
        <w:t>Comme vous vous en souvenez peut</w:t>
      </w:r>
      <w:r w:rsidR="00243A34" w:rsidRPr="00AC1BD2">
        <w:noBreakHyphen/>
      </w:r>
      <w:r w:rsidRPr="00AC1BD2">
        <w:t>être, j</w:t>
      </w:r>
      <w:r w:rsidR="00025CB1" w:rsidRPr="00AC1BD2">
        <w:t>’</w:t>
      </w:r>
      <w:r w:rsidRPr="00AC1BD2">
        <w:t xml:space="preserve">ai dressé une </w:t>
      </w:r>
      <w:r w:rsidR="001E4DB3" w:rsidRPr="00AC1BD2">
        <w:t>“</w:t>
      </w:r>
      <w:r w:rsidRPr="00AC1BD2">
        <w:t>Liste indicative de questions en suspens à aborder ou régler à la prochaine session</w:t>
      </w:r>
      <w:r w:rsidR="00806DFE" w:rsidRPr="00AC1BD2">
        <w:t>”</w:t>
      </w:r>
      <w:r w:rsidRPr="00AC1BD2">
        <w:t>, que l</w:t>
      </w:r>
      <w:r w:rsidR="00025CB1" w:rsidRPr="00AC1BD2">
        <w:t>’</w:t>
      </w:r>
      <w:r w:rsidRPr="00AC1BD2">
        <w:t>IGC, lors de sa trente</w:t>
      </w:r>
      <w:r w:rsidR="00197E51" w:rsidRPr="00AC1BD2">
        <w:t> </w:t>
      </w:r>
      <w:r w:rsidRPr="00AC1BD2">
        <w:t>et</w:t>
      </w:r>
      <w:r w:rsidR="00197E51" w:rsidRPr="00AC1BD2">
        <w:t> </w:t>
      </w:r>
      <w:r w:rsidRPr="00AC1BD2">
        <w:t>unième</w:t>
      </w:r>
      <w:r w:rsidR="00197E51" w:rsidRPr="00AC1BD2">
        <w:t> </w:t>
      </w:r>
      <w:r w:rsidRPr="00AC1BD2">
        <w:t>session, a décidé de traiter à sa trente</w:t>
      </w:r>
      <w:r w:rsidR="00243A34" w:rsidRPr="00AC1BD2">
        <w:noBreakHyphen/>
      </w:r>
      <w:r w:rsidRPr="00AC1BD2">
        <w:t>deuxième</w:t>
      </w:r>
      <w:r w:rsidR="00197E51" w:rsidRPr="00AC1BD2">
        <w:t> </w:t>
      </w:r>
      <w:r w:rsidRPr="00AC1BD2">
        <w:t xml:space="preserve">session et qui forme le document </w:t>
      </w:r>
      <w:proofErr w:type="spellStart"/>
      <w:r w:rsidRPr="00AC1BD2">
        <w:t>WIPO</w:t>
      </w:r>
      <w:proofErr w:type="spellEnd"/>
      <w:r w:rsidRPr="00AC1BD2">
        <w:t>/</w:t>
      </w:r>
      <w:proofErr w:type="spellStart"/>
      <w:r w:rsidR="00EF24BB" w:rsidRPr="00AC1BD2">
        <w:t>GRTK</w:t>
      </w:r>
      <w:r w:rsidRPr="00AC1BD2">
        <w:t>F</w:t>
      </w:r>
      <w:proofErr w:type="spellEnd"/>
      <w:r w:rsidRPr="00AC1BD2">
        <w:t>/IC/32/5</w:t>
      </w:r>
      <w:r w:rsidR="00872695" w:rsidRPr="00AC1BD2">
        <w:t xml:space="preserve">.  </w:t>
      </w:r>
      <w:r w:rsidRPr="00AC1BD2">
        <w:t>Cette liste a simplement pour but d</w:t>
      </w:r>
      <w:r w:rsidR="00025CB1" w:rsidRPr="00AC1BD2">
        <w:t>’</w:t>
      </w:r>
      <w:r w:rsidRPr="00AC1BD2">
        <w:t>orienter nos travaux lors de la trente</w:t>
      </w:r>
      <w:r w:rsidR="00243A34" w:rsidRPr="00AC1BD2">
        <w:noBreakHyphen/>
      </w:r>
      <w:r w:rsidRPr="00AC1BD2">
        <w:t>deuxième</w:t>
      </w:r>
      <w:r w:rsidR="00197E51" w:rsidRPr="00AC1BD2">
        <w:t> </w:t>
      </w:r>
      <w:r w:rsidRPr="00AC1BD2">
        <w:t>session de l</w:t>
      </w:r>
      <w:r w:rsidR="00025CB1" w:rsidRPr="00AC1BD2">
        <w:t>’</w:t>
      </w:r>
      <w:r w:rsidRPr="00AC1BD2">
        <w:t>IGC, et je n</w:t>
      </w:r>
      <w:r w:rsidR="00025CB1" w:rsidRPr="00AC1BD2">
        <w:t>’</w:t>
      </w:r>
      <w:r w:rsidRPr="00AC1BD2">
        <w:t>ai pas l</w:t>
      </w:r>
      <w:r w:rsidR="00025CB1" w:rsidRPr="00AC1BD2">
        <w:t>’</w:t>
      </w:r>
      <w:r w:rsidRPr="00AC1BD2">
        <w:t xml:space="preserve">intention de </w:t>
      </w:r>
      <w:r w:rsidR="006234B6" w:rsidRPr="00AC1BD2">
        <w:t>rouvrir</w:t>
      </w:r>
      <w:r w:rsidRPr="00AC1BD2">
        <w:t xml:space="preserve"> le débat à son prop</w:t>
      </w:r>
      <w:r w:rsidR="00512111" w:rsidRPr="00AC1BD2">
        <w:t xml:space="preserve">os.  À </w:t>
      </w:r>
      <w:r w:rsidR="00156C63" w:rsidRPr="00AC1BD2">
        <w:t>la fin de la trente</w:t>
      </w:r>
      <w:r w:rsidR="00197E51" w:rsidRPr="00AC1BD2">
        <w:t> </w:t>
      </w:r>
      <w:r w:rsidR="00156C63" w:rsidRPr="00AC1BD2">
        <w:t>et</w:t>
      </w:r>
      <w:r w:rsidR="00197E51" w:rsidRPr="00AC1BD2">
        <w:t> </w:t>
      </w:r>
      <w:r w:rsidR="00156C63" w:rsidRPr="00AC1BD2">
        <w:t>unième</w:t>
      </w:r>
      <w:r w:rsidR="00197E51" w:rsidRPr="00AC1BD2">
        <w:t> </w:t>
      </w:r>
      <w:r w:rsidR="00156C63" w:rsidRPr="00AC1BD2">
        <w:t>session de l</w:t>
      </w:r>
      <w:r w:rsidR="00025CB1" w:rsidRPr="00AC1BD2">
        <w:t>’</w:t>
      </w:r>
      <w:r w:rsidR="00156C63" w:rsidRPr="00AC1BD2">
        <w:t>IGC, plusieurs observations que j</w:t>
      </w:r>
      <w:r w:rsidR="00025CB1" w:rsidRPr="00AC1BD2">
        <w:t>’</w:t>
      </w:r>
      <w:r w:rsidR="00156C63" w:rsidRPr="00AC1BD2">
        <w:t>ai trouvées utiles ont été formulées à son suj</w:t>
      </w:r>
      <w:r w:rsidR="00512111" w:rsidRPr="00AC1BD2">
        <w:t>et.  En</w:t>
      </w:r>
      <w:r w:rsidR="00156C63" w:rsidRPr="00AC1BD2">
        <w:t xml:space="preserve"> voici le résumé</w:t>
      </w:r>
      <w:r w:rsidR="00025CB1" w:rsidRPr="00AC1BD2">
        <w:t> :</w:t>
      </w:r>
    </w:p>
    <w:p w14:paraId="1714C4A4" w14:textId="4B37E794" w:rsidR="00156C63" w:rsidRPr="00AC1BD2" w:rsidRDefault="00156C63" w:rsidP="00243A34">
      <w:pPr>
        <w:numPr>
          <w:ilvl w:val="0"/>
          <w:numId w:val="23"/>
        </w:numPr>
        <w:tabs>
          <w:tab w:val="left" w:pos="567"/>
        </w:tabs>
        <w:ind w:left="1134" w:hanging="567"/>
        <w:rPr>
          <w:rFonts w:cs="Arial"/>
          <w:szCs w:val="22"/>
        </w:rPr>
      </w:pPr>
      <w:r w:rsidRPr="00AC1BD2">
        <w:rPr>
          <w:rFonts w:cs="Arial"/>
          <w:szCs w:val="22"/>
        </w:rPr>
        <w:t xml:space="preserve">Le </w:t>
      </w:r>
      <w:proofErr w:type="spellStart"/>
      <w:r w:rsidR="00212253" w:rsidRPr="00AC1BD2">
        <w:rPr>
          <w:rFonts w:cs="Arial"/>
          <w:szCs w:val="22"/>
        </w:rPr>
        <w:t>GRULAC</w:t>
      </w:r>
      <w:proofErr w:type="spellEnd"/>
      <w:r w:rsidR="00212253" w:rsidRPr="00AC1BD2">
        <w:rPr>
          <w:rFonts w:cs="Arial"/>
          <w:szCs w:val="22"/>
        </w:rPr>
        <w:t xml:space="preserve"> </w:t>
      </w:r>
      <w:r w:rsidRPr="00AC1BD2">
        <w:rPr>
          <w:rFonts w:cs="Arial"/>
          <w:szCs w:val="22"/>
        </w:rPr>
        <w:t>a fait remarquer que l</w:t>
      </w:r>
      <w:r w:rsidR="00025CB1" w:rsidRPr="00AC1BD2">
        <w:rPr>
          <w:rFonts w:cs="Arial"/>
          <w:szCs w:val="22"/>
        </w:rPr>
        <w:t>’</w:t>
      </w:r>
      <w:r w:rsidRPr="00AC1BD2">
        <w:rPr>
          <w:rFonts w:cs="Arial"/>
          <w:szCs w:val="22"/>
        </w:rPr>
        <w:t xml:space="preserve">expression </w:t>
      </w:r>
      <w:r w:rsidR="001E4DB3" w:rsidRPr="00AC1BD2">
        <w:rPr>
          <w:rFonts w:cs="Arial"/>
          <w:szCs w:val="22"/>
        </w:rPr>
        <w:t>“</w:t>
      </w:r>
      <w:r w:rsidRPr="00AC1BD2">
        <w:rPr>
          <w:rFonts w:cs="Arial"/>
          <w:szCs w:val="22"/>
        </w:rPr>
        <w:t>peuples autochtones</w:t>
      </w:r>
      <w:r w:rsidR="00806DFE" w:rsidRPr="00AC1BD2">
        <w:rPr>
          <w:rFonts w:cs="Arial"/>
          <w:szCs w:val="22"/>
        </w:rPr>
        <w:t>”</w:t>
      </w:r>
      <w:r w:rsidRPr="00AC1BD2">
        <w:rPr>
          <w:rFonts w:cs="Arial"/>
          <w:szCs w:val="22"/>
        </w:rPr>
        <w:t xml:space="preserve"> ne devrait pas être entre croche</w:t>
      </w:r>
      <w:r w:rsidR="00512111" w:rsidRPr="00AC1BD2">
        <w:rPr>
          <w:rFonts w:cs="Arial"/>
          <w:szCs w:val="22"/>
        </w:rPr>
        <w:t>ts.  Il</w:t>
      </w:r>
      <w:r w:rsidRPr="00AC1BD2">
        <w:rPr>
          <w:rFonts w:cs="Arial"/>
          <w:szCs w:val="22"/>
        </w:rPr>
        <w:t xml:space="preserve"> a observé qu</w:t>
      </w:r>
      <w:r w:rsidR="00025CB1" w:rsidRPr="00AC1BD2">
        <w:rPr>
          <w:rFonts w:cs="Arial"/>
          <w:szCs w:val="22"/>
        </w:rPr>
        <w:t>’</w:t>
      </w:r>
      <w:r w:rsidRPr="00AC1BD2">
        <w:rPr>
          <w:rFonts w:cs="Arial"/>
          <w:szCs w:val="22"/>
        </w:rPr>
        <w:t>il serait plus exact de remplacer, au point</w:t>
      </w:r>
      <w:r w:rsidR="00197E51" w:rsidRPr="00AC1BD2">
        <w:rPr>
          <w:rFonts w:cs="Arial"/>
          <w:szCs w:val="22"/>
        </w:rPr>
        <w:t> </w:t>
      </w:r>
      <w:r w:rsidRPr="00AC1BD2">
        <w:rPr>
          <w:rFonts w:cs="Arial"/>
          <w:szCs w:val="22"/>
        </w:rPr>
        <w:t>2</w:t>
      </w:r>
      <w:r w:rsidR="00872695" w:rsidRPr="00AC1BD2">
        <w:rPr>
          <w:rFonts w:cs="Arial"/>
          <w:szCs w:val="22"/>
        </w:rPr>
        <w:t xml:space="preserve"> </w:t>
      </w:r>
      <w:r w:rsidR="00AF24CC" w:rsidRPr="00AC1BD2">
        <w:rPr>
          <w:rFonts w:cs="Arial"/>
          <w:szCs w:val="22"/>
        </w:rPr>
        <w:t>“</w:t>
      </w:r>
      <w:r w:rsidRPr="00AC1BD2">
        <w:rPr>
          <w:rFonts w:cs="Arial"/>
          <w:szCs w:val="22"/>
        </w:rPr>
        <w:t>Objet</w:t>
      </w:r>
      <w:r w:rsidR="00AF24CC" w:rsidRPr="00AC1BD2">
        <w:rPr>
          <w:rFonts w:cs="Arial"/>
          <w:szCs w:val="22"/>
        </w:rPr>
        <w:t>”</w:t>
      </w:r>
      <w:r w:rsidR="00C448DB" w:rsidRPr="00AC1BD2">
        <w:rPr>
          <w:rFonts w:cs="Arial"/>
          <w:szCs w:val="22"/>
        </w:rPr>
        <w:t>,</w:t>
      </w:r>
      <w:r w:rsidRPr="00AC1BD2">
        <w:rPr>
          <w:rFonts w:cs="Arial"/>
          <w:szCs w:val="22"/>
        </w:rPr>
        <w:t xml:space="preserve"> </w:t>
      </w:r>
      <w:r w:rsidR="001E4DB3" w:rsidRPr="00AC1BD2">
        <w:rPr>
          <w:rFonts w:cs="Arial"/>
          <w:szCs w:val="22"/>
        </w:rPr>
        <w:t>“</w:t>
      </w:r>
      <w:r w:rsidRPr="00AC1BD2">
        <w:rPr>
          <w:rFonts w:cs="Arial"/>
          <w:szCs w:val="22"/>
        </w:rPr>
        <w:t>Question de savoir où il convient d</w:t>
      </w:r>
      <w:r w:rsidR="00025CB1" w:rsidRPr="00AC1BD2">
        <w:rPr>
          <w:rFonts w:cs="Arial"/>
          <w:szCs w:val="22"/>
        </w:rPr>
        <w:t>’</w:t>
      </w:r>
      <w:r w:rsidRPr="00AC1BD2">
        <w:rPr>
          <w:rFonts w:cs="Arial"/>
          <w:szCs w:val="22"/>
        </w:rPr>
        <w:t>inclure des critères à remplir et de quelle manière</w:t>
      </w:r>
      <w:r w:rsidR="00806DFE" w:rsidRPr="00AC1BD2">
        <w:rPr>
          <w:rFonts w:cs="Arial"/>
          <w:szCs w:val="22"/>
        </w:rPr>
        <w:t>”</w:t>
      </w:r>
      <w:r w:rsidRPr="00AC1BD2">
        <w:rPr>
          <w:rFonts w:cs="Arial"/>
          <w:szCs w:val="22"/>
        </w:rPr>
        <w:t xml:space="preserve"> par </w:t>
      </w:r>
      <w:r w:rsidR="001E4DB3" w:rsidRPr="00AC1BD2">
        <w:rPr>
          <w:rFonts w:cs="Arial"/>
          <w:szCs w:val="22"/>
        </w:rPr>
        <w:t>“</w:t>
      </w:r>
      <w:r w:rsidRPr="00AC1BD2">
        <w:rPr>
          <w:rFonts w:cs="Arial"/>
          <w:szCs w:val="22"/>
        </w:rPr>
        <w:t>Question de savoir s</w:t>
      </w:r>
      <w:r w:rsidR="00025CB1" w:rsidRPr="00AC1BD2">
        <w:rPr>
          <w:rFonts w:cs="Arial"/>
          <w:szCs w:val="22"/>
        </w:rPr>
        <w:t>’</w:t>
      </w:r>
      <w:r w:rsidRPr="00AC1BD2">
        <w:rPr>
          <w:rFonts w:cs="Arial"/>
          <w:szCs w:val="22"/>
        </w:rPr>
        <w:t>il convient de prévoir des critères à remplir</w:t>
      </w:r>
      <w:r w:rsidR="00806DFE" w:rsidRPr="00AC1BD2">
        <w:rPr>
          <w:rFonts w:cs="Arial"/>
          <w:szCs w:val="22"/>
        </w:rPr>
        <w:t>”</w:t>
      </w:r>
      <w:r w:rsidR="00872695" w:rsidRPr="00AC1BD2">
        <w:rPr>
          <w:rFonts w:cs="Arial"/>
          <w:szCs w:val="22"/>
        </w:rPr>
        <w:t xml:space="preserve">.  </w:t>
      </w:r>
      <w:r w:rsidRPr="00AC1BD2">
        <w:rPr>
          <w:rFonts w:cs="Arial"/>
          <w:szCs w:val="22"/>
        </w:rPr>
        <w:t>Il a suggéré d</w:t>
      </w:r>
      <w:r w:rsidR="00025CB1" w:rsidRPr="00AC1BD2">
        <w:rPr>
          <w:rFonts w:cs="Arial"/>
          <w:szCs w:val="22"/>
        </w:rPr>
        <w:t>’</w:t>
      </w:r>
      <w:r w:rsidRPr="00AC1BD2">
        <w:rPr>
          <w:rFonts w:cs="Arial"/>
          <w:szCs w:val="22"/>
        </w:rPr>
        <w:t>ajouter un élément à prendre en considération</w:t>
      </w:r>
      <w:r w:rsidR="00025CB1" w:rsidRPr="00AC1BD2">
        <w:rPr>
          <w:rFonts w:cs="Arial"/>
          <w:szCs w:val="22"/>
        </w:rPr>
        <w:t> </w:t>
      </w:r>
      <w:proofErr w:type="gramStart"/>
      <w:r w:rsidR="00025CB1" w:rsidRPr="00AC1BD2">
        <w:rPr>
          <w:rFonts w:cs="Arial"/>
          <w:szCs w:val="22"/>
        </w:rPr>
        <w:t>:</w:t>
      </w:r>
      <w:r w:rsidRPr="00AC1BD2">
        <w:rPr>
          <w:rFonts w:cs="Arial"/>
          <w:szCs w:val="22"/>
        </w:rPr>
        <w:t xml:space="preserve"> </w:t>
      </w:r>
      <w:r w:rsidR="001E4DB3" w:rsidRPr="00AC1BD2">
        <w:rPr>
          <w:rFonts w:cs="Arial"/>
          <w:szCs w:val="22"/>
        </w:rPr>
        <w:t>“</w:t>
      </w:r>
      <w:proofErr w:type="gramEnd"/>
      <w:r w:rsidR="00C448DB" w:rsidRPr="00AC1BD2">
        <w:rPr>
          <w:rFonts w:cs="Arial"/>
          <w:szCs w:val="22"/>
        </w:rPr>
        <w:t>Tenir compte du chevauchement entre savoirs traditionnels et expressions culturelles traditionnelles</w:t>
      </w:r>
      <w:r w:rsidR="00806DFE" w:rsidRPr="00AC1BD2">
        <w:rPr>
          <w:rFonts w:cs="Arial"/>
          <w:szCs w:val="22"/>
        </w:rPr>
        <w:t>”</w:t>
      </w:r>
      <w:r w:rsidR="00C448DB" w:rsidRPr="00AC1BD2">
        <w:rPr>
          <w:rFonts w:cs="Arial"/>
          <w:szCs w:val="22"/>
        </w:rPr>
        <w:t>.</w:t>
      </w:r>
    </w:p>
    <w:p w14:paraId="55C4DE9B" w14:textId="77777777" w:rsidR="0039715D" w:rsidRPr="00AC1BD2" w:rsidRDefault="0039715D" w:rsidP="00243A34">
      <w:pPr>
        <w:tabs>
          <w:tab w:val="left" w:pos="567"/>
        </w:tabs>
        <w:rPr>
          <w:rFonts w:cs="Arial"/>
          <w:szCs w:val="22"/>
        </w:rPr>
      </w:pPr>
    </w:p>
    <w:p w14:paraId="37EA0611" w14:textId="7556753B" w:rsidR="00C448DB" w:rsidRPr="00AC1BD2" w:rsidRDefault="00C448DB" w:rsidP="00243A34">
      <w:pPr>
        <w:numPr>
          <w:ilvl w:val="0"/>
          <w:numId w:val="23"/>
        </w:numPr>
        <w:tabs>
          <w:tab w:val="left" w:pos="567"/>
        </w:tabs>
        <w:ind w:left="1134" w:hanging="567"/>
        <w:rPr>
          <w:rFonts w:cs="Arial"/>
          <w:szCs w:val="22"/>
        </w:rPr>
      </w:pPr>
      <w:r w:rsidRPr="00AC1BD2">
        <w:rPr>
          <w:rFonts w:cs="Arial"/>
          <w:szCs w:val="22"/>
        </w:rPr>
        <w:t>Les tribus</w:t>
      </w:r>
      <w:r w:rsidR="00EB3C60" w:rsidRPr="00AC1BD2">
        <w:rPr>
          <w:rFonts w:cs="Arial"/>
          <w:szCs w:val="22"/>
        </w:rPr>
        <w:t xml:space="preserve"> </w:t>
      </w:r>
      <w:proofErr w:type="spellStart"/>
      <w:r w:rsidR="00D336B4" w:rsidRPr="00AC1BD2">
        <w:rPr>
          <w:rFonts w:cs="Arial"/>
          <w:szCs w:val="22"/>
        </w:rPr>
        <w:t>Tulalip</w:t>
      </w:r>
      <w:proofErr w:type="spellEnd"/>
      <w:r w:rsidR="00D336B4" w:rsidRPr="00AC1BD2">
        <w:rPr>
          <w:rFonts w:cs="Arial"/>
          <w:szCs w:val="22"/>
        </w:rPr>
        <w:t xml:space="preserve"> </w:t>
      </w:r>
      <w:r w:rsidR="006234B6" w:rsidRPr="00AC1BD2">
        <w:rPr>
          <w:rFonts w:cs="Arial"/>
          <w:szCs w:val="22"/>
        </w:rPr>
        <w:t>ont observé que, au point</w:t>
      </w:r>
      <w:r w:rsidR="00197E51" w:rsidRPr="00AC1BD2">
        <w:rPr>
          <w:rFonts w:cs="Arial"/>
          <w:szCs w:val="22"/>
        </w:rPr>
        <w:t> </w:t>
      </w:r>
      <w:r w:rsidR="006234B6" w:rsidRPr="00AC1BD2">
        <w:rPr>
          <w:rFonts w:cs="Arial"/>
          <w:szCs w:val="22"/>
        </w:rPr>
        <w:t>1</w:t>
      </w:r>
      <w:r w:rsidR="00BD0A6E" w:rsidRPr="00AC1BD2">
        <w:rPr>
          <w:rFonts w:cs="Arial"/>
          <w:szCs w:val="22"/>
        </w:rPr>
        <w:t> </w:t>
      </w:r>
      <w:r w:rsidR="001E4DB3" w:rsidRPr="00AC1BD2">
        <w:rPr>
          <w:rFonts w:cs="Arial"/>
          <w:szCs w:val="22"/>
        </w:rPr>
        <w:t>“</w:t>
      </w:r>
      <w:r w:rsidR="006234B6" w:rsidRPr="00AC1BD2">
        <w:rPr>
          <w:rFonts w:cs="Arial"/>
          <w:szCs w:val="22"/>
        </w:rPr>
        <w:t>Usage et signification de certains termes et concepts</w:t>
      </w:r>
      <w:r w:rsidR="00806DFE" w:rsidRPr="00AC1BD2">
        <w:rPr>
          <w:rFonts w:cs="Arial"/>
          <w:szCs w:val="22"/>
        </w:rPr>
        <w:t>”</w:t>
      </w:r>
      <w:r w:rsidR="006234B6" w:rsidRPr="00AC1BD2">
        <w:rPr>
          <w:rFonts w:cs="Arial"/>
          <w:szCs w:val="22"/>
        </w:rPr>
        <w:t>, il serait utile d</w:t>
      </w:r>
      <w:r w:rsidR="00025CB1" w:rsidRPr="00AC1BD2">
        <w:rPr>
          <w:rFonts w:cs="Arial"/>
          <w:szCs w:val="22"/>
        </w:rPr>
        <w:t>’</w:t>
      </w:r>
      <w:r w:rsidR="006234B6" w:rsidRPr="00AC1BD2">
        <w:rPr>
          <w:rFonts w:cs="Arial"/>
          <w:szCs w:val="22"/>
        </w:rPr>
        <w:t xml:space="preserve">expliquer </w:t>
      </w:r>
      <w:r w:rsidR="00AF24CC" w:rsidRPr="00AC1BD2">
        <w:rPr>
          <w:rFonts w:cs="Arial"/>
          <w:szCs w:val="22"/>
        </w:rPr>
        <w:t>les “</w:t>
      </w:r>
      <w:r w:rsidR="00DA607C" w:rsidRPr="00AC1BD2">
        <w:rPr>
          <w:rFonts w:cs="Arial"/>
          <w:szCs w:val="22"/>
        </w:rPr>
        <w:t>droits moraux</w:t>
      </w:r>
      <w:r w:rsidR="00AF24CC" w:rsidRPr="00AC1BD2">
        <w:rPr>
          <w:rFonts w:cs="Arial"/>
          <w:szCs w:val="22"/>
        </w:rPr>
        <w:t>”</w:t>
      </w:r>
      <w:r w:rsidR="00DA607C" w:rsidRPr="00AC1BD2">
        <w:rPr>
          <w:rFonts w:cs="Arial"/>
          <w:szCs w:val="22"/>
        </w:rPr>
        <w:t xml:space="preserve"> et, au point</w:t>
      </w:r>
      <w:r w:rsidR="00197E51" w:rsidRPr="00AC1BD2">
        <w:rPr>
          <w:rFonts w:cs="Arial"/>
          <w:szCs w:val="22"/>
        </w:rPr>
        <w:t> </w:t>
      </w:r>
      <w:r w:rsidR="00DA607C" w:rsidRPr="00AC1BD2">
        <w:rPr>
          <w:rFonts w:cs="Arial"/>
          <w:szCs w:val="22"/>
        </w:rPr>
        <w:t>4</w:t>
      </w:r>
      <w:r w:rsidR="00BD0A6E" w:rsidRPr="00AC1BD2">
        <w:rPr>
          <w:rFonts w:cs="Arial"/>
          <w:szCs w:val="22"/>
        </w:rPr>
        <w:t> </w:t>
      </w:r>
      <w:r w:rsidR="001E4DB3" w:rsidRPr="00AC1BD2">
        <w:rPr>
          <w:rFonts w:cs="Arial"/>
          <w:szCs w:val="22"/>
        </w:rPr>
        <w:t>“</w:t>
      </w:r>
      <w:r w:rsidR="00DA607C" w:rsidRPr="00AC1BD2">
        <w:rPr>
          <w:rFonts w:cs="Arial"/>
          <w:szCs w:val="22"/>
        </w:rPr>
        <w:t>Étendue de la protection</w:t>
      </w:r>
      <w:r w:rsidR="00806DFE" w:rsidRPr="00AC1BD2">
        <w:rPr>
          <w:rFonts w:cs="Arial"/>
          <w:szCs w:val="22"/>
        </w:rPr>
        <w:t>”, d</w:t>
      </w:r>
      <w:r w:rsidR="00025CB1" w:rsidRPr="00AC1BD2">
        <w:rPr>
          <w:rFonts w:cs="Arial"/>
          <w:szCs w:val="22"/>
        </w:rPr>
        <w:t>’</w:t>
      </w:r>
      <w:r w:rsidR="00806DFE" w:rsidRPr="00AC1BD2">
        <w:rPr>
          <w:rFonts w:cs="Arial"/>
          <w:szCs w:val="22"/>
        </w:rPr>
        <w:t>ajouter après “</w:t>
      </w:r>
      <w:r w:rsidR="00DA607C" w:rsidRPr="00AC1BD2">
        <w:rPr>
          <w:rFonts w:cs="Arial"/>
          <w:szCs w:val="22"/>
        </w:rPr>
        <w:t>droits économiques et/ou moraux</w:t>
      </w:r>
      <w:r w:rsidR="00806DFE" w:rsidRPr="00AC1BD2">
        <w:rPr>
          <w:rFonts w:cs="Arial"/>
          <w:szCs w:val="22"/>
        </w:rPr>
        <w:t xml:space="preserve">” </w:t>
      </w:r>
      <w:r w:rsidR="00AF24CC" w:rsidRPr="00AC1BD2">
        <w:rPr>
          <w:rFonts w:cs="Arial"/>
          <w:szCs w:val="22"/>
        </w:rPr>
        <w:t>“</w:t>
      </w:r>
      <w:r w:rsidR="00DA607C" w:rsidRPr="00AC1BD2">
        <w:rPr>
          <w:rFonts w:cs="Arial"/>
          <w:szCs w:val="22"/>
        </w:rPr>
        <w:t>et autres droits pertinents</w:t>
      </w:r>
      <w:r w:rsidR="00806DFE" w:rsidRPr="00AC1BD2">
        <w:rPr>
          <w:rFonts w:cs="Arial"/>
          <w:szCs w:val="22"/>
        </w:rPr>
        <w:t>”</w:t>
      </w:r>
      <w:r w:rsidR="00DA607C" w:rsidRPr="00AC1BD2">
        <w:rPr>
          <w:rFonts w:cs="Arial"/>
          <w:szCs w:val="22"/>
        </w:rPr>
        <w:t>, de manière à tenir compte de tous les droits à respecter pour appliquer l</w:t>
      </w:r>
      <w:r w:rsidR="00025CB1" w:rsidRPr="00AC1BD2">
        <w:rPr>
          <w:rFonts w:cs="Arial"/>
          <w:szCs w:val="22"/>
        </w:rPr>
        <w:t>’</w:t>
      </w:r>
      <w:r w:rsidR="00DA607C" w:rsidRPr="00AC1BD2">
        <w:rPr>
          <w:rFonts w:cs="Arial"/>
          <w:szCs w:val="22"/>
        </w:rPr>
        <w:t>approche progressive.</w:t>
      </w:r>
    </w:p>
    <w:p w14:paraId="2C2FF284" w14:textId="77777777" w:rsidR="0039715D" w:rsidRPr="00AC1BD2" w:rsidRDefault="0039715D" w:rsidP="00243A34">
      <w:pPr>
        <w:tabs>
          <w:tab w:val="left" w:pos="567"/>
        </w:tabs>
        <w:rPr>
          <w:rFonts w:cs="Arial"/>
          <w:szCs w:val="22"/>
        </w:rPr>
      </w:pPr>
    </w:p>
    <w:p w14:paraId="197E6622" w14:textId="647AEE38" w:rsidR="00AC5B84" w:rsidRPr="00AC1BD2" w:rsidRDefault="00AC5B84" w:rsidP="00243A34">
      <w:pPr>
        <w:numPr>
          <w:ilvl w:val="0"/>
          <w:numId w:val="23"/>
        </w:numPr>
        <w:tabs>
          <w:tab w:val="left" w:pos="567"/>
        </w:tabs>
        <w:ind w:left="1134" w:hanging="567"/>
        <w:rPr>
          <w:rFonts w:cs="Arial"/>
          <w:szCs w:val="22"/>
        </w:rPr>
      </w:pPr>
      <w:r w:rsidRPr="00AC1BD2">
        <w:rPr>
          <w:rFonts w:cs="Arial"/>
          <w:szCs w:val="22"/>
        </w:rPr>
        <w:t xml:space="preserve">Le </w:t>
      </w:r>
      <w:r w:rsidR="00255CB1" w:rsidRPr="00AC1BD2">
        <w:rPr>
          <w:rFonts w:cs="Arial"/>
          <w:szCs w:val="22"/>
        </w:rPr>
        <w:t xml:space="preserve">Canada, </w:t>
      </w:r>
      <w:r w:rsidRPr="00AC1BD2">
        <w:rPr>
          <w:rFonts w:cs="Arial"/>
          <w:szCs w:val="22"/>
        </w:rPr>
        <w:t>les États</w:t>
      </w:r>
      <w:r w:rsidR="00243A34" w:rsidRPr="00AC1BD2">
        <w:rPr>
          <w:rFonts w:cs="Arial"/>
          <w:szCs w:val="22"/>
        </w:rPr>
        <w:noBreakHyphen/>
      </w:r>
      <w:r w:rsidRPr="00AC1BD2">
        <w:rPr>
          <w:rFonts w:cs="Arial"/>
          <w:szCs w:val="22"/>
        </w:rPr>
        <w:t>Unis d</w:t>
      </w:r>
      <w:r w:rsidR="00025CB1" w:rsidRPr="00AC1BD2">
        <w:rPr>
          <w:rFonts w:cs="Arial"/>
          <w:szCs w:val="22"/>
        </w:rPr>
        <w:t>’</w:t>
      </w:r>
      <w:r w:rsidRPr="00AC1BD2">
        <w:rPr>
          <w:rFonts w:cs="Arial"/>
          <w:szCs w:val="22"/>
        </w:rPr>
        <w:t>Amérique et le Japon ont souligné l</w:t>
      </w:r>
      <w:r w:rsidR="00025CB1" w:rsidRPr="00AC1BD2">
        <w:rPr>
          <w:rFonts w:cs="Arial"/>
          <w:szCs w:val="22"/>
        </w:rPr>
        <w:t>’</w:t>
      </w:r>
      <w:r w:rsidRPr="00AC1BD2">
        <w:rPr>
          <w:rFonts w:cs="Arial"/>
          <w:szCs w:val="22"/>
        </w:rPr>
        <w:t>importance de la discussion de l</w:t>
      </w:r>
      <w:r w:rsidR="00025CB1" w:rsidRPr="00AC1BD2">
        <w:rPr>
          <w:rFonts w:cs="Arial"/>
          <w:szCs w:val="22"/>
        </w:rPr>
        <w:t>’</w:t>
      </w:r>
      <w:r w:rsidRPr="00AC1BD2">
        <w:rPr>
          <w:rFonts w:cs="Arial"/>
          <w:szCs w:val="22"/>
        </w:rPr>
        <w:t>article</w:t>
      </w:r>
      <w:r w:rsidR="00197E51" w:rsidRPr="00AC1BD2">
        <w:rPr>
          <w:rFonts w:cs="Arial"/>
          <w:szCs w:val="22"/>
        </w:rPr>
        <w:t> </w:t>
      </w:r>
      <w:proofErr w:type="spellStart"/>
      <w:r w:rsidR="00C50B8A" w:rsidRPr="00AC1BD2">
        <w:rPr>
          <w:rFonts w:cs="Arial"/>
          <w:szCs w:val="22"/>
        </w:rPr>
        <w:t>3</w:t>
      </w:r>
      <w:r w:rsidR="00C50B8A" w:rsidRPr="00AC1BD2">
        <w:rPr>
          <w:rFonts w:cs="Arial"/>
          <w:i/>
          <w:szCs w:val="22"/>
        </w:rPr>
        <w:t>bis</w:t>
      </w:r>
      <w:proofErr w:type="spellEnd"/>
      <w:r w:rsidRPr="00AC1BD2">
        <w:rPr>
          <w:rFonts w:cs="Arial"/>
          <w:szCs w:val="22"/>
        </w:rPr>
        <w:t xml:space="preserve"> </w:t>
      </w:r>
      <w:r w:rsidR="001E4DB3" w:rsidRPr="00AC1BD2">
        <w:rPr>
          <w:rFonts w:cs="Arial"/>
          <w:szCs w:val="22"/>
        </w:rPr>
        <w:t>“</w:t>
      </w:r>
      <w:r w:rsidRPr="00AC1BD2">
        <w:rPr>
          <w:rFonts w:cs="Arial"/>
          <w:szCs w:val="22"/>
        </w:rPr>
        <w:t>Mesures complémentaires</w:t>
      </w:r>
      <w:r w:rsidR="00806DFE" w:rsidRPr="00AC1BD2">
        <w:rPr>
          <w:rFonts w:cs="Arial"/>
          <w:szCs w:val="22"/>
        </w:rPr>
        <w:t>”</w:t>
      </w:r>
      <w:r w:rsidRPr="00AC1BD2">
        <w:rPr>
          <w:rFonts w:cs="Arial"/>
          <w:szCs w:val="22"/>
        </w:rPr>
        <w:t>, ainsi que le rôle du droit coutumier.</w:t>
      </w:r>
    </w:p>
    <w:p w14:paraId="56BB3FB6" w14:textId="77777777" w:rsidR="0039715D" w:rsidRPr="00AC1BD2" w:rsidRDefault="0039715D" w:rsidP="00243A34">
      <w:pPr>
        <w:tabs>
          <w:tab w:val="left" w:pos="567"/>
        </w:tabs>
        <w:rPr>
          <w:rFonts w:cs="Arial"/>
          <w:szCs w:val="22"/>
        </w:rPr>
      </w:pPr>
    </w:p>
    <w:p w14:paraId="1121FE09" w14:textId="1A1CAEA3" w:rsidR="00AC5B84" w:rsidRPr="00AC1BD2" w:rsidRDefault="00AC5B84" w:rsidP="00C37157">
      <w:pPr>
        <w:pStyle w:val="ONUMFS"/>
      </w:pPr>
      <w:r w:rsidRPr="00AC1BD2">
        <w:t>J</w:t>
      </w:r>
      <w:r w:rsidR="00025CB1" w:rsidRPr="00AC1BD2">
        <w:t>’</w:t>
      </w:r>
      <w:r w:rsidRPr="00AC1BD2">
        <w:t>estime que ces remarques sont raisonnables et pertinent</w:t>
      </w:r>
      <w:r w:rsidR="00512111" w:rsidRPr="00AC1BD2">
        <w:t>es.  C’e</w:t>
      </w:r>
      <w:r w:rsidRPr="00AC1BD2">
        <w:t>st pourquoi j</w:t>
      </w:r>
      <w:r w:rsidR="00025CB1" w:rsidRPr="00AC1BD2">
        <w:t>’</w:t>
      </w:r>
      <w:r w:rsidRPr="00AC1BD2">
        <w:t>envisage d</w:t>
      </w:r>
      <w:r w:rsidR="00025CB1" w:rsidRPr="00AC1BD2">
        <w:t>’</w:t>
      </w:r>
      <w:r w:rsidRPr="00AC1BD2">
        <w:t>en tenir compte lors d</w:t>
      </w:r>
      <w:r w:rsidR="00C50B8A" w:rsidRPr="00AC1BD2">
        <w:t>es débats de la trente</w:t>
      </w:r>
      <w:r w:rsidR="00243A34" w:rsidRPr="00AC1BD2">
        <w:noBreakHyphen/>
      </w:r>
      <w:r w:rsidR="00C50B8A" w:rsidRPr="00AC1BD2">
        <w:t>deuxième</w:t>
      </w:r>
      <w:r w:rsidR="00197E51" w:rsidRPr="00AC1BD2">
        <w:t> </w:t>
      </w:r>
      <w:r w:rsidRPr="00AC1BD2">
        <w:t>session de l</w:t>
      </w:r>
      <w:r w:rsidR="00025CB1" w:rsidRPr="00AC1BD2">
        <w:t>’</w:t>
      </w:r>
      <w:r w:rsidR="00512111" w:rsidRPr="00AC1BD2">
        <w:t>IGC.  No</w:t>
      </w:r>
      <w:r w:rsidRPr="00AC1BD2">
        <w:t>s travaux s</w:t>
      </w:r>
      <w:r w:rsidR="00025CB1" w:rsidRPr="00AC1BD2">
        <w:t>’</w:t>
      </w:r>
      <w:r w:rsidRPr="00AC1BD2">
        <w:t xml:space="preserve">appuieront donc sur la </w:t>
      </w:r>
      <w:r w:rsidR="00806DFE" w:rsidRPr="00AC1BD2">
        <w:t>“</w:t>
      </w:r>
      <w:r w:rsidRPr="00AC1BD2">
        <w:t>Liste indicative</w:t>
      </w:r>
      <w:r w:rsidR="00806DFE" w:rsidRPr="00AC1BD2">
        <w:t>”</w:t>
      </w:r>
      <w:r w:rsidRPr="00AC1BD2">
        <w:t xml:space="preserve"> établie à la trente</w:t>
      </w:r>
      <w:r w:rsidR="00197E51" w:rsidRPr="00AC1BD2">
        <w:t> </w:t>
      </w:r>
      <w:r w:rsidRPr="00AC1BD2">
        <w:t>et</w:t>
      </w:r>
      <w:r w:rsidR="00197E51" w:rsidRPr="00AC1BD2">
        <w:t> </w:t>
      </w:r>
      <w:r w:rsidRPr="00AC1BD2">
        <w:t>unième</w:t>
      </w:r>
      <w:r w:rsidR="00197E51" w:rsidRPr="00AC1BD2">
        <w:t> </w:t>
      </w:r>
      <w:r w:rsidRPr="00AC1BD2">
        <w:t>session de l</w:t>
      </w:r>
      <w:r w:rsidR="00025CB1" w:rsidRPr="00AC1BD2">
        <w:t>’</w:t>
      </w:r>
      <w:r w:rsidRPr="00AC1BD2">
        <w:t>IGC, compte tenu de ces remarques supplémentaires.</w:t>
      </w:r>
    </w:p>
    <w:p w14:paraId="12934BBF" w14:textId="77777777" w:rsidR="00B506EC" w:rsidRPr="00C37157" w:rsidRDefault="00B506EC" w:rsidP="00243A34">
      <w:pPr>
        <w:tabs>
          <w:tab w:val="left" w:pos="567"/>
        </w:tabs>
        <w:rPr>
          <w:rFonts w:cs="Arial"/>
          <w:szCs w:val="22"/>
        </w:rPr>
      </w:pPr>
    </w:p>
    <w:p w14:paraId="65B0AAAC" w14:textId="77777777" w:rsidR="0039715D" w:rsidRPr="00AC1BD2" w:rsidRDefault="007C4FC7" w:rsidP="00B506EC">
      <w:pPr>
        <w:keepNext/>
        <w:keepLines/>
        <w:tabs>
          <w:tab w:val="left" w:pos="567"/>
        </w:tabs>
        <w:rPr>
          <w:rFonts w:cs="Arial"/>
          <w:b/>
          <w:szCs w:val="22"/>
        </w:rPr>
      </w:pPr>
      <w:r w:rsidRPr="00AC1BD2">
        <w:rPr>
          <w:rFonts w:cs="Arial"/>
          <w:b/>
          <w:szCs w:val="22"/>
        </w:rPr>
        <w:t>Questions essentielles</w:t>
      </w:r>
    </w:p>
    <w:p w14:paraId="45907428" w14:textId="77777777" w:rsidR="0039715D" w:rsidRPr="00AC1BD2" w:rsidRDefault="0039715D" w:rsidP="00B506EC">
      <w:pPr>
        <w:keepNext/>
        <w:keepLines/>
        <w:tabs>
          <w:tab w:val="left" w:pos="567"/>
        </w:tabs>
        <w:rPr>
          <w:rFonts w:cs="Arial"/>
          <w:b/>
          <w:szCs w:val="22"/>
        </w:rPr>
      </w:pPr>
    </w:p>
    <w:p w14:paraId="0D2C7906" w14:textId="77777777" w:rsidR="0039715D" w:rsidRPr="00AC1BD2" w:rsidRDefault="007C4FC7" w:rsidP="00B506EC">
      <w:pPr>
        <w:keepNext/>
        <w:keepLines/>
        <w:tabs>
          <w:tab w:val="left" w:pos="567"/>
        </w:tabs>
        <w:rPr>
          <w:rFonts w:cs="Arial"/>
          <w:szCs w:val="22"/>
          <w:u w:val="single"/>
        </w:rPr>
      </w:pPr>
      <w:r w:rsidRPr="00AC1BD2">
        <w:rPr>
          <w:rFonts w:cs="Arial"/>
          <w:szCs w:val="22"/>
          <w:u w:val="single"/>
        </w:rPr>
        <w:t>Objectifs</w:t>
      </w:r>
    </w:p>
    <w:p w14:paraId="7E2B8F7A" w14:textId="77777777" w:rsidR="0039715D" w:rsidRPr="00AC1BD2" w:rsidRDefault="0039715D" w:rsidP="00B506EC">
      <w:pPr>
        <w:keepNext/>
        <w:keepLines/>
        <w:tabs>
          <w:tab w:val="left" w:pos="567"/>
        </w:tabs>
        <w:rPr>
          <w:rFonts w:cs="Arial"/>
          <w:szCs w:val="22"/>
        </w:rPr>
      </w:pPr>
    </w:p>
    <w:p w14:paraId="75146D09" w14:textId="1AEDA879" w:rsidR="00025CB1" w:rsidRPr="00AC1BD2" w:rsidRDefault="007C4FC7" w:rsidP="00C37157">
      <w:pPr>
        <w:pStyle w:val="ONUMFS"/>
      </w:pPr>
      <w:r w:rsidRPr="00AC1BD2">
        <w:lastRenderedPageBreak/>
        <w:t>Les objectifs revêtent un caractère essentiel lors de l</w:t>
      </w:r>
      <w:r w:rsidR="00025CB1" w:rsidRPr="00AC1BD2">
        <w:t>’</w:t>
      </w:r>
      <w:r w:rsidRPr="00AC1BD2">
        <w:t>élaboration du dispositif d</w:t>
      </w:r>
      <w:r w:rsidR="00025CB1" w:rsidRPr="00AC1BD2">
        <w:t>’</w:t>
      </w:r>
      <w:r w:rsidRPr="00AC1BD2">
        <w:t>un instrument, dans la mesure où ils en décrivent l</w:t>
      </w:r>
      <w:r w:rsidR="00025CB1" w:rsidRPr="00AC1BD2">
        <w:t>’</w:t>
      </w:r>
      <w:r w:rsidRPr="00AC1BD2">
        <w:t>objet et la finalité</w:t>
      </w:r>
      <w:r w:rsidR="00872695" w:rsidRPr="00AC1BD2">
        <w:t>.</w:t>
      </w:r>
    </w:p>
    <w:p w14:paraId="6653ADB6" w14:textId="7B225666" w:rsidR="0039715D" w:rsidRPr="00AC1BD2" w:rsidRDefault="00F94EC3" w:rsidP="00C37157">
      <w:pPr>
        <w:pStyle w:val="ONUMFS"/>
      </w:pPr>
      <w:r w:rsidRPr="00AC1BD2">
        <w:t>Le</w:t>
      </w:r>
      <w:r w:rsidR="009743D4" w:rsidRPr="00AC1BD2">
        <w:t xml:space="preserve"> text</w:t>
      </w:r>
      <w:r w:rsidRPr="00AC1BD2">
        <w:t>e actuel</w:t>
      </w:r>
      <w:r w:rsidR="00727F6F" w:rsidRPr="00AC1BD2">
        <w:rPr>
          <w:rStyle w:val="FootnoteReference"/>
          <w:szCs w:val="22"/>
        </w:rPr>
        <w:footnoteReference w:id="2"/>
      </w:r>
      <w:r w:rsidR="009743D4" w:rsidRPr="00AC1BD2">
        <w:t xml:space="preserve"> </w:t>
      </w:r>
      <w:r w:rsidRPr="00AC1BD2">
        <w:t>comporte trois</w:t>
      </w:r>
      <w:r w:rsidR="00197E51" w:rsidRPr="00AC1BD2">
        <w:t> </w:t>
      </w:r>
      <w:r w:rsidRPr="00AC1BD2">
        <w:t>variantes</w:t>
      </w:r>
      <w:r w:rsidR="00025CB1" w:rsidRPr="00AC1BD2">
        <w:t> :</w:t>
      </w:r>
    </w:p>
    <w:p w14:paraId="613F6978" w14:textId="1FF9B1C1" w:rsidR="00025CB1" w:rsidRPr="00AC1BD2" w:rsidRDefault="00F94EC3" w:rsidP="00243A34">
      <w:pPr>
        <w:numPr>
          <w:ilvl w:val="0"/>
          <w:numId w:val="14"/>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9743D4" w:rsidRPr="00AC1BD2">
        <w:rPr>
          <w:rFonts w:cs="Arial"/>
          <w:szCs w:val="22"/>
        </w:rPr>
        <w:t xml:space="preserve">1 </w:t>
      </w:r>
      <w:r w:rsidR="00C03CFE" w:rsidRPr="00AC1BD2">
        <w:rPr>
          <w:rFonts w:cs="Arial"/>
          <w:szCs w:val="22"/>
        </w:rPr>
        <w:t>vise cinq</w:t>
      </w:r>
      <w:r w:rsidR="00197E51" w:rsidRPr="00AC1BD2">
        <w:rPr>
          <w:rFonts w:cs="Arial"/>
          <w:szCs w:val="22"/>
        </w:rPr>
        <w:t> </w:t>
      </w:r>
      <w:r w:rsidR="00C03CFE" w:rsidRPr="00AC1BD2">
        <w:rPr>
          <w:rFonts w:cs="Arial"/>
          <w:szCs w:val="22"/>
        </w:rPr>
        <w:t>objectif</w:t>
      </w:r>
      <w:r w:rsidR="009743D4" w:rsidRPr="00AC1BD2">
        <w:rPr>
          <w:rFonts w:cs="Arial"/>
          <w:szCs w:val="22"/>
        </w:rPr>
        <w:t>s</w:t>
      </w:r>
      <w:r w:rsidR="00025CB1" w:rsidRPr="00AC1BD2">
        <w:rPr>
          <w:rFonts w:cs="Arial"/>
          <w:szCs w:val="22"/>
        </w:rPr>
        <w:t> :</w:t>
      </w:r>
    </w:p>
    <w:p w14:paraId="76FD46B6" w14:textId="4E46956F" w:rsidR="00025CB1" w:rsidRPr="00AC1BD2" w:rsidRDefault="00243A34" w:rsidP="00243A34">
      <w:pPr>
        <w:numPr>
          <w:ilvl w:val="0"/>
          <w:numId w:val="16"/>
        </w:numPr>
        <w:tabs>
          <w:tab w:val="left" w:pos="567"/>
        </w:tabs>
        <w:ind w:left="1701" w:hanging="567"/>
        <w:rPr>
          <w:rFonts w:cs="Arial"/>
          <w:szCs w:val="22"/>
        </w:rPr>
      </w:pPr>
      <w:r w:rsidRPr="00AC1BD2">
        <w:rPr>
          <w:rFonts w:cs="Arial"/>
          <w:szCs w:val="22"/>
        </w:rPr>
        <w:t>d</w:t>
      </w:r>
      <w:r w:rsidR="00C03CFE" w:rsidRPr="00AC1BD2">
        <w:rPr>
          <w:rFonts w:cs="Arial"/>
          <w:szCs w:val="22"/>
        </w:rPr>
        <w:t>onner aux bénéficiaires les moyens nécessaires pour empêcher l</w:t>
      </w:r>
      <w:r w:rsidR="00025CB1" w:rsidRPr="00AC1BD2">
        <w:rPr>
          <w:rFonts w:cs="Arial"/>
          <w:szCs w:val="22"/>
        </w:rPr>
        <w:t>’</w:t>
      </w:r>
      <w:r w:rsidR="00C03CFE" w:rsidRPr="00AC1BD2">
        <w:rPr>
          <w:rFonts w:cs="Arial"/>
          <w:szCs w:val="22"/>
        </w:rPr>
        <w:t>appropriation illicite/l</w:t>
      </w:r>
      <w:r w:rsidR="00025CB1" w:rsidRPr="00AC1BD2">
        <w:rPr>
          <w:rFonts w:cs="Arial"/>
          <w:szCs w:val="22"/>
        </w:rPr>
        <w:t>’</w:t>
      </w:r>
      <w:r w:rsidR="00C03CFE" w:rsidRPr="00AC1BD2">
        <w:rPr>
          <w:rFonts w:cs="Arial"/>
          <w:szCs w:val="22"/>
        </w:rPr>
        <w:t>appropriation illégale/l</w:t>
      </w:r>
      <w:r w:rsidR="00025CB1" w:rsidRPr="00AC1BD2">
        <w:rPr>
          <w:rFonts w:cs="Arial"/>
          <w:szCs w:val="22"/>
        </w:rPr>
        <w:t>’</w:t>
      </w:r>
      <w:r w:rsidR="00C03CFE" w:rsidRPr="00AC1BD2">
        <w:rPr>
          <w:rFonts w:cs="Arial"/>
          <w:szCs w:val="22"/>
        </w:rPr>
        <w:t>utilisation abusive et l</w:t>
      </w:r>
      <w:r w:rsidR="00025CB1" w:rsidRPr="00AC1BD2">
        <w:rPr>
          <w:rFonts w:cs="Arial"/>
          <w:szCs w:val="22"/>
        </w:rPr>
        <w:t>’</w:t>
      </w:r>
      <w:r w:rsidR="00C03CFE" w:rsidRPr="00AC1BD2">
        <w:rPr>
          <w:rFonts w:cs="Arial"/>
          <w:szCs w:val="22"/>
        </w:rPr>
        <w:t>utilisation non autorisée de leurs savoirs traditionnels</w:t>
      </w:r>
      <w:r w:rsidR="002365A6" w:rsidRPr="00AC1BD2">
        <w:rPr>
          <w:rFonts w:cs="Arial"/>
          <w:szCs w:val="22"/>
        </w:rPr>
        <w:t>;</w:t>
      </w:r>
    </w:p>
    <w:p w14:paraId="0BD290FB" w14:textId="12BC9900" w:rsidR="0039715D" w:rsidRPr="00AC1BD2" w:rsidRDefault="00243A34" w:rsidP="00243A34">
      <w:pPr>
        <w:numPr>
          <w:ilvl w:val="0"/>
          <w:numId w:val="16"/>
        </w:numPr>
        <w:tabs>
          <w:tab w:val="left" w:pos="567"/>
        </w:tabs>
        <w:ind w:left="1701" w:hanging="567"/>
        <w:rPr>
          <w:rFonts w:cs="Arial"/>
          <w:szCs w:val="22"/>
        </w:rPr>
      </w:pPr>
      <w:r w:rsidRPr="00AC1BD2">
        <w:rPr>
          <w:rFonts w:cs="Arial"/>
          <w:szCs w:val="22"/>
        </w:rPr>
        <w:t>d</w:t>
      </w:r>
      <w:r w:rsidR="00C03CFE" w:rsidRPr="00AC1BD2">
        <w:rPr>
          <w:rFonts w:cs="Arial"/>
          <w:szCs w:val="22"/>
        </w:rPr>
        <w:t>onner aux bénéficiaires les moyens nécessaires pour contrôler l</w:t>
      </w:r>
      <w:r w:rsidR="00025CB1" w:rsidRPr="00AC1BD2">
        <w:rPr>
          <w:rFonts w:cs="Arial"/>
          <w:szCs w:val="22"/>
        </w:rPr>
        <w:t>’</w:t>
      </w:r>
      <w:r w:rsidR="00C03CFE" w:rsidRPr="00AC1BD2">
        <w:rPr>
          <w:rFonts w:cs="Arial"/>
          <w:szCs w:val="22"/>
        </w:rPr>
        <w:t>utilisation qui est faite de leurs savoirs traditionnels en dehors du contexte traditionnel et coutumier</w:t>
      </w:r>
      <w:r w:rsidR="00DE2DA0" w:rsidRPr="00AC1BD2">
        <w:rPr>
          <w:rFonts w:cs="Arial"/>
          <w:szCs w:val="22"/>
        </w:rPr>
        <w:t>;</w:t>
      </w:r>
    </w:p>
    <w:p w14:paraId="23DBA372" w14:textId="6CC171B2" w:rsidR="0039715D" w:rsidRPr="00AC1BD2" w:rsidRDefault="00243A34" w:rsidP="00243A34">
      <w:pPr>
        <w:numPr>
          <w:ilvl w:val="0"/>
          <w:numId w:val="16"/>
        </w:numPr>
        <w:tabs>
          <w:tab w:val="left" w:pos="567"/>
        </w:tabs>
        <w:ind w:left="1701" w:hanging="567"/>
        <w:rPr>
          <w:rFonts w:cs="Arial"/>
          <w:szCs w:val="22"/>
        </w:rPr>
      </w:pPr>
      <w:r w:rsidRPr="00AC1BD2">
        <w:rPr>
          <w:rFonts w:cs="Arial"/>
          <w:szCs w:val="22"/>
        </w:rPr>
        <w:t>d</w:t>
      </w:r>
      <w:r w:rsidR="00C03CFE" w:rsidRPr="00AC1BD2">
        <w:rPr>
          <w:rFonts w:cs="Arial"/>
          <w:szCs w:val="22"/>
        </w:rPr>
        <w:t xml:space="preserve">onner aux bénéficiaires les moyens nécessaires pour </w:t>
      </w:r>
      <w:r w:rsidR="007C4FC7" w:rsidRPr="00AC1BD2">
        <w:rPr>
          <w:rFonts w:cs="Arial"/>
          <w:szCs w:val="22"/>
        </w:rPr>
        <w:t>assurer le partage juste et équitable des avantages découlant de l</w:t>
      </w:r>
      <w:r w:rsidR="00025CB1" w:rsidRPr="00AC1BD2">
        <w:rPr>
          <w:rFonts w:cs="Arial"/>
          <w:szCs w:val="22"/>
        </w:rPr>
        <w:t>’</w:t>
      </w:r>
      <w:r w:rsidR="007C4FC7" w:rsidRPr="00AC1BD2">
        <w:rPr>
          <w:rFonts w:cs="Arial"/>
          <w:szCs w:val="22"/>
        </w:rPr>
        <w:t>utilisation de leurs savoirs traditionnels avec leur consentement préalable en connaissance de cause ou leur approbation et leur participation, compte dûment tenu du droit coutumier</w:t>
      </w:r>
      <w:r w:rsidR="00AF24CC" w:rsidRPr="00AC1BD2">
        <w:rPr>
          <w:rFonts w:cs="Arial"/>
          <w:szCs w:val="22"/>
        </w:rPr>
        <w:t>,</w:t>
      </w:r>
      <w:r w:rsidR="007C4FC7" w:rsidRPr="00AC1BD2">
        <w:rPr>
          <w:rFonts w:cs="Arial"/>
          <w:szCs w:val="22"/>
        </w:rPr>
        <w:t xml:space="preserve"> le cas échéant;</w:t>
      </w:r>
    </w:p>
    <w:p w14:paraId="4CD0DB9F" w14:textId="5C496F9B" w:rsidR="0039715D" w:rsidRPr="00AC1BD2" w:rsidRDefault="00243A34" w:rsidP="00243A34">
      <w:pPr>
        <w:numPr>
          <w:ilvl w:val="0"/>
          <w:numId w:val="16"/>
        </w:numPr>
        <w:tabs>
          <w:tab w:val="left" w:pos="567"/>
        </w:tabs>
        <w:ind w:left="1701" w:hanging="567"/>
        <w:rPr>
          <w:rFonts w:cs="Arial"/>
          <w:szCs w:val="22"/>
        </w:rPr>
      </w:pPr>
      <w:r w:rsidRPr="00AC1BD2">
        <w:rPr>
          <w:rFonts w:cs="Arial"/>
          <w:szCs w:val="22"/>
        </w:rPr>
        <w:t>d</w:t>
      </w:r>
      <w:r w:rsidR="00C03CFE" w:rsidRPr="00AC1BD2">
        <w:rPr>
          <w:rFonts w:cs="Arial"/>
          <w:szCs w:val="22"/>
        </w:rPr>
        <w:t>onner aux bénéficiaires les moyens nécessaires pour encourager et protéger la création et l</w:t>
      </w:r>
      <w:r w:rsidR="00025CB1" w:rsidRPr="00AC1BD2">
        <w:rPr>
          <w:rFonts w:cs="Arial"/>
          <w:szCs w:val="22"/>
        </w:rPr>
        <w:t>’</w:t>
      </w:r>
      <w:r w:rsidR="00C03CFE" w:rsidRPr="00AC1BD2">
        <w:rPr>
          <w:rFonts w:cs="Arial"/>
          <w:szCs w:val="22"/>
        </w:rPr>
        <w:t>innovation fondées sur la tradition qu</w:t>
      </w:r>
      <w:r w:rsidR="00025CB1" w:rsidRPr="00AC1BD2">
        <w:rPr>
          <w:rFonts w:cs="Arial"/>
          <w:szCs w:val="22"/>
        </w:rPr>
        <w:t>’</w:t>
      </w:r>
      <w:r w:rsidR="00C03CFE" w:rsidRPr="00AC1BD2">
        <w:rPr>
          <w:rFonts w:cs="Arial"/>
          <w:szCs w:val="22"/>
        </w:rPr>
        <w:t>elles soient ou non commercialisées</w:t>
      </w:r>
      <w:r w:rsidR="002365A6" w:rsidRPr="00AC1BD2">
        <w:rPr>
          <w:rFonts w:cs="Arial"/>
          <w:szCs w:val="22"/>
        </w:rPr>
        <w:t>;</w:t>
      </w:r>
    </w:p>
    <w:p w14:paraId="4E76C123" w14:textId="512DFE0D" w:rsidR="0039715D" w:rsidRPr="00AC1BD2" w:rsidRDefault="00243A34" w:rsidP="00243A34">
      <w:pPr>
        <w:numPr>
          <w:ilvl w:val="0"/>
          <w:numId w:val="16"/>
        </w:numPr>
        <w:tabs>
          <w:tab w:val="left" w:pos="567"/>
        </w:tabs>
        <w:ind w:left="1701" w:hanging="567"/>
        <w:rPr>
          <w:rFonts w:cs="Arial"/>
          <w:szCs w:val="22"/>
        </w:rPr>
      </w:pPr>
      <w:r w:rsidRPr="00AC1BD2">
        <w:rPr>
          <w:rFonts w:cs="Arial"/>
          <w:szCs w:val="22"/>
        </w:rPr>
        <w:t>a</w:t>
      </w:r>
      <w:r w:rsidR="00C03CFE" w:rsidRPr="00AC1BD2">
        <w:rPr>
          <w:rFonts w:cs="Arial"/>
          <w:szCs w:val="22"/>
        </w:rPr>
        <w:t>ider à empêcher la délivrance indue de droits de propriété intellectuelle ou de brevets sur des savoirs traditionnels et des savoirs traditionnels associés aux ressources génétiques.</w:t>
      </w:r>
    </w:p>
    <w:p w14:paraId="3CDC30E9" w14:textId="77777777" w:rsidR="0039715D" w:rsidRPr="00AC1BD2" w:rsidRDefault="0039715D" w:rsidP="00243A34">
      <w:pPr>
        <w:tabs>
          <w:tab w:val="left" w:pos="567"/>
        </w:tabs>
        <w:rPr>
          <w:rFonts w:cs="Arial"/>
          <w:szCs w:val="22"/>
        </w:rPr>
      </w:pPr>
    </w:p>
    <w:p w14:paraId="13F69E94" w14:textId="10FD6311" w:rsidR="00025CB1" w:rsidRPr="00AC1BD2" w:rsidRDefault="00C03CFE" w:rsidP="00243A34">
      <w:pPr>
        <w:numPr>
          <w:ilvl w:val="0"/>
          <w:numId w:val="17"/>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9743D4" w:rsidRPr="00AC1BD2">
        <w:rPr>
          <w:rFonts w:cs="Arial"/>
          <w:szCs w:val="22"/>
        </w:rPr>
        <w:t>2</w:t>
      </w:r>
      <w:r w:rsidR="00DE2DA0" w:rsidRPr="00AC1BD2">
        <w:rPr>
          <w:rFonts w:cs="Arial"/>
          <w:szCs w:val="22"/>
        </w:rPr>
        <w:t xml:space="preserve"> </w:t>
      </w:r>
      <w:r w:rsidRPr="00AC1BD2">
        <w:rPr>
          <w:rFonts w:cs="Arial"/>
          <w:szCs w:val="22"/>
        </w:rPr>
        <w:t>vise deux</w:t>
      </w:r>
      <w:r w:rsidR="00197E51" w:rsidRPr="00AC1BD2">
        <w:rPr>
          <w:rFonts w:cs="Arial"/>
          <w:szCs w:val="22"/>
        </w:rPr>
        <w:t> </w:t>
      </w:r>
      <w:r w:rsidRPr="00AC1BD2">
        <w:rPr>
          <w:rFonts w:cs="Arial"/>
          <w:szCs w:val="22"/>
        </w:rPr>
        <w:t>objectif</w:t>
      </w:r>
      <w:r w:rsidR="00DE2DA0" w:rsidRPr="00AC1BD2">
        <w:rPr>
          <w:rFonts w:cs="Arial"/>
          <w:szCs w:val="22"/>
        </w:rPr>
        <w:t>s</w:t>
      </w:r>
      <w:r w:rsidR="00857F5D" w:rsidRPr="00AC1BD2">
        <w:rPr>
          <w:rFonts w:cs="Arial"/>
          <w:szCs w:val="22"/>
        </w:rPr>
        <w:t xml:space="preserve">, </w:t>
      </w:r>
      <w:r w:rsidRPr="00AC1BD2">
        <w:rPr>
          <w:rFonts w:cs="Arial"/>
          <w:szCs w:val="22"/>
        </w:rPr>
        <w:t xml:space="preserve">similaires </w:t>
      </w:r>
      <w:proofErr w:type="gramStart"/>
      <w:r w:rsidRPr="00AC1BD2">
        <w:rPr>
          <w:rFonts w:cs="Arial"/>
          <w:szCs w:val="22"/>
        </w:rPr>
        <w:t xml:space="preserve">aux </w:t>
      </w:r>
      <w:r w:rsidR="00857F5D" w:rsidRPr="00AC1BD2">
        <w:rPr>
          <w:rFonts w:cs="Arial"/>
          <w:szCs w:val="22"/>
        </w:rPr>
        <w:t>ob</w:t>
      </w:r>
      <w:r w:rsidRPr="00AC1BD2">
        <w:rPr>
          <w:rFonts w:cs="Arial"/>
          <w:szCs w:val="22"/>
        </w:rPr>
        <w:t>jectif</w:t>
      </w:r>
      <w:r w:rsidR="00857F5D" w:rsidRPr="00AC1BD2">
        <w:rPr>
          <w:rFonts w:cs="Arial"/>
          <w:szCs w:val="22"/>
        </w:rPr>
        <w:t>s</w:t>
      </w:r>
      <w:r w:rsidR="00BD0A6E" w:rsidRPr="00AC1BD2">
        <w:rPr>
          <w:rFonts w:cs="Arial"/>
          <w:szCs w:val="22"/>
        </w:rPr>
        <w:t> </w:t>
      </w:r>
      <w:r w:rsidR="00857F5D" w:rsidRPr="00AC1BD2">
        <w:rPr>
          <w:rFonts w:cs="Arial"/>
          <w:szCs w:val="22"/>
        </w:rPr>
        <w:t xml:space="preserve">1 </w:t>
      </w:r>
      <w:r w:rsidRPr="00AC1BD2">
        <w:rPr>
          <w:rFonts w:cs="Arial"/>
          <w:szCs w:val="22"/>
        </w:rPr>
        <w:t>et</w:t>
      </w:r>
      <w:r w:rsidR="00857F5D" w:rsidRPr="00AC1BD2">
        <w:rPr>
          <w:rFonts w:cs="Arial"/>
          <w:szCs w:val="22"/>
        </w:rPr>
        <w:t xml:space="preserve"> 4 </w:t>
      </w:r>
      <w:r w:rsidRPr="00AC1BD2">
        <w:rPr>
          <w:rFonts w:cs="Arial"/>
          <w:szCs w:val="22"/>
        </w:rPr>
        <w:t>de la variante</w:t>
      </w:r>
      <w:r w:rsidR="00BD0A6E" w:rsidRPr="00AC1BD2">
        <w:rPr>
          <w:rFonts w:cs="Arial"/>
          <w:szCs w:val="22"/>
        </w:rPr>
        <w:t> </w:t>
      </w:r>
      <w:r w:rsidR="00857F5D" w:rsidRPr="00AC1BD2">
        <w:rPr>
          <w:rFonts w:cs="Arial"/>
          <w:szCs w:val="22"/>
        </w:rPr>
        <w:t>1</w:t>
      </w:r>
      <w:proofErr w:type="gramEnd"/>
      <w:r w:rsidR="00025CB1" w:rsidRPr="00AC1BD2">
        <w:rPr>
          <w:rFonts w:cs="Arial"/>
          <w:szCs w:val="22"/>
        </w:rPr>
        <w:t> :</w:t>
      </w:r>
    </w:p>
    <w:p w14:paraId="177400C1" w14:textId="5769B918" w:rsidR="0039715D" w:rsidRPr="00AC1BD2" w:rsidRDefault="00243A34" w:rsidP="00243A34">
      <w:pPr>
        <w:numPr>
          <w:ilvl w:val="0"/>
          <w:numId w:val="18"/>
        </w:numPr>
        <w:tabs>
          <w:tab w:val="left" w:pos="567"/>
        </w:tabs>
        <w:ind w:left="1701" w:hanging="567"/>
        <w:rPr>
          <w:rFonts w:cs="Arial"/>
          <w:szCs w:val="22"/>
        </w:rPr>
      </w:pPr>
      <w:r w:rsidRPr="00AC1BD2">
        <w:rPr>
          <w:rFonts w:cs="Arial"/>
          <w:szCs w:val="22"/>
        </w:rPr>
        <w:t>e</w:t>
      </w:r>
      <w:r w:rsidR="00C03CFE" w:rsidRPr="00AC1BD2">
        <w:rPr>
          <w:rFonts w:cs="Arial"/>
          <w:szCs w:val="22"/>
        </w:rPr>
        <w:t>mpêcher l</w:t>
      </w:r>
      <w:r w:rsidR="00025CB1" w:rsidRPr="00AC1BD2">
        <w:rPr>
          <w:rFonts w:cs="Arial"/>
          <w:szCs w:val="22"/>
        </w:rPr>
        <w:t>’</w:t>
      </w:r>
      <w:r w:rsidR="00C03CFE" w:rsidRPr="00AC1BD2">
        <w:rPr>
          <w:rFonts w:cs="Arial"/>
          <w:szCs w:val="22"/>
        </w:rPr>
        <w:t>utilisation abusive/</w:t>
      </w:r>
      <w:r w:rsidR="00AC2FB9" w:rsidRPr="00AC1BD2">
        <w:rPr>
          <w:rFonts w:cs="Arial"/>
          <w:b/>
          <w:szCs w:val="22"/>
        </w:rPr>
        <w:t>l</w:t>
      </w:r>
      <w:r w:rsidR="00025CB1" w:rsidRPr="00AC1BD2">
        <w:rPr>
          <w:rFonts w:cs="Arial"/>
          <w:b/>
          <w:szCs w:val="22"/>
        </w:rPr>
        <w:t>’</w:t>
      </w:r>
      <w:r w:rsidR="00AC2FB9" w:rsidRPr="00AC1BD2">
        <w:rPr>
          <w:rFonts w:cs="Arial"/>
          <w:b/>
          <w:szCs w:val="22"/>
        </w:rPr>
        <w:t>appropriation illégale</w:t>
      </w:r>
      <w:r w:rsidR="00AC2FB9" w:rsidRPr="00AC1BD2">
        <w:rPr>
          <w:rFonts w:cs="Arial"/>
          <w:szCs w:val="22"/>
        </w:rPr>
        <w:t xml:space="preserve"> des savoirs traditionnels protégés</w:t>
      </w:r>
      <w:r w:rsidR="00B20195" w:rsidRPr="00AC1BD2">
        <w:rPr>
          <w:rFonts w:cs="Arial"/>
          <w:szCs w:val="22"/>
        </w:rPr>
        <w:t xml:space="preserve"> (</w:t>
      </w:r>
      <w:r w:rsidR="00C03CFE" w:rsidRPr="00AC1BD2">
        <w:rPr>
          <w:rFonts w:cs="Arial"/>
          <w:szCs w:val="22"/>
        </w:rPr>
        <w:t>c</w:t>
      </w:r>
      <w:r w:rsidR="00025CB1" w:rsidRPr="00AC1BD2">
        <w:rPr>
          <w:rFonts w:cs="Arial"/>
          <w:szCs w:val="22"/>
        </w:rPr>
        <w:t>’</w:t>
      </w:r>
      <w:r w:rsidR="00C03CFE" w:rsidRPr="00AC1BD2">
        <w:rPr>
          <w:rFonts w:cs="Arial"/>
          <w:szCs w:val="22"/>
        </w:rPr>
        <w:t>est moi qui souligne</w:t>
      </w:r>
      <w:r w:rsidR="00B20195" w:rsidRPr="00AC1BD2">
        <w:rPr>
          <w:rFonts w:cs="Arial"/>
          <w:szCs w:val="22"/>
        </w:rPr>
        <w:t>)</w:t>
      </w:r>
      <w:r w:rsidR="00DE2DA0" w:rsidRPr="00AC1BD2">
        <w:rPr>
          <w:rFonts w:cs="Arial"/>
          <w:szCs w:val="22"/>
        </w:rPr>
        <w:t>;</w:t>
      </w:r>
    </w:p>
    <w:p w14:paraId="3497198A" w14:textId="177C6C2D" w:rsidR="0039715D" w:rsidRPr="00AC1BD2" w:rsidRDefault="00243A34" w:rsidP="00243A34">
      <w:pPr>
        <w:numPr>
          <w:ilvl w:val="0"/>
          <w:numId w:val="18"/>
        </w:numPr>
        <w:tabs>
          <w:tab w:val="left" w:pos="567"/>
        </w:tabs>
        <w:ind w:left="1701" w:hanging="567"/>
        <w:rPr>
          <w:rFonts w:cs="Arial"/>
          <w:szCs w:val="22"/>
        </w:rPr>
      </w:pPr>
      <w:r w:rsidRPr="00AC1BD2">
        <w:rPr>
          <w:rFonts w:cs="Arial"/>
          <w:szCs w:val="22"/>
        </w:rPr>
        <w:t>e</w:t>
      </w:r>
      <w:r w:rsidR="00DE2DA0" w:rsidRPr="00AC1BD2">
        <w:rPr>
          <w:rFonts w:cs="Arial"/>
          <w:szCs w:val="22"/>
        </w:rPr>
        <w:t>ncourage</w:t>
      </w:r>
      <w:r w:rsidR="00AC2FB9" w:rsidRPr="00AC1BD2">
        <w:rPr>
          <w:rFonts w:cs="Arial"/>
          <w:szCs w:val="22"/>
        </w:rPr>
        <w:t>r la création et l</w:t>
      </w:r>
      <w:r w:rsidR="00025CB1" w:rsidRPr="00AC1BD2">
        <w:rPr>
          <w:rFonts w:cs="Arial"/>
          <w:szCs w:val="22"/>
        </w:rPr>
        <w:t>’</w:t>
      </w:r>
      <w:r w:rsidR="00AC2FB9" w:rsidRPr="00AC1BD2">
        <w:rPr>
          <w:rFonts w:cs="Arial"/>
          <w:szCs w:val="22"/>
        </w:rPr>
        <w:t>innovation fondées sur la tradition</w:t>
      </w:r>
      <w:r w:rsidR="00DE2DA0" w:rsidRPr="00AC1BD2">
        <w:rPr>
          <w:rFonts w:cs="Arial"/>
          <w:szCs w:val="22"/>
        </w:rPr>
        <w:t>.</w:t>
      </w:r>
    </w:p>
    <w:p w14:paraId="23BB82D3" w14:textId="77777777" w:rsidR="0039715D" w:rsidRPr="00AC1BD2" w:rsidRDefault="0039715D" w:rsidP="00243A34">
      <w:pPr>
        <w:tabs>
          <w:tab w:val="left" w:pos="567"/>
        </w:tabs>
        <w:rPr>
          <w:rFonts w:cs="Arial"/>
          <w:szCs w:val="22"/>
        </w:rPr>
      </w:pPr>
    </w:p>
    <w:p w14:paraId="7F70DA62" w14:textId="795B531A" w:rsidR="00AC2FB9" w:rsidRPr="00AC1BD2" w:rsidRDefault="00AC2FB9" w:rsidP="00243A34">
      <w:pPr>
        <w:numPr>
          <w:ilvl w:val="0"/>
          <w:numId w:val="17"/>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9743D4" w:rsidRPr="00AC1BD2">
        <w:rPr>
          <w:rFonts w:cs="Arial"/>
          <w:szCs w:val="22"/>
        </w:rPr>
        <w:t>3</w:t>
      </w:r>
      <w:r w:rsidRPr="00AC1BD2">
        <w:rPr>
          <w:rFonts w:cs="Arial"/>
          <w:szCs w:val="22"/>
        </w:rPr>
        <w:t xml:space="preserve"> vise deux</w:t>
      </w:r>
      <w:r w:rsidR="00197E51" w:rsidRPr="00AC1BD2">
        <w:rPr>
          <w:rFonts w:cs="Arial"/>
          <w:szCs w:val="22"/>
        </w:rPr>
        <w:t> </w:t>
      </w:r>
      <w:r w:rsidRPr="00AC1BD2">
        <w:rPr>
          <w:rFonts w:cs="Arial"/>
          <w:szCs w:val="22"/>
        </w:rPr>
        <w:t>objectifs</w:t>
      </w:r>
      <w:r w:rsidR="00025CB1" w:rsidRPr="00AC1BD2">
        <w:rPr>
          <w:rFonts w:cs="Arial"/>
          <w:szCs w:val="22"/>
        </w:rPr>
        <w:t> :</w:t>
      </w:r>
    </w:p>
    <w:p w14:paraId="33020934" w14:textId="360776F6" w:rsidR="0039715D" w:rsidRPr="00AC1BD2" w:rsidRDefault="00243A34" w:rsidP="00243A34">
      <w:pPr>
        <w:numPr>
          <w:ilvl w:val="0"/>
          <w:numId w:val="19"/>
        </w:numPr>
        <w:tabs>
          <w:tab w:val="left" w:pos="567"/>
        </w:tabs>
        <w:ind w:left="1701" w:hanging="567"/>
        <w:rPr>
          <w:rFonts w:cs="Arial"/>
          <w:szCs w:val="22"/>
        </w:rPr>
      </w:pPr>
      <w:r w:rsidRPr="00AC1BD2">
        <w:rPr>
          <w:rFonts w:cs="Arial"/>
          <w:szCs w:val="22"/>
        </w:rPr>
        <w:t>c</w:t>
      </w:r>
      <w:r w:rsidR="007C4FC7" w:rsidRPr="00AC1BD2">
        <w:rPr>
          <w:rFonts w:cs="Arial"/>
          <w:szCs w:val="22"/>
        </w:rPr>
        <w:t>ontribuer à la protection de l</w:t>
      </w:r>
      <w:r w:rsidR="00025CB1" w:rsidRPr="00AC1BD2">
        <w:rPr>
          <w:rFonts w:cs="Arial"/>
          <w:szCs w:val="22"/>
        </w:rPr>
        <w:t>’</w:t>
      </w:r>
      <w:r w:rsidR="007C4FC7" w:rsidRPr="00AC1BD2">
        <w:rPr>
          <w:rFonts w:cs="Arial"/>
          <w:szCs w:val="22"/>
        </w:rPr>
        <w:t>innovation et au transfert et à la diffusion des savoirs, dans l</w:t>
      </w:r>
      <w:r w:rsidR="00025CB1" w:rsidRPr="00AC1BD2">
        <w:rPr>
          <w:rFonts w:cs="Arial"/>
          <w:szCs w:val="22"/>
        </w:rPr>
        <w:t>’</w:t>
      </w:r>
      <w:r w:rsidR="007C4FC7" w:rsidRPr="00AC1BD2">
        <w:rPr>
          <w:rFonts w:cs="Arial"/>
          <w:szCs w:val="22"/>
        </w:rPr>
        <w:t>intérêt mutuel des détenteurs et des utilisateurs des savoirs traditionnels protégés et d</w:t>
      </w:r>
      <w:r w:rsidR="00025CB1" w:rsidRPr="00AC1BD2">
        <w:rPr>
          <w:rFonts w:cs="Arial"/>
          <w:szCs w:val="22"/>
        </w:rPr>
        <w:t>’</w:t>
      </w:r>
      <w:r w:rsidR="007C4FC7" w:rsidRPr="00AC1BD2">
        <w:rPr>
          <w:rFonts w:cs="Arial"/>
          <w:szCs w:val="22"/>
        </w:rPr>
        <w:t>une manière favorable au bien</w:t>
      </w:r>
      <w:r w:rsidRPr="00AC1BD2">
        <w:rPr>
          <w:rFonts w:cs="Arial"/>
          <w:szCs w:val="22"/>
        </w:rPr>
        <w:noBreakHyphen/>
      </w:r>
      <w:r w:rsidR="007C4FC7" w:rsidRPr="00AC1BD2">
        <w:rPr>
          <w:rFonts w:cs="Arial"/>
          <w:szCs w:val="22"/>
        </w:rPr>
        <w:t xml:space="preserve">être </w:t>
      </w:r>
      <w:proofErr w:type="spellStart"/>
      <w:r w:rsidR="007C4FC7" w:rsidRPr="00AC1BD2">
        <w:rPr>
          <w:rFonts w:cs="Arial"/>
          <w:szCs w:val="22"/>
        </w:rPr>
        <w:t>socioéconomique</w:t>
      </w:r>
      <w:proofErr w:type="spellEnd"/>
      <w:r w:rsidR="007C4FC7" w:rsidRPr="00AC1BD2">
        <w:rPr>
          <w:rFonts w:cs="Arial"/>
          <w:szCs w:val="22"/>
        </w:rPr>
        <w:t xml:space="preserve"> et à l</w:t>
      </w:r>
      <w:r w:rsidR="00025CB1" w:rsidRPr="00AC1BD2">
        <w:rPr>
          <w:rFonts w:cs="Arial"/>
          <w:szCs w:val="22"/>
        </w:rPr>
        <w:t>’</w:t>
      </w:r>
      <w:r w:rsidR="007C4FC7" w:rsidRPr="00AC1BD2">
        <w:rPr>
          <w:rFonts w:cs="Arial"/>
          <w:szCs w:val="22"/>
        </w:rPr>
        <w:t>équilibre des droits et des obligations;</w:t>
      </w:r>
    </w:p>
    <w:p w14:paraId="46C2B6A8" w14:textId="53C0F583" w:rsidR="0039715D" w:rsidRPr="00AC1BD2" w:rsidRDefault="00243A34" w:rsidP="00243A34">
      <w:pPr>
        <w:numPr>
          <w:ilvl w:val="0"/>
          <w:numId w:val="19"/>
        </w:numPr>
        <w:tabs>
          <w:tab w:val="left" w:pos="567"/>
        </w:tabs>
        <w:ind w:left="1701" w:hanging="567"/>
        <w:rPr>
          <w:rFonts w:cs="Arial"/>
          <w:szCs w:val="22"/>
        </w:rPr>
      </w:pPr>
      <w:r w:rsidRPr="00AC1BD2">
        <w:rPr>
          <w:rFonts w:cs="Arial"/>
          <w:szCs w:val="22"/>
        </w:rPr>
        <w:t>r</w:t>
      </w:r>
      <w:r w:rsidR="007C4FC7" w:rsidRPr="00AC1BD2">
        <w:rPr>
          <w:rFonts w:cs="Arial"/>
          <w:szCs w:val="22"/>
        </w:rPr>
        <w:t>econnaître l</w:t>
      </w:r>
      <w:r w:rsidR="00025CB1" w:rsidRPr="00AC1BD2">
        <w:rPr>
          <w:rFonts w:cs="Arial"/>
          <w:szCs w:val="22"/>
        </w:rPr>
        <w:t>’</w:t>
      </w:r>
      <w:r w:rsidR="007C4FC7" w:rsidRPr="00AC1BD2">
        <w:rPr>
          <w:rFonts w:cs="Arial"/>
          <w:szCs w:val="22"/>
        </w:rPr>
        <w:t>intérêt d</w:t>
      </w:r>
      <w:r w:rsidR="00025CB1" w:rsidRPr="00AC1BD2">
        <w:rPr>
          <w:rFonts w:cs="Arial"/>
          <w:szCs w:val="22"/>
        </w:rPr>
        <w:t>’</w:t>
      </w:r>
      <w:r w:rsidR="007C4FC7" w:rsidRPr="00AC1BD2">
        <w:rPr>
          <w:rFonts w:cs="Arial"/>
          <w:szCs w:val="22"/>
        </w:rPr>
        <w:t>un domaine public dynamique, l</w:t>
      </w:r>
      <w:r w:rsidR="00025CB1" w:rsidRPr="00AC1BD2">
        <w:rPr>
          <w:rFonts w:cs="Arial"/>
          <w:szCs w:val="22"/>
        </w:rPr>
        <w:t>’</w:t>
      </w:r>
      <w:r w:rsidR="007C4FC7" w:rsidRPr="00AC1BD2">
        <w:rPr>
          <w:rFonts w:cs="Arial"/>
          <w:szCs w:val="22"/>
        </w:rPr>
        <w:t>ensemble des connaissances librement accessibles à tous, qui est essentiel à la créativité et à l</w:t>
      </w:r>
      <w:r w:rsidR="00025CB1" w:rsidRPr="00AC1BD2">
        <w:rPr>
          <w:rFonts w:cs="Arial"/>
          <w:szCs w:val="22"/>
        </w:rPr>
        <w:t>’</w:t>
      </w:r>
      <w:r w:rsidR="007C4FC7" w:rsidRPr="00AC1BD2">
        <w:rPr>
          <w:rFonts w:cs="Arial"/>
          <w:szCs w:val="22"/>
        </w:rPr>
        <w:t>innovation, ainsi que la nécessité de protéger, préserver et renforcer le domaine public.</w:t>
      </w:r>
    </w:p>
    <w:p w14:paraId="36E626AB" w14:textId="77777777" w:rsidR="0039715D" w:rsidRPr="00AC1BD2" w:rsidRDefault="0039715D" w:rsidP="00243A34">
      <w:pPr>
        <w:tabs>
          <w:tab w:val="left" w:pos="567"/>
        </w:tabs>
        <w:rPr>
          <w:rFonts w:cs="Arial"/>
          <w:szCs w:val="22"/>
        </w:rPr>
      </w:pPr>
    </w:p>
    <w:p w14:paraId="452AEA4D" w14:textId="7F7D3A0B" w:rsidR="00025CB1" w:rsidRPr="00AC1BD2" w:rsidRDefault="002B6238" w:rsidP="00C37157">
      <w:pPr>
        <w:pStyle w:val="ONUMFS"/>
      </w:pPr>
      <w:r w:rsidRPr="00AC1BD2">
        <w:t>Ces différentes</w:t>
      </w:r>
      <w:r w:rsidR="00DE2DA0" w:rsidRPr="00AC1BD2">
        <w:t xml:space="preserve"> </w:t>
      </w:r>
      <w:r w:rsidR="00AE25D0" w:rsidRPr="00AC1BD2">
        <w:t>formulations</w:t>
      </w:r>
      <w:r w:rsidR="00DE2DA0" w:rsidRPr="00AC1BD2">
        <w:t xml:space="preserve"> </w:t>
      </w:r>
      <w:r w:rsidRPr="00AC1BD2">
        <w:t xml:space="preserve">reflètent de toute évidence les </w:t>
      </w:r>
      <w:r w:rsidR="0041784B" w:rsidRPr="00AC1BD2">
        <w:t>divergences</w:t>
      </w:r>
      <w:r w:rsidRPr="00AC1BD2">
        <w:t xml:space="preserve"> de vue</w:t>
      </w:r>
      <w:r w:rsidR="0041784B" w:rsidRPr="00AC1BD2">
        <w:t>s</w:t>
      </w:r>
      <w:r w:rsidRPr="00AC1BD2">
        <w:t xml:space="preserve"> des États membr</w:t>
      </w:r>
      <w:r w:rsidR="00512111" w:rsidRPr="00AC1BD2">
        <w:t>es.  Ce</w:t>
      </w:r>
      <w:r w:rsidRPr="00AC1BD2">
        <w:t>ux</w:t>
      </w:r>
      <w:r w:rsidR="00243A34" w:rsidRPr="00AC1BD2">
        <w:noBreakHyphen/>
      </w:r>
      <w:r w:rsidRPr="00AC1BD2">
        <w:t>ci pourraient se poser les questions clés suivantes pour essayer de concilier ces points de vue</w:t>
      </w:r>
      <w:r w:rsidR="00025CB1" w:rsidRPr="00AC1BD2">
        <w:t> :</w:t>
      </w:r>
    </w:p>
    <w:p w14:paraId="2BA82136" w14:textId="3C35AC21" w:rsidR="0039715D" w:rsidRPr="00AC1BD2" w:rsidRDefault="002B6238" w:rsidP="00243A34">
      <w:pPr>
        <w:numPr>
          <w:ilvl w:val="0"/>
          <w:numId w:val="17"/>
        </w:numPr>
        <w:tabs>
          <w:tab w:val="left" w:pos="567"/>
        </w:tabs>
        <w:ind w:left="1134" w:hanging="567"/>
        <w:rPr>
          <w:rFonts w:cs="Arial"/>
          <w:szCs w:val="22"/>
        </w:rPr>
      </w:pPr>
      <w:r w:rsidRPr="00AC1BD2">
        <w:rPr>
          <w:rFonts w:cs="Arial"/>
          <w:szCs w:val="22"/>
        </w:rPr>
        <w:t>Existe</w:t>
      </w:r>
      <w:r w:rsidR="00243A34" w:rsidRPr="00AC1BD2">
        <w:rPr>
          <w:rFonts w:cs="Arial"/>
          <w:szCs w:val="22"/>
        </w:rPr>
        <w:noBreakHyphen/>
      </w:r>
      <w:r w:rsidRPr="00AC1BD2">
        <w:rPr>
          <w:rFonts w:cs="Arial"/>
          <w:szCs w:val="22"/>
        </w:rPr>
        <w:t>t</w:t>
      </w:r>
      <w:r w:rsidR="00243A34" w:rsidRPr="00AC1BD2">
        <w:rPr>
          <w:rFonts w:cs="Arial"/>
          <w:szCs w:val="22"/>
        </w:rPr>
        <w:noBreakHyphen/>
      </w:r>
      <w:r w:rsidRPr="00AC1BD2">
        <w:rPr>
          <w:rFonts w:cs="Arial"/>
          <w:szCs w:val="22"/>
        </w:rPr>
        <w:t>il des domaines de convergence possibles, par exemple les moyens d</w:t>
      </w:r>
      <w:r w:rsidR="00025CB1" w:rsidRPr="00AC1BD2">
        <w:rPr>
          <w:rFonts w:cs="Arial"/>
          <w:szCs w:val="22"/>
        </w:rPr>
        <w:t>’</w:t>
      </w:r>
      <w:r w:rsidRPr="00AC1BD2">
        <w:rPr>
          <w:rFonts w:cs="Arial"/>
          <w:szCs w:val="22"/>
        </w:rPr>
        <w:t>empêcher l</w:t>
      </w:r>
      <w:r w:rsidR="00025CB1" w:rsidRPr="00AC1BD2">
        <w:rPr>
          <w:rFonts w:cs="Arial"/>
          <w:szCs w:val="22"/>
        </w:rPr>
        <w:t>’</w:t>
      </w:r>
      <w:r w:rsidRPr="00AC1BD2">
        <w:rPr>
          <w:rFonts w:cs="Arial"/>
          <w:szCs w:val="22"/>
        </w:rPr>
        <w:t>appropriation illicite/l</w:t>
      </w:r>
      <w:r w:rsidR="00025CB1" w:rsidRPr="00AC1BD2">
        <w:rPr>
          <w:rFonts w:cs="Arial"/>
          <w:szCs w:val="22"/>
        </w:rPr>
        <w:t>’</w:t>
      </w:r>
      <w:r w:rsidRPr="00AC1BD2">
        <w:rPr>
          <w:rFonts w:cs="Arial"/>
          <w:szCs w:val="22"/>
        </w:rPr>
        <w:t>appropriation illégale/l</w:t>
      </w:r>
      <w:r w:rsidR="00025CB1" w:rsidRPr="00AC1BD2">
        <w:rPr>
          <w:rFonts w:cs="Arial"/>
          <w:szCs w:val="22"/>
        </w:rPr>
        <w:t>’</w:t>
      </w:r>
      <w:r w:rsidRPr="00AC1BD2">
        <w:rPr>
          <w:rFonts w:cs="Arial"/>
          <w:szCs w:val="22"/>
        </w:rPr>
        <w:t>utilisation abusive/</w:t>
      </w:r>
      <w:r w:rsidR="008707C4" w:rsidRPr="00AC1BD2">
        <w:rPr>
          <w:rFonts w:cs="Arial"/>
          <w:szCs w:val="22"/>
        </w:rPr>
        <w:t>l</w:t>
      </w:r>
      <w:r w:rsidR="00025CB1" w:rsidRPr="00AC1BD2">
        <w:rPr>
          <w:rFonts w:cs="Arial"/>
          <w:szCs w:val="22"/>
        </w:rPr>
        <w:t>’</w:t>
      </w:r>
      <w:r w:rsidR="008707C4" w:rsidRPr="00AC1BD2">
        <w:rPr>
          <w:rFonts w:cs="Arial"/>
          <w:szCs w:val="22"/>
        </w:rPr>
        <w:t>utilisation non autorisée/l</w:t>
      </w:r>
      <w:r w:rsidR="00025CB1" w:rsidRPr="00AC1BD2">
        <w:rPr>
          <w:rFonts w:cs="Arial"/>
          <w:szCs w:val="22"/>
        </w:rPr>
        <w:t>’</w:t>
      </w:r>
      <w:r w:rsidR="008707C4" w:rsidRPr="00AC1BD2">
        <w:rPr>
          <w:rFonts w:cs="Arial"/>
          <w:szCs w:val="22"/>
        </w:rPr>
        <w:t>appropriation illégitime</w:t>
      </w:r>
      <w:r w:rsidR="00E5382C" w:rsidRPr="00AC1BD2">
        <w:rPr>
          <w:rFonts w:cs="Arial"/>
          <w:szCs w:val="22"/>
        </w:rPr>
        <w:t xml:space="preserve"> </w:t>
      </w:r>
      <w:r w:rsidR="008707C4" w:rsidRPr="00AC1BD2">
        <w:rPr>
          <w:rFonts w:cs="Arial"/>
          <w:szCs w:val="22"/>
        </w:rPr>
        <w:t>de savoirs traditionnels</w:t>
      </w:r>
      <w:r w:rsidR="00877A28" w:rsidRPr="00AC1BD2">
        <w:rPr>
          <w:rFonts w:cs="Arial"/>
          <w:szCs w:val="22"/>
        </w:rPr>
        <w:t>?</w:t>
      </w:r>
    </w:p>
    <w:p w14:paraId="0D904B3B" w14:textId="4B44EB76" w:rsidR="00025CB1" w:rsidRPr="00AC1BD2" w:rsidRDefault="008707C4" w:rsidP="00243A34">
      <w:pPr>
        <w:numPr>
          <w:ilvl w:val="0"/>
          <w:numId w:val="17"/>
        </w:numPr>
        <w:tabs>
          <w:tab w:val="left" w:pos="567"/>
        </w:tabs>
        <w:ind w:left="1134" w:hanging="567"/>
        <w:rPr>
          <w:rFonts w:cs="Arial"/>
          <w:szCs w:val="22"/>
        </w:rPr>
      </w:pPr>
      <w:r w:rsidRPr="00AC1BD2">
        <w:rPr>
          <w:rFonts w:cs="Arial"/>
          <w:szCs w:val="22"/>
        </w:rPr>
        <w:t>Ces objectif</w:t>
      </w:r>
      <w:r w:rsidR="00EC6174" w:rsidRPr="00AC1BD2">
        <w:rPr>
          <w:rFonts w:cs="Arial"/>
          <w:szCs w:val="22"/>
        </w:rPr>
        <w:t xml:space="preserve">s </w:t>
      </w:r>
      <w:r w:rsidRPr="00AC1BD2">
        <w:rPr>
          <w:rFonts w:cs="Arial"/>
          <w:szCs w:val="22"/>
        </w:rPr>
        <w:t>sont</w:t>
      </w:r>
      <w:r w:rsidR="00243A34" w:rsidRPr="00AC1BD2">
        <w:rPr>
          <w:rFonts w:cs="Arial"/>
          <w:szCs w:val="22"/>
        </w:rPr>
        <w:noBreakHyphen/>
      </w:r>
      <w:r w:rsidRPr="00AC1BD2">
        <w:rPr>
          <w:rFonts w:cs="Arial"/>
          <w:szCs w:val="22"/>
        </w:rPr>
        <w:t>ils pris en compte dans les dispositions de fond</w:t>
      </w:r>
      <w:r w:rsidR="00EC6174" w:rsidRPr="00AC1BD2">
        <w:rPr>
          <w:rFonts w:cs="Arial"/>
          <w:szCs w:val="22"/>
        </w:rPr>
        <w:t>?</w:t>
      </w:r>
    </w:p>
    <w:p w14:paraId="62D2E8F8" w14:textId="4B3EF11E" w:rsidR="0039715D" w:rsidRPr="00AC1BD2" w:rsidRDefault="008707C4" w:rsidP="00243A34">
      <w:pPr>
        <w:numPr>
          <w:ilvl w:val="0"/>
          <w:numId w:val="17"/>
        </w:numPr>
        <w:tabs>
          <w:tab w:val="left" w:pos="567"/>
        </w:tabs>
        <w:ind w:left="1134" w:hanging="567"/>
        <w:rPr>
          <w:rFonts w:cs="Arial"/>
          <w:szCs w:val="22"/>
        </w:rPr>
      </w:pPr>
      <w:r w:rsidRPr="00AC1BD2">
        <w:rPr>
          <w:rFonts w:cs="Arial"/>
          <w:szCs w:val="22"/>
        </w:rPr>
        <w:t>Comment seraient</w:t>
      </w:r>
      <w:r w:rsidR="00243A34" w:rsidRPr="00AC1BD2">
        <w:rPr>
          <w:rFonts w:cs="Arial"/>
          <w:szCs w:val="22"/>
        </w:rPr>
        <w:noBreakHyphen/>
      </w:r>
      <w:r w:rsidRPr="00AC1BD2">
        <w:rPr>
          <w:rFonts w:cs="Arial"/>
          <w:szCs w:val="22"/>
        </w:rPr>
        <w:t xml:space="preserve">ils mis en </w:t>
      </w:r>
      <w:r w:rsidR="00806DFE" w:rsidRPr="00AC1BD2">
        <w:rPr>
          <w:rFonts w:cs="Arial"/>
          <w:szCs w:val="22"/>
        </w:rPr>
        <w:t>œuvre</w:t>
      </w:r>
      <w:r w:rsidR="00AF24CC" w:rsidRPr="00AC1BD2">
        <w:rPr>
          <w:rFonts w:cs="Arial"/>
          <w:szCs w:val="22"/>
        </w:rPr>
        <w:t>?</w:t>
      </w:r>
    </w:p>
    <w:p w14:paraId="7740C413" w14:textId="5FE109B1" w:rsidR="008707C4" w:rsidRPr="00AC1BD2" w:rsidRDefault="008707C4" w:rsidP="00243A34">
      <w:pPr>
        <w:numPr>
          <w:ilvl w:val="0"/>
          <w:numId w:val="17"/>
        </w:numPr>
        <w:tabs>
          <w:tab w:val="left" w:pos="567"/>
        </w:tabs>
        <w:ind w:left="1134" w:hanging="567"/>
        <w:rPr>
          <w:rFonts w:cs="Arial"/>
          <w:i/>
          <w:szCs w:val="22"/>
        </w:rPr>
      </w:pPr>
      <w:r w:rsidRPr="00AC1BD2">
        <w:rPr>
          <w:rFonts w:cs="Arial"/>
          <w:szCs w:val="22"/>
        </w:rPr>
        <w:t>Les objectif</w:t>
      </w:r>
      <w:r w:rsidR="00E5382C" w:rsidRPr="00AC1BD2">
        <w:rPr>
          <w:rFonts w:cs="Arial"/>
          <w:szCs w:val="22"/>
        </w:rPr>
        <w:t xml:space="preserve">s </w:t>
      </w:r>
      <w:r w:rsidRPr="00AC1BD2">
        <w:rPr>
          <w:rFonts w:cs="Arial"/>
          <w:szCs w:val="22"/>
        </w:rPr>
        <w:t>ont</w:t>
      </w:r>
      <w:r w:rsidR="00243A34" w:rsidRPr="00AC1BD2">
        <w:rPr>
          <w:rFonts w:cs="Arial"/>
          <w:szCs w:val="22"/>
        </w:rPr>
        <w:noBreakHyphen/>
      </w:r>
      <w:r w:rsidRPr="00AC1BD2">
        <w:rPr>
          <w:rFonts w:cs="Arial"/>
          <w:szCs w:val="22"/>
        </w:rPr>
        <w:t xml:space="preserve">ils un rapport </w:t>
      </w:r>
      <w:r w:rsidR="00E5382C" w:rsidRPr="00AC1BD2">
        <w:rPr>
          <w:rFonts w:cs="Arial"/>
          <w:szCs w:val="22"/>
        </w:rPr>
        <w:t>direct</w:t>
      </w:r>
      <w:r w:rsidRPr="00AC1BD2">
        <w:rPr>
          <w:rFonts w:cs="Arial"/>
          <w:szCs w:val="22"/>
        </w:rPr>
        <w:t xml:space="preserve"> avec l</w:t>
      </w:r>
      <w:r w:rsidR="00025CB1" w:rsidRPr="00AC1BD2">
        <w:rPr>
          <w:rFonts w:cs="Arial"/>
          <w:szCs w:val="22"/>
        </w:rPr>
        <w:t>’</w:t>
      </w:r>
      <w:r w:rsidRPr="00AC1BD2">
        <w:rPr>
          <w:rFonts w:cs="Arial"/>
          <w:szCs w:val="22"/>
        </w:rPr>
        <w:t>objectif de notre travail, tel qu</w:t>
      </w:r>
      <w:r w:rsidR="00025CB1" w:rsidRPr="00AC1BD2">
        <w:rPr>
          <w:rFonts w:cs="Arial"/>
          <w:szCs w:val="22"/>
        </w:rPr>
        <w:t>’</w:t>
      </w:r>
      <w:r w:rsidRPr="00AC1BD2">
        <w:rPr>
          <w:rFonts w:cs="Arial"/>
          <w:szCs w:val="22"/>
        </w:rPr>
        <w:t>énoncé dans le mandat de l</w:t>
      </w:r>
      <w:r w:rsidR="00025CB1" w:rsidRPr="00AC1BD2">
        <w:rPr>
          <w:rFonts w:cs="Arial"/>
          <w:szCs w:val="22"/>
        </w:rPr>
        <w:t>’</w:t>
      </w:r>
      <w:r w:rsidRPr="00AC1BD2">
        <w:rPr>
          <w:rFonts w:cs="Arial"/>
          <w:szCs w:val="22"/>
        </w:rPr>
        <w:t>IGC</w:t>
      </w:r>
      <w:r w:rsidR="00025CB1" w:rsidRPr="00AC1BD2">
        <w:rPr>
          <w:rFonts w:cs="Arial"/>
          <w:szCs w:val="22"/>
        </w:rPr>
        <w:t> :</w:t>
      </w:r>
      <w:r w:rsidRPr="00AC1BD2">
        <w:rPr>
          <w:rFonts w:cs="Arial"/>
          <w:szCs w:val="22"/>
        </w:rPr>
        <w:t xml:space="preserve"> </w:t>
      </w:r>
      <w:r w:rsidR="001E4DB3" w:rsidRPr="00AC1BD2">
        <w:rPr>
          <w:rFonts w:cs="Arial"/>
          <w:szCs w:val="22"/>
        </w:rPr>
        <w:t>“</w:t>
      </w:r>
      <w:r w:rsidRPr="00AC1BD2">
        <w:rPr>
          <w:rFonts w:cs="Arial"/>
          <w:i/>
          <w:szCs w:val="22"/>
        </w:rPr>
        <w:t>parvenir à un accord sur un ou plusieurs instruments juridiques internationaux relatifs à la propriété intellectuelle, propres à garantir une protection équilibrée et effective des ressources génétiques, des savoirs traditionnels et des expressions culturelles traditionnelles</w:t>
      </w:r>
      <w:r w:rsidR="00806DFE" w:rsidRPr="00AC1BD2">
        <w:rPr>
          <w:rFonts w:cs="Arial"/>
          <w:szCs w:val="22"/>
        </w:rPr>
        <w:t>”</w:t>
      </w:r>
      <w:r w:rsidRPr="00AC1BD2">
        <w:rPr>
          <w:rFonts w:cs="Arial"/>
          <w:szCs w:val="22"/>
        </w:rPr>
        <w:t>?</w:t>
      </w:r>
    </w:p>
    <w:p w14:paraId="080AEF62" w14:textId="18F58DE2" w:rsidR="0039715D" w:rsidRPr="00AC1BD2" w:rsidRDefault="008707C4" w:rsidP="00243A34">
      <w:pPr>
        <w:numPr>
          <w:ilvl w:val="0"/>
          <w:numId w:val="17"/>
        </w:numPr>
        <w:tabs>
          <w:tab w:val="left" w:pos="567"/>
        </w:tabs>
        <w:ind w:left="1134" w:hanging="567"/>
        <w:rPr>
          <w:rFonts w:cs="Arial"/>
          <w:szCs w:val="22"/>
        </w:rPr>
      </w:pPr>
      <w:r w:rsidRPr="00AC1BD2">
        <w:rPr>
          <w:rFonts w:cs="Arial"/>
          <w:szCs w:val="22"/>
        </w:rPr>
        <w:lastRenderedPageBreak/>
        <w:t>S</w:t>
      </w:r>
      <w:r w:rsidR="00025CB1" w:rsidRPr="00AC1BD2">
        <w:rPr>
          <w:rFonts w:cs="Arial"/>
          <w:szCs w:val="22"/>
        </w:rPr>
        <w:t>’</w:t>
      </w:r>
      <w:r w:rsidRPr="00AC1BD2">
        <w:rPr>
          <w:rFonts w:cs="Arial"/>
          <w:szCs w:val="22"/>
        </w:rPr>
        <w:t xml:space="preserve">agissant de la </w:t>
      </w:r>
      <w:r w:rsidR="00E5382C" w:rsidRPr="00AC1BD2">
        <w:rPr>
          <w:rFonts w:cs="Arial"/>
          <w:szCs w:val="22"/>
        </w:rPr>
        <w:t xml:space="preserve">question </w:t>
      </w:r>
      <w:r w:rsidR="00C50B8A" w:rsidRPr="00AC1BD2">
        <w:rPr>
          <w:rFonts w:cs="Arial"/>
          <w:szCs w:val="22"/>
        </w:rPr>
        <w:t>ci</w:t>
      </w:r>
      <w:r w:rsidR="00243A34" w:rsidRPr="00AC1BD2">
        <w:rPr>
          <w:rFonts w:cs="Arial"/>
          <w:szCs w:val="22"/>
        </w:rPr>
        <w:noBreakHyphen/>
      </w:r>
      <w:r w:rsidR="00C50B8A" w:rsidRPr="00AC1BD2">
        <w:rPr>
          <w:rFonts w:cs="Arial"/>
          <w:szCs w:val="22"/>
        </w:rPr>
        <w:t>dessus</w:t>
      </w:r>
      <w:r w:rsidR="00C45E8F" w:rsidRPr="00AC1BD2">
        <w:rPr>
          <w:rFonts w:cs="Arial"/>
          <w:szCs w:val="22"/>
        </w:rPr>
        <w:t>,</w:t>
      </w:r>
      <w:r w:rsidR="00E5382C" w:rsidRPr="00AC1BD2">
        <w:rPr>
          <w:rFonts w:cs="Arial"/>
          <w:szCs w:val="22"/>
        </w:rPr>
        <w:t xml:space="preserve"> </w:t>
      </w:r>
      <w:r w:rsidRPr="00AC1BD2">
        <w:rPr>
          <w:rFonts w:cs="Arial"/>
          <w:szCs w:val="22"/>
        </w:rPr>
        <w:t>tous les objectif</w:t>
      </w:r>
      <w:r w:rsidR="00E5382C" w:rsidRPr="00AC1BD2">
        <w:rPr>
          <w:rFonts w:cs="Arial"/>
          <w:szCs w:val="22"/>
        </w:rPr>
        <w:t xml:space="preserve">s </w:t>
      </w:r>
      <w:r w:rsidRPr="00AC1BD2">
        <w:rPr>
          <w:rFonts w:cs="Arial"/>
          <w:szCs w:val="22"/>
        </w:rPr>
        <w:t>figurant dans les différentes variantes ont</w:t>
      </w:r>
      <w:r w:rsidR="00243A34" w:rsidRPr="00AC1BD2">
        <w:rPr>
          <w:rFonts w:cs="Arial"/>
          <w:szCs w:val="22"/>
        </w:rPr>
        <w:noBreakHyphen/>
      </w:r>
      <w:r w:rsidRPr="00AC1BD2">
        <w:rPr>
          <w:rFonts w:cs="Arial"/>
          <w:szCs w:val="22"/>
        </w:rPr>
        <w:t>ils leur place ici, ou ne serait</w:t>
      </w:r>
      <w:r w:rsidR="00243A34" w:rsidRPr="00AC1BD2">
        <w:rPr>
          <w:rFonts w:cs="Arial"/>
          <w:szCs w:val="22"/>
        </w:rPr>
        <w:noBreakHyphen/>
      </w:r>
      <w:r w:rsidRPr="00AC1BD2">
        <w:rPr>
          <w:rFonts w:cs="Arial"/>
          <w:szCs w:val="22"/>
        </w:rPr>
        <w:t>il pas plus approprié d</w:t>
      </w:r>
      <w:r w:rsidR="00025CB1" w:rsidRPr="00AC1BD2">
        <w:rPr>
          <w:rFonts w:cs="Arial"/>
          <w:szCs w:val="22"/>
        </w:rPr>
        <w:t>’</w:t>
      </w:r>
      <w:r w:rsidRPr="00AC1BD2">
        <w:rPr>
          <w:rFonts w:cs="Arial"/>
          <w:szCs w:val="22"/>
        </w:rPr>
        <w:t xml:space="preserve">en </w:t>
      </w:r>
      <w:r w:rsidR="00AF24CC" w:rsidRPr="00AC1BD2">
        <w:rPr>
          <w:rFonts w:cs="Arial"/>
          <w:szCs w:val="22"/>
        </w:rPr>
        <w:t>énoncer</w:t>
      </w:r>
      <w:r w:rsidRPr="00AC1BD2">
        <w:rPr>
          <w:rFonts w:cs="Arial"/>
          <w:szCs w:val="22"/>
        </w:rPr>
        <w:t xml:space="preserve"> certains dans le préambule</w:t>
      </w:r>
      <w:r w:rsidR="00E5382C" w:rsidRPr="00AC1BD2">
        <w:rPr>
          <w:rFonts w:cs="Arial"/>
          <w:szCs w:val="22"/>
        </w:rPr>
        <w:t>?</w:t>
      </w:r>
    </w:p>
    <w:p w14:paraId="268E3ABA" w14:textId="77777777" w:rsidR="0039715D" w:rsidRPr="00AC1BD2" w:rsidRDefault="0039715D" w:rsidP="00243A34">
      <w:pPr>
        <w:tabs>
          <w:tab w:val="left" w:pos="567"/>
        </w:tabs>
        <w:rPr>
          <w:rFonts w:cs="Arial"/>
          <w:szCs w:val="22"/>
        </w:rPr>
      </w:pPr>
    </w:p>
    <w:p w14:paraId="1FC2EB50" w14:textId="5AE5F141" w:rsidR="006E4011" w:rsidRPr="00AC1BD2" w:rsidRDefault="006E4011" w:rsidP="00C37157">
      <w:pPr>
        <w:pStyle w:val="ONUMFS"/>
      </w:pPr>
      <w:r w:rsidRPr="00AC1BD2">
        <w:t>Comme l</w:t>
      </w:r>
      <w:r w:rsidR="00025CB1" w:rsidRPr="00AC1BD2">
        <w:t>’</w:t>
      </w:r>
      <w:r w:rsidRPr="00AC1BD2">
        <w:t>a indiqué la délégation de la Suisse au cours de la dernière session, il existe d</w:t>
      </w:r>
      <w:r w:rsidR="00025CB1" w:rsidRPr="00AC1BD2">
        <w:t>’</w:t>
      </w:r>
      <w:r w:rsidRPr="00AC1BD2">
        <w:t>autres instruments internationaux, en dehors du système de propriété intellectuelle, qui touchent à la protection des savoirs traditionne</w:t>
      </w:r>
      <w:r w:rsidR="00512111" w:rsidRPr="00AC1BD2">
        <w:t>ls.  C’e</w:t>
      </w:r>
      <w:r w:rsidRPr="00AC1BD2">
        <w:t>st pourquoi un instrument juridique international, dans le cadre de l</w:t>
      </w:r>
      <w:r w:rsidR="00025CB1" w:rsidRPr="00AC1BD2">
        <w:t>’</w:t>
      </w:r>
      <w:r w:rsidRPr="00AC1BD2">
        <w:t>IGC, devrait énoncer des objectifs visant clairement la protection des savoirs traditionnels dans le contexte du système de propriété intellectuelle, et non des objectifs figurant déjà dans d</w:t>
      </w:r>
      <w:r w:rsidR="00025CB1" w:rsidRPr="00AC1BD2">
        <w:t>’</w:t>
      </w:r>
      <w:r w:rsidRPr="00AC1BD2">
        <w:t>autres instruments internationaux ou ne touchant pas au système de propriété intellectuelle.</w:t>
      </w:r>
    </w:p>
    <w:p w14:paraId="28085573" w14:textId="6CE4582F" w:rsidR="006E4011" w:rsidRPr="00AC1BD2" w:rsidRDefault="006E4011" w:rsidP="00C37157">
      <w:pPr>
        <w:pStyle w:val="ONUMFS"/>
      </w:pPr>
      <w:r w:rsidRPr="00AC1BD2">
        <w:t>Ainsi qu</w:t>
      </w:r>
      <w:r w:rsidR="00025CB1" w:rsidRPr="00AC1BD2">
        <w:t>’</w:t>
      </w:r>
      <w:r w:rsidRPr="00AC1BD2">
        <w:t>indiqué plus haut, il devrait exister un lien direct entre les objectifs de politique générale et les dispositions de fond énoncées dans l</w:t>
      </w:r>
      <w:r w:rsidR="00025CB1" w:rsidRPr="00AC1BD2">
        <w:t>’</w:t>
      </w:r>
      <w:r w:rsidRPr="00AC1BD2">
        <w:t>instrume</w:t>
      </w:r>
      <w:r w:rsidR="00512111" w:rsidRPr="00AC1BD2">
        <w:t>nt.  Da</w:t>
      </w:r>
      <w:r w:rsidRPr="00AC1BD2">
        <w:t>ns ce contexte, il pourrait être utile de revenir sur les objectifs de politique générale une fois que les travaux concernant les dispositions de fond, par exemple l</w:t>
      </w:r>
      <w:r w:rsidR="00025CB1" w:rsidRPr="00AC1BD2">
        <w:t>’</w:t>
      </w:r>
      <w:r w:rsidRPr="00AC1BD2">
        <w:t>objet, les bénéficiaires et l</w:t>
      </w:r>
      <w:r w:rsidR="00025CB1" w:rsidRPr="00AC1BD2">
        <w:t>’</w:t>
      </w:r>
      <w:r w:rsidRPr="00AC1BD2">
        <w:t xml:space="preserve">étendue de la protection, </w:t>
      </w:r>
      <w:r w:rsidR="00AF24CC" w:rsidRPr="00AC1BD2">
        <w:t>auront progressé</w:t>
      </w:r>
      <w:r w:rsidRPr="00AC1BD2">
        <w:t>.</w:t>
      </w:r>
    </w:p>
    <w:p w14:paraId="63CDD6F8" w14:textId="25B5DE63" w:rsidR="0039715D" w:rsidRPr="00AC1BD2" w:rsidRDefault="006658D1" w:rsidP="00C37157">
      <w:pPr>
        <w:pStyle w:val="ONUMFS"/>
      </w:pPr>
      <w:r w:rsidRPr="00AC1BD2">
        <w:t>Il est à espérer que le</w:t>
      </w:r>
      <w:r w:rsidR="00152FBC" w:rsidRPr="00AC1BD2">
        <w:t xml:space="preserve"> </w:t>
      </w:r>
      <w:r w:rsidR="006E4011" w:rsidRPr="00AC1BD2">
        <w:rPr>
          <w:i/>
        </w:rPr>
        <w:t>Séminaire sur la propriété intellectuelle et les savoirs traditionnels</w:t>
      </w:r>
      <w:r w:rsidR="00152FBC" w:rsidRPr="00AC1BD2">
        <w:t xml:space="preserve">, </w:t>
      </w:r>
      <w:r w:rsidRPr="00AC1BD2">
        <w:t xml:space="preserve">qui </w:t>
      </w:r>
      <w:proofErr w:type="gramStart"/>
      <w:r w:rsidRPr="00AC1BD2">
        <w:t>aura</w:t>
      </w:r>
      <w:proofErr w:type="gramEnd"/>
      <w:r w:rsidRPr="00AC1BD2">
        <w:t xml:space="preserve"> lieu juste avant</w:t>
      </w:r>
      <w:r w:rsidR="00152FBC" w:rsidRPr="00AC1BD2">
        <w:t xml:space="preserve"> </w:t>
      </w:r>
      <w:r w:rsidRPr="00AC1BD2">
        <w:t>la trente</w:t>
      </w:r>
      <w:r w:rsidR="00243A34" w:rsidRPr="00AC1BD2">
        <w:noBreakHyphen/>
      </w:r>
      <w:r w:rsidR="0001710C" w:rsidRPr="00AC1BD2">
        <w:t>deuxième</w:t>
      </w:r>
      <w:r w:rsidR="00197E51" w:rsidRPr="00AC1BD2">
        <w:t> </w:t>
      </w:r>
      <w:r w:rsidR="0001710C" w:rsidRPr="00AC1BD2">
        <w:t>session de l</w:t>
      </w:r>
      <w:r w:rsidR="00025CB1" w:rsidRPr="00AC1BD2">
        <w:t>’</w:t>
      </w:r>
      <w:r w:rsidR="0001710C" w:rsidRPr="00AC1BD2">
        <w:t>IGC</w:t>
      </w:r>
      <w:r w:rsidRPr="00AC1BD2">
        <w:t xml:space="preserve">, apportera quelques précisions sur ces questions, en particulier le discours liminaire, intitulé </w:t>
      </w:r>
      <w:r w:rsidR="001E4DB3" w:rsidRPr="00AC1BD2">
        <w:t>“</w:t>
      </w:r>
      <w:r w:rsidRPr="00AC1BD2">
        <w:t>Pourquoi et comment protéger les savoirs traditionnels à l</w:t>
      </w:r>
      <w:r w:rsidR="00025CB1" w:rsidRPr="00AC1BD2">
        <w:t>’</w:t>
      </w:r>
      <w:r w:rsidRPr="00AC1BD2">
        <w:t>échelon international?</w:t>
      </w:r>
      <w:r w:rsidR="00806DFE" w:rsidRPr="00AC1BD2">
        <w:t>”</w:t>
      </w:r>
    </w:p>
    <w:p w14:paraId="087CE511" w14:textId="77777777" w:rsidR="0039715D" w:rsidRPr="00AC1BD2" w:rsidRDefault="007C4FC7" w:rsidP="00243A34">
      <w:pPr>
        <w:tabs>
          <w:tab w:val="left" w:pos="567"/>
        </w:tabs>
        <w:rPr>
          <w:rFonts w:cs="Arial"/>
          <w:szCs w:val="22"/>
          <w:u w:val="single"/>
        </w:rPr>
      </w:pPr>
      <w:r w:rsidRPr="00AC1BD2">
        <w:rPr>
          <w:rFonts w:cs="Arial"/>
          <w:szCs w:val="22"/>
          <w:u w:val="single"/>
        </w:rPr>
        <w:t>Bénéficiaires</w:t>
      </w:r>
    </w:p>
    <w:p w14:paraId="3A6C815C" w14:textId="77777777" w:rsidR="0039715D" w:rsidRPr="00AC1BD2" w:rsidRDefault="0039715D" w:rsidP="00243A34">
      <w:pPr>
        <w:tabs>
          <w:tab w:val="left" w:pos="567"/>
        </w:tabs>
        <w:rPr>
          <w:rFonts w:cs="Arial"/>
          <w:szCs w:val="22"/>
        </w:rPr>
      </w:pPr>
    </w:p>
    <w:p w14:paraId="2313889D" w14:textId="7C90445A" w:rsidR="0039715D" w:rsidRPr="00AC1BD2" w:rsidRDefault="00050F2F" w:rsidP="00C37157">
      <w:pPr>
        <w:pStyle w:val="ONUMFS"/>
      </w:pPr>
      <w:r w:rsidRPr="00AC1BD2">
        <w:t>Le texte actuel contient trois</w:t>
      </w:r>
      <w:r w:rsidR="00197E51" w:rsidRPr="00AC1BD2">
        <w:t> </w:t>
      </w:r>
      <w:r w:rsidRPr="00AC1BD2">
        <w:t>variantes</w:t>
      </w:r>
      <w:r w:rsidR="00025CB1" w:rsidRPr="00AC1BD2">
        <w:t> :</w:t>
      </w:r>
    </w:p>
    <w:p w14:paraId="20112BC0" w14:textId="15FF99EF" w:rsidR="0039715D" w:rsidRPr="00AC1BD2" w:rsidRDefault="00050F2F" w:rsidP="00243A34">
      <w:pPr>
        <w:numPr>
          <w:ilvl w:val="0"/>
          <w:numId w:val="17"/>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DF68D3" w:rsidRPr="00AC1BD2">
        <w:rPr>
          <w:rFonts w:cs="Arial"/>
          <w:szCs w:val="22"/>
        </w:rPr>
        <w:t>1 consid</w:t>
      </w:r>
      <w:r w:rsidRPr="00AC1BD2">
        <w:rPr>
          <w:rFonts w:cs="Arial"/>
          <w:szCs w:val="22"/>
        </w:rPr>
        <w:t xml:space="preserve">ère que les </w:t>
      </w:r>
      <w:r w:rsidR="00715B7F" w:rsidRPr="00AC1BD2">
        <w:rPr>
          <w:rFonts w:cs="Arial"/>
          <w:szCs w:val="22"/>
        </w:rPr>
        <w:t>peuples autochtones</w:t>
      </w:r>
      <w:r w:rsidRPr="00AC1BD2">
        <w:rPr>
          <w:rFonts w:cs="Arial"/>
          <w:szCs w:val="22"/>
        </w:rPr>
        <w:t xml:space="preserve"> et les communautés locales sont les seuls bénéficiair</w:t>
      </w:r>
      <w:r w:rsidR="00512111" w:rsidRPr="00AC1BD2">
        <w:rPr>
          <w:rFonts w:cs="Arial"/>
          <w:szCs w:val="22"/>
        </w:rPr>
        <w:t>es.  El</w:t>
      </w:r>
      <w:r w:rsidR="00715B7F" w:rsidRPr="00AC1BD2">
        <w:rPr>
          <w:rFonts w:cs="Arial"/>
          <w:szCs w:val="22"/>
        </w:rPr>
        <w:t xml:space="preserve">le </w:t>
      </w:r>
      <w:r w:rsidR="00657338" w:rsidRPr="00AC1BD2">
        <w:rPr>
          <w:rFonts w:cs="Arial"/>
          <w:szCs w:val="22"/>
        </w:rPr>
        <w:t xml:space="preserve">donne à la législation nationale la possibilité </w:t>
      </w:r>
      <w:r w:rsidR="00715B7F" w:rsidRPr="00AC1BD2">
        <w:rPr>
          <w:rFonts w:cs="Arial"/>
          <w:szCs w:val="22"/>
        </w:rPr>
        <w:t>de désigner des organes compétents pour agir en tant que dépositaire au nom des bénéficiaires</w:t>
      </w:r>
      <w:r w:rsidR="00DF68D3" w:rsidRPr="00AC1BD2">
        <w:rPr>
          <w:rFonts w:cs="Arial"/>
          <w:szCs w:val="22"/>
        </w:rPr>
        <w:t>.</w:t>
      </w:r>
    </w:p>
    <w:p w14:paraId="10C095F6" w14:textId="51E5BA45" w:rsidR="0039715D" w:rsidRPr="00AC1BD2" w:rsidRDefault="00715B7F" w:rsidP="00243A34">
      <w:pPr>
        <w:numPr>
          <w:ilvl w:val="0"/>
          <w:numId w:val="17"/>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DF68D3" w:rsidRPr="00AC1BD2">
        <w:rPr>
          <w:rFonts w:cs="Arial"/>
          <w:szCs w:val="22"/>
        </w:rPr>
        <w:t>2 reco</w:t>
      </w:r>
      <w:r w:rsidRPr="00AC1BD2">
        <w:rPr>
          <w:rFonts w:cs="Arial"/>
          <w:szCs w:val="22"/>
        </w:rPr>
        <w:t>nnaît la qualité de bénéficiaires aux peuples autochtones et communautés locales, à des États, des nations et d</w:t>
      </w:r>
      <w:r w:rsidR="00025CB1" w:rsidRPr="00AC1BD2">
        <w:rPr>
          <w:rFonts w:cs="Arial"/>
          <w:szCs w:val="22"/>
        </w:rPr>
        <w:t>’</w:t>
      </w:r>
      <w:r w:rsidRPr="00AC1BD2">
        <w:rPr>
          <w:rFonts w:cs="Arial"/>
          <w:szCs w:val="22"/>
        </w:rPr>
        <w:t>autres bénéficiaires déterminés par la législation nationa</w:t>
      </w:r>
      <w:r w:rsidR="00512111" w:rsidRPr="00AC1BD2">
        <w:rPr>
          <w:rFonts w:cs="Arial"/>
          <w:szCs w:val="22"/>
        </w:rPr>
        <w:t>le.  El</w:t>
      </w:r>
      <w:r w:rsidRPr="00AC1BD2">
        <w:rPr>
          <w:rFonts w:cs="Arial"/>
          <w:szCs w:val="22"/>
        </w:rPr>
        <w:t xml:space="preserve">le </w:t>
      </w:r>
      <w:r w:rsidR="001D5BA4" w:rsidRPr="00AC1BD2">
        <w:rPr>
          <w:rFonts w:cs="Arial"/>
          <w:szCs w:val="22"/>
        </w:rPr>
        <w:t>permet aux États d</w:t>
      </w:r>
      <w:r w:rsidR="00025CB1" w:rsidRPr="00AC1BD2">
        <w:rPr>
          <w:rFonts w:cs="Arial"/>
          <w:szCs w:val="22"/>
        </w:rPr>
        <w:t>’</w:t>
      </w:r>
      <w:r w:rsidR="001D5BA4" w:rsidRPr="00AC1BD2">
        <w:rPr>
          <w:rFonts w:cs="Arial"/>
          <w:szCs w:val="22"/>
        </w:rPr>
        <w:t xml:space="preserve">établir des autorités nationales compétentes, selon que de besoin, pour déterminer les bénéficiaires des savoirs traditionnels </w:t>
      </w:r>
      <w:r w:rsidRPr="00AC1BD2">
        <w:rPr>
          <w:rFonts w:cs="Arial"/>
          <w:szCs w:val="22"/>
        </w:rPr>
        <w:t>après</w:t>
      </w:r>
      <w:r w:rsidR="001D5BA4" w:rsidRPr="00AC1BD2">
        <w:rPr>
          <w:rFonts w:cs="Arial"/>
          <w:szCs w:val="22"/>
        </w:rPr>
        <w:t xml:space="preserve"> consultation </w:t>
      </w:r>
      <w:r w:rsidRPr="00AC1BD2">
        <w:rPr>
          <w:rFonts w:cs="Arial"/>
          <w:szCs w:val="22"/>
        </w:rPr>
        <w:t>des peuples autochtones, d</w:t>
      </w:r>
      <w:r w:rsidR="001D5BA4" w:rsidRPr="00AC1BD2">
        <w:rPr>
          <w:rFonts w:cs="Arial"/>
          <w:szCs w:val="22"/>
        </w:rPr>
        <w:t xml:space="preserve">es communautés locales et </w:t>
      </w:r>
      <w:r w:rsidRPr="00AC1BD2">
        <w:rPr>
          <w:rFonts w:cs="Arial"/>
          <w:szCs w:val="22"/>
        </w:rPr>
        <w:t>d</w:t>
      </w:r>
      <w:r w:rsidR="001D5BA4" w:rsidRPr="00AC1BD2">
        <w:rPr>
          <w:rFonts w:cs="Arial"/>
          <w:szCs w:val="22"/>
        </w:rPr>
        <w:t>es parties prenantes qui créent, préservent et développent des savoirs traditionnels et exercent des droits à cet égard conformément aux lois et pratiques coutumières.</w:t>
      </w:r>
    </w:p>
    <w:p w14:paraId="57D89C3C" w14:textId="602903F9" w:rsidR="0039715D" w:rsidRPr="00AC1BD2" w:rsidRDefault="00715B7F" w:rsidP="00243A34">
      <w:pPr>
        <w:numPr>
          <w:ilvl w:val="0"/>
          <w:numId w:val="17"/>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DF68D3" w:rsidRPr="00AC1BD2">
        <w:rPr>
          <w:rFonts w:cs="Arial"/>
          <w:szCs w:val="22"/>
        </w:rPr>
        <w:t>3</w:t>
      </w:r>
      <w:r w:rsidR="00DF68D3" w:rsidRPr="00AC1BD2">
        <w:t xml:space="preserve"> </w:t>
      </w:r>
      <w:r w:rsidR="00657338" w:rsidRPr="00AC1BD2">
        <w:rPr>
          <w:rFonts w:cs="Arial"/>
          <w:szCs w:val="22"/>
        </w:rPr>
        <w:t>reconnaît la qualité de bénéficiaires aux peuples autochtones et communautés locales et à d</w:t>
      </w:r>
      <w:r w:rsidR="00025CB1" w:rsidRPr="00AC1BD2">
        <w:rPr>
          <w:rFonts w:cs="Arial"/>
          <w:szCs w:val="22"/>
        </w:rPr>
        <w:t>’</w:t>
      </w:r>
      <w:r w:rsidR="00657338" w:rsidRPr="00AC1BD2">
        <w:rPr>
          <w:rFonts w:cs="Arial"/>
          <w:szCs w:val="22"/>
        </w:rPr>
        <w:t>autres bénéficiaires</w:t>
      </w:r>
      <w:r w:rsidR="00DF68D3" w:rsidRPr="00AC1BD2">
        <w:rPr>
          <w:rFonts w:cs="Arial"/>
          <w:szCs w:val="22"/>
        </w:rPr>
        <w:t xml:space="preserve">, </w:t>
      </w:r>
      <w:r w:rsidR="00657338" w:rsidRPr="00AC1BD2">
        <w:rPr>
          <w:rFonts w:cs="Arial"/>
          <w:szCs w:val="22"/>
        </w:rPr>
        <w:t>déterminés par la législation nationa</w:t>
      </w:r>
      <w:r w:rsidR="00512111" w:rsidRPr="00AC1BD2">
        <w:rPr>
          <w:rFonts w:cs="Arial"/>
          <w:szCs w:val="22"/>
        </w:rPr>
        <w:t>le.  Co</w:t>
      </w:r>
      <w:r w:rsidR="00657338" w:rsidRPr="00AC1BD2">
        <w:rPr>
          <w:rFonts w:cs="Arial"/>
          <w:szCs w:val="22"/>
        </w:rPr>
        <w:t>mme la variante</w:t>
      </w:r>
      <w:r w:rsidR="00BD0A6E" w:rsidRPr="00AC1BD2">
        <w:rPr>
          <w:rFonts w:cs="Arial"/>
          <w:szCs w:val="22"/>
        </w:rPr>
        <w:t> </w:t>
      </w:r>
      <w:r w:rsidR="00657338" w:rsidRPr="00AC1BD2">
        <w:rPr>
          <w:rFonts w:cs="Arial"/>
          <w:szCs w:val="22"/>
        </w:rPr>
        <w:t>1, elle donne à la législation nationale la possibilité de désigner des organes compétents pour agir en tant que dépositaire au nom des bénéficiaires</w:t>
      </w:r>
      <w:r w:rsidR="00DF68D3" w:rsidRPr="00AC1BD2">
        <w:rPr>
          <w:rFonts w:cs="Arial"/>
          <w:szCs w:val="22"/>
        </w:rPr>
        <w:t>.</w:t>
      </w:r>
    </w:p>
    <w:p w14:paraId="2BEE8CB4" w14:textId="77777777" w:rsidR="0039715D" w:rsidRPr="00AC1BD2" w:rsidRDefault="0039715D" w:rsidP="00243A34">
      <w:pPr>
        <w:tabs>
          <w:tab w:val="left" w:pos="567"/>
        </w:tabs>
        <w:rPr>
          <w:rFonts w:cs="Arial"/>
          <w:szCs w:val="22"/>
        </w:rPr>
      </w:pPr>
    </w:p>
    <w:p w14:paraId="270060EE" w14:textId="512B4F24" w:rsidR="00657338" w:rsidRPr="00AC1BD2" w:rsidRDefault="007B5C43" w:rsidP="00C37157">
      <w:pPr>
        <w:pStyle w:val="ONUMFS"/>
      </w:pPr>
      <w:r w:rsidRPr="00AC1BD2">
        <w:t>Il ne s</w:t>
      </w:r>
      <w:r w:rsidR="00025CB1" w:rsidRPr="00AC1BD2">
        <w:t>’</w:t>
      </w:r>
      <w:r w:rsidRPr="00AC1BD2">
        <w:t>est</w:t>
      </w:r>
      <w:r w:rsidR="00657338" w:rsidRPr="00AC1BD2">
        <w:t xml:space="preserve"> manifestement pas encore </w:t>
      </w:r>
      <w:r w:rsidRPr="00AC1BD2">
        <w:t>instauré de consensus</w:t>
      </w:r>
      <w:r w:rsidR="00657338" w:rsidRPr="00AC1BD2">
        <w:t xml:space="preserve"> sur ce poi</w:t>
      </w:r>
      <w:r w:rsidR="00512111" w:rsidRPr="00AC1BD2">
        <w:t>nt.  Ce</w:t>
      </w:r>
      <w:r w:rsidR="00657338" w:rsidRPr="00AC1BD2">
        <w:t xml:space="preserve">rtaines délégations </w:t>
      </w:r>
      <w:r w:rsidR="005417AF" w:rsidRPr="00AC1BD2">
        <w:t>sont convaincues que les peuples autochtones et les communautés locales devraient être les seuls bénéficiaires, tandis que d</w:t>
      </w:r>
      <w:r w:rsidR="00025CB1" w:rsidRPr="00AC1BD2">
        <w:t>’</w:t>
      </w:r>
      <w:r w:rsidR="005417AF" w:rsidRPr="00AC1BD2">
        <w:t>autres, au vu des profondes disparités des législations nationales et des contextes dans lesquels on relève des savoirs traditionnels, estiment qu</w:t>
      </w:r>
      <w:r w:rsidR="00025CB1" w:rsidRPr="00AC1BD2">
        <w:t>’</w:t>
      </w:r>
      <w:r w:rsidR="005417AF" w:rsidRPr="00AC1BD2">
        <w:t>il importe de prévoir une marge de manœuvre politique suffisante pour tenir compte de ces divergenc</w:t>
      </w:r>
      <w:r w:rsidR="00512111" w:rsidRPr="00AC1BD2">
        <w:t>es.  Ma</w:t>
      </w:r>
      <w:r w:rsidR="005417AF" w:rsidRPr="00AC1BD2">
        <w:t>lgré le large consensus qui semble s</w:t>
      </w:r>
      <w:r w:rsidR="00025CB1" w:rsidRPr="00AC1BD2">
        <w:t>’</w:t>
      </w:r>
      <w:r w:rsidR="005417AF" w:rsidRPr="00AC1BD2">
        <w:t xml:space="preserve">être dégagé sur </w:t>
      </w:r>
      <w:r w:rsidR="00FE044B" w:rsidRPr="00AC1BD2">
        <w:t>l</w:t>
      </w:r>
      <w:r w:rsidR="00025CB1" w:rsidRPr="00AC1BD2">
        <w:t>’</w:t>
      </w:r>
      <w:r w:rsidR="00FE044B" w:rsidRPr="00AC1BD2">
        <w:t>idée que les principaux bénéficiaires devraient être les peuples autochtones et les communautés locales, il subsiste des divergences de vues quant à la possibilité de reconnaître d</w:t>
      </w:r>
      <w:r w:rsidR="00025CB1" w:rsidRPr="00AC1BD2">
        <w:t>’</w:t>
      </w:r>
      <w:r w:rsidR="00FE044B" w:rsidRPr="00AC1BD2">
        <w:t>autres bénéficiai</w:t>
      </w:r>
      <w:r w:rsidR="00806DFE" w:rsidRPr="00AC1BD2">
        <w:t>res, tels que les États et les “</w:t>
      </w:r>
      <w:r w:rsidR="00FE044B" w:rsidRPr="00AC1BD2">
        <w:t>nations</w:t>
      </w:r>
      <w:r w:rsidR="00806DFE" w:rsidRPr="00AC1BD2">
        <w:t>”</w:t>
      </w:r>
      <w:r w:rsidR="00FE044B" w:rsidRPr="00AC1BD2">
        <w:t>, ainsi qu</w:t>
      </w:r>
      <w:r w:rsidR="00025CB1" w:rsidRPr="00AC1BD2">
        <w:t>’</w:t>
      </w:r>
      <w:r w:rsidR="00FE044B" w:rsidRPr="00AC1BD2">
        <w:t>à la possibilité de désigner des organes compétents ou des autorités nationales et à leur rôle.</w:t>
      </w:r>
    </w:p>
    <w:p w14:paraId="3FB87F07" w14:textId="4D24815A" w:rsidR="00FE044B" w:rsidRPr="00AC1BD2" w:rsidRDefault="00FE044B" w:rsidP="00C37157">
      <w:pPr>
        <w:pStyle w:val="ONUMFS"/>
      </w:pPr>
      <w:r w:rsidRPr="00AC1BD2">
        <w:lastRenderedPageBreak/>
        <w:t>À mon avis, les États membres devraient examiner la nécessité de laisser à la législation nationale</w:t>
      </w:r>
      <w:r w:rsidR="00CC05F9" w:rsidRPr="00AC1BD2">
        <w:t xml:space="preserve"> une certaine latitude pour la définition des bénéficiaires, vu la disparité des positions adoptées par les pays </w:t>
      </w:r>
      <w:r w:rsidR="00025CB1" w:rsidRPr="00AC1BD2">
        <w:t>à l’égard</w:t>
      </w:r>
      <w:r w:rsidR="00CC05F9" w:rsidRPr="00AC1BD2">
        <w:t xml:space="preserve"> des détenteurs de savoirs traditionnels à l</w:t>
      </w:r>
      <w:r w:rsidR="00025CB1" w:rsidRPr="00AC1BD2">
        <w:t>’</w:t>
      </w:r>
      <w:r w:rsidR="00CC05F9" w:rsidRPr="00AC1BD2">
        <w:t>échelle mondiale, et le contexte de certaines de ces prises de position, par exemple les problèmes constitutionnels</w:t>
      </w:r>
      <w:r w:rsidR="00806DFE" w:rsidRPr="00AC1BD2">
        <w:t xml:space="preserve"> </w:t>
      </w:r>
      <w:r w:rsidR="007B5C43" w:rsidRPr="00AC1BD2">
        <w:t>que pose</w:t>
      </w:r>
      <w:r w:rsidR="00806DFE" w:rsidRPr="00AC1BD2">
        <w:t xml:space="preserve"> en France le terme “</w:t>
      </w:r>
      <w:r w:rsidR="00CC05F9" w:rsidRPr="00AC1BD2">
        <w:t>peuples</w:t>
      </w:r>
      <w:r w:rsidR="00806DFE" w:rsidRPr="00AC1BD2">
        <w:t>”</w:t>
      </w:r>
      <w:r w:rsidR="00872695" w:rsidRPr="00AC1BD2">
        <w:t xml:space="preserve">.  </w:t>
      </w:r>
      <w:r w:rsidR="00CC05F9" w:rsidRPr="00AC1BD2">
        <w:t>Il faut aussi clarifier le rôle des organes compétents/autorités nationales et les circonstances dans lesquelles ils auraient un rôle à jouer.</w:t>
      </w:r>
    </w:p>
    <w:p w14:paraId="675092C4" w14:textId="1F37ADA3" w:rsidR="00C179CC" w:rsidRPr="00AC1BD2" w:rsidRDefault="00273624" w:rsidP="00C37157">
      <w:pPr>
        <w:pStyle w:val="ONUMFS"/>
      </w:pPr>
      <w:r w:rsidRPr="00AC1BD2">
        <w:t>La solution consisterait, pour</w:t>
      </w:r>
      <w:r w:rsidR="00C179CC" w:rsidRPr="00AC1BD2">
        <w:t xml:space="preserve"> les États membres</w:t>
      </w:r>
      <w:r w:rsidRPr="00AC1BD2">
        <w:t>, à</w:t>
      </w:r>
      <w:r w:rsidR="00C179CC" w:rsidRPr="00AC1BD2">
        <w:t xml:space="preserve"> convenir d</w:t>
      </w:r>
      <w:r w:rsidR="00025CB1" w:rsidRPr="00AC1BD2">
        <w:t>’</w:t>
      </w:r>
      <w:r w:rsidR="00C179CC" w:rsidRPr="00AC1BD2">
        <w:t>inclure d</w:t>
      </w:r>
      <w:r w:rsidR="00025CB1" w:rsidRPr="00AC1BD2">
        <w:t>’</w:t>
      </w:r>
      <w:r w:rsidR="00C179CC" w:rsidRPr="00AC1BD2">
        <w:t xml:space="preserve">autres bénéficiaires </w:t>
      </w:r>
      <w:r w:rsidR="00C179CC" w:rsidRPr="00AC1BD2">
        <w:sym w:font="Symbol" w:char="F028"/>
      </w:r>
      <w:r w:rsidR="00C179CC" w:rsidRPr="00AC1BD2">
        <w:t>par exemple des États ou des nations), mais en adoptant une autre étendue de la protecti</w:t>
      </w:r>
      <w:r w:rsidR="00512111" w:rsidRPr="00AC1BD2">
        <w:t>on.  Il</w:t>
      </w:r>
      <w:r w:rsidR="00C179CC" w:rsidRPr="00AC1BD2">
        <w:t xml:space="preserve"> faudrait clairement préciser les cas dans lesquels d</w:t>
      </w:r>
      <w:r w:rsidR="00025CB1" w:rsidRPr="00AC1BD2">
        <w:t>’</w:t>
      </w:r>
      <w:r w:rsidR="00C179CC" w:rsidRPr="00AC1BD2">
        <w:t>autres bénéficiaires pourraient être envisagés, par exemple lorsque les savoirs traditionnels ne peuvent être attribués à des peuples autochtones et des communautés locales préc</w:t>
      </w:r>
      <w:r w:rsidR="00512111" w:rsidRPr="00AC1BD2">
        <w:t>is.  L’a</w:t>
      </w:r>
      <w:r w:rsidR="00C179CC" w:rsidRPr="00AC1BD2">
        <w:t>rticle</w:t>
      </w:r>
      <w:r w:rsidR="00197E51" w:rsidRPr="00AC1BD2">
        <w:t> </w:t>
      </w:r>
      <w:r w:rsidR="00C179CC" w:rsidRPr="00AC1BD2">
        <w:t>3 pourrait traiter de ce point, et préciser les droits pouvant être octroyés à d</w:t>
      </w:r>
      <w:r w:rsidR="00025CB1" w:rsidRPr="00AC1BD2">
        <w:t>’</w:t>
      </w:r>
      <w:r w:rsidR="00C179CC" w:rsidRPr="00AC1BD2">
        <w:t>autres bénéficiaires.</w:t>
      </w:r>
    </w:p>
    <w:p w14:paraId="45BBB1BE" w14:textId="2A835098" w:rsidR="00025CB1" w:rsidRPr="00AC1BD2" w:rsidRDefault="00C179CC" w:rsidP="00C37157">
      <w:pPr>
        <w:pStyle w:val="ONUMFS"/>
      </w:pPr>
      <w:r w:rsidRPr="00AC1BD2">
        <w:t xml:space="preserve">Je voudrais aussi faire remarquer que les </w:t>
      </w:r>
      <w:r w:rsidR="001E4DB3" w:rsidRPr="00AC1BD2">
        <w:t>“</w:t>
      </w:r>
      <w:r w:rsidRPr="00AC1BD2">
        <w:t>autorités compétentes</w:t>
      </w:r>
      <w:r w:rsidR="00806DFE" w:rsidRPr="00AC1BD2">
        <w:t>”</w:t>
      </w:r>
      <w:r w:rsidRPr="00AC1BD2">
        <w:t xml:space="preserve"> sont traitées à l</w:t>
      </w:r>
      <w:r w:rsidR="00025CB1" w:rsidRPr="00AC1BD2">
        <w:t>’</w:t>
      </w:r>
      <w:r w:rsidRPr="00AC1BD2">
        <w:t>article</w:t>
      </w:r>
      <w:r w:rsidR="00197E51" w:rsidRPr="00AC1BD2">
        <w:t> </w:t>
      </w:r>
      <w:r w:rsidRPr="00AC1BD2">
        <w:t>5, qui porte sur l</w:t>
      </w:r>
      <w:r w:rsidR="00025CB1" w:rsidRPr="00AC1BD2">
        <w:t>’</w:t>
      </w:r>
      <w:r w:rsidRPr="00AC1BD2">
        <w:t>administration des droits et des intérê</w:t>
      </w:r>
      <w:r w:rsidR="00512111" w:rsidRPr="00AC1BD2">
        <w:t>ts.  Po</w:t>
      </w:r>
      <w:r w:rsidRPr="00AC1BD2">
        <w:t>ur éviter toute redondance dans ces domaines, les États membres pourraient examiner la question de</w:t>
      </w:r>
      <w:r w:rsidR="0070603F" w:rsidRPr="00AC1BD2">
        <w:t xml:space="preserve"> savoir si</w:t>
      </w:r>
      <w:r w:rsidRPr="00AC1BD2">
        <w:t xml:space="preserve"> </w:t>
      </w:r>
      <w:r w:rsidR="001E4DB3" w:rsidRPr="00AC1BD2">
        <w:t>“</w:t>
      </w:r>
      <w:r w:rsidRPr="00AC1BD2">
        <w:t>l</w:t>
      </w:r>
      <w:r w:rsidR="00025CB1" w:rsidRPr="00AC1BD2">
        <w:t>’</w:t>
      </w:r>
      <w:r w:rsidRPr="00AC1BD2">
        <w:t>autorité compétente</w:t>
      </w:r>
      <w:r w:rsidR="00806DFE" w:rsidRPr="00AC1BD2">
        <w:t>”</w:t>
      </w:r>
      <w:r w:rsidRPr="00AC1BD2">
        <w:t xml:space="preserve"> devrait être traitée à l</w:t>
      </w:r>
      <w:r w:rsidR="00025CB1" w:rsidRPr="00AC1BD2">
        <w:t>’</w:t>
      </w:r>
      <w:r w:rsidRPr="00AC1BD2">
        <w:t>article</w:t>
      </w:r>
      <w:r w:rsidR="00197E51" w:rsidRPr="00AC1BD2">
        <w:t> </w:t>
      </w:r>
      <w:r w:rsidRPr="00AC1BD2">
        <w:t>5 plutôt qu</w:t>
      </w:r>
      <w:r w:rsidR="00025CB1" w:rsidRPr="00AC1BD2">
        <w:t>’</w:t>
      </w:r>
      <w:r w:rsidRPr="00AC1BD2">
        <w:t>à l</w:t>
      </w:r>
      <w:r w:rsidR="00025CB1" w:rsidRPr="00AC1BD2">
        <w:t>’</w:t>
      </w:r>
      <w:r w:rsidRPr="00AC1BD2">
        <w:t>article</w:t>
      </w:r>
      <w:r w:rsidR="00197E51" w:rsidRPr="00AC1BD2">
        <w:t> </w:t>
      </w:r>
      <w:r w:rsidRPr="00AC1BD2">
        <w:t>2</w:t>
      </w:r>
      <w:r w:rsidR="00872695" w:rsidRPr="00AC1BD2">
        <w:t xml:space="preserve">.  </w:t>
      </w:r>
      <w:r w:rsidRPr="00AC1BD2">
        <w:t xml:space="preserve">À mon avis, les références à un bénéficiaire en tant que tel, </w:t>
      </w:r>
      <w:r w:rsidR="00273624" w:rsidRPr="00AC1BD2">
        <w:t>habilité à exercer les droits qui seront précisés à l</w:t>
      </w:r>
      <w:r w:rsidR="00025CB1" w:rsidRPr="00AC1BD2">
        <w:t>’</w:t>
      </w:r>
      <w:r w:rsidR="00273624" w:rsidRPr="00AC1BD2">
        <w:t>article</w:t>
      </w:r>
      <w:r w:rsidR="00197E51" w:rsidRPr="00AC1BD2">
        <w:t> </w:t>
      </w:r>
      <w:r w:rsidR="00273624" w:rsidRPr="00AC1BD2">
        <w:t>3, ont leur place dans l</w:t>
      </w:r>
      <w:r w:rsidR="00025CB1" w:rsidRPr="00AC1BD2">
        <w:t>’</w:t>
      </w:r>
      <w:r w:rsidR="00273624" w:rsidRPr="00AC1BD2">
        <w:t>article</w:t>
      </w:r>
      <w:r w:rsidR="00197E51" w:rsidRPr="00AC1BD2">
        <w:t> </w:t>
      </w:r>
      <w:r w:rsidR="00273624" w:rsidRPr="00AC1BD2">
        <w:t>2, tandis que les références aux autorités compétentes qui gèrent, administrent ou font respecter les droits des bénéficiaires, à leur profit, devraient figurer à l</w:t>
      </w:r>
      <w:r w:rsidR="00025CB1" w:rsidRPr="00AC1BD2">
        <w:t>’</w:t>
      </w:r>
      <w:r w:rsidR="00273624" w:rsidRPr="00AC1BD2">
        <w:t>article</w:t>
      </w:r>
      <w:r w:rsidR="00197E51" w:rsidRPr="00AC1BD2">
        <w:t> </w:t>
      </w:r>
      <w:r w:rsidR="00273624" w:rsidRPr="00AC1BD2">
        <w:t>5</w:t>
      </w:r>
      <w:r w:rsidR="00872695" w:rsidRPr="00AC1BD2">
        <w:t xml:space="preserve">.  </w:t>
      </w:r>
      <w:r w:rsidR="00273624" w:rsidRPr="00AC1BD2">
        <w:t>Si vous me permettez d</w:t>
      </w:r>
      <w:r w:rsidR="00025CB1" w:rsidRPr="00AC1BD2">
        <w:t>’</w:t>
      </w:r>
      <w:r w:rsidR="00273624" w:rsidRPr="00AC1BD2">
        <w:t>emprunter un exemple au système du droit d</w:t>
      </w:r>
      <w:r w:rsidR="00025CB1" w:rsidRPr="00AC1BD2">
        <w:t>’</w:t>
      </w:r>
      <w:r w:rsidR="00273624" w:rsidRPr="00AC1BD2">
        <w:t>auteur, une organisation de gestion collective gère les droits des auteurs et des titulaires du droit d</w:t>
      </w:r>
      <w:r w:rsidR="00025CB1" w:rsidRPr="00AC1BD2">
        <w:t>’</w:t>
      </w:r>
      <w:r w:rsidR="00273624" w:rsidRPr="00AC1BD2">
        <w:t xml:space="preserve">auteur </w:t>
      </w:r>
      <w:r w:rsidR="00273624" w:rsidRPr="00AC1BD2">
        <w:sym w:font="Symbol" w:char="F028"/>
      </w:r>
      <w:r w:rsidR="00273624" w:rsidRPr="00AC1BD2">
        <w:t>et serait traitée à l</w:t>
      </w:r>
      <w:r w:rsidR="00025CB1" w:rsidRPr="00AC1BD2">
        <w:t>’</w:t>
      </w:r>
      <w:r w:rsidR="00273624" w:rsidRPr="00AC1BD2">
        <w:t>article</w:t>
      </w:r>
      <w:r w:rsidR="00197E51" w:rsidRPr="00AC1BD2">
        <w:t> </w:t>
      </w:r>
      <w:r w:rsidR="00273624" w:rsidRPr="00AC1BD2">
        <w:t>5 et non à l</w:t>
      </w:r>
      <w:r w:rsidR="00025CB1" w:rsidRPr="00AC1BD2">
        <w:t>’</w:t>
      </w:r>
      <w:r w:rsidR="00273624" w:rsidRPr="00AC1BD2">
        <w:t>article</w:t>
      </w:r>
      <w:r w:rsidR="00197E51" w:rsidRPr="00AC1BD2">
        <w:t> </w:t>
      </w:r>
      <w:r w:rsidR="00273624" w:rsidRPr="00AC1BD2">
        <w:t>2)</w:t>
      </w:r>
      <w:r w:rsidR="00872695" w:rsidRPr="00AC1BD2">
        <w:t xml:space="preserve">.  </w:t>
      </w:r>
      <w:r w:rsidR="00273624" w:rsidRPr="00AC1BD2">
        <w:t>De fait, les auteurs et les titulaires des droits sur des œuvres protégées par le droit d</w:t>
      </w:r>
      <w:r w:rsidR="00025CB1" w:rsidRPr="00AC1BD2">
        <w:t>’</w:t>
      </w:r>
      <w:r w:rsidR="00273624" w:rsidRPr="00AC1BD2">
        <w:t xml:space="preserve">auteur seraient les </w:t>
      </w:r>
      <w:r w:rsidR="006A37B6" w:rsidRPr="00AC1BD2">
        <w:t>“</w:t>
      </w:r>
      <w:r w:rsidR="00273624" w:rsidRPr="00AC1BD2">
        <w:t>bénéficiaires</w:t>
      </w:r>
      <w:r w:rsidR="00806DFE" w:rsidRPr="00AC1BD2">
        <w:t>”</w:t>
      </w:r>
      <w:r w:rsidR="00273624" w:rsidRPr="00AC1BD2">
        <w:t xml:space="preserve"> </w:t>
      </w:r>
      <w:r w:rsidR="00273624" w:rsidRPr="00AC1BD2">
        <w:sym w:font="Symbol" w:char="F028"/>
      </w:r>
      <w:r w:rsidR="00273624" w:rsidRPr="00AC1BD2">
        <w:t>titulaires de droits), tandis que l</w:t>
      </w:r>
      <w:r w:rsidR="00025CB1" w:rsidRPr="00AC1BD2">
        <w:t>’</w:t>
      </w:r>
      <w:r w:rsidR="00273624" w:rsidRPr="00AC1BD2">
        <w:t>organisation de gestion collective agit dans l</w:t>
      </w:r>
      <w:r w:rsidR="00025CB1" w:rsidRPr="00AC1BD2">
        <w:t>’</w:t>
      </w:r>
      <w:r w:rsidR="00273624" w:rsidRPr="00AC1BD2">
        <w:t>intérêt et au nom des auteurs et titulaires de droits pour garantir, entre autres, que ceux</w:t>
      </w:r>
      <w:r w:rsidR="00243A34" w:rsidRPr="00AC1BD2">
        <w:noBreakHyphen/>
      </w:r>
      <w:r w:rsidR="00273624" w:rsidRPr="00AC1BD2">
        <w:t xml:space="preserve">ci perçoivent </w:t>
      </w:r>
      <w:r w:rsidR="0070603F" w:rsidRPr="00AC1BD2">
        <w:t>une rémunération pour l</w:t>
      </w:r>
      <w:r w:rsidR="00025CB1" w:rsidRPr="00AC1BD2">
        <w:t>’</w:t>
      </w:r>
      <w:r w:rsidR="0070603F" w:rsidRPr="00AC1BD2">
        <w:t>utilisation de leurs œuvres</w:t>
      </w:r>
      <w:r w:rsidR="00872695" w:rsidRPr="00AC1BD2">
        <w:t>.</w:t>
      </w:r>
    </w:p>
    <w:p w14:paraId="55687DBA" w14:textId="440A9E61" w:rsidR="0070603F" w:rsidRPr="00AC1BD2" w:rsidRDefault="0070603F" w:rsidP="00C37157">
      <w:pPr>
        <w:pStyle w:val="ONUMFS"/>
      </w:pPr>
      <w:r w:rsidRPr="00AC1BD2">
        <w:t>La question des bénéficiaires pourrait, selon moi, être traitée par un petit groupe de contact ad</w:t>
      </w:r>
      <w:r w:rsidR="00197E51" w:rsidRPr="00AC1BD2">
        <w:t> </w:t>
      </w:r>
      <w:r w:rsidRPr="00AC1BD2">
        <w:t>hoc, établi lors de la trente</w:t>
      </w:r>
      <w:r w:rsidR="00243A34" w:rsidRPr="00AC1BD2">
        <w:noBreakHyphen/>
      </w:r>
      <w:r w:rsidR="007048EC" w:rsidRPr="00AC1BD2">
        <w:t>deuxième</w:t>
      </w:r>
      <w:r w:rsidR="00197E51" w:rsidRPr="00AC1BD2">
        <w:t> </w:t>
      </w:r>
      <w:r w:rsidR="007048EC" w:rsidRPr="00AC1BD2">
        <w:t>session de l</w:t>
      </w:r>
      <w:r w:rsidR="00025CB1" w:rsidRPr="00AC1BD2">
        <w:t>’</w:t>
      </w:r>
      <w:r w:rsidR="007048EC" w:rsidRPr="00AC1BD2">
        <w:t>IGC</w:t>
      </w:r>
      <w:r w:rsidR="00872695" w:rsidRPr="00AC1BD2">
        <w:t xml:space="preserve">.  </w:t>
      </w:r>
      <w:r w:rsidR="007048EC" w:rsidRPr="00AC1BD2">
        <w:t>C</w:t>
      </w:r>
      <w:r w:rsidR="00025CB1" w:rsidRPr="00AC1BD2">
        <w:t>’</w:t>
      </w:r>
      <w:r w:rsidR="007048EC" w:rsidRPr="00AC1BD2">
        <w:t>est une question qui a été abondamment débattue, et les différentes positions sont connu</w:t>
      </w:r>
      <w:r w:rsidR="00512111" w:rsidRPr="00AC1BD2">
        <w:t>es.  C’e</w:t>
      </w:r>
      <w:r w:rsidR="007048EC" w:rsidRPr="00AC1BD2">
        <w:t>st pourquoi un petit groupe de contact ad</w:t>
      </w:r>
      <w:r w:rsidR="00197E51" w:rsidRPr="00AC1BD2">
        <w:t> </w:t>
      </w:r>
      <w:r w:rsidR="007048EC" w:rsidRPr="00AC1BD2">
        <w:t>hoc</w:t>
      </w:r>
      <w:r w:rsidR="007048EC" w:rsidRPr="00AC1BD2">
        <w:rPr>
          <w:i/>
        </w:rPr>
        <w:t xml:space="preserve">, </w:t>
      </w:r>
      <w:r w:rsidR="007048EC" w:rsidRPr="00AC1BD2">
        <w:t>composé de participants de l</w:t>
      </w:r>
      <w:r w:rsidR="00025CB1" w:rsidRPr="00AC1BD2">
        <w:t>’</w:t>
      </w:r>
      <w:r w:rsidR="007048EC" w:rsidRPr="00AC1BD2">
        <w:t>IGC et représentant les différents points de vue sur cette question pourrait essayer de concilier les points de vue et, éventuellement, de travailler sur un texte qui pourrait être présenté en plénière ou à des réunions informelles.</w:t>
      </w:r>
    </w:p>
    <w:p w14:paraId="54867CD7" w14:textId="153FC904" w:rsidR="0039715D" w:rsidRPr="00C37157" w:rsidRDefault="007048EC" w:rsidP="00243A34">
      <w:pPr>
        <w:pStyle w:val="ONUMFS"/>
      </w:pPr>
      <w:r w:rsidRPr="00AC1BD2">
        <w:t>Il faut espérer que l</w:t>
      </w:r>
      <w:r w:rsidR="00196BA3" w:rsidRPr="00AC1BD2">
        <w:t xml:space="preserve">e </w:t>
      </w:r>
      <w:r w:rsidRPr="00AC1BD2">
        <w:rPr>
          <w:i/>
        </w:rPr>
        <w:t xml:space="preserve">Séminaire sur la propriété intellectuelle et les savoirs traditionnels </w:t>
      </w:r>
      <w:r w:rsidRPr="00AC1BD2">
        <w:t xml:space="preserve">qui se tiendra juste avant </w:t>
      </w:r>
      <w:r w:rsidR="0001710C" w:rsidRPr="00AC1BD2">
        <w:t>la trente</w:t>
      </w:r>
      <w:r w:rsidR="00243A34" w:rsidRPr="00AC1BD2">
        <w:noBreakHyphen/>
      </w:r>
      <w:r w:rsidR="0001710C" w:rsidRPr="00AC1BD2">
        <w:t>deuxième</w:t>
      </w:r>
      <w:r w:rsidR="00197E51" w:rsidRPr="00AC1BD2">
        <w:t> </w:t>
      </w:r>
      <w:r w:rsidR="0001710C" w:rsidRPr="00AC1BD2">
        <w:t>session de l</w:t>
      </w:r>
      <w:r w:rsidR="00025CB1" w:rsidRPr="00AC1BD2">
        <w:t>’</w:t>
      </w:r>
      <w:r w:rsidR="0001710C" w:rsidRPr="00AC1BD2">
        <w:t>IGC</w:t>
      </w:r>
      <w:r w:rsidRPr="00AC1BD2">
        <w:t xml:space="preserve"> clarifiera un peu cette question, en particulier la table ronde n°</w:t>
      </w:r>
      <w:r w:rsidR="00197E51" w:rsidRPr="00AC1BD2">
        <w:t> </w:t>
      </w:r>
      <w:r w:rsidRPr="00AC1BD2">
        <w:t>1</w:t>
      </w:r>
      <w:r w:rsidR="00025CB1" w:rsidRPr="00AC1BD2">
        <w:t> </w:t>
      </w:r>
      <w:proofErr w:type="gramStart"/>
      <w:r w:rsidR="00025CB1" w:rsidRPr="00AC1BD2">
        <w:t>:</w:t>
      </w:r>
      <w:r w:rsidRPr="00AC1BD2">
        <w:t xml:space="preserve"> </w:t>
      </w:r>
      <w:r w:rsidR="00806DFE" w:rsidRPr="00AC1BD2">
        <w:t>“</w:t>
      </w:r>
      <w:proofErr w:type="gramEnd"/>
      <w:r w:rsidRPr="00AC1BD2">
        <w:t>Données d</w:t>
      </w:r>
      <w:r w:rsidR="00025CB1" w:rsidRPr="00AC1BD2">
        <w:t>’</w:t>
      </w:r>
      <w:r w:rsidRPr="00AC1BD2">
        <w:t xml:space="preserve">expériences régionales, nationales et communautaires utiles pour recenser les “savoirs </w:t>
      </w:r>
      <w:r w:rsidR="0031341E" w:rsidRPr="00AC1BD2">
        <w:t>traditionnels susceptibles d</w:t>
      </w:r>
      <w:r w:rsidR="00025CB1" w:rsidRPr="00AC1BD2">
        <w:t>’</w:t>
      </w:r>
      <w:r w:rsidR="0031341E" w:rsidRPr="00AC1BD2">
        <w:t>être protégés” à un niveau international</w:t>
      </w:r>
      <w:r w:rsidR="00806DFE" w:rsidRPr="00AC1BD2">
        <w:t>”</w:t>
      </w:r>
      <w:r w:rsidR="0031341E" w:rsidRPr="00AC1BD2">
        <w:t>.</w:t>
      </w:r>
    </w:p>
    <w:p w14:paraId="58DD2031" w14:textId="77777777" w:rsidR="0039715D" w:rsidRPr="00AC1BD2" w:rsidRDefault="001D5BA4" w:rsidP="00C37157">
      <w:pPr>
        <w:keepNext/>
        <w:keepLines/>
        <w:tabs>
          <w:tab w:val="left" w:pos="567"/>
        </w:tabs>
        <w:rPr>
          <w:rFonts w:cs="Arial"/>
          <w:szCs w:val="22"/>
          <w:u w:val="single"/>
        </w:rPr>
      </w:pPr>
      <w:r w:rsidRPr="00AC1BD2">
        <w:rPr>
          <w:rFonts w:cs="Arial"/>
          <w:szCs w:val="22"/>
          <w:u w:val="single"/>
        </w:rPr>
        <w:t>Objet</w:t>
      </w:r>
    </w:p>
    <w:p w14:paraId="3628EE30" w14:textId="77777777" w:rsidR="0039715D" w:rsidRPr="00AC1BD2" w:rsidRDefault="0039715D" w:rsidP="00C37157">
      <w:pPr>
        <w:keepNext/>
        <w:keepLines/>
        <w:tabs>
          <w:tab w:val="left" w:pos="567"/>
        </w:tabs>
        <w:rPr>
          <w:rFonts w:cs="Arial"/>
          <w:szCs w:val="22"/>
        </w:rPr>
      </w:pPr>
    </w:p>
    <w:p w14:paraId="3ACED2FC" w14:textId="003CDA18" w:rsidR="0039715D" w:rsidRPr="00AC1BD2" w:rsidRDefault="0031341E" w:rsidP="00C37157">
      <w:pPr>
        <w:pStyle w:val="ONUMFS"/>
        <w:keepNext/>
        <w:keepLines/>
      </w:pPr>
      <w:r w:rsidRPr="00AC1BD2">
        <w:t>Le texte actuel contient quatre</w:t>
      </w:r>
      <w:r w:rsidR="00197E51" w:rsidRPr="00AC1BD2">
        <w:t> </w:t>
      </w:r>
      <w:r w:rsidRPr="00AC1BD2">
        <w:t>variantes</w:t>
      </w:r>
      <w:r w:rsidR="00025CB1" w:rsidRPr="00AC1BD2">
        <w:t> :</w:t>
      </w:r>
    </w:p>
    <w:p w14:paraId="5CC40D2F" w14:textId="75FA2F9E" w:rsidR="0039715D" w:rsidRPr="00AC1BD2" w:rsidRDefault="0019637D" w:rsidP="00C37157">
      <w:pPr>
        <w:keepNext/>
        <w:keepLines/>
        <w:numPr>
          <w:ilvl w:val="0"/>
          <w:numId w:val="20"/>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C24AF1" w:rsidRPr="00AC1BD2">
        <w:rPr>
          <w:rFonts w:cs="Arial"/>
          <w:szCs w:val="22"/>
        </w:rPr>
        <w:t xml:space="preserve">1 </w:t>
      </w:r>
      <w:r w:rsidRPr="00AC1BD2">
        <w:rPr>
          <w:rFonts w:cs="Arial"/>
          <w:szCs w:val="22"/>
        </w:rPr>
        <w:t>indique simplement que l</w:t>
      </w:r>
      <w:r w:rsidR="00025CB1" w:rsidRPr="00AC1BD2">
        <w:rPr>
          <w:rFonts w:cs="Arial"/>
          <w:szCs w:val="22"/>
        </w:rPr>
        <w:t>’</w:t>
      </w:r>
      <w:r w:rsidRPr="00AC1BD2">
        <w:rPr>
          <w:rFonts w:cs="Arial"/>
          <w:szCs w:val="22"/>
        </w:rPr>
        <w:t>objet est constitué par les savoirs traditionne</w:t>
      </w:r>
      <w:r w:rsidR="00512111" w:rsidRPr="00AC1BD2">
        <w:rPr>
          <w:rFonts w:cs="Arial"/>
          <w:szCs w:val="22"/>
        </w:rPr>
        <w:t>ls.  Ce</w:t>
      </w:r>
      <w:r w:rsidRPr="00AC1BD2">
        <w:rPr>
          <w:rFonts w:cs="Arial"/>
          <w:szCs w:val="22"/>
        </w:rPr>
        <w:t xml:space="preserve">tte variante doit être lue en relation avec la définition détaillée des savoirs traditionnels figurant dans le chapitre </w:t>
      </w:r>
      <w:r w:rsidR="006A37B6" w:rsidRPr="00AC1BD2">
        <w:rPr>
          <w:rFonts w:cs="Arial"/>
          <w:szCs w:val="22"/>
        </w:rPr>
        <w:t>“</w:t>
      </w:r>
      <w:r w:rsidRPr="00AC1BD2">
        <w:rPr>
          <w:rFonts w:cs="Arial"/>
          <w:szCs w:val="22"/>
        </w:rPr>
        <w:t>Utilisation des termes</w:t>
      </w:r>
      <w:r w:rsidR="00806DFE" w:rsidRPr="00AC1BD2">
        <w:rPr>
          <w:rFonts w:cs="Arial"/>
          <w:szCs w:val="22"/>
        </w:rPr>
        <w:t>”</w:t>
      </w:r>
      <w:r w:rsidRPr="00AC1BD2">
        <w:rPr>
          <w:rFonts w:cs="Arial"/>
          <w:szCs w:val="22"/>
        </w:rPr>
        <w:t xml:space="preserve">, tout en notant </w:t>
      </w:r>
      <w:r w:rsidR="007B5C43" w:rsidRPr="00AC1BD2">
        <w:rPr>
          <w:rFonts w:cs="Arial"/>
          <w:szCs w:val="22"/>
        </w:rPr>
        <w:t>que</w:t>
      </w:r>
      <w:r w:rsidRPr="00AC1BD2">
        <w:rPr>
          <w:rFonts w:cs="Arial"/>
          <w:szCs w:val="22"/>
        </w:rPr>
        <w:t xml:space="preserve"> deux</w:t>
      </w:r>
      <w:r w:rsidR="00197E51" w:rsidRPr="00AC1BD2">
        <w:rPr>
          <w:rFonts w:cs="Arial"/>
          <w:szCs w:val="22"/>
        </w:rPr>
        <w:t> </w:t>
      </w:r>
      <w:r w:rsidRPr="00AC1BD2">
        <w:rPr>
          <w:rFonts w:cs="Arial"/>
          <w:szCs w:val="22"/>
        </w:rPr>
        <w:t>définitions différentes des savoirs traditionnels</w:t>
      </w:r>
      <w:r w:rsidR="007B5C43" w:rsidRPr="00AC1BD2">
        <w:rPr>
          <w:rFonts w:cs="Arial"/>
          <w:szCs w:val="22"/>
        </w:rPr>
        <w:t xml:space="preserve"> sont données</w:t>
      </w:r>
      <w:r w:rsidR="007B663E" w:rsidRPr="00AC1BD2">
        <w:rPr>
          <w:rFonts w:cs="Arial"/>
          <w:szCs w:val="22"/>
        </w:rPr>
        <w:t>.</w:t>
      </w:r>
    </w:p>
    <w:p w14:paraId="304F5790" w14:textId="516BD880" w:rsidR="0039715D" w:rsidRPr="00AC1BD2" w:rsidRDefault="00A051A3" w:rsidP="00243A34">
      <w:pPr>
        <w:numPr>
          <w:ilvl w:val="0"/>
          <w:numId w:val="20"/>
        </w:numPr>
        <w:tabs>
          <w:tab w:val="left" w:pos="567"/>
        </w:tabs>
        <w:ind w:left="1134" w:hanging="567"/>
        <w:rPr>
          <w:rFonts w:cs="Arial"/>
          <w:szCs w:val="22"/>
        </w:rPr>
      </w:pPr>
      <w:r w:rsidRPr="00AC1BD2">
        <w:rPr>
          <w:rFonts w:cs="Arial"/>
          <w:szCs w:val="22"/>
        </w:rPr>
        <w:lastRenderedPageBreak/>
        <w:t>La variante</w:t>
      </w:r>
      <w:r w:rsidR="00BD0A6E" w:rsidRPr="00AC1BD2">
        <w:rPr>
          <w:rFonts w:cs="Arial"/>
          <w:szCs w:val="22"/>
        </w:rPr>
        <w:t> </w:t>
      </w:r>
      <w:r w:rsidR="00C24AF1" w:rsidRPr="00AC1BD2">
        <w:rPr>
          <w:rFonts w:cs="Arial"/>
          <w:szCs w:val="22"/>
        </w:rPr>
        <w:t>2</w:t>
      </w:r>
      <w:r w:rsidR="006E676A" w:rsidRPr="00AC1BD2">
        <w:rPr>
          <w:rFonts w:cs="Arial"/>
          <w:szCs w:val="22"/>
        </w:rPr>
        <w:t xml:space="preserve"> </w:t>
      </w:r>
      <w:r w:rsidRPr="00AC1BD2">
        <w:rPr>
          <w:rFonts w:cs="Arial"/>
          <w:szCs w:val="22"/>
        </w:rPr>
        <w:t>contient une déf</w:t>
      </w:r>
      <w:r w:rsidR="00C24AF1" w:rsidRPr="00AC1BD2">
        <w:rPr>
          <w:rFonts w:cs="Arial"/>
          <w:szCs w:val="22"/>
        </w:rPr>
        <w:t xml:space="preserve">inition/description </w:t>
      </w:r>
      <w:r w:rsidRPr="00AC1BD2">
        <w:rPr>
          <w:rFonts w:cs="Arial"/>
          <w:szCs w:val="22"/>
        </w:rPr>
        <w:t>des savoirs traditionnels</w:t>
      </w:r>
      <w:r w:rsidR="0067549B" w:rsidRPr="00AC1BD2">
        <w:rPr>
          <w:rFonts w:cs="Arial"/>
          <w:szCs w:val="22"/>
        </w:rPr>
        <w:t>.</w:t>
      </w:r>
    </w:p>
    <w:p w14:paraId="7BB162E2" w14:textId="1C77DB67" w:rsidR="0039715D" w:rsidRPr="00AC1BD2" w:rsidRDefault="00A051A3" w:rsidP="00243A34">
      <w:pPr>
        <w:numPr>
          <w:ilvl w:val="0"/>
          <w:numId w:val="20"/>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C24AF1" w:rsidRPr="00AC1BD2">
        <w:rPr>
          <w:rFonts w:cs="Arial"/>
          <w:szCs w:val="22"/>
        </w:rPr>
        <w:t xml:space="preserve">3 </w:t>
      </w:r>
      <w:r w:rsidRPr="00AC1BD2">
        <w:rPr>
          <w:rFonts w:cs="Arial"/>
          <w:szCs w:val="22"/>
        </w:rPr>
        <w:t>est similaire à la variante</w:t>
      </w:r>
      <w:r w:rsidR="00BD0A6E" w:rsidRPr="00AC1BD2">
        <w:rPr>
          <w:rFonts w:cs="Arial"/>
          <w:szCs w:val="22"/>
        </w:rPr>
        <w:t> </w:t>
      </w:r>
      <w:r w:rsidR="001C31E7" w:rsidRPr="00AC1BD2">
        <w:rPr>
          <w:rFonts w:cs="Arial"/>
          <w:szCs w:val="22"/>
        </w:rPr>
        <w:t>2</w:t>
      </w:r>
      <w:r w:rsidRPr="00AC1BD2">
        <w:rPr>
          <w:rFonts w:cs="Arial"/>
          <w:szCs w:val="22"/>
        </w:rPr>
        <w:t>, mais elle contient une</w:t>
      </w:r>
      <w:r w:rsidR="001C31E7" w:rsidRPr="00AC1BD2">
        <w:rPr>
          <w:rFonts w:cs="Arial"/>
          <w:szCs w:val="22"/>
        </w:rPr>
        <w:t xml:space="preserve"> </w:t>
      </w:r>
      <w:r w:rsidR="00C24AF1" w:rsidRPr="00AC1BD2">
        <w:rPr>
          <w:rFonts w:cs="Arial"/>
          <w:szCs w:val="22"/>
        </w:rPr>
        <w:t>d</w:t>
      </w:r>
      <w:r w:rsidRPr="00AC1BD2">
        <w:rPr>
          <w:rFonts w:cs="Arial"/>
          <w:szCs w:val="22"/>
        </w:rPr>
        <w:t>é</w:t>
      </w:r>
      <w:r w:rsidR="00C24AF1" w:rsidRPr="00AC1BD2">
        <w:rPr>
          <w:rFonts w:cs="Arial"/>
          <w:szCs w:val="22"/>
        </w:rPr>
        <w:t xml:space="preserve">finition/description </w:t>
      </w:r>
      <w:r w:rsidRPr="00AC1BD2">
        <w:rPr>
          <w:rFonts w:cs="Arial"/>
          <w:szCs w:val="22"/>
        </w:rPr>
        <w:t>plus large des savoirs traditionnels</w:t>
      </w:r>
      <w:r w:rsidR="00C24AF1" w:rsidRPr="00AC1BD2">
        <w:rPr>
          <w:rFonts w:cs="Arial"/>
          <w:szCs w:val="22"/>
        </w:rPr>
        <w:t>.</w:t>
      </w:r>
    </w:p>
    <w:p w14:paraId="1FA231E2" w14:textId="358CB6FA" w:rsidR="0039715D" w:rsidRPr="00AC1BD2" w:rsidRDefault="00A051A3" w:rsidP="00243A34">
      <w:pPr>
        <w:numPr>
          <w:ilvl w:val="0"/>
          <w:numId w:val="20"/>
        </w:numPr>
        <w:tabs>
          <w:tab w:val="left" w:pos="567"/>
        </w:tabs>
        <w:ind w:left="1134" w:hanging="567"/>
        <w:rPr>
          <w:rFonts w:cs="Arial"/>
          <w:szCs w:val="22"/>
        </w:rPr>
      </w:pPr>
      <w:r w:rsidRPr="00AC1BD2">
        <w:rPr>
          <w:rFonts w:cs="Arial"/>
          <w:szCs w:val="22"/>
        </w:rPr>
        <w:t>La variante</w:t>
      </w:r>
      <w:r w:rsidR="00BD0A6E" w:rsidRPr="00AC1BD2">
        <w:rPr>
          <w:rFonts w:cs="Arial"/>
          <w:szCs w:val="22"/>
        </w:rPr>
        <w:t> </w:t>
      </w:r>
      <w:r w:rsidR="00C24AF1" w:rsidRPr="00AC1BD2">
        <w:rPr>
          <w:rFonts w:cs="Arial"/>
          <w:szCs w:val="22"/>
        </w:rPr>
        <w:t xml:space="preserve">4 </w:t>
      </w:r>
      <w:r w:rsidRPr="00AC1BD2">
        <w:rPr>
          <w:rFonts w:cs="Arial"/>
          <w:szCs w:val="22"/>
        </w:rPr>
        <w:t>élargit la variante</w:t>
      </w:r>
      <w:r w:rsidR="00BD0A6E" w:rsidRPr="00AC1BD2">
        <w:rPr>
          <w:rFonts w:cs="Arial"/>
          <w:szCs w:val="22"/>
        </w:rPr>
        <w:t> </w:t>
      </w:r>
      <w:r w:rsidR="001C31E7" w:rsidRPr="00AC1BD2">
        <w:rPr>
          <w:rFonts w:cs="Arial"/>
          <w:szCs w:val="22"/>
        </w:rPr>
        <w:t xml:space="preserve">1 </w:t>
      </w:r>
      <w:r w:rsidRPr="00AC1BD2">
        <w:rPr>
          <w:rFonts w:cs="Arial"/>
          <w:szCs w:val="22"/>
        </w:rPr>
        <w:t xml:space="preserve">en incluant des critères à remplir, qui </w:t>
      </w:r>
      <w:r w:rsidR="007B5C43" w:rsidRPr="00AC1BD2">
        <w:rPr>
          <w:rFonts w:cs="Arial"/>
          <w:szCs w:val="22"/>
        </w:rPr>
        <w:t>reprennent</w:t>
      </w:r>
      <w:r w:rsidRPr="00AC1BD2">
        <w:rPr>
          <w:rFonts w:cs="Arial"/>
          <w:szCs w:val="22"/>
        </w:rPr>
        <w:t xml:space="preserve"> certains éléments contenus dans les dé</w:t>
      </w:r>
      <w:r w:rsidR="0056785E" w:rsidRPr="00AC1BD2">
        <w:rPr>
          <w:rFonts w:cs="Arial"/>
          <w:szCs w:val="22"/>
        </w:rPr>
        <w:t xml:space="preserve">finitions/descriptions </w:t>
      </w:r>
      <w:r w:rsidRPr="00AC1BD2">
        <w:rPr>
          <w:rFonts w:cs="Arial"/>
          <w:szCs w:val="22"/>
        </w:rPr>
        <w:t>des savoirs traditionnels qui figurent dans les variantes</w:t>
      </w:r>
      <w:r w:rsidR="00BD0A6E" w:rsidRPr="00AC1BD2">
        <w:rPr>
          <w:rFonts w:cs="Arial"/>
          <w:szCs w:val="22"/>
        </w:rPr>
        <w:t> </w:t>
      </w:r>
      <w:r w:rsidRPr="00AC1BD2">
        <w:rPr>
          <w:rFonts w:cs="Arial"/>
          <w:szCs w:val="22"/>
        </w:rPr>
        <w:t>2 et</w:t>
      </w:r>
      <w:r w:rsidR="0056785E" w:rsidRPr="00AC1BD2">
        <w:rPr>
          <w:rFonts w:cs="Arial"/>
          <w:szCs w:val="22"/>
        </w:rPr>
        <w:t xml:space="preserve"> 3</w:t>
      </w:r>
      <w:r w:rsidR="00C24AF1" w:rsidRPr="00AC1BD2">
        <w:rPr>
          <w:rFonts w:cs="Arial"/>
          <w:szCs w:val="22"/>
        </w:rPr>
        <w:t>.</w:t>
      </w:r>
    </w:p>
    <w:p w14:paraId="2C605C1B" w14:textId="77777777" w:rsidR="0039715D" w:rsidRPr="00AC1BD2" w:rsidRDefault="0039715D" w:rsidP="00243A34">
      <w:pPr>
        <w:tabs>
          <w:tab w:val="left" w:pos="567"/>
        </w:tabs>
        <w:rPr>
          <w:rFonts w:cs="Arial"/>
          <w:szCs w:val="22"/>
        </w:rPr>
      </w:pPr>
    </w:p>
    <w:p w14:paraId="22AF8AF2" w14:textId="61C4E4F1" w:rsidR="00025CB1" w:rsidRPr="00AC1BD2" w:rsidRDefault="00A051A3" w:rsidP="00C37157">
      <w:pPr>
        <w:pStyle w:val="ONUMFS"/>
      </w:pPr>
      <w:r w:rsidRPr="00AC1BD2">
        <w:t>J</w:t>
      </w:r>
      <w:r w:rsidR="00025CB1" w:rsidRPr="00AC1BD2">
        <w:t>’</w:t>
      </w:r>
      <w:r w:rsidRPr="00AC1BD2">
        <w:t xml:space="preserve">ai fait un tableau qui </w:t>
      </w:r>
      <w:r w:rsidR="00A11D85" w:rsidRPr="00AC1BD2">
        <w:t>met en évidence</w:t>
      </w:r>
      <w:r w:rsidRPr="00AC1BD2">
        <w:t xml:space="preserve"> les similitudes et </w:t>
      </w:r>
      <w:r w:rsidR="00A11D85" w:rsidRPr="00AC1BD2">
        <w:t xml:space="preserve">les </w:t>
      </w:r>
      <w:r w:rsidRPr="00AC1BD2">
        <w:t xml:space="preserve">différences </w:t>
      </w:r>
      <w:r w:rsidR="00A11D85" w:rsidRPr="00AC1BD2">
        <w:t>de</w:t>
      </w:r>
      <w:r w:rsidRPr="00AC1BD2">
        <w:t xml:space="preserve"> définition</w:t>
      </w:r>
      <w:r w:rsidR="00025CB1" w:rsidRPr="00AC1BD2">
        <w:t> </w:t>
      </w:r>
      <w:proofErr w:type="gramStart"/>
      <w:r w:rsidR="00025CB1" w:rsidRPr="00AC1BD2">
        <w:t>:</w:t>
      </w:r>
      <w:r w:rsidR="00A11D85" w:rsidRPr="00AC1BD2">
        <w:t xml:space="preserve"> </w:t>
      </w:r>
      <w:r w:rsidRPr="00AC1BD2">
        <w:t>savoirs</w:t>
      </w:r>
      <w:proofErr w:type="gramEnd"/>
      <w:r w:rsidRPr="00AC1BD2">
        <w:t xml:space="preserve"> traditionnels – variante 1, savoir</w:t>
      </w:r>
      <w:r w:rsidR="00A11D85" w:rsidRPr="00AC1BD2">
        <w:t>s traditionnels – variante</w:t>
      </w:r>
      <w:r w:rsidR="00BD0A6E" w:rsidRPr="00AC1BD2">
        <w:t> </w:t>
      </w:r>
      <w:r w:rsidR="00A11D85" w:rsidRPr="00AC1BD2">
        <w:t>2, objet – variante</w:t>
      </w:r>
      <w:r w:rsidR="00BD0A6E" w:rsidRPr="00AC1BD2">
        <w:t> </w:t>
      </w:r>
      <w:r w:rsidR="00A11D85" w:rsidRPr="00AC1BD2">
        <w:t xml:space="preserve">2, </w:t>
      </w:r>
      <w:r w:rsidR="00B506EC" w:rsidRPr="00AC1BD2">
        <w:br/>
      </w:r>
      <w:r w:rsidR="00A11D85" w:rsidRPr="00AC1BD2">
        <w:t>objet – variante</w:t>
      </w:r>
      <w:r w:rsidR="00BD0A6E" w:rsidRPr="00AC1BD2">
        <w:t> </w:t>
      </w:r>
      <w:r w:rsidR="00A11D85" w:rsidRPr="00AC1BD2">
        <w:t xml:space="preserve">3 et </w:t>
      </w:r>
      <w:r w:rsidRPr="00AC1BD2">
        <w:t>objet</w:t>
      </w:r>
      <w:r w:rsidR="00025CB1" w:rsidRPr="00AC1BD2">
        <w:t xml:space="preserve"> – </w:t>
      </w:r>
      <w:r w:rsidRPr="00AC1BD2">
        <w:t>variante</w:t>
      </w:r>
      <w:r w:rsidR="00BD0A6E" w:rsidRPr="00AC1BD2">
        <w:t> </w:t>
      </w:r>
      <w:r w:rsidR="00F806CC" w:rsidRPr="00AC1BD2">
        <w:t>4</w:t>
      </w:r>
      <w:r w:rsidR="00727F6F" w:rsidRPr="00AC1BD2">
        <w:rPr>
          <w:rStyle w:val="FootnoteReference"/>
          <w:szCs w:val="22"/>
        </w:rPr>
        <w:footnoteReference w:id="3"/>
      </w:r>
      <w:r w:rsidR="00025CB1" w:rsidRPr="00AC1BD2">
        <w:t> :</w:t>
      </w:r>
    </w:p>
    <w:p w14:paraId="7B6A9E9B" w14:textId="77777777" w:rsidR="00BD0A6E" w:rsidRPr="00AC1BD2" w:rsidRDefault="00BD0A6E" w:rsidP="00243A34">
      <w:pPr>
        <w:tabs>
          <w:tab w:val="left" w:pos="567"/>
        </w:tabs>
        <w:rPr>
          <w:rFonts w:cs="Arial"/>
          <w:szCs w:val="22"/>
        </w:rPr>
      </w:pPr>
    </w:p>
    <w:p w14:paraId="356786E4" w14:textId="77777777" w:rsidR="00B506EC" w:rsidRPr="00AC1BD2" w:rsidRDefault="00B506EC" w:rsidP="00243A34">
      <w:pPr>
        <w:tabs>
          <w:tab w:val="left" w:pos="567"/>
        </w:tabs>
        <w:rPr>
          <w:rFonts w:cs="Arial"/>
          <w:szCs w:val="22"/>
        </w:rPr>
      </w:pPr>
    </w:p>
    <w:p w14:paraId="5FAEA973" w14:textId="77777777" w:rsidR="00B506EC" w:rsidRPr="00AC1BD2" w:rsidRDefault="00B506EC" w:rsidP="00243A34">
      <w:pPr>
        <w:tabs>
          <w:tab w:val="left" w:pos="567"/>
        </w:tabs>
        <w:rPr>
          <w:rFonts w:cs="Arial"/>
          <w:szCs w:val="22"/>
        </w:rPr>
        <w:sectPr w:rsidR="00B506EC" w:rsidRPr="00AC1BD2" w:rsidSect="00DE44FE">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199" w:bottom="1440" w:left="1440" w:header="720" w:footer="720" w:gutter="0"/>
          <w:cols w:space="720"/>
          <w:docGrid w:linePitch="360"/>
        </w:sectPr>
      </w:pPr>
    </w:p>
    <w:p w14:paraId="4D8C9FEA" w14:textId="1A6B552E" w:rsidR="007B5C43" w:rsidRPr="00AC1BD2" w:rsidRDefault="007B5C43" w:rsidP="00243A34">
      <w:pPr>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4A0" w:firstRow="1" w:lastRow="0" w:firstColumn="1" w:lastColumn="0" w:noHBand="0" w:noVBand="1"/>
      </w:tblPr>
      <w:tblGrid>
        <w:gridCol w:w="1704"/>
        <w:gridCol w:w="1951"/>
        <w:gridCol w:w="2013"/>
        <w:gridCol w:w="1780"/>
        <w:gridCol w:w="1820"/>
        <w:gridCol w:w="2269"/>
        <w:gridCol w:w="2553"/>
      </w:tblGrid>
      <w:tr w:rsidR="00AC1BD2" w:rsidRPr="00AC1BD2" w14:paraId="4577B5BB" w14:textId="77777777" w:rsidTr="007B5C43">
        <w:trPr>
          <w:cantSplit/>
        </w:trPr>
        <w:tc>
          <w:tcPr>
            <w:tcW w:w="1120" w:type="dxa"/>
            <w:shd w:val="clear" w:color="auto" w:fill="auto"/>
          </w:tcPr>
          <w:p w14:paraId="5B540B38" w14:textId="1A761D42" w:rsidR="00A26BEF" w:rsidRPr="00AC1BD2" w:rsidRDefault="00A26BEF" w:rsidP="00243A34">
            <w:pPr>
              <w:tabs>
                <w:tab w:val="left" w:pos="567"/>
              </w:tabs>
              <w:rPr>
                <w:rFonts w:cs="Arial"/>
                <w:szCs w:val="22"/>
              </w:rPr>
            </w:pPr>
            <w:r w:rsidRPr="00AC1BD2">
              <w:rPr>
                <w:rFonts w:cs="Arial"/>
                <w:szCs w:val="22"/>
              </w:rPr>
              <w:t>D</w:t>
            </w:r>
            <w:r w:rsidR="00A051A3" w:rsidRPr="00AC1BD2">
              <w:rPr>
                <w:rFonts w:cs="Arial"/>
                <w:szCs w:val="22"/>
              </w:rPr>
              <w:t>é</w:t>
            </w:r>
            <w:r w:rsidRPr="00AC1BD2">
              <w:rPr>
                <w:rFonts w:cs="Arial"/>
                <w:szCs w:val="22"/>
              </w:rPr>
              <w:t xml:space="preserve">finition </w:t>
            </w:r>
            <w:r w:rsidR="00A051A3" w:rsidRPr="00AC1BD2">
              <w:rPr>
                <w:rFonts w:cs="Arial"/>
                <w:szCs w:val="22"/>
              </w:rPr>
              <w:t xml:space="preserve">des savoirs traditionnels </w:t>
            </w:r>
            <w:r w:rsidRPr="00AC1BD2">
              <w:rPr>
                <w:rFonts w:cs="Arial"/>
                <w:szCs w:val="22"/>
              </w:rPr>
              <w:t xml:space="preserve">– </w:t>
            </w:r>
            <w:r w:rsidR="00A051A3" w:rsidRPr="00AC1BD2">
              <w:rPr>
                <w:rFonts w:cs="Arial"/>
                <w:szCs w:val="22"/>
              </w:rPr>
              <w:t>variante</w:t>
            </w:r>
            <w:r w:rsidR="00BD0A6E" w:rsidRPr="00AC1BD2">
              <w:rPr>
                <w:rFonts w:cs="Arial"/>
                <w:szCs w:val="22"/>
              </w:rPr>
              <w:t> </w:t>
            </w:r>
            <w:r w:rsidRPr="00AC1BD2">
              <w:rPr>
                <w:rFonts w:cs="Arial"/>
                <w:szCs w:val="22"/>
              </w:rPr>
              <w:t>1</w:t>
            </w:r>
          </w:p>
        </w:tc>
        <w:tc>
          <w:tcPr>
            <w:tcW w:w="1282" w:type="dxa"/>
            <w:shd w:val="clear" w:color="auto" w:fill="auto"/>
          </w:tcPr>
          <w:p w14:paraId="423F4E44" w14:textId="06BB7708" w:rsidR="00A11D85" w:rsidRPr="00AC1BD2" w:rsidRDefault="00BA34E3" w:rsidP="00243A34">
            <w:pPr>
              <w:tabs>
                <w:tab w:val="left" w:pos="567"/>
              </w:tabs>
              <w:rPr>
                <w:rFonts w:cs="Arial"/>
                <w:szCs w:val="22"/>
              </w:rPr>
            </w:pPr>
            <w:r>
              <w:rPr>
                <w:rFonts w:cs="Arial"/>
                <w:szCs w:val="22"/>
              </w:rPr>
              <w:t>C</w:t>
            </w:r>
            <w:r w:rsidR="00A11D85" w:rsidRPr="00AC1BD2">
              <w:rPr>
                <w:rFonts w:cs="Arial"/>
                <w:szCs w:val="22"/>
              </w:rPr>
              <w:t>réés, préservés et développés par des peuples autochtones, des communautés locales et des nations/États</w:t>
            </w:r>
          </w:p>
        </w:tc>
        <w:tc>
          <w:tcPr>
            <w:tcW w:w="1323" w:type="dxa"/>
            <w:shd w:val="clear" w:color="auto" w:fill="auto"/>
          </w:tcPr>
          <w:p w14:paraId="11AA6843" w14:textId="794333AA" w:rsidR="00A26BEF" w:rsidRPr="00AC1BD2" w:rsidRDefault="00BA34E3" w:rsidP="00243A34">
            <w:pPr>
              <w:tabs>
                <w:tab w:val="left" w:pos="567"/>
              </w:tabs>
              <w:rPr>
                <w:rFonts w:cs="Arial"/>
                <w:szCs w:val="22"/>
              </w:rPr>
            </w:pPr>
            <w:r>
              <w:rPr>
                <w:szCs w:val="22"/>
              </w:rPr>
              <w:t>L</w:t>
            </w:r>
            <w:r w:rsidR="00A11D85" w:rsidRPr="00AC1BD2">
              <w:rPr>
                <w:rFonts w:cs="Arial"/>
                <w:szCs w:val="22"/>
              </w:rPr>
              <w:t>iés à l</w:t>
            </w:r>
            <w:r w:rsidR="00025CB1" w:rsidRPr="00AC1BD2">
              <w:rPr>
                <w:rFonts w:cs="Arial"/>
                <w:szCs w:val="22"/>
              </w:rPr>
              <w:t>’</w:t>
            </w:r>
            <w:r w:rsidR="00A11D85" w:rsidRPr="00AC1BD2">
              <w:rPr>
                <w:rFonts w:cs="Arial"/>
                <w:szCs w:val="22"/>
              </w:rPr>
              <w:t xml:space="preserve">identité </w:t>
            </w:r>
            <w:r w:rsidR="00A11D85" w:rsidRPr="00AC1BD2">
              <w:rPr>
                <w:rFonts w:cs="Arial"/>
                <w:b/>
                <w:szCs w:val="22"/>
              </w:rPr>
              <w:t>nationale</w:t>
            </w:r>
            <w:r w:rsidR="00A11D85" w:rsidRPr="00AC1BD2">
              <w:rPr>
                <w:rFonts w:cs="Arial"/>
                <w:szCs w:val="22"/>
              </w:rPr>
              <w:t xml:space="preserve"> ou sociale et/ou au patrimoine culturel des peuples autochtones, des communautés locales </w:t>
            </w:r>
            <w:r w:rsidR="00A11D85" w:rsidRPr="00AC1BD2">
              <w:rPr>
                <w:rFonts w:cs="Arial"/>
                <w:b/>
                <w:szCs w:val="22"/>
              </w:rPr>
              <w:t>et des nations/États</w:t>
            </w:r>
            <w:r w:rsidR="00A11D85" w:rsidRPr="00AC1BD2">
              <w:rPr>
                <w:rFonts w:cs="Arial"/>
                <w:szCs w:val="22"/>
              </w:rPr>
              <w:t xml:space="preserve"> </w:t>
            </w:r>
            <w:r w:rsidR="00A11D85" w:rsidRPr="00AC1BD2">
              <w:rPr>
                <w:rFonts w:cs="Arial"/>
                <w:b/>
                <w:szCs w:val="22"/>
              </w:rPr>
              <w:t>ou en font partie intégrante</w:t>
            </w:r>
          </w:p>
        </w:tc>
        <w:tc>
          <w:tcPr>
            <w:tcW w:w="1170" w:type="dxa"/>
            <w:shd w:val="clear" w:color="auto" w:fill="auto"/>
          </w:tcPr>
          <w:p w14:paraId="516E98D9" w14:textId="0E942338" w:rsidR="00A11D85" w:rsidRPr="00AC1BD2" w:rsidRDefault="00BA34E3" w:rsidP="00243A34">
            <w:pPr>
              <w:tabs>
                <w:tab w:val="left" w:pos="567"/>
              </w:tabs>
              <w:rPr>
                <w:rFonts w:cs="Arial"/>
                <w:szCs w:val="22"/>
              </w:rPr>
            </w:pPr>
            <w:r>
              <w:rPr>
                <w:rFonts w:cs="Arial"/>
                <w:szCs w:val="22"/>
              </w:rPr>
              <w:t>T</w:t>
            </w:r>
            <w:r w:rsidR="00A11D85" w:rsidRPr="00AC1BD2">
              <w:rPr>
                <w:rFonts w:cs="Arial"/>
                <w:szCs w:val="22"/>
              </w:rPr>
              <w:t xml:space="preserve">ransmis </w:t>
            </w:r>
            <w:r w:rsidR="00A11D85" w:rsidRPr="00AC1BD2">
              <w:rPr>
                <w:rFonts w:cs="Arial"/>
                <w:b/>
                <w:szCs w:val="22"/>
              </w:rPr>
              <w:t>entre</w:t>
            </w:r>
            <w:r w:rsidR="00A11D85" w:rsidRPr="00AC1BD2">
              <w:rPr>
                <w:rFonts w:cs="Arial"/>
                <w:szCs w:val="22"/>
              </w:rPr>
              <w:t xml:space="preserve"> générations </w:t>
            </w:r>
            <w:r w:rsidR="00A11D85" w:rsidRPr="00AC1BD2">
              <w:rPr>
                <w:rFonts w:cs="Arial"/>
                <w:b/>
                <w:szCs w:val="22"/>
              </w:rPr>
              <w:t>ou</w:t>
            </w:r>
            <w:r w:rsidR="00A11D85" w:rsidRPr="00AC1BD2">
              <w:rPr>
                <w:rFonts w:cs="Arial"/>
                <w:szCs w:val="22"/>
              </w:rPr>
              <w:t xml:space="preserve"> de génération en génération, que ce soit ou non de manière consécutive</w:t>
            </w:r>
          </w:p>
        </w:tc>
        <w:tc>
          <w:tcPr>
            <w:tcW w:w="1196" w:type="dxa"/>
            <w:shd w:val="clear" w:color="auto" w:fill="auto"/>
          </w:tcPr>
          <w:p w14:paraId="1AEA93C0" w14:textId="020CACF4" w:rsidR="00A26BEF" w:rsidRPr="00AC1BD2" w:rsidRDefault="00BA34E3" w:rsidP="00243A34">
            <w:pPr>
              <w:tabs>
                <w:tab w:val="left" w:pos="567"/>
              </w:tabs>
              <w:rPr>
                <w:rFonts w:cs="Arial"/>
                <w:szCs w:val="22"/>
              </w:rPr>
            </w:pPr>
            <w:r>
              <w:rPr>
                <w:rFonts w:cs="Arial"/>
                <w:szCs w:val="22"/>
              </w:rPr>
              <w:t>S</w:t>
            </w:r>
            <w:r w:rsidR="00A11D85" w:rsidRPr="00AC1BD2">
              <w:rPr>
                <w:rFonts w:cs="Arial"/>
                <w:szCs w:val="22"/>
              </w:rPr>
              <w:t>ubsistent sous une forme codifiée, orale ou autre</w:t>
            </w:r>
          </w:p>
        </w:tc>
        <w:tc>
          <w:tcPr>
            <w:tcW w:w="1491" w:type="dxa"/>
            <w:shd w:val="clear" w:color="auto" w:fill="auto"/>
          </w:tcPr>
          <w:p w14:paraId="22DBB430" w14:textId="18206383" w:rsidR="00A26BEF" w:rsidRPr="00AC1BD2" w:rsidRDefault="00BA34E3" w:rsidP="00243A34">
            <w:pPr>
              <w:tabs>
                <w:tab w:val="left" w:pos="567"/>
              </w:tabs>
              <w:rPr>
                <w:rFonts w:cs="Arial"/>
                <w:szCs w:val="22"/>
              </w:rPr>
            </w:pPr>
            <w:r>
              <w:rPr>
                <w:rFonts w:cs="Arial"/>
                <w:szCs w:val="22"/>
              </w:rPr>
              <w:t>P</w:t>
            </w:r>
            <w:r w:rsidR="00A11D85" w:rsidRPr="00AC1BD2">
              <w:rPr>
                <w:rFonts w:cs="Arial"/>
                <w:szCs w:val="22"/>
              </w:rPr>
              <w:t>euvent prendre la forme d</w:t>
            </w:r>
            <w:r w:rsidR="00025CB1" w:rsidRPr="00AC1BD2">
              <w:rPr>
                <w:rFonts w:cs="Arial"/>
                <w:szCs w:val="22"/>
              </w:rPr>
              <w:t>’</w:t>
            </w:r>
            <w:r w:rsidR="00A11D85" w:rsidRPr="00AC1BD2">
              <w:rPr>
                <w:rFonts w:cs="Arial"/>
                <w:szCs w:val="22"/>
              </w:rPr>
              <w:t>un savoir</w:t>
            </w:r>
            <w:r w:rsidR="00243A34" w:rsidRPr="00AC1BD2">
              <w:rPr>
                <w:rFonts w:cs="Arial"/>
                <w:szCs w:val="22"/>
              </w:rPr>
              <w:noBreakHyphen/>
            </w:r>
            <w:r w:rsidR="00A11D85" w:rsidRPr="00AC1BD2">
              <w:rPr>
                <w:rFonts w:cs="Arial"/>
                <w:szCs w:val="22"/>
              </w:rPr>
              <w:t>faire, de techniques, d</w:t>
            </w:r>
            <w:r w:rsidR="00025CB1" w:rsidRPr="00AC1BD2">
              <w:rPr>
                <w:rFonts w:cs="Arial"/>
                <w:szCs w:val="22"/>
              </w:rPr>
              <w:t>’</w:t>
            </w:r>
            <w:r w:rsidR="00A11D85" w:rsidRPr="00AC1BD2">
              <w:rPr>
                <w:rFonts w:cs="Arial"/>
                <w:szCs w:val="22"/>
              </w:rPr>
              <w:t>innovations, de pratiques, d</w:t>
            </w:r>
            <w:r w:rsidR="00025CB1" w:rsidRPr="00AC1BD2">
              <w:rPr>
                <w:rFonts w:cs="Arial"/>
                <w:szCs w:val="22"/>
              </w:rPr>
              <w:t>’</w:t>
            </w:r>
            <w:r w:rsidR="00A11D85" w:rsidRPr="00AC1BD2">
              <w:rPr>
                <w:rFonts w:cs="Arial"/>
                <w:szCs w:val="22"/>
              </w:rPr>
              <w:t>enseignements ou d</w:t>
            </w:r>
            <w:r w:rsidR="00025CB1" w:rsidRPr="00AC1BD2">
              <w:rPr>
                <w:rFonts w:cs="Arial"/>
                <w:szCs w:val="22"/>
              </w:rPr>
              <w:t>’</w:t>
            </w:r>
            <w:r w:rsidR="00A11D85" w:rsidRPr="00AC1BD2">
              <w:rPr>
                <w:rFonts w:cs="Arial"/>
                <w:szCs w:val="22"/>
              </w:rPr>
              <w:t>apprentissages.</w:t>
            </w:r>
          </w:p>
        </w:tc>
        <w:tc>
          <w:tcPr>
            <w:tcW w:w="1678" w:type="dxa"/>
            <w:shd w:val="clear" w:color="auto" w:fill="auto"/>
          </w:tcPr>
          <w:p w14:paraId="619C550D" w14:textId="6B484C41" w:rsidR="009A7EF4" w:rsidRPr="00AC1BD2" w:rsidRDefault="00A11D85" w:rsidP="00243A34">
            <w:pPr>
              <w:tabs>
                <w:tab w:val="left" w:pos="567"/>
              </w:tabs>
              <w:rPr>
                <w:rFonts w:cs="Arial"/>
                <w:szCs w:val="22"/>
              </w:rPr>
            </w:pPr>
            <w:r w:rsidRPr="00AC1BD2">
              <w:rPr>
                <w:rFonts w:cs="Arial"/>
                <w:szCs w:val="22"/>
              </w:rPr>
              <w:t>peuvent être dynamiques et évolutifs</w:t>
            </w:r>
          </w:p>
        </w:tc>
      </w:tr>
      <w:tr w:rsidR="00AC1BD2" w:rsidRPr="00AC1BD2" w14:paraId="4601FB44" w14:textId="77777777" w:rsidTr="007B5C43">
        <w:trPr>
          <w:cantSplit/>
        </w:trPr>
        <w:tc>
          <w:tcPr>
            <w:tcW w:w="1120" w:type="dxa"/>
            <w:shd w:val="clear" w:color="auto" w:fill="auto"/>
          </w:tcPr>
          <w:p w14:paraId="1C8390E4" w14:textId="404D2B8B" w:rsidR="002C2DB4" w:rsidRPr="00AC1BD2" w:rsidRDefault="002C2DB4" w:rsidP="00243A34">
            <w:pPr>
              <w:tabs>
                <w:tab w:val="left" w:pos="567"/>
              </w:tabs>
              <w:rPr>
                <w:rFonts w:cs="Arial"/>
                <w:szCs w:val="22"/>
              </w:rPr>
            </w:pPr>
            <w:r w:rsidRPr="00AC1BD2">
              <w:rPr>
                <w:rFonts w:cs="Arial"/>
                <w:szCs w:val="22"/>
              </w:rPr>
              <w:t>Définition des savoirs traditionnels – variante</w:t>
            </w:r>
            <w:r w:rsidR="00BD0A6E" w:rsidRPr="00AC1BD2">
              <w:rPr>
                <w:rFonts w:cs="Arial"/>
                <w:szCs w:val="22"/>
              </w:rPr>
              <w:t> </w:t>
            </w:r>
            <w:r w:rsidRPr="00AC1BD2">
              <w:rPr>
                <w:rFonts w:cs="Arial"/>
                <w:szCs w:val="22"/>
              </w:rPr>
              <w:t>2</w:t>
            </w:r>
          </w:p>
        </w:tc>
        <w:tc>
          <w:tcPr>
            <w:tcW w:w="1282" w:type="dxa"/>
            <w:shd w:val="clear" w:color="auto" w:fill="auto"/>
          </w:tcPr>
          <w:p w14:paraId="7E5A3904" w14:textId="094335F3" w:rsidR="002C2DB4" w:rsidRPr="00AC1BD2" w:rsidRDefault="002C2DB4" w:rsidP="00243A34">
            <w:pPr>
              <w:tabs>
                <w:tab w:val="left" w:pos="567"/>
              </w:tabs>
              <w:rPr>
                <w:rFonts w:cs="Arial"/>
                <w:szCs w:val="22"/>
              </w:rPr>
            </w:pPr>
            <w:r w:rsidRPr="00AC1BD2">
              <w:rPr>
                <w:rFonts w:cs="Arial"/>
                <w:szCs w:val="22"/>
              </w:rPr>
              <w:t xml:space="preserve">Créés, préservés, </w:t>
            </w:r>
            <w:r w:rsidRPr="00AC1BD2">
              <w:rPr>
                <w:rFonts w:cs="Arial"/>
                <w:b/>
                <w:szCs w:val="22"/>
              </w:rPr>
              <w:t>contrôlés, protégés</w:t>
            </w:r>
            <w:r w:rsidR="00EF24BB" w:rsidRPr="00AC1BD2">
              <w:rPr>
                <w:rFonts w:cs="Arial"/>
                <w:szCs w:val="22"/>
              </w:rPr>
              <w:t xml:space="preserve"> et développés par des </w:t>
            </w:r>
            <w:r w:rsidRPr="00AC1BD2">
              <w:rPr>
                <w:rFonts w:cs="Arial"/>
                <w:szCs w:val="22"/>
              </w:rPr>
              <w:t xml:space="preserve">peuples autochtones, des communautés locales </w:t>
            </w:r>
            <w:r w:rsidR="00EF24BB" w:rsidRPr="00AC1BD2">
              <w:rPr>
                <w:rFonts w:cs="Arial"/>
                <w:szCs w:val="22"/>
              </w:rPr>
              <w:t>et des nations/États</w:t>
            </w:r>
          </w:p>
        </w:tc>
        <w:tc>
          <w:tcPr>
            <w:tcW w:w="1323" w:type="dxa"/>
            <w:shd w:val="clear" w:color="auto" w:fill="auto"/>
          </w:tcPr>
          <w:p w14:paraId="664A4583" w14:textId="7E2F88F5" w:rsidR="002C2DB4" w:rsidRPr="00AC1BD2" w:rsidRDefault="00BA34E3" w:rsidP="00243A34">
            <w:pPr>
              <w:tabs>
                <w:tab w:val="left" w:pos="567"/>
              </w:tabs>
              <w:rPr>
                <w:rFonts w:cs="Arial"/>
                <w:szCs w:val="22"/>
              </w:rPr>
            </w:pPr>
            <w:r>
              <w:rPr>
                <w:rFonts w:cs="Arial"/>
                <w:b/>
                <w:szCs w:val="22"/>
              </w:rPr>
              <w:t>D</w:t>
            </w:r>
            <w:r w:rsidR="002C2DB4" w:rsidRPr="00AC1BD2">
              <w:rPr>
                <w:rFonts w:cs="Arial"/>
                <w:b/>
                <w:szCs w:val="22"/>
              </w:rPr>
              <w:t>irectement</w:t>
            </w:r>
            <w:r w:rsidR="002C2DB4" w:rsidRPr="00AC1BD2">
              <w:rPr>
                <w:rFonts w:cs="Arial"/>
                <w:szCs w:val="22"/>
              </w:rPr>
              <w:t xml:space="preserve"> liés à l</w:t>
            </w:r>
            <w:r w:rsidR="00025CB1" w:rsidRPr="00AC1BD2">
              <w:rPr>
                <w:rFonts w:cs="Arial"/>
                <w:szCs w:val="22"/>
              </w:rPr>
              <w:t>’</w:t>
            </w:r>
            <w:r w:rsidR="002C2DB4" w:rsidRPr="00AC1BD2">
              <w:rPr>
                <w:rFonts w:cs="Arial"/>
                <w:szCs w:val="22"/>
              </w:rPr>
              <w:t>identité sociale et/ou au p</w:t>
            </w:r>
            <w:r w:rsidR="00EF24BB" w:rsidRPr="00AC1BD2">
              <w:rPr>
                <w:rFonts w:cs="Arial"/>
                <w:szCs w:val="22"/>
              </w:rPr>
              <w:t>atrimoine culturel des peuples</w:t>
            </w:r>
            <w:r w:rsidR="002C2DB4" w:rsidRPr="00AC1BD2">
              <w:rPr>
                <w:rFonts w:cs="Arial"/>
                <w:szCs w:val="22"/>
              </w:rPr>
              <w:t xml:space="preserve"> autochtones et des communautés locales</w:t>
            </w:r>
          </w:p>
        </w:tc>
        <w:tc>
          <w:tcPr>
            <w:tcW w:w="1170" w:type="dxa"/>
            <w:shd w:val="clear" w:color="auto" w:fill="auto"/>
          </w:tcPr>
          <w:p w14:paraId="4A59A48E" w14:textId="023B6CA8" w:rsidR="002C2DB4" w:rsidRPr="00AC1BD2" w:rsidRDefault="00BA34E3" w:rsidP="00243A34">
            <w:pPr>
              <w:tabs>
                <w:tab w:val="left" w:pos="567"/>
              </w:tabs>
              <w:rPr>
                <w:rFonts w:cs="Arial"/>
                <w:szCs w:val="22"/>
              </w:rPr>
            </w:pPr>
            <w:r>
              <w:rPr>
                <w:rFonts w:cs="Arial"/>
                <w:szCs w:val="22"/>
              </w:rPr>
              <w:t>T</w:t>
            </w:r>
            <w:r w:rsidR="002C2DB4" w:rsidRPr="00AC1BD2">
              <w:rPr>
                <w:rFonts w:cs="Arial"/>
                <w:szCs w:val="22"/>
              </w:rPr>
              <w:t>ransmis de génération en génération, que ce soit ou non de manière consécutive</w:t>
            </w:r>
          </w:p>
        </w:tc>
        <w:tc>
          <w:tcPr>
            <w:tcW w:w="1196" w:type="dxa"/>
            <w:shd w:val="clear" w:color="auto" w:fill="auto"/>
          </w:tcPr>
          <w:p w14:paraId="6C0ABFFD" w14:textId="041BCC4B" w:rsidR="002C2DB4" w:rsidRPr="00AC1BD2" w:rsidRDefault="002C2DB4" w:rsidP="00243A34">
            <w:pPr>
              <w:tabs>
                <w:tab w:val="left" w:pos="567"/>
              </w:tabs>
              <w:rPr>
                <w:rFonts w:cs="Arial"/>
                <w:szCs w:val="22"/>
              </w:rPr>
            </w:pPr>
            <w:r w:rsidRPr="00AC1BD2">
              <w:rPr>
                <w:rFonts w:cs="Arial"/>
                <w:szCs w:val="22"/>
              </w:rPr>
              <w:t>Définition des savoirs traditionnels identique à celle de la variante</w:t>
            </w:r>
            <w:r w:rsidR="00BD0A6E" w:rsidRPr="00AC1BD2">
              <w:rPr>
                <w:rFonts w:cs="Arial"/>
                <w:szCs w:val="22"/>
              </w:rPr>
              <w:t> </w:t>
            </w:r>
            <w:r w:rsidRPr="00AC1BD2">
              <w:rPr>
                <w:rFonts w:cs="Arial"/>
                <w:szCs w:val="22"/>
              </w:rPr>
              <w:t>1</w:t>
            </w:r>
          </w:p>
        </w:tc>
        <w:tc>
          <w:tcPr>
            <w:tcW w:w="1491" w:type="dxa"/>
            <w:shd w:val="clear" w:color="auto" w:fill="auto"/>
          </w:tcPr>
          <w:p w14:paraId="73743608" w14:textId="34779197" w:rsidR="002C2DB4" w:rsidRPr="00AC1BD2" w:rsidRDefault="002C2DB4" w:rsidP="00243A34">
            <w:pPr>
              <w:tabs>
                <w:tab w:val="left" w:pos="567"/>
              </w:tabs>
              <w:rPr>
                <w:rFonts w:cs="Arial"/>
                <w:szCs w:val="22"/>
              </w:rPr>
            </w:pPr>
            <w:r w:rsidRPr="00AC1BD2">
              <w:rPr>
                <w:rFonts w:cs="Arial"/>
                <w:szCs w:val="22"/>
              </w:rPr>
              <w:t>Définition des savoirs traditionnels identique à celle de la variante</w:t>
            </w:r>
            <w:r w:rsidR="00BD0A6E" w:rsidRPr="00AC1BD2">
              <w:rPr>
                <w:rFonts w:cs="Arial"/>
                <w:szCs w:val="22"/>
              </w:rPr>
              <w:t> </w:t>
            </w:r>
            <w:r w:rsidRPr="00AC1BD2">
              <w:rPr>
                <w:rFonts w:cs="Arial"/>
                <w:szCs w:val="22"/>
              </w:rPr>
              <w:t>1</w:t>
            </w:r>
          </w:p>
        </w:tc>
        <w:tc>
          <w:tcPr>
            <w:tcW w:w="1678" w:type="dxa"/>
            <w:shd w:val="clear" w:color="auto" w:fill="auto"/>
          </w:tcPr>
          <w:p w14:paraId="4C49CB1D" w14:textId="6042FE49" w:rsidR="002C2DB4" w:rsidRPr="00AC1BD2" w:rsidRDefault="002C2DB4" w:rsidP="00243A34">
            <w:pPr>
              <w:tabs>
                <w:tab w:val="left" w:pos="567"/>
              </w:tabs>
              <w:rPr>
                <w:rFonts w:cs="Arial"/>
                <w:szCs w:val="22"/>
              </w:rPr>
            </w:pPr>
            <w:r w:rsidRPr="00AC1BD2">
              <w:rPr>
                <w:rFonts w:cs="Arial"/>
                <w:szCs w:val="22"/>
              </w:rPr>
              <w:t xml:space="preserve">Définition des </w:t>
            </w:r>
            <w:r w:rsidR="00C50B8A" w:rsidRPr="00AC1BD2">
              <w:rPr>
                <w:rFonts w:cs="Arial"/>
                <w:szCs w:val="22"/>
              </w:rPr>
              <w:t xml:space="preserve">savoirs traditionnels </w:t>
            </w:r>
            <w:r w:rsidRPr="00AC1BD2">
              <w:rPr>
                <w:rFonts w:cs="Arial"/>
                <w:szCs w:val="22"/>
              </w:rPr>
              <w:t>identique à celle de la variante</w:t>
            </w:r>
            <w:r w:rsidR="00BD0A6E" w:rsidRPr="00AC1BD2">
              <w:rPr>
                <w:rFonts w:cs="Arial"/>
                <w:szCs w:val="22"/>
              </w:rPr>
              <w:t> </w:t>
            </w:r>
            <w:r w:rsidRPr="00AC1BD2">
              <w:rPr>
                <w:rFonts w:cs="Arial"/>
                <w:szCs w:val="22"/>
              </w:rPr>
              <w:t>1</w:t>
            </w:r>
          </w:p>
        </w:tc>
      </w:tr>
      <w:tr w:rsidR="00AC1BD2" w:rsidRPr="00AC1BD2" w14:paraId="33330F1D" w14:textId="77777777" w:rsidTr="007B5C43">
        <w:trPr>
          <w:cantSplit/>
        </w:trPr>
        <w:tc>
          <w:tcPr>
            <w:tcW w:w="1120" w:type="dxa"/>
            <w:shd w:val="clear" w:color="auto" w:fill="auto"/>
          </w:tcPr>
          <w:p w14:paraId="5511307A" w14:textId="04CA6D20" w:rsidR="00F806CC" w:rsidRPr="00AC1BD2" w:rsidRDefault="00A051A3" w:rsidP="00243A34">
            <w:pPr>
              <w:tabs>
                <w:tab w:val="left" w:pos="567"/>
              </w:tabs>
              <w:rPr>
                <w:rFonts w:cs="Arial"/>
                <w:szCs w:val="22"/>
              </w:rPr>
            </w:pPr>
            <w:r w:rsidRPr="00AC1BD2">
              <w:rPr>
                <w:rFonts w:cs="Arial"/>
                <w:szCs w:val="22"/>
              </w:rPr>
              <w:t xml:space="preserve">Variante </w:t>
            </w:r>
            <w:r w:rsidR="00F806CC" w:rsidRPr="00AC1BD2">
              <w:rPr>
                <w:rFonts w:cs="Arial"/>
                <w:szCs w:val="22"/>
              </w:rPr>
              <w:t>2</w:t>
            </w:r>
          </w:p>
        </w:tc>
        <w:tc>
          <w:tcPr>
            <w:tcW w:w="1282" w:type="dxa"/>
            <w:shd w:val="clear" w:color="auto" w:fill="auto"/>
          </w:tcPr>
          <w:p w14:paraId="0F7D8AD2" w14:textId="4B301CC4" w:rsidR="00F806CC" w:rsidRPr="00AC1BD2" w:rsidRDefault="00BA34E3" w:rsidP="00243A34">
            <w:pPr>
              <w:tabs>
                <w:tab w:val="left" w:pos="567"/>
              </w:tabs>
              <w:rPr>
                <w:rFonts w:cs="Arial"/>
                <w:szCs w:val="22"/>
              </w:rPr>
            </w:pPr>
            <w:r>
              <w:rPr>
                <w:rFonts w:cs="Arial"/>
                <w:szCs w:val="22"/>
              </w:rPr>
              <w:t>C</w:t>
            </w:r>
            <w:r w:rsidR="002C2DB4" w:rsidRPr="00AC1BD2">
              <w:rPr>
                <w:rFonts w:cs="Arial"/>
                <w:szCs w:val="22"/>
              </w:rPr>
              <w:t xml:space="preserve">réés et préservés </w:t>
            </w:r>
            <w:r w:rsidR="002C2DB4" w:rsidRPr="00AC1BD2">
              <w:rPr>
                <w:rFonts w:cs="Arial"/>
                <w:b/>
                <w:szCs w:val="22"/>
              </w:rPr>
              <w:t>dans un contexte collectif</w:t>
            </w:r>
          </w:p>
        </w:tc>
        <w:tc>
          <w:tcPr>
            <w:tcW w:w="1323" w:type="dxa"/>
            <w:shd w:val="clear" w:color="auto" w:fill="auto"/>
          </w:tcPr>
          <w:p w14:paraId="5E434D3D" w14:textId="31CB4BF5" w:rsidR="002C2DB4" w:rsidRPr="00AC1BD2" w:rsidRDefault="00BA34E3" w:rsidP="00243A34">
            <w:pPr>
              <w:tabs>
                <w:tab w:val="left" w:pos="567"/>
              </w:tabs>
              <w:rPr>
                <w:rFonts w:cs="Arial"/>
                <w:szCs w:val="22"/>
              </w:rPr>
            </w:pPr>
            <w:r>
              <w:rPr>
                <w:rFonts w:cs="Arial"/>
                <w:b/>
                <w:szCs w:val="22"/>
              </w:rPr>
              <w:t>D</w:t>
            </w:r>
            <w:r w:rsidR="002C2DB4" w:rsidRPr="00AC1BD2">
              <w:rPr>
                <w:rFonts w:cs="Arial"/>
                <w:b/>
                <w:szCs w:val="22"/>
              </w:rPr>
              <w:t>irectement</w:t>
            </w:r>
            <w:r w:rsidR="00C304F4" w:rsidRPr="00AC1BD2">
              <w:rPr>
                <w:rFonts w:cs="Arial"/>
                <w:szCs w:val="22"/>
              </w:rPr>
              <w:t xml:space="preserve"> liés à l</w:t>
            </w:r>
            <w:r w:rsidR="00025CB1" w:rsidRPr="00AC1BD2">
              <w:rPr>
                <w:rFonts w:cs="Arial"/>
                <w:szCs w:val="22"/>
              </w:rPr>
              <w:t>’</w:t>
            </w:r>
            <w:r w:rsidR="00C304F4" w:rsidRPr="00AC1BD2">
              <w:rPr>
                <w:rFonts w:cs="Arial"/>
                <w:szCs w:val="22"/>
              </w:rPr>
              <w:t>identité sociale et</w:t>
            </w:r>
            <w:r w:rsidR="002C2DB4" w:rsidRPr="00AC1BD2">
              <w:rPr>
                <w:rFonts w:cs="Arial"/>
                <w:szCs w:val="22"/>
              </w:rPr>
              <w:t xml:space="preserve">/ou au patrimoine culturel des peuples autochtones et des communautés locales </w:t>
            </w:r>
            <w:r w:rsidR="002C2DB4" w:rsidRPr="00AC1BD2">
              <w:rPr>
                <w:rFonts w:cs="Arial"/>
                <w:b/>
                <w:szCs w:val="22"/>
              </w:rPr>
              <w:t>et des nations</w:t>
            </w:r>
          </w:p>
        </w:tc>
        <w:tc>
          <w:tcPr>
            <w:tcW w:w="1170" w:type="dxa"/>
            <w:shd w:val="clear" w:color="auto" w:fill="auto"/>
          </w:tcPr>
          <w:p w14:paraId="56F70AC7" w14:textId="7C5A59D3" w:rsidR="00F806CC" w:rsidRPr="00AC1BD2" w:rsidRDefault="00BA34E3" w:rsidP="00243A34">
            <w:pPr>
              <w:tabs>
                <w:tab w:val="left" w:pos="567"/>
              </w:tabs>
              <w:rPr>
                <w:rFonts w:cs="Arial"/>
                <w:szCs w:val="22"/>
              </w:rPr>
            </w:pPr>
            <w:r>
              <w:rPr>
                <w:rFonts w:cs="Arial"/>
                <w:szCs w:val="22"/>
              </w:rPr>
              <w:t>T</w:t>
            </w:r>
            <w:r w:rsidR="002C2DB4" w:rsidRPr="00AC1BD2">
              <w:rPr>
                <w:rFonts w:cs="Arial"/>
                <w:szCs w:val="22"/>
              </w:rPr>
              <w:t xml:space="preserve">ransmis </w:t>
            </w:r>
            <w:r w:rsidR="002C2DB4" w:rsidRPr="00AC1BD2">
              <w:rPr>
                <w:rFonts w:cs="Arial"/>
                <w:b/>
                <w:szCs w:val="22"/>
              </w:rPr>
              <w:t>entre générations</w:t>
            </w:r>
            <w:r w:rsidR="002C2DB4" w:rsidRPr="00AC1BD2">
              <w:rPr>
                <w:rFonts w:cs="Arial"/>
                <w:szCs w:val="22"/>
              </w:rPr>
              <w:t xml:space="preserve"> ou de génération en génération, que ce soit ou non de manière consécutive</w:t>
            </w:r>
          </w:p>
        </w:tc>
        <w:tc>
          <w:tcPr>
            <w:tcW w:w="1196" w:type="dxa"/>
            <w:shd w:val="clear" w:color="auto" w:fill="auto"/>
          </w:tcPr>
          <w:p w14:paraId="5E656A87" w14:textId="07D4A71E" w:rsidR="00F806CC" w:rsidRPr="00AC1BD2" w:rsidRDefault="002C2DB4" w:rsidP="00243A34">
            <w:pPr>
              <w:tabs>
                <w:tab w:val="left" w:pos="567"/>
              </w:tabs>
              <w:rPr>
                <w:rFonts w:cs="Arial"/>
                <w:szCs w:val="22"/>
              </w:rPr>
            </w:pPr>
            <w:r w:rsidRPr="00AC1BD2">
              <w:rPr>
                <w:rFonts w:cs="Arial"/>
                <w:szCs w:val="22"/>
              </w:rPr>
              <w:t xml:space="preserve">Définition des </w:t>
            </w:r>
            <w:r w:rsidR="00C50B8A" w:rsidRPr="00AC1BD2">
              <w:rPr>
                <w:rFonts w:cs="Arial"/>
                <w:szCs w:val="22"/>
              </w:rPr>
              <w:t xml:space="preserve">savoirs traditionnels </w:t>
            </w:r>
            <w:r w:rsidRPr="00AC1BD2">
              <w:rPr>
                <w:rFonts w:cs="Arial"/>
                <w:szCs w:val="22"/>
              </w:rPr>
              <w:t>identique à celle de la variante</w:t>
            </w:r>
            <w:r w:rsidR="00BD0A6E" w:rsidRPr="00AC1BD2">
              <w:rPr>
                <w:rFonts w:cs="Arial"/>
                <w:szCs w:val="22"/>
              </w:rPr>
              <w:t> </w:t>
            </w:r>
            <w:r w:rsidRPr="00AC1BD2">
              <w:rPr>
                <w:rFonts w:cs="Arial"/>
                <w:szCs w:val="22"/>
              </w:rPr>
              <w:t>1</w:t>
            </w:r>
          </w:p>
        </w:tc>
        <w:tc>
          <w:tcPr>
            <w:tcW w:w="1491" w:type="dxa"/>
            <w:shd w:val="clear" w:color="auto" w:fill="auto"/>
          </w:tcPr>
          <w:p w14:paraId="73B4AF02" w14:textId="77777777" w:rsidR="00F806CC" w:rsidRPr="00AC1BD2" w:rsidRDefault="00F806CC" w:rsidP="00243A34">
            <w:pPr>
              <w:tabs>
                <w:tab w:val="left" w:pos="567"/>
              </w:tabs>
              <w:rPr>
                <w:rFonts w:cs="Arial"/>
                <w:szCs w:val="22"/>
              </w:rPr>
            </w:pPr>
          </w:p>
        </w:tc>
        <w:tc>
          <w:tcPr>
            <w:tcW w:w="1678" w:type="dxa"/>
            <w:shd w:val="clear" w:color="auto" w:fill="auto"/>
          </w:tcPr>
          <w:p w14:paraId="75AAC421" w14:textId="77777777" w:rsidR="00F806CC" w:rsidRPr="00AC1BD2" w:rsidRDefault="00F806CC" w:rsidP="00243A34">
            <w:pPr>
              <w:tabs>
                <w:tab w:val="left" w:pos="567"/>
              </w:tabs>
              <w:rPr>
                <w:rFonts w:cs="Arial"/>
                <w:szCs w:val="22"/>
              </w:rPr>
            </w:pPr>
          </w:p>
        </w:tc>
      </w:tr>
      <w:tr w:rsidR="00AC1BD2" w:rsidRPr="00AC1BD2" w14:paraId="7E35CCBA" w14:textId="77777777" w:rsidTr="007B5C43">
        <w:trPr>
          <w:cantSplit/>
        </w:trPr>
        <w:tc>
          <w:tcPr>
            <w:tcW w:w="1120" w:type="dxa"/>
            <w:shd w:val="clear" w:color="auto" w:fill="auto"/>
          </w:tcPr>
          <w:p w14:paraId="48D79F61" w14:textId="6C1215F3" w:rsidR="002C2DB4" w:rsidRPr="00AC1BD2" w:rsidRDefault="002C2DB4" w:rsidP="00243A34">
            <w:pPr>
              <w:tabs>
                <w:tab w:val="left" w:pos="567"/>
              </w:tabs>
              <w:rPr>
                <w:rFonts w:cs="Arial"/>
                <w:szCs w:val="22"/>
              </w:rPr>
            </w:pPr>
            <w:r w:rsidRPr="00AC1BD2">
              <w:rPr>
                <w:rFonts w:cs="Arial"/>
                <w:szCs w:val="22"/>
              </w:rPr>
              <w:t>Variante</w:t>
            </w:r>
            <w:r w:rsidR="00BD0A6E" w:rsidRPr="00AC1BD2">
              <w:rPr>
                <w:rFonts w:cs="Arial"/>
                <w:szCs w:val="22"/>
              </w:rPr>
              <w:t> </w:t>
            </w:r>
            <w:r w:rsidRPr="00AC1BD2">
              <w:rPr>
                <w:rFonts w:cs="Arial"/>
                <w:szCs w:val="22"/>
              </w:rPr>
              <w:t>3</w:t>
            </w:r>
          </w:p>
        </w:tc>
        <w:tc>
          <w:tcPr>
            <w:tcW w:w="1282" w:type="dxa"/>
            <w:shd w:val="clear" w:color="auto" w:fill="auto"/>
          </w:tcPr>
          <w:p w14:paraId="130A2FE5" w14:textId="58F1997E" w:rsidR="002C2DB4" w:rsidRPr="00AC1BD2" w:rsidRDefault="00BA34E3" w:rsidP="00243A34">
            <w:pPr>
              <w:tabs>
                <w:tab w:val="left" w:pos="567"/>
              </w:tabs>
              <w:rPr>
                <w:rFonts w:cs="Arial"/>
                <w:szCs w:val="22"/>
              </w:rPr>
            </w:pPr>
            <w:r>
              <w:rPr>
                <w:rFonts w:cs="Arial"/>
                <w:szCs w:val="22"/>
              </w:rPr>
              <w:t>C</w:t>
            </w:r>
            <w:r w:rsidR="002C2DB4" w:rsidRPr="00AC1BD2">
              <w:rPr>
                <w:rFonts w:cs="Arial"/>
                <w:szCs w:val="22"/>
              </w:rPr>
              <w:t xml:space="preserve">réés, préservés et développés par des peuples autochtones, des communautés locales et des nations/États, </w:t>
            </w:r>
            <w:r w:rsidR="002C2DB4" w:rsidRPr="00AC1BD2">
              <w:rPr>
                <w:rFonts w:cs="Arial"/>
                <w:b/>
                <w:szCs w:val="22"/>
              </w:rPr>
              <w:t>qu</w:t>
            </w:r>
            <w:r w:rsidR="00025CB1" w:rsidRPr="00AC1BD2">
              <w:rPr>
                <w:rFonts w:cs="Arial"/>
                <w:b/>
                <w:szCs w:val="22"/>
              </w:rPr>
              <w:t>’</w:t>
            </w:r>
            <w:r w:rsidR="002C2DB4" w:rsidRPr="00AC1BD2">
              <w:rPr>
                <w:rFonts w:cs="Arial"/>
                <w:b/>
                <w:szCs w:val="22"/>
              </w:rPr>
              <w:t>ils soient ou non largement diffusés</w:t>
            </w:r>
          </w:p>
        </w:tc>
        <w:tc>
          <w:tcPr>
            <w:tcW w:w="1323" w:type="dxa"/>
            <w:shd w:val="clear" w:color="auto" w:fill="auto"/>
          </w:tcPr>
          <w:p w14:paraId="08DC2E00" w14:textId="07413B22" w:rsidR="002C2DB4" w:rsidRPr="00AC1BD2" w:rsidRDefault="00BA34E3" w:rsidP="00243A34">
            <w:pPr>
              <w:tabs>
                <w:tab w:val="left" w:pos="567"/>
              </w:tabs>
              <w:rPr>
                <w:rFonts w:cs="Arial"/>
                <w:szCs w:val="22"/>
              </w:rPr>
            </w:pPr>
            <w:r>
              <w:rPr>
                <w:rFonts w:cs="Arial"/>
                <w:szCs w:val="22"/>
              </w:rPr>
              <w:t>Q</w:t>
            </w:r>
            <w:r w:rsidR="002C2DB4" w:rsidRPr="00AC1BD2">
              <w:rPr>
                <w:rFonts w:cs="Arial"/>
                <w:szCs w:val="22"/>
              </w:rPr>
              <w:t>ui sont directement liés à l</w:t>
            </w:r>
            <w:r w:rsidR="00025CB1" w:rsidRPr="00AC1BD2">
              <w:rPr>
                <w:rFonts w:cs="Arial"/>
                <w:szCs w:val="22"/>
              </w:rPr>
              <w:t>’</w:t>
            </w:r>
            <w:r w:rsidR="002C2DB4" w:rsidRPr="00AC1BD2">
              <w:rPr>
                <w:rFonts w:cs="Arial"/>
                <w:szCs w:val="22"/>
              </w:rPr>
              <w:t>identité sociale et/ou au p</w:t>
            </w:r>
            <w:r w:rsidR="00EF24BB" w:rsidRPr="00AC1BD2">
              <w:rPr>
                <w:rFonts w:cs="Arial"/>
                <w:szCs w:val="22"/>
              </w:rPr>
              <w:t>atrimoine culturel des peuples</w:t>
            </w:r>
            <w:r w:rsidR="002C2DB4" w:rsidRPr="00AC1BD2">
              <w:rPr>
                <w:rFonts w:cs="Arial"/>
                <w:szCs w:val="22"/>
              </w:rPr>
              <w:t xml:space="preserve"> autochtones et des communautés locales, ou qui en font partie intégrante</w:t>
            </w:r>
          </w:p>
        </w:tc>
        <w:tc>
          <w:tcPr>
            <w:tcW w:w="1170" w:type="dxa"/>
            <w:shd w:val="clear" w:color="auto" w:fill="auto"/>
          </w:tcPr>
          <w:p w14:paraId="01DD6642" w14:textId="6A0033C3" w:rsidR="002C2DB4" w:rsidRPr="00AC1BD2" w:rsidRDefault="002C2DB4" w:rsidP="00243A34">
            <w:pPr>
              <w:tabs>
                <w:tab w:val="left" w:pos="567"/>
              </w:tabs>
              <w:rPr>
                <w:rFonts w:cs="Arial"/>
                <w:szCs w:val="22"/>
              </w:rPr>
            </w:pPr>
            <w:r w:rsidRPr="00AC1BD2">
              <w:rPr>
                <w:rFonts w:cs="Arial"/>
                <w:szCs w:val="22"/>
              </w:rPr>
              <w:t xml:space="preserve">Définition des </w:t>
            </w:r>
            <w:r w:rsidR="00C50B8A" w:rsidRPr="00AC1BD2">
              <w:rPr>
                <w:rFonts w:cs="Arial"/>
                <w:szCs w:val="22"/>
              </w:rPr>
              <w:t xml:space="preserve">savoirs traditionnels </w:t>
            </w:r>
            <w:r w:rsidRPr="00AC1BD2">
              <w:rPr>
                <w:rFonts w:cs="Arial"/>
                <w:szCs w:val="22"/>
              </w:rPr>
              <w:t>identique à celle de la variante</w:t>
            </w:r>
            <w:r w:rsidR="00BD0A6E" w:rsidRPr="00AC1BD2">
              <w:rPr>
                <w:rFonts w:cs="Arial"/>
                <w:szCs w:val="22"/>
              </w:rPr>
              <w:t> </w:t>
            </w:r>
            <w:r w:rsidRPr="00AC1BD2">
              <w:rPr>
                <w:rFonts w:cs="Arial"/>
                <w:szCs w:val="22"/>
              </w:rPr>
              <w:t>2</w:t>
            </w:r>
          </w:p>
        </w:tc>
        <w:tc>
          <w:tcPr>
            <w:tcW w:w="1196" w:type="dxa"/>
            <w:shd w:val="clear" w:color="auto" w:fill="auto"/>
          </w:tcPr>
          <w:p w14:paraId="25A8A48E" w14:textId="24CEBA0D" w:rsidR="002C2DB4" w:rsidRPr="00AC1BD2" w:rsidRDefault="002C2DB4" w:rsidP="00243A34">
            <w:pPr>
              <w:tabs>
                <w:tab w:val="left" w:pos="567"/>
              </w:tabs>
              <w:rPr>
                <w:rFonts w:cs="Arial"/>
                <w:szCs w:val="22"/>
              </w:rPr>
            </w:pPr>
            <w:r w:rsidRPr="00AC1BD2">
              <w:rPr>
                <w:rFonts w:cs="Arial"/>
                <w:szCs w:val="22"/>
              </w:rPr>
              <w:t xml:space="preserve">Définition des </w:t>
            </w:r>
            <w:r w:rsidR="00C50B8A" w:rsidRPr="00AC1BD2">
              <w:rPr>
                <w:rFonts w:cs="Arial"/>
                <w:szCs w:val="22"/>
              </w:rPr>
              <w:t xml:space="preserve">savoirs traditionnels </w:t>
            </w:r>
            <w:r w:rsidRPr="00AC1BD2">
              <w:rPr>
                <w:rFonts w:cs="Arial"/>
                <w:szCs w:val="22"/>
              </w:rPr>
              <w:t>identique à celle de la variante</w:t>
            </w:r>
            <w:r w:rsidR="00BD0A6E" w:rsidRPr="00AC1BD2">
              <w:rPr>
                <w:rFonts w:cs="Arial"/>
                <w:szCs w:val="22"/>
              </w:rPr>
              <w:t> </w:t>
            </w:r>
            <w:r w:rsidRPr="00AC1BD2">
              <w:rPr>
                <w:rFonts w:cs="Arial"/>
                <w:szCs w:val="22"/>
              </w:rPr>
              <w:t>1</w:t>
            </w:r>
          </w:p>
        </w:tc>
        <w:tc>
          <w:tcPr>
            <w:tcW w:w="1491" w:type="dxa"/>
            <w:shd w:val="clear" w:color="auto" w:fill="auto"/>
          </w:tcPr>
          <w:p w14:paraId="51BDA65E" w14:textId="68C3880C" w:rsidR="002C2DB4" w:rsidRPr="00AC1BD2" w:rsidRDefault="002C2DB4" w:rsidP="00243A34">
            <w:pPr>
              <w:tabs>
                <w:tab w:val="left" w:pos="567"/>
              </w:tabs>
              <w:rPr>
                <w:rFonts w:cs="Arial"/>
                <w:szCs w:val="22"/>
              </w:rPr>
            </w:pPr>
            <w:r w:rsidRPr="00AC1BD2">
              <w:rPr>
                <w:rFonts w:cs="Arial"/>
                <w:szCs w:val="22"/>
              </w:rPr>
              <w:t xml:space="preserve">Définition des </w:t>
            </w:r>
            <w:r w:rsidR="00C50B8A" w:rsidRPr="00AC1BD2">
              <w:rPr>
                <w:rFonts w:cs="Arial"/>
                <w:szCs w:val="22"/>
              </w:rPr>
              <w:t xml:space="preserve">savoirs traditionnels </w:t>
            </w:r>
            <w:r w:rsidRPr="00AC1BD2">
              <w:rPr>
                <w:rFonts w:cs="Arial"/>
                <w:szCs w:val="22"/>
              </w:rPr>
              <w:t>identique à celle de la variante</w:t>
            </w:r>
            <w:r w:rsidR="00BD0A6E" w:rsidRPr="00AC1BD2">
              <w:rPr>
                <w:rFonts w:cs="Arial"/>
                <w:szCs w:val="22"/>
              </w:rPr>
              <w:t> </w:t>
            </w:r>
            <w:r w:rsidRPr="00AC1BD2">
              <w:rPr>
                <w:rFonts w:cs="Arial"/>
                <w:szCs w:val="22"/>
              </w:rPr>
              <w:t>1</w:t>
            </w:r>
          </w:p>
        </w:tc>
        <w:tc>
          <w:tcPr>
            <w:tcW w:w="1678" w:type="dxa"/>
            <w:shd w:val="clear" w:color="auto" w:fill="auto"/>
          </w:tcPr>
          <w:p w14:paraId="73A43944" w14:textId="1DCFC58A" w:rsidR="002C2DB4" w:rsidRPr="00AC1BD2" w:rsidRDefault="002C2DB4" w:rsidP="00243A34">
            <w:pPr>
              <w:tabs>
                <w:tab w:val="left" w:pos="567"/>
              </w:tabs>
              <w:rPr>
                <w:rFonts w:cs="Arial"/>
                <w:szCs w:val="22"/>
              </w:rPr>
            </w:pPr>
            <w:r w:rsidRPr="00AC1BD2">
              <w:rPr>
                <w:rFonts w:cs="Arial"/>
                <w:szCs w:val="22"/>
              </w:rPr>
              <w:t>Peuvent être associés, en particulier, aux connaissances agricoles, environnementales et sanitaires et aux connaissances médicales autochtones et traditionnelles, à la biodiversité, à des modes de vie traditionnels et aux ressources naturelles et génétiques, ainsi qu</w:t>
            </w:r>
            <w:r w:rsidR="00025CB1" w:rsidRPr="00AC1BD2">
              <w:rPr>
                <w:rFonts w:cs="Arial"/>
                <w:szCs w:val="22"/>
              </w:rPr>
              <w:t>’</w:t>
            </w:r>
            <w:r w:rsidRPr="00AC1BD2">
              <w:rPr>
                <w:rFonts w:cs="Arial"/>
                <w:szCs w:val="22"/>
              </w:rPr>
              <w:t>au savoir</w:t>
            </w:r>
            <w:r w:rsidR="00243A34" w:rsidRPr="00AC1BD2">
              <w:rPr>
                <w:rFonts w:cs="Arial"/>
                <w:szCs w:val="22"/>
              </w:rPr>
              <w:noBreakHyphen/>
            </w:r>
            <w:r w:rsidRPr="00AC1BD2">
              <w:rPr>
                <w:rFonts w:cs="Arial"/>
                <w:szCs w:val="22"/>
              </w:rPr>
              <w:t>faire lié à l</w:t>
            </w:r>
            <w:r w:rsidR="00025CB1" w:rsidRPr="00AC1BD2">
              <w:rPr>
                <w:rFonts w:cs="Arial"/>
                <w:szCs w:val="22"/>
              </w:rPr>
              <w:t>’</w:t>
            </w:r>
            <w:r w:rsidRPr="00AC1BD2">
              <w:rPr>
                <w:rFonts w:cs="Arial"/>
                <w:szCs w:val="22"/>
              </w:rPr>
              <w:t>architecture traditionnelle et aux techniques de construction traditionnelles.</w:t>
            </w:r>
          </w:p>
        </w:tc>
      </w:tr>
      <w:tr w:rsidR="00AC1BD2" w:rsidRPr="00AC1BD2" w14:paraId="62312F3E" w14:textId="77777777" w:rsidTr="007B5C43">
        <w:trPr>
          <w:cantSplit/>
        </w:trPr>
        <w:tc>
          <w:tcPr>
            <w:tcW w:w="1120" w:type="dxa"/>
            <w:shd w:val="clear" w:color="auto" w:fill="auto"/>
          </w:tcPr>
          <w:p w14:paraId="70FBF27B" w14:textId="33BE8C42" w:rsidR="00F806CC" w:rsidRPr="00AC1BD2" w:rsidRDefault="00A051A3" w:rsidP="00243A34">
            <w:pPr>
              <w:tabs>
                <w:tab w:val="left" w:pos="567"/>
              </w:tabs>
              <w:rPr>
                <w:rFonts w:cs="Arial"/>
                <w:szCs w:val="22"/>
              </w:rPr>
            </w:pPr>
            <w:r w:rsidRPr="00AC1BD2">
              <w:rPr>
                <w:rFonts w:cs="Arial"/>
                <w:szCs w:val="22"/>
              </w:rPr>
              <w:t>Variante</w:t>
            </w:r>
            <w:r w:rsidR="00BD0A6E" w:rsidRPr="00AC1BD2">
              <w:rPr>
                <w:rFonts w:cs="Arial"/>
                <w:szCs w:val="22"/>
              </w:rPr>
              <w:t> </w:t>
            </w:r>
            <w:r w:rsidR="00F806CC" w:rsidRPr="00AC1BD2">
              <w:rPr>
                <w:rFonts w:cs="Arial"/>
                <w:szCs w:val="22"/>
              </w:rPr>
              <w:t>4</w:t>
            </w:r>
          </w:p>
        </w:tc>
        <w:tc>
          <w:tcPr>
            <w:tcW w:w="1282" w:type="dxa"/>
            <w:shd w:val="clear" w:color="auto" w:fill="auto"/>
          </w:tcPr>
          <w:p w14:paraId="0C923CB7" w14:textId="72DF5BF4" w:rsidR="00F806CC" w:rsidRPr="00AC1BD2" w:rsidRDefault="00BA34E3" w:rsidP="00243A34">
            <w:pPr>
              <w:tabs>
                <w:tab w:val="left" w:pos="567"/>
              </w:tabs>
              <w:rPr>
                <w:rFonts w:cs="Arial"/>
                <w:szCs w:val="22"/>
              </w:rPr>
            </w:pPr>
            <w:r>
              <w:rPr>
                <w:rFonts w:cs="Arial"/>
                <w:szCs w:val="22"/>
              </w:rPr>
              <w:t>C</w:t>
            </w:r>
            <w:r w:rsidR="002C2DB4" w:rsidRPr="00AC1BD2">
              <w:rPr>
                <w:rFonts w:cs="Arial"/>
                <w:szCs w:val="22"/>
              </w:rPr>
              <w:t>réés, générés, développés</w:t>
            </w:r>
            <w:r w:rsidR="00C304F4" w:rsidRPr="00AC1BD2">
              <w:rPr>
                <w:rFonts w:cs="Arial"/>
                <w:szCs w:val="22"/>
              </w:rPr>
              <w:t>,</w:t>
            </w:r>
            <w:r w:rsidR="002C2DB4" w:rsidRPr="00AC1BD2">
              <w:rPr>
                <w:rFonts w:cs="Arial"/>
                <w:szCs w:val="22"/>
              </w:rPr>
              <w:t xml:space="preserve"> préservés </w:t>
            </w:r>
            <w:r w:rsidR="002C2DB4" w:rsidRPr="00AC1BD2">
              <w:rPr>
                <w:rFonts w:cs="Arial"/>
                <w:b/>
                <w:szCs w:val="22"/>
              </w:rPr>
              <w:t xml:space="preserve">et partagés </w:t>
            </w:r>
            <w:r w:rsidR="00562802" w:rsidRPr="00AC1BD2">
              <w:rPr>
                <w:rFonts w:cs="Arial"/>
                <w:b/>
                <w:szCs w:val="22"/>
              </w:rPr>
              <w:t>dans un contexte collectif</w:t>
            </w:r>
            <w:r w:rsidR="002C2DB4" w:rsidRPr="00AC1BD2">
              <w:rPr>
                <w:rFonts w:cs="Arial"/>
                <w:szCs w:val="22"/>
              </w:rPr>
              <w:t xml:space="preserve"> </w:t>
            </w:r>
          </w:p>
        </w:tc>
        <w:tc>
          <w:tcPr>
            <w:tcW w:w="1323" w:type="dxa"/>
            <w:shd w:val="clear" w:color="auto" w:fill="auto"/>
          </w:tcPr>
          <w:p w14:paraId="612FFED6" w14:textId="54163379" w:rsidR="00562802" w:rsidRPr="00AC1BD2" w:rsidRDefault="00BA34E3" w:rsidP="00243A34">
            <w:pPr>
              <w:tabs>
                <w:tab w:val="left" w:pos="567"/>
              </w:tabs>
              <w:rPr>
                <w:rFonts w:cs="Arial"/>
                <w:szCs w:val="22"/>
              </w:rPr>
            </w:pPr>
            <w:r>
              <w:rPr>
                <w:rFonts w:cs="Arial"/>
                <w:b/>
                <w:szCs w:val="22"/>
              </w:rPr>
              <w:t>D</w:t>
            </w:r>
            <w:r w:rsidR="00562802" w:rsidRPr="00AC1BD2">
              <w:rPr>
                <w:rFonts w:cs="Arial"/>
                <w:b/>
                <w:szCs w:val="22"/>
              </w:rPr>
              <w:t>istinctement associés</w:t>
            </w:r>
            <w:r w:rsidR="00562802" w:rsidRPr="00AC1BD2">
              <w:rPr>
                <w:rFonts w:cs="Arial"/>
                <w:szCs w:val="22"/>
              </w:rPr>
              <w:t xml:space="preserve"> au patrimoine culturel des bénéficiaires</w:t>
            </w:r>
          </w:p>
        </w:tc>
        <w:tc>
          <w:tcPr>
            <w:tcW w:w="1170" w:type="dxa"/>
            <w:shd w:val="clear" w:color="auto" w:fill="auto"/>
          </w:tcPr>
          <w:p w14:paraId="09504717" w14:textId="06FCC42E" w:rsidR="00F806CC" w:rsidRPr="00AC1BD2" w:rsidRDefault="00BA34E3" w:rsidP="00243A34">
            <w:pPr>
              <w:tabs>
                <w:tab w:val="left" w:pos="567"/>
              </w:tabs>
              <w:rPr>
                <w:rFonts w:cs="Arial"/>
                <w:szCs w:val="22"/>
              </w:rPr>
            </w:pPr>
            <w:r>
              <w:rPr>
                <w:rFonts w:cs="Arial"/>
                <w:szCs w:val="22"/>
              </w:rPr>
              <w:t>T</w:t>
            </w:r>
            <w:r w:rsidR="00F806CC" w:rsidRPr="00AC1BD2">
              <w:rPr>
                <w:rFonts w:cs="Arial"/>
                <w:szCs w:val="22"/>
              </w:rPr>
              <w:t>ransmi</w:t>
            </w:r>
            <w:r w:rsidR="00562802" w:rsidRPr="00AC1BD2">
              <w:rPr>
                <w:rFonts w:cs="Arial"/>
                <w:szCs w:val="22"/>
              </w:rPr>
              <w:t xml:space="preserve">s de génération en génération </w:t>
            </w:r>
            <w:r w:rsidR="00562802" w:rsidRPr="00AC1BD2">
              <w:rPr>
                <w:rFonts w:cs="Arial"/>
                <w:b/>
                <w:szCs w:val="22"/>
              </w:rPr>
              <w:t>pendant une durée qui est déterminée par chaque État membre mais qui ne peut être inférieure à 50</w:t>
            </w:r>
            <w:r w:rsidR="00BD0A6E" w:rsidRPr="00AC1BD2">
              <w:rPr>
                <w:rFonts w:cs="Arial"/>
                <w:b/>
                <w:szCs w:val="22"/>
              </w:rPr>
              <w:t> </w:t>
            </w:r>
            <w:r w:rsidR="00562802" w:rsidRPr="00AC1BD2">
              <w:rPr>
                <w:rFonts w:cs="Arial"/>
                <w:b/>
                <w:szCs w:val="22"/>
              </w:rPr>
              <w:t>ans</w:t>
            </w:r>
          </w:p>
        </w:tc>
        <w:tc>
          <w:tcPr>
            <w:tcW w:w="1196" w:type="dxa"/>
            <w:shd w:val="clear" w:color="auto" w:fill="auto"/>
          </w:tcPr>
          <w:p w14:paraId="67C3EDAF" w14:textId="77777777" w:rsidR="00F806CC" w:rsidRPr="00AC1BD2" w:rsidRDefault="00F806CC" w:rsidP="00243A34">
            <w:pPr>
              <w:tabs>
                <w:tab w:val="left" w:pos="567"/>
              </w:tabs>
              <w:rPr>
                <w:rFonts w:cs="Arial"/>
                <w:szCs w:val="22"/>
              </w:rPr>
            </w:pPr>
          </w:p>
        </w:tc>
        <w:tc>
          <w:tcPr>
            <w:tcW w:w="1491" w:type="dxa"/>
            <w:shd w:val="clear" w:color="auto" w:fill="auto"/>
          </w:tcPr>
          <w:p w14:paraId="6282327B" w14:textId="77777777" w:rsidR="00F806CC" w:rsidRPr="00AC1BD2" w:rsidRDefault="00F806CC" w:rsidP="00243A34">
            <w:pPr>
              <w:tabs>
                <w:tab w:val="left" w:pos="567"/>
              </w:tabs>
              <w:rPr>
                <w:rFonts w:cs="Arial"/>
                <w:szCs w:val="22"/>
              </w:rPr>
            </w:pPr>
          </w:p>
        </w:tc>
        <w:tc>
          <w:tcPr>
            <w:tcW w:w="1678" w:type="dxa"/>
            <w:shd w:val="clear" w:color="auto" w:fill="auto"/>
          </w:tcPr>
          <w:p w14:paraId="37D785B5" w14:textId="77777777" w:rsidR="00F806CC" w:rsidRPr="00AC1BD2" w:rsidRDefault="00F806CC" w:rsidP="00243A34">
            <w:pPr>
              <w:tabs>
                <w:tab w:val="left" w:pos="567"/>
              </w:tabs>
              <w:rPr>
                <w:rFonts w:cs="Arial"/>
                <w:szCs w:val="22"/>
              </w:rPr>
            </w:pPr>
          </w:p>
        </w:tc>
      </w:tr>
    </w:tbl>
    <w:p w14:paraId="3F71941C" w14:textId="77777777" w:rsidR="0039715D" w:rsidRPr="00AC1BD2" w:rsidRDefault="0039715D" w:rsidP="00243A34">
      <w:pPr>
        <w:tabs>
          <w:tab w:val="left" w:pos="567"/>
        </w:tabs>
        <w:rPr>
          <w:rFonts w:cs="Arial"/>
          <w:szCs w:val="22"/>
        </w:rPr>
      </w:pPr>
    </w:p>
    <w:p w14:paraId="46476A97" w14:textId="77777777" w:rsidR="00BD0A6E" w:rsidRPr="00AC1BD2" w:rsidRDefault="00BD0A6E" w:rsidP="00243A34">
      <w:pPr>
        <w:tabs>
          <w:tab w:val="left" w:pos="567"/>
        </w:tabs>
        <w:rPr>
          <w:rFonts w:cs="Arial"/>
          <w:szCs w:val="22"/>
        </w:rPr>
        <w:sectPr w:rsidR="00BD0A6E" w:rsidRPr="00AC1BD2" w:rsidSect="00BD0A6E">
          <w:pgSz w:w="16834" w:h="11909" w:orient="landscape" w:code="9"/>
          <w:pgMar w:top="1440" w:right="1440" w:bottom="1199" w:left="1440" w:header="720" w:footer="720" w:gutter="0"/>
          <w:cols w:space="720"/>
          <w:docGrid w:linePitch="360"/>
        </w:sectPr>
      </w:pPr>
    </w:p>
    <w:p w14:paraId="3B85BF47" w14:textId="42B1A080" w:rsidR="00741D75" w:rsidRPr="00AC1BD2" w:rsidRDefault="00741D75" w:rsidP="00C37157">
      <w:pPr>
        <w:pStyle w:val="ONUMFS"/>
      </w:pPr>
      <w:r w:rsidRPr="00AC1BD2">
        <w:t xml:space="preserve">Comme indiqué précédemment, une définition des savoirs traditionnels </w:t>
      </w:r>
      <w:r w:rsidRPr="00AC1BD2">
        <w:sym w:font="Symbol" w:char="F028"/>
      </w:r>
      <w:r w:rsidRPr="00AC1BD2">
        <w:t>avec deux</w:t>
      </w:r>
      <w:r w:rsidR="00197E51" w:rsidRPr="00AC1BD2">
        <w:t> </w:t>
      </w:r>
      <w:r w:rsidRPr="00AC1BD2">
        <w:t xml:space="preserve">variantes) figure aussi dans le chapitre </w:t>
      </w:r>
      <w:r w:rsidR="006A37B6" w:rsidRPr="00AC1BD2">
        <w:t>“</w:t>
      </w:r>
      <w:r w:rsidRPr="00AC1BD2">
        <w:t>Utilisation des termes</w:t>
      </w:r>
      <w:r w:rsidR="00EF24BB" w:rsidRPr="00AC1BD2">
        <w:t>”</w:t>
      </w:r>
      <w:r w:rsidR="00872695" w:rsidRPr="00AC1BD2">
        <w:t xml:space="preserve">.  </w:t>
      </w:r>
      <w:r w:rsidRPr="00AC1BD2">
        <w:t xml:space="preserve">Ainsi que </w:t>
      </w:r>
      <w:proofErr w:type="gramStart"/>
      <w:r w:rsidRPr="00AC1BD2">
        <w:t>le</w:t>
      </w:r>
      <w:proofErr w:type="gramEnd"/>
      <w:r w:rsidRPr="00AC1BD2">
        <w:t xml:space="preserve"> montre le tableau, ces définitions reprennent certains éléments des variantes</w:t>
      </w:r>
      <w:r w:rsidR="00BD0A6E" w:rsidRPr="00AC1BD2">
        <w:t> </w:t>
      </w:r>
      <w:r w:rsidRPr="00AC1BD2">
        <w:t>2, 3 et</w:t>
      </w:r>
      <w:r w:rsidR="00243A34" w:rsidRPr="00AC1BD2">
        <w:t> </w:t>
      </w:r>
      <w:r w:rsidRPr="00AC1BD2">
        <w:t>4</w:t>
      </w:r>
      <w:r w:rsidR="00872695" w:rsidRPr="00AC1BD2">
        <w:t xml:space="preserve">.  </w:t>
      </w:r>
      <w:r w:rsidRPr="00AC1BD2">
        <w:t>Il convient aussi d</w:t>
      </w:r>
      <w:r w:rsidR="00025CB1" w:rsidRPr="00AC1BD2">
        <w:t>’</w:t>
      </w:r>
      <w:r w:rsidRPr="00AC1BD2">
        <w:t>examiner à quel endroit il vaut mieux placer la définition/description des savoirs traditionnels/critères à remplir afin d</w:t>
      </w:r>
      <w:r w:rsidR="00025CB1" w:rsidRPr="00AC1BD2">
        <w:t>’</w:t>
      </w:r>
      <w:r w:rsidRPr="00AC1BD2">
        <w:t>éviter toute répétition.</w:t>
      </w:r>
    </w:p>
    <w:p w14:paraId="16C7A284" w14:textId="1760E4D5" w:rsidR="004D6695" w:rsidRPr="00AC1BD2" w:rsidRDefault="004D6695" w:rsidP="00C37157">
      <w:pPr>
        <w:pStyle w:val="ONUMFS"/>
      </w:pPr>
      <w:r w:rsidRPr="00AC1BD2">
        <w:t>Il serait peut</w:t>
      </w:r>
      <w:r w:rsidR="00243A34" w:rsidRPr="00AC1BD2">
        <w:noBreakHyphen/>
      </w:r>
      <w:r w:rsidRPr="00AC1BD2">
        <w:t>être utile de clarifier la définition ou la description des</w:t>
      </w:r>
      <w:r w:rsidR="00A61F49" w:rsidRPr="00AC1BD2">
        <w:t xml:space="preserve"> </w:t>
      </w:r>
      <w:r w:rsidR="00741D75" w:rsidRPr="00AC1BD2">
        <w:t>savoirs traditionnels</w:t>
      </w:r>
      <w:r w:rsidR="00966F65" w:rsidRPr="00AC1BD2">
        <w:t xml:space="preserve"> </w:t>
      </w:r>
      <w:r w:rsidRPr="00AC1BD2">
        <w:t>en général</w:t>
      </w:r>
      <w:r w:rsidR="00572C85" w:rsidRPr="00AC1BD2">
        <w:t xml:space="preserve">, </w:t>
      </w:r>
      <w:r w:rsidRPr="00AC1BD2">
        <w:t>d</w:t>
      </w:r>
      <w:r w:rsidR="00025CB1" w:rsidRPr="00AC1BD2">
        <w:t>’</w:t>
      </w:r>
      <w:r w:rsidRPr="00AC1BD2">
        <w:t>une part, et celles des critères de protection applicables, d</w:t>
      </w:r>
      <w:r w:rsidR="00025CB1" w:rsidRPr="00AC1BD2">
        <w:t>’</w:t>
      </w:r>
      <w:r w:rsidRPr="00AC1BD2">
        <w:t>autre pa</w:t>
      </w:r>
      <w:r w:rsidR="00512111" w:rsidRPr="00AC1BD2">
        <w:t>rt.  Il</w:t>
      </w:r>
      <w:r w:rsidRPr="00AC1BD2">
        <w:t xml:space="preserve"> serait peut</w:t>
      </w:r>
      <w:r w:rsidR="00243A34" w:rsidRPr="00AC1BD2">
        <w:noBreakHyphen/>
      </w:r>
      <w:r w:rsidRPr="00AC1BD2">
        <w:t>être utile de rappeler que, dans le système de propriété intellectuelle, on distingue souvent les créations ou inventions au sens général, d</w:t>
      </w:r>
      <w:r w:rsidR="00025CB1" w:rsidRPr="00AC1BD2">
        <w:t>’</w:t>
      </w:r>
      <w:r w:rsidRPr="00AC1BD2">
        <w:t>une part, et les créations et inventions pouvant</w:t>
      </w:r>
      <w:r w:rsidR="002035D0" w:rsidRPr="00AC1BD2">
        <w:t xml:space="preserve"> être protégées à l</w:t>
      </w:r>
      <w:r w:rsidR="00025CB1" w:rsidRPr="00AC1BD2">
        <w:t>’</w:t>
      </w:r>
      <w:r w:rsidR="002035D0" w:rsidRPr="00AC1BD2">
        <w:t>aide du système de propriété intellectuelle, d</w:t>
      </w:r>
      <w:r w:rsidR="00025CB1" w:rsidRPr="00AC1BD2">
        <w:t>’</w:t>
      </w:r>
      <w:r w:rsidR="002035D0" w:rsidRPr="00AC1BD2">
        <w:t>autre part.</w:t>
      </w:r>
    </w:p>
    <w:p w14:paraId="7972A84C" w14:textId="1AD63ADE" w:rsidR="002035D0" w:rsidRPr="00AC1BD2" w:rsidRDefault="002035D0" w:rsidP="00C37157">
      <w:pPr>
        <w:pStyle w:val="ONUMFS"/>
      </w:pPr>
      <w:r w:rsidRPr="00AC1BD2">
        <w:t>Pour clarifier ce point, permettez</w:t>
      </w:r>
      <w:r w:rsidR="00243A34" w:rsidRPr="00AC1BD2">
        <w:noBreakHyphen/>
      </w:r>
      <w:r w:rsidRPr="00AC1BD2">
        <w:t>moi de prendre l</w:t>
      </w:r>
      <w:r w:rsidR="00025CB1" w:rsidRPr="00AC1BD2">
        <w:t>’</w:t>
      </w:r>
      <w:r w:rsidRPr="00AC1BD2">
        <w:t>exemple du système des brevets</w:t>
      </w:r>
      <w:r w:rsidR="00025CB1" w:rsidRPr="00AC1BD2">
        <w:t> </w:t>
      </w:r>
      <w:proofErr w:type="gramStart"/>
      <w:r w:rsidR="00025CB1" w:rsidRPr="00AC1BD2">
        <w:t>:</w:t>
      </w:r>
      <w:r w:rsidRPr="00AC1BD2">
        <w:t xml:space="preserve"> les</w:t>
      </w:r>
      <w:proofErr w:type="gramEnd"/>
      <w:r w:rsidRPr="00AC1BD2">
        <w:t xml:space="preserve"> législations relatives aux brevets ne contiennent pas nécessairement une définition ou une description de ce que l</w:t>
      </w:r>
      <w:r w:rsidR="00025CB1" w:rsidRPr="00AC1BD2">
        <w:t>’</w:t>
      </w:r>
      <w:r w:rsidRPr="00AC1BD2">
        <w:t xml:space="preserve">on entend par </w:t>
      </w:r>
      <w:r w:rsidR="006A37B6" w:rsidRPr="00AC1BD2">
        <w:t>“</w:t>
      </w:r>
      <w:r w:rsidRPr="00AC1BD2">
        <w:t>invention</w:t>
      </w:r>
      <w:r w:rsidR="00EF24BB" w:rsidRPr="00AC1BD2">
        <w:t>”</w:t>
      </w:r>
      <w:r w:rsidR="00872695" w:rsidRPr="00AC1BD2">
        <w:t xml:space="preserve">.  </w:t>
      </w:r>
      <w:r w:rsidRPr="00AC1BD2">
        <w:t xml:space="preserve">En revanche, elles </w:t>
      </w:r>
      <w:r w:rsidR="00B21031" w:rsidRPr="00AC1BD2">
        <w:t xml:space="preserve">précisent quelles sont les inventions brevetables </w:t>
      </w:r>
      <w:r w:rsidR="00B21031" w:rsidRPr="00AC1BD2">
        <w:sym w:font="Symbol" w:char="F028"/>
      </w:r>
      <w:r w:rsidR="00B21031" w:rsidRPr="00AC1BD2">
        <w:t>c</w:t>
      </w:r>
      <w:r w:rsidR="00025CB1" w:rsidRPr="00AC1BD2">
        <w:t>’</w:t>
      </w:r>
      <w:r w:rsidR="00B21031" w:rsidRPr="00AC1BD2">
        <w:t>est</w:t>
      </w:r>
      <w:r w:rsidR="00243A34" w:rsidRPr="00AC1BD2">
        <w:noBreakHyphen/>
      </w:r>
      <w:r w:rsidR="00B21031" w:rsidRPr="00AC1BD2">
        <w:t>à</w:t>
      </w:r>
      <w:r w:rsidR="00243A34" w:rsidRPr="00AC1BD2">
        <w:noBreakHyphen/>
      </w:r>
      <w:r w:rsidR="00B21031" w:rsidRPr="00AC1BD2">
        <w:t>dire celles qui sont nouvelles, impliquent une activité inventive et sont susceptibles d</w:t>
      </w:r>
      <w:r w:rsidR="00025CB1" w:rsidRPr="00AC1BD2">
        <w:t>’</w:t>
      </w:r>
      <w:r w:rsidR="00B21031" w:rsidRPr="00AC1BD2">
        <w:t xml:space="preserve">application industrielle </w:t>
      </w:r>
      <w:r w:rsidR="00B21031" w:rsidRPr="00AC1BD2">
        <w:sym w:font="Symbol" w:char="F028"/>
      </w:r>
      <w:r w:rsidR="00EF24BB" w:rsidRPr="00AC1BD2">
        <w:t>utiles) et remplissent des “</w:t>
      </w:r>
      <w:r w:rsidR="00B21031" w:rsidRPr="00AC1BD2">
        <w:t>critères requis pour bénéficier d</w:t>
      </w:r>
      <w:r w:rsidR="00025CB1" w:rsidRPr="00AC1BD2">
        <w:t>’</w:t>
      </w:r>
      <w:r w:rsidR="00B21031" w:rsidRPr="00AC1BD2">
        <w:t>une protection</w:t>
      </w:r>
      <w:r w:rsidR="00EF24BB" w:rsidRPr="00AC1BD2">
        <w:t>”</w:t>
      </w:r>
      <w:r w:rsidR="00B21031" w:rsidRPr="00AC1BD2">
        <w:t>.</w:t>
      </w:r>
    </w:p>
    <w:p w14:paraId="11392C09" w14:textId="52D30EAB" w:rsidR="00B21031" w:rsidRPr="00AC1BD2" w:rsidRDefault="00B21031" w:rsidP="00C37157">
      <w:pPr>
        <w:pStyle w:val="ONUMFS"/>
      </w:pPr>
      <w:r w:rsidRPr="00AC1BD2">
        <w:t>Un</w:t>
      </w:r>
      <w:r w:rsidR="003D14A4" w:rsidRPr="00AC1BD2">
        <w:t xml:space="preserve"> ex</w:t>
      </w:r>
      <w:r w:rsidRPr="00AC1BD2">
        <w:t>e</w:t>
      </w:r>
      <w:r w:rsidR="003D14A4" w:rsidRPr="00AC1BD2">
        <w:t xml:space="preserve">mple </w:t>
      </w:r>
      <w:r w:rsidRPr="00AC1BD2">
        <w:t>tiré du système du droit d</w:t>
      </w:r>
      <w:r w:rsidR="00025CB1" w:rsidRPr="00AC1BD2">
        <w:t>’</w:t>
      </w:r>
      <w:r w:rsidRPr="00AC1BD2">
        <w:t>auteur pourrait aussi être utile</w:t>
      </w:r>
      <w:r w:rsidR="00025CB1" w:rsidRPr="00AC1BD2">
        <w:t> </w:t>
      </w:r>
      <w:proofErr w:type="gramStart"/>
      <w:r w:rsidR="00025CB1" w:rsidRPr="00AC1BD2">
        <w:t>:</w:t>
      </w:r>
      <w:r w:rsidRPr="00AC1BD2">
        <w:t xml:space="preserve"> la</w:t>
      </w:r>
      <w:proofErr w:type="gramEnd"/>
      <w:r w:rsidRPr="00AC1BD2">
        <w:t xml:space="preserve"> Convention de Berne de</w:t>
      </w:r>
      <w:r w:rsidR="00197E51" w:rsidRPr="00AC1BD2">
        <w:t> </w:t>
      </w:r>
      <w:r w:rsidRPr="00AC1BD2">
        <w:t xml:space="preserve">1971 ne donne pas de définition des </w:t>
      </w:r>
      <w:r w:rsidR="006A37B6" w:rsidRPr="00AC1BD2">
        <w:t>“</w:t>
      </w:r>
      <w:r w:rsidRPr="00AC1BD2">
        <w:t>œuvres littéraires et artistiques</w:t>
      </w:r>
      <w:r w:rsidR="00EF24BB" w:rsidRPr="00AC1BD2">
        <w:t>”</w:t>
      </w:r>
      <w:r w:rsidRPr="00AC1BD2">
        <w:t xml:space="preserve">, mais </w:t>
      </w:r>
      <w:r w:rsidR="00C02277" w:rsidRPr="00AC1BD2">
        <w:t xml:space="preserve">elle </w:t>
      </w:r>
      <w:r w:rsidRPr="00AC1BD2">
        <w:t>contient une liste d</w:t>
      </w:r>
      <w:r w:rsidR="00025CB1" w:rsidRPr="00AC1BD2">
        <w:t>’</w:t>
      </w:r>
      <w:r w:rsidRPr="00AC1BD2">
        <w:t>exemples d</w:t>
      </w:r>
      <w:r w:rsidR="00025CB1" w:rsidRPr="00AC1BD2">
        <w:t>’</w:t>
      </w:r>
      <w:r w:rsidRPr="00AC1BD2">
        <w:t>œuvres littéraires et artistiqu</w:t>
      </w:r>
      <w:r w:rsidR="00512111" w:rsidRPr="00AC1BD2">
        <w:t>es.  To</w:t>
      </w:r>
      <w:r w:rsidRPr="00AC1BD2">
        <w:t>utefois, s</w:t>
      </w:r>
      <w:r w:rsidR="00025CB1" w:rsidRPr="00AC1BD2">
        <w:t>’</w:t>
      </w:r>
      <w:r w:rsidRPr="00AC1BD2">
        <w:t>agissant de la question de savoir quelles sont les œuvres littéraires et artistiques qui bénéficient d</w:t>
      </w:r>
      <w:r w:rsidR="00025CB1" w:rsidRPr="00AC1BD2">
        <w:t>’</w:t>
      </w:r>
      <w:r w:rsidRPr="00AC1BD2">
        <w:t>une protection, c</w:t>
      </w:r>
      <w:r w:rsidR="00025CB1" w:rsidRPr="00AC1BD2">
        <w:t>’</w:t>
      </w:r>
      <w:r w:rsidRPr="00AC1BD2">
        <w:t>est la législation relative au droit d</w:t>
      </w:r>
      <w:r w:rsidR="00025CB1" w:rsidRPr="00AC1BD2">
        <w:t>’</w:t>
      </w:r>
      <w:r w:rsidRPr="00AC1BD2">
        <w:t>auteur qui fixe les critères requis pour bénéficier d</w:t>
      </w:r>
      <w:r w:rsidR="00025CB1" w:rsidRPr="00AC1BD2">
        <w:t>’</w:t>
      </w:r>
      <w:r w:rsidRPr="00AC1BD2">
        <w:t xml:space="preserve">une protection </w:t>
      </w:r>
      <w:r w:rsidRPr="00AC1BD2">
        <w:sym w:font="Symbol" w:char="F028"/>
      </w:r>
      <w:r w:rsidRPr="00AC1BD2">
        <w:t xml:space="preserve">par exemple </w:t>
      </w:r>
      <w:r w:rsidR="00EF24BB" w:rsidRPr="00AC1BD2">
        <w:t>“</w:t>
      </w:r>
      <w:r w:rsidRPr="00AC1BD2">
        <w:t>l</w:t>
      </w:r>
      <w:r w:rsidR="00025CB1" w:rsidRPr="00AC1BD2">
        <w:t>’</w:t>
      </w:r>
      <w:r w:rsidRPr="00AC1BD2">
        <w:t>originalité</w:t>
      </w:r>
      <w:r w:rsidR="00EF24BB" w:rsidRPr="00AC1BD2">
        <w:t>”</w:t>
      </w:r>
      <w:r w:rsidRPr="00AC1BD2">
        <w:t>).</w:t>
      </w:r>
    </w:p>
    <w:p w14:paraId="703D5ADC" w14:textId="7C9D3A76" w:rsidR="00BC516C" w:rsidRPr="00AC1BD2" w:rsidRDefault="00BC516C" w:rsidP="00C37157">
      <w:pPr>
        <w:pStyle w:val="ONUMFS"/>
      </w:pPr>
      <w:r w:rsidRPr="00AC1BD2">
        <w:t>De la même façon, le texte qui fait l</w:t>
      </w:r>
      <w:r w:rsidR="00025CB1" w:rsidRPr="00AC1BD2">
        <w:t>’</w:t>
      </w:r>
      <w:r w:rsidRPr="00AC1BD2">
        <w:t>objet du débat reflète cette approche</w:t>
      </w:r>
      <w:r w:rsidR="00025CB1" w:rsidRPr="00AC1BD2">
        <w:t> </w:t>
      </w:r>
      <w:proofErr w:type="gramStart"/>
      <w:r w:rsidR="00025CB1" w:rsidRPr="00AC1BD2">
        <w:t>:</w:t>
      </w:r>
      <w:r w:rsidRPr="00AC1BD2">
        <w:t xml:space="preserve"> il</w:t>
      </w:r>
      <w:proofErr w:type="gramEnd"/>
      <w:r w:rsidRPr="00AC1BD2">
        <w:t xml:space="preserve"> contient des définitions possibles des savoirs traditionnels au sens général, ainsi que quelques exemples dans certaines variantes, et il contient, à part, des suggestions de </w:t>
      </w:r>
      <w:r w:rsidR="006A37B6" w:rsidRPr="00AC1BD2">
        <w:t>“</w:t>
      </w:r>
      <w:r w:rsidRPr="00AC1BD2">
        <w:t>critères de protection applicables</w:t>
      </w:r>
      <w:r w:rsidR="00EF24BB" w:rsidRPr="00AC1BD2">
        <w:t>”</w:t>
      </w:r>
      <w:r w:rsidR="00872695" w:rsidRPr="00AC1BD2">
        <w:t xml:space="preserve">.  </w:t>
      </w:r>
      <w:r w:rsidR="00C02277" w:rsidRPr="00AC1BD2">
        <w:t>Ces derniers servent à clarifier quels sont les savoirs traditionnels pouvant entrer dans une large définition, au s</w:t>
      </w:r>
      <w:r w:rsidR="00C304F4" w:rsidRPr="00AC1BD2">
        <w:t>ens général, qui seraient des “</w:t>
      </w:r>
      <w:r w:rsidR="00C02277" w:rsidRPr="00AC1BD2">
        <w:t>savoirs traditionnels protégés</w:t>
      </w:r>
      <w:r w:rsidR="00C304F4" w:rsidRPr="00AC1BD2">
        <w:t>”</w:t>
      </w:r>
      <w:r w:rsidR="00C02277" w:rsidRPr="00AC1BD2">
        <w:t>.</w:t>
      </w:r>
    </w:p>
    <w:p w14:paraId="412C0CED" w14:textId="35201987" w:rsidR="00C02277" w:rsidRPr="00AC1BD2" w:rsidRDefault="00C02277" w:rsidP="00C37157">
      <w:pPr>
        <w:pStyle w:val="ONUMFS"/>
      </w:pPr>
      <w:r w:rsidRPr="00AC1BD2">
        <w:t xml:space="preserve">Là encore, je voudrais souligner les liens existant entre la plupart </w:t>
      </w:r>
      <w:r w:rsidR="000337C9" w:rsidRPr="00AC1BD2">
        <w:t>des questions essentiell</w:t>
      </w:r>
      <w:r w:rsidR="00512111" w:rsidRPr="00AC1BD2">
        <w:t>es.  La</w:t>
      </w:r>
      <w:r w:rsidR="000337C9" w:rsidRPr="00AC1BD2">
        <w:t xml:space="preserve"> d</w:t>
      </w:r>
      <w:r w:rsidRPr="00AC1BD2">
        <w:t>éfinition de l</w:t>
      </w:r>
      <w:r w:rsidR="00025CB1" w:rsidRPr="00AC1BD2">
        <w:t>’</w:t>
      </w:r>
      <w:r w:rsidRPr="00AC1BD2">
        <w:t>objet aura probablement une incidence sur d</w:t>
      </w:r>
      <w:r w:rsidR="00025CB1" w:rsidRPr="00AC1BD2">
        <w:t>’</w:t>
      </w:r>
      <w:r w:rsidRPr="00AC1BD2">
        <w:t>autres questions essentielles telles que les bénéficiaires et l</w:t>
      </w:r>
      <w:r w:rsidR="00025CB1" w:rsidRPr="00AC1BD2">
        <w:t>’</w:t>
      </w:r>
      <w:r w:rsidRPr="00AC1BD2">
        <w:t>étendue de la protection.</w:t>
      </w:r>
    </w:p>
    <w:p w14:paraId="10132BA7" w14:textId="6D3E4702" w:rsidR="00025CB1" w:rsidRPr="00AC1BD2" w:rsidRDefault="00C378B1" w:rsidP="00C37157">
      <w:pPr>
        <w:pStyle w:val="ONUMFS"/>
      </w:pPr>
      <w:r w:rsidRPr="00AC1BD2">
        <w:t>Pour traiter ce point, il pourrait être utile de former, dans le cadre de la</w:t>
      </w:r>
      <w:r w:rsidR="0001710C" w:rsidRPr="00AC1BD2">
        <w:t xml:space="preserve"> trente</w:t>
      </w:r>
      <w:r w:rsidR="00243A34" w:rsidRPr="00AC1BD2">
        <w:noBreakHyphen/>
      </w:r>
      <w:r w:rsidR="0001710C" w:rsidRPr="00AC1BD2">
        <w:t>deuxième</w:t>
      </w:r>
      <w:r w:rsidR="00197E51" w:rsidRPr="00AC1BD2">
        <w:t> </w:t>
      </w:r>
      <w:r w:rsidR="0001710C" w:rsidRPr="00AC1BD2">
        <w:t>session de l</w:t>
      </w:r>
      <w:r w:rsidR="00025CB1" w:rsidRPr="00AC1BD2">
        <w:t>’</w:t>
      </w:r>
      <w:r w:rsidR="0001710C" w:rsidRPr="00AC1BD2">
        <w:t>IGC</w:t>
      </w:r>
      <w:r w:rsidRPr="00AC1BD2">
        <w:t>, un petit groupe de contact ad</w:t>
      </w:r>
      <w:r w:rsidR="00197E51" w:rsidRPr="00AC1BD2">
        <w:t> </w:t>
      </w:r>
      <w:r w:rsidRPr="00AC1BD2">
        <w:t>hoc</w:t>
      </w:r>
      <w:r w:rsidR="00E7094D" w:rsidRPr="00AC1BD2">
        <w:t xml:space="preserve"> </w:t>
      </w:r>
      <w:r w:rsidRPr="00AC1BD2">
        <w:t xml:space="preserve">composé de </w:t>
      </w:r>
      <w:r w:rsidR="00E7094D" w:rsidRPr="00AC1BD2">
        <w:t>participants repr</w:t>
      </w:r>
      <w:r w:rsidRPr="00AC1BD2">
        <w:t>é</w:t>
      </w:r>
      <w:r w:rsidR="00E7094D" w:rsidRPr="00AC1BD2">
        <w:t>sent</w:t>
      </w:r>
      <w:r w:rsidRPr="00AC1BD2">
        <w:t>ant les différents points de vue sur cette questi</w:t>
      </w:r>
      <w:r w:rsidR="00512111" w:rsidRPr="00AC1BD2">
        <w:t>on.  Ce</w:t>
      </w:r>
      <w:r w:rsidRPr="00AC1BD2">
        <w:t xml:space="preserve"> petit groupe de contact ad</w:t>
      </w:r>
      <w:r w:rsidR="00197E51" w:rsidRPr="00AC1BD2">
        <w:t> </w:t>
      </w:r>
      <w:r w:rsidRPr="00AC1BD2">
        <w:t>hoc pourrait essayer de concilier les points de vue et ferait rapport à la plénière ou à des réunions informelles</w:t>
      </w:r>
      <w:r w:rsidR="00872695" w:rsidRPr="00AC1BD2">
        <w:t>.</w:t>
      </w:r>
    </w:p>
    <w:p w14:paraId="75471CDE" w14:textId="1CA4706D" w:rsidR="00025CB1" w:rsidRPr="00AC1BD2" w:rsidRDefault="00C378B1" w:rsidP="00C37157">
      <w:pPr>
        <w:pStyle w:val="ONUMFS"/>
      </w:pPr>
      <w:r w:rsidRPr="00AC1BD2">
        <w:t>Il faut espérer que le</w:t>
      </w:r>
      <w:r w:rsidR="00152FBC" w:rsidRPr="00AC1BD2">
        <w:t xml:space="preserve"> </w:t>
      </w:r>
      <w:r w:rsidR="00152FBC" w:rsidRPr="00AC1BD2">
        <w:rPr>
          <w:i/>
        </w:rPr>
        <w:t>S</w:t>
      </w:r>
      <w:r w:rsidRPr="00AC1BD2">
        <w:rPr>
          <w:i/>
        </w:rPr>
        <w:t>éminaire sur la propriété intellectuelle et les savoirs traditionnels</w:t>
      </w:r>
      <w:r w:rsidRPr="00AC1BD2">
        <w:t xml:space="preserve"> qui se tiendra juste avant </w:t>
      </w:r>
      <w:r w:rsidR="0001710C" w:rsidRPr="00AC1BD2">
        <w:t>la trente</w:t>
      </w:r>
      <w:r w:rsidR="00243A34" w:rsidRPr="00AC1BD2">
        <w:noBreakHyphen/>
      </w:r>
      <w:r w:rsidR="0001710C" w:rsidRPr="00AC1BD2">
        <w:t>deuxième</w:t>
      </w:r>
      <w:r w:rsidR="00197E51" w:rsidRPr="00AC1BD2">
        <w:t> </w:t>
      </w:r>
      <w:r w:rsidR="0001710C" w:rsidRPr="00AC1BD2">
        <w:t>session de l</w:t>
      </w:r>
      <w:r w:rsidR="00025CB1" w:rsidRPr="00AC1BD2">
        <w:t>’</w:t>
      </w:r>
      <w:r w:rsidR="0001710C" w:rsidRPr="00AC1BD2">
        <w:t>IGC</w:t>
      </w:r>
      <w:r w:rsidRPr="00AC1BD2">
        <w:t>, clarifiera un peu cette question, en particulier la table ronde n°</w:t>
      </w:r>
      <w:r w:rsidR="00197E51" w:rsidRPr="00AC1BD2">
        <w:t> </w:t>
      </w:r>
      <w:r w:rsidRPr="00AC1BD2">
        <w:t>1</w:t>
      </w:r>
      <w:r w:rsidR="00025CB1" w:rsidRPr="00AC1BD2">
        <w:t> </w:t>
      </w:r>
      <w:proofErr w:type="gramStart"/>
      <w:r w:rsidR="00025CB1" w:rsidRPr="00AC1BD2">
        <w:t>:</w:t>
      </w:r>
      <w:r w:rsidRPr="00AC1BD2">
        <w:t xml:space="preserve"> </w:t>
      </w:r>
      <w:r w:rsidR="006A37B6" w:rsidRPr="00AC1BD2">
        <w:t>“</w:t>
      </w:r>
      <w:proofErr w:type="gramEnd"/>
      <w:r w:rsidRPr="00AC1BD2">
        <w:t>Données d</w:t>
      </w:r>
      <w:r w:rsidR="00025CB1" w:rsidRPr="00AC1BD2">
        <w:t>’</w:t>
      </w:r>
      <w:r w:rsidRPr="00AC1BD2">
        <w:t>expériences régionales, nationales et communautaires utiles pour recenser les “savoirs traditionnels susceptibles d</w:t>
      </w:r>
      <w:r w:rsidR="00025CB1" w:rsidRPr="00AC1BD2">
        <w:t>’</w:t>
      </w:r>
      <w:r w:rsidRPr="00AC1BD2">
        <w:t>être protégés” à un niveau international</w:t>
      </w:r>
      <w:r w:rsidR="00EF24BB" w:rsidRPr="00AC1BD2">
        <w:t>”</w:t>
      </w:r>
      <w:r w:rsidR="00872695" w:rsidRPr="00AC1BD2">
        <w:t>.</w:t>
      </w:r>
    </w:p>
    <w:p w14:paraId="0057314F" w14:textId="77777777" w:rsidR="0039715D" w:rsidRPr="00AC1BD2" w:rsidRDefault="001D5BA4" w:rsidP="00243A34">
      <w:pPr>
        <w:tabs>
          <w:tab w:val="left" w:pos="567"/>
        </w:tabs>
        <w:rPr>
          <w:rFonts w:cs="Arial"/>
          <w:szCs w:val="22"/>
          <w:u w:val="single"/>
        </w:rPr>
      </w:pPr>
      <w:r w:rsidRPr="00AC1BD2">
        <w:rPr>
          <w:rFonts w:cs="Arial"/>
          <w:szCs w:val="22"/>
          <w:u w:val="single"/>
        </w:rPr>
        <w:t>Étendue de la protection</w:t>
      </w:r>
    </w:p>
    <w:p w14:paraId="2C0B6616" w14:textId="77777777" w:rsidR="0039715D" w:rsidRPr="00AC1BD2" w:rsidRDefault="0039715D" w:rsidP="00243A34">
      <w:pPr>
        <w:tabs>
          <w:tab w:val="left" w:pos="567"/>
        </w:tabs>
        <w:rPr>
          <w:rFonts w:cs="Arial"/>
          <w:szCs w:val="22"/>
          <w:u w:val="single"/>
        </w:rPr>
      </w:pPr>
    </w:p>
    <w:p w14:paraId="51FF8815" w14:textId="341916EB" w:rsidR="00025CB1" w:rsidRPr="00AC1BD2" w:rsidRDefault="00A331E6" w:rsidP="00C37157">
      <w:pPr>
        <w:pStyle w:val="ONUMFS"/>
      </w:pPr>
      <w:r w:rsidRPr="00AC1BD2">
        <w:t>Comme expliqué dans la note d</w:t>
      </w:r>
      <w:r w:rsidR="00025CB1" w:rsidRPr="00AC1BD2">
        <w:t>’</w:t>
      </w:r>
      <w:r w:rsidRPr="00AC1BD2">
        <w:t>information n°</w:t>
      </w:r>
      <w:r w:rsidR="00197E51" w:rsidRPr="00AC1BD2">
        <w:t> </w:t>
      </w:r>
      <w:r w:rsidRPr="00AC1BD2">
        <w:t>1 établie pour la</w:t>
      </w:r>
      <w:r w:rsidR="0027301A" w:rsidRPr="00AC1BD2">
        <w:t xml:space="preserve"> </w:t>
      </w:r>
      <w:r w:rsidR="0001710C" w:rsidRPr="00AC1BD2">
        <w:t>trente</w:t>
      </w:r>
      <w:r w:rsidR="00197E51" w:rsidRPr="00AC1BD2">
        <w:t> </w:t>
      </w:r>
      <w:r w:rsidR="0001710C" w:rsidRPr="00AC1BD2">
        <w:t>et</w:t>
      </w:r>
      <w:r w:rsidR="00197E51" w:rsidRPr="00AC1BD2">
        <w:t> </w:t>
      </w:r>
      <w:r w:rsidR="0001710C" w:rsidRPr="00AC1BD2">
        <w:t>unième</w:t>
      </w:r>
      <w:r w:rsidR="00197E51" w:rsidRPr="00AC1BD2">
        <w:t> </w:t>
      </w:r>
      <w:r w:rsidR="0001710C" w:rsidRPr="00AC1BD2">
        <w:t>session de l</w:t>
      </w:r>
      <w:r w:rsidR="00025CB1" w:rsidRPr="00AC1BD2">
        <w:t>’</w:t>
      </w:r>
      <w:r w:rsidR="0001710C" w:rsidRPr="00AC1BD2">
        <w:t>IGC</w:t>
      </w:r>
      <w:r w:rsidR="0027301A" w:rsidRPr="00AC1BD2">
        <w:t>,</w:t>
      </w:r>
      <w:r w:rsidRPr="00AC1BD2">
        <w:t xml:space="preserve"> les participants à la vingt</w:t>
      </w:r>
      <w:r w:rsidR="00243A34" w:rsidRPr="00AC1BD2">
        <w:noBreakHyphen/>
      </w:r>
      <w:r w:rsidRPr="00AC1BD2">
        <w:t>septième</w:t>
      </w:r>
      <w:r w:rsidR="00197E51" w:rsidRPr="00AC1BD2">
        <w:t> </w:t>
      </w:r>
      <w:r w:rsidRPr="00AC1BD2">
        <w:t>session de l</w:t>
      </w:r>
      <w:r w:rsidR="00025CB1" w:rsidRPr="00AC1BD2">
        <w:t>’</w:t>
      </w:r>
      <w:r w:rsidR="007B3045" w:rsidRPr="00AC1BD2">
        <w:t xml:space="preserve">IGC </w:t>
      </w:r>
      <w:r w:rsidRPr="00AC1BD2">
        <w:t>avaient présenté, afin d</w:t>
      </w:r>
      <w:r w:rsidR="00025CB1" w:rsidRPr="00AC1BD2">
        <w:t>’</w:t>
      </w:r>
      <w:r w:rsidRPr="00AC1BD2">
        <w:t>en débattre, une approche progressive concernant l</w:t>
      </w:r>
      <w:r w:rsidR="00025CB1" w:rsidRPr="00AC1BD2">
        <w:t>’</w:t>
      </w:r>
      <w:r w:rsidRPr="00AC1BD2">
        <w:t>étendue de la protection, selon laquelle les titulaires de droits bénéficieraient de différents types ou niveaux de droits ou de mesures, en fonction de la nature</w:t>
      </w:r>
      <w:r w:rsidR="00D84EB5" w:rsidRPr="00AC1BD2">
        <w:rPr>
          <w:rStyle w:val="FootnoteReference"/>
          <w:szCs w:val="22"/>
        </w:rPr>
        <w:footnoteReference w:id="4"/>
      </w:r>
      <w:r w:rsidR="00727F6F" w:rsidRPr="00AC1BD2">
        <w:t xml:space="preserve"> </w:t>
      </w:r>
      <w:r w:rsidRPr="00AC1BD2">
        <w:t>et des caractéristiques de l</w:t>
      </w:r>
      <w:r w:rsidR="00025CB1" w:rsidRPr="00AC1BD2">
        <w:t>’</w:t>
      </w:r>
      <w:r w:rsidRPr="00AC1BD2">
        <w:t>objet, du niveau de contrôle que les bénéficiaires conservent sur ce dernier et de son degré de diffusion</w:t>
      </w:r>
      <w:r w:rsidR="00872695" w:rsidRPr="00AC1BD2">
        <w:t>.</w:t>
      </w:r>
    </w:p>
    <w:p w14:paraId="6633BED9" w14:textId="758B5614" w:rsidR="0039715D" w:rsidRPr="00AC1BD2" w:rsidRDefault="001D5BA4" w:rsidP="00C37157">
      <w:pPr>
        <w:pStyle w:val="ONUMFS"/>
      </w:pPr>
      <w:r w:rsidRPr="00AC1BD2">
        <w:t>L</w:t>
      </w:r>
      <w:r w:rsidR="00025CB1" w:rsidRPr="00AC1BD2">
        <w:t>’</w:t>
      </w:r>
      <w:r w:rsidRPr="00AC1BD2">
        <w:t xml:space="preserve">approche progressive établit </w:t>
      </w:r>
      <w:r w:rsidRPr="00AC1BD2">
        <w:rPr>
          <w:b/>
        </w:rPr>
        <w:t>une protection différenciée</w:t>
      </w:r>
      <w:r w:rsidRPr="00AC1BD2">
        <w:t xml:space="preserve"> applicable à une gamme de savoirs traditionnels allant de ceux qui sont accessibles au grand public à ceux qui sont secrets ou inconnus en dehors de la communauté et contrôlés par les bénéficiaires</w:t>
      </w:r>
      <w:r w:rsidR="00D84EB5" w:rsidRPr="00AC1BD2">
        <w:rPr>
          <w:rStyle w:val="FootnoteReference"/>
          <w:szCs w:val="22"/>
        </w:rPr>
        <w:footnoteReference w:id="5"/>
      </w:r>
      <w:r w:rsidRPr="00AC1BD2">
        <w:t>.</w:t>
      </w:r>
    </w:p>
    <w:p w14:paraId="3388F40C" w14:textId="21B5C177" w:rsidR="00A331E6" w:rsidRPr="00AC1BD2" w:rsidRDefault="00A331E6" w:rsidP="00C37157">
      <w:pPr>
        <w:pStyle w:val="ONUMFS"/>
      </w:pPr>
      <w:r w:rsidRPr="00AC1BD2">
        <w:t>Cette approche pouvait suggérer que, par exemple, l</w:t>
      </w:r>
      <w:r w:rsidR="00025CB1" w:rsidRPr="00AC1BD2">
        <w:t>’</w:t>
      </w:r>
      <w:r w:rsidRPr="00AC1BD2">
        <w:t>application de droits patrimoniaux exclusifs pourrait être appropriée pour certaines formes de savoirs traditionnels (par exemple</w:t>
      </w:r>
      <w:r w:rsidR="007B3045" w:rsidRPr="00AC1BD2">
        <w:t xml:space="preserve"> </w:t>
      </w:r>
      <w:r w:rsidRPr="00AC1BD2">
        <w:t>les</w:t>
      </w:r>
      <w:r w:rsidR="007B3045" w:rsidRPr="00AC1BD2">
        <w:t xml:space="preserve"> </w:t>
      </w:r>
      <w:r w:rsidR="00741D75" w:rsidRPr="00AC1BD2">
        <w:t>savoirs traditionnels</w:t>
      </w:r>
      <w:r w:rsidRPr="00AC1BD2">
        <w:t xml:space="preserve"> secrets</w:t>
      </w:r>
      <w:r w:rsidR="007B3045" w:rsidRPr="00AC1BD2">
        <w:t xml:space="preserve">), </w:t>
      </w:r>
      <w:r w:rsidRPr="00AC1BD2">
        <w:t>tandis qu</w:t>
      </w:r>
      <w:r w:rsidR="00025CB1" w:rsidRPr="00AC1BD2">
        <w:t>’</w:t>
      </w:r>
      <w:r w:rsidRPr="00AC1BD2">
        <w:t xml:space="preserve">un modèle fondé sur des droits moraux pourrait convenir, par exemple, pour des savoirs traditionnels </w:t>
      </w:r>
      <w:r w:rsidR="00244130" w:rsidRPr="00AC1BD2">
        <w:t>largement</w:t>
      </w:r>
      <w:r w:rsidR="00C304F4" w:rsidRPr="00AC1BD2">
        <w:t xml:space="preserve"> divulgués.</w:t>
      </w:r>
    </w:p>
    <w:p w14:paraId="58D95C15" w14:textId="25FC8745" w:rsidR="0039715D" w:rsidRPr="00AC1BD2" w:rsidRDefault="00A331E6" w:rsidP="00C37157">
      <w:pPr>
        <w:pStyle w:val="ONUMFS"/>
      </w:pPr>
      <w:r w:rsidRPr="00AC1BD2">
        <w:t xml:space="preserve">Le nouveau </w:t>
      </w:r>
      <w:r w:rsidR="00C50B8A" w:rsidRPr="00AC1BD2">
        <w:t>t</w:t>
      </w:r>
      <w:r w:rsidRPr="00AC1BD2">
        <w:t>exte comprend quatre</w:t>
      </w:r>
      <w:r w:rsidR="00197E51" w:rsidRPr="00AC1BD2">
        <w:t> </w:t>
      </w:r>
      <w:r w:rsidRPr="00AC1BD2">
        <w:t>variantes</w:t>
      </w:r>
      <w:r w:rsidR="00025CB1" w:rsidRPr="00AC1BD2">
        <w:t> :</w:t>
      </w:r>
    </w:p>
    <w:p w14:paraId="4CEFAA1E" w14:textId="31E61C1D" w:rsidR="0039715D" w:rsidRPr="00AC1BD2" w:rsidRDefault="00A331E6" w:rsidP="00C37157">
      <w:pPr>
        <w:numPr>
          <w:ilvl w:val="0"/>
          <w:numId w:val="21"/>
        </w:numPr>
        <w:ind w:left="1134" w:hanging="567"/>
        <w:rPr>
          <w:rFonts w:cs="Arial"/>
          <w:szCs w:val="22"/>
        </w:rPr>
      </w:pPr>
      <w:r w:rsidRPr="00AC1BD2">
        <w:rPr>
          <w:rFonts w:cs="Arial"/>
          <w:szCs w:val="22"/>
        </w:rPr>
        <w:t>La variante</w:t>
      </w:r>
      <w:r w:rsidR="00BD0A6E" w:rsidRPr="00AC1BD2">
        <w:rPr>
          <w:rFonts w:cs="Arial"/>
          <w:szCs w:val="22"/>
        </w:rPr>
        <w:t> </w:t>
      </w:r>
      <w:r w:rsidR="009C5891" w:rsidRPr="00AC1BD2">
        <w:rPr>
          <w:rFonts w:cs="Arial"/>
          <w:szCs w:val="22"/>
        </w:rPr>
        <w:t xml:space="preserve">1 </w:t>
      </w:r>
      <w:r w:rsidRPr="00AC1BD2">
        <w:rPr>
          <w:rFonts w:cs="Arial"/>
          <w:szCs w:val="22"/>
        </w:rPr>
        <w:t>laisse fondamentalement toute latitude pour traiter</w:t>
      </w:r>
      <w:r w:rsidR="00C50B8A" w:rsidRPr="00AC1BD2">
        <w:rPr>
          <w:rFonts w:cs="Arial"/>
          <w:szCs w:val="22"/>
        </w:rPr>
        <w:t xml:space="preserve"> la question de l</w:t>
      </w:r>
      <w:r w:rsidR="00025CB1" w:rsidRPr="00AC1BD2">
        <w:rPr>
          <w:rFonts w:cs="Arial"/>
          <w:szCs w:val="22"/>
        </w:rPr>
        <w:t>’</w:t>
      </w:r>
      <w:r w:rsidR="00C50B8A" w:rsidRPr="00AC1BD2">
        <w:rPr>
          <w:rFonts w:cs="Arial"/>
          <w:szCs w:val="22"/>
        </w:rPr>
        <w:t xml:space="preserve">étendue de la </w:t>
      </w:r>
      <w:r w:rsidRPr="00AC1BD2">
        <w:rPr>
          <w:rFonts w:cs="Arial"/>
          <w:szCs w:val="22"/>
        </w:rPr>
        <w:t>protection à l</w:t>
      </w:r>
      <w:r w:rsidR="00025CB1" w:rsidRPr="00AC1BD2">
        <w:rPr>
          <w:rFonts w:cs="Arial"/>
          <w:szCs w:val="22"/>
        </w:rPr>
        <w:t>’</w:t>
      </w:r>
      <w:r w:rsidRPr="00AC1BD2">
        <w:rPr>
          <w:rFonts w:cs="Arial"/>
          <w:szCs w:val="22"/>
        </w:rPr>
        <w:t>échelon national et ne prévoit pas l</w:t>
      </w:r>
      <w:r w:rsidR="00025CB1" w:rsidRPr="00AC1BD2">
        <w:rPr>
          <w:rFonts w:cs="Arial"/>
          <w:szCs w:val="22"/>
        </w:rPr>
        <w:t>’</w:t>
      </w:r>
      <w:r w:rsidRPr="00AC1BD2">
        <w:rPr>
          <w:rFonts w:cs="Arial"/>
          <w:szCs w:val="22"/>
        </w:rPr>
        <w:t>approche progressive.</w:t>
      </w:r>
    </w:p>
    <w:p w14:paraId="63A1FD74" w14:textId="2D4E31BC" w:rsidR="00244130" w:rsidRPr="00AC1BD2" w:rsidRDefault="00A331E6" w:rsidP="00C37157">
      <w:pPr>
        <w:numPr>
          <w:ilvl w:val="0"/>
          <w:numId w:val="21"/>
        </w:numPr>
        <w:ind w:left="1134" w:hanging="567"/>
        <w:rPr>
          <w:rFonts w:cs="Arial"/>
          <w:szCs w:val="22"/>
        </w:rPr>
      </w:pPr>
      <w:r w:rsidRPr="00AC1BD2">
        <w:rPr>
          <w:rFonts w:cs="Arial"/>
          <w:szCs w:val="22"/>
        </w:rPr>
        <w:t>Les variantes</w:t>
      </w:r>
      <w:r w:rsidR="00BD0A6E" w:rsidRPr="00AC1BD2">
        <w:rPr>
          <w:rFonts w:cs="Arial"/>
          <w:szCs w:val="22"/>
        </w:rPr>
        <w:t> </w:t>
      </w:r>
      <w:r w:rsidR="009C5891" w:rsidRPr="00AC1BD2">
        <w:rPr>
          <w:rFonts w:cs="Arial"/>
          <w:szCs w:val="22"/>
        </w:rPr>
        <w:t>2</w:t>
      </w:r>
      <w:r w:rsidRPr="00AC1BD2">
        <w:rPr>
          <w:rFonts w:cs="Arial"/>
          <w:szCs w:val="22"/>
        </w:rPr>
        <w:t xml:space="preserve"> et</w:t>
      </w:r>
      <w:r w:rsidR="00BA34E3">
        <w:rPr>
          <w:rFonts w:cs="Arial"/>
          <w:szCs w:val="22"/>
        </w:rPr>
        <w:t> </w:t>
      </w:r>
      <w:r w:rsidR="009C5891" w:rsidRPr="00AC1BD2">
        <w:rPr>
          <w:rFonts w:cs="Arial"/>
          <w:szCs w:val="22"/>
        </w:rPr>
        <w:t>3</w:t>
      </w:r>
      <w:r w:rsidR="00241AEB" w:rsidRPr="00AC1BD2">
        <w:rPr>
          <w:rFonts w:cs="Arial"/>
          <w:szCs w:val="22"/>
        </w:rPr>
        <w:t xml:space="preserve"> </w:t>
      </w:r>
      <w:r w:rsidR="00C304F4" w:rsidRPr="00AC1BD2">
        <w:rPr>
          <w:rFonts w:cs="Arial"/>
          <w:szCs w:val="22"/>
        </w:rPr>
        <w:t>prévoient</w:t>
      </w:r>
      <w:r w:rsidR="00244130" w:rsidRPr="00AC1BD2">
        <w:rPr>
          <w:rFonts w:cs="Arial"/>
          <w:szCs w:val="22"/>
        </w:rPr>
        <w:t xml:space="preserve"> une approche progressive, avec les mêmes niveaux</w:t>
      </w:r>
      <w:r w:rsidR="00C304F4" w:rsidRPr="00AC1BD2">
        <w:rPr>
          <w:rFonts w:cs="Arial"/>
          <w:szCs w:val="22"/>
        </w:rPr>
        <w:t xml:space="preserve"> de protection</w:t>
      </w:r>
      <w:r w:rsidR="00244130" w:rsidRPr="00AC1BD2">
        <w:rPr>
          <w:rFonts w:cs="Arial"/>
          <w:szCs w:val="22"/>
        </w:rPr>
        <w:t xml:space="preserve"> que ceux attribués aux savoirs traditionnels secrets peu diffus</w:t>
      </w:r>
      <w:r w:rsidR="00512111" w:rsidRPr="00AC1BD2">
        <w:rPr>
          <w:rFonts w:cs="Arial"/>
          <w:szCs w:val="22"/>
        </w:rPr>
        <w:t>és.  La</w:t>
      </w:r>
      <w:r w:rsidR="00244130" w:rsidRPr="00AC1BD2">
        <w:rPr>
          <w:rFonts w:cs="Arial"/>
          <w:szCs w:val="22"/>
        </w:rPr>
        <w:t xml:space="preserve"> principale différence tient à la nature des droits attribués aux savoirs traditionnels largement diffusés.</w:t>
      </w:r>
    </w:p>
    <w:p w14:paraId="29CFE603" w14:textId="3D8A220A" w:rsidR="0039715D" w:rsidRPr="00AC1BD2" w:rsidRDefault="00A331E6" w:rsidP="00C37157">
      <w:pPr>
        <w:numPr>
          <w:ilvl w:val="0"/>
          <w:numId w:val="21"/>
        </w:numPr>
        <w:ind w:left="1134" w:hanging="567"/>
        <w:rPr>
          <w:rFonts w:cs="Arial"/>
          <w:szCs w:val="22"/>
        </w:rPr>
      </w:pPr>
      <w:r w:rsidRPr="00AC1BD2">
        <w:rPr>
          <w:rFonts w:cs="Arial"/>
          <w:szCs w:val="22"/>
        </w:rPr>
        <w:t>La variante</w:t>
      </w:r>
      <w:r w:rsidR="00BD0A6E" w:rsidRPr="00AC1BD2">
        <w:rPr>
          <w:rFonts w:cs="Arial"/>
          <w:szCs w:val="22"/>
        </w:rPr>
        <w:t> </w:t>
      </w:r>
      <w:r w:rsidR="009D61EF" w:rsidRPr="00AC1BD2">
        <w:rPr>
          <w:rFonts w:cs="Arial"/>
          <w:szCs w:val="22"/>
        </w:rPr>
        <w:t xml:space="preserve">4 </w:t>
      </w:r>
      <w:r w:rsidR="00244130" w:rsidRPr="00AC1BD2">
        <w:rPr>
          <w:rFonts w:cs="Arial"/>
          <w:szCs w:val="22"/>
        </w:rPr>
        <w:t>est identique à</w:t>
      </w:r>
      <w:r w:rsidR="009D61EF" w:rsidRPr="00AC1BD2">
        <w:rPr>
          <w:rFonts w:cs="Arial"/>
          <w:szCs w:val="22"/>
        </w:rPr>
        <w:t xml:space="preserve"> </w:t>
      </w:r>
      <w:r w:rsidRPr="00AC1BD2">
        <w:rPr>
          <w:rFonts w:cs="Arial"/>
          <w:szCs w:val="22"/>
        </w:rPr>
        <w:t>la variante</w:t>
      </w:r>
      <w:r w:rsidR="00BD0A6E" w:rsidRPr="00AC1BD2">
        <w:rPr>
          <w:rFonts w:cs="Arial"/>
          <w:szCs w:val="22"/>
        </w:rPr>
        <w:t> </w:t>
      </w:r>
      <w:r w:rsidR="009D61EF" w:rsidRPr="00AC1BD2">
        <w:rPr>
          <w:rFonts w:cs="Arial"/>
          <w:szCs w:val="22"/>
        </w:rPr>
        <w:t xml:space="preserve">2 </w:t>
      </w:r>
      <w:r w:rsidR="00244130" w:rsidRPr="00AC1BD2">
        <w:rPr>
          <w:rFonts w:cs="Arial"/>
          <w:szCs w:val="22"/>
        </w:rPr>
        <w:t>mais énonce une obligation de remplir les critères de protection requis, sur la base de l</w:t>
      </w:r>
      <w:r w:rsidR="00025CB1" w:rsidRPr="00AC1BD2">
        <w:rPr>
          <w:rFonts w:cs="Arial"/>
          <w:szCs w:val="22"/>
        </w:rPr>
        <w:t>’</w:t>
      </w:r>
      <w:r w:rsidR="00244130" w:rsidRPr="00AC1BD2">
        <w:rPr>
          <w:rFonts w:cs="Arial"/>
          <w:szCs w:val="22"/>
        </w:rPr>
        <w:t>utilisation de l</w:t>
      </w:r>
      <w:r w:rsidR="00025CB1" w:rsidRPr="00AC1BD2">
        <w:rPr>
          <w:rFonts w:cs="Arial"/>
          <w:szCs w:val="22"/>
        </w:rPr>
        <w:t>’</w:t>
      </w:r>
      <w:r w:rsidR="00244130" w:rsidRPr="00AC1BD2">
        <w:rPr>
          <w:rFonts w:cs="Arial"/>
          <w:szCs w:val="22"/>
        </w:rPr>
        <w:t>expression</w:t>
      </w:r>
      <w:r w:rsidR="00D04282" w:rsidRPr="00AC1BD2">
        <w:rPr>
          <w:rFonts w:cs="Arial"/>
          <w:szCs w:val="22"/>
        </w:rPr>
        <w:t xml:space="preserve"> </w:t>
      </w:r>
      <w:r w:rsidR="006A37B6" w:rsidRPr="00AC1BD2">
        <w:rPr>
          <w:rFonts w:cs="Arial"/>
          <w:szCs w:val="22"/>
        </w:rPr>
        <w:t>“</w:t>
      </w:r>
      <w:r w:rsidR="00741D75" w:rsidRPr="00AC1BD2">
        <w:rPr>
          <w:rFonts w:cs="Arial"/>
          <w:szCs w:val="22"/>
        </w:rPr>
        <w:t>savoirs traditionnels</w:t>
      </w:r>
      <w:r w:rsidR="00244130" w:rsidRPr="00AC1BD2">
        <w:rPr>
          <w:rFonts w:cs="Arial"/>
          <w:szCs w:val="22"/>
        </w:rPr>
        <w:t xml:space="preserve"> protégés</w:t>
      </w:r>
      <w:r w:rsidR="00EF24BB" w:rsidRPr="00AC1BD2">
        <w:rPr>
          <w:rFonts w:cs="Arial"/>
          <w:szCs w:val="22"/>
        </w:rPr>
        <w:t>”</w:t>
      </w:r>
      <w:r w:rsidR="009D61EF" w:rsidRPr="00AC1BD2">
        <w:rPr>
          <w:rFonts w:cs="Arial"/>
          <w:szCs w:val="22"/>
        </w:rPr>
        <w:t xml:space="preserve">, </w:t>
      </w:r>
      <w:r w:rsidR="00244130" w:rsidRPr="00AC1BD2">
        <w:rPr>
          <w:rFonts w:cs="Arial"/>
          <w:szCs w:val="22"/>
        </w:rPr>
        <w:t>seule</w:t>
      </w:r>
      <w:r w:rsidR="009D61EF" w:rsidRPr="00AC1BD2">
        <w:rPr>
          <w:rFonts w:cs="Arial"/>
          <w:szCs w:val="22"/>
        </w:rPr>
        <w:t xml:space="preserve"> form</w:t>
      </w:r>
      <w:r w:rsidR="00244130" w:rsidRPr="00AC1BD2">
        <w:rPr>
          <w:rFonts w:cs="Arial"/>
          <w:szCs w:val="22"/>
        </w:rPr>
        <w:t xml:space="preserve">e de </w:t>
      </w:r>
      <w:r w:rsidR="00741D75" w:rsidRPr="00AC1BD2">
        <w:rPr>
          <w:rFonts w:cs="Arial"/>
          <w:szCs w:val="22"/>
        </w:rPr>
        <w:t>savoirs traditionnels</w:t>
      </w:r>
      <w:r w:rsidR="009D61EF" w:rsidRPr="00AC1BD2">
        <w:rPr>
          <w:rFonts w:cs="Arial"/>
          <w:szCs w:val="22"/>
        </w:rPr>
        <w:t xml:space="preserve"> </w:t>
      </w:r>
      <w:r w:rsidR="00244130" w:rsidRPr="00AC1BD2">
        <w:rPr>
          <w:rFonts w:cs="Arial"/>
          <w:szCs w:val="22"/>
        </w:rPr>
        <w:t>à laquelle seraient attribués des droi</w:t>
      </w:r>
      <w:r w:rsidR="00512111" w:rsidRPr="00AC1BD2">
        <w:rPr>
          <w:rFonts w:cs="Arial"/>
          <w:szCs w:val="22"/>
        </w:rPr>
        <w:t>ts.  Ce</w:t>
      </w:r>
      <w:r w:rsidR="00244130" w:rsidRPr="00AC1BD2">
        <w:rPr>
          <w:rFonts w:cs="Arial"/>
          <w:szCs w:val="22"/>
        </w:rPr>
        <w:t xml:space="preserve">tte expression est définie dans le chapitre </w:t>
      </w:r>
      <w:r w:rsidR="006A37B6" w:rsidRPr="00AC1BD2">
        <w:rPr>
          <w:rFonts w:cs="Arial"/>
          <w:szCs w:val="22"/>
        </w:rPr>
        <w:t>“</w:t>
      </w:r>
      <w:r w:rsidR="00244130" w:rsidRPr="00AC1BD2">
        <w:rPr>
          <w:rFonts w:cs="Arial"/>
          <w:szCs w:val="22"/>
        </w:rPr>
        <w:t>Utilisation des termes</w:t>
      </w:r>
      <w:r w:rsidR="00EF24BB" w:rsidRPr="00AC1BD2">
        <w:rPr>
          <w:rFonts w:cs="Arial"/>
          <w:szCs w:val="22"/>
        </w:rPr>
        <w:t>”</w:t>
      </w:r>
      <w:r w:rsidR="00244130" w:rsidRPr="00AC1BD2">
        <w:rPr>
          <w:rFonts w:cs="Arial"/>
          <w:szCs w:val="22"/>
        </w:rPr>
        <w:t xml:space="preserve"> et fait référence aux critères de protection requis dans la variante</w:t>
      </w:r>
      <w:r w:rsidR="00BD0A6E" w:rsidRPr="00AC1BD2">
        <w:rPr>
          <w:rFonts w:cs="Arial"/>
          <w:szCs w:val="22"/>
        </w:rPr>
        <w:t> </w:t>
      </w:r>
      <w:r w:rsidR="00244130" w:rsidRPr="00AC1BD2">
        <w:rPr>
          <w:rFonts w:cs="Arial"/>
          <w:szCs w:val="22"/>
        </w:rPr>
        <w:t>4 de l</w:t>
      </w:r>
      <w:r w:rsidR="00025CB1" w:rsidRPr="00AC1BD2">
        <w:rPr>
          <w:rFonts w:cs="Arial"/>
          <w:szCs w:val="22"/>
        </w:rPr>
        <w:t>’</w:t>
      </w:r>
      <w:r w:rsidR="00244130" w:rsidRPr="00AC1BD2">
        <w:rPr>
          <w:rFonts w:cs="Arial"/>
          <w:szCs w:val="22"/>
        </w:rPr>
        <w:t>article premier</w:t>
      </w:r>
      <w:r w:rsidR="009D61EF" w:rsidRPr="00AC1BD2">
        <w:rPr>
          <w:rFonts w:cs="Arial"/>
          <w:szCs w:val="22"/>
        </w:rPr>
        <w:t>.</w:t>
      </w:r>
    </w:p>
    <w:p w14:paraId="27B7CBCC" w14:textId="77777777" w:rsidR="0039715D" w:rsidRPr="00AC1BD2" w:rsidRDefault="0039715D" w:rsidP="00243A34">
      <w:pPr>
        <w:tabs>
          <w:tab w:val="left" w:pos="567"/>
        </w:tabs>
        <w:rPr>
          <w:rFonts w:cs="Arial"/>
          <w:szCs w:val="22"/>
        </w:rPr>
      </w:pPr>
    </w:p>
    <w:p w14:paraId="6C3FF156" w14:textId="544969FD" w:rsidR="00025CB1" w:rsidRPr="00AC1BD2" w:rsidRDefault="00244130" w:rsidP="00C37157">
      <w:pPr>
        <w:pStyle w:val="ONUMFS"/>
      </w:pPr>
      <w:r w:rsidRPr="00AC1BD2">
        <w:t>J</w:t>
      </w:r>
      <w:r w:rsidR="00025CB1" w:rsidRPr="00AC1BD2">
        <w:t>’</w:t>
      </w:r>
      <w:r w:rsidRPr="00AC1BD2">
        <w:t>ai fait un tableau qui met en évidence les similitudes et différences entre</w:t>
      </w:r>
      <w:r w:rsidR="008C13A9" w:rsidRPr="00AC1BD2">
        <w:t xml:space="preserve"> </w:t>
      </w:r>
      <w:r w:rsidR="00A331E6" w:rsidRPr="00AC1BD2">
        <w:t>la variante</w:t>
      </w:r>
      <w:r w:rsidR="00BD0A6E" w:rsidRPr="00AC1BD2">
        <w:t> </w:t>
      </w:r>
      <w:r w:rsidR="008C13A9" w:rsidRPr="00AC1BD2">
        <w:t xml:space="preserve">2, </w:t>
      </w:r>
      <w:r w:rsidR="00A331E6" w:rsidRPr="00AC1BD2">
        <w:t>la variante</w:t>
      </w:r>
      <w:r w:rsidR="00BD0A6E" w:rsidRPr="00AC1BD2">
        <w:t> </w:t>
      </w:r>
      <w:r w:rsidR="008C13A9" w:rsidRPr="00AC1BD2">
        <w:t xml:space="preserve">3 </w:t>
      </w:r>
      <w:r w:rsidR="00A331E6" w:rsidRPr="00AC1BD2">
        <w:t>et la variante</w:t>
      </w:r>
      <w:r w:rsidR="00BD0A6E" w:rsidRPr="00AC1BD2">
        <w:t> </w:t>
      </w:r>
      <w:r w:rsidR="008C13A9" w:rsidRPr="00AC1BD2">
        <w:t>4</w:t>
      </w:r>
      <w:r w:rsidR="00D84EB5" w:rsidRPr="00AC1BD2">
        <w:rPr>
          <w:rStyle w:val="FootnoteReference"/>
          <w:szCs w:val="22"/>
        </w:rPr>
        <w:footnoteReference w:id="6"/>
      </w:r>
      <w:r w:rsidR="00025CB1" w:rsidRPr="00AC1BD2">
        <w:t> :</w:t>
      </w:r>
    </w:p>
    <w:p w14:paraId="2CAB6AD7" w14:textId="77777777" w:rsidR="00B506EC" w:rsidRPr="00AC1BD2" w:rsidRDefault="00B506EC" w:rsidP="00243A34">
      <w:pPr>
        <w:tabs>
          <w:tab w:val="left" w:pos="567"/>
        </w:tabs>
        <w:rPr>
          <w:rFonts w:cs="Arial"/>
          <w:szCs w:val="22"/>
        </w:rPr>
      </w:pPr>
    </w:p>
    <w:p w14:paraId="578A7E6F" w14:textId="4A7E5998" w:rsidR="002B748A" w:rsidRPr="00AC1BD2" w:rsidRDefault="002B748A" w:rsidP="00243A34">
      <w:pPr>
        <w:tabs>
          <w:tab w:val="left" w:pos="567"/>
        </w:tabs>
        <w:rPr>
          <w:rFonts w:cs="Arial"/>
          <w:szCs w:val="22"/>
        </w:rPr>
      </w:pPr>
    </w:p>
    <w:p w14:paraId="20FE5187" w14:textId="77777777" w:rsidR="002B748A" w:rsidRPr="00AC1BD2" w:rsidRDefault="002B748A" w:rsidP="00243A34">
      <w:pPr>
        <w:tabs>
          <w:tab w:val="left" w:pos="567"/>
        </w:tabs>
        <w:rPr>
          <w:rFonts w:cs="Arial"/>
          <w:szCs w:val="22"/>
        </w:rPr>
        <w:sectPr w:rsidR="002B748A" w:rsidRPr="00AC1BD2" w:rsidSect="00BD0A6E">
          <w:pgSz w:w="11909" w:h="16834" w:code="9"/>
          <w:pgMar w:top="1440" w:right="1199" w:bottom="1440" w:left="1440" w:header="720" w:footer="720" w:gutter="0"/>
          <w:cols w:space="720"/>
          <w:docGrid w:linePitch="360"/>
        </w:sectPr>
      </w:pPr>
    </w:p>
    <w:p w14:paraId="73FC0CC0" w14:textId="0D6CC641" w:rsidR="009C5891" w:rsidRPr="00AC1BD2" w:rsidRDefault="009C5891" w:rsidP="00243A34">
      <w:pPr>
        <w:tabs>
          <w:tab w:val="left" w:pos="567"/>
        </w:tabs>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4A0" w:firstRow="1" w:lastRow="0" w:firstColumn="1" w:lastColumn="0" w:noHBand="0" w:noVBand="1"/>
      </w:tblPr>
      <w:tblGrid>
        <w:gridCol w:w="1911"/>
        <w:gridCol w:w="4059"/>
        <w:gridCol w:w="4060"/>
        <w:gridCol w:w="4060"/>
      </w:tblGrid>
      <w:tr w:rsidR="009C5891" w:rsidRPr="00AC1BD2" w14:paraId="215C03BE" w14:textId="77777777" w:rsidTr="002B748A">
        <w:trPr>
          <w:cantSplit/>
        </w:trPr>
        <w:tc>
          <w:tcPr>
            <w:tcW w:w="1911" w:type="dxa"/>
            <w:shd w:val="clear" w:color="auto" w:fill="auto"/>
          </w:tcPr>
          <w:p w14:paraId="27820748" w14:textId="7CF0D342" w:rsidR="009C5891" w:rsidRPr="00AC1BD2" w:rsidRDefault="00244130" w:rsidP="00243A34">
            <w:pPr>
              <w:tabs>
                <w:tab w:val="left" w:pos="567"/>
              </w:tabs>
              <w:rPr>
                <w:rFonts w:cs="Arial"/>
                <w:szCs w:val="22"/>
              </w:rPr>
            </w:pPr>
            <w:r w:rsidRPr="00AC1BD2">
              <w:rPr>
                <w:rFonts w:cs="Arial"/>
                <w:szCs w:val="22"/>
              </w:rPr>
              <w:t>Variante</w:t>
            </w:r>
            <w:r w:rsidR="00341972" w:rsidRPr="00AC1BD2">
              <w:rPr>
                <w:rFonts w:cs="Arial"/>
                <w:szCs w:val="22"/>
              </w:rPr>
              <w:t>/</w:t>
            </w:r>
            <w:r w:rsidRPr="00AC1BD2">
              <w:rPr>
                <w:rFonts w:cs="Arial"/>
                <w:szCs w:val="22"/>
              </w:rPr>
              <w:t>droits attribués</w:t>
            </w:r>
          </w:p>
        </w:tc>
        <w:tc>
          <w:tcPr>
            <w:tcW w:w="4059" w:type="dxa"/>
            <w:shd w:val="clear" w:color="auto" w:fill="auto"/>
          </w:tcPr>
          <w:p w14:paraId="425E0D6D" w14:textId="7C08786A" w:rsidR="009C5891" w:rsidRPr="00AC1BD2" w:rsidRDefault="008C13A9" w:rsidP="00243A34">
            <w:pPr>
              <w:tabs>
                <w:tab w:val="left" w:pos="567"/>
              </w:tabs>
              <w:rPr>
                <w:rFonts w:cs="Arial"/>
                <w:szCs w:val="22"/>
              </w:rPr>
            </w:pPr>
            <w:r w:rsidRPr="00AC1BD2">
              <w:rPr>
                <w:rFonts w:cs="Arial"/>
                <w:szCs w:val="22"/>
              </w:rPr>
              <w:t xml:space="preserve">3.1 </w:t>
            </w:r>
            <w:r w:rsidR="00BA34E3">
              <w:rPr>
                <w:rFonts w:cs="Arial"/>
                <w:szCs w:val="22"/>
              </w:rPr>
              <w:t xml:space="preserve"> </w:t>
            </w:r>
            <w:r w:rsidR="00244130" w:rsidRPr="00AC1BD2">
              <w:rPr>
                <w:rFonts w:cs="Arial"/>
                <w:szCs w:val="22"/>
              </w:rPr>
              <w:t>Lorsque les savoirs traditionnels sont secrets, qu</w:t>
            </w:r>
            <w:r w:rsidR="00025CB1" w:rsidRPr="00AC1BD2">
              <w:rPr>
                <w:rFonts w:cs="Arial"/>
                <w:szCs w:val="22"/>
              </w:rPr>
              <w:t>’</w:t>
            </w:r>
            <w:r w:rsidR="00244130" w:rsidRPr="00AC1BD2">
              <w:rPr>
                <w:rFonts w:cs="Arial"/>
                <w:szCs w:val="22"/>
              </w:rPr>
              <w:t>ils aient un caractère sacré ou non</w:t>
            </w:r>
          </w:p>
        </w:tc>
        <w:tc>
          <w:tcPr>
            <w:tcW w:w="4060" w:type="dxa"/>
            <w:shd w:val="clear" w:color="auto" w:fill="auto"/>
          </w:tcPr>
          <w:p w14:paraId="2D35F83F" w14:textId="6C006BB9" w:rsidR="009C5891" w:rsidRPr="00AC1BD2" w:rsidRDefault="008C13A9" w:rsidP="00243A34">
            <w:pPr>
              <w:tabs>
                <w:tab w:val="left" w:pos="567"/>
              </w:tabs>
              <w:rPr>
                <w:rFonts w:cs="Arial"/>
                <w:szCs w:val="22"/>
              </w:rPr>
            </w:pPr>
            <w:r w:rsidRPr="00AC1BD2">
              <w:rPr>
                <w:rFonts w:cs="Arial"/>
                <w:szCs w:val="22"/>
              </w:rPr>
              <w:t xml:space="preserve">3.2 </w:t>
            </w:r>
            <w:r w:rsidR="00BA34E3">
              <w:rPr>
                <w:rFonts w:cs="Arial"/>
                <w:szCs w:val="22"/>
              </w:rPr>
              <w:t xml:space="preserve"> </w:t>
            </w:r>
            <w:r w:rsidR="00ED3145" w:rsidRPr="00AC1BD2">
              <w:rPr>
                <w:rFonts w:cs="Arial"/>
                <w:szCs w:val="22"/>
              </w:rPr>
              <w:t>Lorsque les savoirs traditionnels sont peu diffusés, qu</w:t>
            </w:r>
            <w:r w:rsidR="00025CB1" w:rsidRPr="00AC1BD2">
              <w:rPr>
                <w:rFonts w:cs="Arial"/>
                <w:szCs w:val="22"/>
              </w:rPr>
              <w:t>’</w:t>
            </w:r>
            <w:r w:rsidR="00ED3145" w:rsidRPr="00AC1BD2">
              <w:rPr>
                <w:rFonts w:cs="Arial"/>
                <w:szCs w:val="22"/>
              </w:rPr>
              <w:t>ils aient un caractère sacré ou non</w:t>
            </w:r>
          </w:p>
        </w:tc>
        <w:tc>
          <w:tcPr>
            <w:tcW w:w="4060" w:type="dxa"/>
            <w:shd w:val="clear" w:color="auto" w:fill="auto"/>
          </w:tcPr>
          <w:p w14:paraId="0A816713" w14:textId="673183BA" w:rsidR="009C5891" w:rsidRPr="00AC1BD2" w:rsidRDefault="008C13A9" w:rsidP="00243A34">
            <w:pPr>
              <w:tabs>
                <w:tab w:val="left" w:pos="567"/>
              </w:tabs>
              <w:rPr>
                <w:rFonts w:cs="Arial"/>
                <w:szCs w:val="22"/>
              </w:rPr>
            </w:pPr>
            <w:r w:rsidRPr="00AC1BD2">
              <w:rPr>
                <w:rFonts w:cs="Arial"/>
                <w:szCs w:val="22"/>
              </w:rPr>
              <w:t xml:space="preserve">3.3 </w:t>
            </w:r>
            <w:r w:rsidR="00BA34E3">
              <w:rPr>
                <w:rFonts w:cs="Arial"/>
                <w:szCs w:val="22"/>
              </w:rPr>
              <w:t xml:space="preserve"> </w:t>
            </w:r>
            <w:r w:rsidR="00ED3145" w:rsidRPr="00AC1BD2">
              <w:rPr>
                <w:rFonts w:cs="Arial"/>
                <w:szCs w:val="22"/>
              </w:rPr>
              <w:t>Lorsque les</w:t>
            </w:r>
            <w:r w:rsidR="00341972" w:rsidRPr="00AC1BD2">
              <w:rPr>
                <w:rFonts w:cs="Arial"/>
                <w:szCs w:val="22"/>
              </w:rPr>
              <w:t xml:space="preserve"> </w:t>
            </w:r>
            <w:r w:rsidR="00741D75" w:rsidRPr="00AC1BD2">
              <w:rPr>
                <w:rFonts w:cs="Arial"/>
                <w:szCs w:val="22"/>
              </w:rPr>
              <w:t>savoirs traditionnels</w:t>
            </w:r>
            <w:r w:rsidR="00341972" w:rsidRPr="00AC1BD2">
              <w:rPr>
                <w:rFonts w:cs="Arial"/>
                <w:szCs w:val="22"/>
              </w:rPr>
              <w:t xml:space="preserve"> </w:t>
            </w:r>
            <w:r w:rsidR="00ED3145" w:rsidRPr="00AC1BD2">
              <w:rPr>
                <w:rFonts w:cs="Arial"/>
                <w:szCs w:val="22"/>
              </w:rPr>
              <w:t>sont largement diffusés/ne sont ni secrets ni peu diffusés</w:t>
            </w:r>
          </w:p>
        </w:tc>
      </w:tr>
      <w:tr w:rsidR="009C5891" w:rsidRPr="00AC1BD2" w14:paraId="4EF1F2CA" w14:textId="77777777" w:rsidTr="002B748A">
        <w:trPr>
          <w:cantSplit/>
        </w:trPr>
        <w:tc>
          <w:tcPr>
            <w:tcW w:w="1911" w:type="dxa"/>
            <w:shd w:val="clear" w:color="auto" w:fill="auto"/>
          </w:tcPr>
          <w:p w14:paraId="62086092" w14:textId="03C22F95" w:rsidR="009C5891" w:rsidRPr="00AC1BD2" w:rsidRDefault="00BA34E3" w:rsidP="00243A34">
            <w:pPr>
              <w:tabs>
                <w:tab w:val="left" w:pos="567"/>
              </w:tabs>
              <w:rPr>
                <w:rFonts w:cs="Arial"/>
                <w:szCs w:val="22"/>
              </w:rPr>
            </w:pPr>
            <w:r>
              <w:rPr>
                <w:rFonts w:cs="Arial"/>
                <w:szCs w:val="22"/>
              </w:rPr>
              <w:t>Variante </w:t>
            </w:r>
            <w:r w:rsidR="009C5891" w:rsidRPr="00AC1BD2">
              <w:rPr>
                <w:rFonts w:cs="Arial"/>
                <w:szCs w:val="22"/>
              </w:rPr>
              <w:t>2</w:t>
            </w:r>
          </w:p>
        </w:tc>
        <w:tc>
          <w:tcPr>
            <w:tcW w:w="4059" w:type="dxa"/>
            <w:shd w:val="clear" w:color="auto" w:fill="auto"/>
          </w:tcPr>
          <w:p w14:paraId="7059DC76" w14:textId="2A00C59B" w:rsidR="0039715D" w:rsidRPr="00AC1BD2" w:rsidRDefault="001D5BA4" w:rsidP="00243A34">
            <w:pPr>
              <w:tabs>
                <w:tab w:val="left" w:pos="567"/>
              </w:tabs>
              <w:rPr>
                <w:rFonts w:cs="Arial"/>
                <w:szCs w:val="22"/>
              </w:rPr>
            </w:pPr>
            <w:r w:rsidRPr="00AC1BD2">
              <w:rPr>
                <w:rFonts w:cs="Arial"/>
                <w:szCs w:val="22"/>
              </w:rPr>
              <w:t>a)</w:t>
            </w:r>
            <w:r w:rsidRPr="00AC1BD2">
              <w:rPr>
                <w:rFonts w:cs="Arial"/>
                <w:szCs w:val="22"/>
              </w:rPr>
              <w:tab/>
              <w:t xml:space="preserve">Les bénéficiaires aient le </w:t>
            </w:r>
            <w:r w:rsidRPr="00AC1BD2">
              <w:rPr>
                <w:rFonts w:cs="Arial"/>
                <w:b/>
                <w:szCs w:val="22"/>
              </w:rPr>
              <w:t>droit exclusif et collectif</w:t>
            </w:r>
            <w:r w:rsidRPr="00AC1BD2">
              <w:rPr>
                <w:rFonts w:cs="Arial"/>
                <w:szCs w:val="22"/>
              </w:rPr>
              <w:t xml:space="preserve"> de préserver, contrôler, utiliser et développer leurs savoirs traditionnels, d</w:t>
            </w:r>
            <w:r w:rsidR="00025CB1" w:rsidRPr="00AC1BD2">
              <w:rPr>
                <w:rFonts w:cs="Arial"/>
                <w:szCs w:val="22"/>
              </w:rPr>
              <w:t>’</w:t>
            </w:r>
            <w:r w:rsidRPr="00AC1BD2">
              <w:rPr>
                <w:rFonts w:cs="Arial"/>
                <w:szCs w:val="22"/>
              </w:rPr>
              <w:t>y autoriser ou d</w:t>
            </w:r>
            <w:r w:rsidR="00025CB1" w:rsidRPr="00AC1BD2">
              <w:rPr>
                <w:rFonts w:cs="Arial"/>
                <w:szCs w:val="22"/>
              </w:rPr>
              <w:t>’</w:t>
            </w:r>
            <w:r w:rsidRPr="00AC1BD2">
              <w:rPr>
                <w:rFonts w:cs="Arial"/>
                <w:szCs w:val="22"/>
              </w:rPr>
              <w:t>en prévenir l</w:t>
            </w:r>
            <w:r w:rsidR="00025CB1" w:rsidRPr="00AC1BD2">
              <w:rPr>
                <w:rFonts w:cs="Arial"/>
                <w:szCs w:val="22"/>
              </w:rPr>
              <w:t>’</w:t>
            </w:r>
            <w:r w:rsidRPr="00AC1BD2">
              <w:rPr>
                <w:rFonts w:cs="Arial"/>
                <w:szCs w:val="22"/>
              </w:rPr>
              <w:t>accès et l</w:t>
            </w:r>
            <w:r w:rsidR="00025CB1" w:rsidRPr="00AC1BD2">
              <w:rPr>
                <w:rFonts w:cs="Arial"/>
                <w:szCs w:val="22"/>
              </w:rPr>
              <w:t>’</w:t>
            </w:r>
            <w:r w:rsidRPr="00AC1BD2">
              <w:rPr>
                <w:rFonts w:cs="Arial"/>
                <w:szCs w:val="22"/>
              </w:rPr>
              <w:t>usage/l</w:t>
            </w:r>
            <w:r w:rsidR="00025CB1" w:rsidRPr="00AC1BD2">
              <w:rPr>
                <w:rFonts w:cs="Arial"/>
                <w:szCs w:val="22"/>
              </w:rPr>
              <w:t>’</w:t>
            </w:r>
            <w:r w:rsidRPr="00AC1BD2">
              <w:rPr>
                <w:rFonts w:cs="Arial"/>
                <w:szCs w:val="22"/>
              </w:rPr>
              <w:t>utilisation, et qu</w:t>
            </w:r>
            <w:r w:rsidR="00025CB1" w:rsidRPr="00AC1BD2">
              <w:rPr>
                <w:rFonts w:cs="Arial"/>
                <w:szCs w:val="22"/>
              </w:rPr>
              <w:t>’</w:t>
            </w:r>
            <w:r w:rsidRPr="00AC1BD2">
              <w:rPr>
                <w:rFonts w:cs="Arial"/>
                <w:szCs w:val="22"/>
              </w:rPr>
              <w:t>ils reçoivent une part juste et équitable des avantages découlant de leur usage.</w:t>
            </w:r>
          </w:p>
          <w:p w14:paraId="426BA03D" w14:textId="77777777" w:rsidR="0039715D" w:rsidRPr="00AC1BD2" w:rsidRDefault="0039715D" w:rsidP="00243A34">
            <w:pPr>
              <w:tabs>
                <w:tab w:val="left" w:pos="567"/>
              </w:tabs>
              <w:rPr>
                <w:rFonts w:cs="Arial"/>
                <w:szCs w:val="22"/>
              </w:rPr>
            </w:pPr>
          </w:p>
          <w:p w14:paraId="573C1BD9" w14:textId="3FFFD54E" w:rsidR="009C5891" w:rsidRPr="00AC1BD2" w:rsidRDefault="001D5BA4" w:rsidP="00243A34">
            <w:pPr>
              <w:tabs>
                <w:tab w:val="left" w:pos="567"/>
              </w:tabs>
              <w:rPr>
                <w:rFonts w:cs="Arial"/>
                <w:szCs w:val="22"/>
              </w:rPr>
            </w:pPr>
            <w:r w:rsidRPr="00AC1BD2">
              <w:rPr>
                <w:rFonts w:cs="Arial"/>
                <w:szCs w:val="22"/>
              </w:rPr>
              <w:t>b)</w:t>
            </w:r>
            <w:r w:rsidRPr="00AC1BD2">
              <w:rPr>
                <w:rFonts w:cs="Arial"/>
                <w:szCs w:val="22"/>
              </w:rPr>
              <w:tab/>
              <w:t>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w:t>
            </w:r>
          </w:p>
        </w:tc>
        <w:tc>
          <w:tcPr>
            <w:tcW w:w="4060" w:type="dxa"/>
            <w:shd w:val="clear" w:color="auto" w:fill="auto"/>
          </w:tcPr>
          <w:p w14:paraId="50E6575C" w14:textId="77777777" w:rsidR="00025CB1" w:rsidRPr="00AC1BD2" w:rsidRDefault="001D5BA4" w:rsidP="00243A34">
            <w:pPr>
              <w:tabs>
                <w:tab w:val="left" w:pos="567"/>
              </w:tabs>
              <w:rPr>
                <w:rFonts w:cs="Arial"/>
                <w:szCs w:val="22"/>
              </w:rPr>
            </w:pPr>
            <w:r w:rsidRPr="00AC1BD2">
              <w:rPr>
                <w:rFonts w:cs="Arial"/>
                <w:szCs w:val="22"/>
              </w:rPr>
              <w:t>a)</w:t>
            </w:r>
            <w:r w:rsidRPr="00AC1BD2">
              <w:rPr>
                <w:rFonts w:cs="Arial"/>
                <w:szCs w:val="22"/>
              </w:rPr>
              <w:tab/>
              <w:t>Les bénéficiaires reçoivent une part juste et équitable des avantages découlant de leur usage</w:t>
            </w:r>
            <w:r w:rsidR="00872695" w:rsidRPr="00AC1BD2">
              <w:rPr>
                <w:rFonts w:cs="Arial"/>
                <w:szCs w:val="22"/>
              </w:rPr>
              <w:t>.</w:t>
            </w:r>
          </w:p>
          <w:p w14:paraId="3ED4F0F1" w14:textId="531467FE" w:rsidR="0039715D" w:rsidRPr="00AC1BD2" w:rsidRDefault="0039715D" w:rsidP="00243A34">
            <w:pPr>
              <w:tabs>
                <w:tab w:val="left" w:pos="567"/>
              </w:tabs>
              <w:rPr>
                <w:rFonts w:cs="Arial"/>
                <w:szCs w:val="22"/>
              </w:rPr>
            </w:pPr>
          </w:p>
          <w:p w14:paraId="6567325C" w14:textId="77777777" w:rsidR="00025CB1" w:rsidRPr="00AC1BD2" w:rsidRDefault="001D5BA4" w:rsidP="00243A34">
            <w:pPr>
              <w:tabs>
                <w:tab w:val="left" w:pos="567"/>
              </w:tabs>
              <w:rPr>
                <w:rFonts w:cs="Arial"/>
                <w:szCs w:val="22"/>
              </w:rPr>
            </w:pPr>
            <w:r w:rsidRPr="00AC1BD2">
              <w:rPr>
                <w:rFonts w:cs="Arial"/>
                <w:szCs w:val="22"/>
              </w:rPr>
              <w:t>b)</w:t>
            </w:r>
            <w:r w:rsidRPr="00AC1BD2">
              <w:rPr>
                <w:rFonts w:cs="Arial"/>
                <w:szCs w:val="22"/>
              </w:rPr>
              <w:tab/>
              <w:t>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w:t>
            </w:r>
            <w:r w:rsidR="00872695" w:rsidRPr="00AC1BD2">
              <w:rPr>
                <w:rFonts w:cs="Arial"/>
                <w:szCs w:val="22"/>
              </w:rPr>
              <w:t>.</w:t>
            </w:r>
          </w:p>
          <w:p w14:paraId="7BD52470" w14:textId="2FB24754" w:rsidR="009C5891" w:rsidRPr="00AC1BD2" w:rsidRDefault="00AA501B" w:rsidP="00243A34">
            <w:pPr>
              <w:tabs>
                <w:tab w:val="left" w:pos="567"/>
              </w:tabs>
              <w:rPr>
                <w:rFonts w:cs="Arial"/>
                <w:szCs w:val="22"/>
              </w:rPr>
            </w:pPr>
            <w:r w:rsidRPr="00AC1BD2">
              <w:rPr>
                <w:rFonts w:cs="Arial"/>
                <w:szCs w:val="22"/>
              </w:rPr>
              <w:t>(</w:t>
            </w:r>
            <w:r w:rsidR="00ED3145" w:rsidRPr="00AC1BD2">
              <w:rPr>
                <w:rFonts w:cs="Arial"/>
                <w:szCs w:val="22"/>
              </w:rPr>
              <w:t>comme</w:t>
            </w:r>
            <w:r w:rsidRPr="00AC1BD2">
              <w:rPr>
                <w:rFonts w:cs="Arial"/>
                <w:szCs w:val="22"/>
              </w:rPr>
              <w:t xml:space="preserve"> </w:t>
            </w:r>
            <w:proofErr w:type="spellStart"/>
            <w:r w:rsidRPr="00AC1BD2">
              <w:rPr>
                <w:rFonts w:cs="Arial"/>
                <w:szCs w:val="22"/>
              </w:rPr>
              <w:t>3.1</w:t>
            </w:r>
            <w:r w:rsidR="001D5BA4" w:rsidRPr="00AC1BD2">
              <w:rPr>
                <w:rFonts w:cs="Arial"/>
                <w:szCs w:val="22"/>
              </w:rPr>
              <w:t>.</w:t>
            </w:r>
            <w:r w:rsidRPr="00AC1BD2">
              <w:rPr>
                <w:rFonts w:cs="Arial"/>
                <w:szCs w:val="22"/>
              </w:rPr>
              <w:t>b</w:t>
            </w:r>
            <w:proofErr w:type="spellEnd"/>
            <w:r w:rsidRPr="00AC1BD2">
              <w:rPr>
                <w:rFonts w:cs="Arial"/>
                <w:szCs w:val="22"/>
              </w:rPr>
              <w:t>))</w:t>
            </w:r>
            <w:r w:rsidR="008C13A9" w:rsidRPr="00AC1BD2">
              <w:rPr>
                <w:rFonts w:cs="Arial"/>
                <w:szCs w:val="22"/>
              </w:rPr>
              <w:t>.</w:t>
            </w:r>
          </w:p>
        </w:tc>
        <w:tc>
          <w:tcPr>
            <w:tcW w:w="4060" w:type="dxa"/>
            <w:shd w:val="clear" w:color="auto" w:fill="auto"/>
          </w:tcPr>
          <w:p w14:paraId="3AE3C464" w14:textId="23528673" w:rsidR="009C5891" w:rsidRPr="00AC1BD2" w:rsidRDefault="001D5BA4" w:rsidP="00243A34">
            <w:pPr>
              <w:tabs>
                <w:tab w:val="left" w:pos="567"/>
              </w:tabs>
              <w:rPr>
                <w:rFonts w:cs="Arial"/>
                <w:szCs w:val="22"/>
              </w:rPr>
            </w:pPr>
            <w:r w:rsidRPr="00AC1BD2">
              <w:rPr>
                <w:rFonts w:cs="Arial"/>
                <w:szCs w:val="22"/>
              </w:rPr>
              <w:t>Les États membres devraient s</w:t>
            </w:r>
            <w:r w:rsidR="00025CB1" w:rsidRPr="00AC1BD2">
              <w:rPr>
                <w:rFonts w:cs="Arial"/>
                <w:szCs w:val="22"/>
              </w:rPr>
              <w:t>’</w:t>
            </w:r>
            <w:r w:rsidRPr="00AC1BD2">
              <w:rPr>
                <w:rFonts w:cs="Arial"/>
                <w:szCs w:val="22"/>
              </w:rPr>
              <w:t>efforcer, en consultation avec les communautés autochtones et locales, de protéger l</w:t>
            </w:r>
            <w:r w:rsidR="00025CB1" w:rsidRPr="00AC1BD2">
              <w:rPr>
                <w:rFonts w:cs="Arial"/>
                <w:szCs w:val="22"/>
              </w:rPr>
              <w:t>’</w:t>
            </w:r>
            <w:r w:rsidRPr="00AC1BD2">
              <w:rPr>
                <w:rFonts w:cs="Arial"/>
                <w:szCs w:val="22"/>
              </w:rPr>
              <w:t>intégrité des savoirs traditionnels qui sont largement diffusés.</w:t>
            </w:r>
          </w:p>
        </w:tc>
      </w:tr>
      <w:tr w:rsidR="009C5891" w:rsidRPr="00AC1BD2" w14:paraId="7D83E48E" w14:textId="77777777" w:rsidTr="002B748A">
        <w:trPr>
          <w:cantSplit/>
        </w:trPr>
        <w:tc>
          <w:tcPr>
            <w:tcW w:w="1911" w:type="dxa"/>
            <w:shd w:val="clear" w:color="auto" w:fill="auto"/>
          </w:tcPr>
          <w:p w14:paraId="32FC0DA5" w14:textId="1808237E" w:rsidR="009C5891" w:rsidRPr="00AC1BD2" w:rsidRDefault="00244130" w:rsidP="00243A34">
            <w:pPr>
              <w:tabs>
                <w:tab w:val="left" w:pos="567"/>
              </w:tabs>
              <w:rPr>
                <w:rFonts w:cs="Arial"/>
                <w:szCs w:val="22"/>
              </w:rPr>
            </w:pPr>
            <w:r w:rsidRPr="00AC1BD2">
              <w:rPr>
                <w:rFonts w:cs="Arial"/>
                <w:szCs w:val="22"/>
              </w:rPr>
              <w:lastRenderedPageBreak/>
              <w:t>Variante</w:t>
            </w:r>
            <w:r w:rsidR="00BD0A6E" w:rsidRPr="00AC1BD2">
              <w:rPr>
                <w:rFonts w:cs="Arial"/>
                <w:szCs w:val="22"/>
              </w:rPr>
              <w:t> </w:t>
            </w:r>
            <w:r w:rsidR="009C5891" w:rsidRPr="00AC1BD2">
              <w:rPr>
                <w:rFonts w:cs="Arial"/>
                <w:szCs w:val="22"/>
              </w:rPr>
              <w:t>3</w:t>
            </w:r>
          </w:p>
        </w:tc>
        <w:tc>
          <w:tcPr>
            <w:tcW w:w="4059" w:type="dxa"/>
            <w:shd w:val="clear" w:color="auto" w:fill="auto"/>
          </w:tcPr>
          <w:p w14:paraId="5948472D" w14:textId="22B44740" w:rsidR="009C5891" w:rsidRPr="00AC1BD2" w:rsidRDefault="00ED3145" w:rsidP="00243A34">
            <w:pPr>
              <w:tabs>
                <w:tab w:val="left" w:pos="567"/>
              </w:tabs>
              <w:rPr>
                <w:rFonts w:cs="Arial"/>
                <w:szCs w:val="22"/>
              </w:rPr>
            </w:pPr>
            <w:r w:rsidRPr="00AC1BD2">
              <w:rPr>
                <w:rFonts w:cs="Arial"/>
                <w:szCs w:val="22"/>
              </w:rPr>
              <w:t>Identique à la variante</w:t>
            </w:r>
            <w:r w:rsidR="00BD0A6E" w:rsidRPr="00AC1BD2">
              <w:rPr>
                <w:rFonts w:cs="Arial"/>
                <w:szCs w:val="22"/>
              </w:rPr>
              <w:t> </w:t>
            </w:r>
            <w:r w:rsidR="008C13A9" w:rsidRPr="00AC1BD2">
              <w:rPr>
                <w:rFonts w:cs="Arial"/>
                <w:szCs w:val="22"/>
              </w:rPr>
              <w:t>2</w:t>
            </w:r>
          </w:p>
        </w:tc>
        <w:tc>
          <w:tcPr>
            <w:tcW w:w="4060" w:type="dxa"/>
            <w:shd w:val="clear" w:color="auto" w:fill="auto"/>
          </w:tcPr>
          <w:p w14:paraId="44DF6DAD" w14:textId="17811534" w:rsidR="009C5891" w:rsidRPr="00AC1BD2" w:rsidRDefault="00ED3145" w:rsidP="00243A34">
            <w:pPr>
              <w:tabs>
                <w:tab w:val="left" w:pos="567"/>
              </w:tabs>
              <w:rPr>
                <w:rFonts w:cs="Arial"/>
                <w:szCs w:val="22"/>
              </w:rPr>
            </w:pPr>
            <w:r w:rsidRPr="00AC1BD2">
              <w:rPr>
                <w:rFonts w:cs="Arial"/>
                <w:szCs w:val="22"/>
              </w:rPr>
              <w:t>Identique à la variante</w:t>
            </w:r>
            <w:r w:rsidR="00BD0A6E" w:rsidRPr="00AC1BD2">
              <w:rPr>
                <w:rFonts w:cs="Arial"/>
                <w:szCs w:val="22"/>
              </w:rPr>
              <w:t> </w:t>
            </w:r>
            <w:r w:rsidR="008C13A9" w:rsidRPr="00AC1BD2">
              <w:rPr>
                <w:rFonts w:cs="Arial"/>
                <w:szCs w:val="22"/>
              </w:rPr>
              <w:t>2</w:t>
            </w:r>
          </w:p>
        </w:tc>
        <w:tc>
          <w:tcPr>
            <w:tcW w:w="4060" w:type="dxa"/>
            <w:shd w:val="clear" w:color="auto" w:fill="auto"/>
          </w:tcPr>
          <w:p w14:paraId="243FD945" w14:textId="77777777" w:rsidR="0039715D" w:rsidRPr="00AC1BD2" w:rsidRDefault="001D5BA4" w:rsidP="00243A34">
            <w:pPr>
              <w:tabs>
                <w:tab w:val="left" w:pos="567"/>
              </w:tabs>
              <w:rPr>
                <w:rFonts w:cs="Arial"/>
                <w:szCs w:val="22"/>
              </w:rPr>
            </w:pPr>
            <w:r w:rsidRPr="00AC1BD2">
              <w:rPr>
                <w:rFonts w:cs="Arial"/>
                <w:szCs w:val="22"/>
              </w:rPr>
              <w:t>a)</w:t>
            </w:r>
            <w:r w:rsidRPr="00AC1BD2">
              <w:rPr>
                <w:rFonts w:cs="Arial"/>
                <w:szCs w:val="22"/>
              </w:rPr>
              <w:tab/>
              <w:t>Attribuent les savoirs traditionnels aux bénéficiaires;</w:t>
            </w:r>
          </w:p>
          <w:p w14:paraId="407EF8A5" w14:textId="77777777" w:rsidR="0039715D" w:rsidRPr="00AC1BD2" w:rsidRDefault="0039715D" w:rsidP="00243A34">
            <w:pPr>
              <w:tabs>
                <w:tab w:val="left" w:pos="567"/>
              </w:tabs>
              <w:rPr>
                <w:rFonts w:cs="Arial"/>
                <w:szCs w:val="22"/>
              </w:rPr>
            </w:pPr>
          </w:p>
          <w:p w14:paraId="72554161" w14:textId="77777777" w:rsidR="0039715D" w:rsidRPr="00AC1BD2" w:rsidRDefault="001D5BA4" w:rsidP="00243A34">
            <w:pPr>
              <w:tabs>
                <w:tab w:val="left" w:pos="567"/>
              </w:tabs>
              <w:rPr>
                <w:rFonts w:cs="Arial"/>
                <w:szCs w:val="22"/>
              </w:rPr>
            </w:pPr>
            <w:r w:rsidRPr="00AC1BD2">
              <w:rPr>
                <w:rFonts w:cs="Arial"/>
                <w:szCs w:val="22"/>
              </w:rPr>
              <w:t>b)</w:t>
            </w:r>
            <w:r w:rsidRPr="00AC1BD2">
              <w:rPr>
                <w:rFonts w:cs="Arial"/>
                <w:szCs w:val="22"/>
              </w:rPr>
              <w:tab/>
              <w:t>utilisent les savoirs de façon à respecter les normes et pratiques culturelles des bénéficiaires, ainsi que la nature inaliénable, indivisible et imprescriptible des droits moraux associés aux savoirs traditionnels;  et</w:t>
            </w:r>
          </w:p>
          <w:p w14:paraId="4BBA253E" w14:textId="77777777" w:rsidR="0039715D" w:rsidRPr="00AC1BD2" w:rsidRDefault="0039715D" w:rsidP="00243A34">
            <w:pPr>
              <w:tabs>
                <w:tab w:val="left" w:pos="567"/>
              </w:tabs>
              <w:rPr>
                <w:rFonts w:cs="Arial"/>
                <w:szCs w:val="22"/>
              </w:rPr>
            </w:pPr>
          </w:p>
          <w:p w14:paraId="5F8E9F58" w14:textId="3F59746E" w:rsidR="009C5891" w:rsidRPr="00AC1BD2" w:rsidRDefault="001D5BA4" w:rsidP="00243A34">
            <w:pPr>
              <w:tabs>
                <w:tab w:val="left" w:pos="567"/>
              </w:tabs>
              <w:rPr>
                <w:rFonts w:cs="Arial"/>
                <w:szCs w:val="22"/>
              </w:rPr>
            </w:pPr>
            <w:r w:rsidRPr="00AC1BD2">
              <w:rPr>
                <w:rFonts w:cs="Arial"/>
                <w:szCs w:val="22"/>
              </w:rPr>
              <w:t>c)</w:t>
            </w:r>
            <w:r w:rsidRPr="00AC1BD2">
              <w:rPr>
                <w:rFonts w:cs="Arial"/>
                <w:szCs w:val="22"/>
              </w:rPr>
              <w:tab/>
              <w:t>déposent, le cas échéant, toute redevance d</w:t>
            </w:r>
            <w:r w:rsidR="00025CB1" w:rsidRPr="00AC1BD2">
              <w:rPr>
                <w:rFonts w:cs="Arial"/>
                <w:szCs w:val="22"/>
              </w:rPr>
              <w:t>’</w:t>
            </w:r>
            <w:r w:rsidRPr="00AC1BD2">
              <w:rPr>
                <w:rFonts w:cs="Arial"/>
                <w:szCs w:val="22"/>
              </w:rPr>
              <w:t>utilisation dans le fonds constitué par ces États membres, sauf dans les cas où l</w:t>
            </w:r>
            <w:r w:rsidR="00025CB1" w:rsidRPr="00AC1BD2">
              <w:rPr>
                <w:rFonts w:cs="Arial"/>
                <w:szCs w:val="22"/>
              </w:rPr>
              <w:t>’</w:t>
            </w:r>
            <w:r w:rsidRPr="00AC1BD2">
              <w:rPr>
                <w:rFonts w:cs="Arial"/>
                <w:szCs w:val="22"/>
              </w:rPr>
              <w:t>usage est pour la recherche</w:t>
            </w:r>
            <w:r w:rsidR="00243A34" w:rsidRPr="00AC1BD2">
              <w:rPr>
                <w:rFonts w:cs="Arial"/>
                <w:szCs w:val="22"/>
              </w:rPr>
              <w:noBreakHyphen/>
            </w:r>
            <w:r w:rsidRPr="00AC1BD2">
              <w:rPr>
                <w:rFonts w:cs="Arial"/>
                <w:szCs w:val="22"/>
              </w:rPr>
              <w:t>développement menée aux fins de l</w:t>
            </w:r>
            <w:r w:rsidR="00025CB1" w:rsidRPr="00AC1BD2">
              <w:rPr>
                <w:rFonts w:cs="Arial"/>
                <w:szCs w:val="22"/>
              </w:rPr>
              <w:t>’</w:t>
            </w:r>
            <w:r w:rsidRPr="00AC1BD2">
              <w:rPr>
                <w:rFonts w:cs="Arial"/>
                <w:szCs w:val="22"/>
              </w:rPr>
              <w:t>élaboration de produits ou procédés nouveaux et utiles, et dans ces cas, versent aux bénéficiaires une part juste et équitable des avantages tirés de l</w:t>
            </w:r>
            <w:r w:rsidR="00025CB1" w:rsidRPr="00AC1BD2">
              <w:rPr>
                <w:rFonts w:cs="Arial"/>
                <w:szCs w:val="22"/>
              </w:rPr>
              <w:t>’</w:t>
            </w:r>
            <w:r w:rsidRPr="00AC1BD2">
              <w:rPr>
                <w:rFonts w:cs="Arial"/>
                <w:szCs w:val="22"/>
              </w:rPr>
              <w:t>usage des savoirs traditionnels, en vertu de l</w:t>
            </w:r>
            <w:r w:rsidR="00025CB1" w:rsidRPr="00AC1BD2">
              <w:rPr>
                <w:rFonts w:cs="Arial"/>
                <w:szCs w:val="22"/>
              </w:rPr>
              <w:t>’</w:t>
            </w:r>
            <w:r w:rsidRPr="00AC1BD2">
              <w:rPr>
                <w:rFonts w:cs="Arial"/>
                <w:szCs w:val="22"/>
              </w:rPr>
              <w:t>application du principe de consentement éclairé en connaissance de cause et dans des conditions convenues d</w:t>
            </w:r>
            <w:r w:rsidR="00025CB1" w:rsidRPr="00AC1BD2">
              <w:rPr>
                <w:rFonts w:cs="Arial"/>
                <w:szCs w:val="22"/>
              </w:rPr>
              <w:t>’</w:t>
            </w:r>
            <w:r w:rsidRPr="00AC1BD2">
              <w:rPr>
                <w:rFonts w:cs="Arial"/>
                <w:szCs w:val="22"/>
              </w:rPr>
              <w:t>un commun accord.</w:t>
            </w:r>
          </w:p>
        </w:tc>
      </w:tr>
      <w:tr w:rsidR="009C5891" w:rsidRPr="00AC1BD2" w14:paraId="38244633" w14:textId="77777777" w:rsidTr="002B748A">
        <w:trPr>
          <w:cantSplit/>
        </w:trPr>
        <w:tc>
          <w:tcPr>
            <w:tcW w:w="1911" w:type="dxa"/>
            <w:shd w:val="clear" w:color="auto" w:fill="auto"/>
          </w:tcPr>
          <w:p w14:paraId="47E429E0" w14:textId="69BED7F0" w:rsidR="009C5891" w:rsidRPr="00AC1BD2" w:rsidRDefault="00244130" w:rsidP="00243A34">
            <w:pPr>
              <w:tabs>
                <w:tab w:val="left" w:pos="567"/>
              </w:tabs>
              <w:rPr>
                <w:rFonts w:cs="Arial"/>
                <w:szCs w:val="22"/>
              </w:rPr>
            </w:pPr>
            <w:r w:rsidRPr="00AC1BD2">
              <w:rPr>
                <w:rFonts w:cs="Arial"/>
                <w:szCs w:val="22"/>
              </w:rPr>
              <w:t>Variante</w:t>
            </w:r>
            <w:r w:rsidR="00BD0A6E" w:rsidRPr="00AC1BD2">
              <w:rPr>
                <w:rFonts w:cs="Arial"/>
                <w:szCs w:val="22"/>
              </w:rPr>
              <w:t> </w:t>
            </w:r>
            <w:r w:rsidR="009C5891" w:rsidRPr="00AC1BD2">
              <w:rPr>
                <w:rFonts w:cs="Arial"/>
                <w:szCs w:val="22"/>
              </w:rPr>
              <w:t>4</w:t>
            </w:r>
          </w:p>
        </w:tc>
        <w:tc>
          <w:tcPr>
            <w:tcW w:w="4059" w:type="dxa"/>
            <w:shd w:val="clear" w:color="auto" w:fill="auto"/>
          </w:tcPr>
          <w:p w14:paraId="38496A38" w14:textId="55AEA5B2" w:rsidR="0039715D" w:rsidRPr="00AC1BD2" w:rsidRDefault="008C13A9" w:rsidP="00243A34">
            <w:pPr>
              <w:tabs>
                <w:tab w:val="left" w:pos="567"/>
              </w:tabs>
              <w:rPr>
                <w:rFonts w:cs="Arial"/>
                <w:szCs w:val="22"/>
              </w:rPr>
            </w:pPr>
            <w:r w:rsidRPr="00AC1BD2">
              <w:rPr>
                <w:rFonts w:cs="Arial"/>
                <w:szCs w:val="22"/>
              </w:rPr>
              <w:t>a)</w:t>
            </w:r>
            <w:r w:rsidRPr="00AC1BD2">
              <w:rPr>
                <w:rFonts w:cs="Arial"/>
                <w:szCs w:val="22"/>
              </w:rPr>
              <w:tab/>
            </w:r>
            <w:r w:rsidR="00ED3145" w:rsidRPr="00AC1BD2">
              <w:rPr>
                <w:rFonts w:cs="Arial"/>
                <w:szCs w:val="22"/>
              </w:rPr>
              <w:t>Identique à la variante</w:t>
            </w:r>
            <w:r w:rsidR="00BD0A6E" w:rsidRPr="00AC1BD2">
              <w:rPr>
                <w:rFonts w:cs="Arial"/>
                <w:szCs w:val="22"/>
              </w:rPr>
              <w:t> </w:t>
            </w:r>
            <w:r w:rsidR="008356BA" w:rsidRPr="00AC1BD2">
              <w:rPr>
                <w:rFonts w:cs="Arial"/>
                <w:szCs w:val="22"/>
              </w:rPr>
              <w:t xml:space="preserve">2, </w:t>
            </w:r>
            <w:r w:rsidR="00ED3145" w:rsidRPr="00AC1BD2">
              <w:rPr>
                <w:rFonts w:cs="Arial"/>
                <w:szCs w:val="22"/>
              </w:rPr>
              <w:t xml:space="preserve">le terme </w:t>
            </w:r>
            <w:r w:rsidR="006A37B6" w:rsidRPr="00AC1BD2">
              <w:rPr>
                <w:rFonts w:cs="Arial"/>
                <w:szCs w:val="22"/>
              </w:rPr>
              <w:t>“</w:t>
            </w:r>
            <w:r w:rsidR="00ED3145" w:rsidRPr="00AC1BD2">
              <w:rPr>
                <w:rFonts w:cs="Arial"/>
                <w:szCs w:val="22"/>
              </w:rPr>
              <w:t>protégé</w:t>
            </w:r>
            <w:r w:rsidR="00EF24BB" w:rsidRPr="00AC1BD2">
              <w:rPr>
                <w:rFonts w:cs="Arial"/>
                <w:szCs w:val="22"/>
              </w:rPr>
              <w:t>s”</w:t>
            </w:r>
            <w:r w:rsidR="00ED3145" w:rsidRPr="00AC1BD2">
              <w:rPr>
                <w:rFonts w:cs="Arial"/>
                <w:szCs w:val="22"/>
              </w:rPr>
              <w:t xml:space="preserve"> étant ajouté à l</w:t>
            </w:r>
            <w:r w:rsidR="00025CB1" w:rsidRPr="00AC1BD2">
              <w:rPr>
                <w:rFonts w:cs="Arial"/>
                <w:szCs w:val="22"/>
              </w:rPr>
              <w:t>’</w:t>
            </w:r>
            <w:r w:rsidR="00ED3145" w:rsidRPr="00AC1BD2">
              <w:rPr>
                <w:rFonts w:cs="Arial"/>
                <w:szCs w:val="22"/>
              </w:rPr>
              <w:t>expression</w:t>
            </w:r>
            <w:r w:rsidR="008356BA" w:rsidRPr="00AC1BD2">
              <w:rPr>
                <w:rFonts w:cs="Arial"/>
                <w:szCs w:val="22"/>
              </w:rPr>
              <w:t xml:space="preserve"> </w:t>
            </w:r>
            <w:r w:rsidR="00EF24BB" w:rsidRPr="00AC1BD2">
              <w:rPr>
                <w:rFonts w:cs="Arial"/>
                <w:szCs w:val="22"/>
              </w:rPr>
              <w:t>“</w:t>
            </w:r>
            <w:r w:rsidR="00741D75" w:rsidRPr="00AC1BD2">
              <w:rPr>
                <w:rFonts w:cs="Arial"/>
                <w:szCs w:val="22"/>
              </w:rPr>
              <w:t>savoirs traditionnels</w:t>
            </w:r>
            <w:r w:rsidR="00EF24BB" w:rsidRPr="00AC1BD2">
              <w:rPr>
                <w:rFonts w:cs="Arial"/>
                <w:szCs w:val="22"/>
              </w:rPr>
              <w:t>”</w:t>
            </w:r>
            <w:r w:rsidRPr="00AC1BD2">
              <w:rPr>
                <w:rFonts w:cs="Arial"/>
                <w:szCs w:val="22"/>
              </w:rPr>
              <w:t>.</w:t>
            </w:r>
          </w:p>
          <w:p w14:paraId="737CAA73" w14:textId="77777777" w:rsidR="0039715D" w:rsidRPr="00AC1BD2" w:rsidRDefault="0039715D" w:rsidP="00243A34">
            <w:pPr>
              <w:tabs>
                <w:tab w:val="left" w:pos="567"/>
              </w:tabs>
              <w:rPr>
                <w:rFonts w:cs="Arial"/>
                <w:szCs w:val="22"/>
              </w:rPr>
            </w:pPr>
          </w:p>
          <w:p w14:paraId="7EF7307B" w14:textId="28177362" w:rsidR="0039715D" w:rsidRPr="00AC1BD2" w:rsidRDefault="008356BA" w:rsidP="00243A34">
            <w:pPr>
              <w:tabs>
                <w:tab w:val="left" w:pos="567"/>
              </w:tabs>
              <w:rPr>
                <w:rFonts w:cs="Arial"/>
                <w:szCs w:val="22"/>
              </w:rPr>
            </w:pPr>
            <w:r w:rsidRPr="00AC1BD2">
              <w:rPr>
                <w:rFonts w:cs="Arial"/>
                <w:szCs w:val="22"/>
              </w:rPr>
              <w:t>b)</w:t>
            </w:r>
            <w:r w:rsidRPr="00AC1BD2">
              <w:rPr>
                <w:rFonts w:cs="Arial"/>
                <w:szCs w:val="22"/>
              </w:rPr>
              <w:tab/>
            </w:r>
            <w:r w:rsidR="00ED3145" w:rsidRPr="00AC1BD2">
              <w:rPr>
                <w:rFonts w:cs="Arial"/>
                <w:szCs w:val="22"/>
              </w:rPr>
              <w:t>Identique à la variante</w:t>
            </w:r>
            <w:r w:rsidR="00BD0A6E" w:rsidRPr="00AC1BD2">
              <w:rPr>
                <w:rFonts w:cs="Arial"/>
                <w:szCs w:val="22"/>
              </w:rPr>
              <w:t> </w:t>
            </w:r>
            <w:r w:rsidRPr="00AC1BD2">
              <w:rPr>
                <w:rFonts w:cs="Arial"/>
                <w:szCs w:val="22"/>
              </w:rPr>
              <w:t xml:space="preserve">2, </w:t>
            </w:r>
            <w:r w:rsidR="00ED3145" w:rsidRPr="00AC1BD2">
              <w:rPr>
                <w:rFonts w:cs="Arial"/>
                <w:szCs w:val="22"/>
              </w:rPr>
              <w:t xml:space="preserve">le terme </w:t>
            </w:r>
            <w:r w:rsidR="006A37B6" w:rsidRPr="00AC1BD2">
              <w:rPr>
                <w:rFonts w:cs="Arial"/>
                <w:szCs w:val="22"/>
              </w:rPr>
              <w:t>“</w:t>
            </w:r>
            <w:r w:rsidR="00ED3145" w:rsidRPr="00AC1BD2">
              <w:rPr>
                <w:rFonts w:cs="Arial"/>
                <w:szCs w:val="22"/>
              </w:rPr>
              <w:t>protégé</w:t>
            </w:r>
            <w:r w:rsidR="00BD7120" w:rsidRPr="00AC1BD2">
              <w:rPr>
                <w:rFonts w:cs="Arial"/>
                <w:szCs w:val="22"/>
              </w:rPr>
              <w:t>s”</w:t>
            </w:r>
            <w:r w:rsidR="00ED3145" w:rsidRPr="00AC1BD2">
              <w:rPr>
                <w:rFonts w:cs="Arial"/>
                <w:szCs w:val="22"/>
              </w:rPr>
              <w:t xml:space="preserve"> étant ajouté à l</w:t>
            </w:r>
            <w:r w:rsidR="00025CB1" w:rsidRPr="00AC1BD2">
              <w:rPr>
                <w:rFonts w:cs="Arial"/>
                <w:szCs w:val="22"/>
              </w:rPr>
              <w:t>’</w:t>
            </w:r>
            <w:r w:rsidR="00ED3145" w:rsidRPr="00AC1BD2">
              <w:rPr>
                <w:rFonts w:cs="Arial"/>
                <w:szCs w:val="22"/>
              </w:rPr>
              <w:t>expression</w:t>
            </w:r>
            <w:r w:rsidR="006A37B6" w:rsidRPr="00AC1BD2">
              <w:rPr>
                <w:rFonts w:cs="Arial"/>
                <w:szCs w:val="22"/>
              </w:rPr>
              <w:t xml:space="preserve"> “</w:t>
            </w:r>
            <w:r w:rsidR="00ED3145" w:rsidRPr="00AC1BD2">
              <w:rPr>
                <w:rFonts w:cs="Arial"/>
                <w:szCs w:val="22"/>
              </w:rPr>
              <w:t>savoirs traditionnels</w:t>
            </w:r>
            <w:r w:rsidR="00EF24BB" w:rsidRPr="00AC1BD2">
              <w:rPr>
                <w:rFonts w:cs="Arial"/>
                <w:szCs w:val="22"/>
              </w:rPr>
              <w:t>”</w:t>
            </w:r>
            <w:r w:rsidR="00ED3145" w:rsidRPr="00AC1BD2">
              <w:rPr>
                <w:rFonts w:cs="Arial"/>
                <w:szCs w:val="22"/>
              </w:rPr>
              <w:t>.</w:t>
            </w:r>
          </w:p>
          <w:p w14:paraId="4867BE30" w14:textId="10A40241" w:rsidR="009C5891" w:rsidRPr="00AC1BD2" w:rsidRDefault="009C5891" w:rsidP="00243A34">
            <w:pPr>
              <w:tabs>
                <w:tab w:val="left" w:pos="567"/>
              </w:tabs>
              <w:rPr>
                <w:rFonts w:cs="Arial"/>
                <w:szCs w:val="22"/>
              </w:rPr>
            </w:pPr>
          </w:p>
        </w:tc>
        <w:tc>
          <w:tcPr>
            <w:tcW w:w="4060" w:type="dxa"/>
            <w:shd w:val="clear" w:color="auto" w:fill="auto"/>
          </w:tcPr>
          <w:p w14:paraId="4992C29D" w14:textId="673D2341" w:rsidR="00025CB1" w:rsidRPr="00AC1BD2" w:rsidRDefault="008C13A9" w:rsidP="00243A34">
            <w:pPr>
              <w:tabs>
                <w:tab w:val="left" w:pos="567"/>
              </w:tabs>
              <w:rPr>
                <w:rFonts w:cs="Arial"/>
                <w:szCs w:val="22"/>
              </w:rPr>
            </w:pPr>
            <w:r w:rsidRPr="00AC1BD2">
              <w:rPr>
                <w:rFonts w:cs="Arial"/>
                <w:szCs w:val="22"/>
              </w:rPr>
              <w:t>a)</w:t>
            </w:r>
            <w:r w:rsidRPr="00AC1BD2">
              <w:rPr>
                <w:rFonts w:cs="Arial"/>
                <w:szCs w:val="22"/>
              </w:rPr>
              <w:tab/>
            </w:r>
            <w:r w:rsidR="00ED3145" w:rsidRPr="00AC1BD2">
              <w:rPr>
                <w:rFonts w:cs="Arial"/>
                <w:szCs w:val="22"/>
              </w:rPr>
              <w:t>Identique à la variante</w:t>
            </w:r>
            <w:r w:rsidR="00BD0A6E" w:rsidRPr="00AC1BD2">
              <w:rPr>
                <w:rFonts w:cs="Arial"/>
                <w:szCs w:val="22"/>
              </w:rPr>
              <w:t> </w:t>
            </w:r>
            <w:r w:rsidR="008356BA" w:rsidRPr="00AC1BD2">
              <w:rPr>
                <w:rFonts w:cs="Arial"/>
                <w:szCs w:val="22"/>
              </w:rPr>
              <w:t xml:space="preserve">2 </w:t>
            </w:r>
            <w:r w:rsidR="00ED3145" w:rsidRPr="00AC1BD2">
              <w:rPr>
                <w:rFonts w:cs="Arial"/>
                <w:szCs w:val="22"/>
              </w:rPr>
              <w:t>et</w:t>
            </w:r>
          </w:p>
          <w:p w14:paraId="701699B9" w14:textId="6C1A5744" w:rsidR="0039715D" w:rsidRPr="00AC1BD2" w:rsidRDefault="0039715D" w:rsidP="00243A34">
            <w:pPr>
              <w:tabs>
                <w:tab w:val="left" w:pos="567"/>
              </w:tabs>
              <w:rPr>
                <w:rFonts w:cs="Arial"/>
                <w:szCs w:val="22"/>
              </w:rPr>
            </w:pPr>
          </w:p>
          <w:p w14:paraId="577EF873" w14:textId="32B86666" w:rsidR="0039715D" w:rsidRPr="00AC1BD2" w:rsidRDefault="008C13A9" w:rsidP="00243A34">
            <w:pPr>
              <w:tabs>
                <w:tab w:val="left" w:pos="567"/>
              </w:tabs>
              <w:rPr>
                <w:rFonts w:cs="Arial"/>
                <w:szCs w:val="22"/>
              </w:rPr>
            </w:pPr>
            <w:r w:rsidRPr="00AC1BD2">
              <w:rPr>
                <w:rFonts w:cs="Arial"/>
                <w:szCs w:val="22"/>
              </w:rPr>
              <w:t>b)</w:t>
            </w:r>
            <w:r w:rsidRPr="00AC1BD2">
              <w:rPr>
                <w:rFonts w:cs="Arial"/>
                <w:szCs w:val="22"/>
              </w:rPr>
              <w:tab/>
            </w:r>
            <w:r w:rsidR="00A70AF1">
              <w:rPr>
                <w:rFonts w:cs="Arial"/>
                <w:szCs w:val="22"/>
              </w:rPr>
              <w:t>i</w:t>
            </w:r>
            <w:r w:rsidR="00ED3145" w:rsidRPr="00AC1BD2">
              <w:rPr>
                <w:rFonts w:cs="Arial"/>
                <w:szCs w:val="22"/>
              </w:rPr>
              <w:t>dentique à la variante</w:t>
            </w:r>
            <w:r w:rsidR="00BD0A6E" w:rsidRPr="00AC1BD2">
              <w:rPr>
                <w:rFonts w:cs="Arial"/>
                <w:szCs w:val="22"/>
              </w:rPr>
              <w:t> </w:t>
            </w:r>
            <w:r w:rsidR="008356BA" w:rsidRPr="00AC1BD2">
              <w:rPr>
                <w:rFonts w:cs="Arial"/>
                <w:szCs w:val="22"/>
              </w:rPr>
              <w:t xml:space="preserve">2, </w:t>
            </w:r>
            <w:r w:rsidR="00ED3145" w:rsidRPr="00AC1BD2">
              <w:rPr>
                <w:rFonts w:cs="Arial"/>
                <w:szCs w:val="22"/>
              </w:rPr>
              <w:t xml:space="preserve">le terme </w:t>
            </w:r>
            <w:r w:rsidR="006A37B6" w:rsidRPr="00AC1BD2">
              <w:rPr>
                <w:rFonts w:cs="Arial"/>
                <w:szCs w:val="22"/>
              </w:rPr>
              <w:t>“</w:t>
            </w:r>
            <w:r w:rsidR="00ED3145" w:rsidRPr="00AC1BD2">
              <w:rPr>
                <w:rFonts w:cs="Arial"/>
                <w:szCs w:val="22"/>
              </w:rPr>
              <w:t>protégé</w:t>
            </w:r>
            <w:r w:rsidR="00EF24BB" w:rsidRPr="00AC1BD2">
              <w:rPr>
                <w:rFonts w:cs="Arial"/>
                <w:szCs w:val="22"/>
              </w:rPr>
              <w:t>s”</w:t>
            </w:r>
            <w:r w:rsidR="00ED3145" w:rsidRPr="00AC1BD2">
              <w:rPr>
                <w:rFonts w:cs="Arial"/>
                <w:szCs w:val="22"/>
              </w:rPr>
              <w:t xml:space="preserve"> étant ajouté à l</w:t>
            </w:r>
            <w:r w:rsidR="00025CB1" w:rsidRPr="00AC1BD2">
              <w:rPr>
                <w:rFonts w:cs="Arial"/>
                <w:szCs w:val="22"/>
              </w:rPr>
              <w:t>’</w:t>
            </w:r>
            <w:r w:rsidR="00ED3145" w:rsidRPr="00AC1BD2">
              <w:rPr>
                <w:rFonts w:cs="Arial"/>
                <w:szCs w:val="22"/>
              </w:rPr>
              <w:t xml:space="preserve">expression </w:t>
            </w:r>
            <w:r w:rsidR="006A37B6" w:rsidRPr="00AC1BD2">
              <w:rPr>
                <w:rFonts w:cs="Arial"/>
                <w:szCs w:val="22"/>
              </w:rPr>
              <w:t>“</w:t>
            </w:r>
            <w:r w:rsidR="00ED3145" w:rsidRPr="00AC1BD2">
              <w:rPr>
                <w:rFonts w:cs="Arial"/>
                <w:szCs w:val="22"/>
              </w:rPr>
              <w:t>savoirs traditionnels</w:t>
            </w:r>
            <w:r w:rsidR="00EF24BB" w:rsidRPr="00AC1BD2">
              <w:rPr>
                <w:rFonts w:cs="Arial"/>
                <w:szCs w:val="22"/>
              </w:rPr>
              <w:t>”</w:t>
            </w:r>
          </w:p>
          <w:p w14:paraId="6A751D60" w14:textId="2E142FEA" w:rsidR="009C5891" w:rsidRPr="00AC1BD2" w:rsidRDefault="009C5891" w:rsidP="00243A34">
            <w:pPr>
              <w:tabs>
                <w:tab w:val="left" w:pos="567"/>
              </w:tabs>
              <w:rPr>
                <w:rFonts w:cs="Arial"/>
                <w:szCs w:val="22"/>
              </w:rPr>
            </w:pPr>
          </w:p>
        </w:tc>
        <w:tc>
          <w:tcPr>
            <w:tcW w:w="4060" w:type="dxa"/>
            <w:shd w:val="clear" w:color="auto" w:fill="auto"/>
          </w:tcPr>
          <w:p w14:paraId="33149852" w14:textId="362FC026" w:rsidR="008356BA" w:rsidRPr="00AC1BD2" w:rsidRDefault="00ED3145" w:rsidP="00243A34">
            <w:pPr>
              <w:tabs>
                <w:tab w:val="left" w:pos="567"/>
              </w:tabs>
              <w:rPr>
                <w:rFonts w:cs="Arial"/>
                <w:szCs w:val="22"/>
              </w:rPr>
            </w:pPr>
            <w:r w:rsidRPr="00AC1BD2">
              <w:rPr>
                <w:rFonts w:cs="Arial"/>
                <w:szCs w:val="22"/>
              </w:rPr>
              <w:t>Largement similaire à la variante</w:t>
            </w:r>
            <w:r w:rsidR="00BD0A6E" w:rsidRPr="00AC1BD2">
              <w:rPr>
                <w:rFonts w:cs="Arial"/>
                <w:szCs w:val="22"/>
              </w:rPr>
              <w:t> </w:t>
            </w:r>
            <w:r w:rsidR="008356BA" w:rsidRPr="00AC1BD2">
              <w:rPr>
                <w:rFonts w:cs="Arial"/>
                <w:szCs w:val="22"/>
              </w:rPr>
              <w:t xml:space="preserve">2, </w:t>
            </w:r>
            <w:r w:rsidRPr="00AC1BD2">
              <w:rPr>
                <w:rFonts w:cs="Arial"/>
                <w:szCs w:val="22"/>
              </w:rPr>
              <w:t xml:space="preserve">les termes </w:t>
            </w:r>
            <w:r w:rsidR="006A37B6" w:rsidRPr="00AC1BD2">
              <w:rPr>
                <w:rFonts w:cs="Arial"/>
                <w:szCs w:val="22"/>
              </w:rPr>
              <w:t>“</w:t>
            </w:r>
            <w:r w:rsidRPr="00AC1BD2">
              <w:rPr>
                <w:rFonts w:cs="Arial"/>
                <w:szCs w:val="22"/>
              </w:rPr>
              <w:t>protégés</w:t>
            </w:r>
            <w:r w:rsidR="00EF24BB" w:rsidRPr="00AC1BD2">
              <w:rPr>
                <w:rFonts w:cs="Arial"/>
                <w:szCs w:val="22"/>
              </w:rPr>
              <w:t>”</w:t>
            </w:r>
            <w:r w:rsidRPr="00AC1BD2">
              <w:rPr>
                <w:rFonts w:cs="Arial"/>
                <w:szCs w:val="22"/>
              </w:rPr>
              <w:t xml:space="preserve"> et </w:t>
            </w:r>
            <w:r w:rsidR="006A37B6" w:rsidRPr="00AC1BD2">
              <w:rPr>
                <w:rFonts w:cs="Arial"/>
                <w:szCs w:val="22"/>
              </w:rPr>
              <w:t>“</w:t>
            </w:r>
            <w:r w:rsidRPr="00AC1BD2">
              <w:rPr>
                <w:rFonts w:cs="Arial"/>
                <w:szCs w:val="22"/>
              </w:rPr>
              <w:t>et sacrés</w:t>
            </w:r>
            <w:r w:rsidR="00EF24BB" w:rsidRPr="00AC1BD2">
              <w:rPr>
                <w:rFonts w:cs="Arial"/>
                <w:szCs w:val="22"/>
              </w:rPr>
              <w:t>”</w:t>
            </w:r>
            <w:r w:rsidRPr="00AC1BD2">
              <w:rPr>
                <w:rFonts w:cs="Arial"/>
                <w:szCs w:val="22"/>
              </w:rPr>
              <w:t xml:space="preserve"> étant ajoutés à l</w:t>
            </w:r>
            <w:r w:rsidR="00025CB1" w:rsidRPr="00AC1BD2">
              <w:rPr>
                <w:rFonts w:cs="Arial"/>
                <w:szCs w:val="22"/>
              </w:rPr>
              <w:t>’</w:t>
            </w:r>
            <w:r w:rsidRPr="00AC1BD2">
              <w:rPr>
                <w:rFonts w:cs="Arial"/>
                <w:szCs w:val="22"/>
              </w:rPr>
              <w:t xml:space="preserve">expression </w:t>
            </w:r>
            <w:r w:rsidR="006A37B6" w:rsidRPr="00AC1BD2">
              <w:rPr>
                <w:rFonts w:cs="Arial"/>
                <w:szCs w:val="22"/>
              </w:rPr>
              <w:t>“</w:t>
            </w:r>
            <w:r w:rsidRPr="00AC1BD2">
              <w:rPr>
                <w:rFonts w:cs="Arial"/>
                <w:szCs w:val="22"/>
              </w:rPr>
              <w:t>savoirs traditionnels</w:t>
            </w:r>
            <w:r w:rsidR="00EF24BB" w:rsidRPr="00AC1BD2">
              <w:rPr>
                <w:rFonts w:cs="Arial"/>
                <w:szCs w:val="22"/>
              </w:rPr>
              <w:t>”</w:t>
            </w:r>
            <w:r w:rsidRPr="00AC1BD2">
              <w:rPr>
                <w:rFonts w:cs="Arial"/>
                <w:szCs w:val="22"/>
              </w:rPr>
              <w:t>.</w:t>
            </w:r>
          </w:p>
        </w:tc>
      </w:tr>
    </w:tbl>
    <w:p w14:paraId="3D0E48D1" w14:textId="77777777" w:rsidR="0039715D" w:rsidRPr="00AC1BD2" w:rsidRDefault="0039715D" w:rsidP="00243A34">
      <w:pPr>
        <w:tabs>
          <w:tab w:val="left" w:pos="567"/>
        </w:tabs>
        <w:rPr>
          <w:rFonts w:cs="Arial"/>
          <w:szCs w:val="22"/>
        </w:rPr>
      </w:pPr>
    </w:p>
    <w:p w14:paraId="546F5A59" w14:textId="77777777" w:rsidR="002B748A" w:rsidRPr="00AC1BD2" w:rsidRDefault="002B748A" w:rsidP="00243A34">
      <w:pPr>
        <w:tabs>
          <w:tab w:val="left" w:pos="567"/>
        </w:tabs>
        <w:rPr>
          <w:rFonts w:cs="Arial"/>
          <w:szCs w:val="22"/>
        </w:rPr>
        <w:sectPr w:rsidR="002B748A" w:rsidRPr="00AC1BD2" w:rsidSect="002B748A">
          <w:pgSz w:w="16834" w:h="11909" w:orient="landscape" w:code="9"/>
          <w:pgMar w:top="1440" w:right="1440" w:bottom="1199" w:left="1440" w:header="720" w:footer="720" w:gutter="0"/>
          <w:cols w:space="720"/>
          <w:docGrid w:linePitch="360"/>
        </w:sectPr>
      </w:pPr>
    </w:p>
    <w:p w14:paraId="3A5E2A3D" w14:textId="3F59736E" w:rsidR="0039715D" w:rsidRPr="00AC1BD2" w:rsidRDefault="00ED3145" w:rsidP="00C37157">
      <w:pPr>
        <w:pStyle w:val="ONUMFS"/>
      </w:pPr>
      <w:r w:rsidRPr="00AC1BD2">
        <w:lastRenderedPageBreak/>
        <w:t>J</w:t>
      </w:r>
      <w:r w:rsidR="00025CB1" w:rsidRPr="00AC1BD2">
        <w:t>’</w:t>
      </w:r>
      <w:r w:rsidRPr="00AC1BD2">
        <w:t>estime que la protection différenciée associée à l</w:t>
      </w:r>
      <w:r w:rsidR="00025CB1" w:rsidRPr="00AC1BD2">
        <w:t>’</w:t>
      </w:r>
      <w:r w:rsidRPr="00AC1BD2">
        <w:t>approche progressive permet de tenir compte de la réalité, c</w:t>
      </w:r>
      <w:r w:rsidR="00025CB1" w:rsidRPr="00AC1BD2">
        <w:t>’</w:t>
      </w:r>
      <w:r w:rsidRPr="00AC1BD2">
        <w:t>est</w:t>
      </w:r>
      <w:r w:rsidR="00243A34" w:rsidRPr="00AC1BD2">
        <w:noBreakHyphen/>
      </w:r>
      <w:r w:rsidRPr="00AC1BD2">
        <w:t>à</w:t>
      </w:r>
      <w:r w:rsidR="00243A34" w:rsidRPr="00AC1BD2">
        <w:noBreakHyphen/>
      </w:r>
      <w:r w:rsidRPr="00AC1BD2">
        <w:t xml:space="preserve">dire des différences entre </w:t>
      </w:r>
      <w:r w:rsidR="00741D75" w:rsidRPr="00AC1BD2">
        <w:t>savoirs traditionnels</w:t>
      </w:r>
      <w:r w:rsidRPr="00AC1BD2">
        <w:t xml:space="preserve"> secrets</w:t>
      </w:r>
      <w:r w:rsidR="00BD7120" w:rsidRPr="00AC1BD2">
        <w:t>,</w:t>
      </w:r>
      <w:r w:rsidR="00C27282" w:rsidRPr="00AC1BD2">
        <w:t xml:space="preserve"> </w:t>
      </w:r>
      <w:r w:rsidR="00741D75" w:rsidRPr="00AC1BD2">
        <w:t>savoirs traditionnels</w:t>
      </w:r>
      <w:r w:rsidR="00C27282" w:rsidRPr="00AC1BD2">
        <w:t xml:space="preserve"> </w:t>
      </w:r>
      <w:r w:rsidRPr="00AC1BD2">
        <w:t>peu diffusés et</w:t>
      </w:r>
      <w:r w:rsidR="00C27282" w:rsidRPr="00AC1BD2">
        <w:t xml:space="preserve"> </w:t>
      </w:r>
      <w:r w:rsidR="00741D75" w:rsidRPr="00AC1BD2">
        <w:t>savoirs traditionnels</w:t>
      </w:r>
      <w:r w:rsidRPr="00AC1BD2">
        <w:t xml:space="preserve"> largement diffusés</w:t>
      </w:r>
      <w:r w:rsidR="00C27282" w:rsidRPr="00AC1BD2">
        <w:t>.</w:t>
      </w:r>
    </w:p>
    <w:p w14:paraId="15611752" w14:textId="61CD8A94" w:rsidR="0039715D" w:rsidRPr="00AC1BD2" w:rsidRDefault="00ED3145" w:rsidP="00C37157">
      <w:pPr>
        <w:pStyle w:val="ONUMFS"/>
      </w:pPr>
      <w:r w:rsidRPr="00AC1BD2">
        <w:t>Les savoirs traditionnels secrets</w:t>
      </w:r>
      <w:r w:rsidR="00BD7120" w:rsidRPr="00AC1BD2">
        <w:t>, les</w:t>
      </w:r>
      <w:r w:rsidRPr="00AC1BD2">
        <w:t xml:space="preserve"> savoirs traditionnels peu diffusés et</w:t>
      </w:r>
      <w:r w:rsidR="00BD7120" w:rsidRPr="00AC1BD2">
        <w:t xml:space="preserve"> les</w:t>
      </w:r>
      <w:r w:rsidRPr="00AC1BD2">
        <w:t xml:space="preserve"> savoirs traditionnels largement diffusés sont définis comme suit dans le chapitre </w:t>
      </w:r>
      <w:r w:rsidR="006A37B6" w:rsidRPr="00AC1BD2">
        <w:t>“</w:t>
      </w:r>
      <w:r w:rsidR="00450AA4" w:rsidRPr="00AC1BD2">
        <w:t>U</w:t>
      </w:r>
      <w:r w:rsidR="0041784B" w:rsidRPr="00AC1BD2">
        <w:t>tilisation des termes</w:t>
      </w:r>
      <w:r w:rsidR="00EF24BB" w:rsidRPr="00AC1BD2">
        <w:t>”</w:t>
      </w:r>
      <w:r w:rsidR="00025CB1" w:rsidRPr="00AC1BD2">
        <w:t> :</w:t>
      </w:r>
    </w:p>
    <w:p w14:paraId="541A9D67" w14:textId="4C3ED995" w:rsidR="0039715D" w:rsidRPr="00AC1BD2" w:rsidRDefault="001D5BA4" w:rsidP="00B506EC">
      <w:pPr>
        <w:numPr>
          <w:ilvl w:val="0"/>
          <w:numId w:val="24"/>
        </w:numPr>
        <w:ind w:left="1134" w:hanging="567"/>
        <w:rPr>
          <w:rFonts w:cs="Arial"/>
          <w:szCs w:val="22"/>
        </w:rPr>
      </w:pPr>
      <w:r w:rsidRPr="00AC1BD2">
        <w:rPr>
          <w:rFonts w:cs="Arial"/>
          <w:szCs w:val="22"/>
        </w:rPr>
        <w:t>Savoir traditionnels secrets s</w:t>
      </w:r>
      <w:r w:rsidR="00025CB1" w:rsidRPr="00AC1BD2">
        <w:rPr>
          <w:rFonts w:cs="Arial"/>
          <w:szCs w:val="22"/>
        </w:rPr>
        <w:t>’</w:t>
      </w:r>
      <w:r w:rsidRPr="00AC1BD2">
        <w:rPr>
          <w:rFonts w:cs="Arial"/>
          <w:szCs w:val="22"/>
        </w:rPr>
        <w:t>entend de savoirs traditionnels détenus par leurs bénéficiaires sous certaines conditions visant à assurer leur caractère secret conformément au droit coutumier, étant entendu que ces savoirs traditionnels ne doivent être utilisés et connus qu</w:t>
      </w:r>
      <w:r w:rsidR="00025CB1" w:rsidRPr="00AC1BD2">
        <w:rPr>
          <w:rFonts w:cs="Arial"/>
          <w:szCs w:val="22"/>
        </w:rPr>
        <w:t>’</w:t>
      </w:r>
      <w:r w:rsidRPr="00AC1BD2">
        <w:rPr>
          <w:rFonts w:cs="Arial"/>
          <w:szCs w:val="22"/>
        </w:rPr>
        <w:t>au sein d</w:t>
      </w:r>
      <w:r w:rsidR="00025CB1" w:rsidRPr="00AC1BD2">
        <w:rPr>
          <w:rFonts w:cs="Arial"/>
          <w:szCs w:val="22"/>
        </w:rPr>
        <w:t>’</w:t>
      </w:r>
      <w:r w:rsidRPr="00AC1BD2">
        <w:rPr>
          <w:rFonts w:cs="Arial"/>
          <w:szCs w:val="22"/>
        </w:rPr>
        <w:t>un groupe déterminé.</w:t>
      </w:r>
    </w:p>
    <w:p w14:paraId="1C155B67" w14:textId="77777777" w:rsidR="0039715D" w:rsidRPr="00AC1BD2" w:rsidRDefault="0039715D" w:rsidP="00B506EC">
      <w:pPr>
        <w:rPr>
          <w:rFonts w:cs="Arial"/>
          <w:szCs w:val="22"/>
        </w:rPr>
      </w:pPr>
    </w:p>
    <w:p w14:paraId="5719535B" w14:textId="1E23ABAE" w:rsidR="0039715D" w:rsidRPr="00AC1BD2" w:rsidRDefault="001D5BA4" w:rsidP="00B506EC">
      <w:pPr>
        <w:numPr>
          <w:ilvl w:val="0"/>
          <w:numId w:val="24"/>
        </w:numPr>
        <w:ind w:left="1134" w:hanging="567"/>
        <w:rPr>
          <w:rFonts w:cs="Arial"/>
          <w:szCs w:val="22"/>
        </w:rPr>
      </w:pPr>
      <w:r w:rsidRPr="00AC1BD2">
        <w:rPr>
          <w:rFonts w:cs="Arial"/>
          <w:szCs w:val="22"/>
        </w:rPr>
        <w:t>Savoirs traditionnels peu diffusés s</w:t>
      </w:r>
      <w:r w:rsidR="00025CB1" w:rsidRPr="00AC1BD2">
        <w:rPr>
          <w:rFonts w:cs="Arial"/>
          <w:szCs w:val="22"/>
        </w:rPr>
        <w:t>’</w:t>
      </w:r>
      <w:r w:rsidRPr="00AC1BD2">
        <w:rPr>
          <w:rFonts w:cs="Arial"/>
          <w:szCs w:val="22"/>
        </w:rPr>
        <w:t>entend de savoirs traditionnels qui sont communs à des bénéficiaires n</w:t>
      </w:r>
      <w:r w:rsidR="00025CB1" w:rsidRPr="00AC1BD2">
        <w:rPr>
          <w:rFonts w:cs="Arial"/>
          <w:szCs w:val="22"/>
        </w:rPr>
        <w:t>’</w:t>
      </w:r>
      <w:r w:rsidRPr="00AC1BD2">
        <w:rPr>
          <w:rFonts w:cs="Arial"/>
          <w:szCs w:val="22"/>
        </w:rPr>
        <w:t>ayant pas adopté de mesures en vue de les garder secrets mais ne sont pas facilement accessibles à ceux qui ne sont pas membres du groupe.</w:t>
      </w:r>
    </w:p>
    <w:p w14:paraId="019F9FB5" w14:textId="77777777" w:rsidR="0039715D" w:rsidRPr="00AC1BD2" w:rsidRDefault="0039715D" w:rsidP="00B506EC">
      <w:pPr>
        <w:rPr>
          <w:rFonts w:cs="Arial"/>
          <w:szCs w:val="22"/>
        </w:rPr>
      </w:pPr>
    </w:p>
    <w:p w14:paraId="3AA08376" w14:textId="5910132B" w:rsidR="00025CB1" w:rsidRPr="00AC1BD2" w:rsidRDefault="001D5BA4" w:rsidP="00B506EC">
      <w:pPr>
        <w:numPr>
          <w:ilvl w:val="0"/>
          <w:numId w:val="24"/>
        </w:numPr>
        <w:ind w:left="1134" w:hanging="567"/>
        <w:rPr>
          <w:rFonts w:cs="Arial"/>
          <w:szCs w:val="22"/>
        </w:rPr>
      </w:pPr>
      <w:r w:rsidRPr="00AC1BD2">
        <w:rPr>
          <w:rFonts w:cs="Arial"/>
          <w:szCs w:val="22"/>
        </w:rPr>
        <w:t>Savoirs traditionnels largement diffusés s</w:t>
      </w:r>
      <w:r w:rsidR="00025CB1" w:rsidRPr="00AC1BD2">
        <w:rPr>
          <w:rFonts w:cs="Arial"/>
          <w:szCs w:val="22"/>
        </w:rPr>
        <w:t>’</w:t>
      </w:r>
      <w:r w:rsidRPr="00AC1BD2">
        <w:rPr>
          <w:rFonts w:cs="Arial"/>
          <w:szCs w:val="22"/>
        </w:rPr>
        <w:t>entend de savoirs traditionnels qui sont facilement accessibles au public mais sont encore culturellement associés à l</w:t>
      </w:r>
      <w:r w:rsidR="00025CB1" w:rsidRPr="00AC1BD2">
        <w:rPr>
          <w:rFonts w:cs="Arial"/>
          <w:szCs w:val="22"/>
        </w:rPr>
        <w:t>’</w:t>
      </w:r>
      <w:r w:rsidRPr="00AC1BD2">
        <w:rPr>
          <w:rFonts w:cs="Arial"/>
          <w:szCs w:val="22"/>
        </w:rPr>
        <w:t>identité sociale de leurs bénéficiaires</w:t>
      </w:r>
      <w:r w:rsidR="00A70AF1">
        <w:rPr>
          <w:rFonts w:cs="Arial"/>
          <w:szCs w:val="22"/>
        </w:rPr>
        <w:t>.</w:t>
      </w:r>
    </w:p>
    <w:p w14:paraId="3C379F34" w14:textId="1E40E511" w:rsidR="0039715D" w:rsidRPr="00AC1BD2" w:rsidRDefault="0039715D" w:rsidP="00243A34">
      <w:pPr>
        <w:tabs>
          <w:tab w:val="left" w:pos="567"/>
        </w:tabs>
        <w:rPr>
          <w:rFonts w:cs="Arial"/>
          <w:szCs w:val="22"/>
        </w:rPr>
      </w:pPr>
    </w:p>
    <w:p w14:paraId="5FC76A0C" w14:textId="28F17392" w:rsidR="00ED3145" w:rsidRPr="00AC1BD2" w:rsidRDefault="00ED3145" w:rsidP="00C37157">
      <w:pPr>
        <w:pStyle w:val="ONUMFS"/>
      </w:pPr>
      <w:r w:rsidRPr="00AC1BD2">
        <w:t>Il reste à débattre les dé</w:t>
      </w:r>
      <w:r w:rsidR="00856126" w:rsidRPr="00AC1BD2">
        <w:t xml:space="preserve">finitions </w:t>
      </w:r>
      <w:r w:rsidRPr="00AC1BD2">
        <w:t>des savoirs traditionnels secrets</w:t>
      </w:r>
      <w:r w:rsidR="00BD7120" w:rsidRPr="00AC1BD2">
        <w:t>, des</w:t>
      </w:r>
      <w:r w:rsidRPr="00AC1BD2">
        <w:t xml:space="preserve"> savoirs traditionnels peu diffusés et </w:t>
      </w:r>
      <w:r w:rsidR="00BD7120" w:rsidRPr="00AC1BD2">
        <w:t xml:space="preserve">des </w:t>
      </w:r>
      <w:r w:rsidRPr="00AC1BD2">
        <w:t>savoirs traditionnels largement diffus</w:t>
      </w:r>
      <w:r w:rsidR="00512111" w:rsidRPr="00AC1BD2">
        <w:t>és.  To</w:t>
      </w:r>
      <w:r w:rsidRPr="00AC1BD2">
        <w:t>utefois, si vous me permettez de les employer pour simplifier l</w:t>
      </w:r>
      <w:r w:rsidR="00B11192" w:rsidRPr="00AC1BD2">
        <w:t>a situation</w:t>
      </w:r>
      <w:r w:rsidR="00025CB1" w:rsidRPr="00AC1BD2">
        <w:t> :</w:t>
      </w:r>
    </w:p>
    <w:p w14:paraId="52FB115D" w14:textId="03416898" w:rsidR="00B11192" w:rsidRPr="00AC1BD2" w:rsidRDefault="00B11192" w:rsidP="00AC1BD2">
      <w:pPr>
        <w:numPr>
          <w:ilvl w:val="0"/>
          <w:numId w:val="22"/>
        </w:numPr>
        <w:ind w:left="1134" w:hanging="567"/>
        <w:rPr>
          <w:rFonts w:cs="Arial"/>
          <w:szCs w:val="22"/>
        </w:rPr>
      </w:pPr>
      <w:r w:rsidRPr="00AC1BD2">
        <w:rPr>
          <w:rFonts w:cs="Arial"/>
          <w:szCs w:val="22"/>
        </w:rPr>
        <w:t xml:space="preserve">Les </w:t>
      </w:r>
      <w:r w:rsidR="00741D75" w:rsidRPr="00AC1BD2">
        <w:rPr>
          <w:rFonts w:cs="Arial"/>
          <w:szCs w:val="22"/>
        </w:rPr>
        <w:t>savoirs traditionnels</w:t>
      </w:r>
      <w:r w:rsidR="00653EBF" w:rsidRPr="00AC1BD2">
        <w:rPr>
          <w:rFonts w:cs="Arial"/>
          <w:szCs w:val="22"/>
        </w:rPr>
        <w:t xml:space="preserve"> </w:t>
      </w:r>
      <w:r w:rsidRPr="00AC1BD2">
        <w:rPr>
          <w:rFonts w:cs="Arial"/>
          <w:szCs w:val="22"/>
        </w:rPr>
        <w:t>secrets sont encore sous la responsabilité de leurs détenteurs et, par conséquent, ne sont pas accessibles au publ</w:t>
      </w:r>
      <w:r w:rsidR="00512111" w:rsidRPr="00AC1BD2">
        <w:rPr>
          <w:rFonts w:cs="Arial"/>
          <w:szCs w:val="22"/>
        </w:rPr>
        <w:t>ic.  Il</w:t>
      </w:r>
      <w:r w:rsidRPr="00AC1BD2">
        <w:rPr>
          <w:rFonts w:cs="Arial"/>
          <w:szCs w:val="22"/>
        </w:rPr>
        <w:t xml:space="preserve">s sont protégés </w:t>
      </w:r>
      <w:r w:rsidRPr="00AC1BD2">
        <w:rPr>
          <w:rFonts w:cs="Arial"/>
          <w:i/>
          <w:szCs w:val="22"/>
        </w:rPr>
        <w:t>de facto</w:t>
      </w:r>
      <w:r w:rsidRPr="00AC1BD2">
        <w:rPr>
          <w:rFonts w:cs="Arial"/>
          <w:szCs w:val="22"/>
        </w:rPr>
        <w:t xml:space="preserve"> et l</w:t>
      </w:r>
      <w:r w:rsidR="00025CB1" w:rsidRPr="00AC1BD2">
        <w:rPr>
          <w:rFonts w:cs="Arial"/>
          <w:szCs w:val="22"/>
        </w:rPr>
        <w:t>’</w:t>
      </w:r>
      <w:r w:rsidRPr="00AC1BD2">
        <w:rPr>
          <w:rFonts w:cs="Arial"/>
          <w:szCs w:val="22"/>
        </w:rPr>
        <w:t>on sait donc clairement ils peuvent être attribués.</w:t>
      </w:r>
    </w:p>
    <w:p w14:paraId="0B3800B2" w14:textId="21BE2342" w:rsidR="00B11192" w:rsidRPr="00AC1BD2" w:rsidRDefault="00B11192" w:rsidP="00AC1BD2">
      <w:pPr>
        <w:numPr>
          <w:ilvl w:val="0"/>
          <w:numId w:val="22"/>
        </w:numPr>
        <w:ind w:left="1134" w:hanging="567"/>
        <w:rPr>
          <w:rFonts w:cs="Arial"/>
          <w:szCs w:val="22"/>
        </w:rPr>
      </w:pPr>
      <w:r w:rsidRPr="00AC1BD2">
        <w:rPr>
          <w:rFonts w:cs="Arial"/>
          <w:szCs w:val="22"/>
        </w:rPr>
        <w:t>Les savoirs traditionnels peu diffusés ne sont pas nécessairement sous la responsabilité de leurs détenteurs mais ils peuvent être attribués à des peuples autochtones et des communautés locales précis, et il est, par conséquent, très facile d</w:t>
      </w:r>
      <w:r w:rsidR="00025CB1" w:rsidRPr="00AC1BD2">
        <w:rPr>
          <w:rFonts w:cs="Arial"/>
          <w:szCs w:val="22"/>
        </w:rPr>
        <w:t>’</w:t>
      </w:r>
      <w:r w:rsidRPr="00AC1BD2">
        <w:rPr>
          <w:rFonts w:cs="Arial"/>
          <w:szCs w:val="22"/>
        </w:rPr>
        <w:t>identifier leurs détenteurs.</w:t>
      </w:r>
    </w:p>
    <w:p w14:paraId="37E2E323" w14:textId="4A758BF0" w:rsidR="00B11192" w:rsidRPr="00AC1BD2" w:rsidRDefault="00B11192" w:rsidP="00AC1BD2">
      <w:pPr>
        <w:numPr>
          <w:ilvl w:val="0"/>
          <w:numId w:val="22"/>
        </w:numPr>
        <w:ind w:left="1134" w:hanging="567"/>
        <w:rPr>
          <w:rFonts w:cs="Arial"/>
          <w:szCs w:val="22"/>
        </w:rPr>
      </w:pPr>
      <w:r w:rsidRPr="00AC1BD2">
        <w:rPr>
          <w:rFonts w:cs="Arial"/>
          <w:szCs w:val="22"/>
        </w:rPr>
        <w:t>Les savoirs traditionnels largement diffusés ne sont plus sous la responsabilité de leurs détenteurs, et il est, selon toute</w:t>
      </w:r>
      <w:r w:rsidR="006A37B6" w:rsidRPr="00AC1BD2">
        <w:rPr>
          <w:rFonts w:cs="Arial"/>
          <w:szCs w:val="22"/>
        </w:rPr>
        <w:t xml:space="preserve"> probabilité</w:t>
      </w:r>
      <w:r w:rsidRPr="00AC1BD2">
        <w:rPr>
          <w:rFonts w:cs="Arial"/>
          <w:szCs w:val="22"/>
        </w:rPr>
        <w:t>, très difficile d</w:t>
      </w:r>
      <w:r w:rsidR="00025CB1" w:rsidRPr="00AC1BD2">
        <w:rPr>
          <w:rFonts w:cs="Arial"/>
          <w:szCs w:val="22"/>
        </w:rPr>
        <w:t>’</w:t>
      </w:r>
      <w:r w:rsidRPr="00AC1BD2">
        <w:rPr>
          <w:rFonts w:cs="Arial"/>
          <w:szCs w:val="22"/>
        </w:rPr>
        <w:t>en identifier les détenteurs ou de les attribuer à des peuples autochtones et des communautés locales précis</w:t>
      </w:r>
      <w:r w:rsidR="00EF24BB" w:rsidRPr="00AC1BD2">
        <w:rPr>
          <w:rFonts w:cs="Arial"/>
          <w:szCs w:val="22"/>
        </w:rPr>
        <w:t>.</w:t>
      </w:r>
    </w:p>
    <w:p w14:paraId="19DD3540" w14:textId="77777777" w:rsidR="0039715D" w:rsidRPr="00AC1BD2" w:rsidRDefault="0039715D" w:rsidP="00243A34">
      <w:pPr>
        <w:tabs>
          <w:tab w:val="left" w:pos="567"/>
        </w:tabs>
        <w:rPr>
          <w:rFonts w:cs="Arial"/>
          <w:szCs w:val="22"/>
        </w:rPr>
      </w:pPr>
    </w:p>
    <w:p w14:paraId="285C6E14" w14:textId="4DEBDF92" w:rsidR="00B11192" w:rsidRPr="00AC1BD2" w:rsidRDefault="00B11192" w:rsidP="00C37157">
      <w:pPr>
        <w:pStyle w:val="ONUMFS"/>
      </w:pPr>
      <w:r w:rsidRPr="00AC1BD2">
        <w:t>Cette approche progressive, ou protection différenciée, pourrait faciliter la reconnaissance d</w:t>
      </w:r>
      <w:r w:rsidR="00025CB1" w:rsidRPr="00AC1BD2">
        <w:t>’</w:t>
      </w:r>
      <w:r w:rsidRPr="00AC1BD2">
        <w:t>une meilleure protection des savoirs traditionnels secrets</w:t>
      </w:r>
      <w:r w:rsidR="00BD7120" w:rsidRPr="00AC1BD2">
        <w:t xml:space="preserve"> tout en attribuant des droits sur</w:t>
      </w:r>
      <w:r w:rsidRPr="00AC1BD2">
        <w:t xml:space="preserve"> des savoirs</w:t>
      </w:r>
      <w:r w:rsidR="00BD7120" w:rsidRPr="00AC1BD2">
        <w:t xml:space="preserve"> traditionnels peu diffusés et </w:t>
      </w:r>
      <w:r w:rsidRPr="00AC1BD2">
        <w:t>des savoirs traditionnels largement diffusés.</w:t>
      </w:r>
    </w:p>
    <w:p w14:paraId="78555FCA" w14:textId="53EF135F" w:rsidR="00B11192" w:rsidRPr="00AC1BD2" w:rsidRDefault="00B11192" w:rsidP="00C37157">
      <w:pPr>
        <w:pStyle w:val="ONUMFS"/>
      </w:pPr>
      <w:r w:rsidRPr="00AC1BD2">
        <w:t>Il est à noter qu</w:t>
      </w:r>
      <w:r w:rsidR="00025CB1" w:rsidRPr="00AC1BD2">
        <w:t>’</w:t>
      </w:r>
      <w:r w:rsidRPr="00AC1BD2">
        <w:t>il convient de lire l</w:t>
      </w:r>
      <w:r w:rsidR="00025CB1" w:rsidRPr="00AC1BD2">
        <w:t>’</w:t>
      </w:r>
      <w:r w:rsidRPr="00AC1BD2">
        <w:t>article relatif à l</w:t>
      </w:r>
      <w:r w:rsidR="00025CB1" w:rsidRPr="00AC1BD2">
        <w:t>’</w:t>
      </w:r>
      <w:r w:rsidRPr="00AC1BD2">
        <w:t>étendue de la protection parallèlement à l</w:t>
      </w:r>
      <w:r w:rsidR="00025CB1" w:rsidRPr="00AC1BD2">
        <w:t>’</w:t>
      </w:r>
      <w:r w:rsidRPr="00AC1BD2">
        <w:t>article concernant l</w:t>
      </w:r>
      <w:r w:rsidR="00025CB1" w:rsidRPr="00AC1BD2">
        <w:t>’</w:t>
      </w:r>
      <w:r w:rsidRPr="00AC1BD2">
        <w:t>objet de la protection et au chapitre concernant l</w:t>
      </w:r>
      <w:r w:rsidR="00025CB1" w:rsidRPr="00AC1BD2">
        <w:t>’</w:t>
      </w:r>
      <w:r w:rsidRPr="00AC1BD2">
        <w:t>utilisation des termes, afin de bien comprendre quels sont les savoirs traditionnels qui seraient protégés en vertu de cet instrume</w:t>
      </w:r>
      <w:r w:rsidR="00512111" w:rsidRPr="00AC1BD2">
        <w:t>nt.  Il</w:t>
      </w:r>
      <w:r w:rsidRPr="00AC1BD2">
        <w:t xml:space="preserve"> faut aussi noter que l</w:t>
      </w:r>
      <w:r w:rsidR="00025CB1" w:rsidRPr="00AC1BD2">
        <w:t>’</w:t>
      </w:r>
      <w:r w:rsidRPr="00AC1BD2">
        <w:t xml:space="preserve">expression </w:t>
      </w:r>
      <w:r w:rsidR="006A37B6" w:rsidRPr="00AC1BD2">
        <w:t>“</w:t>
      </w:r>
      <w:r w:rsidRPr="00AC1BD2">
        <w:t>savoirs traditionnels protégés</w:t>
      </w:r>
      <w:r w:rsidR="00EF24BB" w:rsidRPr="00AC1BD2">
        <w:t>”</w:t>
      </w:r>
      <w:r w:rsidRPr="00AC1BD2">
        <w:t xml:space="preserve"> a été introduite à différents endroits du texte, et</w:t>
      </w:r>
      <w:r w:rsidR="004A580D" w:rsidRPr="00AC1BD2">
        <w:t xml:space="preserve"> qu</w:t>
      </w:r>
      <w:r w:rsidR="00025CB1" w:rsidRPr="00AC1BD2">
        <w:t>’</w:t>
      </w:r>
      <w:r w:rsidR="004A580D" w:rsidRPr="00AC1BD2">
        <w:t>elle fait précisément référence à l</w:t>
      </w:r>
      <w:r w:rsidR="00025CB1" w:rsidRPr="00AC1BD2">
        <w:t>’</w:t>
      </w:r>
      <w:r w:rsidR="004A580D" w:rsidRPr="00AC1BD2">
        <w:t>article premier, variante</w:t>
      </w:r>
      <w:r w:rsidR="00512111" w:rsidRPr="00AC1BD2">
        <w:t> </w:t>
      </w:r>
      <w:r w:rsidR="004A580D" w:rsidRPr="00AC1BD2">
        <w:t>4 et à l</w:t>
      </w:r>
      <w:r w:rsidR="00025CB1" w:rsidRPr="00AC1BD2">
        <w:t>’</w:t>
      </w:r>
      <w:r w:rsidR="004A580D" w:rsidRPr="00AC1BD2">
        <w:t>article</w:t>
      </w:r>
      <w:r w:rsidR="00197E51" w:rsidRPr="00AC1BD2">
        <w:t> </w:t>
      </w:r>
      <w:r w:rsidR="004A580D" w:rsidRPr="00AC1BD2">
        <w:t>3, variante</w:t>
      </w:r>
      <w:r w:rsidR="00512111" w:rsidRPr="00AC1BD2">
        <w:t> </w:t>
      </w:r>
      <w:r w:rsidR="004A580D" w:rsidRPr="00AC1BD2">
        <w:t>4</w:t>
      </w:r>
      <w:r w:rsidR="00872695" w:rsidRPr="00AC1BD2">
        <w:t xml:space="preserve">.  </w:t>
      </w:r>
      <w:r w:rsidR="004A580D" w:rsidRPr="00AC1BD2">
        <w:t>Pour essayer de rapprocher les points de vue, il serait peut</w:t>
      </w:r>
      <w:r w:rsidR="00243A34" w:rsidRPr="00AC1BD2">
        <w:noBreakHyphen/>
      </w:r>
      <w:r w:rsidR="004A580D" w:rsidRPr="00AC1BD2">
        <w:t>être utile d</w:t>
      </w:r>
      <w:r w:rsidR="00025CB1" w:rsidRPr="00AC1BD2">
        <w:t>’</w:t>
      </w:r>
      <w:r w:rsidR="004A580D" w:rsidRPr="00AC1BD2">
        <w:t>étudier plus avant les avantages et inconvénients des différentes approches progressives évoquées dans les variantes</w:t>
      </w:r>
      <w:r w:rsidR="00512111" w:rsidRPr="00AC1BD2">
        <w:t> </w:t>
      </w:r>
      <w:r w:rsidR="004A580D" w:rsidRPr="00AC1BD2">
        <w:t>2, 3 et</w:t>
      </w:r>
      <w:r w:rsidR="00512111" w:rsidRPr="00AC1BD2">
        <w:t> </w:t>
      </w:r>
      <w:r w:rsidR="004A580D" w:rsidRPr="00AC1BD2">
        <w:t>4.</w:t>
      </w:r>
    </w:p>
    <w:p w14:paraId="77140CAC" w14:textId="0F22E9A9" w:rsidR="004A580D" w:rsidRPr="00AC1BD2" w:rsidRDefault="004A580D" w:rsidP="00C37157">
      <w:pPr>
        <w:pStyle w:val="ONUMFS"/>
      </w:pPr>
      <w:r w:rsidRPr="00AC1BD2">
        <w:t>Enfin, si ma suggestion de se mettre d</w:t>
      </w:r>
      <w:r w:rsidR="00025CB1" w:rsidRPr="00AC1BD2">
        <w:t>’</w:t>
      </w:r>
      <w:r w:rsidRPr="00AC1BD2">
        <w:t>accord sur l</w:t>
      </w:r>
      <w:r w:rsidR="00025CB1" w:rsidRPr="00AC1BD2">
        <w:t>’</w:t>
      </w:r>
      <w:r w:rsidRPr="00AC1BD2">
        <w:t>inclusion d</w:t>
      </w:r>
      <w:r w:rsidR="00025CB1" w:rsidRPr="00AC1BD2">
        <w:t>’</w:t>
      </w:r>
      <w:r w:rsidRPr="00AC1BD2">
        <w:t xml:space="preserve">autres bénéficiaires </w:t>
      </w:r>
      <w:r w:rsidRPr="00AC1BD2">
        <w:sym w:font="Symbol" w:char="F028"/>
      </w:r>
      <w:r w:rsidRPr="00AC1BD2">
        <w:t>par exemple des États ou des nations), mais avec une étendue différente de la protection, recueillait quelques suffrages, il faudrait examiner soigneusement les droits qu</w:t>
      </w:r>
      <w:r w:rsidR="00025CB1" w:rsidRPr="00AC1BD2">
        <w:t>’</w:t>
      </w:r>
      <w:r w:rsidRPr="00AC1BD2">
        <w:t>il conviendrait d</w:t>
      </w:r>
      <w:r w:rsidR="00025CB1" w:rsidRPr="00AC1BD2">
        <w:t>’</w:t>
      </w:r>
      <w:r w:rsidRPr="00AC1BD2">
        <w:t>attribuer à ces autres bénéficiaires.</w:t>
      </w:r>
    </w:p>
    <w:p w14:paraId="3F9B1D8D" w14:textId="1FC5B3DA" w:rsidR="00025CB1" w:rsidRPr="00AC1BD2" w:rsidRDefault="004A580D" w:rsidP="00C37157">
      <w:pPr>
        <w:pStyle w:val="ONUMFS"/>
      </w:pPr>
      <w:r w:rsidRPr="00AC1BD2">
        <w:lastRenderedPageBreak/>
        <w:t xml:space="preserve">Il faut espérer que le </w:t>
      </w:r>
      <w:r w:rsidRPr="00AC1BD2">
        <w:rPr>
          <w:i/>
        </w:rPr>
        <w:t>Séminaire sur la propriété intellectuelle et les savoirs traditionnels</w:t>
      </w:r>
      <w:r w:rsidRPr="00AC1BD2">
        <w:t xml:space="preserve"> qui se tiendra juste avant la trente</w:t>
      </w:r>
      <w:r w:rsidR="00243A34" w:rsidRPr="00AC1BD2">
        <w:noBreakHyphen/>
      </w:r>
      <w:r w:rsidRPr="00AC1BD2">
        <w:t>deuxième</w:t>
      </w:r>
      <w:r w:rsidR="00197E51" w:rsidRPr="00AC1BD2">
        <w:t> </w:t>
      </w:r>
      <w:r w:rsidRPr="00AC1BD2">
        <w:t>session de l</w:t>
      </w:r>
      <w:r w:rsidR="00025CB1" w:rsidRPr="00AC1BD2">
        <w:t>’</w:t>
      </w:r>
      <w:r w:rsidRPr="00AC1BD2">
        <w:t>IGC, clarifiera un peu cette question, en particulier la table ronde n°</w:t>
      </w:r>
      <w:r w:rsidR="00197E51" w:rsidRPr="00AC1BD2">
        <w:t> </w:t>
      </w:r>
      <w:r w:rsidR="00152FBC" w:rsidRPr="00AC1BD2">
        <w:t>2</w:t>
      </w:r>
      <w:r w:rsidR="00025CB1" w:rsidRPr="00AC1BD2">
        <w:t> </w:t>
      </w:r>
      <w:proofErr w:type="gramStart"/>
      <w:r w:rsidR="00025CB1" w:rsidRPr="00AC1BD2">
        <w:t>:</w:t>
      </w:r>
      <w:r w:rsidR="00152FBC" w:rsidRPr="00AC1BD2">
        <w:t xml:space="preserve"> </w:t>
      </w:r>
      <w:r w:rsidR="006A37B6" w:rsidRPr="00AC1BD2">
        <w:t>“</w:t>
      </w:r>
      <w:proofErr w:type="gramEnd"/>
      <w:r w:rsidRPr="00AC1BD2">
        <w:t>Points de vue et données d</w:t>
      </w:r>
      <w:r w:rsidR="00025CB1" w:rsidRPr="00AC1BD2">
        <w:t>’</w:t>
      </w:r>
      <w:r w:rsidRPr="00AC1BD2">
        <w:t>expériences concernant une “approche progressive” de la protection des savoirs traditionnels – Étendue de la protection et exceptions et limitations</w:t>
      </w:r>
      <w:r w:rsidR="00EF24BB" w:rsidRPr="00AC1BD2">
        <w:t>”</w:t>
      </w:r>
    </w:p>
    <w:p w14:paraId="40440E3E" w14:textId="77777777" w:rsidR="0039715D" w:rsidRPr="00AC1BD2" w:rsidRDefault="001D5BA4" w:rsidP="00243A34">
      <w:pPr>
        <w:tabs>
          <w:tab w:val="left" w:pos="567"/>
        </w:tabs>
        <w:rPr>
          <w:rFonts w:cs="Arial"/>
          <w:szCs w:val="22"/>
          <w:u w:val="single"/>
        </w:rPr>
      </w:pPr>
      <w:r w:rsidRPr="00AC1BD2">
        <w:rPr>
          <w:rFonts w:cs="Arial"/>
          <w:szCs w:val="22"/>
          <w:u w:val="single"/>
        </w:rPr>
        <w:t>Exceptions et limitations</w:t>
      </w:r>
    </w:p>
    <w:p w14:paraId="0DE33F63" w14:textId="77777777" w:rsidR="0039715D" w:rsidRPr="00AC1BD2" w:rsidRDefault="0039715D" w:rsidP="00243A34">
      <w:pPr>
        <w:tabs>
          <w:tab w:val="left" w:pos="567"/>
        </w:tabs>
        <w:rPr>
          <w:rFonts w:cs="Arial"/>
          <w:szCs w:val="22"/>
        </w:rPr>
      </w:pPr>
    </w:p>
    <w:p w14:paraId="77F86CB5" w14:textId="2A9D3DB3" w:rsidR="00025CB1" w:rsidRPr="00AC1BD2" w:rsidRDefault="001D5BA4" w:rsidP="00C37157">
      <w:pPr>
        <w:pStyle w:val="ONUMFS"/>
      </w:pPr>
      <w:r w:rsidRPr="00AC1BD2">
        <w:t>Les dispositions de l</w:t>
      </w:r>
      <w:r w:rsidR="00025CB1" w:rsidRPr="00AC1BD2">
        <w:t>’</w:t>
      </w:r>
      <w:r w:rsidRPr="00AC1BD2">
        <w:t>article</w:t>
      </w:r>
      <w:r w:rsidR="00197E51" w:rsidRPr="00AC1BD2">
        <w:t> </w:t>
      </w:r>
      <w:r w:rsidRPr="00AC1BD2">
        <w:t>6, “Exceptions et limitations”, sont réparties entre exceptions générales et exceptions particulières</w:t>
      </w:r>
      <w:r w:rsidR="00872695" w:rsidRPr="00AC1BD2">
        <w:t>.</w:t>
      </w:r>
    </w:p>
    <w:p w14:paraId="528ECBD5" w14:textId="67983A1B" w:rsidR="0039715D" w:rsidRPr="00AC1BD2" w:rsidRDefault="001D5BA4" w:rsidP="00C37157">
      <w:pPr>
        <w:pStyle w:val="ONUMFS"/>
      </w:pPr>
      <w:r w:rsidRPr="00AC1BD2">
        <w:t>La section “Exceptions générales” vise à formuler les conditions, applicables au niveau national, qu</w:t>
      </w:r>
      <w:r w:rsidR="00025CB1" w:rsidRPr="00AC1BD2">
        <w:t>’</w:t>
      </w:r>
      <w:r w:rsidRPr="00AC1BD2">
        <w:t>il serait nécessaire de remplir lorsqu</w:t>
      </w:r>
      <w:r w:rsidR="00025CB1" w:rsidRPr="00AC1BD2">
        <w:t>’</w:t>
      </w:r>
      <w:r w:rsidRPr="00AC1BD2">
        <w:t>on souhaite définir des exceptions et limitations (alinéa</w:t>
      </w:r>
      <w:r w:rsidR="00197E51" w:rsidRPr="00AC1BD2">
        <w:t> </w:t>
      </w:r>
      <w:r w:rsidRPr="00AC1BD2">
        <w:t>6.1)</w:t>
      </w:r>
      <w:r w:rsidR="00872695" w:rsidRPr="00AC1BD2">
        <w:t xml:space="preserve">.  </w:t>
      </w:r>
      <w:r w:rsidR="0073065D" w:rsidRPr="00AC1BD2">
        <w:t>Il semble se dégager un point de vue selon lequel ces conditions pourraient incorporer des éléments du triple critère “classique” décrit dans la Convention de Berne de</w:t>
      </w:r>
      <w:r w:rsidR="00197E51" w:rsidRPr="00AC1BD2">
        <w:t> </w:t>
      </w:r>
      <w:r w:rsidR="0073065D" w:rsidRPr="00AC1BD2">
        <w:t>1971 en ce qui concerne le droit d</w:t>
      </w:r>
      <w:r w:rsidR="00025CB1" w:rsidRPr="00AC1BD2">
        <w:t>’</w:t>
      </w:r>
      <w:r w:rsidR="0073065D" w:rsidRPr="00AC1BD2">
        <w:t xml:space="preserve">auteur et les droits moraux, </w:t>
      </w:r>
      <w:r w:rsidR="00025CB1" w:rsidRPr="00AC1BD2">
        <w:t>à savoir</w:t>
      </w:r>
      <w:r w:rsidR="0073065D" w:rsidRPr="00AC1BD2">
        <w:t xml:space="preserve"> le respect des principes de mention de l</w:t>
      </w:r>
      <w:r w:rsidR="00025CB1" w:rsidRPr="00AC1BD2">
        <w:t>’</w:t>
      </w:r>
      <w:r w:rsidR="0073065D" w:rsidRPr="00AC1BD2">
        <w:t>auteur, d</w:t>
      </w:r>
      <w:r w:rsidR="00025CB1" w:rsidRPr="00AC1BD2">
        <w:t>’</w:t>
      </w:r>
      <w:r w:rsidR="0073065D" w:rsidRPr="00AC1BD2">
        <w:t>utilisation non offensante et de conformité aux bons usages.</w:t>
      </w:r>
    </w:p>
    <w:p w14:paraId="1BAEB19A" w14:textId="76B77242" w:rsidR="00025CB1" w:rsidRPr="00AC1BD2" w:rsidRDefault="00D57DB3" w:rsidP="00C37157">
      <w:pPr>
        <w:pStyle w:val="ONUMFS"/>
      </w:pPr>
      <w:r w:rsidRPr="00AC1BD2">
        <w:t>La section “Exceptions particulières” décrit les types d</w:t>
      </w:r>
      <w:r w:rsidR="00025CB1" w:rsidRPr="00AC1BD2">
        <w:t>’</w:t>
      </w:r>
      <w:r w:rsidRPr="00AC1BD2">
        <w:t>exceptions et de limitations qu</w:t>
      </w:r>
      <w:r w:rsidR="00025CB1" w:rsidRPr="00AC1BD2">
        <w:t>’</w:t>
      </w:r>
      <w:r w:rsidRPr="00AC1BD2">
        <w:t>il convient d</w:t>
      </w:r>
      <w:r w:rsidR="00025CB1" w:rsidRPr="00AC1BD2">
        <w:t>’</w:t>
      </w:r>
      <w:r w:rsidRPr="00AC1BD2">
        <w:t>intégrer ou d</w:t>
      </w:r>
      <w:r w:rsidR="00025CB1" w:rsidRPr="00AC1BD2">
        <w:t>’</w:t>
      </w:r>
      <w:r w:rsidRPr="00AC1BD2">
        <w:t>autoris</w:t>
      </w:r>
      <w:r w:rsidR="00512111" w:rsidRPr="00AC1BD2">
        <w:t>er.  L’a</w:t>
      </w:r>
      <w:r w:rsidRPr="00AC1BD2">
        <w:t>linéa</w:t>
      </w:r>
      <w:r w:rsidR="00197E51" w:rsidRPr="00AC1BD2">
        <w:t> </w:t>
      </w:r>
      <w:r w:rsidRPr="00AC1BD2">
        <w:t>6.7 est étroitement lié à l</w:t>
      </w:r>
      <w:r w:rsidR="00025CB1" w:rsidRPr="00AC1BD2">
        <w:t>’</w:t>
      </w:r>
      <w:r w:rsidRPr="00AC1BD2">
        <w:t>examen d</w:t>
      </w:r>
      <w:r w:rsidR="00025CB1" w:rsidRPr="00AC1BD2">
        <w:t>’</w:t>
      </w:r>
      <w:r w:rsidRPr="00AC1BD2">
        <w:t>une éventuelle approche progressive et du domaine publ</w:t>
      </w:r>
      <w:r w:rsidR="00512111" w:rsidRPr="00AC1BD2">
        <w:t>ic.  Se</w:t>
      </w:r>
      <w:r w:rsidRPr="00AC1BD2">
        <w:t xml:space="preserve"> fondant sur la possibilité d</w:t>
      </w:r>
      <w:r w:rsidR="00025CB1" w:rsidRPr="00AC1BD2">
        <w:t>’</w:t>
      </w:r>
      <w:r w:rsidRPr="00AC1BD2">
        <w:t>adopter une approche progressive pour définir l</w:t>
      </w:r>
      <w:r w:rsidR="00025CB1" w:rsidRPr="00AC1BD2">
        <w:t>’</w:t>
      </w:r>
      <w:r w:rsidRPr="00AC1BD2">
        <w:t>étendue de la protection, certaines délégations ont demandé s</w:t>
      </w:r>
      <w:r w:rsidR="00025CB1" w:rsidRPr="00AC1BD2">
        <w:t>’</w:t>
      </w:r>
      <w:r w:rsidRPr="00AC1BD2">
        <w:t>il ne conviendrait pas de suivre la même approche concernant les dispositions relatives aux exceptions et limitations, c</w:t>
      </w:r>
      <w:r w:rsidR="00025CB1" w:rsidRPr="00AC1BD2">
        <w:t>’</w:t>
      </w:r>
      <w:r w:rsidRPr="00AC1BD2">
        <w:t>est</w:t>
      </w:r>
      <w:r w:rsidR="00243A34" w:rsidRPr="00AC1BD2">
        <w:noBreakHyphen/>
      </w:r>
      <w:r w:rsidRPr="00AC1BD2">
        <w:t>à</w:t>
      </w:r>
      <w:r w:rsidR="00243A34" w:rsidRPr="00AC1BD2">
        <w:noBreakHyphen/>
      </w:r>
      <w:r w:rsidRPr="00AC1BD2">
        <w:t>dire qu</w:t>
      </w:r>
      <w:r w:rsidR="00025CB1" w:rsidRPr="00AC1BD2">
        <w:t>’</w:t>
      </w:r>
      <w:r w:rsidRPr="00AC1BD2">
        <w:t>aux différentes formes d</w:t>
      </w:r>
      <w:r w:rsidR="00025CB1" w:rsidRPr="00AC1BD2">
        <w:t>’</w:t>
      </w:r>
      <w:r w:rsidRPr="00AC1BD2">
        <w:t>objet (les différentes formes sous lesquelles les savoirs traditionnels se présentent) et aux droits progressifs qui leur sont applicables correspondraient différents types d</w:t>
      </w:r>
      <w:r w:rsidR="00025CB1" w:rsidRPr="00AC1BD2">
        <w:t>’</w:t>
      </w:r>
      <w:r w:rsidRPr="00AC1BD2">
        <w:t>exception</w:t>
      </w:r>
      <w:r w:rsidR="00872695" w:rsidRPr="00AC1BD2">
        <w:t>.</w:t>
      </w:r>
    </w:p>
    <w:p w14:paraId="1BA8620D" w14:textId="77777777" w:rsidR="0039715D" w:rsidRPr="00AC1BD2" w:rsidRDefault="00D57DB3" w:rsidP="00243A34">
      <w:pPr>
        <w:tabs>
          <w:tab w:val="left" w:pos="567"/>
        </w:tabs>
        <w:rPr>
          <w:rFonts w:cs="Arial"/>
          <w:szCs w:val="22"/>
          <w:u w:val="single"/>
        </w:rPr>
      </w:pPr>
      <w:r w:rsidRPr="00AC1BD2">
        <w:rPr>
          <w:rFonts w:cs="Arial"/>
          <w:szCs w:val="22"/>
          <w:u w:val="single"/>
        </w:rPr>
        <w:t>Rapports avec le domaine public</w:t>
      </w:r>
    </w:p>
    <w:p w14:paraId="25C655B4" w14:textId="77777777" w:rsidR="0039715D" w:rsidRPr="00AC1BD2" w:rsidRDefault="0039715D" w:rsidP="00243A34">
      <w:pPr>
        <w:tabs>
          <w:tab w:val="left" w:pos="567"/>
        </w:tabs>
        <w:rPr>
          <w:rFonts w:cs="Arial"/>
          <w:szCs w:val="22"/>
        </w:rPr>
      </w:pPr>
    </w:p>
    <w:p w14:paraId="1AB6A1A8" w14:textId="6A3AEF23" w:rsidR="00025CB1" w:rsidRPr="00AC1BD2" w:rsidRDefault="00D57DB3" w:rsidP="00C37157">
      <w:pPr>
        <w:pStyle w:val="ONUMFS"/>
      </w:pPr>
      <w:r w:rsidRPr="00AC1BD2">
        <w:t>La vingt</w:t>
      </w:r>
      <w:r w:rsidR="00243A34" w:rsidRPr="00AC1BD2">
        <w:noBreakHyphen/>
      </w:r>
      <w:r w:rsidRPr="00AC1BD2">
        <w:t>septième</w:t>
      </w:r>
      <w:r w:rsidR="00197E51" w:rsidRPr="00AC1BD2">
        <w:t> </w:t>
      </w:r>
      <w:r w:rsidRPr="00AC1BD2">
        <w:t>session de l</w:t>
      </w:r>
      <w:r w:rsidR="00025CB1" w:rsidRPr="00AC1BD2">
        <w:t>’</w:t>
      </w:r>
      <w:r w:rsidRPr="00AC1BD2">
        <w:t>IGC a introduit dans le projet de texte relatif aux savoirs traditionnels une définition du terme “domaine public”</w:t>
      </w:r>
      <w:r w:rsidR="00872695" w:rsidRPr="00AC1BD2">
        <w:t xml:space="preserve">.  </w:t>
      </w:r>
      <w:r w:rsidRPr="00AC1BD2">
        <w:t>Ce concept fait partie intégrante de l</w:t>
      </w:r>
      <w:r w:rsidR="00025CB1" w:rsidRPr="00AC1BD2">
        <w:t>’</w:t>
      </w:r>
      <w:r w:rsidRPr="00AC1BD2">
        <w:t>équilibre inhérent au système de propriété intellectuel</w:t>
      </w:r>
      <w:r w:rsidR="00512111" w:rsidRPr="00AC1BD2">
        <w:t>le.  Le</w:t>
      </w:r>
      <w:r w:rsidRPr="00AC1BD2">
        <w:t>s droits exclusifs sont mis en équilibre avec les intérêts des utilisateurs et du grand public, afin d</w:t>
      </w:r>
      <w:r w:rsidR="00025CB1" w:rsidRPr="00AC1BD2">
        <w:t>’</w:t>
      </w:r>
      <w:r w:rsidRPr="00AC1BD2">
        <w:t>encourager, de stimuler et de récompenser l</w:t>
      </w:r>
      <w:r w:rsidR="00025CB1" w:rsidRPr="00AC1BD2">
        <w:t>’</w:t>
      </w:r>
      <w:r w:rsidRPr="00AC1BD2">
        <w:t>innovation et la créativi</w:t>
      </w:r>
      <w:r w:rsidR="00512111" w:rsidRPr="00AC1BD2">
        <w:t>té.  Ce</w:t>
      </w:r>
      <w:r w:rsidRPr="00AC1BD2">
        <w:t xml:space="preserve"> concept est lié à ce qu</w:t>
      </w:r>
      <w:r w:rsidR="00025CB1" w:rsidRPr="00AC1BD2">
        <w:t>’</w:t>
      </w:r>
      <w:r w:rsidRPr="00AC1BD2">
        <w:t>on entend par les concepts connexes d</w:t>
      </w:r>
      <w:r w:rsidR="00025CB1" w:rsidRPr="00AC1BD2">
        <w:t>’</w:t>
      </w:r>
      <w:r w:rsidRPr="00AC1BD2">
        <w:t>“accessibilité au public” et d</w:t>
      </w:r>
      <w:r w:rsidR="00025CB1" w:rsidRPr="00AC1BD2">
        <w:t>’</w:t>
      </w:r>
      <w:r w:rsidRPr="00AC1BD2">
        <w:t>“état de la technique”</w:t>
      </w:r>
      <w:r w:rsidR="00D84EB5" w:rsidRPr="00AC1BD2">
        <w:rPr>
          <w:rStyle w:val="FootnoteReference"/>
          <w:szCs w:val="22"/>
        </w:rPr>
        <w:footnoteReference w:id="7"/>
      </w:r>
      <w:r w:rsidR="00727F6F" w:rsidRPr="00AC1BD2">
        <w:t>.</w:t>
      </w:r>
    </w:p>
    <w:p w14:paraId="2D59DA5F" w14:textId="5EA9997A" w:rsidR="0039715D" w:rsidRPr="00AC1BD2" w:rsidRDefault="00965439" w:rsidP="00C37157">
      <w:pPr>
        <w:pStyle w:val="ONUMFS"/>
      </w:pPr>
      <w:r w:rsidRPr="00AC1BD2">
        <w:t>L</w:t>
      </w:r>
      <w:r w:rsidR="00025CB1" w:rsidRPr="00AC1BD2">
        <w:t>’</w:t>
      </w:r>
      <w:r w:rsidRPr="00AC1BD2">
        <w:t>IGC devrait examiner ces concepts attentivement, car cette question est directement liée à l</w:t>
      </w:r>
      <w:r w:rsidR="00025CB1" w:rsidRPr="00AC1BD2">
        <w:t>’</w:t>
      </w:r>
      <w:r w:rsidRPr="00AC1BD2">
        <w:t>“approche progressive” décrite à l</w:t>
      </w:r>
      <w:r w:rsidR="00025CB1" w:rsidRPr="00AC1BD2">
        <w:t>’</w:t>
      </w:r>
      <w:r w:rsidRPr="00AC1BD2">
        <w:t>article 3</w:t>
      </w:r>
      <w:r w:rsidR="00872695" w:rsidRPr="00AC1BD2">
        <w:t xml:space="preserve">.  </w:t>
      </w:r>
      <w:r w:rsidRPr="00AC1BD2">
        <w:t>Toutefois, si le concept de “domaine public” est utile afin de comprendre l</w:t>
      </w:r>
      <w:r w:rsidR="00025CB1" w:rsidRPr="00AC1BD2">
        <w:t>’</w:t>
      </w:r>
      <w:r w:rsidRPr="00AC1BD2">
        <w:t>interface entre propriété intellectuelle et savoirs traditionnels et de concevoir un système similaire à celui de la propriété intellectuelle pour garantir une protection équilibrée et effective des savoirs traditionnels, l</w:t>
      </w:r>
      <w:r w:rsidR="00025CB1" w:rsidRPr="00AC1BD2">
        <w:t>’</w:t>
      </w:r>
      <w:r w:rsidRPr="00AC1BD2">
        <w:t>intérêt de formuler et d</w:t>
      </w:r>
      <w:r w:rsidR="00025CB1" w:rsidRPr="00AC1BD2">
        <w:t>’</w:t>
      </w:r>
      <w:r w:rsidRPr="00AC1BD2">
        <w:t>incorporer une définition précise du domaine public dans l</w:t>
      </w:r>
      <w:r w:rsidR="00025CB1" w:rsidRPr="00AC1BD2">
        <w:t>’</w:t>
      </w:r>
      <w:r w:rsidRPr="00AC1BD2">
        <w:t xml:space="preserve">instrument relatif aux savoirs traditionnels est </w:t>
      </w:r>
      <w:r w:rsidRPr="00AC1BD2">
        <w:lastRenderedPageBreak/>
        <w:t>peu cla</w:t>
      </w:r>
      <w:r w:rsidR="00512111" w:rsidRPr="00AC1BD2">
        <w:t>ir.  La</w:t>
      </w:r>
      <w:r w:rsidR="004415F1" w:rsidRPr="00AC1BD2">
        <w:t xml:space="preserve"> définition du “domaine public” est selon moi une entreprise difficile, qui possède de profondes ramifications en matière de politique générale allant au</w:t>
      </w:r>
      <w:r w:rsidR="00243A34" w:rsidRPr="00AC1BD2">
        <w:noBreakHyphen/>
      </w:r>
      <w:r w:rsidR="004415F1" w:rsidRPr="00AC1BD2">
        <w:t>delà du cadre de l</w:t>
      </w:r>
      <w:r w:rsidR="00025CB1" w:rsidRPr="00AC1BD2">
        <w:t>’</w:t>
      </w:r>
      <w:r w:rsidR="004415F1" w:rsidRPr="00AC1BD2">
        <w:t>IGC.</w:t>
      </w:r>
    </w:p>
    <w:p w14:paraId="44C4CC8D" w14:textId="630B664A" w:rsidR="0039715D" w:rsidRPr="00AC1BD2" w:rsidRDefault="00D57DB3" w:rsidP="00243A34">
      <w:pPr>
        <w:tabs>
          <w:tab w:val="left" w:pos="567"/>
        </w:tabs>
        <w:rPr>
          <w:rFonts w:cs="Arial"/>
          <w:szCs w:val="22"/>
          <w:u w:val="single"/>
        </w:rPr>
      </w:pPr>
      <w:r w:rsidRPr="00AC1BD2">
        <w:rPr>
          <w:rFonts w:cs="Arial"/>
          <w:szCs w:val="22"/>
          <w:u w:val="single"/>
        </w:rPr>
        <w:t>Définition de l</w:t>
      </w:r>
      <w:r w:rsidR="00025CB1" w:rsidRPr="00AC1BD2">
        <w:rPr>
          <w:rFonts w:cs="Arial"/>
          <w:szCs w:val="22"/>
          <w:u w:val="single"/>
        </w:rPr>
        <w:t>’</w:t>
      </w:r>
      <w:r w:rsidRPr="00AC1BD2">
        <w:rPr>
          <w:rFonts w:cs="Arial"/>
          <w:szCs w:val="22"/>
          <w:u w:val="single"/>
        </w:rPr>
        <w:t>“appropriation illicite”</w:t>
      </w:r>
    </w:p>
    <w:p w14:paraId="4CE811E4" w14:textId="77777777" w:rsidR="0039715D" w:rsidRPr="00AC1BD2" w:rsidRDefault="0039715D" w:rsidP="00243A34">
      <w:pPr>
        <w:tabs>
          <w:tab w:val="left" w:pos="567"/>
        </w:tabs>
        <w:rPr>
          <w:rFonts w:cs="Arial"/>
          <w:szCs w:val="22"/>
        </w:rPr>
      </w:pPr>
    </w:p>
    <w:p w14:paraId="0A2328EB" w14:textId="17F75513" w:rsidR="00025CB1" w:rsidRPr="00AC1BD2" w:rsidRDefault="004415F1" w:rsidP="00C37157">
      <w:pPr>
        <w:pStyle w:val="ONUMFS"/>
      </w:pPr>
      <w:r w:rsidRPr="00AC1BD2">
        <w:t>Aux termes de son mandat, l</w:t>
      </w:r>
      <w:r w:rsidR="00025CB1" w:rsidRPr="00AC1BD2">
        <w:t>’</w:t>
      </w:r>
      <w:r w:rsidRPr="00AC1BD2">
        <w:t xml:space="preserve">IGC est chargé de parvenir à une communauté de vues sur la définition de </w:t>
      </w:r>
      <w:r w:rsidR="00806DFE" w:rsidRPr="00AC1BD2">
        <w:t>“l</w:t>
      </w:r>
      <w:r w:rsidR="00025CB1" w:rsidRPr="00AC1BD2">
        <w:t>’</w:t>
      </w:r>
      <w:r w:rsidRPr="00AC1BD2">
        <w:t>appropriation illicite”, terme qui, nous l</w:t>
      </w:r>
      <w:r w:rsidR="00025CB1" w:rsidRPr="00AC1BD2">
        <w:t>’</w:t>
      </w:r>
      <w:r w:rsidRPr="00AC1BD2">
        <w:t>avons constaté, n</w:t>
      </w:r>
      <w:r w:rsidR="00025CB1" w:rsidRPr="00AC1BD2">
        <w:t>’</w:t>
      </w:r>
      <w:r w:rsidRPr="00AC1BD2">
        <w:t>est actuellement défini dans aucun autre instrument internation</w:t>
      </w:r>
      <w:r w:rsidR="00512111" w:rsidRPr="00AC1BD2">
        <w:t>al.  Le</w:t>
      </w:r>
      <w:r w:rsidR="00D57DB3" w:rsidRPr="00AC1BD2">
        <w:t xml:space="preserve">s </w:t>
      </w:r>
      <w:proofErr w:type="gramStart"/>
      <w:r w:rsidR="00D57DB3" w:rsidRPr="00AC1BD2">
        <w:t>vingt</w:t>
      </w:r>
      <w:r w:rsidR="00243A34" w:rsidRPr="00AC1BD2">
        <w:noBreakHyphen/>
      </w:r>
      <w:r w:rsidR="00D57DB3" w:rsidRPr="00AC1BD2">
        <w:t>neuvième et trentième</w:t>
      </w:r>
      <w:proofErr w:type="gramEnd"/>
      <w:r w:rsidR="00197E51" w:rsidRPr="00AC1BD2">
        <w:t> </w:t>
      </w:r>
      <w:r w:rsidR="00D57DB3" w:rsidRPr="00AC1BD2">
        <w:t>sessions de l</w:t>
      </w:r>
      <w:r w:rsidR="00025CB1" w:rsidRPr="00AC1BD2">
        <w:t>’</w:t>
      </w:r>
      <w:r w:rsidR="00D57DB3" w:rsidRPr="00AC1BD2">
        <w:t>IGC, qui portaient sur les ressources génétiques, ont examiné ce ter</w:t>
      </w:r>
      <w:r w:rsidR="00512111" w:rsidRPr="00AC1BD2">
        <w:t>me.  Au</w:t>
      </w:r>
      <w:r w:rsidR="00D57DB3" w:rsidRPr="00AC1BD2">
        <w:t>cun accord n</w:t>
      </w:r>
      <w:r w:rsidR="00025CB1" w:rsidRPr="00AC1BD2">
        <w:t>’</w:t>
      </w:r>
      <w:r w:rsidR="00D57DB3" w:rsidRPr="00AC1BD2">
        <w:t>a été trouvé quant à sa signification ou à la nécessité de le définir expressément</w:t>
      </w:r>
      <w:r w:rsidR="00872695" w:rsidRPr="00AC1BD2">
        <w:t>.</w:t>
      </w:r>
    </w:p>
    <w:p w14:paraId="3A790646" w14:textId="18D713BF" w:rsidR="0039715D" w:rsidRPr="00AC1BD2" w:rsidRDefault="00AC1BD2" w:rsidP="00C37157">
      <w:pPr>
        <w:pStyle w:val="ONUMFS"/>
      </w:pPr>
      <w:r w:rsidRPr="00AC1BD2">
        <w:t>Le d</w:t>
      </w:r>
      <w:r w:rsidR="00DB2CA8" w:rsidRPr="00AC1BD2">
        <w:t xml:space="preserve">ocument </w:t>
      </w:r>
      <w:proofErr w:type="spellStart"/>
      <w:r w:rsidR="00DB2CA8" w:rsidRPr="00AC1BD2">
        <w:t>WIPO</w:t>
      </w:r>
      <w:proofErr w:type="spellEnd"/>
      <w:r w:rsidR="00DB2CA8" w:rsidRPr="00AC1BD2">
        <w:t>/</w:t>
      </w:r>
      <w:proofErr w:type="spellStart"/>
      <w:r w:rsidR="004415F1" w:rsidRPr="00AC1BD2">
        <w:t>GRTK</w:t>
      </w:r>
      <w:r w:rsidR="00DB2CA8" w:rsidRPr="00AC1BD2">
        <w:t>F</w:t>
      </w:r>
      <w:proofErr w:type="spellEnd"/>
      <w:r w:rsidR="00DB2CA8" w:rsidRPr="00AC1BD2">
        <w:t>/IC/3</w:t>
      </w:r>
      <w:r w:rsidR="00092B29" w:rsidRPr="00AC1BD2">
        <w:t>2</w:t>
      </w:r>
      <w:r w:rsidR="00DB2CA8" w:rsidRPr="00AC1BD2">
        <w:t xml:space="preserve">/4 </w:t>
      </w:r>
      <w:r w:rsidR="004415F1" w:rsidRPr="00AC1BD2">
        <w:t>comporte quatre</w:t>
      </w:r>
      <w:r w:rsidR="00197E51" w:rsidRPr="00AC1BD2">
        <w:t> </w:t>
      </w:r>
      <w:r w:rsidR="004415F1" w:rsidRPr="00AC1BD2">
        <w:t>variantes</w:t>
      </w:r>
      <w:r w:rsidR="00025CB1" w:rsidRPr="00AC1BD2">
        <w:t> :</w:t>
      </w:r>
    </w:p>
    <w:p w14:paraId="71433F53" w14:textId="3DCA6A3A" w:rsidR="0039715D" w:rsidRPr="00AC1BD2" w:rsidRDefault="00965439" w:rsidP="00AC1BD2">
      <w:pPr>
        <w:numPr>
          <w:ilvl w:val="0"/>
          <w:numId w:val="4"/>
        </w:numPr>
        <w:ind w:left="1134" w:hanging="567"/>
        <w:rPr>
          <w:rFonts w:cs="Arial"/>
          <w:szCs w:val="22"/>
        </w:rPr>
      </w:pPr>
      <w:r w:rsidRPr="00AC1BD2">
        <w:rPr>
          <w:rFonts w:cs="Arial"/>
          <w:szCs w:val="22"/>
        </w:rPr>
        <w:t>Selon la variante</w:t>
      </w:r>
      <w:r w:rsidR="00BD0A6E" w:rsidRPr="00AC1BD2">
        <w:rPr>
          <w:rFonts w:cs="Arial"/>
          <w:szCs w:val="22"/>
        </w:rPr>
        <w:t> </w:t>
      </w:r>
      <w:r w:rsidRPr="00AC1BD2">
        <w:rPr>
          <w:rFonts w:cs="Arial"/>
          <w:szCs w:val="22"/>
        </w:rPr>
        <w:t xml:space="preserve">1, </w:t>
      </w:r>
      <w:r w:rsidRPr="00AC1BD2">
        <w:rPr>
          <w:rFonts w:cs="Arial"/>
          <w:b/>
          <w:szCs w:val="22"/>
        </w:rPr>
        <w:t>tout</w:t>
      </w:r>
      <w:r w:rsidRPr="00AC1BD2">
        <w:rPr>
          <w:rFonts w:cs="Arial"/>
          <w:szCs w:val="22"/>
        </w:rPr>
        <w:t xml:space="preserve"> accès ou utilisation sans consentement préalable en connaissance de cause ou approbation ou participation et, le cas échéant, dans des conditions n</w:t>
      </w:r>
      <w:r w:rsidR="00025CB1" w:rsidRPr="00AC1BD2">
        <w:rPr>
          <w:rFonts w:cs="Arial"/>
          <w:szCs w:val="22"/>
        </w:rPr>
        <w:t>’</w:t>
      </w:r>
      <w:r w:rsidRPr="00AC1BD2">
        <w:rPr>
          <w:rFonts w:cs="Arial"/>
          <w:szCs w:val="22"/>
        </w:rPr>
        <w:t>ayant pas été mutuellement convenues, à quelque fin que ce soit, relèverait de l</w:t>
      </w:r>
      <w:r w:rsidR="00025CB1" w:rsidRPr="00AC1BD2">
        <w:rPr>
          <w:rFonts w:cs="Arial"/>
          <w:szCs w:val="22"/>
        </w:rPr>
        <w:t>’</w:t>
      </w:r>
      <w:r w:rsidRPr="00AC1BD2">
        <w:rPr>
          <w:rFonts w:cs="Arial"/>
          <w:szCs w:val="22"/>
        </w:rPr>
        <w:t>appropriation illicite (</w:t>
      </w:r>
      <w:r w:rsidR="0001710C" w:rsidRPr="00AC1BD2">
        <w:rPr>
          <w:rFonts w:cs="Arial"/>
          <w:szCs w:val="22"/>
        </w:rPr>
        <w:t>c</w:t>
      </w:r>
      <w:r w:rsidR="00025CB1" w:rsidRPr="00AC1BD2">
        <w:rPr>
          <w:rFonts w:cs="Arial"/>
          <w:szCs w:val="22"/>
        </w:rPr>
        <w:t>’</w:t>
      </w:r>
      <w:r w:rsidR="0001710C" w:rsidRPr="00AC1BD2">
        <w:rPr>
          <w:rFonts w:cs="Arial"/>
          <w:szCs w:val="22"/>
        </w:rPr>
        <w:t>est moi qui souligne</w:t>
      </w:r>
      <w:r w:rsidRPr="00AC1BD2">
        <w:rPr>
          <w:rFonts w:cs="Arial"/>
          <w:szCs w:val="22"/>
        </w:rPr>
        <w:t>).</w:t>
      </w:r>
    </w:p>
    <w:p w14:paraId="4D02CA58" w14:textId="2CC28E6F" w:rsidR="0039715D" w:rsidRPr="00AC1BD2" w:rsidRDefault="00965439" w:rsidP="00AC1BD2">
      <w:pPr>
        <w:numPr>
          <w:ilvl w:val="0"/>
          <w:numId w:val="4"/>
        </w:numPr>
        <w:ind w:left="1134" w:hanging="567"/>
        <w:rPr>
          <w:rFonts w:cs="Arial"/>
          <w:szCs w:val="22"/>
        </w:rPr>
      </w:pPr>
      <w:r w:rsidRPr="00AC1BD2">
        <w:rPr>
          <w:rFonts w:cs="Arial"/>
          <w:szCs w:val="22"/>
        </w:rPr>
        <w:t>Selon la variante</w:t>
      </w:r>
      <w:r w:rsidR="00BD0A6E" w:rsidRPr="00AC1BD2">
        <w:rPr>
          <w:rFonts w:cs="Arial"/>
          <w:szCs w:val="22"/>
        </w:rPr>
        <w:t> </w:t>
      </w:r>
      <w:r w:rsidRPr="00AC1BD2">
        <w:rPr>
          <w:rFonts w:cs="Arial"/>
          <w:szCs w:val="22"/>
        </w:rPr>
        <w:t>2, il y aurait appropriation illicite uniquement si l</w:t>
      </w:r>
      <w:r w:rsidR="00025CB1" w:rsidRPr="00AC1BD2">
        <w:rPr>
          <w:rFonts w:cs="Arial"/>
          <w:szCs w:val="22"/>
        </w:rPr>
        <w:t>’</w:t>
      </w:r>
      <w:r w:rsidRPr="00AC1BD2">
        <w:rPr>
          <w:rFonts w:cs="Arial"/>
          <w:szCs w:val="22"/>
        </w:rPr>
        <w:t>utilisateur a acquis les savoirs traditionnels auprès de leur détenteur par des moyens abusifs ou par abus de confiance induisant une violation de la législation nationale du pays fournisseur.</w:t>
      </w:r>
    </w:p>
    <w:p w14:paraId="0E048D78" w14:textId="0B16F17B" w:rsidR="0039715D" w:rsidRPr="00AC1BD2" w:rsidRDefault="004415F1" w:rsidP="00AC1BD2">
      <w:pPr>
        <w:numPr>
          <w:ilvl w:val="0"/>
          <w:numId w:val="4"/>
        </w:numPr>
        <w:ind w:left="1134" w:hanging="567"/>
        <w:rPr>
          <w:rFonts w:cs="Arial"/>
          <w:szCs w:val="22"/>
        </w:rPr>
      </w:pPr>
      <w:r w:rsidRPr="00AC1BD2">
        <w:rPr>
          <w:rFonts w:cs="Arial"/>
          <w:szCs w:val="22"/>
        </w:rPr>
        <w:t>La variante</w:t>
      </w:r>
      <w:r w:rsidR="00BD0A6E" w:rsidRPr="00AC1BD2">
        <w:rPr>
          <w:rFonts w:cs="Arial"/>
          <w:szCs w:val="22"/>
        </w:rPr>
        <w:t> </w:t>
      </w:r>
      <w:r w:rsidR="00092B29" w:rsidRPr="00AC1BD2">
        <w:rPr>
          <w:rFonts w:cs="Arial"/>
          <w:szCs w:val="22"/>
        </w:rPr>
        <w:t>3</w:t>
      </w:r>
      <w:r w:rsidR="00545C7D" w:rsidRPr="00AC1BD2">
        <w:rPr>
          <w:rFonts w:cs="Arial"/>
          <w:szCs w:val="22"/>
        </w:rPr>
        <w:t xml:space="preserve"> </w:t>
      </w:r>
      <w:r w:rsidRPr="00AC1BD2">
        <w:rPr>
          <w:rFonts w:cs="Arial"/>
          <w:szCs w:val="22"/>
        </w:rPr>
        <w:t>récemment ajoutée établit un rapport entre l</w:t>
      </w:r>
      <w:r w:rsidR="00025CB1" w:rsidRPr="00AC1BD2">
        <w:rPr>
          <w:rFonts w:cs="Arial"/>
          <w:szCs w:val="22"/>
        </w:rPr>
        <w:t>’</w:t>
      </w:r>
      <w:r w:rsidRPr="00AC1BD2">
        <w:rPr>
          <w:rFonts w:cs="Arial"/>
          <w:szCs w:val="22"/>
        </w:rPr>
        <w:t xml:space="preserve">appropriation illicite et </w:t>
      </w:r>
      <w:r w:rsidRPr="00AC1BD2">
        <w:rPr>
          <w:rFonts w:cs="Arial"/>
          <w:b/>
          <w:szCs w:val="22"/>
        </w:rPr>
        <w:t>tout</w:t>
      </w:r>
      <w:r w:rsidRPr="00AC1BD2">
        <w:rPr>
          <w:rFonts w:cs="Arial"/>
          <w:szCs w:val="22"/>
        </w:rPr>
        <w:t xml:space="preserve"> accès ou utilisation de</w:t>
      </w:r>
      <w:r w:rsidR="00545C7D" w:rsidRPr="00AC1BD2">
        <w:rPr>
          <w:rFonts w:cs="Arial"/>
          <w:szCs w:val="22"/>
        </w:rPr>
        <w:t xml:space="preserve"> </w:t>
      </w:r>
      <w:r w:rsidR="00741D75" w:rsidRPr="00AC1BD2">
        <w:rPr>
          <w:rFonts w:cs="Arial"/>
          <w:szCs w:val="22"/>
        </w:rPr>
        <w:t>savoirs traditionnels</w:t>
      </w:r>
      <w:r w:rsidR="00545C7D" w:rsidRPr="00AC1BD2">
        <w:rPr>
          <w:rFonts w:cs="Arial"/>
          <w:szCs w:val="22"/>
        </w:rPr>
        <w:t xml:space="preserve"> </w:t>
      </w:r>
      <w:r w:rsidR="0041784B" w:rsidRPr="00AC1BD2">
        <w:rPr>
          <w:rFonts w:cs="Arial"/>
          <w:b/>
          <w:szCs w:val="22"/>
        </w:rPr>
        <w:t>en violation du droit coutumier et des pratiques en vigueur régissant l</w:t>
      </w:r>
      <w:r w:rsidR="00025CB1" w:rsidRPr="00AC1BD2">
        <w:rPr>
          <w:rFonts w:cs="Arial"/>
          <w:b/>
          <w:szCs w:val="22"/>
        </w:rPr>
        <w:t>’</w:t>
      </w:r>
      <w:r w:rsidR="0041784B" w:rsidRPr="00AC1BD2">
        <w:rPr>
          <w:rFonts w:cs="Arial"/>
          <w:b/>
          <w:szCs w:val="22"/>
        </w:rPr>
        <w:t>accès à ces savoirs traditionnels ou leur utilisation</w:t>
      </w:r>
      <w:r w:rsidR="0041784B" w:rsidRPr="00AC1BD2">
        <w:rPr>
          <w:rFonts w:cs="Arial"/>
          <w:szCs w:val="22"/>
        </w:rPr>
        <w:t xml:space="preserve"> </w:t>
      </w:r>
      <w:r w:rsidR="00545C7D" w:rsidRPr="00AC1BD2">
        <w:rPr>
          <w:rFonts w:cs="Arial"/>
          <w:szCs w:val="22"/>
        </w:rPr>
        <w:t>(</w:t>
      </w:r>
      <w:r w:rsidR="0041784B" w:rsidRPr="00AC1BD2">
        <w:rPr>
          <w:rFonts w:cs="Arial"/>
          <w:szCs w:val="22"/>
        </w:rPr>
        <w:t>c</w:t>
      </w:r>
      <w:r w:rsidR="00025CB1" w:rsidRPr="00AC1BD2">
        <w:rPr>
          <w:rFonts w:cs="Arial"/>
          <w:szCs w:val="22"/>
        </w:rPr>
        <w:t>’</w:t>
      </w:r>
      <w:r w:rsidR="0041784B" w:rsidRPr="00AC1BD2">
        <w:rPr>
          <w:rFonts w:cs="Arial"/>
          <w:szCs w:val="22"/>
        </w:rPr>
        <w:t>est moi qui souligne</w:t>
      </w:r>
      <w:r w:rsidR="00545C7D" w:rsidRPr="00AC1BD2">
        <w:rPr>
          <w:rFonts w:cs="Arial"/>
          <w:szCs w:val="22"/>
        </w:rPr>
        <w:t>).</w:t>
      </w:r>
    </w:p>
    <w:p w14:paraId="13E64BB2" w14:textId="7FC972F2" w:rsidR="0039715D" w:rsidRPr="00AC1BD2" w:rsidRDefault="004415F1" w:rsidP="00AC1BD2">
      <w:pPr>
        <w:numPr>
          <w:ilvl w:val="0"/>
          <w:numId w:val="4"/>
        </w:numPr>
        <w:ind w:left="1134" w:hanging="567"/>
        <w:rPr>
          <w:rFonts w:cs="Arial"/>
          <w:szCs w:val="22"/>
        </w:rPr>
      </w:pPr>
      <w:r w:rsidRPr="00AC1BD2">
        <w:rPr>
          <w:rFonts w:cs="Arial"/>
          <w:szCs w:val="22"/>
        </w:rPr>
        <w:t>La variante</w:t>
      </w:r>
      <w:r w:rsidR="00BD0A6E" w:rsidRPr="00AC1BD2">
        <w:rPr>
          <w:rFonts w:cs="Arial"/>
          <w:szCs w:val="22"/>
        </w:rPr>
        <w:t> </w:t>
      </w:r>
      <w:r w:rsidRPr="00AC1BD2">
        <w:rPr>
          <w:rFonts w:cs="Arial"/>
          <w:szCs w:val="22"/>
        </w:rPr>
        <w:t>4 récemment ajoutée établit des liens entre la variante</w:t>
      </w:r>
      <w:r w:rsidR="00BD0A6E" w:rsidRPr="00AC1BD2">
        <w:rPr>
          <w:rFonts w:cs="Arial"/>
          <w:szCs w:val="22"/>
        </w:rPr>
        <w:t> </w:t>
      </w:r>
      <w:r w:rsidRPr="00AC1BD2">
        <w:rPr>
          <w:rFonts w:cs="Arial"/>
          <w:szCs w:val="22"/>
        </w:rPr>
        <w:t>1 et la variante</w:t>
      </w:r>
      <w:r w:rsidR="00BD0A6E" w:rsidRPr="00AC1BD2">
        <w:rPr>
          <w:rFonts w:cs="Arial"/>
          <w:szCs w:val="22"/>
        </w:rPr>
        <w:t> </w:t>
      </w:r>
      <w:r w:rsidRPr="00AC1BD2">
        <w:rPr>
          <w:rFonts w:cs="Arial"/>
          <w:szCs w:val="22"/>
        </w:rPr>
        <w:t>3, considérant que l</w:t>
      </w:r>
      <w:r w:rsidR="00025CB1" w:rsidRPr="00AC1BD2">
        <w:rPr>
          <w:rFonts w:cs="Arial"/>
          <w:szCs w:val="22"/>
        </w:rPr>
        <w:t>’</w:t>
      </w:r>
      <w:r w:rsidRPr="00AC1BD2">
        <w:rPr>
          <w:rFonts w:cs="Arial"/>
          <w:szCs w:val="22"/>
        </w:rPr>
        <w:t xml:space="preserve">appropriation illicite est constituée par tout accès ou utilisation sans </w:t>
      </w:r>
      <w:r w:rsidR="00092BEF" w:rsidRPr="00AC1BD2">
        <w:rPr>
          <w:rFonts w:cs="Arial"/>
          <w:szCs w:val="22"/>
        </w:rPr>
        <w:t>que soient respectées des exigences largement similaires à celles indiquées dans la variante</w:t>
      </w:r>
      <w:r w:rsidR="00BD0A6E" w:rsidRPr="00AC1BD2">
        <w:rPr>
          <w:rFonts w:cs="Arial"/>
          <w:szCs w:val="22"/>
        </w:rPr>
        <w:t> </w:t>
      </w:r>
      <w:r w:rsidR="00092BEF" w:rsidRPr="00AC1BD2">
        <w:rPr>
          <w:rFonts w:cs="Arial"/>
          <w:szCs w:val="22"/>
        </w:rPr>
        <w:t xml:space="preserve">1 </w:t>
      </w:r>
      <w:r w:rsidR="001340F4" w:rsidRPr="00AC1BD2">
        <w:rPr>
          <w:rFonts w:cs="Arial"/>
          <w:szCs w:val="22"/>
        </w:rPr>
        <w:t>(</w:t>
      </w:r>
      <w:r w:rsidR="0041784B" w:rsidRPr="00AC1BD2">
        <w:rPr>
          <w:rFonts w:cs="Arial"/>
          <w:szCs w:val="22"/>
        </w:rPr>
        <w:t xml:space="preserve">consentement préalable, donné </w:t>
      </w:r>
      <w:r w:rsidR="0041784B" w:rsidRPr="00AC1BD2">
        <w:rPr>
          <w:rFonts w:cs="Arial"/>
          <w:b/>
          <w:szCs w:val="22"/>
        </w:rPr>
        <w:t>librement</w:t>
      </w:r>
      <w:r w:rsidR="0041784B" w:rsidRPr="00AC1BD2">
        <w:rPr>
          <w:rFonts w:cs="Arial"/>
          <w:szCs w:val="22"/>
        </w:rPr>
        <w:t xml:space="preserve"> et en connaissance de cause</w:t>
      </w:r>
      <w:r w:rsidR="001340F4" w:rsidRPr="00AC1BD2">
        <w:rPr>
          <w:rFonts w:cs="Arial"/>
          <w:szCs w:val="22"/>
        </w:rPr>
        <w:t xml:space="preserve">, </w:t>
      </w:r>
      <w:r w:rsidR="0041784B" w:rsidRPr="00AC1BD2">
        <w:rPr>
          <w:rFonts w:cs="Arial"/>
          <w:szCs w:val="22"/>
        </w:rPr>
        <w:t>conditions convenues d</w:t>
      </w:r>
      <w:r w:rsidR="00025CB1" w:rsidRPr="00AC1BD2">
        <w:rPr>
          <w:rFonts w:cs="Arial"/>
          <w:szCs w:val="22"/>
        </w:rPr>
        <w:t>’</w:t>
      </w:r>
      <w:r w:rsidR="0041784B" w:rsidRPr="00AC1BD2">
        <w:rPr>
          <w:rFonts w:cs="Arial"/>
          <w:szCs w:val="22"/>
        </w:rPr>
        <w:t>un commun accord</w:t>
      </w:r>
      <w:r w:rsidR="001340F4" w:rsidRPr="00AC1BD2">
        <w:rPr>
          <w:rFonts w:cs="Arial"/>
          <w:szCs w:val="22"/>
        </w:rPr>
        <w:t xml:space="preserve">) </w:t>
      </w:r>
      <w:r w:rsidR="00092BEF" w:rsidRPr="00AC1BD2">
        <w:rPr>
          <w:rFonts w:cs="Arial"/>
          <w:szCs w:val="22"/>
        </w:rPr>
        <w:t>et la variante</w:t>
      </w:r>
      <w:r w:rsidR="00BD0A6E" w:rsidRPr="00AC1BD2">
        <w:rPr>
          <w:rFonts w:cs="Arial"/>
          <w:szCs w:val="22"/>
        </w:rPr>
        <w:t> </w:t>
      </w:r>
      <w:r w:rsidR="001340F4" w:rsidRPr="00AC1BD2">
        <w:rPr>
          <w:rFonts w:cs="Arial"/>
          <w:szCs w:val="22"/>
        </w:rPr>
        <w:t>3 (</w:t>
      </w:r>
      <w:r w:rsidR="0041784B" w:rsidRPr="00AC1BD2">
        <w:rPr>
          <w:rFonts w:cs="Arial"/>
          <w:szCs w:val="22"/>
        </w:rPr>
        <w:t>droit coutumier</w:t>
      </w:r>
      <w:r w:rsidR="001340F4" w:rsidRPr="00AC1BD2">
        <w:rPr>
          <w:rFonts w:cs="Arial"/>
          <w:szCs w:val="22"/>
        </w:rPr>
        <w:t xml:space="preserve">), </w:t>
      </w:r>
      <w:r w:rsidR="00092BEF" w:rsidRPr="00AC1BD2">
        <w:rPr>
          <w:rFonts w:cs="Arial"/>
          <w:szCs w:val="22"/>
        </w:rPr>
        <w:t>et les pratiques en vigueur régissant l</w:t>
      </w:r>
      <w:r w:rsidR="00025CB1" w:rsidRPr="00AC1BD2">
        <w:rPr>
          <w:rFonts w:cs="Arial"/>
          <w:szCs w:val="22"/>
        </w:rPr>
        <w:t>’</w:t>
      </w:r>
      <w:r w:rsidR="00092BEF" w:rsidRPr="00AC1BD2">
        <w:rPr>
          <w:rFonts w:cs="Arial"/>
          <w:szCs w:val="22"/>
        </w:rPr>
        <w:t>accès et l</w:t>
      </w:r>
      <w:r w:rsidR="00025CB1" w:rsidRPr="00AC1BD2">
        <w:rPr>
          <w:rFonts w:cs="Arial"/>
          <w:szCs w:val="22"/>
        </w:rPr>
        <w:t>’</w:t>
      </w:r>
      <w:r w:rsidR="00092BEF" w:rsidRPr="00AC1BD2">
        <w:rPr>
          <w:rFonts w:cs="Arial"/>
          <w:szCs w:val="22"/>
        </w:rPr>
        <w:t>utilisation de ces savoirs</w:t>
      </w:r>
      <w:r w:rsidR="00741D75" w:rsidRPr="00AC1BD2">
        <w:rPr>
          <w:rFonts w:cs="Arial"/>
          <w:szCs w:val="22"/>
        </w:rPr>
        <w:t xml:space="preserve"> traditionnels</w:t>
      </w:r>
      <w:r w:rsidR="00A42A48" w:rsidRPr="00AC1BD2">
        <w:rPr>
          <w:rFonts w:cs="Arial"/>
          <w:szCs w:val="22"/>
        </w:rPr>
        <w:t xml:space="preserve"> (</w:t>
      </w:r>
      <w:r w:rsidR="0041784B" w:rsidRPr="00AC1BD2">
        <w:rPr>
          <w:rFonts w:cs="Arial"/>
          <w:szCs w:val="22"/>
        </w:rPr>
        <w:t>c</w:t>
      </w:r>
      <w:r w:rsidR="00025CB1" w:rsidRPr="00AC1BD2">
        <w:rPr>
          <w:rFonts w:cs="Arial"/>
          <w:szCs w:val="22"/>
        </w:rPr>
        <w:t>’</w:t>
      </w:r>
      <w:r w:rsidR="0041784B" w:rsidRPr="00AC1BD2">
        <w:rPr>
          <w:rFonts w:cs="Arial"/>
          <w:szCs w:val="22"/>
        </w:rPr>
        <w:t>est moi qui souligne</w:t>
      </w:r>
      <w:r w:rsidR="00A42A48" w:rsidRPr="00AC1BD2">
        <w:rPr>
          <w:rFonts w:cs="Arial"/>
          <w:szCs w:val="22"/>
        </w:rPr>
        <w:t>)</w:t>
      </w:r>
      <w:r w:rsidR="002B67AF" w:rsidRPr="00AC1BD2">
        <w:rPr>
          <w:rFonts w:cs="Arial"/>
          <w:szCs w:val="22"/>
        </w:rPr>
        <w:t>.</w:t>
      </w:r>
    </w:p>
    <w:p w14:paraId="04F2B493" w14:textId="77777777" w:rsidR="0039715D" w:rsidRPr="00AC1BD2" w:rsidRDefault="0039715D" w:rsidP="00AC1BD2">
      <w:pPr>
        <w:tabs>
          <w:tab w:val="left" w:pos="567"/>
        </w:tabs>
        <w:rPr>
          <w:rFonts w:cs="Arial"/>
          <w:szCs w:val="22"/>
        </w:rPr>
      </w:pPr>
    </w:p>
    <w:p w14:paraId="7A5760DE" w14:textId="3E2A457A" w:rsidR="0039715D" w:rsidRPr="00AC1BD2" w:rsidRDefault="00092BEF" w:rsidP="002C6B71">
      <w:pPr>
        <w:pStyle w:val="ONUMFS"/>
      </w:pPr>
      <w:r w:rsidRPr="00AC1BD2">
        <w:t>Je voudrais faire remarquer qu</w:t>
      </w:r>
      <w:r w:rsidR="00025CB1" w:rsidRPr="00AC1BD2">
        <w:t>’</w:t>
      </w:r>
      <w:r w:rsidRPr="00AC1BD2">
        <w:t>une dé</w:t>
      </w:r>
      <w:r w:rsidR="0041784B" w:rsidRPr="00AC1BD2">
        <w:t xml:space="preserve">finition </w:t>
      </w:r>
      <w:r w:rsidRPr="00AC1BD2">
        <w:t xml:space="preserve">de </w:t>
      </w:r>
      <w:r w:rsidR="00806DFE" w:rsidRPr="00AC1BD2">
        <w:t>“l</w:t>
      </w:r>
      <w:r w:rsidR="00025CB1" w:rsidRPr="00AC1BD2">
        <w:t>’</w:t>
      </w:r>
      <w:r w:rsidR="0041784B" w:rsidRPr="00AC1BD2">
        <w:t>appropriation illégale</w:t>
      </w:r>
      <w:r w:rsidR="00EF24BB" w:rsidRPr="00AC1BD2">
        <w:t>”</w:t>
      </w:r>
      <w:r w:rsidR="00E25D4E" w:rsidRPr="00AC1BD2">
        <w:t xml:space="preserve"> </w:t>
      </w:r>
      <w:r w:rsidRPr="00AC1BD2">
        <w:t xml:space="preserve">a été donnée dans le chapitre </w:t>
      </w:r>
      <w:r w:rsidR="00806DFE" w:rsidRPr="00AC1BD2">
        <w:t>“U</w:t>
      </w:r>
      <w:r w:rsidRPr="00AC1BD2">
        <w:t>tilisation des termes</w:t>
      </w:r>
      <w:r w:rsidR="00EF24BB" w:rsidRPr="00AC1BD2">
        <w:t>”</w:t>
      </w:r>
      <w:r w:rsidRPr="00AC1BD2">
        <w:t xml:space="preserve"> et</w:t>
      </w:r>
      <w:r w:rsidR="00EF24BB" w:rsidRPr="00AC1BD2">
        <w:t xml:space="preserve"> </w:t>
      </w:r>
      <w:r w:rsidRPr="00AC1BD2">
        <w:t>qu</w:t>
      </w:r>
      <w:r w:rsidR="00025CB1" w:rsidRPr="00AC1BD2">
        <w:t>’</w:t>
      </w:r>
      <w:r w:rsidRPr="00AC1BD2">
        <w:t>une référence à ce terme a été ajoutée dans l</w:t>
      </w:r>
      <w:r w:rsidR="00025CB1" w:rsidRPr="00AC1BD2">
        <w:t>’</w:t>
      </w:r>
      <w:r w:rsidRPr="00AC1BD2">
        <w:t>une des variantes des Objectifs de politique générale</w:t>
      </w:r>
      <w:r w:rsidR="00E25D4E" w:rsidRPr="00AC1BD2">
        <w:t>.</w:t>
      </w:r>
    </w:p>
    <w:p w14:paraId="4832A6F3" w14:textId="12B7E745" w:rsidR="00092BEF" w:rsidRPr="00AC1BD2" w:rsidRDefault="00092BEF" w:rsidP="002C6B71">
      <w:pPr>
        <w:pStyle w:val="ONUMFS"/>
      </w:pPr>
      <w:r w:rsidRPr="00AC1BD2">
        <w:t>Si l</w:t>
      </w:r>
      <w:r w:rsidR="00025CB1" w:rsidRPr="00AC1BD2">
        <w:t>’</w:t>
      </w:r>
      <w:r w:rsidR="00294C65" w:rsidRPr="00AC1BD2">
        <w:t>IGC consid</w:t>
      </w:r>
      <w:r w:rsidRPr="00AC1BD2">
        <w:t>ère qu</w:t>
      </w:r>
      <w:r w:rsidR="00025CB1" w:rsidRPr="00AC1BD2">
        <w:t>’</w:t>
      </w:r>
      <w:r w:rsidRPr="00AC1BD2">
        <w:t>une dé</w:t>
      </w:r>
      <w:r w:rsidR="00294C65" w:rsidRPr="00AC1BD2">
        <w:t xml:space="preserve">finition </w:t>
      </w:r>
      <w:r w:rsidRPr="00AC1BD2">
        <w:t>de l</w:t>
      </w:r>
      <w:r w:rsidR="00025CB1" w:rsidRPr="00AC1BD2">
        <w:t>’</w:t>
      </w:r>
      <w:r w:rsidRPr="00AC1BD2">
        <w:t>appropriation illicite est nécessaire et qu</w:t>
      </w:r>
      <w:r w:rsidR="00025CB1" w:rsidRPr="00AC1BD2">
        <w:t>’</w:t>
      </w:r>
      <w:r w:rsidRPr="00AC1BD2">
        <w:t>il ne suffit pas de parvenir à une communauté de vues sur la signification de ce terme en langage simple, il pourrait être utile de revoir cette définition une fois que d</w:t>
      </w:r>
      <w:r w:rsidR="00025CB1" w:rsidRPr="00AC1BD2">
        <w:t>’</w:t>
      </w:r>
      <w:r w:rsidRPr="00AC1BD2">
        <w:t>autres questions essentielles auront été clarifiées.</w:t>
      </w:r>
    </w:p>
    <w:p w14:paraId="04A97ED6" w14:textId="77777777" w:rsidR="008C74F6" w:rsidRPr="00AC1BD2" w:rsidRDefault="008C74F6" w:rsidP="00243A34">
      <w:pPr>
        <w:tabs>
          <w:tab w:val="left" w:pos="567"/>
        </w:tabs>
        <w:rPr>
          <w:rFonts w:cs="Arial"/>
          <w:szCs w:val="22"/>
          <w:u w:val="single"/>
        </w:rPr>
      </w:pPr>
    </w:p>
    <w:p w14:paraId="773B0E84" w14:textId="77777777" w:rsidR="0039715D" w:rsidRPr="00AC1BD2" w:rsidRDefault="00D57DB3" w:rsidP="00243A34">
      <w:pPr>
        <w:tabs>
          <w:tab w:val="left" w:pos="567"/>
        </w:tabs>
        <w:rPr>
          <w:rFonts w:cs="Arial"/>
          <w:b/>
          <w:szCs w:val="22"/>
        </w:rPr>
      </w:pPr>
      <w:r w:rsidRPr="00AC1BD2">
        <w:rPr>
          <w:rFonts w:cs="Arial"/>
          <w:b/>
          <w:szCs w:val="22"/>
        </w:rPr>
        <w:t>Autres questions</w:t>
      </w:r>
    </w:p>
    <w:p w14:paraId="2FA8DC49" w14:textId="77777777" w:rsidR="0039715D" w:rsidRPr="00AC1BD2" w:rsidRDefault="0039715D" w:rsidP="00243A34">
      <w:pPr>
        <w:tabs>
          <w:tab w:val="left" w:pos="567"/>
        </w:tabs>
        <w:rPr>
          <w:rFonts w:cs="Arial"/>
          <w:szCs w:val="22"/>
        </w:rPr>
      </w:pPr>
    </w:p>
    <w:p w14:paraId="30662B04" w14:textId="0AB9B8FD" w:rsidR="0039715D" w:rsidRPr="00AC1BD2" w:rsidRDefault="00D57DB3" w:rsidP="00243A34">
      <w:pPr>
        <w:tabs>
          <w:tab w:val="left" w:pos="567"/>
        </w:tabs>
        <w:rPr>
          <w:rFonts w:cs="Arial"/>
          <w:i/>
          <w:szCs w:val="22"/>
        </w:rPr>
      </w:pPr>
      <w:r w:rsidRPr="00AC1BD2">
        <w:rPr>
          <w:rFonts w:cs="Arial"/>
          <w:i/>
          <w:szCs w:val="22"/>
        </w:rPr>
        <w:t>Préambule</w:t>
      </w:r>
      <w:r w:rsidR="00AC1BD2" w:rsidRPr="00AC1BD2">
        <w:rPr>
          <w:rFonts w:cs="Arial"/>
          <w:i/>
          <w:szCs w:val="22"/>
        </w:rPr>
        <w:t xml:space="preserve"> </w:t>
      </w:r>
      <w:r w:rsidRPr="00AC1BD2">
        <w:rPr>
          <w:rFonts w:cs="Arial"/>
          <w:i/>
          <w:szCs w:val="22"/>
        </w:rPr>
        <w:t>/</w:t>
      </w:r>
      <w:r w:rsidR="00AC1BD2" w:rsidRPr="00AC1BD2">
        <w:rPr>
          <w:rFonts w:cs="Arial"/>
          <w:i/>
          <w:szCs w:val="22"/>
        </w:rPr>
        <w:t xml:space="preserve"> </w:t>
      </w:r>
      <w:r w:rsidRPr="00AC1BD2">
        <w:rPr>
          <w:rFonts w:cs="Arial"/>
          <w:i/>
          <w:szCs w:val="22"/>
        </w:rPr>
        <w:t>Introduction</w:t>
      </w:r>
    </w:p>
    <w:p w14:paraId="5A8CFD50" w14:textId="77777777" w:rsidR="0039715D" w:rsidRPr="002C6B71" w:rsidRDefault="0039715D" w:rsidP="00243A34">
      <w:pPr>
        <w:tabs>
          <w:tab w:val="left" w:pos="567"/>
        </w:tabs>
        <w:rPr>
          <w:rFonts w:cs="Arial"/>
          <w:szCs w:val="22"/>
        </w:rPr>
      </w:pPr>
    </w:p>
    <w:p w14:paraId="150A7761" w14:textId="40011143" w:rsidR="0039715D" w:rsidRPr="00AC1BD2" w:rsidRDefault="00D57DB3" w:rsidP="002C6B71">
      <w:pPr>
        <w:pStyle w:val="ONUMFS"/>
      </w:pPr>
      <w:r w:rsidRPr="00AC1BD2">
        <w:t>Le préambule d</w:t>
      </w:r>
      <w:r w:rsidR="00025CB1" w:rsidRPr="00AC1BD2">
        <w:t>’</w:t>
      </w:r>
      <w:r w:rsidRPr="00AC1BD2">
        <w:t>un instrument multilatéral, bien qu</w:t>
      </w:r>
      <w:r w:rsidR="00025CB1" w:rsidRPr="00AC1BD2">
        <w:t>’</w:t>
      </w:r>
      <w:r w:rsidRPr="00AC1BD2">
        <w:t>il n</w:t>
      </w:r>
      <w:r w:rsidR="00025CB1" w:rsidRPr="00AC1BD2">
        <w:t>’</w:t>
      </w:r>
      <w:r w:rsidRPr="00AC1BD2">
        <w:t xml:space="preserve">en constitue pas la partie juridiquement contraignante ou </w:t>
      </w:r>
      <w:proofErr w:type="spellStart"/>
      <w:r w:rsidRPr="00AC1BD2">
        <w:t>dispositive</w:t>
      </w:r>
      <w:proofErr w:type="spellEnd"/>
      <w:r w:rsidRPr="00AC1BD2">
        <w:t>, facilite l</w:t>
      </w:r>
      <w:r w:rsidR="00025CB1" w:rsidRPr="00AC1BD2">
        <w:t>’</w:t>
      </w:r>
      <w:r w:rsidRPr="00AC1BD2">
        <w:t>interprétation du dispositif en exposant le contexte de l</w:t>
      </w:r>
      <w:r w:rsidR="00025CB1" w:rsidRPr="00AC1BD2">
        <w:t>’</w:t>
      </w:r>
      <w:r w:rsidRPr="00AC1BD2">
        <w:t>instrument et les intentions des rédacteu</w:t>
      </w:r>
      <w:r w:rsidR="00512111" w:rsidRPr="00AC1BD2">
        <w:t>rs.  Le</w:t>
      </w:r>
      <w:r w:rsidRPr="00AC1BD2">
        <w:t>s termes employés reflètent généralement le caractère déclaratif ou juridiquement contraignant de l</w:t>
      </w:r>
      <w:r w:rsidR="00025CB1" w:rsidRPr="00AC1BD2">
        <w:t>’</w:t>
      </w:r>
      <w:r w:rsidRPr="00AC1BD2">
        <w:t>instrument</w:t>
      </w:r>
      <w:r w:rsidR="00872695" w:rsidRPr="00AC1BD2">
        <w:t xml:space="preserve">.  </w:t>
      </w:r>
      <w:r w:rsidRPr="00AC1BD2">
        <w:t>L</w:t>
      </w:r>
      <w:r w:rsidR="00025CB1" w:rsidRPr="00AC1BD2">
        <w:t>’</w:t>
      </w:r>
      <w:r w:rsidRPr="00AC1BD2">
        <w:t xml:space="preserve">IGC pourrait chercher à déterminer, parmi les principes formulés dans le </w:t>
      </w:r>
      <w:r w:rsidR="00AC1BD2" w:rsidRPr="00AC1BD2">
        <w:t xml:space="preserve">chapitre </w:t>
      </w:r>
      <w:r w:rsidRPr="00AC1BD2">
        <w:t>“Préambule / Introduction”, quels sont les plus directement liés à la propriété intellectuelle, étant donné qu</w:t>
      </w:r>
      <w:r w:rsidR="00025CB1" w:rsidRPr="00AC1BD2">
        <w:t>’</w:t>
      </w:r>
      <w:r w:rsidRPr="00AC1BD2">
        <w:t xml:space="preserve">il a pour mandat de parvenir à un accord sur un instrument juridique international relatif à la </w:t>
      </w:r>
      <w:r w:rsidRPr="00AC1BD2">
        <w:lastRenderedPageBreak/>
        <w:t>propriété intellectuelle propre à garantir une protection équilibrée et effective des savoirs traditionnels.</w:t>
      </w:r>
    </w:p>
    <w:p w14:paraId="03CC3488" w14:textId="33BB87A5" w:rsidR="0039715D" w:rsidRPr="00AC1BD2" w:rsidRDefault="008C74F6" w:rsidP="002C6B71">
      <w:pPr>
        <w:pStyle w:val="ONUMFS"/>
      </w:pPr>
      <w:r w:rsidRPr="00AC1BD2">
        <w:t xml:space="preserve">Le préambule </w:t>
      </w:r>
      <w:r w:rsidR="00092BEF" w:rsidRPr="00AC1BD2">
        <w:t xml:space="preserve">contient désormais </w:t>
      </w:r>
      <w:r w:rsidR="00197E51" w:rsidRPr="00AC1BD2">
        <w:t>10 </w:t>
      </w:r>
      <w:r w:rsidR="00092BEF" w:rsidRPr="00AC1BD2">
        <w:t>paragraphes,</w:t>
      </w:r>
      <w:r w:rsidR="00EF7638" w:rsidRPr="00AC1BD2">
        <w:t xml:space="preserve"> compte tenu de l</w:t>
      </w:r>
      <w:r w:rsidR="00025CB1" w:rsidRPr="00AC1BD2">
        <w:t>’</w:t>
      </w:r>
      <w:r w:rsidR="00EF7638" w:rsidRPr="00AC1BD2">
        <w:t xml:space="preserve">ajout récent du </w:t>
      </w:r>
      <w:r w:rsidR="00AC1BD2" w:rsidRPr="00AC1BD2">
        <w:t>paragraphe </w:t>
      </w:r>
      <w:r w:rsidR="00EF7638" w:rsidRPr="00AC1BD2">
        <w:t>vii)</w:t>
      </w:r>
      <w:r w:rsidR="00872695" w:rsidRPr="00AC1BD2">
        <w:t xml:space="preserve">.  </w:t>
      </w:r>
      <w:r w:rsidR="00D57DB3" w:rsidRPr="00AC1BD2">
        <w:t>L</w:t>
      </w:r>
      <w:r w:rsidR="00025CB1" w:rsidRPr="00AC1BD2">
        <w:t>’</w:t>
      </w:r>
      <w:r w:rsidR="00D57DB3" w:rsidRPr="00AC1BD2">
        <w:t>IGC pourrait vérifier leur pertinence et essayer d</w:t>
      </w:r>
      <w:r w:rsidR="00025CB1" w:rsidRPr="00AC1BD2">
        <w:t>’</w:t>
      </w:r>
      <w:r w:rsidR="00D57DB3" w:rsidRPr="00AC1BD2">
        <w:t>éviter les répétitions.</w:t>
      </w:r>
    </w:p>
    <w:p w14:paraId="7C10791A" w14:textId="77777777" w:rsidR="0039715D" w:rsidRPr="00AC1BD2" w:rsidRDefault="00D57DB3" w:rsidP="00243A34">
      <w:pPr>
        <w:tabs>
          <w:tab w:val="left" w:pos="567"/>
        </w:tabs>
        <w:rPr>
          <w:rFonts w:cs="Arial"/>
          <w:i/>
          <w:szCs w:val="22"/>
        </w:rPr>
      </w:pPr>
      <w:r w:rsidRPr="00AC1BD2">
        <w:rPr>
          <w:rFonts w:cs="Arial"/>
          <w:i/>
          <w:szCs w:val="22"/>
        </w:rPr>
        <w:t>Utilisation des termes</w:t>
      </w:r>
    </w:p>
    <w:p w14:paraId="1F02E657" w14:textId="77777777" w:rsidR="0039715D" w:rsidRPr="00AC1BD2" w:rsidRDefault="0039715D" w:rsidP="00243A34">
      <w:pPr>
        <w:tabs>
          <w:tab w:val="left" w:pos="567"/>
        </w:tabs>
        <w:rPr>
          <w:rFonts w:cs="Arial"/>
          <w:i/>
          <w:szCs w:val="22"/>
        </w:rPr>
      </w:pPr>
    </w:p>
    <w:p w14:paraId="5F518DB0" w14:textId="077B336C" w:rsidR="00EF7638" w:rsidRPr="00AC1BD2" w:rsidRDefault="00EF7638" w:rsidP="002C6B71">
      <w:pPr>
        <w:pStyle w:val="ONUMFS"/>
      </w:pPr>
      <w:r w:rsidRPr="00AC1BD2">
        <w:t>Au cours de la dernière session, certaines définitions figurant dans ce chapitre ont été révisées et des définitions nouvelles ajoutées.</w:t>
      </w:r>
    </w:p>
    <w:p w14:paraId="1357E576" w14:textId="1DFC0F28" w:rsidR="0039715D" w:rsidRPr="00AC1BD2" w:rsidRDefault="00D57DB3" w:rsidP="002C6B71">
      <w:pPr>
        <w:pStyle w:val="ONUMFS"/>
      </w:pPr>
      <w:r w:rsidRPr="00AC1BD2">
        <w:t>Concernant l</w:t>
      </w:r>
      <w:r w:rsidR="00025CB1" w:rsidRPr="00AC1BD2">
        <w:t>’</w:t>
      </w:r>
      <w:r w:rsidRPr="00AC1BD2">
        <w:t>usage/utilisation, comme une délégation l</w:t>
      </w:r>
      <w:r w:rsidR="00025CB1" w:rsidRPr="00AC1BD2">
        <w:t>’</w:t>
      </w:r>
      <w:r w:rsidRPr="00AC1BD2">
        <w:t>a signalé lors de la vingt</w:t>
      </w:r>
      <w:r w:rsidR="00243A34" w:rsidRPr="00AC1BD2">
        <w:noBreakHyphen/>
      </w:r>
      <w:r w:rsidRPr="00AC1BD2">
        <w:t>septième</w:t>
      </w:r>
      <w:r w:rsidR="00197E51" w:rsidRPr="00AC1BD2">
        <w:t> </w:t>
      </w:r>
      <w:r w:rsidRPr="00AC1BD2">
        <w:t>session de l</w:t>
      </w:r>
      <w:r w:rsidR="00025CB1" w:rsidRPr="00AC1BD2">
        <w:t>’</w:t>
      </w:r>
      <w:r w:rsidRPr="00AC1BD2">
        <w:t>IGC, la définition figurant dans cette section correspond à l</w:t>
      </w:r>
      <w:r w:rsidR="00025CB1" w:rsidRPr="00AC1BD2">
        <w:t>’</w:t>
      </w:r>
      <w:r w:rsidRPr="00AC1BD2">
        <w:t>utilisation en dehors du contexte traditionnel, alors que le terme “utilisation” tel qu</w:t>
      </w:r>
      <w:r w:rsidR="00025CB1" w:rsidRPr="00AC1BD2">
        <w:t>’</w:t>
      </w:r>
      <w:r w:rsidRPr="00AC1BD2">
        <w:t>il est employé à l</w:t>
      </w:r>
      <w:r w:rsidR="00025CB1" w:rsidRPr="00AC1BD2">
        <w:t>’</w:t>
      </w:r>
      <w:r w:rsidRPr="00AC1BD2">
        <w:t>alinéa</w:t>
      </w:r>
      <w:r w:rsidR="00197E51" w:rsidRPr="00AC1BD2">
        <w:t> </w:t>
      </w:r>
      <w:r w:rsidRPr="00AC1BD2">
        <w:t>2.1 renvoie à l</w:t>
      </w:r>
      <w:r w:rsidR="00025CB1" w:rsidRPr="00AC1BD2">
        <w:t>’</w:t>
      </w:r>
      <w:r w:rsidRPr="00AC1BD2">
        <w:t>utilisation par les bénéficiair</w:t>
      </w:r>
      <w:r w:rsidR="00512111" w:rsidRPr="00AC1BD2">
        <w:t>es.  L’e</w:t>
      </w:r>
      <w:r w:rsidRPr="00AC1BD2">
        <w:t>mploi d</w:t>
      </w:r>
      <w:r w:rsidR="00025CB1" w:rsidRPr="00AC1BD2">
        <w:t>’</w:t>
      </w:r>
      <w:r w:rsidRPr="00AC1BD2">
        <w:t>un même terme avec des sens différents dans des occurrences distinctes pourrait créer une confusion</w:t>
      </w:r>
      <w:r w:rsidR="00872695" w:rsidRPr="00AC1BD2">
        <w:t xml:space="preserve">.  </w:t>
      </w:r>
      <w:r w:rsidRPr="00AC1BD2">
        <w:t>L</w:t>
      </w:r>
      <w:r w:rsidR="00025CB1" w:rsidRPr="00AC1BD2">
        <w:t>’</w:t>
      </w:r>
      <w:r w:rsidRPr="00AC1BD2">
        <w:t>IGC pourrait rechercher un moyen d</w:t>
      </w:r>
      <w:r w:rsidR="00025CB1" w:rsidRPr="00AC1BD2">
        <w:t>’</w:t>
      </w:r>
      <w:r w:rsidRPr="00AC1BD2">
        <w:t>éviter ce problème.</w:t>
      </w:r>
    </w:p>
    <w:p w14:paraId="09211F54" w14:textId="0BA2FF5E" w:rsidR="00025CB1" w:rsidRPr="00AC1BD2" w:rsidRDefault="00EF7638" w:rsidP="002C6B71">
      <w:pPr>
        <w:pStyle w:val="ONUMFS"/>
      </w:pPr>
      <w:r w:rsidRPr="00AC1BD2">
        <w:t>Ainsi que nous l</w:t>
      </w:r>
      <w:r w:rsidR="00025CB1" w:rsidRPr="00AC1BD2">
        <w:t>’</w:t>
      </w:r>
      <w:r w:rsidRPr="00AC1BD2">
        <w:t>avons déjà fait remarquer,</w:t>
      </w:r>
      <w:r w:rsidR="008C74F6" w:rsidRPr="00AC1BD2">
        <w:t xml:space="preserve"> </w:t>
      </w:r>
      <w:r w:rsidRPr="00AC1BD2">
        <w:t xml:space="preserve">le chapitre </w:t>
      </w:r>
      <w:r w:rsidR="00EF24BB" w:rsidRPr="00AC1BD2">
        <w:t>“</w:t>
      </w:r>
      <w:r w:rsidRPr="00AC1BD2">
        <w:t>Utilisation des termes</w:t>
      </w:r>
      <w:r w:rsidR="00EF24BB" w:rsidRPr="00AC1BD2">
        <w:t>”</w:t>
      </w:r>
      <w:r w:rsidRPr="00AC1BD2">
        <w:t xml:space="preserve"> du document </w:t>
      </w:r>
      <w:proofErr w:type="spellStart"/>
      <w:r w:rsidRPr="00AC1BD2">
        <w:t>WIPO</w:t>
      </w:r>
      <w:proofErr w:type="spellEnd"/>
      <w:r w:rsidRPr="00AC1BD2">
        <w:t>/</w:t>
      </w:r>
      <w:proofErr w:type="spellStart"/>
      <w:r w:rsidRPr="00AC1BD2">
        <w:t>GRTKF</w:t>
      </w:r>
      <w:proofErr w:type="spellEnd"/>
      <w:r w:rsidRPr="00AC1BD2">
        <w:t>/IC/32/4 contient une définition des savoirs traditionnels et reprend certains des éléments des variantes</w:t>
      </w:r>
      <w:r w:rsidR="00512111" w:rsidRPr="00AC1BD2">
        <w:t> </w:t>
      </w:r>
      <w:r w:rsidRPr="00AC1BD2">
        <w:t>2, 3 et</w:t>
      </w:r>
      <w:r w:rsidR="00512111" w:rsidRPr="00AC1BD2">
        <w:t> </w:t>
      </w:r>
      <w:r w:rsidRPr="00AC1BD2">
        <w:t>4 de l</w:t>
      </w:r>
      <w:r w:rsidR="00025CB1" w:rsidRPr="00AC1BD2">
        <w:t>’</w:t>
      </w:r>
      <w:r w:rsidRPr="00AC1BD2">
        <w:t>article</w:t>
      </w:r>
      <w:r w:rsidR="00197E51" w:rsidRPr="00AC1BD2">
        <w:t> </w:t>
      </w:r>
      <w:r w:rsidRPr="00AC1BD2">
        <w:t xml:space="preserve">1 relatif à </w:t>
      </w:r>
      <w:r w:rsidR="00806DFE" w:rsidRPr="00AC1BD2">
        <w:t>“</w:t>
      </w:r>
      <w:r w:rsidRPr="00AC1BD2">
        <w:t>l</w:t>
      </w:r>
      <w:r w:rsidR="00025CB1" w:rsidRPr="00AC1BD2">
        <w:t>’</w:t>
      </w:r>
      <w:r w:rsidRPr="00AC1BD2">
        <w:t>objet</w:t>
      </w:r>
      <w:r w:rsidR="00EF24BB" w:rsidRPr="00AC1BD2">
        <w:t>”</w:t>
      </w:r>
      <w:r w:rsidR="00872695" w:rsidRPr="00AC1BD2">
        <w:t xml:space="preserve">.  </w:t>
      </w:r>
      <w:r w:rsidRPr="00AC1BD2">
        <w:t>À quel endroit serait</w:t>
      </w:r>
      <w:r w:rsidR="00243A34" w:rsidRPr="00AC1BD2">
        <w:noBreakHyphen/>
      </w:r>
      <w:r w:rsidRPr="00AC1BD2">
        <w:t>il plus approprié de faire figurer ces éléments?</w:t>
      </w:r>
    </w:p>
    <w:p w14:paraId="6D1845D7" w14:textId="77777777" w:rsidR="0039715D" w:rsidRPr="00AC1BD2" w:rsidRDefault="00D57DB3" w:rsidP="00243A34">
      <w:pPr>
        <w:tabs>
          <w:tab w:val="left" w:pos="567"/>
        </w:tabs>
        <w:rPr>
          <w:rFonts w:cs="Arial"/>
          <w:i/>
          <w:szCs w:val="22"/>
        </w:rPr>
      </w:pPr>
      <w:r w:rsidRPr="00AC1BD2">
        <w:rPr>
          <w:rFonts w:cs="Arial"/>
          <w:i/>
          <w:szCs w:val="22"/>
        </w:rPr>
        <w:t>Mesures complémentaires et exigence de divulgation</w:t>
      </w:r>
    </w:p>
    <w:p w14:paraId="573C40B1" w14:textId="77777777" w:rsidR="0039715D" w:rsidRPr="00AC1BD2" w:rsidRDefault="0039715D" w:rsidP="00243A34">
      <w:pPr>
        <w:tabs>
          <w:tab w:val="left" w:pos="567"/>
        </w:tabs>
        <w:rPr>
          <w:rFonts w:cs="Arial"/>
          <w:szCs w:val="22"/>
        </w:rPr>
      </w:pPr>
    </w:p>
    <w:p w14:paraId="4E15C19D" w14:textId="4596DAB6" w:rsidR="00EF7638" w:rsidRPr="00AC1BD2" w:rsidRDefault="00D57DB3" w:rsidP="002C6B71">
      <w:pPr>
        <w:pStyle w:val="ONUMFS"/>
      </w:pPr>
      <w:r w:rsidRPr="00AC1BD2">
        <w:t>Les textes relatifs aux savoirs traditionnels et aux ressources génétiques traitent de la possibilité de créer des bases de données et d</w:t>
      </w:r>
      <w:r w:rsidR="00025CB1" w:rsidRPr="00AC1BD2">
        <w:t>’</w:t>
      </w:r>
      <w:r w:rsidRPr="00AC1BD2">
        <w:t>autres mesures complémentair</w:t>
      </w:r>
      <w:r w:rsidR="00512111" w:rsidRPr="00AC1BD2">
        <w:t>es.  Il</w:t>
      </w:r>
      <w:r w:rsidRPr="00AC1BD2">
        <w:t xml:space="preserve"> pourrait être utile de consulter les articles concernés du texte relatif aux ressources génétiques</w:t>
      </w:r>
      <w:r w:rsidR="00872695" w:rsidRPr="00AC1BD2">
        <w:t xml:space="preserve">.  </w:t>
      </w:r>
      <w:r w:rsidRPr="00AC1BD2">
        <w:t>L</w:t>
      </w:r>
      <w:r w:rsidR="00025CB1" w:rsidRPr="00AC1BD2">
        <w:t>’</w:t>
      </w:r>
      <w:r w:rsidRPr="00AC1BD2">
        <w:t>IGC pourrait étudier les buts et objectifs de ces bases de données ainsi que leurs modalités de fonctionneme</w:t>
      </w:r>
      <w:r w:rsidR="00512111" w:rsidRPr="00AC1BD2">
        <w:t>nt.  Le</w:t>
      </w:r>
      <w:r w:rsidRPr="00AC1BD2">
        <w:t>s autres questions essentielles qui mériteraient éventuellement d</w:t>
      </w:r>
      <w:r w:rsidR="00025CB1" w:rsidRPr="00AC1BD2">
        <w:t>’</w:t>
      </w:r>
      <w:r w:rsidRPr="00AC1BD2">
        <w:t>être étudiées sont les suivantes</w:t>
      </w:r>
      <w:r w:rsidR="00025CB1" w:rsidRPr="00AC1BD2">
        <w:t> </w:t>
      </w:r>
      <w:proofErr w:type="gramStart"/>
      <w:r w:rsidR="00025CB1" w:rsidRPr="00AC1BD2">
        <w:t>:</w:t>
      </w:r>
      <w:r w:rsidRPr="00AC1BD2">
        <w:t xml:space="preserve"> qui</w:t>
      </w:r>
      <w:proofErr w:type="gramEnd"/>
      <w:r w:rsidRPr="00AC1BD2">
        <w:t xml:space="preserve"> devrait être chargé de compiler ces bases de données et d</w:t>
      </w:r>
      <w:r w:rsidR="00025CB1" w:rsidRPr="00AC1BD2">
        <w:t>’</w:t>
      </w:r>
      <w:r w:rsidRPr="00AC1BD2">
        <w:t>en assurer la maintenance?</w:t>
      </w:r>
      <w:r w:rsidR="00B73A48" w:rsidRPr="00AC1BD2">
        <w:rPr>
          <w:rFonts w:cs="Times New Roman"/>
          <w:szCs w:val="24"/>
        </w:rPr>
        <w:t xml:space="preserve">  </w:t>
      </w:r>
      <w:r w:rsidRPr="00AC1BD2">
        <w:t>Devrait</w:t>
      </w:r>
      <w:r w:rsidR="00243A34" w:rsidRPr="00AC1BD2">
        <w:noBreakHyphen/>
      </w:r>
      <w:r w:rsidRPr="00AC1BD2">
        <w:t>il y avoir des normes pour en harmoniser la structure et le contenu?</w:t>
      </w:r>
      <w:r w:rsidR="00B73A48" w:rsidRPr="00AC1BD2">
        <w:rPr>
          <w:rFonts w:cs="Times New Roman"/>
          <w:szCs w:val="24"/>
        </w:rPr>
        <w:t xml:space="preserve">  </w:t>
      </w:r>
      <w:r w:rsidRPr="00AC1BD2">
        <w:t>Qui devrait avoir accès à ces bases de données?</w:t>
      </w:r>
      <w:r w:rsidR="00B73A48" w:rsidRPr="00AC1BD2">
        <w:rPr>
          <w:rFonts w:cs="Times New Roman"/>
          <w:szCs w:val="24"/>
        </w:rPr>
        <w:t xml:space="preserve">  </w:t>
      </w:r>
      <w:r w:rsidRPr="00AC1BD2">
        <w:t>Quel serait leur contenu?</w:t>
      </w:r>
      <w:r w:rsidR="00B73A48" w:rsidRPr="00AC1BD2">
        <w:rPr>
          <w:rFonts w:cs="Times New Roman"/>
          <w:szCs w:val="24"/>
        </w:rPr>
        <w:t xml:space="preserve">  </w:t>
      </w:r>
      <w:r w:rsidRPr="00AC1BD2">
        <w:t>Sous quelle forme ce contenu serait</w:t>
      </w:r>
      <w:r w:rsidR="00243A34" w:rsidRPr="00AC1BD2">
        <w:noBreakHyphen/>
      </w:r>
      <w:r w:rsidRPr="00AC1BD2">
        <w:t>il exprimé?</w:t>
      </w:r>
      <w:r w:rsidR="00B73A48" w:rsidRPr="00AC1BD2">
        <w:rPr>
          <w:rFonts w:cs="Times New Roman"/>
          <w:szCs w:val="24"/>
        </w:rPr>
        <w:t xml:space="preserve">  </w:t>
      </w:r>
      <w:r w:rsidRPr="00AC1BD2">
        <w:t>Ces bases de données devraient</w:t>
      </w:r>
      <w:r w:rsidR="00243A34" w:rsidRPr="00AC1BD2">
        <w:noBreakHyphen/>
      </w:r>
      <w:r w:rsidRPr="00AC1BD2">
        <w:t>elles être accompagnées de lignes directrices?</w:t>
      </w:r>
      <w:r w:rsidR="00BF1602" w:rsidRPr="00AC1BD2">
        <w:rPr>
          <w:rFonts w:cs="Times New Roman"/>
          <w:szCs w:val="24"/>
        </w:rPr>
        <w:t xml:space="preserve">  </w:t>
      </w:r>
      <w:r w:rsidR="00EF7638" w:rsidRPr="00AC1BD2">
        <w:t>Quels seraient les avantages et les risques liés à l</w:t>
      </w:r>
      <w:r w:rsidR="00025CB1" w:rsidRPr="00AC1BD2">
        <w:t>’</w:t>
      </w:r>
      <w:r w:rsidR="00EF7638" w:rsidRPr="00AC1BD2">
        <w:t>élaboration et la promotion de la constitution de bases de données accessibles au public?</w:t>
      </w:r>
    </w:p>
    <w:p w14:paraId="398AC1F2" w14:textId="171AE629" w:rsidR="00EF7638" w:rsidRPr="00AC1BD2" w:rsidRDefault="00D57DB3" w:rsidP="002C6B71">
      <w:pPr>
        <w:pStyle w:val="ONUMFS"/>
      </w:pPr>
      <w:r w:rsidRPr="00AC1BD2">
        <w:t>Les exigences de divulgation ont fait l</w:t>
      </w:r>
      <w:r w:rsidR="00025CB1" w:rsidRPr="00AC1BD2">
        <w:t>’</w:t>
      </w:r>
      <w:r w:rsidRPr="00AC1BD2">
        <w:t xml:space="preserve">objet de débats approfondis lors </w:t>
      </w:r>
      <w:proofErr w:type="gramStart"/>
      <w:r w:rsidRPr="00AC1BD2">
        <w:t>des</w:t>
      </w:r>
      <w:proofErr w:type="gramEnd"/>
      <w:r w:rsidRPr="00AC1BD2">
        <w:t xml:space="preserve"> vingt</w:t>
      </w:r>
      <w:r w:rsidR="00243A34" w:rsidRPr="00AC1BD2">
        <w:noBreakHyphen/>
      </w:r>
      <w:r w:rsidRPr="00AC1BD2">
        <w:t>neuvième et trentième</w:t>
      </w:r>
      <w:r w:rsidR="00197E51" w:rsidRPr="00AC1BD2">
        <w:t> </w:t>
      </w:r>
      <w:r w:rsidRPr="00AC1BD2">
        <w:t>sessions de l</w:t>
      </w:r>
      <w:r w:rsidR="00025CB1" w:rsidRPr="00AC1BD2">
        <w:t>’</w:t>
      </w:r>
      <w:r w:rsidRPr="00AC1BD2">
        <w:t>IGC, ainsi que lors de sessions antérieures</w:t>
      </w:r>
      <w:r w:rsidR="00872695" w:rsidRPr="00AC1BD2">
        <w:t xml:space="preserve">.  </w:t>
      </w:r>
      <w:r w:rsidR="00EF7638" w:rsidRPr="00AC1BD2">
        <w:t>L</w:t>
      </w:r>
      <w:r w:rsidR="00025CB1" w:rsidRPr="00AC1BD2">
        <w:t>’</w:t>
      </w:r>
      <w:r w:rsidR="00EF7638" w:rsidRPr="00AC1BD2">
        <w:t>IGC n</w:t>
      </w:r>
      <w:r w:rsidR="00025CB1" w:rsidRPr="00AC1BD2">
        <w:t>’</w:t>
      </w:r>
      <w:r w:rsidR="00EF7638" w:rsidRPr="00AC1BD2">
        <w:t>est pas encore parvenu à un consensus sur ce point, et continue d</w:t>
      </w:r>
      <w:r w:rsidR="00025CB1" w:rsidRPr="00AC1BD2">
        <w:t>’</w:t>
      </w:r>
      <w:r w:rsidR="00EF7638" w:rsidRPr="00AC1BD2">
        <w:t>examiner cette mesure.</w:t>
      </w:r>
    </w:p>
    <w:p w14:paraId="5C484B6C" w14:textId="577FD5B7" w:rsidR="00025CB1" w:rsidRPr="00AC1BD2" w:rsidRDefault="00EF7638" w:rsidP="002C6B71">
      <w:pPr>
        <w:pStyle w:val="ONUMFS"/>
      </w:pPr>
      <w:r w:rsidRPr="00AC1BD2">
        <w:t xml:space="preserve">Il faut espérer que le </w:t>
      </w:r>
      <w:r w:rsidRPr="00AC1BD2">
        <w:rPr>
          <w:i/>
        </w:rPr>
        <w:t>Séminaire sur la propriété intellectuelle et les savoirs traditionnels</w:t>
      </w:r>
      <w:r w:rsidRPr="00AC1BD2">
        <w:t xml:space="preserve"> qui se tiendra juste avant la trente</w:t>
      </w:r>
      <w:r w:rsidR="00243A34" w:rsidRPr="00AC1BD2">
        <w:noBreakHyphen/>
      </w:r>
      <w:r w:rsidRPr="00AC1BD2">
        <w:t>deuxième</w:t>
      </w:r>
      <w:r w:rsidR="00197E51" w:rsidRPr="00AC1BD2">
        <w:t> </w:t>
      </w:r>
      <w:r w:rsidRPr="00AC1BD2">
        <w:t>session de l</w:t>
      </w:r>
      <w:r w:rsidR="00025CB1" w:rsidRPr="00AC1BD2">
        <w:t>’</w:t>
      </w:r>
      <w:r w:rsidRPr="00AC1BD2">
        <w:t>IGC, clarifiera un peu cette question, en particulier la table ronde n°</w:t>
      </w:r>
      <w:r w:rsidR="00197E51" w:rsidRPr="00AC1BD2">
        <w:t> </w:t>
      </w:r>
      <w:r w:rsidR="00152FBC" w:rsidRPr="00AC1BD2">
        <w:t>3</w:t>
      </w:r>
      <w:r w:rsidR="00025CB1" w:rsidRPr="00AC1BD2">
        <w:t> </w:t>
      </w:r>
      <w:proofErr w:type="gramStart"/>
      <w:r w:rsidR="00025CB1" w:rsidRPr="00AC1BD2">
        <w:t>:</w:t>
      </w:r>
      <w:r w:rsidR="00152FBC" w:rsidRPr="00AC1BD2">
        <w:t xml:space="preserve"> </w:t>
      </w:r>
      <w:r w:rsidR="00027352" w:rsidRPr="00AC1BD2">
        <w:t>“</w:t>
      </w:r>
      <w:proofErr w:type="gramEnd"/>
      <w:r w:rsidR="00C503DD" w:rsidRPr="00AC1BD2">
        <w:t>Mesures complémentaires et droit coutumier pour la protection des savoirs traditionnels</w:t>
      </w:r>
      <w:r w:rsidR="00025CB1" w:rsidRPr="00AC1BD2">
        <w:t> :</w:t>
      </w:r>
      <w:r w:rsidR="00C503DD" w:rsidRPr="00AC1BD2">
        <w:t xml:space="preserve"> exemples et enseignements</w:t>
      </w:r>
      <w:r w:rsidR="00EF24BB" w:rsidRPr="00AC1BD2">
        <w:t>”</w:t>
      </w:r>
      <w:r w:rsidR="00872695" w:rsidRPr="00AC1BD2">
        <w:t>.</w:t>
      </w:r>
    </w:p>
    <w:p w14:paraId="5F0BB76C" w14:textId="77777777" w:rsidR="0039715D" w:rsidRPr="00AC1BD2" w:rsidRDefault="00D57DB3" w:rsidP="00243A34">
      <w:pPr>
        <w:tabs>
          <w:tab w:val="left" w:pos="567"/>
        </w:tabs>
        <w:rPr>
          <w:rFonts w:cs="Arial"/>
          <w:i/>
          <w:szCs w:val="22"/>
        </w:rPr>
      </w:pPr>
      <w:r w:rsidRPr="00AC1BD2">
        <w:rPr>
          <w:rFonts w:cs="Arial"/>
          <w:i/>
          <w:szCs w:val="22"/>
        </w:rPr>
        <w:t>Sanctions, moyens de recours et exercice des droits</w:t>
      </w:r>
    </w:p>
    <w:p w14:paraId="5F88A138" w14:textId="77777777" w:rsidR="0039715D" w:rsidRPr="002C6B71" w:rsidRDefault="0039715D" w:rsidP="00243A34">
      <w:pPr>
        <w:tabs>
          <w:tab w:val="left" w:pos="567"/>
        </w:tabs>
        <w:rPr>
          <w:rFonts w:cs="Arial"/>
          <w:szCs w:val="22"/>
        </w:rPr>
      </w:pPr>
    </w:p>
    <w:p w14:paraId="0FD429E5" w14:textId="1112143F" w:rsidR="00025CB1" w:rsidRPr="00AC1BD2" w:rsidRDefault="00D57DB3" w:rsidP="002C6B71">
      <w:pPr>
        <w:pStyle w:val="ONUMFS"/>
      </w:pPr>
      <w:r w:rsidRPr="00AC1BD2">
        <w:t>Les textes relatifs aux savoirs traditionnels, aux expressions culturelles traditionnelles et aux ressources génétiques comportent des dispositions concernant les sanctions et les moyens de recou</w:t>
      </w:r>
      <w:r w:rsidR="00512111" w:rsidRPr="00AC1BD2">
        <w:t>rs.  Le</w:t>
      </w:r>
      <w:r w:rsidRPr="00AC1BD2">
        <w:t>s approches diffèrent selon le tex</w:t>
      </w:r>
      <w:r w:rsidR="00512111" w:rsidRPr="00AC1BD2">
        <w:t>te.  Da</w:t>
      </w:r>
      <w:r w:rsidRPr="00AC1BD2">
        <w:t>ns celui consacré aux ressources génétiques, par exemple, les dispositions sont très précis</w:t>
      </w:r>
      <w:r w:rsidR="00512111" w:rsidRPr="00AC1BD2">
        <w:t>es.  Je</w:t>
      </w:r>
      <w:r w:rsidRPr="00AC1BD2">
        <w:t xml:space="preserve"> pense qu</w:t>
      </w:r>
      <w:r w:rsidR="00025CB1" w:rsidRPr="00AC1BD2">
        <w:t>’</w:t>
      </w:r>
      <w:r w:rsidRPr="00AC1BD2">
        <w:t xml:space="preserve">il serait </w:t>
      </w:r>
      <w:r w:rsidRPr="00AC1BD2">
        <w:lastRenderedPageBreak/>
        <w:t>judicieux de consulter les trois</w:t>
      </w:r>
      <w:r w:rsidR="00197E51" w:rsidRPr="00AC1BD2">
        <w:t> </w:t>
      </w:r>
      <w:r w:rsidRPr="00AC1BD2">
        <w:t>textes</w:t>
      </w:r>
      <w:r w:rsidRPr="00AC1BD2">
        <w:rPr>
          <w:rStyle w:val="FootnoteReference"/>
          <w:szCs w:val="22"/>
        </w:rPr>
        <w:footnoteReference w:id="8"/>
      </w:r>
      <w:r w:rsidRPr="00AC1BD2">
        <w:t>, en vue d</w:t>
      </w:r>
      <w:r w:rsidR="00025CB1" w:rsidRPr="00AC1BD2">
        <w:t>’</w:t>
      </w:r>
      <w:r w:rsidRPr="00AC1BD2">
        <w:t>améliorer celui qui porte sur les savoirs traditionne</w:t>
      </w:r>
      <w:r w:rsidR="00512111" w:rsidRPr="00AC1BD2">
        <w:t>ls.  Il</w:t>
      </w:r>
      <w:r w:rsidRPr="00AC1BD2">
        <w:t xml:space="preserve"> serait aussi intéressant, selon moi, d</w:t>
      </w:r>
      <w:r w:rsidR="00025CB1" w:rsidRPr="00AC1BD2">
        <w:t>’</w:t>
      </w:r>
      <w:r w:rsidRPr="00AC1BD2">
        <w:t>envisager la possibilité de définir un cadre général fondé sur des normes et des principes de haut niveau harmonisés au niveau international et de confier au législateur national le soin de traiter les détails</w:t>
      </w:r>
      <w:r w:rsidR="00872695" w:rsidRPr="00AC1BD2">
        <w:t>.</w:t>
      </w:r>
    </w:p>
    <w:p w14:paraId="2B09D934" w14:textId="39961564" w:rsidR="0039715D" w:rsidRPr="00AC1BD2" w:rsidRDefault="0041784B" w:rsidP="002C6B71">
      <w:pPr>
        <w:pStyle w:val="ONUMFS"/>
      </w:pPr>
      <w:r w:rsidRPr="00AC1BD2">
        <w:t xml:space="preserve">Il est à espérer que le </w:t>
      </w:r>
      <w:r w:rsidRPr="00AC1BD2">
        <w:rPr>
          <w:i/>
        </w:rPr>
        <w:t>Séminaire sur la propriété intellectuelle et les savoirs traditionnels</w:t>
      </w:r>
      <w:r w:rsidRPr="00AC1BD2">
        <w:t>, qui aura lieu juste avant la trente</w:t>
      </w:r>
      <w:r w:rsidR="00243A34" w:rsidRPr="00AC1BD2">
        <w:noBreakHyphen/>
      </w:r>
      <w:r w:rsidRPr="00AC1BD2">
        <w:t>deuxième</w:t>
      </w:r>
      <w:r w:rsidR="00197E51" w:rsidRPr="00AC1BD2">
        <w:t> </w:t>
      </w:r>
      <w:r w:rsidRPr="00AC1BD2">
        <w:t>session de l</w:t>
      </w:r>
      <w:r w:rsidR="00025CB1" w:rsidRPr="00AC1BD2">
        <w:t>’</w:t>
      </w:r>
      <w:r w:rsidRPr="00AC1BD2">
        <w:t>IGC, apportera quelques précisions sur cette question</w:t>
      </w:r>
      <w:r w:rsidR="00C503DD" w:rsidRPr="00AC1BD2">
        <w:t xml:space="preserve"> et les questions suivantes, en particulier </w:t>
      </w:r>
      <w:r w:rsidR="00827DF7" w:rsidRPr="00AC1BD2">
        <w:t xml:space="preserve">la </w:t>
      </w:r>
      <w:r w:rsidR="00C503DD" w:rsidRPr="00AC1BD2">
        <w:t>t</w:t>
      </w:r>
      <w:r w:rsidRPr="00AC1BD2">
        <w:t>able ronde n°</w:t>
      </w:r>
      <w:r w:rsidR="00197E51" w:rsidRPr="00AC1BD2">
        <w:t> </w:t>
      </w:r>
      <w:r w:rsidRPr="00AC1BD2">
        <w:t>4</w:t>
      </w:r>
      <w:r w:rsidR="00025CB1" w:rsidRPr="00AC1BD2">
        <w:t> :</w:t>
      </w:r>
      <w:r w:rsidRPr="00AC1BD2">
        <w:t xml:space="preserve"> </w:t>
      </w:r>
      <w:r w:rsidR="00806DFE" w:rsidRPr="00AC1BD2">
        <w:t>“</w:t>
      </w:r>
      <w:r w:rsidRPr="00AC1BD2">
        <w:t>Points de vue et données d</w:t>
      </w:r>
      <w:r w:rsidR="00025CB1" w:rsidRPr="00AC1BD2">
        <w:t>’</w:t>
      </w:r>
      <w:r w:rsidRPr="00AC1BD2">
        <w:t>expériences concernant d</w:t>
      </w:r>
      <w:r w:rsidR="00025CB1" w:rsidRPr="00AC1BD2">
        <w:t>’</w:t>
      </w:r>
      <w:r w:rsidRPr="00AC1BD2">
        <w:t>autres questions – Sanctions et moyens de recours, gestion des droits, durée de la protection, formalités, mesures transitoires, relations avec les autres accords internationaux, traitement national et coopération transfrontière</w:t>
      </w:r>
      <w:r w:rsidR="00EF24BB" w:rsidRPr="00AC1BD2">
        <w:t>”</w:t>
      </w:r>
      <w:r w:rsidR="00827DF7" w:rsidRPr="00AC1BD2">
        <w:t>.</w:t>
      </w:r>
    </w:p>
    <w:p w14:paraId="5D60759E" w14:textId="77777777" w:rsidR="0039715D" w:rsidRPr="00AC1BD2" w:rsidRDefault="00D57DB3" w:rsidP="00243A34">
      <w:pPr>
        <w:tabs>
          <w:tab w:val="left" w:pos="567"/>
        </w:tabs>
        <w:rPr>
          <w:rFonts w:cs="Arial"/>
          <w:i/>
          <w:szCs w:val="22"/>
        </w:rPr>
      </w:pPr>
      <w:r w:rsidRPr="00AC1BD2">
        <w:rPr>
          <w:rFonts w:cs="Arial"/>
          <w:i/>
          <w:szCs w:val="22"/>
        </w:rPr>
        <w:t>Administration des droits/des intérêts</w:t>
      </w:r>
    </w:p>
    <w:p w14:paraId="588D1F2A" w14:textId="77777777" w:rsidR="0039715D" w:rsidRPr="00AC1BD2" w:rsidRDefault="0039715D" w:rsidP="00243A34">
      <w:pPr>
        <w:tabs>
          <w:tab w:val="left" w:pos="567"/>
        </w:tabs>
        <w:rPr>
          <w:rFonts w:cs="Arial"/>
          <w:szCs w:val="22"/>
        </w:rPr>
      </w:pPr>
    </w:p>
    <w:p w14:paraId="2252A050" w14:textId="46568570" w:rsidR="0039715D" w:rsidRPr="00AC1BD2" w:rsidRDefault="00422C2C" w:rsidP="002C6B71">
      <w:pPr>
        <w:pStyle w:val="ONUMFS"/>
      </w:pPr>
      <w:r w:rsidRPr="00AC1BD2">
        <w:t>L</w:t>
      </w:r>
      <w:r w:rsidR="00025CB1" w:rsidRPr="00AC1BD2">
        <w:t>’</w:t>
      </w:r>
      <w:r w:rsidRPr="00AC1BD2">
        <w:t>a</w:t>
      </w:r>
      <w:r w:rsidR="00CD6025" w:rsidRPr="00AC1BD2">
        <w:t>rticle</w:t>
      </w:r>
      <w:r w:rsidR="00197E51" w:rsidRPr="00AC1BD2">
        <w:t> </w:t>
      </w:r>
      <w:r w:rsidR="00CD6025" w:rsidRPr="00AC1BD2">
        <w:t xml:space="preserve">5 </w:t>
      </w:r>
      <w:r w:rsidRPr="00AC1BD2">
        <w:t xml:space="preserve">ne porte pas sur les </w:t>
      </w:r>
      <w:r w:rsidR="00806DFE" w:rsidRPr="00AC1BD2">
        <w:t>“</w:t>
      </w:r>
      <w:r w:rsidRPr="00AC1BD2">
        <w:t>bénéficiaires</w:t>
      </w:r>
      <w:r w:rsidR="00EF24BB" w:rsidRPr="00AC1BD2">
        <w:t>”</w:t>
      </w:r>
      <w:r w:rsidRPr="00AC1BD2">
        <w:t>, mais sur la manière dont les droits ou intérêts devraient être administrés, et par qui, et il comporte différentes variant</w:t>
      </w:r>
      <w:r w:rsidR="00512111" w:rsidRPr="00AC1BD2">
        <w:t>es.  Il</w:t>
      </w:r>
      <w:r w:rsidR="00D57DB3" w:rsidRPr="00AC1BD2">
        <w:t xml:space="preserve"> ne semble pas y avoir d</w:t>
      </w:r>
      <w:r w:rsidR="00025CB1" w:rsidRPr="00AC1BD2">
        <w:t>’</w:t>
      </w:r>
      <w:r w:rsidR="00D57DB3" w:rsidRPr="00AC1BD2">
        <w:t>accord pour ce qui est du degré de participation des détenteurs de savoirs traditionnels à la création ou à la désignation d</w:t>
      </w:r>
      <w:r w:rsidR="00025CB1" w:rsidRPr="00AC1BD2">
        <w:t>’</w:t>
      </w:r>
      <w:r w:rsidR="00D57DB3" w:rsidRPr="00AC1BD2">
        <w:t>une autorité compétente, ni pour ce qui est de savoir si la création d</w:t>
      </w:r>
      <w:r w:rsidR="00025CB1" w:rsidRPr="00AC1BD2">
        <w:t>’</w:t>
      </w:r>
      <w:r w:rsidR="00D57DB3" w:rsidRPr="00AC1BD2">
        <w:t>une autorité compétente est obligatoire ou n</w:t>
      </w:r>
      <w:r w:rsidR="00512111" w:rsidRPr="00AC1BD2">
        <w:t>on.  Se</w:t>
      </w:r>
      <w:r w:rsidR="00516CEE" w:rsidRPr="00AC1BD2">
        <w:t>lon moi, une question essentielle que les États membres devraient se poser est de savoir s</w:t>
      </w:r>
      <w:r w:rsidR="00025CB1" w:rsidRPr="00AC1BD2">
        <w:t>’</w:t>
      </w:r>
      <w:r w:rsidR="00516CEE" w:rsidRPr="00AC1BD2">
        <w:t xml:space="preserve">il convient de prévoir une certaine souplesse au niveau national pour la mise en </w:t>
      </w:r>
      <w:r w:rsidR="00C50B8A" w:rsidRPr="00AC1BD2">
        <w:t>œuvre</w:t>
      </w:r>
      <w:r w:rsidR="00516CEE" w:rsidRPr="00AC1BD2">
        <w:t xml:space="preserve"> des arrangements relatifs aux autorités compétentes, plutôt que de chercher à mettre en place une solution universelle au niveau internation</w:t>
      </w:r>
      <w:r w:rsidR="00512111" w:rsidRPr="00AC1BD2">
        <w:t>al.  C’e</w:t>
      </w:r>
      <w:r w:rsidRPr="00AC1BD2">
        <w:t xml:space="preserve">st là un bon exemple de </w:t>
      </w:r>
      <w:r w:rsidR="00C50B8A" w:rsidRPr="00AC1BD2">
        <w:t>traitement d</w:t>
      </w:r>
      <w:r w:rsidR="00025CB1" w:rsidRPr="00AC1BD2">
        <w:t>’</w:t>
      </w:r>
      <w:r w:rsidR="00C50B8A" w:rsidRPr="00AC1BD2">
        <w:t>une question</w:t>
      </w:r>
      <w:r w:rsidRPr="00AC1BD2">
        <w:t xml:space="preserve"> qu</w:t>
      </w:r>
      <w:r w:rsidR="00025CB1" w:rsidRPr="00AC1BD2">
        <w:t>’</w:t>
      </w:r>
      <w:r w:rsidRPr="00AC1BD2">
        <w:t xml:space="preserve">un </w:t>
      </w:r>
      <w:r w:rsidR="00806DFE" w:rsidRPr="00AC1BD2">
        <w:t>“</w:t>
      </w:r>
      <w:r w:rsidRPr="00AC1BD2">
        <w:t>instrument juridique international</w:t>
      </w:r>
      <w:r w:rsidR="00EF24BB" w:rsidRPr="00AC1BD2">
        <w:t>”</w:t>
      </w:r>
      <w:r w:rsidRPr="00AC1BD2">
        <w:t xml:space="preserve"> devrait plus ou moins laisser à la discrétion de la législation nationale</w:t>
      </w:r>
      <w:r w:rsidR="00701304" w:rsidRPr="00AC1BD2">
        <w:t>.</w:t>
      </w:r>
    </w:p>
    <w:p w14:paraId="0AAB5ADA" w14:textId="77777777" w:rsidR="0039715D" w:rsidRPr="00AC1BD2" w:rsidRDefault="00516CEE" w:rsidP="00243A34">
      <w:pPr>
        <w:tabs>
          <w:tab w:val="left" w:pos="567"/>
        </w:tabs>
        <w:rPr>
          <w:rFonts w:cs="Arial"/>
          <w:i/>
          <w:szCs w:val="22"/>
        </w:rPr>
      </w:pPr>
      <w:r w:rsidRPr="00AC1BD2">
        <w:rPr>
          <w:rFonts w:cs="Arial"/>
          <w:i/>
          <w:szCs w:val="22"/>
        </w:rPr>
        <w:t>Durée de la protection</w:t>
      </w:r>
    </w:p>
    <w:p w14:paraId="6AC91577" w14:textId="77777777" w:rsidR="0039715D" w:rsidRPr="00AC1BD2" w:rsidRDefault="0039715D" w:rsidP="00243A34">
      <w:pPr>
        <w:tabs>
          <w:tab w:val="left" w:pos="567"/>
        </w:tabs>
        <w:rPr>
          <w:rFonts w:cs="Arial"/>
          <w:szCs w:val="22"/>
        </w:rPr>
      </w:pPr>
    </w:p>
    <w:p w14:paraId="7CF018EB" w14:textId="2E38E8ED" w:rsidR="0039715D" w:rsidRPr="00AC1BD2" w:rsidRDefault="00516CEE" w:rsidP="002C6B71">
      <w:pPr>
        <w:pStyle w:val="ONUMFS"/>
      </w:pPr>
      <w:r w:rsidRPr="00AC1BD2">
        <w:t>Je ferais remarquer que l</w:t>
      </w:r>
      <w:r w:rsidR="00025CB1" w:rsidRPr="00AC1BD2">
        <w:t>’</w:t>
      </w:r>
      <w:r w:rsidRPr="00AC1BD2">
        <w:t>option</w:t>
      </w:r>
      <w:r w:rsidR="00BD0A6E" w:rsidRPr="00AC1BD2">
        <w:t> </w:t>
      </w:r>
      <w:r w:rsidRPr="00AC1BD2">
        <w:t>1 et l</w:t>
      </w:r>
      <w:r w:rsidR="00025CB1" w:rsidRPr="00AC1BD2">
        <w:t>’</w:t>
      </w:r>
      <w:r w:rsidRPr="00AC1BD2">
        <w:t>option</w:t>
      </w:r>
      <w:r w:rsidR="00BD0A6E" w:rsidRPr="00AC1BD2">
        <w:t> </w:t>
      </w:r>
      <w:r w:rsidRPr="00AC1BD2">
        <w:t>3 de l</w:t>
      </w:r>
      <w:r w:rsidR="00025CB1" w:rsidRPr="00AC1BD2">
        <w:t>’</w:t>
      </w:r>
      <w:r w:rsidRPr="00AC1BD2">
        <w:t>article</w:t>
      </w:r>
      <w:r w:rsidR="00197E51" w:rsidRPr="00AC1BD2">
        <w:t> </w:t>
      </w:r>
      <w:r w:rsidRPr="00AC1BD2">
        <w:t>6 du texte relatif aux expressions culturelles traditionnelles</w:t>
      </w:r>
      <w:r w:rsidRPr="00AC1BD2">
        <w:rPr>
          <w:rStyle w:val="FootnoteReference"/>
          <w:szCs w:val="22"/>
        </w:rPr>
        <w:footnoteReference w:id="9"/>
      </w:r>
      <w:r w:rsidRPr="00AC1BD2">
        <w:t xml:space="preserve"> établissent une distinction entre droits moraux et droits patrimoniaux</w:t>
      </w:r>
      <w:r w:rsidR="00872695" w:rsidRPr="00AC1BD2">
        <w:t xml:space="preserve">.  </w:t>
      </w:r>
      <w:r w:rsidRPr="00AC1BD2">
        <w:t>L</w:t>
      </w:r>
      <w:r w:rsidR="00025CB1" w:rsidRPr="00AC1BD2">
        <w:t>’</w:t>
      </w:r>
      <w:r w:rsidRPr="00AC1BD2">
        <w:t>IGC pourrait envisager l</w:t>
      </w:r>
      <w:r w:rsidR="00025CB1" w:rsidRPr="00AC1BD2">
        <w:t>’</w:t>
      </w:r>
      <w:r w:rsidRPr="00AC1BD2">
        <w:t>adoption d</w:t>
      </w:r>
      <w:r w:rsidR="00025CB1" w:rsidRPr="00AC1BD2">
        <w:t>’</w:t>
      </w:r>
      <w:r w:rsidRPr="00AC1BD2">
        <w:t>une approche similaire pour l</w:t>
      </w:r>
      <w:r w:rsidR="00025CB1" w:rsidRPr="00AC1BD2">
        <w:t>’</w:t>
      </w:r>
      <w:r w:rsidRPr="00AC1BD2">
        <w:t>article</w:t>
      </w:r>
      <w:r w:rsidR="00197E51" w:rsidRPr="00AC1BD2">
        <w:t> </w:t>
      </w:r>
      <w:r w:rsidRPr="00AC1BD2">
        <w:t>7 du texte relatif aux savoirs traditionnels.</w:t>
      </w:r>
    </w:p>
    <w:p w14:paraId="7C376E3F" w14:textId="77777777" w:rsidR="0039715D" w:rsidRPr="00AC1BD2" w:rsidRDefault="00516CEE" w:rsidP="00243A34">
      <w:pPr>
        <w:tabs>
          <w:tab w:val="left" w:pos="567"/>
        </w:tabs>
        <w:rPr>
          <w:rFonts w:cs="Arial"/>
          <w:i/>
          <w:szCs w:val="22"/>
        </w:rPr>
      </w:pPr>
      <w:r w:rsidRPr="00AC1BD2">
        <w:rPr>
          <w:rFonts w:cs="Arial"/>
          <w:i/>
          <w:szCs w:val="22"/>
        </w:rPr>
        <w:t>Formalités</w:t>
      </w:r>
    </w:p>
    <w:p w14:paraId="758D72ED" w14:textId="77777777" w:rsidR="0039715D" w:rsidRPr="00AC1BD2" w:rsidRDefault="0039715D" w:rsidP="00243A34">
      <w:pPr>
        <w:tabs>
          <w:tab w:val="left" w:pos="567"/>
        </w:tabs>
        <w:rPr>
          <w:rFonts w:cs="Arial"/>
          <w:szCs w:val="22"/>
          <w:u w:val="single"/>
        </w:rPr>
      </w:pPr>
    </w:p>
    <w:p w14:paraId="1F2A3A16" w14:textId="0D550F9A" w:rsidR="00025CB1" w:rsidRPr="00AC1BD2" w:rsidRDefault="00516CEE" w:rsidP="002C6B71">
      <w:pPr>
        <w:pStyle w:val="ONUMFS"/>
      </w:pPr>
      <w:r w:rsidRPr="00AC1BD2">
        <w:t>Les options présentées à l</w:t>
      </w:r>
      <w:r w:rsidR="00025CB1" w:rsidRPr="00AC1BD2">
        <w:t>’</w:t>
      </w:r>
      <w:r w:rsidRPr="00AC1BD2">
        <w:t>article</w:t>
      </w:r>
      <w:r w:rsidR="00197E51" w:rsidRPr="00AC1BD2">
        <w:t> </w:t>
      </w:r>
      <w:r w:rsidRPr="00AC1BD2">
        <w:t xml:space="preserve">8 du document </w:t>
      </w:r>
      <w:proofErr w:type="spellStart"/>
      <w:r w:rsidRPr="00AC1BD2">
        <w:t>WIPO</w:t>
      </w:r>
      <w:proofErr w:type="spellEnd"/>
      <w:r w:rsidRPr="00AC1BD2">
        <w:t>/</w:t>
      </w:r>
      <w:proofErr w:type="spellStart"/>
      <w:r w:rsidRPr="00AC1BD2">
        <w:t>GR</w:t>
      </w:r>
      <w:r w:rsidR="00C50B8A" w:rsidRPr="00AC1BD2">
        <w:t>TK</w:t>
      </w:r>
      <w:r w:rsidRPr="00AC1BD2">
        <w:t>F</w:t>
      </w:r>
      <w:proofErr w:type="spellEnd"/>
      <w:r w:rsidRPr="00AC1BD2">
        <w:t>/IC/32/4 reflètent une divergence de vu</w:t>
      </w:r>
      <w:r w:rsidR="00512111" w:rsidRPr="00AC1BD2">
        <w:t>es.  La</w:t>
      </w:r>
      <w:r w:rsidR="00965439" w:rsidRPr="00AC1BD2">
        <w:t xml:space="preserve"> variante concerne spécialement les savoirs traditionnels secrets/sacrés/étroitement liés à des peuples autochton</w:t>
      </w:r>
      <w:r w:rsidR="00512111" w:rsidRPr="00AC1BD2">
        <w:t>es.  Ce</w:t>
      </w:r>
      <w:r w:rsidR="00965439" w:rsidRPr="00AC1BD2">
        <w:t>tte question a trait au type de droits qui seraient octroy</w:t>
      </w:r>
      <w:r w:rsidR="00512111" w:rsidRPr="00AC1BD2">
        <w:t>és.  Po</w:t>
      </w:r>
      <w:r w:rsidRPr="00AC1BD2">
        <w:t>ur examiner les formalités, l</w:t>
      </w:r>
      <w:r w:rsidR="00025CB1" w:rsidRPr="00AC1BD2">
        <w:t>’</w:t>
      </w:r>
      <w:r w:rsidRPr="00AC1BD2">
        <w:t>IGC pourrait réfléchir aux incidences que l</w:t>
      </w:r>
      <w:r w:rsidR="00025CB1" w:rsidRPr="00AC1BD2">
        <w:t>’</w:t>
      </w:r>
      <w:r w:rsidRPr="00AC1BD2">
        <w:t>approche progressive décrite à l</w:t>
      </w:r>
      <w:r w:rsidR="00025CB1" w:rsidRPr="00AC1BD2">
        <w:t>’</w:t>
      </w:r>
      <w:r w:rsidRPr="00AC1BD2">
        <w:t>article</w:t>
      </w:r>
      <w:r w:rsidR="00197E51" w:rsidRPr="00AC1BD2">
        <w:t> </w:t>
      </w:r>
      <w:r w:rsidRPr="00AC1BD2">
        <w:t>3 aurait sur d</w:t>
      </w:r>
      <w:r w:rsidR="00025CB1" w:rsidRPr="00AC1BD2">
        <w:t>’</w:t>
      </w:r>
      <w:r w:rsidRPr="00AC1BD2">
        <w:t>éventuelles formalit</w:t>
      </w:r>
      <w:r w:rsidR="00512111" w:rsidRPr="00AC1BD2">
        <w:t>és.  Il</w:t>
      </w:r>
      <w:r w:rsidRPr="00AC1BD2">
        <w:t xml:space="preserve"> pourrait, par exemple, envisager de définir des formalités uniquement pour certaines formes de savoirs traditionnels</w:t>
      </w:r>
      <w:r w:rsidR="00872695" w:rsidRPr="00AC1BD2">
        <w:t>.</w:t>
      </w:r>
    </w:p>
    <w:p w14:paraId="2AA5BC17" w14:textId="77777777" w:rsidR="0039715D" w:rsidRPr="00AC1BD2" w:rsidRDefault="00516CEE" w:rsidP="00243A34">
      <w:pPr>
        <w:tabs>
          <w:tab w:val="left" w:pos="567"/>
        </w:tabs>
        <w:rPr>
          <w:rFonts w:cs="Arial"/>
          <w:i/>
          <w:szCs w:val="22"/>
        </w:rPr>
      </w:pPr>
      <w:r w:rsidRPr="00AC1BD2">
        <w:rPr>
          <w:rFonts w:cs="Arial"/>
          <w:i/>
          <w:szCs w:val="22"/>
        </w:rPr>
        <w:t>Mesures de transition</w:t>
      </w:r>
    </w:p>
    <w:p w14:paraId="332D7C2C" w14:textId="77777777" w:rsidR="0039715D" w:rsidRPr="00AC1BD2" w:rsidRDefault="0039715D" w:rsidP="00243A34">
      <w:pPr>
        <w:tabs>
          <w:tab w:val="left" w:pos="567"/>
        </w:tabs>
        <w:rPr>
          <w:rFonts w:cs="Arial"/>
          <w:i/>
          <w:szCs w:val="22"/>
        </w:rPr>
      </w:pPr>
    </w:p>
    <w:p w14:paraId="1A6D4307" w14:textId="3EEBEB97" w:rsidR="0039715D" w:rsidRPr="00AC1BD2" w:rsidRDefault="00516CEE" w:rsidP="002C6B71">
      <w:pPr>
        <w:pStyle w:val="ONUMFS"/>
      </w:pPr>
      <w:r w:rsidRPr="00AC1BD2">
        <w:lastRenderedPageBreak/>
        <w:t>L</w:t>
      </w:r>
      <w:r w:rsidR="00025CB1" w:rsidRPr="00AC1BD2">
        <w:t>’</w:t>
      </w:r>
      <w:r w:rsidRPr="00AC1BD2">
        <w:t>article</w:t>
      </w:r>
      <w:r w:rsidR="00197E51" w:rsidRPr="00AC1BD2">
        <w:t> </w:t>
      </w:r>
      <w:r w:rsidRPr="00AC1BD2">
        <w:t>9 du texte relatif aux expressions culturelles traditionnelles</w:t>
      </w:r>
      <w:r w:rsidRPr="00AC1BD2">
        <w:rPr>
          <w:rStyle w:val="FootnoteReference"/>
          <w:szCs w:val="22"/>
        </w:rPr>
        <w:footnoteReference w:id="10"/>
      </w:r>
      <w:r w:rsidRPr="00AC1BD2">
        <w:t xml:space="preserve"> traite également de cette question, mais d</w:t>
      </w:r>
      <w:r w:rsidR="00025CB1" w:rsidRPr="00AC1BD2">
        <w:t>’</w:t>
      </w:r>
      <w:r w:rsidRPr="00AC1BD2">
        <w:t>une manière différente</w:t>
      </w:r>
      <w:r w:rsidR="00872695" w:rsidRPr="00AC1BD2">
        <w:t xml:space="preserve">.  </w:t>
      </w:r>
      <w:r w:rsidRPr="00AC1BD2">
        <w:t>L</w:t>
      </w:r>
      <w:r w:rsidR="00025CB1" w:rsidRPr="00AC1BD2">
        <w:t>’</w:t>
      </w:r>
      <w:r w:rsidRPr="00AC1BD2">
        <w:t>IGC pourrait mettre les deux</w:t>
      </w:r>
      <w:r w:rsidR="00197E51" w:rsidRPr="00AC1BD2">
        <w:t> </w:t>
      </w:r>
      <w:r w:rsidRPr="00AC1BD2">
        <w:t>textes en regard et modifier comme il convient celui consacré aux savoirs traditionnels.</w:t>
      </w:r>
    </w:p>
    <w:p w14:paraId="3E323663" w14:textId="03660A1D" w:rsidR="0039715D" w:rsidRPr="00AC1BD2" w:rsidRDefault="00516CEE" w:rsidP="00A70AF1">
      <w:pPr>
        <w:tabs>
          <w:tab w:val="left" w:pos="567"/>
        </w:tabs>
        <w:rPr>
          <w:rFonts w:cs="Arial"/>
          <w:i/>
          <w:szCs w:val="22"/>
        </w:rPr>
      </w:pPr>
      <w:r w:rsidRPr="00AC1BD2">
        <w:rPr>
          <w:rFonts w:cs="Arial"/>
          <w:i/>
          <w:szCs w:val="22"/>
        </w:rPr>
        <w:t>Relation avec d</w:t>
      </w:r>
      <w:r w:rsidR="00025CB1" w:rsidRPr="00AC1BD2">
        <w:rPr>
          <w:rFonts w:cs="Arial"/>
          <w:i/>
          <w:szCs w:val="22"/>
        </w:rPr>
        <w:t>’</w:t>
      </w:r>
      <w:r w:rsidRPr="00AC1BD2">
        <w:rPr>
          <w:rFonts w:cs="Arial"/>
          <w:i/>
          <w:szCs w:val="22"/>
        </w:rPr>
        <w:t>autres accords internationaux</w:t>
      </w:r>
    </w:p>
    <w:p w14:paraId="275D5B71" w14:textId="77777777" w:rsidR="0039715D" w:rsidRPr="00AC1BD2" w:rsidRDefault="0039715D" w:rsidP="00A70AF1">
      <w:pPr>
        <w:tabs>
          <w:tab w:val="left" w:pos="567"/>
        </w:tabs>
        <w:rPr>
          <w:rFonts w:cs="Arial"/>
          <w:szCs w:val="22"/>
          <w:u w:val="single"/>
        </w:rPr>
      </w:pPr>
    </w:p>
    <w:p w14:paraId="194901B8" w14:textId="033B196A" w:rsidR="0039715D" w:rsidRPr="00AC1BD2" w:rsidRDefault="00516CEE" w:rsidP="002C6B71">
      <w:pPr>
        <w:pStyle w:val="ONUMFS"/>
      </w:pPr>
      <w:r w:rsidRPr="00AC1BD2">
        <w:t>Le texte relatif aux ressources génétiques</w:t>
      </w:r>
      <w:r w:rsidRPr="00AC1BD2">
        <w:rPr>
          <w:rStyle w:val="FootnoteReference"/>
          <w:szCs w:val="22"/>
        </w:rPr>
        <w:footnoteReference w:id="11"/>
      </w:r>
      <w:r w:rsidRPr="00AC1BD2">
        <w:t xml:space="preserve"> (alinéa</w:t>
      </w:r>
      <w:r w:rsidR="00197E51" w:rsidRPr="00AC1BD2">
        <w:t> </w:t>
      </w:r>
      <w:r w:rsidRPr="00AC1BD2">
        <w:t>8.3) et le texte relatif aux expressions culturelles traditionnelles</w:t>
      </w:r>
      <w:r w:rsidRPr="00AC1BD2">
        <w:rPr>
          <w:rStyle w:val="FootnoteReference"/>
          <w:szCs w:val="22"/>
        </w:rPr>
        <w:footnoteReference w:id="12"/>
      </w:r>
      <w:r w:rsidRPr="00AC1BD2">
        <w:t xml:space="preserve"> (article</w:t>
      </w:r>
      <w:r w:rsidR="00197E51" w:rsidRPr="00AC1BD2">
        <w:t> </w:t>
      </w:r>
      <w:r w:rsidRPr="00AC1BD2">
        <w:t>10) prévoient une clause de non</w:t>
      </w:r>
      <w:r w:rsidR="00243A34" w:rsidRPr="00AC1BD2">
        <w:noBreakHyphen/>
      </w:r>
      <w:r w:rsidRPr="00AC1BD2">
        <w:t>diminution concernant les droits des peuples autochtones</w:t>
      </w:r>
      <w:r w:rsidR="00872695" w:rsidRPr="00AC1BD2">
        <w:t xml:space="preserve">.  </w:t>
      </w:r>
      <w:r w:rsidRPr="00AC1BD2">
        <w:t>L</w:t>
      </w:r>
      <w:r w:rsidR="00025CB1" w:rsidRPr="00AC1BD2">
        <w:t>’</w:t>
      </w:r>
      <w:r w:rsidRPr="00AC1BD2">
        <w:t>IGC pourrait envisager d</w:t>
      </w:r>
      <w:r w:rsidR="00025CB1" w:rsidRPr="00AC1BD2">
        <w:t>’</w:t>
      </w:r>
      <w:r w:rsidRPr="00AC1BD2">
        <w:t>incorporer une clause de non</w:t>
      </w:r>
      <w:r w:rsidR="00243A34" w:rsidRPr="00AC1BD2">
        <w:noBreakHyphen/>
      </w:r>
      <w:r w:rsidRPr="00AC1BD2">
        <w:t>diminution dans le texte relatif aux savoirs traditionnels.</w:t>
      </w:r>
    </w:p>
    <w:p w14:paraId="7C97D5AF" w14:textId="77777777" w:rsidR="0039715D" w:rsidRPr="00AC1BD2" w:rsidRDefault="00516CEE" w:rsidP="00243A34">
      <w:pPr>
        <w:tabs>
          <w:tab w:val="left" w:pos="567"/>
        </w:tabs>
        <w:rPr>
          <w:rFonts w:cs="Arial"/>
          <w:i/>
          <w:szCs w:val="22"/>
        </w:rPr>
      </w:pPr>
      <w:r w:rsidRPr="00AC1BD2">
        <w:rPr>
          <w:rFonts w:cs="Arial"/>
          <w:i/>
          <w:szCs w:val="22"/>
        </w:rPr>
        <w:t>Traitement national</w:t>
      </w:r>
    </w:p>
    <w:p w14:paraId="67ED9D79" w14:textId="77777777" w:rsidR="0039715D" w:rsidRPr="00AC1BD2" w:rsidRDefault="0039715D" w:rsidP="00243A34">
      <w:pPr>
        <w:tabs>
          <w:tab w:val="left" w:pos="567"/>
        </w:tabs>
        <w:rPr>
          <w:rFonts w:cs="Arial"/>
          <w:szCs w:val="22"/>
        </w:rPr>
      </w:pPr>
    </w:p>
    <w:p w14:paraId="3A0AC20E" w14:textId="3661D816" w:rsidR="0039715D" w:rsidRPr="00AC1BD2" w:rsidRDefault="00516CEE" w:rsidP="002C6B71">
      <w:pPr>
        <w:pStyle w:val="ONUMFS"/>
      </w:pPr>
      <w:r w:rsidRPr="00AC1BD2">
        <w:t>Cette question est traitée à l</w:t>
      </w:r>
      <w:r w:rsidR="00025CB1" w:rsidRPr="00AC1BD2">
        <w:t>’</w:t>
      </w:r>
      <w:r w:rsidRPr="00AC1BD2">
        <w:t>article</w:t>
      </w:r>
      <w:r w:rsidR="00197E51" w:rsidRPr="00AC1BD2">
        <w:t> </w:t>
      </w:r>
      <w:r w:rsidRPr="00AC1BD2">
        <w:t>11 du texte relatif aux expressions culturelles traditionnelles</w:t>
      </w:r>
      <w:r w:rsidRPr="00AC1BD2">
        <w:rPr>
          <w:rStyle w:val="FootnoteReference"/>
          <w:szCs w:val="22"/>
        </w:rPr>
        <w:footnoteReference w:id="13"/>
      </w:r>
      <w:r w:rsidRPr="00AC1BD2">
        <w:t xml:space="preserve"> ainsi qu</w:t>
      </w:r>
      <w:r w:rsidR="00025CB1" w:rsidRPr="00AC1BD2">
        <w:t>’</w:t>
      </w:r>
      <w:r w:rsidRPr="00AC1BD2">
        <w:t>à l</w:t>
      </w:r>
      <w:r w:rsidR="00025CB1" w:rsidRPr="00AC1BD2">
        <w:t>’</w:t>
      </w:r>
      <w:r w:rsidRPr="00AC1BD2">
        <w:t>article</w:t>
      </w:r>
      <w:r w:rsidR="00197E51" w:rsidRPr="00AC1BD2">
        <w:t> </w:t>
      </w:r>
      <w:r w:rsidRPr="00AC1BD2">
        <w:t>11 du texte relatif aux savoirs traditionnels, mais selon deux</w:t>
      </w:r>
      <w:r w:rsidR="00197E51" w:rsidRPr="00AC1BD2">
        <w:t> </w:t>
      </w:r>
      <w:r w:rsidRPr="00AC1BD2">
        <w:t>approches très différent</w:t>
      </w:r>
      <w:r w:rsidR="00512111" w:rsidRPr="00AC1BD2">
        <w:t>es.  Il</w:t>
      </w:r>
      <w:r w:rsidRPr="00AC1BD2">
        <w:t xml:space="preserve"> convient de remédier à cette divergence de vues</w:t>
      </w:r>
      <w:r w:rsidR="00872695" w:rsidRPr="00AC1BD2">
        <w:t xml:space="preserve">.  </w:t>
      </w:r>
      <w:r w:rsidRPr="00AC1BD2">
        <w:t>L</w:t>
      </w:r>
      <w:r w:rsidR="00025CB1" w:rsidRPr="00AC1BD2">
        <w:t>’</w:t>
      </w:r>
      <w:r w:rsidRPr="00AC1BD2">
        <w:t>IGC aurait peut</w:t>
      </w:r>
      <w:r w:rsidR="00243A34" w:rsidRPr="00AC1BD2">
        <w:noBreakHyphen/>
      </w:r>
      <w:r w:rsidRPr="00AC1BD2">
        <w:t>être intérêt à consulter les deux</w:t>
      </w:r>
      <w:r w:rsidR="00197E51" w:rsidRPr="00AC1BD2">
        <w:t> </w:t>
      </w:r>
      <w:r w:rsidRPr="00AC1BD2">
        <w:t>textes et à apporter les modifications voulues pour en assurer la cohérence.</w:t>
      </w:r>
    </w:p>
    <w:p w14:paraId="0142A33D" w14:textId="77777777" w:rsidR="0039715D" w:rsidRPr="00AC1BD2" w:rsidRDefault="00516CEE" w:rsidP="00243A34">
      <w:pPr>
        <w:tabs>
          <w:tab w:val="left" w:pos="567"/>
        </w:tabs>
        <w:rPr>
          <w:rFonts w:cs="Arial"/>
          <w:i/>
          <w:szCs w:val="22"/>
        </w:rPr>
      </w:pPr>
      <w:r w:rsidRPr="00AC1BD2">
        <w:rPr>
          <w:rFonts w:cs="Arial"/>
          <w:i/>
          <w:szCs w:val="22"/>
        </w:rPr>
        <w:t>Coopération transfrontière</w:t>
      </w:r>
    </w:p>
    <w:p w14:paraId="747D1E25" w14:textId="77777777" w:rsidR="0039715D" w:rsidRPr="00AC1BD2" w:rsidRDefault="0039715D" w:rsidP="00243A34">
      <w:pPr>
        <w:tabs>
          <w:tab w:val="left" w:pos="567"/>
        </w:tabs>
        <w:rPr>
          <w:rFonts w:cs="Arial"/>
          <w:szCs w:val="22"/>
        </w:rPr>
      </w:pPr>
    </w:p>
    <w:p w14:paraId="65600CAF" w14:textId="68F5D605" w:rsidR="0039715D" w:rsidRPr="00AC1BD2" w:rsidRDefault="00516CEE" w:rsidP="002C6B71">
      <w:pPr>
        <w:pStyle w:val="ONUMFS"/>
      </w:pPr>
      <w:r w:rsidRPr="00AC1BD2">
        <w:t>L</w:t>
      </w:r>
      <w:r w:rsidR="00025CB1" w:rsidRPr="00AC1BD2">
        <w:t>’</w:t>
      </w:r>
      <w:r w:rsidRPr="00AC1BD2">
        <w:t>article</w:t>
      </w:r>
      <w:r w:rsidR="00197E51" w:rsidRPr="00AC1BD2">
        <w:t> </w:t>
      </w:r>
      <w:r w:rsidRPr="00AC1BD2">
        <w:t>12 a trait à la question très importante des savoirs traditionnels partagés de part et d</w:t>
      </w:r>
      <w:r w:rsidR="00025CB1" w:rsidRPr="00AC1BD2">
        <w:t>’</w:t>
      </w:r>
      <w:r w:rsidRPr="00AC1BD2">
        <w:t>autre de frontières</w:t>
      </w:r>
      <w:r w:rsidR="00872695" w:rsidRPr="00AC1BD2">
        <w:t xml:space="preserve">.  </w:t>
      </w:r>
      <w:r w:rsidRPr="00AC1BD2">
        <w:t>L</w:t>
      </w:r>
      <w:r w:rsidR="00025CB1" w:rsidRPr="00AC1BD2">
        <w:t>’</w:t>
      </w:r>
      <w:r w:rsidRPr="00AC1BD2">
        <w:t>IGC doit réfléchir à la formulation la plus appropriée, au vu des alinéas</w:t>
      </w:r>
      <w:r w:rsidR="00197E51" w:rsidRPr="00AC1BD2">
        <w:t> </w:t>
      </w:r>
      <w:r w:rsidRPr="00AC1BD2">
        <w:t>12.1 et 12.2.</w:t>
      </w:r>
    </w:p>
    <w:p w14:paraId="1BA60316" w14:textId="77777777" w:rsidR="008C74F6" w:rsidRPr="00AC1BD2" w:rsidRDefault="008C74F6" w:rsidP="00243A34">
      <w:pPr>
        <w:tabs>
          <w:tab w:val="left" w:pos="567"/>
        </w:tabs>
        <w:rPr>
          <w:rFonts w:cs="Arial"/>
          <w:szCs w:val="22"/>
        </w:rPr>
      </w:pPr>
    </w:p>
    <w:p w14:paraId="533EA874" w14:textId="77777777" w:rsidR="0039715D" w:rsidRPr="00AC1BD2" w:rsidRDefault="00516CEE" w:rsidP="00243A34">
      <w:pPr>
        <w:tabs>
          <w:tab w:val="left" w:pos="567"/>
        </w:tabs>
        <w:rPr>
          <w:rFonts w:cs="Arial"/>
          <w:b/>
          <w:szCs w:val="22"/>
        </w:rPr>
      </w:pPr>
      <w:r w:rsidRPr="00AC1BD2">
        <w:rPr>
          <w:rFonts w:cs="Arial"/>
          <w:b/>
          <w:szCs w:val="22"/>
        </w:rPr>
        <w:t>Autres ressources utiles</w:t>
      </w:r>
    </w:p>
    <w:p w14:paraId="25D14DCC" w14:textId="77777777" w:rsidR="0039715D" w:rsidRPr="00AC1BD2" w:rsidRDefault="0039715D" w:rsidP="00243A34">
      <w:pPr>
        <w:tabs>
          <w:tab w:val="left" w:pos="567"/>
        </w:tabs>
        <w:rPr>
          <w:rFonts w:cs="Arial"/>
          <w:szCs w:val="22"/>
        </w:rPr>
      </w:pPr>
    </w:p>
    <w:p w14:paraId="13A06BA1" w14:textId="4A615B38" w:rsidR="0039715D" w:rsidRPr="00C37157" w:rsidRDefault="00C44AF0" w:rsidP="002C6B71">
      <w:pPr>
        <w:pStyle w:val="ONUMFS"/>
      </w:pPr>
      <w:r w:rsidRPr="00C37157">
        <w:t>Je signale que des ressources utiles sont disponibles sur le site</w:t>
      </w:r>
      <w:r w:rsidR="00197E51" w:rsidRPr="00C37157">
        <w:t> </w:t>
      </w:r>
      <w:r w:rsidRPr="00C37157">
        <w:t>Web de l</w:t>
      </w:r>
      <w:r w:rsidR="00025CB1" w:rsidRPr="00C37157">
        <w:t>’</w:t>
      </w:r>
      <w:r w:rsidRPr="00C37157">
        <w:t>OMPI et que les États membres pourraient s</w:t>
      </w:r>
      <w:r w:rsidR="00025CB1" w:rsidRPr="00C37157">
        <w:t>’</w:t>
      </w:r>
      <w:r w:rsidRPr="00C37157">
        <w:t>en servir comme documentation de référence pour préparer la trente</w:t>
      </w:r>
      <w:r w:rsidR="00243A34" w:rsidRPr="00C37157">
        <w:noBreakHyphen/>
      </w:r>
      <w:r w:rsidRPr="00C37157">
        <w:t>deuxième</w:t>
      </w:r>
      <w:r w:rsidR="00197E51" w:rsidRPr="00C37157">
        <w:t> </w:t>
      </w:r>
      <w:r w:rsidRPr="00C37157">
        <w:t>session de l</w:t>
      </w:r>
      <w:r w:rsidR="00025CB1" w:rsidRPr="00C37157">
        <w:t>’</w:t>
      </w:r>
      <w:r w:rsidR="00512111" w:rsidRPr="00C37157">
        <w:t>IGC.  Pa</w:t>
      </w:r>
      <w:r w:rsidRPr="00C37157">
        <w:t>r exemple</w:t>
      </w:r>
      <w:r w:rsidR="00025CB1" w:rsidRPr="00C37157">
        <w:t> :</w:t>
      </w:r>
    </w:p>
    <w:p w14:paraId="1BB500F5" w14:textId="269F5084" w:rsidR="0039715D" w:rsidRPr="00AC1BD2" w:rsidRDefault="003E013F" w:rsidP="00AC1BD2">
      <w:pPr>
        <w:numPr>
          <w:ilvl w:val="0"/>
          <w:numId w:val="6"/>
        </w:numPr>
        <w:ind w:left="1134" w:hanging="567"/>
        <w:rPr>
          <w:rFonts w:cs="Arial"/>
          <w:szCs w:val="22"/>
        </w:rPr>
      </w:pPr>
      <w:r w:rsidRPr="00AC1BD2">
        <w:rPr>
          <w:rFonts w:cs="Arial"/>
          <w:szCs w:val="22"/>
        </w:rPr>
        <w:t xml:space="preserve">Document </w:t>
      </w:r>
      <w:proofErr w:type="spellStart"/>
      <w:r w:rsidRPr="00AC1BD2">
        <w:rPr>
          <w:rFonts w:cs="Arial"/>
          <w:szCs w:val="22"/>
        </w:rPr>
        <w:t>WIPO</w:t>
      </w:r>
      <w:proofErr w:type="spellEnd"/>
      <w:r w:rsidRPr="00AC1BD2">
        <w:rPr>
          <w:rFonts w:cs="Arial"/>
          <w:szCs w:val="22"/>
        </w:rPr>
        <w:t>/</w:t>
      </w:r>
      <w:proofErr w:type="spellStart"/>
      <w:r w:rsidR="00C50B8A" w:rsidRPr="00AC1BD2">
        <w:rPr>
          <w:rFonts w:cs="Arial"/>
          <w:szCs w:val="22"/>
        </w:rPr>
        <w:t>GRTK</w:t>
      </w:r>
      <w:r w:rsidRPr="00AC1BD2">
        <w:rPr>
          <w:rFonts w:cs="Arial"/>
          <w:szCs w:val="22"/>
        </w:rPr>
        <w:t>F</w:t>
      </w:r>
      <w:proofErr w:type="spellEnd"/>
      <w:r w:rsidRPr="00AC1BD2">
        <w:rPr>
          <w:rFonts w:cs="Arial"/>
          <w:szCs w:val="22"/>
        </w:rPr>
        <w:t>/IC/17/</w:t>
      </w:r>
      <w:proofErr w:type="spellStart"/>
      <w:r w:rsidRPr="00AC1BD2">
        <w:rPr>
          <w:rFonts w:cs="Arial"/>
          <w:szCs w:val="22"/>
        </w:rPr>
        <w:t>INF</w:t>
      </w:r>
      <w:proofErr w:type="spellEnd"/>
      <w:r w:rsidRPr="00AC1BD2">
        <w:rPr>
          <w:rFonts w:cs="Arial"/>
          <w:szCs w:val="22"/>
        </w:rPr>
        <w:t xml:space="preserve">/8, Note sur les significations du terme “domaine public” dans le système de la propriété intellectuelle, traitant en particulier de la protection des savoirs traditionnels et des expressions culturelles traditionnelles ou expressions du folklore, </w:t>
      </w:r>
      <w:hyperlink r:id="rId15" w:anchor="1" w:history="1">
        <w:r w:rsidRPr="00A70AF1">
          <w:rPr>
            <w:rStyle w:val="Hyperlink"/>
            <w:rFonts w:cs="Arial"/>
          </w:rPr>
          <w:t>http://www.wipo.int/tk/fr/resources/publications.html</w:t>
        </w:r>
      </w:hyperlink>
    </w:p>
    <w:p w14:paraId="3583EFFE" w14:textId="77777777" w:rsidR="0039715D" w:rsidRPr="00AC1BD2" w:rsidRDefault="0039715D" w:rsidP="00AC1BD2">
      <w:pPr>
        <w:ind w:left="1134" w:hanging="567"/>
        <w:rPr>
          <w:rFonts w:cs="Arial"/>
          <w:szCs w:val="22"/>
        </w:rPr>
      </w:pPr>
    </w:p>
    <w:p w14:paraId="46CEE4CC" w14:textId="4AF6AD45" w:rsidR="0039715D" w:rsidRPr="00AC1BD2" w:rsidRDefault="003E013F" w:rsidP="00AC1BD2">
      <w:pPr>
        <w:numPr>
          <w:ilvl w:val="0"/>
          <w:numId w:val="6"/>
        </w:numPr>
        <w:ind w:left="1134" w:hanging="567"/>
        <w:rPr>
          <w:rFonts w:cs="Arial"/>
          <w:szCs w:val="22"/>
        </w:rPr>
      </w:pPr>
      <w:r w:rsidRPr="00AC1BD2">
        <w:rPr>
          <w:rFonts w:cs="Arial"/>
          <w:szCs w:val="22"/>
        </w:rPr>
        <w:t xml:space="preserve">Document </w:t>
      </w:r>
      <w:proofErr w:type="spellStart"/>
      <w:r w:rsidRPr="00AC1BD2">
        <w:rPr>
          <w:rFonts w:cs="Arial"/>
          <w:szCs w:val="22"/>
        </w:rPr>
        <w:t>WIPO</w:t>
      </w:r>
      <w:proofErr w:type="spellEnd"/>
      <w:r w:rsidRPr="00AC1BD2">
        <w:rPr>
          <w:rFonts w:cs="Arial"/>
          <w:szCs w:val="22"/>
        </w:rPr>
        <w:t>/</w:t>
      </w:r>
      <w:proofErr w:type="spellStart"/>
      <w:r w:rsidRPr="00AC1BD2">
        <w:rPr>
          <w:rFonts w:cs="Arial"/>
          <w:szCs w:val="22"/>
        </w:rPr>
        <w:t>GR</w:t>
      </w:r>
      <w:r w:rsidR="00C50B8A" w:rsidRPr="00AC1BD2">
        <w:rPr>
          <w:rFonts w:cs="Arial"/>
          <w:szCs w:val="22"/>
        </w:rPr>
        <w:t>TK</w:t>
      </w:r>
      <w:r w:rsidRPr="00AC1BD2">
        <w:rPr>
          <w:rFonts w:cs="Arial"/>
          <w:szCs w:val="22"/>
        </w:rPr>
        <w:t>F</w:t>
      </w:r>
      <w:proofErr w:type="spellEnd"/>
      <w:r w:rsidRPr="00AC1BD2">
        <w:rPr>
          <w:rFonts w:cs="Arial"/>
          <w:szCs w:val="22"/>
        </w:rPr>
        <w:t>/IC/17/</w:t>
      </w:r>
      <w:proofErr w:type="spellStart"/>
      <w:r w:rsidRPr="00AC1BD2">
        <w:rPr>
          <w:rFonts w:cs="Arial"/>
          <w:szCs w:val="22"/>
        </w:rPr>
        <w:t>INF</w:t>
      </w:r>
      <w:proofErr w:type="spellEnd"/>
      <w:r w:rsidRPr="00AC1BD2">
        <w:rPr>
          <w:rFonts w:cs="Arial"/>
          <w:szCs w:val="22"/>
        </w:rPr>
        <w:t xml:space="preserve">/9, Liste et explication technique succincte des différentes formes sous lesquelles les savoirs traditionnels peuvent se présenter, </w:t>
      </w:r>
      <w:hyperlink r:id="rId16" w:anchor="1" w:history="1">
        <w:r w:rsidRPr="00A70AF1">
          <w:rPr>
            <w:rStyle w:val="Hyperlink"/>
            <w:rFonts w:cs="Arial"/>
          </w:rPr>
          <w:t>http://www.wipo.int/tk/fr/resources/publications.html</w:t>
        </w:r>
      </w:hyperlink>
    </w:p>
    <w:p w14:paraId="0A2C3084" w14:textId="77777777" w:rsidR="0039715D" w:rsidRPr="00AC1BD2" w:rsidRDefault="0039715D" w:rsidP="00AC1BD2">
      <w:pPr>
        <w:ind w:left="1134" w:hanging="567"/>
        <w:rPr>
          <w:rFonts w:cs="Arial"/>
          <w:szCs w:val="22"/>
        </w:rPr>
      </w:pPr>
    </w:p>
    <w:p w14:paraId="366CF431" w14:textId="7462087B" w:rsidR="0039715D" w:rsidRPr="00AC1BD2" w:rsidRDefault="003E013F" w:rsidP="00AC1BD2">
      <w:pPr>
        <w:numPr>
          <w:ilvl w:val="0"/>
          <w:numId w:val="6"/>
        </w:numPr>
        <w:ind w:left="1134" w:hanging="567"/>
        <w:rPr>
          <w:rStyle w:val="Hyperlink"/>
          <w:color w:val="auto"/>
          <w:u w:val="none"/>
        </w:rPr>
      </w:pPr>
      <w:r w:rsidRPr="00AC1BD2">
        <w:rPr>
          <w:rStyle w:val="Hyperlink"/>
          <w:color w:val="auto"/>
          <w:u w:val="none"/>
        </w:rPr>
        <w:t>Données d</w:t>
      </w:r>
      <w:r w:rsidR="00025CB1" w:rsidRPr="00AC1BD2">
        <w:rPr>
          <w:rStyle w:val="Hyperlink"/>
          <w:color w:val="auto"/>
          <w:u w:val="none"/>
        </w:rPr>
        <w:t>’</w:t>
      </w:r>
      <w:r w:rsidRPr="00AC1BD2">
        <w:rPr>
          <w:rStyle w:val="Hyperlink"/>
          <w:color w:val="auto"/>
          <w:u w:val="none"/>
        </w:rPr>
        <w:t xml:space="preserve">expérience régionales, nationales, locales et communautaires, </w:t>
      </w:r>
      <w:hyperlink r:id="rId17" w:history="1">
        <w:r w:rsidRPr="00A70AF1">
          <w:rPr>
            <w:rStyle w:val="Hyperlink"/>
            <w:rFonts w:cs="Arial"/>
          </w:rPr>
          <w:t>http://www.wipo.int/tk/fr/resources/tk_experiences.html</w:t>
        </w:r>
      </w:hyperlink>
    </w:p>
    <w:p w14:paraId="0CE0C994" w14:textId="77777777" w:rsidR="0039715D" w:rsidRPr="00AC1BD2" w:rsidRDefault="0039715D" w:rsidP="00AC1BD2">
      <w:pPr>
        <w:ind w:left="1134" w:hanging="567"/>
        <w:rPr>
          <w:rFonts w:cs="Arial"/>
          <w:szCs w:val="22"/>
        </w:rPr>
      </w:pPr>
    </w:p>
    <w:p w14:paraId="2F29C63E" w14:textId="634014DB" w:rsidR="0039715D" w:rsidRPr="00AC1BD2" w:rsidRDefault="008C74F6" w:rsidP="00AC1BD2">
      <w:pPr>
        <w:numPr>
          <w:ilvl w:val="0"/>
          <w:numId w:val="6"/>
        </w:numPr>
        <w:ind w:left="1134" w:hanging="567"/>
        <w:rPr>
          <w:rFonts w:cs="Arial"/>
          <w:szCs w:val="22"/>
        </w:rPr>
      </w:pPr>
      <w:r w:rsidRPr="00AC1BD2">
        <w:rPr>
          <w:rFonts w:cs="Arial"/>
          <w:szCs w:val="22"/>
        </w:rPr>
        <w:t>Exposés</w:t>
      </w:r>
      <w:r w:rsidR="00025CB1" w:rsidRPr="00AC1BD2">
        <w:rPr>
          <w:rFonts w:cs="Arial"/>
          <w:szCs w:val="22"/>
        </w:rPr>
        <w:t> :</w:t>
      </w:r>
    </w:p>
    <w:p w14:paraId="70A71728" w14:textId="77777777" w:rsidR="0039715D" w:rsidRPr="00AC1BD2" w:rsidRDefault="0039715D" w:rsidP="00AC1BD2">
      <w:pPr>
        <w:tabs>
          <w:tab w:val="left" w:pos="567"/>
        </w:tabs>
        <w:rPr>
          <w:rFonts w:cs="Arial"/>
          <w:szCs w:val="22"/>
        </w:rPr>
      </w:pPr>
    </w:p>
    <w:p w14:paraId="2B738F3E" w14:textId="6827E835" w:rsidR="0039715D" w:rsidRPr="00AC1BD2" w:rsidRDefault="00512111" w:rsidP="00AC1BD2">
      <w:pPr>
        <w:numPr>
          <w:ilvl w:val="1"/>
          <w:numId w:val="6"/>
        </w:numPr>
        <w:tabs>
          <w:tab w:val="left" w:pos="567"/>
        </w:tabs>
        <w:ind w:left="1701" w:hanging="567"/>
        <w:rPr>
          <w:rFonts w:cs="Arial"/>
          <w:szCs w:val="22"/>
        </w:rPr>
      </w:pPr>
      <w:hyperlink r:id="rId18" w:history="1">
        <w:r w:rsidR="00827DF7" w:rsidRPr="00AC1BD2">
          <w:rPr>
            <w:i/>
            <w:szCs w:val="22"/>
          </w:rPr>
          <w:t>Séminaire de l</w:t>
        </w:r>
        <w:r w:rsidR="00025CB1" w:rsidRPr="00AC1BD2">
          <w:rPr>
            <w:i/>
            <w:szCs w:val="22"/>
          </w:rPr>
          <w:t>’</w:t>
        </w:r>
        <w:r w:rsidR="00827DF7" w:rsidRPr="00AC1BD2">
          <w:rPr>
            <w:i/>
            <w:szCs w:val="22"/>
          </w:rPr>
          <w:t>OMPI</w:t>
        </w:r>
      </w:hyperlink>
      <w:r w:rsidR="00827DF7" w:rsidRPr="00AC1BD2">
        <w:rPr>
          <w:i/>
          <w:szCs w:val="22"/>
        </w:rPr>
        <w:t> </w:t>
      </w:r>
      <w:r w:rsidR="00827DF7" w:rsidRPr="00AC1BD2">
        <w:rPr>
          <w:rFonts w:cs="Arial"/>
          <w:i/>
          <w:szCs w:val="22"/>
        </w:rPr>
        <w:t>sur la propriété intellectuelle et les ressources génétiques, les savoirs traditionnels et les expressions culturelles traditionnelles</w:t>
      </w:r>
      <w:r w:rsidR="00025CB1" w:rsidRPr="00AC1BD2">
        <w:rPr>
          <w:rFonts w:cs="Arial"/>
          <w:i/>
          <w:szCs w:val="22"/>
        </w:rPr>
        <w:t> </w:t>
      </w:r>
      <w:proofErr w:type="gramStart"/>
      <w:r w:rsidR="00025CB1" w:rsidRPr="00AC1BD2">
        <w:rPr>
          <w:rFonts w:cs="Arial"/>
          <w:i/>
          <w:szCs w:val="22"/>
        </w:rPr>
        <w:t>:</w:t>
      </w:r>
      <w:r w:rsidR="00827DF7" w:rsidRPr="00AC1BD2">
        <w:rPr>
          <w:rFonts w:cs="Arial"/>
          <w:i/>
          <w:szCs w:val="22"/>
        </w:rPr>
        <w:t xml:space="preserve"> expériences</w:t>
      </w:r>
      <w:proofErr w:type="gramEnd"/>
      <w:r w:rsidR="00827DF7" w:rsidRPr="00AC1BD2">
        <w:rPr>
          <w:rFonts w:cs="Arial"/>
          <w:i/>
          <w:szCs w:val="22"/>
        </w:rPr>
        <w:t xml:space="preserve"> régionales, nationales et locales</w:t>
      </w:r>
      <w:r w:rsidR="00752F13" w:rsidRPr="00AC1BD2">
        <w:rPr>
          <w:rFonts w:cs="Arial"/>
          <w:i/>
          <w:szCs w:val="22"/>
        </w:rPr>
        <w:t xml:space="preserve">, </w:t>
      </w:r>
      <w:r w:rsidR="00827DF7" w:rsidRPr="00AC1BD2">
        <w:rPr>
          <w:rFonts w:cs="Arial"/>
          <w:szCs w:val="22"/>
        </w:rPr>
        <w:t>tenu à Genève du 3</w:t>
      </w:r>
      <w:r w:rsidR="00025CB1" w:rsidRPr="00AC1BD2">
        <w:rPr>
          <w:rFonts w:cs="Arial"/>
          <w:szCs w:val="22"/>
        </w:rPr>
        <w:t>0 mars</w:t>
      </w:r>
      <w:r w:rsidR="00827DF7" w:rsidRPr="00AC1BD2">
        <w:rPr>
          <w:rFonts w:cs="Arial"/>
          <w:szCs w:val="22"/>
        </w:rPr>
        <w:t xml:space="preserve"> au</w:t>
      </w:r>
      <w:r w:rsidR="00025CB1" w:rsidRPr="00AC1BD2">
        <w:rPr>
          <w:rFonts w:cs="Arial"/>
          <w:szCs w:val="22"/>
        </w:rPr>
        <w:t xml:space="preserve"> 1</w:t>
      </w:r>
      <w:r w:rsidR="00025CB1" w:rsidRPr="00AC1BD2">
        <w:rPr>
          <w:rFonts w:cs="Arial"/>
          <w:szCs w:val="22"/>
          <w:vertAlign w:val="superscript"/>
        </w:rPr>
        <w:t>er</w:t>
      </w:r>
      <w:r w:rsidR="00025CB1" w:rsidRPr="00AC1BD2">
        <w:rPr>
          <w:rFonts w:cs="Arial"/>
          <w:szCs w:val="22"/>
        </w:rPr>
        <w:t> avril 20</w:t>
      </w:r>
      <w:r w:rsidR="00752F13" w:rsidRPr="00AC1BD2">
        <w:rPr>
          <w:rFonts w:cs="Arial"/>
          <w:szCs w:val="22"/>
        </w:rPr>
        <w:t>15</w:t>
      </w:r>
      <w:r w:rsidR="00025CB1" w:rsidRPr="00AC1BD2">
        <w:rPr>
          <w:rFonts w:cs="Arial"/>
          <w:szCs w:val="22"/>
        </w:rPr>
        <w:t> :</w:t>
      </w:r>
      <w:r w:rsidR="00D32E8E" w:rsidRPr="00AC1BD2">
        <w:rPr>
          <w:rFonts w:cs="Arial"/>
          <w:szCs w:val="22"/>
        </w:rPr>
        <w:t xml:space="preserve"> </w:t>
      </w:r>
      <w:r w:rsidR="00AC1BD2" w:rsidRPr="00AC1BD2">
        <w:rPr>
          <w:rFonts w:cs="Arial"/>
          <w:szCs w:val="22"/>
        </w:rPr>
        <w:br/>
      </w:r>
      <w:hyperlink r:id="rId19" w:history="1">
        <w:r w:rsidR="00C503DD" w:rsidRPr="00A70AF1">
          <w:rPr>
            <w:rStyle w:val="Hyperlink"/>
            <w:rFonts w:cs="Arial"/>
            <w:szCs w:val="22"/>
          </w:rPr>
          <w:t>http://www.wipo.int/tk/fr/</w:t>
        </w:r>
      </w:hyperlink>
    </w:p>
    <w:p w14:paraId="0B4AFB1E" w14:textId="77777777" w:rsidR="0039715D" w:rsidRPr="00AC1BD2" w:rsidRDefault="0039715D" w:rsidP="00AC1BD2">
      <w:pPr>
        <w:tabs>
          <w:tab w:val="left" w:pos="567"/>
        </w:tabs>
        <w:rPr>
          <w:rFonts w:cs="Arial"/>
          <w:szCs w:val="22"/>
        </w:rPr>
      </w:pPr>
    </w:p>
    <w:p w14:paraId="2940E18B" w14:textId="5E041796" w:rsidR="00025CB1" w:rsidRPr="00AC1BD2" w:rsidRDefault="00512111" w:rsidP="00AC1BD2">
      <w:pPr>
        <w:numPr>
          <w:ilvl w:val="1"/>
          <w:numId w:val="6"/>
        </w:numPr>
        <w:ind w:left="1701" w:hanging="567"/>
        <w:rPr>
          <w:rFonts w:cs="Arial"/>
          <w:szCs w:val="22"/>
        </w:rPr>
      </w:pPr>
      <w:hyperlink r:id="rId20" w:history="1">
        <w:r w:rsidR="00827DF7" w:rsidRPr="00AC1BD2">
          <w:rPr>
            <w:i/>
            <w:szCs w:val="22"/>
          </w:rPr>
          <w:t>Séminaire de l</w:t>
        </w:r>
        <w:r w:rsidR="00025CB1" w:rsidRPr="00AC1BD2">
          <w:rPr>
            <w:i/>
            <w:szCs w:val="22"/>
          </w:rPr>
          <w:t>’</w:t>
        </w:r>
        <w:r w:rsidR="00827DF7" w:rsidRPr="00AC1BD2">
          <w:rPr>
            <w:i/>
            <w:szCs w:val="22"/>
          </w:rPr>
          <w:t>OMPI</w:t>
        </w:r>
      </w:hyperlink>
      <w:r w:rsidR="00827DF7" w:rsidRPr="00AC1BD2">
        <w:rPr>
          <w:i/>
          <w:szCs w:val="22"/>
        </w:rPr>
        <w:t> </w:t>
      </w:r>
      <w:r w:rsidR="00827DF7" w:rsidRPr="00AC1BD2">
        <w:rPr>
          <w:rFonts w:cs="Arial"/>
          <w:i/>
          <w:szCs w:val="22"/>
        </w:rPr>
        <w:t>sur la propriété intellectuelle et les ressources génétiques, les savoirs traditionnels et les expressions culturelles traditionnelles</w:t>
      </w:r>
      <w:r w:rsidR="00025CB1" w:rsidRPr="00AC1BD2">
        <w:rPr>
          <w:rFonts w:cs="Arial"/>
          <w:i/>
          <w:szCs w:val="22"/>
        </w:rPr>
        <w:t> </w:t>
      </w:r>
      <w:proofErr w:type="gramStart"/>
      <w:r w:rsidR="00025CB1" w:rsidRPr="00AC1BD2">
        <w:rPr>
          <w:rFonts w:cs="Arial"/>
          <w:i/>
          <w:szCs w:val="22"/>
        </w:rPr>
        <w:t>:</w:t>
      </w:r>
      <w:r w:rsidR="00827DF7" w:rsidRPr="00AC1BD2">
        <w:rPr>
          <w:rFonts w:cs="Arial"/>
          <w:i/>
          <w:szCs w:val="22"/>
        </w:rPr>
        <w:t xml:space="preserve"> dimensions</w:t>
      </w:r>
      <w:proofErr w:type="gramEnd"/>
      <w:r w:rsidR="00827DF7" w:rsidRPr="00AC1BD2">
        <w:rPr>
          <w:rFonts w:cs="Arial"/>
          <w:i/>
          <w:szCs w:val="22"/>
        </w:rPr>
        <w:t xml:space="preserve"> régionales et internationales, </w:t>
      </w:r>
      <w:r w:rsidR="00827DF7" w:rsidRPr="00AC1BD2">
        <w:rPr>
          <w:rFonts w:cs="Arial"/>
          <w:szCs w:val="22"/>
        </w:rPr>
        <w:t>tenu à Genève du 23 au 2</w:t>
      </w:r>
      <w:r w:rsidR="00025CB1" w:rsidRPr="00AC1BD2">
        <w:rPr>
          <w:rFonts w:cs="Arial"/>
          <w:szCs w:val="22"/>
        </w:rPr>
        <w:t>5 juin 20</w:t>
      </w:r>
      <w:r w:rsidR="00D32E8E" w:rsidRPr="00AC1BD2">
        <w:rPr>
          <w:rFonts w:cs="Arial"/>
          <w:szCs w:val="22"/>
        </w:rPr>
        <w:t>15</w:t>
      </w:r>
      <w:r w:rsidR="00025CB1" w:rsidRPr="00AC1BD2">
        <w:rPr>
          <w:rFonts w:cs="Arial"/>
          <w:szCs w:val="22"/>
        </w:rPr>
        <w:t> :</w:t>
      </w:r>
      <w:r w:rsidR="00AC1BD2" w:rsidRPr="00AC1BD2">
        <w:rPr>
          <w:rFonts w:cs="Arial"/>
          <w:szCs w:val="22"/>
        </w:rPr>
        <w:t xml:space="preserve"> </w:t>
      </w:r>
      <w:r w:rsidR="00AC1BD2" w:rsidRPr="00AC1BD2">
        <w:rPr>
          <w:rFonts w:cs="Arial"/>
          <w:szCs w:val="22"/>
        </w:rPr>
        <w:br/>
      </w:r>
      <w:hyperlink r:id="rId21" w:history="1">
        <w:r w:rsidR="00C503DD" w:rsidRPr="00A70AF1">
          <w:rPr>
            <w:rStyle w:val="Hyperlink"/>
            <w:rFonts w:cs="Arial"/>
            <w:szCs w:val="22"/>
          </w:rPr>
          <w:t>http://www.wipo.int/tk/fr/</w:t>
        </w:r>
      </w:hyperlink>
    </w:p>
    <w:p w14:paraId="56A93A52" w14:textId="4278A438" w:rsidR="0039715D" w:rsidRPr="00AC1BD2" w:rsidRDefault="0039715D" w:rsidP="00A70AF1">
      <w:pPr>
        <w:tabs>
          <w:tab w:val="left" w:pos="567"/>
        </w:tabs>
        <w:rPr>
          <w:rFonts w:cs="Arial"/>
          <w:szCs w:val="22"/>
        </w:rPr>
      </w:pPr>
      <w:bookmarkStart w:id="0" w:name="_GoBack"/>
      <w:bookmarkEnd w:id="0"/>
    </w:p>
    <w:sectPr w:rsidR="0039715D" w:rsidRPr="00AC1BD2" w:rsidSect="00BD7120">
      <w:type w:val="continuous"/>
      <w:pgSz w:w="11909" w:h="16834" w:code="9"/>
      <w:pgMar w:top="1440" w:right="119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ADB0D" w14:textId="77777777" w:rsidR="00BA34E3" w:rsidRDefault="00BA34E3" w:rsidP="00B24B34">
      <w:r>
        <w:separator/>
      </w:r>
    </w:p>
  </w:endnote>
  <w:endnote w:type="continuationSeparator" w:id="0">
    <w:p w14:paraId="19FA2739" w14:textId="77777777" w:rsidR="00BA34E3" w:rsidRDefault="00BA34E3" w:rsidP="00B24B34">
      <w:r>
        <w:continuationSeparator/>
      </w:r>
    </w:p>
  </w:endnote>
  <w:endnote w:type="continuationNotice" w:id="1">
    <w:p w14:paraId="46F958D3" w14:textId="77777777" w:rsidR="00BA34E3" w:rsidRDefault="00BA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56CB" w14:textId="77777777" w:rsidR="00BA34E3" w:rsidRDefault="00BA3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5BC7F" w14:textId="77777777" w:rsidR="00BA34E3" w:rsidRPr="00921B68" w:rsidRDefault="00BA34E3" w:rsidP="007330CE">
    <w:pPr>
      <w:pStyle w:val="Header"/>
      <w:jc w:val="right"/>
      <w:rPr>
        <w:rFonts w:cs="Arial"/>
        <w:szCs w:val="22"/>
      </w:rPr>
    </w:pPr>
    <w:r w:rsidRPr="00921B68">
      <w:rPr>
        <w:rFonts w:cs="Arial"/>
        <w:szCs w:val="22"/>
      </w:rPr>
      <w:fldChar w:fldCharType="begin"/>
    </w:r>
    <w:r w:rsidRPr="00921B68">
      <w:rPr>
        <w:rFonts w:cs="Arial"/>
        <w:szCs w:val="22"/>
      </w:rPr>
      <w:instrText xml:space="preserve"> PAGE   \* MERGEFORMAT </w:instrText>
    </w:r>
    <w:r w:rsidRPr="00921B68">
      <w:rPr>
        <w:rFonts w:cs="Arial"/>
        <w:szCs w:val="22"/>
      </w:rPr>
      <w:fldChar w:fldCharType="separate"/>
    </w:r>
    <w:r w:rsidR="00A70AF1">
      <w:rPr>
        <w:rFonts w:cs="Arial"/>
        <w:noProof/>
        <w:szCs w:val="22"/>
      </w:rPr>
      <w:t>18</w:t>
    </w:r>
    <w:r w:rsidRPr="00921B68">
      <w:rPr>
        <w:rFonts w:cs="Arial"/>
        <w:noProof/>
        <w:szCs w:val="22"/>
      </w:rPr>
      <w:fldChar w:fldCharType="end"/>
    </w:r>
  </w:p>
  <w:p w14:paraId="51DD01FE" w14:textId="77777777" w:rsidR="00BA34E3" w:rsidRPr="007330CE" w:rsidRDefault="00BA34E3" w:rsidP="007330CE">
    <w:pPr>
      <w:pStyle w:val="Footer"/>
      <w:jc w:val="right"/>
      <w:rPr>
        <w:rFonts w:cs="Arial"/>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3D83" w14:textId="77777777" w:rsidR="00BA34E3" w:rsidRDefault="00BA3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5AD00" w14:textId="77777777" w:rsidR="00BA34E3" w:rsidRDefault="00BA34E3" w:rsidP="00B24B34">
      <w:r>
        <w:separator/>
      </w:r>
    </w:p>
  </w:footnote>
  <w:footnote w:type="continuationSeparator" w:id="0">
    <w:p w14:paraId="588DA034" w14:textId="77777777" w:rsidR="00BA34E3" w:rsidRDefault="00BA34E3" w:rsidP="00B24B34">
      <w:r>
        <w:continuationSeparator/>
      </w:r>
    </w:p>
  </w:footnote>
  <w:footnote w:type="continuationNotice" w:id="1">
    <w:p w14:paraId="78502BBB" w14:textId="77777777" w:rsidR="00BA34E3" w:rsidRDefault="00BA34E3"/>
  </w:footnote>
  <w:footnote w:id="2">
    <w:p w14:paraId="641AB3A0" w14:textId="617E6C55"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r>
      <w:r w:rsidRPr="002C6B71">
        <w:rPr>
          <w:rFonts w:cs="Arial"/>
          <w:sz w:val="18"/>
          <w:szCs w:val="18"/>
        </w:rPr>
        <w:t>Dans l’ensemble de la présente note informelle, j’ai supprimé les crochets de citation du projet de texte actuel sur les savoirs traditionnels, afin d’en faciliter la lecture.</w:t>
      </w:r>
    </w:p>
  </w:footnote>
  <w:footnote w:id="3">
    <w:p w14:paraId="70534F20" w14:textId="638431FC"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r>
      <w:r w:rsidRPr="002C6B71">
        <w:rPr>
          <w:rFonts w:cs="Arial"/>
          <w:sz w:val="18"/>
          <w:szCs w:val="18"/>
        </w:rPr>
        <w:t>C’est moi qui souligne.</w:t>
      </w:r>
    </w:p>
  </w:footnote>
  <w:footnote w:id="4">
    <w:p w14:paraId="625D8B70" w14:textId="51072CC0"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r>
      <w:r w:rsidRPr="002C6B71">
        <w:rPr>
          <w:rFonts w:cs="Arial"/>
          <w:sz w:val="18"/>
          <w:szCs w:val="18"/>
        </w:rPr>
        <w:t xml:space="preserve">Concernant la nature des savoirs traditionnels, le document </w:t>
      </w:r>
      <w:proofErr w:type="spellStart"/>
      <w:r w:rsidRPr="002C6B71">
        <w:rPr>
          <w:rFonts w:cs="Arial"/>
          <w:sz w:val="18"/>
          <w:szCs w:val="18"/>
        </w:rPr>
        <w:t>WIPO</w:t>
      </w:r>
      <w:proofErr w:type="spellEnd"/>
      <w:r w:rsidRPr="002C6B71">
        <w:rPr>
          <w:rFonts w:cs="Arial"/>
          <w:sz w:val="18"/>
          <w:szCs w:val="18"/>
        </w:rPr>
        <w:t>/</w:t>
      </w:r>
      <w:proofErr w:type="spellStart"/>
      <w:r w:rsidRPr="002C6B71">
        <w:rPr>
          <w:rFonts w:cs="Arial"/>
          <w:sz w:val="18"/>
          <w:szCs w:val="18"/>
        </w:rPr>
        <w:t>GRTKF</w:t>
      </w:r>
      <w:proofErr w:type="spellEnd"/>
      <w:r w:rsidRPr="002C6B71">
        <w:rPr>
          <w:rFonts w:cs="Arial"/>
          <w:sz w:val="18"/>
          <w:szCs w:val="18"/>
        </w:rPr>
        <w:t>/IC/17/</w:t>
      </w:r>
      <w:proofErr w:type="spellStart"/>
      <w:r w:rsidRPr="002C6B71">
        <w:rPr>
          <w:rFonts w:cs="Arial"/>
          <w:sz w:val="18"/>
          <w:szCs w:val="18"/>
        </w:rPr>
        <w:t>INF</w:t>
      </w:r>
      <w:proofErr w:type="spellEnd"/>
      <w:r w:rsidRPr="002C6B71">
        <w:rPr>
          <w:rFonts w:cs="Arial"/>
          <w:sz w:val="18"/>
          <w:szCs w:val="18"/>
        </w:rPr>
        <w:t>/9 (Liste et explication technique succincte des différentes formes sous lesquelles les savoirs traditionnels peuvent se présenter) décrit les différentes formes sous lesquelles les savoirs traditionnels peuvent se présenter.</w:t>
      </w:r>
    </w:p>
  </w:footnote>
  <w:footnote w:id="5">
    <w:p w14:paraId="0D28BA79" w14:textId="18A73396"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À ce sujet, il peut être utile de rappeler deux commentaires formulés dans le document officieux établi en vue de la vingt</w:t>
      </w:r>
      <w:r w:rsidRPr="002C6B71">
        <w:rPr>
          <w:sz w:val="18"/>
          <w:szCs w:val="18"/>
        </w:rPr>
        <w:noBreakHyphen/>
        <w:t>septième session de l’IGC par le président d’alors du comité :</w:t>
      </w:r>
    </w:p>
    <w:p w14:paraId="58525192" w14:textId="64DFE2B0" w:rsidR="00BA34E3" w:rsidRPr="002C6B71" w:rsidRDefault="00BA34E3" w:rsidP="00B506EC">
      <w:pPr>
        <w:pStyle w:val="FootnoteText"/>
        <w:tabs>
          <w:tab w:val="left" w:pos="284"/>
        </w:tabs>
        <w:rPr>
          <w:sz w:val="18"/>
          <w:szCs w:val="18"/>
        </w:rPr>
      </w:pPr>
      <w:r w:rsidRPr="002C6B71">
        <w:rPr>
          <w:sz w:val="18"/>
          <w:szCs w:val="18"/>
        </w:rPr>
        <w:t>•</w:t>
      </w:r>
      <w:r w:rsidRPr="002C6B71">
        <w:rPr>
          <w:sz w:val="18"/>
          <w:szCs w:val="18"/>
        </w:rPr>
        <w:tab/>
        <w:t>Les caractéristiques des savoirs traditionnels (et des expressions culturelles traditionnelles) varient considérablement dans les différentes parties du monde.  C’est pourquoi il importe de déterminer les caractéristiques universelles de haut niveau qui devraient figurer dans un instrument international.</w:t>
      </w:r>
    </w:p>
    <w:p w14:paraId="78211D75" w14:textId="69102D6C" w:rsidR="00BA34E3" w:rsidRPr="002C6B71" w:rsidRDefault="00BA34E3" w:rsidP="00B506EC">
      <w:pPr>
        <w:pStyle w:val="FootnoteText"/>
        <w:tabs>
          <w:tab w:val="left" w:pos="284"/>
        </w:tabs>
        <w:rPr>
          <w:sz w:val="18"/>
          <w:szCs w:val="18"/>
        </w:rPr>
      </w:pPr>
      <w:r w:rsidRPr="002C6B71">
        <w:rPr>
          <w:sz w:val="18"/>
          <w:szCs w:val="18"/>
        </w:rPr>
        <w:t>•</w:t>
      </w:r>
      <w:r w:rsidRPr="002C6B71">
        <w:rPr>
          <w:sz w:val="18"/>
          <w:szCs w:val="18"/>
        </w:rPr>
        <w:tab/>
        <w:t>D’une manière plus générale, on peut estimer soit que la définition devrait être suffisamment large pour couvrir toutes les formes de savoirs traditionnels et d’expressions culturelles traditionnelles, soit qu’elle devrait être précise et restreinte à des fins de clarté et de transparence.  Si la définition est large, alors d’autres éléments, comme les critères à remplir pour bénéficier de la protection ou les exceptions et limitations, devraient probablement jouer le rôle de filtre pour limiter l’attribution des droits, car sinon, il serait nécessaire de restreindre l’étendue de la protection (c’est</w:t>
      </w:r>
      <w:r w:rsidRPr="002C6B71">
        <w:rPr>
          <w:sz w:val="18"/>
          <w:szCs w:val="18"/>
        </w:rPr>
        <w:noBreakHyphen/>
        <w:t>à</w:t>
      </w:r>
      <w:r w:rsidRPr="002C6B71">
        <w:rPr>
          <w:sz w:val="18"/>
          <w:szCs w:val="18"/>
        </w:rPr>
        <w:noBreakHyphen/>
        <w:t>dire l’étendue des droits) pour parvenir à un accord.  Il existe donc une interaction entre les questions essentielles de la définition de l’objet, de l’étendue des droits et des exceptions et limitations.  On peut aussi voir un lien entre cette interaction et l’équilibre inhérent à tout type de système de protection de la propriété intellectuelle (et sous</w:t>
      </w:r>
      <w:r w:rsidRPr="002C6B71">
        <w:rPr>
          <w:sz w:val="18"/>
          <w:szCs w:val="18"/>
        </w:rPr>
        <w:noBreakHyphen/>
        <w:t>jacent à la fois aux quatre questions transversales), c’est</w:t>
      </w:r>
      <w:r w:rsidRPr="002C6B71">
        <w:rPr>
          <w:sz w:val="18"/>
          <w:szCs w:val="18"/>
        </w:rPr>
        <w:noBreakHyphen/>
        <w:t>à</w:t>
      </w:r>
      <w:r w:rsidRPr="002C6B71">
        <w:rPr>
          <w:sz w:val="18"/>
          <w:szCs w:val="18"/>
        </w:rPr>
        <w:noBreakHyphen/>
        <w:t>dire l’équilibre entre les droits privés et les intérêts du public.</w:t>
      </w:r>
    </w:p>
  </w:footnote>
  <w:footnote w:id="6">
    <w:p w14:paraId="6D00539D" w14:textId="4F37D1BB"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C’est moi qui souligne.</w:t>
      </w:r>
    </w:p>
  </w:footnote>
  <w:footnote w:id="7">
    <w:p w14:paraId="482C9238" w14:textId="63DA77EE"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Ces concepts sont étudiés notamment dans le document </w:t>
      </w:r>
      <w:proofErr w:type="spellStart"/>
      <w:r w:rsidRPr="002C6B71">
        <w:rPr>
          <w:sz w:val="18"/>
          <w:szCs w:val="18"/>
        </w:rPr>
        <w:t>WIPO</w:t>
      </w:r>
      <w:proofErr w:type="spellEnd"/>
      <w:r w:rsidRPr="002C6B71">
        <w:rPr>
          <w:sz w:val="18"/>
          <w:szCs w:val="18"/>
        </w:rPr>
        <w:t>/</w:t>
      </w:r>
      <w:proofErr w:type="spellStart"/>
      <w:r w:rsidRPr="002C6B71">
        <w:rPr>
          <w:sz w:val="18"/>
          <w:szCs w:val="18"/>
        </w:rPr>
        <w:t>GRTKF</w:t>
      </w:r>
      <w:proofErr w:type="spellEnd"/>
      <w:r w:rsidRPr="002C6B71">
        <w:rPr>
          <w:sz w:val="18"/>
          <w:szCs w:val="18"/>
        </w:rPr>
        <w:t>/IC/17/</w:t>
      </w:r>
      <w:proofErr w:type="spellStart"/>
      <w:r w:rsidRPr="002C6B71">
        <w:rPr>
          <w:sz w:val="18"/>
          <w:szCs w:val="18"/>
        </w:rPr>
        <w:t>INF</w:t>
      </w:r>
      <w:proofErr w:type="spellEnd"/>
      <w:r w:rsidRPr="002C6B71">
        <w:rPr>
          <w:sz w:val="18"/>
          <w:szCs w:val="18"/>
        </w:rPr>
        <w:t xml:space="preserve">/8 (Note sur les significations du terme “domaine public” dans le système de la propriété intellectuelle, traitant en particulier de la protection des savoirs traditionnels et des expressions culturelles traditionnelles ou expressions du folklore).  Voir aussi le document </w:t>
      </w:r>
      <w:proofErr w:type="spellStart"/>
      <w:r w:rsidRPr="002C6B71">
        <w:rPr>
          <w:sz w:val="18"/>
          <w:szCs w:val="18"/>
        </w:rPr>
        <w:t>WIPO</w:t>
      </w:r>
      <w:proofErr w:type="spellEnd"/>
      <w:r w:rsidRPr="002C6B71">
        <w:rPr>
          <w:sz w:val="18"/>
          <w:szCs w:val="18"/>
        </w:rPr>
        <w:t>/</w:t>
      </w:r>
      <w:proofErr w:type="spellStart"/>
      <w:r w:rsidRPr="002C6B71">
        <w:rPr>
          <w:sz w:val="18"/>
          <w:szCs w:val="18"/>
        </w:rPr>
        <w:t>GRTKF</w:t>
      </w:r>
      <w:proofErr w:type="spellEnd"/>
      <w:r w:rsidRPr="002C6B71">
        <w:rPr>
          <w:sz w:val="18"/>
          <w:szCs w:val="18"/>
        </w:rPr>
        <w:t>/IC/31/</w:t>
      </w:r>
      <w:proofErr w:type="spellStart"/>
      <w:r w:rsidRPr="002C6B71">
        <w:rPr>
          <w:sz w:val="18"/>
          <w:szCs w:val="18"/>
        </w:rPr>
        <w:t>INF</w:t>
      </w:r>
      <w:proofErr w:type="spellEnd"/>
      <w:r w:rsidRPr="002C6B71">
        <w:rPr>
          <w:sz w:val="18"/>
          <w:szCs w:val="18"/>
        </w:rPr>
        <w:t>/7 (Glossaire des principaux termes relatifs à la propriété intellectuelle et aux ressources génétiques, aux savoirs traditionnels et aux expressions culturelles traditionnelles).</w:t>
      </w:r>
    </w:p>
  </w:footnote>
  <w:footnote w:id="8">
    <w:p w14:paraId="612EA905" w14:textId="32F5A765"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Les derniers textes en date concernant les ressources génétiques et les expressions culturelles traditionnelles peuvent être consultés à l’adresse </w:t>
      </w:r>
      <w:hyperlink r:id="rId1" w:history="1">
        <w:r w:rsidRPr="002C6B71">
          <w:rPr>
            <w:rStyle w:val="Hyperlink"/>
            <w:sz w:val="18"/>
            <w:szCs w:val="18"/>
          </w:rPr>
          <w:t>http://www.wipo.int/tk/fr/igc/</w:t>
        </w:r>
      </w:hyperlink>
      <w:r w:rsidRPr="002C6B71">
        <w:rPr>
          <w:sz w:val="18"/>
          <w:szCs w:val="18"/>
        </w:rPr>
        <w:t>.</w:t>
      </w:r>
    </w:p>
  </w:footnote>
  <w:footnote w:id="9">
    <w:p w14:paraId="26531BB0" w14:textId="72F7E9A3"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Disponible à l’adresse </w:t>
      </w:r>
      <w:hyperlink r:id="rId2" w:history="1">
        <w:r w:rsidRPr="002C6B71">
          <w:rPr>
            <w:rStyle w:val="Hyperlink"/>
            <w:sz w:val="18"/>
            <w:szCs w:val="18"/>
          </w:rPr>
          <w:t>http://www.wipo.int/tk/fr/igc/</w:t>
        </w:r>
      </w:hyperlink>
      <w:r w:rsidRPr="002C6B71">
        <w:rPr>
          <w:sz w:val="18"/>
          <w:szCs w:val="18"/>
        </w:rPr>
        <w:t>.</w:t>
      </w:r>
    </w:p>
  </w:footnote>
  <w:footnote w:id="10">
    <w:p w14:paraId="08400290" w14:textId="3914A8A7"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Disponible à l’adresse </w:t>
      </w:r>
      <w:hyperlink r:id="rId3" w:history="1">
        <w:r w:rsidRPr="002C6B71">
          <w:rPr>
            <w:rStyle w:val="Hyperlink"/>
            <w:sz w:val="18"/>
            <w:szCs w:val="18"/>
          </w:rPr>
          <w:t>http://www.wipo.int/tk/fr/igc/</w:t>
        </w:r>
      </w:hyperlink>
      <w:r w:rsidRPr="002C6B71">
        <w:rPr>
          <w:sz w:val="18"/>
          <w:szCs w:val="18"/>
        </w:rPr>
        <w:t>.</w:t>
      </w:r>
    </w:p>
  </w:footnote>
  <w:footnote w:id="11">
    <w:p w14:paraId="3DDE66FB" w14:textId="5862FDEF"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Disponible à l’adresse </w:t>
      </w:r>
      <w:hyperlink r:id="rId4" w:history="1">
        <w:r w:rsidRPr="002C6B71">
          <w:rPr>
            <w:rStyle w:val="Hyperlink"/>
            <w:sz w:val="18"/>
            <w:szCs w:val="18"/>
          </w:rPr>
          <w:t>http://www.wipo.int/tk/fr/igc/</w:t>
        </w:r>
      </w:hyperlink>
      <w:r w:rsidRPr="002C6B71">
        <w:rPr>
          <w:sz w:val="18"/>
          <w:szCs w:val="18"/>
        </w:rPr>
        <w:t>.</w:t>
      </w:r>
    </w:p>
  </w:footnote>
  <w:footnote w:id="12">
    <w:p w14:paraId="0F99C8D3" w14:textId="78CFCA6C"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Disponible à l’adresse </w:t>
      </w:r>
      <w:hyperlink r:id="rId5" w:history="1">
        <w:r w:rsidRPr="002C6B71">
          <w:rPr>
            <w:rStyle w:val="Hyperlink"/>
            <w:sz w:val="18"/>
            <w:szCs w:val="18"/>
          </w:rPr>
          <w:t>http://www.wipo.int/tk/fr/igc/</w:t>
        </w:r>
      </w:hyperlink>
      <w:r w:rsidRPr="002C6B71">
        <w:rPr>
          <w:sz w:val="18"/>
          <w:szCs w:val="18"/>
        </w:rPr>
        <w:t>.</w:t>
      </w:r>
    </w:p>
  </w:footnote>
  <w:footnote w:id="13">
    <w:p w14:paraId="58E3CB40" w14:textId="0E9FE95D" w:rsidR="00BA34E3" w:rsidRPr="002C6B71" w:rsidRDefault="00BA34E3" w:rsidP="00DC5F6C">
      <w:pPr>
        <w:pStyle w:val="FootnoteText"/>
        <w:tabs>
          <w:tab w:val="left" w:pos="567"/>
        </w:tabs>
        <w:rPr>
          <w:sz w:val="18"/>
          <w:szCs w:val="18"/>
        </w:rPr>
      </w:pPr>
      <w:r w:rsidRPr="002C6B71">
        <w:rPr>
          <w:rStyle w:val="FootnoteReference"/>
          <w:sz w:val="18"/>
          <w:szCs w:val="18"/>
        </w:rPr>
        <w:footnoteRef/>
      </w:r>
      <w:r w:rsidRPr="002C6B71">
        <w:rPr>
          <w:sz w:val="18"/>
          <w:szCs w:val="18"/>
        </w:rPr>
        <w:t xml:space="preserve"> </w:t>
      </w:r>
      <w:r w:rsidRPr="002C6B71">
        <w:rPr>
          <w:sz w:val="18"/>
          <w:szCs w:val="18"/>
        </w:rPr>
        <w:tab/>
        <w:t xml:space="preserve">Disponible à l’adresse </w:t>
      </w:r>
      <w:hyperlink r:id="rId6" w:history="1">
        <w:r w:rsidRPr="002C6B71">
          <w:rPr>
            <w:rStyle w:val="Hyperlink"/>
            <w:sz w:val="18"/>
            <w:szCs w:val="18"/>
          </w:rPr>
          <w:t>http://www.wipo.int/tk/fr/igc/</w:t>
        </w:r>
      </w:hyperlink>
      <w:r w:rsidRPr="002C6B71">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8132D" w14:textId="77777777" w:rsidR="00BA34E3" w:rsidRDefault="00BA3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3F7BB" w14:textId="77777777" w:rsidR="00BA34E3" w:rsidRDefault="00BA3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CCD62" w14:textId="77777777" w:rsidR="00BA34E3" w:rsidRDefault="00BA3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467ADE"/>
    <w:lvl w:ilvl="0">
      <w:start w:val="1"/>
      <w:numFmt w:val="decimal"/>
      <w:lvlText w:val="%1."/>
      <w:lvlJc w:val="left"/>
      <w:pPr>
        <w:tabs>
          <w:tab w:val="num" w:pos="1492"/>
        </w:tabs>
        <w:ind w:left="1492" w:hanging="360"/>
      </w:pPr>
    </w:lvl>
  </w:abstractNum>
  <w:abstractNum w:abstractNumId="1">
    <w:nsid w:val="FFFFFF7D"/>
    <w:multiLevelType w:val="singleLevel"/>
    <w:tmpl w:val="4E6010EA"/>
    <w:lvl w:ilvl="0">
      <w:start w:val="1"/>
      <w:numFmt w:val="decimal"/>
      <w:lvlText w:val="%1."/>
      <w:lvlJc w:val="left"/>
      <w:pPr>
        <w:tabs>
          <w:tab w:val="num" w:pos="1209"/>
        </w:tabs>
        <w:ind w:left="1209" w:hanging="360"/>
      </w:pPr>
    </w:lvl>
  </w:abstractNum>
  <w:abstractNum w:abstractNumId="2">
    <w:nsid w:val="FFFFFF7E"/>
    <w:multiLevelType w:val="singleLevel"/>
    <w:tmpl w:val="F264757A"/>
    <w:lvl w:ilvl="0">
      <w:start w:val="1"/>
      <w:numFmt w:val="decimal"/>
      <w:lvlText w:val="%1."/>
      <w:lvlJc w:val="left"/>
      <w:pPr>
        <w:tabs>
          <w:tab w:val="num" w:pos="926"/>
        </w:tabs>
        <w:ind w:left="926" w:hanging="360"/>
      </w:pPr>
    </w:lvl>
  </w:abstractNum>
  <w:abstractNum w:abstractNumId="3">
    <w:nsid w:val="FFFFFF7F"/>
    <w:multiLevelType w:val="singleLevel"/>
    <w:tmpl w:val="6908B670"/>
    <w:lvl w:ilvl="0">
      <w:start w:val="1"/>
      <w:numFmt w:val="decimal"/>
      <w:lvlText w:val="%1."/>
      <w:lvlJc w:val="left"/>
      <w:pPr>
        <w:tabs>
          <w:tab w:val="num" w:pos="643"/>
        </w:tabs>
        <w:ind w:left="643" w:hanging="360"/>
      </w:pPr>
    </w:lvl>
  </w:abstractNum>
  <w:abstractNum w:abstractNumId="4">
    <w:nsid w:val="FFFFFF80"/>
    <w:multiLevelType w:val="singleLevel"/>
    <w:tmpl w:val="D256D5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A6D0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D4CD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CE76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681A3E"/>
    <w:lvl w:ilvl="0">
      <w:start w:val="1"/>
      <w:numFmt w:val="decimal"/>
      <w:lvlText w:val="%1."/>
      <w:lvlJc w:val="left"/>
      <w:pPr>
        <w:tabs>
          <w:tab w:val="num" w:pos="360"/>
        </w:tabs>
        <w:ind w:left="360" w:hanging="360"/>
      </w:pPr>
    </w:lvl>
  </w:abstractNum>
  <w:abstractNum w:abstractNumId="9">
    <w:nsid w:val="FFFFFF89"/>
    <w:multiLevelType w:val="singleLevel"/>
    <w:tmpl w:val="4F8E4C16"/>
    <w:lvl w:ilvl="0">
      <w:start w:val="1"/>
      <w:numFmt w:val="bullet"/>
      <w:lvlText w:val=""/>
      <w:lvlJc w:val="left"/>
      <w:pPr>
        <w:tabs>
          <w:tab w:val="num" w:pos="360"/>
        </w:tabs>
        <w:ind w:left="360" w:hanging="360"/>
      </w:pPr>
      <w:rPr>
        <w:rFonts w:ascii="Symbol" w:hAnsi="Symbol" w:hint="default"/>
      </w:rPr>
    </w:lvl>
  </w:abstractNum>
  <w:abstractNum w:abstractNumId="10">
    <w:nsid w:val="04D3503D"/>
    <w:multiLevelType w:val="hybridMultilevel"/>
    <w:tmpl w:val="FC2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D23355"/>
    <w:multiLevelType w:val="hybridMultilevel"/>
    <w:tmpl w:val="FDA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B42FFF"/>
    <w:multiLevelType w:val="hybridMultilevel"/>
    <w:tmpl w:val="AC28EE8A"/>
    <w:lvl w:ilvl="0" w:tplc="C0423C56">
      <w:start w:val="1"/>
      <w:numFmt w:val="decimal"/>
      <w:pStyle w:val="ONUMFS"/>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FE71F4"/>
    <w:multiLevelType w:val="hybridMultilevel"/>
    <w:tmpl w:val="020E5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8D6028"/>
    <w:multiLevelType w:val="hybridMultilevel"/>
    <w:tmpl w:val="5BD2E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8E30429"/>
    <w:multiLevelType w:val="hybridMultilevel"/>
    <w:tmpl w:val="ABB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CE585E"/>
    <w:multiLevelType w:val="hybridMultilevel"/>
    <w:tmpl w:val="B98C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087999"/>
    <w:multiLevelType w:val="hybridMultilevel"/>
    <w:tmpl w:val="63E818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1EF075B"/>
    <w:multiLevelType w:val="hybridMultilevel"/>
    <w:tmpl w:val="E04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3114FB"/>
    <w:multiLevelType w:val="hybridMultilevel"/>
    <w:tmpl w:val="436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257D8"/>
    <w:multiLevelType w:val="hybridMultilevel"/>
    <w:tmpl w:val="78E6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F2354F"/>
    <w:multiLevelType w:val="hybridMultilevel"/>
    <w:tmpl w:val="C8D42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A37076"/>
    <w:multiLevelType w:val="hybridMultilevel"/>
    <w:tmpl w:val="21E4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436917"/>
    <w:multiLevelType w:val="hybridMultilevel"/>
    <w:tmpl w:val="B072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EE76B28"/>
    <w:multiLevelType w:val="hybridMultilevel"/>
    <w:tmpl w:val="3A1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785095"/>
    <w:multiLevelType w:val="hybridMultilevel"/>
    <w:tmpl w:val="3A449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4B070F33"/>
    <w:multiLevelType w:val="hybridMultilevel"/>
    <w:tmpl w:val="7072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2E25AB"/>
    <w:multiLevelType w:val="hybridMultilevel"/>
    <w:tmpl w:val="92F8D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0712A0"/>
    <w:multiLevelType w:val="hybridMultilevel"/>
    <w:tmpl w:val="54A0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987C50"/>
    <w:multiLevelType w:val="hybridMultilevel"/>
    <w:tmpl w:val="C5EE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F8065D"/>
    <w:multiLevelType w:val="hybridMultilevel"/>
    <w:tmpl w:val="51AA5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7"/>
  </w:num>
  <w:num w:numId="3">
    <w:abstractNumId w:val="35"/>
  </w:num>
  <w:num w:numId="4">
    <w:abstractNumId w:val="10"/>
  </w:num>
  <w:num w:numId="5">
    <w:abstractNumId w:val="20"/>
  </w:num>
  <w:num w:numId="6">
    <w:abstractNumId w:val="23"/>
  </w:num>
  <w:num w:numId="7">
    <w:abstractNumId w:val="19"/>
  </w:num>
  <w:num w:numId="8">
    <w:abstractNumId w:val="29"/>
  </w:num>
  <w:num w:numId="9">
    <w:abstractNumId w:val="16"/>
  </w:num>
  <w:num w:numId="10">
    <w:abstractNumId w:val="25"/>
  </w:num>
  <w:num w:numId="11">
    <w:abstractNumId w:val="18"/>
  </w:num>
  <w:num w:numId="12">
    <w:abstractNumId w:val="28"/>
  </w:num>
  <w:num w:numId="13">
    <w:abstractNumId w:val="34"/>
  </w:num>
  <w:num w:numId="14">
    <w:abstractNumId w:val="31"/>
  </w:num>
  <w:num w:numId="15">
    <w:abstractNumId w:val="14"/>
  </w:num>
  <w:num w:numId="16">
    <w:abstractNumId w:val="32"/>
  </w:num>
  <w:num w:numId="17">
    <w:abstractNumId w:val="24"/>
  </w:num>
  <w:num w:numId="18">
    <w:abstractNumId w:val="33"/>
  </w:num>
  <w:num w:numId="19">
    <w:abstractNumId w:val="15"/>
  </w:num>
  <w:num w:numId="20">
    <w:abstractNumId w:val="26"/>
  </w:num>
  <w:num w:numId="21">
    <w:abstractNumId w:val="11"/>
  </w:num>
  <w:num w:numId="22">
    <w:abstractNumId w:val="17"/>
  </w:num>
  <w:num w:numId="23">
    <w:abstractNumId w:val="21"/>
  </w:num>
  <w:num w:numId="24">
    <w:abstractNumId w:val="22"/>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EN-FR\GRTKF|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IP in General\Academy|TextBase TMs\IP in General\Arbitration and Mediation|TextBase TMs\IP in General\Meetings|TextBase TMs\IP in General\Other|TextBase TMs\IP in General\Press Room|TextBase TMs\IP in General\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B35DC3"/>
    <w:rsid w:val="00005AF0"/>
    <w:rsid w:val="000074D7"/>
    <w:rsid w:val="0001710C"/>
    <w:rsid w:val="000175AA"/>
    <w:rsid w:val="00025CB1"/>
    <w:rsid w:val="00026184"/>
    <w:rsid w:val="00027352"/>
    <w:rsid w:val="00033104"/>
    <w:rsid w:val="000337C9"/>
    <w:rsid w:val="00034CDD"/>
    <w:rsid w:val="000362D9"/>
    <w:rsid w:val="00041572"/>
    <w:rsid w:val="00046980"/>
    <w:rsid w:val="00047928"/>
    <w:rsid w:val="00050082"/>
    <w:rsid w:val="00050F2F"/>
    <w:rsid w:val="00051004"/>
    <w:rsid w:val="0006415D"/>
    <w:rsid w:val="00072723"/>
    <w:rsid w:val="000769D8"/>
    <w:rsid w:val="000776CB"/>
    <w:rsid w:val="00081E15"/>
    <w:rsid w:val="00084A9B"/>
    <w:rsid w:val="000856F4"/>
    <w:rsid w:val="0009278B"/>
    <w:rsid w:val="00092B29"/>
    <w:rsid w:val="00092BEF"/>
    <w:rsid w:val="000931E6"/>
    <w:rsid w:val="00094D97"/>
    <w:rsid w:val="00095304"/>
    <w:rsid w:val="00095786"/>
    <w:rsid w:val="000A3CA6"/>
    <w:rsid w:val="000A4668"/>
    <w:rsid w:val="000A5CFA"/>
    <w:rsid w:val="000B0473"/>
    <w:rsid w:val="000B58E4"/>
    <w:rsid w:val="000C007C"/>
    <w:rsid w:val="000C08A8"/>
    <w:rsid w:val="000E1C67"/>
    <w:rsid w:val="000E217A"/>
    <w:rsid w:val="000E29F2"/>
    <w:rsid w:val="000E3E72"/>
    <w:rsid w:val="000E506B"/>
    <w:rsid w:val="000E5F0B"/>
    <w:rsid w:val="000E76D6"/>
    <w:rsid w:val="000F0063"/>
    <w:rsid w:val="000F0399"/>
    <w:rsid w:val="000F07E5"/>
    <w:rsid w:val="000F3C26"/>
    <w:rsid w:val="000F4DF8"/>
    <w:rsid w:val="000F5D71"/>
    <w:rsid w:val="000F75BA"/>
    <w:rsid w:val="00103CDB"/>
    <w:rsid w:val="001044FD"/>
    <w:rsid w:val="001067D6"/>
    <w:rsid w:val="001109EB"/>
    <w:rsid w:val="0011304C"/>
    <w:rsid w:val="00114614"/>
    <w:rsid w:val="00114ED4"/>
    <w:rsid w:val="0011787A"/>
    <w:rsid w:val="001206F6"/>
    <w:rsid w:val="00120A2F"/>
    <w:rsid w:val="00127B66"/>
    <w:rsid w:val="00130AA8"/>
    <w:rsid w:val="001340F4"/>
    <w:rsid w:val="00137C1B"/>
    <w:rsid w:val="00143C55"/>
    <w:rsid w:val="00150F54"/>
    <w:rsid w:val="001511BB"/>
    <w:rsid w:val="00152FBC"/>
    <w:rsid w:val="00155427"/>
    <w:rsid w:val="00156C63"/>
    <w:rsid w:val="00165109"/>
    <w:rsid w:val="00167CA9"/>
    <w:rsid w:val="00167D05"/>
    <w:rsid w:val="00171DA7"/>
    <w:rsid w:val="00172343"/>
    <w:rsid w:val="00176EAD"/>
    <w:rsid w:val="00185000"/>
    <w:rsid w:val="0019637D"/>
    <w:rsid w:val="00196BA3"/>
    <w:rsid w:val="00197E51"/>
    <w:rsid w:val="001A71DF"/>
    <w:rsid w:val="001B58D5"/>
    <w:rsid w:val="001B663B"/>
    <w:rsid w:val="001C2D76"/>
    <w:rsid w:val="001C31E7"/>
    <w:rsid w:val="001C75BB"/>
    <w:rsid w:val="001D0F34"/>
    <w:rsid w:val="001D5BA4"/>
    <w:rsid w:val="001E22F3"/>
    <w:rsid w:val="001E4DB3"/>
    <w:rsid w:val="001E68F7"/>
    <w:rsid w:val="001F0DB2"/>
    <w:rsid w:val="001F1164"/>
    <w:rsid w:val="001F6550"/>
    <w:rsid w:val="001F6B66"/>
    <w:rsid w:val="00200C0B"/>
    <w:rsid w:val="002035D0"/>
    <w:rsid w:val="0020704B"/>
    <w:rsid w:val="00212253"/>
    <w:rsid w:val="00212B1F"/>
    <w:rsid w:val="00216006"/>
    <w:rsid w:val="0021785C"/>
    <w:rsid w:val="00227AB8"/>
    <w:rsid w:val="00227E86"/>
    <w:rsid w:val="00231C16"/>
    <w:rsid w:val="00235D0C"/>
    <w:rsid w:val="002365A6"/>
    <w:rsid w:val="002375D0"/>
    <w:rsid w:val="00241AEB"/>
    <w:rsid w:val="00243224"/>
    <w:rsid w:val="00243A34"/>
    <w:rsid w:val="00244130"/>
    <w:rsid w:val="0024586B"/>
    <w:rsid w:val="00255CB1"/>
    <w:rsid w:val="00257549"/>
    <w:rsid w:val="00260006"/>
    <w:rsid w:val="00261620"/>
    <w:rsid w:val="0026424D"/>
    <w:rsid w:val="00264862"/>
    <w:rsid w:val="00266E69"/>
    <w:rsid w:val="00271B08"/>
    <w:rsid w:val="0027301A"/>
    <w:rsid w:val="00273624"/>
    <w:rsid w:val="00274C05"/>
    <w:rsid w:val="002753D9"/>
    <w:rsid w:val="002767AD"/>
    <w:rsid w:val="0027680D"/>
    <w:rsid w:val="00284C15"/>
    <w:rsid w:val="002853D9"/>
    <w:rsid w:val="00286692"/>
    <w:rsid w:val="002912D9"/>
    <w:rsid w:val="00292D26"/>
    <w:rsid w:val="00293014"/>
    <w:rsid w:val="00293E2B"/>
    <w:rsid w:val="00294C65"/>
    <w:rsid w:val="0029539E"/>
    <w:rsid w:val="002A13DE"/>
    <w:rsid w:val="002A30E5"/>
    <w:rsid w:val="002A359E"/>
    <w:rsid w:val="002B055A"/>
    <w:rsid w:val="002B08DF"/>
    <w:rsid w:val="002B6238"/>
    <w:rsid w:val="002B67AF"/>
    <w:rsid w:val="002B748A"/>
    <w:rsid w:val="002C1FD6"/>
    <w:rsid w:val="002C2DB4"/>
    <w:rsid w:val="002C49B0"/>
    <w:rsid w:val="002C6B71"/>
    <w:rsid w:val="002D0CAC"/>
    <w:rsid w:val="002D3546"/>
    <w:rsid w:val="002D4DEB"/>
    <w:rsid w:val="002D7463"/>
    <w:rsid w:val="002E313A"/>
    <w:rsid w:val="002E3831"/>
    <w:rsid w:val="002E5597"/>
    <w:rsid w:val="002E5773"/>
    <w:rsid w:val="002F01EF"/>
    <w:rsid w:val="00303A4C"/>
    <w:rsid w:val="0031341E"/>
    <w:rsid w:val="003163A9"/>
    <w:rsid w:val="00324CEA"/>
    <w:rsid w:val="00332532"/>
    <w:rsid w:val="003327C7"/>
    <w:rsid w:val="00332DA2"/>
    <w:rsid w:val="00337A89"/>
    <w:rsid w:val="00341972"/>
    <w:rsid w:val="0034294C"/>
    <w:rsid w:val="00345975"/>
    <w:rsid w:val="00350A00"/>
    <w:rsid w:val="00366A6F"/>
    <w:rsid w:val="00367C06"/>
    <w:rsid w:val="003703B3"/>
    <w:rsid w:val="0037277F"/>
    <w:rsid w:val="00381514"/>
    <w:rsid w:val="00386103"/>
    <w:rsid w:val="0039045A"/>
    <w:rsid w:val="003921FD"/>
    <w:rsid w:val="00393101"/>
    <w:rsid w:val="00395486"/>
    <w:rsid w:val="00395E2E"/>
    <w:rsid w:val="003963EE"/>
    <w:rsid w:val="0039715D"/>
    <w:rsid w:val="003A106F"/>
    <w:rsid w:val="003A1477"/>
    <w:rsid w:val="003B24EC"/>
    <w:rsid w:val="003B3DEC"/>
    <w:rsid w:val="003C3E92"/>
    <w:rsid w:val="003C4AD1"/>
    <w:rsid w:val="003C6436"/>
    <w:rsid w:val="003D14A4"/>
    <w:rsid w:val="003D20DC"/>
    <w:rsid w:val="003D285F"/>
    <w:rsid w:val="003D4910"/>
    <w:rsid w:val="003D495F"/>
    <w:rsid w:val="003E013F"/>
    <w:rsid w:val="003F6574"/>
    <w:rsid w:val="003F6A59"/>
    <w:rsid w:val="003F7E6E"/>
    <w:rsid w:val="00403346"/>
    <w:rsid w:val="0040364D"/>
    <w:rsid w:val="00403EB8"/>
    <w:rsid w:val="00404A29"/>
    <w:rsid w:val="004171A4"/>
    <w:rsid w:val="0041784B"/>
    <w:rsid w:val="00422C2C"/>
    <w:rsid w:val="004247DB"/>
    <w:rsid w:val="004315C3"/>
    <w:rsid w:val="004415F1"/>
    <w:rsid w:val="00441EC1"/>
    <w:rsid w:val="00442001"/>
    <w:rsid w:val="00443B51"/>
    <w:rsid w:val="00445F29"/>
    <w:rsid w:val="004463DF"/>
    <w:rsid w:val="00446530"/>
    <w:rsid w:val="00450AA4"/>
    <w:rsid w:val="004574D3"/>
    <w:rsid w:val="00460111"/>
    <w:rsid w:val="0046012F"/>
    <w:rsid w:val="00464C5D"/>
    <w:rsid w:val="00467FBB"/>
    <w:rsid w:val="0047085D"/>
    <w:rsid w:val="00477605"/>
    <w:rsid w:val="00481273"/>
    <w:rsid w:val="004829F6"/>
    <w:rsid w:val="004974EB"/>
    <w:rsid w:val="0049769D"/>
    <w:rsid w:val="004A580D"/>
    <w:rsid w:val="004A64FD"/>
    <w:rsid w:val="004A75E6"/>
    <w:rsid w:val="004C55A0"/>
    <w:rsid w:val="004C658F"/>
    <w:rsid w:val="004D6695"/>
    <w:rsid w:val="004E3D7F"/>
    <w:rsid w:val="004E6399"/>
    <w:rsid w:val="004F1D18"/>
    <w:rsid w:val="005000C2"/>
    <w:rsid w:val="005031FF"/>
    <w:rsid w:val="00506F01"/>
    <w:rsid w:val="00512111"/>
    <w:rsid w:val="00513BD3"/>
    <w:rsid w:val="00516CEE"/>
    <w:rsid w:val="00520CCF"/>
    <w:rsid w:val="0053162E"/>
    <w:rsid w:val="005347BF"/>
    <w:rsid w:val="00535974"/>
    <w:rsid w:val="005364FB"/>
    <w:rsid w:val="0054157C"/>
    <w:rsid w:val="005417AF"/>
    <w:rsid w:val="00541E58"/>
    <w:rsid w:val="00542EC1"/>
    <w:rsid w:val="00545C7D"/>
    <w:rsid w:val="00552B4A"/>
    <w:rsid w:val="00560A7D"/>
    <w:rsid w:val="00562802"/>
    <w:rsid w:val="00565DC7"/>
    <w:rsid w:val="0056785E"/>
    <w:rsid w:val="00572C85"/>
    <w:rsid w:val="00573E1D"/>
    <w:rsid w:val="00574DED"/>
    <w:rsid w:val="00576299"/>
    <w:rsid w:val="005810F5"/>
    <w:rsid w:val="005A0E89"/>
    <w:rsid w:val="005A2003"/>
    <w:rsid w:val="005A54DB"/>
    <w:rsid w:val="005A7704"/>
    <w:rsid w:val="005A7812"/>
    <w:rsid w:val="005B6615"/>
    <w:rsid w:val="005B68B1"/>
    <w:rsid w:val="005C6418"/>
    <w:rsid w:val="005D0B72"/>
    <w:rsid w:val="005D27E2"/>
    <w:rsid w:val="005D3614"/>
    <w:rsid w:val="005D406D"/>
    <w:rsid w:val="005E1561"/>
    <w:rsid w:val="005E4E4F"/>
    <w:rsid w:val="005E515C"/>
    <w:rsid w:val="005E57C2"/>
    <w:rsid w:val="005E6B88"/>
    <w:rsid w:val="005E7515"/>
    <w:rsid w:val="005F0089"/>
    <w:rsid w:val="005F0A88"/>
    <w:rsid w:val="005F1464"/>
    <w:rsid w:val="005F3C36"/>
    <w:rsid w:val="005F64DF"/>
    <w:rsid w:val="005F6927"/>
    <w:rsid w:val="006019B0"/>
    <w:rsid w:val="00602AA9"/>
    <w:rsid w:val="00606C55"/>
    <w:rsid w:val="0061680C"/>
    <w:rsid w:val="00617B26"/>
    <w:rsid w:val="00621B54"/>
    <w:rsid w:val="00622A6D"/>
    <w:rsid w:val="0062344C"/>
    <w:rsid w:val="006234B6"/>
    <w:rsid w:val="00624342"/>
    <w:rsid w:val="006255E0"/>
    <w:rsid w:val="00625EEB"/>
    <w:rsid w:val="006263F8"/>
    <w:rsid w:val="006330AB"/>
    <w:rsid w:val="00634E3D"/>
    <w:rsid w:val="00645BA2"/>
    <w:rsid w:val="00646715"/>
    <w:rsid w:val="00653748"/>
    <w:rsid w:val="00653899"/>
    <w:rsid w:val="00653EBF"/>
    <w:rsid w:val="00655AD1"/>
    <w:rsid w:val="00657338"/>
    <w:rsid w:val="00663810"/>
    <w:rsid w:val="0066556B"/>
    <w:rsid w:val="006658D1"/>
    <w:rsid w:val="00665A36"/>
    <w:rsid w:val="00667D23"/>
    <w:rsid w:val="0067549B"/>
    <w:rsid w:val="0067553B"/>
    <w:rsid w:val="0067711A"/>
    <w:rsid w:val="006830CA"/>
    <w:rsid w:val="0068679D"/>
    <w:rsid w:val="00686BA4"/>
    <w:rsid w:val="00691F27"/>
    <w:rsid w:val="00695A3F"/>
    <w:rsid w:val="006A32DF"/>
    <w:rsid w:val="006A37B6"/>
    <w:rsid w:val="006B1054"/>
    <w:rsid w:val="006B12C5"/>
    <w:rsid w:val="006C0FFE"/>
    <w:rsid w:val="006D0FF6"/>
    <w:rsid w:val="006D1569"/>
    <w:rsid w:val="006E4011"/>
    <w:rsid w:val="006E510F"/>
    <w:rsid w:val="006E5ED5"/>
    <w:rsid w:val="006E676A"/>
    <w:rsid w:val="006E681A"/>
    <w:rsid w:val="006F39D6"/>
    <w:rsid w:val="006F6587"/>
    <w:rsid w:val="006F6BDB"/>
    <w:rsid w:val="00701304"/>
    <w:rsid w:val="007018B8"/>
    <w:rsid w:val="0070265C"/>
    <w:rsid w:val="007048EC"/>
    <w:rsid w:val="00704F02"/>
    <w:rsid w:val="0070603F"/>
    <w:rsid w:val="0070724F"/>
    <w:rsid w:val="0071007F"/>
    <w:rsid w:val="00715B7F"/>
    <w:rsid w:val="007253C8"/>
    <w:rsid w:val="00727F6F"/>
    <w:rsid w:val="0073065D"/>
    <w:rsid w:val="007330CE"/>
    <w:rsid w:val="00737305"/>
    <w:rsid w:val="00737323"/>
    <w:rsid w:val="0073756A"/>
    <w:rsid w:val="00740E3C"/>
    <w:rsid w:val="00741D75"/>
    <w:rsid w:val="007509F7"/>
    <w:rsid w:val="00752F13"/>
    <w:rsid w:val="0076502E"/>
    <w:rsid w:val="00765067"/>
    <w:rsid w:val="007650CB"/>
    <w:rsid w:val="00767D93"/>
    <w:rsid w:val="0077539B"/>
    <w:rsid w:val="007801F4"/>
    <w:rsid w:val="007908F0"/>
    <w:rsid w:val="0079098F"/>
    <w:rsid w:val="00790E19"/>
    <w:rsid w:val="00791B70"/>
    <w:rsid w:val="00792183"/>
    <w:rsid w:val="007A0B33"/>
    <w:rsid w:val="007A6155"/>
    <w:rsid w:val="007A61E0"/>
    <w:rsid w:val="007B3045"/>
    <w:rsid w:val="007B4AF2"/>
    <w:rsid w:val="007B5C43"/>
    <w:rsid w:val="007B663E"/>
    <w:rsid w:val="007C1AF8"/>
    <w:rsid w:val="007C4FC7"/>
    <w:rsid w:val="007C5259"/>
    <w:rsid w:val="007D048E"/>
    <w:rsid w:val="007D3808"/>
    <w:rsid w:val="007E0617"/>
    <w:rsid w:val="007E0B51"/>
    <w:rsid w:val="007E26AD"/>
    <w:rsid w:val="007E2FE2"/>
    <w:rsid w:val="007E4FC4"/>
    <w:rsid w:val="007F2547"/>
    <w:rsid w:val="007F72F2"/>
    <w:rsid w:val="00800BAC"/>
    <w:rsid w:val="0080369E"/>
    <w:rsid w:val="00806DFE"/>
    <w:rsid w:val="008137C8"/>
    <w:rsid w:val="00816DD4"/>
    <w:rsid w:val="00817B9B"/>
    <w:rsid w:val="00824997"/>
    <w:rsid w:val="00825940"/>
    <w:rsid w:val="00827DF7"/>
    <w:rsid w:val="00832B1D"/>
    <w:rsid w:val="00832DD3"/>
    <w:rsid w:val="008356BA"/>
    <w:rsid w:val="00841201"/>
    <w:rsid w:val="008458A7"/>
    <w:rsid w:val="0084676D"/>
    <w:rsid w:val="00856126"/>
    <w:rsid w:val="00857F5D"/>
    <w:rsid w:val="00861686"/>
    <w:rsid w:val="00863A36"/>
    <w:rsid w:val="00864AEF"/>
    <w:rsid w:val="00867B3A"/>
    <w:rsid w:val="008707C4"/>
    <w:rsid w:val="008713EA"/>
    <w:rsid w:val="00872695"/>
    <w:rsid w:val="008771F7"/>
    <w:rsid w:val="00877A28"/>
    <w:rsid w:val="00881CCC"/>
    <w:rsid w:val="00884220"/>
    <w:rsid w:val="00894DE8"/>
    <w:rsid w:val="008A03C6"/>
    <w:rsid w:val="008A3F08"/>
    <w:rsid w:val="008A61C2"/>
    <w:rsid w:val="008C10BB"/>
    <w:rsid w:val="008C13A9"/>
    <w:rsid w:val="008C1E09"/>
    <w:rsid w:val="008C1E39"/>
    <w:rsid w:val="008C67B0"/>
    <w:rsid w:val="008C74F6"/>
    <w:rsid w:val="008C7557"/>
    <w:rsid w:val="008D0378"/>
    <w:rsid w:val="008D1154"/>
    <w:rsid w:val="008F06FB"/>
    <w:rsid w:val="008F5695"/>
    <w:rsid w:val="008F7D61"/>
    <w:rsid w:val="008F7DF8"/>
    <w:rsid w:val="008F7FC1"/>
    <w:rsid w:val="00901CAF"/>
    <w:rsid w:val="00903A40"/>
    <w:rsid w:val="00904E10"/>
    <w:rsid w:val="009051F6"/>
    <w:rsid w:val="00910313"/>
    <w:rsid w:val="0091666E"/>
    <w:rsid w:val="00921B68"/>
    <w:rsid w:val="00922718"/>
    <w:rsid w:val="00924CCB"/>
    <w:rsid w:val="00926037"/>
    <w:rsid w:val="009331A3"/>
    <w:rsid w:val="00940D02"/>
    <w:rsid w:val="009410D5"/>
    <w:rsid w:val="00942728"/>
    <w:rsid w:val="00943016"/>
    <w:rsid w:val="00947B4F"/>
    <w:rsid w:val="00953BA8"/>
    <w:rsid w:val="009579B5"/>
    <w:rsid w:val="00960347"/>
    <w:rsid w:val="00961AAA"/>
    <w:rsid w:val="00964759"/>
    <w:rsid w:val="00965439"/>
    <w:rsid w:val="00966F65"/>
    <w:rsid w:val="0097022B"/>
    <w:rsid w:val="00970836"/>
    <w:rsid w:val="00971067"/>
    <w:rsid w:val="009743D4"/>
    <w:rsid w:val="00974F42"/>
    <w:rsid w:val="00981888"/>
    <w:rsid w:val="00981A32"/>
    <w:rsid w:val="00984C09"/>
    <w:rsid w:val="0099237F"/>
    <w:rsid w:val="009952A6"/>
    <w:rsid w:val="009A0856"/>
    <w:rsid w:val="009A7EF4"/>
    <w:rsid w:val="009B0990"/>
    <w:rsid w:val="009B12EB"/>
    <w:rsid w:val="009C0007"/>
    <w:rsid w:val="009C5891"/>
    <w:rsid w:val="009D030A"/>
    <w:rsid w:val="009D498C"/>
    <w:rsid w:val="009D61EF"/>
    <w:rsid w:val="009D74CE"/>
    <w:rsid w:val="009E0D3E"/>
    <w:rsid w:val="009E1F32"/>
    <w:rsid w:val="009E4DE0"/>
    <w:rsid w:val="009F1C0E"/>
    <w:rsid w:val="009F229A"/>
    <w:rsid w:val="009F7D8E"/>
    <w:rsid w:val="00A026CD"/>
    <w:rsid w:val="00A04DD2"/>
    <w:rsid w:val="00A051A3"/>
    <w:rsid w:val="00A05938"/>
    <w:rsid w:val="00A06122"/>
    <w:rsid w:val="00A07819"/>
    <w:rsid w:val="00A11D85"/>
    <w:rsid w:val="00A11F84"/>
    <w:rsid w:val="00A14B4A"/>
    <w:rsid w:val="00A16691"/>
    <w:rsid w:val="00A26BEF"/>
    <w:rsid w:val="00A32D04"/>
    <w:rsid w:val="00A331E6"/>
    <w:rsid w:val="00A40924"/>
    <w:rsid w:val="00A42A48"/>
    <w:rsid w:val="00A4559D"/>
    <w:rsid w:val="00A45770"/>
    <w:rsid w:val="00A45AC0"/>
    <w:rsid w:val="00A478F8"/>
    <w:rsid w:val="00A51C75"/>
    <w:rsid w:val="00A54183"/>
    <w:rsid w:val="00A54409"/>
    <w:rsid w:val="00A54E62"/>
    <w:rsid w:val="00A55890"/>
    <w:rsid w:val="00A56B85"/>
    <w:rsid w:val="00A61F49"/>
    <w:rsid w:val="00A64284"/>
    <w:rsid w:val="00A70AF1"/>
    <w:rsid w:val="00A82CBE"/>
    <w:rsid w:val="00A845EB"/>
    <w:rsid w:val="00A91B47"/>
    <w:rsid w:val="00A928F5"/>
    <w:rsid w:val="00AA260A"/>
    <w:rsid w:val="00AA3231"/>
    <w:rsid w:val="00AA3D1A"/>
    <w:rsid w:val="00AA43B0"/>
    <w:rsid w:val="00AA501B"/>
    <w:rsid w:val="00AA6DD8"/>
    <w:rsid w:val="00AB03D3"/>
    <w:rsid w:val="00AB5314"/>
    <w:rsid w:val="00AB5BB5"/>
    <w:rsid w:val="00AB5C10"/>
    <w:rsid w:val="00AC02AC"/>
    <w:rsid w:val="00AC0634"/>
    <w:rsid w:val="00AC14FE"/>
    <w:rsid w:val="00AC1BD2"/>
    <w:rsid w:val="00AC2FB9"/>
    <w:rsid w:val="00AC3879"/>
    <w:rsid w:val="00AC39D5"/>
    <w:rsid w:val="00AC5B84"/>
    <w:rsid w:val="00AD71E3"/>
    <w:rsid w:val="00AE16C9"/>
    <w:rsid w:val="00AE25D0"/>
    <w:rsid w:val="00AE4117"/>
    <w:rsid w:val="00AF0B2D"/>
    <w:rsid w:val="00AF24CC"/>
    <w:rsid w:val="00AF458F"/>
    <w:rsid w:val="00B11192"/>
    <w:rsid w:val="00B14097"/>
    <w:rsid w:val="00B20195"/>
    <w:rsid w:val="00B21031"/>
    <w:rsid w:val="00B2175F"/>
    <w:rsid w:val="00B22BD3"/>
    <w:rsid w:val="00B244E0"/>
    <w:rsid w:val="00B24AA9"/>
    <w:rsid w:val="00B24B34"/>
    <w:rsid w:val="00B26B5D"/>
    <w:rsid w:val="00B35DC3"/>
    <w:rsid w:val="00B45B25"/>
    <w:rsid w:val="00B47430"/>
    <w:rsid w:val="00B4791E"/>
    <w:rsid w:val="00B503A9"/>
    <w:rsid w:val="00B505C7"/>
    <w:rsid w:val="00B506EC"/>
    <w:rsid w:val="00B5566D"/>
    <w:rsid w:val="00B56359"/>
    <w:rsid w:val="00B56E80"/>
    <w:rsid w:val="00B57D64"/>
    <w:rsid w:val="00B64527"/>
    <w:rsid w:val="00B65782"/>
    <w:rsid w:val="00B6665C"/>
    <w:rsid w:val="00B72AC6"/>
    <w:rsid w:val="00B73174"/>
    <w:rsid w:val="00B73A48"/>
    <w:rsid w:val="00B75864"/>
    <w:rsid w:val="00B76376"/>
    <w:rsid w:val="00B8030C"/>
    <w:rsid w:val="00B81886"/>
    <w:rsid w:val="00B9008D"/>
    <w:rsid w:val="00B942A0"/>
    <w:rsid w:val="00B978A1"/>
    <w:rsid w:val="00BA34E3"/>
    <w:rsid w:val="00BB026E"/>
    <w:rsid w:val="00BC18D0"/>
    <w:rsid w:val="00BC1E28"/>
    <w:rsid w:val="00BC516C"/>
    <w:rsid w:val="00BC772C"/>
    <w:rsid w:val="00BD0A6E"/>
    <w:rsid w:val="00BD509C"/>
    <w:rsid w:val="00BD5454"/>
    <w:rsid w:val="00BD7120"/>
    <w:rsid w:val="00BE24D4"/>
    <w:rsid w:val="00BF0BBA"/>
    <w:rsid w:val="00BF1602"/>
    <w:rsid w:val="00BF418C"/>
    <w:rsid w:val="00BF4362"/>
    <w:rsid w:val="00BF4AAD"/>
    <w:rsid w:val="00BF5097"/>
    <w:rsid w:val="00BF63FB"/>
    <w:rsid w:val="00C02277"/>
    <w:rsid w:val="00C03C9C"/>
    <w:rsid w:val="00C03CFE"/>
    <w:rsid w:val="00C102A0"/>
    <w:rsid w:val="00C12BA0"/>
    <w:rsid w:val="00C157CA"/>
    <w:rsid w:val="00C17184"/>
    <w:rsid w:val="00C179CC"/>
    <w:rsid w:val="00C20301"/>
    <w:rsid w:val="00C2262E"/>
    <w:rsid w:val="00C2486E"/>
    <w:rsid w:val="00C24AF1"/>
    <w:rsid w:val="00C27282"/>
    <w:rsid w:val="00C304F4"/>
    <w:rsid w:val="00C37157"/>
    <w:rsid w:val="00C378B1"/>
    <w:rsid w:val="00C403F6"/>
    <w:rsid w:val="00C4153E"/>
    <w:rsid w:val="00C41994"/>
    <w:rsid w:val="00C422E3"/>
    <w:rsid w:val="00C448DB"/>
    <w:rsid w:val="00C44AF0"/>
    <w:rsid w:val="00C45E8F"/>
    <w:rsid w:val="00C503DD"/>
    <w:rsid w:val="00C50B8A"/>
    <w:rsid w:val="00C5643C"/>
    <w:rsid w:val="00C63115"/>
    <w:rsid w:val="00C709A1"/>
    <w:rsid w:val="00C720A4"/>
    <w:rsid w:val="00C73178"/>
    <w:rsid w:val="00C74308"/>
    <w:rsid w:val="00C74E82"/>
    <w:rsid w:val="00C85383"/>
    <w:rsid w:val="00C9168B"/>
    <w:rsid w:val="00C92CE8"/>
    <w:rsid w:val="00C93089"/>
    <w:rsid w:val="00C93FDC"/>
    <w:rsid w:val="00C95D1B"/>
    <w:rsid w:val="00CA1ADE"/>
    <w:rsid w:val="00CA2735"/>
    <w:rsid w:val="00CA382F"/>
    <w:rsid w:val="00CA5525"/>
    <w:rsid w:val="00CC05F9"/>
    <w:rsid w:val="00CC115D"/>
    <w:rsid w:val="00CC5668"/>
    <w:rsid w:val="00CD6025"/>
    <w:rsid w:val="00CE2A2E"/>
    <w:rsid w:val="00CE3911"/>
    <w:rsid w:val="00CE5AF0"/>
    <w:rsid w:val="00CE607F"/>
    <w:rsid w:val="00CE7CFD"/>
    <w:rsid w:val="00CF7E42"/>
    <w:rsid w:val="00D01330"/>
    <w:rsid w:val="00D04282"/>
    <w:rsid w:val="00D1276F"/>
    <w:rsid w:val="00D12E20"/>
    <w:rsid w:val="00D24B4F"/>
    <w:rsid w:val="00D270F5"/>
    <w:rsid w:val="00D276C9"/>
    <w:rsid w:val="00D318E7"/>
    <w:rsid w:val="00D31D7F"/>
    <w:rsid w:val="00D32E8E"/>
    <w:rsid w:val="00D336B4"/>
    <w:rsid w:val="00D352F1"/>
    <w:rsid w:val="00D47438"/>
    <w:rsid w:val="00D53A87"/>
    <w:rsid w:val="00D5679F"/>
    <w:rsid w:val="00D574D1"/>
    <w:rsid w:val="00D57DB3"/>
    <w:rsid w:val="00D60C14"/>
    <w:rsid w:val="00D62426"/>
    <w:rsid w:val="00D663B7"/>
    <w:rsid w:val="00D679D2"/>
    <w:rsid w:val="00D70657"/>
    <w:rsid w:val="00D71B3F"/>
    <w:rsid w:val="00D73D6B"/>
    <w:rsid w:val="00D744D6"/>
    <w:rsid w:val="00D76736"/>
    <w:rsid w:val="00D7774C"/>
    <w:rsid w:val="00D84EB5"/>
    <w:rsid w:val="00D84F19"/>
    <w:rsid w:val="00D85F20"/>
    <w:rsid w:val="00D87B2C"/>
    <w:rsid w:val="00D87C59"/>
    <w:rsid w:val="00D95232"/>
    <w:rsid w:val="00DA0F65"/>
    <w:rsid w:val="00DA2D62"/>
    <w:rsid w:val="00DA607C"/>
    <w:rsid w:val="00DA7DA8"/>
    <w:rsid w:val="00DB2CA8"/>
    <w:rsid w:val="00DB6C34"/>
    <w:rsid w:val="00DB71D9"/>
    <w:rsid w:val="00DB7502"/>
    <w:rsid w:val="00DC5F6C"/>
    <w:rsid w:val="00DD3B6B"/>
    <w:rsid w:val="00DE01BF"/>
    <w:rsid w:val="00DE2DA0"/>
    <w:rsid w:val="00DE44FE"/>
    <w:rsid w:val="00DE6D48"/>
    <w:rsid w:val="00DF68D3"/>
    <w:rsid w:val="00E079E4"/>
    <w:rsid w:val="00E1109D"/>
    <w:rsid w:val="00E113B6"/>
    <w:rsid w:val="00E14535"/>
    <w:rsid w:val="00E154FE"/>
    <w:rsid w:val="00E22CB8"/>
    <w:rsid w:val="00E25D4E"/>
    <w:rsid w:val="00E30198"/>
    <w:rsid w:val="00E41738"/>
    <w:rsid w:val="00E5382C"/>
    <w:rsid w:val="00E54B52"/>
    <w:rsid w:val="00E57064"/>
    <w:rsid w:val="00E61DA9"/>
    <w:rsid w:val="00E6372C"/>
    <w:rsid w:val="00E7094D"/>
    <w:rsid w:val="00E70F9D"/>
    <w:rsid w:val="00E71ECB"/>
    <w:rsid w:val="00E74E7D"/>
    <w:rsid w:val="00E753D2"/>
    <w:rsid w:val="00E75F7A"/>
    <w:rsid w:val="00E76AEF"/>
    <w:rsid w:val="00E839A7"/>
    <w:rsid w:val="00E875AB"/>
    <w:rsid w:val="00E90879"/>
    <w:rsid w:val="00E93E31"/>
    <w:rsid w:val="00E942DA"/>
    <w:rsid w:val="00E96358"/>
    <w:rsid w:val="00E97834"/>
    <w:rsid w:val="00EA2A68"/>
    <w:rsid w:val="00EA500A"/>
    <w:rsid w:val="00EA56F6"/>
    <w:rsid w:val="00EB3C60"/>
    <w:rsid w:val="00EB5728"/>
    <w:rsid w:val="00EB6DD8"/>
    <w:rsid w:val="00EB7100"/>
    <w:rsid w:val="00EC4199"/>
    <w:rsid w:val="00EC6174"/>
    <w:rsid w:val="00ED24D7"/>
    <w:rsid w:val="00ED26A5"/>
    <w:rsid w:val="00ED3145"/>
    <w:rsid w:val="00ED5368"/>
    <w:rsid w:val="00ED61F8"/>
    <w:rsid w:val="00EF0E7D"/>
    <w:rsid w:val="00EF24BB"/>
    <w:rsid w:val="00EF44E6"/>
    <w:rsid w:val="00EF4E0E"/>
    <w:rsid w:val="00EF5F59"/>
    <w:rsid w:val="00EF7638"/>
    <w:rsid w:val="00EF7B99"/>
    <w:rsid w:val="00F20BD9"/>
    <w:rsid w:val="00F225FA"/>
    <w:rsid w:val="00F24D13"/>
    <w:rsid w:val="00F30423"/>
    <w:rsid w:val="00F358F1"/>
    <w:rsid w:val="00F3750C"/>
    <w:rsid w:val="00F37517"/>
    <w:rsid w:val="00F43CBC"/>
    <w:rsid w:val="00F44C01"/>
    <w:rsid w:val="00F5292C"/>
    <w:rsid w:val="00F57589"/>
    <w:rsid w:val="00F61246"/>
    <w:rsid w:val="00F63DA8"/>
    <w:rsid w:val="00F64080"/>
    <w:rsid w:val="00F64C7F"/>
    <w:rsid w:val="00F806CC"/>
    <w:rsid w:val="00F863EE"/>
    <w:rsid w:val="00F87564"/>
    <w:rsid w:val="00F94EC3"/>
    <w:rsid w:val="00F965BA"/>
    <w:rsid w:val="00FA7C68"/>
    <w:rsid w:val="00FB0000"/>
    <w:rsid w:val="00FC4F9D"/>
    <w:rsid w:val="00FC6C33"/>
    <w:rsid w:val="00FD1FDD"/>
    <w:rsid w:val="00FD2A02"/>
    <w:rsid w:val="00FD3501"/>
    <w:rsid w:val="00FE044B"/>
    <w:rsid w:val="00FE7D65"/>
    <w:rsid w:val="00FF1476"/>
    <w:rsid w:val="00FF27BA"/>
    <w:rsid w:val="00FF4D1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57"/>
    <w:rPr>
      <w:rFonts w:ascii="Arial" w:hAnsi="Arial"/>
      <w:sz w:val="22"/>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styleId="ListParagraph">
    <w:name w:val="List Paragraph"/>
    <w:basedOn w:val="Normal"/>
    <w:uiPriority w:val="34"/>
    <w:qFormat/>
    <w:rsid w:val="00DE6D48"/>
    <w:pPr>
      <w:ind w:left="720"/>
    </w:pPr>
  </w:style>
  <w:style w:type="table" w:styleId="TableGrid">
    <w:name w:val="Table Grid"/>
    <w:basedOn w:val="TableNormal"/>
    <w:rsid w:val="005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BAC"/>
    <w:rPr>
      <w:sz w:val="24"/>
      <w:szCs w:val="24"/>
    </w:rPr>
  </w:style>
  <w:style w:type="paragraph" w:customStyle="1" w:styleId="Char">
    <w:name w:val="Char 字元 字元"/>
    <w:basedOn w:val="Normal"/>
    <w:rsid w:val="00737323"/>
    <w:pPr>
      <w:spacing w:after="160" w:line="240" w:lineRule="exact"/>
    </w:pPr>
    <w:rPr>
      <w:rFonts w:ascii="Verdana" w:eastAsia="PMingLiU" w:hAnsi="Verdana"/>
      <w:sz w:val="20"/>
      <w:szCs w:val="20"/>
    </w:rPr>
  </w:style>
  <w:style w:type="character" w:customStyle="1" w:styleId="apple-converted-space">
    <w:name w:val="apple-converted-space"/>
    <w:basedOn w:val="DefaultParagraphFont"/>
    <w:rsid w:val="00827DF7"/>
  </w:style>
  <w:style w:type="paragraph" w:customStyle="1" w:styleId="ONUMFS">
    <w:name w:val="ONUM FS"/>
    <w:basedOn w:val="BodyText"/>
    <w:rsid w:val="00C37157"/>
    <w:pPr>
      <w:numPr>
        <w:numId w:val="36"/>
      </w:numPr>
      <w:tabs>
        <w:tab w:val="left" w:pos="567"/>
      </w:tabs>
      <w:spacing w:after="220"/>
      <w:ind w:left="0" w:firstLine="0"/>
    </w:pPr>
    <w:rPr>
      <w:rFonts w:eastAsia="SimSun" w:cs="Arial"/>
      <w:szCs w:val="20"/>
      <w:lang w:eastAsia="fr-FR" w:bidi="fr-FR"/>
    </w:rPr>
  </w:style>
  <w:style w:type="paragraph" w:styleId="BodyText">
    <w:name w:val="Body Text"/>
    <w:basedOn w:val="Normal"/>
    <w:link w:val="BodyTextChar"/>
    <w:semiHidden/>
    <w:unhideWhenUsed/>
    <w:rsid w:val="00C37157"/>
    <w:pPr>
      <w:spacing w:after="120"/>
    </w:pPr>
  </w:style>
  <w:style w:type="character" w:customStyle="1" w:styleId="BodyTextChar">
    <w:name w:val="Body Text Char"/>
    <w:basedOn w:val="DefaultParagraphFont"/>
    <w:link w:val="BodyText"/>
    <w:semiHidden/>
    <w:rsid w:val="00C37157"/>
    <w:rPr>
      <w:rFonts w:ascii="Arial" w:hAnsi="Arial"/>
      <w:sz w:val="22"/>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57"/>
    <w:rPr>
      <w:rFonts w:ascii="Arial" w:hAnsi="Arial"/>
      <w:sz w:val="22"/>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styleId="ListParagraph">
    <w:name w:val="List Paragraph"/>
    <w:basedOn w:val="Normal"/>
    <w:uiPriority w:val="34"/>
    <w:qFormat/>
    <w:rsid w:val="00DE6D48"/>
    <w:pPr>
      <w:ind w:left="720"/>
    </w:pPr>
  </w:style>
  <w:style w:type="table" w:styleId="TableGrid">
    <w:name w:val="Table Grid"/>
    <w:basedOn w:val="TableNormal"/>
    <w:rsid w:val="005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BAC"/>
    <w:rPr>
      <w:sz w:val="24"/>
      <w:szCs w:val="24"/>
    </w:rPr>
  </w:style>
  <w:style w:type="paragraph" w:customStyle="1" w:styleId="Char">
    <w:name w:val="Char 字元 字元"/>
    <w:basedOn w:val="Normal"/>
    <w:rsid w:val="00737323"/>
    <w:pPr>
      <w:spacing w:after="160" w:line="240" w:lineRule="exact"/>
    </w:pPr>
    <w:rPr>
      <w:rFonts w:ascii="Verdana" w:eastAsia="PMingLiU" w:hAnsi="Verdana"/>
      <w:sz w:val="20"/>
      <w:szCs w:val="20"/>
    </w:rPr>
  </w:style>
  <w:style w:type="character" w:customStyle="1" w:styleId="apple-converted-space">
    <w:name w:val="apple-converted-space"/>
    <w:basedOn w:val="DefaultParagraphFont"/>
    <w:rsid w:val="00827DF7"/>
  </w:style>
  <w:style w:type="paragraph" w:customStyle="1" w:styleId="ONUMFS">
    <w:name w:val="ONUM FS"/>
    <w:basedOn w:val="BodyText"/>
    <w:rsid w:val="00C37157"/>
    <w:pPr>
      <w:numPr>
        <w:numId w:val="36"/>
      </w:numPr>
      <w:tabs>
        <w:tab w:val="left" w:pos="567"/>
      </w:tabs>
      <w:spacing w:after="220"/>
      <w:ind w:left="0" w:firstLine="0"/>
    </w:pPr>
    <w:rPr>
      <w:rFonts w:eastAsia="SimSun" w:cs="Arial"/>
      <w:szCs w:val="20"/>
      <w:lang w:eastAsia="fr-FR" w:bidi="fr-FR"/>
    </w:rPr>
  </w:style>
  <w:style w:type="paragraph" w:styleId="BodyText">
    <w:name w:val="Body Text"/>
    <w:basedOn w:val="Normal"/>
    <w:link w:val="BodyTextChar"/>
    <w:semiHidden/>
    <w:unhideWhenUsed/>
    <w:rsid w:val="00C37157"/>
    <w:pPr>
      <w:spacing w:after="120"/>
    </w:pPr>
  </w:style>
  <w:style w:type="character" w:customStyle="1" w:styleId="BodyTextChar">
    <w:name w:val="Body Text Char"/>
    <w:basedOn w:val="DefaultParagraphFont"/>
    <w:link w:val="BodyText"/>
    <w:semiHidden/>
    <w:rsid w:val="00C37157"/>
    <w:rPr>
      <w:rFonts w:ascii="Arial" w:hAnsi="Arial"/>
      <w:sz w:val="22"/>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wipo.int/meetings/fr/details.jsp?meeting_id=35602" TargetMode="External"/><Relationship Id="rId3" Type="http://schemas.openxmlformats.org/officeDocument/2006/relationships/styles" Target="styles.xml"/><Relationship Id="rId21" Type="http://schemas.openxmlformats.org/officeDocument/2006/relationships/hyperlink" Target="http://www.wipo.int/tk/f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wipo.int/tk/fr/resources/tk_experiences.html" TargetMode="External"/><Relationship Id="rId2" Type="http://schemas.openxmlformats.org/officeDocument/2006/relationships/numbering" Target="numbering.xml"/><Relationship Id="rId16" Type="http://schemas.openxmlformats.org/officeDocument/2006/relationships/hyperlink" Target="http://www.wipo.int/tk/fr/resources/publications.html" TargetMode="External"/><Relationship Id="rId20" Type="http://schemas.openxmlformats.org/officeDocument/2006/relationships/hyperlink" Target="http://www.wipo.int/meetings/en/details.jsp?meeting_id=365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ipo.int/tk/fr/resources/publications.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wipo.int/tk/f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tk/fr/igc/" TargetMode="External"/><Relationship Id="rId2" Type="http://schemas.openxmlformats.org/officeDocument/2006/relationships/hyperlink" Target="http://www.wipo.int/tk/fr/igc/" TargetMode="External"/><Relationship Id="rId1" Type="http://schemas.openxmlformats.org/officeDocument/2006/relationships/hyperlink" Target="http://www.wipo.int/tk/fr/igc/" TargetMode="External"/><Relationship Id="rId6" Type="http://schemas.openxmlformats.org/officeDocument/2006/relationships/hyperlink" Target="http://www.wipo.int/tk/fr/igc/" TargetMode="External"/><Relationship Id="rId5" Type="http://schemas.openxmlformats.org/officeDocument/2006/relationships/hyperlink" Target="http://www.wipo.int/tk/fr/igc/" TargetMode="External"/><Relationship Id="rId4" Type="http://schemas.openxmlformats.org/officeDocument/2006/relationships/hyperlink" Target="http://www.wipo.int/tk/fr/i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111F-9B5A-405D-BBB4-F6FCD45D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7368</Words>
  <Characters>40530</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Background note – IGC 31</vt:lpstr>
      <vt:lpstr>Background note – IGC 31</vt:lpstr>
    </vt:vector>
  </TitlesOfParts>
  <Company>Microsoft</Company>
  <LinksUpToDate>false</LinksUpToDate>
  <CharactersWithSpaces>47803</CharactersWithSpaces>
  <SharedDoc>false</SharedDoc>
  <HLinks>
    <vt:vector size="42" baseType="variant">
      <vt:variant>
        <vt:i4>8323144</vt:i4>
      </vt:variant>
      <vt:variant>
        <vt:i4>152</vt:i4>
      </vt:variant>
      <vt:variant>
        <vt:i4>0</vt:i4>
      </vt:variant>
      <vt:variant>
        <vt:i4>5</vt:i4>
      </vt:variant>
      <vt:variant>
        <vt:lpwstr>http://www.wipo.int/meetings/en/details.jsp?meeting_id=36502</vt:lpwstr>
      </vt:variant>
      <vt:variant>
        <vt:lpwstr/>
      </vt:variant>
      <vt:variant>
        <vt:i4>8126539</vt:i4>
      </vt:variant>
      <vt:variant>
        <vt:i4>149</vt:i4>
      </vt:variant>
      <vt:variant>
        <vt:i4>0</vt:i4>
      </vt:variant>
      <vt:variant>
        <vt:i4>5</vt:i4>
      </vt:variant>
      <vt:variant>
        <vt:lpwstr>http://www.wipo.int/meetings/en/details.jsp?meeting_id=35602</vt:lpwstr>
      </vt:variant>
      <vt:variant>
        <vt:lpwstr/>
      </vt:variant>
      <vt:variant>
        <vt:i4>2883604</vt:i4>
      </vt:variant>
      <vt:variant>
        <vt:i4>146</vt:i4>
      </vt:variant>
      <vt:variant>
        <vt:i4>0</vt:i4>
      </vt:variant>
      <vt:variant>
        <vt:i4>5</vt:i4>
      </vt:variant>
      <vt:variant>
        <vt:lpwstr>http://www.wipo.int/tk/en/resources/tk_experiences.html</vt:lpwstr>
      </vt:variant>
      <vt:variant>
        <vt:lpwstr/>
      </vt:variant>
      <vt:variant>
        <vt:i4>5767245</vt:i4>
      </vt:variant>
      <vt:variant>
        <vt:i4>143</vt:i4>
      </vt:variant>
      <vt:variant>
        <vt:i4>0</vt:i4>
      </vt:variant>
      <vt:variant>
        <vt:i4>5</vt:i4>
      </vt:variant>
      <vt:variant>
        <vt:lpwstr>http://www.wipo.int/meetings/en/doc_details.jsp?doc_id=147152</vt:lpwstr>
      </vt:variant>
      <vt:variant>
        <vt:lpwstr/>
      </vt:variant>
      <vt:variant>
        <vt:i4>5374030</vt:i4>
      </vt:variant>
      <vt:variant>
        <vt:i4>140</vt:i4>
      </vt:variant>
      <vt:variant>
        <vt:i4>0</vt:i4>
      </vt:variant>
      <vt:variant>
        <vt:i4>5</vt:i4>
      </vt:variant>
      <vt:variant>
        <vt:lpwstr>http://www.wipo.int/meetings/en/doc_details.jsp?doc_id=149213</vt:lpwstr>
      </vt:variant>
      <vt:variant>
        <vt:lpwstr/>
      </vt:variant>
      <vt:variant>
        <vt:i4>5963851</vt:i4>
      </vt:variant>
      <vt:variant>
        <vt:i4>3</vt:i4>
      </vt:variant>
      <vt:variant>
        <vt:i4>0</vt:i4>
      </vt:variant>
      <vt:variant>
        <vt:i4>5</vt:i4>
      </vt:variant>
      <vt:variant>
        <vt:lpwstr>http://www.wipo.int/meetings/en/doc_details.jsp?doc_id=340736</vt:lpwstr>
      </vt:variant>
      <vt:variant>
        <vt:lpwstr/>
      </vt:variant>
      <vt:variant>
        <vt:i4>5963851</vt:i4>
      </vt:variant>
      <vt:variant>
        <vt:i4>0</vt:i4>
      </vt:variant>
      <vt:variant>
        <vt:i4>0</vt:i4>
      </vt:variant>
      <vt:variant>
        <vt:i4>5</vt:i4>
      </vt:variant>
      <vt:variant>
        <vt:lpwstr>http://www.wipo.int/meetings/en/doc_details.jsp?doc_id=340736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PC-USER</dc:creator>
  <cp:lastModifiedBy>OLIVIÉ Karen</cp:lastModifiedBy>
  <cp:revision>7</cp:revision>
  <cp:lastPrinted>2016-11-03T08:03:00Z</cp:lastPrinted>
  <dcterms:created xsi:type="dcterms:W3CDTF">2016-11-16T09:15:00Z</dcterms:created>
  <dcterms:modified xsi:type="dcterms:W3CDTF">2016-11-16T10:41:00Z</dcterms:modified>
</cp:coreProperties>
</file>