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F1A84" w:rsidRPr="00D36E0A" w:rsidTr="00A848F1">
        <w:tc>
          <w:tcPr>
            <w:tcW w:w="4594" w:type="dxa"/>
            <w:tcBorders>
              <w:bottom w:val="single" w:sz="4" w:space="0" w:color="auto"/>
            </w:tcBorders>
            <w:tcMar>
              <w:bottom w:w="170" w:type="dxa"/>
            </w:tcMar>
          </w:tcPr>
          <w:p w:rsidR="00FF1A84" w:rsidRPr="00D36E0A" w:rsidRDefault="00FF1A84" w:rsidP="00D36E0A">
            <w:pPr>
              <w:rPr>
                <w:lang w:val="fr-FR"/>
              </w:rPr>
            </w:pPr>
          </w:p>
        </w:tc>
        <w:tc>
          <w:tcPr>
            <w:tcW w:w="4337" w:type="dxa"/>
            <w:tcBorders>
              <w:bottom w:val="single" w:sz="4" w:space="0" w:color="auto"/>
            </w:tcBorders>
            <w:tcMar>
              <w:left w:w="0" w:type="dxa"/>
              <w:right w:w="0" w:type="dxa"/>
            </w:tcMar>
          </w:tcPr>
          <w:p w:rsidR="00FF1A84" w:rsidRPr="00D36E0A" w:rsidRDefault="00FF1A84" w:rsidP="00D36E0A">
            <w:pPr>
              <w:rPr>
                <w:lang w:val="fr-FR"/>
              </w:rPr>
            </w:pPr>
            <w:r w:rsidRPr="00D36E0A">
              <w:rPr>
                <w:noProof/>
                <w:lang w:val="fr-FR" w:eastAsia="fr-FR"/>
              </w:rPr>
              <w:drawing>
                <wp:inline distT="0" distB="0" distL="0" distR="0" wp14:anchorId="28642D07" wp14:editId="26203711">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F1A84" w:rsidRPr="00D36E0A" w:rsidRDefault="00FF1A84" w:rsidP="00D36E0A">
            <w:pPr>
              <w:jc w:val="right"/>
              <w:rPr>
                <w:lang w:val="fr-FR"/>
              </w:rPr>
            </w:pPr>
            <w:r w:rsidRPr="00D36E0A">
              <w:rPr>
                <w:b/>
                <w:sz w:val="40"/>
                <w:szCs w:val="40"/>
                <w:lang w:val="fr-FR"/>
              </w:rPr>
              <w:t>F</w:t>
            </w:r>
          </w:p>
        </w:tc>
      </w:tr>
      <w:tr w:rsidR="00FF1A84" w:rsidRPr="00D36E0A" w:rsidTr="00A848F1">
        <w:trPr>
          <w:trHeight w:hRule="exact" w:val="340"/>
        </w:trPr>
        <w:tc>
          <w:tcPr>
            <w:tcW w:w="9356" w:type="dxa"/>
            <w:gridSpan w:val="3"/>
            <w:tcBorders>
              <w:top w:val="single" w:sz="4" w:space="0" w:color="auto"/>
            </w:tcBorders>
            <w:tcMar>
              <w:top w:w="170" w:type="dxa"/>
              <w:left w:w="0" w:type="dxa"/>
              <w:right w:w="0" w:type="dxa"/>
            </w:tcMar>
            <w:vAlign w:val="bottom"/>
          </w:tcPr>
          <w:p w:rsidR="00FF1A84" w:rsidRPr="00D36E0A" w:rsidRDefault="00FF1A84" w:rsidP="00D36E0A">
            <w:pPr>
              <w:jc w:val="right"/>
              <w:rPr>
                <w:rFonts w:ascii="Arial Black" w:hAnsi="Arial Black"/>
                <w:caps/>
                <w:sz w:val="15"/>
                <w:lang w:val="fr-FR"/>
              </w:rPr>
            </w:pPr>
            <w:r w:rsidRPr="00D36E0A">
              <w:rPr>
                <w:rFonts w:ascii="Arial Black" w:hAnsi="Arial Black"/>
                <w:caps/>
                <w:sz w:val="15"/>
                <w:lang w:val="fr-FR"/>
              </w:rPr>
              <w:t>WIPO/GRTKF/IC/31/8</w:t>
            </w:r>
          </w:p>
        </w:tc>
      </w:tr>
      <w:tr w:rsidR="00FF1A84" w:rsidRPr="00D36E0A" w:rsidTr="00A848F1">
        <w:trPr>
          <w:trHeight w:hRule="exact" w:val="170"/>
        </w:trPr>
        <w:tc>
          <w:tcPr>
            <w:tcW w:w="9356" w:type="dxa"/>
            <w:gridSpan w:val="3"/>
            <w:noWrap/>
            <w:tcMar>
              <w:left w:w="0" w:type="dxa"/>
              <w:right w:w="0" w:type="dxa"/>
            </w:tcMar>
            <w:vAlign w:val="bottom"/>
          </w:tcPr>
          <w:p w:rsidR="00FF1A84" w:rsidRPr="00D36E0A" w:rsidRDefault="00FF1A84" w:rsidP="00D36E0A">
            <w:pPr>
              <w:jc w:val="right"/>
              <w:rPr>
                <w:rFonts w:ascii="Arial Black" w:hAnsi="Arial Black"/>
                <w:caps/>
                <w:sz w:val="15"/>
                <w:lang w:val="fr-FR"/>
              </w:rPr>
            </w:pPr>
            <w:r w:rsidRPr="00D36E0A">
              <w:rPr>
                <w:rFonts w:ascii="Arial Black" w:hAnsi="Arial Black"/>
                <w:caps/>
                <w:sz w:val="15"/>
                <w:lang w:val="fr-FR"/>
              </w:rPr>
              <w:t>ORIGINAL</w:t>
            </w:r>
            <w:r w:rsidR="00580A55" w:rsidRPr="00D36E0A">
              <w:rPr>
                <w:rFonts w:ascii="Arial Black" w:hAnsi="Arial Black"/>
                <w:caps/>
                <w:sz w:val="15"/>
                <w:lang w:val="fr-FR"/>
              </w:rPr>
              <w:t> </w:t>
            </w:r>
            <w:r w:rsidRPr="00D36E0A">
              <w:rPr>
                <w:rFonts w:ascii="Arial Black" w:hAnsi="Arial Black"/>
                <w:caps/>
                <w:sz w:val="15"/>
                <w:lang w:val="fr-FR"/>
              </w:rPr>
              <w:t>: anglais</w:t>
            </w:r>
          </w:p>
        </w:tc>
      </w:tr>
      <w:tr w:rsidR="00FF1A84" w:rsidRPr="00D36E0A" w:rsidTr="00A848F1">
        <w:trPr>
          <w:trHeight w:hRule="exact" w:val="198"/>
        </w:trPr>
        <w:tc>
          <w:tcPr>
            <w:tcW w:w="9356" w:type="dxa"/>
            <w:gridSpan w:val="3"/>
            <w:tcMar>
              <w:left w:w="0" w:type="dxa"/>
              <w:right w:w="0" w:type="dxa"/>
            </w:tcMar>
            <w:vAlign w:val="bottom"/>
          </w:tcPr>
          <w:p w:rsidR="00FF1A84" w:rsidRPr="00D36E0A" w:rsidRDefault="00FF1A84" w:rsidP="00D36E0A">
            <w:pPr>
              <w:jc w:val="right"/>
              <w:rPr>
                <w:rFonts w:ascii="Arial Black" w:hAnsi="Arial Black"/>
                <w:caps/>
                <w:sz w:val="15"/>
                <w:lang w:val="fr-FR"/>
              </w:rPr>
            </w:pPr>
            <w:r w:rsidRPr="00D36E0A">
              <w:rPr>
                <w:rFonts w:ascii="Arial Black" w:hAnsi="Arial Black"/>
                <w:caps/>
                <w:sz w:val="15"/>
                <w:lang w:val="fr-FR"/>
              </w:rPr>
              <w:t>DATE</w:t>
            </w:r>
            <w:r w:rsidR="00580A55" w:rsidRPr="00D36E0A">
              <w:rPr>
                <w:rFonts w:ascii="Arial Black" w:hAnsi="Arial Black"/>
                <w:caps/>
                <w:sz w:val="15"/>
                <w:lang w:val="fr-FR"/>
              </w:rPr>
              <w:t> </w:t>
            </w:r>
            <w:r w:rsidRPr="00D36E0A">
              <w:rPr>
                <w:rFonts w:ascii="Arial Black" w:hAnsi="Arial Black"/>
                <w:caps/>
                <w:sz w:val="15"/>
                <w:lang w:val="fr-FR"/>
              </w:rPr>
              <w:t>: 1</w:t>
            </w:r>
            <w:r w:rsidR="00A27507" w:rsidRPr="00D36E0A">
              <w:rPr>
                <w:rFonts w:ascii="Arial Black" w:hAnsi="Arial Black"/>
                <w:caps/>
                <w:sz w:val="15"/>
                <w:lang w:val="fr-FR"/>
              </w:rPr>
              <w:t>2 septembre 20</w:t>
            </w:r>
            <w:r w:rsidRPr="00D36E0A">
              <w:rPr>
                <w:rFonts w:ascii="Arial Black" w:hAnsi="Arial Black"/>
                <w:caps/>
                <w:sz w:val="15"/>
                <w:lang w:val="fr-FR"/>
              </w:rPr>
              <w:t>16</w:t>
            </w:r>
          </w:p>
        </w:tc>
      </w:tr>
    </w:tbl>
    <w:p w:rsidR="00FF1A84" w:rsidRPr="00D36E0A" w:rsidRDefault="00FF1A84" w:rsidP="00D36E0A">
      <w:pPr>
        <w:rPr>
          <w:lang w:val="fr-FR"/>
        </w:rPr>
      </w:pPr>
    </w:p>
    <w:p w:rsidR="00FF1A84" w:rsidRPr="00D36E0A" w:rsidRDefault="00FF1A84" w:rsidP="00D36E0A">
      <w:pPr>
        <w:rPr>
          <w:lang w:val="fr-FR"/>
        </w:rPr>
      </w:pPr>
    </w:p>
    <w:p w:rsidR="00FF1A84" w:rsidRPr="00D36E0A" w:rsidRDefault="00FF1A84" w:rsidP="00D36E0A">
      <w:pPr>
        <w:rPr>
          <w:lang w:val="fr-FR"/>
        </w:rPr>
      </w:pPr>
    </w:p>
    <w:p w:rsidR="00FF1A84" w:rsidRPr="00D36E0A" w:rsidRDefault="00FF1A84" w:rsidP="00D36E0A">
      <w:pPr>
        <w:rPr>
          <w:lang w:val="fr-FR"/>
        </w:rPr>
      </w:pPr>
    </w:p>
    <w:p w:rsidR="00FF1A84" w:rsidRPr="00D36E0A" w:rsidRDefault="00FF1A84" w:rsidP="00D36E0A">
      <w:pPr>
        <w:rPr>
          <w:lang w:val="fr-FR"/>
        </w:rPr>
      </w:pPr>
    </w:p>
    <w:p w:rsidR="00FF1A84" w:rsidRPr="00D36E0A" w:rsidRDefault="00FF1A84" w:rsidP="00D36E0A">
      <w:pPr>
        <w:rPr>
          <w:b/>
          <w:sz w:val="28"/>
          <w:szCs w:val="28"/>
          <w:lang w:val="fr-FR"/>
        </w:rPr>
      </w:pPr>
      <w:r w:rsidRPr="00D36E0A">
        <w:rPr>
          <w:b/>
          <w:sz w:val="28"/>
          <w:szCs w:val="28"/>
          <w:lang w:val="fr-FR"/>
        </w:rPr>
        <w:t>Comité intergouvernemental de la propriété intellectuelle relative aux ressources génétiques, aux savoirs traditionnels et au folklore</w:t>
      </w:r>
    </w:p>
    <w:p w:rsidR="00FF1A84" w:rsidRPr="00D36E0A" w:rsidRDefault="00FF1A84" w:rsidP="00D36E0A">
      <w:pPr>
        <w:rPr>
          <w:lang w:val="fr-FR"/>
        </w:rPr>
      </w:pPr>
    </w:p>
    <w:p w:rsidR="00FF1A84" w:rsidRPr="00D36E0A" w:rsidRDefault="00FF1A84" w:rsidP="00D36E0A">
      <w:pPr>
        <w:rPr>
          <w:lang w:val="fr-FR"/>
        </w:rPr>
      </w:pPr>
    </w:p>
    <w:p w:rsidR="00FF1A84" w:rsidRPr="00D36E0A" w:rsidRDefault="00FF1A84" w:rsidP="00D36E0A">
      <w:pPr>
        <w:rPr>
          <w:b/>
          <w:sz w:val="24"/>
          <w:szCs w:val="24"/>
          <w:lang w:val="fr-FR"/>
        </w:rPr>
      </w:pPr>
      <w:r w:rsidRPr="00D36E0A">
        <w:rPr>
          <w:b/>
          <w:sz w:val="24"/>
          <w:szCs w:val="24"/>
          <w:lang w:val="fr-FR"/>
        </w:rPr>
        <w:t>Trente et unième </w:t>
      </w:r>
      <w:r w:rsidRPr="00D36E0A">
        <w:rPr>
          <w:b/>
          <w:sz w:val="24"/>
          <w:lang w:val="fr-FR"/>
        </w:rPr>
        <w:t>session</w:t>
      </w:r>
    </w:p>
    <w:p w:rsidR="00FF1A84" w:rsidRPr="00D36E0A" w:rsidRDefault="00FF1A84" w:rsidP="00D36E0A">
      <w:pPr>
        <w:rPr>
          <w:b/>
          <w:sz w:val="24"/>
          <w:szCs w:val="24"/>
          <w:lang w:val="fr-FR"/>
        </w:rPr>
      </w:pPr>
      <w:r w:rsidRPr="00D36E0A">
        <w:rPr>
          <w:b/>
          <w:sz w:val="24"/>
          <w:szCs w:val="24"/>
          <w:lang w:val="fr-FR"/>
        </w:rPr>
        <w:t>Genève, 19 – 2</w:t>
      </w:r>
      <w:r w:rsidR="00A27507" w:rsidRPr="00D36E0A">
        <w:rPr>
          <w:b/>
          <w:sz w:val="24"/>
          <w:szCs w:val="24"/>
          <w:lang w:val="fr-FR"/>
        </w:rPr>
        <w:t>3 septembre 20</w:t>
      </w:r>
      <w:r w:rsidRPr="00D36E0A">
        <w:rPr>
          <w:b/>
          <w:sz w:val="24"/>
          <w:szCs w:val="24"/>
          <w:lang w:val="fr-FR"/>
        </w:rPr>
        <w:t>16</w:t>
      </w:r>
    </w:p>
    <w:p w:rsidR="00FF1A84" w:rsidRPr="00D36E0A" w:rsidRDefault="00FF1A84" w:rsidP="00D36E0A">
      <w:pPr>
        <w:rPr>
          <w:lang w:val="fr-FR"/>
        </w:rPr>
      </w:pPr>
    </w:p>
    <w:p w:rsidR="00FF1A84" w:rsidRPr="00D36E0A" w:rsidRDefault="00FF1A84" w:rsidP="00D36E0A">
      <w:pPr>
        <w:rPr>
          <w:lang w:val="fr-FR"/>
        </w:rPr>
      </w:pPr>
    </w:p>
    <w:p w:rsidR="00FF1A84" w:rsidRPr="00D36E0A" w:rsidRDefault="00FF1A84" w:rsidP="00D36E0A">
      <w:pPr>
        <w:rPr>
          <w:lang w:val="fr-FR"/>
        </w:rPr>
      </w:pPr>
    </w:p>
    <w:p w:rsidR="008B2CC1" w:rsidRPr="00D36E0A" w:rsidRDefault="00CB0FA7" w:rsidP="00D36E0A">
      <w:pPr>
        <w:rPr>
          <w:caps/>
          <w:sz w:val="24"/>
          <w:lang w:val="fr-FR"/>
        </w:rPr>
      </w:pPr>
      <w:r w:rsidRPr="00D36E0A">
        <w:rPr>
          <w:caps/>
          <w:sz w:val="24"/>
          <w:lang w:val="fr-FR"/>
        </w:rPr>
        <w:t>L</w:t>
      </w:r>
      <w:r w:rsidR="00A27507" w:rsidRPr="00D36E0A">
        <w:rPr>
          <w:caps/>
          <w:sz w:val="24"/>
          <w:lang w:val="fr-FR"/>
        </w:rPr>
        <w:t>’</w:t>
      </w:r>
      <w:r w:rsidR="00511F1C" w:rsidRPr="00D36E0A">
        <w:rPr>
          <w:caps/>
          <w:sz w:val="24"/>
          <w:lang w:val="fr-FR"/>
        </w:rPr>
        <w:t>indica</w:t>
      </w:r>
      <w:r w:rsidR="000162EF" w:rsidRPr="00D36E0A">
        <w:rPr>
          <w:caps/>
          <w:sz w:val="24"/>
          <w:lang w:val="fr-FR"/>
        </w:rPr>
        <w:t>tion de la source des ressources génétiques et</w:t>
      </w:r>
      <w:r w:rsidR="00F21027">
        <w:rPr>
          <w:caps/>
          <w:sz w:val="24"/>
          <w:lang w:val="fr-FR"/>
        </w:rPr>
        <w:t> </w:t>
      </w:r>
      <w:r w:rsidR="000162EF" w:rsidRPr="00D36E0A">
        <w:rPr>
          <w:caps/>
          <w:sz w:val="24"/>
          <w:lang w:val="fr-FR"/>
        </w:rPr>
        <w:t>des</w:t>
      </w:r>
      <w:r w:rsidR="00F21027">
        <w:rPr>
          <w:caps/>
          <w:sz w:val="24"/>
          <w:lang w:val="fr-FR"/>
        </w:rPr>
        <w:t> </w:t>
      </w:r>
      <w:r w:rsidR="000162EF" w:rsidRPr="00D36E0A">
        <w:rPr>
          <w:caps/>
          <w:sz w:val="24"/>
          <w:lang w:val="fr-FR"/>
        </w:rPr>
        <w:t>savoirs traditionnels dans la loi suisse sur les brevets et</w:t>
      </w:r>
      <w:r w:rsidR="00F21027">
        <w:rPr>
          <w:caps/>
          <w:sz w:val="24"/>
          <w:lang w:val="fr-FR"/>
        </w:rPr>
        <w:t> </w:t>
      </w:r>
      <w:r w:rsidR="000162EF" w:rsidRPr="00D36E0A">
        <w:rPr>
          <w:caps/>
          <w:sz w:val="24"/>
          <w:lang w:val="fr-FR"/>
        </w:rPr>
        <w:t>la</w:t>
      </w:r>
      <w:r w:rsidR="00F21027">
        <w:rPr>
          <w:caps/>
          <w:sz w:val="24"/>
          <w:lang w:val="fr-FR"/>
        </w:rPr>
        <w:t> </w:t>
      </w:r>
      <w:r w:rsidR="000162EF" w:rsidRPr="00D36E0A">
        <w:rPr>
          <w:caps/>
          <w:sz w:val="24"/>
          <w:lang w:val="fr-FR"/>
        </w:rPr>
        <w:t>réglementation suisse connexe en matière de ressources génétiques</w:t>
      </w:r>
      <w:r w:rsidR="00A27507" w:rsidRPr="00D36E0A">
        <w:rPr>
          <w:caps/>
          <w:sz w:val="24"/>
          <w:lang w:val="fr-FR"/>
        </w:rPr>
        <w:t xml:space="preserve"> – </w:t>
      </w:r>
      <w:r w:rsidR="000162EF" w:rsidRPr="00D36E0A">
        <w:rPr>
          <w:caps/>
          <w:sz w:val="24"/>
          <w:lang w:val="fr-FR"/>
        </w:rPr>
        <w:t>Communication de la Suisse en réponse au document WIPO/GRTKF/IC/30/9</w:t>
      </w:r>
    </w:p>
    <w:p w:rsidR="000162EF" w:rsidRPr="00D36E0A" w:rsidRDefault="000162EF" w:rsidP="00D36E0A">
      <w:pPr>
        <w:rPr>
          <w:b/>
          <w:i/>
          <w:caps/>
          <w:lang w:val="fr-FR"/>
        </w:rPr>
      </w:pPr>
    </w:p>
    <w:p w:rsidR="00357C98" w:rsidRPr="00D36E0A" w:rsidRDefault="007F1AEC" w:rsidP="00D36E0A">
      <w:pPr>
        <w:rPr>
          <w:i/>
          <w:lang w:val="fr-FR"/>
        </w:rPr>
      </w:pPr>
      <w:bookmarkStart w:id="0" w:name="Prepared"/>
      <w:bookmarkEnd w:id="0"/>
      <w:r w:rsidRPr="00D36E0A">
        <w:rPr>
          <w:i/>
          <w:lang w:val="fr-FR"/>
        </w:rPr>
        <w:t>Document établi par la délégation de la Suisse</w:t>
      </w:r>
    </w:p>
    <w:p w:rsidR="00A75B31" w:rsidRPr="00D36E0A" w:rsidRDefault="00A75B31" w:rsidP="00D36E0A">
      <w:pPr>
        <w:rPr>
          <w:lang w:val="fr-FR"/>
        </w:rPr>
      </w:pPr>
    </w:p>
    <w:p w:rsidR="00665105" w:rsidRPr="00D36E0A" w:rsidRDefault="00665105" w:rsidP="00D36E0A">
      <w:pPr>
        <w:rPr>
          <w:lang w:val="fr-FR"/>
        </w:rPr>
      </w:pPr>
    </w:p>
    <w:p w:rsidR="00A07EA3" w:rsidRPr="00D36E0A" w:rsidRDefault="00A07EA3" w:rsidP="00D36E0A">
      <w:pPr>
        <w:rPr>
          <w:lang w:val="fr-FR"/>
        </w:rPr>
      </w:pPr>
    </w:p>
    <w:p w:rsidR="00A07EA3" w:rsidRPr="00D36E0A" w:rsidRDefault="00A07EA3" w:rsidP="00D36E0A">
      <w:pPr>
        <w:rPr>
          <w:lang w:val="fr-FR"/>
        </w:rPr>
      </w:pPr>
    </w:p>
    <w:p w:rsidR="00357C98" w:rsidRPr="00D36E0A" w:rsidRDefault="00D00A34" w:rsidP="00D36E0A">
      <w:pPr>
        <w:rPr>
          <w:lang w:val="fr-FR"/>
        </w:rPr>
      </w:pPr>
      <w:r w:rsidRPr="00D36E0A">
        <w:rPr>
          <w:lang w:val="fr-FR"/>
        </w:rPr>
        <w:t>INTRODUCTION</w:t>
      </w:r>
    </w:p>
    <w:p w:rsidR="00D00A34" w:rsidRPr="00D36E0A" w:rsidRDefault="00D00A34" w:rsidP="00D36E0A">
      <w:pPr>
        <w:rPr>
          <w:lang w:val="fr-FR"/>
        </w:rPr>
      </w:pPr>
    </w:p>
    <w:p w:rsidR="00D93A63" w:rsidRPr="00D36E0A" w:rsidRDefault="00D03618" w:rsidP="00D36E0A">
      <w:pPr>
        <w:pStyle w:val="ONUMFS"/>
        <w:rPr>
          <w:lang w:val="fr-FR"/>
        </w:rPr>
      </w:pPr>
      <w:r w:rsidRPr="00D36E0A">
        <w:rPr>
          <w:lang w:val="fr-FR"/>
        </w:rPr>
        <w:t>Le 9 septembre </w:t>
      </w:r>
      <w:r w:rsidR="006A6F25" w:rsidRPr="00D36E0A">
        <w:rPr>
          <w:lang w:val="fr-FR"/>
        </w:rPr>
        <w:t>2016</w:t>
      </w:r>
      <w:r w:rsidR="00741FF1" w:rsidRPr="00D36E0A">
        <w:rPr>
          <w:lang w:val="fr-FR"/>
        </w:rPr>
        <w:t xml:space="preserve">, </w:t>
      </w:r>
      <w:r w:rsidRPr="00D36E0A">
        <w:rPr>
          <w:lang w:val="fr-FR"/>
        </w:rPr>
        <w:t>le Bureau international de l</w:t>
      </w:r>
      <w:r w:rsidR="00A27507" w:rsidRPr="00D36E0A">
        <w:rPr>
          <w:lang w:val="fr-FR"/>
        </w:rPr>
        <w:t>’</w:t>
      </w:r>
      <w:r w:rsidRPr="00D36E0A">
        <w:rPr>
          <w:lang w:val="fr-FR"/>
        </w:rPr>
        <w:t xml:space="preserve">Organisation Mondiale de la Propriété Intellectuelle (OMPI) a reçu une demande de la délégation de la Suisse </w:t>
      </w:r>
      <w:r w:rsidR="00F757AD" w:rsidRPr="00D36E0A">
        <w:rPr>
          <w:lang w:val="fr-FR"/>
        </w:rPr>
        <w:t>tendant à soumettre</w:t>
      </w:r>
      <w:r w:rsidRPr="00D36E0A">
        <w:rPr>
          <w:lang w:val="fr-FR"/>
        </w:rPr>
        <w:t xml:space="preserve"> un </w:t>
      </w:r>
      <w:r w:rsidR="00595945" w:rsidRPr="00D36E0A">
        <w:rPr>
          <w:lang w:val="fr-FR"/>
        </w:rPr>
        <w:t xml:space="preserve">document </w:t>
      </w:r>
      <w:r w:rsidRPr="00D36E0A">
        <w:rPr>
          <w:lang w:val="fr-FR"/>
        </w:rPr>
        <w:t>intitulé</w:t>
      </w:r>
      <w:r w:rsidR="00595945" w:rsidRPr="00D36E0A">
        <w:rPr>
          <w:lang w:val="fr-FR"/>
        </w:rPr>
        <w:t xml:space="preserve"> </w:t>
      </w:r>
      <w:r w:rsidR="00D93A63" w:rsidRPr="00D36E0A">
        <w:rPr>
          <w:lang w:val="fr-FR"/>
        </w:rPr>
        <w:t>“</w:t>
      </w:r>
      <w:r w:rsidRPr="00D36E0A">
        <w:rPr>
          <w:lang w:val="fr-FR"/>
        </w:rPr>
        <w:t>L</w:t>
      </w:r>
      <w:r w:rsidR="00A27507" w:rsidRPr="00D36E0A">
        <w:rPr>
          <w:lang w:val="fr-FR"/>
        </w:rPr>
        <w:t>’</w:t>
      </w:r>
      <w:r w:rsidR="00CB0FA7" w:rsidRPr="00D36E0A">
        <w:rPr>
          <w:lang w:val="fr-FR"/>
        </w:rPr>
        <w:t>indication</w:t>
      </w:r>
      <w:r w:rsidRPr="00D36E0A">
        <w:rPr>
          <w:lang w:val="fr-FR"/>
        </w:rPr>
        <w:t xml:space="preserve"> de la source des ressources génétiques et des savoirs traditionnels dans la loi suisse sur les brevets et la réglementation </w:t>
      </w:r>
      <w:r w:rsidR="00AF79FD" w:rsidRPr="00D36E0A">
        <w:rPr>
          <w:lang w:val="fr-FR"/>
        </w:rPr>
        <w:t>suisse</w:t>
      </w:r>
      <w:r w:rsidRPr="00D36E0A">
        <w:rPr>
          <w:lang w:val="fr-FR"/>
        </w:rPr>
        <w:t xml:space="preserve"> connexe en matière de ressources gé</w:t>
      </w:r>
      <w:r w:rsidR="00595945" w:rsidRPr="00D36E0A">
        <w:rPr>
          <w:lang w:val="fr-FR"/>
        </w:rPr>
        <w:t>n</w:t>
      </w:r>
      <w:r w:rsidRPr="00D36E0A">
        <w:rPr>
          <w:lang w:val="fr-FR"/>
        </w:rPr>
        <w:t>é</w:t>
      </w:r>
      <w:r w:rsidR="00595945" w:rsidRPr="00D36E0A">
        <w:rPr>
          <w:lang w:val="fr-FR"/>
        </w:rPr>
        <w:t>ti</w:t>
      </w:r>
      <w:r w:rsidRPr="00D36E0A">
        <w:rPr>
          <w:lang w:val="fr-FR"/>
        </w:rPr>
        <w:t xml:space="preserve">ques </w:t>
      </w:r>
      <w:r w:rsidR="00595945" w:rsidRPr="00D36E0A">
        <w:rPr>
          <w:lang w:val="fr-FR"/>
        </w:rPr>
        <w:t xml:space="preserve">– </w:t>
      </w:r>
      <w:r w:rsidRPr="00D36E0A">
        <w:rPr>
          <w:lang w:val="fr-FR"/>
        </w:rPr>
        <w:t>Communication de la</w:t>
      </w:r>
      <w:r w:rsidR="00595945" w:rsidRPr="00D36E0A">
        <w:rPr>
          <w:lang w:val="fr-FR"/>
        </w:rPr>
        <w:t xml:space="preserve"> </w:t>
      </w:r>
      <w:r w:rsidRPr="00D36E0A">
        <w:rPr>
          <w:lang w:val="fr-FR"/>
        </w:rPr>
        <w:t>Suisse en ré</w:t>
      </w:r>
      <w:r w:rsidR="00595945" w:rsidRPr="00D36E0A">
        <w:rPr>
          <w:lang w:val="fr-FR"/>
        </w:rPr>
        <w:t xml:space="preserve">ponse </w:t>
      </w:r>
      <w:r w:rsidRPr="00D36E0A">
        <w:rPr>
          <w:lang w:val="fr-FR"/>
        </w:rPr>
        <w:t>au d</w:t>
      </w:r>
      <w:r w:rsidR="00595945" w:rsidRPr="00D36E0A">
        <w:rPr>
          <w:lang w:val="fr-FR"/>
        </w:rPr>
        <w:t>ocument WIPO/GRTKF/IC/30/9</w:t>
      </w:r>
      <w:r w:rsidR="00D93A63" w:rsidRPr="00D36E0A">
        <w:rPr>
          <w:lang w:val="fr-FR"/>
        </w:rPr>
        <w:t>”</w:t>
      </w:r>
      <w:r w:rsidR="00F757AD" w:rsidRPr="00D36E0A">
        <w:rPr>
          <w:lang w:val="fr-FR"/>
        </w:rPr>
        <w:t>,</w:t>
      </w:r>
      <w:r w:rsidR="00D87D70" w:rsidRPr="00D36E0A">
        <w:rPr>
          <w:lang w:val="fr-FR"/>
        </w:rPr>
        <w:t xml:space="preserve"> </w:t>
      </w:r>
      <w:r w:rsidR="00F757AD" w:rsidRPr="00D36E0A">
        <w:rPr>
          <w:lang w:val="fr-FR"/>
        </w:rPr>
        <w:t>en tant que document de travail au titre du point</w:t>
      </w:r>
      <w:r w:rsidR="00580A55" w:rsidRPr="00D36E0A">
        <w:rPr>
          <w:lang w:val="fr-FR"/>
        </w:rPr>
        <w:t> </w:t>
      </w:r>
      <w:r w:rsidR="00F757AD" w:rsidRPr="00D36E0A">
        <w:rPr>
          <w:lang w:val="fr-FR"/>
        </w:rPr>
        <w:t>6 “Savoirs traditionnels”, à la trente</w:t>
      </w:r>
      <w:r w:rsidR="00580A55" w:rsidRPr="00D36E0A">
        <w:rPr>
          <w:lang w:val="fr-FR"/>
        </w:rPr>
        <w:t> </w:t>
      </w:r>
      <w:r w:rsidR="00F757AD" w:rsidRPr="00D36E0A">
        <w:rPr>
          <w:lang w:val="fr-FR"/>
        </w:rPr>
        <w:t>et</w:t>
      </w:r>
      <w:r w:rsidR="00580A55" w:rsidRPr="00D36E0A">
        <w:rPr>
          <w:lang w:val="fr-FR"/>
        </w:rPr>
        <w:t> </w:t>
      </w:r>
      <w:r w:rsidR="00F757AD" w:rsidRPr="00D36E0A">
        <w:rPr>
          <w:lang w:val="fr-FR"/>
        </w:rPr>
        <w:t>unième</w:t>
      </w:r>
      <w:r w:rsidR="00580A55" w:rsidRPr="00D36E0A">
        <w:rPr>
          <w:lang w:val="fr-FR"/>
        </w:rPr>
        <w:t> </w:t>
      </w:r>
      <w:r w:rsidR="00F757AD" w:rsidRPr="00D36E0A">
        <w:rPr>
          <w:lang w:val="fr-FR"/>
        </w:rPr>
        <w:t>s</w:t>
      </w:r>
      <w:r w:rsidR="00D93A63" w:rsidRPr="00D36E0A">
        <w:rPr>
          <w:lang w:val="fr-FR"/>
        </w:rPr>
        <w:t xml:space="preserve">ession </w:t>
      </w:r>
      <w:r w:rsidR="00F757AD" w:rsidRPr="00D36E0A">
        <w:rPr>
          <w:lang w:val="fr-FR"/>
        </w:rPr>
        <w:t>du Comité intergouvernemental de la propriété intellectuelle relative aux ressources génétiques, aux savoirs traditionnels et au folklore (IGC)</w:t>
      </w:r>
      <w:r w:rsidR="00D654C1" w:rsidRPr="00D36E0A">
        <w:rPr>
          <w:lang w:val="fr-FR"/>
        </w:rPr>
        <w:t>.</w:t>
      </w:r>
    </w:p>
    <w:p w:rsidR="00D00A34" w:rsidRPr="00D36E0A" w:rsidRDefault="00F757AD" w:rsidP="00D36E0A">
      <w:pPr>
        <w:pStyle w:val="ONUMFS"/>
        <w:rPr>
          <w:lang w:val="fr-FR"/>
        </w:rPr>
      </w:pPr>
      <w:r w:rsidRPr="00D36E0A">
        <w:rPr>
          <w:lang w:val="fr-FR"/>
        </w:rPr>
        <w:t>Conformément à cette demande, l</w:t>
      </w:r>
      <w:r w:rsidR="00A27507" w:rsidRPr="00D36E0A">
        <w:rPr>
          <w:lang w:val="fr-FR"/>
        </w:rPr>
        <w:t>’</w:t>
      </w:r>
      <w:r w:rsidRPr="00D36E0A">
        <w:rPr>
          <w:lang w:val="fr-FR"/>
        </w:rPr>
        <w:t>annexe du présent document contient la communication susmentionnée.</w:t>
      </w:r>
    </w:p>
    <w:p w:rsidR="00D00A34" w:rsidRPr="00D36E0A" w:rsidRDefault="00F757AD" w:rsidP="00D36E0A">
      <w:pPr>
        <w:pStyle w:val="ONUMFS"/>
        <w:ind w:left="5533"/>
        <w:rPr>
          <w:i/>
          <w:lang w:val="fr-FR"/>
        </w:rPr>
      </w:pPr>
      <w:r w:rsidRPr="00D36E0A">
        <w:rPr>
          <w:i/>
          <w:lang w:val="fr-FR"/>
        </w:rPr>
        <w:t>Le comité est invité à prendre note de la communication contenue dans l</w:t>
      </w:r>
      <w:r w:rsidR="00A27507" w:rsidRPr="00D36E0A">
        <w:rPr>
          <w:i/>
          <w:lang w:val="fr-FR"/>
        </w:rPr>
        <w:t>’</w:t>
      </w:r>
      <w:r w:rsidRPr="00D36E0A">
        <w:rPr>
          <w:i/>
          <w:lang w:val="fr-FR"/>
        </w:rPr>
        <w:t xml:space="preserve">annexe du présent </w:t>
      </w:r>
      <w:r w:rsidR="00D00A34" w:rsidRPr="00D36E0A">
        <w:rPr>
          <w:i/>
          <w:lang w:val="fr-FR"/>
        </w:rPr>
        <w:t>document</w:t>
      </w:r>
      <w:r w:rsidR="00A401D3" w:rsidRPr="00D36E0A">
        <w:rPr>
          <w:i/>
          <w:lang w:val="fr-FR"/>
        </w:rPr>
        <w:t xml:space="preserve"> </w:t>
      </w:r>
      <w:r w:rsidR="000A518D" w:rsidRPr="00D36E0A">
        <w:rPr>
          <w:i/>
          <w:lang w:val="fr-FR"/>
        </w:rPr>
        <w:t>et ses</w:t>
      </w:r>
      <w:r w:rsidR="00A401D3" w:rsidRPr="00D36E0A">
        <w:rPr>
          <w:i/>
          <w:lang w:val="fr-FR"/>
        </w:rPr>
        <w:t xml:space="preserve"> a</w:t>
      </w:r>
      <w:r w:rsidR="001D683B" w:rsidRPr="00D36E0A">
        <w:rPr>
          <w:i/>
          <w:lang w:val="fr-FR"/>
        </w:rPr>
        <w:t>ppendi</w:t>
      </w:r>
      <w:r w:rsidR="00CA4241" w:rsidRPr="00D36E0A">
        <w:rPr>
          <w:i/>
          <w:lang w:val="fr-FR"/>
        </w:rPr>
        <w:t>c</w:t>
      </w:r>
      <w:r w:rsidR="00A401D3" w:rsidRPr="00D36E0A">
        <w:rPr>
          <w:i/>
          <w:lang w:val="fr-FR"/>
        </w:rPr>
        <w:t>es</w:t>
      </w:r>
      <w:r w:rsidR="00665105" w:rsidRPr="00D36E0A">
        <w:rPr>
          <w:i/>
          <w:lang w:val="fr-FR"/>
        </w:rPr>
        <w:t>.</w:t>
      </w:r>
    </w:p>
    <w:p w:rsidR="00D36E0A" w:rsidRDefault="00D36E0A" w:rsidP="00D36E0A">
      <w:pPr>
        <w:ind w:left="5533"/>
        <w:rPr>
          <w:lang w:val="fr-FR"/>
        </w:rPr>
      </w:pPr>
    </w:p>
    <w:p w:rsidR="00A27507" w:rsidRPr="00D36E0A" w:rsidRDefault="00D00A34" w:rsidP="00D36E0A">
      <w:pPr>
        <w:ind w:left="5533"/>
        <w:rPr>
          <w:lang w:val="fr-FR"/>
        </w:rPr>
      </w:pPr>
      <w:r w:rsidRPr="00D36E0A">
        <w:rPr>
          <w:lang w:val="fr-FR"/>
        </w:rPr>
        <w:t>[</w:t>
      </w:r>
      <w:r w:rsidR="000A518D" w:rsidRPr="00D36E0A">
        <w:rPr>
          <w:lang w:val="fr-FR"/>
        </w:rPr>
        <w:t>L</w:t>
      </w:r>
      <w:r w:rsidR="00A27507" w:rsidRPr="00D36E0A">
        <w:rPr>
          <w:lang w:val="fr-FR"/>
        </w:rPr>
        <w:t>’</w:t>
      </w:r>
      <w:r w:rsidR="000A518D" w:rsidRPr="00D36E0A">
        <w:rPr>
          <w:lang w:val="fr-FR"/>
        </w:rPr>
        <w:t>a</w:t>
      </w:r>
      <w:r w:rsidRPr="00D36E0A">
        <w:rPr>
          <w:lang w:val="fr-FR"/>
        </w:rPr>
        <w:t>nnex</w:t>
      </w:r>
      <w:r w:rsidR="000A518D" w:rsidRPr="00D36E0A">
        <w:rPr>
          <w:lang w:val="fr-FR"/>
        </w:rPr>
        <w:t>e</w:t>
      </w:r>
      <w:r w:rsidRPr="00D36E0A">
        <w:rPr>
          <w:lang w:val="fr-FR"/>
        </w:rPr>
        <w:t xml:space="preserve"> </w:t>
      </w:r>
      <w:r w:rsidR="000A518D" w:rsidRPr="00D36E0A">
        <w:rPr>
          <w:lang w:val="fr-FR"/>
        </w:rPr>
        <w:t>suit</w:t>
      </w:r>
      <w:r w:rsidRPr="00D36E0A">
        <w:rPr>
          <w:lang w:val="fr-FR"/>
        </w:rPr>
        <w:t>]</w:t>
      </w:r>
    </w:p>
    <w:p w:rsidR="00D00A34" w:rsidRPr="00D36E0A" w:rsidRDefault="00D00A34" w:rsidP="00D36E0A">
      <w:pPr>
        <w:ind w:left="5533"/>
        <w:rPr>
          <w:i/>
          <w:lang w:val="fr-FR"/>
        </w:rPr>
        <w:sectPr w:rsidR="00D00A34" w:rsidRPr="00D36E0A" w:rsidSect="00A848F1">
          <w:headerReference w:type="default" r:id="rId10"/>
          <w:endnotePr>
            <w:numFmt w:val="decimal"/>
          </w:endnotePr>
          <w:pgSz w:w="11907" w:h="16840" w:code="9"/>
          <w:pgMar w:top="567" w:right="1134" w:bottom="1417" w:left="1417" w:header="510" w:footer="1020" w:gutter="0"/>
          <w:cols w:space="720"/>
          <w:titlePg/>
          <w:docGrid w:linePitch="299"/>
        </w:sectPr>
      </w:pPr>
    </w:p>
    <w:p w:rsidR="000A518D" w:rsidRPr="00D36E0A" w:rsidRDefault="000A518D" w:rsidP="00D36E0A">
      <w:pPr>
        <w:jc w:val="center"/>
        <w:rPr>
          <w:b/>
          <w:caps/>
          <w:lang w:val="fr-FR"/>
        </w:rPr>
      </w:pPr>
      <w:r w:rsidRPr="00D36E0A">
        <w:rPr>
          <w:b/>
          <w:caps/>
          <w:lang w:val="fr-FR"/>
        </w:rPr>
        <w:lastRenderedPageBreak/>
        <w:t>L</w:t>
      </w:r>
      <w:r w:rsidR="00A27507" w:rsidRPr="00D36E0A">
        <w:rPr>
          <w:b/>
          <w:caps/>
          <w:lang w:val="fr-FR"/>
        </w:rPr>
        <w:t>’</w:t>
      </w:r>
      <w:r w:rsidR="00780041" w:rsidRPr="00D36E0A">
        <w:rPr>
          <w:b/>
          <w:caps/>
          <w:lang w:val="fr-FR"/>
        </w:rPr>
        <w:t>indic</w:t>
      </w:r>
      <w:r w:rsidRPr="00D36E0A">
        <w:rPr>
          <w:b/>
          <w:caps/>
          <w:lang w:val="fr-FR"/>
        </w:rPr>
        <w:t>ation de la source des ressources génétiques et des savoirs traditionnels dans la loi suisse sur les brevets et la réglementation suisse connexe en matière de ressour</w:t>
      </w:r>
      <w:bookmarkStart w:id="1" w:name="_GoBack"/>
      <w:bookmarkEnd w:id="1"/>
      <w:r w:rsidRPr="00D36E0A">
        <w:rPr>
          <w:b/>
          <w:caps/>
          <w:lang w:val="fr-FR"/>
        </w:rPr>
        <w:t>ces génétiques</w:t>
      </w:r>
      <w:r w:rsidR="00A27507" w:rsidRPr="00D36E0A">
        <w:rPr>
          <w:b/>
          <w:caps/>
          <w:lang w:val="fr-FR"/>
        </w:rPr>
        <w:t xml:space="preserve"> – </w:t>
      </w:r>
      <w:r w:rsidRPr="00D36E0A">
        <w:rPr>
          <w:b/>
          <w:caps/>
          <w:lang w:val="fr-FR"/>
        </w:rPr>
        <w:t>Communication de la Suisse en réponse au document WIPO/GRTKF/IC/30/9</w:t>
      </w:r>
    </w:p>
    <w:p w:rsidR="00AD5076" w:rsidRPr="00D36E0A" w:rsidRDefault="00AD5076" w:rsidP="00D36E0A">
      <w:pPr>
        <w:rPr>
          <w:lang w:val="fr-FR"/>
        </w:rPr>
      </w:pPr>
    </w:p>
    <w:p w:rsidR="00AD5076" w:rsidRPr="00D36E0A" w:rsidRDefault="00AD5076" w:rsidP="00D36E0A">
      <w:pPr>
        <w:rPr>
          <w:lang w:val="fr-FR"/>
        </w:rPr>
      </w:pPr>
    </w:p>
    <w:bookmarkStart w:id="2" w:name="_Toc457391423"/>
    <w:bookmarkEnd w:id="2"/>
    <w:p w:rsidR="00F21027" w:rsidRDefault="00780041">
      <w:pPr>
        <w:pStyle w:val="TOC1"/>
        <w:rPr>
          <w:rFonts w:asciiTheme="minorHAnsi" w:eastAsiaTheme="minorEastAsia" w:hAnsiTheme="minorHAnsi" w:cstheme="minorBidi"/>
          <w:caps w:val="0"/>
          <w:lang w:val="fr-FR" w:eastAsia="fr-FR"/>
        </w:rPr>
      </w:pPr>
      <w:r w:rsidRPr="00D36E0A">
        <w:rPr>
          <w:b/>
          <w:bCs/>
          <w:lang w:val="fr-FR"/>
        </w:rPr>
        <w:fldChar w:fldCharType="begin"/>
      </w:r>
      <w:r w:rsidRPr="00D36E0A">
        <w:rPr>
          <w:b/>
          <w:bCs/>
          <w:lang w:val="fr-FR"/>
        </w:rPr>
        <w:instrText xml:space="preserve"> TOC \o "1-2" \u </w:instrText>
      </w:r>
      <w:r w:rsidRPr="00D36E0A">
        <w:rPr>
          <w:b/>
          <w:bCs/>
          <w:lang w:val="fr-FR"/>
        </w:rPr>
        <w:fldChar w:fldCharType="separate"/>
      </w:r>
      <w:r w:rsidR="00F21027">
        <w:t>I.</w:t>
      </w:r>
      <w:r w:rsidR="00F21027">
        <w:rPr>
          <w:rFonts w:asciiTheme="minorHAnsi" w:eastAsiaTheme="minorEastAsia" w:hAnsiTheme="minorHAnsi" w:cstheme="minorBidi"/>
          <w:caps w:val="0"/>
          <w:lang w:val="fr-FR" w:eastAsia="fr-FR"/>
        </w:rPr>
        <w:tab/>
      </w:r>
      <w:r w:rsidR="00F21027">
        <w:t>Introduction</w:t>
      </w:r>
      <w:r w:rsidR="00F21027">
        <w:tab/>
      </w:r>
      <w:r w:rsidR="00F21027">
        <w:fldChar w:fldCharType="begin"/>
      </w:r>
      <w:r w:rsidR="00F21027">
        <w:instrText xml:space="preserve"> PAGEREF _Toc461803925 \h </w:instrText>
      </w:r>
      <w:r w:rsidR="00F21027">
        <w:fldChar w:fldCharType="separate"/>
      </w:r>
      <w:r w:rsidR="00F21027">
        <w:t>2</w:t>
      </w:r>
      <w:r w:rsidR="00F21027">
        <w:fldChar w:fldCharType="end"/>
      </w:r>
    </w:p>
    <w:p w:rsidR="00F21027" w:rsidRDefault="00F21027">
      <w:pPr>
        <w:pStyle w:val="TOC1"/>
        <w:rPr>
          <w:rFonts w:asciiTheme="minorHAnsi" w:eastAsiaTheme="minorEastAsia" w:hAnsiTheme="minorHAnsi" w:cstheme="minorBidi"/>
          <w:caps w:val="0"/>
          <w:lang w:val="fr-FR" w:eastAsia="fr-FR"/>
        </w:rPr>
      </w:pPr>
      <w:r>
        <w:t>II.</w:t>
      </w:r>
      <w:r>
        <w:rPr>
          <w:rFonts w:asciiTheme="minorHAnsi" w:eastAsiaTheme="minorEastAsia" w:hAnsiTheme="minorHAnsi" w:cstheme="minorBidi"/>
          <w:caps w:val="0"/>
          <w:lang w:val="fr-FR" w:eastAsia="fr-FR"/>
        </w:rPr>
        <w:tab/>
      </w:r>
      <w:r>
        <w:t>L’indication de la source dans la loi fédérale sur les brevets d’invention et dans l’ordonnance relative aux brevets d’invention</w:t>
      </w:r>
      <w:r>
        <w:tab/>
      </w:r>
      <w:r>
        <w:fldChar w:fldCharType="begin"/>
      </w:r>
      <w:r>
        <w:instrText xml:space="preserve"> PAGEREF _Toc461803926 \h </w:instrText>
      </w:r>
      <w:r>
        <w:fldChar w:fldCharType="separate"/>
      </w:r>
      <w:r>
        <w:t>2</w:t>
      </w:r>
      <w:r>
        <w:fldChar w:fldCharType="end"/>
      </w:r>
    </w:p>
    <w:p w:rsidR="00F21027" w:rsidRDefault="00F21027">
      <w:pPr>
        <w:pStyle w:val="TOC2"/>
        <w:rPr>
          <w:rFonts w:asciiTheme="minorHAnsi" w:eastAsiaTheme="minorEastAsia" w:hAnsiTheme="minorHAnsi" w:cstheme="minorBidi"/>
          <w:i w:val="0"/>
          <w:lang w:val="fr-FR" w:eastAsia="fr-FR"/>
        </w:rPr>
      </w:pPr>
      <w:r>
        <w:t>A.</w:t>
      </w:r>
      <w:r>
        <w:rPr>
          <w:rFonts w:asciiTheme="minorHAnsi" w:eastAsiaTheme="minorEastAsia" w:hAnsiTheme="minorHAnsi" w:cstheme="minorBidi"/>
          <w:i w:val="0"/>
          <w:lang w:val="fr-FR" w:eastAsia="fr-FR"/>
        </w:rPr>
        <w:tab/>
      </w:r>
      <w:r>
        <w:t>Introduction</w:t>
      </w:r>
      <w:r>
        <w:tab/>
      </w:r>
      <w:r>
        <w:fldChar w:fldCharType="begin"/>
      </w:r>
      <w:r>
        <w:instrText xml:space="preserve"> PAGEREF _Toc461803927 \h </w:instrText>
      </w:r>
      <w:r>
        <w:fldChar w:fldCharType="separate"/>
      </w:r>
      <w:r>
        <w:t>2</w:t>
      </w:r>
      <w:r>
        <w:fldChar w:fldCharType="end"/>
      </w:r>
    </w:p>
    <w:p w:rsidR="00F21027" w:rsidRDefault="00F21027">
      <w:pPr>
        <w:pStyle w:val="TOC2"/>
        <w:rPr>
          <w:rFonts w:asciiTheme="minorHAnsi" w:eastAsiaTheme="minorEastAsia" w:hAnsiTheme="minorHAnsi" w:cstheme="minorBidi"/>
          <w:i w:val="0"/>
          <w:lang w:val="fr-FR" w:eastAsia="fr-FR"/>
        </w:rPr>
      </w:pPr>
      <w:r>
        <w:t>B.</w:t>
      </w:r>
      <w:r>
        <w:rPr>
          <w:rFonts w:asciiTheme="minorHAnsi" w:eastAsiaTheme="minorEastAsia" w:hAnsiTheme="minorHAnsi" w:cstheme="minorBidi"/>
          <w:i w:val="0"/>
          <w:lang w:val="fr-FR" w:eastAsia="fr-FR"/>
        </w:rPr>
        <w:tab/>
      </w:r>
      <w:r>
        <w:t>Objectifs de politique générale et principes généraux</w:t>
      </w:r>
      <w:r>
        <w:tab/>
      </w:r>
      <w:r>
        <w:fldChar w:fldCharType="begin"/>
      </w:r>
      <w:r>
        <w:instrText xml:space="preserve"> PAGEREF _Toc461803928 \h </w:instrText>
      </w:r>
      <w:r>
        <w:fldChar w:fldCharType="separate"/>
      </w:r>
      <w:r>
        <w:t>3</w:t>
      </w:r>
      <w:r>
        <w:fldChar w:fldCharType="end"/>
      </w:r>
    </w:p>
    <w:p w:rsidR="00F21027" w:rsidRDefault="00F21027">
      <w:pPr>
        <w:pStyle w:val="TOC2"/>
        <w:rPr>
          <w:rFonts w:asciiTheme="minorHAnsi" w:eastAsiaTheme="minorEastAsia" w:hAnsiTheme="minorHAnsi" w:cstheme="minorBidi"/>
          <w:i w:val="0"/>
          <w:lang w:val="fr-FR" w:eastAsia="fr-FR"/>
        </w:rPr>
      </w:pPr>
      <w:r>
        <w:t>C.</w:t>
      </w:r>
      <w:r>
        <w:rPr>
          <w:rFonts w:asciiTheme="minorHAnsi" w:eastAsiaTheme="minorEastAsia" w:hAnsiTheme="minorHAnsi" w:cstheme="minorBidi"/>
          <w:i w:val="0"/>
          <w:lang w:val="fr-FR" w:eastAsia="fr-FR"/>
        </w:rPr>
        <w:tab/>
      </w:r>
      <w:r>
        <w:t>Fondement du concept de “source” : la nécessité de s’adapter à la diversité des situations en relation avec les ressources génétiques et les savoirs traditionnels</w:t>
      </w:r>
      <w:r>
        <w:tab/>
      </w:r>
      <w:r>
        <w:fldChar w:fldCharType="begin"/>
      </w:r>
      <w:r>
        <w:instrText xml:space="preserve"> PAGEREF _Toc461803929 \h </w:instrText>
      </w:r>
      <w:r>
        <w:fldChar w:fldCharType="separate"/>
      </w:r>
      <w:r>
        <w:t>4</w:t>
      </w:r>
      <w:r>
        <w:fldChar w:fldCharType="end"/>
      </w:r>
    </w:p>
    <w:p w:rsidR="00F21027" w:rsidRDefault="00F21027">
      <w:pPr>
        <w:pStyle w:val="TOC2"/>
        <w:rPr>
          <w:rFonts w:asciiTheme="minorHAnsi" w:eastAsiaTheme="minorEastAsia" w:hAnsiTheme="minorHAnsi" w:cstheme="minorBidi"/>
          <w:i w:val="0"/>
          <w:lang w:val="fr-FR" w:eastAsia="fr-FR"/>
        </w:rPr>
      </w:pPr>
      <w:r>
        <w:t>D.</w:t>
      </w:r>
      <w:r>
        <w:rPr>
          <w:rFonts w:asciiTheme="minorHAnsi" w:eastAsiaTheme="minorEastAsia" w:hAnsiTheme="minorHAnsi" w:cstheme="minorBidi"/>
          <w:i w:val="0"/>
          <w:lang w:val="fr-FR" w:eastAsia="fr-FR"/>
        </w:rPr>
        <w:tab/>
      </w:r>
      <w:r>
        <w:t>Raison pour laquelle l’exigence de divulgation repose sur le fait que l’invention est “directement fondée sur” la ressource génétique</w:t>
      </w:r>
      <w:r>
        <w:tab/>
      </w:r>
      <w:r>
        <w:fldChar w:fldCharType="begin"/>
      </w:r>
      <w:r>
        <w:instrText xml:space="preserve"> PAGEREF _Toc461803930 \h </w:instrText>
      </w:r>
      <w:r>
        <w:fldChar w:fldCharType="separate"/>
      </w:r>
      <w:r>
        <w:t>7</w:t>
      </w:r>
      <w:r>
        <w:fldChar w:fldCharType="end"/>
      </w:r>
    </w:p>
    <w:p w:rsidR="00F21027" w:rsidRDefault="00F21027">
      <w:pPr>
        <w:pStyle w:val="TOC2"/>
        <w:rPr>
          <w:rFonts w:asciiTheme="minorHAnsi" w:eastAsiaTheme="minorEastAsia" w:hAnsiTheme="minorHAnsi" w:cstheme="minorBidi"/>
          <w:i w:val="0"/>
          <w:lang w:val="fr-FR" w:eastAsia="fr-FR"/>
        </w:rPr>
      </w:pPr>
      <w:r>
        <w:t>E.</w:t>
      </w:r>
      <w:r>
        <w:rPr>
          <w:rFonts w:asciiTheme="minorHAnsi" w:eastAsiaTheme="minorEastAsia" w:hAnsiTheme="minorHAnsi" w:cstheme="minorBidi"/>
          <w:i w:val="0"/>
          <w:lang w:val="fr-FR" w:eastAsia="fr-FR"/>
        </w:rPr>
        <w:tab/>
      </w:r>
      <w:r>
        <w:t>Raison pour laquelle les sanctions doivent être “proportionnées et efficaces”</w:t>
      </w:r>
      <w:r>
        <w:tab/>
      </w:r>
      <w:r>
        <w:fldChar w:fldCharType="begin"/>
      </w:r>
      <w:r>
        <w:instrText xml:space="preserve"> PAGEREF _Toc461803931 \h </w:instrText>
      </w:r>
      <w:r>
        <w:fldChar w:fldCharType="separate"/>
      </w:r>
      <w:r>
        <w:t>8</w:t>
      </w:r>
      <w:r>
        <w:fldChar w:fldCharType="end"/>
      </w:r>
    </w:p>
    <w:p w:rsidR="00F21027" w:rsidRDefault="00F21027">
      <w:pPr>
        <w:pStyle w:val="TOC1"/>
        <w:rPr>
          <w:rFonts w:asciiTheme="minorHAnsi" w:eastAsiaTheme="minorEastAsia" w:hAnsiTheme="minorHAnsi" w:cstheme="minorBidi"/>
          <w:caps w:val="0"/>
          <w:lang w:val="fr-FR" w:eastAsia="fr-FR"/>
        </w:rPr>
      </w:pPr>
      <w:r w:rsidRPr="00020896">
        <w:rPr>
          <w:lang w:val="fr-CH"/>
        </w:rPr>
        <w:t>III.</w:t>
      </w:r>
      <w:r>
        <w:rPr>
          <w:rFonts w:asciiTheme="minorHAnsi" w:eastAsiaTheme="minorEastAsia" w:hAnsiTheme="minorHAnsi" w:cstheme="minorBidi"/>
          <w:caps w:val="0"/>
          <w:lang w:val="fr-FR" w:eastAsia="fr-FR"/>
        </w:rPr>
        <w:tab/>
      </w:r>
      <w:r>
        <w:t>Liens entre l’exigence de divulgation et les autres réglementations relatives aux ressources génétiques et aux savoirs traditionnels</w:t>
      </w:r>
      <w:r>
        <w:tab/>
      </w:r>
      <w:r>
        <w:fldChar w:fldCharType="begin"/>
      </w:r>
      <w:r>
        <w:instrText xml:space="preserve"> PAGEREF _Toc461803932 \h </w:instrText>
      </w:r>
      <w:r>
        <w:fldChar w:fldCharType="separate"/>
      </w:r>
      <w:r>
        <w:t>9</w:t>
      </w:r>
      <w:r>
        <w:fldChar w:fldCharType="end"/>
      </w:r>
    </w:p>
    <w:p w:rsidR="00F21027" w:rsidRDefault="00F21027">
      <w:pPr>
        <w:pStyle w:val="TOC2"/>
        <w:rPr>
          <w:rFonts w:asciiTheme="minorHAnsi" w:eastAsiaTheme="minorEastAsia" w:hAnsiTheme="minorHAnsi" w:cstheme="minorBidi"/>
          <w:i w:val="0"/>
          <w:lang w:val="fr-FR" w:eastAsia="fr-FR"/>
        </w:rPr>
      </w:pPr>
      <w:r>
        <w:t>A.</w:t>
      </w:r>
      <w:r>
        <w:rPr>
          <w:rFonts w:asciiTheme="minorHAnsi" w:eastAsiaTheme="minorEastAsia" w:hAnsiTheme="minorHAnsi" w:cstheme="minorBidi"/>
          <w:i w:val="0"/>
          <w:lang w:val="fr-FR" w:eastAsia="fr-FR"/>
        </w:rPr>
        <w:tab/>
      </w:r>
      <w:r>
        <w:t>Introduction</w:t>
      </w:r>
      <w:r>
        <w:tab/>
      </w:r>
      <w:r>
        <w:fldChar w:fldCharType="begin"/>
      </w:r>
      <w:r>
        <w:instrText xml:space="preserve"> PAGEREF _Toc461803933 \h </w:instrText>
      </w:r>
      <w:r>
        <w:fldChar w:fldCharType="separate"/>
      </w:r>
      <w:r>
        <w:t>9</w:t>
      </w:r>
      <w:r>
        <w:fldChar w:fldCharType="end"/>
      </w:r>
    </w:p>
    <w:p w:rsidR="00F21027" w:rsidRDefault="00F21027">
      <w:pPr>
        <w:pStyle w:val="TOC2"/>
        <w:rPr>
          <w:rFonts w:asciiTheme="minorHAnsi" w:eastAsiaTheme="minorEastAsia" w:hAnsiTheme="minorHAnsi" w:cstheme="minorBidi"/>
          <w:i w:val="0"/>
          <w:lang w:val="fr-FR" w:eastAsia="fr-FR"/>
        </w:rPr>
      </w:pPr>
      <w:r>
        <w:t>B.</w:t>
      </w:r>
      <w:r>
        <w:rPr>
          <w:rFonts w:asciiTheme="minorHAnsi" w:eastAsiaTheme="minorEastAsia" w:hAnsiTheme="minorHAnsi" w:cstheme="minorBidi"/>
          <w:i w:val="0"/>
          <w:lang w:val="fr-FR" w:eastAsia="fr-FR"/>
        </w:rPr>
        <w:tab/>
      </w:r>
      <w:r>
        <w:t>Lien avec les réglementations portant application du Protocole de Nagoya</w:t>
      </w:r>
      <w:r>
        <w:tab/>
      </w:r>
      <w:r>
        <w:fldChar w:fldCharType="begin"/>
      </w:r>
      <w:r>
        <w:instrText xml:space="preserve"> PAGEREF _Toc461803934 \h </w:instrText>
      </w:r>
      <w:r>
        <w:fldChar w:fldCharType="separate"/>
      </w:r>
      <w:r>
        <w:t>9</w:t>
      </w:r>
      <w:r>
        <w:fldChar w:fldCharType="end"/>
      </w:r>
    </w:p>
    <w:p w:rsidR="00F21027" w:rsidRDefault="00F21027">
      <w:pPr>
        <w:pStyle w:val="TOC2"/>
        <w:rPr>
          <w:rFonts w:asciiTheme="minorHAnsi" w:eastAsiaTheme="minorEastAsia" w:hAnsiTheme="minorHAnsi" w:cstheme="minorBidi"/>
          <w:i w:val="0"/>
          <w:lang w:val="fr-FR" w:eastAsia="fr-FR"/>
        </w:rPr>
      </w:pPr>
      <w:r>
        <w:t>C.</w:t>
      </w:r>
      <w:r>
        <w:rPr>
          <w:rFonts w:asciiTheme="minorHAnsi" w:eastAsiaTheme="minorEastAsia" w:hAnsiTheme="minorHAnsi" w:cstheme="minorBidi"/>
          <w:i w:val="0"/>
          <w:lang w:val="fr-FR" w:eastAsia="fr-FR"/>
        </w:rPr>
        <w:tab/>
      </w:r>
      <w:r>
        <w:t>Lien avec les réglementations portant application du Traité international sur les ressources phytogénétiques pour l’alimentation et l’agriculture</w:t>
      </w:r>
      <w:r>
        <w:tab/>
      </w:r>
      <w:r>
        <w:fldChar w:fldCharType="begin"/>
      </w:r>
      <w:r>
        <w:instrText xml:space="preserve"> PAGEREF _Toc461803935 \h </w:instrText>
      </w:r>
      <w:r>
        <w:fldChar w:fldCharType="separate"/>
      </w:r>
      <w:r>
        <w:t>11</w:t>
      </w:r>
      <w:r>
        <w:fldChar w:fldCharType="end"/>
      </w:r>
    </w:p>
    <w:p w:rsidR="00F21027" w:rsidRDefault="00F21027">
      <w:pPr>
        <w:pStyle w:val="TOC1"/>
        <w:rPr>
          <w:rFonts w:asciiTheme="minorHAnsi" w:eastAsiaTheme="minorEastAsia" w:hAnsiTheme="minorHAnsi" w:cstheme="minorBidi"/>
          <w:caps w:val="0"/>
          <w:lang w:val="fr-FR" w:eastAsia="fr-FR"/>
        </w:rPr>
      </w:pPr>
      <w:r>
        <w:t>IV.</w:t>
      </w:r>
      <w:r>
        <w:rPr>
          <w:rFonts w:asciiTheme="minorHAnsi" w:eastAsiaTheme="minorEastAsia" w:hAnsiTheme="minorHAnsi" w:cstheme="minorBidi"/>
          <w:caps w:val="0"/>
          <w:lang w:val="fr-FR" w:eastAsia="fr-FR"/>
        </w:rPr>
        <w:tab/>
      </w:r>
      <w:r>
        <w:t>Conclusions et possible voie à suivre concernant une exigence de divulgation convenue à l’échelle internationale</w:t>
      </w:r>
      <w:r>
        <w:tab/>
      </w:r>
      <w:r>
        <w:fldChar w:fldCharType="begin"/>
      </w:r>
      <w:r>
        <w:instrText xml:space="preserve"> PAGEREF _Toc461803936 \h </w:instrText>
      </w:r>
      <w:r>
        <w:fldChar w:fldCharType="separate"/>
      </w:r>
      <w:r>
        <w:t>12</w:t>
      </w:r>
      <w:r>
        <w:fldChar w:fldCharType="end"/>
      </w:r>
    </w:p>
    <w:p w:rsidR="00AD5076" w:rsidRDefault="00780041" w:rsidP="00D36E0A">
      <w:pPr>
        <w:spacing w:after="120"/>
        <w:rPr>
          <w:b/>
          <w:bCs/>
          <w:szCs w:val="22"/>
          <w:lang w:val="fr-FR"/>
        </w:rPr>
      </w:pPr>
      <w:r w:rsidRPr="00D36E0A">
        <w:rPr>
          <w:b/>
          <w:bCs/>
          <w:szCs w:val="22"/>
          <w:lang w:val="fr-FR"/>
        </w:rPr>
        <w:fldChar w:fldCharType="end"/>
      </w:r>
    </w:p>
    <w:p w:rsidR="00F21027" w:rsidRDefault="00F21027" w:rsidP="00A848F1">
      <w:pPr>
        <w:ind w:left="1695" w:hanging="1695"/>
        <w:rPr>
          <w:caps/>
        </w:rPr>
      </w:pPr>
      <w:r w:rsidRPr="00A848F1">
        <w:rPr>
          <w:caps/>
          <w:lang w:val="fr-FR"/>
        </w:rPr>
        <w:t xml:space="preserve">Appendice 1 </w:t>
      </w:r>
      <w:r w:rsidRPr="00A848F1">
        <w:rPr>
          <w:caps/>
          <w:lang w:val="fr-FR"/>
        </w:rPr>
        <w:tab/>
      </w:r>
      <w:r w:rsidRPr="00A848F1">
        <w:rPr>
          <w:caps/>
        </w:rPr>
        <w:t>Aperçu du cadre juridique suisse en matière de ressources génétiques et de savoirs traditionnels connexes</w:t>
      </w:r>
    </w:p>
    <w:p w:rsidR="00A848F1" w:rsidRDefault="00A848F1" w:rsidP="00A848F1">
      <w:pPr>
        <w:ind w:left="1695" w:hanging="1695"/>
        <w:rPr>
          <w:caps/>
        </w:rPr>
      </w:pPr>
    </w:p>
    <w:p w:rsidR="00A848F1" w:rsidRPr="005641A8" w:rsidRDefault="00A848F1" w:rsidP="00A848F1">
      <w:pPr>
        <w:ind w:left="1695" w:hanging="1695"/>
        <w:rPr>
          <w:caps/>
          <w:lang w:val="fr-FR"/>
        </w:rPr>
      </w:pPr>
      <w:r w:rsidRPr="005641A8">
        <w:rPr>
          <w:caps/>
        </w:rPr>
        <w:t xml:space="preserve">Appendice 2 </w:t>
      </w:r>
      <w:r w:rsidRPr="005641A8">
        <w:rPr>
          <w:caps/>
        </w:rPr>
        <w:tab/>
      </w:r>
      <w:r w:rsidR="005641A8" w:rsidRPr="005641A8">
        <w:rPr>
          <w:caps/>
        </w:rPr>
        <w:t xml:space="preserve">Document </w:t>
      </w:r>
      <w:proofErr w:type="spellStart"/>
      <w:r w:rsidR="005641A8" w:rsidRPr="005641A8">
        <w:rPr>
          <w:caps/>
        </w:rPr>
        <w:t>WIPO</w:t>
      </w:r>
      <w:proofErr w:type="spellEnd"/>
      <w:r w:rsidR="005641A8" w:rsidRPr="005641A8">
        <w:rPr>
          <w:caps/>
        </w:rPr>
        <w:t>/</w:t>
      </w:r>
      <w:proofErr w:type="spellStart"/>
      <w:r w:rsidR="005641A8" w:rsidRPr="005641A8">
        <w:rPr>
          <w:caps/>
        </w:rPr>
        <w:t>GRTKF</w:t>
      </w:r>
      <w:proofErr w:type="spellEnd"/>
      <w:r w:rsidR="005641A8" w:rsidRPr="005641A8">
        <w:rPr>
          <w:caps/>
        </w:rPr>
        <w:t>/IC/30/9, présenté par les États</w:t>
      </w:r>
      <w:r w:rsidR="005641A8" w:rsidRPr="005641A8">
        <w:rPr>
          <w:caps/>
        </w:rPr>
        <w:noBreakHyphen/>
        <w:t>Unis d’Amérique, avec les observations formulées par la Suisse</w:t>
      </w:r>
    </w:p>
    <w:p w:rsidR="00AD5076" w:rsidRPr="00D36E0A" w:rsidRDefault="00AD5076" w:rsidP="00D36E0A">
      <w:pPr>
        <w:pStyle w:val="Heading1"/>
      </w:pPr>
      <w:r w:rsidRPr="00D36E0A">
        <w:rPr>
          <w:b/>
        </w:rPr>
        <w:br w:type="page"/>
      </w:r>
      <w:bookmarkStart w:id="3" w:name="_Toc461721018"/>
      <w:bookmarkStart w:id="4" w:name="_Toc461803925"/>
      <w:r w:rsidR="000260AD" w:rsidRPr="00D36E0A">
        <w:lastRenderedPageBreak/>
        <w:t>Introduction</w:t>
      </w:r>
      <w:bookmarkEnd w:id="3"/>
      <w:bookmarkEnd w:id="4"/>
    </w:p>
    <w:p w:rsidR="009E04BD" w:rsidRPr="00D36E0A" w:rsidRDefault="009E04BD" w:rsidP="00D36E0A">
      <w:pPr>
        <w:rPr>
          <w:lang w:val="fr-FR"/>
        </w:rPr>
      </w:pPr>
    </w:p>
    <w:p w:rsidR="00AD5076" w:rsidRPr="00D36E0A" w:rsidRDefault="000A518D" w:rsidP="00D36E0A">
      <w:pPr>
        <w:pStyle w:val="ONUMFS"/>
        <w:numPr>
          <w:ilvl w:val="0"/>
          <w:numId w:val="31"/>
        </w:numPr>
        <w:rPr>
          <w:lang w:val="fr-FR"/>
        </w:rPr>
      </w:pPr>
      <w:bookmarkStart w:id="5" w:name="_Toc457391425"/>
      <w:bookmarkStart w:id="6" w:name="_Toc457394767"/>
      <w:bookmarkStart w:id="7" w:name="_Toc457988552"/>
      <w:bookmarkStart w:id="8" w:name="_Toc457989435"/>
      <w:bookmarkStart w:id="9" w:name="_Toc461721019"/>
      <w:r w:rsidRPr="00D36E0A">
        <w:rPr>
          <w:lang w:val="fr-FR"/>
        </w:rPr>
        <w:t>Durant la trentième</w:t>
      </w:r>
      <w:r w:rsidR="00580A55" w:rsidRPr="00D36E0A">
        <w:rPr>
          <w:lang w:val="fr-FR"/>
        </w:rPr>
        <w:t> </w:t>
      </w:r>
      <w:r w:rsidRPr="00D36E0A">
        <w:rPr>
          <w:lang w:val="fr-FR"/>
        </w:rPr>
        <w:t>session du</w:t>
      </w:r>
      <w:r w:rsidR="00AD5076" w:rsidRPr="00D36E0A">
        <w:rPr>
          <w:lang w:val="fr-FR"/>
        </w:rPr>
        <w:t xml:space="preserve"> </w:t>
      </w:r>
      <w:r w:rsidRPr="00D36E0A">
        <w:rPr>
          <w:lang w:val="fr-FR"/>
        </w:rPr>
        <w:t xml:space="preserve">Comité intergouvernemental de la propriété intellectuelle relative aux ressources génétiques, aux savoirs traditionnels et au folklore </w:t>
      </w:r>
      <w:r w:rsidR="00AD5076" w:rsidRPr="00D36E0A">
        <w:rPr>
          <w:lang w:val="fr-FR"/>
        </w:rPr>
        <w:t>(</w:t>
      </w:r>
      <w:proofErr w:type="spellStart"/>
      <w:r w:rsidR="00AD5076" w:rsidRPr="00D36E0A">
        <w:rPr>
          <w:lang w:val="fr-FR"/>
        </w:rPr>
        <w:t>IGC</w:t>
      </w:r>
      <w:r w:rsidR="00511F1C" w:rsidRPr="00D36E0A">
        <w:rPr>
          <w:lang w:val="fr-FR"/>
        </w:rPr>
        <w:noBreakHyphen/>
      </w:r>
      <w:r w:rsidR="00AD5076" w:rsidRPr="00D36E0A">
        <w:rPr>
          <w:lang w:val="fr-FR"/>
        </w:rPr>
        <w:t>30</w:t>
      </w:r>
      <w:proofErr w:type="spellEnd"/>
      <w:r w:rsidR="00AD5076" w:rsidRPr="00D36E0A">
        <w:rPr>
          <w:lang w:val="fr-FR"/>
        </w:rPr>
        <w:t xml:space="preserve">), </w:t>
      </w:r>
      <w:r w:rsidRPr="00D36E0A">
        <w:rPr>
          <w:lang w:val="fr-FR"/>
        </w:rPr>
        <w:t>la</w:t>
      </w:r>
      <w:r w:rsidR="00AD5076" w:rsidRPr="00D36E0A">
        <w:rPr>
          <w:lang w:val="fr-FR"/>
        </w:rPr>
        <w:t xml:space="preserve"> D</w:t>
      </w:r>
      <w:r w:rsidRPr="00D36E0A">
        <w:rPr>
          <w:lang w:val="fr-FR"/>
        </w:rPr>
        <w:t>é</w:t>
      </w:r>
      <w:r w:rsidR="00AD5076" w:rsidRPr="00D36E0A">
        <w:rPr>
          <w:lang w:val="fr-FR"/>
        </w:rPr>
        <w:t>l</w:t>
      </w:r>
      <w:r w:rsidRPr="00D36E0A">
        <w:rPr>
          <w:lang w:val="fr-FR"/>
        </w:rPr>
        <w:t>é</w:t>
      </w:r>
      <w:r w:rsidR="00AD5076" w:rsidRPr="00D36E0A">
        <w:rPr>
          <w:lang w:val="fr-FR"/>
        </w:rPr>
        <w:t xml:space="preserve">gation </w:t>
      </w:r>
      <w:r w:rsidRPr="00D36E0A">
        <w:rPr>
          <w:lang w:val="fr-FR"/>
        </w:rPr>
        <w:t>des États</w:t>
      </w:r>
      <w:r w:rsidR="00511F1C" w:rsidRPr="00D36E0A">
        <w:rPr>
          <w:lang w:val="fr-FR"/>
        </w:rPr>
        <w:noBreakHyphen/>
      </w:r>
      <w:r w:rsidR="00AD5076" w:rsidRPr="00D36E0A">
        <w:rPr>
          <w:lang w:val="fr-FR"/>
        </w:rPr>
        <w:t>Uni</w:t>
      </w:r>
      <w:r w:rsidR="007F1AEC" w:rsidRPr="00D36E0A">
        <w:rPr>
          <w:lang w:val="fr-FR"/>
        </w:rPr>
        <w:t>s d</w:t>
      </w:r>
      <w:r w:rsidR="00A27507" w:rsidRPr="00D36E0A">
        <w:rPr>
          <w:lang w:val="fr-FR"/>
        </w:rPr>
        <w:t>’</w:t>
      </w:r>
      <w:r w:rsidRPr="00D36E0A">
        <w:rPr>
          <w:lang w:val="fr-FR"/>
        </w:rPr>
        <w:t>Amérique</w:t>
      </w:r>
      <w:r w:rsidR="00AD5076" w:rsidRPr="00D36E0A">
        <w:rPr>
          <w:lang w:val="fr-FR"/>
        </w:rPr>
        <w:t xml:space="preserve"> </w:t>
      </w:r>
      <w:r w:rsidRPr="00D36E0A">
        <w:rPr>
          <w:lang w:val="fr-FR"/>
        </w:rPr>
        <w:t xml:space="preserve">a soumis un </w:t>
      </w:r>
      <w:r w:rsidR="00AD5076" w:rsidRPr="00D36E0A">
        <w:rPr>
          <w:lang w:val="fr-FR"/>
        </w:rPr>
        <w:t xml:space="preserve">document </w:t>
      </w:r>
      <w:r w:rsidRPr="00D36E0A">
        <w:rPr>
          <w:lang w:val="fr-FR"/>
        </w:rPr>
        <w:t>intitulé </w:t>
      </w:r>
      <w:r w:rsidR="00AD5076" w:rsidRPr="00D36E0A">
        <w:rPr>
          <w:lang w:val="fr-FR"/>
        </w:rPr>
        <w:t>:</w:t>
      </w:r>
      <w:r w:rsidR="009E04BD" w:rsidRPr="00D36E0A">
        <w:rPr>
          <w:lang w:val="fr-FR"/>
        </w:rPr>
        <w:t xml:space="preserve"> </w:t>
      </w:r>
      <w:r w:rsidR="00AD5076" w:rsidRPr="00D36E0A">
        <w:rPr>
          <w:lang w:val="fr-FR"/>
        </w:rPr>
        <w:t>“</w:t>
      </w:r>
      <w:r w:rsidRPr="00D36E0A">
        <w:rPr>
          <w:i/>
          <w:lang w:val="fr-FR"/>
        </w:rPr>
        <w:t xml:space="preserve">Vers une meilleure compréhension de la </w:t>
      </w:r>
      <w:r w:rsidR="00C624C1" w:rsidRPr="00D36E0A">
        <w:rPr>
          <w:i/>
          <w:lang w:val="fr-FR"/>
        </w:rPr>
        <w:t>L</w:t>
      </w:r>
      <w:r w:rsidRPr="00D36E0A">
        <w:rPr>
          <w:i/>
          <w:lang w:val="fr-FR"/>
        </w:rPr>
        <w:t xml:space="preserve">oi </w:t>
      </w:r>
      <w:r w:rsidR="00C624C1" w:rsidRPr="00D36E0A">
        <w:rPr>
          <w:i/>
          <w:lang w:val="fr-FR"/>
        </w:rPr>
        <w:t xml:space="preserve">fédérale </w:t>
      </w:r>
      <w:r w:rsidRPr="00D36E0A">
        <w:rPr>
          <w:i/>
          <w:lang w:val="fr-FR"/>
        </w:rPr>
        <w:t xml:space="preserve">sur la protection de la nature et du </w:t>
      </w:r>
      <w:r w:rsidR="00C624C1" w:rsidRPr="00D36E0A">
        <w:rPr>
          <w:i/>
          <w:lang w:val="fr-FR"/>
        </w:rPr>
        <w:t>paysage</w:t>
      </w:r>
      <w:r w:rsidRPr="00D36E0A">
        <w:rPr>
          <w:i/>
          <w:lang w:val="fr-FR"/>
        </w:rPr>
        <w:t xml:space="preserve"> et de la </w:t>
      </w:r>
      <w:r w:rsidR="00663332" w:rsidRPr="00D36E0A">
        <w:rPr>
          <w:i/>
          <w:lang w:val="fr-FR"/>
        </w:rPr>
        <w:t>L</w:t>
      </w:r>
      <w:r w:rsidRPr="00D36E0A">
        <w:rPr>
          <w:i/>
          <w:lang w:val="fr-FR"/>
        </w:rPr>
        <w:t xml:space="preserve">oi fédérale </w:t>
      </w:r>
      <w:r w:rsidR="00C624C1" w:rsidRPr="00D36E0A">
        <w:rPr>
          <w:i/>
          <w:lang w:val="fr-FR"/>
        </w:rPr>
        <w:t>sur les</w:t>
      </w:r>
      <w:r w:rsidRPr="00D36E0A">
        <w:rPr>
          <w:i/>
          <w:lang w:val="fr-FR"/>
        </w:rPr>
        <w:t xml:space="preserve"> brevets d</w:t>
      </w:r>
      <w:r w:rsidR="00A27507" w:rsidRPr="00D36E0A">
        <w:rPr>
          <w:i/>
          <w:lang w:val="fr-FR"/>
        </w:rPr>
        <w:t>’</w:t>
      </w:r>
      <w:r w:rsidRPr="00D36E0A">
        <w:rPr>
          <w:i/>
          <w:lang w:val="fr-FR"/>
        </w:rPr>
        <w:t>invention par une application hypothétique au brevet américain numéro 5</w:t>
      </w:r>
      <w:r w:rsidR="00580A55" w:rsidRPr="00D36E0A">
        <w:rPr>
          <w:i/>
          <w:lang w:val="fr-FR"/>
        </w:rPr>
        <w:t> </w:t>
      </w:r>
      <w:r w:rsidRPr="00D36E0A">
        <w:rPr>
          <w:i/>
          <w:lang w:val="fr-FR"/>
        </w:rPr>
        <w:t>137</w:t>
      </w:r>
      <w:r w:rsidR="00580A55" w:rsidRPr="00D36E0A">
        <w:rPr>
          <w:i/>
          <w:lang w:val="fr-FR"/>
        </w:rPr>
        <w:t> </w:t>
      </w:r>
      <w:r w:rsidRPr="00D36E0A">
        <w:rPr>
          <w:i/>
          <w:lang w:val="fr-FR"/>
        </w:rPr>
        <w:t>870</w:t>
      </w:r>
      <w:r w:rsidR="00AD5076" w:rsidRPr="00D36E0A">
        <w:rPr>
          <w:i/>
          <w:lang w:val="fr-FR"/>
        </w:rPr>
        <w:t xml:space="preserve">” </w:t>
      </w:r>
      <w:r w:rsidR="00AD5076" w:rsidRPr="00D36E0A">
        <w:rPr>
          <w:smallCaps/>
          <w:lang w:val="fr-FR"/>
        </w:rPr>
        <w:t>(</w:t>
      </w:r>
      <w:r w:rsidRPr="00D36E0A">
        <w:rPr>
          <w:lang w:val="fr-FR"/>
        </w:rPr>
        <w:t>ci</w:t>
      </w:r>
      <w:r w:rsidR="00511F1C" w:rsidRPr="00D36E0A">
        <w:rPr>
          <w:lang w:val="fr-FR"/>
        </w:rPr>
        <w:noBreakHyphen/>
      </w:r>
      <w:r w:rsidRPr="00D36E0A">
        <w:rPr>
          <w:lang w:val="fr-FR"/>
        </w:rPr>
        <w:t>après dénommé</w:t>
      </w:r>
      <w:r w:rsidR="00AD5076" w:rsidRPr="00D36E0A">
        <w:rPr>
          <w:lang w:val="fr-FR"/>
        </w:rPr>
        <w:t xml:space="preserve"> </w:t>
      </w:r>
      <w:r w:rsidRPr="00D36E0A">
        <w:rPr>
          <w:lang w:val="fr-FR"/>
        </w:rPr>
        <w:t xml:space="preserve">“le </w:t>
      </w:r>
      <w:r w:rsidR="00AD5076" w:rsidRPr="00D36E0A">
        <w:rPr>
          <w:lang w:val="fr-FR"/>
        </w:rPr>
        <w:t>document</w:t>
      </w:r>
      <w:r w:rsidRPr="00D36E0A">
        <w:rPr>
          <w:lang w:val="fr-FR"/>
        </w:rPr>
        <w:t xml:space="preserve"> des États</w:t>
      </w:r>
      <w:r w:rsidR="00511F1C" w:rsidRPr="00D36E0A">
        <w:rPr>
          <w:lang w:val="fr-FR"/>
        </w:rPr>
        <w:noBreakHyphen/>
      </w:r>
      <w:r w:rsidRPr="00D36E0A">
        <w:rPr>
          <w:lang w:val="fr-FR"/>
        </w:rPr>
        <w:t>Unis d</w:t>
      </w:r>
      <w:r w:rsidR="00A27507" w:rsidRPr="00D36E0A">
        <w:rPr>
          <w:lang w:val="fr-FR"/>
        </w:rPr>
        <w:t>’</w:t>
      </w:r>
      <w:r w:rsidRPr="00D36E0A">
        <w:rPr>
          <w:lang w:val="fr-FR"/>
        </w:rPr>
        <w:t>Amérique</w:t>
      </w:r>
      <w:r w:rsidR="00AF79FD" w:rsidRPr="00D36E0A">
        <w:rPr>
          <w:lang w:val="fr-FR"/>
        </w:rPr>
        <w:t>”)</w:t>
      </w:r>
      <w:r w:rsidR="00AD5076" w:rsidRPr="00D36E0A">
        <w:rPr>
          <w:rStyle w:val="FootnoteTextChar"/>
          <w:sz w:val="22"/>
          <w:szCs w:val="22"/>
          <w:vertAlign w:val="superscript"/>
          <w:lang w:val="fr-FR"/>
        </w:rPr>
        <w:footnoteReference w:id="2"/>
      </w:r>
      <w:bookmarkEnd w:id="5"/>
      <w:bookmarkEnd w:id="6"/>
      <w:bookmarkEnd w:id="7"/>
      <w:bookmarkEnd w:id="8"/>
      <w:bookmarkEnd w:id="9"/>
      <w:r w:rsidR="00580A55" w:rsidRPr="00D36E0A">
        <w:rPr>
          <w:i/>
          <w:smallCaps/>
          <w:lang w:val="fr-FR"/>
        </w:rPr>
        <w:t>.</w:t>
      </w:r>
    </w:p>
    <w:p w:rsidR="00AD5076" w:rsidRPr="00D36E0A" w:rsidRDefault="00073C22" w:rsidP="00D36E0A">
      <w:pPr>
        <w:pStyle w:val="ONUMFS"/>
        <w:rPr>
          <w:lang w:val="fr-FR"/>
        </w:rPr>
      </w:pPr>
      <w:bookmarkStart w:id="10" w:name="_Toc461721020"/>
      <w:r w:rsidRPr="00D36E0A">
        <w:rPr>
          <w:lang w:val="fr-FR"/>
        </w:rPr>
        <w:t>Le</w:t>
      </w:r>
      <w:r w:rsidR="00AD5076" w:rsidRPr="00D36E0A">
        <w:rPr>
          <w:lang w:val="fr-FR"/>
        </w:rPr>
        <w:t xml:space="preserve"> </w:t>
      </w:r>
      <w:r w:rsidRPr="00D36E0A">
        <w:rPr>
          <w:lang w:val="fr-FR"/>
        </w:rPr>
        <w:t>document des États</w:t>
      </w:r>
      <w:r w:rsidR="00511F1C" w:rsidRPr="00D36E0A">
        <w:rPr>
          <w:lang w:val="fr-FR"/>
        </w:rPr>
        <w:noBreakHyphen/>
      </w:r>
      <w:r w:rsidRPr="00D36E0A">
        <w:rPr>
          <w:lang w:val="fr-FR"/>
        </w:rPr>
        <w:t>Unis d</w:t>
      </w:r>
      <w:r w:rsidR="00A27507" w:rsidRPr="00D36E0A">
        <w:rPr>
          <w:lang w:val="fr-FR"/>
        </w:rPr>
        <w:t>’</w:t>
      </w:r>
      <w:r w:rsidRPr="00D36E0A">
        <w:rPr>
          <w:lang w:val="fr-FR"/>
        </w:rPr>
        <w:t>Amérique a été établi sans que la Suisse soit</w:t>
      </w:r>
      <w:r w:rsidR="00AD5076" w:rsidRPr="00D36E0A">
        <w:rPr>
          <w:lang w:val="fr-FR"/>
        </w:rPr>
        <w:t xml:space="preserve"> consult</w:t>
      </w:r>
      <w:r w:rsidRPr="00D36E0A">
        <w:rPr>
          <w:lang w:val="fr-FR"/>
        </w:rPr>
        <w:t>ée</w:t>
      </w:r>
      <w:r w:rsidR="00AD5076" w:rsidRPr="00D36E0A">
        <w:rPr>
          <w:lang w:val="fr-FR"/>
        </w:rPr>
        <w:t xml:space="preserve">, </w:t>
      </w:r>
      <w:r w:rsidRPr="00D36E0A">
        <w:rPr>
          <w:lang w:val="fr-FR"/>
        </w:rPr>
        <w:t>et sans que l</w:t>
      </w:r>
      <w:r w:rsidR="00A27507" w:rsidRPr="00D36E0A">
        <w:rPr>
          <w:lang w:val="fr-FR"/>
        </w:rPr>
        <w:t>’</w:t>
      </w:r>
      <w:r w:rsidRPr="00D36E0A">
        <w:rPr>
          <w:lang w:val="fr-FR"/>
        </w:rPr>
        <w:t>exactitude d</w:t>
      </w:r>
      <w:r w:rsidR="007F1AEC" w:rsidRPr="00D36E0A">
        <w:rPr>
          <w:lang w:val="fr-FR"/>
        </w:rPr>
        <w:t>e son</w:t>
      </w:r>
      <w:r w:rsidRPr="00D36E0A">
        <w:rPr>
          <w:lang w:val="fr-FR"/>
        </w:rPr>
        <w:t xml:space="preserve"> contenu soit vérifiée auprès d</w:t>
      </w:r>
      <w:r w:rsidR="00A27507" w:rsidRPr="00D36E0A">
        <w:rPr>
          <w:lang w:val="fr-FR"/>
        </w:rPr>
        <w:t>’</w:t>
      </w:r>
      <w:r w:rsidRPr="00D36E0A">
        <w:rPr>
          <w:lang w:val="fr-FR"/>
        </w:rPr>
        <w:t>une quelconque</w:t>
      </w:r>
      <w:r w:rsidR="00AD5076" w:rsidRPr="00D36E0A">
        <w:rPr>
          <w:lang w:val="fr-FR"/>
        </w:rPr>
        <w:t xml:space="preserve"> </w:t>
      </w:r>
      <w:r w:rsidRPr="00D36E0A">
        <w:rPr>
          <w:lang w:val="fr-FR"/>
        </w:rPr>
        <w:t>autorité suisse</w:t>
      </w:r>
      <w:r w:rsidR="00AD5076" w:rsidRPr="00D36E0A">
        <w:rPr>
          <w:lang w:val="fr-FR"/>
        </w:rPr>
        <w:t xml:space="preserve"> comp</w:t>
      </w:r>
      <w:r w:rsidRPr="00D36E0A">
        <w:rPr>
          <w:lang w:val="fr-FR"/>
        </w:rPr>
        <w:t>é</w:t>
      </w:r>
      <w:r w:rsidR="00AD5076" w:rsidRPr="00D36E0A">
        <w:rPr>
          <w:lang w:val="fr-FR"/>
        </w:rPr>
        <w:t>ten</w:t>
      </w:r>
      <w:r w:rsidR="00511F1C" w:rsidRPr="00D36E0A">
        <w:rPr>
          <w:lang w:val="fr-FR"/>
        </w:rPr>
        <w:t xml:space="preserve">te.  </w:t>
      </w:r>
      <w:bookmarkStart w:id="11" w:name="_Toc457391426"/>
      <w:bookmarkStart w:id="12" w:name="_Toc457394768"/>
      <w:bookmarkStart w:id="13" w:name="_Toc457988553"/>
      <w:bookmarkStart w:id="14" w:name="_Toc457989436"/>
      <w:r w:rsidR="00511F1C" w:rsidRPr="00D36E0A">
        <w:rPr>
          <w:lang w:val="fr-FR"/>
        </w:rPr>
        <w:t>En</w:t>
      </w:r>
      <w:r w:rsidRPr="00D36E0A">
        <w:rPr>
          <w:lang w:val="fr-FR"/>
        </w:rPr>
        <w:t xml:space="preserve"> outre</w:t>
      </w:r>
      <w:r w:rsidR="00AD5076" w:rsidRPr="00D36E0A">
        <w:rPr>
          <w:lang w:val="fr-FR"/>
        </w:rPr>
        <w:t xml:space="preserve">, </w:t>
      </w:r>
      <w:r w:rsidRPr="00D36E0A">
        <w:rPr>
          <w:lang w:val="fr-FR"/>
        </w:rPr>
        <w:t>le</w:t>
      </w:r>
      <w:r w:rsidR="00AD5076" w:rsidRPr="00D36E0A">
        <w:rPr>
          <w:lang w:val="fr-FR"/>
        </w:rPr>
        <w:t xml:space="preserve"> document cont</w:t>
      </w:r>
      <w:r w:rsidRPr="00D36E0A">
        <w:rPr>
          <w:lang w:val="fr-FR"/>
        </w:rPr>
        <w:t>ient</w:t>
      </w:r>
      <w:r w:rsidR="00AD5076" w:rsidRPr="00D36E0A">
        <w:rPr>
          <w:lang w:val="fr-FR"/>
        </w:rPr>
        <w:t xml:space="preserve"> </w:t>
      </w:r>
      <w:r w:rsidRPr="00D36E0A">
        <w:rPr>
          <w:lang w:val="fr-FR"/>
        </w:rPr>
        <w:t>un certain</w:t>
      </w:r>
      <w:r w:rsidR="00AD5076" w:rsidRPr="00D36E0A">
        <w:rPr>
          <w:lang w:val="fr-FR"/>
        </w:rPr>
        <w:t xml:space="preserve"> n</w:t>
      </w:r>
      <w:r w:rsidRPr="00D36E0A">
        <w:rPr>
          <w:lang w:val="fr-FR"/>
        </w:rPr>
        <w:t>o</w:t>
      </w:r>
      <w:r w:rsidR="00AD5076" w:rsidRPr="00D36E0A">
        <w:rPr>
          <w:lang w:val="fr-FR"/>
        </w:rPr>
        <w:t>mbr</w:t>
      </w:r>
      <w:r w:rsidRPr="00D36E0A">
        <w:rPr>
          <w:lang w:val="fr-FR"/>
        </w:rPr>
        <w:t>e de lacunes et d</w:t>
      </w:r>
      <w:r w:rsidR="00A27507" w:rsidRPr="00D36E0A">
        <w:rPr>
          <w:lang w:val="fr-FR"/>
        </w:rPr>
        <w:t>’</w:t>
      </w:r>
      <w:r w:rsidRPr="00D36E0A">
        <w:rPr>
          <w:lang w:val="fr-FR"/>
        </w:rPr>
        <w:t>erreurs</w:t>
      </w:r>
      <w:r w:rsidR="00AD5076" w:rsidRPr="00D36E0A">
        <w:rPr>
          <w:lang w:val="fr-FR"/>
        </w:rPr>
        <w:t xml:space="preserve"> </w:t>
      </w:r>
      <w:r w:rsidR="007F1AEC" w:rsidRPr="00D36E0A">
        <w:rPr>
          <w:lang w:val="fr-FR"/>
        </w:rPr>
        <w:t>grav</w:t>
      </w:r>
      <w:r w:rsidR="00511F1C" w:rsidRPr="00D36E0A">
        <w:rPr>
          <w:lang w:val="fr-FR"/>
        </w:rPr>
        <w:t>es.  En</w:t>
      </w:r>
      <w:r w:rsidR="00AD5076" w:rsidRPr="00D36E0A">
        <w:rPr>
          <w:lang w:val="fr-FR"/>
        </w:rPr>
        <w:t xml:space="preserve"> particul</w:t>
      </w:r>
      <w:r w:rsidRPr="00D36E0A">
        <w:rPr>
          <w:lang w:val="fr-FR"/>
        </w:rPr>
        <w:t>ie</w:t>
      </w:r>
      <w:r w:rsidR="00AD5076" w:rsidRPr="00D36E0A">
        <w:rPr>
          <w:lang w:val="fr-FR"/>
        </w:rPr>
        <w:t xml:space="preserve">r, </w:t>
      </w:r>
      <w:r w:rsidRPr="00D36E0A">
        <w:rPr>
          <w:lang w:val="fr-FR"/>
        </w:rPr>
        <w:t xml:space="preserve">ce </w:t>
      </w:r>
      <w:r w:rsidR="00AD5076" w:rsidRPr="00D36E0A">
        <w:rPr>
          <w:lang w:val="fr-FR"/>
        </w:rPr>
        <w:t xml:space="preserve">document </w:t>
      </w:r>
      <w:r w:rsidR="00F0549F" w:rsidRPr="00D36E0A">
        <w:rPr>
          <w:lang w:val="fr-FR"/>
        </w:rPr>
        <w:t>confond</w:t>
      </w:r>
      <w:r w:rsidR="00F85A8F" w:rsidRPr="00D36E0A">
        <w:rPr>
          <w:lang w:val="fr-FR"/>
        </w:rPr>
        <w:t> :</w:t>
      </w:r>
      <w:r w:rsidR="00AD5076" w:rsidRPr="00D36E0A">
        <w:rPr>
          <w:lang w:val="fr-FR"/>
        </w:rPr>
        <w:t xml:space="preserve"> 1)</w:t>
      </w:r>
      <w:r w:rsidR="00AF79FD" w:rsidRPr="00D36E0A">
        <w:rPr>
          <w:lang w:val="fr-FR"/>
        </w:rPr>
        <w:t> </w:t>
      </w:r>
      <w:r w:rsidR="00F0549F" w:rsidRPr="00D36E0A">
        <w:rPr>
          <w:lang w:val="fr-FR"/>
        </w:rPr>
        <w:t>l</w:t>
      </w:r>
      <w:r w:rsidR="00A27507" w:rsidRPr="00D36E0A">
        <w:rPr>
          <w:lang w:val="fr-FR"/>
        </w:rPr>
        <w:t>’</w:t>
      </w:r>
      <w:r w:rsidR="00F0549F" w:rsidRPr="00D36E0A">
        <w:rPr>
          <w:lang w:val="fr-FR"/>
        </w:rPr>
        <w:t xml:space="preserve">exigence de divulgation de la </w:t>
      </w:r>
      <w:r w:rsidR="00AD5076" w:rsidRPr="00D36E0A">
        <w:rPr>
          <w:lang w:val="fr-FR"/>
        </w:rPr>
        <w:t xml:space="preserve">source </w:t>
      </w:r>
      <w:r w:rsidR="00F0549F" w:rsidRPr="00D36E0A">
        <w:rPr>
          <w:lang w:val="fr-FR"/>
        </w:rPr>
        <w:t xml:space="preserve">stipulée dans la </w:t>
      </w:r>
      <w:r w:rsidR="00663332" w:rsidRPr="00D36E0A">
        <w:rPr>
          <w:lang w:val="fr-FR"/>
        </w:rPr>
        <w:t>L</w:t>
      </w:r>
      <w:r w:rsidR="00F0549F" w:rsidRPr="00D36E0A">
        <w:rPr>
          <w:lang w:val="fr-FR"/>
        </w:rPr>
        <w:t xml:space="preserve">oi fédérale </w:t>
      </w:r>
      <w:r w:rsidR="00C624C1" w:rsidRPr="00D36E0A">
        <w:rPr>
          <w:lang w:val="fr-FR"/>
        </w:rPr>
        <w:t>sur les</w:t>
      </w:r>
      <w:r w:rsidR="00F0549F" w:rsidRPr="00D36E0A">
        <w:rPr>
          <w:lang w:val="fr-FR"/>
        </w:rPr>
        <w:t xml:space="preserve"> brevets</w:t>
      </w:r>
      <w:r w:rsidR="00AD5076" w:rsidRPr="00D36E0A">
        <w:rPr>
          <w:lang w:val="fr-FR"/>
        </w:rPr>
        <w:t xml:space="preserve"> </w:t>
      </w:r>
      <w:r w:rsidR="00F0549F" w:rsidRPr="00D36E0A">
        <w:rPr>
          <w:lang w:val="fr-FR"/>
        </w:rPr>
        <w:t>d</w:t>
      </w:r>
      <w:r w:rsidR="00A27507" w:rsidRPr="00D36E0A">
        <w:rPr>
          <w:lang w:val="fr-FR"/>
        </w:rPr>
        <w:t>’</w:t>
      </w:r>
      <w:r w:rsidR="00F0549F" w:rsidRPr="00D36E0A">
        <w:rPr>
          <w:lang w:val="fr-FR"/>
        </w:rPr>
        <w:t>invention</w:t>
      </w:r>
      <w:r w:rsidR="00AD5076" w:rsidRPr="00D36E0A">
        <w:rPr>
          <w:lang w:val="fr-FR"/>
        </w:rPr>
        <w:t xml:space="preserve"> (</w:t>
      </w:r>
      <w:proofErr w:type="spellStart"/>
      <w:r w:rsidR="00C624C1" w:rsidRPr="00D36E0A">
        <w:rPr>
          <w:lang w:val="fr-FR"/>
        </w:rPr>
        <w:t>LBI</w:t>
      </w:r>
      <w:proofErr w:type="spellEnd"/>
      <w:r w:rsidR="00AD5076" w:rsidRPr="00D36E0A">
        <w:rPr>
          <w:lang w:val="fr-FR"/>
        </w:rPr>
        <w:t>);</w:t>
      </w:r>
      <w:r w:rsidR="009E04BD" w:rsidRPr="00D36E0A">
        <w:rPr>
          <w:lang w:val="fr-FR"/>
        </w:rPr>
        <w:t xml:space="preserve"> </w:t>
      </w:r>
      <w:r w:rsidR="00580A55" w:rsidRPr="00D36E0A">
        <w:rPr>
          <w:lang w:val="fr-FR"/>
        </w:rPr>
        <w:t xml:space="preserve"> </w:t>
      </w:r>
      <w:r w:rsidR="00AD5076" w:rsidRPr="00D36E0A">
        <w:rPr>
          <w:lang w:val="fr-FR"/>
        </w:rPr>
        <w:t>2)</w:t>
      </w:r>
      <w:r w:rsidR="00AF79FD" w:rsidRPr="00D36E0A">
        <w:rPr>
          <w:lang w:val="fr-FR"/>
        </w:rPr>
        <w:t> </w:t>
      </w:r>
      <w:r w:rsidR="00F0549F" w:rsidRPr="00D36E0A">
        <w:rPr>
          <w:lang w:val="fr-FR"/>
        </w:rPr>
        <w:t>la</w:t>
      </w:r>
      <w:r w:rsidR="002B798E" w:rsidRPr="00D36E0A">
        <w:rPr>
          <w:lang w:val="fr-FR"/>
        </w:rPr>
        <w:t xml:space="preserve"> notification </w:t>
      </w:r>
      <w:r w:rsidR="0015324F" w:rsidRPr="00D36E0A">
        <w:rPr>
          <w:lang w:val="fr-FR"/>
        </w:rPr>
        <w:t>du respect du devoir de</w:t>
      </w:r>
      <w:r w:rsidR="00F0549F" w:rsidRPr="00D36E0A">
        <w:rPr>
          <w:lang w:val="fr-FR"/>
        </w:rPr>
        <w:t xml:space="preserve"> diligence </w:t>
      </w:r>
      <w:r w:rsidR="00D36E0A" w:rsidRPr="00D36E0A">
        <w:rPr>
          <w:lang w:val="fr-FR"/>
        </w:rPr>
        <w:t>au sens de</w:t>
      </w:r>
      <w:r w:rsidR="00C624C1" w:rsidRPr="00D36E0A">
        <w:rPr>
          <w:lang w:val="fr-FR"/>
        </w:rPr>
        <w:t xml:space="preserve"> </w:t>
      </w:r>
      <w:r w:rsidR="0015324F" w:rsidRPr="00D36E0A">
        <w:rPr>
          <w:lang w:val="fr-FR"/>
        </w:rPr>
        <w:t>l</w:t>
      </w:r>
      <w:r w:rsidR="00F0549F" w:rsidRPr="00D36E0A">
        <w:rPr>
          <w:lang w:val="fr-FR"/>
        </w:rPr>
        <w:t xml:space="preserve">a </w:t>
      </w:r>
      <w:r w:rsidR="0015324F" w:rsidRPr="00D36E0A">
        <w:rPr>
          <w:lang w:val="fr-FR"/>
        </w:rPr>
        <w:t>L</w:t>
      </w:r>
      <w:r w:rsidR="00F0549F" w:rsidRPr="00D36E0A">
        <w:rPr>
          <w:lang w:val="fr-FR"/>
        </w:rPr>
        <w:t xml:space="preserve">oi </w:t>
      </w:r>
      <w:r w:rsidR="00C624C1" w:rsidRPr="00D36E0A">
        <w:rPr>
          <w:lang w:val="fr-FR"/>
        </w:rPr>
        <w:t xml:space="preserve">fédérale </w:t>
      </w:r>
      <w:r w:rsidR="00F0549F" w:rsidRPr="00D36E0A">
        <w:rPr>
          <w:lang w:val="fr-FR"/>
        </w:rPr>
        <w:t xml:space="preserve">sur la protection de la nature et du </w:t>
      </w:r>
      <w:r w:rsidR="00C624C1" w:rsidRPr="00D36E0A">
        <w:rPr>
          <w:lang w:val="fr-FR"/>
        </w:rPr>
        <w:t>paysage</w:t>
      </w:r>
      <w:r w:rsidR="00C33E76" w:rsidRPr="00D36E0A">
        <w:rPr>
          <w:lang w:val="fr-FR"/>
        </w:rPr>
        <w:t> </w:t>
      </w:r>
      <w:r w:rsidR="00AD5076" w:rsidRPr="00D36E0A">
        <w:rPr>
          <w:lang w:val="fr-FR"/>
        </w:rPr>
        <w:t>(</w:t>
      </w:r>
      <w:proofErr w:type="spellStart"/>
      <w:r w:rsidR="00C624C1" w:rsidRPr="00D36E0A">
        <w:rPr>
          <w:lang w:val="fr-FR"/>
        </w:rPr>
        <w:t>LPN</w:t>
      </w:r>
      <w:proofErr w:type="spellEnd"/>
      <w:r w:rsidR="00AD5076" w:rsidRPr="00D36E0A">
        <w:rPr>
          <w:lang w:val="fr-FR"/>
        </w:rPr>
        <w:t xml:space="preserve">), </w:t>
      </w:r>
      <w:r w:rsidR="002B798E" w:rsidRPr="00D36E0A">
        <w:rPr>
          <w:lang w:val="fr-FR"/>
        </w:rPr>
        <w:t xml:space="preserve">qui </w:t>
      </w:r>
      <w:r w:rsidR="0015324F" w:rsidRPr="00D36E0A">
        <w:rPr>
          <w:lang w:val="fr-FR"/>
        </w:rPr>
        <w:t>donne effet aux</w:t>
      </w:r>
      <w:r w:rsidR="002B798E" w:rsidRPr="00D36E0A">
        <w:rPr>
          <w:lang w:val="fr-FR"/>
        </w:rPr>
        <w:t xml:space="preserve"> dispo</w:t>
      </w:r>
      <w:r w:rsidR="00AD5076" w:rsidRPr="00D36E0A">
        <w:rPr>
          <w:lang w:val="fr-FR"/>
        </w:rPr>
        <w:t>si</w:t>
      </w:r>
      <w:r w:rsidR="002B798E" w:rsidRPr="00D36E0A">
        <w:rPr>
          <w:lang w:val="fr-FR"/>
        </w:rPr>
        <w:t>ti</w:t>
      </w:r>
      <w:r w:rsidR="00AD5076" w:rsidRPr="00D36E0A">
        <w:rPr>
          <w:lang w:val="fr-FR"/>
        </w:rPr>
        <w:t xml:space="preserve">ons </w:t>
      </w:r>
      <w:r w:rsidR="002B798E" w:rsidRPr="00D36E0A">
        <w:rPr>
          <w:lang w:val="fr-FR"/>
        </w:rPr>
        <w:t>du Protocole de Nagoya</w:t>
      </w:r>
      <w:r w:rsidR="00AD5076" w:rsidRPr="00D36E0A">
        <w:rPr>
          <w:lang w:val="fr-FR"/>
        </w:rPr>
        <w:t xml:space="preserve">; </w:t>
      </w:r>
      <w:r w:rsidR="009E04BD" w:rsidRPr="00D36E0A">
        <w:rPr>
          <w:lang w:val="fr-FR"/>
        </w:rPr>
        <w:t xml:space="preserve"> </w:t>
      </w:r>
      <w:r w:rsidR="006E6C1B" w:rsidRPr="00D36E0A">
        <w:rPr>
          <w:lang w:val="fr-FR"/>
        </w:rPr>
        <w:t xml:space="preserve">et </w:t>
      </w:r>
      <w:r w:rsidR="00AD5076" w:rsidRPr="00D36E0A">
        <w:rPr>
          <w:lang w:val="fr-FR"/>
        </w:rPr>
        <w:t>3)</w:t>
      </w:r>
      <w:r w:rsidR="00AF79FD" w:rsidRPr="00D36E0A">
        <w:rPr>
          <w:lang w:val="fr-FR"/>
        </w:rPr>
        <w:t> </w:t>
      </w:r>
      <w:r w:rsidR="006E6C1B" w:rsidRPr="00D36E0A">
        <w:rPr>
          <w:lang w:val="fr-FR"/>
        </w:rPr>
        <w:t>les procédures d</w:t>
      </w:r>
      <w:r w:rsidR="00A27507" w:rsidRPr="00D36E0A">
        <w:rPr>
          <w:lang w:val="fr-FR"/>
        </w:rPr>
        <w:t>’</w:t>
      </w:r>
      <w:r w:rsidR="006E6C1B" w:rsidRPr="00D36E0A">
        <w:rPr>
          <w:lang w:val="fr-FR"/>
        </w:rPr>
        <w:t>approbation préalables à la mise sur le marché d</w:t>
      </w:r>
      <w:r w:rsidR="00A27507" w:rsidRPr="00D36E0A">
        <w:rPr>
          <w:lang w:val="fr-FR"/>
        </w:rPr>
        <w:t>’</w:t>
      </w:r>
      <w:r w:rsidR="006E6C1B" w:rsidRPr="00D36E0A">
        <w:rPr>
          <w:lang w:val="fr-FR"/>
        </w:rPr>
        <w:t xml:space="preserve">un </w:t>
      </w:r>
      <w:r w:rsidR="00AD5076" w:rsidRPr="00D36E0A">
        <w:rPr>
          <w:lang w:val="fr-FR"/>
        </w:rPr>
        <w:t>produ</w:t>
      </w:r>
      <w:r w:rsidR="00511F1C" w:rsidRPr="00D36E0A">
        <w:rPr>
          <w:lang w:val="fr-FR"/>
        </w:rPr>
        <w:t>it.  Pa</w:t>
      </w:r>
      <w:r w:rsidR="006E6C1B" w:rsidRPr="00D36E0A">
        <w:rPr>
          <w:lang w:val="fr-FR"/>
        </w:rPr>
        <w:t>r ailleurs</w:t>
      </w:r>
      <w:r w:rsidR="00AD5076" w:rsidRPr="00D36E0A">
        <w:rPr>
          <w:lang w:val="fr-FR"/>
        </w:rPr>
        <w:t xml:space="preserve">, </w:t>
      </w:r>
      <w:r w:rsidR="006E6C1B" w:rsidRPr="00D36E0A">
        <w:rPr>
          <w:lang w:val="fr-FR"/>
        </w:rPr>
        <w:t>le document des États</w:t>
      </w:r>
      <w:r w:rsidR="00511F1C" w:rsidRPr="00D36E0A">
        <w:rPr>
          <w:lang w:val="fr-FR"/>
        </w:rPr>
        <w:noBreakHyphen/>
      </w:r>
      <w:r w:rsidR="006E6C1B" w:rsidRPr="00D36E0A">
        <w:rPr>
          <w:lang w:val="fr-FR"/>
        </w:rPr>
        <w:t>Unis d</w:t>
      </w:r>
      <w:r w:rsidR="00A27507" w:rsidRPr="00D36E0A">
        <w:rPr>
          <w:lang w:val="fr-FR"/>
        </w:rPr>
        <w:t>’</w:t>
      </w:r>
      <w:r w:rsidR="006E6C1B" w:rsidRPr="00D36E0A">
        <w:rPr>
          <w:lang w:val="fr-FR"/>
        </w:rPr>
        <w:t>Amérique</w:t>
      </w:r>
      <w:r w:rsidR="00AD5076" w:rsidRPr="00D36E0A">
        <w:rPr>
          <w:lang w:val="fr-FR"/>
        </w:rPr>
        <w:t xml:space="preserve"> </w:t>
      </w:r>
      <w:r w:rsidR="006E6C1B" w:rsidRPr="00D36E0A">
        <w:rPr>
          <w:lang w:val="fr-FR"/>
        </w:rPr>
        <w:t>ignore plusieurs dispositions</w:t>
      </w:r>
      <w:r w:rsidR="00AD5076" w:rsidRPr="00D36E0A">
        <w:rPr>
          <w:lang w:val="fr-FR"/>
        </w:rPr>
        <w:t xml:space="preserve"> important</w:t>
      </w:r>
      <w:r w:rsidR="006E6C1B" w:rsidRPr="00D36E0A">
        <w:rPr>
          <w:lang w:val="fr-FR"/>
        </w:rPr>
        <w:t>es</w:t>
      </w:r>
      <w:r w:rsidR="00AD5076" w:rsidRPr="00D36E0A">
        <w:rPr>
          <w:lang w:val="fr-FR"/>
        </w:rPr>
        <w:t xml:space="preserve"> </w:t>
      </w:r>
      <w:r w:rsidR="006E6C1B" w:rsidRPr="00D36E0A">
        <w:rPr>
          <w:lang w:val="fr-FR"/>
        </w:rPr>
        <w:t>de ces lois</w:t>
      </w:r>
      <w:r w:rsidR="00AD5076" w:rsidRPr="00D36E0A">
        <w:rPr>
          <w:lang w:val="fr-FR"/>
        </w:rPr>
        <w:t xml:space="preserve">, </w:t>
      </w:r>
      <w:r w:rsidR="006E6C1B" w:rsidRPr="00D36E0A">
        <w:rPr>
          <w:lang w:val="fr-FR"/>
        </w:rPr>
        <w:t>et ignore totalement les</w:t>
      </w:r>
      <w:r w:rsidR="00AD5076" w:rsidRPr="00D36E0A">
        <w:rPr>
          <w:lang w:val="fr-FR"/>
        </w:rPr>
        <w:t xml:space="preserve"> </w:t>
      </w:r>
      <w:r w:rsidR="006E6C1B" w:rsidRPr="00D36E0A">
        <w:rPr>
          <w:lang w:val="fr-FR"/>
        </w:rPr>
        <w:t>ordon</w:t>
      </w:r>
      <w:r w:rsidR="00AD5076" w:rsidRPr="00D36E0A">
        <w:rPr>
          <w:lang w:val="fr-FR"/>
        </w:rPr>
        <w:t xml:space="preserve">nances </w:t>
      </w:r>
      <w:r w:rsidR="006E6C1B" w:rsidRPr="00D36E0A">
        <w:rPr>
          <w:lang w:val="fr-FR"/>
        </w:rPr>
        <w:t>prises pour leur exécuti</w:t>
      </w:r>
      <w:r w:rsidR="00511F1C" w:rsidRPr="00D36E0A">
        <w:rPr>
          <w:lang w:val="fr-FR"/>
        </w:rPr>
        <w:t>on.  En</w:t>
      </w:r>
      <w:r w:rsidR="006E6C1B" w:rsidRPr="00D36E0A">
        <w:rPr>
          <w:lang w:val="fr-FR"/>
        </w:rPr>
        <w:t>fin</w:t>
      </w:r>
      <w:r w:rsidR="00AD5076" w:rsidRPr="00D36E0A">
        <w:rPr>
          <w:lang w:val="fr-FR"/>
        </w:rPr>
        <w:t xml:space="preserve">, </w:t>
      </w:r>
      <w:r w:rsidR="006E6C1B" w:rsidRPr="00D36E0A">
        <w:rPr>
          <w:lang w:val="fr-FR"/>
        </w:rPr>
        <w:t>l</w:t>
      </w:r>
      <w:r w:rsidR="00A27507" w:rsidRPr="00D36E0A">
        <w:rPr>
          <w:lang w:val="fr-FR"/>
        </w:rPr>
        <w:t>’</w:t>
      </w:r>
      <w:r w:rsidR="006E6C1B" w:rsidRPr="00D36E0A">
        <w:rPr>
          <w:lang w:val="fr-FR"/>
        </w:rPr>
        <w:t>exemple hypothétique utilisé dans le</w:t>
      </w:r>
      <w:r w:rsidR="00AD5076" w:rsidRPr="00D36E0A">
        <w:rPr>
          <w:lang w:val="fr-FR"/>
        </w:rPr>
        <w:t xml:space="preserve"> document, </w:t>
      </w:r>
      <w:r w:rsidR="00A27507" w:rsidRPr="00D36E0A">
        <w:rPr>
          <w:lang w:val="fr-FR"/>
        </w:rPr>
        <w:t>à savoir</w:t>
      </w:r>
      <w:r w:rsidR="006E6C1B" w:rsidRPr="00D36E0A">
        <w:rPr>
          <w:lang w:val="fr-FR"/>
        </w:rPr>
        <w:t xml:space="preserve"> le brevet américain numéro </w:t>
      </w:r>
      <w:r w:rsidR="00AD5076" w:rsidRPr="00D36E0A">
        <w:rPr>
          <w:lang w:val="fr-FR"/>
        </w:rPr>
        <w:t>5</w:t>
      </w:r>
      <w:r w:rsidR="006E6C1B" w:rsidRPr="00D36E0A">
        <w:rPr>
          <w:lang w:val="fr-FR"/>
        </w:rPr>
        <w:t> </w:t>
      </w:r>
      <w:r w:rsidR="00AD5076" w:rsidRPr="00D36E0A">
        <w:rPr>
          <w:lang w:val="fr-FR"/>
        </w:rPr>
        <w:t>137</w:t>
      </w:r>
      <w:r w:rsidR="006E6C1B" w:rsidRPr="00D36E0A">
        <w:rPr>
          <w:lang w:val="fr-FR"/>
        </w:rPr>
        <w:t> </w:t>
      </w:r>
      <w:r w:rsidR="00AD5076" w:rsidRPr="00D36E0A">
        <w:rPr>
          <w:lang w:val="fr-FR"/>
        </w:rPr>
        <w:t xml:space="preserve">870, </w:t>
      </w:r>
      <w:r w:rsidR="006E6C1B" w:rsidRPr="00D36E0A">
        <w:rPr>
          <w:lang w:val="fr-FR"/>
        </w:rPr>
        <w:t>est obsolète</w:t>
      </w:r>
      <w:r w:rsidR="00AD5076" w:rsidRPr="00D36E0A">
        <w:rPr>
          <w:lang w:val="fr-FR"/>
        </w:rPr>
        <w:t>.</w:t>
      </w:r>
      <w:bookmarkEnd w:id="10"/>
    </w:p>
    <w:p w:rsidR="00AD5076" w:rsidRPr="00D36E0A" w:rsidRDefault="00F85A8F" w:rsidP="00D36E0A">
      <w:pPr>
        <w:pStyle w:val="ONUMFS"/>
        <w:rPr>
          <w:caps/>
          <w:lang w:val="fr-FR"/>
        </w:rPr>
      </w:pPr>
      <w:bookmarkStart w:id="15" w:name="_Toc461721021"/>
      <w:r w:rsidRPr="00D36E0A">
        <w:rPr>
          <w:lang w:val="fr-FR"/>
        </w:rPr>
        <w:t>De ce fait</w:t>
      </w:r>
      <w:r w:rsidR="00AD5076" w:rsidRPr="00D36E0A">
        <w:rPr>
          <w:lang w:val="fr-FR"/>
        </w:rPr>
        <w:t xml:space="preserve">, </w:t>
      </w:r>
      <w:r w:rsidRPr="00D36E0A">
        <w:rPr>
          <w:lang w:val="fr-FR"/>
        </w:rPr>
        <w:t>le document des États</w:t>
      </w:r>
      <w:r w:rsidR="00511F1C" w:rsidRPr="00D36E0A">
        <w:rPr>
          <w:lang w:val="fr-FR"/>
        </w:rPr>
        <w:noBreakHyphen/>
      </w:r>
      <w:r w:rsidRPr="00D36E0A">
        <w:rPr>
          <w:lang w:val="fr-FR"/>
        </w:rPr>
        <w:t>Unis d</w:t>
      </w:r>
      <w:r w:rsidR="00A27507" w:rsidRPr="00D36E0A">
        <w:rPr>
          <w:lang w:val="fr-FR"/>
        </w:rPr>
        <w:t>’</w:t>
      </w:r>
      <w:r w:rsidRPr="00D36E0A">
        <w:rPr>
          <w:lang w:val="fr-FR"/>
        </w:rPr>
        <w:t xml:space="preserve">Amérique </w:t>
      </w:r>
      <w:r w:rsidR="00C33E76" w:rsidRPr="00D36E0A">
        <w:rPr>
          <w:lang w:val="fr-FR"/>
        </w:rPr>
        <w:t>n</w:t>
      </w:r>
      <w:r w:rsidR="00A27507" w:rsidRPr="00D36E0A">
        <w:rPr>
          <w:lang w:val="fr-FR"/>
        </w:rPr>
        <w:t>’</w:t>
      </w:r>
      <w:r w:rsidR="00AD5076" w:rsidRPr="00D36E0A">
        <w:rPr>
          <w:lang w:val="fr-FR"/>
        </w:rPr>
        <w:t>interpr</w:t>
      </w:r>
      <w:r w:rsidR="00C33E76" w:rsidRPr="00D36E0A">
        <w:rPr>
          <w:lang w:val="fr-FR"/>
        </w:rPr>
        <w:t>è</w:t>
      </w:r>
      <w:r w:rsidR="00AD5076" w:rsidRPr="00D36E0A">
        <w:rPr>
          <w:lang w:val="fr-FR"/>
        </w:rPr>
        <w:t>t</w:t>
      </w:r>
      <w:r w:rsidR="00C33E76" w:rsidRPr="00D36E0A">
        <w:rPr>
          <w:lang w:val="fr-FR"/>
        </w:rPr>
        <w:t>e pas</w:t>
      </w:r>
      <w:r w:rsidR="009504D6" w:rsidRPr="00D36E0A">
        <w:rPr>
          <w:lang w:val="fr-FR"/>
        </w:rPr>
        <w:t xml:space="preserve"> </w:t>
      </w:r>
      <w:r w:rsidR="00C33E76" w:rsidRPr="00D36E0A">
        <w:rPr>
          <w:lang w:val="fr-FR"/>
        </w:rPr>
        <w:t>correctement l</w:t>
      </w:r>
      <w:r w:rsidR="00A27507" w:rsidRPr="00D36E0A">
        <w:rPr>
          <w:lang w:val="fr-FR"/>
        </w:rPr>
        <w:t>’</w:t>
      </w:r>
      <w:r w:rsidR="00C33E76" w:rsidRPr="00D36E0A">
        <w:rPr>
          <w:lang w:val="fr-FR"/>
        </w:rPr>
        <w:t>approche suivie par</w:t>
      </w:r>
      <w:r w:rsidR="009504D6" w:rsidRPr="00D36E0A">
        <w:rPr>
          <w:lang w:val="fr-FR"/>
        </w:rPr>
        <w:t xml:space="preserve"> la Suisse</w:t>
      </w:r>
      <w:r w:rsidR="00AD5076" w:rsidRPr="00D36E0A">
        <w:rPr>
          <w:lang w:val="fr-FR"/>
        </w:rPr>
        <w:t xml:space="preserve"> </w:t>
      </w:r>
      <w:r w:rsidR="009504D6" w:rsidRPr="00D36E0A">
        <w:rPr>
          <w:lang w:val="fr-FR"/>
        </w:rPr>
        <w:t>concernant l</w:t>
      </w:r>
      <w:r w:rsidR="00A27507" w:rsidRPr="00D36E0A">
        <w:rPr>
          <w:lang w:val="fr-FR"/>
        </w:rPr>
        <w:t>’</w:t>
      </w:r>
      <w:r w:rsidR="009504D6" w:rsidRPr="00D36E0A">
        <w:rPr>
          <w:lang w:val="fr-FR"/>
        </w:rPr>
        <w:t>exigence de divulgation</w:t>
      </w:r>
      <w:r w:rsidR="00AD5076" w:rsidRPr="00D36E0A">
        <w:rPr>
          <w:lang w:val="fr-FR"/>
        </w:rPr>
        <w:t xml:space="preserve"> </w:t>
      </w:r>
      <w:r w:rsidR="00306E35" w:rsidRPr="00D36E0A">
        <w:rPr>
          <w:lang w:val="fr-FR"/>
        </w:rPr>
        <w:t>et il est donc de nature à induire en erre</w:t>
      </w:r>
      <w:bookmarkEnd w:id="11"/>
      <w:bookmarkEnd w:id="12"/>
      <w:bookmarkEnd w:id="13"/>
      <w:bookmarkEnd w:id="14"/>
      <w:r w:rsidR="00511F1C" w:rsidRPr="00D36E0A">
        <w:rPr>
          <w:lang w:val="fr-FR"/>
        </w:rPr>
        <w:t xml:space="preserve">ur.  </w:t>
      </w:r>
      <w:bookmarkStart w:id="16" w:name="_Toc457391427"/>
      <w:bookmarkStart w:id="17" w:name="_Toc457394769"/>
      <w:bookmarkStart w:id="18" w:name="_Toc457988554"/>
      <w:bookmarkStart w:id="19" w:name="_Toc457989437"/>
      <w:r w:rsidR="00511F1C" w:rsidRPr="00D36E0A">
        <w:rPr>
          <w:lang w:val="fr-FR"/>
        </w:rPr>
        <w:t>La</w:t>
      </w:r>
      <w:r w:rsidR="00AD5076" w:rsidRPr="00D36E0A">
        <w:rPr>
          <w:lang w:val="fr-FR"/>
        </w:rPr>
        <w:t xml:space="preserve"> pr</w:t>
      </w:r>
      <w:r w:rsidR="00306E35" w:rsidRPr="00D36E0A">
        <w:rPr>
          <w:lang w:val="fr-FR"/>
        </w:rPr>
        <w:t>é</w:t>
      </w:r>
      <w:r w:rsidR="00AD5076" w:rsidRPr="00D36E0A">
        <w:rPr>
          <w:lang w:val="fr-FR"/>
        </w:rPr>
        <w:t>sent</w:t>
      </w:r>
      <w:r w:rsidR="00306E35" w:rsidRPr="00D36E0A">
        <w:rPr>
          <w:lang w:val="fr-FR"/>
        </w:rPr>
        <w:t>e</w:t>
      </w:r>
      <w:r w:rsidR="00AD5076" w:rsidRPr="00D36E0A">
        <w:rPr>
          <w:lang w:val="fr-FR"/>
        </w:rPr>
        <w:t xml:space="preserve"> </w:t>
      </w:r>
      <w:r w:rsidR="00306E35" w:rsidRPr="00D36E0A">
        <w:rPr>
          <w:lang w:val="fr-FR"/>
        </w:rPr>
        <w:t>communication de la</w:t>
      </w:r>
      <w:r w:rsidR="00AD5076" w:rsidRPr="00D36E0A">
        <w:rPr>
          <w:lang w:val="fr-FR"/>
        </w:rPr>
        <w:t xml:space="preserve"> </w:t>
      </w:r>
      <w:r w:rsidR="00306E35" w:rsidRPr="00D36E0A">
        <w:rPr>
          <w:lang w:val="fr-FR"/>
        </w:rPr>
        <w:t xml:space="preserve">Suisse </w:t>
      </w:r>
      <w:r w:rsidR="00AD5076" w:rsidRPr="00D36E0A">
        <w:rPr>
          <w:lang w:val="fr-FR"/>
        </w:rPr>
        <w:t>corr</w:t>
      </w:r>
      <w:r w:rsidR="00306E35" w:rsidRPr="00D36E0A">
        <w:rPr>
          <w:lang w:val="fr-FR"/>
        </w:rPr>
        <w:t>ige les</w:t>
      </w:r>
      <w:r w:rsidR="00AD5076" w:rsidRPr="00D36E0A">
        <w:rPr>
          <w:lang w:val="fr-FR"/>
        </w:rPr>
        <w:t xml:space="preserve"> err</w:t>
      </w:r>
      <w:r w:rsidR="00306E35" w:rsidRPr="00D36E0A">
        <w:rPr>
          <w:lang w:val="fr-FR"/>
        </w:rPr>
        <w:t>eu</w:t>
      </w:r>
      <w:r w:rsidR="00AD5076" w:rsidRPr="00D36E0A">
        <w:rPr>
          <w:lang w:val="fr-FR"/>
        </w:rPr>
        <w:t xml:space="preserve">rs </w:t>
      </w:r>
      <w:r w:rsidR="00306E35" w:rsidRPr="00D36E0A">
        <w:rPr>
          <w:lang w:val="fr-FR"/>
        </w:rPr>
        <w:t>et lacunes</w:t>
      </w:r>
      <w:r w:rsidR="00AD5076" w:rsidRPr="00D36E0A">
        <w:rPr>
          <w:lang w:val="fr-FR"/>
        </w:rPr>
        <w:t xml:space="preserve"> </w:t>
      </w:r>
      <w:r w:rsidR="00306E35" w:rsidRPr="00D36E0A">
        <w:rPr>
          <w:lang w:val="fr-FR"/>
        </w:rPr>
        <w:t>du</w:t>
      </w:r>
      <w:r w:rsidR="00AD5076" w:rsidRPr="00D36E0A">
        <w:rPr>
          <w:lang w:val="fr-FR"/>
        </w:rPr>
        <w:t xml:space="preserve"> document </w:t>
      </w:r>
      <w:r w:rsidR="00306E35" w:rsidRPr="00D36E0A">
        <w:rPr>
          <w:lang w:val="fr-FR"/>
        </w:rPr>
        <w:t>des États</w:t>
      </w:r>
      <w:r w:rsidR="00511F1C" w:rsidRPr="00D36E0A">
        <w:rPr>
          <w:lang w:val="fr-FR"/>
        </w:rPr>
        <w:noBreakHyphen/>
      </w:r>
      <w:r w:rsidR="00306E35" w:rsidRPr="00D36E0A">
        <w:rPr>
          <w:lang w:val="fr-FR"/>
        </w:rPr>
        <w:t>Unis d</w:t>
      </w:r>
      <w:r w:rsidR="00A27507" w:rsidRPr="00D36E0A">
        <w:rPr>
          <w:lang w:val="fr-FR"/>
        </w:rPr>
        <w:t>’</w:t>
      </w:r>
      <w:r w:rsidR="00306E35" w:rsidRPr="00D36E0A">
        <w:rPr>
          <w:lang w:val="fr-FR"/>
        </w:rPr>
        <w:t>Amérique et vise à</w:t>
      </w:r>
      <w:r w:rsidR="00AD5076" w:rsidRPr="00D36E0A">
        <w:rPr>
          <w:lang w:val="fr-FR"/>
        </w:rPr>
        <w:t xml:space="preserve"> facilit</w:t>
      </w:r>
      <w:r w:rsidR="00306E35" w:rsidRPr="00D36E0A">
        <w:rPr>
          <w:lang w:val="fr-FR"/>
        </w:rPr>
        <w:t>er un débat factuel au sein de l</w:t>
      </w:r>
      <w:r w:rsidR="00A27507" w:rsidRPr="00D36E0A">
        <w:rPr>
          <w:lang w:val="fr-FR"/>
        </w:rPr>
        <w:t>’</w:t>
      </w:r>
      <w:r w:rsidR="00AD5076" w:rsidRPr="00D36E0A">
        <w:rPr>
          <w:lang w:val="fr-FR"/>
        </w:rPr>
        <w:t xml:space="preserve">IGC </w:t>
      </w:r>
      <w:r w:rsidR="00306E35" w:rsidRPr="00D36E0A">
        <w:rPr>
          <w:lang w:val="fr-FR"/>
        </w:rPr>
        <w:t>au sujet d</w:t>
      </w:r>
      <w:r w:rsidR="00A27507" w:rsidRPr="00D36E0A">
        <w:rPr>
          <w:lang w:val="fr-FR"/>
        </w:rPr>
        <w:t>’</w:t>
      </w:r>
      <w:r w:rsidR="00306E35" w:rsidRPr="00D36E0A">
        <w:rPr>
          <w:lang w:val="fr-FR"/>
        </w:rPr>
        <w:t>une</w:t>
      </w:r>
      <w:r w:rsidR="00AD5076" w:rsidRPr="00D36E0A">
        <w:rPr>
          <w:lang w:val="fr-FR"/>
        </w:rPr>
        <w:t xml:space="preserve"> </w:t>
      </w:r>
      <w:r w:rsidR="00306E35" w:rsidRPr="00D36E0A">
        <w:rPr>
          <w:lang w:val="fr-FR"/>
        </w:rPr>
        <w:t>éventuelle exigence de divulgation</w:t>
      </w:r>
      <w:r w:rsidR="00AD5076" w:rsidRPr="00D36E0A">
        <w:rPr>
          <w:lang w:val="fr-FR"/>
        </w:rPr>
        <w:t>.</w:t>
      </w:r>
      <w:bookmarkEnd w:id="15"/>
    </w:p>
    <w:p w:rsidR="00277EAC" w:rsidRPr="00D36E0A" w:rsidRDefault="00306E35" w:rsidP="00D36E0A">
      <w:pPr>
        <w:pStyle w:val="ONUMFS"/>
        <w:rPr>
          <w:lang w:val="fr-FR"/>
        </w:rPr>
      </w:pPr>
      <w:bookmarkStart w:id="20" w:name="_Toc461721022"/>
      <w:r w:rsidRPr="00D36E0A">
        <w:rPr>
          <w:lang w:val="fr-FR"/>
        </w:rPr>
        <w:t>Le</w:t>
      </w:r>
      <w:r w:rsidR="00AD5076" w:rsidRPr="00D36E0A">
        <w:rPr>
          <w:lang w:val="fr-FR"/>
        </w:rPr>
        <w:t xml:space="preserve"> conten</w:t>
      </w:r>
      <w:r w:rsidRPr="00D36E0A">
        <w:rPr>
          <w:lang w:val="fr-FR"/>
        </w:rPr>
        <w:t>u de</w:t>
      </w:r>
      <w:r w:rsidR="00AD5076" w:rsidRPr="00D36E0A">
        <w:rPr>
          <w:lang w:val="fr-FR"/>
        </w:rPr>
        <w:t xml:space="preserve"> </w:t>
      </w:r>
      <w:r w:rsidRPr="00D36E0A">
        <w:rPr>
          <w:lang w:val="fr-FR"/>
        </w:rPr>
        <w:t>cette communication</w:t>
      </w:r>
      <w:r w:rsidR="00AD5076" w:rsidRPr="00D36E0A">
        <w:rPr>
          <w:lang w:val="fr-FR"/>
        </w:rPr>
        <w:t xml:space="preserve"> </w:t>
      </w:r>
      <w:r w:rsidRPr="00D36E0A">
        <w:rPr>
          <w:lang w:val="fr-FR"/>
        </w:rPr>
        <w:t>peut être résumé comme suit </w:t>
      </w:r>
      <w:r w:rsidR="00AD5076" w:rsidRPr="00D36E0A">
        <w:rPr>
          <w:lang w:val="fr-FR"/>
        </w:rPr>
        <w:t xml:space="preserve">: </w:t>
      </w:r>
      <w:bookmarkStart w:id="21" w:name="_Toc457391428"/>
      <w:bookmarkStart w:id="22" w:name="_Toc457394770"/>
      <w:bookmarkStart w:id="23" w:name="_Toc457988555"/>
      <w:bookmarkStart w:id="24" w:name="_Toc457989438"/>
      <w:bookmarkEnd w:id="16"/>
      <w:bookmarkEnd w:id="17"/>
      <w:bookmarkEnd w:id="18"/>
      <w:bookmarkEnd w:id="19"/>
      <w:r w:rsidRPr="00D36E0A">
        <w:rPr>
          <w:lang w:val="fr-FR"/>
        </w:rPr>
        <w:t>la s</w:t>
      </w:r>
      <w:r w:rsidR="00AD5076" w:rsidRPr="00D36E0A">
        <w:rPr>
          <w:lang w:val="fr-FR"/>
        </w:rPr>
        <w:t>ection</w:t>
      </w:r>
      <w:r w:rsidR="00580A55" w:rsidRPr="00D36E0A">
        <w:rPr>
          <w:lang w:val="fr-FR"/>
        </w:rPr>
        <w:t> </w:t>
      </w:r>
      <w:r w:rsidR="00AD5076" w:rsidRPr="00D36E0A">
        <w:rPr>
          <w:lang w:val="fr-FR"/>
        </w:rPr>
        <w:t xml:space="preserve">II </w:t>
      </w:r>
      <w:r w:rsidRPr="00D36E0A">
        <w:rPr>
          <w:lang w:val="fr-FR"/>
        </w:rPr>
        <w:t xml:space="preserve">explique les dispositions </w:t>
      </w:r>
      <w:r w:rsidR="00CB0FA7" w:rsidRPr="00D36E0A">
        <w:rPr>
          <w:lang w:val="fr-FR"/>
        </w:rPr>
        <w:t>relatives à</w:t>
      </w:r>
      <w:r w:rsidRPr="00D36E0A">
        <w:rPr>
          <w:lang w:val="fr-FR"/>
        </w:rPr>
        <w:t xml:space="preserve"> </w:t>
      </w:r>
      <w:r w:rsidR="00CB0FA7" w:rsidRPr="00D36E0A">
        <w:rPr>
          <w:lang w:val="fr-FR"/>
        </w:rPr>
        <w:t>l</w:t>
      </w:r>
      <w:r w:rsidR="00A27507" w:rsidRPr="00D36E0A">
        <w:rPr>
          <w:lang w:val="fr-FR"/>
        </w:rPr>
        <w:t>’</w:t>
      </w:r>
      <w:r w:rsidR="00CB0FA7" w:rsidRPr="00D36E0A">
        <w:rPr>
          <w:lang w:val="fr-FR"/>
        </w:rPr>
        <w:t>indication</w:t>
      </w:r>
      <w:r w:rsidRPr="00D36E0A">
        <w:rPr>
          <w:lang w:val="fr-FR"/>
        </w:rPr>
        <w:t xml:space="preserve"> de la source des ressources génétiques et des savoirs traditionnels </w:t>
      </w:r>
      <w:r w:rsidR="008F7585" w:rsidRPr="00D36E0A">
        <w:rPr>
          <w:lang w:val="fr-FR"/>
        </w:rPr>
        <w:t xml:space="preserve">qui y sont associés </w:t>
      </w:r>
      <w:r w:rsidRPr="00D36E0A">
        <w:rPr>
          <w:lang w:val="fr-FR"/>
        </w:rPr>
        <w:t>dans les demandes de brevet</w:t>
      </w:r>
      <w:r w:rsidR="00D36E0A" w:rsidRPr="00D36E0A">
        <w:rPr>
          <w:lang w:val="fr-FR"/>
        </w:rPr>
        <w:t>,</w:t>
      </w:r>
      <w:r w:rsidRPr="00D36E0A">
        <w:rPr>
          <w:lang w:val="fr-FR"/>
        </w:rPr>
        <w:t xml:space="preserve"> selon la</w:t>
      </w:r>
      <w:r w:rsidR="008F7585" w:rsidRPr="00D36E0A">
        <w:rPr>
          <w:lang w:val="fr-FR"/>
        </w:rPr>
        <w:t> </w:t>
      </w:r>
      <w:proofErr w:type="spellStart"/>
      <w:r w:rsidRPr="00D36E0A">
        <w:rPr>
          <w:lang w:val="fr-FR"/>
        </w:rPr>
        <w:t>LBI</w:t>
      </w:r>
      <w:proofErr w:type="spellEnd"/>
      <w:r w:rsidRPr="00D36E0A">
        <w:rPr>
          <w:lang w:val="fr-FR"/>
        </w:rPr>
        <w:t xml:space="preserve"> et l</w:t>
      </w:r>
      <w:r w:rsidR="00A27507" w:rsidRPr="00D36E0A">
        <w:rPr>
          <w:lang w:val="fr-FR"/>
        </w:rPr>
        <w:t>’</w:t>
      </w:r>
      <w:r w:rsidRPr="00D36E0A">
        <w:rPr>
          <w:lang w:val="fr-FR"/>
        </w:rPr>
        <w:t>Ordonnance relative aux brevets d</w:t>
      </w:r>
      <w:r w:rsidR="00A27507" w:rsidRPr="00D36E0A">
        <w:rPr>
          <w:lang w:val="fr-FR"/>
        </w:rPr>
        <w:t>’</w:t>
      </w:r>
      <w:r w:rsidRPr="00D36E0A">
        <w:rPr>
          <w:lang w:val="fr-FR"/>
        </w:rPr>
        <w:t xml:space="preserve">invention </w:t>
      </w:r>
      <w:r w:rsidR="00AD5076" w:rsidRPr="00D36E0A">
        <w:rPr>
          <w:lang w:val="fr-FR"/>
        </w:rPr>
        <w:t>(</w:t>
      </w:r>
      <w:r w:rsidR="00FF544C" w:rsidRPr="00D36E0A">
        <w:rPr>
          <w:lang w:val="fr-FR"/>
        </w:rPr>
        <w:t>OBI</w:t>
      </w:r>
      <w:r w:rsidR="00AD5076" w:rsidRPr="00D36E0A">
        <w:rPr>
          <w:lang w:val="fr-FR"/>
        </w:rPr>
        <w:t xml:space="preserve">). </w:t>
      </w:r>
      <w:r w:rsidR="009E04BD" w:rsidRPr="00D36E0A">
        <w:rPr>
          <w:lang w:val="fr-FR"/>
        </w:rPr>
        <w:t xml:space="preserve"> </w:t>
      </w:r>
      <w:r w:rsidR="00E403F2" w:rsidRPr="00D36E0A">
        <w:rPr>
          <w:lang w:val="fr-FR"/>
        </w:rPr>
        <w:t>La s</w:t>
      </w:r>
      <w:r w:rsidR="00AD5076" w:rsidRPr="00D36E0A">
        <w:rPr>
          <w:lang w:val="fr-FR"/>
        </w:rPr>
        <w:t>ection</w:t>
      </w:r>
      <w:r w:rsidR="00580A55" w:rsidRPr="00D36E0A">
        <w:rPr>
          <w:lang w:val="fr-FR"/>
        </w:rPr>
        <w:t> </w:t>
      </w:r>
      <w:r w:rsidR="00AD5076" w:rsidRPr="00D36E0A">
        <w:rPr>
          <w:lang w:val="fr-FR"/>
        </w:rPr>
        <w:t>III d</w:t>
      </w:r>
      <w:r w:rsidR="00E403F2" w:rsidRPr="00D36E0A">
        <w:rPr>
          <w:lang w:val="fr-FR"/>
        </w:rPr>
        <w:t>é</w:t>
      </w:r>
      <w:r w:rsidR="00AD5076" w:rsidRPr="00D36E0A">
        <w:rPr>
          <w:lang w:val="fr-FR"/>
        </w:rPr>
        <w:t>cri</w:t>
      </w:r>
      <w:r w:rsidR="00E403F2" w:rsidRPr="00D36E0A">
        <w:rPr>
          <w:lang w:val="fr-FR"/>
        </w:rPr>
        <w:t>t</w:t>
      </w:r>
      <w:r w:rsidR="00AD5076" w:rsidRPr="00D36E0A">
        <w:rPr>
          <w:lang w:val="fr-FR"/>
        </w:rPr>
        <w:t xml:space="preserve"> </w:t>
      </w:r>
      <w:r w:rsidR="00D36E0A">
        <w:rPr>
          <w:lang w:val="fr-FR"/>
        </w:rPr>
        <w:t>le lien existant</w:t>
      </w:r>
      <w:r w:rsidR="00AD5076" w:rsidRPr="00D36E0A">
        <w:rPr>
          <w:lang w:val="fr-FR"/>
        </w:rPr>
        <w:t xml:space="preserve"> </w:t>
      </w:r>
      <w:r w:rsidR="00E403F2" w:rsidRPr="00D36E0A">
        <w:rPr>
          <w:lang w:val="fr-FR"/>
        </w:rPr>
        <w:t xml:space="preserve">entre </w:t>
      </w:r>
      <w:r w:rsidR="00CB0FA7" w:rsidRPr="00D36E0A">
        <w:rPr>
          <w:lang w:val="fr-FR"/>
        </w:rPr>
        <w:t>l</w:t>
      </w:r>
      <w:r w:rsidR="00A27507" w:rsidRPr="00D36E0A">
        <w:rPr>
          <w:lang w:val="fr-FR"/>
        </w:rPr>
        <w:t>’</w:t>
      </w:r>
      <w:r w:rsidR="00CB0FA7" w:rsidRPr="00D36E0A">
        <w:rPr>
          <w:lang w:val="fr-FR"/>
        </w:rPr>
        <w:t>indication</w:t>
      </w:r>
      <w:r w:rsidR="004C5AA2" w:rsidRPr="00D36E0A">
        <w:rPr>
          <w:lang w:val="fr-FR"/>
        </w:rPr>
        <w:t xml:space="preserve"> de la source dans la </w:t>
      </w:r>
      <w:proofErr w:type="spellStart"/>
      <w:r w:rsidR="00E403F2" w:rsidRPr="00D36E0A">
        <w:rPr>
          <w:lang w:val="fr-FR"/>
        </w:rPr>
        <w:t>LBI</w:t>
      </w:r>
      <w:proofErr w:type="spellEnd"/>
      <w:r w:rsidR="00E403F2" w:rsidRPr="00D36E0A">
        <w:rPr>
          <w:lang w:val="fr-FR"/>
        </w:rPr>
        <w:t xml:space="preserve"> et</w:t>
      </w:r>
      <w:r w:rsidR="004C5AA2" w:rsidRPr="00D36E0A">
        <w:rPr>
          <w:lang w:val="fr-FR"/>
        </w:rPr>
        <w:t xml:space="preserve"> </w:t>
      </w:r>
      <w:r w:rsidR="00E403F2" w:rsidRPr="00D36E0A">
        <w:rPr>
          <w:lang w:val="fr-FR"/>
        </w:rPr>
        <w:t>les autres r</w:t>
      </w:r>
      <w:r w:rsidR="00C33E76" w:rsidRPr="00D36E0A">
        <w:rPr>
          <w:lang w:val="fr-FR"/>
        </w:rPr>
        <w:t>è</w:t>
      </w:r>
      <w:r w:rsidR="00E403F2" w:rsidRPr="00D36E0A">
        <w:rPr>
          <w:lang w:val="fr-FR"/>
        </w:rPr>
        <w:t xml:space="preserve">glements </w:t>
      </w:r>
      <w:r w:rsidR="00AD5076" w:rsidRPr="00D36E0A">
        <w:rPr>
          <w:lang w:val="fr-FR"/>
        </w:rPr>
        <w:t>relat</w:t>
      </w:r>
      <w:r w:rsidR="00E403F2" w:rsidRPr="00D36E0A">
        <w:rPr>
          <w:lang w:val="fr-FR"/>
        </w:rPr>
        <w:t>i</w:t>
      </w:r>
      <w:r w:rsidR="00C33E76" w:rsidRPr="00D36E0A">
        <w:rPr>
          <w:lang w:val="fr-FR"/>
        </w:rPr>
        <w:t>f</w:t>
      </w:r>
      <w:r w:rsidR="00E403F2" w:rsidRPr="00D36E0A">
        <w:rPr>
          <w:lang w:val="fr-FR"/>
        </w:rPr>
        <w:t xml:space="preserve">s aux ressources génétiques et aux savoirs traditionnels </w:t>
      </w:r>
      <w:r w:rsidR="008F7585" w:rsidRPr="00D36E0A">
        <w:rPr>
          <w:lang w:val="fr-FR"/>
        </w:rPr>
        <w:t>qui y sont associés</w:t>
      </w:r>
      <w:r w:rsidR="00E403F2" w:rsidRPr="00D36E0A">
        <w:rPr>
          <w:lang w:val="fr-FR"/>
        </w:rPr>
        <w:t>, e</w:t>
      </w:r>
      <w:r w:rsidR="00AD5076" w:rsidRPr="00D36E0A">
        <w:rPr>
          <w:lang w:val="fr-FR"/>
        </w:rPr>
        <w:t>n particul</w:t>
      </w:r>
      <w:r w:rsidR="00E403F2" w:rsidRPr="00D36E0A">
        <w:rPr>
          <w:lang w:val="fr-FR"/>
        </w:rPr>
        <w:t>ie</w:t>
      </w:r>
      <w:r w:rsidR="00AD5076" w:rsidRPr="00D36E0A">
        <w:rPr>
          <w:lang w:val="fr-FR"/>
        </w:rPr>
        <w:t xml:space="preserve">r </w:t>
      </w:r>
      <w:r w:rsidR="00E403F2" w:rsidRPr="00D36E0A">
        <w:rPr>
          <w:lang w:val="fr-FR"/>
        </w:rPr>
        <w:t>les dispositions</w:t>
      </w:r>
      <w:r w:rsidR="00AD5076" w:rsidRPr="00D36E0A">
        <w:rPr>
          <w:lang w:val="fr-FR"/>
        </w:rPr>
        <w:t xml:space="preserve"> </w:t>
      </w:r>
      <w:r w:rsidR="00C33E76" w:rsidRPr="00D36E0A">
        <w:rPr>
          <w:lang w:val="fr-FR"/>
        </w:rPr>
        <w:t xml:space="preserve">correspondantes </w:t>
      </w:r>
      <w:r w:rsidR="00CB0FA7" w:rsidRPr="00D36E0A">
        <w:rPr>
          <w:lang w:val="fr-FR"/>
        </w:rPr>
        <w:t>donnant effet a</w:t>
      </w:r>
      <w:r w:rsidR="005260CD" w:rsidRPr="00D36E0A">
        <w:rPr>
          <w:lang w:val="fr-FR"/>
        </w:rPr>
        <w:t>u</w:t>
      </w:r>
      <w:r w:rsidR="00AD5076" w:rsidRPr="00D36E0A">
        <w:rPr>
          <w:lang w:val="fr-FR"/>
        </w:rPr>
        <w:t xml:space="preserve"> </w:t>
      </w:r>
      <w:r w:rsidR="005260CD" w:rsidRPr="00D36E0A">
        <w:rPr>
          <w:lang w:val="fr-FR"/>
        </w:rPr>
        <w:t xml:space="preserve">Protocole de Nagoya et </w:t>
      </w:r>
      <w:r w:rsidR="00C33E76" w:rsidRPr="00D36E0A">
        <w:rPr>
          <w:lang w:val="fr-FR"/>
        </w:rPr>
        <w:t>a</w:t>
      </w:r>
      <w:r w:rsidR="005260CD" w:rsidRPr="00D36E0A">
        <w:rPr>
          <w:lang w:val="fr-FR"/>
        </w:rPr>
        <w:t>u</w:t>
      </w:r>
      <w:r w:rsidR="00AD5076" w:rsidRPr="00D36E0A">
        <w:rPr>
          <w:lang w:val="fr-FR"/>
        </w:rPr>
        <w:t xml:space="preserve"> </w:t>
      </w:r>
      <w:r w:rsidR="005260CD" w:rsidRPr="00D36E0A">
        <w:rPr>
          <w:lang w:val="fr-FR"/>
        </w:rPr>
        <w:t>Traité international sur les ressources phytogénétiques pour l</w:t>
      </w:r>
      <w:r w:rsidR="00A27507" w:rsidRPr="00D36E0A">
        <w:rPr>
          <w:lang w:val="fr-FR"/>
        </w:rPr>
        <w:t>’</w:t>
      </w:r>
      <w:r w:rsidR="005260CD" w:rsidRPr="00D36E0A">
        <w:rPr>
          <w:lang w:val="fr-FR"/>
        </w:rPr>
        <w:t>alimentation et l</w:t>
      </w:r>
      <w:r w:rsidR="00A27507" w:rsidRPr="00D36E0A">
        <w:rPr>
          <w:lang w:val="fr-FR"/>
        </w:rPr>
        <w:t>’</w:t>
      </w:r>
      <w:r w:rsidR="005260CD" w:rsidRPr="00D36E0A">
        <w:rPr>
          <w:lang w:val="fr-FR"/>
        </w:rPr>
        <w:t>agricultu</w:t>
      </w:r>
      <w:r w:rsidR="00511F1C" w:rsidRPr="00D36E0A">
        <w:rPr>
          <w:lang w:val="fr-FR"/>
        </w:rPr>
        <w:t>re.  La</w:t>
      </w:r>
      <w:r w:rsidR="005260CD" w:rsidRPr="00D36E0A">
        <w:rPr>
          <w:lang w:val="fr-FR"/>
        </w:rPr>
        <w:t xml:space="preserve"> s</w:t>
      </w:r>
      <w:r w:rsidR="00AD5076" w:rsidRPr="00D36E0A">
        <w:rPr>
          <w:lang w:val="fr-FR"/>
        </w:rPr>
        <w:t>ection</w:t>
      </w:r>
      <w:r w:rsidR="00580A55" w:rsidRPr="00D36E0A">
        <w:rPr>
          <w:lang w:val="fr-FR"/>
        </w:rPr>
        <w:t> </w:t>
      </w:r>
      <w:r w:rsidR="00AD5076" w:rsidRPr="00D36E0A">
        <w:rPr>
          <w:lang w:val="fr-FR"/>
        </w:rPr>
        <w:t>IV cont</w:t>
      </w:r>
      <w:r w:rsidR="005260CD" w:rsidRPr="00D36E0A">
        <w:rPr>
          <w:lang w:val="fr-FR"/>
        </w:rPr>
        <w:t>ient des</w:t>
      </w:r>
      <w:r w:rsidR="00AD5076" w:rsidRPr="00D36E0A">
        <w:rPr>
          <w:lang w:val="fr-FR"/>
        </w:rPr>
        <w:t xml:space="preserve"> conclusions </w:t>
      </w:r>
      <w:r w:rsidR="005260CD" w:rsidRPr="00D36E0A">
        <w:rPr>
          <w:lang w:val="fr-FR"/>
        </w:rPr>
        <w:t>et des</w:t>
      </w:r>
      <w:r w:rsidR="00AD5076" w:rsidRPr="00D36E0A">
        <w:rPr>
          <w:lang w:val="fr-FR"/>
        </w:rPr>
        <w:t xml:space="preserve"> consid</w:t>
      </w:r>
      <w:r w:rsidR="005260CD" w:rsidRPr="00D36E0A">
        <w:rPr>
          <w:lang w:val="fr-FR"/>
        </w:rPr>
        <w:t>é</w:t>
      </w:r>
      <w:r w:rsidR="00AD5076" w:rsidRPr="00D36E0A">
        <w:rPr>
          <w:lang w:val="fr-FR"/>
        </w:rPr>
        <w:t xml:space="preserve">rations </w:t>
      </w:r>
      <w:r w:rsidR="005260CD" w:rsidRPr="00D36E0A">
        <w:rPr>
          <w:lang w:val="fr-FR"/>
        </w:rPr>
        <w:t>relatives à une éventuelle exigence de divulgation à l</w:t>
      </w:r>
      <w:r w:rsidR="00A27507" w:rsidRPr="00D36E0A">
        <w:rPr>
          <w:lang w:val="fr-FR"/>
        </w:rPr>
        <w:t>’</w:t>
      </w:r>
      <w:r w:rsidR="005260CD" w:rsidRPr="00D36E0A">
        <w:rPr>
          <w:lang w:val="fr-FR"/>
        </w:rPr>
        <w:t>échelon international, actuellement examinée au sein de l</w:t>
      </w:r>
      <w:r w:rsidR="00A27507" w:rsidRPr="00D36E0A">
        <w:rPr>
          <w:lang w:val="fr-FR"/>
        </w:rPr>
        <w:t>’</w:t>
      </w:r>
      <w:r w:rsidR="00511F1C" w:rsidRPr="00D36E0A">
        <w:rPr>
          <w:lang w:val="fr-FR"/>
        </w:rPr>
        <w:t>IGC.  En</w:t>
      </w:r>
      <w:r w:rsidR="005260CD" w:rsidRPr="00D36E0A">
        <w:rPr>
          <w:lang w:val="fr-FR"/>
        </w:rPr>
        <w:t>fin</w:t>
      </w:r>
      <w:r w:rsidR="00AD5076" w:rsidRPr="00D36E0A">
        <w:rPr>
          <w:lang w:val="fr-FR"/>
        </w:rPr>
        <w:t xml:space="preserve">, </w:t>
      </w:r>
      <w:r w:rsidR="005260CD" w:rsidRPr="00D36E0A">
        <w:rPr>
          <w:lang w:val="fr-FR"/>
        </w:rPr>
        <w:t>l</w:t>
      </w:r>
      <w:r w:rsidR="00A27507" w:rsidRPr="00D36E0A">
        <w:rPr>
          <w:lang w:val="fr-FR"/>
        </w:rPr>
        <w:t>’</w:t>
      </w:r>
      <w:r w:rsidR="005260CD" w:rsidRPr="00D36E0A">
        <w:rPr>
          <w:lang w:val="fr-FR"/>
        </w:rPr>
        <w:t>a</w:t>
      </w:r>
      <w:r w:rsidR="00AD5076" w:rsidRPr="00D36E0A">
        <w:rPr>
          <w:lang w:val="fr-FR"/>
        </w:rPr>
        <w:t>nnex</w:t>
      </w:r>
      <w:r w:rsidR="005260CD" w:rsidRPr="00D36E0A">
        <w:rPr>
          <w:lang w:val="fr-FR"/>
        </w:rPr>
        <w:t>e </w:t>
      </w:r>
      <w:r w:rsidR="00AD5076" w:rsidRPr="00D36E0A">
        <w:rPr>
          <w:lang w:val="fr-FR"/>
        </w:rPr>
        <w:t xml:space="preserve">1 </w:t>
      </w:r>
      <w:r w:rsidR="005260CD" w:rsidRPr="00D36E0A">
        <w:rPr>
          <w:lang w:val="fr-FR"/>
        </w:rPr>
        <w:t>répertorie les lois</w:t>
      </w:r>
      <w:r w:rsidR="00695681" w:rsidRPr="00D36E0A">
        <w:rPr>
          <w:lang w:val="fr-FR"/>
        </w:rPr>
        <w:t>, ordonnances et autres</w:t>
      </w:r>
      <w:r w:rsidR="00AD5076" w:rsidRPr="00D36E0A">
        <w:rPr>
          <w:lang w:val="fr-FR"/>
        </w:rPr>
        <w:t xml:space="preserve"> documents </w:t>
      </w:r>
      <w:r w:rsidR="00695681" w:rsidRPr="00D36E0A">
        <w:rPr>
          <w:lang w:val="fr-FR"/>
        </w:rPr>
        <w:t xml:space="preserve">pertinents de la Suisse dans le domaine des ressources génétiques et des savoirs traditionnels </w:t>
      </w:r>
      <w:r w:rsidR="008F7585" w:rsidRPr="00D36E0A">
        <w:rPr>
          <w:lang w:val="fr-FR"/>
        </w:rPr>
        <w:t>qui y sont associés</w:t>
      </w:r>
      <w:r w:rsidR="00AD5076" w:rsidRPr="00D36E0A">
        <w:rPr>
          <w:lang w:val="fr-FR"/>
        </w:rPr>
        <w:t xml:space="preserve">, </w:t>
      </w:r>
      <w:r w:rsidR="00695681" w:rsidRPr="00D36E0A">
        <w:rPr>
          <w:lang w:val="fr-FR"/>
        </w:rPr>
        <w:t>et</w:t>
      </w:r>
      <w:r w:rsidR="00AD5076" w:rsidRPr="00D36E0A">
        <w:rPr>
          <w:lang w:val="fr-FR"/>
        </w:rPr>
        <w:t xml:space="preserve"> </w:t>
      </w:r>
      <w:r w:rsidR="00695681" w:rsidRPr="00D36E0A">
        <w:rPr>
          <w:lang w:val="fr-FR"/>
        </w:rPr>
        <w:t>l</w:t>
      </w:r>
      <w:r w:rsidR="00A27507" w:rsidRPr="00D36E0A">
        <w:rPr>
          <w:lang w:val="fr-FR"/>
        </w:rPr>
        <w:t>’</w:t>
      </w:r>
      <w:r w:rsidR="00695681" w:rsidRPr="00D36E0A">
        <w:rPr>
          <w:lang w:val="fr-FR"/>
        </w:rPr>
        <w:t>annexe </w:t>
      </w:r>
      <w:r w:rsidR="00AD5076" w:rsidRPr="00D36E0A">
        <w:rPr>
          <w:lang w:val="fr-FR"/>
        </w:rPr>
        <w:t>2 cont</w:t>
      </w:r>
      <w:r w:rsidR="00695681" w:rsidRPr="00D36E0A">
        <w:rPr>
          <w:lang w:val="fr-FR"/>
        </w:rPr>
        <w:t>ient les</w:t>
      </w:r>
      <w:r w:rsidR="00AD5076" w:rsidRPr="00D36E0A">
        <w:rPr>
          <w:lang w:val="fr-FR"/>
        </w:rPr>
        <w:t xml:space="preserve"> </w:t>
      </w:r>
      <w:r w:rsidR="00695681" w:rsidRPr="00D36E0A">
        <w:rPr>
          <w:lang w:val="fr-FR"/>
        </w:rPr>
        <w:t>commentaires particuliers de la Suisse sur le document des États</w:t>
      </w:r>
      <w:r w:rsidR="00511F1C" w:rsidRPr="00D36E0A">
        <w:rPr>
          <w:lang w:val="fr-FR"/>
        </w:rPr>
        <w:noBreakHyphen/>
      </w:r>
      <w:r w:rsidR="00695681" w:rsidRPr="00D36E0A">
        <w:rPr>
          <w:lang w:val="fr-FR"/>
        </w:rPr>
        <w:t>Unis d</w:t>
      </w:r>
      <w:r w:rsidR="00A27507" w:rsidRPr="00D36E0A">
        <w:rPr>
          <w:lang w:val="fr-FR"/>
        </w:rPr>
        <w:t>’</w:t>
      </w:r>
      <w:r w:rsidR="00695681" w:rsidRPr="00D36E0A">
        <w:rPr>
          <w:lang w:val="fr-FR"/>
        </w:rPr>
        <w:t xml:space="preserve">Amérique </w:t>
      </w:r>
      <w:r w:rsidR="00AD5076" w:rsidRPr="00D36E0A">
        <w:rPr>
          <w:lang w:val="fr-FR"/>
        </w:rPr>
        <w:t xml:space="preserve">WIPO/GRTKF/IC/30/9, </w:t>
      </w:r>
      <w:r w:rsidR="00695681" w:rsidRPr="00D36E0A">
        <w:rPr>
          <w:lang w:val="fr-FR"/>
        </w:rPr>
        <w:t>pour remédier à l</w:t>
      </w:r>
      <w:r w:rsidR="004C5AA2" w:rsidRPr="00D36E0A">
        <w:rPr>
          <w:lang w:val="fr-FR"/>
        </w:rPr>
        <w:t xml:space="preserve">a mauvaise </w:t>
      </w:r>
      <w:r w:rsidR="00695681" w:rsidRPr="00D36E0A">
        <w:rPr>
          <w:lang w:val="fr-FR"/>
        </w:rPr>
        <w:t>interprétation faite du</w:t>
      </w:r>
      <w:r w:rsidR="00AD5076" w:rsidRPr="00D36E0A">
        <w:rPr>
          <w:lang w:val="fr-FR"/>
        </w:rPr>
        <w:t xml:space="preserve"> </w:t>
      </w:r>
      <w:r w:rsidR="00695681" w:rsidRPr="00D36E0A">
        <w:rPr>
          <w:lang w:val="fr-FR"/>
        </w:rPr>
        <w:t>cadre juridique suisse</w:t>
      </w:r>
      <w:r w:rsidR="00AD5076" w:rsidRPr="00D36E0A">
        <w:rPr>
          <w:lang w:val="fr-FR"/>
        </w:rPr>
        <w:t>.</w:t>
      </w:r>
      <w:bookmarkEnd w:id="21"/>
      <w:bookmarkEnd w:id="22"/>
      <w:bookmarkEnd w:id="23"/>
      <w:bookmarkEnd w:id="24"/>
      <w:bookmarkEnd w:id="20"/>
    </w:p>
    <w:p w:rsidR="00AD5076" w:rsidRPr="00D36E0A" w:rsidRDefault="00E067D5" w:rsidP="00D36E0A">
      <w:pPr>
        <w:pStyle w:val="Heading1"/>
      </w:pPr>
      <w:bookmarkStart w:id="25" w:name="_Toc461721023"/>
      <w:bookmarkStart w:id="26" w:name="_Toc461803926"/>
      <w:r w:rsidRPr="00D36E0A">
        <w:t>L’indication de la source dans la loi fédérale sur les brevets d’invention et dans l’ordonnance relative</w:t>
      </w:r>
      <w:bookmarkEnd w:id="25"/>
      <w:r w:rsidRPr="00D36E0A">
        <w:t xml:space="preserve"> aux brevets d’invention</w:t>
      </w:r>
      <w:bookmarkEnd w:id="26"/>
    </w:p>
    <w:p w:rsidR="00AD5076" w:rsidRPr="00D36E0A" w:rsidRDefault="00AD5076" w:rsidP="00D36E0A">
      <w:pPr>
        <w:pStyle w:val="Heading2"/>
      </w:pPr>
      <w:bookmarkStart w:id="27" w:name="_Toc461721024"/>
      <w:bookmarkStart w:id="28" w:name="_Toc461803927"/>
      <w:r w:rsidRPr="00D36E0A">
        <w:t>A.</w:t>
      </w:r>
      <w:r w:rsidRPr="00D36E0A">
        <w:tab/>
        <w:t>Introduction</w:t>
      </w:r>
      <w:bookmarkEnd w:id="27"/>
      <w:bookmarkEnd w:id="28"/>
    </w:p>
    <w:p w:rsidR="00277EAC" w:rsidRPr="00D36E0A" w:rsidRDefault="00277EAC" w:rsidP="00D36E0A">
      <w:pPr>
        <w:rPr>
          <w:lang w:val="fr-FR"/>
        </w:rPr>
      </w:pPr>
    </w:p>
    <w:p w:rsidR="00AD5076" w:rsidRPr="00D36E0A" w:rsidRDefault="00C330CA" w:rsidP="00D36E0A">
      <w:pPr>
        <w:pStyle w:val="ONUMFS"/>
        <w:rPr>
          <w:caps/>
          <w:lang w:val="fr-FR"/>
        </w:rPr>
      </w:pPr>
      <w:bookmarkStart w:id="29" w:name="_Toc457391431"/>
      <w:bookmarkStart w:id="30" w:name="_Toc457394773"/>
      <w:bookmarkStart w:id="31" w:name="_Toc457988558"/>
      <w:bookmarkStart w:id="32" w:name="_Toc457989441"/>
      <w:bookmarkStart w:id="33" w:name="_Toc461721025"/>
      <w:r w:rsidRPr="00D36E0A">
        <w:rPr>
          <w:lang w:val="fr-FR"/>
        </w:rPr>
        <w:t>En résumé</w:t>
      </w:r>
      <w:r w:rsidR="00AD5076" w:rsidRPr="00D36E0A">
        <w:rPr>
          <w:lang w:val="fr-FR"/>
        </w:rPr>
        <w:t xml:space="preserve">, </w:t>
      </w:r>
      <w:r w:rsidR="00DE4915" w:rsidRPr="00D36E0A">
        <w:rPr>
          <w:lang w:val="fr-FR"/>
        </w:rPr>
        <w:t>les dispositions</w:t>
      </w:r>
      <w:r w:rsidR="00AD5076" w:rsidRPr="00D36E0A">
        <w:rPr>
          <w:lang w:val="fr-FR"/>
        </w:rPr>
        <w:t xml:space="preserve"> </w:t>
      </w:r>
      <w:r w:rsidR="00DE4915" w:rsidRPr="00D36E0A">
        <w:rPr>
          <w:lang w:val="fr-FR"/>
        </w:rPr>
        <w:t>de la </w:t>
      </w:r>
      <w:proofErr w:type="spellStart"/>
      <w:r w:rsidR="00DE4915" w:rsidRPr="00D36E0A">
        <w:rPr>
          <w:lang w:val="fr-FR"/>
        </w:rPr>
        <w:t>LBI</w:t>
      </w:r>
      <w:proofErr w:type="spellEnd"/>
      <w:r w:rsidR="00AD5076" w:rsidRPr="00D36E0A">
        <w:rPr>
          <w:lang w:val="fr-FR"/>
        </w:rPr>
        <w:t xml:space="preserve"> stipul</w:t>
      </w:r>
      <w:r w:rsidR="00DE4915" w:rsidRPr="00D36E0A">
        <w:rPr>
          <w:lang w:val="fr-FR"/>
        </w:rPr>
        <w:t>ent que la demande de brevet doit</w:t>
      </w:r>
      <w:r w:rsidR="00AD5076" w:rsidRPr="00D36E0A">
        <w:rPr>
          <w:lang w:val="fr-FR"/>
        </w:rPr>
        <w:t xml:space="preserve"> cont</w:t>
      </w:r>
      <w:r w:rsidR="00DE4915" w:rsidRPr="00D36E0A">
        <w:rPr>
          <w:lang w:val="fr-FR"/>
        </w:rPr>
        <w:t>e</w:t>
      </w:r>
      <w:r w:rsidR="00AD5076" w:rsidRPr="00D36E0A">
        <w:rPr>
          <w:lang w:val="fr-FR"/>
        </w:rPr>
        <w:t>n</w:t>
      </w:r>
      <w:r w:rsidR="00DE4915" w:rsidRPr="00D36E0A">
        <w:rPr>
          <w:lang w:val="fr-FR"/>
        </w:rPr>
        <w:t>ir des</w:t>
      </w:r>
      <w:r w:rsidR="00AD5076" w:rsidRPr="00D36E0A">
        <w:rPr>
          <w:lang w:val="fr-FR"/>
        </w:rPr>
        <w:t xml:space="preserve"> </w:t>
      </w:r>
      <w:r w:rsidR="00E15603" w:rsidRPr="00D36E0A">
        <w:rPr>
          <w:lang w:val="fr-FR"/>
        </w:rPr>
        <w:t>indications concernant</w:t>
      </w:r>
      <w:r w:rsidR="00DE4915" w:rsidRPr="00D36E0A">
        <w:rPr>
          <w:lang w:val="fr-FR"/>
        </w:rPr>
        <w:t xml:space="preserve"> la</w:t>
      </w:r>
      <w:r w:rsidR="00AD5076" w:rsidRPr="00D36E0A">
        <w:rPr>
          <w:lang w:val="fr-FR"/>
        </w:rPr>
        <w:t xml:space="preserve"> </w:t>
      </w:r>
      <w:r w:rsidR="00AD5076" w:rsidRPr="00D36E0A">
        <w:rPr>
          <w:u w:val="single"/>
          <w:lang w:val="fr-FR"/>
        </w:rPr>
        <w:t xml:space="preserve">source </w:t>
      </w:r>
      <w:r w:rsidR="00E15603" w:rsidRPr="00D36E0A">
        <w:rPr>
          <w:u w:val="single"/>
          <w:lang w:val="fr-FR"/>
        </w:rPr>
        <w:t>de la</w:t>
      </w:r>
      <w:r w:rsidR="00DE4915" w:rsidRPr="00D36E0A">
        <w:rPr>
          <w:u w:val="single"/>
          <w:lang w:val="fr-FR"/>
        </w:rPr>
        <w:t xml:space="preserve"> ressource </w:t>
      </w:r>
      <w:r w:rsidR="00AD5076" w:rsidRPr="00D36E0A">
        <w:rPr>
          <w:u w:val="single"/>
          <w:lang w:val="fr-FR"/>
        </w:rPr>
        <w:t>g</w:t>
      </w:r>
      <w:r w:rsidR="00DE4915" w:rsidRPr="00D36E0A">
        <w:rPr>
          <w:u w:val="single"/>
          <w:lang w:val="fr-FR"/>
        </w:rPr>
        <w:t>é</w:t>
      </w:r>
      <w:r w:rsidR="00AD5076" w:rsidRPr="00D36E0A">
        <w:rPr>
          <w:u w:val="single"/>
          <w:lang w:val="fr-FR"/>
        </w:rPr>
        <w:t>n</w:t>
      </w:r>
      <w:r w:rsidR="00DE4915" w:rsidRPr="00D36E0A">
        <w:rPr>
          <w:u w:val="single"/>
          <w:lang w:val="fr-FR"/>
        </w:rPr>
        <w:t>é</w:t>
      </w:r>
      <w:r w:rsidR="00AD5076" w:rsidRPr="00D36E0A">
        <w:rPr>
          <w:u w:val="single"/>
          <w:lang w:val="fr-FR"/>
        </w:rPr>
        <w:t>ti</w:t>
      </w:r>
      <w:r w:rsidR="00DE4915" w:rsidRPr="00D36E0A">
        <w:rPr>
          <w:u w:val="single"/>
          <w:lang w:val="fr-FR"/>
        </w:rPr>
        <w:t>qu</w:t>
      </w:r>
      <w:r w:rsidR="00AD5076" w:rsidRPr="00D36E0A">
        <w:rPr>
          <w:u w:val="single"/>
          <w:lang w:val="fr-FR"/>
        </w:rPr>
        <w:t>e</w:t>
      </w:r>
      <w:r w:rsidR="00AD5076" w:rsidRPr="00D36E0A">
        <w:rPr>
          <w:lang w:val="fr-FR"/>
        </w:rPr>
        <w:t xml:space="preserve">, </w:t>
      </w:r>
      <w:r w:rsidR="00E15603" w:rsidRPr="00D36E0A">
        <w:rPr>
          <w:lang w:val="fr-FR"/>
        </w:rPr>
        <w:t>à laquelle l</w:t>
      </w:r>
      <w:r w:rsidR="00A27507" w:rsidRPr="00D36E0A">
        <w:rPr>
          <w:lang w:val="fr-FR"/>
        </w:rPr>
        <w:t>’</w:t>
      </w:r>
      <w:r w:rsidR="00AD5076" w:rsidRPr="00D36E0A">
        <w:rPr>
          <w:lang w:val="fr-FR"/>
        </w:rPr>
        <w:t>invent</w:t>
      </w:r>
      <w:r w:rsidR="00E15603" w:rsidRPr="00D36E0A">
        <w:rPr>
          <w:lang w:val="fr-FR"/>
        </w:rPr>
        <w:t>eu</w:t>
      </w:r>
      <w:r w:rsidR="00AD5076" w:rsidRPr="00D36E0A">
        <w:rPr>
          <w:lang w:val="fr-FR"/>
        </w:rPr>
        <w:t>r o</w:t>
      </w:r>
      <w:r w:rsidR="00E15603" w:rsidRPr="00D36E0A">
        <w:rPr>
          <w:lang w:val="fr-FR"/>
        </w:rPr>
        <w:t>u</w:t>
      </w:r>
      <w:r w:rsidR="00AD5076" w:rsidRPr="00D36E0A">
        <w:rPr>
          <w:lang w:val="fr-FR"/>
        </w:rPr>
        <w:t xml:space="preserve"> </w:t>
      </w:r>
      <w:r w:rsidR="00E15603" w:rsidRPr="00D36E0A">
        <w:rPr>
          <w:lang w:val="fr-FR"/>
        </w:rPr>
        <w:t>l</w:t>
      </w:r>
      <w:r w:rsidR="00AD5076" w:rsidRPr="00D36E0A">
        <w:rPr>
          <w:lang w:val="fr-FR"/>
        </w:rPr>
        <w:t xml:space="preserve">e </w:t>
      </w:r>
      <w:r w:rsidR="0015560F" w:rsidRPr="00D36E0A">
        <w:rPr>
          <w:lang w:val="fr-FR"/>
        </w:rPr>
        <w:t>requérant</w:t>
      </w:r>
      <w:r w:rsidR="00AD5076" w:rsidRPr="00D36E0A">
        <w:rPr>
          <w:lang w:val="fr-FR"/>
        </w:rPr>
        <w:t xml:space="preserve"> </w:t>
      </w:r>
      <w:r w:rsidR="00E15603" w:rsidRPr="00D36E0A">
        <w:rPr>
          <w:lang w:val="fr-FR"/>
        </w:rPr>
        <w:t>a eu</w:t>
      </w:r>
      <w:r w:rsidR="00AD5076" w:rsidRPr="00D36E0A">
        <w:rPr>
          <w:lang w:val="fr-FR"/>
        </w:rPr>
        <w:t xml:space="preserve"> acc</w:t>
      </w:r>
      <w:r w:rsidR="00E15603" w:rsidRPr="00D36E0A">
        <w:rPr>
          <w:lang w:val="fr-FR"/>
        </w:rPr>
        <w:t>è</w:t>
      </w:r>
      <w:r w:rsidR="00AD5076" w:rsidRPr="00D36E0A">
        <w:rPr>
          <w:lang w:val="fr-FR"/>
        </w:rPr>
        <w:t xml:space="preserve">s, </w:t>
      </w:r>
      <w:r w:rsidR="00E15603" w:rsidRPr="00D36E0A">
        <w:rPr>
          <w:lang w:val="fr-FR"/>
        </w:rPr>
        <w:t>pour autant que l</w:t>
      </w:r>
      <w:r w:rsidR="00A27507" w:rsidRPr="00D36E0A">
        <w:rPr>
          <w:lang w:val="fr-FR"/>
        </w:rPr>
        <w:t>’</w:t>
      </w:r>
      <w:r w:rsidR="00AD5076" w:rsidRPr="00D36E0A">
        <w:rPr>
          <w:lang w:val="fr-FR"/>
        </w:rPr>
        <w:t xml:space="preserve">invention </w:t>
      </w:r>
      <w:r w:rsidR="00E15603" w:rsidRPr="00D36E0A">
        <w:rPr>
          <w:u w:val="single"/>
          <w:lang w:val="fr-FR"/>
        </w:rPr>
        <w:t xml:space="preserve">porte directement sur </w:t>
      </w:r>
      <w:r w:rsidR="00E15603" w:rsidRPr="00D36E0A">
        <w:rPr>
          <w:lang w:val="fr-FR"/>
        </w:rPr>
        <w:t>cette</w:t>
      </w:r>
      <w:r w:rsidR="00AD5076" w:rsidRPr="00D36E0A">
        <w:rPr>
          <w:lang w:val="fr-FR"/>
        </w:rPr>
        <w:t xml:space="preserve"> res</w:t>
      </w:r>
      <w:r w:rsidR="00E15603" w:rsidRPr="00D36E0A">
        <w:rPr>
          <w:lang w:val="fr-FR"/>
        </w:rPr>
        <w:t>s</w:t>
      </w:r>
      <w:r w:rsidR="00AD5076" w:rsidRPr="00D36E0A">
        <w:rPr>
          <w:lang w:val="fr-FR"/>
        </w:rPr>
        <w:t>our</w:t>
      </w:r>
      <w:r w:rsidR="00511F1C" w:rsidRPr="00D36E0A">
        <w:rPr>
          <w:lang w:val="fr-FR"/>
        </w:rPr>
        <w:t>ce.  De</w:t>
      </w:r>
      <w:r w:rsidR="00E15603" w:rsidRPr="00D36E0A">
        <w:rPr>
          <w:lang w:val="fr-FR"/>
        </w:rPr>
        <w:t xml:space="preserve"> même</w:t>
      </w:r>
      <w:r w:rsidR="00AD5076" w:rsidRPr="00D36E0A">
        <w:rPr>
          <w:lang w:val="fr-FR"/>
        </w:rPr>
        <w:t xml:space="preserve">, </w:t>
      </w:r>
      <w:r w:rsidR="00E15603" w:rsidRPr="00D36E0A">
        <w:rPr>
          <w:lang w:val="fr-FR"/>
        </w:rPr>
        <w:t>la demande de brevet doit contenir des</w:t>
      </w:r>
      <w:r w:rsidR="00AD5076" w:rsidRPr="00D36E0A">
        <w:rPr>
          <w:lang w:val="fr-FR"/>
        </w:rPr>
        <w:t xml:space="preserve"> </w:t>
      </w:r>
      <w:r w:rsidR="00E15603" w:rsidRPr="00D36E0A">
        <w:rPr>
          <w:lang w:val="fr-FR"/>
        </w:rPr>
        <w:t xml:space="preserve">indications concernant la </w:t>
      </w:r>
      <w:r w:rsidR="00AD5076" w:rsidRPr="00D36E0A">
        <w:rPr>
          <w:u w:val="single"/>
          <w:lang w:val="fr-FR"/>
        </w:rPr>
        <w:t xml:space="preserve">source </w:t>
      </w:r>
      <w:r w:rsidR="00E15603" w:rsidRPr="00D36E0A">
        <w:rPr>
          <w:u w:val="single"/>
          <w:lang w:val="fr-FR"/>
        </w:rPr>
        <w:t>du savoir</w:t>
      </w:r>
      <w:r w:rsidR="00AD5076" w:rsidRPr="00D36E0A">
        <w:rPr>
          <w:u w:val="single"/>
          <w:lang w:val="fr-FR"/>
        </w:rPr>
        <w:t xml:space="preserve"> tradition</w:t>
      </w:r>
      <w:r w:rsidR="00E15603" w:rsidRPr="00D36E0A">
        <w:rPr>
          <w:u w:val="single"/>
          <w:lang w:val="fr-FR"/>
        </w:rPr>
        <w:t>nel des communautés</w:t>
      </w:r>
      <w:r w:rsidR="00AD5076" w:rsidRPr="00D36E0A">
        <w:rPr>
          <w:u w:val="single"/>
          <w:lang w:val="fr-FR"/>
        </w:rPr>
        <w:t xml:space="preserve"> indig</w:t>
      </w:r>
      <w:r w:rsidR="00FE4A18" w:rsidRPr="00D36E0A">
        <w:rPr>
          <w:u w:val="single"/>
          <w:lang w:val="fr-FR"/>
        </w:rPr>
        <w:t>è</w:t>
      </w:r>
      <w:r w:rsidR="00AD5076" w:rsidRPr="00D36E0A">
        <w:rPr>
          <w:u w:val="single"/>
          <w:lang w:val="fr-FR"/>
        </w:rPr>
        <w:t>n</w:t>
      </w:r>
      <w:r w:rsidR="00FE4A18" w:rsidRPr="00D36E0A">
        <w:rPr>
          <w:u w:val="single"/>
          <w:lang w:val="fr-FR"/>
        </w:rPr>
        <w:t>e</w:t>
      </w:r>
      <w:r w:rsidR="00AD5076" w:rsidRPr="00D36E0A">
        <w:rPr>
          <w:u w:val="single"/>
          <w:lang w:val="fr-FR"/>
        </w:rPr>
        <w:t xml:space="preserve">s </w:t>
      </w:r>
      <w:r w:rsidR="00FE4A18" w:rsidRPr="00D36E0A">
        <w:rPr>
          <w:u w:val="single"/>
          <w:lang w:val="fr-FR"/>
        </w:rPr>
        <w:t>ou locales relatif aux</w:t>
      </w:r>
      <w:r w:rsidR="00AD5076" w:rsidRPr="00D36E0A">
        <w:rPr>
          <w:u w:val="single"/>
          <w:lang w:val="fr-FR"/>
        </w:rPr>
        <w:t xml:space="preserve"> res</w:t>
      </w:r>
      <w:r w:rsidR="00FE4A18" w:rsidRPr="00D36E0A">
        <w:rPr>
          <w:u w:val="single"/>
          <w:lang w:val="fr-FR"/>
        </w:rPr>
        <w:t>s</w:t>
      </w:r>
      <w:r w:rsidR="00AD5076" w:rsidRPr="00D36E0A">
        <w:rPr>
          <w:u w:val="single"/>
          <w:lang w:val="fr-FR"/>
        </w:rPr>
        <w:t>ources</w:t>
      </w:r>
      <w:r w:rsidR="00FE4A18" w:rsidRPr="00D36E0A">
        <w:rPr>
          <w:u w:val="single"/>
          <w:lang w:val="fr-FR"/>
        </w:rPr>
        <w:t xml:space="preserve"> génétiques</w:t>
      </w:r>
      <w:r w:rsidR="00FE4A18" w:rsidRPr="00D36E0A">
        <w:rPr>
          <w:lang w:val="fr-FR"/>
        </w:rPr>
        <w:t xml:space="preserve"> auxquelles l</w:t>
      </w:r>
      <w:r w:rsidR="00A27507" w:rsidRPr="00D36E0A">
        <w:rPr>
          <w:lang w:val="fr-FR"/>
        </w:rPr>
        <w:t>’</w:t>
      </w:r>
      <w:r w:rsidR="00FE4A18" w:rsidRPr="00D36E0A">
        <w:rPr>
          <w:lang w:val="fr-FR"/>
        </w:rPr>
        <w:t>inventeur ou</w:t>
      </w:r>
      <w:r w:rsidR="00AD5076" w:rsidRPr="00D36E0A">
        <w:rPr>
          <w:lang w:val="fr-FR"/>
        </w:rPr>
        <w:t xml:space="preserve"> </w:t>
      </w:r>
      <w:r w:rsidR="003344BE" w:rsidRPr="00D36E0A">
        <w:rPr>
          <w:lang w:val="fr-FR"/>
        </w:rPr>
        <w:t>requérant</w:t>
      </w:r>
      <w:r w:rsidR="00AD5076" w:rsidRPr="00D36E0A">
        <w:rPr>
          <w:lang w:val="fr-FR"/>
        </w:rPr>
        <w:t xml:space="preserve"> </w:t>
      </w:r>
      <w:r w:rsidR="00FE4A18" w:rsidRPr="00D36E0A">
        <w:rPr>
          <w:lang w:val="fr-FR"/>
        </w:rPr>
        <w:t>a eu accès, pour autant que l</w:t>
      </w:r>
      <w:r w:rsidR="00A27507" w:rsidRPr="00D36E0A">
        <w:rPr>
          <w:lang w:val="fr-FR"/>
        </w:rPr>
        <w:t>’</w:t>
      </w:r>
      <w:r w:rsidR="00FE4A18" w:rsidRPr="00D36E0A">
        <w:rPr>
          <w:lang w:val="fr-FR"/>
        </w:rPr>
        <w:t>invention porte directement sur</w:t>
      </w:r>
      <w:r w:rsidR="004C5AA2" w:rsidRPr="00D36E0A">
        <w:rPr>
          <w:lang w:val="fr-FR"/>
        </w:rPr>
        <w:t xml:space="preserve"> </w:t>
      </w:r>
      <w:r w:rsidR="00FE4A18" w:rsidRPr="00D36E0A">
        <w:rPr>
          <w:lang w:val="fr-FR"/>
        </w:rPr>
        <w:t>ce savo</w:t>
      </w:r>
      <w:r w:rsidR="00511F1C" w:rsidRPr="00D36E0A">
        <w:rPr>
          <w:lang w:val="fr-FR"/>
        </w:rPr>
        <w:t>ir.  La</w:t>
      </w:r>
      <w:r w:rsidR="004C5AA2" w:rsidRPr="00D36E0A">
        <w:rPr>
          <w:lang w:val="fr-FR"/>
        </w:rPr>
        <w:t> </w:t>
      </w:r>
      <w:proofErr w:type="spellStart"/>
      <w:r w:rsidR="00FE4A18" w:rsidRPr="00D36E0A">
        <w:rPr>
          <w:lang w:val="fr-FR"/>
        </w:rPr>
        <w:t>LBI</w:t>
      </w:r>
      <w:proofErr w:type="spellEnd"/>
      <w:r w:rsidR="00AD5076" w:rsidRPr="00D36E0A">
        <w:rPr>
          <w:lang w:val="fr-FR"/>
        </w:rPr>
        <w:t xml:space="preserve"> </w:t>
      </w:r>
      <w:r w:rsidR="00FE4A18" w:rsidRPr="00D36E0A">
        <w:rPr>
          <w:lang w:val="fr-FR"/>
        </w:rPr>
        <w:t>contie</w:t>
      </w:r>
      <w:r w:rsidR="00AD5076" w:rsidRPr="00D36E0A">
        <w:rPr>
          <w:lang w:val="fr-FR"/>
        </w:rPr>
        <w:t>n</w:t>
      </w:r>
      <w:r w:rsidR="00FE4A18" w:rsidRPr="00D36E0A">
        <w:rPr>
          <w:lang w:val="fr-FR"/>
        </w:rPr>
        <w:t>t également des</w:t>
      </w:r>
      <w:r w:rsidR="00AD5076" w:rsidRPr="00D36E0A">
        <w:rPr>
          <w:lang w:val="fr-FR"/>
        </w:rPr>
        <w:t xml:space="preserve"> </w:t>
      </w:r>
      <w:r w:rsidR="00AD5076" w:rsidRPr="00D36E0A">
        <w:rPr>
          <w:u w:val="single"/>
          <w:lang w:val="fr-FR"/>
        </w:rPr>
        <w:t>sanctions</w:t>
      </w:r>
      <w:r w:rsidR="00AD5076" w:rsidRPr="00D36E0A">
        <w:rPr>
          <w:lang w:val="fr-FR"/>
        </w:rPr>
        <w:t xml:space="preserve"> </w:t>
      </w:r>
      <w:r w:rsidR="00FE4A18" w:rsidRPr="00D36E0A">
        <w:rPr>
          <w:lang w:val="fr-FR"/>
        </w:rPr>
        <w:t xml:space="preserve">en cas de </w:t>
      </w:r>
      <w:r w:rsidR="008F7585" w:rsidRPr="00D36E0A">
        <w:rPr>
          <w:lang w:val="fr-FR"/>
        </w:rPr>
        <w:t>défaut de d</w:t>
      </w:r>
      <w:r w:rsidR="0015560F" w:rsidRPr="00D36E0A">
        <w:rPr>
          <w:lang w:val="fr-FR"/>
        </w:rPr>
        <w:t>ivulgation</w:t>
      </w:r>
      <w:r w:rsidR="00EE45AC" w:rsidRPr="00D36E0A">
        <w:rPr>
          <w:lang w:val="fr-FR"/>
        </w:rPr>
        <w:t>,</w:t>
      </w:r>
      <w:r w:rsidR="0015560F" w:rsidRPr="00D36E0A">
        <w:rPr>
          <w:lang w:val="fr-FR"/>
        </w:rPr>
        <w:t xml:space="preserve"> ou de</w:t>
      </w:r>
      <w:r w:rsidR="00AD5076" w:rsidRPr="00D36E0A">
        <w:rPr>
          <w:lang w:val="fr-FR"/>
        </w:rPr>
        <w:t xml:space="preserve"> </w:t>
      </w:r>
      <w:r w:rsidR="008F7585" w:rsidRPr="00D36E0A">
        <w:rPr>
          <w:lang w:val="fr-FR"/>
        </w:rPr>
        <w:t xml:space="preserve">divulgation fallacieuse </w:t>
      </w:r>
      <w:r w:rsidR="00EE45AC" w:rsidRPr="00D36E0A">
        <w:rPr>
          <w:lang w:val="fr-FR"/>
        </w:rPr>
        <w:t>de la</w:t>
      </w:r>
      <w:r w:rsidR="00AD5076" w:rsidRPr="00D36E0A">
        <w:rPr>
          <w:lang w:val="fr-FR"/>
        </w:rPr>
        <w:t xml:space="preserve"> source. </w:t>
      </w:r>
      <w:r w:rsidR="009E04BD" w:rsidRPr="00D36E0A">
        <w:rPr>
          <w:lang w:val="fr-FR"/>
        </w:rPr>
        <w:t xml:space="preserve"> </w:t>
      </w:r>
      <w:r w:rsidR="00EE45AC" w:rsidRPr="00D36E0A">
        <w:rPr>
          <w:lang w:val="fr-FR"/>
        </w:rPr>
        <w:t>L</w:t>
      </w:r>
      <w:r w:rsidR="00A27507" w:rsidRPr="00D36E0A">
        <w:rPr>
          <w:lang w:val="fr-FR"/>
        </w:rPr>
        <w:t>’</w:t>
      </w:r>
      <w:r w:rsidR="00EE45AC" w:rsidRPr="00D36E0A">
        <w:rPr>
          <w:lang w:val="fr-FR"/>
        </w:rPr>
        <w:t>OBI</w:t>
      </w:r>
      <w:r w:rsidR="00AD5076" w:rsidRPr="00D36E0A">
        <w:rPr>
          <w:lang w:val="fr-FR"/>
        </w:rPr>
        <w:t xml:space="preserve"> </w:t>
      </w:r>
      <w:r w:rsidR="00EE45AC" w:rsidRPr="00D36E0A">
        <w:rPr>
          <w:lang w:val="fr-FR"/>
        </w:rPr>
        <w:t>répertorie les</w:t>
      </w:r>
      <w:r w:rsidR="00AD5076" w:rsidRPr="00D36E0A">
        <w:rPr>
          <w:lang w:val="fr-FR"/>
        </w:rPr>
        <w:t xml:space="preserve"> </w:t>
      </w:r>
      <w:r w:rsidR="00EE45AC" w:rsidRPr="00D36E0A">
        <w:rPr>
          <w:lang w:val="fr-FR"/>
        </w:rPr>
        <w:t>principales</w:t>
      </w:r>
      <w:r w:rsidR="00AD5076" w:rsidRPr="00D36E0A">
        <w:rPr>
          <w:lang w:val="fr-FR"/>
        </w:rPr>
        <w:t xml:space="preserve"> sources </w:t>
      </w:r>
      <w:r w:rsidR="00EE45AC" w:rsidRPr="00D36E0A">
        <w:rPr>
          <w:lang w:val="fr-FR"/>
        </w:rPr>
        <w:t>et stipul</w:t>
      </w:r>
      <w:r w:rsidR="00AD5076" w:rsidRPr="00D36E0A">
        <w:rPr>
          <w:lang w:val="fr-FR"/>
        </w:rPr>
        <w:t xml:space="preserve">e </w:t>
      </w:r>
      <w:r w:rsidR="00EE45AC" w:rsidRPr="00D36E0A">
        <w:rPr>
          <w:lang w:val="fr-FR"/>
        </w:rPr>
        <w:t>que la</w:t>
      </w:r>
      <w:r w:rsidR="00AD5076" w:rsidRPr="00D36E0A">
        <w:rPr>
          <w:lang w:val="fr-FR"/>
        </w:rPr>
        <w:t xml:space="preserve"> source </w:t>
      </w:r>
      <w:r w:rsidR="00EE45AC" w:rsidRPr="00D36E0A">
        <w:rPr>
          <w:lang w:val="fr-FR"/>
        </w:rPr>
        <w:t>dot être</w:t>
      </w:r>
      <w:r w:rsidR="00AD5076" w:rsidRPr="00D36E0A">
        <w:rPr>
          <w:lang w:val="fr-FR"/>
        </w:rPr>
        <w:t xml:space="preserve"> conte</w:t>
      </w:r>
      <w:r w:rsidR="00EE45AC" w:rsidRPr="00D36E0A">
        <w:rPr>
          <w:lang w:val="fr-FR"/>
        </w:rPr>
        <w:t>nue dans</w:t>
      </w:r>
      <w:r w:rsidR="00AD5076" w:rsidRPr="00D36E0A">
        <w:rPr>
          <w:lang w:val="fr-FR"/>
        </w:rPr>
        <w:t xml:space="preserve"> </w:t>
      </w:r>
      <w:r w:rsidR="00EE45AC" w:rsidRPr="00D36E0A">
        <w:rPr>
          <w:lang w:val="fr-FR"/>
        </w:rPr>
        <w:t>la</w:t>
      </w:r>
      <w:r w:rsidR="00AD5076" w:rsidRPr="00D36E0A">
        <w:rPr>
          <w:lang w:val="fr-FR"/>
        </w:rPr>
        <w:t xml:space="preserve"> description </w:t>
      </w:r>
      <w:r w:rsidR="00EE45AC" w:rsidRPr="00D36E0A">
        <w:rPr>
          <w:lang w:val="fr-FR"/>
        </w:rPr>
        <w:t>de l</w:t>
      </w:r>
      <w:r w:rsidR="00A27507" w:rsidRPr="00D36E0A">
        <w:rPr>
          <w:lang w:val="fr-FR"/>
        </w:rPr>
        <w:t>’</w:t>
      </w:r>
      <w:r w:rsidR="00AD5076" w:rsidRPr="00D36E0A">
        <w:rPr>
          <w:lang w:val="fr-FR"/>
        </w:rPr>
        <w:t>invention (</w:t>
      </w:r>
      <w:r w:rsidR="00EE45AC" w:rsidRPr="00D36E0A">
        <w:rPr>
          <w:lang w:val="fr-FR"/>
        </w:rPr>
        <w:t>voir l</w:t>
      </w:r>
      <w:r w:rsidR="00A27507" w:rsidRPr="00D36E0A">
        <w:rPr>
          <w:lang w:val="fr-FR"/>
        </w:rPr>
        <w:t>’</w:t>
      </w:r>
      <w:r w:rsidR="00EE45AC" w:rsidRPr="00D36E0A">
        <w:rPr>
          <w:lang w:val="fr-FR"/>
        </w:rPr>
        <w:t>annexe </w:t>
      </w:r>
      <w:r w:rsidR="00AD5076" w:rsidRPr="00D36E0A">
        <w:rPr>
          <w:lang w:val="fr-FR"/>
        </w:rPr>
        <w:t xml:space="preserve">1 </w:t>
      </w:r>
      <w:r w:rsidR="00EE45AC" w:rsidRPr="00D36E0A">
        <w:rPr>
          <w:lang w:val="fr-FR"/>
        </w:rPr>
        <w:t>pour les dispositions</w:t>
      </w:r>
      <w:r w:rsidR="00AD5076" w:rsidRPr="00D36E0A">
        <w:rPr>
          <w:lang w:val="fr-FR"/>
        </w:rPr>
        <w:t xml:space="preserve"> </w:t>
      </w:r>
      <w:r w:rsidR="00FC0A2F" w:rsidRPr="00D36E0A">
        <w:rPr>
          <w:lang w:val="fr-FR"/>
        </w:rPr>
        <w:t>de la </w:t>
      </w:r>
      <w:proofErr w:type="spellStart"/>
      <w:r w:rsidR="00FC0A2F" w:rsidRPr="00D36E0A">
        <w:rPr>
          <w:lang w:val="fr-FR"/>
        </w:rPr>
        <w:t>LBI</w:t>
      </w:r>
      <w:proofErr w:type="spellEnd"/>
      <w:r w:rsidR="00FC0A2F" w:rsidRPr="00D36E0A">
        <w:rPr>
          <w:lang w:val="fr-FR"/>
        </w:rPr>
        <w:t xml:space="preserve"> et de </w:t>
      </w:r>
      <w:r w:rsidR="00EE45AC" w:rsidRPr="00D36E0A">
        <w:rPr>
          <w:lang w:val="fr-FR"/>
        </w:rPr>
        <w:t>l</w:t>
      </w:r>
      <w:r w:rsidR="00A27507" w:rsidRPr="00D36E0A">
        <w:rPr>
          <w:lang w:val="fr-FR"/>
        </w:rPr>
        <w:t>’</w:t>
      </w:r>
      <w:r w:rsidR="00EE45AC" w:rsidRPr="00D36E0A">
        <w:rPr>
          <w:lang w:val="fr-FR"/>
        </w:rPr>
        <w:t>OBI</w:t>
      </w:r>
      <w:r w:rsidR="00AD5076" w:rsidRPr="00D36E0A">
        <w:rPr>
          <w:lang w:val="fr-FR"/>
        </w:rPr>
        <w:t>).</w:t>
      </w:r>
      <w:bookmarkEnd w:id="29"/>
      <w:bookmarkEnd w:id="30"/>
      <w:bookmarkEnd w:id="31"/>
      <w:bookmarkEnd w:id="32"/>
      <w:bookmarkEnd w:id="33"/>
    </w:p>
    <w:p w:rsidR="00AD5076" w:rsidRPr="00D36E0A" w:rsidRDefault="003344BE" w:rsidP="00D36E0A">
      <w:pPr>
        <w:pStyle w:val="ONUMFS"/>
        <w:rPr>
          <w:caps/>
          <w:lang w:val="fr-FR"/>
        </w:rPr>
      </w:pPr>
      <w:bookmarkStart w:id="34" w:name="_Toc457391432"/>
      <w:bookmarkStart w:id="35" w:name="_Toc457394774"/>
      <w:bookmarkStart w:id="36" w:name="_Toc457988559"/>
      <w:bookmarkStart w:id="37" w:name="_Toc457989442"/>
      <w:bookmarkStart w:id="38" w:name="_Toc461721026"/>
      <w:r w:rsidRPr="00D36E0A">
        <w:rPr>
          <w:lang w:val="fr-FR"/>
        </w:rPr>
        <w:t>E</w:t>
      </w:r>
      <w:r w:rsidR="00AD5076" w:rsidRPr="00D36E0A">
        <w:rPr>
          <w:lang w:val="fr-FR"/>
        </w:rPr>
        <w:t>n</w:t>
      </w:r>
      <w:r w:rsidR="00580A55" w:rsidRPr="00D36E0A">
        <w:rPr>
          <w:lang w:val="fr-FR"/>
        </w:rPr>
        <w:t> </w:t>
      </w:r>
      <w:r w:rsidR="00AD5076" w:rsidRPr="00D36E0A">
        <w:rPr>
          <w:lang w:val="fr-FR"/>
        </w:rPr>
        <w:t xml:space="preserve">2010, </w:t>
      </w:r>
      <w:r w:rsidRPr="00D36E0A">
        <w:rPr>
          <w:lang w:val="fr-FR"/>
        </w:rPr>
        <w:t>la Suisse a</w:t>
      </w:r>
      <w:r w:rsidR="00AD5076" w:rsidRPr="00D36E0A">
        <w:rPr>
          <w:lang w:val="fr-FR"/>
        </w:rPr>
        <w:t xml:space="preserve"> </w:t>
      </w:r>
      <w:r w:rsidRPr="00D36E0A">
        <w:rPr>
          <w:lang w:val="fr-FR"/>
        </w:rPr>
        <w:t>soumis</w:t>
      </w:r>
      <w:r w:rsidR="008F7B51" w:rsidRPr="00D36E0A">
        <w:rPr>
          <w:lang w:val="fr-FR"/>
        </w:rPr>
        <w:t>, en tant que document d</w:t>
      </w:r>
      <w:r w:rsidR="00A27507" w:rsidRPr="00D36E0A">
        <w:rPr>
          <w:lang w:val="fr-FR"/>
        </w:rPr>
        <w:t>’</w:t>
      </w:r>
      <w:r w:rsidR="008F7B51" w:rsidRPr="00D36E0A">
        <w:rPr>
          <w:lang w:val="fr-FR"/>
        </w:rPr>
        <w:t>information pour la sei</w:t>
      </w:r>
      <w:r w:rsidR="001B7C9D" w:rsidRPr="00D36E0A">
        <w:rPr>
          <w:lang w:val="fr-FR"/>
        </w:rPr>
        <w:t>z</w:t>
      </w:r>
      <w:r w:rsidR="008F7B51" w:rsidRPr="00D36E0A">
        <w:rPr>
          <w:lang w:val="fr-FR"/>
        </w:rPr>
        <w:t>ième</w:t>
      </w:r>
      <w:r w:rsidR="00580A55" w:rsidRPr="00D36E0A">
        <w:rPr>
          <w:lang w:val="fr-FR"/>
        </w:rPr>
        <w:t> </w:t>
      </w:r>
      <w:r w:rsidR="008F7B51" w:rsidRPr="00D36E0A">
        <w:rPr>
          <w:lang w:val="fr-FR"/>
        </w:rPr>
        <w:t>session de l</w:t>
      </w:r>
      <w:r w:rsidR="00A27507" w:rsidRPr="00D36E0A">
        <w:rPr>
          <w:lang w:val="fr-FR"/>
        </w:rPr>
        <w:t>’</w:t>
      </w:r>
      <w:r w:rsidR="008F7B51" w:rsidRPr="00D36E0A">
        <w:rPr>
          <w:lang w:val="fr-FR"/>
        </w:rPr>
        <w:t>IGC</w:t>
      </w:r>
      <w:r w:rsidR="00AD5076" w:rsidRPr="00D36E0A">
        <w:rPr>
          <w:rStyle w:val="FootnoteTextChar"/>
          <w:sz w:val="22"/>
          <w:szCs w:val="22"/>
          <w:vertAlign w:val="superscript"/>
          <w:lang w:val="fr-FR"/>
        </w:rPr>
        <w:footnoteReference w:id="3"/>
      </w:r>
      <w:r w:rsidR="008F7B51" w:rsidRPr="00D36E0A">
        <w:rPr>
          <w:lang w:val="fr-FR"/>
        </w:rPr>
        <w:t xml:space="preserve">, </w:t>
      </w:r>
      <w:r w:rsidR="002759BA" w:rsidRPr="00D36E0A">
        <w:rPr>
          <w:lang w:val="fr-FR"/>
        </w:rPr>
        <w:t>un document intitulé “</w:t>
      </w:r>
      <w:proofErr w:type="spellStart"/>
      <w:r w:rsidR="002759BA" w:rsidRPr="00D36E0A">
        <w:rPr>
          <w:i/>
          <w:lang w:val="fr-FR"/>
        </w:rPr>
        <w:t>Declaration</w:t>
      </w:r>
      <w:proofErr w:type="spellEnd"/>
      <w:r w:rsidR="002759BA" w:rsidRPr="00D36E0A">
        <w:rPr>
          <w:i/>
          <w:lang w:val="fr-FR"/>
        </w:rPr>
        <w:t xml:space="preserve"> of the source of </w:t>
      </w:r>
      <w:proofErr w:type="spellStart"/>
      <w:r w:rsidR="002759BA" w:rsidRPr="00D36E0A">
        <w:rPr>
          <w:i/>
          <w:lang w:val="fr-FR"/>
        </w:rPr>
        <w:t>Genetic</w:t>
      </w:r>
      <w:proofErr w:type="spellEnd"/>
      <w:r w:rsidR="002759BA" w:rsidRPr="00D36E0A">
        <w:rPr>
          <w:i/>
          <w:lang w:val="fr-FR"/>
        </w:rPr>
        <w:t xml:space="preserve"> </w:t>
      </w:r>
      <w:proofErr w:type="spellStart"/>
      <w:r w:rsidR="002759BA" w:rsidRPr="00D36E0A">
        <w:rPr>
          <w:i/>
          <w:lang w:val="fr-FR"/>
        </w:rPr>
        <w:t>Resources</w:t>
      </w:r>
      <w:proofErr w:type="spellEnd"/>
      <w:r w:rsidR="002759BA" w:rsidRPr="00D36E0A">
        <w:rPr>
          <w:i/>
          <w:lang w:val="fr-FR"/>
        </w:rPr>
        <w:t xml:space="preserve"> and </w:t>
      </w:r>
      <w:proofErr w:type="spellStart"/>
      <w:r w:rsidR="002759BA" w:rsidRPr="00D36E0A">
        <w:rPr>
          <w:i/>
          <w:lang w:val="fr-FR"/>
        </w:rPr>
        <w:t>Traditional</w:t>
      </w:r>
      <w:proofErr w:type="spellEnd"/>
      <w:r w:rsidR="002759BA" w:rsidRPr="00D36E0A">
        <w:rPr>
          <w:i/>
          <w:lang w:val="fr-FR"/>
        </w:rPr>
        <w:t xml:space="preserve"> </w:t>
      </w:r>
      <w:proofErr w:type="spellStart"/>
      <w:r w:rsidR="002759BA" w:rsidRPr="00D36E0A">
        <w:rPr>
          <w:i/>
          <w:lang w:val="fr-FR"/>
        </w:rPr>
        <w:t>Knowledge</w:t>
      </w:r>
      <w:proofErr w:type="spellEnd"/>
      <w:r w:rsidR="002759BA" w:rsidRPr="00D36E0A">
        <w:rPr>
          <w:i/>
          <w:lang w:val="fr-FR"/>
        </w:rPr>
        <w:t xml:space="preserve"> in Patent Applications</w:t>
      </w:r>
      <w:proofErr w:type="gramStart"/>
      <w:r w:rsidR="002759BA" w:rsidRPr="00D36E0A">
        <w:rPr>
          <w:i/>
          <w:lang w:val="fr-FR"/>
        </w:rPr>
        <w:t>:</w:t>
      </w:r>
      <w:r w:rsidR="00511F1C" w:rsidRPr="00D36E0A">
        <w:rPr>
          <w:i/>
          <w:lang w:val="fr-FR"/>
        </w:rPr>
        <w:t xml:space="preserve"> </w:t>
      </w:r>
      <w:r w:rsidR="002759BA" w:rsidRPr="00D36E0A">
        <w:rPr>
          <w:i/>
          <w:lang w:val="fr-FR"/>
        </w:rPr>
        <w:t xml:space="preserve"> Provisions</w:t>
      </w:r>
      <w:proofErr w:type="gramEnd"/>
      <w:r w:rsidR="002759BA" w:rsidRPr="00D36E0A">
        <w:rPr>
          <w:i/>
          <w:lang w:val="fr-FR"/>
        </w:rPr>
        <w:t xml:space="preserve"> of the </w:t>
      </w:r>
      <w:proofErr w:type="spellStart"/>
      <w:r w:rsidR="002759BA" w:rsidRPr="00D36E0A">
        <w:rPr>
          <w:i/>
          <w:lang w:val="fr-FR"/>
        </w:rPr>
        <w:t>Swiss</w:t>
      </w:r>
      <w:proofErr w:type="spellEnd"/>
      <w:r w:rsidR="002759BA" w:rsidRPr="00D36E0A">
        <w:rPr>
          <w:i/>
          <w:lang w:val="fr-FR"/>
        </w:rPr>
        <w:t xml:space="preserve"> Patent </w:t>
      </w:r>
      <w:proofErr w:type="spellStart"/>
      <w:r w:rsidR="002759BA" w:rsidRPr="00D36E0A">
        <w:rPr>
          <w:i/>
          <w:lang w:val="fr-FR"/>
        </w:rPr>
        <w:t>Act</w:t>
      </w:r>
      <w:proofErr w:type="spellEnd"/>
      <w:r w:rsidR="002759BA" w:rsidRPr="00D36E0A">
        <w:rPr>
          <w:lang w:val="fr-FR"/>
        </w:rPr>
        <w:t>”</w:t>
      </w:r>
      <w:r w:rsidR="000222F7" w:rsidRPr="00D36E0A">
        <w:rPr>
          <w:lang w:val="fr-FR"/>
        </w:rPr>
        <w:t xml:space="preserve">, </w:t>
      </w:r>
      <w:r w:rsidR="008F7B51" w:rsidRPr="00D36E0A">
        <w:rPr>
          <w:lang w:val="fr-FR"/>
        </w:rPr>
        <w:t>qui résume et explique les</w:t>
      </w:r>
      <w:r w:rsidR="00AD5076" w:rsidRPr="00D36E0A">
        <w:rPr>
          <w:lang w:val="fr-FR"/>
        </w:rPr>
        <w:t xml:space="preserve"> </w:t>
      </w:r>
      <w:r w:rsidR="008F7B51" w:rsidRPr="00D36E0A">
        <w:rPr>
          <w:lang w:val="fr-FR"/>
        </w:rPr>
        <w:t>dispositions pertinentes de la </w:t>
      </w:r>
      <w:proofErr w:type="spellStart"/>
      <w:r w:rsidR="008F7B51" w:rsidRPr="00D36E0A">
        <w:rPr>
          <w:lang w:val="fr-FR"/>
        </w:rPr>
        <w:t>LBI</w:t>
      </w:r>
      <w:proofErr w:type="spellEnd"/>
      <w:r w:rsidR="008F7B51" w:rsidRPr="00D36E0A">
        <w:rPr>
          <w:lang w:val="fr-FR"/>
        </w:rPr>
        <w:t xml:space="preserve"> sur la divulgation de la </w:t>
      </w:r>
      <w:r w:rsidR="00AD5076" w:rsidRPr="00D36E0A">
        <w:rPr>
          <w:lang w:val="fr-FR"/>
        </w:rPr>
        <w:t>source.</w:t>
      </w:r>
      <w:bookmarkEnd w:id="34"/>
      <w:bookmarkEnd w:id="35"/>
      <w:bookmarkEnd w:id="36"/>
      <w:bookmarkEnd w:id="37"/>
      <w:bookmarkEnd w:id="38"/>
    </w:p>
    <w:p w:rsidR="00AD5076" w:rsidRPr="00D36E0A" w:rsidRDefault="00FC0A2F" w:rsidP="00D36E0A">
      <w:pPr>
        <w:pStyle w:val="ONUMFS"/>
        <w:rPr>
          <w:caps/>
          <w:lang w:val="fr-FR"/>
        </w:rPr>
      </w:pPr>
      <w:bookmarkStart w:id="39" w:name="_Toc461721027"/>
      <w:r w:rsidRPr="00D36E0A">
        <w:rPr>
          <w:lang w:val="fr-FR"/>
        </w:rPr>
        <w:t>L</w:t>
      </w:r>
      <w:r w:rsidR="002759BA" w:rsidRPr="00D36E0A">
        <w:rPr>
          <w:lang w:val="fr-FR"/>
        </w:rPr>
        <w:t>a présente communication</w:t>
      </w:r>
      <w:r w:rsidRPr="00D36E0A">
        <w:rPr>
          <w:lang w:val="fr-FR"/>
        </w:rPr>
        <w:t xml:space="preserve"> contient </w:t>
      </w:r>
      <w:r w:rsidR="002759BA" w:rsidRPr="00D36E0A">
        <w:rPr>
          <w:lang w:val="fr-FR"/>
        </w:rPr>
        <w:t>des</w:t>
      </w:r>
      <w:r w:rsidR="00AD5076" w:rsidRPr="00D36E0A">
        <w:rPr>
          <w:lang w:val="fr-FR"/>
        </w:rPr>
        <w:t xml:space="preserve"> information</w:t>
      </w:r>
      <w:r w:rsidR="002759BA" w:rsidRPr="00D36E0A">
        <w:rPr>
          <w:lang w:val="fr-FR"/>
        </w:rPr>
        <w:t>s supplémentaires sur ces</w:t>
      </w:r>
      <w:r w:rsidR="00AD5076" w:rsidRPr="00D36E0A">
        <w:rPr>
          <w:lang w:val="fr-FR"/>
        </w:rPr>
        <w:t xml:space="preserve"> </w:t>
      </w:r>
      <w:r w:rsidR="002759BA" w:rsidRPr="00D36E0A">
        <w:rPr>
          <w:lang w:val="fr-FR"/>
        </w:rPr>
        <w:t>dispositions</w:t>
      </w:r>
      <w:r w:rsidR="00AD5076" w:rsidRPr="00D36E0A">
        <w:rPr>
          <w:lang w:val="fr-FR"/>
        </w:rPr>
        <w:t>.</w:t>
      </w:r>
      <w:bookmarkEnd w:id="39"/>
    </w:p>
    <w:p w:rsidR="009E04BD" w:rsidRPr="00D36E0A" w:rsidRDefault="00AD5076" w:rsidP="00D36E0A">
      <w:pPr>
        <w:pStyle w:val="Heading2"/>
      </w:pPr>
      <w:bookmarkStart w:id="40" w:name="_Toc461721028"/>
      <w:bookmarkStart w:id="41" w:name="_Toc461803928"/>
      <w:r w:rsidRPr="00D36E0A">
        <w:t>B.</w:t>
      </w:r>
      <w:r w:rsidRPr="00D36E0A">
        <w:tab/>
      </w:r>
      <w:r w:rsidR="002759BA" w:rsidRPr="00D36E0A">
        <w:t>Objectifs de politique générale et principes généraux</w:t>
      </w:r>
      <w:bookmarkEnd w:id="40"/>
      <w:bookmarkEnd w:id="41"/>
    </w:p>
    <w:p w:rsidR="009E04BD" w:rsidRPr="00D36E0A" w:rsidRDefault="009E04BD" w:rsidP="00D36E0A">
      <w:pPr>
        <w:rPr>
          <w:lang w:val="fr-FR"/>
        </w:rPr>
      </w:pPr>
    </w:p>
    <w:p w:rsidR="00AD5076" w:rsidRPr="00D36E0A" w:rsidRDefault="002C5FAA" w:rsidP="00D36E0A">
      <w:pPr>
        <w:pStyle w:val="ONUMFS"/>
        <w:rPr>
          <w:caps/>
          <w:lang w:val="fr-FR"/>
        </w:rPr>
      </w:pPr>
      <w:bookmarkStart w:id="42" w:name="_Toc457391435"/>
      <w:bookmarkStart w:id="43" w:name="_Toc457394777"/>
      <w:bookmarkStart w:id="44" w:name="_Toc457988562"/>
      <w:bookmarkStart w:id="45" w:name="_Toc457989445"/>
      <w:bookmarkStart w:id="46" w:name="_Toc461721029"/>
      <w:r w:rsidRPr="00D36E0A">
        <w:rPr>
          <w:lang w:val="fr-FR"/>
        </w:rPr>
        <w:t>L</w:t>
      </w:r>
      <w:r w:rsidR="00A27507" w:rsidRPr="00D36E0A">
        <w:rPr>
          <w:lang w:val="fr-FR"/>
        </w:rPr>
        <w:t>’</w:t>
      </w:r>
      <w:r w:rsidRPr="00D36E0A">
        <w:rPr>
          <w:lang w:val="fr-FR"/>
        </w:rPr>
        <w:t xml:space="preserve">exigence </w:t>
      </w:r>
      <w:r w:rsidR="00FC0A2F" w:rsidRPr="00D36E0A">
        <w:rPr>
          <w:lang w:val="fr-FR"/>
        </w:rPr>
        <w:t>d</w:t>
      </w:r>
      <w:r w:rsidR="00A27507" w:rsidRPr="00D36E0A">
        <w:rPr>
          <w:lang w:val="fr-FR"/>
        </w:rPr>
        <w:t>’</w:t>
      </w:r>
      <w:r w:rsidR="00FC0A2F" w:rsidRPr="00D36E0A">
        <w:rPr>
          <w:lang w:val="fr-FR"/>
        </w:rPr>
        <w:t>indication</w:t>
      </w:r>
      <w:r w:rsidRPr="00D36E0A">
        <w:rPr>
          <w:lang w:val="fr-FR"/>
        </w:rPr>
        <w:t xml:space="preserve"> de la source a été </w:t>
      </w:r>
      <w:r w:rsidR="00AD5076" w:rsidRPr="00D36E0A">
        <w:rPr>
          <w:lang w:val="fr-FR"/>
        </w:rPr>
        <w:t>introdu</w:t>
      </w:r>
      <w:r w:rsidRPr="00D36E0A">
        <w:rPr>
          <w:lang w:val="fr-FR"/>
        </w:rPr>
        <w:t>it</w:t>
      </w:r>
      <w:r w:rsidR="00AD5076" w:rsidRPr="00D36E0A">
        <w:rPr>
          <w:lang w:val="fr-FR"/>
        </w:rPr>
        <w:t>e</w:t>
      </w:r>
      <w:r w:rsidRPr="00D36E0A">
        <w:rPr>
          <w:lang w:val="fr-FR"/>
        </w:rPr>
        <w:t xml:space="preserve"> dans la </w:t>
      </w:r>
      <w:proofErr w:type="spellStart"/>
      <w:r w:rsidRPr="00D36E0A">
        <w:rPr>
          <w:lang w:val="fr-FR"/>
        </w:rPr>
        <w:t>LBI</w:t>
      </w:r>
      <w:proofErr w:type="spellEnd"/>
      <w:r w:rsidR="00AD5076" w:rsidRPr="00D36E0A">
        <w:rPr>
          <w:lang w:val="fr-FR"/>
        </w:rPr>
        <w:t xml:space="preserve"> </w:t>
      </w:r>
      <w:r w:rsidRPr="00D36E0A">
        <w:rPr>
          <w:lang w:val="fr-FR"/>
        </w:rPr>
        <w:t>e</w:t>
      </w:r>
      <w:r w:rsidR="00AD5076" w:rsidRPr="00D36E0A">
        <w:rPr>
          <w:lang w:val="fr-FR"/>
        </w:rPr>
        <w:t>n</w:t>
      </w:r>
      <w:r w:rsidR="00580A55" w:rsidRPr="00D36E0A">
        <w:rPr>
          <w:lang w:val="fr-FR"/>
        </w:rPr>
        <w:t> </w:t>
      </w:r>
      <w:r w:rsidR="00AD5076" w:rsidRPr="00D36E0A">
        <w:rPr>
          <w:lang w:val="fr-FR"/>
        </w:rPr>
        <w:t>2008.</w:t>
      </w:r>
      <w:r w:rsidR="009E04BD" w:rsidRPr="00D36E0A">
        <w:rPr>
          <w:lang w:val="fr-FR"/>
        </w:rPr>
        <w:t xml:space="preserve"> </w:t>
      </w:r>
      <w:r w:rsidR="00AD5076" w:rsidRPr="00D36E0A">
        <w:rPr>
          <w:lang w:val="fr-FR"/>
        </w:rPr>
        <w:t xml:space="preserve"> </w:t>
      </w:r>
      <w:r w:rsidR="00A24328" w:rsidRPr="00D36E0A">
        <w:rPr>
          <w:lang w:val="fr-FR"/>
        </w:rPr>
        <w:t>Selon le message</w:t>
      </w:r>
      <w:r w:rsidR="00AD5076" w:rsidRPr="00D36E0A">
        <w:rPr>
          <w:lang w:val="fr-FR"/>
        </w:rPr>
        <w:t xml:space="preserve"> </w:t>
      </w:r>
      <w:r w:rsidR="00A24328" w:rsidRPr="00D36E0A">
        <w:rPr>
          <w:color w:val="000000"/>
          <w:lang w:val="fr-FR"/>
        </w:rPr>
        <w:t>concernant la modification de la Loi sur les brevets</w:t>
      </w:r>
      <w:r w:rsidR="00AD5076" w:rsidRPr="00D36E0A">
        <w:rPr>
          <w:rStyle w:val="FootnoteTextChar"/>
          <w:sz w:val="22"/>
          <w:szCs w:val="22"/>
          <w:vertAlign w:val="superscript"/>
          <w:lang w:val="fr-FR"/>
        </w:rPr>
        <w:footnoteReference w:id="4"/>
      </w:r>
      <w:r w:rsidR="00AD5076" w:rsidRPr="00D36E0A">
        <w:rPr>
          <w:lang w:val="fr-FR"/>
        </w:rPr>
        <w:t xml:space="preserve">, </w:t>
      </w:r>
      <w:r w:rsidR="00A24328" w:rsidRPr="00D36E0A">
        <w:rPr>
          <w:lang w:val="fr-FR"/>
        </w:rPr>
        <w:t>l</w:t>
      </w:r>
      <w:r w:rsidR="00A27507" w:rsidRPr="00D36E0A">
        <w:rPr>
          <w:lang w:val="fr-FR"/>
        </w:rPr>
        <w:t>’</w:t>
      </w:r>
      <w:r w:rsidR="00A24328" w:rsidRPr="00D36E0A">
        <w:rPr>
          <w:lang w:val="fr-FR"/>
        </w:rPr>
        <w:t>objectif</w:t>
      </w:r>
      <w:r w:rsidR="00AD5076" w:rsidRPr="00D36E0A">
        <w:rPr>
          <w:lang w:val="fr-FR"/>
        </w:rPr>
        <w:t xml:space="preserve"> </w:t>
      </w:r>
      <w:r w:rsidR="00A24328" w:rsidRPr="00D36E0A">
        <w:rPr>
          <w:lang w:val="fr-FR"/>
        </w:rPr>
        <w:t>de cette</w:t>
      </w:r>
      <w:r w:rsidR="00AD5076" w:rsidRPr="00D36E0A">
        <w:rPr>
          <w:lang w:val="fr-FR"/>
        </w:rPr>
        <w:t xml:space="preserve"> mesure </w:t>
      </w:r>
      <w:r w:rsidR="00A24328" w:rsidRPr="00D36E0A">
        <w:rPr>
          <w:lang w:val="fr-FR"/>
        </w:rPr>
        <w:t>est d</w:t>
      </w:r>
      <w:r w:rsidR="00A27507" w:rsidRPr="00D36E0A">
        <w:rPr>
          <w:lang w:val="fr-FR"/>
        </w:rPr>
        <w:t>’</w:t>
      </w:r>
      <w:r w:rsidR="00A24328" w:rsidRPr="00D36E0A">
        <w:rPr>
          <w:lang w:val="fr-FR"/>
        </w:rPr>
        <w:t>accroître la</w:t>
      </w:r>
      <w:r w:rsidR="00AD5076" w:rsidRPr="00D36E0A">
        <w:rPr>
          <w:lang w:val="fr-FR"/>
        </w:rPr>
        <w:t xml:space="preserve"> transparenc</w:t>
      </w:r>
      <w:r w:rsidR="00A24328" w:rsidRPr="00D36E0A">
        <w:rPr>
          <w:lang w:val="fr-FR"/>
        </w:rPr>
        <w:t>e</w:t>
      </w:r>
      <w:r w:rsidR="00AD5076" w:rsidRPr="00D36E0A">
        <w:rPr>
          <w:lang w:val="fr-FR"/>
        </w:rPr>
        <w:t xml:space="preserve"> </w:t>
      </w:r>
      <w:r w:rsidR="00E06A50" w:rsidRPr="00D36E0A">
        <w:rPr>
          <w:lang w:val="fr-FR"/>
        </w:rPr>
        <w:t>concernant</w:t>
      </w:r>
      <w:r w:rsidR="009050DD" w:rsidRPr="00D36E0A">
        <w:rPr>
          <w:lang w:val="fr-FR"/>
        </w:rPr>
        <w:t xml:space="preserve"> la</w:t>
      </w:r>
      <w:r w:rsidR="00AD5076" w:rsidRPr="00D36E0A">
        <w:rPr>
          <w:lang w:val="fr-FR"/>
        </w:rPr>
        <w:t xml:space="preserve"> re</w:t>
      </w:r>
      <w:r w:rsidR="00A24328" w:rsidRPr="00D36E0A">
        <w:rPr>
          <w:lang w:val="fr-FR"/>
        </w:rPr>
        <w:t>s</w:t>
      </w:r>
      <w:r w:rsidR="00AD5076" w:rsidRPr="00D36E0A">
        <w:rPr>
          <w:lang w:val="fr-FR"/>
        </w:rPr>
        <w:t>source</w:t>
      </w:r>
      <w:r w:rsidR="00A24328" w:rsidRPr="00D36E0A">
        <w:rPr>
          <w:lang w:val="fr-FR"/>
        </w:rPr>
        <w:t xml:space="preserve"> génétique et </w:t>
      </w:r>
      <w:r w:rsidR="00E06A50" w:rsidRPr="00D36E0A">
        <w:rPr>
          <w:lang w:val="fr-FR"/>
        </w:rPr>
        <w:t>le</w:t>
      </w:r>
      <w:r w:rsidR="00AD5076" w:rsidRPr="00D36E0A">
        <w:rPr>
          <w:lang w:val="fr-FR"/>
        </w:rPr>
        <w:t xml:space="preserve"> </w:t>
      </w:r>
      <w:r w:rsidR="00A24328" w:rsidRPr="00D36E0A">
        <w:rPr>
          <w:lang w:val="fr-FR"/>
        </w:rPr>
        <w:t xml:space="preserve">savoir </w:t>
      </w:r>
      <w:r w:rsidR="00AD5076" w:rsidRPr="00D36E0A">
        <w:rPr>
          <w:lang w:val="fr-FR"/>
        </w:rPr>
        <w:t>tradition</w:t>
      </w:r>
      <w:r w:rsidR="00A24328" w:rsidRPr="00D36E0A">
        <w:rPr>
          <w:lang w:val="fr-FR"/>
        </w:rPr>
        <w:t>ne</w:t>
      </w:r>
      <w:r w:rsidR="00AD5076" w:rsidRPr="00D36E0A">
        <w:rPr>
          <w:lang w:val="fr-FR"/>
        </w:rPr>
        <w:t>l</w:t>
      </w:r>
      <w:r w:rsidR="009050DD" w:rsidRPr="00D36E0A">
        <w:rPr>
          <w:lang w:val="fr-FR"/>
        </w:rPr>
        <w:t xml:space="preserve"> </w:t>
      </w:r>
      <w:r w:rsidR="00A24328" w:rsidRPr="00D36E0A">
        <w:rPr>
          <w:lang w:val="fr-FR"/>
        </w:rPr>
        <w:t xml:space="preserve">relatif </w:t>
      </w:r>
      <w:r w:rsidR="00E06A50" w:rsidRPr="00D36E0A">
        <w:rPr>
          <w:lang w:val="fr-FR"/>
        </w:rPr>
        <w:t>à la</w:t>
      </w:r>
      <w:r w:rsidR="00A24328" w:rsidRPr="00D36E0A">
        <w:rPr>
          <w:lang w:val="fr-FR"/>
        </w:rPr>
        <w:t xml:space="preserve"> ressource génétique</w:t>
      </w:r>
      <w:r w:rsidR="001B7C9D" w:rsidRPr="00D36E0A">
        <w:rPr>
          <w:lang w:val="fr-FR"/>
        </w:rPr>
        <w:t xml:space="preserve"> sur lesquels porte directement une</w:t>
      </w:r>
      <w:r w:rsidR="00AD5076" w:rsidRPr="00D36E0A">
        <w:rPr>
          <w:lang w:val="fr-FR"/>
        </w:rPr>
        <w:t xml:space="preserve"> inventi</w:t>
      </w:r>
      <w:r w:rsidR="00511F1C" w:rsidRPr="00D36E0A">
        <w:rPr>
          <w:lang w:val="fr-FR"/>
        </w:rPr>
        <w:t>on.  Ce</w:t>
      </w:r>
      <w:r w:rsidR="00E06A50" w:rsidRPr="00D36E0A">
        <w:rPr>
          <w:lang w:val="fr-FR"/>
        </w:rPr>
        <w:t>tte</w:t>
      </w:r>
      <w:r w:rsidR="00AD5076" w:rsidRPr="00D36E0A">
        <w:rPr>
          <w:lang w:val="fr-FR"/>
        </w:rPr>
        <w:t xml:space="preserve"> mesure </w:t>
      </w:r>
      <w:r w:rsidR="00E06A50" w:rsidRPr="00D36E0A">
        <w:rPr>
          <w:lang w:val="fr-FR"/>
        </w:rPr>
        <w:t>devrait</w:t>
      </w:r>
      <w:r w:rsidR="00AD5076" w:rsidRPr="00D36E0A">
        <w:rPr>
          <w:lang w:val="fr-FR"/>
        </w:rPr>
        <w:t xml:space="preserve"> </w:t>
      </w:r>
      <w:r w:rsidR="00E06A50" w:rsidRPr="00D36E0A">
        <w:rPr>
          <w:lang w:val="fr-FR"/>
        </w:rPr>
        <w:t>favoriser le respect des exigences réglementaires des autres pays en matière d</w:t>
      </w:r>
      <w:r w:rsidR="00A27507" w:rsidRPr="00D36E0A">
        <w:rPr>
          <w:lang w:val="fr-FR"/>
        </w:rPr>
        <w:t>’</w:t>
      </w:r>
      <w:r w:rsidR="00E06A50" w:rsidRPr="00D36E0A">
        <w:rPr>
          <w:lang w:val="fr-FR"/>
        </w:rPr>
        <w:t>accès et de partage des avantag</w:t>
      </w:r>
      <w:r w:rsidR="00511F1C" w:rsidRPr="00D36E0A">
        <w:rPr>
          <w:lang w:val="fr-FR"/>
        </w:rPr>
        <w:t>es.  En</w:t>
      </w:r>
      <w:r w:rsidR="00CB0FA7" w:rsidRPr="00D36E0A">
        <w:rPr>
          <w:lang w:val="fr-FR"/>
        </w:rPr>
        <w:t xml:space="preserve"> plus d</w:t>
      </w:r>
      <w:r w:rsidR="00A27507" w:rsidRPr="00D36E0A">
        <w:rPr>
          <w:lang w:val="fr-FR"/>
        </w:rPr>
        <w:t>’</w:t>
      </w:r>
      <w:r w:rsidR="00CB0FA7" w:rsidRPr="00D36E0A">
        <w:rPr>
          <w:lang w:val="fr-FR"/>
        </w:rPr>
        <w:t>accroître la</w:t>
      </w:r>
      <w:r w:rsidR="00AD5076" w:rsidRPr="00D36E0A">
        <w:rPr>
          <w:lang w:val="fr-FR"/>
        </w:rPr>
        <w:t xml:space="preserve"> transparenc</w:t>
      </w:r>
      <w:r w:rsidR="00CB0FA7" w:rsidRPr="00D36E0A">
        <w:rPr>
          <w:lang w:val="fr-FR"/>
        </w:rPr>
        <w:t>e</w:t>
      </w:r>
      <w:r w:rsidR="00AD5076" w:rsidRPr="00D36E0A">
        <w:rPr>
          <w:lang w:val="fr-FR"/>
        </w:rPr>
        <w:t xml:space="preserve">, </w:t>
      </w:r>
      <w:r w:rsidR="00CB0FA7" w:rsidRPr="00D36E0A">
        <w:rPr>
          <w:lang w:val="fr-FR"/>
        </w:rPr>
        <w:t>la</w:t>
      </w:r>
      <w:r w:rsidR="00AD5076" w:rsidRPr="00D36E0A">
        <w:rPr>
          <w:lang w:val="fr-FR"/>
        </w:rPr>
        <w:t xml:space="preserve"> </w:t>
      </w:r>
      <w:r w:rsidR="00CB0FA7" w:rsidRPr="00D36E0A">
        <w:rPr>
          <w:lang w:val="fr-FR"/>
        </w:rPr>
        <w:t>divulgation de la source devrait également </w:t>
      </w:r>
      <w:r w:rsidR="00AD5076" w:rsidRPr="00D36E0A">
        <w:rPr>
          <w:lang w:val="fr-FR"/>
        </w:rPr>
        <w:t xml:space="preserve">1) </w:t>
      </w:r>
      <w:r w:rsidR="00851237" w:rsidRPr="00D36E0A">
        <w:rPr>
          <w:lang w:val="fr-FR"/>
        </w:rPr>
        <w:t>renforcer la confiance</w:t>
      </w:r>
      <w:r w:rsidR="00AD5076" w:rsidRPr="00D36E0A">
        <w:rPr>
          <w:lang w:val="fr-FR"/>
        </w:rPr>
        <w:t xml:space="preserve"> mutu</w:t>
      </w:r>
      <w:r w:rsidR="00851237" w:rsidRPr="00D36E0A">
        <w:rPr>
          <w:lang w:val="fr-FR"/>
        </w:rPr>
        <w:t>elle entre utilisateurs et</w:t>
      </w:r>
      <w:r w:rsidR="00AD5076" w:rsidRPr="00D36E0A">
        <w:rPr>
          <w:lang w:val="fr-FR"/>
        </w:rPr>
        <w:t xml:space="preserve"> </w:t>
      </w:r>
      <w:r w:rsidR="00851237" w:rsidRPr="00D36E0A">
        <w:rPr>
          <w:lang w:val="fr-FR"/>
        </w:rPr>
        <w:t xml:space="preserve">fournisseurs de ces ressources ou de ce savoir;  </w:t>
      </w:r>
      <w:r w:rsidR="00AD5076" w:rsidRPr="00D36E0A">
        <w:rPr>
          <w:lang w:val="fr-FR"/>
        </w:rPr>
        <w:t xml:space="preserve">2) </w:t>
      </w:r>
      <w:r w:rsidR="00851237" w:rsidRPr="00D36E0A">
        <w:rPr>
          <w:lang w:val="fr-FR"/>
        </w:rPr>
        <w:t>améliorer la traçabilité</w:t>
      </w:r>
      <w:r w:rsidR="00AD5076" w:rsidRPr="00D36E0A">
        <w:rPr>
          <w:lang w:val="fr-FR"/>
        </w:rPr>
        <w:t xml:space="preserve"> </w:t>
      </w:r>
      <w:r w:rsidR="00851237" w:rsidRPr="00D36E0A">
        <w:rPr>
          <w:lang w:val="fr-FR"/>
        </w:rPr>
        <w:t>de ces</w:t>
      </w:r>
      <w:r w:rsidR="00AD5076" w:rsidRPr="00D36E0A">
        <w:rPr>
          <w:lang w:val="fr-FR"/>
        </w:rPr>
        <w:t xml:space="preserve"> re</w:t>
      </w:r>
      <w:r w:rsidR="00851237" w:rsidRPr="00D36E0A">
        <w:rPr>
          <w:lang w:val="fr-FR"/>
        </w:rPr>
        <w:t>s</w:t>
      </w:r>
      <w:r w:rsidR="00AD5076" w:rsidRPr="00D36E0A">
        <w:rPr>
          <w:lang w:val="fr-FR"/>
        </w:rPr>
        <w:t xml:space="preserve">sources </w:t>
      </w:r>
      <w:r w:rsidR="00851237" w:rsidRPr="00D36E0A">
        <w:rPr>
          <w:lang w:val="fr-FR"/>
        </w:rPr>
        <w:t>et de ce savoir</w:t>
      </w:r>
      <w:r w:rsidR="00AD5076" w:rsidRPr="00D36E0A">
        <w:rPr>
          <w:lang w:val="fr-FR"/>
        </w:rPr>
        <w:t xml:space="preserve">, </w:t>
      </w:r>
      <w:r w:rsidR="00851237" w:rsidRPr="00D36E0A">
        <w:rPr>
          <w:lang w:val="fr-FR"/>
        </w:rPr>
        <w:t xml:space="preserve">et </w:t>
      </w:r>
      <w:r w:rsidR="00AD5076" w:rsidRPr="00D36E0A">
        <w:rPr>
          <w:lang w:val="fr-FR"/>
        </w:rPr>
        <w:t>3) facilit</w:t>
      </w:r>
      <w:r w:rsidR="00851237" w:rsidRPr="00D36E0A">
        <w:rPr>
          <w:lang w:val="fr-FR"/>
        </w:rPr>
        <w:t>er</w:t>
      </w:r>
      <w:r w:rsidR="00AD5076" w:rsidRPr="00D36E0A">
        <w:rPr>
          <w:lang w:val="fr-FR"/>
        </w:rPr>
        <w:t xml:space="preserve"> </w:t>
      </w:r>
      <w:r w:rsidR="00851237" w:rsidRPr="00D36E0A">
        <w:rPr>
          <w:lang w:val="fr-FR"/>
        </w:rPr>
        <w:t>l</w:t>
      </w:r>
      <w:r w:rsidR="00A27507" w:rsidRPr="00D36E0A">
        <w:rPr>
          <w:lang w:val="fr-FR"/>
        </w:rPr>
        <w:t>’</w:t>
      </w:r>
      <w:r w:rsidR="00851237" w:rsidRPr="00D36E0A">
        <w:rPr>
          <w:lang w:val="fr-FR"/>
        </w:rPr>
        <w:t>é</w:t>
      </w:r>
      <w:r w:rsidR="00AD5076" w:rsidRPr="00D36E0A">
        <w:rPr>
          <w:lang w:val="fr-FR"/>
        </w:rPr>
        <w:t>tablis</w:t>
      </w:r>
      <w:r w:rsidR="00851237" w:rsidRPr="00D36E0A">
        <w:rPr>
          <w:lang w:val="fr-FR"/>
        </w:rPr>
        <w:t>se</w:t>
      </w:r>
      <w:r w:rsidR="00AD5076" w:rsidRPr="00D36E0A">
        <w:rPr>
          <w:lang w:val="fr-FR"/>
        </w:rPr>
        <w:t xml:space="preserve">ment </w:t>
      </w:r>
      <w:r w:rsidR="00851237" w:rsidRPr="00D36E0A">
        <w:rPr>
          <w:lang w:val="fr-FR"/>
        </w:rPr>
        <w:t>de l</w:t>
      </w:r>
      <w:r w:rsidR="00A27507" w:rsidRPr="00D36E0A">
        <w:rPr>
          <w:lang w:val="fr-FR"/>
        </w:rPr>
        <w:t>’</w:t>
      </w:r>
      <w:r w:rsidR="00851237" w:rsidRPr="00D36E0A">
        <w:rPr>
          <w:lang w:val="fr-FR"/>
        </w:rPr>
        <w:t>état de la technique</w:t>
      </w:r>
      <w:r w:rsidR="00AD5076" w:rsidRPr="00D36E0A">
        <w:rPr>
          <w:lang w:val="fr-FR"/>
        </w:rPr>
        <w:t>.</w:t>
      </w:r>
      <w:bookmarkStart w:id="47" w:name="_Toc457391436"/>
      <w:bookmarkStart w:id="48" w:name="_Toc457394778"/>
      <w:bookmarkStart w:id="49" w:name="_Toc457988563"/>
      <w:bookmarkStart w:id="50" w:name="_Toc457989446"/>
      <w:bookmarkEnd w:id="42"/>
      <w:bookmarkEnd w:id="43"/>
      <w:bookmarkEnd w:id="44"/>
      <w:bookmarkEnd w:id="45"/>
      <w:bookmarkEnd w:id="46"/>
    </w:p>
    <w:p w:rsidR="00A27507" w:rsidRPr="00D36E0A" w:rsidRDefault="00DD6491" w:rsidP="00D36E0A">
      <w:pPr>
        <w:pStyle w:val="ONUMFS"/>
        <w:rPr>
          <w:caps/>
          <w:lang w:val="fr-FR"/>
        </w:rPr>
      </w:pPr>
      <w:bookmarkStart w:id="51" w:name="_Toc457391437"/>
      <w:bookmarkStart w:id="52" w:name="_Toc457394779"/>
      <w:bookmarkStart w:id="53" w:name="_Toc457988564"/>
      <w:bookmarkStart w:id="54" w:name="_Toc457989447"/>
      <w:bookmarkStart w:id="55" w:name="_Toc461721030"/>
      <w:bookmarkEnd w:id="47"/>
      <w:bookmarkEnd w:id="48"/>
      <w:bookmarkEnd w:id="49"/>
      <w:bookmarkEnd w:id="50"/>
      <w:r w:rsidRPr="00D36E0A">
        <w:rPr>
          <w:lang w:val="fr-FR"/>
        </w:rPr>
        <w:t>Dans le même temps</w:t>
      </w:r>
      <w:r w:rsidR="00AD5076" w:rsidRPr="00D36E0A">
        <w:rPr>
          <w:lang w:val="fr-FR"/>
        </w:rPr>
        <w:t>, i</w:t>
      </w:r>
      <w:r w:rsidRPr="00D36E0A">
        <w:rPr>
          <w:lang w:val="fr-FR"/>
        </w:rPr>
        <w:t>l est essenti</w:t>
      </w:r>
      <w:r w:rsidR="00CE7C1D" w:rsidRPr="00D36E0A">
        <w:rPr>
          <w:lang w:val="fr-FR"/>
        </w:rPr>
        <w:t>e</w:t>
      </w:r>
      <w:r w:rsidRPr="00D36E0A">
        <w:rPr>
          <w:lang w:val="fr-FR"/>
        </w:rPr>
        <w:t>l de garder à l</w:t>
      </w:r>
      <w:r w:rsidR="00A27507" w:rsidRPr="00D36E0A">
        <w:rPr>
          <w:lang w:val="fr-FR"/>
        </w:rPr>
        <w:t>’</w:t>
      </w:r>
      <w:r w:rsidRPr="00D36E0A">
        <w:rPr>
          <w:lang w:val="fr-FR"/>
        </w:rPr>
        <w:t>esprit que l</w:t>
      </w:r>
      <w:r w:rsidR="00A27507" w:rsidRPr="00D36E0A">
        <w:rPr>
          <w:lang w:val="fr-FR"/>
        </w:rPr>
        <w:t>’</w:t>
      </w:r>
      <w:r w:rsidRPr="00D36E0A">
        <w:rPr>
          <w:lang w:val="fr-FR"/>
        </w:rPr>
        <w:t>exigence de divulgation de la source</w:t>
      </w:r>
      <w:r w:rsidR="00AD5076" w:rsidRPr="00D36E0A">
        <w:rPr>
          <w:lang w:val="fr-FR"/>
        </w:rPr>
        <w:t xml:space="preserve"> </w:t>
      </w:r>
      <w:r w:rsidRPr="00D36E0A">
        <w:rPr>
          <w:lang w:val="fr-FR"/>
        </w:rPr>
        <w:t>ne sera, en elle</w:t>
      </w:r>
      <w:r w:rsidR="00511F1C" w:rsidRPr="00D36E0A">
        <w:rPr>
          <w:lang w:val="fr-FR"/>
        </w:rPr>
        <w:noBreakHyphen/>
      </w:r>
      <w:r w:rsidRPr="00D36E0A">
        <w:rPr>
          <w:lang w:val="fr-FR"/>
        </w:rPr>
        <w:t>même</w:t>
      </w:r>
      <w:r w:rsidR="00AD5076" w:rsidRPr="00D36E0A">
        <w:rPr>
          <w:lang w:val="fr-FR"/>
        </w:rPr>
        <w:t xml:space="preserve">, </w:t>
      </w:r>
      <w:r w:rsidR="00CE7C1D" w:rsidRPr="00D36E0A">
        <w:rPr>
          <w:lang w:val="fr-FR"/>
        </w:rPr>
        <w:t>pas</w:t>
      </w:r>
      <w:r w:rsidR="00AD5076" w:rsidRPr="00D36E0A">
        <w:rPr>
          <w:lang w:val="fr-FR"/>
        </w:rPr>
        <w:t xml:space="preserve"> suffi</w:t>
      </w:r>
      <w:r w:rsidR="00CE7C1D" w:rsidRPr="00D36E0A">
        <w:rPr>
          <w:lang w:val="fr-FR"/>
        </w:rPr>
        <w:t>sante pour résoudre tou</w:t>
      </w:r>
      <w:r w:rsidR="00FC0A2F" w:rsidRPr="00D36E0A">
        <w:rPr>
          <w:lang w:val="fr-FR"/>
        </w:rPr>
        <w:t>te</w:t>
      </w:r>
      <w:r w:rsidR="00CE7C1D" w:rsidRPr="00D36E0A">
        <w:rPr>
          <w:lang w:val="fr-FR"/>
        </w:rPr>
        <w:t>s les questions</w:t>
      </w:r>
      <w:r w:rsidR="00FC0A2F" w:rsidRPr="00D36E0A">
        <w:rPr>
          <w:lang w:val="fr-FR"/>
        </w:rPr>
        <w:t xml:space="preserve"> qui se</w:t>
      </w:r>
      <w:r w:rsidR="00CE7C1D" w:rsidRPr="00D36E0A">
        <w:rPr>
          <w:lang w:val="fr-FR"/>
        </w:rPr>
        <w:t xml:space="preserve"> pos</w:t>
      </w:r>
      <w:r w:rsidR="00FC0A2F" w:rsidRPr="00D36E0A">
        <w:rPr>
          <w:lang w:val="fr-FR"/>
        </w:rPr>
        <w:t>ent</w:t>
      </w:r>
      <w:r w:rsidR="00CE7C1D" w:rsidRPr="00D36E0A">
        <w:rPr>
          <w:lang w:val="fr-FR"/>
        </w:rPr>
        <w:t xml:space="preserve"> en matière</w:t>
      </w:r>
      <w:r w:rsidR="009E04BD" w:rsidRPr="00D36E0A">
        <w:rPr>
          <w:lang w:val="fr-FR"/>
        </w:rPr>
        <w:t xml:space="preserve"> </w:t>
      </w:r>
      <w:r w:rsidR="00CE7C1D" w:rsidRPr="00D36E0A">
        <w:rPr>
          <w:lang w:val="fr-FR"/>
        </w:rPr>
        <w:t>d</w:t>
      </w:r>
      <w:r w:rsidR="00A27507" w:rsidRPr="00D36E0A">
        <w:rPr>
          <w:lang w:val="fr-FR"/>
        </w:rPr>
        <w:t>’</w:t>
      </w:r>
      <w:r w:rsidR="00CE7C1D" w:rsidRPr="00D36E0A">
        <w:rPr>
          <w:lang w:val="fr-FR"/>
        </w:rPr>
        <w:t>accès et de partage des avantag</w:t>
      </w:r>
      <w:r w:rsidR="00511F1C" w:rsidRPr="00D36E0A">
        <w:rPr>
          <w:lang w:val="fr-FR"/>
        </w:rPr>
        <w:t>es.  Bo</w:t>
      </w:r>
      <w:r w:rsidR="00CE7C1D" w:rsidRPr="00D36E0A">
        <w:rPr>
          <w:lang w:val="fr-FR"/>
        </w:rPr>
        <w:t>n nombre de</w:t>
      </w:r>
      <w:r w:rsidR="00AD5076" w:rsidRPr="00D36E0A">
        <w:rPr>
          <w:lang w:val="fr-FR"/>
        </w:rPr>
        <w:t xml:space="preserve"> res</w:t>
      </w:r>
      <w:r w:rsidR="00CE7C1D" w:rsidRPr="00D36E0A">
        <w:rPr>
          <w:lang w:val="fr-FR"/>
        </w:rPr>
        <w:t>s</w:t>
      </w:r>
      <w:r w:rsidR="00AD5076" w:rsidRPr="00D36E0A">
        <w:rPr>
          <w:lang w:val="fr-FR"/>
        </w:rPr>
        <w:t>ources</w:t>
      </w:r>
      <w:r w:rsidR="00CE7C1D" w:rsidRPr="00D36E0A">
        <w:rPr>
          <w:lang w:val="fr-FR"/>
        </w:rPr>
        <w:t xml:space="preserve"> génétiques</w:t>
      </w:r>
      <w:r w:rsidR="00AD5076" w:rsidRPr="00D36E0A">
        <w:rPr>
          <w:lang w:val="fr-FR"/>
        </w:rPr>
        <w:t xml:space="preserve"> </w:t>
      </w:r>
      <w:r w:rsidR="00CE7C1D" w:rsidRPr="00D36E0A">
        <w:rPr>
          <w:lang w:val="fr-FR"/>
        </w:rPr>
        <w:t>sont utilisées sans aboutir à une</w:t>
      </w:r>
      <w:r w:rsidR="00AD5076" w:rsidRPr="00D36E0A">
        <w:rPr>
          <w:lang w:val="fr-FR"/>
        </w:rPr>
        <w:t xml:space="preserve"> invention, </w:t>
      </w:r>
      <w:r w:rsidR="00CE7C1D" w:rsidRPr="00D36E0A">
        <w:rPr>
          <w:lang w:val="fr-FR"/>
        </w:rPr>
        <w:t>par exemple dans le cadre de projets de recherche</w:t>
      </w:r>
      <w:r w:rsidR="00AD5076" w:rsidRPr="00D36E0A">
        <w:rPr>
          <w:lang w:val="fr-FR"/>
        </w:rPr>
        <w:t xml:space="preserve"> </w:t>
      </w:r>
      <w:r w:rsidR="00CE7C1D" w:rsidRPr="00D36E0A">
        <w:rPr>
          <w:lang w:val="fr-FR"/>
        </w:rPr>
        <w:t>à des fins non commerciale</w:t>
      </w:r>
      <w:r w:rsidR="00AD5076" w:rsidRPr="00D36E0A">
        <w:rPr>
          <w:lang w:val="fr-FR"/>
        </w:rPr>
        <w:t>s, o</w:t>
      </w:r>
      <w:r w:rsidR="00CE7C1D" w:rsidRPr="00D36E0A">
        <w:rPr>
          <w:lang w:val="fr-FR"/>
        </w:rPr>
        <w:t>u</w:t>
      </w:r>
      <w:r w:rsidR="00AD5076" w:rsidRPr="00D36E0A">
        <w:rPr>
          <w:lang w:val="fr-FR"/>
        </w:rPr>
        <w:t xml:space="preserve"> </w:t>
      </w:r>
      <w:r w:rsidR="00CE7C1D" w:rsidRPr="00D36E0A">
        <w:rPr>
          <w:lang w:val="fr-FR"/>
        </w:rPr>
        <w:t>peuvent aboutir à des</w:t>
      </w:r>
      <w:r w:rsidR="00AD5076" w:rsidRPr="00D36E0A">
        <w:rPr>
          <w:lang w:val="fr-FR"/>
        </w:rPr>
        <w:t xml:space="preserve"> </w:t>
      </w:r>
      <w:r w:rsidR="00CE7C1D" w:rsidRPr="00D36E0A">
        <w:rPr>
          <w:lang w:val="fr-FR"/>
        </w:rPr>
        <w:t>produits commerciaux non protégés par des breve</w:t>
      </w:r>
      <w:r w:rsidR="00511F1C" w:rsidRPr="00D36E0A">
        <w:rPr>
          <w:lang w:val="fr-FR"/>
        </w:rPr>
        <w:t>ts.  En</w:t>
      </w:r>
      <w:r w:rsidR="00CE7C1D" w:rsidRPr="00D36E0A">
        <w:rPr>
          <w:lang w:val="fr-FR"/>
        </w:rPr>
        <w:t xml:space="preserve"> conséquence, de l</w:t>
      </w:r>
      <w:r w:rsidR="00A27507" w:rsidRPr="00D36E0A">
        <w:rPr>
          <w:lang w:val="fr-FR"/>
        </w:rPr>
        <w:t>’</w:t>
      </w:r>
      <w:r w:rsidR="00CE7C1D" w:rsidRPr="00D36E0A">
        <w:rPr>
          <w:lang w:val="fr-FR"/>
        </w:rPr>
        <w:t>avis de la Suisse</w:t>
      </w:r>
      <w:r w:rsidR="00AD5076" w:rsidRPr="00D36E0A">
        <w:rPr>
          <w:lang w:val="fr-FR"/>
        </w:rPr>
        <w:t xml:space="preserve">, </w:t>
      </w:r>
      <w:r w:rsidR="00CE7C1D" w:rsidRPr="00D36E0A">
        <w:rPr>
          <w:lang w:val="fr-FR"/>
        </w:rPr>
        <w:t>et conformément aux</w:t>
      </w:r>
      <w:r w:rsidR="00AD5076" w:rsidRPr="00D36E0A">
        <w:rPr>
          <w:lang w:val="fr-FR"/>
        </w:rPr>
        <w:t xml:space="preserve"> </w:t>
      </w:r>
      <w:r w:rsidR="00CE7C1D" w:rsidRPr="00D36E0A">
        <w:rPr>
          <w:lang w:val="fr-FR"/>
        </w:rPr>
        <w:t>dispositions du</w:t>
      </w:r>
      <w:r w:rsidR="00AD5076" w:rsidRPr="00D36E0A">
        <w:rPr>
          <w:lang w:val="fr-FR"/>
        </w:rPr>
        <w:t xml:space="preserve"> </w:t>
      </w:r>
      <w:r w:rsidR="00CE7C1D" w:rsidRPr="00D36E0A">
        <w:rPr>
          <w:lang w:val="fr-FR"/>
        </w:rPr>
        <w:t>Protocole de </w:t>
      </w:r>
      <w:r w:rsidR="00AD5076" w:rsidRPr="00D36E0A">
        <w:rPr>
          <w:lang w:val="fr-FR"/>
        </w:rPr>
        <w:t xml:space="preserve">Nagoya, </w:t>
      </w:r>
      <w:r w:rsidR="00CE7C1D" w:rsidRPr="00D36E0A">
        <w:rPr>
          <w:lang w:val="fr-FR"/>
        </w:rPr>
        <w:t>des me</w:t>
      </w:r>
      <w:r w:rsidR="00AD5076" w:rsidRPr="00D36E0A">
        <w:rPr>
          <w:lang w:val="fr-FR"/>
        </w:rPr>
        <w:t>sure</w:t>
      </w:r>
      <w:r w:rsidR="00CE7C1D" w:rsidRPr="00D36E0A">
        <w:rPr>
          <w:lang w:val="fr-FR"/>
        </w:rPr>
        <w:t>s supplémentaires doivent être prises en dehors du système des brevets</w:t>
      </w:r>
      <w:r w:rsidR="00FC0A2F" w:rsidRPr="00D36E0A">
        <w:rPr>
          <w:lang w:val="fr-FR"/>
        </w:rPr>
        <w:t>,</w:t>
      </w:r>
      <w:r w:rsidR="00AD5076" w:rsidRPr="00D36E0A">
        <w:rPr>
          <w:lang w:val="fr-FR"/>
        </w:rPr>
        <w:t xml:space="preserve"> </w:t>
      </w:r>
      <w:r w:rsidR="00CE7C1D" w:rsidRPr="00D36E0A">
        <w:rPr>
          <w:lang w:val="fr-FR"/>
        </w:rPr>
        <w:t>dans d</w:t>
      </w:r>
      <w:r w:rsidR="00A27507" w:rsidRPr="00D36E0A">
        <w:rPr>
          <w:lang w:val="fr-FR"/>
        </w:rPr>
        <w:t>’</w:t>
      </w:r>
      <w:r w:rsidR="00CE7C1D" w:rsidRPr="00D36E0A">
        <w:rPr>
          <w:lang w:val="fr-FR"/>
        </w:rPr>
        <w:t>autres domaines du dro</w:t>
      </w:r>
      <w:r w:rsidR="00511F1C" w:rsidRPr="00D36E0A">
        <w:rPr>
          <w:lang w:val="fr-FR"/>
        </w:rPr>
        <w:t>it.  Le</w:t>
      </w:r>
      <w:r w:rsidR="00CE7C1D" w:rsidRPr="00D36E0A">
        <w:rPr>
          <w:lang w:val="fr-FR"/>
        </w:rPr>
        <w:t>s</w:t>
      </w:r>
      <w:r w:rsidR="00AD5076" w:rsidRPr="00D36E0A">
        <w:rPr>
          <w:lang w:val="fr-FR"/>
        </w:rPr>
        <w:t xml:space="preserve"> mesures</w:t>
      </w:r>
      <w:r w:rsidR="00CE7C1D" w:rsidRPr="00D36E0A">
        <w:rPr>
          <w:lang w:val="fr-FR"/>
        </w:rPr>
        <w:t xml:space="preserve"> prises par la Suisse</w:t>
      </w:r>
      <w:r w:rsidR="00AD5076" w:rsidRPr="00D36E0A">
        <w:rPr>
          <w:lang w:val="fr-FR"/>
        </w:rPr>
        <w:t xml:space="preserve"> </w:t>
      </w:r>
      <w:r w:rsidR="00CE7C1D" w:rsidRPr="00D36E0A">
        <w:rPr>
          <w:lang w:val="fr-FR"/>
        </w:rPr>
        <w:t>en dehors du système des brevets sont dé</w:t>
      </w:r>
      <w:r w:rsidR="00AD5076" w:rsidRPr="00D36E0A">
        <w:rPr>
          <w:lang w:val="fr-FR"/>
        </w:rPr>
        <w:t>cri</w:t>
      </w:r>
      <w:r w:rsidR="00CE7C1D" w:rsidRPr="00D36E0A">
        <w:rPr>
          <w:lang w:val="fr-FR"/>
        </w:rPr>
        <w:t>t</w:t>
      </w:r>
      <w:r w:rsidR="00AD5076" w:rsidRPr="00D36E0A">
        <w:rPr>
          <w:lang w:val="fr-FR"/>
        </w:rPr>
        <w:t>e</w:t>
      </w:r>
      <w:r w:rsidR="00CE7C1D" w:rsidRPr="00D36E0A">
        <w:rPr>
          <w:lang w:val="fr-FR"/>
        </w:rPr>
        <w:t>s dans la s</w:t>
      </w:r>
      <w:r w:rsidR="00AD5076" w:rsidRPr="00D36E0A">
        <w:rPr>
          <w:lang w:val="fr-FR"/>
        </w:rPr>
        <w:t>ection</w:t>
      </w:r>
      <w:r w:rsidR="00580A55" w:rsidRPr="00D36E0A">
        <w:rPr>
          <w:lang w:val="fr-FR"/>
        </w:rPr>
        <w:t> </w:t>
      </w:r>
      <w:r w:rsidR="00AD5076" w:rsidRPr="00D36E0A">
        <w:rPr>
          <w:lang w:val="fr-FR"/>
        </w:rPr>
        <w:t xml:space="preserve">III </w:t>
      </w:r>
      <w:r w:rsidR="00CE7C1D" w:rsidRPr="00D36E0A">
        <w:rPr>
          <w:lang w:val="fr-FR"/>
        </w:rPr>
        <w:t>ci</w:t>
      </w:r>
      <w:r w:rsidR="00511F1C" w:rsidRPr="00D36E0A">
        <w:rPr>
          <w:lang w:val="fr-FR"/>
        </w:rPr>
        <w:noBreakHyphen/>
      </w:r>
      <w:r w:rsidR="00CE7C1D" w:rsidRPr="00D36E0A">
        <w:rPr>
          <w:lang w:val="fr-FR"/>
        </w:rPr>
        <w:t>dessous</w:t>
      </w:r>
      <w:r w:rsidR="00AD5076" w:rsidRPr="00D36E0A">
        <w:rPr>
          <w:lang w:val="fr-FR"/>
        </w:rPr>
        <w:t>.</w:t>
      </w:r>
      <w:bookmarkEnd w:id="51"/>
      <w:bookmarkEnd w:id="52"/>
      <w:bookmarkEnd w:id="53"/>
      <w:bookmarkEnd w:id="54"/>
      <w:bookmarkEnd w:id="55"/>
    </w:p>
    <w:p w:rsidR="00AD5076" w:rsidRPr="00D36E0A" w:rsidRDefault="00C53DB3" w:rsidP="00D36E0A">
      <w:pPr>
        <w:pStyle w:val="ONUMFS"/>
        <w:rPr>
          <w:caps/>
          <w:lang w:val="fr-FR"/>
        </w:rPr>
      </w:pPr>
      <w:bookmarkStart w:id="56" w:name="_Toc461721031"/>
      <w:bookmarkStart w:id="57" w:name="_Toc457391438"/>
      <w:bookmarkStart w:id="58" w:name="_Toc457394780"/>
      <w:bookmarkStart w:id="59" w:name="_Toc457988565"/>
      <w:bookmarkStart w:id="60" w:name="_Toc457989448"/>
      <w:r w:rsidRPr="00D36E0A">
        <w:rPr>
          <w:lang w:val="fr-FR"/>
        </w:rPr>
        <w:t>L</w:t>
      </w:r>
      <w:r w:rsidR="00A27507" w:rsidRPr="00D36E0A">
        <w:rPr>
          <w:lang w:val="fr-FR"/>
        </w:rPr>
        <w:t>’</w:t>
      </w:r>
      <w:r w:rsidR="00AD5076" w:rsidRPr="00D36E0A">
        <w:rPr>
          <w:lang w:val="fr-FR"/>
        </w:rPr>
        <w:t>in</w:t>
      </w:r>
      <w:r w:rsidRPr="00D36E0A">
        <w:rPr>
          <w:lang w:val="fr-FR"/>
        </w:rPr>
        <w:t>serti</w:t>
      </w:r>
      <w:r w:rsidR="00AD5076" w:rsidRPr="00D36E0A">
        <w:rPr>
          <w:lang w:val="fr-FR"/>
        </w:rPr>
        <w:t xml:space="preserve">on </w:t>
      </w:r>
      <w:r w:rsidRPr="00D36E0A">
        <w:rPr>
          <w:lang w:val="fr-FR"/>
        </w:rPr>
        <w:t>d</w:t>
      </w:r>
      <w:r w:rsidR="00A27507" w:rsidRPr="00D36E0A">
        <w:rPr>
          <w:lang w:val="fr-FR"/>
        </w:rPr>
        <w:t>’</w:t>
      </w:r>
      <w:r w:rsidRPr="00D36E0A">
        <w:rPr>
          <w:lang w:val="fr-FR"/>
        </w:rPr>
        <w:t>une exigence de divulgation dans la </w:t>
      </w:r>
      <w:proofErr w:type="spellStart"/>
      <w:r w:rsidRPr="00D36E0A">
        <w:rPr>
          <w:lang w:val="fr-FR"/>
        </w:rPr>
        <w:t>LBI</w:t>
      </w:r>
      <w:proofErr w:type="spellEnd"/>
      <w:r w:rsidR="00AD5076" w:rsidRPr="00D36E0A">
        <w:rPr>
          <w:lang w:val="fr-FR"/>
        </w:rPr>
        <w:t xml:space="preserve"> </w:t>
      </w:r>
      <w:r w:rsidR="00AF79FD" w:rsidRPr="00D36E0A">
        <w:rPr>
          <w:lang w:val="fr-FR"/>
        </w:rPr>
        <w:t>s’est</w:t>
      </w:r>
      <w:r w:rsidRPr="00D36E0A">
        <w:rPr>
          <w:lang w:val="fr-FR"/>
        </w:rPr>
        <w:t xml:space="preserve"> faite selon un processus</w:t>
      </w:r>
      <w:r w:rsidR="00AD5076" w:rsidRPr="00D36E0A">
        <w:rPr>
          <w:lang w:val="fr-FR"/>
        </w:rPr>
        <w:t xml:space="preserve"> d</w:t>
      </w:r>
      <w:r w:rsidRPr="00D36E0A">
        <w:rPr>
          <w:lang w:val="fr-FR"/>
        </w:rPr>
        <w:t xml:space="preserve">émocratique, axé sur une démarche équilibrée tenant compte </w:t>
      </w:r>
      <w:r w:rsidR="000A0BFB" w:rsidRPr="00D36E0A">
        <w:rPr>
          <w:lang w:val="fr-FR"/>
        </w:rPr>
        <w:t>d</w:t>
      </w:r>
      <w:r w:rsidR="00FC0A2F" w:rsidRPr="00D36E0A">
        <w:rPr>
          <w:lang w:val="fr-FR"/>
        </w:rPr>
        <w:t xml:space="preserve">e multiples </w:t>
      </w:r>
      <w:r w:rsidRPr="00D36E0A">
        <w:rPr>
          <w:lang w:val="fr-FR"/>
        </w:rPr>
        <w:t>intérêts parfois</w:t>
      </w:r>
      <w:r w:rsidR="00AD5076" w:rsidRPr="00D36E0A">
        <w:rPr>
          <w:lang w:val="fr-FR"/>
        </w:rPr>
        <w:t xml:space="preserve"> </w:t>
      </w:r>
      <w:r w:rsidRPr="00D36E0A">
        <w:rPr>
          <w:lang w:val="fr-FR"/>
        </w:rPr>
        <w:t>divergen</w:t>
      </w:r>
      <w:r w:rsidR="00511F1C" w:rsidRPr="00D36E0A">
        <w:rPr>
          <w:lang w:val="fr-FR"/>
        </w:rPr>
        <w:t>ts.  Ce</w:t>
      </w:r>
      <w:r w:rsidRPr="00D36E0A">
        <w:rPr>
          <w:lang w:val="fr-FR"/>
        </w:rPr>
        <w:t>s</w:t>
      </w:r>
      <w:r w:rsidR="00AD5076" w:rsidRPr="00D36E0A">
        <w:rPr>
          <w:lang w:val="fr-FR"/>
        </w:rPr>
        <w:t xml:space="preserve"> </w:t>
      </w:r>
      <w:r w:rsidRPr="00D36E0A">
        <w:rPr>
          <w:lang w:val="fr-FR"/>
        </w:rPr>
        <w:t xml:space="preserve">intérêts </w:t>
      </w:r>
      <w:r w:rsidR="000A0BFB" w:rsidRPr="00D36E0A">
        <w:rPr>
          <w:lang w:val="fr-FR"/>
        </w:rPr>
        <w:t>sont ceux d</w:t>
      </w:r>
      <w:r w:rsidR="00A27507" w:rsidRPr="00D36E0A">
        <w:rPr>
          <w:lang w:val="fr-FR"/>
        </w:rPr>
        <w:t>’</w:t>
      </w:r>
      <w:r w:rsidRPr="00D36E0A">
        <w:rPr>
          <w:lang w:val="fr-FR"/>
        </w:rPr>
        <w:t>utilisateurs et de fournisseurs de ressources génétiques</w:t>
      </w:r>
      <w:r w:rsidR="00AD5076" w:rsidRPr="00D36E0A">
        <w:rPr>
          <w:lang w:val="fr-FR"/>
        </w:rPr>
        <w:t xml:space="preserve">, </w:t>
      </w:r>
      <w:r w:rsidR="000A0BFB" w:rsidRPr="00D36E0A">
        <w:rPr>
          <w:lang w:val="fr-FR"/>
        </w:rPr>
        <w:t>de pays développés et en</w:t>
      </w:r>
      <w:r w:rsidR="00AD5076" w:rsidRPr="00D36E0A">
        <w:rPr>
          <w:lang w:val="fr-FR"/>
        </w:rPr>
        <w:t xml:space="preserve"> </w:t>
      </w:r>
      <w:r w:rsidR="000A0BFB" w:rsidRPr="00D36E0A">
        <w:rPr>
          <w:lang w:val="fr-FR"/>
        </w:rPr>
        <w:t>développement</w:t>
      </w:r>
      <w:r w:rsidR="00AD5076" w:rsidRPr="00D36E0A">
        <w:rPr>
          <w:lang w:val="fr-FR"/>
        </w:rPr>
        <w:t xml:space="preserve">, </w:t>
      </w:r>
      <w:r w:rsidR="000A0BFB" w:rsidRPr="00D36E0A">
        <w:rPr>
          <w:lang w:val="fr-FR"/>
        </w:rPr>
        <w:t xml:space="preserve">de peuples </w:t>
      </w:r>
      <w:r w:rsidR="00A11853" w:rsidRPr="00D36E0A">
        <w:rPr>
          <w:lang w:val="fr-FR"/>
        </w:rPr>
        <w:t>autochtones</w:t>
      </w:r>
      <w:r w:rsidR="00AD5076" w:rsidRPr="00D36E0A">
        <w:rPr>
          <w:lang w:val="fr-FR"/>
        </w:rPr>
        <w:t xml:space="preserve">, </w:t>
      </w:r>
      <w:r w:rsidR="000A0BFB" w:rsidRPr="00D36E0A">
        <w:rPr>
          <w:lang w:val="fr-FR"/>
        </w:rPr>
        <w:t>d</w:t>
      </w:r>
      <w:r w:rsidR="00A27507" w:rsidRPr="00D36E0A">
        <w:rPr>
          <w:lang w:val="fr-FR"/>
        </w:rPr>
        <w:t>’</w:t>
      </w:r>
      <w:r w:rsidR="00AD5076" w:rsidRPr="00D36E0A">
        <w:rPr>
          <w:lang w:val="fr-FR"/>
        </w:rPr>
        <w:t>examin</w:t>
      </w:r>
      <w:r w:rsidR="000A0BFB" w:rsidRPr="00D36E0A">
        <w:rPr>
          <w:lang w:val="fr-FR"/>
        </w:rPr>
        <w:t>ateur</w:t>
      </w:r>
      <w:r w:rsidR="00AD5076" w:rsidRPr="00D36E0A">
        <w:rPr>
          <w:lang w:val="fr-FR"/>
        </w:rPr>
        <w:t>s</w:t>
      </w:r>
      <w:r w:rsidR="000A0BFB" w:rsidRPr="00D36E0A">
        <w:rPr>
          <w:lang w:val="fr-FR"/>
        </w:rPr>
        <w:t xml:space="preserve"> de brevets et de</w:t>
      </w:r>
      <w:r w:rsidR="00AD5076" w:rsidRPr="00D36E0A">
        <w:rPr>
          <w:lang w:val="fr-FR"/>
        </w:rPr>
        <w:t xml:space="preserve"> </w:t>
      </w:r>
      <w:r w:rsidR="00A11853" w:rsidRPr="00D36E0A">
        <w:rPr>
          <w:lang w:val="fr-FR"/>
        </w:rPr>
        <w:t>déposants de demandes</w:t>
      </w:r>
      <w:r w:rsidR="00AD5076" w:rsidRPr="00D36E0A">
        <w:rPr>
          <w:lang w:val="fr-FR"/>
        </w:rPr>
        <w:t xml:space="preserve">, </w:t>
      </w:r>
      <w:r w:rsidR="000A0BFB" w:rsidRPr="00D36E0A">
        <w:rPr>
          <w:lang w:val="fr-FR"/>
        </w:rPr>
        <w:t>de chercheurs</w:t>
      </w:r>
      <w:r w:rsidR="00AD5076" w:rsidRPr="00D36E0A">
        <w:rPr>
          <w:lang w:val="fr-FR"/>
        </w:rPr>
        <w:t xml:space="preserve">, </w:t>
      </w:r>
      <w:r w:rsidR="00A11853" w:rsidRPr="00D36E0A">
        <w:rPr>
          <w:lang w:val="fr-FR"/>
        </w:rPr>
        <w:t xml:space="preserve">et de représentants </w:t>
      </w:r>
      <w:r w:rsidR="000A0BFB" w:rsidRPr="00D36E0A">
        <w:rPr>
          <w:lang w:val="fr-FR"/>
        </w:rPr>
        <w:t xml:space="preserve">du secteur privé </w:t>
      </w:r>
      <w:r w:rsidR="00A11853" w:rsidRPr="00D36E0A">
        <w:rPr>
          <w:lang w:val="fr-FR"/>
        </w:rPr>
        <w:t xml:space="preserve">et </w:t>
      </w:r>
      <w:r w:rsidR="000A0BFB" w:rsidRPr="00D36E0A">
        <w:rPr>
          <w:lang w:val="fr-FR"/>
        </w:rPr>
        <w:t>de la</w:t>
      </w:r>
      <w:r w:rsidR="00AD5076" w:rsidRPr="00D36E0A">
        <w:rPr>
          <w:lang w:val="fr-FR"/>
        </w:rPr>
        <w:t xml:space="preserve"> </w:t>
      </w:r>
      <w:r w:rsidR="000A0BFB" w:rsidRPr="00D36E0A">
        <w:rPr>
          <w:lang w:val="fr-FR"/>
        </w:rPr>
        <w:t>société civi</w:t>
      </w:r>
      <w:r w:rsidR="00511F1C" w:rsidRPr="00D36E0A">
        <w:rPr>
          <w:lang w:val="fr-FR"/>
        </w:rPr>
        <w:t>le.  En</w:t>
      </w:r>
      <w:r w:rsidR="00585E88" w:rsidRPr="00D36E0A">
        <w:rPr>
          <w:lang w:val="fr-FR"/>
        </w:rPr>
        <w:t xml:space="preserve"> outre</w:t>
      </w:r>
      <w:r w:rsidR="00AD5076" w:rsidRPr="00D36E0A">
        <w:rPr>
          <w:lang w:val="fr-FR"/>
        </w:rPr>
        <w:t xml:space="preserve">, </w:t>
      </w:r>
      <w:r w:rsidR="00585E88" w:rsidRPr="00D36E0A">
        <w:rPr>
          <w:lang w:val="fr-FR"/>
        </w:rPr>
        <w:t xml:space="preserve">des </w:t>
      </w:r>
      <w:r w:rsidR="00AD5076" w:rsidRPr="00D36E0A">
        <w:rPr>
          <w:lang w:val="fr-FR"/>
        </w:rPr>
        <w:t xml:space="preserve">efforts </w:t>
      </w:r>
      <w:r w:rsidR="00585E88" w:rsidRPr="00D36E0A">
        <w:rPr>
          <w:lang w:val="fr-FR"/>
        </w:rPr>
        <w:t>ont été faits pour</w:t>
      </w:r>
      <w:r w:rsidR="00AD5076" w:rsidRPr="00D36E0A">
        <w:rPr>
          <w:lang w:val="fr-FR"/>
        </w:rPr>
        <w:t xml:space="preserve"> </w:t>
      </w:r>
      <w:r w:rsidR="00585E88" w:rsidRPr="00D36E0A">
        <w:rPr>
          <w:lang w:val="fr-FR"/>
        </w:rPr>
        <w:t>garder cette exigence aussi</w:t>
      </w:r>
      <w:r w:rsidR="00AD5076" w:rsidRPr="00D36E0A">
        <w:rPr>
          <w:lang w:val="fr-FR"/>
        </w:rPr>
        <w:t xml:space="preserve"> prati</w:t>
      </w:r>
      <w:r w:rsidR="00585E88" w:rsidRPr="00D36E0A">
        <w:rPr>
          <w:lang w:val="fr-FR"/>
        </w:rPr>
        <w:t>que et</w:t>
      </w:r>
      <w:r w:rsidR="00AD5076" w:rsidRPr="00D36E0A">
        <w:rPr>
          <w:lang w:val="fr-FR"/>
        </w:rPr>
        <w:t xml:space="preserve"> simple </w:t>
      </w:r>
      <w:r w:rsidR="00585E88" w:rsidRPr="00D36E0A">
        <w:rPr>
          <w:lang w:val="fr-FR"/>
        </w:rPr>
        <w:t>que</w:t>
      </w:r>
      <w:r w:rsidR="00AD5076" w:rsidRPr="00D36E0A">
        <w:rPr>
          <w:lang w:val="fr-FR"/>
        </w:rPr>
        <w:t xml:space="preserve"> possible</w:t>
      </w:r>
      <w:r w:rsidR="00A11853" w:rsidRPr="00D36E0A">
        <w:rPr>
          <w:lang w:val="fr-FR"/>
        </w:rPr>
        <w:t>,</w:t>
      </w:r>
      <w:r w:rsidR="00AD5076" w:rsidRPr="00D36E0A">
        <w:rPr>
          <w:lang w:val="fr-FR"/>
        </w:rPr>
        <w:t xml:space="preserve"> </w:t>
      </w:r>
      <w:r w:rsidR="00585E88" w:rsidRPr="00D36E0A">
        <w:rPr>
          <w:lang w:val="fr-FR"/>
        </w:rPr>
        <w:t xml:space="preserve">sans perdre </w:t>
      </w:r>
      <w:r w:rsidR="0097664F" w:rsidRPr="00D36E0A">
        <w:rPr>
          <w:lang w:val="fr-FR"/>
        </w:rPr>
        <w:t xml:space="preserve">de </w:t>
      </w:r>
      <w:r w:rsidR="00585E88" w:rsidRPr="00D36E0A">
        <w:rPr>
          <w:lang w:val="fr-FR"/>
        </w:rPr>
        <w:t>son efficacité</w:t>
      </w:r>
      <w:r w:rsidR="00AD5076" w:rsidRPr="00D36E0A">
        <w:rPr>
          <w:lang w:val="fr-FR"/>
        </w:rPr>
        <w:t>.</w:t>
      </w:r>
      <w:bookmarkEnd w:id="56"/>
    </w:p>
    <w:p w:rsidR="00A27507" w:rsidRPr="00D36E0A" w:rsidRDefault="00140CF9" w:rsidP="00D36E0A">
      <w:pPr>
        <w:pStyle w:val="ONUMFS"/>
        <w:rPr>
          <w:lang w:val="fr-FR"/>
        </w:rPr>
      </w:pPr>
      <w:bookmarkStart w:id="61" w:name="_Toc461721032"/>
      <w:r w:rsidRPr="00D36E0A">
        <w:rPr>
          <w:lang w:val="fr-FR"/>
        </w:rPr>
        <w:t>L</w:t>
      </w:r>
      <w:r w:rsidR="00A27507" w:rsidRPr="00D36E0A">
        <w:rPr>
          <w:lang w:val="fr-FR"/>
        </w:rPr>
        <w:t>’</w:t>
      </w:r>
      <w:r w:rsidRPr="00D36E0A">
        <w:rPr>
          <w:lang w:val="fr-FR"/>
        </w:rPr>
        <w:t>exigence de divulgation</w:t>
      </w:r>
      <w:r w:rsidR="00AD5076" w:rsidRPr="00D36E0A">
        <w:rPr>
          <w:lang w:val="fr-FR"/>
        </w:rPr>
        <w:t xml:space="preserve"> </w:t>
      </w:r>
      <w:r w:rsidRPr="00D36E0A">
        <w:rPr>
          <w:lang w:val="fr-FR"/>
        </w:rPr>
        <w:t>dans la </w:t>
      </w:r>
      <w:proofErr w:type="spellStart"/>
      <w:r w:rsidRPr="00D36E0A">
        <w:rPr>
          <w:lang w:val="fr-FR"/>
        </w:rPr>
        <w:t>LBI</w:t>
      </w:r>
      <w:proofErr w:type="spellEnd"/>
      <w:r w:rsidRPr="00D36E0A">
        <w:rPr>
          <w:lang w:val="fr-FR"/>
        </w:rPr>
        <w:t xml:space="preserve"> repose sur des principes clés </w:t>
      </w:r>
      <w:r w:rsidR="00AD5076" w:rsidRPr="00D36E0A">
        <w:rPr>
          <w:lang w:val="fr-FR"/>
        </w:rPr>
        <w:t>:</w:t>
      </w:r>
      <w:bookmarkEnd w:id="57"/>
      <w:bookmarkEnd w:id="58"/>
      <w:bookmarkEnd w:id="59"/>
      <w:bookmarkEnd w:id="60"/>
      <w:bookmarkEnd w:id="61"/>
    </w:p>
    <w:p w:rsidR="00AD5076" w:rsidRPr="00D36E0A" w:rsidRDefault="007B2186" w:rsidP="00D36E0A">
      <w:pPr>
        <w:pStyle w:val="ONUMFS"/>
        <w:numPr>
          <w:ilvl w:val="1"/>
          <w:numId w:val="30"/>
        </w:numPr>
        <w:rPr>
          <w:lang w:val="fr-FR"/>
        </w:rPr>
      </w:pPr>
      <w:bookmarkStart w:id="62" w:name="_Toc457391439"/>
      <w:bookmarkStart w:id="63" w:name="_Toc457394781"/>
      <w:bookmarkStart w:id="64" w:name="_Toc457988566"/>
      <w:bookmarkStart w:id="65" w:name="_Toc457989449"/>
      <w:bookmarkStart w:id="66" w:name="_Toc461721033"/>
      <w:r w:rsidRPr="00D36E0A">
        <w:rPr>
          <w:lang w:val="fr-FR"/>
        </w:rPr>
        <w:t>l</w:t>
      </w:r>
      <w:r w:rsidR="00140CF9" w:rsidRPr="00D36E0A">
        <w:rPr>
          <w:lang w:val="fr-FR"/>
        </w:rPr>
        <w:t>a loi est assez souple pour</w:t>
      </w:r>
      <w:r w:rsidR="009E04BD" w:rsidRPr="00D36E0A">
        <w:rPr>
          <w:lang w:val="fr-FR"/>
        </w:rPr>
        <w:t xml:space="preserve"> </w:t>
      </w:r>
      <w:r w:rsidR="00140CF9" w:rsidRPr="00D36E0A">
        <w:rPr>
          <w:lang w:val="fr-FR"/>
        </w:rPr>
        <w:t>s</w:t>
      </w:r>
      <w:r w:rsidR="00A27507" w:rsidRPr="00D36E0A">
        <w:rPr>
          <w:lang w:val="fr-FR"/>
        </w:rPr>
        <w:t>’</w:t>
      </w:r>
      <w:r w:rsidR="00140CF9" w:rsidRPr="00D36E0A">
        <w:rPr>
          <w:lang w:val="fr-FR"/>
        </w:rPr>
        <w:t>adapter à la diversité des</w:t>
      </w:r>
      <w:r w:rsidR="00AD5076" w:rsidRPr="00D36E0A">
        <w:rPr>
          <w:lang w:val="fr-FR"/>
        </w:rPr>
        <w:t xml:space="preserve"> </w:t>
      </w:r>
      <w:r w:rsidR="000222F7" w:rsidRPr="00D36E0A">
        <w:rPr>
          <w:lang w:val="fr-FR"/>
        </w:rPr>
        <w:t>situations</w:t>
      </w:r>
      <w:r w:rsidR="00AD5076" w:rsidRPr="00D36E0A">
        <w:rPr>
          <w:lang w:val="fr-FR"/>
        </w:rPr>
        <w:t xml:space="preserve"> </w:t>
      </w:r>
      <w:r w:rsidR="0076690D" w:rsidRPr="00D36E0A">
        <w:rPr>
          <w:lang w:val="fr-FR"/>
        </w:rPr>
        <w:t>en relation avec</w:t>
      </w:r>
      <w:r w:rsidRPr="00D36E0A">
        <w:rPr>
          <w:lang w:val="fr-FR"/>
        </w:rPr>
        <w:t xml:space="preserve"> </w:t>
      </w:r>
      <w:r w:rsidR="0076690D" w:rsidRPr="00D36E0A">
        <w:rPr>
          <w:lang w:val="fr-FR"/>
        </w:rPr>
        <w:t>les</w:t>
      </w:r>
      <w:r w:rsidR="00AD5076" w:rsidRPr="00D36E0A">
        <w:rPr>
          <w:lang w:val="fr-FR"/>
        </w:rPr>
        <w:t xml:space="preserve"> </w:t>
      </w:r>
      <w:r w:rsidRPr="00D36E0A">
        <w:rPr>
          <w:lang w:val="fr-FR"/>
        </w:rPr>
        <w:t xml:space="preserve">ressources génétiques et </w:t>
      </w:r>
      <w:r w:rsidR="0076690D" w:rsidRPr="00D36E0A">
        <w:rPr>
          <w:lang w:val="fr-FR"/>
        </w:rPr>
        <w:t xml:space="preserve">les </w:t>
      </w:r>
      <w:r w:rsidRPr="00D36E0A">
        <w:rPr>
          <w:lang w:val="fr-FR"/>
        </w:rPr>
        <w:t xml:space="preserve">savoirs </w:t>
      </w:r>
      <w:r w:rsidR="00AD5076" w:rsidRPr="00D36E0A">
        <w:rPr>
          <w:lang w:val="fr-FR"/>
        </w:rPr>
        <w:t>tradition</w:t>
      </w:r>
      <w:r w:rsidRPr="00D36E0A">
        <w:rPr>
          <w:lang w:val="fr-FR"/>
        </w:rPr>
        <w:t xml:space="preserve">nels </w:t>
      </w:r>
      <w:r w:rsidR="00AD5076" w:rsidRPr="00D36E0A">
        <w:rPr>
          <w:lang w:val="fr-FR"/>
        </w:rPr>
        <w:t>associ</w:t>
      </w:r>
      <w:r w:rsidRPr="00D36E0A">
        <w:rPr>
          <w:lang w:val="fr-FR"/>
        </w:rPr>
        <w:t>és aux</w:t>
      </w:r>
      <w:r w:rsidR="00AD5076" w:rsidRPr="00D36E0A">
        <w:rPr>
          <w:lang w:val="fr-FR"/>
        </w:rPr>
        <w:t xml:space="preserve"> </w:t>
      </w:r>
      <w:bookmarkEnd w:id="62"/>
      <w:bookmarkEnd w:id="63"/>
      <w:bookmarkEnd w:id="64"/>
      <w:bookmarkEnd w:id="65"/>
      <w:r w:rsidRPr="00D36E0A">
        <w:rPr>
          <w:lang w:val="fr-FR"/>
        </w:rPr>
        <w:t>ressources génétiques;</w:t>
      </w:r>
      <w:bookmarkEnd w:id="66"/>
    </w:p>
    <w:p w:rsidR="00AD5076" w:rsidRPr="00D36E0A" w:rsidRDefault="007B2186" w:rsidP="00D36E0A">
      <w:pPr>
        <w:pStyle w:val="ONUMFS"/>
        <w:numPr>
          <w:ilvl w:val="1"/>
          <w:numId w:val="30"/>
        </w:numPr>
        <w:rPr>
          <w:lang w:val="fr-FR"/>
        </w:rPr>
      </w:pPr>
      <w:bookmarkStart w:id="67" w:name="_Toc457391440"/>
      <w:bookmarkStart w:id="68" w:name="_Toc457394782"/>
      <w:bookmarkStart w:id="69" w:name="_Toc457988567"/>
      <w:bookmarkStart w:id="70" w:name="_Toc457989450"/>
      <w:bookmarkStart w:id="71" w:name="_Toc461721034"/>
      <w:r w:rsidRPr="00D36E0A">
        <w:rPr>
          <w:lang w:val="fr-FR"/>
        </w:rPr>
        <w:t>elle a une portée claire afin qu</w:t>
      </w:r>
      <w:r w:rsidR="00A27507" w:rsidRPr="00D36E0A">
        <w:rPr>
          <w:lang w:val="fr-FR"/>
        </w:rPr>
        <w:t>’</w:t>
      </w:r>
      <w:r w:rsidRPr="00D36E0A">
        <w:rPr>
          <w:lang w:val="fr-FR"/>
        </w:rPr>
        <w:t>il soit possible de</w:t>
      </w:r>
      <w:r w:rsidR="00AD5076" w:rsidRPr="00D36E0A">
        <w:rPr>
          <w:lang w:val="fr-FR"/>
        </w:rPr>
        <w:t xml:space="preserve"> </w:t>
      </w:r>
      <w:r w:rsidRPr="00D36E0A">
        <w:rPr>
          <w:lang w:val="fr-FR"/>
        </w:rPr>
        <w:t>déterminer facilement</w:t>
      </w:r>
      <w:r w:rsidR="00AD5076" w:rsidRPr="00D36E0A">
        <w:rPr>
          <w:lang w:val="fr-FR"/>
        </w:rPr>
        <w:t xml:space="preserve"> </w:t>
      </w:r>
      <w:r w:rsidRPr="00D36E0A">
        <w:rPr>
          <w:lang w:val="fr-FR"/>
        </w:rPr>
        <w:t>si</w:t>
      </w:r>
      <w:r w:rsidR="00AD5076" w:rsidRPr="00D36E0A">
        <w:rPr>
          <w:lang w:val="fr-FR"/>
        </w:rPr>
        <w:t xml:space="preserve"> </w:t>
      </w:r>
      <w:r w:rsidRPr="00D36E0A">
        <w:rPr>
          <w:lang w:val="fr-FR"/>
        </w:rPr>
        <w:t>l</w:t>
      </w:r>
      <w:r w:rsidR="00A27507" w:rsidRPr="00D36E0A">
        <w:rPr>
          <w:lang w:val="fr-FR"/>
        </w:rPr>
        <w:t>’</w:t>
      </w:r>
      <w:r w:rsidRPr="00D36E0A">
        <w:rPr>
          <w:lang w:val="fr-FR"/>
        </w:rPr>
        <w:t xml:space="preserve">exigence de divulgation </w:t>
      </w:r>
      <w:bookmarkEnd w:id="67"/>
      <w:bookmarkEnd w:id="68"/>
      <w:bookmarkEnd w:id="69"/>
      <w:bookmarkEnd w:id="70"/>
      <w:r w:rsidRPr="00D36E0A">
        <w:rPr>
          <w:lang w:val="fr-FR"/>
        </w:rPr>
        <w:t>sera déclenchée;</w:t>
      </w:r>
      <w:bookmarkEnd w:id="71"/>
    </w:p>
    <w:p w:rsidR="00AD5076" w:rsidRPr="00D36E0A" w:rsidRDefault="007B2186" w:rsidP="00D36E0A">
      <w:pPr>
        <w:pStyle w:val="ONUMFS"/>
        <w:numPr>
          <w:ilvl w:val="1"/>
          <w:numId w:val="30"/>
        </w:numPr>
        <w:rPr>
          <w:lang w:val="fr-FR"/>
        </w:rPr>
      </w:pPr>
      <w:bookmarkStart w:id="72" w:name="_Toc457391441"/>
      <w:bookmarkStart w:id="73" w:name="_Toc457394783"/>
      <w:bookmarkStart w:id="74" w:name="_Toc457988568"/>
      <w:bookmarkStart w:id="75" w:name="_Toc457989451"/>
      <w:bookmarkStart w:id="76" w:name="_Toc461721035"/>
      <w:r w:rsidRPr="00D36E0A">
        <w:rPr>
          <w:lang w:val="fr-FR"/>
        </w:rPr>
        <w:t>elle prévoit des</w:t>
      </w:r>
      <w:r w:rsidR="00AD5076" w:rsidRPr="00D36E0A">
        <w:rPr>
          <w:lang w:val="fr-FR"/>
        </w:rPr>
        <w:t xml:space="preserve"> </w:t>
      </w:r>
      <w:r w:rsidRPr="00D36E0A">
        <w:rPr>
          <w:lang w:val="fr-FR"/>
        </w:rPr>
        <w:t>sanctions efficaces et proportionnées afin de garantir la certitude juridique aux</w:t>
      </w:r>
      <w:r w:rsidR="00AD5076" w:rsidRPr="00D36E0A">
        <w:rPr>
          <w:lang w:val="fr-FR"/>
        </w:rPr>
        <w:t xml:space="preserve"> </w:t>
      </w:r>
      <w:r w:rsidRPr="00D36E0A">
        <w:rPr>
          <w:lang w:val="fr-FR"/>
        </w:rPr>
        <w:t xml:space="preserve">utilisateurs et aux fournisseurs des ressources génétiques et des savoirs traditionnels qui y sont associés; </w:t>
      </w:r>
      <w:r w:rsidR="00AD5076" w:rsidRPr="00D36E0A">
        <w:rPr>
          <w:lang w:val="fr-FR"/>
        </w:rPr>
        <w:t xml:space="preserve"> </w:t>
      </w:r>
      <w:bookmarkEnd w:id="72"/>
      <w:bookmarkEnd w:id="73"/>
      <w:bookmarkEnd w:id="74"/>
      <w:bookmarkEnd w:id="75"/>
      <w:r w:rsidRPr="00D36E0A">
        <w:rPr>
          <w:lang w:val="fr-FR"/>
        </w:rPr>
        <w:t>et</w:t>
      </w:r>
      <w:bookmarkEnd w:id="76"/>
    </w:p>
    <w:p w:rsidR="00AD5076" w:rsidRPr="00D36E0A" w:rsidRDefault="00D67508" w:rsidP="00D36E0A">
      <w:pPr>
        <w:pStyle w:val="ONUMFS"/>
        <w:numPr>
          <w:ilvl w:val="1"/>
          <w:numId w:val="30"/>
        </w:numPr>
        <w:rPr>
          <w:lang w:val="fr-FR"/>
        </w:rPr>
      </w:pPr>
      <w:bookmarkStart w:id="77" w:name="_Toc457391442"/>
      <w:bookmarkStart w:id="78" w:name="_Toc457394784"/>
      <w:bookmarkStart w:id="79" w:name="_Toc457988569"/>
      <w:bookmarkStart w:id="80" w:name="_Toc457989452"/>
      <w:bookmarkStart w:id="81" w:name="_Toc461721036"/>
      <w:r w:rsidRPr="00D36E0A">
        <w:rPr>
          <w:lang w:val="fr-FR"/>
        </w:rPr>
        <w:t>elle doit être appréhendée dans le</w:t>
      </w:r>
      <w:r w:rsidR="00AD5076" w:rsidRPr="00D36E0A">
        <w:rPr>
          <w:lang w:val="fr-FR"/>
        </w:rPr>
        <w:t xml:space="preserve"> </w:t>
      </w:r>
      <w:r w:rsidRPr="00D36E0A">
        <w:rPr>
          <w:lang w:val="fr-FR"/>
        </w:rPr>
        <w:t>contexte plus large des me</w:t>
      </w:r>
      <w:r w:rsidR="00AD5076" w:rsidRPr="00D36E0A">
        <w:rPr>
          <w:lang w:val="fr-FR"/>
        </w:rPr>
        <w:t>sures</w:t>
      </w:r>
      <w:r w:rsidRPr="00D36E0A">
        <w:rPr>
          <w:lang w:val="fr-FR"/>
        </w:rPr>
        <w:t xml:space="preserve"> visant à mettre en œuvre le </w:t>
      </w:r>
      <w:r w:rsidR="0097664F" w:rsidRPr="00D36E0A">
        <w:rPr>
          <w:lang w:val="fr-FR"/>
        </w:rPr>
        <w:t>régime</w:t>
      </w:r>
      <w:r w:rsidR="00AD5076" w:rsidRPr="00D36E0A">
        <w:rPr>
          <w:lang w:val="fr-FR"/>
        </w:rPr>
        <w:t xml:space="preserve"> international </w:t>
      </w:r>
      <w:r w:rsidRPr="00D36E0A">
        <w:rPr>
          <w:lang w:val="fr-FR"/>
        </w:rPr>
        <w:t>d</w:t>
      </w:r>
      <w:r w:rsidR="00A27507" w:rsidRPr="00D36E0A">
        <w:rPr>
          <w:lang w:val="fr-FR"/>
        </w:rPr>
        <w:t>’</w:t>
      </w:r>
      <w:r w:rsidRPr="00D36E0A">
        <w:rPr>
          <w:lang w:val="fr-FR"/>
        </w:rPr>
        <w:t>accè</w:t>
      </w:r>
      <w:r w:rsidR="00AD5076" w:rsidRPr="00D36E0A">
        <w:rPr>
          <w:lang w:val="fr-FR"/>
        </w:rPr>
        <w:t xml:space="preserve">s </w:t>
      </w:r>
      <w:r w:rsidRPr="00D36E0A">
        <w:rPr>
          <w:lang w:val="fr-FR"/>
        </w:rPr>
        <w:t>et de partage des avantages</w:t>
      </w:r>
      <w:r w:rsidR="00AD5076" w:rsidRPr="00D36E0A">
        <w:rPr>
          <w:rStyle w:val="FootnoteTextChar"/>
          <w:sz w:val="22"/>
          <w:szCs w:val="22"/>
          <w:vertAlign w:val="superscript"/>
          <w:lang w:val="fr-FR"/>
        </w:rPr>
        <w:footnoteReference w:id="5"/>
      </w:r>
      <w:r w:rsidR="00AD5076" w:rsidRPr="00D36E0A">
        <w:rPr>
          <w:lang w:val="fr-FR"/>
        </w:rPr>
        <w:t xml:space="preserve"> </w:t>
      </w:r>
      <w:r w:rsidRPr="00D36E0A">
        <w:rPr>
          <w:lang w:val="fr-FR"/>
        </w:rPr>
        <w:t>au niveau</w:t>
      </w:r>
      <w:r w:rsidR="00AD5076" w:rsidRPr="00D36E0A">
        <w:rPr>
          <w:lang w:val="fr-FR"/>
        </w:rPr>
        <w:t xml:space="preserve"> national.</w:t>
      </w:r>
      <w:bookmarkEnd w:id="77"/>
      <w:bookmarkEnd w:id="78"/>
      <w:bookmarkEnd w:id="79"/>
      <w:bookmarkEnd w:id="80"/>
      <w:bookmarkEnd w:id="81"/>
    </w:p>
    <w:p w:rsidR="00AD5076" w:rsidRPr="00D36E0A" w:rsidRDefault="00D67508" w:rsidP="00D36E0A">
      <w:pPr>
        <w:pStyle w:val="ONUMFS"/>
        <w:numPr>
          <w:ilvl w:val="0"/>
          <w:numId w:val="0"/>
        </w:numPr>
        <w:rPr>
          <w:lang w:val="fr-FR"/>
        </w:rPr>
      </w:pPr>
      <w:bookmarkStart w:id="82" w:name="_Toc457391443"/>
      <w:bookmarkStart w:id="83" w:name="_Toc457394785"/>
      <w:bookmarkStart w:id="84" w:name="_Toc457988570"/>
      <w:bookmarkStart w:id="85" w:name="_Toc457989453"/>
      <w:bookmarkStart w:id="86" w:name="_Toc461721037"/>
      <w:r w:rsidRPr="00D36E0A">
        <w:rPr>
          <w:lang w:val="fr-FR"/>
        </w:rPr>
        <w:t>Les</w:t>
      </w:r>
      <w:r w:rsidR="00AD5076" w:rsidRPr="00D36E0A">
        <w:rPr>
          <w:lang w:val="fr-FR"/>
        </w:rPr>
        <w:t xml:space="preserve"> paragraph</w:t>
      </w:r>
      <w:r w:rsidRPr="00D36E0A">
        <w:rPr>
          <w:lang w:val="fr-FR"/>
        </w:rPr>
        <w:t>e</w:t>
      </w:r>
      <w:r w:rsidR="00AD5076" w:rsidRPr="00D36E0A">
        <w:rPr>
          <w:lang w:val="fr-FR"/>
        </w:rPr>
        <w:t xml:space="preserve">s </w:t>
      </w:r>
      <w:r w:rsidRPr="00D36E0A">
        <w:rPr>
          <w:lang w:val="fr-FR"/>
        </w:rPr>
        <w:t>ci</w:t>
      </w:r>
      <w:r w:rsidR="00511F1C" w:rsidRPr="00D36E0A">
        <w:rPr>
          <w:lang w:val="fr-FR"/>
        </w:rPr>
        <w:noBreakHyphen/>
      </w:r>
      <w:r w:rsidRPr="00D36E0A">
        <w:rPr>
          <w:lang w:val="fr-FR"/>
        </w:rPr>
        <w:t>après porteront sur les</w:t>
      </w:r>
      <w:r w:rsidR="00AD5076" w:rsidRPr="00D36E0A">
        <w:rPr>
          <w:lang w:val="fr-FR"/>
        </w:rPr>
        <w:t xml:space="preserve"> </w:t>
      </w:r>
      <w:r w:rsidRPr="00D36E0A">
        <w:rPr>
          <w:lang w:val="fr-FR"/>
        </w:rPr>
        <w:t>princip</w:t>
      </w:r>
      <w:r w:rsidR="00AD5076" w:rsidRPr="00D36E0A">
        <w:rPr>
          <w:lang w:val="fr-FR"/>
        </w:rPr>
        <w:t xml:space="preserve">es a) </w:t>
      </w:r>
      <w:r w:rsidRPr="00D36E0A">
        <w:rPr>
          <w:lang w:val="fr-FR"/>
        </w:rPr>
        <w:t>à </w:t>
      </w:r>
      <w:r w:rsidR="00AD5076" w:rsidRPr="00D36E0A">
        <w:rPr>
          <w:lang w:val="fr-FR"/>
        </w:rPr>
        <w:t xml:space="preserve">c), </w:t>
      </w:r>
      <w:r w:rsidRPr="00D36E0A">
        <w:rPr>
          <w:lang w:val="fr-FR"/>
        </w:rPr>
        <w:t>tandis que la s</w:t>
      </w:r>
      <w:r w:rsidR="00AD5076" w:rsidRPr="00D36E0A">
        <w:rPr>
          <w:lang w:val="fr-FR"/>
        </w:rPr>
        <w:t>ection</w:t>
      </w:r>
      <w:r w:rsidRPr="00D36E0A">
        <w:rPr>
          <w:lang w:val="fr-FR"/>
        </w:rPr>
        <w:t> </w:t>
      </w:r>
      <w:r w:rsidR="00AD5076" w:rsidRPr="00D36E0A">
        <w:rPr>
          <w:lang w:val="fr-FR"/>
        </w:rPr>
        <w:t xml:space="preserve">III </w:t>
      </w:r>
      <w:r w:rsidRPr="00D36E0A">
        <w:rPr>
          <w:lang w:val="fr-FR"/>
        </w:rPr>
        <w:t>portera sur le</w:t>
      </w:r>
      <w:r w:rsidR="00AD5076" w:rsidRPr="00D36E0A">
        <w:rPr>
          <w:lang w:val="fr-FR"/>
        </w:rPr>
        <w:t xml:space="preserve"> principe</w:t>
      </w:r>
      <w:r w:rsidRPr="00D36E0A">
        <w:rPr>
          <w:lang w:val="fr-FR"/>
        </w:rPr>
        <w:t> </w:t>
      </w:r>
      <w:r w:rsidR="00AD5076" w:rsidRPr="00D36E0A">
        <w:rPr>
          <w:lang w:val="fr-FR"/>
        </w:rPr>
        <w:t>d).</w:t>
      </w:r>
      <w:bookmarkEnd w:id="82"/>
      <w:bookmarkEnd w:id="83"/>
      <w:bookmarkEnd w:id="84"/>
      <w:bookmarkEnd w:id="85"/>
      <w:bookmarkEnd w:id="86"/>
    </w:p>
    <w:p w:rsidR="00AD5076" w:rsidRPr="00D36E0A" w:rsidRDefault="00AD5076" w:rsidP="00D36E0A">
      <w:pPr>
        <w:pStyle w:val="Heading2"/>
      </w:pPr>
      <w:bookmarkStart w:id="87" w:name="_Toc461721038"/>
      <w:bookmarkStart w:id="88" w:name="_Toc461803929"/>
      <w:r w:rsidRPr="00D36E0A">
        <w:t>C.</w:t>
      </w:r>
      <w:r w:rsidRPr="00D36E0A">
        <w:tab/>
      </w:r>
      <w:r w:rsidR="0076690D" w:rsidRPr="00D36E0A">
        <w:t xml:space="preserve">Fondement </w:t>
      </w:r>
      <w:r w:rsidR="000401D5" w:rsidRPr="00D36E0A">
        <w:t>du concept</w:t>
      </w:r>
      <w:r w:rsidR="0076690D" w:rsidRPr="00D36E0A">
        <w:t xml:space="preserve"> de</w:t>
      </w:r>
      <w:r w:rsidRPr="00D36E0A">
        <w:t xml:space="preserve"> “source”</w:t>
      </w:r>
      <w:r w:rsidR="0076690D" w:rsidRPr="00D36E0A">
        <w:t> </w:t>
      </w:r>
      <w:r w:rsidRPr="00D36E0A">
        <w:t xml:space="preserve">: </w:t>
      </w:r>
      <w:r w:rsidR="0076690D" w:rsidRPr="00D36E0A">
        <w:t>la nécessité de</w:t>
      </w:r>
      <w:r w:rsidRPr="00D36E0A">
        <w:t xml:space="preserve"> </w:t>
      </w:r>
      <w:r w:rsidR="0076690D" w:rsidRPr="00D36E0A">
        <w:t>s</w:t>
      </w:r>
      <w:r w:rsidR="00A27507" w:rsidRPr="00D36E0A">
        <w:t>’</w:t>
      </w:r>
      <w:r w:rsidR="0076690D" w:rsidRPr="00D36E0A">
        <w:t xml:space="preserve">adapter à la diversité des </w:t>
      </w:r>
      <w:r w:rsidR="000222F7" w:rsidRPr="00D36E0A">
        <w:t>situations</w:t>
      </w:r>
      <w:r w:rsidR="0076690D" w:rsidRPr="00D36E0A">
        <w:t xml:space="preserve"> en relation avec les ressources génétiques et les savoirs traditionnels</w:t>
      </w:r>
      <w:bookmarkEnd w:id="87"/>
      <w:bookmarkEnd w:id="88"/>
    </w:p>
    <w:p w:rsidR="0097664F" w:rsidRPr="00D36E0A" w:rsidRDefault="0097664F" w:rsidP="00D36E0A">
      <w:pPr>
        <w:rPr>
          <w:lang w:val="fr-FR"/>
        </w:rPr>
      </w:pPr>
      <w:bookmarkStart w:id="89" w:name="_Toc457391445"/>
      <w:bookmarkStart w:id="90" w:name="_Toc457394787"/>
      <w:bookmarkStart w:id="91" w:name="_Toc457988572"/>
      <w:bookmarkStart w:id="92" w:name="_Toc457989455"/>
      <w:bookmarkStart w:id="93" w:name="_Toc461721039"/>
    </w:p>
    <w:p w:rsidR="00AD5076" w:rsidRPr="00D36E0A" w:rsidRDefault="0076690D" w:rsidP="00D36E0A">
      <w:pPr>
        <w:pStyle w:val="ONUMFS"/>
        <w:rPr>
          <w:lang w:val="fr-FR"/>
        </w:rPr>
      </w:pPr>
      <w:r w:rsidRPr="00D36E0A">
        <w:rPr>
          <w:lang w:val="fr-FR"/>
        </w:rPr>
        <w:t>Les dispositions</w:t>
      </w:r>
      <w:r w:rsidR="00AD5076" w:rsidRPr="00D36E0A">
        <w:rPr>
          <w:lang w:val="fr-FR"/>
        </w:rPr>
        <w:t xml:space="preserve"> </w:t>
      </w:r>
      <w:r w:rsidR="00341B18" w:rsidRPr="00D36E0A">
        <w:rPr>
          <w:lang w:val="fr-FR"/>
        </w:rPr>
        <w:t>de la </w:t>
      </w:r>
      <w:proofErr w:type="spellStart"/>
      <w:r w:rsidR="00341B18" w:rsidRPr="00D36E0A">
        <w:rPr>
          <w:lang w:val="fr-FR"/>
        </w:rPr>
        <w:t>LBI</w:t>
      </w:r>
      <w:proofErr w:type="spellEnd"/>
      <w:r w:rsidR="00341B18" w:rsidRPr="00D36E0A">
        <w:rPr>
          <w:lang w:val="fr-FR"/>
        </w:rPr>
        <w:t xml:space="preserve"> et les</w:t>
      </w:r>
      <w:r w:rsidR="00AD5076" w:rsidRPr="00D36E0A">
        <w:rPr>
          <w:lang w:val="fr-FR"/>
        </w:rPr>
        <w:t xml:space="preserve"> </w:t>
      </w:r>
      <w:r w:rsidR="00341B18" w:rsidRPr="00D36E0A">
        <w:rPr>
          <w:lang w:val="fr-FR"/>
        </w:rPr>
        <w:t>propositions de la Suisse sur l</w:t>
      </w:r>
      <w:r w:rsidR="00A27507" w:rsidRPr="00D36E0A">
        <w:rPr>
          <w:lang w:val="fr-FR"/>
        </w:rPr>
        <w:t>’</w:t>
      </w:r>
      <w:r w:rsidR="00341B18" w:rsidRPr="00D36E0A">
        <w:rPr>
          <w:lang w:val="fr-FR"/>
        </w:rPr>
        <w:t xml:space="preserve">exigence de divulgation </w:t>
      </w:r>
      <w:r w:rsidR="000401D5" w:rsidRPr="00D36E0A">
        <w:rPr>
          <w:lang w:val="fr-FR"/>
        </w:rPr>
        <w:t>qui ont été soumises à l</w:t>
      </w:r>
      <w:r w:rsidR="00A27507" w:rsidRPr="00D36E0A">
        <w:rPr>
          <w:lang w:val="fr-FR"/>
        </w:rPr>
        <w:t>’</w:t>
      </w:r>
      <w:r w:rsidR="000401D5" w:rsidRPr="00D36E0A">
        <w:rPr>
          <w:lang w:val="fr-FR"/>
        </w:rPr>
        <w:t>OMPI reposent sur le</w:t>
      </w:r>
      <w:r w:rsidR="00AD5076" w:rsidRPr="00D36E0A">
        <w:rPr>
          <w:lang w:val="fr-FR"/>
        </w:rPr>
        <w:t xml:space="preserve"> concept </w:t>
      </w:r>
      <w:r w:rsidR="000401D5" w:rsidRPr="00D36E0A">
        <w:rPr>
          <w:lang w:val="fr-FR"/>
        </w:rPr>
        <w:t>de</w:t>
      </w:r>
      <w:r w:rsidR="00AD5076" w:rsidRPr="00D36E0A">
        <w:rPr>
          <w:lang w:val="fr-FR"/>
        </w:rPr>
        <w:t xml:space="preserve"> “source.” </w:t>
      </w:r>
      <w:r w:rsidR="009E04BD" w:rsidRPr="00D36E0A">
        <w:rPr>
          <w:lang w:val="fr-FR"/>
        </w:rPr>
        <w:t xml:space="preserve"> </w:t>
      </w:r>
      <w:r w:rsidR="000401D5" w:rsidRPr="00D36E0A">
        <w:rPr>
          <w:lang w:val="fr-FR"/>
        </w:rPr>
        <w:t>Ce</w:t>
      </w:r>
      <w:r w:rsidR="00AD5076" w:rsidRPr="00D36E0A">
        <w:rPr>
          <w:lang w:val="fr-FR"/>
        </w:rPr>
        <w:t xml:space="preserve"> concept </w:t>
      </w:r>
      <w:r w:rsidR="000401D5" w:rsidRPr="00D36E0A">
        <w:rPr>
          <w:lang w:val="fr-FR"/>
        </w:rPr>
        <w:t>se fonde sur le raisonnement suivant</w:t>
      </w:r>
      <w:bookmarkEnd w:id="89"/>
      <w:bookmarkEnd w:id="90"/>
      <w:bookmarkEnd w:id="91"/>
      <w:bookmarkEnd w:id="92"/>
      <w:bookmarkEnd w:id="93"/>
      <w:r w:rsidR="0097664F" w:rsidRPr="00D36E0A">
        <w:rPr>
          <w:lang w:val="fr-FR"/>
        </w:rPr>
        <w:t>.</w:t>
      </w:r>
    </w:p>
    <w:p w:rsidR="00AD5076" w:rsidRPr="00D36E0A" w:rsidRDefault="00AD5076" w:rsidP="00D36E0A">
      <w:pPr>
        <w:pStyle w:val="ONUMFS"/>
        <w:numPr>
          <w:ilvl w:val="0"/>
          <w:numId w:val="32"/>
        </w:numPr>
        <w:ind w:left="567" w:hanging="567"/>
        <w:rPr>
          <w:lang w:val="fr-FR"/>
        </w:rPr>
      </w:pPr>
      <w:bookmarkStart w:id="94" w:name="_Toc457391446"/>
      <w:bookmarkStart w:id="95" w:name="_Toc457394788"/>
      <w:bookmarkStart w:id="96" w:name="_Toc457988573"/>
      <w:bookmarkStart w:id="97" w:name="_Toc457989456"/>
      <w:bookmarkStart w:id="98" w:name="_Toc461721040"/>
      <w:r w:rsidRPr="00D36E0A">
        <w:rPr>
          <w:i/>
          <w:lang w:val="fr-FR"/>
        </w:rPr>
        <w:t>Diversit</w:t>
      </w:r>
      <w:r w:rsidR="00EA41A6" w:rsidRPr="00D36E0A">
        <w:rPr>
          <w:i/>
          <w:lang w:val="fr-FR"/>
        </w:rPr>
        <w:t>é des lieux de provenance </w:t>
      </w:r>
      <w:r w:rsidRPr="00D36E0A">
        <w:rPr>
          <w:i/>
          <w:lang w:val="fr-FR"/>
        </w:rPr>
        <w:t>:</w:t>
      </w:r>
      <w:r w:rsidR="000401D5" w:rsidRPr="00D36E0A">
        <w:rPr>
          <w:i/>
          <w:lang w:val="fr-FR"/>
        </w:rPr>
        <w:t xml:space="preserve"> </w:t>
      </w:r>
      <w:r w:rsidR="000401D5" w:rsidRPr="00D36E0A">
        <w:rPr>
          <w:lang w:val="fr-FR"/>
        </w:rPr>
        <w:t xml:space="preserve">les ressources génétiques </w:t>
      </w:r>
      <w:r w:rsidR="00B357C9" w:rsidRPr="00D36E0A">
        <w:rPr>
          <w:lang w:val="fr-FR"/>
        </w:rPr>
        <w:t>peuvent</w:t>
      </w:r>
      <w:r w:rsidR="00EA41A6" w:rsidRPr="00D36E0A">
        <w:rPr>
          <w:lang w:val="fr-FR"/>
        </w:rPr>
        <w:t xml:space="preserve"> avoir différentes provenances</w:t>
      </w:r>
      <w:r w:rsidRPr="00D36E0A">
        <w:rPr>
          <w:lang w:val="fr-FR"/>
        </w:rPr>
        <w:t xml:space="preserve"> </w:t>
      </w:r>
      <w:r w:rsidR="00B357C9" w:rsidRPr="00D36E0A">
        <w:rPr>
          <w:lang w:val="fr-FR"/>
        </w:rPr>
        <w:t>et exister</w:t>
      </w:r>
      <w:r w:rsidR="00EA41A6" w:rsidRPr="00D36E0A">
        <w:rPr>
          <w:lang w:val="fr-FR"/>
        </w:rPr>
        <w:t>,</w:t>
      </w:r>
      <w:r w:rsidR="00B357C9" w:rsidRPr="00D36E0A">
        <w:rPr>
          <w:lang w:val="fr-FR"/>
        </w:rPr>
        <w:t xml:space="preserve"> notamment</w:t>
      </w:r>
      <w:r w:rsidR="00EA41A6" w:rsidRPr="00D36E0A">
        <w:rPr>
          <w:lang w:val="fr-FR"/>
        </w:rPr>
        <w:t>,</w:t>
      </w:r>
      <w:r w:rsidR="00B357C9" w:rsidRPr="00D36E0A">
        <w:rPr>
          <w:lang w:val="fr-FR"/>
        </w:rPr>
        <w:t xml:space="preserve"> dans des conditions </w:t>
      </w:r>
      <w:r w:rsidR="00AF79FD" w:rsidRPr="00D36E0A">
        <w:rPr>
          <w:i/>
          <w:lang w:val="fr-FR"/>
        </w:rPr>
        <w:t>in situ</w:t>
      </w:r>
      <w:r w:rsidRPr="00D36E0A">
        <w:rPr>
          <w:lang w:val="fr-FR"/>
        </w:rPr>
        <w:t xml:space="preserve"> </w:t>
      </w:r>
      <w:r w:rsidR="00B357C9" w:rsidRPr="00D36E0A">
        <w:rPr>
          <w:lang w:val="fr-FR"/>
        </w:rPr>
        <w:t>dans</w:t>
      </w:r>
      <w:r w:rsidR="00B357C9" w:rsidRPr="00D36E0A">
        <w:rPr>
          <w:i/>
          <w:lang w:val="fr-FR"/>
        </w:rPr>
        <w:t xml:space="preserve"> </w:t>
      </w:r>
      <w:r w:rsidRPr="00D36E0A">
        <w:rPr>
          <w:lang w:val="fr-FR"/>
        </w:rPr>
        <w:t>diff</w:t>
      </w:r>
      <w:r w:rsidR="00B357C9" w:rsidRPr="00D36E0A">
        <w:rPr>
          <w:lang w:val="fr-FR"/>
        </w:rPr>
        <w:t>é</w:t>
      </w:r>
      <w:r w:rsidRPr="00D36E0A">
        <w:rPr>
          <w:lang w:val="fr-FR"/>
        </w:rPr>
        <w:t>rent</w:t>
      </w:r>
      <w:r w:rsidR="00B357C9" w:rsidRPr="00D36E0A">
        <w:rPr>
          <w:lang w:val="fr-FR"/>
        </w:rPr>
        <w:t>s</w:t>
      </w:r>
      <w:r w:rsidRPr="00D36E0A">
        <w:rPr>
          <w:lang w:val="fr-FR"/>
        </w:rPr>
        <w:t xml:space="preserve"> </w:t>
      </w:r>
      <w:r w:rsidR="00B357C9" w:rsidRPr="00D36E0A">
        <w:rPr>
          <w:lang w:val="fr-FR"/>
        </w:rPr>
        <w:t>é</w:t>
      </w:r>
      <w:r w:rsidRPr="00D36E0A">
        <w:rPr>
          <w:lang w:val="fr-FR"/>
        </w:rPr>
        <w:t>cosyst</w:t>
      </w:r>
      <w:r w:rsidR="00B357C9" w:rsidRPr="00D36E0A">
        <w:rPr>
          <w:lang w:val="fr-FR"/>
        </w:rPr>
        <w:t>è</w:t>
      </w:r>
      <w:r w:rsidRPr="00D36E0A">
        <w:rPr>
          <w:lang w:val="fr-FR"/>
        </w:rPr>
        <w:t>m</w:t>
      </w:r>
      <w:r w:rsidR="00B357C9" w:rsidRPr="00D36E0A">
        <w:rPr>
          <w:lang w:val="fr-FR"/>
        </w:rPr>
        <w:t>es (aquatique</w:t>
      </w:r>
      <w:r w:rsidRPr="00D36E0A">
        <w:rPr>
          <w:lang w:val="fr-FR"/>
        </w:rPr>
        <w:t>, agric</w:t>
      </w:r>
      <w:r w:rsidR="00B357C9" w:rsidRPr="00D36E0A">
        <w:rPr>
          <w:lang w:val="fr-FR"/>
        </w:rPr>
        <w:t>o</w:t>
      </w:r>
      <w:r w:rsidRPr="00D36E0A">
        <w:rPr>
          <w:lang w:val="fr-FR"/>
        </w:rPr>
        <w:t>l</w:t>
      </w:r>
      <w:r w:rsidR="00B357C9" w:rsidRPr="00D36E0A">
        <w:rPr>
          <w:lang w:val="fr-FR"/>
        </w:rPr>
        <w:t>e</w:t>
      </w:r>
      <w:r w:rsidR="0097664F" w:rsidRPr="00D36E0A">
        <w:rPr>
          <w:lang w:val="fr-FR"/>
        </w:rPr>
        <w:t xml:space="preserve"> ou</w:t>
      </w:r>
      <w:r w:rsidRPr="00D36E0A">
        <w:rPr>
          <w:lang w:val="fr-FR"/>
        </w:rPr>
        <w:t xml:space="preserve"> forest</w:t>
      </w:r>
      <w:r w:rsidR="00B357C9" w:rsidRPr="00D36E0A">
        <w:rPr>
          <w:lang w:val="fr-FR"/>
        </w:rPr>
        <w:t>ier</w:t>
      </w:r>
      <w:r w:rsidRPr="00D36E0A">
        <w:rPr>
          <w:lang w:val="fr-FR"/>
        </w:rPr>
        <w:t xml:space="preserve">, </w:t>
      </w:r>
      <w:r w:rsidR="00B357C9" w:rsidRPr="00D36E0A">
        <w:rPr>
          <w:lang w:val="fr-FR"/>
        </w:rPr>
        <w:t>entre autres</w:t>
      </w:r>
      <w:r w:rsidRPr="00D36E0A">
        <w:rPr>
          <w:lang w:val="fr-FR"/>
        </w:rPr>
        <w:t xml:space="preserve">) </w:t>
      </w:r>
      <w:r w:rsidR="00B357C9" w:rsidRPr="00D36E0A">
        <w:rPr>
          <w:lang w:val="fr-FR"/>
        </w:rPr>
        <w:t>ainsi que dans des</w:t>
      </w:r>
      <w:r w:rsidRPr="00D36E0A">
        <w:rPr>
          <w:lang w:val="fr-FR"/>
        </w:rPr>
        <w:t xml:space="preserve"> </w:t>
      </w:r>
      <w:r w:rsidR="00B357C9" w:rsidRPr="00D36E0A">
        <w:rPr>
          <w:lang w:val="fr-FR"/>
        </w:rPr>
        <w:t xml:space="preserve">collections </w:t>
      </w:r>
      <w:r w:rsidR="0097664F" w:rsidRPr="00D36E0A">
        <w:rPr>
          <w:i/>
          <w:lang w:val="fr-FR"/>
        </w:rPr>
        <w:t>ex</w:t>
      </w:r>
      <w:r w:rsidR="00511F1C" w:rsidRPr="00D36E0A">
        <w:rPr>
          <w:i/>
          <w:lang w:val="fr-FR"/>
        </w:rPr>
        <w:noBreakHyphen/>
      </w:r>
      <w:r w:rsidRPr="00D36E0A">
        <w:rPr>
          <w:i/>
          <w:lang w:val="fr-FR"/>
        </w:rPr>
        <w:t>situ</w:t>
      </w:r>
      <w:r w:rsidR="00EA41A6" w:rsidRPr="00D36E0A">
        <w:rPr>
          <w:lang w:val="fr-FR"/>
        </w:rPr>
        <w:t xml:space="preserve"> </w:t>
      </w:r>
      <w:r w:rsidR="00B357C9" w:rsidRPr="00D36E0A">
        <w:rPr>
          <w:lang w:val="fr-FR"/>
        </w:rPr>
        <w:t>s</w:t>
      </w:r>
      <w:r w:rsidR="00EA41A6" w:rsidRPr="00D36E0A">
        <w:rPr>
          <w:lang w:val="fr-FR"/>
        </w:rPr>
        <w:t>itué</w:t>
      </w:r>
      <w:r w:rsidR="00B357C9" w:rsidRPr="00D36E0A">
        <w:rPr>
          <w:lang w:val="fr-FR"/>
        </w:rPr>
        <w:t>e</w:t>
      </w:r>
      <w:r w:rsidR="00EA41A6" w:rsidRPr="00D36E0A">
        <w:rPr>
          <w:lang w:val="fr-FR"/>
        </w:rPr>
        <w:t>s</w:t>
      </w:r>
      <w:r w:rsidR="00B357C9" w:rsidRPr="00D36E0A">
        <w:rPr>
          <w:lang w:val="fr-FR"/>
        </w:rPr>
        <w:t xml:space="preserve"> ou non dans les pays d</w:t>
      </w:r>
      <w:r w:rsidR="00A27507" w:rsidRPr="00D36E0A">
        <w:rPr>
          <w:lang w:val="fr-FR"/>
        </w:rPr>
        <w:t>’</w:t>
      </w:r>
      <w:r w:rsidRPr="00D36E0A">
        <w:rPr>
          <w:lang w:val="fr-FR"/>
        </w:rPr>
        <w:t>origi</w:t>
      </w:r>
      <w:r w:rsidR="00511F1C" w:rsidRPr="00D36E0A">
        <w:rPr>
          <w:lang w:val="fr-FR"/>
        </w:rPr>
        <w:t>ne.  En</w:t>
      </w:r>
      <w:r w:rsidR="00B357C9" w:rsidRPr="00D36E0A">
        <w:rPr>
          <w:lang w:val="fr-FR"/>
        </w:rPr>
        <w:t xml:space="preserve"> outre</w:t>
      </w:r>
      <w:r w:rsidRPr="00D36E0A">
        <w:rPr>
          <w:lang w:val="fr-FR"/>
        </w:rPr>
        <w:t xml:space="preserve">, </w:t>
      </w:r>
      <w:r w:rsidR="00B357C9" w:rsidRPr="00D36E0A">
        <w:rPr>
          <w:lang w:val="fr-FR"/>
        </w:rPr>
        <w:t>les mêmes</w:t>
      </w:r>
      <w:r w:rsidRPr="00D36E0A">
        <w:rPr>
          <w:lang w:val="fr-FR"/>
        </w:rPr>
        <w:t xml:space="preserve"> </w:t>
      </w:r>
      <w:r w:rsidR="00B357C9" w:rsidRPr="00D36E0A">
        <w:rPr>
          <w:lang w:val="fr-FR"/>
        </w:rPr>
        <w:t xml:space="preserve">ressources génétiques, ou des ressources </w:t>
      </w:r>
      <w:r w:rsidRPr="00D36E0A">
        <w:rPr>
          <w:lang w:val="fr-FR"/>
        </w:rPr>
        <w:t>simila</w:t>
      </w:r>
      <w:r w:rsidR="00B357C9" w:rsidRPr="00D36E0A">
        <w:rPr>
          <w:lang w:val="fr-FR"/>
        </w:rPr>
        <w:t xml:space="preserve">ires, peuvent souvent </w:t>
      </w:r>
      <w:r w:rsidR="0097664F" w:rsidRPr="00D36E0A">
        <w:rPr>
          <w:lang w:val="fr-FR"/>
        </w:rPr>
        <w:t>être obtenues dans</w:t>
      </w:r>
      <w:r w:rsidR="009A1BB2" w:rsidRPr="00D36E0A">
        <w:rPr>
          <w:lang w:val="fr-FR"/>
        </w:rPr>
        <w:t xml:space="preserve"> plusieurs pays</w:t>
      </w:r>
      <w:r w:rsidRPr="00D36E0A">
        <w:rPr>
          <w:lang w:val="fr-FR"/>
        </w:rPr>
        <w:t xml:space="preserve">, </w:t>
      </w:r>
      <w:r w:rsidR="009A1BB2" w:rsidRPr="00D36E0A">
        <w:rPr>
          <w:lang w:val="fr-FR"/>
        </w:rPr>
        <w:t>et il existe souvent plus d</w:t>
      </w:r>
      <w:r w:rsidR="00A27507" w:rsidRPr="00D36E0A">
        <w:rPr>
          <w:lang w:val="fr-FR"/>
        </w:rPr>
        <w:t>’</w:t>
      </w:r>
      <w:r w:rsidR="009A1BB2" w:rsidRPr="00D36E0A">
        <w:rPr>
          <w:lang w:val="fr-FR"/>
        </w:rPr>
        <w:t>un</w:t>
      </w:r>
      <w:r w:rsidRPr="00D36E0A">
        <w:rPr>
          <w:lang w:val="fr-FR"/>
        </w:rPr>
        <w:t xml:space="preserve"> </w:t>
      </w:r>
      <w:r w:rsidR="009A1BB2" w:rsidRPr="00D36E0A">
        <w:rPr>
          <w:lang w:val="fr-FR"/>
        </w:rPr>
        <w:t>pays d</w:t>
      </w:r>
      <w:r w:rsidR="00A27507" w:rsidRPr="00D36E0A">
        <w:rPr>
          <w:lang w:val="fr-FR"/>
        </w:rPr>
        <w:t>’</w:t>
      </w:r>
      <w:r w:rsidR="009A1BB2" w:rsidRPr="00D36E0A">
        <w:rPr>
          <w:lang w:val="fr-FR"/>
        </w:rPr>
        <w:t>origine pour une ressource génétique donnée</w:t>
      </w:r>
      <w:r w:rsidRPr="00D36E0A">
        <w:rPr>
          <w:lang w:val="fr-FR"/>
        </w:rPr>
        <w:t xml:space="preserve"> (</w:t>
      </w:r>
      <w:r w:rsidR="009A1BB2" w:rsidRPr="00D36E0A">
        <w:rPr>
          <w:lang w:val="fr-FR"/>
        </w:rPr>
        <w:t>voir</w:t>
      </w:r>
      <w:r w:rsidRPr="00D36E0A">
        <w:rPr>
          <w:lang w:val="fr-FR"/>
        </w:rPr>
        <w:t xml:space="preserve"> illustration </w:t>
      </w:r>
      <w:r w:rsidR="009A1BB2" w:rsidRPr="00D36E0A">
        <w:rPr>
          <w:lang w:val="fr-FR"/>
        </w:rPr>
        <w:t>ci</w:t>
      </w:r>
      <w:r w:rsidR="00511F1C" w:rsidRPr="00D36E0A">
        <w:rPr>
          <w:lang w:val="fr-FR"/>
        </w:rPr>
        <w:noBreakHyphen/>
      </w:r>
      <w:r w:rsidR="009A1BB2" w:rsidRPr="00D36E0A">
        <w:rPr>
          <w:lang w:val="fr-FR"/>
        </w:rPr>
        <w:t>dessous</w:t>
      </w:r>
      <w:r w:rsidRPr="00D36E0A">
        <w:rPr>
          <w:lang w:val="fr-FR"/>
        </w:rPr>
        <w:t>).</w:t>
      </w:r>
      <w:bookmarkEnd w:id="94"/>
      <w:bookmarkEnd w:id="95"/>
      <w:bookmarkEnd w:id="96"/>
      <w:bookmarkEnd w:id="97"/>
      <w:bookmarkEnd w:id="98"/>
    </w:p>
    <w:p w:rsidR="00AD5076" w:rsidRPr="00D36E0A" w:rsidRDefault="009A1BB2" w:rsidP="00D36E0A">
      <w:pPr>
        <w:pStyle w:val="ONUMFS"/>
        <w:numPr>
          <w:ilvl w:val="0"/>
          <w:numId w:val="32"/>
        </w:numPr>
        <w:ind w:left="567" w:hanging="567"/>
        <w:rPr>
          <w:lang w:val="fr-FR"/>
        </w:rPr>
      </w:pPr>
      <w:bookmarkStart w:id="99" w:name="_Toc457391447"/>
      <w:bookmarkStart w:id="100" w:name="_Toc457394789"/>
      <w:bookmarkStart w:id="101" w:name="_Toc457988574"/>
      <w:bookmarkStart w:id="102" w:name="_Toc457989457"/>
      <w:bookmarkStart w:id="103" w:name="_Toc461721041"/>
      <w:r w:rsidRPr="00D36E0A">
        <w:rPr>
          <w:i/>
          <w:lang w:val="fr-FR"/>
        </w:rPr>
        <w:t xml:space="preserve">Diversité des </w:t>
      </w:r>
      <w:r w:rsidR="00AD5076" w:rsidRPr="00D36E0A">
        <w:rPr>
          <w:i/>
          <w:lang w:val="fr-FR"/>
        </w:rPr>
        <w:t>situations</w:t>
      </w:r>
      <w:r w:rsidRPr="00D36E0A">
        <w:rPr>
          <w:i/>
          <w:lang w:val="fr-FR"/>
        </w:rPr>
        <w:t xml:space="preserve"> juridiques </w:t>
      </w:r>
      <w:r w:rsidR="00AD5076" w:rsidRPr="00D36E0A">
        <w:rPr>
          <w:i/>
          <w:lang w:val="fr-FR"/>
        </w:rPr>
        <w:t xml:space="preserve">: </w:t>
      </w:r>
      <w:r w:rsidRPr="00D36E0A">
        <w:rPr>
          <w:lang w:val="fr-FR"/>
        </w:rPr>
        <w:t>les règlements en matière d</w:t>
      </w:r>
      <w:r w:rsidR="00A27507" w:rsidRPr="00D36E0A">
        <w:rPr>
          <w:lang w:val="fr-FR"/>
        </w:rPr>
        <w:t>’</w:t>
      </w:r>
      <w:r w:rsidRPr="00D36E0A">
        <w:rPr>
          <w:lang w:val="fr-FR"/>
        </w:rPr>
        <w:t>accès</w:t>
      </w:r>
      <w:r w:rsidR="00AD5076" w:rsidRPr="00D36E0A">
        <w:rPr>
          <w:lang w:val="fr-FR"/>
        </w:rPr>
        <w:t xml:space="preserve"> var</w:t>
      </w:r>
      <w:r w:rsidRPr="00D36E0A">
        <w:rPr>
          <w:lang w:val="fr-FR"/>
        </w:rPr>
        <w:t>ient considé</w:t>
      </w:r>
      <w:r w:rsidR="00AD5076" w:rsidRPr="00D36E0A">
        <w:rPr>
          <w:lang w:val="fr-FR"/>
        </w:rPr>
        <w:t>rabl</w:t>
      </w:r>
      <w:r w:rsidRPr="00D36E0A">
        <w:rPr>
          <w:lang w:val="fr-FR"/>
        </w:rPr>
        <w:t>ement d</w:t>
      </w:r>
      <w:r w:rsidR="00A27507" w:rsidRPr="00D36E0A">
        <w:rPr>
          <w:lang w:val="fr-FR"/>
        </w:rPr>
        <w:t>’</w:t>
      </w:r>
      <w:r w:rsidRPr="00D36E0A">
        <w:rPr>
          <w:lang w:val="fr-FR"/>
        </w:rPr>
        <w:t>un pays à l</w:t>
      </w:r>
      <w:r w:rsidR="00A27507" w:rsidRPr="00D36E0A">
        <w:rPr>
          <w:lang w:val="fr-FR"/>
        </w:rPr>
        <w:t>’</w:t>
      </w:r>
      <w:r w:rsidRPr="00D36E0A">
        <w:rPr>
          <w:lang w:val="fr-FR"/>
        </w:rPr>
        <w:t>autre</w:t>
      </w:r>
      <w:r w:rsidR="00AD5076" w:rsidRPr="00D36E0A">
        <w:rPr>
          <w:lang w:val="fr-FR"/>
        </w:rPr>
        <w:t xml:space="preserve">, </w:t>
      </w:r>
      <w:r w:rsidRPr="00D36E0A">
        <w:rPr>
          <w:lang w:val="fr-FR"/>
        </w:rPr>
        <w:t>allant du</w:t>
      </w:r>
      <w:r w:rsidR="00AD5076" w:rsidRPr="00D36E0A">
        <w:rPr>
          <w:lang w:val="fr-FR"/>
        </w:rPr>
        <w:t xml:space="preserve"> “</w:t>
      </w:r>
      <w:r w:rsidRPr="00D36E0A">
        <w:rPr>
          <w:lang w:val="fr-FR"/>
        </w:rPr>
        <w:t xml:space="preserve">consentement préalable en connaissance de cause” et des </w:t>
      </w:r>
      <w:r w:rsidR="00AD5076" w:rsidRPr="00D36E0A">
        <w:rPr>
          <w:lang w:val="fr-FR"/>
        </w:rPr>
        <w:t>“</w:t>
      </w:r>
      <w:r w:rsidRPr="00D36E0A">
        <w:rPr>
          <w:lang w:val="fr-FR"/>
        </w:rPr>
        <w:t>conditions convenues d</w:t>
      </w:r>
      <w:r w:rsidR="00A27507" w:rsidRPr="00D36E0A">
        <w:rPr>
          <w:lang w:val="fr-FR"/>
        </w:rPr>
        <w:t>’</w:t>
      </w:r>
      <w:r w:rsidRPr="00D36E0A">
        <w:rPr>
          <w:lang w:val="fr-FR"/>
        </w:rPr>
        <w:t>un commun accord”</w:t>
      </w:r>
      <w:r w:rsidR="00AD5076" w:rsidRPr="00D36E0A">
        <w:rPr>
          <w:lang w:val="fr-FR"/>
        </w:rPr>
        <w:t>,</w:t>
      </w:r>
      <w:r w:rsidRPr="00D36E0A">
        <w:rPr>
          <w:lang w:val="fr-FR"/>
        </w:rPr>
        <w:t xml:space="preserve"> qui constituent des mécanismes exhaustifs, à</w:t>
      </w:r>
      <w:r w:rsidR="00AD5076" w:rsidRPr="00D36E0A">
        <w:rPr>
          <w:lang w:val="fr-FR"/>
        </w:rPr>
        <w:t xml:space="preserve"> </w:t>
      </w:r>
      <w:r w:rsidRPr="00D36E0A">
        <w:rPr>
          <w:lang w:val="fr-FR"/>
        </w:rPr>
        <w:t>de</w:t>
      </w:r>
      <w:r w:rsidR="00AD5076" w:rsidRPr="00D36E0A">
        <w:rPr>
          <w:lang w:val="fr-FR"/>
        </w:rPr>
        <w:t xml:space="preserve"> simple</w:t>
      </w:r>
      <w:r w:rsidRPr="00D36E0A">
        <w:rPr>
          <w:lang w:val="fr-FR"/>
        </w:rPr>
        <w:t>s</w:t>
      </w:r>
      <w:r w:rsidR="00AD5076" w:rsidRPr="00D36E0A">
        <w:rPr>
          <w:lang w:val="fr-FR"/>
        </w:rPr>
        <w:t xml:space="preserve"> </w:t>
      </w:r>
      <w:r w:rsidRPr="00D36E0A">
        <w:rPr>
          <w:lang w:val="fr-FR"/>
        </w:rPr>
        <w:t xml:space="preserve">procédures </w:t>
      </w:r>
      <w:r w:rsidR="007B2431" w:rsidRPr="00D36E0A">
        <w:rPr>
          <w:lang w:val="fr-FR"/>
        </w:rPr>
        <w:t xml:space="preserve">de </w:t>
      </w:r>
      <w:r w:rsidR="00AD5076" w:rsidRPr="00D36E0A">
        <w:rPr>
          <w:lang w:val="fr-FR"/>
        </w:rPr>
        <w:t>notification</w:t>
      </w:r>
      <w:r w:rsidRPr="00D36E0A">
        <w:rPr>
          <w:lang w:val="fr-FR"/>
        </w:rPr>
        <w:t xml:space="preserve"> ou une absence totale de règlement</w:t>
      </w:r>
      <w:r w:rsidR="00AD5076" w:rsidRPr="00D36E0A">
        <w:rPr>
          <w:rStyle w:val="FootnoteReference"/>
          <w:szCs w:val="22"/>
          <w:lang w:val="fr-FR"/>
        </w:rPr>
        <w:footnoteReference w:id="6"/>
      </w:r>
      <w:r w:rsidR="00AD5076" w:rsidRPr="00D36E0A">
        <w:rPr>
          <w:lang w:val="fr-FR"/>
        </w:rPr>
        <w:t xml:space="preserve">. </w:t>
      </w:r>
      <w:r w:rsidR="009E04BD" w:rsidRPr="00D36E0A">
        <w:rPr>
          <w:lang w:val="fr-FR"/>
        </w:rPr>
        <w:t xml:space="preserve"> </w:t>
      </w:r>
      <w:r w:rsidR="007B2431" w:rsidRPr="00D36E0A">
        <w:rPr>
          <w:lang w:val="fr-FR"/>
        </w:rPr>
        <w:t>En outre</w:t>
      </w:r>
      <w:r w:rsidR="00AD5076" w:rsidRPr="00D36E0A">
        <w:rPr>
          <w:lang w:val="fr-FR"/>
        </w:rPr>
        <w:t xml:space="preserve">, </w:t>
      </w:r>
      <w:r w:rsidR="007B2431" w:rsidRPr="00D36E0A">
        <w:rPr>
          <w:lang w:val="fr-FR"/>
        </w:rPr>
        <w:t>les règlements en matière d</w:t>
      </w:r>
      <w:r w:rsidR="00A27507" w:rsidRPr="00D36E0A">
        <w:rPr>
          <w:lang w:val="fr-FR"/>
        </w:rPr>
        <w:t>’</w:t>
      </w:r>
      <w:r w:rsidR="007B2431" w:rsidRPr="00D36E0A">
        <w:rPr>
          <w:lang w:val="fr-FR"/>
        </w:rPr>
        <w:t xml:space="preserve">accès varient souvent en fonction du </w:t>
      </w:r>
      <w:r w:rsidR="00AD5076" w:rsidRPr="00D36E0A">
        <w:rPr>
          <w:lang w:val="fr-FR"/>
        </w:rPr>
        <w:t xml:space="preserve">type </w:t>
      </w:r>
      <w:r w:rsidR="007B2431" w:rsidRPr="00D36E0A">
        <w:rPr>
          <w:lang w:val="fr-FR"/>
        </w:rPr>
        <w:t>de</w:t>
      </w:r>
      <w:r w:rsidR="00AD5076" w:rsidRPr="00D36E0A">
        <w:rPr>
          <w:lang w:val="fr-FR"/>
        </w:rPr>
        <w:t xml:space="preserve"> </w:t>
      </w:r>
      <w:r w:rsidR="007B2431" w:rsidRPr="00D36E0A">
        <w:rPr>
          <w:lang w:val="fr-FR"/>
        </w:rPr>
        <w:t>ressource g</w:t>
      </w:r>
      <w:r w:rsidR="00974828" w:rsidRPr="00D36E0A">
        <w:rPr>
          <w:lang w:val="fr-FR"/>
        </w:rPr>
        <w:t>énétique</w:t>
      </w:r>
      <w:r w:rsidR="007B2431" w:rsidRPr="00D36E0A">
        <w:rPr>
          <w:lang w:val="fr-FR"/>
        </w:rPr>
        <w:t xml:space="preserve"> considéré</w:t>
      </w:r>
      <w:r w:rsidR="00AD5076" w:rsidRPr="00D36E0A">
        <w:rPr>
          <w:lang w:val="fr-FR"/>
        </w:rPr>
        <w:t xml:space="preserve">, </w:t>
      </w:r>
      <w:r w:rsidR="007B2431" w:rsidRPr="00D36E0A">
        <w:rPr>
          <w:lang w:val="fr-FR"/>
        </w:rPr>
        <w:t>des</w:t>
      </w:r>
      <w:r w:rsidR="00AD5076" w:rsidRPr="00D36E0A">
        <w:rPr>
          <w:lang w:val="fr-FR"/>
        </w:rPr>
        <w:t xml:space="preserve"> </w:t>
      </w:r>
      <w:r w:rsidR="007B2431" w:rsidRPr="00D36E0A">
        <w:rPr>
          <w:lang w:val="fr-FR"/>
        </w:rPr>
        <w:t>é</w:t>
      </w:r>
      <w:r w:rsidR="00AD5076" w:rsidRPr="00D36E0A">
        <w:rPr>
          <w:lang w:val="fr-FR"/>
        </w:rPr>
        <w:t>cosyst</w:t>
      </w:r>
      <w:r w:rsidR="007B2431" w:rsidRPr="00D36E0A">
        <w:rPr>
          <w:lang w:val="fr-FR"/>
        </w:rPr>
        <w:t>è</w:t>
      </w:r>
      <w:r w:rsidR="00AD5076" w:rsidRPr="00D36E0A">
        <w:rPr>
          <w:lang w:val="fr-FR"/>
        </w:rPr>
        <w:t>m</w:t>
      </w:r>
      <w:r w:rsidR="007B2431" w:rsidRPr="00D36E0A">
        <w:rPr>
          <w:lang w:val="fr-FR"/>
        </w:rPr>
        <w:t>e</w:t>
      </w:r>
      <w:r w:rsidR="00AD5076" w:rsidRPr="00D36E0A">
        <w:rPr>
          <w:lang w:val="fr-FR"/>
        </w:rPr>
        <w:t xml:space="preserve">s </w:t>
      </w:r>
      <w:r w:rsidR="007B2431" w:rsidRPr="00D36E0A">
        <w:rPr>
          <w:lang w:val="fr-FR"/>
        </w:rPr>
        <w:t>et des fins visées par les</w:t>
      </w:r>
      <w:r w:rsidR="00AD5076" w:rsidRPr="00D36E0A">
        <w:rPr>
          <w:lang w:val="fr-FR"/>
        </w:rPr>
        <w:t xml:space="preserve"> </w:t>
      </w:r>
      <w:r w:rsidR="00CD5028" w:rsidRPr="00D36E0A">
        <w:rPr>
          <w:lang w:val="fr-FR"/>
        </w:rPr>
        <w:t>utilisations prévues des</w:t>
      </w:r>
      <w:r w:rsidR="00AD5076" w:rsidRPr="00D36E0A">
        <w:rPr>
          <w:lang w:val="fr-FR"/>
        </w:rPr>
        <w:t xml:space="preserve"> </w:t>
      </w:r>
      <w:r w:rsidR="00CD5028" w:rsidRPr="00D36E0A">
        <w:rPr>
          <w:lang w:val="fr-FR"/>
        </w:rPr>
        <w:t>ressources génétiqu</w:t>
      </w:r>
      <w:r w:rsidR="00511F1C" w:rsidRPr="00D36E0A">
        <w:rPr>
          <w:lang w:val="fr-FR"/>
        </w:rPr>
        <w:t>es.  Pa</w:t>
      </w:r>
      <w:r w:rsidR="00CD5028" w:rsidRPr="00D36E0A">
        <w:rPr>
          <w:lang w:val="fr-FR"/>
        </w:rPr>
        <w:t>r exemple</w:t>
      </w:r>
      <w:r w:rsidR="00AD5076" w:rsidRPr="00D36E0A">
        <w:rPr>
          <w:lang w:val="fr-FR"/>
        </w:rPr>
        <w:t xml:space="preserve">, </w:t>
      </w:r>
      <w:r w:rsidR="004573E2" w:rsidRPr="00D36E0A">
        <w:rPr>
          <w:lang w:val="fr-FR"/>
        </w:rPr>
        <w:t>un certain</w:t>
      </w:r>
      <w:r w:rsidR="00AD5076" w:rsidRPr="00D36E0A">
        <w:rPr>
          <w:lang w:val="fr-FR"/>
        </w:rPr>
        <w:t xml:space="preserve"> n</w:t>
      </w:r>
      <w:r w:rsidR="004573E2" w:rsidRPr="00D36E0A">
        <w:rPr>
          <w:lang w:val="fr-FR"/>
        </w:rPr>
        <w:t>o</w:t>
      </w:r>
      <w:r w:rsidR="00AD5076" w:rsidRPr="00D36E0A">
        <w:rPr>
          <w:lang w:val="fr-FR"/>
        </w:rPr>
        <w:t>mbr</w:t>
      </w:r>
      <w:r w:rsidR="004573E2" w:rsidRPr="00D36E0A">
        <w:rPr>
          <w:lang w:val="fr-FR"/>
        </w:rPr>
        <w:t>e de ressources phytogénétiques pour l</w:t>
      </w:r>
      <w:r w:rsidR="00A27507" w:rsidRPr="00D36E0A">
        <w:rPr>
          <w:lang w:val="fr-FR"/>
        </w:rPr>
        <w:t>’</w:t>
      </w:r>
      <w:r w:rsidR="004573E2" w:rsidRPr="00D36E0A">
        <w:rPr>
          <w:lang w:val="fr-FR"/>
        </w:rPr>
        <w:t>alimentation et l</w:t>
      </w:r>
      <w:r w:rsidR="00A27507" w:rsidRPr="00D36E0A">
        <w:rPr>
          <w:lang w:val="fr-FR"/>
        </w:rPr>
        <w:t>’</w:t>
      </w:r>
      <w:r w:rsidR="004573E2" w:rsidRPr="00D36E0A">
        <w:rPr>
          <w:lang w:val="fr-FR"/>
        </w:rPr>
        <w:t>agriculture</w:t>
      </w:r>
      <w:r w:rsidR="00AD5076" w:rsidRPr="00D36E0A">
        <w:rPr>
          <w:lang w:val="fr-FR"/>
        </w:rPr>
        <w:t xml:space="preserve"> </w:t>
      </w:r>
      <w:r w:rsidR="004573E2" w:rsidRPr="00D36E0A">
        <w:rPr>
          <w:lang w:val="fr-FR"/>
        </w:rPr>
        <w:t>relèvent du système m</w:t>
      </w:r>
      <w:r w:rsidR="00AD5076" w:rsidRPr="00D36E0A">
        <w:rPr>
          <w:lang w:val="fr-FR"/>
        </w:rPr>
        <w:t>ultilat</w:t>
      </w:r>
      <w:r w:rsidR="004573E2" w:rsidRPr="00D36E0A">
        <w:rPr>
          <w:lang w:val="fr-FR"/>
        </w:rPr>
        <w:t>é</w:t>
      </w:r>
      <w:r w:rsidR="00AD5076" w:rsidRPr="00D36E0A">
        <w:rPr>
          <w:lang w:val="fr-FR"/>
        </w:rPr>
        <w:t xml:space="preserve">ral </w:t>
      </w:r>
      <w:r w:rsidR="004573E2" w:rsidRPr="00D36E0A">
        <w:rPr>
          <w:lang w:val="fr-FR"/>
        </w:rPr>
        <w:t>du Traité international sur les ressources phytogénétiques pour l</w:t>
      </w:r>
      <w:r w:rsidR="00A27507" w:rsidRPr="00D36E0A">
        <w:rPr>
          <w:lang w:val="fr-FR"/>
        </w:rPr>
        <w:t>’</w:t>
      </w:r>
      <w:r w:rsidR="004573E2" w:rsidRPr="00D36E0A">
        <w:rPr>
          <w:lang w:val="fr-FR"/>
        </w:rPr>
        <w:t>alimentation et l</w:t>
      </w:r>
      <w:r w:rsidR="00A27507" w:rsidRPr="00D36E0A">
        <w:rPr>
          <w:lang w:val="fr-FR"/>
        </w:rPr>
        <w:t>’</w:t>
      </w:r>
      <w:r w:rsidR="004573E2" w:rsidRPr="00D36E0A">
        <w:rPr>
          <w:lang w:val="fr-FR"/>
        </w:rPr>
        <w:t>agriculture</w:t>
      </w:r>
      <w:r w:rsidR="00AD5076" w:rsidRPr="00D36E0A">
        <w:rPr>
          <w:lang w:val="fr-FR"/>
        </w:rPr>
        <w:t xml:space="preserve"> </w:t>
      </w:r>
      <w:r w:rsidR="004573E2" w:rsidRPr="00D36E0A">
        <w:rPr>
          <w:lang w:val="fr-FR"/>
        </w:rPr>
        <w:t>de l</w:t>
      </w:r>
      <w:r w:rsidR="00A27507" w:rsidRPr="00D36E0A">
        <w:rPr>
          <w:lang w:val="fr-FR"/>
        </w:rPr>
        <w:t>’</w:t>
      </w:r>
      <w:r w:rsidR="004573E2" w:rsidRPr="00D36E0A">
        <w:rPr>
          <w:lang w:val="fr-FR"/>
        </w:rPr>
        <w:t xml:space="preserve">Organisation des </w:t>
      </w:r>
      <w:r w:rsidR="00A27507" w:rsidRPr="00D36E0A">
        <w:rPr>
          <w:lang w:val="fr-FR"/>
        </w:rPr>
        <w:t>Nations Unies</w:t>
      </w:r>
      <w:r w:rsidR="004573E2" w:rsidRPr="00D36E0A">
        <w:rPr>
          <w:lang w:val="fr-FR"/>
        </w:rPr>
        <w:t xml:space="preserve"> pour l</w:t>
      </w:r>
      <w:r w:rsidR="00A27507" w:rsidRPr="00D36E0A">
        <w:rPr>
          <w:lang w:val="fr-FR"/>
        </w:rPr>
        <w:t>’</w:t>
      </w:r>
      <w:r w:rsidR="004573E2" w:rsidRPr="00D36E0A">
        <w:rPr>
          <w:lang w:val="fr-FR"/>
        </w:rPr>
        <w:t>alimentation et l</w:t>
      </w:r>
      <w:r w:rsidR="00A27507" w:rsidRPr="00D36E0A">
        <w:rPr>
          <w:lang w:val="fr-FR"/>
        </w:rPr>
        <w:t>’</w:t>
      </w:r>
      <w:r w:rsidR="004573E2" w:rsidRPr="00D36E0A">
        <w:rPr>
          <w:lang w:val="fr-FR"/>
        </w:rPr>
        <w:t xml:space="preserve">agriculture </w:t>
      </w:r>
      <w:r w:rsidR="00AD5076" w:rsidRPr="00D36E0A">
        <w:rPr>
          <w:lang w:val="fr-FR"/>
        </w:rPr>
        <w:t xml:space="preserve">(FAO). </w:t>
      </w:r>
      <w:r w:rsidR="009E04BD" w:rsidRPr="00D36E0A">
        <w:rPr>
          <w:lang w:val="fr-FR"/>
        </w:rPr>
        <w:t xml:space="preserve"> </w:t>
      </w:r>
      <w:r w:rsidR="004573E2" w:rsidRPr="00D36E0A">
        <w:rPr>
          <w:lang w:val="fr-FR"/>
        </w:rPr>
        <w:t>D</w:t>
      </w:r>
      <w:r w:rsidR="00A27507" w:rsidRPr="00D36E0A">
        <w:rPr>
          <w:lang w:val="fr-FR"/>
        </w:rPr>
        <w:t>’</w:t>
      </w:r>
      <w:r w:rsidR="004573E2" w:rsidRPr="00D36E0A">
        <w:rPr>
          <w:lang w:val="fr-FR"/>
        </w:rPr>
        <w:t>autres</w:t>
      </w:r>
      <w:r w:rsidR="00AD5076" w:rsidRPr="00D36E0A">
        <w:rPr>
          <w:lang w:val="fr-FR"/>
        </w:rPr>
        <w:t xml:space="preserve"> </w:t>
      </w:r>
      <w:r w:rsidR="004573E2" w:rsidRPr="00D36E0A">
        <w:rPr>
          <w:lang w:val="fr-FR"/>
        </w:rPr>
        <w:t>ressources génétiques peuvent provenir de</w:t>
      </w:r>
      <w:r w:rsidR="00AD5076" w:rsidRPr="00D36E0A">
        <w:rPr>
          <w:lang w:val="fr-FR"/>
        </w:rPr>
        <w:t xml:space="preserve"> </w:t>
      </w:r>
      <w:r w:rsidR="004573E2" w:rsidRPr="00D36E0A">
        <w:rPr>
          <w:lang w:val="fr-FR"/>
        </w:rPr>
        <w:t xml:space="preserve">zones hors des limites des ressorts nationaux </w:t>
      </w:r>
      <w:r w:rsidR="00AD5076" w:rsidRPr="00D36E0A">
        <w:rPr>
          <w:lang w:val="fr-FR"/>
        </w:rPr>
        <w:t>(</w:t>
      </w:r>
      <w:r w:rsidR="004573E2" w:rsidRPr="00D36E0A">
        <w:rPr>
          <w:lang w:val="fr-FR"/>
        </w:rPr>
        <w:t>par exemple,</w:t>
      </w:r>
      <w:r w:rsidR="00AD5076" w:rsidRPr="00D36E0A">
        <w:rPr>
          <w:lang w:val="fr-FR"/>
        </w:rPr>
        <w:t xml:space="preserve"> </w:t>
      </w:r>
      <w:r w:rsidR="004573E2" w:rsidRPr="00D36E0A">
        <w:rPr>
          <w:lang w:val="fr-FR"/>
        </w:rPr>
        <w:t>ressources génétiques marines en haute mer</w:t>
      </w:r>
      <w:r w:rsidR="00AD5076" w:rsidRPr="00D36E0A">
        <w:rPr>
          <w:lang w:val="fr-FR"/>
        </w:rPr>
        <w:t>) o</w:t>
      </w:r>
      <w:r w:rsidR="004573E2" w:rsidRPr="00D36E0A">
        <w:rPr>
          <w:lang w:val="fr-FR"/>
        </w:rPr>
        <w:t>u</w:t>
      </w:r>
      <w:r w:rsidR="00EA41A6" w:rsidRPr="00D36E0A">
        <w:rPr>
          <w:lang w:val="fr-FR"/>
        </w:rPr>
        <w:t xml:space="preserve"> être obtenues par l</w:t>
      </w:r>
      <w:r w:rsidR="00A27507" w:rsidRPr="00D36E0A">
        <w:rPr>
          <w:lang w:val="fr-FR"/>
        </w:rPr>
        <w:t>’</w:t>
      </w:r>
      <w:r w:rsidR="00EA41A6" w:rsidRPr="00D36E0A">
        <w:rPr>
          <w:lang w:val="fr-FR"/>
        </w:rPr>
        <w:t>intermédiaire</w:t>
      </w:r>
      <w:r w:rsidR="00AD5076" w:rsidRPr="00D36E0A">
        <w:rPr>
          <w:lang w:val="fr-FR"/>
        </w:rPr>
        <w:t xml:space="preserve"> </w:t>
      </w:r>
      <w:r w:rsidR="004573E2" w:rsidRPr="00D36E0A">
        <w:rPr>
          <w:lang w:val="fr-FR"/>
        </w:rPr>
        <w:t>d</w:t>
      </w:r>
      <w:r w:rsidR="00A27507" w:rsidRPr="00D36E0A">
        <w:rPr>
          <w:lang w:val="fr-FR"/>
        </w:rPr>
        <w:t>’</w:t>
      </w:r>
      <w:r w:rsidR="00AD5076" w:rsidRPr="00D36E0A">
        <w:rPr>
          <w:lang w:val="fr-FR"/>
        </w:rPr>
        <w:t>organisations</w:t>
      </w:r>
      <w:r w:rsidR="004573E2" w:rsidRPr="00D36E0A">
        <w:rPr>
          <w:lang w:val="fr-FR"/>
        </w:rPr>
        <w:t xml:space="preserve"> internationales</w:t>
      </w:r>
      <w:r w:rsidR="00AD5076" w:rsidRPr="00D36E0A">
        <w:rPr>
          <w:lang w:val="fr-FR"/>
        </w:rPr>
        <w:t xml:space="preserve">, </w:t>
      </w:r>
      <w:r w:rsidR="004573E2" w:rsidRPr="00D36E0A">
        <w:rPr>
          <w:lang w:val="fr-FR"/>
        </w:rPr>
        <w:t>comme les virus grippaux à potentiel pandémique pour l</w:t>
      </w:r>
      <w:r w:rsidR="00A27507" w:rsidRPr="00D36E0A">
        <w:rPr>
          <w:lang w:val="fr-FR"/>
        </w:rPr>
        <w:t>’</w:t>
      </w:r>
      <w:r w:rsidR="004573E2" w:rsidRPr="00D36E0A">
        <w:rPr>
          <w:lang w:val="fr-FR"/>
        </w:rPr>
        <w:t xml:space="preserve">homme </w:t>
      </w:r>
      <w:r w:rsidR="0063126A" w:rsidRPr="00D36E0A">
        <w:rPr>
          <w:lang w:val="fr-FR"/>
        </w:rPr>
        <w:t>selon le</w:t>
      </w:r>
      <w:r w:rsidR="00AD5076" w:rsidRPr="00D36E0A">
        <w:rPr>
          <w:lang w:val="fr-FR"/>
        </w:rPr>
        <w:t xml:space="preserve"> </w:t>
      </w:r>
      <w:r w:rsidR="0063126A" w:rsidRPr="00D36E0A">
        <w:rPr>
          <w:rStyle w:val="preferred"/>
          <w:szCs w:val="22"/>
          <w:lang w:val="fr-FR"/>
        </w:rPr>
        <w:t xml:space="preserve">Cadre de préparation en cas de grippe pandémique </w:t>
      </w:r>
      <w:r w:rsidR="00AD5076" w:rsidRPr="00D36E0A">
        <w:rPr>
          <w:lang w:val="fr-FR"/>
        </w:rPr>
        <w:t>(</w:t>
      </w:r>
      <w:r w:rsidR="0063126A" w:rsidRPr="00D36E0A">
        <w:rPr>
          <w:lang w:val="fr-FR"/>
        </w:rPr>
        <w:t>Cadre </w:t>
      </w:r>
      <w:proofErr w:type="spellStart"/>
      <w:r w:rsidR="00AD5076" w:rsidRPr="00D36E0A">
        <w:rPr>
          <w:lang w:val="fr-FR"/>
        </w:rPr>
        <w:t>PIP</w:t>
      </w:r>
      <w:proofErr w:type="spellEnd"/>
      <w:r w:rsidR="00AD5076" w:rsidRPr="00D36E0A">
        <w:rPr>
          <w:lang w:val="fr-FR"/>
        </w:rPr>
        <w:t xml:space="preserve">) </w:t>
      </w:r>
      <w:r w:rsidR="0063126A" w:rsidRPr="00D36E0A">
        <w:rPr>
          <w:lang w:val="fr-FR"/>
        </w:rPr>
        <w:t>de l</w:t>
      </w:r>
      <w:r w:rsidR="00A27507" w:rsidRPr="00D36E0A">
        <w:rPr>
          <w:lang w:val="fr-FR"/>
        </w:rPr>
        <w:t>’</w:t>
      </w:r>
      <w:r w:rsidR="0063126A" w:rsidRPr="00D36E0A">
        <w:rPr>
          <w:rStyle w:val="preferred"/>
          <w:szCs w:val="22"/>
          <w:lang w:val="fr-FR"/>
        </w:rPr>
        <w:t xml:space="preserve">Organisation mondiale de la Santé </w:t>
      </w:r>
      <w:r w:rsidR="00AD5076" w:rsidRPr="00D36E0A">
        <w:rPr>
          <w:lang w:val="fr-FR"/>
        </w:rPr>
        <w:t>(</w:t>
      </w:r>
      <w:r w:rsidR="0063126A" w:rsidRPr="00D36E0A">
        <w:rPr>
          <w:lang w:val="fr-FR"/>
        </w:rPr>
        <w:t>OMS</w:t>
      </w:r>
      <w:r w:rsidR="00AD5076" w:rsidRPr="00D36E0A">
        <w:rPr>
          <w:lang w:val="fr-FR"/>
        </w:rPr>
        <w:t xml:space="preserve">), </w:t>
      </w:r>
      <w:r w:rsidR="0063126A" w:rsidRPr="00D36E0A">
        <w:rPr>
          <w:lang w:val="fr-FR"/>
        </w:rPr>
        <w:t xml:space="preserve">et </w:t>
      </w:r>
      <w:r w:rsidR="00974828" w:rsidRPr="00D36E0A">
        <w:rPr>
          <w:lang w:val="fr-FR"/>
        </w:rPr>
        <w:t>s</w:t>
      </w:r>
      <w:r w:rsidR="0063126A" w:rsidRPr="00D36E0A">
        <w:rPr>
          <w:lang w:val="fr-FR"/>
        </w:rPr>
        <w:t xml:space="preserve">ont donc </w:t>
      </w:r>
      <w:r w:rsidR="00974828" w:rsidRPr="00D36E0A">
        <w:rPr>
          <w:lang w:val="fr-FR"/>
        </w:rPr>
        <w:t>soumises à</w:t>
      </w:r>
      <w:r w:rsidR="0063126A" w:rsidRPr="00D36E0A">
        <w:rPr>
          <w:lang w:val="fr-FR"/>
        </w:rPr>
        <w:t xml:space="preserve"> d</w:t>
      </w:r>
      <w:r w:rsidR="00A27507" w:rsidRPr="00D36E0A">
        <w:rPr>
          <w:lang w:val="fr-FR"/>
        </w:rPr>
        <w:t>’</w:t>
      </w:r>
      <w:r w:rsidR="00974828" w:rsidRPr="00D36E0A">
        <w:rPr>
          <w:lang w:val="fr-FR"/>
        </w:rPr>
        <w:t>autre</w:t>
      </w:r>
      <w:r w:rsidR="0063126A" w:rsidRPr="00D36E0A">
        <w:rPr>
          <w:lang w:val="fr-FR"/>
        </w:rPr>
        <w:t>s dispositions</w:t>
      </w:r>
      <w:r w:rsidR="00AD5076" w:rsidRPr="00D36E0A">
        <w:rPr>
          <w:lang w:val="fr-FR"/>
        </w:rPr>
        <w:t>.</w:t>
      </w:r>
      <w:bookmarkEnd w:id="99"/>
      <w:bookmarkEnd w:id="100"/>
      <w:bookmarkEnd w:id="101"/>
      <w:bookmarkEnd w:id="102"/>
      <w:bookmarkEnd w:id="103"/>
    </w:p>
    <w:p w:rsidR="00AD5076" w:rsidRPr="00D36E0A" w:rsidRDefault="0063126A" w:rsidP="00D36E0A">
      <w:pPr>
        <w:pStyle w:val="ONUMFS"/>
        <w:numPr>
          <w:ilvl w:val="0"/>
          <w:numId w:val="32"/>
        </w:numPr>
        <w:ind w:left="567" w:hanging="567"/>
        <w:rPr>
          <w:lang w:val="fr-FR"/>
        </w:rPr>
      </w:pPr>
      <w:bookmarkStart w:id="104" w:name="_Toc457391448"/>
      <w:bookmarkStart w:id="105" w:name="_Toc457394790"/>
      <w:bookmarkStart w:id="106" w:name="_Toc457988575"/>
      <w:bookmarkStart w:id="107" w:name="_Toc457989458"/>
      <w:bookmarkStart w:id="108" w:name="_Toc461721042"/>
      <w:r w:rsidRPr="00D36E0A">
        <w:rPr>
          <w:i/>
          <w:lang w:val="fr-FR"/>
        </w:rPr>
        <w:t>Diversité des types de ressources génétiques </w:t>
      </w:r>
      <w:r w:rsidR="00AD5076" w:rsidRPr="00D36E0A">
        <w:rPr>
          <w:i/>
          <w:lang w:val="fr-FR"/>
        </w:rPr>
        <w:t>:</w:t>
      </w:r>
      <w:r w:rsidR="00617DEC" w:rsidRPr="00D36E0A">
        <w:rPr>
          <w:lang w:val="fr-FR"/>
        </w:rPr>
        <w:t xml:space="preserve"> </w:t>
      </w:r>
      <w:r w:rsidRPr="00D36E0A">
        <w:rPr>
          <w:lang w:val="fr-FR"/>
        </w:rPr>
        <w:t>la CDB</w:t>
      </w:r>
      <w:r w:rsidR="00AD5076" w:rsidRPr="00D36E0A">
        <w:rPr>
          <w:lang w:val="fr-FR"/>
        </w:rPr>
        <w:t xml:space="preserve"> d</w:t>
      </w:r>
      <w:r w:rsidRPr="00D36E0A">
        <w:rPr>
          <w:lang w:val="fr-FR"/>
        </w:rPr>
        <w:t>é</w:t>
      </w:r>
      <w:r w:rsidR="00AD5076" w:rsidRPr="00D36E0A">
        <w:rPr>
          <w:lang w:val="fr-FR"/>
        </w:rPr>
        <w:t>fin</w:t>
      </w:r>
      <w:r w:rsidRPr="00D36E0A">
        <w:rPr>
          <w:lang w:val="fr-FR"/>
        </w:rPr>
        <w:t xml:space="preserve">it les </w:t>
      </w:r>
      <w:r w:rsidRPr="00D36E0A">
        <w:rPr>
          <w:i/>
          <w:lang w:val="fr-FR"/>
        </w:rPr>
        <w:t xml:space="preserve">ressources génétiques </w:t>
      </w:r>
      <w:r w:rsidRPr="00D36E0A">
        <w:rPr>
          <w:lang w:val="fr-FR"/>
        </w:rPr>
        <w:t xml:space="preserve">comme </w:t>
      </w:r>
      <w:r w:rsidR="00AD5076" w:rsidRPr="00D36E0A">
        <w:rPr>
          <w:lang w:val="fr-FR"/>
        </w:rPr>
        <w:t>“</w:t>
      </w:r>
      <w:r w:rsidRPr="00D36E0A">
        <w:rPr>
          <w:lang w:val="fr-FR"/>
        </w:rPr>
        <w:t>le</w:t>
      </w:r>
      <w:r w:rsidR="00AD5076" w:rsidRPr="00D36E0A">
        <w:rPr>
          <w:lang w:val="fr-FR"/>
        </w:rPr>
        <w:t xml:space="preserve"> </w:t>
      </w:r>
      <w:r w:rsidRPr="00D36E0A">
        <w:rPr>
          <w:lang w:val="fr-FR"/>
        </w:rPr>
        <w:t>matériel génétique ayant une valeur</w:t>
      </w:r>
      <w:r w:rsidR="00AD5076" w:rsidRPr="00D36E0A">
        <w:rPr>
          <w:lang w:val="fr-FR"/>
        </w:rPr>
        <w:t xml:space="preserve"> </w:t>
      </w:r>
      <w:r w:rsidRPr="00D36E0A">
        <w:rPr>
          <w:lang w:val="fr-FR"/>
        </w:rPr>
        <w:t>effective ou</w:t>
      </w:r>
      <w:r w:rsidR="00AD5076" w:rsidRPr="00D36E0A">
        <w:rPr>
          <w:lang w:val="fr-FR"/>
        </w:rPr>
        <w:t xml:space="preserve"> potenti</w:t>
      </w:r>
      <w:r w:rsidRPr="00D36E0A">
        <w:rPr>
          <w:lang w:val="fr-FR"/>
        </w:rPr>
        <w:t>e</w:t>
      </w:r>
      <w:r w:rsidR="00AD5076" w:rsidRPr="00D36E0A">
        <w:rPr>
          <w:lang w:val="fr-FR"/>
        </w:rPr>
        <w:t>l</w:t>
      </w:r>
      <w:r w:rsidRPr="00D36E0A">
        <w:rPr>
          <w:lang w:val="fr-FR"/>
        </w:rPr>
        <w:t>l</w:t>
      </w:r>
      <w:r w:rsidR="00AD5076" w:rsidRPr="00D36E0A">
        <w:rPr>
          <w:lang w:val="fr-FR"/>
        </w:rPr>
        <w:t xml:space="preserve">e” </w:t>
      </w:r>
      <w:r w:rsidRPr="00D36E0A">
        <w:rPr>
          <w:lang w:val="fr-FR"/>
        </w:rPr>
        <w:t>et le</w:t>
      </w:r>
      <w:r w:rsidR="00AD5076" w:rsidRPr="00D36E0A">
        <w:rPr>
          <w:lang w:val="fr-FR"/>
        </w:rPr>
        <w:t xml:space="preserve"> </w:t>
      </w:r>
      <w:r w:rsidRPr="00D36E0A">
        <w:rPr>
          <w:i/>
          <w:lang w:val="fr-FR"/>
        </w:rPr>
        <w:t>matériel génétique</w:t>
      </w:r>
      <w:r w:rsidRPr="00D36E0A">
        <w:rPr>
          <w:lang w:val="fr-FR"/>
        </w:rPr>
        <w:t xml:space="preserve"> comme</w:t>
      </w:r>
      <w:r w:rsidR="00AD5076" w:rsidRPr="00D36E0A">
        <w:rPr>
          <w:lang w:val="fr-FR"/>
        </w:rPr>
        <w:t xml:space="preserve"> </w:t>
      </w:r>
      <w:r w:rsidR="00AF79FD" w:rsidRPr="00D36E0A">
        <w:rPr>
          <w:lang w:val="fr-FR"/>
        </w:rPr>
        <w:t>“</w:t>
      </w:r>
      <w:r w:rsidRPr="00D36E0A">
        <w:rPr>
          <w:lang w:val="fr-FR"/>
        </w:rPr>
        <w:t>le matériel d</w:t>
      </w:r>
      <w:r w:rsidR="00A27507" w:rsidRPr="00D36E0A">
        <w:rPr>
          <w:lang w:val="fr-FR"/>
        </w:rPr>
        <w:t>’</w:t>
      </w:r>
      <w:r w:rsidRPr="00D36E0A">
        <w:rPr>
          <w:lang w:val="fr-FR"/>
        </w:rPr>
        <w:t xml:space="preserve">origine végétale, animale, </w:t>
      </w:r>
      <w:r w:rsidR="00AD5076" w:rsidRPr="00D36E0A">
        <w:rPr>
          <w:lang w:val="fr-FR"/>
        </w:rPr>
        <w:t>microbi</w:t>
      </w:r>
      <w:r w:rsidRPr="00D36E0A">
        <w:rPr>
          <w:lang w:val="fr-FR"/>
        </w:rPr>
        <w:t>enne ou autre, contenant des unités</w:t>
      </w:r>
      <w:r w:rsidR="00AD5076" w:rsidRPr="00D36E0A">
        <w:rPr>
          <w:lang w:val="fr-FR"/>
        </w:rPr>
        <w:t xml:space="preserve"> f</w:t>
      </w:r>
      <w:r w:rsidRPr="00D36E0A">
        <w:rPr>
          <w:lang w:val="fr-FR"/>
        </w:rPr>
        <w:t>o</w:t>
      </w:r>
      <w:r w:rsidR="00AD5076" w:rsidRPr="00D36E0A">
        <w:rPr>
          <w:lang w:val="fr-FR"/>
        </w:rPr>
        <w:t>nction</w:t>
      </w:r>
      <w:r w:rsidRPr="00D36E0A">
        <w:rPr>
          <w:lang w:val="fr-FR"/>
        </w:rPr>
        <w:t>nelles</w:t>
      </w:r>
      <w:r w:rsidR="00AD5076" w:rsidRPr="00D36E0A">
        <w:rPr>
          <w:lang w:val="fr-FR"/>
        </w:rPr>
        <w:t xml:space="preserve"> </w:t>
      </w:r>
      <w:r w:rsidRPr="00D36E0A">
        <w:rPr>
          <w:lang w:val="fr-FR"/>
        </w:rPr>
        <w:t>de l</w:t>
      </w:r>
      <w:r w:rsidR="00A27507" w:rsidRPr="00D36E0A">
        <w:rPr>
          <w:lang w:val="fr-FR"/>
        </w:rPr>
        <w:t>’</w:t>
      </w:r>
      <w:r w:rsidRPr="00D36E0A">
        <w:rPr>
          <w:lang w:val="fr-FR"/>
        </w:rPr>
        <w:t>héré</w:t>
      </w:r>
      <w:r w:rsidR="00AD5076" w:rsidRPr="00D36E0A">
        <w:rPr>
          <w:lang w:val="fr-FR"/>
        </w:rPr>
        <w:t>dit</w:t>
      </w:r>
      <w:r w:rsidRPr="00D36E0A">
        <w:rPr>
          <w:lang w:val="fr-FR"/>
        </w:rPr>
        <w:t>é</w:t>
      </w:r>
      <w:r w:rsidR="00AD5076" w:rsidRPr="00D36E0A">
        <w:rPr>
          <w:lang w:val="fr-FR"/>
        </w:rPr>
        <w:t>”</w:t>
      </w:r>
      <w:r w:rsidR="00AF79FD" w:rsidRPr="00D36E0A">
        <w:rPr>
          <w:lang w:val="fr-FR"/>
        </w:rPr>
        <w:t>.</w:t>
      </w:r>
      <w:r w:rsidR="00AD5076" w:rsidRPr="00D36E0A">
        <w:rPr>
          <w:lang w:val="fr-FR"/>
        </w:rPr>
        <w:t xml:space="preserve"> </w:t>
      </w:r>
      <w:r w:rsidR="008D207F" w:rsidRPr="00D36E0A">
        <w:rPr>
          <w:lang w:val="fr-FR"/>
        </w:rPr>
        <w:t xml:space="preserve"> En conséquence, il</w:t>
      </w:r>
      <w:r w:rsidR="00AD5076" w:rsidRPr="00D36E0A">
        <w:rPr>
          <w:lang w:val="fr-FR"/>
        </w:rPr>
        <w:t xml:space="preserve"> exist</w:t>
      </w:r>
      <w:r w:rsidR="008D207F" w:rsidRPr="00D36E0A">
        <w:rPr>
          <w:lang w:val="fr-FR"/>
        </w:rPr>
        <w:t>e divers</w:t>
      </w:r>
      <w:r w:rsidR="00AD5076" w:rsidRPr="00D36E0A">
        <w:rPr>
          <w:lang w:val="fr-FR"/>
        </w:rPr>
        <w:t xml:space="preserve"> types </w:t>
      </w:r>
      <w:r w:rsidR="008D207F" w:rsidRPr="00D36E0A">
        <w:rPr>
          <w:lang w:val="fr-FR"/>
        </w:rPr>
        <w:t>de</w:t>
      </w:r>
      <w:r w:rsidR="00AD5076" w:rsidRPr="00D36E0A">
        <w:rPr>
          <w:lang w:val="fr-FR"/>
        </w:rPr>
        <w:t xml:space="preserve"> </w:t>
      </w:r>
      <w:r w:rsidR="008D207F" w:rsidRPr="00D36E0A">
        <w:rPr>
          <w:lang w:val="fr-FR"/>
        </w:rPr>
        <w:t>ressources génétiques</w:t>
      </w:r>
      <w:r w:rsidR="008D207F" w:rsidRPr="00D36E0A">
        <w:rPr>
          <w:i/>
          <w:lang w:val="fr-FR"/>
        </w:rPr>
        <w:t xml:space="preserve">, </w:t>
      </w:r>
      <w:r w:rsidR="008D207F" w:rsidRPr="00D36E0A">
        <w:rPr>
          <w:lang w:val="fr-FR"/>
        </w:rPr>
        <w:t>dont les propriétés sont très</w:t>
      </w:r>
      <w:r w:rsidR="008D207F" w:rsidRPr="00D36E0A">
        <w:rPr>
          <w:i/>
          <w:lang w:val="fr-FR"/>
        </w:rPr>
        <w:t xml:space="preserve"> </w:t>
      </w:r>
      <w:r w:rsidR="008D207F" w:rsidRPr="00D36E0A">
        <w:rPr>
          <w:lang w:val="fr-FR"/>
        </w:rPr>
        <w:t>différent</w:t>
      </w:r>
      <w:r w:rsidR="00511F1C" w:rsidRPr="00D36E0A">
        <w:rPr>
          <w:lang w:val="fr-FR"/>
        </w:rPr>
        <w:t>es.  Ce</w:t>
      </w:r>
      <w:r w:rsidR="008D207F" w:rsidRPr="00D36E0A">
        <w:rPr>
          <w:lang w:val="fr-FR"/>
        </w:rPr>
        <w:t xml:space="preserve">rtaines ressources génétiques peuvent être cultivées ou </w:t>
      </w:r>
      <w:r w:rsidR="00AD5076" w:rsidRPr="00D36E0A">
        <w:rPr>
          <w:lang w:val="fr-FR"/>
        </w:rPr>
        <w:t>modifi</w:t>
      </w:r>
      <w:r w:rsidR="008D207F" w:rsidRPr="00D36E0A">
        <w:rPr>
          <w:lang w:val="fr-FR"/>
        </w:rPr>
        <w:t>ées</w:t>
      </w:r>
      <w:r w:rsidR="00AD5076" w:rsidRPr="00D36E0A">
        <w:rPr>
          <w:lang w:val="fr-FR"/>
        </w:rPr>
        <w:t xml:space="preserve"> </w:t>
      </w:r>
      <w:r w:rsidR="008D207F" w:rsidRPr="00D36E0A">
        <w:rPr>
          <w:lang w:val="fr-FR"/>
        </w:rPr>
        <w:t>depuis des années</w:t>
      </w:r>
      <w:r w:rsidR="00AD5076" w:rsidRPr="00D36E0A">
        <w:rPr>
          <w:lang w:val="fr-FR"/>
        </w:rPr>
        <w:t>,</w:t>
      </w:r>
      <w:r w:rsidR="008D207F" w:rsidRPr="00D36E0A">
        <w:rPr>
          <w:lang w:val="fr-FR"/>
        </w:rPr>
        <w:t xml:space="preserve"> et être en conséquence dotées de</w:t>
      </w:r>
      <w:r w:rsidR="00AD5076" w:rsidRPr="00D36E0A">
        <w:rPr>
          <w:lang w:val="fr-FR"/>
        </w:rPr>
        <w:t xml:space="preserve"> </w:t>
      </w:r>
      <w:r w:rsidR="008D207F" w:rsidRPr="00D36E0A">
        <w:rPr>
          <w:lang w:val="fr-FR"/>
        </w:rPr>
        <w:t>propriétés différentes de celles que l</w:t>
      </w:r>
      <w:r w:rsidR="00A27507" w:rsidRPr="00D36E0A">
        <w:rPr>
          <w:lang w:val="fr-FR"/>
        </w:rPr>
        <w:t>’</w:t>
      </w:r>
      <w:r w:rsidR="008D207F" w:rsidRPr="00D36E0A">
        <w:rPr>
          <w:lang w:val="fr-FR"/>
        </w:rPr>
        <w:t xml:space="preserve">on trouve dans la </w:t>
      </w:r>
      <w:r w:rsidR="00AD5076" w:rsidRPr="00D36E0A">
        <w:rPr>
          <w:lang w:val="fr-FR"/>
        </w:rPr>
        <w:t>nature (</w:t>
      </w:r>
      <w:r w:rsidR="008D207F" w:rsidRPr="00D36E0A">
        <w:rPr>
          <w:lang w:val="fr-FR"/>
        </w:rPr>
        <w:t>par exemple,</w:t>
      </w:r>
      <w:r w:rsidR="00AD5076" w:rsidRPr="00D36E0A">
        <w:rPr>
          <w:lang w:val="fr-FR"/>
        </w:rPr>
        <w:t xml:space="preserve"> </w:t>
      </w:r>
      <w:r w:rsidR="008D207F" w:rsidRPr="00D36E0A">
        <w:rPr>
          <w:lang w:val="fr-FR"/>
        </w:rPr>
        <w:t>certaines</w:t>
      </w:r>
      <w:r w:rsidR="00AD5076" w:rsidRPr="00D36E0A">
        <w:rPr>
          <w:lang w:val="fr-FR"/>
        </w:rPr>
        <w:t xml:space="preserve"> cultures </w:t>
      </w:r>
      <w:r w:rsidR="008D207F" w:rsidRPr="00D36E0A">
        <w:rPr>
          <w:lang w:val="fr-FR"/>
        </w:rPr>
        <w:t>de</w:t>
      </w:r>
      <w:r w:rsidR="00AD5076" w:rsidRPr="00D36E0A">
        <w:rPr>
          <w:lang w:val="fr-FR"/>
        </w:rPr>
        <w:t xml:space="preserve"> micro</w:t>
      </w:r>
      <w:r w:rsidR="00511F1C" w:rsidRPr="00D36E0A">
        <w:rPr>
          <w:lang w:val="fr-FR"/>
        </w:rPr>
        <w:noBreakHyphen/>
      </w:r>
      <w:r w:rsidR="00AD5076" w:rsidRPr="00D36E0A">
        <w:rPr>
          <w:lang w:val="fr-FR"/>
        </w:rPr>
        <w:t>organism</w:t>
      </w:r>
      <w:r w:rsidR="00511F1C" w:rsidRPr="00D36E0A">
        <w:rPr>
          <w:lang w:val="fr-FR"/>
        </w:rPr>
        <w:t>es).  Ce</w:t>
      </w:r>
      <w:r w:rsidR="008D207F" w:rsidRPr="00D36E0A">
        <w:rPr>
          <w:lang w:val="fr-FR"/>
        </w:rPr>
        <w:t xml:space="preserve">rtaines ressources génétiques peuvent </w:t>
      </w:r>
      <w:r w:rsidR="00CC59DE" w:rsidRPr="00D36E0A">
        <w:rPr>
          <w:lang w:val="fr-FR"/>
        </w:rPr>
        <w:t xml:space="preserve">même </w:t>
      </w:r>
      <w:r w:rsidR="008D207F" w:rsidRPr="00D36E0A">
        <w:rPr>
          <w:lang w:val="fr-FR"/>
        </w:rPr>
        <w:t>être composées de matériel génétique provenant de plusieurs pays d</w:t>
      </w:r>
      <w:r w:rsidR="00A27507" w:rsidRPr="00D36E0A">
        <w:rPr>
          <w:lang w:val="fr-FR"/>
        </w:rPr>
        <w:t>’</w:t>
      </w:r>
      <w:r w:rsidR="00AD5076" w:rsidRPr="00D36E0A">
        <w:rPr>
          <w:lang w:val="fr-FR"/>
        </w:rPr>
        <w:t>origin</w:t>
      </w:r>
      <w:r w:rsidR="008D207F" w:rsidRPr="00D36E0A">
        <w:rPr>
          <w:lang w:val="fr-FR"/>
        </w:rPr>
        <w:t>e</w:t>
      </w:r>
      <w:r w:rsidR="00AD5076" w:rsidRPr="00D36E0A">
        <w:rPr>
          <w:lang w:val="fr-FR"/>
        </w:rPr>
        <w:t xml:space="preserve"> (</w:t>
      </w:r>
      <w:r w:rsidR="008D207F" w:rsidRPr="00D36E0A">
        <w:rPr>
          <w:lang w:val="fr-FR"/>
        </w:rPr>
        <w:t>par exemple, variétés végétales modernes</w:t>
      </w:r>
      <w:r w:rsidR="00AD5076" w:rsidRPr="00D36E0A">
        <w:rPr>
          <w:lang w:val="fr-FR"/>
        </w:rPr>
        <w:t>).</w:t>
      </w:r>
      <w:bookmarkEnd w:id="104"/>
      <w:bookmarkEnd w:id="105"/>
      <w:bookmarkEnd w:id="106"/>
      <w:bookmarkEnd w:id="107"/>
      <w:bookmarkEnd w:id="108"/>
    </w:p>
    <w:p w:rsidR="00AD5076" w:rsidRPr="00D36E0A" w:rsidRDefault="00AD5076" w:rsidP="00D36E0A">
      <w:pPr>
        <w:pStyle w:val="ONUMFS"/>
        <w:numPr>
          <w:ilvl w:val="0"/>
          <w:numId w:val="32"/>
        </w:numPr>
        <w:ind w:left="567" w:hanging="567"/>
        <w:rPr>
          <w:lang w:val="fr-FR"/>
        </w:rPr>
      </w:pPr>
      <w:bookmarkStart w:id="109" w:name="_Toc457391449"/>
      <w:bookmarkStart w:id="110" w:name="_Toc457394791"/>
      <w:bookmarkStart w:id="111" w:name="_Toc457988576"/>
      <w:bookmarkStart w:id="112" w:name="_Toc457989459"/>
      <w:bookmarkStart w:id="113" w:name="_Toc461721043"/>
      <w:r w:rsidRPr="00D36E0A">
        <w:rPr>
          <w:i/>
          <w:lang w:val="fr-FR"/>
        </w:rPr>
        <w:t>Diversit</w:t>
      </w:r>
      <w:r w:rsidR="00776C0D" w:rsidRPr="00D36E0A">
        <w:rPr>
          <w:i/>
          <w:lang w:val="fr-FR"/>
        </w:rPr>
        <w:t xml:space="preserve">é des approches </w:t>
      </w:r>
      <w:r w:rsidRPr="00D36E0A">
        <w:rPr>
          <w:i/>
          <w:lang w:val="fr-FR"/>
        </w:rPr>
        <w:t>sector</w:t>
      </w:r>
      <w:r w:rsidR="00776C0D" w:rsidRPr="00D36E0A">
        <w:rPr>
          <w:i/>
          <w:lang w:val="fr-FR"/>
        </w:rPr>
        <w:t>ielles </w:t>
      </w:r>
      <w:r w:rsidRPr="00D36E0A">
        <w:rPr>
          <w:i/>
          <w:lang w:val="fr-FR"/>
        </w:rPr>
        <w:t>:</w:t>
      </w:r>
      <w:r w:rsidRPr="00D36E0A">
        <w:rPr>
          <w:lang w:val="fr-FR"/>
        </w:rPr>
        <w:t xml:space="preserve"> </w:t>
      </w:r>
      <w:r w:rsidR="00776C0D" w:rsidRPr="00D36E0A">
        <w:rPr>
          <w:lang w:val="fr-FR"/>
        </w:rPr>
        <w:t>divers</w:t>
      </w:r>
      <w:r w:rsidRPr="00D36E0A">
        <w:rPr>
          <w:lang w:val="fr-FR"/>
        </w:rPr>
        <w:t xml:space="preserve"> sect</w:t>
      </w:r>
      <w:r w:rsidR="00776C0D" w:rsidRPr="00D36E0A">
        <w:rPr>
          <w:lang w:val="fr-FR"/>
        </w:rPr>
        <w:t>eu</w:t>
      </w:r>
      <w:r w:rsidRPr="00D36E0A">
        <w:rPr>
          <w:lang w:val="fr-FR"/>
        </w:rPr>
        <w:t>rs utilis</w:t>
      </w:r>
      <w:r w:rsidR="00776C0D" w:rsidRPr="00D36E0A">
        <w:rPr>
          <w:lang w:val="fr-FR"/>
        </w:rPr>
        <w:t>e</w:t>
      </w:r>
      <w:r w:rsidRPr="00D36E0A">
        <w:rPr>
          <w:lang w:val="fr-FR"/>
        </w:rPr>
        <w:t>n</w:t>
      </w:r>
      <w:r w:rsidR="00776C0D" w:rsidRPr="00D36E0A">
        <w:rPr>
          <w:lang w:val="fr-FR"/>
        </w:rPr>
        <w:t>t les</w:t>
      </w:r>
      <w:r w:rsidRPr="00D36E0A">
        <w:rPr>
          <w:lang w:val="fr-FR"/>
        </w:rPr>
        <w:t xml:space="preserve"> </w:t>
      </w:r>
      <w:r w:rsidR="00776C0D" w:rsidRPr="00D36E0A">
        <w:rPr>
          <w:lang w:val="fr-FR"/>
        </w:rPr>
        <w:t>ressources génétiques</w:t>
      </w:r>
      <w:r w:rsidR="001454B1" w:rsidRPr="00D36E0A">
        <w:rPr>
          <w:lang w:val="fr-FR"/>
        </w:rPr>
        <w:t>,</w:t>
      </w:r>
      <w:r w:rsidR="00776C0D" w:rsidRPr="00D36E0A">
        <w:rPr>
          <w:lang w:val="fr-FR"/>
        </w:rPr>
        <w:t xml:space="preserve"> </w:t>
      </w:r>
      <w:r w:rsidR="00CC59DE" w:rsidRPr="00D36E0A">
        <w:rPr>
          <w:lang w:val="fr-FR"/>
        </w:rPr>
        <w:t>et l</w:t>
      </w:r>
      <w:r w:rsidR="001454B1" w:rsidRPr="00D36E0A">
        <w:rPr>
          <w:lang w:val="fr-FR"/>
        </w:rPr>
        <w:t xml:space="preserve">es </w:t>
      </w:r>
      <w:r w:rsidR="001E6774" w:rsidRPr="00D36E0A">
        <w:rPr>
          <w:lang w:val="fr-FR"/>
        </w:rPr>
        <w:t>approche</w:t>
      </w:r>
      <w:r w:rsidR="001454B1" w:rsidRPr="00D36E0A">
        <w:rPr>
          <w:lang w:val="fr-FR"/>
        </w:rPr>
        <w:t>s</w:t>
      </w:r>
      <w:r w:rsidR="00CC59DE" w:rsidRPr="00D36E0A">
        <w:rPr>
          <w:lang w:val="fr-FR"/>
        </w:rPr>
        <w:t xml:space="preserve"> </w:t>
      </w:r>
      <w:r w:rsidR="001E6774" w:rsidRPr="00D36E0A">
        <w:rPr>
          <w:lang w:val="fr-FR"/>
        </w:rPr>
        <w:t>s</w:t>
      </w:r>
      <w:r w:rsidR="00CC59DE" w:rsidRPr="00D36E0A">
        <w:rPr>
          <w:lang w:val="fr-FR"/>
        </w:rPr>
        <w:t>uivie</w:t>
      </w:r>
      <w:r w:rsidR="001454B1" w:rsidRPr="00D36E0A">
        <w:rPr>
          <w:lang w:val="fr-FR"/>
        </w:rPr>
        <w:t>s</w:t>
      </w:r>
      <w:r w:rsidR="00CC59DE" w:rsidRPr="00D36E0A">
        <w:rPr>
          <w:lang w:val="fr-FR"/>
        </w:rPr>
        <w:t xml:space="preserve"> peu</w:t>
      </w:r>
      <w:r w:rsidR="001454B1" w:rsidRPr="00D36E0A">
        <w:rPr>
          <w:lang w:val="fr-FR"/>
        </w:rPr>
        <w:t>ven</w:t>
      </w:r>
      <w:r w:rsidR="00CC59DE" w:rsidRPr="00D36E0A">
        <w:rPr>
          <w:lang w:val="fr-FR"/>
        </w:rPr>
        <w:t>t être</w:t>
      </w:r>
      <w:r w:rsidR="001E6774" w:rsidRPr="00D36E0A">
        <w:rPr>
          <w:lang w:val="fr-FR"/>
        </w:rPr>
        <w:t xml:space="preserve"> très différente</w:t>
      </w:r>
      <w:r w:rsidR="001454B1" w:rsidRPr="00D36E0A">
        <w:rPr>
          <w:lang w:val="fr-FR"/>
        </w:rPr>
        <w:t>s</w:t>
      </w:r>
      <w:r w:rsidR="001E6774" w:rsidRPr="00D36E0A">
        <w:rPr>
          <w:lang w:val="fr-FR"/>
        </w:rPr>
        <w:t xml:space="preserve"> </w:t>
      </w:r>
      <w:r w:rsidR="00CC59DE" w:rsidRPr="00D36E0A">
        <w:rPr>
          <w:lang w:val="fr-FR"/>
        </w:rPr>
        <w:t>pour ce qui est de l</w:t>
      </w:r>
      <w:r w:rsidR="00A27507" w:rsidRPr="00D36E0A">
        <w:rPr>
          <w:lang w:val="fr-FR"/>
        </w:rPr>
        <w:t>’</w:t>
      </w:r>
      <w:r w:rsidR="001E6774" w:rsidRPr="00D36E0A">
        <w:rPr>
          <w:lang w:val="fr-FR"/>
        </w:rPr>
        <w:t>obtention</w:t>
      </w:r>
      <w:r w:rsidRPr="00D36E0A">
        <w:rPr>
          <w:lang w:val="fr-FR"/>
        </w:rPr>
        <w:t xml:space="preserve">, </w:t>
      </w:r>
      <w:r w:rsidR="001E6774" w:rsidRPr="00D36E0A">
        <w:rPr>
          <w:lang w:val="fr-FR"/>
        </w:rPr>
        <w:t>d</w:t>
      </w:r>
      <w:r w:rsidR="00CC59DE" w:rsidRPr="00D36E0A">
        <w:rPr>
          <w:lang w:val="fr-FR"/>
        </w:rPr>
        <w:t>e l</w:t>
      </w:r>
      <w:r w:rsidR="00A27507" w:rsidRPr="00D36E0A">
        <w:rPr>
          <w:lang w:val="fr-FR"/>
        </w:rPr>
        <w:t>’</w:t>
      </w:r>
      <w:r w:rsidR="001E6774" w:rsidRPr="00D36E0A">
        <w:rPr>
          <w:lang w:val="fr-FR"/>
        </w:rPr>
        <w:t>échange et d</w:t>
      </w:r>
      <w:r w:rsidR="00CC59DE" w:rsidRPr="00D36E0A">
        <w:rPr>
          <w:lang w:val="fr-FR"/>
        </w:rPr>
        <w:t>e l</w:t>
      </w:r>
      <w:r w:rsidR="00A27507" w:rsidRPr="00D36E0A">
        <w:rPr>
          <w:lang w:val="fr-FR"/>
        </w:rPr>
        <w:t>’</w:t>
      </w:r>
      <w:r w:rsidR="001E6774" w:rsidRPr="00D36E0A">
        <w:rPr>
          <w:lang w:val="fr-FR"/>
        </w:rPr>
        <w:t>utilisation des</w:t>
      </w:r>
      <w:r w:rsidRPr="00D36E0A">
        <w:rPr>
          <w:lang w:val="fr-FR"/>
        </w:rPr>
        <w:t xml:space="preserve"> </w:t>
      </w:r>
      <w:r w:rsidR="001E6774" w:rsidRPr="00D36E0A">
        <w:rPr>
          <w:lang w:val="fr-FR"/>
        </w:rPr>
        <w:t>ressources génétiques</w:t>
      </w:r>
      <w:r w:rsidRPr="00D36E0A">
        <w:rPr>
          <w:rStyle w:val="FootnoteTextChar"/>
          <w:sz w:val="22"/>
          <w:szCs w:val="22"/>
          <w:vertAlign w:val="superscript"/>
          <w:lang w:val="fr-FR"/>
        </w:rPr>
        <w:footnoteReference w:id="7"/>
      </w:r>
      <w:r w:rsidRPr="00D36E0A">
        <w:rPr>
          <w:lang w:val="fr-FR"/>
        </w:rPr>
        <w:t>.</w:t>
      </w:r>
      <w:r w:rsidR="00617DEC" w:rsidRPr="00D36E0A">
        <w:rPr>
          <w:lang w:val="fr-FR"/>
        </w:rPr>
        <w:t xml:space="preserve"> </w:t>
      </w:r>
      <w:r w:rsidRPr="00D36E0A">
        <w:rPr>
          <w:lang w:val="fr-FR"/>
        </w:rPr>
        <w:t xml:space="preserve"> </w:t>
      </w:r>
      <w:r w:rsidR="001E6774" w:rsidRPr="00D36E0A">
        <w:rPr>
          <w:lang w:val="fr-FR"/>
        </w:rPr>
        <w:t>En outre</w:t>
      </w:r>
      <w:r w:rsidRPr="00D36E0A">
        <w:rPr>
          <w:lang w:val="fr-FR"/>
        </w:rPr>
        <w:t xml:space="preserve">, </w:t>
      </w:r>
      <w:r w:rsidR="00555B1F" w:rsidRPr="00D36E0A">
        <w:rPr>
          <w:lang w:val="fr-FR"/>
        </w:rPr>
        <w:t>un</w:t>
      </w:r>
      <w:r w:rsidRPr="00D36E0A">
        <w:rPr>
          <w:lang w:val="fr-FR"/>
        </w:rPr>
        <w:t xml:space="preserve"> </w:t>
      </w:r>
      <w:r w:rsidR="00555B1F" w:rsidRPr="00D36E0A">
        <w:rPr>
          <w:lang w:val="fr-FR"/>
        </w:rPr>
        <w:t>temps considérable s</w:t>
      </w:r>
      <w:r w:rsidR="00A27507" w:rsidRPr="00D36E0A">
        <w:rPr>
          <w:lang w:val="fr-FR"/>
        </w:rPr>
        <w:t>’</w:t>
      </w:r>
      <w:r w:rsidR="00555B1F" w:rsidRPr="00D36E0A">
        <w:rPr>
          <w:lang w:val="fr-FR"/>
        </w:rPr>
        <w:t xml:space="preserve">écoule généralement entre </w:t>
      </w:r>
      <w:r w:rsidR="00D525AB" w:rsidRPr="00D36E0A">
        <w:rPr>
          <w:lang w:val="fr-FR"/>
        </w:rPr>
        <w:t>l</w:t>
      </w:r>
      <w:r w:rsidR="00A27507" w:rsidRPr="00D36E0A">
        <w:rPr>
          <w:lang w:val="fr-FR"/>
        </w:rPr>
        <w:t>’</w:t>
      </w:r>
      <w:r w:rsidR="00D525AB" w:rsidRPr="00D36E0A">
        <w:rPr>
          <w:lang w:val="fr-FR"/>
        </w:rPr>
        <w:t>obtention d</w:t>
      </w:r>
      <w:r w:rsidR="00A27507" w:rsidRPr="00D36E0A">
        <w:rPr>
          <w:lang w:val="fr-FR"/>
        </w:rPr>
        <w:t>’</w:t>
      </w:r>
      <w:r w:rsidR="00D525AB" w:rsidRPr="00D36E0A">
        <w:rPr>
          <w:lang w:val="fr-FR"/>
        </w:rPr>
        <w:t>une</w:t>
      </w:r>
      <w:r w:rsidRPr="00D36E0A">
        <w:rPr>
          <w:lang w:val="fr-FR"/>
        </w:rPr>
        <w:t xml:space="preserve"> </w:t>
      </w:r>
      <w:r w:rsidR="00D525AB" w:rsidRPr="00D36E0A">
        <w:rPr>
          <w:lang w:val="fr-FR"/>
        </w:rPr>
        <w:t xml:space="preserve">ressource génétique </w:t>
      </w:r>
      <w:r w:rsidR="00C515E3" w:rsidRPr="00D36E0A">
        <w:rPr>
          <w:lang w:val="fr-FR"/>
        </w:rPr>
        <w:t xml:space="preserve">dans des conditions </w:t>
      </w:r>
      <w:r w:rsidR="00AF79FD" w:rsidRPr="00D36E0A">
        <w:rPr>
          <w:i/>
          <w:lang w:val="fr-FR"/>
        </w:rPr>
        <w:t>in situ</w:t>
      </w:r>
      <w:r w:rsidR="00D525AB" w:rsidRPr="00D36E0A">
        <w:rPr>
          <w:i/>
          <w:lang w:val="fr-FR"/>
        </w:rPr>
        <w:t xml:space="preserve"> </w:t>
      </w:r>
      <w:r w:rsidR="00D525AB" w:rsidRPr="00D36E0A">
        <w:rPr>
          <w:lang w:val="fr-FR"/>
        </w:rPr>
        <w:t>dans un pays donné et le dépôt d</w:t>
      </w:r>
      <w:r w:rsidR="00A27507" w:rsidRPr="00D36E0A">
        <w:rPr>
          <w:lang w:val="fr-FR"/>
        </w:rPr>
        <w:t>’</w:t>
      </w:r>
      <w:r w:rsidR="00D525AB" w:rsidRPr="00D36E0A">
        <w:rPr>
          <w:lang w:val="fr-FR"/>
        </w:rPr>
        <w:t>une demande de brevet pour une invention portant directement sur cette</w:t>
      </w:r>
      <w:r w:rsidRPr="00D36E0A">
        <w:rPr>
          <w:lang w:val="fr-FR"/>
        </w:rPr>
        <w:t xml:space="preserve"> re</w:t>
      </w:r>
      <w:r w:rsidR="00D525AB" w:rsidRPr="00D36E0A">
        <w:rPr>
          <w:lang w:val="fr-FR"/>
        </w:rPr>
        <w:t>s</w:t>
      </w:r>
      <w:r w:rsidRPr="00D36E0A">
        <w:rPr>
          <w:lang w:val="fr-FR"/>
        </w:rPr>
        <w:t>sour</w:t>
      </w:r>
      <w:r w:rsidR="00511F1C" w:rsidRPr="00D36E0A">
        <w:rPr>
          <w:lang w:val="fr-FR"/>
        </w:rPr>
        <w:t>ce.  Pe</w:t>
      </w:r>
      <w:r w:rsidR="00D525AB" w:rsidRPr="00D36E0A">
        <w:rPr>
          <w:lang w:val="fr-FR"/>
        </w:rPr>
        <w:t>ndant ce</w:t>
      </w:r>
      <w:r w:rsidR="001454B1" w:rsidRPr="00D36E0A">
        <w:rPr>
          <w:lang w:val="fr-FR"/>
        </w:rPr>
        <w:t xml:space="preserve"> laps de</w:t>
      </w:r>
      <w:r w:rsidR="00D525AB" w:rsidRPr="00D36E0A">
        <w:rPr>
          <w:lang w:val="fr-FR"/>
        </w:rPr>
        <w:t xml:space="preserve"> temps</w:t>
      </w:r>
      <w:r w:rsidRPr="00D36E0A">
        <w:rPr>
          <w:lang w:val="fr-FR"/>
        </w:rPr>
        <w:t xml:space="preserve">, </w:t>
      </w:r>
      <w:r w:rsidR="00D525AB" w:rsidRPr="00D36E0A">
        <w:rPr>
          <w:lang w:val="fr-FR"/>
        </w:rPr>
        <w:t>une ressource génétique</w:t>
      </w:r>
      <w:r w:rsidRPr="00D36E0A">
        <w:rPr>
          <w:lang w:val="fr-FR"/>
        </w:rPr>
        <w:t xml:space="preserve"> </w:t>
      </w:r>
      <w:r w:rsidR="00D525AB" w:rsidRPr="00D36E0A">
        <w:rPr>
          <w:lang w:val="fr-FR"/>
        </w:rPr>
        <w:t>peut être</w:t>
      </w:r>
      <w:r w:rsidRPr="00D36E0A">
        <w:rPr>
          <w:lang w:val="fr-FR"/>
        </w:rPr>
        <w:t xml:space="preserve"> transf</w:t>
      </w:r>
      <w:r w:rsidR="00D525AB" w:rsidRPr="00D36E0A">
        <w:rPr>
          <w:lang w:val="fr-FR"/>
        </w:rPr>
        <w:t>é</w:t>
      </w:r>
      <w:r w:rsidRPr="00D36E0A">
        <w:rPr>
          <w:lang w:val="fr-FR"/>
        </w:rPr>
        <w:t>r</w:t>
      </w:r>
      <w:r w:rsidR="00D525AB" w:rsidRPr="00D36E0A">
        <w:rPr>
          <w:lang w:val="fr-FR"/>
        </w:rPr>
        <w:t>é</w:t>
      </w:r>
      <w:r w:rsidRPr="00D36E0A">
        <w:rPr>
          <w:lang w:val="fr-FR"/>
        </w:rPr>
        <w:t>e</w:t>
      </w:r>
      <w:r w:rsidR="00D525AB" w:rsidRPr="00D36E0A">
        <w:rPr>
          <w:lang w:val="fr-FR"/>
        </w:rPr>
        <w:t xml:space="preserve"> entre plusieurs</w:t>
      </w:r>
      <w:r w:rsidRPr="00D36E0A">
        <w:rPr>
          <w:lang w:val="fr-FR"/>
        </w:rPr>
        <w:t xml:space="preserve"> u</w:t>
      </w:r>
      <w:r w:rsidR="00D525AB" w:rsidRPr="00D36E0A">
        <w:rPr>
          <w:lang w:val="fr-FR"/>
        </w:rPr>
        <w:t>tili</w:t>
      </w:r>
      <w:r w:rsidRPr="00D36E0A">
        <w:rPr>
          <w:lang w:val="fr-FR"/>
        </w:rPr>
        <w:t>s</w:t>
      </w:r>
      <w:r w:rsidR="00D525AB" w:rsidRPr="00D36E0A">
        <w:rPr>
          <w:lang w:val="fr-FR"/>
        </w:rPr>
        <w:t>at</w:t>
      </w:r>
      <w:r w:rsidRPr="00D36E0A">
        <w:rPr>
          <w:lang w:val="fr-FR"/>
        </w:rPr>
        <w:t>e</w:t>
      </w:r>
      <w:r w:rsidR="00D525AB" w:rsidRPr="00D36E0A">
        <w:rPr>
          <w:lang w:val="fr-FR"/>
        </w:rPr>
        <w:t>u</w:t>
      </w:r>
      <w:r w:rsidRPr="00D36E0A">
        <w:rPr>
          <w:lang w:val="fr-FR"/>
        </w:rPr>
        <w:t xml:space="preserve">rs </w:t>
      </w:r>
      <w:r w:rsidR="00D525AB" w:rsidRPr="00D36E0A">
        <w:rPr>
          <w:lang w:val="fr-FR"/>
        </w:rPr>
        <w:t>situés dans le mê</w:t>
      </w:r>
      <w:r w:rsidRPr="00D36E0A">
        <w:rPr>
          <w:lang w:val="fr-FR"/>
        </w:rPr>
        <w:t xml:space="preserve">me </w:t>
      </w:r>
      <w:r w:rsidR="00D525AB" w:rsidRPr="00D36E0A">
        <w:rPr>
          <w:lang w:val="fr-FR"/>
        </w:rPr>
        <w:t>pays ou d</w:t>
      </w:r>
      <w:r w:rsidR="001454B1" w:rsidRPr="00D36E0A">
        <w:rPr>
          <w:lang w:val="fr-FR"/>
        </w:rPr>
        <w:t>ans d</w:t>
      </w:r>
      <w:r w:rsidR="00D525AB" w:rsidRPr="00D36E0A">
        <w:rPr>
          <w:lang w:val="fr-FR"/>
        </w:rPr>
        <w:t>es pays</w:t>
      </w:r>
      <w:r w:rsidRPr="00D36E0A">
        <w:rPr>
          <w:lang w:val="fr-FR"/>
        </w:rPr>
        <w:t xml:space="preserve"> diff</w:t>
      </w:r>
      <w:r w:rsidR="00D525AB" w:rsidRPr="00D36E0A">
        <w:rPr>
          <w:lang w:val="fr-FR"/>
        </w:rPr>
        <w:t>é</w:t>
      </w:r>
      <w:r w:rsidRPr="00D36E0A">
        <w:rPr>
          <w:lang w:val="fr-FR"/>
        </w:rPr>
        <w:t>rent</w:t>
      </w:r>
      <w:r w:rsidR="00D525AB" w:rsidRPr="00D36E0A">
        <w:rPr>
          <w:lang w:val="fr-FR"/>
        </w:rPr>
        <w:t>s</w:t>
      </w:r>
      <w:r w:rsidRPr="00D36E0A">
        <w:rPr>
          <w:lang w:val="fr-FR"/>
        </w:rPr>
        <w:t>.</w:t>
      </w:r>
      <w:bookmarkEnd w:id="109"/>
      <w:bookmarkEnd w:id="110"/>
      <w:bookmarkEnd w:id="111"/>
      <w:bookmarkEnd w:id="112"/>
      <w:bookmarkEnd w:id="113"/>
    </w:p>
    <w:p w:rsidR="00AD5076" w:rsidRPr="00D36E0A" w:rsidRDefault="005B2B8F" w:rsidP="00D36E0A">
      <w:pPr>
        <w:pStyle w:val="ONUMFS"/>
        <w:numPr>
          <w:ilvl w:val="0"/>
          <w:numId w:val="32"/>
        </w:numPr>
        <w:ind w:left="567" w:hanging="567"/>
        <w:rPr>
          <w:lang w:val="fr-FR"/>
        </w:rPr>
      </w:pPr>
      <w:bookmarkStart w:id="114" w:name="_Toc457391450"/>
      <w:bookmarkStart w:id="115" w:name="_Toc457394792"/>
      <w:bookmarkStart w:id="116" w:name="_Toc457988577"/>
      <w:bookmarkStart w:id="117" w:name="_Toc457989460"/>
      <w:bookmarkStart w:id="118" w:name="_Toc461721044"/>
      <w:r w:rsidRPr="00D36E0A">
        <w:rPr>
          <w:i/>
          <w:lang w:val="fr-FR"/>
        </w:rPr>
        <w:t xml:space="preserve">Diversité des savoirs traditionnels associés </w:t>
      </w:r>
      <w:r w:rsidR="001454B1" w:rsidRPr="00D36E0A">
        <w:rPr>
          <w:i/>
          <w:lang w:val="fr-FR"/>
        </w:rPr>
        <w:t>aux</w:t>
      </w:r>
      <w:r w:rsidRPr="00D36E0A">
        <w:rPr>
          <w:i/>
          <w:lang w:val="fr-FR"/>
        </w:rPr>
        <w:t xml:space="preserve"> ressources </w:t>
      </w:r>
      <w:r w:rsidR="00AD5076" w:rsidRPr="00D36E0A">
        <w:rPr>
          <w:i/>
          <w:lang w:val="fr-FR"/>
        </w:rPr>
        <w:t>g</w:t>
      </w:r>
      <w:r w:rsidRPr="00D36E0A">
        <w:rPr>
          <w:i/>
          <w:lang w:val="fr-FR"/>
        </w:rPr>
        <w:t>é</w:t>
      </w:r>
      <w:r w:rsidR="00AD5076" w:rsidRPr="00D36E0A">
        <w:rPr>
          <w:i/>
          <w:lang w:val="fr-FR"/>
        </w:rPr>
        <w:t>n</w:t>
      </w:r>
      <w:r w:rsidRPr="00D36E0A">
        <w:rPr>
          <w:i/>
          <w:lang w:val="fr-FR"/>
        </w:rPr>
        <w:t>é</w:t>
      </w:r>
      <w:r w:rsidR="00AD5076" w:rsidRPr="00D36E0A">
        <w:rPr>
          <w:i/>
          <w:lang w:val="fr-FR"/>
        </w:rPr>
        <w:t>ti</w:t>
      </w:r>
      <w:r w:rsidRPr="00D36E0A">
        <w:rPr>
          <w:i/>
          <w:lang w:val="fr-FR"/>
        </w:rPr>
        <w:t>ques </w:t>
      </w:r>
      <w:r w:rsidR="00AD5076" w:rsidRPr="00D36E0A">
        <w:rPr>
          <w:i/>
          <w:lang w:val="fr-FR"/>
        </w:rPr>
        <w:t>:</w:t>
      </w:r>
      <w:r w:rsidR="00AD5076" w:rsidRPr="00D36E0A">
        <w:rPr>
          <w:lang w:val="fr-FR"/>
        </w:rPr>
        <w:t xml:space="preserve"> </w:t>
      </w:r>
      <w:r w:rsidRPr="00D36E0A">
        <w:rPr>
          <w:lang w:val="fr-FR"/>
        </w:rPr>
        <w:t>contrairement aux ressources</w:t>
      </w:r>
      <w:r w:rsidR="00AD5076" w:rsidRPr="00D36E0A">
        <w:rPr>
          <w:lang w:val="fr-FR"/>
        </w:rPr>
        <w:t xml:space="preserve"> </w:t>
      </w:r>
      <w:r w:rsidRPr="00D36E0A">
        <w:rPr>
          <w:lang w:val="fr-FR"/>
        </w:rPr>
        <w:t>génétiques</w:t>
      </w:r>
      <w:r w:rsidR="00AD5076" w:rsidRPr="00D36E0A">
        <w:rPr>
          <w:lang w:val="fr-FR"/>
        </w:rPr>
        <w:t>,</w:t>
      </w:r>
      <w:r w:rsidRPr="00D36E0A">
        <w:rPr>
          <w:lang w:val="fr-FR"/>
        </w:rPr>
        <w:t xml:space="preserve"> les savoirs</w:t>
      </w:r>
      <w:r w:rsidR="00AD5076" w:rsidRPr="00D36E0A">
        <w:rPr>
          <w:lang w:val="fr-FR"/>
        </w:rPr>
        <w:t xml:space="preserve"> tradition</w:t>
      </w:r>
      <w:r w:rsidRPr="00D36E0A">
        <w:rPr>
          <w:lang w:val="fr-FR"/>
        </w:rPr>
        <w:t>ne</w:t>
      </w:r>
      <w:r w:rsidR="00AD5076" w:rsidRPr="00D36E0A">
        <w:rPr>
          <w:lang w:val="fr-FR"/>
        </w:rPr>
        <w:t>l</w:t>
      </w:r>
      <w:r w:rsidRPr="00D36E0A">
        <w:rPr>
          <w:lang w:val="fr-FR"/>
        </w:rPr>
        <w:t>s</w:t>
      </w:r>
      <w:r w:rsidR="00AD5076" w:rsidRPr="00D36E0A">
        <w:rPr>
          <w:lang w:val="fr-FR"/>
        </w:rPr>
        <w:t xml:space="preserve"> </w:t>
      </w:r>
      <w:r w:rsidRPr="00D36E0A">
        <w:rPr>
          <w:lang w:val="fr-FR"/>
        </w:rPr>
        <w:t>sont</w:t>
      </w:r>
      <w:r w:rsidR="00AD5076" w:rsidRPr="00D36E0A">
        <w:rPr>
          <w:lang w:val="fr-FR"/>
        </w:rPr>
        <w:t xml:space="preserve"> intangibl</w:t>
      </w:r>
      <w:r w:rsidR="00511F1C" w:rsidRPr="00D36E0A">
        <w:rPr>
          <w:lang w:val="fr-FR"/>
        </w:rPr>
        <w:t>es.  En</w:t>
      </w:r>
      <w:r w:rsidRPr="00D36E0A">
        <w:rPr>
          <w:lang w:val="fr-FR"/>
        </w:rPr>
        <w:t xml:space="preserve"> général</w:t>
      </w:r>
      <w:r w:rsidR="00AD5076" w:rsidRPr="00D36E0A">
        <w:rPr>
          <w:lang w:val="fr-FR"/>
        </w:rPr>
        <w:t xml:space="preserve">, </w:t>
      </w:r>
      <w:r w:rsidRPr="00D36E0A">
        <w:rPr>
          <w:lang w:val="fr-FR"/>
        </w:rPr>
        <w:t>les</w:t>
      </w:r>
      <w:r w:rsidR="00AD5076" w:rsidRPr="00D36E0A">
        <w:rPr>
          <w:lang w:val="fr-FR"/>
        </w:rPr>
        <w:t xml:space="preserve"> </w:t>
      </w:r>
      <w:r w:rsidRPr="00D36E0A">
        <w:rPr>
          <w:lang w:val="fr-FR"/>
        </w:rPr>
        <w:t>détenteurs de ces savoirs sont des peuples autochtones et des communautés local</w:t>
      </w:r>
      <w:r w:rsidR="00511F1C" w:rsidRPr="00D36E0A">
        <w:rPr>
          <w:lang w:val="fr-FR"/>
        </w:rPr>
        <w:t>es.  L’a</w:t>
      </w:r>
      <w:r w:rsidRPr="00D36E0A">
        <w:rPr>
          <w:lang w:val="fr-FR"/>
        </w:rPr>
        <w:t>rticle</w:t>
      </w:r>
      <w:r w:rsidR="001454B1" w:rsidRPr="00D36E0A">
        <w:rPr>
          <w:lang w:val="fr-FR"/>
        </w:rPr>
        <w:t> </w:t>
      </w:r>
      <w:proofErr w:type="spellStart"/>
      <w:r w:rsidRPr="00D36E0A">
        <w:rPr>
          <w:lang w:val="fr-FR"/>
        </w:rPr>
        <w:t>8.</w:t>
      </w:r>
      <w:r w:rsidR="00AD5076" w:rsidRPr="00D36E0A">
        <w:rPr>
          <w:lang w:val="fr-FR"/>
        </w:rPr>
        <w:t>j</w:t>
      </w:r>
      <w:proofErr w:type="spellEnd"/>
      <w:r w:rsidR="00AD5076" w:rsidRPr="00D36E0A">
        <w:rPr>
          <w:lang w:val="fr-FR"/>
        </w:rPr>
        <w:t xml:space="preserve">) </w:t>
      </w:r>
      <w:r w:rsidRPr="00D36E0A">
        <w:rPr>
          <w:lang w:val="fr-FR"/>
        </w:rPr>
        <w:t>de la CDB relie les</w:t>
      </w:r>
      <w:r w:rsidR="00AD5076" w:rsidRPr="00D36E0A">
        <w:rPr>
          <w:lang w:val="fr-FR"/>
        </w:rPr>
        <w:t xml:space="preserve"> </w:t>
      </w:r>
      <w:r w:rsidRPr="00D36E0A">
        <w:rPr>
          <w:lang w:val="fr-FR"/>
        </w:rPr>
        <w:t xml:space="preserve">savoirs traditionnels </w:t>
      </w:r>
      <w:r w:rsidR="001454B1" w:rsidRPr="00D36E0A">
        <w:rPr>
          <w:lang w:val="fr-FR"/>
        </w:rPr>
        <w:t>à des</w:t>
      </w:r>
      <w:r w:rsidRPr="00D36E0A">
        <w:rPr>
          <w:lang w:val="fr-FR"/>
        </w:rPr>
        <w:t xml:space="preserve"> communautés autochtones et </w:t>
      </w:r>
      <w:r w:rsidR="00AD5076" w:rsidRPr="00D36E0A">
        <w:rPr>
          <w:lang w:val="fr-FR"/>
        </w:rPr>
        <w:t>local</w:t>
      </w:r>
      <w:r w:rsidRPr="00D36E0A">
        <w:rPr>
          <w:lang w:val="fr-FR"/>
        </w:rPr>
        <w:t>es</w:t>
      </w:r>
      <w:r w:rsidR="00AD5076" w:rsidRPr="00D36E0A">
        <w:rPr>
          <w:lang w:val="fr-FR"/>
        </w:rPr>
        <w:t xml:space="preserve"> </w:t>
      </w:r>
      <w:r w:rsidRPr="00D36E0A">
        <w:rPr>
          <w:lang w:val="fr-FR"/>
        </w:rPr>
        <w:t xml:space="preserve">incarnant </w:t>
      </w:r>
      <w:r w:rsidR="001454B1" w:rsidRPr="00D36E0A">
        <w:rPr>
          <w:lang w:val="fr-FR"/>
        </w:rPr>
        <w:t>des</w:t>
      </w:r>
      <w:r w:rsidRPr="00D36E0A">
        <w:rPr>
          <w:lang w:val="fr-FR"/>
        </w:rPr>
        <w:t xml:space="preserve"> styles de vie</w:t>
      </w:r>
      <w:r w:rsidR="00AD5076" w:rsidRPr="00D36E0A">
        <w:rPr>
          <w:lang w:val="fr-FR"/>
        </w:rPr>
        <w:t xml:space="preserve"> </w:t>
      </w:r>
      <w:r w:rsidRPr="00D36E0A">
        <w:rPr>
          <w:lang w:val="fr-FR"/>
        </w:rPr>
        <w:t>traditionnels</w:t>
      </w:r>
      <w:r w:rsidR="00617DEC" w:rsidRPr="00D36E0A">
        <w:rPr>
          <w:lang w:val="fr-FR"/>
        </w:rPr>
        <w:t xml:space="preserve">, </w:t>
      </w:r>
      <w:r w:rsidR="00936BA3" w:rsidRPr="00D36E0A">
        <w:rPr>
          <w:lang w:val="fr-FR"/>
        </w:rPr>
        <w:t>et l</w:t>
      </w:r>
      <w:r w:rsidR="00A27507" w:rsidRPr="00D36E0A">
        <w:rPr>
          <w:lang w:val="fr-FR"/>
        </w:rPr>
        <w:t>’</w:t>
      </w:r>
      <w:r w:rsidR="00936BA3" w:rsidRPr="00D36E0A">
        <w:rPr>
          <w:lang w:val="fr-FR"/>
        </w:rPr>
        <w:t>a</w:t>
      </w:r>
      <w:r w:rsidR="00617DEC" w:rsidRPr="00D36E0A">
        <w:rPr>
          <w:lang w:val="fr-FR"/>
        </w:rPr>
        <w:t>rticle </w:t>
      </w:r>
      <w:r w:rsidR="00AD5076" w:rsidRPr="00D36E0A">
        <w:rPr>
          <w:lang w:val="fr-FR"/>
        </w:rPr>
        <w:t xml:space="preserve">7 </w:t>
      </w:r>
      <w:r w:rsidR="00936BA3" w:rsidRPr="00D36E0A">
        <w:rPr>
          <w:lang w:val="fr-FR"/>
        </w:rPr>
        <w:t>du Protocole de Nagoya fait référence</w:t>
      </w:r>
      <w:r w:rsidR="00AD5076" w:rsidRPr="00D36E0A">
        <w:rPr>
          <w:lang w:val="fr-FR"/>
        </w:rPr>
        <w:t xml:space="preserve"> </w:t>
      </w:r>
      <w:r w:rsidR="00936BA3" w:rsidRPr="00D36E0A">
        <w:rPr>
          <w:lang w:val="fr-FR"/>
        </w:rPr>
        <w:t>au</w:t>
      </w:r>
      <w:r w:rsidR="00AD5076" w:rsidRPr="00D36E0A">
        <w:rPr>
          <w:lang w:val="fr-FR"/>
        </w:rPr>
        <w:t xml:space="preserve"> </w:t>
      </w:r>
      <w:r w:rsidR="00936BA3" w:rsidRPr="00D36E0A">
        <w:rPr>
          <w:lang w:val="fr-FR"/>
        </w:rPr>
        <w:t>consentement préalable</w:t>
      </w:r>
      <w:r w:rsidR="001454B1" w:rsidRPr="00D36E0A">
        <w:rPr>
          <w:lang w:val="fr-FR"/>
        </w:rPr>
        <w:t xml:space="preserve"> donné</w:t>
      </w:r>
      <w:r w:rsidR="00936BA3" w:rsidRPr="00D36E0A">
        <w:rPr>
          <w:lang w:val="fr-FR"/>
        </w:rPr>
        <w:t xml:space="preserve"> en connaissance de cause </w:t>
      </w:r>
      <w:r w:rsidR="001454B1" w:rsidRPr="00D36E0A">
        <w:rPr>
          <w:lang w:val="fr-FR"/>
        </w:rPr>
        <w:t>et</w:t>
      </w:r>
      <w:r w:rsidR="00936BA3" w:rsidRPr="00D36E0A">
        <w:rPr>
          <w:lang w:val="fr-FR"/>
        </w:rPr>
        <w:t xml:space="preserve"> à </w:t>
      </w:r>
      <w:r w:rsidR="001454B1" w:rsidRPr="00D36E0A">
        <w:rPr>
          <w:lang w:val="fr-FR"/>
        </w:rPr>
        <w:t>l</w:t>
      </w:r>
      <w:r w:rsidR="00A27507" w:rsidRPr="00D36E0A">
        <w:rPr>
          <w:lang w:val="fr-FR"/>
        </w:rPr>
        <w:t>’</w:t>
      </w:r>
      <w:r w:rsidR="001454B1" w:rsidRPr="00D36E0A">
        <w:rPr>
          <w:lang w:val="fr-FR"/>
        </w:rPr>
        <w:t>accord</w:t>
      </w:r>
      <w:r w:rsidR="00936BA3" w:rsidRPr="00D36E0A">
        <w:rPr>
          <w:lang w:val="fr-FR"/>
        </w:rPr>
        <w:t xml:space="preserve"> et</w:t>
      </w:r>
      <w:r w:rsidR="001454B1" w:rsidRPr="00D36E0A">
        <w:rPr>
          <w:lang w:val="fr-FR"/>
        </w:rPr>
        <w:t xml:space="preserve"> à</w:t>
      </w:r>
      <w:r w:rsidR="00936BA3" w:rsidRPr="00D36E0A">
        <w:rPr>
          <w:lang w:val="fr-FR"/>
        </w:rPr>
        <w:t xml:space="preserve"> la participation des</w:t>
      </w:r>
      <w:r w:rsidR="00AD5076" w:rsidRPr="00D36E0A">
        <w:rPr>
          <w:lang w:val="fr-FR"/>
        </w:rPr>
        <w:t xml:space="preserve"> </w:t>
      </w:r>
      <w:r w:rsidR="00936BA3" w:rsidRPr="00D36E0A">
        <w:rPr>
          <w:lang w:val="fr-FR"/>
        </w:rPr>
        <w:t>communautés autochtones et locales</w:t>
      </w:r>
      <w:r w:rsidR="00BD142E" w:rsidRPr="00D36E0A">
        <w:rPr>
          <w:lang w:val="fr-FR"/>
        </w:rPr>
        <w:t>,</w:t>
      </w:r>
      <w:r w:rsidR="00936BA3" w:rsidRPr="00D36E0A">
        <w:rPr>
          <w:lang w:val="fr-FR"/>
        </w:rPr>
        <w:t xml:space="preserve"> conformément à la législation </w:t>
      </w:r>
      <w:r w:rsidR="00AD5076" w:rsidRPr="00D36E0A">
        <w:rPr>
          <w:lang w:val="fr-FR"/>
        </w:rPr>
        <w:t>nationa</w:t>
      </w:r>
      <w:r w:rsidR="00511F1C" w:rsidRPr="00D36E0A">
        <w:rPr>
          <w:lang w:val="fr-FR"/>
        </w:rPr>
        <w:t>le.  Né</w:t>
      </w:r>
      <w:r w:rsidR="00936BA3" w:rsidRPr="00D36E0A">
        <w:rPr>
          <w:lang w:val="fr-FR"/>
        </w:rPr>
        <w:t>anmoins</w:t>
      </w:r>
      <w:r w:rsidR="00AD5076" w:rsidRPr="00D36E0A">
        <w:rPr>
          <w:lang w:val="fr-FR"/>
        </w:rPr>
        <w:t xml:space="preserve">, </w:t>
      </w:r>
      <w:r w:rsidR="00936BA3" w:rsidRPr="00D36E0A">
        <w:rPr>
          <w:lang w:val="fr-FR"/>
        </w:rPr>
        <w:t>les</w:t>
      </w:r>
      <w:r w:rsidR="00AD5076" w:rsidRPr="00D36E0A">
        <w:rPr>
          <w:lang w:val="fr-FR"/>
        </w:rPr>
        <w:t xml:space="preserve"> situations</w:t>
      </w:r>
      <w:r w:rsidR="00936BA3" w:rsidRPr="00D36E0A">
        <w:rPr>
          <w:lang w:val="fr-FR"/>
        </w:rPr>
        <w:t xml:space="preserve"> juridiques</w:t>
      </w:r>
      <w:r w:rsidR="00AD5076" w:rsidRPr="00D36E0A">
        <w:rPr>
          <w:lang w:val="fr-FR"/>
        </w:rPr>
        <w:t xml:space="preserve">, </w:t>
      </w:r>
      <w:r w:rsidR="00936BA3" w:rsidRPr="00D36E0A">
        <w:rPr>
          <w:lang w:val="fr-FR"/>
        </w:rPr>
        <w:t>les pratiques coutumières et l</w:t>
      </w:r>
      <w:r w:rsidR="00BD142E" w:rsidRPr="00D36E0A">
        <w:rPr>
          <w:lang w:val="fr-FR"/>
        </w:rPr>
        <w:t xml:space="preserve">es </w:t>
      </w:r>
      <w:r w:rsidR="00AD5076" w:rsidRPr="00D36E0A">
        <w:rPr>
          <w:lang w:val="fr-FR"/>
        </w:rPr>
        <w:t>approches</w:t>
      </w:r>
      <w:r w:rsidR="00BD142E" w:rsidRPr="00D36E0A">
        <w:rPr>
          <w:lang w:val="fr-FR"/>
        </w:rPr>
        <w:t xml:space="preserve"> suivies pour</w:t>
      </w:r>
      <w:r w:rsidR="00AD5076" w:rsidRPr="00D36E0A">
        <w:rPr>
          <w:lang w:val="fr-FR"/>
        </w:rPr>
        <w:t xml:space="preserve"> </w:t>
      </w:r>
      <w:r w:rsidR="00BD142E" w:rsidRPr="00D36E0A">
        <w:rPr>
          <w:lang w:val="fr-FR"/>
        </w:rPr>
        <w:t>protéger l</w:t>
      </w:r>
      <w:r w:rsidR="00936BA3" w:rsidRPr="00D36E0A">
        <w:rPr>
          <w:lang w:val="fr-FR"/>
        </w:rPr>
        <w:t>es</w:t>
      </w:r>
      <w:r w:rsidR="00AD5076" w:rsidRPr="00D36E0A">
        <w:rPr>
          <w:lang w:val="fr-FR"/>
        </w:rPr>
        <w:t xml:space="preserve"> </w:t>
      </w:r>
      <w:r w:rsidR="00936BA3" w:rsidRPr="00D36E0A">
        <w:rPr>
          <w:lang w:val="fr-FR"/>
        </w:rPr>
        <w:t xml:space="preserve">savoirs traditionnels varient </w:t>
      </w:r>
      <w:r w:rsidR="00AD5076" w:rsidRPr="00D36E0A">
        <w:rPr>
          <w:lang w:val="fr-FR"/>
        </w:rPr>
        <w:t>consid</w:t>
      </w:r>
      <w:r w:rsidR="00936BA3" w:rsidRPr="00D36E0A">
        <w:rPr>
          <w:lang w:val="fr-FR"/>
        </w:rPr>
        <w:t>é</w:t>
      </w:r>
      <w:r w:rsidR="00AD5076" w:rsidRPr="00D36E0A">
        <w:rPr>
          <w:lang w:val="fr-FR"/>
        </w:rPr>
        <w:t>rabl</w:t>
      </w:r>
      <w:r w:rsidR="00936BA3" w:rsidRPr="00D36E0A">
        <w:rPr>
          <w:lang w:val="fr-FR"/>
        </w:rPr>
        <w:t xml:space="preserve">ement entre les peuples autochtones et entre les </w:t>
      </w:r>
      <w:r w:rsidR="00AD5076" w:rsidRPr="00D36E0A">
        <w:rPr>
          <w:lang w:val="fr-FR"/>
        </w:rPr>
        <w:t>diff</w:t>
      </w:r>
      <w:r w:rsidR="00936BA3" w:rsidRPr="00D36E0A">
        <w:rPr>
          <w:lang w:val="fr-FR"/>
        </w:rPr>
        <w:t>é</w:t>
      </w:r>
      <w:r w:rsidR="00AD5076" w:rsidRPr="00D36E0A">
        <w:rPr>
          <w:lang w:val="fr-FR"/>
        </w:rPr>
        <w:t>rent</w:t>
      </w:r>
      <w:r w:rsidR="00BD142E" w:rsidRPr="00D36E0A">
        <w:rPr>
          <w:lang w:val="fr-FR"/>
        </w:rPr>
        <w:t>s</w:t>
      </w:r>
      <w:r w:rsidR="00AD5076" w:rsidRPr="00D36E0A">
        <w:rPr>
          <w:lang w:val="fr-FR"/>
        </w:rPr>
        <w:t xml:space="preserve"> </w:t>
      </w:r>
      <w:r w:rsidR="00936BA3" w:rsidRPr="00D36E0A">
        <w:rPr>
          <w:lang w:val="fr-FR"/>
        </w:rPr>
        <w:t>pays</w:t>
      </w:r>
      <w:r w:rsidR="00AD5076" w:rsidRPr="00D36E0A">
        <w:rPr>
          <w:lang w:val="fr-FR"/>
        </w:rPr>
        <w:t>.</w:t>
      </w:r>
      <w:bookmarkEnd w:id="114"/>
      <w:bookmarkEnd w:id="115"/>
      <w:bookmarkEnd w:id="116"/>
      <w:bookmarkEnd w:id="117"/>
      <w:bookmarkEnd w:id="118"/>
    </w:p>
    <w:p w:rsidR="00AD5076" w:rsidRPr="00D36E0A" w:rsidRDefault="000876D1" w:rsidP="00D36E0A">
      <w:pPr>
        <w:pStyle w:val="ONUMFS"/>
        <w:rPr>
          <w:lang w:val="fr-FR"/>
        </w:rPr>
      </w:pPr>
      <w:bookmarkStart w:id="119" w:name="_Toc461721045"/>
      <w:bookmarkStart w:id="120" w:name="_Toc457391451"/>
      <w:bookmarkStart w:id="121" w:name="_Toc457394793"/>
      <w:bookmarkStart w:id="122" w:name="_Toc457988578"/>
      <w:bookmarkStart w:id="123" w:name="_Toc457989461"/>
      <w:r w:rsidRPr="00D36E0A">
        <w:rPr>
          <w:lang w:val="fr-FR"/>
        </w:rPr>
        <w:t>Compte tenu des circonstances juridiques et de fait</w:t>
      </w:r>
      <w:r w:rsidR="00AD5076" w:rsidRPr="00D36E0A">
        <w:rPr>
          <w:lang w:val="fr-FR"/>
        </w:rPr>
        <w:t xml:space="preserve"> </w:t>
      </w:r>
      <w:r w:rsidRPr="00D36E0A">
        <w:rPr>
          <w:lang w:val="fr-FR"/>
        </w:rPr>
        <w:t>indiquées ci</w:t>
      </w:r>
      <w:r w:rsidR="00511F1C" w:rsidRPr="00D36E0A">
        <w:rPr>
          <w:lang w:val="fr-FR"/>
        </w:rPr>
        <w:noBreakHyphen/>
      </w:r>
      <w:r w:rsidRPr="00D36E0A">
        <w:rPr>
          <w:lang w:val="fr-FR"/>
        </w:rPr>
        <w:t>dessus</w:t>
      </w:r>
      <w:r w:rsidR="00AD5076" w:rsidRPr="00D36E0A">
        <w:rPr>
          <w:lang w:val="fr-FR"/>
        </w:rPr>
        <w:t>, i</w:t>
      </w:r>
      <w:r w:rsidRPr="00D36E0A">
        <w:rPr>
          <w:lang w:val="fr-FR"/>
        </w:rPr>
        <w:t>l est é</w:t>
      </w:r>
      <w:r w:rsidR="00AD5076" w:rsidRPr="00D36E0A">
        <w:rPr>
          <w:lang w:val="fr-FR"/>
        </w:rPr>
        <w:t xml:space="preserve">vident </w:t>
      </w:r>
      <w:r w:rsidRPr="00D36E0A">
        <w:rPr>
          <w:lang w:val="fr-FR"/>
        </w:rPr>
        <w:t>qu</w:t>
      </w:r>
      <w:r w:rsidR="00A27507" w:rsidRPr="00D36E0A">
        <w:rPr>
          <w:lang w:val="fr-FR"/>
        </w:rPr>
        <w:t>’</w:t>
      </w:r>
      <w:r w:rsidRPr="00D36E0A">
        <w:rPr>
          <w:lang w:val="fr-FR"/>
        </w:rPr>
        <w:t>il n</w:t>
      </w:r>
      <w:r w:rsidR="00A27507" w:rsidRPr="00D36E0A">
        <w:rPr>
          <w:lang w:val="fr-FR"/>
        </w:rPr>
        <w:t>’</w:t>
      </w:r>
      <w:r w:rsidRPr="00D36E0A">
        <w:rPr>
          <w:lang w:val="fr-FR"/>
        </w:rPr>
        <w:t>est pas toujours</w:t>
      </w:r>
      <w:r w:rsidR="00AD5076" w:rsidRPr="00D36E0A">
        <w:rPr>
          <w:lang w:val="fr-FR"/>
        </w:rPr>
        <w:t xml:space="preserve"> </w:t>
      </w:r>
      <w:r w:rsidRPr="00D36E0A">
        <w:rPr>
          <w:lang w:val="fr-FR"/>
        </w:rPr>
        <w:t>poss</w:t>
      </w:r>
      <w:r w:rsidR="00AD5076" w:rsidRPr="00D36E0A">
        <w:rPr>
          <w:lang w:val="fr-FR"/>
        </w:rPr>
        <w:t xml:space="preserve">ible </w:t>
      </w:r>
      <w:r w:rsidRPr="00D36E0A">
        <w:rPr>
          <w:lang w:val="fr-FR"/>
        </w:rPr>
        <w:t>de divulguer des</w:t>
      </w:r>
      <w:r w:rsidR="00AD5076" w:rsidRPr="00D36E0A">
        <w:rPr>
          <w:lang w:val="fr-FR"/>
        </w:rPr>
        <w:t xml:space="preserve"> information</w:t>
      </w:r>
      <w:r w:rsidRPr="00D36E0A">
        <w:rPr>
          <w:lang w:val="fr-FR"/>
        </w:rPr>
        <w:t>s</w:t>
      </w:r>
      <w:r w:rsidR="00AD5076" w:rsidRPr="00D36E0A">
        <w:rPr>
          <w:lang w:val="fr-FR"/>
        </w:rPr>
        <w:t xml:space="preserve"> </w:t>
      </w:r>
      <w:r w:rsidRPr="00D36E0A">
        <w:rPr>
          <w:lang w:val="fr-FR"/>
        </w:rPr>
        <w:t>sur le</w:t>
      </w:r>
      <w:r w:rsidR="00AD5076" w:rsidRPr="00D36E0A">
        <w:rPr>
          <w:lang w:val="fr-FR"/>
        </w:rPr>
        <w:t xml:space="preserve"> “</w:t>
      </w:r>
      <w:r w:rsidRPr="00D36E0A">
        <w:rPr>
          <w:lang w:val="fr-FR"/>
        </w:rPr>
        <w:t>pays d</w:t>
      </w:r>
      <w:r w:rsidR="00A27507" w:rsidRPr="00D36E0A">
        <w:rPr>
          <w:lang w:val="fr-FR"/>
        </w:rPr>
        <w:t>’</w:t>
      </w:r>
      <w:r w:rsidR="00AD5076" w:rsidRPr="00D36E0A">
        <w:rPr>
          <w:lang w:val="fr-FR"/>
        </w:rPr>
        <w:t>origin</w:t>
      </w:r>
      <w:r w:rsidRPr="00D36E0A">
        <w:rPr>
          <w:lang w:val="fr-FR"/>
        </w:rPr>
        <w:t>e des</w:t>
      </w:r>
      <w:r w:rsidR="00AD5076" w:rsidRPr="00D36E0A">
        <w:rPr>
          <w:lang w:val="fr-FR"/>
        </w:rPr>
        <w:t xml:space="preserve"> </w:t>
      </w:r>
      <w:r w:rsidRPr="00D36E0A">
        <w:rPr>
          <w:lang w:val="fr-FR"/>
        </w:rPr>
        <w:t>ressources génétiques</w:t>
      </w:r>
      <w:r w:rsidR="00AD5076" w:rsidRPr="00D36E0A">
        <w:rPr>
          <w:lang w:val="fr-FR"/>
        </w:rPr>
        <w:t>”</w:t>
      </w:r>
      <w:r w:rsidR="00BD142E" w:rsidRPr="00D36E0A">
        <w:rPr>
          <w:lang w:val="fr-FR"/>
        </w:rPr>
        <w:t>,</w:t>
      </w:r>
      <w:r w:rsidR="00AD5076" w:rsidRPr="00D36E0A">
        <w:rPr>
          <w:lang w:val="fr-FR"/>
        </w:rPr>
        <w:t xml:space="preserve"> </w:t>
      </w:r>
      <w:r w:rsidRPr="00D36E0A">
        <w:rPr>
          <w:lang w:val="fr-FR"/>
        </w:rPr>
        <w:t>le</w:t>
      </w:r>
      <w:r w:rsidR="00AD5076" w:rsidRPr="00D36E0A">
        <w:rPr>
          <w:lang w:val="fr-FR"/>
        </w:rPr>
        <w:t xml:space="preserve"> “</w:t>
      </w:r>
      <w:r w:rsidRPr="00D36E0A">
        <w:rPr>
          <w:lang w:val="fr-FR"/>
        </w:rPr>
        <w:t>pays fournisseur de ressources génétiques</w:t>
      </w:r>
      <w:r w:rsidR="00AD5076" w:rsidRPr="00D36E0A">
        <w:rPr>
          <w:lang w:val="fr-FR"/>
        </w:rPr>
        <w:t>” o</w:t>
      </w:r>
      <w:r w:rsidRPr="00D36E0A">
        <w:rPr>
          <w:lang w:val="fr-FR"/>
        </w:rPr>
        <w:t>u</w:t>
      </w:r>
      <w:r w:rsidR="00AD5076" w:rsidRPr="00D36E0A">
        <w:rPr>
          <w:lang w:val="fr-FR"/>
        </w:rPr>
        <w:t xml:space="preserve"> </w:t>
      </w:r>
      <w:r w:rsidRPr="00D36E0A">
        <w:rPr>
          <w:lang w:val="fr-FR"/>
        </w:rPr>
        <w:t>l</w:t>
      </w:r>
      <w:r w:rsidR="00A27507" w:rsidRPr="00D36E0A">
        <w:rPr>
          <w:lang w:val="fr-FR"/>
        </w:rPr>
        <w:t>’</w:t>
      </w:r>
      <w:r w:rsidRPr="00D36E0A">
        <w:rPr>
          <w:lang w:val="fr-FR"/>
        </w:rPr>
        <w:t>é</w:t>
      </w:r>
      <w:r w:rsidR="00AD5076" w:rsidRPr="00D36E0A">
        <w:rPr>
          <w:lang w:val="fr-FR"/>
        </w:rPr>
        <w:t>tablis</w:t>
      </w:r>
      <w:r w:rsidRPr="00D36E0A">
        <w:rPr>
          <w:lang w:val="fr-FR"/>
        </w:rPr>
        <w:t>se</w:t>
      </w:r>
      <w:r w:rsidR="00AD5076" w:rsidRPr="00D36E0A">
        <w:rPr>
          <w:lang w:val="fr-FR"/>
        </w:rPr>
        <w:t xml:space="preserve">ment </w:t>
      </w:r>
      <w:r w:rsidRPr="00D36E0A">
        <w:rPr>
          <w:lang w:val="fr-FR"/>
        </w:rPr>
        <w:t>du “consentement préalable en connaissance de cause” et des “conditions convenues d</w:t>
      </w:r>
      <w:r w:rsidR="00A27507" w:rsidRPr="00D36E0A">
        <w:rPr>
          <w:lang w:val="fr-FR"/>
        </w:rPr>
        <w:t>’</w:t>
      </w:r>
      <w:r w:rsidRPr="00D36E0A">
        <w:rPr>
          <w:lang w:val="fr-FR"/>
        </w:rPr>
        <w:t xml:space="preserve">un commun accord”. </w:t>
      </w:r>
      <w:r w:rsidR="00AD5076" w:rsidRPr="00D36E0A">
        <w:rPr>
          <w:lang w:val="fr-FR"/>
        </w:rPr>
        <w:t xml:space="preserve"> </w:t>
      </w:r>
      <w:r w:rsidRPr="00D36E0A">
        <w:rPr>
          <w:lang w:val="fr-FR"/>
        </w:rPr>
        <w:t>Une approche plus souple et exhaustive est donc nécessaire</w:t>
      </w:r>
      <w:r w:rsidR="00AD5076" w:rsidRPr="00D36E0A">
        <w:rPr>
          <w:lang w:val="fr-FR"/>
        </w:rPr>
        <w:t>.</w:t>
      </w:r>
      <w:bookmarkEnd w:id="119"/>
    </w:p>
    <w:p w:rsidR="00AD5076" w:rsidRPr="00D36E0A" w:rsidRDefault="000876D1" w:rsidP="00D36E0A">
      <w:pPr>
        <w:pStyle w:val="ONUMFS"/>
        <w:rPr>
          <w:lang w:val="fr-FR"/>
        </w:rPr>
      </w:pPr>
      <w:bookmarkStart w:id="124" w:name="_Toc461721046"/>
      <w:r w:rsidRPr="00D36E0A">
        <w:rPr>
          <w:lang w:val="fr-FR"/>
        </w:rPr>
        <w:t>De l</w:t>
      </w:r>
      <w:r w:rsidR="00A27507" w:rsidRPr="00D36E0A">
        <w:rPr>
          <w:lang w:val="fr-FR"/>
        </w:rPr>
        <w:t>’</w:t>
      </w:r>
      <w:r w:rsidRPr="00D36E0A">
        <w:rPr>
          <w:lang w:val="fr-FR"/>
        </w:rPr>
        <w:t>avis de la Suisse</w:t>
      </w:r>
      <w:r w:rsidR="00AD5076" w:rsidRPr="00D36E0A">
        <w:rPr>
          <w:lang w:val="fr-FR"/>
        </w:rPr>
        <w:t xml:space="preserve">, </w:t>
      </w:r>
      <w:r w:rsidRPr="00D36E0A">
        <w:rPr>
          <w:lang w:val="fr-FR"/>
        </w:rPr>
        <w:t>l</w:t>
      </w:r>
      <w:r w:rsidR="00AD5076" w:rsidRPr="00D36E0A">
        <w:rPr>
          <w:lang w:val="fr-FR"/>
        </w:rPr>
        <w:t xml:space="preserve">e concept </w:t>
      </w:r>
      <w:r w:rsidRPr="00D36E0A">
        <w:rPr>
          <w:lang w:val="fr-FR"/>
        </w:rPr>
        <w:t>de</w:t>
      </w:r>
      <w:r w:rsidR="00AD5076" w:rsidRPr="00D36E0A">
        <w:rPr>
          <w:lang w:val="fr-FR"/>
        </w:rPr>
        <w:t xml:space="preserve"> “source” </w:t>
      </w:r>
      <w:r w:rsidRPr="00D36E0A">
        <w:rPr>
          <w:lang w:val="fr-FR"/>
        </w:rPr>
        <w:t>qui figure dans l</w:t>
      </w:r>
      <w:r w:rsidR="00A27507" w:rsidRPr="00D36E0A">
        <w:rPr>
          <w:lang w:val="fr-FR"/>
        </w:rPr>
        <w:t>’</w:t>
      </w:r>
      <w:r w:rsidRPr="00D36E0A">
        <w:rPr>
          <w:lang w:val="fr-FR"/>
        </w:rPr>
        <w:t>a</w:t>
      </w:r>
      <w:r w:rsidR="00AD5076" w:rsidRPr="00D36E0A">
        <w:rPr>
          <w:lang w:val="fr-FR"/>
        </w:rPr>
        <w:t>rticle</w:t>
      </w:r>
      <w:r w:rsidR="00580A55" w:rsidRPr="00D36E0A">
        <w:rPr>
          <w:lang w:val="fr-FR"/>
        </w:rPr>
        <w:t> </w:t>
      </w:r>
      <w:proofErr w:type="spellStart"/>
      <w:r w:rsidR="00AD5076" w:rsidRPr="00D36E0A">
        <w:rPr>
          <w:lang w:val="fr-FR"/>
        </w:rPr>
        <w:t>49</w:t>
      </w:r>
      <w:r w:rsidR="00AD5076" w:rsidRPr="00D36E0A">
        <w:rPr>
          <w:i/>
          <w:lang w:val="fr-FR"/>
        </w:rPr>
        <w:t>a</w:t>
      </w:r>
      <w:proofErr w:type="spellEnd"/>
      <w:r w:rsidR="00AD5076" w:rsidRPr="00D36E0A">
        <w:rPr>
          <w:lang w:val="fr-FR"/>
        </w:rPr>
        <w:t xml:space="preserve"> </w:t>
      </w:r>
      <w:r w:rsidRPr="00D36E0A">
        <w:rPr>
          <w:lang w:val="fr-FR"/>
        </w:rPr>
        <w:t>de la </w:t>
      </w:r>
      <w:proofErr w:type="spellStart"/>
      <w:r w:rsidRPr="00D36E0A">
        <w:rPr>
          <w:lang w:val="fr-FR"/>
        </w:rPr>
        <w:t>LBI</w:t>
      </w:r>
      <w:proofErr w:type="spellEnd"/>
      <w:r w:rsidRPr="00D36E0A">
        <w:rPr>
          <w:lang w:val="fr-FR"/>
        </w:rPr>
        <w:t xml:space="preserve"> ainsi que dans les</w:t>
      </w:r>
      <w:r w:rsidR="00AD5076" w:rsidRPr="00D36E0A">
        <w:rPr>
          <w:lang w:val="fr-FR"/>
        </w:rPr>
        <w:t xml:space="preserve"> </w:t>
      </w:r>
      <w:r w:rsidRPr="00D36E0A">
        <w:rPr>
          <w:lang w:val="fr-FR"/>
        </w:rPr>
        <w:t>propositions faites</w:t>
      </w:r>
      <w:r w:rsidR="00B259D8" w:rsidRPr="00D36E0A">
        <w:rPr>
          <w:lang w:val="fr-FR"/>
        </w:rPr>
        <w:t xml:space="preserve"> par la Suisse</w:t>
      </w:r>
      <w:r w:rsidRPr="00D36E0A">
        <w:rPr>
          <w:lang w:val="fr-FR"/>
        </w:rPr>
        <w:t xml:space="preserve"> au niveau international</w:t>
      </w:r>
      <w:r w:rsidR="00AD5076" w:rsidRPr="00D36E0A">
        <w:rPr>
          <w:rStyle w:val="FootnoteReference"/>
          <w:szCs w:val="22"/>
          <w:lang w:val="fr-FR"/>
        </w:rPr>
        <w:footnoteReference w:id="8"/>
      </w:r>
      <w:r w:rsidR="00AD5076" w:rsidRPr="00D36E0A">
        <w:rPr>
          <w:lang w:val="fr-FR"/>
        </w:rPr>
        <w:t xml:space="preserve"> </w:t>
      </w:r>
      <w:r w:rsidR="00BD142E" w:rsidRPr="00D36E0A">
        <w:rPr>
          <w:lang w:val="fr-FR"/>
        </w:rPr>
        <w:t>est</w:t>
      </w:r>
      <w:r w:rsidR="00B259D8" w:rsidRPr="00D36E0A">
        <w:rPr>
          <w:lang w:val="fr-FR"/>
        </w:rPr>
        <w:t xml:space="preserve"> un concept </w:t>
      </w:r>
      <w:r w:rsidR="00BD142E" w:rsidRPr="00D36E0A">
        <w:rPr>
          <w:lang w:val="fr-FR"/>
        </w:rPr>
        <w:t xml:space="preserve">qui </w:t>
      </w:r>
      <w:r w:rsidR="00B259D8" w:rsidRPr="00D36E0A">
        <w:rPr>
          <w:lang w:val="fr-FR"/>
        </w:rPr>
        <w:t>permet de tenir compte de ces</w:t>
      </w:r>
      <w:r w:rsidR="00AD5076" w:rsidRPr="00D36E0A">
        <w:rPr>
          <w:lang w:val="fr-FR"/>
        </w:rPr>
        <w:t xml:space="preserve"> </w:t>
      </w:r>
      <w:r w:rsidR="00B259D8" w:rsidRPr="00D36E0A">
        <w:rPr>
          <w:lang w:val="fr-FR"/>
        </w:rPr>
        <w:t>circonstances juridiques et de fait</w:t>
      </w:r>
      <w:r w:rsidR="00AD5076" w:rsidRPr="00D36E0A">
        <w:rPr>
          <w:lang w:val="fr-FR"/>
        </w:rPr>
        <w:t>.</w:t>
      </w:r>
      <w:bookmarkEnd w:id="120"/>
      <w:bookmarkEnd w:id="121"/>
      <w:bookmarkEnd w:id="122"/>
      <w:bookmarkEnd w:id="123"/>
      <w:bookmarkEnd w:id="124"/>
    </w:p>
    <w:p w:rsidR="00AD5076" w:rsidRPr="00D36E0A" w:rsidRDefault="00B259D8" w:rsidP="00D36E0A">
      <w:pPr>
        <w:pStyle w:val="ONUMFS"/>
        <w:rPr>
          <w:lang w:val="fr-FR"/>
        </w:rPr>
      </w:pPr>
      <w:bookmarkStart w:id="125" w:name="_Toc461721047"/>
      <w:bookmarkStart w:id="126" w:name="_Toc457988579"/>
      <w:bookmarkStart w:id="127" w:name="_Toc457989462"/>
      <w:bookmarkStart w:id="128" w:name="_Toc457391452"/>
      <w:bookmarkStart w:id="129" w:name="_Toc457394794"/>
      <w:r w:rsidRPr="00D36E0A">
        <w:rPr>
          <w:lang w:val="fr-FR"/>
        </w:rPr>
        <w:t xml:space="preserve">Selon la </w:t>
      </w:r>
      <w:r w:rsidR="00AD5076" w:rsidRPr="00D36E0A">
        <w:rPr>
          <w:lang w:val="fr-FR"/>
        </w:rPr>
        <w:t>situation</w:t>
      </w:r>
      <w:r w:rsidRPr="00D36E0A">
        <w:rPr>
          <w:lang w:val="fr-FR"/>
        </w:rPr>
        <w:t xml:space="preserve"> concernée</w:t>
      </w:r>
      <w:r w:rsidR="00AD5076" w:rsidRPr="00D36E0A">
        <w:rPr>
          <w:lang w:val="fr-FR"/>
        </w:rPr>
        <w:t xml:space="preserve">, </w:t>
      </w:r>
      <w:r w:rsidRPr="00D36E0A">
        <w:rPr>
          <w:lang w:val="fr-FR"/>
        </w:rPr>
        <w:t>il existe</w:t>
      </w:r>
      <w:r w:rsidR="00AD5076" w:rsidRPr="00D36E0A">
        <w:rPr>
          <w:lang w:val="fr-FR"/>
        </w:rPr>
        <w:t xml:space="preserve"> diff</w:t>
      </w:r>
      <w:r w:rsidRPr="00D36E0A">
        <w:rPr>
          <w:lang w:val="fr-FR"/>
        </w:rPr>
        <w:t>é</w:t>
      </w:r>
      <w:r w:rsidR="00AD5076" w:rsidRPr="00D36E0A">
        <w:rPr>
          <w:lang w:val="fr-FR"/>
        </w:rPr>
        <w:t>rent</w:t>
      </w:r>
      <w:r w:rsidRPr="00D36E0A">
        <w:rPr>
          <w:lang w:val="fr-FR"/>
        </w:rPr>
        <w:t>s</w:t>
      </w:r>
      <w:r w:rsidR="00AD5076" w:rsidRPr="00D36E0A">
        <w:rPr>
          <w:lang w:val="fr-FR"/>
        </w:rPr>
        <w:t xml:space="preserve"> types </w:t>
      </w:r>
      <w:r w:rsidRPr="00D36E0A">
        <w:rPr>
          <w:lang w:val="fr-FR"/>
        </w:rPr>
        <w:t>de</w:t>
      </w:r>
      <w:r w:rsidR="00AD5076" w:rsidRPr="00D36E0A">
        <w:rPr>
          <w:lang w:val="fr-FR"/>
        </w:rPr>
        <w:t xml:space="preserve"> sourc</w:t>
      </w:r>
      <w:r w:rsidR="00511F1C" w:rsidRPr="00D36E0A">
        <w:rPr>
          <w:lang w:val="fr-FR"/>
        </w:rPr>
        <w:t>es.  Se</w:t>
      </w:r>
      <w:r w:rsidRPr="00D36E0A">
        <w:rPr>
          <w:lang w:val="fr-FR"/>
        </w:rPr>
        <w:t>lon l</w:t>
      </w:r>
      <w:r w:rsidR="00A27507" w:rsidRPr="00D36E0A">
        <w:rPr>
          <w:lang w:val="fr-FR"/>
        </w:rPr>
        <w:t>’</w:t>
      </w:r>
      <w:r w:rsidR="00AD5076" w:rsidRPr="00D36E0A">
        <w:rPr>
          <w:lang w:val="fr-FR"/>
        </w:rPr>
        <w:t>approch</w:t>
      </w:r>
      <w:r w:rsidRPr="00D36E0A">
        <w:rPr>
          <w:lang w:val="fr-FR"/>
        </w:rPr>
        <w:t>e suisse</w:t>
      </w:r>
      <w:r w:rsidR="00AD5076" w:rsidRPr="00D36E0A">
        <w:rPr>
          <w:lang w:val="fr-FR"/>
        </w:rPr>
        <w:t xml:space="preserve">, </w:t>
      </w:r>
      <w:r w:rsidRPr="00D36E0A">
        <w:rPr>
          <w:lang w:val="fr-FR"/>
        </w:rPr>
        <w:t xml:space="preserve">on distingue les </w:t>
      </w:r>
      <w:r w:rsidR="00AD5076" w:rsidRPr="00D36E0A">
        <w:rPr>
          <w:lang w:val="fr-FR"/>
        </w:rPr>
        <w:t>sources</w:t>
      </w:r>
      <w:r w:rsidRPr="00D36E0A">
        <w:rPr>
          <w:lang w:val="fr-FR"/>
        </w:rPr>
        <w:t xml:space="preserve"> primaires et secondair</w:t>
      </w:r>
      <w:r w:rsidR="00511F1C" w:rsidRPr="00D36E0A">
        <w:rPr>
          <w:lang w:val="fr-FR"/>
        </w:rPr>
        <w:t>es.  Le</w:t>
      </w:r>
      <w:r w:rsidRPr="00D36E0A">
        <w:rPr>
          <w:lang w:val="fr-FR"/>
        </w:rPr>
        <w:t>s déposants de demandes de brevet doivent</w:t>
      </w:r>
      <w:r w:rsidR="00AD5076" w:rsidRPr="00D36E0A">
        <w:rPr>
          <w:lang w:val="fr-FR"/>
        </w:rPr>
        <w:t xml:space="preserve"> d</w:t>
      </w:r>
      <w:r w:rsidRPr="00D36E0A">
        <w:rPr>
          <w:lang w:val="fr-FR"/>
        </w:rPr>
        <w:t>é</w:t>
      </w:r>
      <w:r w:rsidR="00AD5076" w:rsidRPr="00D36E0A">
        <w:rPr>
          <w:lang w:val="fr-FR"/>
        </w:rPr>
        <w:t>clare</w:t>
      </w:r>
      <w:r w:rsidRPr="00D36E0A">
        <w:rPr>
          <w:lang w:val="fr-FR"/>
        </w:rPr>
        <w:t>r</w:t>
      </w:r>
      <w:r w:rsidR="00AD5076" w:rsidRPr="00D36E0A">
        <w:rPr>
          <w:lang w:val="fr-FR"/>
        </w:rPr>
        <w:t xml:space="preserve"> </w:t>
      </w:r>
      <w:r w:rsidRPr="00D36E0A">
        <w:rPr>
          <w:lang w:val="fr-FR"/>
        </w:rPr>
        <w:t>la source primai</w:t>
      </w:r>
      <w:r w:rsidR="00511F1C" w:rsidRPr="00D36E0A">
        <w:rPr>
          <w:lang w:val="fr-FR"/>
        </w:rPr>
        <w:t>re.  Ce</w:t>
      </w:r>
      <w:r w:rsidRPr="00D36E0A">
        <w:rPr>
          <w:lang w:val="fr-FR"/>
        </w:rPr>
        <w:t>pendant</w:t>
      </w:r>
      <w:r w:rsidR="00AD5076" w:rsidRPr="00D36E0A">
        <w:rPr>
          <w:lang w:val="fr-FR"/>
        </w:rPr>
        <w:t xml:space="preserve">, </w:t>
      </w:r>
      <w:r w:rsidRPr="00D36E0A">
        <w:rPr>
          <w:lang w:val="fr-FR"/>
        </w:rPr>
        <w:t>si la</w:t>
      </w:r>
      <w:r w:rsidR="00AD5076" w:rsidRPr="00D36E0A">
        <w:rPr>
          <w:lang w:val="fr-FR"/>
        </w:rPr>
        <w:t xml:space="preserve"> source </w:t>
      </w:r>
      <w:r w:rsidRPr="00D36E0A">
        <w:rPr>
          <w:lang w:val="fr-FR"/>
        </w:rPr>
        <w:t>primaire n</w:t>
      </w:r>
      <w:r w:rsidR="00A27507" w:rsidRPr="00D36E0A">
        <w:rPr>
          <w:lang w:val="fr-FR"/>
        </w:rPr>
        <w:t>’</w:t>
      </w:r>
      <w:r w:rsidRPr="00D36E0A">
        <w:rPr>
          <w:lang w:val="fr-FR"/>
        </w:rPr>
        <w:t>est pas connue du</w:t>
      </w:r>
      <w:r w:rsidR="00AD5076" w:rsidRPr="00D36E0A">
        <w:rPr>
          <w:lang w:val="fr-FR"/>
        </w:rPr>
        <w:t xml:space="preserve"> </w:t>
      </w:r>
      <w:r w:rsidRPr="00D36E0A">
        <w:rPr>
          <w:lang w:val="fr-FR"/>
        </w:rPr>
        <w:t>déposant</w:t>
      </w:r>
      <w:r w:rsidR="00AD5076" w:rsidRPr="00D36E0A">
        <w:rPr>
          <w:lang w:val="fr-FR"/>
        </w:rPr>
        <w:t xml:space="preserve">, </w:t>
      </w:r>
      <w:r w:rsidRPr="00D36E0A">
        <w:rPr>
          <w:lang w:val="fr-FR"/>
        </w:rPr>
        <w:t>la</w:t>
      </w:r>
      <w:r w:rsidR="00AD5076" w:rsidRPr="00D36E0A">
        <w:rPr>
          <w:lang w:val="fr-FR"/>
        </w:rPr>
        <w:t xml:space="preserve"> source </w:t>
      </w:r>
      <w:r w:rsidRPr="00D36E0A">
        <w:rPr>
          <w:lang w:val="fr-FR"/>
        </w:rPr>
        <w:t xml:space="preserve">secondaire doit être </w:t>
      </w:r>
      <w:r w:rsidR="00AD5076" w:rsidRPr="00D36E0A">
        <w:rPr>
          <w:lang w:val="fr-FR"/>
        </w:rPr>
        <w:t>d</w:t>
      </w:r>
      <w:r w:rsidRPr="00D36E0A">
        <w:rPr>
          <w:lang w:val="fr-FR"/>
        </w:rPr>
        <w:t>é</w:t>
      </w:r>
      <w:r w:rsidR="00AD5076" w:rsidRPr="00D36E0A">
        <w:rPr>
          <w:lang w:val="fr-FR"/>
        </w:rPr>
        <w:t>clar</w:t>
      </w:r>
      <w:r w:rsidRPr="00D36E0A">
        <w:rPr>
          <w:lang w:val="fr-FR"/>
        </w:rPr>
        <w:t>ée</w:t>
      </w:r>
      <w:r w:rsidR="00AD5076" w:rsidRPr="00D36E0A">
        <w:rPr>
          <w:lang w:val="fr-FR"/>
        </w:rPr>
        <w:t>.</w:t>
      </w:r>
      <w:bookmarkEnd w:id="125"/>
    </w:p>
    <w:p w:rsidR="00AD5076" w:rsidRPr="00D36E0A" w:rsidRDefault="00B259D8" w:rsidP="00D36E0A">
      <w:pPr>
        <w:pStyle w:val="ONUMFS"/>
        <w:rPr>
          <w:lang w:val="fr-FR"/>
        </w:rPr>
      </w:pPr>
      <w:bookmarkStart w:id="130" w:name="_Toc461721048"/>
      <w:r w:rsidRPr="00D36E0A">
        <w:rPr>
          <w:lang w:val="fr-FR"/>
        </w:rPr>
        <w:t>Selon les disposit</w:t>
      </w:r>
      <w:r w:rsidR="00AD5076" w:rsidRPr="00D36E0A">
        <w:rPr>
          <w:lang w:val="fr-FR"/>
        </w:rPr>
        <w:t xml:space="preserve">ions </w:t>
      </w:r>
      <w:r w:rsidRPr="00D36E0A">
        <w:rPr>
          <w:lang w:val="fr-FR"/>
        </w:rPr>
        <w:t>des</w:t>
      </w:r>
      <w:r w:rsidR="00AD5076" w:rsidRPr="00D36E0A">
        <w:rPr>
          <w:lang w:val="fr-FR"/>
        </w:rPr>
        <w:t xml:space="preserve"> instruments</w:t>
      </w:r>
      <w:r w:rsidRPr="00D36E0A">
        <w:rPr>
          <w:lang w:val="fr-FR"/>
        </w:rPr>
        <w:t xml:space="preserve"> internationaux pertinents en matière d</w:t>
      </w:r>
      <w:r w:rsidR="00A27507" w:rsidRPr="00D36E0A">
        <w:rPr>
          <w:lang w:val="fr-FR"/>
        </w:rPr>
        <w:t>’</w:t>
      </w:r>
      <w:r w:rsidRPr="00D36E0A">
        <w:rPr>
          <w:lang w:val="fr-FR"/>
        </w:rPr>
        <w:t>accès et de partage des avantages, on peut distinguer les</w:t>
      </w:r>
      <w:r w:rsidR="00AD5076" w:rsidRPr="00D36E0A">
        <w:rPr>
          <w:lang w:val="fr-FR"/>
        </w:rPr>
        <w:t xml:space="preserve"> </w:t>
      </w:r>
      <w:r w:rsidRPr="00D36E0A">
        <w:rPr>
          <w:lang w:val="fr-FR"/>
        </w:rPr>
        <w:t>sources primaires suivantes </w:t>
      </w:r>
      <w:r w:rsidR="00AD5076" w:rsidRPr="00D36E0A">
        <w:rPr>
          <w:lang w:val="fr-FR"/>
        </w:rPr>
        <w:t>:</w:t>
      </w:r>
      <w:bookmarkEnd w:id="130"/>
    </w:p>
    <w:p w:rsidR="00AD5076" w:rsidRPr="00D36E0A" w:rsidRDefault="00BD142E" w:rsidP="00D36E0A">
      <w:pPr>
        <w:pStyle w:val="ONUMFS"/>
        <w:numPr>
          <w:ilvl w:val="0"/>
          <w:numId w:val="33"/>
        </w:numPr>
        <w:ind w:left="567" w:hanging="567"/>
        <w:rPr>
          <w:lang w:val="fr-FR"/>
        </w:rPr>
      </w:pPr>
      <w:bookmarkStart w:id="131" w:name="_Toc461721049"/>
      <w:r w:rsidRPr="00D36E0A">
        <w:rPr>
          <w:lang w:val="fr-FR"/>
        </w:rPr>
        <w:t>s</w:t>
      </w:r>
      <w:r w:rsidR="00B259D8" w:rsidRPr="00D36E0A">
        <w:rPr>
          <w:lang w:val="fr-FR"/>
        </w:rPr>
        <w:t>elon la CDB et le Protocole de Nagoya</w:t>
      </w:r>
      <w:r w:rsidR="00AD5076" w:rsidRPr="00D36E0A">
        <w:rPr>
          <w:lang w:val="fr-FR"/>
        </w:rPr>
        <w:t xml:space="preserve">, </w:t>
      </w:r>
      <w:r w:rsidR="00B259D8" w:rsidRPr="00D36E0A">
        <w:rPr>
          <w:lang w:val="fr-FR"/>
        </w:rPr>
        <w:t>les sources primaires comprennent </w:t>
      </w:r>
      <w:r w:rsidR="00AD5076" w:rsidRPr="00D36E0A">
        <w:rPr>
          <w:lang w:val="fr-FR"/>
        </w:rPr>
        <w:t xml:space="preserve">: 1) </w:t>
      </w:r>
      <w:r w:rsidR="00B259D8" w:rsidRPr="00D36E0A">
        <w:rPr>
          <w:lang w:val="fr-FR"/>
        </w:rPr>
        <w:t>le</w:t>
      </w:r>
      <w:r w:rsidR="00AD5076" w:rsidRPr="00D36E0A">
        <w:rPr>
          <w:lang w:val="fr-FR"/>
        </w:rPr>
        <w:t xml:space="preserve"> “</w:t>
      </w:r>
      <w:r w:rsidR="00B259D8" w:rsidRPr="00D36E0A">
        <w:rPr>
          <w:lang w:val="fr-FR"/>
        </w:rPr>
        <w:t>pays fournisseur de</w:t>
      </w:r>
      <w:r w:rsidR="00AD5076" w:rsidRPr="00D36E0A">
        <w:rPr>
          <w:lang w:val="fr-FR"/>
        </w:rPr>
        <w:t xml:space="preserve"> </w:t>
      </w:r>
      <w:r w:rsidR="00B259D8" w:rsidRPr="00D36E0A">
        <w:rPr>
          <w:lang w:val="fr-FR"/>
        </w:rPr>
        <w:t>ressources génétiques</w:t>
      </w:r>
      <w:r w:rsidR="00AD5076" w:rsidRPr="00D36E0A">
        <w:rPr>
          <w:lang w:val="fr-FR"/>
        </w:rPr>
        <w:t>”</w:t>
      </w:r>
      <w:r w:rsidR="00092C98" w:rsidRPr="00D36E0A">
        <w:rPr>
          <w:lang w:val="fr-FR"/>
        </w:rPr>
        <w:t xml:space="preserve">; </w:t>
      </w:r>
      <w:r w:rsidR="00AD5076" w:rsidRPr="00D36E0A">
        <w:rPr>
          <w:lang w:val="fr-FR"/>
        </w:rPr>
        <w:t xml:space="preserve"> 2) </w:t>
      </w:r>
      <w:r w:rsidR="00092C98" w:rsidRPr="00D36E0A">
        <w:rPr>
          <w:lang w:val="fr-FR"/>
        </w:rPr>
        <w:t>le</w:t>
      </w:r>
      <w:r w:rsidR="00AD5076" w:rsidRPr="00D36E0A">
        <w:rPr>
          <w:lang w:val="fr-FR"/>
        </w:rPr>
        <w:t xml:space="preserve"> “</w:t>
      </w:r>
      <w:r w:rsidR="00092C98" w:rsidRPr="00D36E0A">
        <w:rPr>
          <w:lang w:val="fr-FR"/>
        </w:rPr>
        <w:t>pays d</w:t>
      </w:r>
      <w:r w:rsidR="00A27507" w:rsidRPr="00D36E0A">
        <w:rPr>
          <w:lang w:val="fr-FR"/>
        </w:rPr>
        <w:t>’</w:t>
      </w:r>
      <w:r w:rsidR="00AD5076" w:rsidRPr="00D36E0A">
        <w:rPr>
          <w:lang w:val="fr-FR"/>
        </w:rPr>
        <w:t>origin</w:t>
      </w:r>
      <w:r w:rsidR="00092C98" w:rsidRPr="00D36E0A">
        <w:rPr>
          <w:lang w:val="fr-FR"/>
        </w:rPr>
        <w:t>e</w:t>
      </w:r>
      <w:r w:rsidR="00AD5076" w:rsidRPr="00D36E0A">
        <w:rPr>
          <w:lang w:val="fr-FR"/>
        </w:rPr>
        <w:t xml:space="preserve"> </w:t>
      </w:r>
      <w:r w:rsidR="00092C98" w:rsidRPr="00D36E0A">
        <w:rPr>
          <w:lang w:val="fr-FR"/>
        </w:rPr>
        <w:t>des ressources génétiques”;  et </w:t>
      </w:r>
      <w:r w:rsidR="00AD5076" w:rsidRPr="00D36E0A">
        <w:rPr>
          <w:lang w:val="fr-FR"/>
        </w:rPr>
        <w:t xml:space="preserve">3) </w:t>
      </w:r>
      <w:r w:rsidR="00092C98" w:rsidRPr="00D36E0A">
        <w:rPr>
          <w:lang w:val="fr-FR"/>
        </w:rPr>
        <w:t>les</w:t>
      </w:r>
      <w:r w:rsidR="00AD5076" w:rsidRPr="00D36E0A">
        <w:rPr>
          <w:lang w:val="fr-FR"/>
        </w:rPr>
        <w:t xml:space="preserve"> “Part</w:t>
      </w:r>
      <w:r w:rsidR="00092C98" w:rsidRPr="00D36E0A">
        <w:rPr>
          <w:lang w:val="fr-FR"/>
        </w:rPr>
        <w:t>ies</w:t>
      </w:r>
      <w:r w:rsidR="00AD5076" w:rsidRPr="00D36E0A">
        <w:rPr>
          <w:lang w:val="fr-FR"/>
        </w:rPr>
        <w:t xml:space="preserve"> </w:t>
      </w:r>
      <w:r w:rsidR="00092C98" w:rsidRPr="00D36E0A">
        <w:rPr>
          <w:rFonts w:eastAsia="Times New Roman"/>
          <w:lang w:val="fr-FR" w:eastAsia="fr-CH"/>
        </w:rPr>
        <w:t>fournissant les ressources génétiques, qui sont les pays d</w:t>
      </w:r>
      <w:r w:rsidR="00A27507" w:rsidRPr="00D36E0A">
        <w:rPr>
          <w:rFonts w:eastAsia="Times New Roman"/>
          <w:lang w:val="fr-FR" w:eastAsia="fr-CH"/>
        </w:rPr>
        <w:t>’</w:t>
      </w:r>
      <w:r w:rsidR="00092C98" w:rsidRPr="00D36E0A">
        <w:rPr>
          <w:rFonts w:eastAsia="Times New Roman"/>
          <w:lang w:val="fr-FR" w:eastAsia="fr-CH"/>
        </w:rPr>
        <w:t>origine de ces ressources, ou</w:t>
      </w:r>
      <w:r w:rsidR="00AD5076" w:rsidRPr="00D36E0A">
        <w:rPr>
          <w:lang w:val="fr-FR"/>
        </w:rPr>
        <w:t xml:space="preserve"> </w:t>
      </w:r>
      <w:r w:rsidR="00092C98" w:rsidRPr="00D36E0A">
        <w:rPr>
          <w:rFonts w:eastAsia="Times New Roman"/>
          <w:lang w:val="fr-FR" w:eastAsia="fr-CH"/>
        </w:rPr>
        <w:t>des Parties qui les ont acquises conformément à la Convention</w:t>
      </w:r>
      <w:r w:rsidR="00AD5076" w:rsidRPr="00D36E0A">
        <w:rPr>
          <w:lang w:val="fr-FR"/>
        </w:rPr>
        <w:t>.”</w:t>
      </w:r>
      <w:bookmarkEnd w:id="131"/>
    </w:p>
    <w:p w:rsidR="00AD5076" w:rsidRPr="00D36E0A" w:rsidRDefault="00092C98" w:rsidP="00D36E0A">
      <w:pPr>
        <w:pStyle w:val="ONUMFS"/>
        <w:numPr>
          <w:ilvl w:val="0"/>
          <w:numId w:val="33"/>
        </w:numPr>
        <w:ind w:left="567" w:hanging="567"/>
        <w:rPr>
          <w:lang w:val="fr-FR"/>
        </w:rPr>
      </w:pPr>
      <w:bookmarkStart w:id="132" w:name="_Toc461721050"/>
      <w:r w:rsidRPr="00D36E0A">
        <w:rPr>
          <w:lang w:val="fr-FR"/>
        </w:rPr>
        <w:t>Pour une</w:t>
      </w:r>
      <w:r w:rsidR="00AD5076" w:rsidRPr="00D36E0A">
        <w:rPr>
          <w:lang w:val="fr-FR"/>
        </w:rPr>
        <w:t xml:space="preserve"> invention, </w:t>
      </w:r>
      <w:r w:rsidRPr="00D36E0A">
        <w:rPr>
          <w:lang w:val="fr-FR"/>
        </w:rPr>
        <w:t xml:space="preserve">qui porte directement sur une ressource </w:t>
      </w:r>
      <w:proofErr w:type="spellStart"/>
      <w:r w:rsidRPr="00D36E0A">
        <w:rPr>
          <w:lang w:val="fr-FR"/>
        </w:rPr>
        <w:t>phytogénétique</w:t>
      </w:r>
      <w:proofErr w:type="spellEnd"/>
      <w:r w:rsidRPr="00D36E0A">
        <w:rPr>
          <w:lang w:val="fr-FR"/>
        </w:rPr>
        <w:t xml:space="preserve"> pour l</w:t>
      </w:r>
      <w:r w:rsidR="00A27507" w:rsidRPr="00D36E0A">
        <w:rPr>
          <w:lang w:val="fr-FR"/>
        </w:rPr>
        <w:t>’</w:t>
      </w:r>
      <w:r w:rsidRPr="00D36E0A">
        <w:rPr>
          <w:lang w:val="fr-FR"/>
        </w:rPr>
        <w:t>alimentation et l</w:t>
      </w:r>
      <w:r w:rsidR="00A27507" w:rsidRPr="00D36E0A">
        <w:rPr>
          <w:lang w:val="fr-FR"/>
        </w:rPr>
        <w:t>’</w:t>
      </w:r>
      <w:r w:rsidRPr="00D36E0A">
        <w:rPr>
          <w:lang w:val="fr-FR"/>
        </w:rPr>
        <w:t>agriculture</w:t>
      </w:r>
      <w:r w:rsidR="00AD5076" w:rsidRPr="00D36E0A">
        <w:rPr>
          <w:lang w:val="fr-FR"/>
        </w:rPr>
        <w:t xml:space="preserve"> </w:t>
      </w:r>
      <w:r w:rsidR="00612600" w:rsidRPr="00D36E0A">
        <w:rPr>
          <w:lang w:val="fr-FR"/>
        </w:rPr>
        <w:t>relevant du</w:t>
      </w:r>
      <w:r w:rsidR="00AD5076" w:rsidRPr="00D36E0A">
        <w:rPr>
          <w:lang w:val="fr-FR"/>
        </w:rPr>
        <w:t xml:space="preserve"> </w:t>
      </w:r>
      <w:r w:rsidRPr="00D36E0A">
        <w:rPr>
          <w:lang w:val="fr-FR"/>
        </w:rPr>
        <w:t xml:space="preserve">système multilatéral </w:t>
      </w:r>
      <w:r w:rsidR="00612600" w:rsidRPr="00D36E0A">
        <w:rPr>
          <w:lang w:val="fr-FR"/>
        </w:rPr>
        <w:t>du Traité international sur les ressources phytogénétiques pour l</w:t>
      </w:r>
      <w:r w:rsidR="00A27507" w:rsidRPr="00D36E0A">
        <w:rPr>
          <w:lang w:val="fr-FR"/>
        </w:rPr>
        <w:t>’</w:t>
      </w:r>
      <w:r w:rsidR="00612600" w:rsidRPr="00D36E0A">
        <w:rPr>
          <w:lang w:val="fr-FR"/>
        </w:rPr>
        <w:t>alimentation et l</w:t>
      </w:r>
      <w:r w:rsidR="00A27507" w:rsidRPr="00D36E0A">
        <w:rPr>
          <w:lang w:val="fr-FR"/>
        </w:rPr>
        <w:t>’</w:t>
      </w:r>
      <w:r w:rsidR="00612600" w:rsidRPr="00D36E0A">
        <w:rPr>
          <w:lang w:val="fr-FR"/>
        </w:rPr>
        <w:t>agriculture</w:t>
      </w:r>
      <w:r w:rsidR="00AD5076" w:rsidRPr="00D36E0A">
        <w:rPr>
          <w:lang w:val="fr-FR"/>
        </w:rPr>
        <w:t xml:space="preserve">, </w:t>
      </w:r>
      <w:r w:rsidR="00612600" w:rsidRPr="00D36E0A">
        <w:rPr>
          <w:lang w:val="fr-FR"/>
        </w:rPr>
        <w:t>le</w:t>
      </w:r>
      <w:r w:rsidR="00AD5076" w:rsidRPr="00D36E0A">
        <w:rPr>
          <w:lang w:val="fr-FR"/>
        </w:rPr>
        <w:t xml:space="preserve"> </w:t>
      </w:r>
      <w:r w:rsidR="00612600" w:rsidRPr="00D36E0A">
        <w:rPr>
          <w:lang w:val="fr-FR"/>
        </w:rPr>
        <w:t>pays d</w:t>
      </w:r>
      <w:r w:rsidR="00A27507" w:rsidRPr="00D36E0A">
        <w:rPr>
          <w:lang w:val="fr-FR"/>
        </w:rPr>
        <w:t>’</w:t>
      </w:r>
      <w:r w:rsidR="00612600" w:rsidRPr="00D36E0A">
        <w:rPr>
          <w:lang w:val="fr-FR"/>
        </w:rPr>
        <w:t>origine n</w:t>
      </w:r>
      <w:r w:rsidR="00A27507" w:rsidRPr="00D36E0A">
        <w:rPr>
          <w:lang w:val="fr-FR"/>
        </w:rPr>
        <w:t>’</w:t>
      </w:r>
      <w:r w:rsidR="00612600" w:rsidRPr="00D36E0A">
        <w:rPr>
          <w:lang w:val="fr-FR"/>
        </w:rPr>
        <w:t xml:space="preserve">est pas </w:t>
      </w:r>
      <w:r w:rsidR="00AD5076" w:rsidRPr="00D36E0A">
        <w:rPr>
          <w:lang w:val="fr-FR"/>
        </w:rPr>
        <w:t>applicable</w:t>
      </w:r>
      <w:r w:rsidR="00612600" w:rsidRPr="00D36E0A">
        <w:rPr>
          <w:lang w:val="fr-FR"/>
        </w:rPr>
        <w:t xml:space="preserve"> et le déposant de la demande de brevet devra divulguer</w:t>
      </w:r>
      <w:r w:rsidR="00AD5076" w:rsidRPr="00D36E0A">
        <w:rPr>
          <w:lang w:val="fr-FR"/>
        </w:rPr>
        <w:t xml:space="preserve"> </w:t>
      </w:r>
      <w:r w:rsidR="00612600" w:rsidRPr="00D36E0A">
        <w:rPr>
          <w:lang w:val="fr-FR"/>
        </w:rPr>
        <w:t xml:space="preserve">le </w:t>
      </w:r>
      <w:r w:rsidR="00AD5076" w:rsidRPr="00D36E0A">
        <w:rPr>
          <w:lang w:val="fr-FR"/>
        </w:rPr>
        <w:t>“</w:t>
      </w:r>
      <w:r w:rsidR="00612600" w:rsidRPr="00D36E0A">
        <w:rPr>
          <w:lang w:val="fr-FR"/>
        </w:rPr>
        <w:t>système multilatéral</w:t>
      </w:r>
      <w:r w:rsidR="00AD5076" w:rsidRPr="00D36E0A">
        <w:rPr>
          <w:lang w:val="fr-FR"/>
        </w:rPr>
        <w:t xml:space="preserve">” </w:t>
      </w:r>
      <w:r w:rsidR="00612600" w:rsidRPr="00D36E0A">
        <w:rPr>
          <w:lang w:val="fr-FR"/>
        </w:rPr>
        <w:t>en tant que source primai</w:t>
      </w:r>
      <w:r w:rsidR="00511F1C" w:rsidRPr="00D36E0A">
        <w:rPr>
          <w:lang w:val="fr-FR"/>
        </w:rPr>
        <w:t>re.  De</w:t>
      </w:r>
      <w:r w:rsidR="00612600" w:rsidRPr="00D36E0A">
        <w:rPr>
          <w:lang w:val="fr-FR"/>
        </w:rPr>
        <w:t xml:space="preserve"> même</w:t>
      </w:r>
      <w:r w:rsidR="00AD5076" w:rsidRPr="00D36E0A">
        <w:rPr>
          <w:lang w:val="fr-FR"/>
        </w:rPr>
        <w:t xml:space="preserve">, </w:t>
      </w:r>
      <w:r w:rsidR="00612600" w:rsidRPr="00D36E0A">
        <w:rPr>
          <w:lang w:val="fr-FR"/>
        </w:rPr>
        <w:t>le pays d</w:t>
      </w:r>
      <w:r w:rsidR="00A27507" w:rsidRPr="00D36E0A">
        <w:rPr>
          <w:lang w:val="fr-FR"/>
        </w:rPr>
        <w:t>’</w:t>
      </w:r>
      <w:r w:rsidR="00612600" w:rsidRPr="00D36E0A">
        <w:rPr>
          <w:lang w:val="fr-FR"/>
        </w:rPr>
        <w:t>origine n</w:t>
      </w:r>
      <w:r w:rsidR="00A27507" w:rsidRPr="00D36E0A">
        <w:rPr>
          <w:lang w:val="fr-FR"/>
        </w:rPr>
        <w:t>’</w:t>
      </w:r>
      <w:r w:rsidR="00612600" w:rsidRPr="00D36E0A">
        <w:rPr>
          <w:lang w:val="fr-FR"/>
        </w:rPr>
        <w:t xml:space="preserve">est pas applicable pour les ressources génétiques </w:t>
      </w:r>
      <w:r w:rsidR="00AD5076" w:rsidRPr="00D36E0A">
        <w:rPr>
          <w:lang w:val="fr-FR"/>
        </w:rPr>
        <w:t>marine</w:t>
      </w:r>
      <w:r w:rsidR="00612600" w:rsidRPr="00D36E0A">
        <w:rPr>
          <w:lang w:val="fr-FR"/>
        </w:rPr>
        <w:t>s</w:t>
      </w:r>
      <w:r w:rsidR="00AD5076" w:rsidRPr="00D36E0A">
        <w:rPr>
          <w:lang w:val="fr-FR"/>
        </w:rPr>
        <w:t xml:space="preserve"> </w:t>
      </w:r>
      <w:r w:rsidR="00612600" w:rsidRPr="00D36E0A">
        <w:rPr>
          <w:lang w:val="fr-FR"/>
        </w:rPr>
        <w:t>provenant de zones hors des limites des ressorts nationaux ainsi que pour les</w:t>
      </w:r>
      <w:r w:rsidR="00AD5076" w:rsidRPr="00D36E0A">
        <w:rPr>
          <w:lang w:val="fr-FR"/>
        </w:rPr>
        <w:t xml:space="preserve"> </w:t>
      </w:r>
      <w:r w:rsidR="00612600" w:rsidRPr="00D36E0A">
        <w:rPr>
          <w:lang w:val="fr-FR"/>
        </w:rPr>
        <w:t xml:space="preserve">ressources génétiques </w:t>
      </w:r>
      <w:r w:rsidR="00AD5076" w:rsidRPr="00D36E0A">
        <w:rPr>
          <w:lang w:val="fr-FR"/>
        </w:rPr>
        <w:t>co</w:t>
      </w:r>
      <w:r w:rsidR="00612600" w:rsidRPr="00D36E0A">
        <w:rPr>
          <w:lang w:val="fr-FR"/>
        </w:rPr>
        <w:t>u</w:t>
      </w:r>
      <w:r w:rsidR="00AD5076" w:rsidRPr="00D36E0A">
        <w:rPr>
          <w:lang w:val="fr-FR"/>
        </w:rPr>
        <w:t>ver</w:t>
      </w:r>
      <w:r w:rsidR="00612600" w:rsidRPr="00D36E0A">
        <w:rPr>
          <w:lang w:val="fr-FR"/>
        </w:rPr>
        <w:t>t</w:t>
      </w:r>
      <w:r w:rsidR="00AD5076" w:rsidRPr="00D36E0A">
        <w:rPr>
          <w:lang w:val="fr-FR"/>
        </w:rPr>
        <w:t>e</w:t>
      </w:r>
      <w:r w:rsidR="00612600" w:rsidRPr="00D36E0A">
        <w:rPr>
          <w:lang w:val="fr-FR"/>
        </w:rPr>
        <w:t>s par le Cadre </w:t>
      </w:r>
      <w:proofErr w:type="spellStart"/>
      <w:r w:rsidR="00511F1C" w:rsidRPr="00D36E0A">
        <w:rPr>
          <w:lang w:val="fr-FR"/>
        </w:rPr>
        <w:t>PIP</w:t>
      </w:r>
      <w:proofErr w:type="spellEnd"/>
      <w:r w:rsidR="00511F1C" w:rsidRPr="00D36E0A">
        <w:rPr>
          <w:lang w:val="fr-FR"/>
        </w:rPr>
        <w:t>.  Da</w:t>
      </w:r>
      <w:r w:rsidR="00612600" w:rsidRPr="00D36E0A">
        <w:rPr>
          <w:lang w:val="fr-FR"/>
        </w:rPr>
        <w:t>ns ces cas</w:t>
      </w:r>
      <w:r w:rsidR="00AD5076" w:rsidRPr="00D36E0A">
        <w:rPr>
          <w:lang w:val="fr-FR"/>
        </w:rPr>
        <w:t xml:space="preserve">, </w:t>
      </w:r>
      <w:r w:rsidR="00612600" w:rsidRPr="00D36E0A">
        <w:rPr>
          <w:lang w:val="fr-FR"/>
        </w:rPr>
        <w:t>le déposant de la demande de brevet devra</w:t>
      </w:r>
      <w:r w:rsidR="00AD5076" w:rsidRPr="00D36E0A">
        <w:rPr>
          <w:lang w:val="fr-FR"/>
        </w:rPr>
        <w:t xml:space="preserve"> </w:t>
      </w:r>
      <w:r w:rsidR="00612600" w:rsidRPr="00D36E0A">
        <w:rPr>
          <w:lang w:val="fr-FR"/>
        </w:rPr>
        <w:t>divulguer la zone marine pertinente</w:t>
      </w:r>
      <w:r w:rsidR="00AD5076" w:rsidRPr="00D36E0A">
        <w:rPr>
          <w:lang w:val="fr-FR"/>
        </w:rPr>
        <w:t xml:space="preserve"> </w:t>
      </w:r>
      <w:r w:rsidR="00612600" w:rsidRPr="00D36E0A">
        <w:rPr>
          <w:lang w:val="fr-FR"/>
        </w:rPr>
        <w:t>ou le</w:t>
      </w:r>
      <w:r w:rsidR="00AD5076" w:rsidRPr="00D36E0A">
        <w:rPr>
          <w:lang w:val="fr-FR"/>
        </w:rPr>
        <w:t xml:space="preserve"> </w:t>
      </w:r>
      <w:r w:rsidR="00612600" w:rsidRPr="00D36E0A">
        <w:rPr>
          <w:lang w:val="fr-FR"/>
        </w:rPr>
        <w:t>Cadre </w:t>
      </w:r>
      <w:proofErr w:type="spellStart"/>
      <w:r w:rsidR="00612600" w:rsidRPr="00D36E0A">
        <w:rPr>
          <w:lang w:val="fr-FR"/>
        </w:rPr>
        <w:t>PIP</w:t>
      </w:r>
      <w:proofErr w:type="spellEnd"/>
      <w:r w:rsidR="00612600" w:rsidRPr="00D36E0A">
        <w:rPr>
          <w:lang w:val="fr-FR"/>
        </w:rPr>
        <w:t xml:space="preserve"> en tant que source primaire</w:t>
      </w:r>
      <w:r w:rsidR="00AD5076" w:rsidRPr="00D36E0A">
        <w:rPr>
          <w:lang w:val="fr-FR"/>
        </w:rPr>
        <w:t>.</w:t>
      </w:r>
      <w:bookmarkEnd w:id="132"/>
    </w:p>
    <w:p w:rsidR="00AD5076" w:rsidRPr="00D36E0A" w:rsidRDefault="00612600" w:rsidP="00D36E0A">
      <w:pPr>
        <w:pStyle w:val="ONUMFS"/>
        <w:numPr>
          <w:ilvl w:val="0"/>
          <w:numId w:val="33"/>
        </w:numPr>
        <w:ind w:left="567" w:hanging="567"/>
        <w:rPr>
          <w:lang w:val="fr-FR"/>
        </w:rPr>
      </w:pPr>
      <w:bookmarkStart w:id="133" w:name="_Toc461721051"/>
      <w:r w:rsidRPr="00D36E0A">
        <w:rPr>
          <w:lang w:val="fr-FR"/>
        </w:rPr>
        <w:t>En outre</w:t>
      </w:r>
      <w:r w:rsidR="00AD5076" w:rsidRPr="00D36E0A">
        <w:rPr>
          <w:lang w:val="fr-FR"/>
        </w:rPr>
        <w:t xml:space="preserve">, </w:t>
      </w:r>
      <w:r w:rsidRPr="00D36E0A">
        <w:rPr>
          <w:lang w:val="fr-FR"/>
        </w:rPr>
        <w:t>pour les savoirs</w:t>
      </w:r>
      <w:r w:rsidR="00AD5076" w:rsidRPr="00D36E0A">
        <w:rPr>
          <w:lang w:val="fr-FR"/>
        </w:rPr>
        <w:t xml:space="preserve"> tradition</w:t>
      </w:r>
      <w:r w:rsidRPr="00D36E0A">
        <w:rPr>
          <w:lang w:val="fr-FR"/>
        </w:rPr>
        <w:t>nels</w:t>
      </w:r>
      <w:r w:rsidR="00AD5076" w:rsidRPr="00D36E0A">
        <w:rPr>
          <w:lang w:val="fr-FR"/>
        </w:rPr>
        <w:t xml:space="preserve"> associ</w:t>
      </w:r>
      <w:r w:rsidRPr="00D36E0A">
        <w:rPr>
          <w:lang w:val="fr-FR"/>
        </w:rPr>
        <w:t>és aux</w:t>
      </w:r>
      <w:r w:rsidR="00AD5076" w:rsidRPr="00D36E0A">
        <w:rPr>
          <w:lang w:val="fr-FR"/>
        </w:rPr>
        <w:t xml:space="preserve"> </w:t>
      </w:r>
      <w:r w:rsidRPr="00D36E0A">
        <w:rPr>
          <w:lang w:val="fr-FR"/>
        </w:rPr>
        <w:t>ressources génétiques et pour les ressources génétiques obtenues auprès de peuples autochtones et de communautés</w:t>
      </w:r>
      <w:r w:rsidR="00AD5076" w:rsidRPr="00D36E0A">
        <w:rPr>
          <w:lang w:val="fr-FR"/>
        </w:rPr>
        <w:t xml:space="preserve"> </w:t>
      </w:r>
      <w:r w:rsidRPr="00D36E0A">
        <w:rPr>
          <w:lang w:val="fr-FR"/>
        </w:rPr>
        <w:t>local</w:t>
      </w:r>
      <w:r w:rsidR="00AD5076" w:rsidRPr="00D36E0A">
        <w:rPr>
          <w:lang w:val="fr-FR"/>
        </w:rPr>
        <w:t xml:space="preserve">es, </w:t>
      </w:r>
      <w:r w:rsidR="00F34945" w:rsidRPr="00D36E0A">
        <w:rPr>
          <w:lang w:val="fr-FR"/>
        </w:rPr>
        <w:t xml:space="preserve">la divulgation de </w:t>
      </w:r>
      <w:r w:rsidRPr="00D36E0A">
        <w:rPr>
          <w:lang w:val="fr-FR"/>
        </w:rPr>
        <w:t>pays</w:t>
      </w:r>
      <w:r w:rsidR="00F34945" w:rsidRPr="00D36E0A">
        <w:rPr>
          <w:lang w:val="fr-FR"/>
        </w:rPr>
        <w:t xml:space="preserve"> particuliers</w:t>
      </w:r>
      <w:r w:rsidR="00AD5076" w:rsidRPr="00D36E0A">
        <w:rPr>
          <w:lang w:val="fr-FR"/>
        </w:rPr>
        <w:t xml:space="preserve"> </w:t>
      </w:r>
      <w:r w:rsidR="00F34945" w:rsidRPr="00D36E0A">
        <w:rPr>
          <w:lang w:val="fr-FR"/>
        </w:rPr>
        <w:t>ne sera peut</w:t>
      </w:r>
      <w:r w:rsidR="00511F1C" w:rsidRPr="00D36E0A">
        <w:rPr>
          <w:lang w:val="fr-FR"/>
        </w:rPr>
        <w:noBreakHyphen/>
      </w:r>
      <w:r w:rsidRPr="00D36E0A">
        <w:rPr>
          <w:lang w:val="fr-FR"/>
        </w:rPr>
        <w:t xml:space="preserve">être </w:t>
      </w:r>
      <w:r w:rsidR="00F34945" w:rsidRPr="00D36E0A">
        <w:rPr>
          <w:lang w:val="fr-FR"/>
        </w:rPr>
        <w:t xml:space="preserve">pas </w:t>
      </w:r>
      <w:r w:rsidRPr="00D36E0A">
        <w:rPr>
          <w:lang w:val="fr-FR"/>
        </w:rPr>
        <w:t>adapt</w:t>
      </w:r>
      <w:r w:rsidR="00511F1C" w:rsidRPr="00D36E0A">
        <w:rPr>
          <w:lang w:val="fr-FR"/>
        </w:rPr>
        <w:t>ée.  Co</w:t>
      </w:r>
      <w:r w:rsidRPr="00D36E0A">
        <w:rPr>
          <w:lang w:val="fr-FR"/>
        </w:rPr>
        <w:t>nformément à</w:t>
      </w:r>
      <w:r w:rsidR="00AD5076" w:rsidRPr="00D36E0A">
        <w:rPr>
          <w:lang w:val="fr-FR"/>
        </w:rPr>
        <w:t xml:space="preserve"> </w:t>
      </w:r>
      <w:r w:rsidRPr="00D36E0A">
        <w:rPr>
          <w:lang w:val="fr-FR"/>
        </w:rPr>
        <w:t xml:space="preserve">la Déclaration des </w:t>
      </w:r>
      <w:r w:rsidR="00A27507" w:rsidRPr="00D36E0A">
        <w:rPr>
          <w:lang w:val="fr-FR"/>
        </w:rPr>
        <w:t>Nations Unies</w:t>
      </w:r>
      <w:r w:rsidRPr="00D36E0A">
        <w:rPr>
          <w:lang w:val="fr-FR"/>
        </w:rPr>
        <w:t xml:space="preserve"> sur les droits des peuples autochtones et aux articles </w:t>
      </w:r>
      <w:r w:rsidR="00AD5076" w:rsidRPr="00D36E0A">
        <w:rPr>
          <w:lang w:val="fr-FR"/>
        </w:rPr>
        <w:t xml:space="preserve">5.5, 6.2, 7 </w:t>
      </w:r>
      <w:r w:rsidRPr="00D36E0A">
        <w:rPr>
          <w:lang w:val="fr-FR"/>
        </w:rPr>
        <w:t>et</w:t>
      </w:r>
      <w:r w:rsidR="00AD5076" w:rsidRPr="00D36E0A">
        <w:rPr>
          <w:lang w:val="fr-FR"/>
        </w:rPr>
        <w:t xml:space="preserve"> 12 </w:t>
      </w:r>
      <w:r w:rsidRPr="00D36E0A">
        <w:rPr>
          <w:lang w:val="fr-FR"/>
        </w:rPr>
        <w:t xml:space="preserve">du Protocole de Nagoya, il semble davantage </w:t>
      </w:r>
      <w:r w:rsidR="00AD5076" w:rsidRPr="00D36E0A">
        <w:rPr>
          <w:lang w:val="fr-FR"/>
        </w:rPr>
        <w:t>appropri</w:t>
      </w:r>
      <w:r w:rsidRPr="00D36E0A">
        <w:rPr>
          <w:lang w:val="fr-FR"/>
        </w:rPr>
        <w:t>é, dans ces</w:t>
      </w:r>
      <w:r w:rsidR="00AD5076" w:rsidRPr="00D36E0A">
        <w:rPr>
          <w:lang w:val="fr-FR"/>
        </w:rPr>
        <w:t xml:space="preserve"> </w:t>
      </w:r>
      <w:r w:rsidRPr="00D36E0A">
        <w:rPr>
          <w:lang w:val="fr-FR"/>
        </w:rPr>
        <w:t>cas, de</w:t>
      </w:r>
      <w:r w:rsidR="00AD5076" w:rsidRPr="00D36E0A">
        <w:rPr>
          <w:lang w:val="fr-FR"/>
        </w:rPr>
        <w:t xml:space="preserve"> </w:t>
      </w:r>
      <w:r w:rsidRPr="00D36E0A">
        <w:rPr>
          <w:lang w:val="fr-FR"/>
        </w:rPr>
        <w:t>demander aux</w:t>
      </w:r>
      <w:r w:rsidR="00AD5076" w:rsidRPr="00D36E0A">
        <w:rPr>
          <w:lang w:val="fr-FR"/>
        </w:rPr>
        <w:t xml:space="preserve"> </w:t>
      </w:r>
      <w:r w:rsidRPr="00D36E0A">
        <w:rPr>
          <w:lang w:val="fr-FR"/>
        </w:rPr>
        <w:t>déposants de demandes de brevet de divulguer, en tant que source primaire, les</w:t>
      </w:r>
      <w:r w:rsidR="00AD5076" w:rsidRPr="00D36E0A">
        <w:rPr>
          <w:lang w:val="fr-FR"/>
        </w:rPr>
        <w:t xml:space="preserve"> </w:t>
      </w:r>
      <w:r w:rsidRPr="00D36E0A">
        <w:rPr>
          <w:lang w:val="fr-FR"/>
        </w:rPr>
        <w:t>peuples autochtones et les</w:t>
      </w:r>
      <w:r w:rsidR="00AD5076" w:rsidRPr="00D36E0A">
        <w:rPr>
          <w:lang w:val="fr-FR"/>
        </w:rPr>
        <w:t xml:space="preserve"> </w:t>
      </w:r>
      <w:r w:rsidRPr="00D36E0A">
        <w:rPr>
          <w:lang w:val="fr-FR"/>
        </w:rPr>
        <w:t>communautés local</w:t>
      </w:r>
      <w:r w:rsidR="00AD5076" w:rsidRPr="00D36E0A">
        <w:rPr>
          <w:lang w:val="fr-FR"/>
        </w:rPr>
        <w:t>es</w:t>
      </w:r>
      <w:r w:rsidR="00AD5076" w:rsidRPr="00D36E0A" w:rsidDel="00105C7C">
        <w:rPr>
          <w:lang w:val="fr-FR"/>
        </w:rPr>
        <w:t xml:space="preserve"> </w:t>
      </w:r>
      <w:r w:rsidR="00A5041B" w:rsidRPr="00D36E0A">
        <w:rPr>
          <w:lang w:val="fr-FR"/>
        </w:rPr>
        <w:t xml:space="preserve">détenant ces savoirs </w:t>
      </w:r>
      <w:r w:rsidR="00AD5076" w:rsidRPr="00D36E0A">
        <w:rPr>
          <w:lang w:val="fr-FR"/>
        </w:rPr>
        <w:t>o</w:t>
      </w:r>
      <w:r w:rsidR="00A5041B" w:rsidRPr="00D36E0A">
        <w:rPr>
          <w:lang w:val="fr-FR"/>
        </w:rPr>
        <w:t>u</w:t>
      </w:r>
      <w:r w:rsidR="00AD5076" w:rsidRPr="00D36E0A">
        <w:rPr>
          <w:lang w:val="fr-FR"/>
        </w:rPr>
        <w:t xml:space="preserve"> </w:t>
      </w:r>
      <w:r w:rsidR="00A5041B" w:rsidRPr="00D36E0A">
        <w:rPr>
          <w:lang w:val="fr-FR"/>
        </w:rPr>
        <w:t>ayant fourni les</w:t>
      </w:r>
      <w:r w:rsidR="00AD5076" w:rsidRPr="00D36E0A">
        <w:rPr>
          <w:lang w:val="fr-FR"/>
        </w:rPr>
        <w:t xml:space="preserve"> </w:t>
      </w:r>
      <w:r w:rsidR="00A5041B" w:rsidRPr="00D36E0A">
        <w:rPr>
          <w:lang w:val="fr-FR"/>
        </w:rPr>
        <w:t>ressources génétiques.</w:t>
      </w:r>
      <w:bookmarkEnd w:id="133"/>
    </w:p>
    <w:p w:rsidR="00AD5076" w:rsidRPr="00D36E0A" w:rsidRDefault="0047670F" w:rsidP="00D36E0A">
      <w:pPr>
        <w:pStyle w:val="ONUMFS"/>
        <w:rPr>
          <w:lang w:val="fr-FR"/>
        </w:rPr>
      </w:pPr>
      <w:bookmarkStart w:id="134" w:name="_Toc457391455"/>
      <w:bookmarkStart w:id="135" w:name="_Toc457394797"/>
      <w:bookmarkStart w:id="136" w:name="_Toc457988582"/>
      <w:bookmarkStart w:id="137" w:name="_Toc457989465"/>
      <w:bookmarkStart w:id="138" w:name="_Toc461721052"/>
      <w:r w:rsidRPr="00D36E0A">
        <w:rPr>
          <w:lang w:val="fr-FR"/>
        </w:rPr>
        <w:t>Néanmoins</w:t>
      </w:r>
      <w:r w:rsidR="00AD5076" w:rsidRPr="00D36E0A">
        <w:rPr>
          <w:lang w:val="fr-FR"/>
        </w:rPr>
        <w:t xml:space="preserve">, </w:t>
      </w:r>
      <w:r w:rsidRPr="00D36E0A">
        <w:rPr>
          <w:lang w:val="fr-FR"/>
        </w:rPr>
        <w:t>les sources primaires</w:t>
      </w:r>
      <w:r w:rsidR="00AD5076" w:rsidRPr="00D36E0A">
        <w:rPr>
          <w:lang w:val="fr-FR"/>
        </w:rPr>
        <w:t xml:space="preserve"> </w:t>
      </w:r>
      <w:r w:rsidRPr="00D36E0A">
        <w:rPr>
          <w:lang w:val="fr-FR"/>
        </w:rPr>
        <w:t>ne sont pas toujours connues des déposants de demandes de brevet et il arrive qu</w:t>
      </w:r>
      <w:r w:rsidR="00A27507" w:rsidRPr="00D36E0A">
        <w:rPr>
          <w:lang w:val="fr-FR"/>
        </w:rPr>
        <w:t>’</w:t>
      </w:r>
      <w:r w:rsidRPr="00D36E0A">
        <w:rPr>
          <w:lang w:val="fr-FR"/>
        </w:rPr>
        <w:t xml:space="preserve">elles ne puissent être </w:t>
      </w:r>
      <w:r w:rsidR="00F34945" w:rsidRPr="00D36E0A">
        <w:rPr>
          <w:lang w:val="fr-FR"/>
        </w:rPr>
        <w:t>déterminées</w:t>
      </w:r>
      <w:r w:rsidR="00AD5076" w:rsidRPr="00D36E0A">
        <w:rPr>
          <w:lang w:val="fr-FR"/>
        </w:rPr>
        <w:t xml:space="preserve"> </w:t>
      </w:r>
      <w:r w:rsidRPr="00D36E0A">
        <w:rPr>
          <w:lang w:val="fr-FR"/>
        </w:rPr>
        <w:t>qu</w:t>
      </w:r>
      <w:r w:rsidR="00A27507" w:rsidRPr="00D36E0A">
        <w:rPr>
          <w:lang w:val="fr-FR"/>
        </w:rPr>
        <w:t>’</w:t>
      </w:r>
      <w:r w:rsidRPr="00D36E0A">
        <w:rPr>
          <w:lang w:val="fr-FR"/>
        </w:rPr>
        <w:t>au prix d</w:t>
      </w:r>
      <w:r w:rsidR="00A27507" w:rsidRPr="00D36E0A">
        <w:rPr>
          <w:lang w:val="fr-FR"/>
        </w:rPr>
        <w:t>’</w:t>
      </w:r>
      <w:r w:rsidRPr="00D36E0A">
        <w:rPr>
          <w:lang w:val="fr-FR"/>
        </w:rPr>
        <w:t>efforts</w:t>
      </w:r>
      <w:r w:rsidR="00AD5076" w:rsidRPr="00D36E0A">
        <w:rPr>
          <w:lang w:val="fr-FR"/>
        </w:rPr>
        <w:t xml:space="preserve"> </w:t>
      </w:r>
      <w:r w:rsidR="00F34945" w:rsidRPr="00D36E0A">
        <w:rPr>
          <w:lang w:val="fr-FR"/>
        </w:rPr>
        <w:t>exagérés</w:t>
      </w:r>
      <w:r w:rsidR="00AD5076" w:rsidRPr="00D36E0A">
        <w:rPr>
          <w:lang w:val="fr-FR"/>
        </w:rPr>
        <w:t xml:space="preserve">, </w:t>
      </w:r>
      <w:r w:rsidRPr="00D36E0A">
        <w:rPr>
          <w:lang w:val="fr-FR"/>
        </w:rPr>
        <w:t>voire qu</w:t>
      </w:r>
      <w:r w:rsidR="00A27507" w:rsidRPr="00D36E0A">
        <w:rPr>
          <w:lang w:val="fr-FR"/>
        </w:rPr>
        <w:t>’</w:t>
      </w:r>
      <w:r w:rsidRPr="00D36E0A">
        <w:rPr>
          <w:lang w:val="fr-FR"/>
        </w:rPr>
        <w:t>elles ne le soient pas du to</w:t>
      </w:r>
      <w:r w:rsidR="00511F1C" w:rsidRPr="00D36E0A">
        <w:rPr>
          <w:lang w:val="fr-FR"/>
        </w:rPr>
        <w:t>ut.  Ai</w:t>
      </w:r>
      <w:r w:rsidRPr="00D36E0A">
        <w:rPr>
          <w:lang w:val="fr-FR"/>
        </w:rPr>
        <w:t>nsi</w:t>
      </w:r>
      <w:r w:rsidR="00AD5076" w:rsidRPr="00D36E0A">
        <w:rPr>
          <w:lang w:val="fr-FR"/>
        </w:rPr>
        <w:t xml:space="preserve">, </w:t>
      </w:r>
      <w:r w:rsidRPr="00D36E0A">
        <w:rPr>
          <w:lang w:val="fr-FR"/>
        </w:rPr>
        <w:t>bon nombre de</w:t>
      </w:r>
      <w:r w:rsidR="00AD5076" w:rsidRPr="00D36E0A">
        <w:rPr>
          <w:lang w:val="fr-FR"/>
        </w:rPr>
        <w:t xml:space="preserve"> </w:t>
      </w:r>
      <w:r w:rsidRPr="00D36E0A">
        <w:rPr>
          <w:lang w:val="fr-FR"/>
        </w:rPr>
        <w:t>ressources génétiques ont été obtenues il y a longtemps</w:t>
      </w:r>
      <w:r w:rsidR="00AD5076" w:rsidRPr="00D36E0A">
        <w:rPr>
          <w:lang w:val="fr-FR"/>
        </w:rPr>
        <w:t xml:space="preserve">, </w:t>
      </w:r>
      <w:r w:rsidRPr="00D36E0A">
        <w:rPr>
          <w:lang w:val="fr-FR"/>
        </w:rPr>
        <w:t>avant même l</w:t>
      </w:r>
      <w:r w:rsidR="00A27507" w:rsidRPr="00D36E0A">
        <w:rPr>
          <w:lang w:val="fr-FR"/>
        </w:rPr>
        <w:t>’</w:t>
      </w:r>
      <w:r w:rsidRPr="00D36E0A">
        <w:rPr>
          <w:lang w:val="fr-FR"/>
        </w:rPr>
        <w:t>entrée en vigueur</w:t>
      </w:r>
      <w:r w:rsidR="00AD5076" w:rsidRPr="00D36E0A">
        <w:rPr>
          <w:lang w:val="fr-FR"/>
        </w:rPr>
        <w:t xml:space="preserve"> </w:t>
      </w:r>
      <w:r w:rsidRPr="00D36E0A">
        <w:rPr>
          <w:lang w:val="fr-FR"/>
        </w:rPr>
        <w:t>de la </w:t>
      </w:r>
      <w:r w:rsidR="00AD5076" w:rsidRPr="00D36E0A">
        <w:rPr>
          <w:lang w:val="fr-FR"/>
        </w:rPr>
        <w:t>CD</w:t>
      </w:r>
      <w:r w:rsidRPr="00D36E0A">
        <w:rPr>
          <w:lang w:val="fr-FR"/>
        </w:rPr>
        <w:t>B</w:t>
      </w:r>
      <w:r w:rsidR="00AD5076" w:rsidRPr="00D36E0A">
        <w:rPr>
          <w:lang w:val="fr-FR"/>
        </w:rPr>
        <w:t xml:space="preserve"> </w:t>
      </w:r>
      <w:r w:rsidRPr="00D36E0A">
        <w:rPr>
          <w:lang w:val="fr-FR"/>
        </w:rPr>
        <w:t>et</w:t>
      </w:r>
      <w:r w:rsidR="00FD10B7" w:rsidRPr="00D36E0A">
        <w:rPr>
          <w:lang w:val="fr-FR"/>
        </w:rPr>
        <w:t>,</w:t>
      </w:r>
      <w:r w:rsidRPr="00D36E0A">
        <w:rPr>
          <w:lang w:val="fr-FR"/>
        </w:rPr>
        <w:t xml:space="preserve"> souvent</w:t>
      </w:r>
      <w:r w:rsidR="00AD5076" w:rsidRPr="00D36E0A">
        <w:rPr>
          <w:lang w:val="fr-FR"/>
        </w:rPr>
        <w:t>, i</w:t>
      </w:r>
      <w:r w:rsidRPr="00D36E0A">
        <w:rPr>
          <w:lang w:val="fr-FR"/>
        </w:rPr>
        <w:t>l n</w:t>
      </w:r>
      <w:r w:rsidR="00A27507" w:rsidRPr="00D36E0A">
        <w:rPr>
          <w:lang w:val="fr-FR"/>
        </w:rPr>
        <w:t>’</w:t>
      </w:r>
      <w:r w:rsidRPr="00D36E0A">
        <w:rPr>
          <w:lang w:val="fr-FR"/>
        </w:rPr>
        <w:t>existe pas de</w:t>
      </w:r>
      <w:r w:rsidR="00AD5076" w:rsidRPr="00D36E0A">
        <w:rPr>
          <w:lang w:val="fr-FR"/>
        </w:rPr>
        <w:t xml:space="preserve"> </w:t>
      </w:r>
      <w:r w:rsidR="003D509F" w:rsidRPr="00D36E0A">
        <w:rPr>
          <w:lang w:val="fr-FR"/>
        </w:rPr>
        <w:t>relation</w:t>
      </w:r>
      <w:r w:rsidR="00AD5076" w:rsidRPr="00D36E0A">
        <w:rPr>
          <w:lang w:val="fr-FR"/>
        </w:rPr>
        <w:t xml:space="preserve"> lin</w:t>
      </w:r>
      <w:r w:rsidR="003D509F" w:rsidRPr="00D36E0A">
        <w:rPr>
          <w:lang w:val="fr-FR"/>
        </w:rPr>
        <w:t>é</w:t>
      </w:r>
      <w:r w:rsidR="00AD5076" w:rsidRPr="00D36E0A">
        <w:rPr>
          <w:lang w:val="fr-FR"/>
        </w:rPr>
        <w:t>a</w:t>
      </w:r>
      <w:r w:rsidR="003D509F" w:rsidRPr="00D36E0A">
        <w:rPr>
          <w:lang w:val="fr-FR"/>
        </w:rPr>
        <w:t>i</w:t>
      </w:r>
      <w:r w:rsidR="00AD5076" w:rsidRPr="00D36E0A">
        <w:rPr>
          <w:lang w:val="fr-FR"/>
        </w:rPr>
        <w:t>r</w:t>
      </w:r>
      <w:r w:rsidR="003D509F" w:rsidRPr="00D36E0A">
        <w:rPr>
          <w:lang w:val="fr-FR"/>
        </w:rPr>
        <w:t>e</w:t>
      </w:r>
      <w:r w:rsidR="00AD5076" w:rsidRPr="00D36E0A">
        <w:rPr>
          <w:lang w:val="fr-FR"/>
        </w:rPr>
        <w:t xml:space="preserve"> </w:t>
      </w:r>
      <w:r w:rsidR="003D509F" w:rsidRPr="00D36E0A">
        <w:rPr>
          <w:lang w:val="fr-FR"/>
        </w:rPr>
        <w:t>simple entre la ressource génétique</w:t>
      </w:r>
      <w:r w:rsidR="00AD5076" w:rsidRPr="00D36E0A">
        <w:rPr>
          <w:lang w:val="fr-FR"/>
        </w:rPr>
        <w:t xml:space="preserve"> “origin</w:t>
      </w:r>
      <w:r w:rsidR="003D509F" w:rsidRPr="00D36E0A">
        <w:rPr>
          <w:lang w:val="fr-FR"/>
        </w:rPr>
        <w:t>e</w:t>
      </w:r>
      <w:r w:rsidR="00FD10B7" w:rsidRPr="00D36E0A">
        <w:rPr>
          <w:lang w:val="fr-FR"/>
        </w:rPr>
        <w:t>lle</w:t>
      </w:r>
      <w:r w:rsidR="00AD5076" w:rsidRPr="00D36E0A">
        <w:rPr>
          <w:lang w:val="fr-FR"/>
        </w:rPr>
        <w:t xml:space="preserve">” </w:t>
      </w:r>
      <w:r w:rsidR="003D509F" w:rsidRPr="00D36E0A">
        <w:rPr>
          <w:lang w:val="fr-FR"/>
        </w:rPr>
        <w:t>et la ressource génétique</w:t>
      </w:r>
      <w:r w:rsidR="00AD5076" w:rsidRPr="00D36E0A">
        <w:rPr>
          <w:lang w:val="fr-FR"/>
        </w:rPr>
        <w:t xml:space="preserve"> </w:t>
      </w:r>
      <w:r w:rsidR="003D509F" w:rsidRPr="00D36E0A">
        <w:rPr>
          <w:lang w:val="fr-FR"/>
        </w:rPr>
        <w:t>sur laquelle porte directement</w:t>
      </w:r>
      <w:r w:rsidR="00FD10B7" w:rsidRPr="00D36E0A">
        <w:rPr>
          <w:lang w:val="fr-FR"/>
        </w:rPr>
        <w:t xml:space="preserve"> l</w:t>
      </w:r>
      <w:r w:rsidR="00A27507" w:rsidRPr="00D36E0A">
        <w:rPr>
          <w:lang w:val="fr-FR"/>
        </w:rPr>
        <w:t>’</w:t>
      </w:r>
      <w:r w:rsidR="00FD10B7" w:rsidRPr="00D36E0A">
        <w:rPr>
          <w:lang w:val="fr-FR"/>
        </w:rPr>
        <w:t>inventi</w:t>
      </w:r>
      <w:r w:rsidR="00511F1C" w:rsidRPr="00D36E0A">
        <w:rPr>
          <w:lang w:val="fr-FR"/>
        </w:rPr>
        <w:t>on.  En</w:t>
      </w:r>
      <w:r w:rsidR="003D509F" w:rsidRPr="00D36E0A">
        <w:rPr>
          <w:lang w:val="fr-FR"/>
        </w:rPr>
        <w:t xml:space="preserve"> conséquence</w:t>
      </w:r>
      <w:r w:rsidR="00AD5076" w:rsidRPr="00D36E0A">
        <w:rPr>
          <w:lang w:val="fr-FR"/>
        </w:rPr>
        <w:t xml:space="preserve">, </w:t>
      </w:r>
      <w:r w:rsidR="00933075" w:rsidRPr="00D36E0A">
        <w:rPr>
          <w:lang w:val="fr-FR"/>
        </w:rPr>
        <w:t xml:space="preserve">il y a, pour </w:t>
      </w:r>
      <w:r w:rsidR="003D509F" w:rsidRPr="00D36E0A">
        <w:rPr>
          <w:lang w:val="fr-FR"/>
        </w:rPr>
        <w:t>certaines ressources génétiques</w:t>
      </w:r>
      <w:r w:rsidR="00933075" w:rsidRPr="00D36E0A">
        <w:rPr>
          <w:lang w:val="fr-FR"/>
        </w:rPr>
        <w:t>, un</w:t>
      </w:r>
      <w:r w:rsidR="00AD5076" w:rsidRPr="00D36E0A">
        <w:rPr>
          <w:lang w:val="fr-FR"/>
        </w:rPr>
        <w:t xml:space="preserve"> </w:t>
      </w:r>
      <w:r w:rsidR="00933075" w:rsidRPr="00D36E0A">
        <w:rPr>
          <w:lang w:val="fr-FR"/>
        </w:rPr>
        <w:t>manque d</w:t>
      </w:r>
      <w:r w:rsidR="00A27507" w:rsidRPr="00D36E0A">
        <w:rPr>
          <w:lang w:val="fr-FR"/>
        </w:rPr>
        <w:t>’</w:t>
      </w:r>
      <w:r w:rsidR="00933075" w:rsidRPr="00D36E0A">
        <w:rPr>
          <w:lang w:val="fr-FR"/>
        </w:rPr>
        <w:t xml:space="preserve">informations pertinentes </w:t>
      </w:r>
      <w:r w:rsidR="00FD10B7" w:rsidRPr="00D36E0A">
        <w:rPr>
          <w:lang w:val="fr-FR"/>
        </w:rPr>
        <w:t>afin</w:t>
      </w:r>
      <w:r w:rsidR="00933075" w:rsidRPr="00D36E0A">
        <w:rPr>
          <w:lang w:val="fr-FR"/>
        </w:rPr>
        <w:t xml:space="preserve"> de</w:t>
      </w:r>
      <w:r w:rsidR="00AD5076" w:rsidRPr="00D36E0A">
        <w:rPr>
          <w:lang w:val="fr-FR"/>
        </w:rPr>
        <w:t xml:space="preserve"> d</w:t>
      </w:r>
      <w:r w:rsidR="00933075" w:rsidRPr="00D36E0A">
        <w:rPr>
          <w:lang w:val="fr-FR"/>
        </w:rPr>
        <w:t>é</w:t>
      </w:r>
      <w:r w:rsidR="00AD5076" w:rsidRPr="00D36E0A">
        <w:rPr>
          <w:lang w:val="fr-FR"/>
        </w:rPr>
        <w:t>termine</w:t>
      </w:r>
      <w:r w:rsidR="003D509F" w:rsidRPr="00D36E0A">
        <w:rPr>
          <w:lang w:val="fr-FR"/>
        </w:rPr>
        <w:t>r la</w:t>
      </w:r>
      <w:r w:rsidR="00AD5076" w:rsidRPr="00D36E0A">
        <w:rPr>
          <w:lang w:val="fr-FR"/>
        </w:rPr>
        <w:t xml:space="preserve"> </w:t>
      </w:r>
      <w:r w:rsidR="003D509F" w:rsidRPr="00D36E0A">
        <w:rPr>
          <w:lang w:val="fr-FR"/>
        </w:rPr>
        <w:t xml:space="preserve">source </w:t>
      </w:r>
      <w:r w:rsidR="00AD5076" w:rsidRPr="00D36E0A">
        <w:rPr>
          <w:lang w:val="fr-FR"/>
        </w:rPr>
        <w:t>prima</w:t>
      </w:r>
      <w:r w:rsidR="003D509F" w:rsidRPr="00D36E0A">
        <w:rPr>
          <w:lang w:val="fr-FR"/>
        </w:rPr>
        <w:t>i</w:t>
      </w:r>
      <w:r w:rsidR="00511F1C" w:rsidRPr="00D36E0A">
        <w:rPr>
          <w:lang w:val="fr-FR"/>
        </w:rPr>
        <w:t>re.  Da</w:t>
      </w:r>
      <w:r w:rsidR="00933075" w:rsidRPr="00D36E0A">
        <w:rPr>
          <w:lang w:val="fr-FR"/>
        </w:rPr>
        <w:t>ns ces</w:t>
      </w:r>
      <w:r w:rsidR="00AD5076" w:rsidRPr="00D36E0A">
        <w:rPr>
          <w:lang w:val="fr-FR"/>
        </w:rPr>
        <w:t xml:space="preserve"> cas, </w:t>
      </w:r>
      <w:r w:rsidR="00933075" w:rsidRPr="00D36E0A">
        <w:rPr>
          <w:lang w:val="fr-FR"/>
        </w:rPr>
        <w:t>l</w:t>
      </w:r>
      <w:r w:rsidR="00AD5076" w:rsidRPr="00D36E0A">
        <w:rPr>
          <w:lang w:val="fr-FR"/>
        </w:rPr>
        <w:t xml:space="preserve">e </w:t>
      </w:r>
      <w:r w:rsidR="00FD10B7" w:rsidRPr="00D36E0A">
        <w:rPr>
          <w:lang w:val="fr-FR"/>
        </w:rPr>
        <w:t>déposant d</w:t>
      </w:r>
      <w:r w:rsidR="00A27507" w:rsidRPr="00D36E0A">
        <w:rPr>
          <w:lang w:val="fr-FR"/>
        </w:rPr>
        <w:t>’</w:t>
      </w:r>
      <w:r w:rsidR="00FD10B7" w:rsidRPr="00D36E0A">
        <w:rPr>
          <w:lang w:val="fr-FR"/>
        </w:rPr>
        <w:t>une</w:t>
      </w:r>
      <w:r w:rsidR="00933075" w:rsidRPr="00D36E0A">
        <w:rPr>
          <w:lang w:val="fr-FR"/>
        </w:rPr>
        <w:t xml:space="preserve"> demande de brevet doit divulguer une</w:t>
      </w:r>
      <w:r w:rsidR="00AD5076" w:rsidRPr="00D36E0A">
        <w:rPr>
          <w:lang w:val="fr-FR"/>
        </w:rPr>
        <w:t xml:space="preserve"> </w:t>
      </w:r>
      <w:r w:rsidR="00933075" w:rsidRPr="00D36E0A">
        <w:rPr>
          <w:lang w:val="fr-FR"/>
        </w:rPr>
        <w:t>source secondai</w:t>
      </w:r>
      <w:r w:rsidR="00511F1C" w:rsidRPr="00D36E0A">
        <w:rPr>
          <w:lang w:val="fr-FR"/>
        </w:rPr>
        <w:t>re.  Se</w:t>
      </w:r>
      <w:r w:rsidR="00933075" w:rsidRPr="00D36E0A">
        <w:rPr>
          <w:lang w:val="fr-FR"/>
        </w:rPr>
        <w:t>lon la situation</w:t>
      </w:r>
      <w:r w:rsidR="00AD5076" w:rsidRPr="00D36E0A">
        <w:rPr>
          <w:lang w:val="fr-FR"/>
        </w:rPr>
        <w:t xml:space="preserve">, </w:t>
      </w:r>
      <w:r w:rsidR="00933075" w:rsidRPr="00D36E0A">
        <w:rPr>
          <w:lang w:val="fr-FR"/>
        </w:rPr>
        <w:t>les sources secondaires peuvent</w:t>
      </w:r>
      <w:r w:rsidR="00AD5076" w:rsidRPr="00D36E0A">
        <w:rPr>
          <w:lang w:val="fr-FR"/>
        </w:rPr>
        <w:t xml:space="preserve">, </w:t>
      </w:r>
      <w:r w:rsidR="00933075" w:rsidRPr="00D36E0A">
        <w:rPr>
          <w:lang w:val="fr-FR"/>
        </w:rPr>
        <w:t>pa</w:t>
      </w:r>
      <w:r w:rsidR="00AD5076" w:rsidRPr="00D36E0A">
        <w:rPr>
          <w:lang w:val="fr-FR"/>
        </w:rPr>
        <w:t>r ex</w:t>
      </w:r>
      <w:r w:rsidR="00933075" w:rsidRPr="00D36E0A">
        <w:rPr>
          <w:lang w:val="fr-FR"/>
        </w:rPr>
        <w:t>e</w:t>
      </w:r>
      <w:r w:rsidR="00AD5076" w:rsidRPr="00D36E0A">
        <w:rPr>
          <w:lang w:val="fr-FR"/>
        </w:rPr>
        <w:t xml:space="preserve">mple, </w:t>
      </w:r>
      <w:r w:rsidR="00933075" w:rsidRPr="00D36E0A">
        <w:rPr>
          <w:lang w:val="fr-FR"/>
        </w:rPr>
        <w:t>être une</w:t>
      </w:r>
      <w:r w:rsidR="00AD5076" w:rsidRPr="00D36E0A">
        <w:rPr>
          <w:lang w:val="fr-FR"/>
        </w:rPr>
        <w:t xml:space="preserve"> </w:t>
      </w:r>
      <w:r w:rsidR="00933075" w:rsidRPr="00D36E0A">
        <w:rPr>
          <w:lang w:val="fr-FR"/>
        </w:rPr>
        <w:t xml:space="preserve">collection </w:t>
      </w:r>
      <w:r w:rsidR="00837C6D" w:rsidRPr="00D36E0A">
        <w:rPr>
          <w:i/>
          <w:lang w:val="fr-FR"/>
        </w:rPr>
        <w:t>ex</w:t>
      </w:r>
      <w:r w:rsidR="00511F1C" w:rsidRPr="00D36E0A">
        <w:rPr>
          <w:i/>
          <w:lang w:val="fr-FR"/>
        </w:rPr>
        <w:noBreakHyphen/>
      </w:r>
      <w:r w:rsidR="00AD5076" w:rsidRPr="00D36E0A">
        <w:rPr>
          <w:i/>
          <w:lang w:val="fr-FR"/>
        </w:rPr>
        <w:t>situ</w:t>
      </w:r>
      <w:r w:rsidR="00AD5076" w:rsidRPr="00D36E0A">
        <w:rPr>
          <w:lang w:val="fr-FR"/>
        </w:rPr>
        <w:t xml:space="preserve"> o</w:t>
      </w:r>
      <w:r w:rsidR="00933075" w:rsidRPr="00D36E0A">
        <w:rPr>
          <w:lang w:val="fr-FR"/>
        </w:rPr>
        <w:t>u</w:t>
      </w:r>
      <w:r w:rsidR="00AD5076" w:rsidRPr="00D36E0A">
        <w:rPr>
          <w:lang w:val="fr-FR"/>
        </w:rPr>
        <w:t xml:space="preserve">, </w:t>
      </w:r>
      <w:r w:rsidR="00933075" w:rsidRPr="00D36E0A">
        <w:rPr>
          <w:lang w:val="fr-FR"/>
        </w:rPr>
        <w:t>dans le cas des</w:t>
      </w:r>
      <w:r w:rsidR="00AD5076" w:rsidRPr="00D36E0A">
        <w:rPr>
          <w:lang w:val="fr-FR"/>
        </w:rPr>
        <w:t xml:space="preserve"> </w:t>
      </w:r>
      <w:r w:rsidR="00933075" w:rsidRPr="00D36E0A">
        <w:rPr>
          <w:lang w:val="fr-FR"/>
        </w:rPr>
        <w:t>savoirs</w:t>
      </w:r>
      <w:r w:rsidR="00AD5076" w:rsidRPr="00D36E0A">
        <w:rPr>
          <w:lang w:val="fr-FR"/>
        </w:rPr>
        <w:t xml:space="preserve"> traditio</w:t>
      </w:r>
      <w:r w:rsidR="00933075" w:rsidRPr="00D36E0A">
        <w:rPr>
          <w:lang w:val="fr-FR"/>
        </w:rPr>
        <w:t>nnels</w:t>
      </w:r>
      <w:r w:rsidR="00AD5076" w:rsidRPr="00D36E0A">
        <w:rPr>
          <w:lang w:val="fr-FR"/>
        </w:rPr>
        <w:t xml:space="preserve">, </w:t>
      </w:r>
      <w:r w:rsidR="00933075" w:rsidRPr="00D36E0A">
        <w:rPr>
          <w:lang w:val="fr-FR"/>
        </w:rPr>
        <w:t>de la littérature scientifique</w:t>
      </w:r>
      <w:r w:rsidR="00AD5076" w:rsidRPr="00D36E0A">
        <w:rPr>
          <w:lang w:val="fr-FR"/>
        </w:rPr>
        <w:t>.</w:t>
      </w:r>
      <w:bookmarkStart w:id="139" w:name="_Toc457391456"/>
      <w:bookmarkStart w:id="140" w:name="_Toc457394798"/>
      <w:bookmarkStart w:id="141" w:name="_Toc457988583"/>
      <w:bookmarkStart w:id="142" w:name="_Toc457989466"/>
      <w:bookmarkEnd w:id="126"/>
      <w:bookmarkEnd w:id="127"/>
      <w:bookmarkEnd w:id="128"/>
      <w:bookmarkEnd w:id="129"/>
      <w:bookmarkEnd w:id="134"/>
      <w:bookmarkEnd w:id="135"/>
      <w:bookmarkEnd w:id="136"/>
      <w:bookmarkEnd w:id="137"/>
      <w:bookmarkEnd w:id="138"/>
    </w:p>
    <w:p w:rsidR="00AD5076" w:rsidRPr="00D36E0A" w:rsidRDefault="00933075" w:rsidP="00D36E0A">
      <w:pPr>
        <w:pStyle w:val="ONUMFS"/>
        <w:rPr>
          <w:lang w:val="fr-FR"/>
        </w:rPr>
      </w:pPr>
      <w:bookmarkStart w:id="143" w:name="_Toc461721053"/>
      <w:r w:rsidRPr="00D36E0A">
        <w:rPr>
          <w:lang w:val="fr-FR"/>
        </w:rPr>
        <w:t>Dans les rar</w:t>
      </w:r>
      <w:r w:rsidR="00AD5076" w:rsidRPr="00D36E0A">
        <w:rPr>
          <w:lang w:val="fr-FR"/>
        </w:rPr>
        <w:t>e</w:t>
      </w:r>
      <w:r w:rsidRPr="00D36E0A">
        <w:rPr>
          <w:lang w:val="fr-FR"/>
        </w:rPr>
        <w:t>s</w:t>
      </w:r>
      <w:r w:rsidR="00AD5076" w:rsidRPr="00D36E0A">
        <w:rPr>
          <w:lang w:val="fr-FR"/>
        </w:rPr>
        <w:t xml:space="preserve"> cas</w:t>
      </w:r>
      <w:r w:rsidRPr="00D36E0A">
        <w:rPr>
          <w:lang w:val="fr-FR"/>
        </w:rPr>
        <w:t xml:space="preserve"> où</w:t>
      </w:r>
      <w:r w:rsidR="00AD5076" w:rsidRPr="00D36E0A">
        <w:rPr>
          <w:lang w:val="fr-FR"/>
        </w:rPr>
        <w:t xml:space="preserve"> </w:t>
      </w:r>
      <w:r w:rsidRPr="00D36E0A">
        <w:rPr>
          <w:lang w:val="fr-FR"/>
        </w:rPr>
        <w:t>les sources</w:t>
      </w:r>
      <w:r w:rsidR="00AD5076" w:rsidRPr="00D36E0A">
        <w:rPr>
          <w:lang w:val="fr-FR"/>
        </w:rPr>
        <w:t xml:space="preserve"> prima</w:t>
      </w:r>
      <w:r w:rsidRPr="00D36E0A">
        <w:rPr>
          <w:lang w:val="fr-FR"/>
        </w:rPr>
        <w:t>ire</w:t>
      </w:r>
      <w:r w:rsidR="00AD5076" w:rsidRPr="00D36E0A">
        <w:rPr>
          <w:lang w:val="fr-FR"/>
        </w:rPr>
        <w:t xml:space="preserve"> </w:t>
      </w:r>
      <w:r w:rsidRPr="00D36E0A">
        <w:rPr>
          <w:lang w:val="fr-FR"/>
        </w:rPr>
        <w:t>et</w:t>
      </w:r>
      <w:r w:rsidR="00AD5076" w:rsidRPr="00D36E0A">
        <w:rPr>
          <w:lang w:val="fr-FR"/>
        </w:rPr>
        <w:t xml:space="preserve"> </w:t>
      </w:r>
      <w:r w:rsidRPr="00D36E0A">
        <w:rPr>
          <w:lang w:val="fr-FR"/>
        </w:rPr>
        <w:t>secondaire ne sont pas connues du déposant</w:t>
      </w:r>
      <w:r w:rsidR="00AD5076" w:rsidRPr="00D36E0A">
        <w:rPr>
          <w:lang w:val="fr-FR"/>
        </w:rPr>
        <w:t>, o</w:t>
      </w:r>
      <w:r w:rsidRPr="00D36E0A">
        <w:rPr>
          <w:lang w:val="fr-FR"/>
        </w:rPr>
        <w:t>u</w:t>
      </w:r>
      <w:r w:rsidR="00AD5076" w:rsidRPr="00D36E0A">
        <w:rPr>
          <w:lang w:val="fr-FR"/>
        </w:rPr>
        <w:t xml:space="preserve"> </w:t>
      </w:r>
      <w:r w:rsidRPr="00D36E0A">
        <w:rPr>
          <w:lang w:val="fr-FR"/>
        </w:rPr>
        <w:t>si elles peuvent être</w:t>
      </w:r>
      <w:r w:rsidR="00AD5076" w:rsidRPr="00D36E0A">
        <w:rPr>
          <w:lang w:val="fr-FR"/>
        </w:rPr>
        <w:t xml:space="preserve"> d</w:t>
      </w:r>
      <w:r w:rsidRPr="00D36E0A">
        <w:rPr>
          <w:lang w:val="fr-FR"/>
        </w:rPr>
        <w:t>é</w:t>
      </w:r>
      <w:r w:rsidR="00AD5076" w:rsidRPr="00D36E0A">
        <w:rPr>
          <w:lang w:val="fr-FR"/>
        </w:rPr>
        <w:t>termin</w:t>
      </w:r>
      <w:r w:rsidRPr="00D36E0A">
        <w:rPr>
          <w:lang w:val="fr-FR"/>
        </w:rPr>
        <w:t>é</w:t>
      </w:r>
      <w:r w:rsidR="00AD5076" w:rsidRPr="00D36E0A">
        <w:rPr>
          <w:lang w:val="fr-FR"/>
        </w:rPr>
        <w:t>e</w:t>
      </w:r>
      <w:r w:rsidRPr="00D36E0A">
        <w:rPr>
          <w:lang w:val="fr-FR"/>
        </w:rPr>
        <w:t>s uniquement</w:t>
      </w:r>
      <w:r w:rsidR="00AD5076" w:rsidRPr="00D36E0A">
        <w:rPr>
          <w:lang w:val="fr-FR"/>
        </w:rPr>
        <w:t xml:space="preserve"> </w:t>
      </w:r>
      <w:r w:rsidRPr="00D36E0A">
        <w:rPr>
          <w:lang w:val="fr-FR"/>
        </w:rPr>
        <w:t>au prix d</w:t>
      </w:r>
      <w:r w:rsidR="00A27507" w:rsidRPr="00D36E0A">
        <w:rPr>
          <w:lang w:val="fr-FR"/>
        </w:rPr>
        <w:t>’</w:t>
      </w:r>
      <w:r w:rsidR="00AD5076" w:rsidRPr="00D36E0A">
        <w:rPr>
          <w:lang w:val="fr-FR"/>
        </w:rPr>
        <w:t>efforts</w:t>
      </w:r>
      <w:r w:rsidRPr="00D36E0A">
        <w:rPr>
          <w:lang w:val="fr-FR"/>
        </w:rPr>
        <w:t xml:space="preserve"> exagérés</w:t>
      </w:r>
      <w:r w:rsidR="00AD5076" w:rsidRPr="00D36E0A">
        <w:rPr>
          <w:lang w:val="fr-FR"/>
        </w:rPr>
        <w:t xml:space="preserve">, </w:t>
      </w:r>
      <w:r w:rsidRPr="00D36E0A">
        <w:rPr>
          <w:lang w:val="fr-FR"/>
        </w:rPr>
        <w:t>une</w:t>
      </w:r>
      <w:r w:rsidR="00AD5076" w:rsidRPr="00D36E0A">
        <w:rPr>
          <w:lang w:val="fr-FR"/>
        </w:rPr>
        <w:t xml:space="preserve"> d</w:t>
      </w:r>
      <w:r w:rsidRPr="00D36E0A">
        <w:rPr>
          <w:lang w:val="fr-FR"/>
        </w:rPr>
        <w:t>é</w:t>
      </w:r>
      <w:r w:rsidR="00AD5076" w:rsidRPr="00D36E0A">
        <w:rPr>
          <w:lang w:val="fr-FR"/>
        </w:rPr>
        <w:t xml:space="preserve">claration </w:t>
      </w:r>
      <w:r w:rsidRPr="00D36E0A">
        <w:rPr>
          <w:lang w:val="fr-FR"/>
        </w:rPr>
        <w:t>doit être faite à cet</w:t>
      </w:r>
      <w:r w:rsidR="00AD5076" w:rsidRPr="00D36E0A">
        <w:rPr>
          <w:lang w:val="fr-FR"/>
        </w:rPr>
        <w:t xml:space="preserve"> eff</w:t>
      </w:r>
      <w:bookmarkEnd w:id="139"/>
      <w:bookmarkEnd w:id="140"/>
      <w:bookmarkEnd w:id="141"/>
      <w:bookmarkEnd w:id="142"/>
      <w:r w:rsidR="00511F1C" w:rsidRPr="00D36E0A">
        <w:rPr>
          <w:lang w:val="fr-FR"/>
        </w:rPr>
        <w:t>et.  L’a</w:t>
      </w:r>
      <w:r w:rsidR="00AD5076" w:rsidRPr="00D36E0A">
        <w:rPr>
          <w:lang w:val="fr-FR"/>
        </w:rPr>
        <w:t>rticle</w:t>
      </w:r>
      <w:r w:rsidR="00580A55" w:rsidRPr="00D36E0A">
        <w:rPr>
          <w:lang w:val="fr-FR"/>
        </w:rPr>
        <w:t> </w:t>
      </w:r>
      <w:proofErr w:type="spellStart"/>
      <w:r w:rsidR="00AD5076" w:rsidRPr="00D36E0A">
        <w:rPr>
          <w:lang w:val="fr-FR"/>
        </w:rPr>
        <w:t>45</w:t>
      </w:r>
      <w:r w:rsidR="00AD5076" w:rsidRPr="00D36E0A">
        <w:rPr>
          <w:i/>
          <w:lang w:val="fr-FR"/>
        </w:rPr>
        <w:t>a</w:t>
      </w:r>
      <w:proofErr w:type="spellEnd"/>
      <w:r w:rsidR="00AD5076" w:rsidRPr="00D36E0A">
        <w:rPr>
          <w:lang w:val="fr-FR"/>
        </w:rPr>
        <w:t xml:space="preserve"> </w:t>
      </w:r>
      <w:r w:rsidRPr="00D36E0A">
        <w:rPr>
          <w:lang w:val="fr-FR"/>
        </w:rPr>
        <w:t>de l</w:t>
      </w:r>
      <w:r w:rsidR="00A27507" w:rsidRPr="00D36E0A">
        <w:rPr>
          <w:lang w:val="fr-FR"/>
        </w:rPr>
        <w:t>’</w:t>
      </w:r>
      <w:r w:rsidRPr="00D36E0A">
        <w:rPr>
          <w:lang w:val="fr-FR"/>
        </w:rPr>
        <w:t>OBI énumère l</w:t>
      </w:r>
      <w:r w:rsidR="00152104" w:rsidRPr="00D36E0A">
        <w:rPr>
          <w:lang w:val="fr-FR"/>
        </w:rPr>
        <w:t>es</w:t>
      </w:r>
      <w:r w:rsidR="00AD5076" w:rsidRPr="00D36E0A">
        <w:rPr>
          <w:lang w:val="fr-FR"/>
        </w:rPr>
        <w:t xml:space="preserve"> </w:t>
      </w:r>
      <w:r w:rsidR="00F520E6" w:rsidRPr="00D36E0A">
        <w:rPr>
          <w:lang w:val="fr-FR"/>
        </w:rPr>
        <w:t>principales</w:t>
      </w:r>
      <w:r w:rsidR="00AD5076" w:rsidRPr="00D36E0A">
        <w:rPr>
          <w:lang w:val="fr-FR"/>
        </w:rPr>
        <w:t xml:space="preserve"> sources </w:t>
      </w:r>
      <w:r w:rsidR="00F520E6" w:rsidRPr="00D36E0A">
        <w:rPr>
          <w:lang w:val="fr-FR"/>
        </w:rPr>
        <w:t xml:space="preserve">primaires </w:t>
      </w:r>
      <w:r w:rsidR="00AD5076" w:rsidRPr="00D36E0A">
        <w:rPr>
          <w:lang w:val="fr-FR"/>
        </w:rPr>
        <w:t>(lett</w:t>
      </w:r>
      <w:r w:rsidR="00F520E6" w:rsidRPr="00D36E0A">
        <w:rPr>
          <w:lang w:val="fr-FR"/>
        </w:rPr>
        <w:t>res a.</w:t>
      </w:r>
      <w:r w:rsidR="00511F1C" w:rsidRPr="00D36E0A">
        <w:rPr>
          <w:lang w:val="fr-FR"/>
        </w:rPr>
        <w:t xml:space="preserve"> </w:t>
      </w:r>
      <w:r w:rsidR="00F520E6" w:rsidRPr="00D36E0A">
        <w:rPr>
          <w:lang w:val="fr-FR"/>
        </w:rPr>
        <w:t>à</w:t>
      </w:r>
      <w:r w:rsidR="00511F1C" w:rsidRPr="00D36E0A">
        <w:rPr>
          <w:lang w:val="fr-FR"/>
        </w:rPr>
        <w:t> </w:t>
      </w:r>
      <w:r w:rsidR="00AD5076" w:rsidRPr="00D36E0A">
        <w:rPr>
          <w:lang w:val="fr-FR"/>
        </w:rPr>
        <w:t>g</w:t>
      </w:r>
      <w:r w:rsidR="00F520E6" w:rsidRPr="00D36E0A">
        <w:rPr>
          <w:lang w:val="fr-FR"/>
        </w:rPr>
        <w:t>.</w:t>
      </w:r>
      <w:r w:rsidR="00AD5076" w:rsidRPr="00D36E0A">
        <w:rPr>
          <w:lang w:val="fr-FR"/>
        </w:rPr>
        <w:t xml:space="preserve">) </w:t>
      </w:r>
      <w:r w:rsidR="00F520E6" w:rsidRPr="00D36E0A">
        <w:rPr>
          <w:lang w:val="fr-FR"/>
        </w:rPr>
        <w:t>ainsi que les</w:t>
      </w:r>
      <w:r w:rsidR="00AD5076" w:rsidRPr="00D36E0A">
        <w:rPr>
          <w:lang w:val="fr-FR"/>
        </w:rPr>
        <w:t xml:space="preserve"> sources </w:t>
      </w:r>
      <w:r w:rsidR="00F520E6" w:rsidRPr="00D36E0A">
        <w:rPr>
          <w:lang w:val="fr-FR"/>
        </w:rPr>
        <w:t xml:space="preserve">secondaires </w:t>
      </w:r>
      <w:r w:rsidR="00AD5076" w:rsidRPr="00D36E0A">
        <w:rPr>
          <w:lang w:val="fr-FR"/>
        </w:rPr>
        <w:t>(</w:t>
      </w:r>
      <w:r w:rsidR="00F520E6" w:rsidRPr="00D36E0A">
        <w:rPr>
          <w:lang w:val="fr-FR"/>
        </w:rPr>
        <w:t xml:space="preserve">lettres </w:t>
      </w:r>
      <w:r w:rsidR="00AD5076" w:rsidRPr="00D36E0A">
        <w:rPr>
          <w:lang w:val="fr-FR"/>
        </w:rPr>
        <w:t xml:space="preserve">e. </w:t>
      </w:r>
      <w:r w:rsidR="00F520E6" w:rsidRPr="00D36E0A">
        <w:rPr>
          <w:lang w:val="fr-FR"/>
        </w:rPr>
        <w:t>à</w:t>
      </w:r>
      <w:r w:rsidR="00511F1C" w:rsidRPr="00D36E0A">
        <w:rPr>
          <w:lang w:val="fr-FR"/>
        </w:rPr>
        <w:t> </w:t>
      </w:r>
      <w:r w:rsidR="00AD5076" w:rsidRPr="00D36E0A">
        <w:rPr>
          <w:lang w:val="fr-FR"/>
        </w:rPr>
        <w:t>f.) (</w:t>
      </w:r>
      <w:r w:rsidR="00F520E6" w:rsidRPr="00D36E0A">
        <w:rPr>
          <w:lang w:val="fr-FR"/>
        </w:rPr>
        <w:t>voir l</w:t>
      </w:r>
      <w:r w:rsidR="00A27507" w:rsidRPr="00D36E0A">
        <w:rPr>
          <w:lang w:val="fr-FR"/>
        </w:rPr>
        <w:t>’</w:t>
      </w:r>
      <w:r w:rsidR="00F520E6" w:rsidRPr="00D36E0A">
        <w:rPr>
          <w:lang w:val="fr-FR"/>
        </w:rPr>
        <w:t>a</w:t>
      </w:r>
      <w:r w:rsidR="00AD5076" w:rsidRPr="00D36E0A">
        <w:rPr>
          <w:lang w:val="fr-FR"/>
        </w:rPr>
        <w:t>nnex</w:t>
      </w:r>
      <w:r w:rsidR="00F520E6" w:rsidRPr="00D36E0A">
        <w:rPr>
          <w:lang w:val="fr-FR"/>
        </w:rPr>
        <w:t>e </w:t>
      </w:r>
      <w:r w:rsidR="00AD5076" w:rsidRPr="00D36E0A">
        <w:rPr>
          <w:lang w:val="fr-FR"/>
        </w:rPr>
        <w:t>1).</w:t>
      </w:r>
      <w:bookmarkEnd w:id="143"/>
    </w:p>
    <w:p w:rsidR="00AD5076" w:rsidRPr="00D36E0A" w:rsidRDefault="00837C6D" w:rsidP="00D36E0A">
      <w:pPr>
        <w:pStyle w:val="ONUMFS"/>
        <w:rPr>
          <w:lang w:val="fr-FR"/>
        </w:rPr>
      </w:pPr>
      <w:bookmarkStart w:id="144" w:name="_Toc461721054"/>
      <w:r w:rsidRPr="00D36E0A">
        <w:rPr>
          <w:lang w:val="fr-FR"/>
        </w:rPr>
        <w:t xml:space="preserve">Ces explications plutôt techniques peuvent être </w:t>
      </w:r>
      <w:r w:rsidR="00AD5076" w:rsidRPr="00D36E0A">
        <w:rPr>
          <w:lang w:val="fr-FR"/>
        </w:rPr>
        <w:t>illustr</w:t>
      </w:r>
      <w:r w:rsidRPr="00D36E0A">
        <w:rPr>
          <w:lang w:val="fr-FR"/>
        </w:rPr>
        <w:t>ées par l</w:t>
      </w:r>
      <w:r w:rsidR="00A27507" w:rsidRPr="00D36E0A">
        <w:rPr>
          <w:lang w:val="fr-FR"/>
        </w:rPr>
        <w:t>’</w:t>
      </w:r>
      <w:r w:rsidR="00AD5076" w:rsidRPr="00D36E0A">
        <w:rPr>
          <w:lang w:val="fr-FR"/>
        </w:rPr>
        <w:t>ex</w:t>
      </w:r>
      <w:r w:rsidRPr="00D36E0A">
        <w:rPr>
          <w:lang w:val="fr-FR"/>
        </w:rPr>
        <w:t>e</w:t>
      </w:r>
      <w:r w:rsidR="00AD5076" w:rsidRPr="00D36E0A">
        <w:rPr>
          <w:lang w:val="fr-FR"/>
        </w:rPr>
        <w:t xml:space="preserve">mple </w:t>
      </w:r>
      <w:r w:rsidRPr="00D36E0A">
        <w:rPr>
          <w:lang w:val="fr-FR"/>
        </w:rPr>
        <w:t>de l</w:t>
      </w:r>
      <w:r w:rsidR="00A27507" w:rsidRPr="00D36E0A">
        <w:rPr>
          <w:lang w:val="fr-FR"/>
        </w:rPr>
        <w:t>’</w:t>
      </w:r>
      <w:r w:rsidR="00AF79FD" w:rsidRPr="00D36E0A">
        <w:rPr>
          <w:lang w:val="fr-FR"/>
        </w:rPr>
        <w:t>edelweiss</w:t>
      </w:r>
      <w:r w:rsidR="00AD5076" w:rsidRPr="00D36E0A">
        <w:rPr>
          <w:lang w:val="fr-FR"/>
        </w:rPr>
        <w:t xml:space="preserve"> </w:t>
      </w:r>
      <w:r w:rsidRPr="00D36E0A">
        <w:rPr>
          <w:lang w:val="fr-FR"/>
        </w:rPr>
        <w:t xml:space="preserve">des Alpes </w:t>
      </w:r>
      <w:r w:rsidR="00AD5076" w:rsidRPr="00D36E0A">
        <w:rPr>
          <w:lang w:val="fr-FR"/>
        </w:rPr>
        <w:t>(</w:t>
      </w:r>
      <w:r w:rsidR="00AD5076" w:rsidRPr="00D36E0A">
        <w:rPr>
          <w:i/>
          <w:lang w:val="fr-FR"/>
        </w:rPr>
        <w:t xml:space="preserve">Leontopodium </w:t>
      </w:r>
      <w:proofErr w:type="spellStart"/>
      <w:r w:rsidR="00AD5076" w:rsidRPr="00D36E0A">
        <w:rPr>
          <w:i/>
          <w:lang w:val="fr-FR"/>
        </w:rPr>
        <w:t>alpin</w:t>
      </w:r>
      <w:r w:rsidR="00511F1C" w:rsidRPr="00D36E0A">
        <w:rPr>
          <w:i/>
          <w:lang w:val="fr-FR"/>
        </w:rPr>
        <w:t>um</w:t>
      </w:r>
      <w:proofErr w:type="spellEnd"/>
      <w:r w:rsidR="00511F1C" w:rsidRPr="00D36E0A">
        <w:rPr>
          <w:lang w:val="fr-FR"/>
        </w:rPr>
        <w:t>)</w:t>
      </w:r>
      <w:r w:rsidR="00511F1C" w:rsidRPr="00D36E0A">
        <w:rPr>
          <w:i/>
          <w:lang w:val="fr-FR"/>
        </w:rPr>
        <w:t xml:space="preserve">.  </w:t>
      </w:r>
      <w:r w:rsidR="00511F1C" w:rsidRPr="00D36E0A">
        <w:rPr>
          <w:lang w:val="fr-FR"/>
        </w:rPr>
        <w:t>Ce</w:t>
      </w:r>
      <w:r w:rsidRPr="00D36E0A">
        <w:rPr>
          <w:lang w:val="fr-FR"/>
        </w:rPr>
        <w:t>tte espèce</w:t>
      </w:r>
      <w:r w:rsidR="00AD5076" w:rsidRPr="00D36E0A">
        <w:rPr>
          <w:lang w:val="fr-FR"/>
        </w:rPr>
        <w:t xml:space="preserve"> conti</w:t>
      </w:r>
      <w:r w:rsidRPr="00D36E0A">
        <w:rPr>
          <w:lang w:val="fr-FR"/>
        </w:rPr>
        <w:t>ent des propriétés pharmaceutiques et</w:t>
      </w:r>
      <w:r w:rsidR="00AD5076" w:rsidRPr="00D36E0A">
        <w:rPr>
          <w:lang w:val="fr-FR"/>
        </w:rPr>
        <w:t xml:space="preserve"> cosm</w:t>
      </w:r>
      <w:r w:rsidRPr="00D36E0A">
        <w:rPr>
          <w:lang w:val="fr-FR"/>
        </w:rPr>
        <w:t>étiqu</w:t>
      </w:r>
      <w:r w:rsidR="00AD5076" w:rsidRPr="00D36E0A">
        <w:rPr>
          <w:lang w:val="fr-FR"/>
        </w:rPr>
        <w:t>es</w:t>
      </w:r>
      <w:r w:rsidR="00AD5076" w:rsidRPr="00D36E0A" w:rsidDel="00DC5E90">
        <w:rPr>
          <w:lang w:val="fr-FR"/>
        </w:rPr>
        <w:t xml:space="preserve"> </w:t>
      </w:r>
      <w:r w:rsidRPr="00D36E0A">
        <w:rPr>
          <w:lang w:val="fr-FR"/>
        </w:rPr>
        <w:t xml:space="preserve">et peut </w:t>
      </w:r>
      <w:r w:rsidR="00C515E3" w:rsidRPr="00D36E0A">
        <w:rPr>
          <w:lang w:val="fr-FR"/>
        </w:rPr>
        <w:t>exister dans des conditions</w:t>
      </w:r>
      <w:r w:rsidR="00AD5076" w:rsidRPr="00D36E0A">
        <w:rPr>
          <w:lang w:val="fr-FR"/>
        </w:rPr>
        <w:t xml:space="preserve"> </w:t>
      </w:r>
      <w:r w:rsidR="00AF79FD" w:rsidRPr="00D36E0A">
        <w:rPr>
          <w:i/>
          <w:lang w:val="fr-FR"/>
        </w:rPr>
        <w:t>in situ</w:t>
      </w:r>
      <w:r w:rsidR="00C515E3" w:rsidRPr="00D36E0A">
        <w:rPr>
          <w:lang w:val="fr-FR"/>
        </w:rPr>
        <w:t xml:space="preserve">, </w:t>
      </w:r>
      <w:r w:rsidRPr="00D36E0A">
        <w:rPr>
          <w:lang w:val="fr-FR"/>
        </w:rPr>
        <w:t>dans des pays alpin</w:t>
      </w:r>
      <w:r w:rsidR="00AD5076" w:rsidRPr="00D36E0A">
        <w:rPr>
          <w:lang w:val="fr-FR"/>
        </w:rPr>
        <w:t xml:space="preserve">s </w:t>
      </w:r>
      <w:r w:rsidRPr="00D36E0A">
        <w:rPr>
          <w:lang w:val="fr-FR"/>
        </w:rPr>
        <w:t>qui sont les pays d</w:t>
      </w:r>
      <w:r w:rsidR="00A27507" w:rsidRPr="00D36E0A">
        <w:rPr>
          <w:lang w:val="fr-FR"/>
        </w:rPr>
        <w:t>’</w:t>
      </w:r>
      <w:r w:rsidRPr="00D36E0A">
        <w:rPr>
          <w:lang w:val="fr-FR"/>
        </w:rPr>
        <w:t>origine de cette</w:t>
      </w:r>
      <w:r w:rsidR="00AD5076" w:rsidRPr="00D36E0A">
        <w:rPr>
          <w:lang w:val="fr-FR"/>
        </w:rPr>
        <w:t xml:space="preserve"> plant</w:t>
      </w:r>
      <w:r w:rsidRPr="00D36E0A">
        <w:rPr>
          <w:lang w:val="fr-FR"/>
        </w:rPr>
        <w:t>e</w:t>
      </w:r>
      <w:r w:rsidR="00AD5076" w:rsidRPr="00D36E0A">
        <w:rPr>
          <w:lang w:val="fr-FR"/>
        </w:rPr>
        <w:t xml:space="preserve"> </w:t>
      </w:r>
      <w:r w:rsidRPr="00D36E0A">
        <w:rPr>
          <w:lang w:val="fr-FR"/>
        </w:rPr>
        <w:t>comme l</w:t>
      </w:r>
      <w:r w:rsidR="00A27507" w:rsidRPr="00D36E0A">
        <w:rPr>
          <w:lang w:val="fr-FR"/>
        </w:rPr>
        <w:t>’</w:t>
      </w:r>
      <w:r w:rsidRPr="00D36E0A">
        <w:rPr>
          <w:lang w:val="fr-FR"/>
        </w:rPr>
        <w:t>Au</w:t>
      </w:r>
      <w:r w:rsidR="00AD5076" w:rsidRPr="00D36E0A">
        <w:rPr>
          <w:lang w:val="fr-FR"/>
        </w:rPr>
        <w:t>tri</w:t>
      </w:r>
      <w:r w:rsidRPr="00D36E0A">
        <w:rPr>
          <w:lang w:val="fr-FR"/>
        </w:rPr>
        <w:t>che</w:t>
      </w:r>
      <w:r w:rsidR="00AD5076" w:rsidRPr="00D36E0A">
        <w:rPr>
          <w:lang w:val="fr-FR"/>
        </w:rPr>
        <w:t xml:space="preserve"> (A), </w:t>
      </w:r>
      <w:r w:rsidRPr="00D36E0A">
        <w:rPr>
          <w:lang w:val="fr-FR"/>
        </w:rPr>
        <w:t xml:space="preserve">la </w:t>
      </w:r>
      <w:r w:rsidR="00AD5076" w:rsidRPr="00D36E0A">
        <w:rPr>
          <w:lang w:val="fr-FR"/>
        </w:rPr>
        <w:t xml:space="preserve">France (F), </w:t>
      </w:r>
      <w:r w:rsidRPr="00D36E0A">
        <w:rPr>
          <w:lang w:val="fr-FR"/>
        </w:rPr>
        <w:t>l</w:t>
      </w:r>
      <w:r w:rsidR="00A27507" w:rsidRPr="00D36E0A">
        <w:rPr>
          <w:lang w:val="fr-FR"/>
        </w:rPr>
        <w:t>’</w:t>
      </w:r>
      <w:r w:rsidRPr="00D36E0A">
        <w:rPr>
          <w:lang w:val="fr-FR"/>
        </w:rPr>
        <w:t>Allemagne</w:t>
      </w:r>
      <w:r w:rsidR="00AD5076" w:rsidRPr="00D36E0A">
        <w:rPr>
          <w:lang w:val="fr-FR"/>
        </w:rPr>
        <w:t xml:space="preserve"> (D), </w:t>
      </w:r>
      <w:r w:rsidRPr="00D36E0A">
        <w:rPr>
          <w:lang w:val="fr-FR"/>
        </w:rPr>
        <w:t>l</w:t>
      </w:r>
      <w:r w:rsidR="00A27507" w:rsidRPr="00D36E0A">
        <w:rPr>
          <w:lang w:val="fr-FR"/>
        </w:rPr>
        <w:t>’</w:t>
      </w:r>
      <w:r w:rsidR="00AD5076" w:rsidRPr="00D36E0A">
        <w:rPr>
          <w:lang w:val="fr-FR"/>
        </w:rPr>
        <w:t>Ital</w:t>
      </w:r>
      <w:r w:rsidRPr="00D36E0A">
        <w:rPr>
          <w:lang w:val="fr-FR"/>
        </w:rPr>
        <w:t>ie</w:t>
      </w:r>
      <w:r w:rsidR="00AD5076" w:rsidRPr="00D36E0A">
        <w:rPr>
          <w:lang w:val="fr-FR"/>
        </w:rPr>
        <w:t xml:space="preserve"> (I)</w:t>
      </w:r>
      <w:r w:rsidRPr="00D36E0A">
        <w:rPr>
          <w:lang w:val="fr-FR"/>
        </w:rPr>
        <w:t xml:space="preserve"> et</w:t>
      </w:r>
      <w:r w:rsidR="00AD5076" w:rsidRPr="00D36E0A">
        <w:rPr>
          <w:lang w:val="fr-FR"/>
        </w:rPr>
        <w:t xml:space="preserve"> </w:t>
      </w:r>
      <w:r w:rsidRPr="00D36E0A">
        <w:rPr>
          <w:lang w:val="fr-FR"/>
        </w:rPr>
        <w:t>la Suisse</w:t>
      </w:r>
      <w:r w:rsidR="00AD5076" w:rsidRPr="00D36E0A">
        <w:rPr>
          <w:lang w:val="fr-FR"/>
        </w:rPr>
        <w:t xml:space="preserve"> (</w:t>
      </w:r>
      <w:proofErr w:type="spellStart"/>
      <w:r w:rsidR="00AD5076" w:rsidRPr="00D36E0A">
        <w:rPr>
          <w:lang w:val="fr-FR"/>
        </w:rPr>
        <w:t>CH</w:t>
      </w:r>
      <w:proofErr w:type="spellEnd"/>
      <w:r w:rsidR="00AD5076" w:rsidRPr="00D36E0A">
        <w:rPr>
          <w:lang w:val="fr-FR"/>
        </w:rPr>
        <w:t xml:space="preserve">), </w:t>
      </w:r>
      <w:r w:rsidRPr="00D36E0A">
        <w:rPr>
          <w:lang w:val="fr-FR"/>
        </w:rPr>
        <w:t>entre autres</w:t>
      </w:r>
      <w:r w:rsidR="00AD5076" w:rsidRPr="00D36E0A">
        <w:rPr>
          <w:lang w:val="fr-FR"/>
        </w:rPr>
        <w:t xml:space="preserve"> (</w:t>
      </w:r>
      <w:r w:rsidRPr="00D36E0A">
        <w:rPr>
          <w:lang w:val="fr-FR"/>
        </w:rPr>
        <w:t>voir</w:t>
      </w:r>
      <w:r w:rsidR="00AD5076" w:rsidRPr="00D36E0A">
        <w:rPr>
          <w:lang w:val="fr-FR"/>
        </w:rPr>
        <w:t xml:space="preserve"> illustration </w:t>
      </w:r>
      <w:r w:rsidRPr="00D36E0A">
        <w:rPr>
          <w:lang w:val="fr-FR"/>
        </w:rPr>
        <w:t>ci</w:t>
      </w:r>
      <w:r w:rsidR="00511F1C" w:rsidRPr="00D36E0A">
        <w:rPr>
          <w:lang w:val="fr-FR"/>
        </w:rPr>
        <w:noBreakHyphen/>
      </w:r>
      <w:r w:rsidRPr="00D36E0A">
        <w:rPr>
          <w:lang w:val="fr-FR"/>
        </w:rPr>
        <w:t>desso</w:t>
      </w:r>
      <w:r w:rsidR="00511F1C" w:rsidRPr="00D36E0A">
        <w:rPr>
          <w:lang w:val="fr-FR"/>
        </w:rPr>
        <w:t>us).  Né</w:t>
      </w:r>
      <w:r w:rsidRPr="00D36E0A">
        <w:rPr>
          <w:lang w:val="fr-FR"/>
        </w:rPr>
        <w:t>anmoins</w:t>
      </w:r>
      <w:r w:rsidR="00AD5076" w:rsidRPr="00D36E0A">
        <w:rPr>
          <w:lang w:val="fr-FR"/>
        </w:rPr>
        <w:t xml:space="preserve">, </w:t>
      </w:r>
      <w:r w:rsidRPr="00D36E0A">
        <w:rPr>
          <w:lang w:val="fr-FR"/>
        </w:rPr>
        <w:t>elle peut également</w:t>
      </w:r>
      <w:r w:rsidR="00AD5076" w:rsidRPr="00D36E0A">
        <w:rPr>
          <w:lang w:val="fr-FR"/>
        </w:rPr>
        <w:t xml:space="preserve"> </w:t>
      </w:r>
      <w:r w:rsidR="00C71C81" w:rsidRPr="00D36E0A">
        <w:rPr>
          <w:lang w:val="fr-FR"/>
        </w:rPr>
        <w:t xml:space="preserve">exister dans des conditions </w:t>
      </w:r>
      <w:r w:rsidR="00AF79FD" w:rsidRPr="00D36E0A">
        <w:rPr>
          <w:i/>
          <w:lang w:val="fr-FR"/>
        </w:rPr>
        <w:t>in situ</w:t>
      </w:r>
      <w:r w:rsidR="00AD5076" w:rsidRPr="00D36E0A">
        <w:rPr>
          <w:lang w:val="fr-FR"/>
        </w:rPr>
        <w:t xml:space="preserve"> </w:t>
      </w:r>
      <w:r w:rsidR="00C71C81" w:rsidRPr="00D36E0A">
        <w:rPr>
          <w:lang w:val="fr-FR"/>
        </w:rPr>
        <w:t>dans des pays des</w:t>
      </w:r>
      <w:r w:rsidR="00AD5076" w:rsidRPr="00D36E0A">
        <w:rPr>
          <w:lang w:val="fr-FR"/>
        </w:rPr>
        <w:t xml:space="preserve"> Carpat</w:t>
      </w:r>
      <w:r w:rsidR="00C71C81" w:rsidRPr="00D36E0A">
        <w:rPr>
          <w:lang w:val="fr-FR"/>
        </w:rPr>
        <w:t>e</w:t>
      </w:r>
      <w:r w:rsidR="00AD5076" w:rsidRPr="00D36E0A">
        <w:rPr>
          <w:lang w:val="fr-FR"/>
        </w:rPr>
        <w:t xml:space="preserve">s, </w:t>
      </w:r>
      <w:r w:rsidR="00C71C81" w:rsidRPr="00D36E0A">
        <w:rPr>
          <w:lang w:val="fr-FR"/>
        </w:rPr>
        <w:t>comme la</w:t>
      </w:r>
      <w:r w:rsidR="00AD5076" w:rsidRPr="00D36E0A">
        <w:rPr>
          <w:lang w:val="fr-FR"/>
        </w:rPr>
        <w:t xml:space="preserve"> Ro</w:t>
      </w:r>
      <w:r w:rsidR="00C71C81" w:rsidRPr="00D36E0A">
        <w:rPr>
          <w:lang w:val="fr-FR"/>
        </w:rPr>
        <w:t>u</w:t>
      </w:r>
      <w:r w:rsidR="00AD5076" w:rsidRPr="00D36E0A">
        <w:rPr>
          <w:lang w:val="fr-FR"/>
        </w:rPr>
        <w:t>mani</w:t>
      </w:r>
      <w:r w:rsidR="00C71C81" w:rsidRPr="00D36E0A">
        <w:rPr>
          <w:lang w:val="fr-FR"/>
        </w:rPr>
        <w:t>e</w:t>
      </w:r>
      <w:r w:rsidR="00AD5076" w:rsidRPr="00D36E0A">
        <w:rPr>
          <w:lang w:val="fr-FR"/>
        </w:rPr>
        <w:t xml:space="preserve"> (</w:t>
      </w:r>
      <w:proofErr w:type="spellStart"/>
      <w:r w:rsidR="00AD5076" w:rsidRPr="00D36E0A">
        <w:rPr>
          <w:lang w:val="fr-FR"/>
        </w:rPr>
        <w:t>RO</w:t>
      </w:r>
      <w:proofErr w:type="spellEnd"/>
      <w:r w:rsidR="00AD5076" w:rsidRPr="00D36E0A">
        <w:rPr>
          <w:lang w:val="fr-FR"/>
        </w:rPr>
        <w:t xml:space="preserve">), </w:t>
      </w:r>
      <w:r w:rsidR="00C71C81" w:rsidRPr="00D36E0A">
        <w:rPr>
          <w:lang w:val="fr-FR"/>
        </w:rPr>
        <w:t>ainsi que dans certains pays des Balkan</w:t>
      </w:r>
      <w:r w:rsidR="00AD5076" w:rsidRPr="00D36E0A">
        <w:rPr>
          <w:lang w:val="fr-FR"/>
        </w:rPr>
        <w:t xml:space="preserve">s, </w:t>
      </w:r>
      <w:r w:rsidR="00C71C81" w:rsidRPr="00D36E0A">
        <w:rPr>
          <w:lang w:val="fr-FR"/>
        </w:rPr>
        <w:t>qui sont donc aussi des pays</w:t>
      </w:r>
      <w:r w:rsidR="00AD5076" w:rsidRPr="00D36E0A">
        <w:rPr>
          <w:lang w:val="fr-FR"/>
        </w:rPr>
        <w:t xml:space="preserve"> </w:t>
      </w:r>
      <w:r w:rsidR="00C71C81" w:rsidRPr="00D36E0A">
        <w:rPr>
          <w:lang w:val="fr-FR"/>
        </w:rPr>
        <w:t>d</w:t>
      </w:r>
      <w:r w:rsidR="00A27507" w:rsidRPr="00D36E0A">
        <w:rPr>
          <w:lang w:val="fr-FR"/>
        </w:rPr>
        <w:t>’</w:t>
      </w:r>
      <w:r w:rsidR="00AD5076" w:rsidRPr="00D36E0A">
        <w:rPr>
          <w:lang w:val="fr-FR"/>
        </w:rPr>
        <w:t>origi</w:t>
      </w:r>
      <w:r w:rsidR="00511F1C" w:rsidRPr="00D36E0A">
        <w:rPr>
          <w:lang w:val="fr-FR"/>
        </w:rPr>
        <w:t>ne.  En</w:t>
      </w:r>
      <w:r w:rsidR="00C71C81" w:rsidRPr="00D36E0A">
        <w:rPr>
          <w:lang w:val="fr-FR"/>
        </w:rPr>
        <w:t xml:space="preserve"> outre</w:t>
      </w:r>
      <w:r w:rsidR="00AD5076" w:rsidRPr="00D36E0A">
        <w:rPr>
          <w:lang w:val="fr-FR"/>
        </w:rPr>
        <w:t xml:space="preserve">, </w:t>
      </w:r>
      <w:r w:rsidR="00C71C81" w:rsidRPr="00D36E0A">
        <w:rPr>
          <w:lang w:val="fr-FR"/>
        </w:rPr>
        <w:t>à ce jour</w:t>
      </w:r>
      <w:r w:rsidR="00AD5076" w:rsidRPr="00D36E0A">
        <w:rPr>
          <w:lang w:val="fr-FR"/>
        </w:rPr>
        <w:t xml:space="preserve">, </w:t>
      </w:r>
      <w:r w:rsidR="00C71C81" w:rsidRPr="00D36E0A">
        <w:rPr>
          <w:lang w:val="fr-FR"/>
        </w:rPr>
        <w:t>la</w:t>
      </w:r>
      <w:r w:rsidR="00AD5076" w:rsidRPr="00D36E0A">
        <w:rPr>
          <w:lang w:val="fr-FR"/>
        </w:rPr>
        <w:t xml:space="preserve"> plant</w:t>
      </w:r>
      <w:r w:rsidR="00C71C81" w:rsidRPr="00D36E0A">
        <w:rPr>
          <w:lang w:val="fr-FR"/>
        </w:rPr>
        <w:t>e</w:t>
      </w:r>
      <w:r w:rsidR="00AD5076" w:rsidRPr="00D36E0A">
        <w:rPr>
          <w:lang w:val="fr-FR"/>
        </w:rPr>
        <w:t xml:space="preserve"> </w:t>
      </w:r>
      <w:r w:rsidR="00C71C81" w:rsidRPr="00D36E0A">
        <w:rPr>
          <w:lang w:val="fr-FR"/>
        </w:rPr>
        <w:t>est également cultivée dans des</w:t>
      </w:r>
      <w:r w:rsidR="00AD5076" w:rsidRPr="00D36E0A">
        <w:rPr>
          <w:lang w:val="fr-FR"/>
        </w:rPr>
        <w:t xml:space="preserve"> </w:t>
      </w:r>
      <w:r w:rsidR="00C71C81" w:rsidRPr="00D36E0A">
        <w:rPr>
          <w:lang w:val="fr-FR"/>
        </w:rPr>
        <w:t>conditions</w:t>
      </w:r>
      <w:r w:rsidR="00C71C81" w:rsidRPr="00D36E0A">
        <w:rPr>
          <w:i/>
          <w:lang w:val="fr-FR"/>
        </w:rPr>
        <w:t xml:space="preserve"> </w:t>
      </w:r>
      <w:r w:rsidR="00AD5076" w:rsidRPr="00D36E0A">
        <w:rPr>
          <w:i/>
          <w:lang w:val="fr-FR"/>
        </w:rPr>
        <w:t>ex</w:t>
      </w:r>
      <w:r w:rsidR="00511F1C" w:rsidRPr="00D36E0A">
        <w:rPr>
          <w:i/>
          <w:lang w:val="fr-FR"/>
        </w:rPr>
        <w:noBreakHyphen/>
      </w:r>
      <w:r w:rsidR="00AD5076" w:rsidRPr="00D36E0A">
        <w:rPr>
          <w:i/>
          <w:lang w:val="fr-FR"/>
        </w:rPr>
        <w:t>si</w:t>
      </w:r>
      <w:r w:rsidR="00511F1C" w:rsidRPr="00D36E0A">
        <w:rPr>
          <w:i/>
          <w:lang w:val="fr-FR"/>
        </w:rPr>
        <w:t xml:space="preserve">tu.  </w:t>
      </w:r>
      <w:r w:rsidR="00511F1C" w:rsidRPr="00D36E0A">
        <w:rPr>
          <w:lang w:val="fr-FR"/>
        </w:rPr>
        <w:t>En</w:t>
      </w:r>
      <w:r w:rsidR="00C71C81" w:rsidRPr="00D36E0A">
        <w:rPr>
          <w:lang w:val="fr-FR"/>
        </w:rPr>
        <w:t xml:space="preserve"> conséquence</w:t>
      </w:r>
      <w:r w:rsidR="00AD5076" w:rsidRPr="00D36E0A">
        <w:rPr>
          <w:lang w:val="fr-FR"/>
        </w:rPr>
        <w:t xml:space="preserve">, </w:t>
      </w:r>
      <w:r w:rsidR="00C71C81" w:rsidRPr="00D36E0A">
        <w:rPr>
          <w:lang w:val="fr-FR"/>
        </w:rPr>
        <w:t>elle peut également exister, par exemple, dans des jardins</w:t>
      </w:r>
      <w:r w:rsidR="00AD5076" w:rsidRPr="00D36E0A">
        <w:rPr>
          <w:lang w:val="fr-FR"/>
        </w:rPr>
        <w:t xml:space="preserve"> </w:t>
      </w:r>
      <w:r w:rsidR="00C71C81" w:rsidRPr="00D36E0A">
        <w:rPr>
          <w:lang w:val="fr-FR"/>
        </w:rPr>
        <w:t>botaniques situés ailleurs que dans un pays</w:t>
      </w:r>
      <w:r w:rsidR="00AD5076" w:rsidRPr="00D36E0A">
        <w:rPr>
          <w:lang w:val="fr-FR"/>
        </w:rPr>
        <w:t xml:space="preserve"> </w:t>
      </w:r>
      <w:r w:rsidR="00C71C81" w:rsidRPr="00D36E0A">
        <w:rPr>
          <w:lang w:val="fr-FR"/>
        </w:rPr>
        <w:t>d</w:t>
      </w:r>
      <w:r w:rsidR="00A27507" w:rsidRPr="00D36E0A">
        <w:rPr>
          <w:lang w:val="fr-FR"/>
        </w:rPr>
        <w:t>’</w:t>
      </w:r>
      <w:r w:rsidR="00AD5076" w:rsidRPr="00D36E0A">
        <w:rPr>
          <w:lang w:val="fr-FR"/>
        </w:rPr>
        <w:t>origin</w:t>
      </w:r>
      <w:r w:rsidR="00C71C81" w:rsidRPr="00D36E0A">
        <w:rPr>
          <w:lang w:val="fr-FR"/>
        </w:rPr>
        <w:t>e</w:t>
      </w:r>
      <w:r w:rsidR="00AD5076" w:rsidRPr="00D36E0A">
        <w:rPr>
          <w:lang w:val="fr-FR"/>
        </w:rPr>
        <w:t xml:space="preserve">, </w:t>
      </w:r>
      <w:r w:rsidR="00C71C81" w:rsidRPr="00D36E0A">
        <w:rPr>
          <w:lang w:val="fr-FR"/>
        </w:rPr>
        <w:t xml:space="preserve">notamment </w:t>
      </w:r>
      <w:r w:rsidR="00FD10B7" w:rsidRPr="00D36E0A">
        <w:rPr>
          <w:lang w:val="fr-FR"/>
        </w:rPr>
        <w:t>aux</w:t>
      </w:r>
      <w:r w:rsidR="00C71C81" w:rsidRPr="00D36E0A">
        <w:rPr>
          <w:lang w:val="fr-FR"/>
        </w:rPr>
        <w:t xml:space="preserve"> Pays</w:t>
      </w:r>
      <w:r w:rsidR="00511F1C" w:rsidRPr="00D36E0A">
        <w:rPr>
          <w:lang w:val="fr-FR"/>
        </w:rPr>
        <w:noBreakHyphen/>
      </w:r>
      <w:r w:rsidR="00C71C81" w:rsidRPr="00D36E0A">
        <w:rPr>
          <w:lang w:val="fr-FR"/>
        </w:rPr>
        <w:t>Bas</w:t>
      </w:r>
      <w:r w:rsidR="00AD5076" w:rsidRPr="00D36E0A">
        <w:rPr>
          <w:lang w:val="fr-FR"/>
        </w:rPr>
        <w:t xml:space="preserve"> (</w:t>
      </w:r>
      <w:proofErr w:type="spellStart"/>
      <w:r w:rsidR="00AD5076" w:rsidRPr="00D36E0A">
        <w:rPr>
          <w:lang w:val="fr-FR"/>
        </w:rPr>
        <w:t>NL</w:t>
      </w:r>
      <w:proofErr w:type="spellEnd"/>
      <w:r w:rsidR="00AD5076" w:rsidRPr="00D36E0A">
        <w:rPr>
          <w:lang w:val="fr-FR"/>
        </w:rPr>
        <w:t>) o</w:t>
      </w:r>
      <w:r w:rsidR="00C71C81" w:rsidRPr="00D36E0A">
        <w:rPr>
          <w:lang w:val="fr-FR"/>
        </w:rPr>
        <w:t>u</w:t>
      </w:r>
      <w:r w:rsidR="00AD5076" w:rsidRPr="00D36E0A">
        <w:rPr>
          <w:lang w:val="fr-FR"/>
        </w:rPr>
        <w:t xml:space="preserve"> </w:t>
      </w:r>
      <w:r w:rsidR="00FD10B7" w:rsidRPr="00D36E0A">
        <w:rPr>
          <w:lang w:val="fr-FR"/>
        </w:rPr>
        <w:t>au</w:t>
      </w:r>
      <w:r w:rsidR="00C71C81" w:rsidRPr="00D36E0A">
        <w:rPr>
          <w:lang w:val="fr-FR"/>
        </w:rPr>
        <w:t xml:space="preserve"> Royaume</w:t>
      </w:r>
      <w:r w:rsidR="00511F1C" w:rsidRPr="00D36E0A">
        <w:rPr>
          <w:lang w:val="fr-FR"/>
        </w:rPr>
        <w:noBreakHyphen/>
      </w:r>
      <w:r w:rsidR="00C71C81" w:rsidRPr="00D36E0A">
        <w:rPr>
          <w:lang w:val="fr-FR"/>
        </w:rPr>
        <w:t xml:space="preserve">Uni </w:t>
      </w:r>
      <w:r w:rsidR="00AD5076" w:rsidRPr="00D36E0A">
        <w:rPr>
          <w:lang w:val="fr-FR"/>
        </w:rPr>
        <w:t>(</w:t>
      </w:r>
      <w:proofErr w:type="spellStart"/>
      <w:r w:rsidR="00AD5076" w:rsidRPr="00D36E0A">
        <w:rPr>
          <w:lang w:val="fr-FR"/>
        </w:rPr>
        <w:t>UK</w:t>
      </w:r>
      <w:proofErr w:type="spellEnd"/>
      <w:r w:rsidR="00AD5076" w:rsidRPr="00D36E0A">
        <w:rPr>
          <w:lang w:val="fr-FR"/>
        </w:rPr>
        <w:t xml:space="preserve">). </w:t>
      </w:r>
      <w:r w:rsidR="00586CC9" w:rsidRPr="00D36E0A">
        <w:rPr>
          <w:lang w:val="fr-FR"/>
        </w:rPr>
        <w:t xml:space="preserve"> </w:t>
      </w:r>
      <w:r w:rsidR="00C71C81" w:rsidRPr="00D36E0A">
        <w:rPr>
          <w:lang w:val="fr-FR"/>
        </w:rPr>
        <w:t>En outre</w:t>
      </w:r>
      <w:r w:rsidR="00AD5076" w:rsidRPr="00D36E0A">
        <w:rPr>
          <w:lang w:val="fr-FR"/>
        </w:rPr>
        <w:t xml:space="preserve">, </w:t>
      </w:r>
      <w:r w:rsidR="00C71C81" w:rsidRPr="00D36E0A">
        <w:rPr>
          <w:lang w:val="fr-FR"/>
        </w:rPr>
        <w:t>il existe d</w:t>
      </w:r>
      <w:r w:rsidR="00A27507" w:rsidRPr="00D36E0A">
        <w:rPr>
          <w:lang w:val="fr-FR"/>
        </w:rPr>
        <w:t>’</w:t>
      </w:r>
      <w:r w:rsidR="00C71C81" w:rsidRPr="00D36E0A">
        <w:rPr>
          <w:lang w:val="fr-FR"/>
        </w:rPr>
        <w:t>autres</w:t>
      </w:r>
      <w:r w:rsidR="00AD5076" w:rsidRPr="00D36E0A">
        <w:rPr>
          <w:lang w:val="fr-FR"/>
        </w:rPr>
        <w:t xml:space="preserve"> </w:t>
      </w:r>
      <w:r w:rsidR="00C71C81" w:rsidRPr="00D36E0A">
        <w:rPr>
          <w:lang w:val="fr-FR"/>
        </w:rPr>
        <w:t>espèces d</w:t>
      </w:r>
      <w:r w:rsidR="00A27507" w:rsidRPr="00D36E0A">
        <w:rPr>
          <w:lang w:val="fr-FR"/>
        </w:rPr>
        <w:t>’</w:t>
      </w:r>
      <w:r w:rsidR="00AF79FD" w:rsidRPr="00D36E0A">
        <w:rPr>
          <w:lang w:val="fr-FR"/>
        </w:rPr>
        <w:t>e</w:t>
      </w:r>
      <w:r w:rsidR="00AD5076" w:rsidRPr="00D36E0A">
        <w:rPr>
          <w:lang w:val="fr-FR"/>
        </w:rPr>
        <w:t xml:space="preserve">delweiss </w:t>
      </w:r>
      <w:r w:rsidR="00C71C81" w:rsidRPr="00D36E0A">
        <w:rPr>
          <w:lang w:val="fr-FR"/>
        </w:rPr>
        <w:t>ou espèces</w:t>
      </w:r>
      <w:r w:rsidR="00AD5076" w:rsidRPr="00D36E0A">
        <w:rPr>
          <w:lang w:val="fr-FR"/>
        </w:rPr>
        <w:t xml:space="preserve"> </w:t>
      </w:r>
      <w:r w:rsidR="00C71C81" w:rsidRPr="00D36E0A">
        <w:rPr>
          <w:lang w:val="fr-FR"/>
        </w:rPr>
        <w:t>cultivée</w:t>
      </w:r>
      <w:r w:rsidR="00FD10B7" w:rsidRPr="00D36E0A">
        <w:rPr>
          <w:lang w:val="fr-FR"/>
        </w:rPr>
        <w:t>s</w:t>
      </w:r>
      <w:r w:rsidR="00C71C81" w:rsidRPr="00D36E0A">
        <w:rPr>
          <w:lang w:val="fr-FR"/>
        </w:rPr>
        <w:t xml:space="preserve"> pour lesquelles les pays a</w:t>
      </w:r>
      <w:r w:rsidR="00AD5076" w:rsidRPr="00D36E0A">
        <w:rPr>
          <w:lang w:val="fr-FR"/>
        </w:rPr>
        <w:t>lpin</w:t>
      </w:r>
      <w:r w:rsidR="00C71C81" w:rsidRPr="00D36E0A">
        <w:rPr>
          <w:lang w:val="fr-FR"/>
        </w:rPr>
        <w:t>s</w:t>
      </w:r>
      <w:r w:rsidR="00AD5076" w:rsidRPr="00D36E0A">
        <w:rPr>
          <w:lang w:val="fr-FR"/>
        </w:rPr>
        <w:t xml:space="preserve"> </w:t>
      </w:r>
      <w:r w:rsidR="00FD10B7" w:rsidRPr="00D36E0A">
        <w:rPr>
          <w:lang w:val="fr-FR"/>
        </w:rPr>
        <w:t>peuvent ne</w:t>
      </w:r>
      <w:r w:rsidR="00C71C81" w:rsidRPr="00D36E0A">
        <w:rPr>
          <w:lang w:val="fr-FR"/>
        </w:rPr>
        <w:t xml:space="preserve"> pa</w:t>
      </w:r>
      <w:r w:rsidR="00FD10B7" w:rsidRPr="00D36E0A">
        <w:rPr>
          <w:lang w:val="fr-FR"/>
        </w:rPr>
        <w:t>s être</w:t>
      </w:r>
      <w:r w:rsidR="00C71C81" w:rsidRPr="00D36E0A">
        <w:rPr>
          <w:lang w:val="fr-FR"/>
        </w:rPr>
        <w:t xml:space="preserve"> les pays d</w:t>
      </w:r>
      <w:r w:rsidR="00A27507" w:rsidRPr="00D36E0A">
        <w:rPr>
          <w:lang w:val="fr-FR"/>
        </w:rPr>
        <w:t>’</w:t>
      </w:r>
      <w:r w:rsidR="00AD5076" w:rsidRPr="00D36E0A">
        <w:rPr>
          <w:lang w:val="fr-FR"/>
        </w:rPr>
        <w:t>origin</w:t>
      </w:r>
      <w:r w:rsidR="00C71C81" w:rsidRPr="00D36E0A">
        <w:rPr>
          <w:lang w:val="fr-FR"/>
        </w:rPr>
        <w:t>e.</w:t>
      </w:r>
      <w:bookmarkEnd w:id="144"/>
    </w:p>
    <w:p w:rsidR="00AD5076" w:rsidRPr="00D36E0A" w:rsidRDefault="00467F20" w:rsidP="00D36E0A">
      <w:pPr>
        <w:jc w:val="center"/>
        <w:rPr>
          <w:lang w:val="fr-FR"/>
        </w:rPr>
      </w:pPr>
      <w:bookmarkStart w:id="145" w:name="_Toc461721055"/>
      <w:r w:rsidRPr="00D36E0A">
        <w:rPr>
          <w:noProof/>
          <w:lang w:val="fr-FR" w:eastAsia="fr-FR"/>
        </w:rPr>
        <w:drawing>
          <wp:inline distT="0" distB="0" distL="0" distR="0" wp14:anchorId="3CED52A1" wp14:editId="7787C0F4">
            <wp:extent cx="4800600" cy="3175635"/>
            <wp:effectExtent l="0" t="0" r="0" b="0"/>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3175635"/>
                    </a:xfrm>
                    <a:prstGeom prst="rect">
                      <a:avLst/>
                    </a:prstGeom>
                    <a:noFill/>
                    <a:ln>
                      <a:noFill/>
                    </a:ln>
                  </pic:spPr>
                </pic:pic>
              </a:graphicData>
            </a:graphic>
          </wp:inline>
        </w:drawing>
      </w:r>
      <w:bookmarkEnd w:id="145"/>
    </w:p>
    <w:p w:rsidR="00AD5076" w:rsidRPr="00D36E0A" w:rsidRDefault="00AD5076" w:rsidP="00D36E0A">
      <w:pPr>
        <w:ind w:left="1134" w:right="1134"/>
        <w:rPr>
          <w:sz w:val="20"/>
          <w:lang w:val="fr-FR"/>
        </w:rPr>
      </w:pPr>
      <w:bookmarkStart w:id="146" w:name="_Toc461721056"/>
      <w:r w:rsidRPr="00D36E0A">
        <w:rPr>
          <w:sz w:val="20"/>
          <w:lang w:val="fr-FR"/>
        </w:rPr>
        <w:t>Expl</w:t>
      </w:r>
      <w:r w:rsidR="00C71C81" w:rsidRPr="00D36E0A">
        <w:rPr>
          <w:sz w:val="20"/>
          <w:lang w:val="fr-FR"/>
        </w:rPr>
        <w:t>ic</w:t>
      </w:r>
      <w:r w:rsidRPr="00D36E0A">
        <w:rPr>
          <w:sz w:val="20"/>
          <w:lang w:val="fr-FR"/>
        </w:rPr>
        <w:t>ation</w:t>
      </w:r>
      <w:r w:rsidR="00C71C81" w:rsidRPr="00D36E0A">
        <w:rPr>
          <w:sz w:val="20"/>
          <w:lang w:val="fr-FR"/>
        </w:rPr>
        <w:t> </w:t>
      </w:r>
      <w:r w:rsidRPr="00D36E0A">
        <w:rPr>
          <w:sz w:val="20"/>
          <w:lang w:val="fr-FR"/>
        </w:rPr>
        <w:t>:</w:t>
      </w:r>
      <w:r w:rsidR="00586CC9" w:rsidRPr="00D36E0A">
        <w:rPr>
          <w:sz w:val="20"/>
          <w:lang w:val="fr-FR"/>
        </w:rPr>
        <w:t xml:space="preserve"> </w:t>
      </w:r>
      <w:r w:rsidR="00C71C81" w:rsidRPr="00D36E0A">
        <w:rPr>
          <w:sz w:val="20"/>
          <w:lang w:val="fr-FR"/>
        </w:rPr>
        <w:t xml:space="preserve">les conditions </w:t>
      </w:r>
      <w:r w:rsidR="00AF79FD" w:rsidRPr="00D36E0A">
        <w:rPr>
          <w:i/>
          <w:sz w:val="20"/>
          <w:lang w:val="fr-FR"/>
        </w:rPr>
        <w:t>in situ</w:t>
      </w:r>
      <w:r w:rsidRPr="00D36E0A">
        <w:rPr>
          <w:sz w:val="20"/>
          <w:lang w:val="fr-FR"/>
        </w:rPr>
        <w:t xml:space="preserve"> </w:t>
      </w:r>
      <w:r w:rsidR="00C71C81" w:rsidRPr="00D36E0A">
        <w:rPr>
          <w:sz w:val="20"/>
          <w:lang w:val="fr-FR"/>
        </w:rPr>
        <w:t>sont indiquées en traits pleins</w:t>
      </w:r>
      <w:r w:rsidRPr="00D36E0A">
        <w:rPr>
          <w:sz w:val="20"/>
          <w:lang w:val="fr-FR"/>
        </w:rPr>
        <w:t xml:space="preserve">, </w:t>
      </w:r>
      <w:r w:rsidR="00C71C81" w:rsidRPr="00D36E0A">
        <w:rPr>
          <w:sz w:val="20"/>
          <w:lang w:val="fr-FR"/>
        </w:rPr>
        <w:t>tandis que les</w:t>
      </w:r>
      <w:r w:rsidRPr="00D36E0A">
        <w:rPr>
          <w:sz w:val="20"/>
          <w:lang w:val="fr-FR"/>
        </w:rPr>
        <w:t xml:space="preserve"> </w:t>
      </w:r>
      <w:r w:rsidR="00C71C81" w:rsidRPr="00D36E0A">
        <w:rPr>
          <w:sz w:val="20"/>
          <w:lang w:val="fr-FR"/>
        </w:rPr>
        <w:t xml:space="preserve">conditions </w:t>
      </w:r>
      <w:r w:rsidRPr="00D36E0A">
        <w:rPr>
          <w:i/>
          <w:sz w:val="20"/>
          <w:lang w:val="fr-FR"/>
        </w:rPr>
        <w:t>ex</w:t>
      </w:r>
      <w:r w:rsidR="00511F1C" w:rsidRPr="00D36E0A">
        <w:rPr>
          <w:i/>
          <w:sz w:val="20"/>
          <w:lang w:val="fr-FR"/>
        </w:rPr>
        <w:noBreakHyphen/>
      </w:r>
      <w:r w:rsidRPr="00D36E0A">
        <w:rPr>
          <w:i/>
          <w:sz w:val="20"/>
          <w:lang w:val="fr-FR"/>
        </w:rPr>
        <w:t>situ</w:t>
      </w:r>
      <w:r w:rsidRPr="00D36E0A">
        <w:rPr>
          <w:sz w:val="20"/>
          <w:lang w:val="fr-FR"/>
        </w:rPr>
        <w:t xml:space="preserve"> </w:t>
      </w:r>
      <w:r w:rsidR="00C71C81" w:rsidRPr="00D36E0A">
        <w:rPr>
          <w:sz w:val="20"/>
          <w:lang w:val="fr-FR"/>
        </w:rPr>
        <w:t>sont indiquées en pointillés</w:t>
      </w:r>
      <w:r w:rsidRPr="00D36E0A">
        <w:rPr>
          <w:sz w:val="20"/>
          <w:lang w:val="fr-FR"/>
        </w:rPr>
        <w:t>.</w:t>
      </w:r>
      <w:bookmarkEnd w:id="146"/>
    </w:p>
    <w:p w:rsidR="00277EAC" w:rsidRPr="00D36E0A" w:rsidRDefault="00277EAC" w:rsidP="00D36E0A">
      <w:pPr>
        <w:rPr>
          <w:lang w:val="fr-FR"/>
        </w:rPr>
      </w:pPr>
    </w:p>
    <w:p w:rsidR="00AD5076" w:rsidRPr="00D36E0A" w:rsidRDefault="00C71C81" w:rsidP="00D36E0A">
      <w:pPr>
        <w:pStyle w:val="ONUMFS"/>
        <w:rPr>
          <w:lang w:val="fr-FR"/>
        </w:rPr>
      </w:pPr>
      <w:bookmarkStart w:id="147" w:name="_Toc461721057"/>
      <w:r w:rsidRPr="00D36E0A">
        <w:rPr>
          <w:lang w:val="fr-FR"/>
        </w:rPr>
        <w:t>Selon l</w:t>
      </w:r>
      <w:r w:rsidR="00A27507" w:rsidRPr="00D36E0A">
        <w:rPr>
          <w:lang w:val="fr-FR"/>
        </w:rPr>
        <w:t>’</w:t>
      </w:r>
      <w:r w:rsidRPr="00D36E0A">
        <w:rPr>
          <w:lang w:val="fr-FR"/>
        </w:rPr>
        <w:t>exemple illustré ci</w:t>
      </w:r>
      <w:r w:rsidR="00511F1C" w:rsidRPr="00D36E0A">
        <w:rPr>
          <w:lang w:val="fr-FR"/>
        </w:rPr>
        <w:noBreakHyphen/>
      </w:r>
      <w:r w:rsidRPr="00D36E0A">
        <w:rPr>
          <w:lang w:val="fr-FR"/>
        </w:rPr>
        <w:t>dessus</w:t>
      </w:r>
      <w:r w:rsidR="00AD5076" w:rsidRPr="00D36E0A">
        <w:rPr>
          <w:lang w:val="fr-FR"/>
        </w:rPr>
        <w:t xml:space="preserve">, </w:t>
      </w:r>
      <w:r w:rsidRPr="00D36E0A">
        <w:rPr>
          <w:lang w:val="fr-FR"/>
        </w:rPr>
        <w:t>les</w:t>
      </w:r>
      <w:r w:rsidR="00AD5076" w:rsidRPr="00D36E0A">
        <w:rPr>
          <w:lang w:val="fr-FR"/>
        </w:rPr>
        <w:t xml:space="preserve"> sources </w:t>
      </w:r>
      <w:r w:rsidRPr="00D36E0A">
        <w:rPr>
          <w:lang w:val="fr-FR"/>
        </w:rPr>
        <w:t>suivantes sont applicables </w:t>
      </w:r>
      <w:r w:rsidR="00AD5076" w:rsidRPr="00D36E0A">
        <w:rPr>
          <w:lang w:val="fr-FR"/>
        </w:rPr>
        <w:t>:</w:t>
      </w:r>
      <w:bookmarkEnd w:id="147"/>
    </w:p>
    <w:p w:rsidR="00AD5076" w:rsidRPr="00D36E0A" w:rsidRDefault="00C71C81" w:rsidP="00D36E0A">
      <w:pPr>
        <w:pStyle w:val="ONUMFS"/>
        <w:numPr>
          <w:ilvl w:val="0"/>
          <w:numId w:val="34"/>
        </w:numPr>
        <w:ind w:left="567" w:hanging="567"/>
        <w:rPr>
          <w:lang w:val="fr-FR"/>
        </w:rPr>
      </w:pPr>
      <w:bookmarkStart w:id="148" w:name="_Toc461721058"/>
      <w:r w:rsidRPr="00D36E0A">
        <w:rPr>
          <w:lang w:val="fr-FR"/>
        </w:rPr>
        <w:t>si la</w:t>
      </w:r>
      <w:r w:rsidR="00AD5076" w:rsidRPr="00D36E0A">
        <w:rPr>
          <w:lang w:val="fr-FR"/>
        </w:rPr>
        <w:t xml:space="preserve"> plant</w:t>
      </w:r>
      <w:r w:rsidRPr="00D36E0A">
        <w:rPr>
          <w:lang w:val="fr-FR"/>
        </w:rPr>
        <w:t>e a été obtenue soit en</w:t>
      </w:r>
      <w:r w:rsidR="00AD5076" w:rsidRPr="00D36E0A">
        <w:rPr>
          <w:lang w:val="fr-FR"/>
        </w:rPr>
        <w:t xml:space="preserve"> </w:t>
      </w:r>
      <w:r w:rsidR="005F255F" w:rsidRPr="00D36E0A">
        <w:rPr>
          <w:lang w:val="fr-FR"/>
        </w:rPr>
        <w:t>Autriche</w:t>
      </w:r>
      <w:r w:rsidR="00AD5076" w:rsidRPr="00D36E0A">
        <w:rPr>
          <w:lang w:val="fr-FR"/>
        </w:rPr>
        <w:t xml:space="preserve">, France, </w:t>
      </w:r>
      <w:r w:rsidR="005F255F" w:rsidRPr="00D36E0A">
        <w:rPr>
          <w:lang w:val="fr-FR"/>
        </w:rPr>
        <w:t>Allemagne</w:t>
      </w:r>
      <w:r w:rsidR="00AD5076" w:rsidRPr="00D36E0A">
        <w:rPr>
          <w:lang w:val="fr-FR"/>
        </w:rPr>
        <w:t>, Ital</w:t>
      </w:r>
      <w:r w:rsidR="005F255F" w:rsidRPr="00D36E0A">
        <w:rPr>
          <w:lang w:val="fr-FR"/>
        </w:rPr>
        <w:t>ie</w:t>
      </w:r>
      <w:r w:rsidR="00AD5076" w:rsidRPr="00D36E0A">
        <w:rPr>
          <w:lang w:val="fr-FR"/>
        </w:rPr>
        <w:t>, Ro</w:t>
      </w:r>
      <w:r w:rsidR="005F255F" w:rsidRPr="00D36E0A">
        <w:rPr>
          <w:lang w:val="fr-FR"/>
        </w:rPr>
        <w:t>u</w:t>
      </w:r>
      <w:r w:rsidR="00AD5076" w:rsidRPr="00D36E0A">
        <w:rPr>
          <w:lang w:val="fr-FR"/>
        </w:rPr>
        <w:t>mani</w:t>
      </w:r>
      <w:r w:rsidR="005F255F" w:rsidRPr="00D36E0A">
        <w:rPr>
          <w:lang w:val="fr-FR"/>
        </w:rPr>
        <w:t>e</w:t>
      </w:r>
      <w:r w:rsidR="00AD5076" w:rsidRPr="00D36E0A">
        <w:rPr>
          <w:lang w:val="fr-FR"/>
        </w:rPr>
        <w:t xml:space="preserve"> </w:t>
      </w:r>
      <w:r w:rsidR="005F255F" w:rsidRPr="00D36E0A">
        <w:rPr>
          <w:lang w:val="fr-FR"/>
        </w:rPr>
        <w:t>ou Suisse</w:t>
      </w:r>
      <w:r w:rsidR="00AD5076" w:rsidRPr="00D36E0A">
        <w:rPr>
          <w:lang w:val="fr-FR"/>
        </w:rPr>
        <w:t xml:space="preserve">, </w:t>
      </w:r>
      <w:r w:rsidR="005F255F" w:rsidRPr="00D36E0A">
        <w:rPr>
          <w:lang w:val="fr-FR"/>
        </w:rPr>
        <w:t>le pays concerné</w:t>
      </w:r>
      <w:r w:rsidR="00AD5076" w:rsidRPr="00D36E0A">
        <w:rPr>
          <w:lang w:val="fr-FR"/>
        </w:rPr>
        <w:t xml:space="preserve"> </w:t>
      </w:r>
      <w:r w:rsidR="005F255F" w:rsidRPr="00D36E0A">
        <w:rPr>
          <w:lang w:val="fr-FR"/>
        </w:rPr>
        <w:t>devra être divulgué</w:t>
      </w:r>
      <w:r w:rsidR="00AD5076" w:rsidRPr="00D36E0A">
        <w:rPr>
          <w:lang w:val="fr-FR"/>
        </w:rPr>
        <w:t xml:space="preserve"> </w:t>
      </w:r>
      <w:r w:rsidR="005F255F" w:rsidRPr="00D36E0A">
        <w:rPr>
          <w:lang w:val="fr-FR"/>
        </w:rPr>
        <w:t>en tant que source primaire</w:t>
      </w:r>
      <w:r w:rsidR="00AD5076" w:rsidRPr="00D36E0A">
        <w:rPr>
          <w:lang w:val="fr-FR"/>
        </w:rPr>
        <w:t>;</w:t>
      </w:r>
      <w:bookmarkEnd w:id="148"/>
    </w:p>
    <w:p w:rsidR="00AD5076" w:rsidRPr="00D36E0A" w:rsidRDefault="005F255F" w:rsidP="00D36E0A">
      <w:pPr>
        <w:pStyle w:val="ONUMFS"/>
        <w:numPr>
          <w:ilvl w:val="0"/>
          <w:numId w:val="34"/>
        </w:numPr>
        <w:ind w:left="567" w:hanging="567"/>
        <w:rPr>
          <w:lang w:val="fr-FR"/>
        </w:rPr>
      </w:pPr>
      <w:bookmarkStart w:id="149" w:name="_Toc461721059"/>
      <w:r w:rsidRPr="00D36E0A">
        <w:rPr>
          <w:lang w:val="fr-FR"/>
        </w:rPr>
        <w:t xml:space="preserve">si la plante a été obtenue dans la collection </w:t>
      </w:r>
      <w:r w:rsidR="00AD5076" w:rsidRPr="00D36E0A">
        <w:rPr>
          <w:i/>
          <w:lang w:val="fr-FR"/>
        </w:rPr>
        <w:t>ex</w:t>
      </w:r>
      <w:r w:rsidR="00511F1C" w:rsidRPr="00D36E0A">
        <w:rPr>
          <w:i/>
          <w:lang w:val="fr-FR"/>
        </w:rPr>
        <w:noBreakHyphen/>
      </w:r>
      <w:r w:rsidR="00AD5076" w:rsidRPr="00D36E0A">
        <w:rPr>
          <w:i/>
          <w:lang w:val="fr-FR"/>
        </w:rPr>
        <w:t>situ</w:t>
      </w:r>
      <w:r w:rsidR="00AD5076" w:rsidRPr="00D36E0A">
        <w:rPr>
          <w:lang w:val="fr-FR"/>
        </w:rPr>
        <w:t xml:space="preserve"> </w:t>
      </w:r>
      <w:r w:rsidRPr="00D36E0A">
        <w:rPr>
          <w:lang w:val="fr-FR"/>
        </w:rPr>
        <w:t>des Pays</w:t>
      </w:r>
      <w:r w:rsidR="00511F1C" w:rsidRPr="00D36E0A">
        <w:rPr>
          <w:lang w:val="fr-FR"/>
        </w:rPr>
        <w:noBreakHyphen/>
      </w:r>
      <w:r w:rsidRPr="00D36E0A">
        <w:rPr>
          <w:lang w:val="fr-FR"/>
        </w:rPr>
        <w:t>Bas</w:t>
      </w:r>
      <w:r w:rsidR="00AD5076" w:rsidRPr="00D36E0A">
        <w:rPr>
          <w:lang w:val="fr-FR"/>
        </w:rPr>
        <w:t xml:space="preserve">, </w:t>
      </w:r>
      <w:r w:rsidRPr="00D36E0A">
        <w:rPr>
          <w:lang w:val="fr-FR"/>
        </w:rPr>
        <w:t>la source primaire</w:t>
      </w:r>
      <w:r w:rsidR="00AD5076" w:rsidRPr="00D36E0A">
        <w:rPr>
          <w:lang w:val="fr-FR"/>
        </w:rPr>
        <w:t xml:space="preserve"> </w:t>
      </w:r>
      <w:r w:rsidRPr="00D36E0A">
        <w:rPr>
          <w:lang w:val="fr-FR"/>
        </w:rPr>
        <w:t>est l</w:t>
      </w:r>
      <w:r w:rsidR="00A27507" w:rsidRPr="00D36E0A">
        <w:rPr>
          <w:lang w:val="fr-FR"/>
        </w:rPr>
        <w:t>’</w:t>
      </w:r>
      <w:r w:rsidR="00AC04DA" w:rsidRPr="00D36E0A">
        <w:rPr>
          <w:lang w:val="fr-FR"/>
        </w:rPr>
        <w:t>Allemagne pour autant que</w:t>
      </w:r>
      <w:r w:rsidR="00AD5076" w:rsidRPr="00D36E0A">
        <w:rPr>
          <w:lang w:val="fr-FR"/>
        </w:rPr>
        <w:t xml:space="preserve"> </w:t>
      </w:r>
      <w:r w:rsidRPr="00D36E0A">
        <w:rPr>
          <w:lang w:val="fr-FR"/>
        </w:rPr>
        <w:t>la plante a</w:t>
      </w:r>
      <w:r w:rsidR="00AC04DA" w:rsidRPr="00D36E0A">
        <w:rPr>
          <w:lang w:val="fr-FR"/>
        </w:rPr>
        <w:t>it</w:t>
      </w:r>
      <w:r w:rsidRPr="00D36E0A">
        <w:rPr>
          <w:lang w:val="fr-FR"/>
        </w:rPr>
        <w:t xml:space="preserve"> </w:t>
      </w:r>
      <w:r w:rsidR="00AC04DA" w:rsidRPr="00D36E0A">
        <w:rPr>
          <w:lang w:val="fr-FR"/>
        </w:rPr>
        <w:t>l</w:t>
      </w:r>
      <w:r w:rsidR="00A27507" w:rsidRPr="00D36E0A">
        <w:rPr>
          <w:lang w:val="fr-FR"/>
        </w:rPr>
        <w:t>’</w:t>
      </w:r>
      <w:r w:rsidR="00AC04DA" w:rsidRPr="00D36E0A">
        <w:rPr>
          <w:lang w:val="fr-FR"/>
        </w:rPr>
        <w:t xml:space="preserve">Allemagne </w:t>
      </w:r>
      <w:r w:rsidRPr="00D36E0A">
        <w:rPr>
          <w:lang w:val="fr-FR"/>
        </w:rPr>
        <w:t xml:space="preserve">pour origine </w:t>
      </w:r>
      <w:r w:rsidR="00AD5076" w:rsidRPr="00D36E0A">
        <w:rPr>
          <w:lang w:val="fr-FR"/>
        </w:rPr>
        <w:t>initia</w:t>
      </w:r>
      <w:r w:rsidR="00511F1C" w:rsidRPr="00D36E0A">
        <w:rPr>
          <w:lang w:val="fr-FR"/>
        </w:rPr>
        <w:t>le.  En</w:t>
      </w:r>
      <w:r w:rsidRPr="00D36E0A">
        <w:rPr>
          <w:lang w:val="fr-FR"/>
        </w:rPr>
        <w:t xml:space="preserve"> revanche</w:t>
      </w:r>
      <w:r w:rsidR="00AD5076" w:rsidRPr="00D36E0A">
        <w:rPr>
          <w:lang w:val="fr-FR"/>
        </w:rPr>
        <w:t xml:space="preserve">, </w:t>
      </w:r>
      <w:r w:rsidRPr="00D36E0A">
        <w:rPr>
          <w:lang w:val="fr-FR"/>
        </w:rPr>
        <w:t>la source primaire serait la</w:t>
      </w:r>
      <w:r w:rsidR="00AD5076" w:rsidRPr="00D36E0A">
        <w:rPr>
          <w:lang w:val="fr-FR"/>
        </w:rPr>
        <w:t xml:space="preserve"> France </w:t>
      </w:r>
      <w:r w:rsidRPr="00D36E0A">
        <w:rPr>
          <w:lang w:val="fr-FR"/>
        </w:rPr>
        <w:t xml:space="preserve">si la plante avait </w:t>
      </w:r>
      <w:r w:rsidR="00AC04DA" w:rsidRPr="00D36E0A">
        <w:rPr>
          <w:lang w:val="fr-FR"/>
        </w:rPr>
        <w:t xml:space="preserve">la France </w:t>
      </w:r>
      <w:r w:rsidRPr="00D36E0A">
        <w:rPr>
          <w:lang w:val="fr-FR"/>
        </w:rPr>
        <w:t>pour origine initiale et qu</w:t>
      </w:r>
      <w:r w:rsidR="00A27507" w:rsidRPr="00D36E0A">
        <w:rPr>
          <w:lang w:val="fr-FR"/>
        </w:rPr>
        <w:t>’</w:t>
      </w:r>
      <w:r w:rsidRPr="00D36E0A">
        <w:rPr>
          <w:lang w:val="fr-FR"/>
        </w:rPr>
        <w:t>elle était</w:t>
      </w:r>
      <w:r w:rsidR="00AD5076" w:rsidRPr="00D36E0A">
        <w:rPr>
          <w:lang w:val="fr-FR"/>
        </w:rPr>
        <w:t xml:space="preserve"> </w:t>
      </w:r>
      <w:r w:rsidRPr="00D36E0A">
        <w:rPr>
          <w:lang w:val="fr-FR"/>
        </w:rPr>
        <w:t xml:space="preserve">obtenue dans la collection </w:t>
      </w:r>
      <w:r w:rsidR="00AD5076" w:rsidRPr="00D36E0A">
        <w:rPr>
          <w:i/>
          <w:lang w:val="fr-FR"/>
        </w:rPr>
        <w:t>ex</w:t>
      </w:r>
      <w:r w:rsidR="00511F1C" w:rsidRPr="00D36E0A">
        <w:rPr>
          <w:i/>
          <w:lang w:val="fr-FR"/>
        </w:rPr>
        <w:noBreakHyphen/>
      </w:r>
      <w:r w:rsidR="00AD5076" w:rsidRPr="00D36E0A">
        <w:rPr>
          <w:i/>
          <w:lang w:val="fr-FR"/>
        </w:rPr>
        <w:t>situ</w:t>
      </w:r>
      <w:r w:rsidR="00AD5076" w:rsidRPr="00D36E0A">
        <w:rPr>
          <w:lang w:val="fr-FR"/>
        </w:rPr>
        <w:t xml:space="preserve"> </w:t>
      </w:r>
      <w:r w:rsidRPr="00D36E0A">
        <w:rPr>
          <w:lang w:val="fr-FR"/>
        </w:rPr>
        <w:t>des</w:t>
      </w:r>
      <w:r w:rsidR="00AD5076" w:rsidRPr="00D36E0A">
        <w:rPr>
          <w:lang w:val="fr-FR"/>
        </w:rPr>
        <w:t xml:space="preserve"> </w:t>
      </w:r>
      <w:r w:rsidRPr="00D36E0A">
        <w:rPr>
          <w:lang w:val="fr-FR"/>
        </w:rPr>
        <w:t>Pays</w:t>
      </w:r>
      <w:r w:rsidR="00511F1C" w:rsidRPr="00D36E0A">
        <w:rPr>
          <w:lang w:val="fr-FR"/>
        </w:rPr>
        <w:noBreakHyphen/>
      </w:r>
      <w:r w:rsidRPr="00D36E0A">
        <w:rPr>
          <w:lang w:val="fr-FR"/>
        </w:rPr>
        <w:t>Bas par l</w:t>
      </w:r>
      <w:r w:rsidR="00A27507" w:rsidRPr="00D36E0A">
        <w:rPr>
          <w:lang w:val="fr-FR"/>
        </w:rPr>
        <w:t>’</w:t>
      </w:r>
      <w:r w:rsidRPr="00D36E0A">
        <w:rPr>
          <w:lang w:val="fr-FR"/>
        </w:rPr>
        <w:t>intermédiaire d</w:t>
      </w:r>
      <w:r w:rsidR="00A27507" w:rsidRPr="00D36E0A">
        <w:rPr>
          <w:lang w:val="fr-FR"/>
        </w:rPr>
        <w:t>’</w:t>
      </w:r>
      <w:r w:rsidRPr="00D36E0A">
        <w:rPr>
          <w:lang w:val="fr-FR"/>
        </w:rPr>
        <w:t>une autre</w:t>
      </w:r>
      <w:r w:rsidR="00AD5076" w:rsidRPr="00D36E0A">
        <w:rPr>
          <w:lang w:val="fr-FR"/>
        </w:rPr>
        <w:t xml:space="preserve"> </w:t>
      </w:r>
      <w:r w:rsidRPr="00D36E0A">
        <w:rPr>
          <w:lang w:val="fr-FR"/>
        </w:rPr>
        <w:t xml:space="preserve">collection </w:t>
      </w:r>
      <w:r w:rsidR="00AD5076" w:rsidRPr="00D36E0A">
        <w:rPr>
          <w:i/>
          <w:lang w:val="fr-FR"/>
        </w:rPr>
        <w:t>ex</w:t>
      </w:r>
      <w:r w:rsidR="00511F1C" w:rsidRPr="00D36E0A">
        <w:rPr>
          <w:i/>
          <w:lang w:val="fr-FR"/>
        </w:rPr>
        <w:noBreakHyphen/>
      </w:r>
      <w:r w:rsidR="00AD5076" w:rsidRPr="00D36E0A">
        <w:rPr>
          <w:i/>
          <w:lang w:val="fr-FR"/>
        </w:rPr>
        <w:t>situ</w:t>
      </w:r>
      <w:r w:rsidR="00AD5076" w:rsidRPr="00D36E0A">
        <w:rPr>
          <w:lang w:val="fr-FR"/>
        </w:rPr>
        <w:t xml:space="preserve"> </w:t>
      </w:r>
      <w:r w:rsidRPr="00D36E0A">
        <w:rPr>
          <w:lang w:val="fr-FR"/>
        </w:rPr>
        <w:t>située au Royaume</w:t>
      </w:r>
      <w:r w:rsidR="00511F1C" w:rsidRPr="00D36E0A">
        <w:rPr>
          <w:lang w:val="fr-FR"/>
        </w:rPr>
        <w:noBreakHyphen/>
      </w:r>
      <w:r w:rsidRPr="00D36E0A">
        <w:rPr>
          <w:lang w:val="fr-FR"/>
        </w:rPr>
        <w:t>U</w:t>
      </w:r>
      <w:r w:rsidR="00511F1C" w:rsidRPr="00D36E0A">
        <w:rPr>
          <w:lang w:val="fr-FR"/>
        </w:rPr>
        <w:t>ni.  Si</w:t>
      </w:r>
      <w:r w:rsidRPr="00D36E0A">
        <w:rPr>
          <w:lang w:val="fr-FR"/>
        </w:rPr>
        <w:t xml:space="preserve"> les </w:t>
      </w:r>
      <w:r w:rsidR="00AD5076" w:rsidRPr="00D36E0A">
        <w:rPr>
          <w:lang w:val="fr-FR"/>
        </w:rPr>
        <w:t>information</w:t>
      </w:r>
      <w:r w:rsidRPr="00D36E0A">
        <w:rPr>
          <w:lang w:val="fr-FR"/>
        </w:rPr>
        <w:t>s sur ces</w:t>
      </w:r>
      <w:r w:rsidR="00AD5076" w:rsidRPr="00D36E0A">
        <w:rPr>
          <w:lang w:val="fr-FR"/>
        </w:rPr>
        <w:t xml:space="preserve"> </w:t>
      </w:r>
      <w:r w:rsidRPr="00D36E0A">
        <w:rPr>
          <w:lang w:val="fr-FR"/>
        </w:rPr>
        <w:t xml:space="preserve">sources primaires ne sont pas connues du déposant de la demande, </w:t>
      </w:r>
      <w:r w:rsidR="00AD5076" w:rsidRPr="00D36E0A">
        <w:rPr>
          <w:lang w:val="fr-FR"/>
        </w:rPr>
        <w:t>o</w:t>
      </w:r>
      <w:r w:rsidRPr="00D36E0A">
        <w:rPr>
          <w:lang w:val="fr-FR"/>
        </w:rPr>
        <w:t>u</w:t>
      </w:r>
      <w:r w:rsidR="00AD5076" w:rsidRPr="00D36E0A">
        <w:rPr>
          <w:lang w:val="fr-FR"/>
        </w:rPr>
        <w:t xml:space="preserve"> </w:t>
      </w:r>
      <w:r w:rsidRPr="00D36E0A">
        <w:rPr>
          <w:lang w:val="fr-FR"/>
        </w:rPr>
        <w:t>si elles ne peuvent être obtenues qu</w:t>
      </w:r>
      <w:r w:rsidR="00A27507" w:rsidRPr="00D36E0A">
        <w:rPr>
          <w:lang w:val="fr-FR"/>
        </w:rPr>
        <w:t>’</w:t>
      </w:r>
      <w:r w:rsidRPr="00D36E0A">
        <w:rPr>
          <w:lang w:val="fr-FR"/>
        </w:rPr>
        <w:t>au prix d</w:t>
      </w:r>
      <w:r w:rsidR="00A27507" w:rsidRPr="00D36E0A">
        <w:rPr>
          <w:lang w:val="fr-FR"/>
        </w:rPr>
        <w:t>’</w:t>
      </w:r>
      <w:r w:rsidR="00AD5076" w:rsidRPr="00D36E0A">
        <w:rPr>
          <w:lang w:val="fr-FR"/>
        </w:rPr>
        <w:t>efforts</w:t>
      </w:r>
      <w:r w:rsidRPr="00D36E0A">
        <w:rPr>
          <w:lang w:val="fr-FR"/>
        </w:rPr>
        <w:t xml:space="preserve"> exagérés</w:t>
      </w:r>
      <w:r w:rsidR="00AD5076" w:rsidRPr="00D36E0A">
        <w:rPr>
          <w:lang w:val="fr-FR"/>
        </w:rPr>
        <w:t xml:space="preserve">, </w:t>
      </w:r>
      <w:r w:rsidRPr="00D36E0A">
        <w:rPr>
          <w:lang w:val="fr-FR"/>
        </w:rPr>
        <w:t>la</w:t>
      </w:r>
      <w:r w:rsidR="00AD5076" w:rsidRPr="00D36E0A">
        <w:rPr>
          <w:lang w:val="fr-FR"/>
        </w:rPr>
        <w:t xml:space="preserve"> </w:t>
      </w:r>
      <w:r w:rsidRPr="00D36E0A">
        <w:rPr>
          <w:lang w:val="fr-FR"/>
        </w:rPr>
        <w:t xml:space="preserve">collection </w:t>
      </w:r>
      <w:r w:rsidR="00AD5076" w:rsidRPr="00D36E0A">
        <w:rPr>
          <w:i/>
          <w:lang w:val="fr-FR"/>
        </w:rPr>
        <w:t>ex</w:t>
      </w:r>
      <w:r w:rsidR="00511F1C" w:rsidRPr="00D36E0A">
        <w:rPr>
          <w:i/>
          <w:lang w:val="fr-FR"/>
        </w:rPr>
        <w:noBreakHyphen/>
      </w:r>
      <w:r w:rsidR="00AD5076" w:rsidRPr="00D36E0A">
        <w:rPr>
          <w:i/>
          <w:lang w:val="fr-FR"/>
        </w:rPr>
        <w:t>situ</w:t>
      </w:r>
      <w:r w:rsidR="00AD5076" w:rsidRPr="00D36E0A">
        <w:rPr>
          <w:lang w:val="fr-FR"/>
        </w:rPr>
        <w:t xml:space="preserve"> </w:t>
      </w:r>
      <w:r w:rsidRPr="00D36E0A">
        <w:rPr>
          <w:lang w:val="fr-FR"/>
        </w:rPr>
        <w:t>aux Pays</w:t>
      </w:r>
      <w:r w:rsidR="00511F1C" w:rsidRPr="00D36E0A">
        <w:rPr>
          <w:lang w:val="fr-FR"/>
        </w:rPr>
        <w:noBreakHyphen/>
      </w:r>
      <w:r w:rsidRPr="00D36E0A">
        <w:rPr>
          <w:lang w:val="fr-FR"/>
        </w:rPr>
        <w:t>Bas devra être divulguée en tant que</w:t>
      </w:r>
      <w:r w:rsidR="00AD5076" w:rsidRPr="00D36E0A">
        <w:rPr>
          <w:lang w:val="fr-FR"/>
        </w:rPr>
        <w:t xml:space="preserve"> source</w:t>
      </w:r>
      <w:r w:rsidR="00D65095" w:rsidRPr="00D36E0A">
        <w:rPr>
          <w:lang w:val="fr-FR"/>
        </w:rPr>
        <w:t xml:space="preserve"> secondaire</w:t>
      </w:r>
      <w:r w:rsidR="00AD5076" w:rsidRPr="00D36E0A">
        <w:rPr>
          <w:lang w:val="fr-FR"/>
        </w:rPr>
        <w:t>.</w:t>
      </w:r>
      <w:bookmarkEnd w:id="149"/>
    </w:p>
    <w:p w:rsidR="00357C98" w:rsidRDefault="00AC04DA" w:rsidP="00D36E0A">
      <w:pPr>
        <w:pStyle w:val="ONUMFS"/>
        <w:rPr>
          <w:lang w:val="fr-FR"/>
        </w:rPr>
      </w:pPr>
      <w:bookmarkStart w:id="150" w:name="_Toc461721060"/>
      <w:r w:rsidRPr="00D36E0A">
        <w:rPr>
          <w:lang w:val="fr-FR"/>
        </w:rPr>
        <w:t>Néanmoins</w:t>
      </w:r>
      <w:r w:rsidR="00D65095" w:rsidRPr="00D36E0A">
        <w:rPr>
          <w:lang w:val="fr-FR"/>
        </w:rPr>
        <w:t>, si le déposant de la demande doit divulguer l</w:t>
      </w:r>
      <w:r w:rsidR="00AD5076" w:rsidRPr="00D36E0A">
        <w:rPr>
          <w:lang w:val="fr-FR"/>
        </w:rPr>
        <w:t>e “</w:t>
      </w:r>
      <w:r w:rsidR="00D65095" w:rsidRPr="00D36E0A">
        <w:rPr>
          <w:lang w:val="fr-FR"/>
        </w:rPr>
        <w:t>pays d</w:t>
      </w:r>
      <w:r w:rsidR="00A27507" w:rsidRPr="00D36E0A">
        <w:rPr>
          <w:lang w:val="fr-FR"/>
        </w:rPr>
        <w:t>’</w:t>
      </w:r>
      <w:r w:rsidR="00AD5076" w:rsidRPr="00D36E0A">
        <w:rPr>
          <w:lang w:val="fr-FR"/>
        </w:rPr>
        <w:t>origin</w:t>
      </w:r>
      <w:r w:rsidR="00D65095" w:rsidRPr="00D36E0A">
        <w:rPr>
          <w:lang w:val="fr-FR"/>
        </w:rPr>
        <w:t>e</w:t>
      </w:r>
      <w:r w:rsidR="00AD5076" w:rsidRPr="00D36E0A">
        <w:rPr>
          <w:lang w:val="fr-FR"/>
        </w:rPr>
        <w:t>”</w:t>
      </w:r>
      <w:r w:rsidRPr="00D36E0A">
        <w:rPr>
          <w:lang w:val="fr-FR"/>
        </w:rPr>
        <w:t>,</w:t>
      </w:r>
      <w:r w:rsidR="00AD5076" w:rsidRPr="00D36E0A">
        <w:rPr>
          <w:lang w:val="fr-FR"/>
        </w:rPr>
        <w:t xml:space="preserve"> </w:t>
      </w:r>
      <w:r w:rsidR="00D65095" w:rsidRPr="00D36E0A">
        <w:rPr>
          <w:lang w:val="fr-FR"/>
        </w:rPr>
        <w:t>comme le proposent certaines</w:t>
      </w:r>
      <w:r w:rsidR="00AD5076" w:rsidRPr="00D36E0A">
        <w:rPr>
          <w:lang w:val="fr-FR"/>
        </w:rPr>
        <w:t xml:space="preserve"> d</w:t>
      </w:r>
      <w:r w:rsidR="00D65095" w:rsidRPr="00D36E0A">
        <w:rPr>
          <w:lang w:val="fr-FR"/>
        </w:rPr>
        <w:t>é</w:t>
      </w:r>
      <w:r w:rsidR="00AD5076" w:rsidRPr="00D36E0A">
        <w:rPr>
          <w:lang w:val="fr-FR"/>
        </w:rPr>
        <w:t>l</w:t>
      </w:r>
      <w:r w:rsidR="00D65095" w:rsidRPr="00D36E0A">
        <w:rPr>
          <w:lang w:val="fr-FR"/>
        </w:rPr>
        <w:t>é</w:t>
      </w:r>
      <w:r w:rsidR="00AD5076" w:rsidRPr="00D36E0A">
        <w:rPr>
          <w:lang w:val="fr-FR"/>
        </w:rPr>
        <w:t xml:space="preserve">gations </w:t>
      </w:r>
      <w:r w:rsidR="00D65095" w:rsidRPr="00D36E0A">
        <w:rPr>
          <w:lang w:val="fr-FR"/>
        </w:rPr>
        <w:t>dans les négociations de l</w:t>
      </w:r>
      <w:r w:rsidR="00A27507" w:rsidRPr="00D36E0A">
        <w:rPr>
          <w:lang w:val="fr-FR"/>
        </w:rPr>
        <w:t>’</w:t>
      </w:r>
      <w:r w:rsidR="00AD5076" w:rsidRPr="00D36E0A">
        <w:rPr>
          <w:lang w:val="fr-FR"/>
        </w:rPr>
        <w:t xml:space="preserve">IGC, </w:t>
      </w:r>
      <w:r w:rsidRPr="00D36E0A">
        <w:rPr>
          <w:lang w:val="fr-FR"/>
        </w:rPr>
        <w:t>il</w:t>
      </w:r>
      <w:r w:rsidR="00D65095" w:rsidRPr="00D36E0A">
        <w:rPr>
          <w:lang w:val="fr-FR"/>
        </w:rPr>
        <w:t xml:space="preserve"> pourrait divulguer l</w:t>
      </w:r>
      <w:r w:rsidR="00A27507" w:rsidRPr="00D36E0A">
        <w:rPr>
          <w:lang w:val="fr-FR"/>
        </w:rPr>
        <w:t>’</w:t>
      </w:r>
      <w:r w:rsidR="00D65095" w:rsidRPr="00D36E0A">
        <w:rPr>
          <w:lang w:val="fr-FR"/>
        </w:rPr>
        <w:t>un quelconque des pays d</w:t>
      </w:r>
      <w:r w:rsidR="00A27507" w:rsidRPr="00D36E0A">
        <w:rPr>
          <w:lang w:val="fr-FR"/>
        </w:rPr>
        <w:t>’</w:t>
      </w:r>
      <w:r w:rsidR="00AD5076" w:rsidRPr="00D36E0A">
        <w:rPr>
          <w:lang w:val="fr-FR"/>
        </w:rPr>
        <w:t>origin</w:t>
      </w:r>
      <w:r w:rsidR="00D65095" w:rsidRPr="00D36E0A">
        <w:rPr>
          <w:lang w:val="fr-FR"/>
        </w:rPr>
        <w:t>e</w:t>
      </w:r>
      <w:r w:rsidR="00AD5076" w:rsidRPr="00D36E0A">
        <w:rPr>
          <w:lang w:val="fr-FR"/>
        </w:rPr>
        <w:t xml:space="preserve">, </w:t>
      </w:r>
      <w:r w:rsidR="00A27507" w:rsidRPr="00D36E0A">
        <w:rPr>
          <w:lang w:val="fr-FR"/>
        </w:rPr>
        <w:t>à savoir</w:t>
      </w:r>
      <w:r w:rsidR="00AD5076" w:rsidRPr="00D36E0A">
        <w:rPr>
          <w:lang w:val="fr-FR"/>
        </w:rPr>
        <w:t xml:space="preserve"> </w:t>
      </w:r>
      <w:r w:rsidR="00D65095" w:rsidRPr="00D36E0A">
        <w:rPr>
          <w:lang w:val="fr-FR"/>
        </w:rPr>
        <w:t>l</w:t>
      </w:r>
      <w:r w:rsidR="00A27507" w:rsidRPr="00D36E0A">
        <w:rPr>
          <w:lang w:val="fr-FR"/>
        </w:rPr>
        <w:t>’</w:t>
      </w:r>
      <w:r w:rsidR="00D65095" w:rsidRPr="00D36E0A">
        <w:rPr>
          <w:lang w:val="fr-FR"/>
        </w:rPr>
        <w:t>Autriche</w:t>
      </w:r>
      <w:r w:rsidR="00AD5076" w:rsidRPr="00D36E0A">
        <w:rPr>
          <w:lang w:val="fr-FR"/>
        </w:rPr>
        <w:t xml:space="preserve">, </w:t>
      </w:r>
      <w:r w:rsidR="00D65095" w:rsidRPr="00D36E0A">
        <w:rPr>
          <w:lang w:val="fr-FR"/>
        </w:rPr>
        <w:t xml:space="preserve">la </w:t>
      </w:r>
      <w:r w:rsidR="00AD5076" w:rsidRPr="00D36E0A">
        <w:rPr>
          <w:lang w:val="fr-FR"/>
        </w:rPr>
        <w:t xml:space="preserve">France, </w:t>
      </w:r>
      <w:r w:rsidR="00D65095" w:rsidRPr="00D36E0A">
        <w:rPr>
          <w:lang w:val="fr-FR"/>
        </w:rPr>
        <w:t>l</w:t>
      </w:r>
      <w:r w:rsidR="00A27507" w:rsidRPr="00D36E0A">
        <w:rPr>
          <w:lang w:val="fr-FR"/>
        </w:rPr>
        <w:t>’</w:t>
      </w:r>
      <w:r w:rsidR="00D65095" w:rsidRPr="00D36E0A">
        <w:rPr>
          <w:lang w:val="fr-FR"/>
        </w:rPr>
        <w:t>Allemagne</w:t>
      </w:r>
      <w:r w:rsidR="00AD5076" w:rsidRPr="00D36E0A">
        <w:rPr>
          <w:lang w:val="fr-FR"/>
        </w:rPr>
        <w:t xml:space="preserve">, </w:t>
      </w:r>
      <w:r w:rsidR="00D65095" w:rsidRPr="00D36E0A">
        <w:rPr>
          <w:lang w:val="fr-FR"/>
        </w:rPr>
        <w:t>l</w:t>
      </w:r>
      <w:r w:rsidR="00A27507" w:rsidRPr="00D36E0A">
        <w:rPr>
          <w:lang w:val="fr-FR"/>
        </w:rPr>
        <w:t>’</w:t>
      </w:r>
      <w:r w:rsidR="00AD5076" w:rsidRPr="00D36E0A">
        <w:rPr>
          <w:lang w:val="fr-FR"/>
        </w:rPr>
        <w:t>Ital</w:t>
      </w:r>
      <w:r w:rsidR="00D65095" w:rsidRPr="00D36E0A">
        <w:rPr>
          <w:lang w:val="fr-FR"/>
        </w:rPr>
        <w:t>ie</w:t>
      </w:r>
      <w:r w:rsidR="00AD5076" w:rsidRPr="00D36E0A">
        <w:rPr>
          <w:lang w:val="fr-FR"/>
        </w:rPr>
        <w:t xml:space="preserve">, </w:t>
      </w:r>
      <w:r w:rsidR="00D65095" w:rsidRPr="00D36E0A">
        <w:rPr>
          <w:lang w:val="fr-FR"/>
        </w:rPr>
        <w:t xml:space="preserve">la </w:t>
      </w:r>
      <w:r w:rsidR="00AD5076" w:rsidRPr="00D36E0A">
        <w:rPr>
          <w:lang w:val="fr-FR"/>
        </w:rPr>
        <w:t>Ro</w:t>
      </w:r>
      <w:r w:rsidR="00D65095" w:rsidRPr="00D36E0A">
        <w:rPr>
          <w:lang w:val="fr-FR"/>
        </w:rPr>
        <w:t>u</w:t>
      </w:r>
      <w:r w:rsidR="00AD5076" w:rsidRPr="00D36E0A">
        <w:rPr>
          <w:lang w:val="fr-FR"/>
        </w:rPr>
        <w:t>mani</w:t>
      </w:r>
      <w:r w:rsidR="00D65095" w:rsidRPr="00D36E0A">
        <w:rPr>
          <w:lang w:val="fr-FR"/>
        </w:rPr>
        <w:t>e</w:t>
      </w:r>
      <w:r w:rsidR="00AD5076" w:rsidRPr="00D36E0A">
        <w:rPr>
          <w:lang w:val="fr-FR"/>
        </w:rPr>
        <w:t xml:space="preserve"> o</w:t>
      </w:r>
      <w:r w:rsidR="00D65095" w:rsidRPr="00D36E0A">
        <w:rPr>
          <w:lang w:val="fr-FR"/>
        </w:rPr>
        <w:t>u la Suisse</w:t>
      </w:r>
      <w:r w:rsidR="00AD5076" w:rsidRPr="00D36E0A">
        <w:rPr>
          <w:lang w:val="fr-FR"/>
        </w:rPr>
        <w:t xml:space="preserve">, </w:t>
      </w:r>
      <w:r w:rsidR="00D65095" w:rsidRPr="00D36E0A">
        <w:rPr>
          <w:lang w:val="fr-FR"/>
        </w:rPr>
        <w:t>indépendamment de la question de savoir si la</w:t>
      </w:r>
      <w:r w:rsidR="00AD5076" w:rsidRPr="00D36E0A">
        <w:rPr>
          <w:lang w:val="fr-FR"/>
        </w:rPr>
        <w:t xml:space="preserve"> plant</w:t>
      </w:r>
      <w:r w:rsidR="00D65095" w:rsidRPr="00D36E0A">
        <w:rPr>
          <w:lang w:val="fr-FR"/>
        </w:rPr>
        <w:t>e provient effectivement du</w:t>
      </w:r>
      <w:r w:rsidR="00AD5076" w:rsidRPr="00D36E0A">
        <w:rPr>
          <w:lang w:val="fr-FR"/>
        </w:rPr>
        <w:t xml:space="preserve"> </w:t>
      </w:r>
      <w:r w:rsidR="00D65095" w:rsidRPr="00D36E0A">
        <w:rPr>
          <w:lang w:val="fr-FR"/>
        </w:rPr>
        <w:t>pays d</w:t>
      </w:r>
      <w:r w:rsidR="00A27507" w:rsidRPr="00D36E0A">
        <w:rPr>
          <w:lang w:val="fr-FR"/>
        </w:rPr>
        <w:t>’</w:t>
      </w:r>
      <w:r w:rsidR="00D65095" w:rsidRPr="00D36E0A">
        <w:rPr>
          <w:lang w:val="fr-FR"/>
        </w:rPr>
        <w:t>origine qu</w:t>
      </w:r>
      <w:r w:rsidR="00A27507" w:rsidRPr="00D36E0A">
        <w:rPr>
          <w:lang w:val="fr-FR"/>
        </w:rPr>
        <w:t>’</w:t>
      </w:r>
      <w:r w:rsidR="00D65095" w:rsidRPr="00D36E0A">
        <w:rPr>
          <w:lang w:val="fr-FR"/>
        </w:rPr>
        <w:t>il a divulg</w:t>
      </w:r>
      <w:r w:rsidR="00511F1C" w:rsidRPr="00D36E0A">
        <w:rPr>
          <w:lang w:val="fr-FR"/>
        </w:rPr>
        <w:t>ué.  Le</w:t>
      </w:r>
      <w:r w:rsidR="00AD5076" w:rsidRPr="00D36E0A">
        <w:rPr>
          <w:lang w:val="fr-FR"/>
        </w:rPr>
        <w:t xml:space="preserve"> concept </w:t>
      </w:r>
      <w:r w:rsidR="00D65095" w:rsidRPr="00D36E0A">
        <w:rPr>
          <w:lang w:val="fr-FR"/>
        </w:rPr>
        <w:t>de</w:t>
      </w:r>
      <w:r w:rsidR="00AD5076" w:rsidRPr="00D36E0A">
        <w:rPr>
          <w:lang w:val="fr-FR"/>
        </w:rPr>
        <w:t xml:space="preserve"> “</w:t>
      </w:r>
      <w:r w:rsidR="00D65095" w:rsidRPr="00D36E0A">
        <w:rPr>
          <w:lang w:val="fr-FR"/>
        </w:rPr>
        <w:t>pays d</w:t>
      </w:r>
      <w:r w:rsidR="00A27507" w:rsidRPr="00D36E0A">
        <w:rPr>
          <w:lang w:val="fr-FR"/>
        </w:rPr>
        <w:t>’</w:t>
      </w:r>
      <w:r w:rsidR="00D65095" w:rsidRPr="00D36E0A">
        <w:rPr>
          <w:lang w:val="fr-FR"/>
        </w:rPr>
        <w:t>origine</w:t>
      </w:r>
      <w:r w:rsidR="00AD5076" w:rsidRPr="00D36E0A">
        <w:rPr>
          <w:lang w:val="fr-FR"/>
        </w:rPr>
        <w:t xml:space="preserve">” </w:t>
      </w:r>
      <w:r w:rsidR="00D65095" w:rsidRPr="00D36E0A">
        <w:rPr>
          <w:lang w:val="fr-FR"/>
        </w:rPr>
        <w:t>prévoit donc la</w:t>
      </w:r>
      <w:r w:rsidR="00AD5076" w:rsidRPr="00D36E0A">
        <w:rPr>
          <w:lang w:val="fr-FR"/>
        </w:rPr>
        <w:t xml:space="preserve"> possibilit</w:t>
      </w:r>
      <w:r w:rsidR="00D65095" w:rsidRPr="00D36E0A">
        <w:rPr>
          <w:lang w:val="fr-FR"/>
        </w:rPr>
        <w:t>é</w:t>
      </w:r>
      <w:r w:rsidR="00AD5076" w:rsidRPr="00D36E0A">
        <w:rPr>
          <w:lang w:val="fr-FR"/>
        </w:rPr>
        <w:t xml:space="preserve"> </w:t>
      </w:r>
      <w:r w:rsidR="00D65095" w:rsidRPr="00D36E0A">
        <w:rPr>
          <w:lang w:val="fr-FR"/>
        </w:rPr>
        <w:t>d</w:t>
      </w:r>
      <w:r w:rsidR="00A27507" w:rsidRPr="00D36E0A">
        <w:rPr>
          <w:lang w:val="fr-FR"/>
        </w:rPr>
        <w:t>’</w:t>
      </w:r>
      <w:r w:rsidR="00D65095" w:rsidRPr="00D36E0A">
        <w:rPr>
          <w:lang w:val="fr-FR"/>
        </w:rPr>
        <w:t>éviter la</w:t>
      </w:r>
      <w:r w:rsidR="00AD5076" w:rsidRPr="00D36E0A">
        <w:rPr>
          <w:lang w:val="fr-FR"/>
        </w:rPr>
        <w:t xml:space="preserve"> </w:t>
      </w:r>
      <w:r w:rsidR="00D65095" w:rsidRPr="00D36E0A">
        <w:rPr>
          <w:lang w:val="fr-FR"/>
        </w:rPr>
        <w:t>divulgation du pays qui a effectivement fourni la</w:t>
      </w:r>
      <w:r w:rsidR="00AD5076" w:rsidRPr="00D36E0A">
        <w:rPr>
          <w:lang w:val="fr-FR"/>
        </w:rPr>
        <w:t xml:space="preserve"> </w:t>
      </w:r>
      <w:r w:rsidR="00D65095" w:rsidRPr="00D36E0A">
        <w:rPr>
          <w:lang w:val="fr-FR"/>
        </w:rPr>
        <w:t>ressource génétiq</w:t>
      </w:r>
      <w:r w:rsidR="00511F1C" w:rsidRPr="00D36E0A">
        <w:rPr>
          <w:lang w:val="fr-FR"/>
        </w:rPr>
        <w:t>ue.  Ce</w:t>
      </w:r>
      <w:r w:rsidR="00D65095" w:rsidRPr="00D36E0A">
        <w:rPr>
          <w:lang w:val="fr-FR"/>
        </w:rPr>
        <w:t>la pourrait aller à l</w:t>
      </w:r>
      <w:r w:rsidR="00A27507" w:rsidRPr="00D36E0A">
        <w:rPr>
          <w:lang w:val="fr-FR"/>
        </w:rPr>
        <w:t>’</w:t>
      </w:r>
      <w:r w:rsidR="00D65095" w:rsidRPr="00D36E0A">
        <w:rPr>
          <w:lang w:val="fr-FR"/>
        </w:rPr>
        <w:t>en</w:t>
      </w:r>
      <w:r w:rsidR="00AD5076" w:rsidRPr="00D36E0A">
        <w:rPr>
          <w:lang w:val="fr-FR"/>
        </w:rPr>
        <w:t>contr</w:t>
      </w:r>
      <w:r w:rsidR="00D65095" w:rsidRPr="00D36E0A">
        <w:rPr>
          <w:lang w:val="fr-FR"/>
        </w:rPr>
        <w:t>e de l</w:t>
      </w:r>
      <w:r w:rsidR="00A27507" w:rsidRPr="00D36E0A">
        <w:rPr>
          <w:lang w:val="fr-FR"/>
        </w:rPr>
        <w:t>’</w:t>
      </w:r>
      <w:r w:rsidR="00AD5076" w:rsidRPr="00D36E0A">
        <w:rPr>
          <w:lang w:val="fr-FR"/>
        </w:rPr>
        <w:t>objecti</w:t>
      </w:r>
      <w:r w:rsidR="00D65095" w:rsidRPr="00D36E0A">
        <w:rPr>
          <w:lang w:val="fr-FR"/>
        </w:rPr>
        <w:t>f d</w:t>
      </w:r>
      <w:r w:rsidR="00A27507" w:rsidRPr="00D36E0A">
        <w:rPr>
          <w:lang w:val="fr-FR"/>
        </w:rPr>
        <w:t>’</w:t>
      </w:r>
      <w:r w:rsidR="00D65095" w:rsidRPr="00D36E0A">
        <w:rPr>
          <w:lang w:val="fr-FR"/>
        </w:rPr>
        <w:t xml:space="preserve">amélioration de la </w:t>
      </w:r>
      <w:r w:rsidR="00AD5076" w:rsidRPr="00D36E0A">
        <w:rPr>
          <w:lang w:val="fr-FR"/>
        </w:rPr>
        <w:t>transparenc</w:t>
      </w:r>
      <w:r w:rsidR="00D65095" w:rsidRPr="00D36E0A">
        <w:rPr>
          <w:lang w:val="fr-FR"/>
        </w:rPr>
        <w:t>e en matière d</w:t>
      </w:r>
      <w:r w:rsidR="00A27507" w:rsidRPr="00D36E0A">
        <w:rPr>
          <w:lang w:val="fr-FR"/>
        </w:rPr>
        <w:t>’</w:t>
      </w:r>
      <w:r w:rsidR="00D65095" w:rsidRPr="00D36E0A">
        <w:rPr>
          <w:lang w:val="fr-FR"/>
        </w:rPr>
        <w:t>accès et de partage des avantages</w:t>
      </w:r>
      <w:r w:rsidR="00AD5076" w:rsidRPr="00D36E0A">
        <w:rPr>
          <w:lang w:val="fr-FR"/>
        </w:rPr>
        <w:t>.</w:t>
      </w:r>
      <w:bookmarkEnd w:id="150"/>
    </w:p>
    <w:p w:rsidR="0040701A" w:rsidRDefault="0040701A" w:rsidP="0040701A">
      <w:pPr>
        <w:pStyle w:val="Heading2"/>
      </w:pPr>
      <w:bookmarkStart w:id="151" w:name="_Toc457989468"/>
      <w:bookmarkStart w:id="152" w:name="_Toc461803930"/>
      <w:r w:rsidRPr="00333C38">
        <w:t>D.</w:t>
      </w:r>
      <w:r w:rsidRPr="00333C38">
        <w:tab/>
      </w:r>
      <w:r>
        <w:t xml:space="preserve">Raison pour laquelle l’exigence de divulgation repose sur le fait que l’invention </w:t>
      </w:r>
      <w:r w:rsidRPr="00C50233">
        <w:t>est “directement fondée sur”</w:t>
      </w:r>
      <w:bookmarkEnd w:id="151"/>
      <w:r w:rsidRPr="00C50233">
        <w:t xml:space="preserve"> la ressource</w:t>
      </w:r>
      <w:r>
        <w:t xml:space="preserve"> génétique</w:t>
      </w:r>
      <w:bookmarkEnd w:id="152"/>
    </w:p>
    <w:p w:rsidR="0040701A" w:rsidRPr="0040701A" w:rsidRDefault="0040701A" w:rsidP="0040701A">
      <w:pPr>
        <w:rPr>
          <w:lang w:val="fr-FR"/>
        </w:rPr>
      </w:pPr>
    </w:p>
    <w:p w:rsidR="0040701A" w:rsidRPr="00D40E8B" w:rsidRDefault="0040701A" w:rsidP="0040701A">
      <w:pPr>
        <w:pStyle w:val="ONUMFS"/>
      </w:pPr>
      <w:bookmarkStart w:id="153" w:name="_Toc457391462"/>
      <w:bookmarkStart w:id="154" w:name="_Toc457394804"/>
      <w:bookmarkStart w:id="155" w:name="_Toc457988586"/>
      <w:bookmarkStart w:id="156" w:name="_Toc457989469"/>
      <w:r w:rsidRPr="00333C38">
        <w:t>En général, dans la description d</w:t>
      </w:r>
      <w:r>
        <w:t>’</w:t>
      </w:r>
      <w:r w:rsidRPr="00333C38">
        <w:t>un brevet de biotechnologie, on trouve des r</w:t>
      </w:r>
      <w:r>
        <w:t>é</w:t>
      </w:r>
      <w:r w:rsidRPr="00333C38">
        <w:t>f</w:t>
      </w:r>
      <w:r>
        <w:t>é</w:t>
      </w:r>
      <w:r w:rsidRPr="00333C38">
        <w:t xml:space="preserve">rences </w:t>
      </w:r>
      <w:r>
        <w:t xml:space="preserve">à une multitude de </w:t>
      </w:r>
      <w:r w:rsidRPr="00333C38">
        <w:t>re</w:t>
      </w:r>
      <w:r>
        <w:t>s</w:t>
      </w:r>
      <w:r w:rsidRPr="00333C38">
        <w:t>sources</w:t>
      </w:r>
      <w:r>
        <w:t xml:space="preserve"> génétiques.  </w:t>
      </w:r>
      <w:r w:rsidRPr="005E7AEC">
        <w:t>La phase de recherche</w:t>
      </w:r>
      <w:r>
        <w:noBreakHyphen/>
      </w:r>
      <w:r w:rsidRPr="005E7AEC">
        <w:t>développement qui précède la réalisation d</w:t>
      </w:r>
      <w:r>
        <w:t>’</w:t>
      </w:r>
      <w:r w:rsidRPr="005E7AEC">
        <w:t xml:space="preserve">une invention </w:t>
      </w:r>
      <w:r>
        <w:t>fait</w:t>
      </w:r>
      <w:r w:rsidRPr="005E7AEC">
        <w:t xml:space="preserve"> souvent </w:t>
      </w:r>
      <w:r>
        <w:t xml:space="preserve">intervenir </w:t>
      </w:r>
      <w:r w:rsidRPr="005E7AEC">
        <w:t>plusieurs ressources</w:t>
      </w:r>
      <w:r>
        <w:t xml:space="preserve"> génétiques</w:t>
      </w:r>
      <w:r w:rsidRPr="005E7AEC">
        <w:t xml:space="preserve">, </w:t>
      </w:r>
      <w:r>
        <w:t>notamment des animaux ou des végétaux de laboratoire</w:t>
      </w:r>
      <w:r w:rsidRPr="005E7AEC">
        <w:t xml:space="preserve"> a</w:t>
      </w:r>
      <w:r>
        <w:t>insi que du matériel</w:t>
      </w:r>
      <w:r w:rsidRPr="005E7AEC">
        <w:t xml:space="preserve"> </w:t>
      </w:r>
      <w:r>
        <w:t>de</w:t>
      </w:r>
      <w:r w:rsidRPr="005E7AEC">
        <w:t xml:space="preserve"> laborato</w:t>
      </w:r>
      <w:r>
        <w:t>ire</w:t>
      </w:r>
      <w:r w:rsidRPr="005E7AEC">
        <w:t xml:space="preserve">, </w:t>
      </w:r>
      <w:r>
        <w:t xml:space="preserve">tels que </w:t>
      </w:r>
      <w:r w:rsidRPr="005E7AEC">
        <w:t>plasmid</w:t>
      </w:r>
      <w:r>
        <w:t>e</w:t>
      </w:r>
      <w:r w:rsidRPr="005E7AEC">
        <w:t>s, virus, bact</w:t>
      </w:r>
      <w:r>
        <w:t>é</w:t>
      </w:r>
      <w:r w:rsidRPr="005E7AEC">
        <w:t>ri</w:t>
      </w:r>
      <w:r>
        <w:t xml:space="preserve">es et levures.  Il s’agit </w:t>
      </w:r>
      <w:r w:rsidRPr="005E7AEC">
        <w:t xml:space="preserve">souvent de </w:t>
      </w:r>
      <w:r>
        <w:t>produit</w:t>
      </w:r>
      <w:r w:rsidRPr="005E7AEC">
        <w:t xml:space="preserve">s consommables </w:t>
      </w:r>
      <w:r>
        <w:t>qui</w:t>
      </w:r>
      <w:r w:rsidRPr="005E7AEC">
        <w:t xml:space="preserve"> peuvent </w:t>
      </w:r>
      <w:r>
        <w:t xml:space="preserve">être obtenus auprès de fournisseurs </w:t>
      </w:r>
      <w:r w:rsidRPr="005E7AEC">
        <w:t>commercia</w:t>
      </w:r>
      <w:r>
        <w:t xml:space="preserve">ux.  </w:t>
      </w:r>
      <w:r w:rsidRPr="00D40E8B">
        <w:t>Il est cependant évident que le but de l</w:t>
      </w:r>
      <w:r>
        <w:t>’</w:t>
      </w:r>
      <w:r w:rsidRPr="00D40E8B">
        <w:t>exigence de divulgation n</w:t>
      </w:r>
      <w:r>
        <w:t>’</w:t>
      </w:r>
      <w:r w:rsidRPr="00D40E8B">
        <w:t>est pas d</w:t>
      </w:r>
      <w:r>
        <w:t>’indiquer</w:t>
      </w:r>
      <w:r w:rsidRPr="00D40E8B">
        <w:t xml:space="preserve"> la source des produits consommables de laboratoire qui ont pu </w:t>
      </w:r>
      <w:r>
        <w:t>être utilisés comme outils durant la phase de recherche</w:t>
      </w:r>
      <w:r>
        <w:noBreakHyphen/>
        <w:t>développement conduisant à l’</w:t>
      </w:r>
      <w:r w:rsidRPr="00D40E8B">
        <w:t xml:space="preserve">invention, </w:t>
      </w:r>
      <w:r>
        <w:t>mais plutôt d’indiquer la</w:t>
      </w:r>
      <w:r w:rsidRPr="00D40E8B">
        <w:t xml:space="preserve"> source </w:t>
      </w:r>
      <w:r>
        <w:t>de la ressource génétique sur laquelle l’</w:t>
      </w:r>
      <w:r w:rsidRPr="00D40E8B">
        <w:t xml:space="preserve">invention </w:t>
      </w:r>
      <w:r>
        <w:t>est directement fondée</w:t>
      </w:r>
      <w:r w:rsidRPr="00D40E8B">
        <w:t>.</w:t>
      </w:r>
      <w:bookmarkEnd w:id="153"/>
      <w:bookmarkEnd w:id="154"/>
      <w:bookmarkEnd w:id="155"/>
      <w:bookmarkEnd w:id="156"/>
    </w:p>
    <w:p w:rsidR="0040701A" w:rsidRPr="00A91CE2" w:rsidRDefault="0040701A" w:rsidP="0040701A">
      <w:pPr>
        <w:pStyle w:val="ONUMFS"/>
      </w:pPr>
      <w:bookmarkStart w:id="157" w:name="_Toc457391463"/>
      <w:bookmarkStart w:id="158" w:name="_Toc457394805"/>
      <w:bookmarkStart w:id="159" w:name="_Toc457988587"/>
      <w:bookmarkStart w:id="160" w:name="_Toc457989470"/>
      <w:r w:rsidRPr="00D40E8B">
        <w:t xml:space="preserve">Pour clarifier </w:t>
      </w:r>
      <w:r>
        <w:t>ce point</w:t>
      </w:r>
      <w:r w:rsidRPr="00D40E8B">
        <w:t>,</w:t>
      </w:r>
      <w:r w:rsidRPr="00E47C03">
        <w:t xml:space="preserve"> la </w:t>
      </w:r>
      <w:proofErr w:type="spellStart"/>
      <w:r w:rsidRPr="00E47C03">
        <w:t>LBI</w:t>
      </w:r>
      <w:proofErr w:type="spellEnd"/>
      <w:r w:rsidRPr="00D40E8B">
        <w:t xml:space="preserve"> prévoit que l</w:t>
      </w:r>
      <w:r>
        <w:t>’</w:t>
      </w:r>
      <w:r w:rsidRPr="00D40E8B">
        <w:t>invention doit être “</w:t>
      </w:r>
      <w:r w:rsidRPr="00D40E8B">
        <w:rPr>
          <w:u w:val="single"/>
        </w:rPr>
        <w:t>directement fondée” sur</w:t>
      </w:r>
      <w:r>
        <w:t xml:space="preserve"> </w:t>
      </w:r>
      <w:r w:rsidRPr="00D40E8B">
        <w:t>l</w:t>
      </w:r>
      <w:r>
        <w:t>a ressource génétique et que l’</w:t>
      </w:r>
      <w:r w:rsidRPr="00D40E8B">
        <w:t>invent</w:t>
      </w:r>
      <w:r>
        <w:t>eu</w:t>
      </w:r>
      <w:r w:rsidRPr="00D40E8B">
        <w:t>r o</w:t>
      </w:r>
      <w:r>
        <w:t>u le requérant doit avoi</w:t>
      </w:r>
      <w:r w:rsidRPr="00D40E8B">
        <w:t xml:space="preserve">r </w:t>
      </w:r>
      <w:r>
        <w:t>eu</w:t>
      </w:r>
      <w:r w:rsidRPr="00D40E8B">
        <w:t xml:space="preserve"> acc</w:t>
      </w:r>
      <w:r>
        <w:t>è</w:t>
      </w:r>
      <w:r w:rsidRPr="00D40E8B">
        <w:t xml:space="preserve">s </w:t>
      </w:r>
      <w:r>
        <w:t xml:space="preserve">à cette </w:t>
      </w:r>
      <w:r w:rsidRPr="00D40E8B">
        <w:t>re</w:t>
      </w:r>
      <w:r>
        <w:t>s</w:t>
      </w:r>
      <w:r w:rsidRPr="00D40E8B">
        <w:t>source</w:t>
      </w:r>
      <w:r>
        <w:t xml:space="preserve"> génétique.  </w:t>
      </w:r>
      <w:r w:rsidRPr="00D374F1">
        <w:t xml:space="preserve">Comme </w:t>
      </w:r>
      <w:r>
        <w:t>il ressort d</w:t>
      </w:r>
      <w:r w:rsidRPr="00D374F1">
        <w:t xml:space="preserve">u paragraphe 17 du document </w:t>
      </w:r>
      <w:proofErr w:type="spellStart"/>
      <w:r w:rsidRPr="00D374F1">
        <w:t>WIPO</w:t>
      </w:r>
      <w:proofErr w:type="spellEnd"/>
      <w:r w:rsidRPr="00D374F1">
        <w:t>/</w:t>
      </w:r>
      <w:proofErr w:type="spellStart"/>
      <w:r w:rsidRPr="00D374F1">
        <w:t>GRTKF</w:t>
      </w:r>
      <w:proofErr w:type="spellEnd"/>
      <w:r w:rsidRPr="00D374F1">
        <w:t>/IC/16/</w:t>
      </w:r>
      <w:proofErr w:type="spellStart"/>
      <w:r w:rsidRPr="00D374F1">
        <w:t>INF</w:t>
      </w:r>
      <w:proofErr w:type="spellEnd"/>
      <w:r w:rsidRPr="00D374F1">
        <w:t>/14, dans le contexte de la divulgation de la source</w:t>
      </w:r>
      <w:r>
        <w:t>,</w:t>
      </w:r>
      <w:r w:rsidRPr="00D374F1">
        <w:t xml:space="preserve"> </w:t>
      </w:r>
      <w:r w:rsidRPr="00443FA4">
        <w:t xml:space="preserve">“accès” </w:t>
      </w:r>
      <w:r w:rsidRPr="00D374F1">
        <w:t>signifie que l</w:t>
      </w:r>
      <w:r>
        <w:t>’</w:t>
      </w:r>
      <w:r w:rsidRPr="00D374F1">
        <w:t>inventeur doit avoir été en possession de la re</w:t>
      </w:r>
      <w:r>
        <w:t>s</w:t>
      </w:r>
      <w:r w:rsidRPr="00D374F1">
        <w:t>source génétique particulière o</w:t>
      </w:r>
      <w:r>
        <w:t>u au moins avoir pu en disposer dans une mesure suffisante pour p</w:t>
      </w:r>
      <w:r w:rsidRPr="00D374F1">
        <w:t>o</w:t>
      </w:r>
      <w:r>
        <w:t>uvoir</w:t>
      </w:r>
      <w:r w:rsidRPr="00D374F1">
        <w:t xml:space="preserve"> </w:t>
      </w:r>
      <w:r>
        <w:t xml:space="preserve">déterminer les propriétés </w:t>
      </w:r>
      <w:r w:rsidRPr="00D374F1">
        <w:t>p</w:t>
      </w:r>
      <w:r>
        <w:t>articulière</w:t>
      </w:r>
      <w:r w:rsidRPr="00D374F1">
        <w:t xml:space="preserve">s </w:t>
      </w:r>
      <w:r>
        <w:t>de la ressource génétique qui présentent un intérêt pour l’</w:t>
      </w:r>
      <w:r w:rsidRPr="00D374F1">
        <w:t>invention</w:t>
      </w:r>
      <w:r>
        <w:t xml:space="preserve">.  </w:t>
      </w:r>
      <w:r w:rsidRPr="00A91CE2">
        <w:t>Par “directement fondée sur”, on entend donc que l</w:t>
      </w:r>
      <w:r>
        <w:t>’</w:t>
      </w:r>
      <w:r w:rsidRPr="00A91CE2">
        <w:t>invention doit utiliser directement l</w:t>
      </w:r>
      <w:r>
        <w:t>es propriétés particulières de l</w:t>
      </w:r>
      <w:r w:rsidRPr="00A91CE2">
        <w:t xml:space="preserve">a </w:t>
      </w:r>
      <w:r>
        <w:t>ressource génétique qui ont été identifiées et en dépendre</w:t>
      </w:r>
      <w:bookmarkEnd w:id="157"/>
      <w:bookmarkEnd w:id="158"/>
      <w:bookmarkEnd w:id="159"/>
      <w:bookmarkEnd w:id="160"/>
      <w:r w:rsidRPr="00A91CE2">
        <w:t>.</w:t>
      </w:r>
    </w:p>
    <w:p w:rsidR="0040701A" w:rsidRDefault="0040701A" w:rsidP="0040701A">
      <w:pPr>
        <w:pStyle w:val="ONUMFS"/>
      </w:pPr>
      <w:bookmarkStart w:id="161" w:name="_Toc457391464"/>
      <w:bookmarkStart w:id="162" w:name="_Toc457394806"/>
      <w:bookmarkStart w:id="163" w:name="_Toc457988588"/>
      <w:bookmarkStart w:id="164" w:name="_Toc457989471"/>
      <w:r w:rsidRPr="00A91CE2">
        <w:t xml:space="preserve">Il </w:t>
      </w:r>
      <w:r>
        <w:t>convient</w:t>
      </w:r>
      <w:r w:rsidRPr="00A91CE2">
        <w:t xml:space="preserve"> de noter que les propriétés d</w:t>
      </w:r>
      <w:r>
        <w:t>’</w:t>
      </w:r>
      <w:r w:rsidRPr="00A91CE2">
        <w:t>une ressource génétique peuvent aussi comprendre des compos</w:t>
      </w:r>
      <w:r>
        <w:t>é</w:t>
      </w:r>
      <w:r w:rsidRPr="00A91CE2">
        <w:t>s bioch</w:t>
      </w:r>
      <w:r>
        <w:t>i</w:t>
      </w:r>
      <w:r w:rsidRPr="00A91CE2">
        <w:t>mi</w:t>
      </w:r>
      <w:r>
        <w:t xml:space="preserve">ques </w:t>
      </w:r>
      <w:r w:rsidRPr="00A91CE2">
        <w:t>isol</w:t>
      </w:r>
      <w:r>
        <w:t xml:space="preserve">és à partir de la </w:t>
      </w:r>
      <w:r w:rsidRPr="00A91CE2">
        <w:t>re</w:t>
      </w:r>
      <w:r>
        <w:t>s</w:t>
      </w:r>
      <w:r w:rsidRPr="00A91CE2">
        <w:t>source</w:t>
      </w:r>
      <w:r>
        <w:t xml:space="preserve"> génétique ou</w:t>
      </w:r>
      <w:r w:rsidRPr="00A91CE2">
        <w:t xml:space="preserve">, </w:t>
      </w:r>
      <w:r>
        <w:t>e</w:t>
      </w:r>
      <w:r w:rsidRPr="00A91CE2">
        <w:t xml:space="preserve">n </w:t>
      </w:r>
      <w:r>
        <w:t>d’autres termes, des dérivés qui sont t</w:t>
      </w:r>
      <w:r w:rsidRPr="00A91CE2">
        <w:t>i</w:t>
      </w:r>
      <w:r>
        <w:t xml:space="preserve">rés des </w:t>
      </w:r>
      <w:r w:rsidRPr="00A91CE2">
        <w:t>re</w:t>
      </w:r>
      <w:r>
        <w:t>s</w:t>
      </w:r>
      <w:r w:rsidRPr="00A91CE2">
        <w:t>sources</w:t>
      </w:r>
      <w:r>
        <w:t xml:space="preserve"> génétiques.  </w:t>
      </w:r>
      <w:r w:rsidRPr="008C06D3">
        <w:t>L</w:t>
      </w:r>
      <w:r>
        <w:t>’</w:t>
      </w:r>
      <w:r w:rsidRPr="008C06D3">
        <w:t>expression “directement fondé sur” n</w:t>
      </w:r>
      <w:r>
        <w:t>’</w:t>
      </w:r>
      <w:r w:rsidRPr="008C06D3">
        <w:t>exclut donc pas les composés biochimiques qui sont isolés à partir d</w:t>
      </w:r>
      <w:r>
        <w:t>’</w:t>
      </w:r>
      <w:r w:rsidRPr="008C06D3">
        <w:t>une ressource génétique particuli</w:t>
      </w:r>
      <w:r>
        <w:t>è</w:t>
      </w:r>
      <w:bookmarkEnd w:id="161"/>
      <w:bookmarkEnd w:id="162"/>
      <w:bookmarkEnd w:id="163"/>
      <w:bookmarkEnd w:id="164"/>
      <w:r w:rsidRPr="008C06D3">
        <w:t>re</w:t>
      </w:r>
      <w:r>
        <w:t xml:space="preserve">.  Cela étant, elle précise qu’il doit y avoir un lien clair avec la </w:t>
      </w:r>
      <w:r w:rsidRPr="008C06D3">
        <w:t xml:space="preserve">ressource </w:t>
      </w:r>
      <w:r>
        <w:t xml:space="preserve">génétique à partir de laquelle le composé </w:t>
      </w:r>
      <w:r w:rsidRPr="008C06D3">
        <w:t>bioch</w:t>
      </w:r>
      <w:r>
        <w:t>i</w:t>
      </w:r>
      <w:r w:rsidRPr="008C06D3">
        <w:t>mi</w:t>
      </w:r>
      <w:r>
        <w:t>que a été isolé</w:t>
      </w:r>
      <w:r w:rsidRPr="008C06D3">
        <w:t>.</w:t>
      </w:r>
    </w:p>
    <w:p w:rsidR="0040701A" w:rsidRDefault="0040701A" w:rsidP="0040701A">
      <w:pPr>
        <w:pStyle w:val="ONUMFS"/>
      </w:pPr>
      <w:r w:rsidRPr="008C06D3">
        <w:t>Dans le contexte des “savoirs traditionnels”, “directement fondé sur” signifie que l</w:t>
      </w:r>
      <w:r>
        <w:t>’</w:t>
      </w:r>
      <w:r w:rsidRPr="008C06D3">
        <w:t>inventeur doit savoir que l</w:t>
      </w:r>
      <w:r>
        <w:t>’</w:t>
      </w:r>
      <w:r w:rsidRPr="008C06D3">
        <w:t xml:space="preserve">invention est fondée sur </w:t>
      </w:r>
      <w:r>
        <w:t>des</w:t>
      </w:r>
      <w:r w:rsidRPr="008C06D3">
        <w:t xml:space="preserve"> savoir</w:t>
      </w:r>
      <w:r>
        <w:t>s</w:t>
      </w:r>
      <w:r w:rsidRPr="008C06D3">
        <w:t xml:space="preserve"> traditionnel</w:t>
      </w:r>
      <w:r>
        <w:t>s</w:t>
      </w:r>
      <w:r w:rsidRPr="008C06D3">
        <w:t xml:space="preserve">, </w:t>
      </w:r>
      <w:r>
        <w:t>c’est</w:t>
      </w:r>
      <w:r>
        <w:noBreakHyphen/>
        <w:t>à</w:t>
      </w:r>
      <w:r>
        <w:noBreakHyphen/>
        <w:t>dire que l’</w:t>
      </w:r>
      <w:r w:rsidRPr="008C06D3">
        <w:t>invent</w:t>
      </w:r>
      <w:r>
        <w:t>eu</w:t>
      </w:r>
      <w:r w:rsidRPr="008C06D3">
        <w:t xml:space="preserve">r </w:t>
      </w:r>
      <w:r>
        <w:t>doit avoir scie</w:t>
      </w:r>
      <w:r w:rsidRPr="008C06D3">
        <w:t>m</w:t>
      </w:r>
      <w:r>
        <w:t>men</w:t>
      </w:r>
      <w:r w:rsidRPr="008C06D3">
        <w:t xml:space="preserve">t </w:t>
      </w:r>
      <w:r>
        <w:t>réalisé l’</w:t>
      </w:r>
      <w:r w:rsidRPr="008C06D3">
        <w:t xml:space="preserve">invention </w:t>
      </w:r>
      <w:r>
        <w:t>à partir de ces savoirs</w:t>
      </w:r>
      <w:r w:rsidRPr="008C06D3">
        <w:t>.</w:t>
      </w:r>
    </w:p>
    <w:p w:rsidR="0040701A" w:rsidRDefault="0040701A" w:rsidP="0040701A">
      <w:pPr>
        <w:pStyle w:val="Heading2"/>
      </w:pPr>
      <w:bookmarkStart w:id="165" w:name="_Toc457989472"/>
      <w:bookmarkStart w:id="166" w:name="_Toc461803931"/>
      <w:r w:rsidRPr="008C06D3">
        <w:t>E.</w:t>
      </w:r>
      <w:r w:rsidRPr="008C06D3">
        <w:tab/>
      </w:r>
      <w:r>
        <w:t>Raison pour laquelle l</w:t>
      </w:r>
      <w:r w:rsidRPr="008C06D3">
        <w:t>e</w:t>
      </w:r>
      <w:r>
        <w:t>s</w:t>
      </w:r>
      <w:r w:rsidRPr="008C06D3">
        <w:t xml:space="preserve"> sanctions</w:t>
      </w:r>
      <w:r>
        <w:t xml:space="preserve"> doivent être </w:t>
      </w:r>
      <w:r w:rsidRPr="008C06D3">
        <w:t>“proportion</w:t>
      </w:r>
      <w:r>
        <w:t>nées</w:t>
      </w:r>
      <w:r w:rsidRPr="008C06D3">
        <w:t xml:space="preserve"> </w:t>
      </w:r>
      <w:r>
        <w:t>et</w:t>
      </w:r>
      <w:r w:rsidRPr="008C06D3">
        <w:t xml:space="preserve"> eff</w:t>
      </w:r>
      <w:r>
        <w:t>i</w:t>
      </w:r>
      <w:r w:rsidRPr="008C06D3">
        <w:t>c</w:t>
      </w:r>
      <w:r>
        <w:t>ac</w:t>
      </w:r>
      <w:r w:rsidRPr="008C06D3">
        <w:t>es”</w:t>
      </w:r>
      <w:bookmarkEnd w:id="165"/>
      <w:bookmarkEnd w:id="166"/>
    </w:p>
    <w:p w:rsidR="0040701A" w:rsidRPr="0040701A" w:rsidRDefault="0040701A" w:rsidP="0040701A">
      <w:pPr>
        <w:rPr>
          <w:lang w:val="fr-FR"/>
        </w:rPr>
      </w:pPr>
    </w:p>
    <w:p w:rsidR="0040701A" w:rsidRPr="00420DA5" w:rsidRDefault="0040701A" w:rsidP="0040701A">
      <w:pPr>
        <w:pStyle w:val="ONUMFS"/>
      </w:pPr>
      <w:bookmarkStart w:id="167" w:name="_Toc457391466"/>
      <w:bookmarkStart w:id="168" w:name="_Toc457394808"/>
      <w:bookmarkStart w:id="169" w:name="_Toc457988590"/>
      <w:bookmarkStart w:id="170" w:name="_Toc457989473"/>
      <w:r w:rsidRPr="00420DA5">
        <w:t>Un des objectifs principaux du système des brevets est d</w:t>
      </w:r>
      <w:r>
        <w:t>’encourager l’</w:t>
      </w:r>
      <w:r w:rsidRPr="00420DA5">
        <w:t xml:space="preserve">innovation </w:t>
      </w:r>
      <w:r>
        <w:t>et la croissance é</w:t>
      </w:r>
      <w:r w:rsidRPr="00420DA5">
        <w:t>conomi</w:t>
      </w:r>
      <w:r>
        <w:t xml:space="preserve">que.  </w:t>
      </w:r>
      <w:r w:rsidRPr="00420DA5">
        <w:t>La sécurité juridique est un facteur essentiel à cet égard, ce d</w:t>
      </w:r>
      <w:r>
        <w:t>’</w:t>
      </w:r>
      <w:r w:rsidRPr="00420DA5">
        <w:t>autant plus qu</w:t>
      </w:r>
      <w:r>
        <w:t>’</w:t>
      </w:r>
      <w:r w:rsidRPr="00420DA5">
        <w:t>il s</w:t>
      </w:r>
      <w:r>
        <w:t>’</w:t>
      </w:r>
      <w:r w:rsidRPr="00420DA5">
        <w:t>écoule un temps considérable entre la planification d</w:t>
      </w:r>
      <w:r>
        <w:t>’</w:t>
      </w:r>
      <w:r w:rsidRPr="00420DA5">
        <w:t>un projet de recherche, la phase effective de recherch</w:t>
      </w:r>
      <w:r>
        <w:t>e</w:t>
      </w:r>
      <w:r>
        <w:noBreakHyphen/>
      </w:r>
      <w:r w:rsidRPr="00420DA5">
        <w:t>dévelop</w:t>
      </w:r>
      <w:r>
        <w:t>pe</w:t>
      </w:r>
      <w:r w:rsidRPr="00420DA5">
        <w:t xml:space="preserve">ment, </w:t>
      </w:r>
      <w:r>
        <w:t>le dépôt de la demande de brevet, l’obtention de l’autorisation de mise sur le marché</w:t>
      </w:r>
      <w:r w:rsidRPr="00420DA5">
        <w:t xml:space="preserve"> </w:t>
      </w:r>
      <w:r>
        <w:t>et la commerci</w:t>
      </w:r>
      <w:r w:rsidRPr="00420DA5">
        <w:t>a</w:t>
      </w:r>
      <w:r>
        <w:t xml:space="preserve">lisation d’un </w:t>
      </w:r>
      <w:r w:rsidRPr="00420DA5">
        <w:t>produ</w:t>
      </w:r>
      <w:r>
        <w:t>i</w:t>
      </w:r>
      <w:r w:rsidRPr="00420DA5">
        <w:t xml:space="preserve">t </w:t>
      </w:r>
      <w:r>
        <w:t>générant un re</w:t>
      </w:r>
      <w:r w:rsidRPr="00420DA5">
        <w:t>to</w:t>
      </w:r>
      <w:r>
        <w:t xml:space="preserve">ur sur </w:t>
      </w:r>
      <w:r w:rsidRPr="00420DA5">
        <w:t>invest</w:t>
      </w:r>
      <w:r>
        <w:t>isse</w:t>
      </w:r>
      <w:r w:rsidRPr="00420DA5">
        <w:t>ment</w:t>
      </w:r>
      <w:r>
        <w:t xml:space="preserve">.  </w:t>
      </w:r>
      <w:r w:rsidRPr="00420DA5">
        <w:t>Il est donc important d</w:t>
      </w:r>
      <w:r>
        <w:t xml:space="preserve">’assortir l’exigence de divulgation </w:t>
      </w:r>
      <w:r w:rsidRPr="00420DA5">
        <w:t>d</w:t>
      </w:r>
      <w:r>
        <w:t>e</w:t>
      </w:r>
      <w:r w:rsidRPr="00420DA5">
        <w:t xml:space="preserve"> sanctions efficaces et proportion</w:t>
      </w:r>
      <w:r>
        <w:t>nées</w:t>
      </w:r>
      <w:r w:rsidRPr="00420DA5">
        <w:t xml:space="preserve">, </w:t>
      </w:r>
      <w:r>
        <w:t>sans pour autant faire obstacle à l’</w:t>
      </w:r>
      <w:r w:rsidRPr="00420DA5">
        <w:t>innovation.</w:t>
      </w:r>
      <w:bookmarkEnd w:id="167"/>
      <w:bookmarkEnd w:id="168"/>
      <w:bookmarkEnd w:id="169"/>
      <w:bookmarkEnd w:id="170"/>
    </w:p>
    <w:p w:rsidR="0040701A" w:rsidRPr="0022211C" w:rsidRDefault="0040701A" w:rsidP="0040701A">
      <w:pPr>
        <w:pStyle w:val="ONUMFS"/>
      </w:pPr>
      <w:bookmarkStart w:id="171" w:name="_Toc457391467"/>
      <w:bookmarkStart w:id="172" w:name="_Toc457394809"/>
      <w:bookmarkStart w:id="173" w:name="_Toc457988591"/>
      <w:bookmarkStart w:id="174" w:name="_Toc457989474"/>
      <w:r w:rsidRPr="0022211C">
        <w:t>L</w:t>
      </w:r>
      <w:r>
        <w:t>’</w:t>
      </w:r>
      <w:r w:rsidRPr="0022211C">
        <w:t>exigence de divulgation, conformément à l</w:t>
      </w:r>
      <w:r>
        <w:t>’</w:t>
      </w:r>
      <w:r w:rsidRPr="0022211C">
        <w:t xml:space="preserve">approche </w:t>
      </w:r>
      <w:r>
        <w:t>adopté</w:t>
      </w:r>
      <w:r w:rsidRPr="0022211C">
        <w:t xml:space="preserve">e par la Suisse, établit une distinction entre les sanctions </w:t>
      </w:r>
      <w:r w:rsidR="00DA5BCF">
        <w:t xml:space="preserve">applicables avant la délivrance et les sanctions applicables </w:t>
      </w:r>
      <w:r>
        <w:t>après la délivrance</w:t>
      </w:r>
      <w:r w:rsidR="00DA5BCF">
        <w:t> </w:t>
      </w:r>
      <w:r w:rsidRPr="0022211C">
        <w:t>:</w:t>
      </w:r>
      <w:bookmarkEnd w:id="171"/>
      <w:bookmarkEnd w:id="172"/>
      <w:bookmarkEnd w:id="173"/>
      <w:bookmarkEnd w:id="174"/>
    </w:p>
    <w:p w:rsidR="0040701A" w:rsidRPr="009628DB" w:rsidRDefault="0040701A" w:rsidP="0040701A">
      <w:pPr>
        <w:pStyle w:val="ONUMFS"/>
        <w:numPr>
          <w:ilvl w:val="0"/>
          <w:numId w:val="36"/>
        </w:numPr>
        <w:ind w:left="567" w:hanging="567"/>
      </w:pPr>
      <w:bookmarkStart w:id="175" w:name="_Toc457391468"/>
      <w:bookmarkStart w:id="176" w:name="_Toc457394810"/>
      <w:bookmarkStart w:id="177" w:name="_Toc457988592"/>
      <w:bookmarkStart w:id="178" w:name="_Toc457989475"/>
      <w:r w:rsidRPr="0022211C">
        <w:t xml:space="preserve">les sanctions </w:t>
      </w:r>
      <w:r w:rsidR="00DA5BCF">
        <w:t>applicables</w:t>
      </w:r>
      <w:r>
        <w:t xml:space="preserve"> avant</w:t>
      </w:r>
      <w:r w:rsidRPr="0022211C">
        <w:t xml:space="preserve"> la délivrance </w:t>
      </w:r>
      <w:r>
        <w:t>portent sur le traitement des brevets.  Si la demande de brevet ne contient pas d’indication</w:t>
      </w:r>
      <w:r w:rsidRPr="0022211C">
        <w:t xml:space="preserve"> de la source, </w:t>
      </w:r>
      <w:r>
        <w:t>l’</w:t>
      </w:r>
      <w:r w:rsidRPr="00FF4A8E">
        <w:t xml:space="preserve">Institut fédéral de la propriété intellectuelle </w:t>
      </w:r>
      <w:r>
        <w:t>(</w:t>
      </w:r>
      <w:proofErr w:type="spellStart"/>
      <w:r>
        <w:t>IPI</w:t>
      </w:r>
      <w:proofErr w:type="spellEnd"/>
      <w:r>
        <w:t>) impartit au requérant un délai pour corriger la d</w:t>
      </w:r>
      <w:r w:rsidRPr="0022211C">
        <w:t>e</w:t>
      </w:r>
      <w:r>
        <w:t>m</w:t>
      </w:r>
      <w:r w:rsidRPr="0022211C">
        <w:t>an</w:t>
      </w:r>
      <w:r>
        <w:t xml:space="preserve">de.  </w:t>
      </w:r>
      <w:r w:rsidRPr="00FF4A8E">
        <w:t>Si le défaut n</w:t>
      </w:r>
      <w:r>
        <w:t>’</w:t>
      </w:r>
      <w:r w:rsidRPr="00FF4A8E">
        <w:t>est pas corrigé dans le délai imparti, l</w:t>
      </w:r>
      <w:r>
        <w:t>’</w:t>
      </w:r>
      <w:proofErr w:type="spellStart"/>
      <w:r w:rsidRPr="00FF4A8E">
        <w:t>IPI</w:t>
      </w:r>
      <w:proofErr w:type="spellEnd"/>
      <w:r w:rsidRPr="00FF4A8E">
        <w:t xml:space="preserve"> rejette la demande </w:t>
      </w:r>
      <w:r w:rsidRPr="009628DB">
        <w:t>(art. 59 al</w:t>
      </w:r>
      <w:r w:rsidR="00DA5BCF">
        <w:t>. </w:t>
      </w:r>
      <w:r w:rsidRPr="009628DB">
        <w:t>2 et art. </w:t>
      </w:r>
      <w:proofErr w:type="spellStart"/>
      <w:r w:rsidRPr="009628DB">
        <w:t>59</w:t>
      </w:r>
      <w:r w:rsidRPr="00DA5BCF">
        <w:rPr>
          <w:i/>
        </w:rPr>
        <w:t>a</w:t>
      </w:r>
      <w:proofErr w:type="spellEnd"/>
      <w:r w:rsidRPr="009628DB">
        <w:t> al. 3, sous</w:t>
      </w:r>
      <w:r>
        <w:noBreakHyphen/>
      </w:r>
      <w:r w:rsidRPr="009628DB">
        <w:t>al. b de</w:t>
      </w:r>
      <w:r w:rsidRPr="00E47C03">
        <w:t xml:space="preserve"> la </w:t>
      </w:r>
      <w:proofErr w:type="spellStart"/>
      <w:r w:rsidRPr="00E47C03">
        <w:t>LBI</w:t>
      </w:r>
      <w:proofErr w:type="spellEnd"/>
      <w:r w:rsidRPr="009628DB">
        <w:t>)</w:t>
      </w:r>
      <w:r>
        <w:t>;</w:t>
      </w:r>
      <w:bookmarkEnd w:id="175"/>
      <w:bookmarkEnd w:id="176"/>
      <w:bookmarkEnd w:id="177"/>
      <w:bookmarkEnd w:id="178"/>
    </w:p>
    <w:p w:rsidR="0040701A" w:rsidRPr="00CF16FD" w:rsidRDefault="0040701A" w:rsidP="0040701A">
      <w:pPr>
        <w:pStyle w:val="ONUMFS"/>
        <w:numPr>
          <w:ilvl w:val="0"/>
          <w:numId w:val="36"/>
        </w:numPr>
        <w:ind w:left="567" w:hanging="567"/>
      </w:pPr>
      <w:bookmarkStart w:id="179" w:name="_Toc457391469"/>
      <w:bookmarkStart w:id="180" w:name="_Toc457394811"/>
      <w:bookmarkStart w:id="181" w:name="_Toc457988593"/>
      <w:bookmarkStart w:id="182" w:name="_Toc457989476"/>
      <w:r>
        <w:t>l</w:t>
      </w:r>
      <w:r w:rsidRPr="00FF4A8E">
        <w:t xml:space="preserve">es sanctions </w:t>
      </w:r>
      <w:r w:rsidR="00DA5BCF">
        <w:t>applicables</w:t>
      </w:r>
      <w:r>
        <w:t xml:space="preserve"> </w:t>
      </w:r>
      <w:r w:rsidRPr="00FF4A8E">
        <w:t>a</w:t>
      </w:r>
      <w:r>
        <w:t>p</w:t>
      </w:r>
      <w:r w:rsidRPr="00FF4A8E">
        <w:t>rès la délivrance consistent en une amende pouvant aller jusqu</w:t>
      </w:r>
      <w:r>
        <w:t>’</w:t>
      </w:r>
      <w:r w:rsidRPr="00FF4A8E">
        <w:t>à 100</w:t>
      </w:r>
      <w:r>
        <w:t> </w:t>
      </w:r>
      <w:r w:rsidRPr="00FF4A8E">
        <w:t>000</w:t>
      </w:r>
      <w:r>
        <w:t> f</w:t>
      </w:r>
      <w:r w:rsidRPr="00FF4A8E">
        <w:t>rancs</w:t>
      </w:r>
      <w:r>
        <w:t> suisses en cas de déclaration intentionnellement mensongère concernant la</w:t>
      </w:r>
      <w:r w:rsidRPr="00FF4A8E">
        <w:t xml:space="preserve"> source (</w:t>
      </w:r>
      <w:r>
        <w:t>a</w:t>
      </w:r>
      <w:r w:rsidRPr="00FF4A8E">
        <w:t>rt.</w:t>
      </w:r>
      <w:r>
        <w:t> </w:t>
      </w:r>
      <w:proofErr w:type="spellStart"/>
      <w:r w:rsidRPr="00FF4A8E">
        <w:t>81</w:t>
      </w:r>
      <w:r w:rsidRPr="00FF4A8E">
        <w:rPr>
          <w:i/>
        </w:rPr>
        <w:t>a</w:t>
      </w:r>
      <w:proofErr w:type="spellEnd"/>
      <w:r w:rsidRPr="00FF4A8E">
        <w:t xml:space="preserve"> </w:t>
      </w:r>
      <w:r>
        <w:t>de</w:t>
      </w:r>
      <w:r w:rsidRPr="00E47C03">
        <w:t xml:space="preserve"> la </w:t>
      </w:r>
      <w:proofErr w:type="spellStart"/>
      <w:r w:rsidRPr="00E47C03">
        <w:t>LBI</w:t>
      </w:r>
      <w:proofErr w:type="spellEnd"/>
      <w:r w:rsidRPr="00FF4A8E">
        <w:t xml:space="preserve">).  </w:t>
      </w:r>
      <w:r>
        <w:t>De plus</w:t>
      </w:r>
      <w:r w:rsidRPr="00CF16FD">
        <w:t>, le juge peut ordonner la publication d</w:t>
      </w:r>
      <w:r>
        <w:t>u jugement</w:t>
      </w:r>
      <w:r w:rsidRPr="00CF16FD">
        <w:t>.</w:t>
      </w:r>
      <w:bookmarkEnd w:id="179"/>
      <w:bookmarkEnd w:id="180"/>
      <w:bookmarkEnd w:id="181"/>
      <w:bookmarkEnd w:id="182"/>
    </w:p>
    <w:p w:rsidR="0040701A" w:rsidRPr="0040701A" w:rsidRDefault="0040701A" w:rsidP="0040701A">
      <w:pPr>
        <w:pStyle w:val="ONUMFS"/>
      </w:pPr>
      <w:bookmarkStart w:id="183" w:name="_Toc457988594"/>
      <w:bookmarkStart w:id="184" w:name="_Toc457989477"/>
      <w:bookmarkStart w:id="185" w:name="_Toc457391470"/>
      <w:bookmarkStart w:id="186" w:name="_Toc457394812"/>
      <w:r w:rsidRPr="0040701A">
        <w:t xml:space="preserve">Il n’est pas prévu </w:t>
      </w:r>
      <w:r w:rsidR="00DA5BCF">
        <w:t>d’envisager</w:t>
      </w:r>
      <w:r w:rsidRPr="0040701A">
        <w:t xml:space="preserve"> la révocation d’un brevet délivré comme étant une sanction possible en cas de non</w:t>
      </w:r>
      <w:r w:rsidRPr="0040701A">
        <w:noBreakHyphen/>
        <w:t>respect de l’exigence de divulgation.  La révocation risquerait en effet de détruire la base même du partage des avantages – à savoir le brevet – dès lors qu’aucun avantage monétaire ne pourrait plus être généré dans le cadre du système des brevets puisque l’invention protégée par le brevet révoqué tomberait dans le domaine public.  Qui plus est, la révocation irait à l’encontre de la sécurité juridique.</w:t>
      </w:r>
      <w:bookmarkEnd w:id="183"/>
      <w:bookmarkEnd w:id="184"/>
      <w:bookmarkEnd w:id="185"/>
      <w:bookmarkEnd w:id="186"/>
    </w:p>
    <w:p w:rsidR="0040701A" w:rsidRPr="00532DB7" w:rsidRDefault="0040701A" w:rsidP="0040701A">
      <w:pPr>
        <w:pStyle w:val="Heading1"/>
        <w:rPr>
          <w:lang w:val="fr-CH"/>
        </w:rPr>
      </w:pPr>
      <w:bookmarkStart w:id="187" w:name="_Toc457989485"/>
      <w:bookmarkStart w:id="188" w:name="_Toc461803932"/>
      <w:r w:rsidRPr="00532DB7">
        <w:t>Li</w:t>
      </w:r>
      <w:r>
        <w:t>e</w:t>
      </w:r>
      <w:r w:rsidRPr="00532DB7">
        <w:t>n</w:t>
      </w:r>
      <w:r>
        <w:t>s</w:t>
      </w:r>
      <w:r w:rsidRPr="00532DB7">
        <w:t xml:space="preserve"> </w:t>
      </w:r>
      <w:r>
        <w:t xml:space="preserve">entre </w:t>
      </w:r>
      <w:r w:rsidRPr="00532DB7">
        <w:t>l</w:t>
      </w:r>
      <w:r>
        <w:t>’</w:t>
      </w:r>
      <w:r w:rsidRPr="00532DB7">
        <w:t xml:space="preserve">exigence de divulgation </w:t>
      </w:r>
      <w:r>
        <w:t>et</w:t>
      </w:r>
      <w:r w:rsidRPr="00532DB7">
        <w:t xml:space="preserve"> </w:t>
      </w:r>
      <w:r>
        <w:t xml:space="preserve">les </w:t>
      </w:r>
      <w:r w:rsidRPr="00532DB7">
        <w:t>autres r</w:t>
      </w:r>
      <w:r>
        <w:t>é</w:t>
      </w:r>
      <w:r w:rsidRPr="00532DB7">
        <w:t>glementations relat</w:t>
      </w:r>
      <w:r>
        <w:t xml:space="preserve">ives aux </w:t>
      </w:r>
      <w:r w:rsidRPr="00532DB7">
        <w:t>re</w:t>
      </w:r>
      <w:r>
        <w:t>s</w:t>
      </w:r>
      <w:r w:rsidRPr="00532DB7">
        <w:t xml:space="preserve">sources </w:t>
      </w:r>
      <w:r>
        <w:t>génétiques et aux savoirs</w:t>
      </w:r>
      <w:r w:rsidRPr="00532DB7">
        <w:t xml:space="preserve"> tradition</w:t>
      </w:r>
      <w:r>
        <w:t>ne</w:t>
      </w:r>
      <w:r w:rsidRPr="00532DB7">
        <w:t>l</w:t>
      </w:r>
      <w:r>
        <w:t>s</w:t>
      </w:r>
      <w:bookmarkEnd w:id="187"/>
      <w:bookmarkEnd w:id="188"/>
    </w:p>
    <w:p w:rsidR="0040701A" w:rsidRDefault="0040701A" w:rsidP="0040701A">
      <w:pPr>
        <w:pStyle w:val="Heading2"/>
      </w:pPr>
      <w:bookmarkStart w:id="189" w:name="_Toc457989486"/>
      <w:bookmarkStart w:id="190" w:name="_Toc461803933"/>
      <w:r>
        <w:t>A.</w:t>
      </w:r>
      <w:r>
        <w:tab/>
      </w:r>
      <w:r w:rsidRPr="00277EAC">
        <w:t>Introduction</w:t>
      </w:r>
      <w:bookmarkEnd w:id="189"/>
      <w:bookmarkEnd w:id="190"/>
    </w:p>
    <w:p w:rsidR="00DA5BCF" w:rsidRPr="00DA5BCF" w:rsidRDefault="00DA5BCF" w:rsidP="00DA5BCF">
      <w:pPr>
        <w:rPr>
          <w:lang w:val="fr-FR"/>
        </w:rPr>
      </w:pPr>
    </w:p>
    <w:p w:rsidR="0040701A" w:rsidRPr="00E25F69" w:rsidRDefault="0040701A" w:rsidP="0040701A">
      <w:pPr>
        <w:pStyle w:val="ONUMFS"/>
      </w:pPr>
      <w:bookmarkStart w:id="191" w:name="_Toc457391475"/>
      <w:bookmarkStart w:id="192" w:name="_Toc457394817"/>
      <w:bookmarkStart w:id="193" w:name="_Toc457988604"/>
      <w:bookmarkStart w:id="194" w:name="_Toc457989487"/>
      <w:r w:rsidRPr="00532DB7">
        <w:t xml:space="preserve">Il existe plusieurs instruments internationaux </w:t>
      </w:r>
      <w:r>
        <w:t>applicables</w:t>
      </w:r>
      <w:r w:rsidRPr="00532DB7">
        <w:t xml:space="preserve"> dans le d</w:t>
      </w:r>
      <w:r>
        <w:t>omain</w:t>
      </w:r>
      <w:r w:rsidRPr="00532DB7">
        <w:t>e des re</w:t>
      </w:r>
      <w:r>
        <w:t>s</w:t>
      </w:r>
      <w:r w:rsidRPr="00532DB7">
        <w:t xml:space="preserve">sources </w:t>
      </w:r>
      <w:r>
        <w:t>génétiques et des savoirs</w:t>
      </w:r>
      <w:r w:rsidRPr="00532DB7">
        <w:t xml:space="preserve"> tradition</w:t>
      </w:r>
      <w:r>
        <w:t>ne</w:t>
      </w:r>
      <w:r w:rsidRPr="00532DB7">
        <w:t>l</w:t>
      </w:r>
      <w:r>
        <w:t xml:space="preserve">s.  </w:t>
      </w:r>
      <w:r w:rsidRPr="00E25F69">
        <w:t>La Convention sur la diversité biologique (CDB) et son Protocole de Nago</w:t>
      </w:r>
      <w:r>
        <w:t>ya, ainsi que l</w:t>
      </w:r>
      <w:r w:rsidRPr="00E25F69">
        <w:t xml:space="preserve">e Traité international sur les ressources </w:t>
      </w:r>
      <w:proofErr w:type="spellStart"/>
      <w:r w:rsidRPr="00E25F69">
        <w:t>phytogénétiques</w:t>
      </w:r>
      <w:proofErr w:type="spellEnd"/>
      <w:r w:rsidRPr="00E25F69">
        <w:t xml:space="preserve"> pour l</w:t>
      </w:r>
      <w:r>
        <w:t>’</w:t>
      </w:r>
      <w:r w:rsidRPr="00E25F69">
        <w:t>alimentation et l</w:t>
      </w:r>
      <w:r>
        <w:t>’</w:t>
      </w:r>
      <w:r w:rsidRPr="00E25F69">
        <w:t xml:space="preserve">agriculture </w:t>
      </w:r>
      <w:r>
        <w:t>de</w:t>
      </w:r>
      <w:r w:rsidRPr="00E47C03">
        <w:t xml:space="preserve"> la </w:t>
      </w:r>
      <w:bookmarkEnd w:id="191"/>
      <w:bookmarkEnd w:id="192"/>
      <w:bookmarkEnd w:id="193"/>
      <w:bookmarkEnd w:id="194"/>
      <w:r w:rsidRPr="00E47C03">
        <w:t>FAO</w:t>
      </w:r>
      <w:r>
        <w:t xml:space="preserve"> sont particulièrement pertinents à cet égard</w:t>
      </w:r>
      <w:r w:rsidRPr="00E25F69">
        <w:t>.</w:t>
      </w:r>
    </w:p>
    <w:p w:rsidR="0040701A" w:rsidRPr="00277FB9" w:rsidRDefault="0040701A" w:rsidP="0040701A">
      <w:pPr>
        <w:pStyle w:val="ONUMFS"/>
      </w:pPr>
      <w:bookmarkStart w:id="195" w:name="_Toc457391476"/>
      <w:bookmarkStart w:id="196" w:name="_Toc457394818"/>
      <w:bookmarkStart w:id="197" w:name="_Toc457988605"/>
      <w:bookmarkStart w:id="198" w:name="_Toc457989488"/>
      <w:r w:rsidRPr="00E25F69">
        <w:t xml:space="preserve">La Suisse a </w:t>
      </w:r>
      <w:r>
        <w:t xml:space="preserve">appliqué </w:t>
      </w:r>
      <w:r w:rsidRPr="00E25F69">
        <w:t xml:space="preserve">le Protocole de Nagoya et le Traité international sur les ressources </w:t>
      </w:r>
      <w:proofErr w:type="spellStart"/>
      <w:r w:rsidRPr="00E25F69">
        <w:t>phytogénétiques</w:t>
      </w:r>
      <w:proofErr w:type="spellEnd"/>
      <w:r w:rsidRPr="00E25F69">
        <w:t xml:space="preserve"> pour l</w:t>
      </w:r>
      <w:r>
        <w:t>’</w:t>
      </w:r>
      <w:r w:rsidRPr="00E25F69">
        <w:t>alimentation et l</w:t>
      </w:r>
      <w:r>
        <w:t>’</w:t>
      </w:r>
      <w:r w:rsidRPr="00E25F69">
        <w:t xml:space="preserve">agriculture </w:t>
      </w:r>
      <w:r>
        <w:t>au niveau</w:t>
      </w:r>
      <w:r w:rsidRPr="00E25F69">
        <w:t xml:space="preserve"> national </w:t>
      </w:r>
      <w:r>
        <w:t>de manière complémentaire, en introduisant de nouvelles mesures dans la</w:t>
      </w:r>
      <w:r w:rsidRPr="00E25F69">
        <w:t xml:space="preserve"> Loi fédérale sur la protection de la nature et du paysage (</w:t>
      </w:r>
      <w:proofErr w:type="spellStart"/>
      <w:r w:rsidRPr="00E25F69">
        <w:t>LPN</w:t>
      </w:r>
      <w:proofErr w:type="spellEnd"/>
      <w:r w:rsidRPr="00E25F69">
        <w:t xml:space="preserve">) </w:t>
      </w:r>
      <w:r>
        <w:t xml:space="preserve">et dans la </w:t>
      </w:r>
      <w:r w:rsidRPr="00E25F69">
        <w:t>Loi fé</w:t>
      </w:r>
      <w:r>
        <w:t>dérale sur l’agriculture (</w:t>
      </w:r>
      <w:proofErr w:type="spellStart"/>
      <w:r>
        <w:t>LAgr</w:t>
      </w:r>
      <w:proofErr w:type="spellEnd"/>
      <w:r>
        <w:t xml:space="preserve">).  </w:t>
      </w:r>
      <w:r w:rsidRPr="00277FB9">
        <w:t>Les dispositions de ces lois ont été précisées ultérieurement au moyen d</w:t>
      </w:r>
      <w:r>
        <w:t>’</w:t>
      </w:r>
      <w:r w:rsidRPr="00277FB9">
        <w:t>ordonnances portant application, plus précisément l</w:t>
      </w:r>
      <w:r>
        <w:t>’</w:t>
      </w:r>
      <w:r w:rsidRPr="00277FB9">
        <w:t>Ordonnance sur l</w:t>
      </w:r>
      <w:r>
        <w:t>’</w:t>
      </w:r>
      <w:r w:rsidRPr="00277FB9">
        <w:t xml:space="preserve">accès aux ressources génétiques et le partage juste et équitable des avantages découlant de leur utilisation (Ordonnance de Nagoya, </w:t>
      </w:r>
      <w:proofErr w:type="spellStart"/>
      <w:r w:rsidRPr="00277FB9">
        <w:t>ONag</w:t>
      </w:r>
      <w:proofErr w:type="spellEnd"/>
      <w:r w:rsidRPr="00277FB9">
        <w:t xml:space="preserve">) </w:t>
      </w:r>
      <w:r>
        <w:t>et</w:t>
      </w:r>
      <w:r w:rsidRPr="00277FB9">
        <w:t xml:space="preserve"> </w:t>
      </w:r>
      <w:r>
        <w:t>l’</w:t>
      </w:r>
      <w:r w:rsidRPr="00277FB9">
        <w:t>Ordonnance sur la conservation et l</w:t>
      </w:r>
      <w:r>
        <w:t>’</w:t>
      </w:r>
      <w:r w:rsidRPr="00277FB9">
        <w:t xml:space="preserve">utilisation durable de ressources </w:t>
      </w:r>
      <w:proofErr w:type="spellStart"/>
      <w:r w:rsidRPr="00277FB9">
        <w:t>phytogénétiques</w:t>
      </w:r>
      <w:proofErr w:type="spellEnd"/>
      <w:r w:rsidRPr="00277FB9">
        <w:t xml:space="preserve"> pour l</w:t>
      </w:r>
      <w:r>
        <w:t>’</w:t>
      </w:r>
      <w:r w:rsidRPr="00277FB9">
        <w:t>alimentation et l</w:t>
      </w:r>
      <w:r>
        <w:t>’</w:t>
      </w:r>
      <w:r w:rsidRPr="00277FB9">
        <w:t>agriculture (</w:t>
      </w:r>
      <w:proofErr w:type="spellStart"/>
      <w:r w:rsidRPr="00277FB9">
        <w:t>ORPGAA</w:t>
      </w:r>
      <w:proofErr w:type="spellEnd"/>
      <w:r w:rsidRPr="00277FB9">
        <w:t xml:space="preserve">).  Ces deux ordonnances sont entrées en vigueur </w:t>
      </w:r>
      <w:r>
        <w:t xml:space="preserve">au </w:t>
      </w:r>
      <w:r w:rsidRPr="00277FB9">
        <w:t>débu</w:t>
      </w:r>
      <w:r>
        <w:t>t de </w:t>
      </w:r>
      <w:r w:rsidRPr="00277FB9">
        <w:t>2016 (</w:t>
      </w:r>
      <w:r>
        <w:t>voir l’a</w:t>
      </w:r>
      <w:r w:rsidRPr="00277FB9">
        <w:t>nnex</w:t>
      </w:r>
      <w:r>
        <w:t>e </w:t>
      </w:r>
      <w:r w:rsidRPr="00277FB9">
        <w:t>2).</w:t>
      </w:r>
      <w:bookmarkEnd w:id="195"/>
      <w:bookmarkEnd w:id="196"/>
      <w:bookmarkEnd w:id="197"/>
      <w:bookmarkEnd w:id="198"/>
    </w:p>
    <w:p w:rsidR="0040701A" w:rsidRDefault="0040701A" w:rsidP="0040701A">
      <w:pPr>
        <w:pStyle w:val="ONUMFS"/>
      </w:pPr>
      <w:bookmarkStart w:id="199" w:name="_Toc457988606"/>
      <w:bookmarkStart w:id="200" w:name="_Toc457989489"/>
      <w:r w:rsidRPr="008F43FE">
        <w:t xml:space="preserve">Par conséquent, </w:t>
      </w:r>
      <w:r>
        <w:t>l’</w:t>
      </w:r>
      <w:r w:rsidRPr="008F43FE">
        <w:t>exigence de divulgation dans le cadre du système des brevets doit être replacée da</w:t>
      </w:r>
      <w:r>
        <w:t>n</w:t>
      </w:r>
      <w:r w:rsidRPr="008F43FE">
        <w:t>s le context</w:t>
      </w:r>
      <w:r>
        <w:t>e</w:t>
      </w:r>
      <w:r w:rsidRPr="008F43FE">
        <w:t xml:space="preserve"> </w:t>
      </w:r>
      <w:r>
        <w:t>pl</w:t>
      </w:r>
      <w:r w:rsidRPr="008F43FE">
        <w:t>us large des mesures</w:t>
      </w:r>
      <w:r>
        <w:t xml:space="preserve"> visant à mettre en œuvre le régime </w:t>
      </w:r>
      <w:r w:rsidRPr="008F43FE">
        <w:t xml:space="preserve">international </w:t>
      </w:r>
      <w:r>
        <w:t xml:space="preserve">en matière d’accès et de partage des avantages.  </w:t>
      </w:r>
      <w:r w:rsidRPr="008F43FE">
        <w:t xml:space="preserve">Par ailleurs, </w:t>
      </w:r>
      <w:r>
        <w:t xml:space="preserve">étant donné que </w:t>
      </w:r>
      <w:r w:rsidRPr="008F43FE">
        <w:t xml:space="preserve">le document </w:t>
      </w:r>
      <w:proofErr w:type="spellStart"/>
      <w:r w:rsidRPr="008F43FE">
        <w:t>WIPO</w:t>
      </w:r>
      <w:proofErr w:type="spellEnd"/>
      <w:r w:rsidRPr="008F43FE">
        <w:t>/</w:t>
      </w:r>
      <w:proofErr w:type="spellStart"/>
      <w:r w:rsidRPr="008F43FE">
        <w:t>GRTKF</w:t>
      </w:r>
      <w:proofErr w:type="spellEnd"/>
      <w:r w:rsidRPr="008F43FE">
        <w:t xml:space="preserve">/IC/30/9 </w:t>
      </w:r>
      <w:r>
        <w:t>soumis</w:t>
      </w:r>
      <w:r w:rsidRPr="008F43FE">
        <w:t xml:space="preserve"> par les États</w:t>
      </w:r>
      <w:r>
        <w:noBreakHyphen/>
      </w:r>
      <w:r w:rsidRPr="008F43FE">
        <w:t>Unis d</w:t>
      </w:r>
      <w:r>
        <w:t>’</w:t>
      </w:r>
      <w:r w:rsidRPr="008F43FE">
        <w:t>Amérique trait</w:t>
      </w:r>
      <w:r>
        <w:t>e</w:t>
      </w:r>
      <w:r w:rsidRPr="008F43FE">
        <w:t xml:space="preserve"> également de la mise en </w:t>
      </w:r>
      <w:r>
        <w:t xml:space="preserve">œuvre </w:t>
      </w:r>
      <w:r w:rsidRPr="008F43FE">
        <w:t xml:space="preserve">du Protocole de Nagoya au niveau </w:t>
      </w:r>
      <w:r>
        <w:t>i</w:t>
      </w:r>
      <w:r w:rsidRPr="008F43FE">
        <w:t>n</w:t>
      </w:r>
      <w:r>
        <w:t>ter</w:t>
      </w:r>
      <w:r w:rsidRPr="008F43FE">
        <w:t>n</w:t>
      </w:r>
      <w:r>
        <w:t>e</w:t>
      </w:r>
      <w:r w:rsidRPr="008F43FE">
        <w:t xml:space="preserve"> suisse, il semble approprié de </w:t>
      </w:r>
      <w:r>
        <w:t>présenter</w:t>
      </w:r>
      <w:r w:rsidRPr="008F43FE">
        <w:t xml:space="preserve"> une synthèse compl</w:t>
      </w:r>
      <w:r>
        <w:t>è</w:t>
      </w:r>
      <w:r w:rsidRPr="008F43FE">
        <w:t>te de ces dispositions dans le pr</w:t>
      </w:r>
      <w:r>
        <w:t>é</w:t>
      </w:r>
      <w:r w:rsidRPr="008F43FE">
        <w:t>sent document</w:t>
      </w:r>
      <w:r>
        <w:t>.  Les sections suivantes décrivent ainsi le lien entre l’indicat</w:t>
      </w:r>
      <w:r w:rsidRPr="008F43FE">
        <w:t>ion de la source en vertu de</w:t>
      </w:r>
      <w:r w:rsidRPr="00E47C03">
        <w:t xml:space="preserve"> la </w:t>
      </w:r>
      <w:proofErr w:type="spellStart"/>
      <w:r w:rsidRPr="00E47C03">
        <w:t>LBI</w:t>
      </w:r>
      <w:proofErr w:type="spellEnd"/>
      <w:r w:rsidRPr="008F43FE">
        <w:t xml:space="preserve"> </w:t>
      </w:r>
      <w:r>
        <w:t>et les réglementations</w:t>
      </w:r>
      <w:r w:rsidRPr="008F43FE">
        <w:t xml:space="preserve"> nationales r</w:t>
      </w:r>
      <w:r>
        <w:t>é</w:t>
      </w:r>
      <w:r w:rsidRPr="008F43FE">
        <w:t>sult</w:t>
      </w:r>
      <w:r>
        <w:t xml:space="preserve">ant de l’application du Protocole de </w:t>
      </w:r>
      <w:r w:rsidRPr="008F43FE">
        <w:t>N</w:t>
      </w:r>
      <w:r>
        <w:t xml:space="preserve">agoya et du </w:t>
      </w:r>
      <w:r w:rsidRPr="00D40D2B">
        <w:t xml:space="preserve">Traité international sur les ressources </w:t>
      </w:r>
      <w:proofErr w:type="spellStart"/>
      <w:r w:rsidRPr="00D40D2B">
        <w:t>phytogénétiques</w:t>
      </w:r>
      <w:proofErr w:type="spellEnd"/>
      <w:r w:rsidRPr="00D40D2B">
        <w:t xml:space="preserve"> pour l</w:t>
      </w:r>
      <w:r>
        <w:t>’</w:t>
      </w:r>
      <w:r w:rsidRPr="00D40D2B">
        <w:t>alimentation et l</w:t>
      </w:r>
      <w:r>
        <w:t>’</w:t>
      </w:r>
      <w:r w:rsidRPr="00D40D2B">
        <w:t>agri</w:t>
      </w:r>
      <w:r>
        <w:t>culture</w:t>
      </w:r>
      <w:r w:rsidRPr="008F43FE">
        <w:t>.</w:t>
      </w:r>
      <w:bookmarkStart w:id="201" w:name="_Toc457391477"/>
      <w:bookmarkStart w:id="202" w:name="_Toc457394819"/>
      <w:bookmarkEnd w:id="199"/>
      <w:bookmarkEnd w:id="200"/>
    </w:p>
    <w:p w:rsidR="0040701A" w:rsidRDefault="0040701A" w:rsidP="0040701A">
      <w:pPr>
        <w:pStyle w:val="Heading2"/>
      </w:pPr>
      <w:bookmarkStart w:id="203" w:name="_Toc457989490"/>
      <w:bookmarkStart w:id="204" w:name="_Toc461803934"/>
      <w:r>
        <w:t>B.</w:t>
      </w:r>
      <w:r>
        <w:tab/>
      </w:r>
      <w:r w:rsidRPr="00D40D2B">
        <w:t>Lien avec les réglementations por</w:t>
      </w:r>
      <w:r>
        <w:t>t</w:t>
      </w:r>
      <w:r w:rsidRPr="00D40D2B">
        <w:t>ant applicat</w:t>
      </w:r>
      <w:r>
        <w:t>i</w:t>
      </w:r>
      <w:r w:rsidRPr="00D40D2B">
        <w:t>on du Protocole de Nagoya</w:t>
      </w:r>
      <w:bookmarkEnd w:id="203"/>
      <w:bookmarkEnd w:id="204"/>
    </w:p>
    <w:p w:rsidR="0040701A" w:rsidRPr="0040701A" w:rsidRDefault="0040701A" w:rsidP="0040701A">
      <w:pPr>
        <w:rPr>
          <w:lang w:val="fr-FR"/>
        </w:rPr>
      </w:pPr>
    </w:p>
    <w:p w:rsidR="0040701A" w:rsidRDefault="0040701A" w:rsidP="0040701A">
      <w:pPr>
        <w:pStyle w:val="ONUMFS"/>
      </w:pPr>
      <w:bookmarkStart w:id="205" w:name="_Toc457988608"/>
      <w:bookmarkStart w:id="206" w:name="_Toc457989491"/>
      <w:r w:rsidRPr="00D40D2B">
        <w:t>Bien que le Protocole de Nagoya ne traite pas des questions de propriété intellectuelle en tant que telles (à l</w:t>
      </w:r>
      <w:r>
        <w:t>’</w:t>
      </w:r>
      <w:r w:rsidRPr="00D40D2B">
        <w:t>exception de l</w:t>
      </w:r>
      <w:r>
        <w:t>’</w:t>
      </w:r>
      <w:r w:rsidRPr="00D40D2B">
        <w:t>art.</w:t>
      </w:r>
      <w:r>
        <w:t> </w:t>
      </w:r>
      <w:proofErr w:type="spellStart"/>
      <w:r w:rsidRPr="00D40D2B">
        <w:t>6.3</w:t>
      </w:r>
      <w:r>
        <w:t>.</w:t>
      </w:r>
      <w:r w:rsidRPr="00D40D2B">
        <w:t>g</w:t>
      </w:r>
      <w:proofErr w:type="spellEnd"/>
      <w:proofErr w:type="gramStart"/>
      <w:r w:rsidRPr="00D40D2B">
        <w:t>)ii</w:t>
      </w:r>
      <w:proofErr w:type="gramEnd"/>
      <w:r w:rsidRPr="00D40D2B">
        <w:t>) a</w:t>
      </w:r>
      <w:r>
        <w:t>insi que de la liste non exhaustive</w:t>
      </w:r>
      <w:r w:rsidRPr="00D40D2B">
        <w:t xml:space="preserve"> </w:t>
      </w:r>
      <w:r>
        <w:t>d’avantage</w:t>
      </w:r>
      <w:r w:rsidRPr="00D40D2B">
        <w:t>s potenti</w:t>
      </w:r>
      <w:r>
        <w:t>e</w:t>
      </w:r>
      <w:r w:rsidRPr="00D40D2B">
        <w:t xml:space="preserve">ls </w:t>
      </w:r>
      <w:r>
        <w:t>figurant à l’a</w:t>
      </w:r>
      <w:r w:rsidRPr="00D40D2B">
        <w:t>nnex</w:t>
      </w:r>
      <w:r>
        <w:t>e</w:t>
      </w:r>
      <w:r w:rsidRPr="00D40D2B">
        <w:t xml:space="preserve">), </w:t>
      </w:r>
      <w:r>
        <w:t>l’indi</w:t>
      </w:r>
      <w:r w:rsidRPr="00D40D2B">
        <w:t xml:space="preserve">cation </w:t>
      </w:r>
      <w:r>
        <w:t>d</w:t>
      </w:r>
      <w:r w:rsidRPr="00D40D2B">
        <w:t xml:space="preserve">e </w:t>
      </w:r>
      <w:r>
        <w:t xml:space="preserve">la </w:t>
      </w:r>
      <w:r w:rsidRPr="00D40D2B">
        <w:t xml:space="preserve">source </w:t>
      </w:r>
      <w:r>
        <w:t>en vertu de</w:t>
      </w:r>
      <w:r w:rsidRPr="00E47C03">
        <w:t xml:space="preserve"> la </w:t>
      </w:r>
      <w:proofErr w:type="spellStart"/>
      <w:r w:rsidRPr="00E47C03">
        <w:t>LBI</w:t>
      </w:r>
      <w:proofErr w:type="spellEnd"/>
      <w:r>
        <w:t xml:space="preserve"> est conforme au Protocole de </w:t>
      </w:r>
      <w:r w:rsidRPr="00D40D2B">
        <w:t>N</w:t>
      </w:r>
      <w:r>
        <w:t xml:space="preserve">agoya.  </w:t>
      </w:r>
      <w:r w:rsidRPr="00CC5EAB">
        <w:t>En outre, l</w:t>
      </w:r>
      <w:r>
        <w:t>’</w:t>
      </w:r>
      <w:proofErr w:type="spellStart"/>
      <w:r w:rsidRPr="00CC5EAB">
        <w:t>IPI</w:t>
      </w:r>
      <w:proofErr w:type="spellEnd"/>
      <w:r w:rsidRPr="00CC5EAB">
        <w:t xml:space="preserve"> peut être considéré comme un point de contr</w:t>
      </w:r>
      <w:r>
        <w:t>ôle au sens de l’</w:t>
      </w:r>
      <w:r w:rsidRPr="00CC5EAB">
        <w:t>article</w:t>
      </w:r>
      <w:r>
        <w:t> </w:t>
      </w:r>
      <w:r w:rsidRPr="00CC5EAB">
        <w:t xml:space="preserve">17 </w:t>
      </w:r>
      <w:r>
        <w:t>du Protocole d</w:t>
      </w:r>
      <w:r w:rsidRPr="00CC5EAB">
        <w:t>e N</w:t>
      </w:r>
      <w:r>
        <w:t>agoya</w:t>
      </w:r>
      <w:r w:rsidRPr="00277EAC">
        <w:rPr>
          <w:rStyle w:val="FootnoteReference"/>
          <w:szCs w:val="22"/>
          <w:lang w:val="en-GB"/>
        </w:rPr>
        <w:footnoteReference w:id="9"/>
      </w:r>
      <w:r w:rsidRPr="00CC5EAB">
        <w:t>.</w:t>
      </w:r>
      <w:bookmarkEnd w:id="201"/>
      <w:bookmarkEnd w:id="202"/>
      <w:bookmarkEnd w:id="205"/>
      <w:bookmarkEnd w:id="206"/>
    </w:p>
    <w:p w:rsidR="0040701A" w:rsidRPr="00C22C07" w:rsidRDefault="0040701A" w:rsidP="0040701A">
      <w:pPr>
        <w:pStyle w:val="ONUMFS"/>
      </w:pPr>
      <w:bookmarkStart w:id="207" w:name="_Toc457391479"/>
      <w:bookmarkStart w:id="208" w:name="_Toc457394821"/>
      <w:bookmarkStart w:id="209" w:name="_Toc457988610"/>
      <w:bookmarkStart w:id="210" w:name="_Toc457989493"/>
      <w:r w:rsidRPr="00CC5EAB">
        <w:t xml:space="preserve">Les mesures juridiques portant application du Protocole de Nagoya en Suisse, en particulier les “mesures </w:t>
      </w:r>
      <w:r>
        <w:t>visant à assurer le respect des dispositions par l</w:t>
      </w:r>
      <w:r w:rsidRPr="00CC5EAB">
        <w:t xml:space="preserve">es utilisateurs” </w:t>
      </w:r>
      <w:r>
        <w:t xml:space="preserve">conformément aux </w:t>
      </w:r>
      <w:r w:rsidRPr="00CC5EAB">
        <w:t>articles</w:t>
      </w:r>
      <w:r>
        <w:t> </w:t>
      </w:r>
      <w:r w:rsidRPr="00CC5EAB">
        <w:t>15</w:t>
      </w:r>
      <w:r>
        <w:t> et </w:t>
      </w:r>
      <w:r w:rsidRPr="00CC5EAB">
        <w:t xml:space="preserve">16 </w:t>
      </w:r>
      <w:r>
        <w:t>du Protocole de Nagoya</w:t>
      </w:r>
      <w:r w:rsidRPr="00CC5EAB">
        <w:t xml:space="preserve">, </w:t>
      </w:r>
      <w:r>
        <w:t>qui s’</w:t>
      </w:r>
      <w:r w:rsidRPr="00CC5EAB">
        <w:t>appli</w:t>
      </w:r>
      <w:r>
        <w:t>quent</w:t>
      </w:r>
      <w:r w:rsidRPr="00CC5EAB">
        <w:t xml:space="preserve"> </w:t>
      </w:r>
      <w:r>
        <w:t>à toutes les p</w:t>
      </w:r>
      <w:r w:rsidRPr="00CC5EAB">
        <w:t xml:space="preserve">arties </w:t>
      </w:r>
      <w:r>
        <w:t>au Protocole de Nagoya</w:t>
      </w:r>
      <w:r w:rsidRPr="00CC5EAB">
        <w:t xml:space="preserve">, </w:t>
      </w:r>
      <w:r>
        <w:t>figurent au c</w:t>
      </w:r>
      <w:r w:rsidRPr="00CC5EAB">
        <w:t>hap</w:t>
      </w:r>
      <w:r>
        <w:t>itre </w:t>
      </w:r>
      <w:r w:rsidRPr="00CC5EAB">
        <w:t xml:space="preserve">3 </w:t>
      </w:r>
      <w:r>
        <w:t>de</w:t>
      </w:r>
      <w:r w:rsidRPr="00E47C03">
        <w:t xml:space="preserve"> la </w:t>
      </w:r>
      <w:proofErr w:type="spellStart"/>
      <w:r w:rsidRPr="00E47C03">
        <w:t>LPN</w:t>
      </w:r>
      <w:proofErr w:type="spellEnd"/>
      <w:r w:rsidRPr="00CC5EAB">
        <w:t xml:space="preserve"> (</w:t>
      </w:r>
      <w:r>
        <w:t>voir l’a</w:t>
      </w:r>
      <w:r w:rsidRPr="00CC5EAB">
        <w:t>nnex</w:t>
      </w:r>
      <w:r>
        <w:t>e </w:t>
      </w:r>
      <w:r w:rsidRPr="00CC5EAB">
        <w:t xml:space="preserve">1).  </w:t>
      </w:r>
      <w:r>
        <w:t>Elles peuvent être résumées comme suit </w:t>
      </w:r>
      <w:r w:rsidRPr="00C22C07">
        <w:t>:</w:t>
      </w:r>
    </w:p>
    <w:p w:rsidR="0040701A" w:rsidRPr="00C22C07" w:rsidRDefault="0040701A" w:rsidP="0040701A">
      <w:pPr>
        <w:pStyle w:val="ONUMFS"/>
        <w:numPr>
          <w:ilvl w:val="0"/>
          <w:numId w:val="37"/>
        </w:numPr>
        <w:ind w:left="567" w:hanging="567"/>
      </w:pPr>
      <w:r w:rsidRPr="00C22C07">
        <w:t>Quiconque utilise des ressources génétiques ou tire directement des avantages découlant de l</w:t>
      </w:r>
      <w:r>
        <w:t>’</w:t>
      </w:r>
      <w:r w:rsidRPr="00C22C07">
        <w:t>utilisation de celles</w:t>
      </w:r>
      <w:r>
        <w:noBreakHyphen/>
      </w:r>
      <w:r w:rsidRPr="00C22C07">
        <w:t>ci (utilisateur) doit déployer toute la diligence requise par les circonstances afin de garantir que l</w:t>
      </w:r>
      <w:r>
        <w:t>’</w:t>
      </w:r>
      <w:r w:rsidRPr="00C22C07">
        <w:t>accès aux re</w:t>
      </w:r>
      <w:r>
        <w:t>s</w:t>
      </w:r>
      <w:r w:rsidRPr="00C22C07">
        <w:t xml:space="preserve">sources </w:t>
      </w:r>
      <w:r>
        <w:t>a eu lieu conformément aux exigences réglementaires internes en matière d’</w:t>
      </w:r>
      <w:r w:rsidRPr="00C22C07">
        <w:t>acc</w:t>
      </w:r>
      <w:r>
        <w:t>è</w:t>
      </w:r>
      <w:r w:rsidRPr="00C22C07">
        <w:t xml:space="preserve">s </w:t>
      </w:r>
      <w:r>
        <w:t>et de partage des avantages</w:t>
      </w:r>
      <w:r w:rsidRPr="00C22C07">
        <w:t xml:space="preserve"> </w:t>
      </w:r>
      <w:r>
        <w:t>d</w:t>
      </w:r>
      <w:r w:rsidRPr="00C22C07">
        <w:t xml:space="preserve">e </w:t>
      </w:r>
      <w:r>
        <w:t>la partie au Protocole de Nagoya qui fournit c</w:t>
      </w:r>
      <w:r w:rsidRPr="00C22C07">
        <w:t>es re</w:t>
      </w:r>
      <w:r>
        <w:t>s</w:t>
      </w:r>
      <w:r w:rsidRPr="00C22C07">
        <w:t>sources.</w:t>
      </w:r>
    </w:p>
    <w:p w:rsidR="0040701A" w:rsidRPr="00F859D8" w:rsidRDefault="0040701A" w:rsidP="0040701A">
      <w:pPr>
        <w:pStyle w:val="ONUMFS"/>
        <w:numPr>
          <w:ilvl w:val="0"/>
          <w:numId w:val="37"/>
        </w:numPr>
        <w:ind w:left="567" w:hanging="567"/>
      </w:pPr>
      <w:r w:rsidRPr="00F859D8">
        <w:t>Il y a lieu de notifier le respect du devoir de diligence à l</w:t>
      </w:r>
      <w:r>
        <w:t>’</w:t>
      </w:r>
      <w:r w:rsidRPr="00F859D8">
        <w:t>Office f</w:t>
      </w:r>
      <w:r>
        <w:t>é</w:t>
      </w:r>
      <w:r w:rsidRPr="00F859D8">
        <w:t>d</w:t>
      </w:r>
      <w:r>
        <w:t>é</w:t>
      </w:r>
      <w:r w:rsidRPr="00F859D8">
        <w:t xml:space="preserve">ral </w:t>
      </w:r>
      <w:r>
        <w:t>de</w:t>
      </w:r>
      <w:r w:rsidRPr="00F859D8">
        <w:t xml:space="preserve"> l</w:t>
      </w:r>
      <w:r>
        <w:t>’</w:t>
      </w:r>
      <w:r w:rsidRPr="00F859D8">
        <w:t>environnement (</w:t>
      </w:r>
      <w:proofErr w:type="spellStart"/>
      <w:r w:rsidRPr="00F859D8">
        <w:t>OFEV</w:t>
      </w:r>
      <w:proofErr w:type="spellEnd"/>
      <w:r w:rsidRPr="00F859D8">
        <w:t>) avant l</w:t>
      </w:r>
      <w:r>
        <w:t>’</w:t>
      </w:r>
      <w:r w:rsidRPr="00F859D8">
        <w:t>ob</w:t>
      </w:r>
      <w:r>
        <w:t>t</w:t>
      </w:r>
      <w:r w:rsidRPr="00F859D8">
        <w:t>ention de l</w:t>
      </w:r>
      <w:r>
        <w:t>’</w:t>
      </w:r>
      <w:r w:rsidRPr="00F859D8">
        <w:t>autorisation de mi</w:t>
      </w:r>
      <w:r>
        <w:t>s</w:t>
      </w:r>
      <w:r w:rsidRPr="00F859D8">
        <w:t xml:space="preserve">e sur le marché </w:t>
      </w:r>
      <w:r>
        <w:t>ou la commercialisation de</w:t>
      </w:r>
      <w:r w:rsidRPr="00F859D8">
        <w:t xml:space="preserve"> produ</w:t>
      </w:r>
      <w:r>
        <w:t>i</w:t>
      </w:r>
      <w:r w:rsidRPr="00F859D8">
        <w:t xml:space="preserve">ts </w:t>
      </w:r>
      <w:r>
        <w:t>dont le développement repose sur l’utilisation de ressources génétiques</w:t>
      </w:r>
      <w:r w:rsidRPr="00F859D8">
        <w:t>.</w:t>
      </w:r>
    </w:p>
    <w:p w:rsidR="0040701A" w:rsidRPr="00EF2C44" w:rsidRDefault="0040701A" w:rsidP="0040701A">
      <w:pPr>
        <w:pStyle w:val="ONUMFS"/>
        <w:numPr>
          <w:ilvl w:val="0"/>
          <w:numId w:val="37"/>
        </w:numPr>
        <w:ind w:left="567" w:hanging="567"/>
      </w:pPr>
      <w:r w:rsidRPr="00EF2C44">
        <w:t>Ces mesures s</w:t>
      </w:r>
      <w:r>
        <w:t>’</w:t>
      </w:r>
      <w:r w:rsidRPr="00EF2C44">
        <w:t xml:space="preserve">appliquent également aux </w:t>
      </w:r>
      <w:r>
        <w:t>connaissances</w:t>
      </w:r>
      <w:r w:rsidRPr="00EF2C44">
        <w:t xml:space="preserve"> traditionnel</w:t>
      </w:r>
      <w:r>
        <w:t>le</w:t>
      </w:r>
      <w:r w:rsidRPr="00EF2C44">
        <w:t>s associé</w:t>
      </w:r>
      <w:r>
        <w:t>es</w:t>
      </w:r>
      <w:r w:rsidRPr="00EF2C44">
        <w:t xml:space="preserve"> aux ressources </w:t>
      </w:r>
      <w:r>
        <w:t xml:space="preserve">génétiques détenues par des communautés autochtones et </w:t>
      </w:r>
      <w:r w:rsidRPr="00EF2C44">
        <w:t>local</w:t>
      </w:r>
      <w:r>
        <w:t xml:space="preserve">es, pour autant que ces connaissances </w:t>
      </w:r>
      <w:r w:rsidRPr="00EF2C44">
        <w:t>tradition</w:t>
      </w:r>
      <w:r>
        <w:t>nelles ne soient pas déjà librement accessibles au public</w:t>
      </w:r>
      <w:r w:rsidRPr="00EF2C44">
        <w:t>.</w:t>
      </w:r>
    </w:p>
    <w:p w:rsidR="0040701A" w:rsidRPr="00A76B5C" w:rsidRDefault="0040701A" w:rsidP="0040701A">
      <w:pPr>
        <w:pStyle w:val="ONUMFS"/>
      </w:pPr>
      <w:bookmarkStart w:id="211" w:name="_Toc457391480"/>
      <w:bookmarkStart w:id="212" w:name="_Toc457394822"/>
      <w:bookmarkStart w:id="213" w:name="_Toc457988611"/>
      <w:bookmarkStart w:id="214" w:name="_Toc457989494"/>
      <w:bookmarkEnd w:id="207"/>
      <w:bookmarkEnd w:id="208"/>
      <w:bookmarkEnd w:id="209"/>
      <w:bookmarkEnd w:id="210"/>
      <w:r w:rsidRPr="00A76B5C">
        <w:t>Ces mesures s</w:t>
      </w:r>
      <w:r>
        <w:t>’</w:t>
      </w:r>
      <w:r w:rsidRPr="00A76B5C">
        <w:t>appliquent u</w:t>
      </w:r>
      <w:r>
        <w:t>niqu</w:t>
      </w:r>
      <w:r w:rsidRPr="00A76B5C">
        <w:t>ement aux cas portant sur l</w:t>
      </w:r>
      <w:r>
        <w:t>’</w:t>
      </w:r>
      <w:r w:rsidRPr="00A76B5C">
        <w:t xml:space="preserve">accès </w:t>
      </w:r>
      <w:r>
        <w:t>aux ressources génétiques survenant après l’entrée en vigueur, le 12 octobre 2014, des dispositions</w:t>
      </w:r>
      <w:r w:rsidRPr="00A76B5C">
        <w:t xml:space="preserve"> </w:t>
      </w:r>
      <w:r>
        <w:t xml:space="preserve">en question.  </w:t>
      </w:r>
      <w:r w:rsidRPr="00B76839">
        <w:t>Ces mesures n</w:t>
      </w:r>
      <w:r>
        <w:t>’</w:t>
      </w:r>
      <w:r w:rsidRPr="00B76839">
        <w:t>ont donc aucun effet rétroactif</w:t>
      </w:r>
      <w:r>
        <w:t xml:space="preserve">.  </w:t>
      </w:r>
      <w:r w:rsidRPr="00A76B5C">
        <w:t>En outre, les ressources génétiques en question doivent provenir de pays qui sont parties au Protocole de Nagoya et qui sont dot</w:t>
      </w:r>
      <w:r>
        <w:t>é</w:t>
      </w:r>
      <w:r w:rsidRPr="00A76B5C">
        <w:t xml:space="preserve">s </w:t>
      </w:r>
      <w:r>
        <w:t xml:space="preserve">de réglementations internes en matière d’accès et de partage des avantages.  </w:t>
      </w:r>
      <w:r w:rsidRPr="00A76B5C">
        <w:t>De plus, ces mesures ne s</w:t>
      </w:r>
      <w:r>
        <w:t>’</w:t>
      </w:r>
      <w:r w:rsidRPr="00A76B5C">
        <w:t xml:space="preserve">appliquent pas aux ressources génétiques humaines, </w:t>
      </w:r>
      <w:r>
        <w:t xml:space="preserve">ni </w:t>
      </w:r>
      <w:r w:rsidRPr="00A76B5C">
        <w:t>aux marchandises ou biens de cons</w:t>
      </w:r>
      <w:r>
        <w:t>o</w:t>
      </w:r>
      <w:r w:rsidRPr="00A76B5C">
        <w:t xml:space="preserve">mmation </w:t>
      </w:r>
      <w:r>
        <w:t>qui ne sont pas utilisés en tant que r</w:t>
      </w:r>
      <w:r w:rsidRPr="00A76B5C">
        <w:t>e</w:t>
      </w:r>
      <w:r>
        <w:t>s</w:t>
      </w:r>
      <w:r w:rsidRPr="00A76B5C">
        <w:t xml:space="preserve">sources </w:t>
      </w:r>
      <w:r>
        <w:t>génétiques au se</w:t>
      </w:r>
      <w:r w:rsidRPr="00A76B5C">
        <w:t>n</w:t>
      </w:r>
      <w:r>
        <w:t>s</w:t>
      </w:r>
      <w:r w:rsidRPr="00A76B5C">
        <w:t xml:space="preserve"> </w:t>
      </w:r>
      <w:r>
        <w:t xml:space="preserve">du Protocole de </w:t>
      </w:r>
      <w:r w:rsidRPr="00A76B5C">
        <w:t>N</w:t>
      </w:r>
      <w:r>
        <w:t>agoya</w:t>
      </w:r>
      <w:r w:rsidRPr="00A76B5C">
        <w:t xml:space="preserve"> (</w:t>
      </w:r>
      <w:r>
        <w:t>voir les art</w:t>
      </w:r>
      <w:r w:rsidRPr="00A76B5C">
        <w:t>.</w:t>
      </w:r>
      <w:r>
        <w:t> </w:t>
      </w:r>
      <w:proofErr w:type="spellStart"/>
      <w:r w:rsidRPr="00A76B5C">
        <w:t>23</w:t>
      </w:r>
      <w:r w:rsidRPr="00A76B5C">
        <w:rPr>
          <w:i/>
        </w:rPr>
        <w:t>n</w:t>
      </w:r>
      <w:proofErr w:type="spellEnd"/>
      <w:r w:rsidRPr="00A76B5C">
        <w:t xml:space="preserve"> a</w:t>
      </w:r>
      <w:r>
        <w:t>l</w:t>
      </w:r>
      <w:r w:rsidRPr="00A76B5C">
        <w:t>.</w:t>
      </w:r>
      <w:r>
        <w:t> </w:t>
      </w:r>
      <w:r w:rsidRPr="00A76B5C">
        <w:t xml:space="preserve">2 </w:t>
      </w:r>
      <w:r>
        <w:t>et</w:t>
      </w:r>
      <w:r w:rsidRPr="00A76B5C">
        <w:t xml:space="preserve"> </w:t>
      </w:r>
      <w:proofErr w:type="spellStart"/>
      <w:r w:rsidRPr="00A76B5C">
        <w:t>25</w:t>
      </w:r>
      <w:r w:rsidRPr="00A76B5C">
        <w:rPr>
          <w:i/>
        </w:rPr>
        <w:t>d</w:t>
      </w:r>
      <w:proofErr w:type="spellEnd"/>
      <w:r w:rsidRPr="00A76B5C">
        <w:t xml:space="preserve"> </w:t>
      </w:r>
      <w:r>
        <w:t>de</w:t>
      </w:r>
      <w:r w:rsidRPr="00E47C03">
        <w:t xml:space="preserve"> la </w:t>
      </w:r>
      <w:proofErr w:type="spellStart"/>
      <w:r w:rsidRPr="00E47C03">
        <w:t>LPN</w:t>
      </w:r>
      <w:proofErr w:type="spellEnd"/>
      <w:r w:rsidRPr="00A76B5C">
        <w:t>).</w:t>
      </w:r>
    </w:p>
    <w:p w:rsidR="0040701A" w:rsidRDefault="0040701A" w:rsidP="0040701A">
      <w:pPr>
        <w:pStyle w:val="ONUMFS"/>
        <w:rPr>
          <w:szCs w:val="22"/>
        </w:rPr>
      </w:pPr>
      <w:r w:rsidRPr="00592CB6">
        <w:rPr>
          <w:szCs w:val="22"/>
        </w:rPr>
        <w:t>L</w:t>
      </w:r>
      <w:r>
        <w:rPr>
          <w:szCs w:val="22"/>
        </w:rPr>
        <w:t>’</w:t>
      </w:r>
      <w:proofErr w:type="spellStart"/>
      <w:r w:rsidRPr="00592CB6">
        <w:rPr>
          <w:szCs w:val="22"/>
        </w:rPr>
        <w:t>ONag</w:t>
      </w:r>
      <w:proofErr w:type="spellEnd"/>
      <w:r w:rsidRPr="00592CB6">
        <w:rPr>
          <w:szCs w:val="22"/>
        </w:rPr>
        <w:t xml:space="preserve"> précise en outre les mesures contenues dans</w:t>
      </w:r>
      <w:r w:rsidRPr="00E47C03">
        <w:rPr>
          <w:szCs w:val="22"/>
        </w:rPr>
        <w:t xml:space="preserve"> la </w:t>
      </w:r>
      <w:proofErr w:type="spellStart"/>
      <w:r w:rsidRPr="00E47C03">
        <w:rPr>
          <w:szCs w:val="22"/>
        </w:rPr>
        <w:t>LPN</w:t>
      </w:r>
      <w:proofErr w:type="spellEnd"/>
      <w:r>
        <w:rPr>
          <w:szCs w:val="22"/>
        </w:rPr>
        <w:t xml:space="preserve">.  </w:t>
      </w:r>
      <w:r w:rsidRPr="00592CB6">
        <w:rPr>
          <w:szCs w:val="22"/>
        </w:rPr>
        <w:t>En particulier, elle 1)</w:t>
      </w:r>
      <w:r>
        <w:rPr>
          <w:szCs w:val="22"/>
        </w:rPr>
        <w:t> </w:t>
      </w:r>
      <w:r w:rsidRPr="00592CB6">
        <w:rPr>
          <w:szCs w:val="22"/>
        </w:rPr>
        <w:t>contient des dispositions détaillées concernant les informations précises qui doivent être consignées, conservées et transmises dans</w:t>
      </w:r>
      <w:r>
        <w:rPr>
          <w:szCs w:val="22"/>
        </w:rPr>
        <w:t xml:space="preserve"> </w:t>
      </w:r>
      <w:r w:rsidRPr="00592CB6">
        <w:rPr>
          <w:szCs w:val="22"/>
        </w:rPr>
        <w:t>le cadre d</w:t>
      </w:r>
      <w:r>
        <w:rPr>
          <w:szCs w:val="22"/>
        </w:rPr>
        <w:t>u devoir d</w:t>
      </w:r>
      <w:r w:rsidRPr="00592CB6">
        <w:rPr>
          <w:szCs w:val="22"/>
        </w:rPr>
        <w:t>e diligence;  2)</w:t>
      </w:r>
      <w:r>
        <w:rPr>
          <w:szCs w:val="22"/>
        </w:rPr>
        <w:t xml:space="preserve"> décrit les aspects </w:t>
      </w:r>
      <w:r w:rsidRPr="00592CB6">
        <w:rPr>
          <w:szCs w:val="22"/>
        </w:rPr>
        <w:t>proc</w:t>
      </w:r>
      <w:r>
        <w:rPr>
          <w:szCs w:val="22"/>
        </w:rPr>
        <w:t>é</w:t>
      </w:r>
      <w:r w:rsidRPr="00592CB6">
        <w:rPr>
          <w:szCs w:val="22"/>
        </w:rPr>
        <w:t>dura</w:t>
      </w:r>
      <w:r>
        <w:rPr>
          <w:szCs w:val="22"/>
        </w:rPr>
        <w:t>ux de l’obligation de notifier</w:t>
      </w:r>
      <w:r w:rsidRPr="00592CB6">
        <w:rPr>
          <w:szCs w:val="22"/>
        </w:rPr>
        <w:t>;  3) conti</w:t>
      </w:r>
      <w:r>
        <w:rPr>
          <w:szCs w:val="22"/>
        </w:rPr>
        <w:t>e</w:t>
      </w:r>
      <w:r w:rsidRPr="00592CB6">
        <w:rPr>
          <w:szCs w:val="22"/>
        </w:rPr>
        <w:t>n</w:t>
      </w:r>
      <w:r>
        <w:rPr>
          <w:szCs w:val="22"/>
        </w:rPr>
        <w:t>t</w:t>
      </w:r>
      <w:r w:rsidRPr="00592CB6">
        <w:rPr>
          <w:szCs w:val="22"/>
        </w:rPr>
        <w:t xml:space="preserve"> </w:t>
      </w:r>
      <w:r>
        <w:rPr>
          <w:szCs w:val="22"/>
        </w:rPr>
        <w:t>des dis</w:t>
      </w:r>
      <w:r w:rsidRPr="00592CB6">
        <w:rPr>
          <w:szCs w:val="22"/>
        </w:rPr>
        <w:t>po</w:t>
      </w:r>
      <w:r>
        <w:rPr>
          <w:szCs w:val="22"/>
        </w:rPr>
        <w:t>s</w:t>
      </w:r>
      <w:r w:rsidRPr="00592CB6">
        <w:rPr>
          <w:szCs w:val="22"/>
        </w:rPr>
        <w:t>i</w:t>
      </w:r>
      <w:r>
        <w:rPr>
          <w:szCs w:val="22"/>
        </w:rPr>
        <w:t>t</w:t>
      </w:r>
      <w:r w:rsidRPr="00592CB6">
        <w:rPr>
          <w:szCs w:val="22"/>
        </w:rPr>
        <w:t xml:space="preserve">ions </w:t>
      </w:r>
      <w:r>
        <w:rPr>
          <w:szCs w:val="22"/>
        </w:rPr>
        <w:t>relatives à l’a</w:t>
      </w:r>
      <w:r w:rsidRPr="00592CB6">
        <w:rPr>
          <w:szCs w:val="22"/>
        </w:rPr>
        <w:t>cc</w:t>
      </w:r>
      <w:r>
        <w:rPr>
          <w:szCs w:val="22"/>
        </w:rPr>
        <w:t xml:space="preserve">ès aux </w:t>
      </w:r>
      <w:r w:rsidRPr="00592CB6">
        <w:rPr>
          <w:szCs w:val="22"/>
        </w:rPr>
        <w:t>re</w:t>
      </w:r>
      <w:r>
        <w:rPr>
          <w:szCs w:val="22"/>
        </w:rPr>
        <w:t>s</w:t>
      </w:r>
      <w:r w:rsidRPr="00592CB6">
        <w:rPr>
          <w:szCs w:val="22"/>
        </w:rPr>
        <w:t xml:space="preserve">sources </w:t>
      </w:r>
      <w:r>
        <w:rPr>
          <w:szCs w:val="22"/>
        </w:rPr>
        <w:t>génétiques e</w:t>
      </w:r>
      <w:r w:rsidRPr="00592CB6">
        <w:rPr>
          <w:szCs w:val="22"/>
        </w:rPr>
        <w:t>n S</w:t>
      </w:r>
      <w:r>
        <w:rPr>
          <w:szCs w:val="22"/>
        </w:rPr>
        <w:t>u</w:t>
      </w:r>
      <w:r w:rsidRPr="00592CB6">
        <w:rPr>
          <w:szCs w:val="22"/>
        </w:rPr>
        <w:t>i</w:t>
      </w:r>
      <w:r>
        <w:rPr>
          <w:szCs w:val="22"/>
        </w:rPr>
        <w:t>ss</w:t>
      </w:r>
      <w:r w:rsidRPr="00592CB6">
        <w:rPr>
          <w:szCs w:val="22"/>
        </w:rPr>
        <w:t xml:space="preserve">e; </w:t>
      </w:r>
      <w:r>
        <w:rPr>
          <w:szCs w:val="22"/>
        </w:rPr>
        <w:t xml:space="preserve"> et</w:t>
      </w:r>
      <w:r w:rsidRPr="00592CB6">
        <w:rPr>
          <w:szCs w:val="22"/>
        </w:rPr>
        <w:t xml:space="preserve"> 4)</w:t>
      </w:r>
      <w:r>
        <w:rPr>
          <w:szCs w:val="22"/>
        </w:rPr>
        <w:t> </w:t>
      </w:r>
      <w:r w:rsidRPr="00592CB6">
        <w:rPr>
          <w:szCs w:val="22"/>
        </w:rPr>
        <w:t>d</w:t>
      </w:r>
      <w:r>
        <w:rPr>
          <w:szCs w:val="22"/>
        </w:rPr>
        <w:t>éfinit les tâche</w:t>
      </w:r>
      <w:r w:rsidRPr="00592CB6">
        <w:rPr>
          <w:szCs w:val="22"/>
        </w:rPr>
        <w:t>s p</w:t>
      </w:r>
      <w:r>
        <w:rPr>
          <w:szCs w:val="22"/>
        </w:rPr>
        <w:t xml:space="preserve">articulières des </w:t>
      </w:r>
      <w:r w:rsidRPr="00592CB6">
        <w:rPr>
          <w:szCs w:val="22"/>
        </w:rPr>
        <w:t>diff</w:t>
      </w:r>
      <w:r>
        <w:rPr>
          <w:szCs w:val="22"/>
        </w:rPr>
        <w:t>é</w:t>
      </w:r>
      <w:r w:rsidRPr="00592CB6">
        <w:rPr>
          <w:szCs w:val="22"/>
        </w:rPr>
        <w:t>rent</w:t>
      </w:r>
      <w:r>
        <w:rPr>
          <w:szCs w:val="22"/>
        </w:rPr>
        <w:t>es</w:t>
      </w:r>
      <w:r w:rsidRPr="00592CB6">
        <w:rPr>
          <w:szCs w:val="22"/>
        </w:rPr>
        <w:t xml:space="preserve"> </w:t>
      </w:r>
      <w:r>
        <w:rPr>
          <w:szCs w:val="22"/>
        </w:rPr>
        <w:t>autorités suisses concernées</w:t>
      </w:r>
      <w:r w:rsidRPr="0067715C">
        <w:rPr>
          <w:szCs w:val="22"/>
        </w:rPr>
        <w:t>.</w:t>
      </w:r>
      <w:bookmarkEnd w:id="211"/>
      <w:bookmarkEnd w:id="212"/>
      <w:bookmarkEnd w:id="213"/>
      <w:bookmarkEnd w:id="214"/>
    </w:p>
    <w:p w:rsidR="0040701A" w:rsidRPr="00195FAC" w:rsidRDefault="0040701A" w:rsidP="0040701A">
      <w:pPr>
        <w:pStyle w:val="ONUMFS"/>
        <w:rPr>
          <w:szCs w:val="22"/>
        </w:rPr>
      </w:pPr>
      <w:bookmarkStart w:id="215" w:name="_Toc457391483"/>
      <w:bookmarkStart w:id="216" w:name="_Toc457394825"/>
      <w:bookmarkStart w:id="217" w:name="_Toc457988614"/>
      <w:bookmarkStart w:id="218" w:name="_Toc457989497"/>
      <w:r w:rsidRPr="0067715C">
        <w:rPr>
          <w:szCs w:val="22"/>
        </w:rPr>
        <w:t xml:space="preserve">Il </w:t>
      </w:r>
      <w:r>
        <w:rPr>
          <w:szCs w:val="22"/>
        </w:rPr>
        <w:t>convien</w:t>
      </w:r>
      <w:r w:rsidRPr="0067715C">
        <w:rPr>
          <w:szCs w:val="22"/>
        </w:rPr>
        <w:t xml:space="preserve">t de noter que, </w:t>
      </w:r>
      <w:r>
        <w:rPr>
          <w:szCs w:val="22"/>
        </w:rPr>
        <w:t>sur le plan</w:t>
      </w:r>
      <w:r w:rsidRPr="0067715C">
        <w:rPr>
          <w:szCs w:val="22"/>
        </w:rPr>
        <w:t xml:space="preserve"> de</w:t>
      </w:r>
      <w:r>
        <w:rPr>
          <w:szCs w:val="22"/>
        </w:rPr>
        <w:t xml:space="preserve"> </w:t>
      </w:r>
      <w:r w:rsidRPr="0067715C">
        <w:rPr>
          <w:szCs w:val="22"/>
        </w:rPr>
        <w:t>la proc</w:t>
      </w:r>
      <w:r>
        <w:rPr>
          <w:szCs w:val="22"/>
        </w:rPr>
        <w:t>é</w:t>
      </w:r>
      <w:r w:rsidRPr="0067715C">
        <w:rPr>
          <w:szCs w:val="22"/>
        </w:rPr>
        <w:t>dure, il n</w:t>
      </w:r>
      <w:r>
        <w:rPr>
          <w:szCs w:val="22"/>
        </w:rPr>
        <w:t>’</w:t>
      </w:r>
      <w:r w:rsidRPr="0067715C">
        <w:rPr>
          <w:szCs w:val="22"/>
        </w:rPr>
        <w:t>y a aucun lien direct entre l</w:t>
      </w:r>
      <w:r>
        <w:rPr>
          <w:szCs w:val="22"/>
        </w:rPr>
        <w:t>’indica</w:t>
      </w:r>
      <w:r w:rsidRPr="0067715C">
        <w:rPr>
          <w:szCs w:val="22"/>
        </w:rPr>
        <w:t xml:space="preserve">tion </w:t>
      </w:r>
      <w:r>
        <w:rPr>
          <w:szCs w:val="22"/>
        </w:rPr>
        <w:t>d</w:t>
      </w:r>
      <w:r w:rsidRPr="0067715C">
        <w:rPr>
          <w:szCs w:val="22"/>
        </w:rPr>
        <w:t xml:space="preserve">e </w:t>
      </w:r>
      <w:r>
        <w:rPr>
          <w:szCs w:val="22"/>
        </w:rPr>
        <w:t xml:space="preserve">la </w:t>
      </w:r>
      <w:r w:rsidRPr="0067715C">
        <w:rPr>
          <w:szCs w:val="22"/>
        </w:rPr>
        <w:t xml:space="preserve">source </w:t>
      </w:r>
      <w:r>
        <w:rPr>
          <w:szCs w:val="22"/>
        </w:rPr>
        <w:t>dans</w:t>
      </w:r>
      <w:r w:rsidRPr="00E47C03">
        <w:rPr>
          <w:szCs w:val="22"/>
        </w:rPr>
        <w:t xml:space="preserve"> la </w:t>
      </w:r>
      <w:proofErr w:type="spellStart"/>
      <w:r w:rsidRPr="00E47C03">
        <w:rPr>
          <w:szCs w:val="22"/>
        </w:rPr>
        <w:t>LBI</w:t>
      </w:r>
      <w:proofErr w:type="spellEnd"/>
      <w:r>
        <w:rPr>
          <w:szCs w:val="22"/>
        </w:rPr>
        <w:t xml:space="preserve"> et les dispositions de</w:t>
      </w:r>
      <w:r w:rsidRPr="00E47C03">
        <w:rPr>
          <w:szCs w:val="22"/>
        </w:rPr>
        <w:t xml:space="preserve"> la </w:t>
      </w:r>
      <w:proofErr w:type="spellStart"/>
      <w:r w:rsidRPr="00E47C03">
        <w:rPr>
          <w:szCs w:val="22"/>
        </w:rPr>
        <w:t>LPN</w:t>
      </w:r>
      <w:proofErr w:type="spellEnd"/>
      <w:r>
        <w:rPr>
          <w:szCs w:val="22"/>
        </w:rPr>
        <w:t xml:space="preserve"> et de l’</w:t>
      </w:r>
      <w:proofErr w:type="spellStart"/>
      <w:r>
        <w:rPr>
          <w:szCs w:val="22"/>
        </w:rPr>
        <w:t>O</w:t>
      </w:r>
      <w:r w:rsidRPr="0067715C">
        <w:rPr>
          <w:szCs w:val="22"/>
        </w:rPr>
        <w:t>Nag</w:t>
      </w:r>
      <w:proofErr w:type="spellEnd"/>
      <w:r>
        <w:rPr>
          <w:szCs w:val="22"/>
        </w:rPr>
        <w:t xml:space="preserve">.  </w:t>
      </w:r>
      <w:r w:rsidRPr="00542886">
        <w:rPr>
          <w:szCs w:val="22"/>
        </w:rPr>
        <w:t>En</w:t>
      </w:r>
      <w:r>
        <w:rPr>
          <w:szCs w:val="22"/>
        </w:rPr>
        <w:t> </w:t>
      </w:r>
      <w:r w:rsidRPr="00542886">
        <w:rPr>
          <w:szCs w:val="22"/>
        </w:rPr>
        <w:t>particulier, la notification du devoir de diligence à l</w:t>
      </w:r>
      <w:r>
        <w:rPr>
          <w:szCs w:val="22"/>
        </w:rPr>
        <w:t>’</w:t>
      </w:r>
      <w:proofErr w:type="spellStart"/>
      <w:r w:rsidRPr="00542886">
        <w:rPr>
          <w:szCs w:val="22"/>
        </w:rPr>
        <w:t>OFEV</w:t>
      </w:r>
      <w:proofErr w:type="spellEnd"/>
      <w:r w:rsidRPr="00542886">
        <w:rPr>
          <w:szCs w:val="22"/>
        </w:rPr>
        <w:t xml:space="preserve"> n</w:t>
      </w:r>
      <w:r>
        <w:rPr>
          <w:szCs w:val="22"/>
        </w:rPr>
        <w:t>’</w:t>
      </w:r>
      <w:r w:rsidRPr="00542886">
        <w:rPr>
          <w:szCs w:val="22"/>
        </w:rPr>
        <w:t xml:space="preserve">est pas déclenchée par le </w:t>
      </w:r>
      <w:r>
        <w:rPr>
          <w:szCs w:val="22"/>
        </w:rPr>
        <w:t>d</w:t>
      </w:r>
      <w:r w:rsidRPr="00542886">
        <w:rPr>
          <w:szCs w:val="22"/>
        </w:rPr>
        <w:t>ép</w:t>
      </w:r>
      <w:r>
        <w:rPr>
          <w:szCs w:val="22"/>
        </w:rPr>
        <w:t>ôt de la demande de brevet</w:t>
      </w:r>
      <w:r w:rsidRPr="00542886">
        <w:rPr>
          <w:szCs w:val="22"/>
        </w:rPr>
        <w:t xml:space="preserve">, </w:t>
      </w:r>
      <w:r>
        <w:rPr>
          <w:szCs w:val="22"/>
        </w:rPr>
        <w:t xml:space="preserve">mais par la demande d’une </w:t>
      </w:r>
      <w:r w:rsidRPr="00542886">
        <w:rPr>
          <w:szCs w:val="22"/>
        </w:rPr>
        <w:t xml:space="preserve">autorisation </w:t>
      </w:r>
      <w:r>
        <w:rPr>
          <w:szCs w:val="22"/>
        </w:rPr>
        <w:t xml:space="preserve">de mise sur le marché </w:t>
      </w:r>
      <w:r w:rsidRPr="00542886">
        <w:rPr>
          <w:szCs w:val="22"/>
        </w:rPr>
        <w:t>o</w:t>
      </w:r>
      <w:r>
        <w:rPr>
          <w:szCs w:val="22"/>
        </w:rPr>
        <w:t>u</w:t>
      </w:r>
      <w:r w:rsidRPr="00542886">
        <w:rPr>
          <w:szCs w:val="22"/>
        </w:rPr>
        <w:t xml:space="preserve"> </w:t>
      </w:r>
      <w:r>
        <w:rPr>
          <w:szCs w:val="22"/>
        </w:rPr>
        <w:t>la</w:t>
      </w:r>
      <w:r w:rsidRPr="00542886">
        <w:rPr>
          <w:szCs w:val="22"/>
        </w:rPr>
        <w:t xml:space="preserve"> commercialisation </w:t>
      </w:r>
      <w:r>
        <w:rPr>
          <w:szCs w:val="22"/>
        </w:rPr>
        <w:t xml:space="preserve">d’un </w:t>
      </w:r>
      <w:r w:rsidRPr="00542886">
        <w:rPr>
          <w:szCs w:val="22"/>
        </w:rPr>
        <w:t>produ</w:t>
      </w:r>
      <w:r>
        <w:rPr>
          <w:szCs w:val="22"/>
        </w:rPr>
        <w:t>i</w:t>
      </w:r>
      <w:r w:rsidRPr="00542886">
        <w:rPr>
          <w:szCs w:val="22"/>
        </w:rPr>
        <w:t>t dont le développement repose sur l</w:t>
      </w:r>
      <w:r>
        <w:rPr>
          <w:szCs w:val="22"/>
        </w:rPr>
        <w:t>’</w:t>
      </w:r>
      <w:r w:rsidRPr="00542886">
        <w:rPr>
          <w:szCs w:val="22"/>
        </w:rPr>
        <w:t xml:space="preserve">utilisation de ressources génétiques </w:t>
      </w:r>
      <w:r>
        <w:rPr>
          <w:szCs w:val="22"/>
        </w:rPr>
        <w:t>et</w:t>
      </w:r>
      <w:r w:rsidRPr="00542886">
        <w:rPr>
          <w:szCs w:val="22"/>
        </w:rPr>
        <w:t>/o</w:t>
      </w:r>
      <w:r>
        <w:rPr>
          <w:szCs w:val="22"/>
        </w:rPr>
        <w:t xml:space="preserve">u des connaissances traditionnelles </w:t>
      </w:r>
      <w:r w:rsidRPr="00542886">
        <w:rPr>
          <w:szCs w:val="22"/>
        </w:rPr>
        <w:t>associ</w:t>
      </w:r>
      <w:r>
        <w:rPr>
          <w:szCs w:val="22"/>
        </w:rPr>
        <w:t>ées à celles</w:t>
      </w:r>
      <w:r>
        <w:rPr>
          <w:szCs w:val="22"/>
        </w:rPr>
        <w:noBreakHyphen/>
        <w:t>ci</w:t>
      </w:r>
      <w:r w:rsidRPr="00542886">
        <w:rPr>
          <w:szCs w:val="22"/>
        </w:rPr>
        <w:t>.</w:t>
      </w:r>
      <w:bookmarkStart w:id="219" w:name="_Toc457391484"/>
      <w:bookmarkStart w:id="220" w:name="_Toc457394826"/>
      <w:bookmarkStart w:id="221" w:name="_Toc457988615"/>
      <w:bookmarkStart w:id="222" w:name="_Toc457989498"/>
      <w:bookmarkEnd w:id="215"/>
      <w:bookmarkEnd w:id="216"/>
      <w:bookmarkEnd w:id="217"/>
      <w:bookmarkEnd w:id="218"/>
      <w:r w:rsidRPr="00542886">
        <w:rPr>
          <w:szCs w:val="22"/>
        </w:rPr>
        <w:t xml:space="preserve">  </w:t>
      </w:r>
      <w:r w:rsidRPr="00195FAC">
        <w:rPr>
          <w:szCs w:val="22"/>
        </w:rPr>
        <w:t>L</w:t>
      </w:r>
      <w:r>
        <w:rPr>
          <w:szCs w:val="22"/>
        </w:rPr>
        <w:t>’</w:t>
      </w:r>
      <w:proofErr w:type="spellStart"/>
      <w:r w:rsidRPr="00195FAC">
        <w:rPr>
          <w:szCs w:val="22"/>
        </w:rPr>
        <w:t>ONag</w:t>
      </w:r>
      <w:proofErr w:type="spellEnd"/>
      <w:r w:rsidRPr="00195FAC">
        <w:rPr>
          <w:szCs w:val="22"/>
        </w:rPr>
        <w:t xml:space="preserve"> définit la “commercialisation” comme</w:t>
      </w:r>
      <w:r>
        <w:rPr>
          <w:szCs w:val="22"/>
        </w:rPr>
        <w:t xml:space="preserve"> étant</w:t>
      </w:r>
      <w:r w:rsidRPr="00195FAC">
        <w:rPr>
          <w:szCs w:val="22"/>
        </w:rPr>
        <w:t xml:space="preserve"> “la vente de produits dont le développement repose sur l</w:t>
      </w:r>
      <w:r>
        <w:rPr>
          <w:szCs w:val="22"/>
        </w:rPr>
        <w:t>’</w:t>
      </w:r>
      <w:r w:rsidRPr="00195FAC">
        <w:rPr>
          <w:szCs w:val="22"/>
        </w:rPr>
        <w:t>utilisation de ressources génétiques ou sur l</w:t>
      </w:r>
      <w:r>
        <w:rPr>
          <w:szCs w:val="22"/>
        </w:rPr>
        <w:t>’</w:t>
      </w:r>
      <w:r w:rsidRPr="00195FAC">
        <w:rPr>
          <w:szCs w:val="22"/>
        </w:rPr>
        <w:t>utilisation de connaissances traditionnelles associées à des ressources génétiques, ainsi que tout autre acte juridique qui apporte des avantages financiers en lien avec des ressources génétiques ou des connaissances utilisées, en particulier des licences, des contrats de gage ou des actes juridiques similaires” (</w:t>
      </w:r>
      <w:r>
        <w:rPr>
          <w:szCs w:val="22"/>
        </w:rPr>
        <w:t>voir l’a</w:t>
      </w:r>
      <w:r w:rsidRPr="00195FAC">
        <w:rPr>
          <w:szCs w:val="22"/>
        </w:rPr>
        <w:t>rt</w:t>
      </w:r>
      <w:r>
        <w:rPr>
          <w:szCs w:val="22"/>
        </w:rPr>
        <w:t>. </w:t>
      </w:r>
      <w:r w:rsidRPr="00195FAC">
        <w:rPr>
          <w:szCs w:val="22"/>
        </w:rPr>
        <w:t>2</w:t>
      </w:r>
      <w:r>
        <w:rPr>
          <w:szCs w:val="22"/>
        </w:rPr>
        <w:t>,</w:t>
      </w:r>
      <w:r w:rsidRPr="00195FAC">
        <w:rPr>
          <w:szCs w:val="22"/>
        </w:rPr>
        <w:t xml:space="preserve"> let</w:t>
      </w:r>
      <w:r w:rsidR="00DA5BCF">
        <w:rPr>
          <w:szCs w:val="22"/>
        </w:rPr>
        <w:t>.</w:t>
      </w:r>
      <w:r>
        <w:rPr>
          <w:szCs w:val="22"/>
        </w:rPr>
        <w:t> </w:t>
      </w:r>
      <w:r w:rsidRPr="00195FAC">
        <w:rPr>
          <w:szCs w:val="22"/>
        </w:rPr>
        <w:t xml:space="preserve">e </w:t>
      </w:r>
      <w:r>
        <w:rPr>
          <w:szCs w:val="22"/>
        </w:rPr>
        <w:t>de l’</w:t>
      </w:r>
      <w:proofErr w:type="spellStart"/>
      <w:r>
        <w:rPr>
          <w:szCs w:val="22"/>
        </w:rPr>
        <w:t>O</w:t>
      </w:r>
      <w:r w:rsidRPr="00195FAC">
        <w:rPr>
          <w:szCs w:val="22"/>
        </w:rPr>
        <w:t>Nag</w:t>
      </w:r>
      <w:proofErr w:type="spellEnd"/>
      <w:r w:rsidRPr="00195FAC">
        <w:rPr>
          <w:szCs w:val="22"/>
        </w:rPr>
        <w:t>).</w:t>
      </w:r>
    </w:p>
    <w:p w:rsidR="0040701A" w:rsidRDefault="0040701A" w:rsidP="0040701A">
      <w:pPr>
        <w:pStyle w:val="ONUMFS"/>
        <w:rPr>
          <w:szCs w:val="22"/>
        </w:rPr>
      </w:pPr>
      <w:r w:rsidRPr="00195FAC">
        <w:rPr>
          <w:szCs w:val="22"/>
        </w:rPr>
        <w:t>L</w:t>
      </w:r>
      <w:r>
        <w:rPr>
          <w:szCs w:val="22"/>
        </w:rPr>
        <w:t>’indica</w:t>
      </w:r>
      <w:r w:rsidRPr="00195FAC">
        <w:rPr>
          <w:szCs w:val="22"/>
        </w:rPr>
        <w:t>tion de la source conformément à</w:t>
      </w:r>
      <w:r w:rsidRPr="00E47C03">
        <w:rPr>
          <w:szCs w:val="22"/>
        </w:rPr>
        <w:t xml:space="preserve"> la </w:t>
      </w:r>
      <w:proofErr w:type="spellStart"/>
      <w:r w:rsidRPr="00E47C03">
        <w:rPr>
          <w:szCs w:val="22"/>
        </w:rPr>
        <w:t>LBI</w:t>
      </w:r>
      <w:proofErr w:type="spellEnd"/>
      <w:r>
        <w:rPr>
          <w:szCs w:val="22"/>
        </w:rPr>
        <w:t xml:space="preserve"> et le devoir de</w:t>
      </w:r>
      <w:r w:rsidRPr="00195FAC">
        <w:rPr>
          <w:szCs w:val="22"/>
        </w:rPr>
        <w:t xml:space="preserve"> diligence </w:t>
      </w:r>
      <w:r>
        <w:rPr>
          <w:szCs w:val="22"/>
        </w:rPr>
        <w:t>en vertu de</w:t>
      </w:r>
      <w:r w:rsidRPr="00E47C03">
        <w:rPr>
          <w:szCs w:val="22"/>
        </w:rPr>
        <w:t xml:space="preserve"> la </w:t>
      </w:r>
      <w:proofErr w:type="spellStart"/>
      <w:r w:rsidRPr="00E47C03">
        <w:rPr>
          <w:szCs w:val="22"/>
        </w:rPr>
        <w:t>LPN</w:t>
      </w:r>
      <w:proofErr w:type="spellEnd"/>
      <w:r w:rsidRPr="00195FAC">
        <w:rPr>
          <w:szCs w:val="22"/>
        </w:rPr>
        <w:t xml:space="preserve"> </w:t>
      </w:r>
      <w:r>
        <w:rPr>
          <w:szCs w:val="22"/>
        </w:rPr>
        <w:t xml:space="preserve">sont complémentaires.  </w:t>
      </w:r>
      <w:r w:rsidRPr="00195FAC">
        <w:rPr>
          <w:szCs w:val="22"/>
        </w:rPr>
        <w:t xml:space="preserve">Les informations qui doivent être consignées, conservées et transmises aux utilisateurs ultérieurs en vertu du devoir de diligence permettent </w:t>
      </w:r>
      <w:r>
        <w:rPr>
          <w:szCs w:val="22"/>
        </w:rPr>
        <w:t>d</w:t>
      </w:r>
      <w:r w:rsidRPr="00195FAC">
        <w:rPr>
          <w:szCs w:val="22"/>
        </w:rPr>
        <w:t>e m</w:t>
      </w:r>
      <w:r>
        <w:rPr>
          <w:szCs w:val="22"/>
        </w:rPr>
        <w:t>ettre</w:t>
      </w:r>
      <w:r w:rsidRPr="00195FAC">
        <w:rPr>
          <w:szCs w:val="22"/>
        </w:rPr>
        <w:t xml:space="preserve"> </w:t>
      </w:r>
      <w:r>
        <w:rPr>
          <w:szCs w:val="22"/>
        </w:rPr>
        <w:t xml:space="preserve">plus facilement </w:t>
      </w:r>
      <w:r w:rsidRPr="00195FAC">
        <w:rPr>
          <w:szCs w:val="22"/>
        </w:rPr>
        <w:t xml:space="preserve">à </w:t>
      </w:r>
      <w:r>
        <w:rPr>
          <w:szCs w:val="22"/>
        </w:rPr>
        <w:t xml:space="preserve">la </w:t>
      </w:r>
      <w:r w:rsidRPr="00195FAC">
        <w:rPr>
          <w:szCs w:val="22"/>
        </w:rPr>
        <w:t xml:space="preserve">disposition </w:t>
      </w:r>
      <w:r>
        <w:rPr>
          <w:szCs w:val="22"/>
        </w:rPr>
        <w:t>des requérants</w:t>
      </w:r>
      <w:r w:rsidRPr="00195FAC">
        <w:rPr>
          <w:szCs w:val="22"/>
        </w:rPr>
        <w:t xml:space="preserve"> </w:t>
      </w:r>
      <w:r>
        <w:rPr>
          <w:szCs w:val="22"/>
        </w:rPr>
        <w:t>l</w:t>
      </w:r>
      <w:r w:rsidRPr="00195FAC">
        <w:rPr>
          <w:szCs w:val="22"/>
        </w:rPr>
        <w:t xml:space="preserve">es informations </w:t>
      </w:r>
      <w:r>
        <w:rPr>
          <w:szCs w:val="22"/>
        </w:rPr>
        <w:t xml:space="preserve">utiles </w:t>
      </w:r>
      <w:r w:rsidRPr="00195FAC">
        <w:rPr>
          <w:szCs w:val="22"/>
        </w:rPr>
        <w:t>relatives à la</w:t>
      </w:r>
      <w:r>
        <w:rPr>
          <w:szCs w:val="22"/>
        </w:rPr>
        <w:t xml:space="preserve"> s</w:t>
      </w:r>
      <w:r w:rsidRPr="00195FAC">
        <w:rPr>
          <w:szCs w:val="22"/>
        </w:rPr>
        <w:t>ource des ressources génétiques et/ou des conna</w:t>
      </w:r>
      <w:r>
        <w:rPr>
          <w:szCs w:val="22"/>
        </w:rPr>
        <w:t>is</w:t>
      </w:r>
      <w:r w:rsidRPr="00195FAC">
        <w:rPr>
          <w:szCs w:val="22"/>
        </w:rPr>
        <w:t>sances tradi</w:t>
      </w:r>
      <w:r>
        <w:rPr>
          <w:szCs w:val="22"/>
        </w:rPr>
        <w:t>tio</w:t>
      </w:r>
      <w:r w:rsidRPr="00195FAC">
        <w:rPr>
          <w:szCs w:val="22"/>
        </w:rPr>
        <w:t>nnel</w:t>
      </w:r>
      <w:r>
        <w:rPr>
          <w:szCs w:val="22"/>
        </w:rPr>
        <w:t>les associées à celles</w:t>
      </w:r>
      <w:r>
        <w:rPr>
          <w:szCs w:val="22"/>
        </w:rPr>
        <w:noBreakHyphen/>
        <w:t>ci</w:t>
      </w:r>
      <w:r w:rsidRPr="00195FAC">
        <w:rPr>
          <w:szCs w:val="22"/>
        </w:rPr>
        <w:t xml:space="preserve"> </w:t>
      </w:r>
      <w:r>
        <w:rPr>
          <w:szCs w:val="22"/>
        </w:rPr>
        <w:t>et ce sans générer d’efforts ou de coût</w:t>
      </w:r>
      <w:r w:rsidRPr="00195FAC">
        <w:rPr>
          <w:szCs w:val="22"/>
        </w:rPr>
        <w:t>s addition</w:t>
      </w:r>
      <w:r>
        <w:rPr>
          <w:szCs w:val="22"/>
        </w:rPr>
        <w:t>ne</w:t>
      </w:r>
      <w:r w:rsidRPr="00195FAC">
        <w:rPr>
          <w:szCs w:val="22"/>
        </w:rPr>
        <w:t>l</w:t>
      </w:r>
      <w:r>
        <w:rPr>
          <w:szCs w:val="22"/>
        </w:rPr>
        <w:t xml:space="preserve">s.  </w:t>
      </w:r>
      <w:r w:rsidRPr="00DE7568">
        <w:rPr>
          <w:szCs w:val="22"/>
        </w:rPr>
        <w:t>De la même manière, la transparence accrue qui résulte de l</w:t>
      </w:r>
      <w:r>
        <w:rPr>
          <w:szCs w:val="22"/>
        </w:rPr>
        <w:t>’exigence d’indic</w:t>
      </w:r>
      <w:r w:rsidRPr="00DE7568">
        <w:rPr>
          <w:szCs w:val="22"/>
        </w:rPr>
        <w:t xml:space="preserve">ation </w:t>
      </w:r>
      <w:r>
        <w:rPr>
          <w:szCs w:val="22"/>
        </w:rPr>
        <w:t>d</w:t>
      </w:r>
      <w:r w:rsidRPr="00DE7568">
        <w:rPr>
          <w:szCs w:val="22"/>
        </w:rPr>
        <w:t xml:space="preserve">e </w:t>
      </w:r>
      <w:r>
        <w:rPr>
          <w:szCs w:val="22"/>
        </w:rPr>
        <w:t xml:space="preserve">la </w:t>
      </w:r>
      <w:r w:rsidRPr="00DE7568">
        <w:rPr>
          <w:szCs w:val="22"/>
        </w:rPr>
        <w:t xml:space="preserve">source </w:t>
      </w:r>
      <w:r>
        <w:rPr>
          <w:szCs w:val="22"/>
        </w:rPr>
        <w:t>dans</w:t>
      </w:r>
      <w:r w:rsidRPr="00E47C03">
        <w:rPr>
          <w:szCs w:val="22"/>
        </w:rPr>
        <w:t xml:space="preserve"> la </w:t>
      </w:r>
      <w:proofErr w:type="spellStart"/>
      <w:r w:rsidRPr="00E47C03">
        <w:rPr>
          <w:szCs w:val="22"/>
        </w:rPr>
        <w:t>LBI</w:t>
      </w:r>
      <w:proofErr w:type="spellEnd"/>
      <w:r w:rsidRPr="00DE7568">
        <w:rPr>
          <w:szCs w:val="22"/>
        </w:rPr>
        <w:t xml:space="preserve"> facilite</w:t>
      </w:r>
      <w:r>
        <w:rPr>
          <w:szCs w:val="22"/>
        </w:rPr>
        <w:t>ra</w:t>
      </w:r>
      <w:r w:rsidRPr="00DE7568">
        <w:rPr>
          <w:szCs w:val="22"/>
        </w:rPr>
        <w:t xml:space="preserve"> </w:t>
      </w:r>
      <w:r>
        <w:rPr>
          <w:szCs w:val="22"/>
        </w:rPr>
        <w:t xml:space="preserve">la mise en œuvre du devoir de </w:t>
      </w:r>
      <w:r w:rsidRPr="00DE7568">
        <w:rPr>
          <w:szCs w:val="22"/>
        </w:rPr>
        <w:t xml:space="preserve">diligence </w:t>
      </w:r>
      <w:r>
        <w:rPr>
          <w:szCs w:val="22"/>
        </w:rPr>
        <w:t>prévu dans</w:t>
      </w:r>
      <w:r w:rsidRPr="00E47C03">
        <w:rPr>
          <w:szCs w:val="22"/>
        </w:rPr>
        <w:t xml:space="preserve"> la </w:t>
      </w:r>
      <w:proofErr w:type="spellStart"/>
      <w:r w:rsidRPr="00E47C03">
        <w:rPr>
          <w:szCs w:val="22"/>
        </w:rPr>
        <w:t>LPN</w:t>
      </w:r>
      <w:proofErr w:type="spellEnd"/>
      <w:r w:rsidRPr="00DE7568">
        <w:rPr>
          <w:szCs w:val="22"/>
        </w:rPr>
        <w:t>.</w:t>
      </w:r>
      <w:bookmarkEnd w:id="219"/>
      <w:bookmarkEnd w:id="220"/>
      <w:bookmarkEnd w:id="221"/>
      <w:bookmarkEnd w:id="222"/>
    </w:p>
    <w:p w:rsidR="0040701A" w:rsidRDefault="0040701A" w:rsidP="0040701A">
      <w:pPr>
        <w:jc w:val="center"/>
        <w:rPr>
          <w:lang w:val="en-GB"/>
        </w:rPr>
      </w:pPr>
      <w:r w:rsidRPr="0040701A">
        <w:rPr>
          <w:noProof/>
          <w:lang w:val="fr-FR" w:eastAsia="fr-FR"/>
        </w:rPr>
        <w:drawing>
          <wp:inline distT="0" distB="0" distL="0" distR="0" wp14:anchorId="2E024202" wp14:editId="27AB19D3">
            <wp:extent cx="5940425" cy="2682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2682117"/>
                    </a:xfrm>
                    <a:prstGeom prst="rect">
                      <a:avLst/>
                    </a:prstGeom>
                    <a:noFill/>
                    <a:ln>
                      <a:noFill/>
                    </a:ln>
                  </pic:spPr>
                </pic:pic>
              </a:graphicData>
            </a:graphic>
          </wp:inline>
        </w:drawing>
      </w:r>
    </w:p>
    <w:p w:rsidR="0040701A" w:rsidRPr="00277EAC" w:rsidRDefault="0040701A" w:rsidP="0040701A">
      <w:pPr>
        <w:rPr>
          <w:lang w:val="en-GB"/>
        </w:rPr>
      </w:pPr>
    </w:p>
    <w:p w:rsidR="0040701A" w:rsidRDefault="0040701A" w:rsidP="0040701A">
      <w:pPr>
        <w:pStyle w:val="ONUMFS"/>
        <w:numPr>
          <w:ilvl w:val="0"/>
          <w:numId w:val="0"/>
        </w:numPr>
      </w:pPr>
      <w:bookmarkStart w:id="223" w:name="_Toc457988618"/>
      <w:bookmarkStart w:id="224" w:name="_Toc457989501"/>
      <w:bookmarkStart w:id="225" w:name="_Toc457391487"/>
      <w:bookmarkStart w:id="226" w:name="_Toc457394829"/>
      <w:r w:rsidRPr="00926D53">
        <w:t>Explication : illustration du lien entre l</w:t>
      </w:r>
      <w:r>
        <w:t>’indic</w:t>
      </w:r>
      <w:r w:rsidRPr="00926D53">
        <w:t>ation de la source dans</w:t>
      </w:r>
      <w:r w:rsidRPr="00E47C03">
        <w:t xml:space="preserve"> la </w:t>
      </w:r>
      <w:proofErr w:type="spellStart"/>
      <w:r w:rsidRPr="00E47C03">
        <w:t>LBI</w:t>
      </w:r>
      <w:proofErr w:type="spellEnd"/>
      <w:r w:rsidRPr="00926D53">
        <w:t xml:space="preserve"> et le devoir de diligence et l</w:t>
      </w:r>
      <w:r>
        <w:t>’</w:t>
      </w:r>
      <w:r w:rsidRPr="00926D53">
        <w:t>obligation de notifi</w:t>
      </w:r>
      <w:r>
        <w:t>er</w:t>
      </w:r>
      <w:r w:rsidRPr="00926D53">
        <w:t xml:space="preserve"> </w:t>
      </w:r>
      <w:r>
        <w:t>figurant dans</w:t>
      </w:r>
      <w:r w:rsidRPr="00E47C03">
        <w:t xml:space="preserve"> la </w:t>
      </w:r>
      <w:proofErr w:type="spellStart"/>
      <w:r w:rsidRPr="00E47C03">
        <w:t>LPN</w:t>
      </w:r>
      <w:proofErr w:type="spellEnd"/>
      <w:r w:rsidRPr="00926D53">
        <w:t>.  L</w:t>
      </w:r>
      <w:r>
        <w:t>’</w:t>
      </w:r>
      <w:proofErr w:type="spellStart"/>
      <w:r w:rsidRPr="00926D53">
        <w:t>IPI</w:t>
      </w:r>
      <w:proofErr w:type="spellEnd"/>
      <w:r w:rsidRPr="00926D53">
        <w:t xml:space="preserve"> est un point de contrôle visant à a</w:t>
      </w:r>
      <w:r>
        <w:t>ugmenter</w:t>
      </w:r>
      <w:r w:rsidRPr="00926D53">
        <w:t xml:space="preserve"> la transparence au sein du système des brevets, tandis que l</w:t>
      </w:r>
      <w:r>
        <w:t>’</w:t>
      </w:r>
      <w:proofErr w:type="spellStart"/>
      <w:r w:rsidRPr="00926D53">
        <w:t>OFE</w:t>
      </w:r>
      <w:r>
        <w:t>V</w:t>
      </w:r>
      <w:proofErr w:type="spellEnd"/>
      <w:r w:rsidRPr="00926D53">
        <w:t xml:space="preserve"> </w:t>
      </w:r>
      <w:r>
        <w:t xml:space="preserve">est le point de contrôle </w:t>
      </w:r>
      <w:r w:rsidRPr="00926D53">
        <w:t>central</w:t>
      </w:r>
      <w:r>
        <w:t>isé</w:t>
      </w:r>
      <w:r w:rsidRPr="00926D53">
        <w:t xml:space="preserve"> </w:t>
      </w:r>
      <w:r>
        <w:t xml:space="preserve">pour la mise en œuvre du Protocole de </w:t>
      </w:r>
      <w:r w:rsidRPr="00926D53">
        <w:t>N</w:t>
      </w:r>
      <w:r>
        <w:t xml:space="preserve">agoya.  </w:t>
      </w:r>
      <w:r w:rsidRPr="00DA2F1B">
        <w:t>Le devoir de diligence permet de mettre à disposition facilement les informations utiles qui d</w:t>
      </w:r>
      <w:r>
        <w:t>o</w:t>
      </w:r>
      <w:r w:rsidRPr="00DA2F1B">
        <w:t>ivent être fournies aux points de contrôle tout au long de</w:t>
      </w:r>
      <w:r>
        <w:t xml:space="preserve"> </w:t>
      </w:r>
      <w:r w:rsidRPr="00DA2F1B">
        <w:t>la</w:t>
      </w:r>
      <w:r>
        <w:t xml:space="preserve"> </w:t>
      </w:r>
      <w:r w:rsidRPr="00DA2F1B">
        <w:t>cha</w:t>
      </w:r>
      <w:r>
        <w:t>îne d’innovation et de valeur d’une ressource génétique et/ou des connaissances traditionnelles associées aux ressources</w:t>
      </w:r>
      <w:r w:rsidRPr="00DA2F1B">
        <w:t xml:space="preserve"> g</w:t>
      </w:r>
      <w:r>
        <w:t>é</w:t>
      </w:r>
      <w:r w:rsidRPr="00DA2F1B">
        <w:t>n</w:t>
      </w:r>
      <w:r>
        <w:t>é</w:t>
      </w:r>
      <w:r w:rsidRPr="00DA2F1B">
        <w:t>ti</w:t>
      </w:r>
      <w:r>
        <w:t>q</w:t>
      </w:r>
      <w:r w:rsidRPr="00DA2F1B">
        <w:t>ues.</w:t>
      </w:r>
      <w:bookmarkEnd w:id="223"/>
      <w:bookmarkEnd w:id="224"/>
      <w:bookmarkEnd w:id="225"/>
      <w:bookmarkEnd w:id="226"/>
    </w:p>
    <w:p w:rsidR="0040701A" w:rsidRDefault="0040701A" w:rsidP="0040701A">
      <w:pPr>
        <w:pStyle w:val="Heading2"/>
      </w:pPr>
      <w:bookmarkStart w:id="227" w:name="_Toc457989502"/>
      <w:bookmarkStart w:id="228" w:name="_Toc461803935"/>
      <w:r>
        <w:t>C.</w:t>
      </w:r>
      <w:r>
        <w:tab/>
      </w:r>
      <w:r w:rsidRPr="00DA2F1B">
        <w:t>Lien avec les réglementations portant application du Traité international sur les ressources phytogénétiques pour l</w:t>
      </w:r>
      <w:r>
        <w:t>’</w:t>
      </w:r>
      <w:r w:rsidRPr="00DA2F1B">
        <w:t>alimentation et l</w:t>
      </w:r>
      <w:r>
        <w:t>’</w:t>
      </w:r>
      <w:r w:rsidRPr="00DA2F1B">
        <w:t>agriculture</w:t>
      </w:r>
      <w:bookmarkEnd w:id="227"/>
      <w:bookmarkEnd w:id="228"/>
    </w:p>
    <w:p w:rsidR="0040701A" w:rsidRPr="00DA2F1B" w:rsidRDefault="0040701A" w:rsidP="0040701A"/>
    <w:p w:rsidR="0040701A" w:rsidRDefault="0040701A" w:rsidP="0040701A">
      <w:pPr>
        <w:pStyle w:val="ONUMFS"/>
      </w:pPr>
      <w:bookmarkStart w:id="229" w:name="_Toc457989503"/>
      <w:r w:rsidRPr="00DA2F1B">
        <w:t>L</w:t>
      </w:r>
      <w:r>
        <w:t>’</w:t>
      </w:r>
      <w:r w:rsidRPr="00DA2F1B">
        <w:t xml:space="preserve">article 10.2 du Traité international sur les ressources </w:t>
      </w:r>
      <w:proofErr w:type="spellStart"/>
      <w:r w:rsidRPr="00DA2F1B">
        <w:t>phytogénétiques</w:t>
      </w:r>
      <w:proofErr w:type="spellEnd"/>
      <w:r w:rsidRPr="00DA2F1B">
        <w:t xml:space="preserve"> pour l</w:t>
      </w:r>
      <w:r>
        <w:t>’</w:t>
      </w:r>
      <w:r w:rsidRPr="00DA2F1B">
        <w:t>alimentation et l</w:t>
      </w:r>
      <w:r>
        <w:t>’</w:t>
      </w:r>
      <w:r w:rsidRPr="00DA2F1B">
        <w:t xml:space="preserve">agriculture prévoit que, </w:t>
      </w:r>
      <w:r>
        <w:t>d</w:t>
      </w:r>
      <w:r w:rsidRPr="00DA2F1B">
        <w:t>ans l</w:t>
      </w:r>
      <w:r>
        <w:t>’</w:t>
      </w:r>
      <w:r w:rsidRPr="00DA2F1B">
        <w:t>exercice de leurs droits souverains, les Parties contractantes conviennent d</w:t>
      </w:r>
      <w:r>
        <w:t>’</w:t>
      </w:r>
      <w:r w:rsidRPr="00DA2F1B">
        <w:t>établir un système multilatéral qui soit efficient, efficace et transparent, tant pour favoriser l</w:t>
      </w:r>
      <w:r>
        <w:t>’</w:t>
      </w:r>
      <w:r w:rsidRPr="00DA2F1B">
        <w:t xml:space="preserve">accès aux ressources </w:t>
      </w:r>
      <w:proofErr w:type="spellStart"/>
      <w:r w:rsidRPr="00DA2F1B">
        <w:t>phytogénétiques</w:t>
      </w:r>
      <w:proofErr w:type="spellEnd"/>
      <w:r w:rsidRPr="00DA2F1B">
        <w:t xml:space="preserve"> pour l</w:t>
      </w:r>
      <w:r>
        <w:t>’</w:t>
      </w:r>
      <w:r w:rsidRPr="00DA2F1B">
        <w:t>alimentation et l</w:t>
      </w:r>
      <w:r>
        <w:t>’</w:t>
      </w:r>
      <w:r w:rsidRPr="00DA2F1B">
        <w:t>agriculture que pour partager, de façon juste et équitable, les avantages découlant de l</w:t>
      </w:r>
      <w:r>
        <w:t>’</w:t>
      </w:r>
      <w:r w:rsidRPr="00DA2F1B">
        <w:t>utilisation de ces ressources, dans une perspective complémentaire et de renforcement mutuel</w:t>
      </w:r>
      <w:r>
        <w:t>.  Selon l’ar</w:t>
      </w:r>
      <w:r w:rsidRPr="00DC34C1">
        <w:t>ticle 12.4</w:t>
      </w:r>
      <w:r>
        <w:t xml:space="preserve">, </w:t>
      </w:r>
      <w:r w:rsidRPr="00DC34C1">
        <w:t>l</w:t>
      </w:r>
      <w:r>
        <w:t>’</w:t>
      </w:r>
      <w:r w:rsidRPr="00DC34C1">
        <w:t xml:space="preserve">accès facilité est accordé </w:t>
      </w:r>
      <w:r>
        <w:t xml:space="preserve">dans le cadre du système multilatéral, </w:t>
      </w:r>
      <w:r w:rsidRPr="00DC34C1">
        <w:t>conformément à un accord</w:t>
      </w:r>
      <w:r>
        <w:noBreakHyphen/>
      </w:r>
      <w:r w:rsidRPr="00DC34C1">
        <w:t>type</w:t>
      </w:r>
      <w:r>
        <w:t xml:space="preserve"> de transfert de matériel (ATM</w:t>
      </w:r>
      <w:r w:rsidRPr="00DC34C1">
        <w:t>).  Par</w:t>
      </w:r>
      <w:r>
        <w:t> </w:t>
      </w:r>
      <w:r w:rsidRPr="00DC34C1">
        <w:t>conséquent, la notion de “pays d</w:t>
      </w:r>
      <w:r>
        <w:t>’</w:t>
      </w:r>
      <w:r w:rsidRPr="00DC34C1">
        <w:t>origine des ressources génétiques” n</w:t>
      </w:r>
      <w:r>
        <w:t>e s’</w:t>
      </w:r>
      <w:r w:rsidRPr="00DC34C1">
        <w:t>appli</w:t>
      </w:r>
      <w:r>
        <w:t>que pas au matériel issu du système multilatéral</w:t>
      </w:r>
      <w:r w:rsidRPr="00DC34C1">
        <w:t>.</w:t>
      </w:r>
      <w:bookmarkEnd w:id="229"/>
    </w:p>
    <w:p w:rsidR="0040701A" w:rsidRDefault="0040701A" w:rsidP="0040701A">
      <w:pPr>
        <w:pStyle w:val="ONUMFS"/>
        <w:rPr>
          <w:szCs w:val="22"/>
        </w:rPr>
      </w:pPr>
      <w:bookmarkStart w:id="230" w:name="_Toc457989504"/>
      <w:r w:rsidRPr="00DC34C1">
        <w:rPr>
          <w:szCs w:val="22"/>
        </w:rPr>
        <w:t>En Suisse, l</w:t>
      </w:r>
      <w:r>
        <w:rPr>
          <w:szCs w:val="22"/>
        </w:rPr>
        <w:t>’</w:t>
      </w:r>
      <w:r w:rsidRPr="00DC34C1">
        <w:rPr>
          <w:szCs w:val="22"/>
        </w:rPr>
        <w:t xml:space="preserve">accès aux ressources </w:t>
      </w:r>
      <w:proofErr w:type="spellStart"/>
      <w:r w:rsidRPr="00DC34C1">
        <w:rPr>
          <w:szCs w:val="22"/>
        </w:rPr>
        <w:t>phytogénétiques</w:t>
      </w:r>
      <w:proofErr w:type="spellEnd"/>
      <w:r w:rsidRPr="00DC34C1">
        <w:rPr>
          <w:szCs w:val="22"/>
        </w:rPr>
        <w:t xml:space="preserve"> pour l</w:t>
      </w:r>
      <w:r>
        <w:rPr>
          <w:szCs w:val="22"/>
        </w:rPr>
        <w:t>’</w:t>
      </w:r>
      <w:r w:rsidRPr="00DC34C1">
        <w:rPr>
          <w:szCs w:val="22"/>
        </w:rPr>
        <w:t>alimentation et l</w:t>
      </w:r>
      <w:r>
        <w:rPr>
          <w:szCs w:val="22"/>
        </w:rPr>
        <w:t>’</w:t>
      </w:r>
      <w:r w:rsidRPr="00DC34C1">
        <w:rPr>
          <w:szCs w:val="22"/>
        </w:rPr>
        <w:t xml:space="preserve">agriculture dans la banque nationale des gènes ainsi que le partage juste et équitable </w:t>
      </w:r>
      <w:r>
        <w:rPr>
          <w:szCs w:val="22"/>
        </w:rPr>
        <w:t>des avantage</w:t>
      </w:r>
      <w:r w:rsidRPr="00DC34C1">
        <w:rPr>
          <w:szCs w:val="22"/>
        </w:rPr>
        <w:t xml:space="preserve">s </w:t>
      </w:r>
      <w:r>
        <w:rPr>
          <w:szCs w:val="22"/>
        </w:rPr>
        <w:t xml:space="preserve">découlant de leur </w:t>
      </w:r>
      <w:r w:rsidRPr="00DC34C1">
        <w:rPr>
          <w:szCs w:val="22"/>
        </w:rPr>
        <w:t xml:space="preserve">utilisation </w:t>
      </w:r>
      <w:r>
        <w:rPr>
          <w:szCs w:val="22"/>
        </w:rPr>
        <w:t>sont régis par l’</w:t>
      </w:r>
      <w:r w:rsidRPr="00DC34C1">
        <w:rPr>
          <w:szCs w:val="22"/>
        </w:rPr>
        <w:t>Ordonnance sur la conservation et l</w:t>
      </w:r>
      <w:r>
        <w:rPr>
          <w:szCs w:val="22"/>
        </w:rPr>
        <w:t>’</w:t>
      </w:r>
      <w:r w:rsidRPr="00DC34C1">
        <w:rPr>
          <w:szCs w:val="22"/>
        </w:rPr>
        <w:t xml:space="preserve">utilisation durable de ressources </w:t>
      </w:r>
      <w:proofErr w:type="spellStart"/>
      <w:r w:rsidRPr="00DC34C1">
        <w:rPr>
          <w:szCs w:val="22"/>
        </w:rPr>
        <w:t>phytogénétiques</w:t>
      </w:r>
      <w:proofErr w:type="spellEnd"/>
      <w:r w:rsidRPr="00DC34C1">
        <w:rPr>
          <w:szCs w:val="22"/>
        </w:rPr>
        <w:t xml:space="preserve"> pour l</w:t>
      </w:r>
      <w:r>
        <w:rPr>
          <w:szCs w:val="22"/>
        </w:rPr>
        <w:t>’</w:t>
      </w:r>
      <w:r w:rsidRPr="00DC34C1">
        <w:rPr>
          <w:szCs w:val="22"/>
        </w:rPr>
        <w:t>alimentation et l</w:t>
      </w:r>
      <w:r>
        <w:rPr>
          <w:szCs w:val="22"/>
        </w:rPr>
        <w:t>’</w:t>
      </w:r>
      <w:r w:rsidRPr="00DC34C1">
        <w:rPr>
          <w:szCs w:val="22"/>
        </w:rPr>
        <w:t>agriculture (</w:t>
      </w:r>
      <w:proofErr w:type="spellStart"/>
      <w:r w:rsidRPr="00DC34C1">
        <w:rPr>
          <w:szCs w:val="22"/>
        </w:rPr>
        <w:t>ORPGAA</w:t>
      </w:r>
      <w:proofErr w:type="spellEnd"/>
      <w:r w:rsidRPr="00DC34C1">
        <w:rPr>
          <w:szCs w:val="22"/>
        </w:rPr>
        <w:t xml:space="preserve">).  </w:t>
      </w:r>
      <w:r w:rsidRPr="002E5F39">
        <w:rPr>
          <w:szCs w:val="22"/>
        </w:rPr>
        <w:t xml:space="preserve">Toutes les ressources </w:t>
      </w:r>
      <w:proofErr w:type="spellStart"/>
      <w:r w:rsidRPr="002E5F39">
        <w:rPr>
          <w:szCs w:val="22"/>
        </w:rPr>
        <w:t>phytogénétiques</w:t>
      </w:r>
      <w:proofErr w:type="spellEnd"/>
      <w:r w:rsidRPr="002E5F39">
        <w:rPr>
          <w:szCs w:val="22"/>
        </w:rPr>
        <w:t xml:space="preserve"> pour l</w:t>
      </w:r>
      <w:r>
        <w:rPr>
          <w:szCs w:val="22"/>
        </w:rPr>
        <w:t>’</w:t>
      </w:r>
      <w:r w:rsidRPr="002E5F39">
        <w:rPr>
          <w:szCs w:val="22"/>
        </w:rPr>
        <w:t>alimentation et l</w:t>
      </w:r>
      <w:r>
        <w:rPr>
          <w:szCs w:val="22"/>
        </w:rPr>
        <w:t>’</w:t>
      </w:r>
      <w:r w:rsidRPr="002E5F39">
        <w:rPr>
          <w:szCs w:val="22"/>
        </w:rPr>
        <w:t>agriculture qui peuvent figurer dans la banque nationale des gènes sont soumises aux conditions du système multilat</w:t>
      </w:r>
      <w:r>
        <w:rPr>
          <w:szCs w:val="22"/>
        </w:rPr>
        <w:t>é</w:t>
      </w:r>
      <w:r w:rsidRPr="002E5F39">
        <w:rPr>
          <w:szCs w:val="22"/>
        </w:rPr>
        <w:t xml:space="preserve">ral </w:t>
      </w:r>
      <w:r>
        <w:rPr>
          <w:szCs w:val="22"/>
        </w:rPr>
        <w:t xml:space="preserve">du </w:t>
      </w:r>
      <w:r w:rsidRPr="002E5F39">
        <w:rPr>
          <w:szCs w:val="22"/>
        </w:rPr>
        <w:t xml:space="preserve">Traité international sur les ressources </w:t>
      </w:r>
      <w:proofErr w:type="spellStart"/>
      <w:r w:rsidRPr="002E5F39">
        <w:rPr>
          <w:szCs w:val="22"/>
        </w:rPr>
        <w:t>phytogénétiques</w:t>
      </w:r>
      <w:proofErr w:type="spellEnd"/>
      <w:r w:rsidRPr="002E5F39">
        <w:rPr>
          <w:szCs w:val="22"/>
        </w:rPr>
        <w:t xml:space="preserve"> pour l</w:t>
      </w:r>
      <w:r>
        <w:rPr>
          <w:szCs w:val="22"/>
        </w:rPr>
        <w:t>’</w:t>
      </w:r>
      <w:r w:rsidRPr="002E5F39">
        <w:rPr>
          <w:szCs w:val="22"/>
        </w:rPr>
        <w:t>alimentation et l</w:t>
      </w:r>
      <w:r>
        <w:rPr>
          <w:szCs w:val="22"/>
        </w:rPr>
        <w:t>’</w:t>
      </w:r>
      <w:r w:rsidRPr="002E5F39">
        <w:rPr>
          <w:szCs w:val="22"/>
        </w:rPr>
        <w:t>agriculture</w:t>
      </w:r>
      <w:bookmarkEnd w:id="230"/>
      <w:r w:rsidRPr="002E5F39">
        <w:rPr>
          <w:szCs w:val="22"/>
        </w:rPr>
        <w:t xml:space="preserve">, </w:t>
      </w:r>
      <w:r>
        <w:rPr>
          <w:szCs w:val="22"/>
        </w:rPr>
        <w:t xml:space="preserve">que ces </w:t>
      </w:r>
      <w:r w:rsidRPr="002E5F39">
        <w:rPr>
          <w:szCs w:val="22"/>
        </w:rPr>
        <w:t>re</w:t>
      </w:r>
      <w:r>
        <w:rPr>
          <w:szCs w:val="22"/>
        </w:rPr>
        <w:t>s</w:t>
      </w:r>
      <w:r w:rsidRPr="002E5F39">
        <w:rPr>
          <w:szCs w:val="22"/>
        </w:rPr>
        <w:t xml:space="preserve">sources </w:t>
      </w:r>
      <w:r>
        <w:rPr>
          <w:szCs w:val="22"/>
        </w:rPr>
        <w:t>soient ou non répertoriées à l’a</w:t>
      </w:r>
      <w:r w:rsidRPr="002E5F39">
        <w:rPr>
          <w:szCs w:val="22"/>
        </w:rPr>
        <w:t>nnex</w:t>
      </w:r>
      <w:r>
        <w:rPr>
          <w:szCs w:val="22"/>
        </w:rPr>
        <w:t>e </w:t>
      </w:r>
      <w:r w:rsidRPr="002E5F39">
        <w:rPr>
          <w:szCs w:val="22"/>
        </w:rPr>
        <w:t xml:space="preserve">1 </w:t>
      </w:r>
      <w:r>
        <w:rPr>
          <w:szCs w:val="22"/>
        </w:rPr>
        <w:t xml:space="preserve">du </w:t>
      </w:r>
      <w:r w:rsidRPr="002E5F39">
        <w:rPr>
          <w:szCs w:val="22"/>
        </w:rPr>
        <w:t>Tra</w:t>
      </w:r>
      <w:r>
        <w:rPr>
          <w:szCs w:val="22"/>
        </w:rPr>
        <w:t>ité</w:t>
      </w:r>
      <w:r w:rsidRPr="002E5F39">
        <w:rPr>
          <w:szCs w:val="22"/>
        </w:rPr>
        <w:t xml:space="preserve"> (</w:t>
      </w:r>
      <w:r>
        <w:rPr>
          <w:szCs w:val="22"/>
        </w:rPr>
        <w:t>voir les</w:t>
      </w:r>
      <w:r w:rsidRPr="002E5F39">
        <w:rPr>
          <w:szCs w:val="22"/>
        </w:rPr>
        <w:t xml:space="preserve"> </w:t>
      </w:r>
      <w:r>
        <w:rPr>
          <w:szCs w:val="22"/>
        </w:rPr>
        <w:t>a</w:t>
      </w:r>
      <w:r w:rsidRPr="002E5F39">
        <w:rPr>
          <w:szCs w:val="22"/>
        </w:rPr>
        <w:t>rt.</w:t>
      </w:r>
      <w:r>
        <w:rPr>
          <w:szCs w:val="22"/>
        </w:rPr>
        <w:t> </w:t>
      </w:r>
      <w:r w:rsidRPr="002E5F39">
        <w:rPr>
          <w:szCs w:val="22"/>
        </w:rPr>
        <w:t>4</w:t>
      </w:r>
      <w:r>
        <w:rPr>
          <w:szCs w:val="22"/>
        </w:rPr>
        <w:t> et </w:t>
      </w:r>
      <w:r w:rsidRPr="002E5F39">
        <w:rPr>
          <w:szCs w:val="22"/>
        </w:rPr>
        <w:t xml:space="preserve">5 </w:t>
      </w:r>
      <w:r>
        <w:rPr>
          <w:szCs w:val="22"/>
        </w:rPr>
        <w:t>de</w:t>
      </w:r>
      <w:r w:rsidRPr="002E5F39">
        <w:rPr>
          <w:szCs w:val="22"/>
        </w:rPr>
        <w:t xml:space="preserve"> </w:t>
      </w:r>
      <w:r>
        <w:rPr>
          <w:szCs w:val="22"/>
        </w:rPr>
        <w:t>l’</w:t>
      </w:r>
      <w:proofErr w:type="spellStart"/>
      <w:r>
        <w:rPr>
          <w:szCs w:val="22"/>
        </w:rPr>
        <w:t>ORP</w:t>
      </w:r>
      <w:r w:rsidRPr="002E5F39">
        <w:rPr>
          <w:szCs w:val="22"/>
        </w:rPr>
        <w:t>GA</w:t>
      </w:r>
      <w:r>
        <w:rPr>
          <w:szCs w:val="22"/>
        </w:rPr>
        <w:t>A</w:t>
      </w:r>
      <w:proofErr w:type="spellEnd"/>
      <w:r w:rsidRPr="002E5F39">
        <w:rPr>
          <w:szCs w:val="22"/>
        </w:rPr>
        <w:t>).</w:t>
      </w:r>
    </w:p>
    <w:p w:rsidR="0040701A" w:rsidRPr="006C44A8" w:rsidRDefault="0040701A" w:rsidP="0040701A">
      <w:pPr>
        <w:pStyle w:val="ONUMFS"/>
        <w:rPr>
          <w:szCs w:val="22"/>
        </w:rPr>
      </w:pPr>
      <w:bookmarkStart w:id="231" w:name="_Toc457989505"/>
      <w:r w:rsidRPr="0013371A">
        <w:rPr>
          <w:szCs w:val="22"/>
        </w:rPr>
        <w:t xml:space="preserve">Pour les inventions qui sont directement fondées sur </w:t>
      </w:r>
      <w:r>
        <w:rPr>
          <w:szCs w:val="22"/>
        </w:rPr>
        <w:t xml:space="preserve">des </w:t>
      </w:r>
      <w:r w:rsidRPr="0013371A">
        <w:rPr>
          <w:szCs w:val="22"/>
        </w:rPr>
        <w:t xml:space="preserve">ressources </w:t>
      </w:r>
      <w:proofErr w:type="spellStart"/>
      <w:r w:rsidRPr="0013371A">
        <w:rPr>
          <w:szCs w:val="22"/>
        </w:rPr>
        <w:t>phytogénétiques</w:t>
      </w:r>
      <w:proofErr w:type="spellEnd"/>
      <w:r w:rsidRPr="0013371A">
        <w:rPr>
          <w:szCs w:val="22"/>
        </w:rPr>
        <w:t xml:space="preserve"> pour l</w:t>
      </w:r>
      <w:r>
        <w:rPr>
          <w:szCs w:val="22"/>
        </w:rPr>
        <w:t>’</w:t>
      </w:r>
      <w:r w:rsidRPr="0013371A">
        <w:rPr>
          <w:szCs w:val="22"/>
        </w:rPr>
        <w:t>alimentation et l</w:t>
      </w:r>
      <w:r>
        <w:rPr>
          <w:szCs w:val="22"/>
        </w:rPr>
        <w:t>’</w:t>
      </w:r>
      <w:r w:rsidRPr="0013371A">
        <w:rPr>
          <w:szCs w:val="22"/>
        </w:rPr>
        <w:t xml:space="preserve">agriculture </w:t>
      </w:r>
      <w:r>
        <w:rPr>
          <w:szCs w:val="22"/>
        </w:rPr>
        <w:t xml:space="preserve">et </w:t>
      </w:r>
      <w:r w:rsidRPr="0013371A">
        <w:rPr>
          <w:szCs w:val="22"/>
        </w:rPr>
        <w:t>co</w:t>
      </w:r>
      <w:r>
        <w:rPr>
          <w:szCs w:val="22"/>
        </w:rPr>
        <w:t>u</w:t>
      </w:r>
      <w:r w:rsidRPr="0013371A">
        <w:rPr>
          <w:szCs w:val="22"/>
        </w:rPr>
        <w:t>ver</w:t>
      </w:r>
      <w:r>
        <w:rPr>
          <w:szCs w:val="22"/>
        </w:rPr>
        <w:t>t</w:t>
      </w:r>
      <w:r w:rsidRPr="0013371A">
        <w:rPr>
          <w:szCs w:val="22"/>
        </w:rPr>
        <w:t>e</w:t>
      </w:r>
      <w:r>
        <w:rPr>
          <w:szCs w:val="22"/>
        </w:rPr>
        <w:t>s</w:t>
      </w:r>
      <w:r w:rsidRPr="0013371A">
        <w:rPr>
          <w:szCs w:val="22"/>
        </w:rPr>
        <w:t xml:space="preserve"> </w:t>
      </w:r>
      <w:r>
        <w:rPr>
          <w:szCs w:val="22"/>
        </w:rPr>
        <w:t>par le système multilatéral</w:t>
      </w:r>
      <w:r w:rsidRPr="0013371A">
        <w:rPr>
          <w:szCs w:val="22"/>
        </w:rPr>
        <w:t xml:space="preserve">, </w:t>
      </w:r>
      <w:r>
        <w:rPr>
          <w:szCs w:val="22"/>
        </w:rPr>
        <w:t xml:space="preserve">le requérant ne pourra donc pas indiquer un </w:t>
      </w:r>
      <w:r w:rsidRPr="0013371A">
        <w:rPr>
          <w:szCs w:val="22"/>
        </w:rPr>
        <w:t>“</w:t>
      </w:r>
      <w:r>
        <w:rPr>
          <w:szCs w:val="22"/>
        </w:rPr>
        <w:t>pays d’</w:t>
      </w:r>
      <w:r w:rsidRPr="0013371A">
        <w:rPr>
          <w:szCs w:val="22"/>
        </w:rPr>
        <w:t>origin</w:t>
      </w:r>
      <w:r>
        <w:rPr>
          <w:szCs w:val="22"/>
        </w:rPr>
        <w:t>e</w:t>
      </w:r>
      <w:r w:rsidRPr="0013371A">
        <w:rPr>
          <w:szCs w:val="22"/>
        </w:rPr>
        <w:t>”</w:t>
      </w:r>
      <w:r>
        <w:rPr>
          <w:szCs w:val="22"/>
        </w:rPr>
        <w:t xml:space="preserve">. </w:t>
      </w:r>
      <w:r w:rsidRPr="0013371A">
        <w:rPr>
          <w:szCs w:val="22"/>
        </w:rPr>
        <w:t xml:space="preserve"> </w:t>
      </w:r>
      <w:r>
        <w:rPr>
          <w:szCs w:val="22"/>
        </w:rPr>
        <w:t>La source primaire serait par conséquent le système multilatér</w:t>
      </w:r>
      <w:bookmarkEnd w:id="231"/>
      <w:r>
        <w:rPr>
          <w:szCs w:val="22"/>
        </w:rPr>
        <w:t xml:space="preserve">al.  </w:t>
      </w:r>
      <w:r w:rsidRPr="00201F9D">
        <w:rPr>
          <w:szCs w:val="22"/>
        </w:rPr>
        <w:t>Il importe cependant de noter que, conformément à l</w:t>
      </w:r>
      <w:r>
        <w:rPr>
          <w:szCs w:val="22"/>
        </w:rPr>
        <w:t>’</w:t>
      </w:r>
      <w:proofErr w:type="spellStart"/>
      <w:r w:rsidRPr="00201F9D">
        <w:rPr>
          <w:szCs w:val="22"/>
        </w:rPr>
        <w:t>al</w:t>
      </w:r>
      <w:r>
        <w:rPr>
          <w:szCs w:val="22"/>
        </w:rPr>
        <w:t>.</w:t>
      </w:r>
      <w:r w:rsidRPr="00201F9D">
        <w:rPr>
          <w:szCs w:val="22"/>
        </w:rPr>
        <w:t>4</w:t>
      </w:r>
      <w:proofErr w:type="spellEnd"/>
      <w:r w:rsidRPr="00201F9D">
        <w:rPr>
          <w:szCs w:val="22"/>
        </w:rPr>
        <w:t xml:space="preserve"> de l</w:t>
      </w:r>
      <w:r>
        <w:rPr>
          <w:szCs w:val="22"/>
        </w:rPr>
        <w:t>’</w:t>
      </w:r>
      <w:r w:rsidRPr="00201F9D">
        <w:rPr>
          <w:szCs w:val="22"/>
        </w:rPr>
        <w:t>article 4 du Protocole de Nagoya, le devoir de diligence ne s</w:t>
      </w:r>
      <w:r>
        <w:rPr>
          <w:szCs w:val="22"/>
        </w:rPr>
        <w:t>’</w:t>
      </w:r>
      <w:r w:rsidRPr="00201F9D">
        <w:rPr>
          <w:szCs w:val="22"/>
        </w:rPr>
        <w:t xml:space="preserve">applique pas aux ressources </w:t>
      </w:r>
      <w:r>
        <w:rPr>
          <w:szCs w:val="22"/>
        </w:rPr>
        <w:t>génétiques</w:t>
      </w:r>
      <w:r w:rsidRPr="00201F9D">
        <w:rPr>
          <w:szCs w:val="22"/>
        </w:rPr>
        <w:t xml:space="preserve"> </w:t>
      </w:r>
      <w:r>
        <w:rPr>
          <w:szCs w:val="22"/>
        </w:rPr>
        <w:t>qui sont couvertes par le systèm</w:t>
      </w:r>
      <w:r w:rsidRPr="00201F9D">
        <w:rPr>
          <w:szCs w:val="22"/>
        </w:rPr>
        <w:t xml:space="preserve">e </w:t>
      </w:r>
      <w:r>
        <w:rPr>
          <w:szCs w:val="22"/>
        </w:rPr>
        <w:t xml:space="preserve">multilatéral du </w:t>
      </w:r>
      <w:r w:rsidRPr="006C44A8">
        <w:rPr>
          <w:szCs w:val="22"/>
        </w:rPr>
        <w:t xml:space="preserve">Traité international sur les ressources </w:t>
      </w:r>
      <w:proofErr w:type="spellStart"/>
      <w:r w:rsidRPr="006C44A8">
        <w:rPr>
          <w:szCs w:val="22"/>
        </w:rPr>
        <w:t>phytogénétiques</w:t>
      </w:r>
      <w:proofErr w:type="spellEnd"/>
      <w:r w:rsidRPr="006C44A8">
        <w:rPr>
          <w:szCs w:val="22"/>
        </w:rPr>
        <w:t xml:space="preserve"> pour l</w:t>
      </w:r>
      <w:r>
        <w:rPr>
          <w:szCs w:val="22"/>
        </w:rPr>
        <w:t>’</w:t>
      </w:r>
      <w:r w:rsidRPr="006C44A8">
        <w:rPr>
          <w:szCs w:val="22"/>
        </w:rPr>
        <w:t>alimentation et l</w:t>
      </w:r>
      <w:r>
        <w:rPr>
          <w:szCs w:val="22"/>
        </w:rPr>
        <w:t>’</w:t>
      </w:r>
      <w:r w:rsidRPr="006C44A8">
        <w:rPr>
          <w:szCs w:val="22"/>
        </w:rPr>
        <w:t xml:space="preserve">agriculture </w:t>
      </w:r>
      <w:r w:rsidRPr="00201F9D">
        <w:rPr>
          <w:szCs w:val="22"/>
        </w:rPr>
        <w:t>(</w:t>
      </w:r>
      <w:r>
        <w:rPr>
          <w:szCs w:val="22"/>
        </w:rPr>
        <w:t>voir également l’</w:t>
      </w:r>
      <w:r w:rsidRPr="00201F9D">
        <w:rPr>
          <w:szCs w:val="22"/>
        </w:rPr>
        <w:t>art.</w:t>
      </w:r>
      <w:r>
        <w:rPr>
          <w:szCs w:val="22"/>
        </w:rPr>
        <w:t> </w:t>
      </w:r>
      <w:proofErr w:type="spellStart"/>
      <w:r w:rsidRPr="00201F9D">
        <w:rPr>
          <w:szCs w:val="22"/>
        </w:rPr>
        <w:t>23</w:t>
      </w:r>
      <w:r w:rsidRPr="00201F9D">
        <w:rPr>
          <w:i/>
          <w:szCs w:val="22"/>
        </w:rPr>
        <w:t>n</w:t>
      </w:r>
      <w:proofErr w:type="spellEnd"/>
      <w:r w:rsidRPr="00201F9D">
        <w:rPr>
          <w:szCs w:val="22"/>
        </w:rPr>
        <w:t xml:space="preserve"> a</w:t>
      </w:r>
      <w:r>
        <w:rPr>
          <w:szCs w:val="22"/>
        </w:rPr>
        <w:t>l</w:t>
      </w:r>
      <w:r w:rsidRPr="00201F9D">
        <w:rPr>
          <w:szCs w:val="22"/>
        </w:rPr>
        <w:t>.</w:t>
      </w:r>
      <w:r>
        <w:rPr>
          <w:szCs w:val="22"/>
        </w:rPr>
        <w:t> </w:t>
      </w:r>
      <w:r w:rsidRPr="006C44A8">
        <w:rPr>
          <w:szCs w:val="22"/>
        </w:rPr>
        <w:t xml:space="preserve">2 </w:t>
      </w:r>
      <w:r>
        <w:rPr>
          <w:szCs w:val="22"/>
        </w:rPr>
        <w:t>de</w:t>
      </w:r>
      <w:r w:rsidRPr="00E47C03">
        <w:rPr>
          <w:szCs w:val="22"/>
        </w:rPr>
        <w:t xml:space="preserve"> la </w:t>
      </w:r>
      <w:proofErr w:type="spellStart"/>
      <w:r w:rsidRPr="00E47C03">
        <w:rPr>
          <w:szCs w:val="22"/>
        </w:rPr>
        <w:t>LPN</w:t>
      </w:r>
      <w:proofErr w:type="spellEnd"/>
      <w:r w:rsidRPr="006C44A8">
        <w:rPr>
          <w:szCs w:val="22"/>
        </w:rPr>
        <w:t>).</w:t>
      </w:r>
    </w:p>
    <w:p w:rsidR="0040701A" w:rsidRDefault="0040701A" w:rsidP="0040701A">
      <w:pPr>
        <w:pStyle w:val="Heading1"/>
      </w:pPr>
      <w:bookmarkStart w:id="232" w:name="_Toc457989506"/>
      <w:bookmarkStart w:id="233" w:name="_Toc461803936"/>
      <w:r w:rsidRPr="008E4BA5">
        <w:t xml:space="preserve">Conclusions et </w:t>
      </w:r>
      <w:r>
        <w:t>possib</w:t>
      </w:r>
      <w:r w:rsidRPr="008E4BA5">
        <w:t xml:space="preserve">le voie </w:t>
      </w:r>
      <w:r>
        <w:t>à</w:t>
      </w:r>
      <w:r w:rsidRPr="008E4BA5">
        <w:t xml:space="preserve"> suivre concernant une exigence de divulgation </w:t>
      </w:r>
      <w:r>
        <w:t xml:space="preserve">convenue à l’échelle </w:t>
      </w:r>
      <w:r w:rsidRPr="008E4BA5">
        <w:t>internationale</w:t>
      </w:r>
      <w:bookmarkEnd w:id="232"/>
      <w:bookmarkEnd w:id="233"/>
    </w:p>
    <w:p w:rsidR="0040701A" w:rsidRPr="0040701A" w:rsidRDefault="0040701A" w:rsidP="0040701A">
      <w:pPr>
        <w:rPr>
          <w:lang w:val="fr-FR"/>
        </w:rPr>
      </w:pPr>
    </w:p>
    <w:p w:rsidR="0040701A" w:rsidRPr="00C77CFC" w:rsidRDefault="0040701A" w:rsidP="0040701A">
      <w:pPr>
        <w:pStyle w:val="ONUMFS"/>
      </w:pPr>
      <w:bookmarkStart w:id="234" w:name="_Toc457989507"/>
      <w:r w:rsidRPr="00C77CFC">
        <w:t>L</w:t>
      </w:r>
      <w:r>
        <w:t>’</w:t>
      </w:r>
      <w:r w:rsidRPr="00C77CFC">
        <w:t>exigence d</w:t>
      </w:r>
      <w:r>
        <w:t>’indication</w:t>
      </w:r>
      <w:r w:rsidRPr="00C77CFC">
        <w:t xml:space="preserve"> de la source que prévoit la </w:t>
      </w:r>
      <w:r>
        <w:t>L</w:t>
      </w:r>
      <w:r w:rsidRPr="00C77CFC">
        <w:t xml:space="preserve">oi suisse sur les brevets a été conçue comme une mesure visant à augmenter la transparence </w:t>
      </w:r>
      <w:r>
        <w:t>au sujet</w:t>
      </w:r>
      <w:r w:rsidRPr="00C77CFC">
        <w:t xml:space="preserve"> des ressources </w:t>
      </w:r>
      <w:r>
        <w:t>génétiques et</w:t>
      </w:r>
      <w:r w:rsidRPr="00C77CFC">
        <w:t>/o</w:t>
      </w:r>
      <w:r>
        <w:t xml:space="preserve">u des savoirs traditionnels </w:t>
      </w:r>
      <w:r w:rsidRPr="00C77CFC">
        <w:t>associ</w:t>
      </w:r>
      <w:r>
        <w:t>és à celles</w:t>
      </w:r>
      <w:r>
        <w:noBreakHyphen/>
        <w:t>ci</w:t>
      </w:r>
      <w:r w:rsidRPr="00C77CFC">
        <w:t xml:space="preserve">, </w:t>
      </w:r>
      <w:r>
        <w:t>dans le but de favoriser le respect des exigences régl</w:t>
      </w:r>
      <w:r w:rsidRPr="00C77CFC">
        <w:t>e</w:t>
      </w:r>
      <w:r>
        <w:t>mentaires en matière d’</w:t>
      </w:r>
      <w:r w:rsidRPr="00C77CFC">
        <w:t>acc</w:t>
      </w:r>
      <w:r>
        <w:t>ès et de partage des avantag</w:t>
      </w:r>
      <w:r w:rsidRPr="00C77CFC">
        <w:t>e</w:t>
      </w:r>
      <w:r>
        <w:t xml:space="preserve">s d’autres pays.  Cette exigence est complémentaire avec les mesures particulières qui ont été adoptées pour mettre en œuvre le Protocole de Nagoya et le </w:t>
      </w:r>
      <w:r w:rsidRPr="00C77CFC">
        <w:t xml:space="preserve">Traité international sur les ressources </w:t>
      </w:r>
      <w:proofErr w:type="spellStart"/>
      <w:r w:rsidRPr="00C77CFC">
        <w:t>phytogénétiques</w:t>
      </w:r>
      <w:proofErr w:type="spellEnd"/>
      <w:r w:rsidRPr="00C77CFC">
        <w:t xml:space="preserve"> pour </w:t>
      </w:r>
      <w:r>
        <w:t xml:space="preserve">l’alimentation et l’agriculture.  Elle n’est toutefois pas suffisante pour assurer à elle seule la mise en œuvre de ces accords.  </w:t>
      </w:r>
      <w:r w:rsidRPr="00C77CFC">
        <w:t xml:space="preserve">Tant le Protocole de Nagoya que le Traité international sur les ressources </w:t>
      </w:r>
      <w:proofErr w:type="spellStart"/>
      <w:r w:rsidRPr="00C77CFC">
        <w:t>phytogénétiques</w:t>
      </w:r>
      <w:proofErr w:type="spellEnd"/>
      <w:r w:rsidRPr="00C77CFC">
        <w:t xml:space="preserve"> pour l</w:t>
      </w:r>
      <w:r>
        <w:t>’</w:t>
      </w:r>
      <w:r w:rsidRPr="00C77CFC">
        <w:t>alimentation et l</w:t>
      </w:r>
      <w:r>
        <w:t>’</w:t>
      </w:r>
      <w:r w:rsidRPr="00C77CFC">
        <w:t xml:space="preserve">agriculture </w:t>
      </w:r>
      <w:r>
        <w:t xml:space="preserve">ont été mis en œuvre à l’aide d’autres </w:t>
      </w:r>
      <w:r w:rsidRPr="00C77CFC">
        <w:t xml:space="preserve">mesures </w:t>
      </w:r>
      <w:r>
        <w:t>en dehors du système des brevets</w:t>
      </w:r>
      <w:bookmarkEnd w:id="234"/>
      <w:r>
        <w:t>.</w:t>
      </w:r>
    </w:p>
    <w:p w:rsidR="0040701A" w:rsidRPr="00735E35" w:rsidRDefault="0040701A" w:rsidP="0040701A">
      <w:pPr>
        <w:pStyle w:val="ONUMFS"/>
      </w:pPr>
      <w:r>
        <w:t xml:space="preserve">Étant donné que la </w:t>
      </w:r>
      <w:r w:rsidRPr="00C77CFC">
        <w:t>majorité des déposants en Suisse soumet</w:t>
      </w:r>
      <w:r>
        <w:t>te</w:t>
      </w:r>
      <w:r w:rsidRPr="00C77CFC">
        <w:t>nt leur</w:t>
      </w:r>
      <w:r>
        <w:t>s</w:t>
      </w:r>
      <w:r w:rsidRPr="00C77CFC">
        <w:t xml:space="preserve"> demande</w:t>
      </w:r>
      <w:r>
        <w:t>s</w:t>
      </w:r>
      <w:r w:rsidRPr="00C77CFC">
        <w:t xml:space="preserve"> de brevet </w:t>
      </w:r>
      <w:r>
        <w:t>par l’intermédiaire</w:t>
      </w:r>
      <w:r w:rsidRPr="00C77CFC">
        <w:t xml:space="preserve"> </w:t>
      </w:r>
      <w:r>
        <w:t xml:space="preserve">de </w:t>
      </w:r>
      <w:r w:rsidRPr="00C77CFC">
        <w:t>l</w:t>
      </w:r>
      <w:r>
        <w:t>’</w:t>
      </w:r>
      <w:r w:rsidRPr="00C77CFC">
        <w:t>Office eur</w:t>
      </w:r>
      <w:r>
        <w:t>opéen des brevets (</w:t>
      </w:r>
      <w:proofErr w:type="spellStart"/>
      <w:r>
        <w:t>OEB</w:t>
      </w:r>
      <w:proofErr w:type="spellEnd"/>
      <w:r w:rsidRPr="00C77CFC">
        <w:t xml:space="preserve">), </w:t>
      </w:r>
      <w:r>
        <w:t xml:space="preserve">la Confédération helvétique n’a que peu d’expérience </w:t>
      </w:r>
      <w:r w:rsidRPr="00C77CFC">
        <w:t>prati</w:t>
      </w:r>
      <w:r>
        <w:t>qu</w:t>
      </w:r>
      <w:r w:rsidRPr="00C77CFC">
        <w:t xml:space="preserve">e </w:t>
      </w:r>
      <w:r>
        <w:t>en ce qui concerne la mise en œuvre de l’exigence d’indication</w:t>
      </w:r>
      <w:r w:rsidRPr="00C77CFC">
        <w:t xml:space="preserve"> </w:t>
      </w:r>
      <w:r>
        <w:t>de la</w:t>
      </w:r>
      <w:r w:rsidRPr="00C77CFC">
        <w:t xml:space="preserve"> source </w:t>
      </w:r>
      <w:r>
        <w:t xml:space="preserve">dans le cadre de la Loi sur les brevets.  </w:t>
      </w:r>
      <w:r w:rsidRPr="00735E35">
        <w:t>De même, jusqu</w:t>
      </w:r>
      <w:r>
        <w:t>’</w:t>
      </w:r>
      <w:r w:rsidRPr="00735E35">
        <w:t>à présent, la Suisse n</w:t>
      </w:r>
      <w:r>
        <w:t>’</w:t>
      </w:r>
      <w:r w:rsidRPr="00735E35">
        <w:t>a qu</w:t>
      </w:r>
      <w:r>
        <w:t>’</w:t>
      </w:r>
      <w:r w:rsidRPr="00735E35">
        <w:t xml:space="preserve">une expérience limitée en ce qui concerne la mise en </w:t>
      </w:r>
      <w:r>
        <w:t xml:space="preserve">œuvre </w:t>
      </w:r>
      <w:r w:rsidRPr="00735E35">
        <w:t>des ordonnances portant application du Protocole de Nagoya ainsi que du Traité, ces deux</w:t>
      </w:r>
      <w:r>
        <w:t> </w:t>
      </w:r>
      <w:r w:rsidRPr="00735E35">
        <w:t>ordonnances étant entrées e</w:t>
      </w:r>
      <w:r>
        <w:t>n</w:t>
      </w:r>
      <w:r w:rsidRPr="00735E35">
        <w:t xml:space="preserve"> vigueur seulement au début de 2016. </w:t>
      </w:r>
      <w:r>
        <w:t xml:space="preserve"> </w:t>
      </w:r>
      <w:r w:rsidRPr="00735E35">
        <w:t>Cela étant, ces dispositions ont toutes été élaborées en se fondant sur des princ</w:t>
      </w:r>
      <w:r>
        <w:t>i</w:t>
      </w:r>
      <w:r w:rsidRPr="00735E35">
        <w:t>pes solides et ont fait l</w:t>
      </w:r>
      <w:r>
        <w:t>’</w:t>
      </w:r>
      <w:r w:rsidRPr="00735E35">
        <w:t>objet d</w:t>
      </w:r>
      <w:r>
        <w:t>’</w:t>
      </w:r>
      <w:r w:rsidRPr="00735E35">
        <w:t xml:space="preserve">évaluations </w:t>
      </w:r>
      <w:r>
        <w:t xml:space="preserve">des incidences </w:t>
      </w:r>
      <w:r w:rsidRPr="00735E35">
        <w:t>a</w:t>
      </w:r>
      <w:r>
        <w:t>insi que de consultation</w:t>
      </w:r>
      <w:r w:rsidRPr="00735E35">
        <w:t>s publi</w:t>
      </w:r>
      <w:r>
        <w:t>ques et dé</w:t>
      </w:r>
      <w:r w:rsidRPr="00735E35">
        <w:t>mocrati</w:t>
      </w:r>
      <w:r>
        <w:t>q</w:t>
      </w:r>
      <w:r w:rsidRPr="00735E35">
        <w:t>u</w:t>
      </w:r>
      <w:r>
        <w:t>e</w:t>
      </w:r>
      <w:r w:rsidRPr="00735E35">
        <w:t xml:space="preserve">s </w:t>
      </w:r>
      <w:r>
        <w:t xml:space="preserve">avant leur </w:t>
      </w:r>
      <w:r w:rsidRPr="00735E35">
        <w:t>adoption.</w:t>
      </w:r>
    </w:p>
    <w:p w:rsidR="0040701A" w:rsidRDefault="0040701A" w:rsidP="0040701A">
      <w:pPr>
        <w:pStyle w:val="ONUMFS"/>
      </w:pPr>
      <w:r w:rsidRPr="00163D05">
        <w:t>À l</w:t>
      </w:r>
      <w:r>
        <w:t>’</w:t>
      </w:r>
      <w:r w:rsidRPr="00163D05">
        <w:t>avenir, les systèmes fondés sur la diligence requise, comme ceux qui ont été récemment introduits en Suisse ainsi que dans l</w:t>
      </w:r>
      <w:r>
        <w:t>’</w:t>
      </w:r>
      <w:r w:rsidRPr="00163D05">
        <w:t>Union européenne</w:t>
      </w:r>
      <w:r w:rsidRPr="00277EAC">
        <w:rPr>
          <w:rStyle w:val="FootnoteReference"/>
          <w:szCs w:val="22"/>
          <w:lang w:val="en-GB"/>
        </w:rPr>
        <w:footnoteReference w:id="10"/>
      </w:r>
      <w:r w:rsidRPr="00163D05">
        <w:t xml:space="preserve"> </w:t>
      </w:r>
      <w:r>
        <w:t>af</w:t>
      </w:r>
      <w:r w:rsidRPr="00163D05">
        <w:t xml:space="preserve">in de </w:t>
      </w:r>
      <w:r>
        <w:t xml:space="preserve">mettre en œuvre le Protocole de </w:t>
      </w:r>
      <w:r w:rsidRPr="00163D05">
        <w:t>N</w:t>
      </w:r>
      <w:r>
        <w:t>agoya</w:t>
      </w:r>
      <w:r w:rsidRPr="00163D05">
        <w:t xml:space="preserve">, </w:t>
      </w:r>
      <w:r>
        <w:t>devraient faciliter et favoriser davantage la mise en œuvre de l’exigence de divulgation dans le système des brevets et</w:t>
      </w:r>
      <w:r w:rsidRPr="00163D05">
        <w:t xml:space="preserve"> vice</w:t>
      </w:r>
      <w:r>
        <w:noBreakHyphen/>
      </w:r>
      <w:r w:rsidRPr="00163D05">
        <w:t>versa</w:t>
      </w:r>
      <w:r>
        <w:t>,</w:t>
      </w:r>
      <w:r w:rsidRPr="00163D05">
        <w:t xml:space="preserve"> </w:t>
      </w:r>
      <w:r>
        <w:t>d’une manière complémentaire</w:t>
      </w:r>
      <w:r w:rsidRPr="00163D05">
        <w:t>.</w:t>
      </w:r>
    </w:p>
    <w:p w:rsidR="0040701A" w:rsidRPr="00E230D2" w:rsidRDefault="0040701A" w:rsidP="0040701A">
      <w:pPr>
        <w:pStyle w:val="ONUMFS"/>
      </w:pPr>
      <w:bookmarkStart w:id="235" w:name="_Toc457989509"/>
      <w:r w:rsidRPr="00E230D2">
        <w:t>Sur la base des dispositions de</w:t>
      </w:r>
      <w:r w:rsidRPr="00E47C03">
        <w:t xml:space="preserve"> la CDB</w:t>
      </w:r>
      <w:r w:rsidRPr="00E230D2">
        <w:t xml:space="preserve"> et du Protocole de Nagoya, plusieurs pays ont déjà introdu</w:t>
      </w:r>
      <w:r>
        <w:t xml:space="preserve">it des exigences de divulgation dans leurs systèmes de brevets </w:t>
      </w:r>
      <w:r w:rsidRPr="00E230D2">
        <w:t>nationa</w:t>
      </w:r>
      <w:r>
        <w:t>ux</w:t>
      </w:r>
      <w:r w:rsidRPr="00E230D2">
        <w:t>, o</w:t>
      </w:r>
      <w:r>
        <w:t>u sont susceptibles de le faire dans un avenir proche.  Du point de vue de la Suisse</w:t>
      </w:r>
      <w:r w:rsidRPr="00E230D2">
        <w:t>, il e</w:t>
      </w:r>
      <w:r>
        <w:t>st</w:t>
      </w:r>
      <w:r w:rsidRPr="00E230D2">
        <w:t xml:space="preserve"> important </w:t>
      </w:r>
      <w:r>
        <w:t xml:space="preserve">que </w:t>
      </w:r>
      <w:r w:rsidRPr="00E230D2">
        <w:t xml:space="preserve">ces exigences </w:t>
      </w:r>
      <w:r>
        <w:t>re</w:t>
      </w:r>
      <w:r w:rsidRPr="00E230D2">
        <w:t>s</w:t>
      </w:r>
      <w:r>
        <w:t>ten</w:t>
      </w:r>
      <w:r w:rsidRPr="00E230D2">
        <w:t>t aussi simples que possible afin d</w:t>
      </w:r>
      <w:r>
        <w:t>’</w:t>
      </w:r>
      <w:r w:rsidRPr="00E230D2">
        <w:t xml:space="preserve">assurer </w:t>
      </w:r>
      <w:r>
        <w:t xml:space="preserve">leur applicabilité.  L’adoption de cette exigence également à l’échelle internationale présente ainsi différents </w:t>
      </w:r>
      <w:r w:rsidRPr="00E230D2">
        <w:t>avantages :</w:t>
      </w:r>
      <w:bookmarkEnd w:id="235"/>
    </w:p>
    <w:p w:rsidR="0040701A" w:rsidRPr="0065079C" w:rsidRDefault="0040701A" w:rsidP="0040701A">
      <w:pPr>
        <w:pStyle w:val="ONUMFS"/>
        <w:numPr>
          <w:ilvl w:val="1"/>
          <w:numId w:val="38"/>
        </w:numPr>
      </w:pPr>
      <w:bookmarkStart w:id="236" w:name="_Toc457989510"/>
      <w:r w:rsidRPr="0065079C">
        <w:t>Elle favoriserait l</w:t>
      </w:r>
      <w:r>
        <w:t>’</w:t>
      </w:r>
      <w:r w:rsidRPr="0065079C">
        <w:t>harmonisation internationale des exigences en mat</w:t>
      </w:r>
      <w:r>
        <w:t>i</w:t>
      </w:r>
      <w:r w:rsidRPr="0065079C">
        <w:t>ère de divulgation au sein du système des brev</w:t>
      </w:r>
      <w:r>
        <w:t>e</w:t>
      </w:r>
      <w:r w:rsidRPr="0065079C">
        <w:t xml:space="preserve">ts, </w:t>
      </w:r>
      <w:bookmarkStart w:id="237" w:name="_Toc457989511"/>
      <w:bookmarkEnd w:id="236"/>
      <w:r>
        <w:t>contribuant ai</w:t>
      </w:r>
      <w:r w:rsidRPr="0065079C">
        <w:t>n</w:t>
      </w:r>
      <w:r>
        <w:t>si à améliorer la sécurité juridique</w:t>
      </w:r>
      <w:r w:rsidRPr="0065079C">
        <w:t xml:space="preserve"> </w:t>
      </w:r>
      <w:r>
        <w:t xml:space="preserve">et à </w:t>
      </w:r>
      <w:r w:rsidRPr="0065079C">
        <w:t>a</w:t>
      </w:r>
      <w:r>
        <w:t>ppuyer l’</w:t>
      </w:r>
      <w:r w:rsidRPr="0065079C">
        <w:t xml:space="preserve">innovation </w:t>
      </w:r>
      <w:r>
        <w:t>c</w:t>
      </w:r>
      <w:r w:rsidRPr="0065079C">
        <w:t>on</w:t>
      </w:r>
      <w:r>
        <w:t>cernant les</w:t>
      </w:r>
      <w:r w:rsidRPr="0065079C">
        <w:t xml:space="preserve"> produ</w:t>
      </w:r>
      <w:r>
        <w:t>i</w:t>
      </w:r>
      <w:r w:rsidRPr="0065079C">
        <w:t xml:space="preserve">ts </w:t>
      </w:r>
      <w:r>
        <w:t xml:space="preserve">qui repose sur des </w:t>
      </w:r>
      <w:r w:rsidRPr="0065079C">
        <w:t>re</w:t>
      </w:r>
      <w:r>
        <w:t>s</w:t>
      </w:r>
      <w:r w:rsidRPr="0065079C">
        <w:t xml:space="preserve">sources </w:t>
      </w:r>
      <w:r>
        <w:t>génétiques et</w:t>
      </w:r>
      <w:r w:rsidRPr="0065079C">
        <w:t>/o</w:t>
      </w:r>
      <w:r>
        <w:t>u</w:t>
      </w:r>
      <w:r w:rsidRPr="0065079C">
        <w:t xml:space="preserve"> </w:t>
      </w:r>
      <w:r>
        <w:t>des savoirs</w:t>
      </w:r>
      <w:r w:rsidRPr="0065079C">
        <w:t xml:space="preserve"> tradition</w:t>
      </w:r>
      <w:r>
        <w:t>nels connexes</w:t>
      </w:r>
      <w:r w:rsidRPr="0065079C">
        <w:t xml:space="preserve"> a</w:t>
      </w:r>
      <w:r>
        <w:t>u niveau mondi</w:t>
      </w:r>
      <w:r w:rsidRPr="0065079C">
        <w:t>al.</w:t>
      </w:r>
      <w:bookmarkStart w:id="238" w:name="_Toc457989512"/>
      <w:bookmarkEnd w:id="237"/>
    </w:p>
    <w:p w:rsidR="0040701A" w:rsidRDefault="0040701A" w:rsidP="0040701A">
      <w:pPr>
        <w:pStyle w:val="ONUMFS"/>
        <w:numPr>
          <w:ilvl w:val="1"/>
          <w:numId w:val="38"/>
        </w:numPr>
      </w:pPr>
      <w:r w:rsidRPr="006F7D2A">
        <w:t>Elle instituerait une confiance mutuelle et favoriserait l</w:t>
      </w:r>
      <w:r>
        <w:t>’</w:t>
      </w:r>
      <w:r w:rsidRPr="006F7D2A">
        <w:t xml:space="preserve">accès et le partage des avantages entre les fournisseurs et les utilisateurs </w:t>
      </w:r>
      <w:r>
        <w:t>des</w:t>
      </w:r>
      <w:r w:rsidRPr="006F7D2A">
        <w:t xml:space="preserve"> re</w:t>
      </w:r>
      <w:r>
        <w:t>s</w:t>
      </w:r>
      <w:r w:rsidRPr="006F7D2A">
        <w:t xml:space="preserve">sources </w:t>
      </w:r>
      <w:r>
        <w:t>génétiques et</w:t>
      </w:r>
      <w:r w:rsidRPr="006F7D2A">
        <w:t>/o</w:t>
      </w:r>
      <w:r>
        <w:t>u</w:t>
      </w:r>
      <w:r w:rsidRPr="006F7D2A">
        <w:t xml:space="preserve"> </w:t>
      </w:r>
      <w:r>
        <w:t xml:space="preserve">des savoirs </w:t>
      </w:r>
      <w:r w:rsidRPr="006F7D2A">
        <w:t>tradition</w:t>
      </w:r>
      <w:r>
        <w:t xml:space="preserve">nels connexes.  </w:t>
      </w:r>
      <w:r w:rsidRPr="006F7D2A">
        <w:t>Ce faisant, elle contribuerait à la r</w:t>
      </w:r>
      <w:r>
        <w:t>é</w:t>
      </w:r>
      <w:r w:rsidRPr="006F7D2A">
        <w:t>alisation des objectifs de</w:t>
      </w:r>
      <w:r w:rsidRPr="00E47C03">
        <w:t xml:space="preserve"> la CDB</w:t>
      </w:r>
      <w:r w:rsidRPr="006F7D2A">
        <w:t xml:space="preserve">, </w:t>
      </w:r>
      <w:r>
        <w:t>du Protocole de</w:t>
      </w:r>
      <w:r w:rsidRPr="006F7D2A">
        <w:t xml:space="preserve"> N</w:t>
      </w:r>
      <w:r>
        <w:t>agoya</w:t>
      </w:r>
      <w:r w:rsidRPr="006F7D2A">
        <w:t xml:space="preserve">, </w:t>
      </w:r>
      <w:r>
        <w:t xml:space="preserve">du </w:t>
      </w:r>
      <w:r w:rsidRPr="006F7D2A">
        <w:t xml:space="preserve">Traité international sur les ressources </w:t>
      </w:r>
      <w:proofErr w:type="spellStart"/>
      <w:r w:rsidRPr="006F7D2A">
        <w:t>phytogénétiques</w:t>
      </w:r>
      <w:proofErr w:type="spellEnd"/>
      <w:r w:rsidRPr="006F7D2A">
        <w:t xml:space="preserve"> pour l</w:t>
      </w:r>
      <w:r>
        <w:t>’</w:t>
      </w:r>
      <w:r w:rsidRPr="006F7D2A">
        <w:t>alimentation et l</w:t>
      </w:r>
      <w:r>
        <w:t>’</w:t>
      </w:r>
      <w:r w:rsidRPr="006F7D2A">
        <w:t xml:space="preserve">agriculture </w:t>
      </w:r>
      <w:r>
        <w:t>et, plus généralement, des objectifs de développement durable</w:t>
      </w:r>
      <w:r w:rsidRPr="00277EAC">
        <w:rPr>
          <w:rStyle w:val="FootnoteReference"/>
          <w:lang w:val="en-GB"/>
        </w:rPr>
        <w:footnoteReference w:id="11"/>
      </w:r>
      <w:r w:rsidRPr="006F7D2A">
        <w:t>.</w:t>
      </w:r>
      <w:bookmarkEnd w:id="238"/>
    </w:p>
    <w:p w:rsidR="0040701A" w:rsidRPr="00FB0AF1" w:rsidRDefault="0040701A" w:rsidP="0040701A">
      <w:pPr>
        <w:pStyle w:val="ONUMFS"/>
        <w:numPr>
          <w:ilvl w:val="1"/>
          <w:numId w:val="38"/>
        </w:numPr>
      </w:pPr>
      <w:bookmarkStart w:id="239" w:name="_Toc457989513"/>
      <w:r w:rsidRPr="00FB0AF1">
        <w:t>Une exigence de divulgation établie à l</w:t>
      </w:r>
      <w:r>
        <w:t>’</w:t>
      </w:r>
      <w:r w:rsidRPr="00FB0AF1">
        <w:t>échelle internationale sous l</w:t>
      </w:r>
      <w:r>
        <w:t>’</w:t>
      </w:r>
      <w:r w:rsidRPr="00FB0AF1">
        <w:t>égide de l</w:t>
      </w:r>
      <w:r>
        <w:t>’</w:t>
      </w:r>
      <w:proofErr w:type="spellStart"/>
      <w:r w:rsidRPr="00FB0AF1">
        <w:t>OMPI</w:t>
      </w:r>
      <w:proofErr w:type="spellEnd"/>
      <w:r w:rsidRPr="00FB0AF1">
        <w:t xml:space="preserve"> renforcerait le rôle et la crédibilité de l</w:t>
      </w:r>
      <w:r>
        <w:t>’</w:t>
      </w:r>
      <w:proofErr w:type="spellStart"/>
      <w:r w:rsidRPr="00FB0AF1">
        <w:t>OMPI</w:t>
      </w:r>
      <w:proofErr w:type="spellEnd"/>
      <w:r w:rsidRPr="00FB0AF1">
        <w:t xml:space="preserve"> </w:t>
      </w:r>
      <w:r>
        <w:t>dans la prise en charge de</w:t>
      </w:r>
      <w:r w:rsidRPr="00FB0AF1">
        <w:t>s questions en lien avec la propri</w:t>
      </w:r>
      <w:r>
        <w:t>é</w:t>
      </w:r>
      <w:r w:rsidRPr="00FB0AF1">
        <w:t>té intellectu</w:t>
      </w:r>
      <w:r>
        <w:t>e</w:t>
      </w:r>
      <w:r w:rsidRPr="00FB0AF1">
        <w:t>l</w:t>
      </w:r>
      <w:r>
        <w:t>le</w:t>
      </w:r>
      <w:r w:rsidRPr="00FB0AF1">
        <w:t xml:space="preserve">, </w:t>
      </w:r>
      <w:r>
        <w:t>l</w:t>
      </w:r>
      <w:r w:rsidRPr="00FB0AF1">
        <w:t>e</w:t>
      </w:r>
      <w:r>
        <w:t>s</w:t>
      </w:r>
      <w:r w:rsidRPr="00FB0AF1">
        <w:t xml:space="preserve"> re</w:t>
      </w:r>
      <w:r>
        <w:t>s</w:t>
      </w:r>
      <w:r w:rsidRPr="00FB0AF1">
        <w:t xml:space="preserve">sources </w:t>
      </w:r>
      <w:r>
        <w:t>génétiques et</w:t>
      </w:r>
      <w:r w:rsidRPr="00FB0AF1">
        <w:t>/o</w:t>
      </w:r>
      <w:r>
        <w:t xml:space="preserve">u les savoirs </w:t>
      </w:r>
      <w:r w:rsidRPr="00FB0AF1">
        <w:t>tradition</w:t>
      </w:r>
      <w:r>
        <w:t>nels connexes</w:t>
      </w:r>
      <w:bookmarkEnd w:id="239"/>
      <w:r w:rsidRPr="00FB0AF1">
        <w:t xml:space="preserve">, </w:t>
      </w:r>
      <w:r>
        <w:t>ce qui serait bénéfique à long terme pour le système des brevets</w:t>
      </w:r>
      <w:r w:rsidRPr="00FB0AF1">
        <w:t>.</w:t>
      </w:r>
    </w:p>
    <w:p w:rsidR="0040701A" w:rsidRPr="000335BF" w:rsidRDefault="0040701A" w:rsidP="0040701A">
      <w:pPr>
        <w:pStyle w:val="ONUMFS"/>
        <w:rPr>
          <w:caps/>
        </w:rPr>
      </w:pPr>
      <w:bookmarkStart w:id="240" w:name="_Toc457989515"/>
      <w:r w:rsidRPr="00FB0AF1">
        <w:t xml:space="preserve">Du point de vue de la Suisse, une exigence de divulgation internationale </w:t>
      </w:r>
      <w:r>
        <w:t>sous l’égide de l’</w:t>
      </w:r>
      <w:proofErr w:type="spellStart"/>
      <w:r>
        <w:t>OMPI</w:t>
      </w:r>
      <w:proofErr w:type="spellEnd"/>
      <w:r>
        <w:t xml:space="preserve"> devrait établir un équilibre délicat entre les intérêts de toutes les parties prenantes </w:t>
      </w:r>
      <w:r w:rsidRPr="00FB0AF1">
        <w:t>concern</w:t>
      </w:r>
      <w:r>
        <w:t>é</w:t>
      </w:r>
      <w:r w:rsidRPr="00FB0AF1">
        <w:t>e</w:t>
      </w:r>
      <w:r>
        <w:t xml:space="preserve">s.  </w:t>
      </w:r>
      <w:r w:rsidRPr="000335BF">
        <w:t>Une façon d</w:t>
      </w:r>
      <w:r>
        <w:t>’</w:t>
      </w:r>
      <w:r w:rsidRPr="000335BF">
        <w:t>atteindre cet équilibre serait d</w:t>
      </w:r>
      <w:r>
        <w:t>’</w:t>
      </w:r>
      <w:r w:rsidRPr="000335BF">
        <w:t>élaborer une exigence de divulgation internationale qui ne p</w:t>
      </w:r>
      <w:r>
        <w:t>révoi</w:t>
      </w:r>
      <w:r w:rsidRPr="000335BF">
        <w:t>rait pas seulement</w:t>
      </w:r>
      <w:r>
        <w:t xml:space="preserve"> des normes minimales </w:t>
      </w:r>
      <w:r w:rsidRPr="000335BF">
        <w:t>(</w:t>
      </w:r>
      <w:r>
        <w:t>soit une obligation</w:t>
      </w:r>
      <w:r w:rsidRPr="000335BF">
        <w:t xml:space="preserve"> international</w:t>
      </w:r>
      <w:r>
        <w:t>e</w:t>
      </w:r>
      <w:r w:rsidRPr="000335BF">
        <w:t xml:space="preserve"> </w:t>
      </w:r>
      <w:r>
        <w:t xml:space="preserve">d’indiquer la </w:t>
      </w:r>
      <w:r w:rsidRPr="000335BF">
        <w:t xml:space="preserve">source </w:t>
      </w:r>
      <w:r>
        <w:t>des r</w:t>
      </w:r>
      <w:r w:rsidRPr="000335BF">
        <w:t>e</w:t>
      </w:r>
      <w:r>
        <w:t>s</w:t>
      </w:r>
      <w:r w:rsidRPr="000335BF">
        <w:t xml:space="preserve">sources </w:t>
      </w:r>
      <w:r>
        <w:t>génétiques et</w:t>
      </w:r>
      <w:r w:rsidRPr="000335BF">
        <w:t>/o</w:t>
      </w:r>
      <w:r>
        <w:t>u des savoirs t</w:t>
      </w:r>
      <w:r w:rsidRPr="000335BF">
        <w:t>radition</w:t>
      </w:r>
      <w:r>
        <w:t>nels associés à ces</w:t>
      </w:r>
      <w:r w:rsidRPr="000335BF">
        <w:t xml:space="preserve"> re</w:t>
      </w:r>
      <w:r>
        <w:t>s</w:t>
      </w:r>
      <w:r w:rsidRPr="000335BF">
        <w:t xml:space="preserve">sources </w:t>
      </w:r>
      <w:r>
        <w:t>dans les demandes de breve</w:t>
      </w:r>
      <w:r w:rsidRPr="000335BF">
        <w:t xml:space="preserve">t), </w:t>
      </w:r>
      <w:r>
        <w:t xml:space="preserve">mais énoncerait aussi des normes </w:t>
      </w:r>
      <w:r w:rsidRPr="000335BF">
        <w:t>maxima</w:t>
      </w:r>
      <w:r>
        <w:t>le</w:t>
      </w:r>
      <w:r w:rsidRPr="000335BF">
        <w:t>s (</w:t>
      </w:r>
      <w:r>
        <w:t>telles que, notamment, la</w:t>
      </w:r>
      <w:r w:rsidRPr="000335BF">
        <w:t xml:space="preserve"> no</w:t>
      </w:r>
      <w:r>
        <w:t>n</w:t>
      </w:r>
      <w:r>
        <w:noBreakHyphen/>
      </w:r>
      <w:r w:rsidRPr="000335BF">
        <w:t>r</w:t>
      </w:r>
      <w:r>
        <w:t>é</w:t>
      </w:r>
      <w:r w:rsidRPr="000335BF">
        <w:t xml:space="preserve">vocation </w:t>
      </w:r>
      <w:r>
        <w:t>des</w:t>
      </w:r>
      <w:r w:rsidRPr="000335BF">
        <w:t xml:space="preserve"> </w:t>
      </w:r>
      <w:r>
        <w:t>brev</w:t>
      </w:r>
      <w:r w:rsidRPr="000335BF">
        <w:t xml:space="preserve">ets </w:t>
      </w:r>
      <w:r>
        <w:t>en cas de</w:t>
      </w:r>
      <w:r w:rsidRPr="000335BF">
        <w:t xml:space="preserve"> non</w:t>
      </w:r>
      <w:r>
        <w:noBreakHyphen/>
        <w:t>respect de l’exigence de divulgation</w:t>
      </w:r>
      <w:r w:rsidRPr="000335BF">
        <w:t>)</w:t>
      </w:r>
      <w:r>
        <w:t xml:space="preserve">.  </w:t>
      </w:r>
      <w:r w:rsidRPr="000335BF">
        <w:t xml:space="preserve">Cela accroîtrait la sécurité juridique </w:t>
      </w:r>
      <w:r>
        <w:t xml:space="preserve">tant </w:t>
      </w:r>
      <w:r w:rsidRPr="000335BF">
        <w:t>pour les utilisate</w:t>
      </w:r>
      <w:r>
        <w:t>u</w:t>
      </w:r>
      <w:r w:rsidRPr="000335BF">
        <w:t xml:space="preserve">rs </w:t>
      </w:r>
      <w:r>
        <w:t xml:space="preserve">que pour les fournisseurs de </w:t>
      </w:r>
      <w:r w:rsidRPr="000335BF">
        <w:t>re</w:t>
      </w:r>
      <w:r>
        <w:t>s</w:t>
      </w:r>
      <w:r w:rsidRPr="000335BF">
        <w:t xml:space="preserve">sources </w:t>
      </w:r>
      <w:r>
        <w:t>génétiques et de savoirs</w:t>
      </w:r>
      <w:r w:rsidRPr="000335BF">
        <w:t xml:space="preserve"> tradition</w:t>
      </w:r>
      <w:r>
        <w:t>nels connexes</w:t>
      </w:r>
      <w:r w:rsidRPr="000335BF">
        <w:t>.</w:t>
      </w:r>
    </w:p>
    <w:p w:rsidR="0040701A" w:rsidRDefault="0040701A" w:rsidP="0040701A">
      <w:pPr>
        <w:pStyle w:val="ONUMFS"/>
      </w:pPr>
      <w:r>
        <w:t xml:space="preserve">Par ailleurs, cette </w:t>
      </w:r>
      <w:r w:rsidRPr="000335BF">
        <w:t xml:space="preserve">exigence de divulgation internationale devrait </w:t>
      </w:r>
      <w:r>
        <w:t xml:space="preserve">être aussi </w:t>
      </w:r>
      <w:r w:rsidRPr="000335BF">
        <w:t xml:space="preserve">simple </w:t>
      </w:r>
      <w:r>
        <w:t>que</w:t>
      </w:r>
      <w:r w:rsidRPr="000335BF">
        <w:t xml:space="preserve"> possible,</w:t>
      </w:r>
      <w:r>
        <w:t xml:space="preserve"> af</w:t>
      </w:r>
      <w:r w:rsidRPr="000335BF">
        <w:t>in d</w:t>
      </w:r>
      <w:r>
        <w:t>’assurer son applicabilité et son</w:t>
      </w:r>
      <w:r w:rsidRPr="000335BF">
        <w:t xml:space="preserve"> eff</w:t>
      </w:r>
      <w:r>
        <w:t xml:space="preserve">icacité.  </w:t>
      </w:r>
      <w:r w:rsidRPr="000335BF">
        <w:t>Cela signifie aussi que l</w:t>
      </w:r>
      <w:r>
        <w:t>’</w:t>
      </w:r>
      <w:r w:rsidRPr="000335BF">
        <w:t>instrument international négocié par l</w:t>
      </w:r>
      <w:r>
        <w:t>’</w:t>
      </w:r>
      <w:proofErr w:type="spellStart"/>
      <w:r w:rsidRPr="000335BF">
        <w:t>IGC</w:t>
      </w:r>
      <w:proofErr w:type="spellEnd"/>
      <w:r w:rsidRPr="000335BF">
        <w:t xml:space="preserve"> </w:t>
      </w:r>
      <w:r>
        <w:t xml:space="preserve">devrait se concentrer clairement </w:t>
      </w:r>
      <w:r w:rsidRPr="000335BF">
        <w:t>su</w:t>
      </w:r>
      <w:r>
        <w:t xml:space="preserve">r les questions liées au système des brevets.  </w:t>
      </w:r>
      <w:r w:rsidRPr="00044984">
        <w:t xml:space="preserve">Les questions </w:t>
      </w:r>
      <w:r>
        <w:t>relatives à</w:t>
      </w:r>
      <w:r w:rsidRPr="00044984">
        <w:t xml:space="preserve"> l</w:t>
      </w:r>
      <w:r>
        <w:t>’</w:t>
      </w:r>
      <w:r w:rsidRPr="00044984">
        <w:t xml:space="preserve">accès et </w:t>
      </w:r>
      <w:r>
        <w:t>au</w:t>
      </w:r>
      <w:r w:rsidRPr="00044984">
        <w:t xml:space="preserve"> partage des avantages peuvent et devraient être m</w:t>
      </w:r>
      <w:r>
        <w:t>ises en œuvre au moyen d’autres</w:t>
      </w:r>
      <w:r w:rsidRPr="00044984">
        <w:t xml:space="preserve"> mesures, </w:t>
      </w:r>
      <w:r>
        <w:t>comme expliqué à la s</w:t>
      </w:r>
      <w:r w:rsidRPr="00044984">
        <w:t>ection</w:t>
      </w:r>
      <w:r>
        <w:t> </w:t>
      </w:r>
      <w:r w:rsidRPr="00044984">
        <w:t>III</w:t>
      </w:r>
      <w:r>
        <w:t xml:space="preserve"> du présent document</w:t>
      </w:r>
      <w:r w:rsidRPr="00044984">
        <w:t>.</w:t>
      </w:r>
    </w:p>
    <w:p w:rsidR="0040701A" w:rsidRPr="00AA63AA" w:rsidRDefault="0040701A" w:rsidP="0040701A">
      <w:pPr>
        <w:pStyle w:val="ONUMFS"/>
        <w:rPr>
          <w:caps/>
        </w:rPr>
      </w:pPr>
      <w:r>
        <w:rPr>
          <w:caps/>
        </w:rPr>
        <w:t>E</w:t>
      </w:r>
      <w:r w:rsidRPr="00044984">
        <w:t>nfin, une exigence de divulgation internationale sous l</w:t>
      </w:r>
      <w:r>
        <w:t>’</w:t>
      </w:r>
      <w:r w:rsidRPr="00044984">
        <w:t>égide de l</w:t>
      </w:r>
      <w:r>
        <w:t>’</w:t>
      </w:r>
      <w:proofErr w:type="spellStart"/>
      <w:r w:rsidRPr="00044984">
        <w:t>OMPI</w:t>
      </w:r>
      <w:proofErr w:type="spellEnd"/>
      <w:r w:rsidRPr="00044984">
        <w:t xml:space="preserve"> ne </w:t>
      </w:r>
      <w:r>
        <w:t xml:space="preserve">devrait pas </w:t>
      </w:r>
      <w:r w:rsidRPr="00044984">
        <w:t>modifier les dispositions relatives à l</w:t>
      </w:r>
      <w:r>
        <w:t>’</w:t>
      </w:r>
      <w:r w:rsidRPr="00044984">
        <w:t>accès et au partage des avantages cont</w:t>
      </w:r>
      <w:r>
        <w:t xml:space="preserve">enues dans les autres accords </w:t>
      </w:r>
      <w:r w:rsidRPr="00044984">
        <w:t>internationa</w:t>
      </w:r>
      <w:r>
        <w:t>ux</w:t>
      </w:r>
      <w:r w:rsidRPr="00044984">
        <w:t xml:space="preserve">, </w:t>
      </w:r>
      <w:r>
        <w:t>telles celles énoncées dans le Protocole de Nagoya</w:t>
      </w:r>
      <w:r w:rsidRPr="00044984">
        <w:t xml:space="preserve">, </w:t>
      </w:r>
      <w:r>
        <w:t>car l’</w:t>
      </w:r>
      <w:proofErr w:type="spellStart"/>
      <w:r>
        <w:t>OMPI</w:t>
      </w:r>
      <w:proofErr w:type="spellEnd"/>
      <w:r>
        <w:t xml:space="preserve"> n’est p</w:t>
      </w:r>
      <w:r w:rsidRPr="00044984">
        <w:t xml:space="preserve">as </w:t>
      </w:r>
      <w:r>
        <w:t xml:space="preserve">l’instance </w:t>
      </w:r>
      <w:r w:rsidRPr="00044984">
        <w:t>comp</w:t>
      </w:r>
      <w:r>
        <w:t>é</w:t>
      </w:r>
      <w:r w:rsidRPr="00044984">
        <w:t>tent</w:t>
      </w:r>
      <w:r>
        <w:t>e</w:t>
      </w:r>
      <w:r w:rsidRPr="00044984">
        <w:t xml:space="preserve"> </w:t>
      </w:r>
      <w:r>
        <w:t>pour traiter ces questions.  Pa</w:t>
      </w:r>
      <w:r w:rsidRPr="00044984">
        <w:t>r exemple, l</w:t>
      </w:r>
      <w:r>
        <w:t>’</w:t>
      </w:r>
      <w:r w:rsidRPr="00044984">
        <w:t>inclusion de “dérivés” irait à l</w:t>
      </w:r>
      <w:r>
        <w:t>’</w:t>
      </w:r>
      <w:r w:rsidRPr="00044984">
        <w:t xml:space="preserve">encontre du consensus trouvé au niveau international </w:t>
      </w:r>
      <w:r>
        <w:t>avec l’</w:t>
      </w:r>
      <w:r w:rsidRPr="00044984">
        <w:t xml:space="preserve">adoption </w:t>
      </w:r>
      <w:r>
        <w:t xml:space="preserve">du Protocole de </w:t>
      </w:r>
      <w:r w:rsidRPr="00044984">
        <w:t>N</w:t>
      </w:r>
      <w:r>
        <w:t>agoya</w:t>
      </w:r>
      <w:r w:rsidRPr="00044984">
        <w:t xml:space="preserve">, </w:t>
      </w:r>
      <w:r>
        <w:t>qui mentionne les dérivés à l’a</w:t>
      </w:r>
      <w:r w:rsidRPr="00044984">
        <w:t>rticle</w:t>
      </w:r>
      <w:r>
        <w:t> </w:t>
      </w:r>
      <w:r w:rsidRPr="00044984">
        <w:t xml:space="preserve">2, </w:t>
      </w:r>
      <w:r>
        <w:t xml:space="preserve">mais pas dans son dispositif.  </w:t>
      </w:r>
      <w:r w:rsidRPr="00044984">
        <w:t>De plus, la notion de “pays d</w:t>
      </w:r>
      <w:r>
        <w:t>’</w:t>
      </w:r>
      <w:r w:rsidRPr="00044984">
        <w:t>origine” n</w:t>
      </w:r>
      <w:r>
        <w:t>’</w:t>
      </w:r>
      <w:r w:rsidRPr="00044984">
        <w:t xml:space="preserve">est pas reprise par le </w:t>
      </w:r>
      <w:r w:rsidRPr="00EA2F17">
        <w:t xml:space="preserve">Traité international sur les ressources </w:t>
      </w:r>
      <w:proofErr w:type="spellStart"/>
      <w:r w:rsidRPr="00EA2F17">
        <w:t>phytogénétiques</w:t>
      </w:r>
      <w:proofErr w:type="spellEnd"/>
      <w:r w:rsidRPr="00EA2F17">
        <w:t xml:space="preserve"> pour l</w:t>
      </w:r>
      <w:r>
        <w:t>’</w:t>
      </w:r>
      <w:r w:rsidRPr="00EA2F17">
        <w:t>alimentation et l</w:t>
      </w:r>
      <w:r>
        <w:t>’</w:t>
      </w:r>
      <w:r w:rsidRPr="00EA2F17">
        <w:t>agriculture</w:t>
      </w:r>
      <w:r w:rsidRPr="00044984">
        <w:t xml:space="preserve"> </w:t>
      </w:r>
      <w:r>
        <w:t xml:space="preserve">et ne figure pas non plus en tant que telle dans le Protocole de Nagoya.  </w:t>
      </w:r>
      <w:r w:rsidRPr="00AA63AA">
        <w:t xml:space="preserve">Ce dernier </w:t>
      </w:r>
      <w:r>
        <w:t>fait référence à</w:t>
      </w:r>
      <w:r w:rsidRPr="00AA63AA">
        <w:t xml:space="preserve"> “la Partie qui fournit lesdites ressources génétiques et qui est le pays d</w:t>
      </w:r>
      <w:r>
        <w:t>’</w:t>
      </w:r>
      <w:r w:rsidRPr="00AA63AA">
        <w:t>origine de ces re</w:t>
      </w:r>
      <w:r>
        <w:t>s</w:t>
      </w:r>
      <w:r w:rsidRPr="00AA63AA">
        <w:t>sources o</w:t>
      </w:r>
      <w:r>
        <w:t xml:space="preserve">u une </w:t>
      </w:r>
      <w:r w:rsidRPr="00AA63AA">
        <w:t>Part</w:t>
      </w:r>
      <w:r>
        <w:t xml:space="preserve">ie qui a </w:t>
      </w:r>
      <w:r w:rsidRPr="00AA63AA">
        <w:t>acqui</w:t>
      </w:r>
      <w:r>
        <w:t>s</w:t>
      </w:r>
      <w:r w:rsidRPr="00AA63AA">
        <w:t xml:space="preserve"> </w:t>
      </w:r>
      <w:r>
        <w:t>les</w:t>
      </w:r>
      <w:r w:rsidRPr="00AA63AA">
        <w:t xml:space="preserve"> re</w:t>
      </w:r>
      <w:r>
        <w:t>s</w:t>
      </w:r>
      <w:r w:rsidRPr="00AA63AA">
        <w:t xml:space="preserve">sources </w:t>
      </w:r>
      <w:r>
        <w:t xml:space="preserve">génétiques conformément à la </w:t>
      </w:r>
      <w:r w:rsidRPr="00AA63AA">
        <w:t xml:space="preserve">Convention” </w:t>
      </w:r>
      <w:r>
        <w:t xml:space="preserve">et, dans son </w:t>
      </w:r>
      <w:r w:rsidRPr="00AA63AA">
        <w:t>article</w:t>
      </w:r>
      <w:r>
        <w:t> </w:t>
      </w:r>
      <w:r w:rsidRPr="00AA63AA">
        <w:t xml:space="preserve">17, </w:t>
      </w:r>
      <w:r>
        <w:t>mentionne expressément la</w:t>
      </w:r>
      <w:r w:rsidRPr="00AA63AA">
        <w:t xml:space="preserve"> “source </w:t>
      </w:r>
      <w:r>
        <w:t>de la ressource génétique</w:t>
      </w:r>
      <w:r w:rsidRPr="00AA63AA">
        <w:t>”</w:t>
      </w:r>
      <w:r>
        <w:t>.</w:t>
      </w:r>
    </w:p>
    <w:p w:rsidR="0040701A" w:rsidRDefault="0040701A" w:rsidP="0040701A">
      <w:pPr>
        <w:pStyle w:val="ONUMFS"/>
      </w:pPr>
      <w:r w:rsidRPr="00AA63AA">
        <w:t>Pour la Suisse, il demeure crucial qu</w:t>
      </w:r>
      <w:r>
        <w:t>’</w:t>
      </w:r>
      <w:r w:rsidRPr="00AA63AA">
        <w:t>un instrument international de l</w:t>
      </w:r>
      <w:r>
        <w:t>’</w:t>
      </w:r>
      <w:proofErr w:type="spellStart"/>
      <w:r w:rsidRPr="00AA63AA">
        <w:t>OMPI</w:t>
      </w:r>
      <w:proofErr w:type="spellEnd"/>
      <w:r w:rsidRPr="00AA63AA">
        <w:t xml:space="preserve"> portant sur les re</w:t>
      </w:r>
      <w:r>
        <w:t>s</w:t>
      </w:r>
      <w:r w:rsidRPr="00AA63AA">
        <w:t xml:space="preserve">sources </w:t>
      </w:r>
      <w:r>
        <w:t>génétiques as</w:t>
      </w:r>
      <w:r w:rsidRPr="00AA63AA">
        <w:t xml:space="preserve">sure </w:t>
      </w:r>
      <w:r>
        <w:t>la complémentarité avec les autres accords</w:t>
      </w:r>
      <w:r w:rsidRPr="00AA63AA">
        <w:t xml:space="preserve"> internationa</w:t>
      </w:r>
      <w:r>
        <w:t>ux</w:t>
      </w:r>
      <w:r w:rsidRPr="00AA63AA">
        <w:t xml:space="preserve">, </w:t>
      </w:r>
      <w:r>
        <w:t>notamment ceux qui traitent des exigences en matière d’</w:t>
      </w:r>
      <w:r w:rsidRPr="00AA63AA">
        <w:t>acc</w:t>
      </w:r>
      <w:r>
        <w:t>è</w:t>
      </w:r>
      <w:r w:rsidRPr="00AA63AA">
        <w:t xml:space="preserve">s </w:t>
      </w:r>
      <w:r>
        <w:t xml:space="preserve">et de partage des avantages.  </w:t>
      </w:r>
      <w:r w:rsidRPr="00AA63AA">
        <w:t>Conformément au mandat de l</w:t>
      </w:r>
      <w:r>
        <w:t>’</w:t>
      </w:r>
      <w:proofErr w:type="spellStart"/>
      <w:r w:rsidRPr="00AA63AA">
        <w:t>IGC</w:t>
      </w:r>
      <w:proofErr w:type="spellEnd"/>
      <w:r w:rsidRPr="00AA63AA">
        <w:t>, un tel instrument devrait assurer une p</w:t>
      </w:r>
      <w:r>
        <w:t>r</w:t>
      </w:r>
      <w:r w:rsidRPr="00AA63AA">
        <w:t>otect</w:t>
      </w:r>
      <w:r>
        <w:t>i</w:t>
      </w:r>
      <w:r w:rsidRPr="00AA63AA">
        <w:t xml:space="preserve">on équilibrée et efficace des ressources </w:t>
      </w:r>
      <w:r>
        <w:t xml:space="preserve">génétiques et des savoirs </w:t>
      </w:r>
      <w:r w:rsidRPr="00AA63AA">
        <w:t>tradition</w:t>
      </w:r>
      <w:r>
        <w:t>nels connexes</w:t>
      </w:r>
      <w:r w:rsidRPr="00AA63AA">
        <w:t>.</w:t>
      </w:r>
      <w:bookmarkEnd w:id="240"/>
    </w:p>
    <w:p w:rsidR="0040701A" w:rsidRDefault="0040701A" w:rsidP="0040701A"/>
    <w:p w:rsidR="0040701A" w:rsidRDefault="0040701A" w:rsidP="0040701A"/>
    <w:p w:rsidR="0040701A" w:rsidRDefault="0040701A">
      <w:pPr>
        <w:pStyle w:val="Endofdocument-Annex"/>
      </w:pPr>
      <w:r>
        <w:t xml:space="preserve">[Les appendices </w:t>
      </w:r>
      <w:proofErr w:type="spellStart"/>
      <w:r>
        <w:t>suivent</w:t>
      </w:r>
      <w:proofErr w:type="spellEnd"/>
      <w:r>
        <w:t>]</w:t>
      </w:r>
    </w:p>
    <w:p w:rsidR="00F21027" w:rsidRDefault="00F21027" w:rsidP="00F21027"/>
    <w:p w:rsidR="00DA5BCF" w:rsidRDefault="00DA5BCF" w:rsidP="0040701A">
      <w:pPr>
        <w:sectPr w:rsidR="00DA5BCF" w:rsidSect="00A848F1">
          <w:headerReference w:type="default" r:id="rId13"/>
          <w:headerReference w:type="first" r:id="rId14"/>
          <w:endnotePr>
            <w:numFmt w:val="decimal"/>
          </w:endnotePr>
          <w:pgSz w:w="11907" w:h="16840" w:code="9"/>
          <w:pgMar w:top="567" w:right="1134" w:bottom="1417" w:left="1417" w:header="510" w:footer="1020" w:gutter="0"/>
          <w:pgNumType w:start="1"/>
          <w:cols w:space="720"/>
          <w:titlePg/>
          <w:docGrid w:linePitch="299"/>
        </w:sectPr>
      </w:pPr>
    </w:p>
    <w:p w:rsidR="00DA5BCF" w:rsidRPr="00D93E10" w:rsidRDefault="00DA5BCF" w:rsidP="00DA5BCF">
      <w:pPr>
        <w:jc w:val="center"/>
        <w:rPr>
          <w:caps/>
        </w:rPr>
      </w:pPr>
      <w:bookmarkStart w:id="241" w:name="_Toc457989517"/>
      <w:r w:rsidRPr="00D93E10">
        <w:t>Aperçu du cadre juridique suisse en matière de ressources génétiques et de savoirs traditionnels connexes</w:t>
      </w:r>
      <w:bookmarkEnd w:id="241"/>
    </w:p>
    <w:p w:rsidR="00DA5BCF" w:rsidRPr="00D93E10" w:rsidRDefault="00DA5BCF" w:rsidP="00DA5BCF">
      <w:pPr>
        <w:jc w:val="center"/>
        <w:rPr>
          <w:caps/>
        </w:rPr>
      </w:pPr>
    </w:p>
    <w:p w:rsidR="00DA5BCF" w:rsidRPr="00D93E10" w:rsidRDefault="00DA5BCF" w:rsidP="00DA5BCF">
      <w:pPr>
        <w:jc w:val="center"/>
        <w:rPr>
          <w:caps/>
        </w:rPr>
      </w:pPr>
    </w:p>
    <w:p w:rsidR="00DA5BCF" w:rsidRPr="00D93E10" w:rsidRDefault="00DA5BCF" w:rsidP="00DA5BCF">
      <w:bookmarkStart w:id="242" w:name="_Toc457394834"/>
      <w:bookmarkStart w:id="243" w:name="_Toc457989518"/>
      <w:r w:rsidRPr="00D93E10">
        <w:t>En Suisse, le cadre juridique applicable aux ressources génétiques et aux savoirs traditionnels connexes est mis en application au moyen d’un certain nombre de lois et d’ordonnances.  D’autres documents, comme les messages soumis au parlement par le Conseil fédéral et les commentaires, sont également utiles pour bien comprendre et appliquer la réglementation suisse dans ce domaine.  Le présent appendice contient les liens vers les lois et les documents les plus pertinents ainsi qu’une liste des articles les plus importants.</w:t>
      </w:r>
      <w:bookmarkEnd w:id="242"/>
      <w:bookmarkEnd w:id="243"/>
    </w:p>
    <w:p w:rsidR="00DA5BCF" w:rsidRPr="00D93E10" w:rsidRDefault="00DA5BCF" w:rsidP="00DA5BCF"/>
    <w:p w:rsidR="00DA5BCF" w:rsidRPr="00D93E10" w:rsidRDefault="00DA5BCF" w:rsidP="00DA5BCF">
      <w:bookmarkStart w:id="244" w:name="_Toc457394835"/>
      <w:bookmarkStart w:id="245" w:name="_Toc457989519"/>
      <w:r w:rsidRPr="00D93E10">
        <w:rPr>
          <w:i/>
        </w:rPr>
        <w:t>Veuillez noter</w:t>
      </w:r>
      <w:r w:rsidRPr="00D93E10">
        <w:t xml:space="preserve"> que cet appendice ne vise pas l’exhaustivité et que des interactions existent avec d’autres dispositions juridiques applicables, qui ne figurent pas dans la liste ci</w:t>
      </w:r>
      <w:r w:rsidRPr="00D93E10">
        <w:noBreakHyphen/>
        <w:t>après.  Par ailleurs, l’anglais n’est pas une langue officielle de la Confédération suis</w:t>
      </w:r>
      <w:bookmarkEnd w:id="244"/>
      <w:bookmarkEnd w:id="245"/>
      <w:r w:rsidRPr="00D93E10">
        <w:t>se.  Ainsi, les traductions anglaises, lorsqu’elles existent, sont fournies à titre informatif uniquement et n’ont aucune valeur juridique.</w:t>
      </w:r>
    </w:p>
    <w:p w:rsidR="00DA5BCF" w:rsidRPr="00D93E10" w:rsidRDefault="00DA5BCF" w:rsidP="00DA5BCF"/>
    <w:p w:rsidR="00DA5BCF" w:rsidRPr="00D93E10" w:rsidRDefault="00DA5BCF" w:rsidP="00DA5BCF">
      <w:pPr>
        <w:rPr>
          <w:b/>
        </w:rPr>
      </w:pPr>
      <w:bookmarkStart w:id="246" w:name="_Toc457394836"/>
      <w:r>
        <w:rPr>
          <w:b/>
        </w:rPr>
        <w:t>Exigences</w:t>
      </w:r>
      <w:r w:rsidRPr="00D93E10">
        <w:rPr>
          <w:b/>
        </w:rPr>
        <w:t xml:space="preserve"> en matière </w:t>
      </w:r>
      <w:r>
        <w:rPr>
          <w:b/>
        </w:rPr>
        <w:t xml:space="preserve">d’indication </w:t>
      </w:r>
      <w:r w:rsidRPr="00D93E10">
        <w:rPr>
          <w:b/>
        </w:rPr>
        <w:t>de la source dans les demandes de brevet :</w:t>
      </w:r>
      <w:bookmarkEnd w:id="246"/>
    </w:p>
    <w:p w:rsidR="00DA5BCF" w:rsidRPr="00D93E10" w:rsidRDefault="00DA5BCF" w:rsidP="00DA5BCF">
      <w:pPr>
        <w:rPr>
          <w:b/>
        </w:rPr>
      </w:pPr>
    </w:p>
    <w:p w:rsidR="00DA5BCF" w:rsidRPr="00D93E10" w:rsidRDefault="00DA5BCF" w:rsidP="00DA5BCF">
      <w:pPr>
        <w:pStyle w:val="ListParagraph"/>
        <w:numPr>
          <w:ilvl w:val="0"/>
          <w:numId w:val="39"/>
        </w:numPr>
        <w:ind w:left="567"/>
      </w:pPr>
      <w:bookmarkStart w:id="247" w:name="_Toc457394837"/>
      <w:bookmarkStart w:id="248" w:name="_Toc457989521"/>
      <w:r w:rsidRPr="00D93E10">
        <w:rPr>
          <w:szCs w:val="22"/>
        </w:rPr>
        <w:t xml:space="preserve">RS 232.14 – Loi fédérale sur les brevets d’invention (Loi sur les brevets, </w:t>
      </w:r>
      <w:proofErr w:type="spellStart"/>
      <w:r w:rsidRPr="00D93E10">
        <w:rPr>
          <w:szCs w:val="22"/>
        </w:rPr>
        <w:t>LBI</w:t>
      </w:r>
      <w:proofErr w:type="spellEnd"/>
      <w:r w:rsidRPr="00D93E10">
        <w:rPr>
          <w:szCs w:val="22"/>
        </w:rPr>
        <w:t xml:space="preserve">) du 25 juin 1954 : </w:t>
      </w:r>
      <w:bookmarkEnd w:id="247"/>
      <w:bookmarkEnd w:id="248"/>
      <w:r w:rsidRPr="00D93E10">
        <w:fldChar w:fldCharType="begin"/>
      </w:r>
      <w:r w:rsidRPr="00D93E10">
        <w:instrText xml:space="preserve"> HYPERLINK "https://www.admin.ch/opc/fr/classified-compilation/19540108/index.html" </w:instrText>
      </w:r>
      <w:r w:rsidRPr="00D93E10">
        <w:fldChar w:fldCharType="separate"/>
      </w:r>
      <w:r w:rsidRPr="00D93E10">
        <w:rPr>
          <w:rStyle w:val="Hyperlink"/>
          <w:color w:val="3333CC"/>
        </w:rPr>
        <w:t>https://www.admin.ch/opc/fr/classified-compilation/19540108/index.html</w:t>
      </w:r>
      <w:r w:rsidRPr="00D93E10">
        <w:fldChar w:fldCharType="end"/>
      </w:r>
    </w:p>
    <w:p w:rsidR="00DA5BCF" w:rsidRPr="00D93E10" w:rsidRDefault="00DA5BCF" w:rsidP="00DA5BCF">
      <w:pPr>
        <w:ind w:left="567"/>
      </w:pPr>
    </w:p>
    <w:p w:rsidR="00DA5BCF" w:rsidRPr="00D93E10" w:rsidRDefault="00DA5BCF" w:rsidP="00DA5BCF">
      <w:pPr>
        <w:pStyle w:val="ListParagraph"/>
        <w:ind w:left="567"/>
        <w:rPr>
          <w:szCs w:val="22"/>
        </w:rPr>
      </w:pPr>
      <w:bookmarkStart w:id="249" w:name="_Toc457394838"/>
      <w:bookmarkStart w:id="250" w:name="_Toc457989522"/>
      <w:r w:rsidRPr="00D93E10">
        <w:rPr>
          <w:szCs w:val="22"/>
        </w:rPr>
        <w:t xml:space="preserve">Voir, en particulier, </w:t>
      </w:r>
      <w:proofErr w:type="gramStart"/>
      <w:r w:rsidRPr="00D93E10">
        <w:rPr>
          <w:szCs w:val="22"/>
        </w:rPr>
        <w:t>les art</w:t>
      </w:r>
      <w:proofErr w:type="gramEnd"/>
      <w:r w:rsidRPr="00D93E10">
        <w:rPr>
          <w:szCs w:val="22"/>
        </w:rPr>
        <w:t>. </w:t>
      </w:r>
      <w:proofErr w:type="spellStart"/>
      <w:r w:rsidRPr="00D93E10">
        <w:rPr>
          <w:szCs w:val="22"/>
        </w:rPr>
        <w:t>49</w:t>
      </w:r>
      <w:r w:rsidRPr="00D93E10">
        <w:rPr>
          <w:i/>
          <w:szCs w:val="22"/>
        </w:rPr>
        <w:t>a</w:t>
      </w:r>
      <w:proofErr w:type="spellEnd"/>
      <w:r w:rsidRPr="00D93E10">
        <w:rPr>
          <w:szCs w:val="22"/>
        </w:rPr>
        <w:t xml:space="preserve">, </w:t>
      </w:r>
      <w:proofErr w:type="spellStart"/>
      <w:r w:rsidRPr="00D93E10">
        <w:rPr>
          <w:szCs w:val="22"/>
        </w:rPr>
        <w:t>58</w:t>
      </w:r>
      <w:r w:rsidRPr="00D93E10">
        <w:rPr>
          <w:i/>
          <w:szCs w:val="22"/>
        </w:rPr>
        <w:t>a</w:t>
      </w:r>
      <w:proofErr w:type="spellEnd"/>
      <w:r w:rsidRPr="00D93E10">
        <w:rPr>
          <w:szCs w:val="22"/>
        </w:rPr>
        <w:t xml:space="preserve">, 59, al. 2, </w:t>
      </w:r>
      <w:proofErr w:type="spellStart"/>
      <w:r w:rsidRPr="00D93E10">
        <w:rPr>
          <w:szCs w:val="22"/>
        </w:rPr>
        <w:t>59</w:t>
      </w:r>
      <w:r w:rsidRPr="00D93E10">
        <w:rPr>
          <w:i/>
          <w:szCs w:val="22"/>
        </w:rPr>
        <w:t>a</w:t>
      </w:r>
      <w:proofErr w:type="spellEnd"/>
      <w:r w:rsidRPr="00D93E10">
        <w:rPr>
          <w:szCs w:val="22"/>
        </w:rPr>
        <w:t>, al. 3, let. </w:t>
      </w:r>
      <w:proofErr w:type="gramStart"/>
      <w:r w:rsidRPr="00D93E10">
        <w:rPr>
          <w:szCs w:val="22"/>
        </w:rPr>
        <w:t>b</w:t>
      </w:r>
      <w:proofErr w:type="gramEnd"/>
      <w:r w:rsidRPr="00D93E10">
        <w:rPr>
          <w:szCs w:val="22"/>
        </w:rPr>
        <w:t xml:space="preserve">, </w:t>
      </w:r>
      <w:proofErr w:type="spellStart"/>
      <w:r w:rsidRPr="00D93E10">
        <w:rPr>
          <w:szCs w:val="22"/>
        </w:rPr>
        <w:t>81</w:t>
      </w:r>
      <w:r w:rsidRPr="00D93E10">
        <w:rPr>
          <w:i/>
          <w:szCs w:val="22"/>
        </w:rPr>
        <w:t>a</w:t>
      </w:r>
      <w:proofErr w:type="spellEnd"/>
      <w:r w:rsidRPr="00D93E10">
        <w:rPr>
          <w:szCs w:val="22"/>
        </w:rPr>
        <w:t xml:space="preserve"> et 138, let. </w:t>
      </w:r>
      <w:proofErr w:type="gramStart"/>
      <w:r w:rsidRPr="00D93E10">
        <w:rPr>
          <w:szCs w:val="22"/>
        </w:rPr>
        <w:t>b</w:t>
      </w:r>
      <w:proofErr w:type="gramEnd"/>
      <w:r w:rsidRPr="00D93E10">
        <w:rPr>
          <w:szCs w:val="22"/>
        </w:rPr>
        <w:t>.</w:t>
      </w:r>
      <w:bookmarkEnd w:id="249"/>
      <w:bookmarkEnd w:id="250"/>
    </w:p>
    <w:p w:rsidR="00DA5BCF" w:rsidRPr="00D93E10" w:rsidRDefault="00DA5BCF" w:rsidP="00DA5BCF">
      <w:pPr>
        <w:ind w:left="567"/>
        <w:rPr>
          <w:szCs w:val="22"/>
        </w:rPr>
      </w:pPr>
    </w:p>
    <w:p w:rsidR="00DA5BCF" w:rsidRPr="00D93E10" w:rsidRDefault="00DA5BCF" w:rsidP="00DA5BCF">
      <w:pPr>
        <w:pStyle w:val="ListParagraph"/>
        <w:numPr>
          <w:ilvl w:val="0"/>
          <w:numId w:val="39"/>
        </w:numPr>
        <w:ind w:left="567"/>
        <w:rPr>
          <w:szCs w:val="22"/>
        </w:rPr>
      </w:pPr>
      <w:bookmarkStart w:id="251" w:name="_Toc457394839"/>
      <w:bookmarkStart w:id="252" w:name="_Toc457989523"/>
      <w:r w:rsidRPr="00D93E10">
        <w:rPr>
          <w:caps/>
          <w:szCs w:val="22"/>
        </w:rPr>
        <w:t xml:space="preserve">RS 232.141 – </w:t>
      </w:r>
      <w:r w:rsidRPr="00D93E10">
        <w:rPr>
          <w:szCs w:val="22"/>
        </w:rPr>
        <w:t xml:space="preserve">Ordonnance relative aux brevets d’invention (Ordonnance sur les brevets, OBI) du 19 octobre 1977, disponible en </w:t>
      </w:r>
      <w:hyperlink r:id="rId15" w:history="1">
        <w:r w:rsidRPr="00D93E10">
          <w:rPr>
            <w:szCs w:val="22"/>
            <w:u w:val="single"/>
          </w:rPr>
          <w:t>allemand</w:t>
        </w:r>
      </w:hyperlink>
      <w:r w:rsidRPr="00D93E10">
        <w:rPr>
          <w:szCs w:val="22"/>
        </w:rPr>
        <w:t xml:space="preserve">, </w:t>
      </w:r>
      <w:hyperlink r:id="rId16" w:history="1">
        <w:r w:rsidRPr="00D93E10">
          <w:rPr>
            <w:szCs w:val="22"/>
            <w:u w:val="single"/>
          </w:rPr>
          <w:t>français</w:t>
        </w:r>
      </w:hyperlink>
      <w:r w:rsidRPr="00D93E10">
        <w:rPr>
          <w:szCs w:val="22"/>
        </w:rPr>
        <w:t xml:space="preserve">, et </w:t>
      </w:r>
      <w:hyperlink r:id="rId17" w:history="1">
        <w:r w:rsidRPr="00D93E10">
          <w:rPr>
            <w:szCs w:val="22"/>
            <w:u w:val="single"/>
          </w:rPr>
          <w:t>italien</w:t>
        </w:r>
      </w:hyperlink>
      <w:r w:rsidRPr="00D93E10">
        <w:rPr>
          <w:szCs w:val="22"/>
        </w:rPr>
        <w:t>.</w:t>
      </w:r>
      <w:bookmarkEnd w:id="251"/>
      <w:bookmarkEnd w:id="252"/>
    </w:p>
    <w:p w:rsidR="00DA5BCF" w:rsidRPr="00D93E10" w:rsidRDefault="00DA5BCF" w:rsidP="00DA5BCF">
      <w:pPr>
        <w:ind w:left="567"/>
        <w:rPr>
          <w:szCs w:val="22"/>
        </w:rPr>
      </w:pPr>
    </w:p>
    <w:p w:rsidR="00DA5BCF" w:rsidRPr="00D93E10" w:rsidRDefault="00DA5BCF" w:rsidP="00DA5BCF">
      <w:pPr>
        <w:pStyle w:val="ListParagraph"/>
        <w:ind w:left="567"/>
        <w:rPr>
          <w:szCs w:val="22"/>
        </w:rPr>
      </w:pPr>
      <w:bookmarkStart w:id="253" w:name="_Toc457394840"/>
      <w:bookmarkStart w:id="254" w:name="_Toc457989524"/>
      <w:r w:rsidRPr="00D93E10">
        <w:rPr>
          <w:szCs w:val="22"/>
        </w:rPr>
        <w:t>Voir, en particulier, le chapitre 6 “Indications de la source des ressources génétiques et des savoirs traditionnels” (art. </w:t>
      </w:r>
      <w:proofErr w:type="spellStart"/>
      <w:r w:rsidRPr="00D93E10">
        <w:rPr>
          <w:szCs w:val="22"/>
        </w:rPr>
        <w:t>45</w:t>
      </w:r>
      <w:r w:rsidRPr="00D93E10">
        <w:rPr>
          <w:i/>
          <w:szCs w:val="22"/>
        </w:rPr>
        <w:t>a</w:t>
      </w:r>
      <w:proofErr w:type="spellEnd"/>
      <w:r w:rsidRPr="00D93E10">
        <w:rPr>
          <w:szCs w:val="22"/>
        </w:rPr>
        <w:t>) et art. 67, al. 2.</w:t>
      </w:r>
      <w:bookmarkEnd w:id="253"/>
      <w:bookmarkEnd w:id="254"/>
    </w:p>
    <w:p w:rsidR="00DA5BCF" w:rsidRPr="00D93E10" w:rsidRDefault="00DA5BCF" w:rsidP="00DA5BCF">
      <w:pPr>
        <w:ind w:left="567"/>
        <w:rPr>
          <w:szCs w:val="22"/>
        </w:rPr>
      </w:pPr>
    </w:p>
    <w:p w:rsidR="00DA5BCF" w:rsidRPr="00D93E10" w:rsidRDefault="00DA5BCF" w:rsidP="00DA5BCF">
      <w:pPr>
        <w:pStyle w:val="ListParagraph"/>
        <w:numPr>
          <w:ilvl w:val="0"/>
          <w:numId w:val="39"/>
        </w:numPr>
        <w:ind w:left="567"/>
        <w:rPr>
          <w:caps/>
          <w:szCs w:val="22"/>
        </w:rPr>
      </w:pPr>
      <w:bookmarkStart w:id="255" w:name="_Toc457394841"/>
      <w:bookmarkStart w:id="256" w:name="_Toc457989525"/>
      <w:r w:rsidRPr="00D93E10">
        <w:rPr>
          <w:szCs w:val="22"/>
        </w:rPr>
        <w:t xml:space="preserve">Message concernant la modification de la loi sur les brevets du 23 novembre 2005, disponible en </w:t>
      </w:r>
      <w:hyperlink r:id="rId18" w:history="1">
        <w:r w:rsidRPr="00D93E10">
          <w:rPr>
            <w:szCs w:val="22"/>
            <w:u w:val="single"/>
          </w:rPr>
          <w:t>allemand</w:t>
        </w:r>
      </w:hyperlink>
      <w:r w:rsidRPr="00D93E10">
        <w:rPr>
          <w:szCs w:val="22"/>
        </w:rPr>
        <w:t xml:space="preserve">, </w:t>
      </w:r>
      <w:hyperlink r:id="rId19" w:history="1">
        <w:r w:rsidRPr="00D93E10">
          <w:rPr>
            <w:szCs w:val="22"/>
            <w:u w:val="single"/>
          </w:rPr>
          <w:t>français</w:t>
        </w:r>
      </w:hyperlink>
      <w:r w:rsidRPr="00D93E10">
        <w:rPr>
          <w:szCs w:val="22"/>
        </w:rPr>
        <w:t xml:space="preserve">, et </w:t>
      </w:r>
      <w:hyperlink r:id="rId20" w:history="1">
        <w:r w:rsidRPr="00D93E10">
          <w:rPr>
            <w:szCs w:val="22"/>
            <w:u w:val="single"/>
          </w:rPr>
          <w:t>italien</w:t>
        </w:r>
      </w:hyperlink>
      <w:r w:rsidRPr="00D93E10">
        <w:rPr>
          <w:szCs w:val="22"/>
        </w:rPr>
        <w:t>.</w:t>
      </w:r>
      <w:bookmarkEnd w:id="255"/>
      <w:bookmarkEnd w:id="256"/>
    </w:p>
    <w:p w:rsidR="00DA5BCF" w:rsidRPr="00D93E10" w:rsidRDefault="00DA5BCF" w:rsidP="00DA5BCF">
      <w:pPr>
        <w:ind w:left="567"/>
        <w:rPr>
          <w:caps/>
          <w:szCs w:val="22"/>
        </w:rPr>
      </w:pPr>
    </w:p>
    <w:p w:rsidR="00DA5BCF" w:rsidRPr="00D93E10" w:rsidRDefault="00DA5BCF" w:rsidP="00DA5BCF">
      <w:pPr>
        <w:pStyle w:val="ListParagraph"/>
        <w:ind w:left="567"/>
        <w:rPr>
          <w:b/>
          <w:bCs/>
          <w:szCs w:val="22"/>
        </w:rPr>
      </w:pPr>
      <w:bookmarkStart w:id="257" w:name="_Toc457394842"/>
      <w:bookmarkStart w:id="258" w:name="_Toc457989526"/>
      <w:r w:rsidRPr="00D93E10">
        <w:rPr>
          <w:szCs w:val="22"/>
        </w:rPr>
        <w:t>Voir en particulier, le chapitre 2.1.6 “Exigences requises pour les demandes de brevet”.</w:t>
      </w:r>
      <w:bookmarkEnd w:id="257"/>
      <w:bookmarkEnd w:id="258"/>
    </w:p>
    <w:p w:rsidR="00DA5BCF" w:rsidRPr="00D93E10" w:rsidRDefault="00DA5BCF" w:rsidP="00DA5BCF">
      <w:pPr>
        <w:ind w:left="567"/>
        <w:rPr>
          <w:b/>
          <w:bCs/>
          <w:szCs w:val="22"/>
        </w:rPr>
      </w:pPr>
    </w:p>
    <w:p w:rsidR="00DA5BCF" w:rsidRPr="00D93E10" w:rsidRDefault="00DA5BCF" w:rsidP="00DA5BCF">
      <w:pPr>
        <w:rPr>
          <w:b/>
        </w:rPr>
      </w:pPr>
      <w:r w:rsidRPr="00D93E10">
        <w:rPr>
          <w:b/>
        </w:rPr>
        <w:t>Réglementation et autres documents pertinents relatifs à la mise en œuvre du Protocole de Nagoya :</w:t>
      </w:r>
    </w:p>
    <w:p w:rsidR="00DA5BCF" w:rsidRPr="00D93E10" w:rsidRDefault="00DA5BCF" w:rsidP="00DA5BCF"/>
    <w:p w:rsidR="00DA5BCF" w:rsidRPr="00D93E10" w:rsidRDefault="00DA5BCF" w:rsidP="00DA5BCF">
      <w:pPr>
        <w:pStyle w:val="ListParagraph"/>
        <w:numPr>
          <w:ilvl w:val="0"/>
          <w:numId w:val="39"/>
        </w:numPr>
        <w:ind w:left="567"/>
      </w:pPr>
      <w:bookmarkStart w:id="259" w:name="_Toc457394844"/>
      <w:bookmarkStart w:id="260" w:name="_Toc457989528"/>
      <w:r w:rsidRPr="00D93E10">
        <w:rPr>
          <w:szCs w:val="22"/>
        </w:rPr>
        <w:t xml:space="preserve">RS 0.451.43 – Convention sur la diversité biologique du 5 juin 1992 : </w:t>
      </w:r>
      <w:bookmarkEnd w:id="259"/>
      <w:bookmarkEnd w:id="260"/>
      <w:r w:rsidRPr="00D93E10">
        <w:fldChar w:fldCharType="begin"/>
      </w:r>
      <w:r w:rsidRPr="00D93E10">
        <w:instrText xml:space="preserve"> HYPERLINK "https://www.cbd.int/doc/legal/cbd-fr.pdf" </w:instrText>
      </w:r>
      <w:r w:rsidRPr="00D93E10">
        <w:fldChar w:fldCharType="separate"/>
      </w:r>
      <w:r w:rsidRPr="00D93E10">
        <w:rPr>
          <w:rStyle w:val="Hyperlink"/>
          <w:color w:val="3333CC"/>
        </w:rPr>
        <w:t>https://www.cbd.int/doc/legal/cbd-fr.pdf</w:t>
      </w:r>
      <w:r w:rsidRPr="00D93E10">
        <w:fldChar w:fldCharType="end"/>
      </w:r>
    </w:p>
    <w:p w:rsidR="00DA5BCF" w:rsidRPr="00D93E10" w:rsidRDefault="00DA5BCF" w:rsidP="00DA5BCF"/>
    <w:p w:rsidR="00DA5BCF" w:rsidRPr="00D93E10" w:rsidRDefault="00DA5BCF" w:rsidP="00DA5BCF">
      <w:pPr>
        <w:pStyle w:val="ListParagraph"/>
        <w:numPr>
          <w:ilvl w:val="0"/>
          <w:numId w:val="40"/>
        </w:numPr>
      </w:pPr>
      <w:bookmarkStart w:id="261" w:name="_Toc457394845"/>
      <w:bookmarkStart w:id="262" w:name="_Toc457989529"/>
      <w:r w:rsidRPr="00D93E10">
        <w:rPr>
          <w:szCs w:val="22"/>
        </w:rPr>
        <w:t xml:space="preserve">RS 0.451.432 – Protocole de Nagoya sur l’accès aux ressources génétiques et le partage juste et équitable des avantages découlant de leur utilisation relatif à la Convention sur la diversité biologique : </w:t>
      </w:r>
      <w:bookmarkEnd w:id="261"/>
      <w:bookmarkEnd w:id="262"/>
      <w:r w:rsidRPr="00D93E10">
        <w:fldChar w:fldCharType="begin"/>
      </w:r>
      <w:r w:rsidRPr="00D93E10">
        <w:instrText xml:space="preserve"> HYPERLINK "https://www.cbd.int/abs/doc/protocol/nagoya-protocol-fr.pdf" </w:instrText>
      </w:r>
      <w:r w:rsidRPr="00D93E10">
        <w:fldChar w:fldCharType="separate"/>
      </w:r>
      <w:r w:rsidRPr="00D93E10">
        <w:rPr>
          <w:rStyle w:val="Hyperlink"/>
          <w:color w:val="3333CC"/>
        </w:rPr>
        <w:t>https://www.cbd.int/abs/doc/protocol/nagoya-protocol-fr.pdf</w:t>
      </w:r>
      <w:r w:rsidRPr="00D93E10">
        <w:fldChar w:fldCharType="end"/>
      </w:r>
    </w:p>
    <w:p w:rsidR="00DA5BCF" w:rsidRPr="00D93E10" w:rsidRDefault="00DA5BCF" w:rsidP="00DA5BCF"/>
    <w:p w:rsidR="00DA5BCF" w:rsidRPr="00D93E10" w:rsidRDefault="00DA5BCF" w:rsidP="00DA5BCF">
      <w:pPr>
        <w:pStyle w:val="ListParagraph"/>
        <w:numPr>
          <w:ilvl w:val="0"/>
          <w:numId w:val="40"/>
        </w:numPr>
      </w:pPr>
      <w:bookmarkStart w:id="263" w:name="_Toc457394846"/>
      <w:bookmarkStart w:id="264" w:name="_Toc457989530"/>
      <w:r w:rsidRPr="00D93E10">
        <w:rPr>
          <w:szCs w:val="22"/>
        </w:rPr>
        <w:t>RS 451 – Loi fédérale sur la protection de la nature et du paysage (</w:t>
      </w:r>
      <w:proofErr w:type="spellStart"/>
      <w:r w:rsidRPr="00D93E10">
        <w:rPr>
          <w:szCs w:val="22"/>
        </w:rPr>
        <w:t>LPN</w:t>
      </w:r>
      <w:proofErr w:type="spellEnd"/>
      <w:r w:rsidRPr="00D93E10">
        <w:rPr>
          <w:szCs w:val="22"/>
        </w:rPr>
        <w:t>) du 1</w:t>
      </w:r>
      <w:r w:rsidRPr="00D93E10">
        <w:rPr>
          <w:szCs w:val="22"/>
          <w:vertAlign w:val="superscript"/>
        </w:rPr>
        <w:t>er</w:t>
      </w:r>
      <w:r w:rsidRPr="00D93E10">
        <w:rPr>
          <w:szCs w:val="22"/>
        </w:rPr>
        <w:t xml:space="preserve"> juillet 1966 : </w:t>
      </w:r>
      <w:bookmarkEnd w:id="263"/>
      <w:bookmarkEnd w:id="264"/>
      <w:r w:rsidRPr="00D93E10">
        <w:fldChar w:fldCharType="begin"/>
      </w:r>
      <w:r w:rsidRPr="00D93E10">
        <w:instrText xml:space="preserve"> HYPERLINK "https://www.admin.ch/opc/fr/classified-compilation/19660144/index.html" </w:instrText>
      </w:r>
      <w:r w:rsidRPr="00D93E10">
        <w:fldChar w:fldCharType="separate"/>
      </w:r>
      <w:r w:rsidRPr="00D93E10">
        <w:rPr>
          <w:rStyle w:val="Hyperlink"/>
          <w:color w:val="3333CC"/>
        </w:rPr>
        <w:t>https://www.admin.ch/opc/fr/classified-compilation/19660144/index.html</w:t>
      </w:r>
      <w:r w:rsidRPr="00D93E10">
        <w:fldChar w:fldCharType="end"/>
      </w:r>
    </w:p>
    <w:p w:rsidR="00DA5BCF" w:rsidRPr="00D93E10" w:rsidRDefault="00DA5BCF" w:rsidP="00DA5BCF"/>
    <w:p w:rsidR="00DA5BCF" w:rsidRPr="00D93E10" w:rsidRDefault="00DA5BCF" w:rsidP="00DA5BCF">
      <w:pPr>
        <w:pStyle w:val="ListParagraph"/>
        <w:ind w:left="567"/>
        <w:rPr>
          <w:szCs w:val="22"/>
        </w:rPr>
      </w:pPr>
      <w:bookmarkStart w:id="265" w:name="_Toc457394847"/>
      <w:bookmarkStart w:id="266" w:name="_Toc457989531"/>
      <w:r w:rsidRPr="00D93E10">
        <w:rPr>
          <w:szCs w:val="22"/>
          <w:lang w:val="pt-BR"/>
        </w:rPr>
        <w:t>Voir, en particulier, les art. 1, let. d</w:t>
      </w:r>
      <w:r w:rsidRPr="00D93E10">
        <w:rPr>
          <w:szCs w:val="22"/>
          <w:vertAlign w:val="superscript"/>
          <w:lang w:val="pt-BR"/>
        </w:rPr>
        <w:t>bis</w:t>
      </w:r>
      <w:r w:rsidRPr="00D93E10">
        <w:rPr>
          <w:szCs w:val="22"/>
          <w:lang w:val="pt-BR"/>
        </w:rPr>
        <w:t>, 23</w:t>
      </w:r>
      <w:r w:rsidRPr="00D93E10">
        <w:rPr>
          <w:i/>
          <w:szCs w:val="22"/>
          <w:lang w:val="pt-BR"/>
        </w:rPr>
        <w:t>n</w:t>
      </w:r>
      <w:r w:rsidRPr="00D93E10">
        <w:rPr>
          <w:szCs w:val="22"/>
          <w:lang w:val="pt-BR"/>
        </w:rPr>
        <w:t>, 23</w:t>
      </w:r>
      <w:r w:rsidRPr="00D93E10">
        <w:rPr>
          <w:i/>
          <w:szCs w:val="22"/>
          <w:lang w:val="pt-BR"/>
        </w:rPr>
        <w:t>o</w:t>
      </w:r>
      <w:r w:rsidRPr="00D93E10">
        <w:rPr>
          <w:szCs w:val="22"/>
          <w:lang w:val="pt-BR"/>
        </w:rPr>
        <w:t>, 23</w:t>
      </w:r>
      <w:r w:rsidRPr="00D93E10">
        <w:rPr>
          <w:i/>
          <w:szCs w:val="22"/>
          <w:lang w:val="pt-BR"/>
        </w:rPr>
        <w:t>p</w:t>
      </w:r>
      <w:r w:rsidRPr="00D93E10">
        <w:rPr>
          <w:szCs w:val="22"/>
          <w:lang w:val="pt-BR"/>
        </w:rPr>
        <w:t>, 23</w:t>
      </w:r>
      <w:r w:rsidRPr="00D93E10">
        <w:rPr>
          <w:i/>
          <w:szCs w:val="22"/>
          <w:lang w:val="pt-BR"/>
        </w:rPr>
        <w:t>q</w:t>
      </w:r>
      <w:r w:rsidRPr="00D93E10">
        <w:rPr>
          <w:szCs w:val="22"/>
          <w:lang w:val="pt-BR"/>
        </w:rPr>
        <w:t>, 24</w:t>
      </w:r>
      <w:r w:rsidRPr="00D93E10">
        <w:rPr>
          <w:i/>
          <w:szCs w:val="22"/>
          <w:lang w:val="pt-BR"/>
        </w:rPr>
        <w:t>a</w:t>
      </w:r>
      <w:r w:rsidRPr="00D93E10">
        <w:rPr>
          <w:szCs w:val="22"/>
          <w:lang w:val="pt-BR"/>
        </w:rPr>
        <w:t>, al. 2, 24</w:t>
      </w:r>
      <w:r w:rsidRPr="00D93E10">
        <w:rPr>
          <w:i/>
          <w:szCs w:val="22"/>
          <w:lang w:val="pt-BR"/>
        </w:rPr>
        <w:t>h,</w:t>
      </w:r>
      <w:r w:rsidRPr="00D93E10">
        <w:rPr>
          <w:szCs w:val="22"/>
          <w:lang w:val="pt-BR"/>
        </w:rPr>
        <w:t xml:space="preserve"> al. </w:t>
      </w:r>
      <w:r w:rsidRPr="00D93E10">
        <w:rPr>
          <w:szCs w:val="22"/>
        </w:rPr>
        <w:t xml:space="preserve">3 et </w:t>
      </w:r>
      <w:proofErr w:type="spellStart"/>
      <w:r w:rsidRPr="00D93E10">
        <w:rPr>
          <w:szCs w:val="22"/>
        </w:rPr>
        <w:t>25</w:t>
      </w:r>
      <w:r w:rsidRPr="00D93E10">
        <w:rPr>
          <w:i/>
          <w:szCs w:val="22"/>
        </w:rPr>
        <w:t>d</w:t>
      </w:r>
      <w:proofErr w:type="spellEnd"/>
      <w:r w:rsidRPr="00D93E10">
        <w:rPr>
          <w:szCs w:val="22"/>
        </w:rPr>
        <w:t>.</w:t>
      </w:r>
      <w:bookmarkEnd w:id="265"/>
      <w:bookmarkEnd w:id="266"/>
    </w:p>
    <w:p w:rsidR="00DA5BCF" w:rsidRPr="00D93E10" w:rsidRDefault="00DA5BCF" w:rsidP="00DA5BCF">
      <w:pPr>
        <w:rPr>
          <w:szCs w:val="22"/>
        </w:rPr>
      </w:pPr>
    </w:p>
    <w:p w:rsidR="00DA5BCF" w:rsidRPr="00D93E10" w:rsidRDefault="00DA5BCF" w:rsidP="00DA5BCF">
      <w:pPr>
        <w:pStyle w:val="ListParagraph"/>
        <w:numPr>
          <w:ilvl w:val="0"/>
          <w:numId w:val="40"/>
        </w:numPr>
      </w:pPr>
      <w:bookmarkStart w:id="267" w:name="_Toc457394848"/>
      <w:bookmarkStart w:id="268" w:name="_Toc457989532"/>
      <w:r w:rsidRPr="00D93E10">
        <w:rPr>
          <w:szCs w:val="22"/>
        </w:rPr>
        <w:t xml:space="preserve">RS 451.61 – Ordonnance sur l’accès aux ressources génétiques et le partage juste et équitable des avantages découlant de leur utilisation (Ordonnance de Nagoya, </w:t>
      </w:r>
      <w:proofErr w:type="spellStart"/>
      <w:r w:rsidRPr="00D93E10">
        <w:rPr>
          <w:szCs w:val="22"/>
        </w:rPr>
        <w:t>ONag</w:t>
      </w:r>
      <w:proofErr w:type="spellEnd"/>
      <w:r w:rsidRPr="00D93E10">
        <w:rPr>
          <w:szCs w:val="22"/>
        </w:rPr>
        <w:t xml:space="preserve">) du 11 décembre 2015 : </w:t>
      </w:r>
      <w:bookmarkEnd w:id="267"/>
      <w:bookmarkEnd w:id="268"/>
      <w:r w:rsidRPr="00D93E10">
        <w:fldChar w:fldCharType="begin"/>
      </w:r>
      <w:r w:rsidRPr="00D93E10">
        <w:instrText xml:space="preserve"> HYPERLINK "https://www.admin.ch/opc/fr/classified-compilation/20150120/index.html" </w:instrText>
      </w:r>
      <w:r w:rsidRPr="00D93E10">
        <w:fldChar w:fldCharType="separate"/>
      </w:r>
      <w:r w:rsidRPr="00D93E10">
        <w:rPr>
          <w:rStyle w:val="Hyperlink"/>
          <w:color w:val="3333CC"/>
        </w:rPr>
        <w:t>https://www.admin.ch/opc/fr/classified-compilation/20150120/index.html</w:t>
      </w:r>
      <w:r w:rsidRPr="00D93E10">
        <w:fldChar w:fldCharType="end"/>
      </w:r>
    </w:p>
    <w:p w:rsidR="00DA5BCF" w:rsidRPr="00D93E10" w:rsidRDefault="00DA5BCF" w:rsidP="00DA5BCF"/>
    <w:p w:rsidR="00DA5BCF" w:rsidRPr="00D93E10" w:rsidRDefault="00DA5BCF" w:rsidP="00DA5BCF">
      <w:pPr>
        <w:pStyle w:val="ListParagraph"/>
        <w:numPr>
          <w:ilvl w:val="0"/>
          <w:numId w:val="40"/>
        </w:numPr>
        <w:rPr>
          <w:caps/>
          <w:szCs w:val="22"/>
        </w:rPr>
      </w:pPr>
      <w:bookmarkStart w:id="269" w:name="_Toc457394850"/>
      <w:bookmarkStart w:id="270" w:name="_Toc457989534"/>
      <w:r w:rsidRPr="00D93E10">
        <w:rPr>
          <w:szCs w:val="22"/>
        </w:rPr>
        <w:t xml:space="preserve">Message portant approbation du Protocole de Nagoya et sa mise en œuvre du 10 avril 2013, disponible en </w:t>
      </w:r>
      <w:hyperlink r:id="rId21" w:history="1">
        <w:r w:rsidRPr="00D93E10">
          <w:rPr>
            <w:szCs w:val="22"/>
            <w:u w:val="single"/>
          </w:rPr>
          <w:t>allemand</w:t>
        </w:r>
      </w:hyperlink>
      <w:r w:rsidRPr="00D93E10">
        <w:rPr>
          <w:szCs w:val="22"/>
        </w:rPr>
        <w:t xml:space="preserve">, </w:t>
      </w:r>
      <w:hyperlink r:id="rId22" w:history="1">
        <w:r w:rsidRPr="00D93E10">
          <w:rPr>
            <w:szCs w:val="22"/>
            <w:u w:val="single"/>
          </w:rPr>
          <w:t>français</w:t>
        </w:r>
      </w:hyperlink>
      <w:r w:rsidRPr="00D93E10">
        <w:rPr>
          <w:szCs w:val="22"/>
        </w:rPr>
        <w:t xml:space="preserve">, et </w:t>
      </w:r>
      <w:hyperlink r:id="rId23" w:history="1">
        <w:r w:rsidRPr="00D93E10">
          <w:rPr>
            <w:szCs w:val="22"/>
            <w:u w:val="single"/>
          </w:rPr>
          <w:t>italien</w:t>
        </w:r>
      </w:hyperlink>
      <w:r w:rsidRPr="00D93E10">
        <w:rPr>
          <w:szCs w:val="22"/>
        </w:rPr>
        <w:t>.</w:t>
      </w:r>
      <w:bookmarkEnd w:id="269"/>
      <w:bookmarkEnd w:id="270"/>
    </w:p>
    <w:p w:rsidR="00DA5BCF" w:rsidRPr="00D93E10" w:rsidRDefault="00DA5BCF" w:rsidP="00DA5BCF">
      <w:pPr>
        <w:rPr>
          <w:caps/>
          <w:szCs w:val="22"/>
        </w:rPr>
      </w:pPr>
    </w:p>
    <w:p w:rsidR="00DA5BCF" w:rsidRPr="00D93E10" w:rsidRDefault="00DA5BCF" w:rsidP="00DA5BCF">
      <w:pPr>
        <w:pStyle w:val="ListParagraph"/>
        <w:ind w:left="567"/>
        <w:rPr>
          <w:szCs w:val="22"/>
        </w:rPr>
      </w:pPr>
      <w:r w:rsidRPr="00D93E10">
        <w:rPr>
          <w:szCs w:val="22"/>
        </w:rPr>
        <w:t>Voir, en particulier, le chapitre 3.</w:t>
      </w:r>
    </w:p>
    <w:p w:rsidR="00DA5BCF" w:rsidRPr="00D93E10" w:rsidRDefault="00DA5BCF" w:rsidP="00DA5BCF">
      <w:pPr>
        <w:rPr>
          <w:szCs w:val="22"/>
        </w:rPr>
      </w:pPr>
    </w:p>
    <w:p w:rsidR="00DA5BCF" w:rsidRPr="00D93E10" w:rsidRDefault="00DA5BCF" w:rsidP="00DA5BCF">
      <w:pPr>
        <w:pStyle w:val="ListParagraph"/>
        <w:numPr>
          <w:ilvl w:val="0"/>
          <w:numId w:val="40"/>
        </w:numPr>
        <w:rPr>
          <w:szCs w:val="22"/>
        </w:rPr>
      </w:pPr>
      <w:bookmarkStart w:id="271" w:name="_Toc457394852"/>
      <w:bookmarkStart w:id="272" w:name="_Toc457989536"/>
      <w:r w:rsidRPr="00D93E10">
        <w:rPr>
          <w:szCs w:val="22"/>
        </w:rPr>
        <w:t xml:space="preserve">Rapport explicatif du 11 décembre 2015 de l’Ordonnance de Nagoya, disponible en </w:t>
      </w:r>
      <w:hyperlink r:id="rId24" w:history="1">
        <w:r w:rsidRPr="00D93E10">
          <w:rPr>
            <w:szCs w:val="22"/>
            <w:u w:val="single"/>
          </w:rPr>
          <w:t>allemand</w:t>
        </w:r>
      </w:hyperlink>
      <w:r w:rsidRPr="00D93E10">
        <w:rPr>
          <w:szCs w:val="22"/>
        </w:rPr>
        <w:t xml:space="preserve">, </w:t>
      </w:r>
      <w:hyperlink r:id="rId25" w:history="1">
        <w:r w:rsidRPr="00D93E10">
          <w:rPr>
            <w:szCs w:val="22"/>
            <w:u w:val="single"/>
          </w:rPr>
          <w:t>français</w:t>
        </w:r>
      </w:hyperlink>
      <w:r w:rsidRPr="00D93E10">
        <w:rPr>
          <w:szCs w:val="22"/>
        </w:rPr>
        <w:t xml:space="preserve">, et </w:t>
      </w:r>
      <w:hyperlink r:id="rId26" w:history="1">
        <w:r w:rsidRPr="00D93E10">
          <w:rPr>
            <w:szCs w:val="22"/>
            <w:u w:val="single"/>
          </w:rPr>
          <w:t>italien</w:t>
        </w:r>
      </w:hyperlink>
      <w:r w:rsidRPr="00D93E10">
        <w:rPr>
          <w:szCs w:val="22"/>
        </w:rPr>
        <w:t>.</w:t>
      </w:r>
      <w:bookmarkEnd w:id="271"/>
      <w:bookmarkEnd w:id="272"/>
    </w:p>
    <w:p w:rsidR="00DA5BCF" w:rsidRPr="00D93E10" w:rsidRDefault="00DA5BCF" w:rsidP="00DA5BCF"/>
    <w:p w:rsidR="00DA5BCF" w:rsidRPr="00D93E10" w:rsidRDefault="00DA5BCF" w:rsidP="00DA5BCF">
      <w:pPr>
        <w:rPr>
          <w:b/>
        </w:rPr>
      </w:pPr>
      <w:r w:rsidRPr="00D93E10">
        <w:rPr>
          <w:b/>
        </w:rPr>
        <w:t xml:space="preserve">Réglementation relative à la mise en œuvre du Traité international sur les ressources </w:t>
      </w:r>
      <w:proofErr w:type="spellStart"/>
      <w:r w:rsidRPr="00D93E10">
        <w:rPr>
          <w:b/>
        </w:rPr>
        <w:t>phytogénétiques</w:t>
      </w:r>
      <w:proofErr w:type="spellEnd"/>
      <w:r w:rsidRPr="00D93E10">
        <w:rPr>
          <w:b/>
        </w:rPr>
        <w:t xml:space="preserve"> pour l’alimentation et l’agriculture :</w:t>
      </w:r>
    </w:p>
    <w:p w:rsidR="00DA5BCF" w:rsidRPr="00D93E10" w:rsidRDefault="00DA5BCF" w:rsidP="00DA5BCF">
      <w:pPr>
        <w:rPr>
          <w:b/>
        </w:rPr>
      </w:pPr>
    </w:p>
    <w:p w:rsidR="00DA5BCF" w:rsidRPr="00D93E10" w:rsidRDefault="00DA5BCF" w:rsidP="00DA5BCF">
      <w:pPr>
        <w:pStyle w:val="ListParagraph"/>
        <w:numPr>
          <w:ilvl w:val="0"/>
          <w:numId w:val="41"/>
        </w:numPr>
      </w:pPr>
      <w:bookmarkStart w:id="273" w:name="_Toc457394854"/>
      <w:bookmarkStart w:id="274" w:name="_Toc457989538"/>
      <w:r w:rsidRPr="00D93E10">
        <w:rPr>
          <w:szCs w:val="22"/>
        </w:rPr>
        <w:t xml:space="preserve">RS 0.910.6 – </w:t>
      </w:r>
      <w:r w:rsidRPr="00D93E10">
        <w:rPr>
          <w:b/>
          <w:szCs w:val="22"/>
        </w:rPr>
        <w:t xml:space="preserve">Traité international sur les ressources </w:t>
      </w:r>
      <w:proofErr w:type="spellStart"/>
      <w:r w:rsidRPr="00D93E10">
        <w:rPr>
          <w:b/>
          <w:szCs w:val="22"/>
        </w:rPr>
        <w:t>phytogénétiques</w:t>
      </w:r>
      <w:proofErr w:type="spellEnd"/>
      <w:r w:rsidRPr="00D93E10">
        <w:rPr>
          <w:b/>
          <w:szCs w:val="22"/>
        </w:rPr>
        <w:t xml:space="preserve"> pour l’alimentation et l’agriculture</w:t>
      </w:r>
      <w:r w:rsidRPr="00D93E10">
        <w:rPr>
          <w:szCs w:val="22"/>
        </w:rPr>
        <w:t xml:space="preserve"> du 3 novembre 2001 : </w:t>
      </w:r>
      <w:bookmarkEnd w:id="273"/>
      <w:bookmarkEnd w:id="274"/>
      <w:r w:rsidRPr="00D93E10">
        <w:fldChar w:fldCharType="begin"/>
      </w:r>
      <w:r w:rsidRPr="00D93E10">
        <w:instrText xml:space="preserve"> HYPERLINK "https://www.admin.ch/opc/fr/classified-compilation/20031827/" </w:instrText>
      </w:r>
      <w:r w:rsidRPr="00D93E10">
        <w:fldChar w:fldCharType="separate"/>
      </w:r>
      <w:r w:rsidRPr="00D93E10">
        <w:rPr>
          <w:rStyle w:val="Hyperlink"/>
          <w:color w:val="3333CC"/>
        </w:rPr>
        <w:t>https://www.admin.ch/opc/fr/classified-compilation/20031827/</w:t>
      </w:r>
      <w:r w:rsidRPr="00D93E10">
        <w:fldChar w:fldCharType="end"/>
      </w:r>
    </w:p>
    <w:p w:rsidR="00DA5BCF" w:rsidRPr="00D93E10" w:rsidRDefault="00DA5BCF" w:rsidP="00DA5BCF"/>
    <w:p w:rsidR="00DA5BCF" w:rsidRPr="00D93E10" w:rsidRDefault="00DA5BCF" w:rsidP="00DA5BCF">
      <w:pPr>
        <w:pStyle w:val="ListParagraph"/>
        <w:numPr>
          <w:ilvl w:val="0"/>
          <w:numId w:val="41"/>
        </w:numPr>
      </w:pPr>
      <w:bookmarkStart w:id="275" w:name="_Toc457394855"/>
      <w:bookmarkStart w:id="276" w:name="_Toc457989539"/>
      <w:r w:rsidRPr="00D93E10">
        <w:rPr>
          <w:szCs w:val="22"/>
        </w:rPr>
        <w:t>RS 910.1 – Loi fédérale sur l’agriculture (</w:t>
      </w:r>
      <w:proofErr w:type="spellStart"/>
      <w:r w:rsidRPr="00D93E10">
        <w:rPr>
          <w:szCs w:val="22"/>
        </w:rPr>
        <w:t>LAgr</w:t>
      </w:r>
      <w:proofErr w:type="spellEnd"/>
      <w:r w:rsidRPr="00D93E10">
        <w:rPr>
          <w:szCs w:val="22"/>
        </w:rPr>
        <w:t xml:space="preserve">) du 29 avril 1998 : </w:t>
      </w:r>
      <w:bookmarkEnd w:id="275"/>
      <w:bookmarkEnd w:id="276"/>
      <w:r w:rsidRPr="00D93E10">
        <w:fldChar w:fldCharType="begin"/>
      </w:r>
      <w:r w:rsidRPr="00D93E10">
        <w:instrText xml:space="preserve"> HYPERLINK "https://www.admin.ch/opc/fr/classified-compilation/19983407/index.html" </w:instrText>
      </w:r>
      <w:r w:rsidRPr="00D93E10">
        <w:fldChar w:fldCharType="separate"/>
      </w:r>
      <w:r w:rsidRPr="00D93E10">
        <w:rPr>
          <w:rStyle w:val="Hyperlink"/>
          <w:color w:val="3333CC"/>
        </w:rPr>
        <w:t>https://www.admin.ch/opc/fr/classified-compilation/19983407/index.html</w:t>
      </w:r>
      <w:r w:rsidRPr="00D93E10">
        <w:fldChar w:fldCharType="end"/>
      </w:r>
    </w:p>
    <w:p w:rsidR="00DA5BCF" w:rsidRPr="00D93E10" w:rsidRDefault="00DA5BCF" w:rsidP="00DA5BCF"/>
    <w:p w:rsidR="00DA5BCF" w:rsidRPr="00D93E10" w:rsidRDefault="00DA5BCF" w:rsidP="00DA5BCF">
      <w:pPr>
        <w:pStyle w:val="ListParagraph"/>
        <w:ind w:left="567"/>
        <w:rPr>
          <w:szCs w:val="22"/>
        </w:rPr>
      </w:pPr>
      <w:bookmarkStart w:id="277" w:name="_Toc457394856"/>
      <w:bookmarkStart w:id="278" w:name="_Toc457989540"/>
      <w:r w:rsidRPr="00D93E10">
        <w:rPr>
          <w:szCs w:val="22"/>
        </w:rPr>
        <w:t xml:space="preserve">Voir, en particulier, </w:t>
      </w:r>
      <w:proofErr w:type="gramStart"/>
      <w:r w:rsidRPr="00D93E10">
        <w:rPr>
          <w:szCs w:val="22"/>
        </w:rPr>
        <w:t>les art</w:t>
      </w:r>
      <w:proofErr w:type="gramEnd"/>
      <w:r w:rsidRPr="00D93E10">
        <w:rPr>
          <w:szCs w:val="22"/>
        </w:rPr>
        <w:t xml:space="preserve">. </w:t>
      </w:r>
      <w:proofErr w:type="spellStart"/>
      <w:r w:rsidRPr="00D93E10">
        <w:rPr>
          <w:szCs w:val="22"/>
        </w:rPr>
        <w:t>147</w:t>
      </w:r>
      <w:r w:rsidRPr="00D93E10">
        <w:rPr>
          <w:i/>
          <w:szCs w:val="22"/>
        </w:rPr>
        <w:t>a</w:t>
      </w:r>
      <w:proofErr w:type="spellEnd"/>
      <w:r w:rsidRPr="00D93E10">
        <w:rPr>
          <w:szCs w:val="22"/>
        </w:rPr>
        <w:t xml:space="preserve"> et </w:t>
      </w:r>
      <w:proofErr w:type="spellStart"/>
      <w:r w:rsidRPr="00D93E10">
        <w:rPr>
          <w:szCs w:val="22"/>
        </w:rPr>
        <w:t>147</w:t>
      </w:r>
      <w:r w:rsidRPr="00D93E10">
        <w:rPr>
          <w:i/>
          <w:szCs w:val="22"/>
        </w:rPr>
        <w:t>b</w:t>
      </w:r>
      <w:proofErr w:type="spellEnd"/>
      <w:r w:rsidRPr="00D93E10">
        <w:rPr>
          <w:i/>
          <w:szCs w:val="22"/>
        </w:rPr>
        <w:t>.</w:t>
      </w:r>
      <w:bookmarkEnd w:id="277"/>
      <w:bookmarkEnd w:id="278"/>
    </w:p>
    <w:p w:rsidR="00DA5BCF" w:rsidRPr="00D93E10" w:rsidRDefault="00DA5BCF" w:rsidP="00DA5BCF">
      <w:pPr>
        <w:rPr>
          <w:szCs w:val="22"/>
        </w:rPr>
      </w:pPr>
    </w:p>
    <w:p w:rsidR="00DA5BCF" w:rsidRPr="00D93E10" w:rsidRDefault="00DA5BCF" w:rsidP="00DA5BCF">
      <w:pPr>
        <w:pStyle w:val="ListParagraph"/>
        <w:numPr>
          <w:ilvl w:val="0"/>
          <w:numId w:val="41"/>
        </w:numPr>
        <w:rPr>
          <w:szCs w:val="22"/>
        </w:rPr>
      </w:pPr>
      <w:bookmarkStart w:id="279" w:name="_Toc457394857"/>
      <w:bookmarkStart w:id="280" w:name="_Toc457989541"/>
      <w:r w:rsidRPr="00D93E10">
        <w:rPr>
          <w:szCs w:val="22"/>
        </w:rPr>
        <w:t xml:space="preserve">RS 910.181 – Ordonnance sur la conservation et l’utilisation durable de ressources </w:t>
      </w:r>
      <w:proofErr w:type="spellStart"/>
      <w:r w:rsidRPr="00D93E10">
        <w:rPr>
          <w:szCs w:val="22"/>
        </w:rPr>
        <w:t>phytogénétiques</w:t>
      </w:r>
      <w:proofErr w:type="spellEnd"/>
      <w:r w:rsidRPr="00D93E10">
        <w:rPr>
          <w:szCs w:val="22"/>
        </w:rPr>
        <w:t xml:space="preserve"> pour l’alimentation et l’agriculture (</w:t>
      </w:r>
      <w:proofErr w:type="spellStart"/>
      <w:r w:rsidRPr="00D93E10">
        <w:rPr>
          <w:szCs w:val="22"/>
        </w:rPr>
        <w:t>ORPGAA</w:t>
      </w:r>
      <w:proofErr w:type="spellEnd"/>
      <w:r w:rsidRPr="00D93E10">
        <w:rPr>
          <w:szCs w:val="22"/>
        </w:rPr>
        <w:t xml:space="preserve">) du 28 octobre 2015, disponible en </w:t>
      </w:r>
      <w:hyperlink r:id="rId27" w:history="1">
        <w:r w:rsidRPr="00D93E10">
          <w:rPr>
            <w:szCs w:val="22"/>
            <w:u w:val="single"/>
          </w:rPr>
          <w:t>allemand</w:t>
        </w:r>
      </w:hyperlink>
      <w:r w:rsidRPr="00D93E10">
        <w:rPr>
          <w:szCs w:val="22"/>
        </w:rPr>
        <w:t xml:space="preserve">, </w:t>
      </w:r>
      <w:hyperlink r:id="rId28" w:history="1">
        <w:r w:rsidRPr="00D93E10">
          <w:rPr>
            <w:szCs w:val="22"/>
            <w:u w:val="single"/>
          </w:rPr>
          <w:t>français</w:t>
        </w:r>
      </w:hyperlink>
      <w:r w:rsidRPr="00D93E10">
        <w:rPr>
          <w:szCs w:val="22"/>
        </w:rPr>
        <w:t xml:space="preserve"> et </w:t>
      </w:r>
      <w:hyperlink r:id="rId29" w:history="1">
        <w:r w:rsidRPr="00D93E10">
          <w:rPr>
            <w:szCs w:val="22"/>
            <w:u w:val="single"/>
          </w:rPr>
          <w:t>italien</w:t>
        </w:r>
      </w:hyperlink>
      <w:r w:rsidRPr="00D93E10">
        <w:rPr>
          <w:szCs w:val="22"/>
        </w:rPr>
        <w:t>.</w:t>
      </w:r>
      <w:bookmarkEnd w:id="279"/>
      <w:bookmarkEnd w:id="280"/>
    </w:p>
    <w:p w:rsidR="00DA5BCF" w:rsidRPr="00D93E10" w:rsidRDefault="00DA5BCF" w:rsidP="00DA5BCF"/>
    <w:p w:rsidR="00DA5BCF" w:rsidRPr="00D93E10" w:rsidRDefault="00DA5BCF" w:rsidP="00DA5BCF">
      <w:pPr>
        <w:rPr>
          <w:b/>
        </w:rPr>
      </w:pPr>
      <w:r w:rsidRPr="00D93E10">
        <w:rPr>
          <w:b/>
        </w:rPr>
        <w:t>Dispositions relatives à la mise en œuvre du Protocole de Nagoya dans l’Ordonnance sur les médicaments :</w:t>
      </w:r>
    </w:p>
    <w:p w:rsidR="00DA5BCF" w:rsidRPr="00D93E10" w:rsidRDefault="00DA5BCF" w:rsidP="00DA5BCF">
      <w:pPr>
        <w:rPr>
          <w:b/>
        </w:rPr>
      </w:pPr>
    </w:p>
    <w:p w:rsidR="00DA5BCF" w:rsidRPr="00D93E10" w:rsidRDefault="00DA5BCF" w:rsidP="00DA5BCF">
      <w:pPr>
        <w:pStyle w:val="ListParagraph"/>
        <w:numPr>
          <w:ilvl w:val="0"/>
          <w:numId w:val="41"/>
        </w:numPr>
      </w:pPr>
      <w:r w:rsidRPr="00D93E10">
        <w:t>RS 812.212.21 – Ordonnance sur les médicaments (</w:t>
      </w:r>
      <w:proofErr w:type="spellStart"/>
      <w:r w:rsidRPr="00D93E10">
        <w:t>OMéd</w:t>
      </w:r>
      <w:proofErr w:type="spellEnd"/>
      <w:r w:rsidRPr="00D93E10">
        <w:t xml:space="preserve">) du 17 octobre 2001, disponible en </w:t>
      </w:r>
      <w:hyperlink r:id="rId30" w:history="1">
        <w:r w:rsidRPr="00D93E10">
          <w:rPr>
            <w:rStyle w:val="Hyperlink"/>
            <w:color w:val="3333CC"/>
          </w:rPr>
          <w:t>allemand</w:t>
        </w:r>
      </w:hyperlink>
      <w:r w:rsidRPr="00D93E10">
        <w:t xml:space="preserve">, </w:t>
      </w:r>
      <w:hyperlink r:id="rId31" w:history="1">
        <w:r w:rsidRPr="00D93E10">
          <w:rPr>
            <w:rStyle w:val="Hyperlink"/>
            <w:color w:val="3333CC"/>
          </w:rPr>
          <w:t>français</w:t>
        </w:r>
      </w:hyperlink>
      <w:r w:rsidRPr="00D93E10">
        <w:t xml:space="preserve"> et </w:t>
      </w:r>
      <w:hyperlink r:id="rId32" w:history="1">
        <w:r w:rsidRPr="00D93E10">
          <w:rPr>
            <w:rStyle w:val="Hyperlink"/>
            <w:color w:val="3333CC"/>
          </w:rPr>
          <w:t>italien</w:t>
        </w:r>
      </w:hyperlink>
      <w:r w:rsidRPr="00D93E10">
        <w:t>.</w:t>
      </w:r>
    </w:p>
    <w:p w:rsidR="00DA5BCF" w:rsidRPr="00D93E10" w:rsidRDefault="00DA5BCF" w:rsidP="00DA5BCF"/>
    <w:p w:rsidR="00DA5BCF" w:rsidRPr="00D93E10" w:rsidRDefault="00DA5BCF" w:rsidP="00DA5BCF">
      <w:pPr>
        <w:pStyle w:val="ListParagraph"/>
        <w:numPr>
          <w:ilvl w:val="0"/>
          <w:numId w:val="41"/>
        </w:numPr>
        <w:rPr>
          <w:b/>
        </w:rPr>
      </w:pPr>
      <w:r w:rsidRPr="00D93E10">
        <w:t xml:space="preserve">Voir, en particulier, l’art. 3, al. </w:t>
      </w:r>
      <w:proofErr w:type="spellStart"/>
      <w:r w:rsidRPr="00D93E10">
        <w:t>1</w:t>
      </w:r>
      <w:r w:rsidRPr="00D93E10">
        <w:rPr>
          <w:vertAlign w:val="superscript"/>
        </w:rPr>
        <w:t>bis</w:t>
      </w:r>
      <w:proofErr w:type="spellEnd"/>
      <w:r w:rsidRPr="00D93E10">
        <w:t xml:space="preserve"> et 7, al. </w:t>
      </w:r>
      <w:proofErr w:type="spellStart"/>
      <w:r w:rsidRPr="00D93E10">
        <w:t>1</w:t>
      </w:r>
      <w:r w:rsidRPr="00D93E10">
        <w:rPr>
          <w:vertAlign w:val="superscript"/>
        </w:rPr>
        <w:t>bis</w:t>
      </w:r>
      <w:proofErr w:type="spellEnd"/>
      <w:r w:rsidRPr="00D93E10">
        <w:t>.</w:t>
      </w:r>
    </w:p>
    <w:p w:rsidR="00DA5BCF" w:rsidRPr="00D93E10" w:rsidRDefault="00DA5BCF" w:rsidP="00DA5BCF"/>
    <w:p w:rsidR="00DA5BCF" w:rsidRPr="00D93E10" w:rsidRDefault="00DA5BCF" w:rsidP="00DA5BCF">
      <w:pPr>
        <w:rPr>
          <w:caps/>
          <w:szCs w:val="22"/>
        </w:rPr>
      </w:pPr>
    </w:p>
    <w:p w:rsidR="00DA5BCF" w:rsidRPr="00D93E10" w:rsidRDefault="00DA5BCF" w:rsidP="00DA5BCF">
      <w:pPr>
        <w:rPr>
          <w:caps/>
          <w:szCs w:val="22"/>
        </w:rPr>
      </w:pPr>
    </w:p>
    <w:p w:rsidR="00DA5BCF" w:rsidRPr="00D93E10" w:rsidRDefault="00DA5BCF" w:rsidP="00DA5BCF">
      <w:pPr>
        <w:ind w:left="5500"/>
        <w:jc w:val="both"/>
      </w:pPr>
      <w:r w:rsidRPr="00D93E10">
        <w:t>[L’appendice 2 suit]</w:t>
      </w:r>
    </w:p>
    <w:p w:rsidR="00DA5BCF" w:rsidRPr="00D93E10" w:rsidRDefault="00DA5BCF" w:rsidP="00F21027"/>
    <w:p w:rsidR="00F21027" w:rsidRDefault="00F21027" w:rsidP="00F21027">
      <w:pPr>
        <w:sectPr w:rsidR="00F21027" w:rsidSect="00A848F1">
          <w:headerReference w:type="default" r:id="rId33"/>
          <w:headerReference w:type="first" r:id="rId34"/>
          <w:footerReference w:type="first" r:id="rId35"/>
          <w:endnotePr>
            <w:numFmt w:val="decimal"/>
          </w:endnotePr>
          <w:pgSz w:w="11907" w:h="16840" w:code="9"/>
          <w:pgMar w:top="567" w:right="1134" w:bottom="1417" w:left="1417" w:header="510" w:footer="1020" w:gutter="0"/>
          <w:pgNumType w:start="1"/>
          <w:cols w:space="720"/>
          <w:titlePg/>
          <w:docGrid w:linePitch="299"/>
        </w:sectPr>
      </w:pPr>
    </w:p>
    <w:p w:rsidR="00A848F1" w:rsidRPr="00332F2C" w:rsidRDefault="00A848F1" w:rsidP="00A848F1">
      <w:pPr>
        <w:pStyle w:val="Heading2"/>
        <w:jc w:val="center"/>
        <w:rPr>
          <w:caps/>
        </w:rPr>
      </w:pPr>
      <w:bookmarkStart w:id="281" w:name="_Toc457989544"/>
      <w:r w:rsidRPr="00332F2C">
        <w:t xml:space="preserve">Document WIPO/GRTKF/IC/30/9, </w:t>
      </w:r>
      <w:r>
        <w:t>présenté par les États</w:t>
      </w:r>
      <w:r>
        <w:noBreakHyphen/>
        <w:t>Unis d’Amérique, avec les observations formulées par la Suisse</w:t>
      </w:r>
      <w:bookmarkEnd w:id="281"/>
    </w:p>
    <w:p w:rsidR="00A848F1" w:rsidRPr="00332F2C" w:rsidRDefault="00A848F1" w:rsidP="00A848F1">
      <w:pPr>
        <w:rPr>
          <w:szCs w:val="22"/>
          <w:lang w:val="fr-FR"/>
        </w:rPr>
      </w:pPr>
    </w:p>
    <w:p w:rsidR="00A848F1" w:rsidRDefault="00A848F1" w:rsidP="00A848F1">
      <w:pPr>
        <w:rPr>
          <w:i/>
          <w:szCs w:val="22"/>
          <w:lang w:val="fr-FR"/>
        </w:rPr>
      </w:pPr>
      <w:r>
        <w:rPr>
          <w:i/>
          <w:szCs w:val="22"/>
          <w:lang w:val="fr-FR"/>
        </w:rPr>
        <w:t xml:space="preserve">Le présent appendice 2 contient le </w:t>
      </w:r>
      <w:r w:rsidRPr="00332F2C">
        <w:rPr>
          <w:i/>
          <w:szCs w:val="22"/>
          <w:lang w:val="fr-FR"/>
        </w:rPr>
        <w:t xml:space="preserve">document WIPO/GRTKF/IC/30/9, </w:t>
      </w:r>
      <w:r>
        <w:rPr>
          <w:i/>
          <w:szCs w:val="22"/>
          <w:lang w:val="fr-FR"/>
        </w:rPr>
        <w:t>présenté par la délégation des États</w:t>
      </w:r>
      <w:r>
        <w:rPr>
          <w:i/>
          <w:szCs w:val="22"/>
          <w:lang w:val="fr-FR"/>
        </w:rPr>
        <w:noBreakHyphen/>
        <w:t>Unis d’Amérique à la trentième session du Comité intergouvernemental de la propriété intellectuelle relative aux ressources génétiques, aux savoirs traditionnels et au folklore</w:t>
      </w:r>
      <w:r w:rsidRPr="00332F2C">
        <w:rPr>
          <w:i/>
          <w:szCs w:val="22"/>
          <w:lang w:val="fr-FR"/>
        </w:rPr>
        <w:t xml:space="preserve"> (IGC).  </w:t>
      </w:r>
      <w:r>
        <w:rPr>
          <w:i/>
          <w:szCs w:val="22"/>
          <w:lang w:val="fr-FR"/>
        </w:rPr>
        <w:t>Les observations formulées par la Suisse, concernant les sections du document contenant des interprétations erronées, incomplètes ou trompeuses de la législation suisse relative aux ressources génétiques, ont été ajoutées en italiques</w:t>
      </w:r>
      <w:r w:rsidRPr="00332F2C">
        <w:rPr>
          <w:i/>
          <w:szCs w:val="22"/>
          <w:lang w:val="fr-FR"/>
        </w:rPr>
        <w:t xml:space="preserve"> (Times New Roman) </w:t>
      </w:r>
      <w:r>
        <w:rPr>
          <w:i/>
          <w:szCs w:val="22"/>
          <w:lang w:val="fr-FR"/>
        </w:rPr>
        <w:t>dans chacune des sections correspondantes.  L’appendice du document des États</w:t>
      </w:r>
      <w:r>
        <w:rPr>
          <w:i/>
          <w:szCs w:val="22"/>
          <w:lang w:val="fr-FR"/>
        </w:rPr>
        <w:noBreakHyphen/>
        <w:t>Unis d’Amérique, contenant l’exemple du brevet américain n° </w:t>
      </w:r>
      <w:r w:rsidRPr="00332F2C">
        <w:rPr>
          <w:i/>
          <w:szCs w:val="22"/>
          <w:lang w:val="fr-FR"/>
        </w:rPr>
        <w:t>5</w:t>
      </w:r>
      <w:r>
        <w:rPr>
          <w:i/>
          <w:szCs w:val="22"/>
          <w:lang w:val="fr-FR"/>
        </w:rPr>
        <w:t> </w:t>
      </w:r>
      <w:r w:rsidRPr="00332F2C">
        <w:rPr>
          <w:i/>
          <w:szCs w:val="22"/>
          <w:lang w:val="fr-FR"/>
        </w:rPr>
        <w:t>137</w:t>
      </w:r>
      <w:r>
        <w:rPr>
          <w:i/>
          <w:szCs w:val="22"/>
          <w:lang w:val="fr-FR"/>
        </w:rPr>
        <w:t> </w:t>
      </w:r>
      <w:r w:rsidRPr="00332F2C">
        <w:rPr>
          <w:i/>
          <w:szCs w:val="22"/>
          <w:lang w:val="fr-FR"/>
        </w:rPr>
        <w:t>870</w:t>
      </w:r>
      <w:r>
        <w:rPr>
          <w:i/>
          <w:szCs w:val="22"/>
          <w:lang w:val="fr-FR"/>
        </w:rPr>
        <w:t xml:space="preserve"> et au sujet duquel aucune observation n’a été formulée, ne figure pas dans le présent appendice 2</w:t>
      </w:r>
      <w:r w:rsidRPr="00332F2C">
        <w:rPr>
          <w:i/>
          <w:szCs w:val="22"/>
          <w:lang w:val="fr-FR"/>
        </w:rPr>
        <w:t>.</w:t>
      </w:r>
    </w:p>
    <w:p w:rsidR="00A848F1" w:rsidRPr="00332F2C" w:rsidRDefault="00A848F1" w:rsidP="00A848F1">
      <w:pPr>
        <w:rPr>
          <w:szCs w:val="22"/>
          <w:lang w:val="fr-FR"/>
        </w:rPr>
      </w:pPr>
    </w:p>
    <w:p w:rsidR="00A848F1" w:rsidRPr="00332F2C" w:rsidRDefault="00A848F1" w:rsidP="00A848F1">
      <w:pPr>
        <w:rPr>
          <w:szCs w:val="22"/>
          <w:lang w:val="fr-FR"/>
        </w:rPr>
      </w:pPr>
      <w:r>
        <w:rPr>
          <w:szCs w:val="22"/>
          <w:lang w:val="fr-FR"/>
        </w:rPr>
        <w:noBreakHyphen/>
      </w:r>
      <w:r>
        <w:rPr>
          <w:szCs w:val="22"/>
          <w:lang w:val="fr-FR"/>
        </w:rPr>
        <w:noBreakHyphen/>
      </w:r>
      <w:r>
        <w:rPr>
          <w:szCs w:val="22"/>
          <w:lang w:val="fr-FR"/>
        </w:rPr>
        <w:noBreakHyphen/>
      </w:r>
    </w:p>
    <w:p w:rsidR="00A848F1" w:rsidRPr="00332F2C" w:rsidRDefault="00A848F1" w:rsidP="00A848F1">
      <w:pPr>
        <w:rPr>
          <w:b/>
          <w:szCs w:val="22"/>
          <w:lang w:val="fr-FR"/>
        </w:rPr>
      </w:pPr>
    </w:p>
    <w:p w:rsidR="00A848F1" w:rsidRPr="00332F2C" w:rsidRDefault="00A848F1" w:rsidP="00A848F1">
      <w:pPr>
        <w:rPr>
          <w:b/>
          <w:szCs w:val="22"/>
          <w:lang w:val="fr-FR"/>
        </w:rPr>
      </w:pPr>
    </w:p>
    <w:p w:rsidR="00A848F1" w:rsidRPr="00332F2C" w:rsidRDefault="00A848F1" w:rsidP="00A848F1">
      <w:pPr>
        <w:autoSpaceDE w:val="0"/>
        <w:autoSpaceDN w:val="0"/>
        <w:adjustRightInd w:val="0"/>
        <w:jc w:val="center"/>
        <w:rPr>
          <w:bCs/>
          <w:szCs w:val="22"/>
          <w:lang w:val="fr-FR"/>
        </w:rPr>
      </w:pPr>
      <w:r>
        <w:rPr>
          <w:b/>
          <w:bCs/>
          <w:szCs w:val="22"/>
          <w:lang w:val="fr-FR"/>
        </w:rPr>
        <w:t>VERS UNE MEILLEURE COMPRÉHENSION DE LA LOI FÉDÉRALE SUR LA PROTECTION DE LA NATURE ET DU PAYSAGE ET DE LA LOI FÉDÉRALE SUR LES BREVETS D’INVENTION DE LA SUISSE PAR UNE APPLICATION HYPOTHÉTIQUE AU BREVET AMÉRICAIN N° </w:t>
      </w:r>
      <w:r w:rsidRPr="00332F2C">
        <w:rPr>
          <w:b/>
          <w:bCs/>
          <w:szCs w:val="22"/>
          <w:lang w:val="fr-FR"/>
        </w:rPr>
        <w:t>5</w:t>
      </w:r>
      <w:r>
        <w:rPr>
          <w:b/>
          <w:bCs/>
          <w:szCs w:val="22"/>
          <w:lang w:val="fr-FR"/>
        </w:rPr>
        <w:t> </w:t>
      </w:r>
      <w:r w:rsidRPr="00332F2C">
        <w:rPr>
          <w:b/>
          <w:bCs/>
          <w:szCs w:val="22"/>
          <w:lang w:val="fr-FR"/>
        </w:rPr>
        <w:t>137</w:t>
      </w:r>
      <w:r>
        <w:rPr>
          <w:b/>
          <w:bCs/>
          <w:szCs w:val="22"/>
          <w:lang w:val="fr-FR"/>
        </w:rPr>
        <w:t> </w:t>
      </w:r>
      <w:r w:rsidRPr="00332F2C">
        <w:rPr>
          <w:b/>
          <w:bCs/>
          <w:szCs w:val="22"/>
          <w:lang w:val="fr-FR"/>
        </w:rPr>
        <w:t>870</w:t>
      </w:r>
    </w:p>
    <w:p w:rsidR="00A848F1" w:rsidRPr="00332F2C" w:rsidRDefault="00A848F1" w:rsidP="00A848F1">
      <w:pPr>
        <w:rPr>
          <w:lang w:val="fr-FR"/>
        </w:rPr>
      </w:pPr>
    </w:p>
    <w:p w:rsidR="00A848F1" w:rsidRDefault="00A848F1" w:rsidP="00A848F1">
      <w:pPr>
        <w:rPr>
          <w:lang w:val="fr-FR"/>
        </w:rPr>
      </w:pPr>
    </w:p>
    <w:p w:rsidR="00A848F1" w:rsidRPr="00332F2C" w:rsidRDefault="00A848F1" w:rsidP="00A848F1">
      <w:pPr>
        <w:autoSpaceDE w:val="0"/>
        <w:autoSpaceDN w:val="0"/>
        <w:adjustRightInd w:val="0"/>
        <w:rPr>
          <w:bCs/>
          <w:szCs w:val="22"/>
          <w:lang w:val="fr-FR"/>
        </w:rPr>
      </w:pPr>
      <w:r w:rsidRPr="00332F2C">
        <w:rPr>
          <w:bCs/>
          <w:szCs w:val="22"/>
          <w:lang w:val="fr-FR"/>
        </w:rPr>
        <w:t>I.</w:t>
      </w:r>
      <w:r w:rsidRPr="00332F2C">
        <w:rPr>
          <w:bCs/>
          <w:szCs w:val="22"/>
          <w:lang w:val="fr-FR"/>
        </w:rPr>
        <w:tab/>
      </w:r>
      <w:r w:rsidRPr="00332F2C">
        <w:rPr>
          <w:b/>
          <w:bCs/>
          <w:szCs w:val="22"/>
          <w:lang w:val="fr-FR"/>
        </w:rPr>
        <w:t>INTRODUCTION</w:t>
      </w:r>
    </w:p>
    <w:p w:rsidR="00A848F1" w:rsidRPr="00332F2C" w:rsidRDefault="00A848F1" w:rsidP="00A848F1">
      <w:pPr>
        <w:autoSpaceDE w:val="0"/>
        <w:autoSpaceDN w:val="0"/>
        <w:adjustRightInd w:val="0"/>
        <w:rPr>
          <w:bCs/>
          <w:szCs w:val="22"/>
          <w:lang w:val="fr-FR"/>
        </w:rPr>
      </w:pPr>
    </w:p>
    <w:p w:rsidR="00A848F1" w:rsidRPr="00332F2C" w:rsidRDefault="00A848F1" w:rsidP="00A848F1">
      <w:pPr>
        <w:autoSpaceDE w:val="0"/>
        <w:autoSpaceDN w:val="0"/>
        <w:adjustRightInd w:val="0"/>
        <w:ind w:firstLine="567"/>
        <w:rPr>
          <w:bCs/>
          <w:szCs w:val="22"/>
          <w:lang w:val="fr-FR"/>
        </w:rPr>
      </w:pPr>
      <w:r>
        <w:rPr>
          <w:bCs/>
          <w:szCs w:val="22"/>
          <w:lang w:val="fr-FR"/>
        </w:rPr>
        <w:t>Les exigences de divulgation se caractérisent par de simples exigences de transparence</w:t>
      </w:r>
      <w:r w:rsidRPr="00332F2C">
        <w:rPr>
          <w:bCs/>
          <w:szCs w:val="22"/>
          <w:lang w:val="fr-FR"/>
        </w:rPr>
        <w:t xml:space="preserve"> </w:t>
      </w:r>
      <w:r>
        <w:rPr>
          <w:bCs/>
          <w:szCs w:val="22"/>
          <w:lang w:val="fr-FR"/>
        </w:rPr>
        <w:t>qui ne doivent pas imposer un fardeau aux déposants de demandes de brevet.  D’après notre examen des exigences de divulgation, il semblerait que ces exigences soient difficiles à satisfaire pour les déposants et que ces derniers doivent divulguer de nombreuses sources pour toute ressource génétique utilisée à un moment donné pour créer l’invention, ainsi que pour celles qui auraient pu être utilisées.  Compte tenu de la quantité considérable d’informations éventuellement requises, nous nous interrogeons sur la pertinence d’une exigence de divulgation visant la transparence</w:t>
      </w:r>
      <w:r w:rsidRPr="00332F2C">
        <w:rPr>
          <w:bCs/>
          <w:szCs w:val="22"/>
          <w:lang w:val="fr-FR"/>
        </w:rPr>
        <w:t xml:space="preserve"> </w:t>
      </w:r>
      <w:r>
        <w:rPr>
          <w:bCs/>
          <w:szCs w:val="22"/>
          <w:lang w:val="fr-FR"/>
        </w:rPr>
        <w:t>et craignons qu’elle impose un fardeau aux déposants.  Par ailleurs, nous nous demandons si cette exigence ne risque pas de décourager les déposants de déposer des demandes de brevet pour certaines inventions et de diminuer ainsi davantage la transparence</w:t>
      </w:r>
      <w:r w:rsidRPr="00332F2C">
        <w:rPr>
          <w:bCs/>
          <w:szCs w:val="22"/>
          <w:lang w:val="fr-FR"/>
        </w:rPr>
        <w:t>.</w:t>
      </w:r>
    </w:p>
    <w:p w:rsidR="00A848F1" w:rsidRPr="00332F2C" w:rsidRDefault="00A848F1" w:rsidP="00A848F1">
      <w:pPr>
        <w:autoSpaceDE w:val="0"/>
        <w:autoSpaceDN w:val="0"/>
        <w:adjustRightInd w:val="0"/>
        <w:ind w:firstLine="567"/>
        <w:rPr>
          <w:bCs/>
          <w:szCs w:val="22"/>
          <w:lang w:val="fr-FR"/>
        </w:rPr>
      </w:pPr>
    </w:p>
    <w:p w:rsidR="00A848F1" w:rsidRDefault="00A848F1" w:rsidP="00A848F1">
      <w:pPr>
        <w:autoSpaceDE w:val="0"/>
        <w:autoSpaceDN w:val="0"/>
        <w:adjustRightInd w:val="0"/>
        <w:rPr>
          <w:bCs/>
          <w:i/>
          <w:szCs w:val="22"/>
          <w:lang w:val="fr-FR"/>
        </w:rPr>
      </w:pPr>
      <w:r>
        <w:rPr>
          <w:bCs/>
          <w:i/>
          <w:szCs w:val="22"/>
          <w:u w:val="single"/>
          <w:lang w:val="fr-FR"/>
        </w:rPr>
        <w:t>Observations formulées par la Suisse</w:t>
      </w:r>
      <w:r w:rsidRPr="00443869">
        <w:rPr>
          <w:bCs/>
          <w:i/>
          <w:szCs w:val="22"/>
          <w:lang w:val="fr-FR"/>
        </w:rPr>
        <w:t> :</w:t>
      </w:r>
      <w:r w:rsidRPr="00332F2C">
        <w:rPr>
          <w:bCs/>
          <w:i/>
          <w:szCs w:val="22"/>
          <w:lang w:val="fr-FR"/>
        </w:rPr>
        <w:t xml:space="preserve"> </w:t>
      </w:r>
      <w:r>
        <w:rPr>
          <w:bCs/>
          <w:i/>
          <w:szCs w:val="22"/>
          <w:lang w:val="fr-FR"/>
        </w:rPr>
        <w:t>De l’avis de la Suisse, aucune exigence de divulgation dans le système des brevets ne devrait imposer un fardeau aux déposants ou être difficile à satisfaire pour ces derniers.  C’est la raison pour laquelle une telle exigence doit être conçue sous forme de mesure simple, pratique et efficace pour accroître la transparence en ce qui concerne les ressources génétiques et les savoirs traditionnels</w:t>
      </w:r>
      <w:r w:rsidRPr="00332F2C">
        <w:rPr>
          <w:bCs/>
          <w:i/>
          <w:szCs w:val="22"/>
          <w:lang w:val="fr-FR"/>
        </w:rPr>
        <w:t>.</w:t>
      </w:r>
    </w:p>
    <w:p w:rsidR="00A848F1" w:rsidRPr="00332F2C" w:rsidRDefault="00A848F1" w:rsidP="00A848F1">
      <w:pPr>
        <w:autoSpaceDE w:val="0"/>
        <w:autoSpaceDN w:val="0"/>
        <w:adjustRightInd w:val="0"/>
        <w:ind w:firstLine="720"/>
        <w:rPr>
          <w:bCs/>
          <w:szCs w:val="22"/>
          <w:lang w:val="fr-FR"/>
        </w:rPr>
      </w:pPr>
    </w:p>
    <w:p w:rsidR="00A848F1" w:rsidRPr="00332F2C" w:rsidRDefault="00A848F1" w:rsidP="00A848F1">
      <w:pPr>
        <w:autoSpaceDE w:val="0"/>
        <w:autoSpaceDN w:val="0"/>
        <w:adjustRightInd w:val="0"/>
        <w:ind w:firstLine="567"/>
        <w:rPr>
          <w:bCs/>
          <w:szCs w:val="22"/>
          <w:lang w:val="fr-FR"/>
        </w:rPr>
      </w:pPr>
      <w:r>
        <w:rPr>
          <w:bCs/>
          <w:szCs w:val="22"/>
          <w:lang w:val="fr-FR"/>
        </w:rPr>
        <w:t>Pour mieux comprendre les exigences de divulgation, nous avons choisi la législation de la Suisse comme premier exemple.  Si cet exercice contribue à améliorer notre compréhension de l’exigence de divulgation en Suisse, nous l’appliquerons à la législation d’autres membres de l’Organisation Mondiale de la Propriété Intellectuelle</w:t>
      </w:r>
      <w:r w:rsidRPr="00332F2C">
        <w:rPr>
          <w:bCs/>
          <w:szCs w:val="22"/>
          <w:lang w:val="fr-FR"/>
        </w:rPr>
        <w:t xml:space="preserve"> (</w:t>
      </w:r>
      <w:r>
        <w:rPr>
          <w:bCs/>
          <w:szCs w:val="22"/>
          <w:lang w:val="fr-FR"/>
        </w:rPr>
        <w:t>OMPI)</w:t>
      </w:r>
      <w:r w:rsidRPr="00332F2C">
        <w:rPr>
          <w:bCs/>
          <w:szCs w:val="22"/>
          <w:lang w:val="fr-FR"/>
        </w:rPr>
        <w:t>.</w:t>
      </w:r>
      <w:r w:rsidRPr="00332F2C">
        <w:rPr>
          <w:bCs/>
          <w:szCs w:val="22"/>
          <w:lang w:val="fr-FR"/>
        </w:rPr>
        <w:br w:type="page"/>
      </w:r>
    </w:p>
    <w:p w:rsidR="00A848F1" w:rsidRPr="00332F2C" w:rsidRDefault="00A848F1" w:rsidP="00A848F1">
      <w:pPr>
        <w:autoSpaceDE w:val="0"/>
        <w:autoSpaceDN w:val="0"/>
        <w:adjustRightInd w:val="0"/>
        <w:rPr>
          <w:bCs/>
          <w:i/>
          <w:szCs w:val="22"/>
          <w:lang w:val="fr-FR"/>
        </w:rPr>
      </w:pPr>
      <w:r>
        <w:rPr>
          <w:bCs/>
          <w:i/>
          <w:szCs w:val="22"/>
          <w:u w:val="single"/>
          <w:lang w:val="fr-FR"/>
        </w:rPr>
        <w:t>Observations formulées par la Suisse</w:t>
      </w:r>
      <w:r w:rsidRPr="003B7631">
        <w:rPr>
          <w:bCs/>
          <w:i/>
          <w:szCs w:val="22"/>
          <w:lang w:val="fr-FR"/>
        </w:rPr>
        <w:t> :</w:t>
      </w:r>
      <w:r w:rsidRPr="00332F2C">
        <w:rPr>
          <w:bCs/>
          <w:i/>
          <w:szCs w:val="22"/>
          <w:lang w:val="fr-FR"/>
        </w:rPr>
        <w:t xml:space="preserve"> </w:t>
      </w:r>
      <w:r>
        <w:rPr>
          <w:bCs/>
          <w:i/>
          <w:szCs w:val="22"/>
          <w:lang w:val="fr-FR"/>
        </w:rPr>
        <w:t>Le document des États</w:t>
      </w:r>
      <w:r>
        <w:rPr>
          <w:bCs/>
          <w:i/>
          <w:szCs w:val="22"/>
          <w:lang w:val="fr-FR"/>
        </w:rPr>
        <w:noBreakHyphen/>
        <w:t>Unis d’Amérique examine non seulement la question de l’indication de la source dans</w:t>
      </w:r>
      <w:r w:rsidRPr="008D75E9">
        <w:rPr>
          <w:bCs/>
          <w:i/>
          <w:szCs w:val="22"/>
          <w:lang w:val="fr-FR"/>
        </w:rPr>
        <w:t xml:space="preserve"> la </w:t>
      </w:r>
      <w:proofErr w:type="spellStart"/>
      <w:r w:rsidRPr="008D75E9">
        <w:rPr>
          <w:bCs/>
          <w:i/>
          <w:szCs w:val="22"/>
          <w:lang w:val="fr-FR"/>
        </w:rPr>
        <w:t>LBI</w:t>
      </w:r>
      <w:proofErr w:type="spellEnd"/>
      <w:r>
        <w:rPr>
          <w:bCs/>
          <w:i/>
          <w:szCs w:val="22"/>
          <w:lang w:val="fr-FR"/>
        </w:rPr>
        <w:t>, mais également celle de la réglementation suisse relative à la mise en œuvre du Protocole de Nagoya.  Malheureusement, dans plusieurs paragraphes, le document des États</w:t>
      </w:r>
      <w:r>
        <w:rPr>
          <w:bCs/>
          <w:i/>
          <w:szCs w:val="22"/>
          <w:lang w:val="fr-FR"/>
        </w:rPr>
        <w:noBreakHyphen/>
        <w:t>Unis d’Amérique confond ces mesures</w:t>
      </w:r>
      <w:r w:rsidRPr="00332F2C">
        <w:rPr>
          <w:bCs/>
          <w:i/>
          <w:szCs w:val="22"/>
          <w:lang w:val="fr-FR"/>
        </w:rPr>
        <w:t xml:space="preserve"> (</w:t>
      </w:r>
      <w:r>
        <w:rPr>
          <w:bCs/>
          <w:i/>
          <w:szCs w:val="22"/>
          <w:lang w:val="fr-FR"/>
        </w:rPr>
        <w:t>voir en particulier les observations formulées par la Suisse en ce qui concerne la section III ci</w:t>
      </w:r>
      <w:r>
        <w:rPr>
          <w:bCs/>
          <w:i/>
          <w:szCs w:val="22"/>
          <w:lang w:val="fr-FR"/>
        </w:rPr>
        <w:noBreakHyphen/>
        <w:t>après</w:t>
      </w:r>
      <w:r w:rsidRPr="00332F2C">
        <w:rPr>
          <w:bCs/>
          <w:i/>
          <w:szCs w:val="22"/>
          <w:lang w:val="fr-FR"/>
        </w:rPr>
        <w:t>).</w:t>
      </w:r>
    </w:p>
    <w:p w:rsidR="00A848F1" w:rsidRPr="00332F2C" w:rsidRDefault="00A848F1" w:rsidP="00A848F1">
      <w:pPr>
        <w:autoSpaceDE w:val="0"/>
        <w:autoSpaceDN w:val="0"/>
        <w:adjustRightInd w:val="0"/>
        <w:rPr>
          <w:bCs/>
          <w:szCs w:val="22"/>
          <w:lang w:val="fr-FR"/>
        </w:rPr>
      </w:pPr>
    </w:p>
    <w:p w:rsidR="00A848F1" w:rsidRDefault="00A848F1" w:rsidP="00A848F1">
      <w:pPr>
        <w:autoSpaceDE w:val="0"/>
        <w:autoSpaceDN w:val="0"/>
        <w:adjustRightInd w:val="0"/>
        <w:ind w:firstLine="567"/>
        <w:rPr>
          <w:bCs/>
          <w:szCs w:val="22"/>
          <w:lang w:val="fr-FR"/>
        </w:rPr>
      </w:pPr>
      <w:r>
        <w:rPr>
          <w:bCs/>
          <w:szCs w:val="22"/>
          <w:lang w:val="fr-FR"/>
        </w:rPr>
        <w:t>Pour satisfaire aux mesures visant les utilisateurs relatives à l’accès et au partage des avantages, la Suisse exige, notamment :</w:t>
      </w:r>
      <w:r w:rsidRPr="00332F2C">
        <w:rPr>
          <w:bCs/>
          <w:szCs w:val="22"/>
          <w:lang w:val="fr-FR"/>
        </w:rPr>
        <w:t xml:space="preserve"> 1) </w:t>
      </w:r>
      <w:r>
        <w:rPr>
          <w:bCs/>
          <w:szCs w:val="22"/>
          <w:lang w:val="fr-FR"/>
        </w:rPr>
        <w:t>un devoir de diligence en ce qui concerne le respect des dispositions nationales en matière d’accès et de partage des avantages</w:t>
      </w:r>
      <w:r w:rsidRPr="00332F2C">
        <w:rPr>
          <w:bCs/>
          <w:szCs w:val="22"/>
          <w:lang w:val="fr-FR"/>
        </w:rPr>
        <w:t xml:space="preserve">, 2) </w:t>
      </w:r>
      <w:r>
        <w:rPr>
          <w:bCs/>
          <w:szCs w:val="22"/>
          <w:lang w:val="fr-FR"/>
        </w:rPr>
        <w:t>la notification du respect du devoir de diligence et</w:t>
      </w:r>
      <w:r w:rsidRPr="00332F2C">
        <w:rPr>
          <w:bCs/>
          <w:szCs w:val="22"/>
          <w:lang w:val="fr-FR"/>
        </w:rPr>
        <w:t xml:space="preserve"> 3) </w:t>
      </w:r>
      <w:r>
        <w:rPr>
          <w:bCs/>
          <w:szCs w:val="22"/>
          <w:lang w:val="fr-FR"/>
        </w:rPr>
        <w:t>l’indication de la source des ressources génétiques dans les demandes de brevet.  Le non</w:t>
      </w:r>
      <w:r>
        <w:rPr>
          <w:bCs/>
          <w:szCs w:val="22"/>
          <w:lang w:val="fr-FR"/>
        </w:rPr>
        <w:noBreakHyphen/>
        <w:t>respect de ces dispositions entraîne des sanctions pouvant aller d’une amende importante à une ordonnance de publication du jugement, voire au rejet de la demande de brevet.  Pour mieux comprendre la façon dont ces lois sont appliquées et pour favoriser un débat objectif à cet égard, les lois susmentionnées ont été appliquées dans le présent document à un brevet en particulier</w:t>
      </w:r>
      <w:r w:rsidRPr="00332F2C">
        <w:rPr>
          <w:bCs/>
          <w:szCs w:val="22"/>
          <w:lang w:val="fr-FR"/>
        </w:rPr>
        <w:t>.</w:t>
      </w:r>
    </w:p>
    <w:p w:rsidR="00A848F1" w:rsidRPr="00332F2C" w:rsidRDefault="00A848F1" w:rsidP="00A848F1">
      <w:pPr>
        <w:autoSpaceDE w:val="0"/>
        <w:autoSpaceDN w:val="0"/>
        <w:adjustRightInd w:val="0"/>
        <w:ind w:firstLine="720"/>
        <w:rPr>
          <w:bCs/>
          <w:i/>
          <w:szCs w:val="22"/>
          <w:u w:val="single"/>
          <w:lang w:val="fr-FR"/>
        </w:rPr>
      </w:pPr>
    </w:p>
    <w:p w:rsidR="00A848F1" w:rsidRPr="00332F2C" w:rsidRDefault="00A848F1" w:rsidP="00A848F1">
      <w:pPr>
        <w:autoSpaceDE w:val="0"/>
        <w:autoSpaceDN w:val="0"/>
        <w:adjustRightInd w:val="0"/>
        <w:rPr>
          <w:bCs/>
          <w:i/>
          <w:szCs w:val="22"/>
          <w:lang w:val="fr-FR"/>
        </w:rPr>
      </w:pPr>
      <w:r>
        <w:rPr>
          <w:bCs/>
          <w:i/>
          <w:szCs w:val="22"/>
          <w:u w:val="single"/>
          <w:lang w:val="fr-FR"/>
        </w:rPr>
        <w:t>Observations formulées par la Suisse</w:t>
      </w:r>
      <w:r w:rsidRPr="009D4133">
        <w:rPr>
          <w:bCs/>
          <w:i/>
          <w:szCs w:val="22"/>
          <w:lang w:val="fr-FR"/>
        </w:rPr>
        <w:t> :</w:t>
      </w:r>
      <w:r w:rsidRPr="00332F2C">
        <w:rPr>
          <w:bCs/>
          <w:i/>
          <w:szCs w:val="22"/>
          <w:lang w:val="fr-FR"/>
        </w:rPr>
        <w:t xml:space="preserve"> </w:t>
      </w:r>
      <w:r>
        <w:rPr>
          <w:bCs/>
          <w:i/>
          <w:szCs w:val="22"/>
          <w:lang w:val="fr-FR"/>
        </w:rPr>
        <w:t>Le contenu de ce paragraphe donne l’impression que le respect du devoir de diligence doit systématiquement être notifié.  Or, cette notification est exigée uniquement avant l’obtention de l’autorisation de mise sur le marché ou la commercialisation de produits dont le développement repose sur l’utilisation de ressources génétiques ou de connaissances traditionnelles associées à celles</w:t>
      </w:r>
      <w:r>
        <w:rPr>
          <w:bCs/>
          <w:i/>
          <w:szCs w:val="22"/>
          <w:lang w:val="fr-FR"/>
        </w:rPr>
        <w:noBreakHyphen/>
        <w:t>ci.  En outre, l’exigence de divulgation de la source s’applique uniquement lors du dépôt d’une demande de brevet.  Il s’agit donc de deux mesures distinctes qui s’appliquent dans des situations distinctes</w:t>
      </w:r>
      <w:r w:rsidRPr="00332F2C">
        <w:rPr>
          <w:bCs/>
          <w:i/>
          <w:szCs w:val="22"/>
          <w:lang w:val="fr-FR"/>
        </w:rPr>
        <w:t>.</w:t>
      </w:r>
    </w:p>
    <w:p w:rsidR="00A848F1" w:rsidRPr="00332F2C" w:rsidRDefault="00A848F1" w:rsidP="00A848F1">
      <w:pPr>
        <w:autoSpaceDE w:val="0"/>
        <w:autoSpaceDN w:val="0"/>
        <w:adjustRightInd w:val="0"/>
        <w:ind w:firstLine="567"/>
        <w:rPr>
          <w:bCs/>
          <w:i/>
          <w:szCs w:val="22"/>
          <w:lang w:val="fr-FR"/>
        </w:rPr>
      </w:pPr>
    </w:p>
    <w:p w:rsidR="00A848F1" w:rsidRPr="00332F2C" w:rsidRDefault="00A848F1" w:rsidP="00A848F1">
      <w:pPr>
        <w:autoSpaceDE w:val="0"/>
        <w:autoSpaceDN w:val="0"/>
        <w:adjustRightInd w:val="0"/>
        <w:rPr>
          <w:bCs/>
          <w:szCs w:val="22"/>
          <w:lang w:val="fr-FR"/>
        </w:rPr>
      </w:pPr>
    </w:p>
    <w:p w:rsidR="00A848F1" w:rsidRPr="00332F2C" w:rsidRDefault="00A848F1" w:rsidP="00A848F1">
      <w:pPr>
        <w:autoSpaceDE w:val="0"/>
        <w:autoSpaceDN w:val="0"/>
        <w:adjustRightInd w:val="0"/>
        <w:rPr>
          <w:bCs/>
          <w:szCs w:val="22"/>
          <w:lang w:val="fr-FR"/>
        </w:rPr>
      </w:pPr>
      <w:r w:rsidRPr="00332F2C">
        <w:rPr>
          <w:bCs/>
          <w:szCs w:val="22"/>
          <w:lang w:val="fr-FR"/>
        </w:rPr>
        <w:t>II.</w:t>
      </w:r>
      <w:r w:rsidRPr="00332F2C">
        <w:rPr>
          <w:bCs/>
          <w:szCs w:val="22"/>
          <w:lang w:val="fr-FR"/>
        </w:rPr>
        <w:tab/>
      </w:r>
      <w:r>
        <w:rPr>
          <w:b/>
          <w:bCs/>
          <w:szCs w:val="22"/>
          <w:lang w:val="fr-FR"/>
        </w:rPr>
        <w:t>CADRE JURIDIQUE</w:t>
      </w:r>
    </w:p>
    <w:p w:rsidR="00A848F1" w:rsidRPr="00332F2C" w:rsidRDefault="00A848F1" w:rsidP="00A848F1">
      <w:pPr>
        <w:autoSpaceDE w:val="0"/>
        <w:autoSpaceDN w:val="0"/>
        <w:adjustRightInd w:val="0"/>
        <w:rPr>
          <w:bCs/>
          <w:szCs w:val="22"/>
          <w:lang w:val="fr-FR"/>
        </w:rPr>
      </w:pPr>
    </w:p>
    <w:p w:rsidR="00A848F1" w:rsidRPr="00332F2C" w:rsidRDefault="00A848F1" w:rsidP="00A848F1">
      <w:pPr>
        <w:autoSpaceDE w:val="0"/>
        <w:autoSpaceDN w:val="0"/>
        <w:adjustRightInd w:val="0"/>
        <w:rPr>
          <w:bCs/>
          <w:szCs w:val="22"/>
          <w:lang w:val="fr-FR"/>
        </w:rPr>
      </w:pPr>
      <w:r w:rsidRPr="00332F2C">
        <w:rPr>
          <w:bCs/>
          <w:szCs w:val="22"/>
          <w:lang w:val="fr-FR"/>
        </w:rPr>
        <w:tab/>
      </w:r>
      <w:r>
        <w:rPr>
          <w:bCs/>
          <w:szCs w:val="22"/>
          <w:lang w:val="fr-FR"/>
        </w:rPr>
        <w:t>Les dispositions de la Suisse en matière d’accès et de partage des avantages, en ce qui concerne le devoir de diligence et l’obligation de notifier, figurent respectivement aux articles </w:t>
      </w:r>
      <w:proofErr w:type="spellStart"/>
      <w:r>
        <w:rPr>
          <w:bCs/>
          <w:szCs w:val="22"/>
          <w:lang w:val="fr-FR"/>
        </w:rPr>
        <w:t>23</w:t>
      </w:r>
      <w:r w:rsidRPr="00CC2E52">
        <w:rPr>
          <w:bCs/>
          <w:i/>
          <w:szCs w:val="22"/>
          <w:lang w:val="fr-FR"/>
        </w:rPr>
        <w:t>n</w:t>
      </w:r>
      <w:proofErr w:type="spellEnd"/>
      <w:r>
        <w:rPr>
          <w:bCs/>
          <w:szCs w:val="22"/>
          <w:lang w:val="fr-FR"/>
        </w:rPr>
        <w:t xml:space="preserve"> et </w:t>
      </w:r>
      <w:proofErr w:type="spellStart"/>
      <w:r>
        <w:rPr>
          <w:bCs/>
          <w:szCs w:val="22"/>
          <w:lang w:val="fr-FR"/>
        </w:rPr>
        <w:t>23</w:t>
      </w:r>
      <w:r w:rsidRPr="00CC2E52">
        <w:rPr>
          <w:bCs/>
          <w:i/>
          <w:szCs w:val="22"/>
          <w:lang w:val="fr-FR"/>
        </w:rPr>
        <w:t>o</w:t>
      </w:r>
      <w:proofErr w:type="spellEnd"/>
      <w:r>
        <w:rPr>
          <w:bCs/>
          <w:szCs w:val="22"/>
          <w:lang w:val="fr-FR"/>
        </w:rPr>
        <w:t xml:space="preserve"> de la Loi fédérale sur la protection de la nature et du paysage </w:t>
      </w:r>
      <w:r w:rsidRPr="00332F2C">
        <w:rPr>
          <w:bCs/>
          <w:szCs w:val="22"/>
          <w:lang w:val="fr-FR"/>
        </w:rPr>
        <w:t>(</w:t>
      </w:r>
      <w:proofErr w:type="spellStart"/>
      <w:r>
        <w:rPr>
          <w:bCs/>
          <w:szCs w:val="22"/>
          <w:lang w:val="fr-FR"/>
        </w:rPr>
        <w:t>LPN</w:t>
      </w:r>
      <w:proofErr w:type="spellEnd"/>
      <w:r>
        <w:rPr>
          <w:bCs/>
          <w:szCs w:val="22"/>
          <w:lang w:val="fr-FR"/>
        </w:rPr>
        <w:t>)</w:t>
      </w:r>
      <w:r w:rsidRPr="00332F2C">
        <w:rPr>
          <w:bCs/>
          <w:szCs w:val="22"/>
          <w:lang w:val="fr-FR"/>
        </w:rPr>
        <w:t xml:space="preserve">.  </w:t>
      </w:r>
      <w:r>
        <w:rPr>
          <w:bCs/>
          <w:szCs w:val="22"/>
          <w:lang w:val="fr-FR"/>
        </w:rPr>
        <w:t>L’article </w:t>
      </w:r>
      <w:proofErr w:type="spellStart"/>
      <w:r>
        <w:rPr>
          <w:bCs/>
          <w:szCs w:val="22"/>
          <w:lang w:val="fr-FR"/>
        </w:rPr>
        <w:t>24</w:t>
      </w:r>
      <w:r w:rsidRPr="00CC2E52">
        <w:rPr>
          <w:bCs/>
          <w:i/>
          <w:szCs w:val="22"/>
          <w:lang w:val="fr-FR"/>
        </w:rPr>
        <w:t>a</w:t>
      </w:r>
      <w:proofErr w:type="spellEnd"/>
      <w:r>
        <w:rPr>
          <w:bCs/>
          <w:szCs w:val="22"/>
          <w:lang w:val="fr-FR"/>
        </w:rPr>
        <w:t xml:space="preserve"> de</w:t>
      </w:r>
      <w:r w:rsidRPr="008D75E9">
        <w:rPr>
          <w:bCs/>
          <w:szCs w:val="22"/>
          <w:lang w:val="fr-FR"/>
        </w:rPr>
        <w:t xml:space="preserve"> la </w:t>
      </w:r>
      <w:proofErr w:type="spellStart"/>
      <w:r w:rsidRPr="008D75E9">
        <w:rPr>
          <w:bCs/>
          <w:szCs w:val="22"/>
          <w:lang w:val="fr-FR"/>
        </w:rPr>
        <w:t>LPN</w:t>
      </w:r>
      <w:proofErr w:type="spellEnd"/>
      <w:r>
        <w:rPr>
          <w:bCs/>
          <w:szCs w:val="22"/>
          <w:lang w:val="fr-FR"/>
        </w:rPr>
        <w:t xml:space="preserve"> décrit les peines encourues en cas de non</w:t>
      </w:r>
      <w:r>
        <w:rPr>
          <w:bCs/>
          <w:szCs w:val="22"/>
          <w:lang w:val="fr-FR"/>
        </w:rPr>
        <w:noBreakHyphen/>
        <w:t>respect de ces dispositions.  En outre, l’article </w:t>
      </w:r>
      <w:r w:rsidRPr="00332F2C">
        <w:rPr>
          <w:bCs/>
          <w:szCs w:val="22"/>
          <w:lang w:val="fr-FR"/>
        </w:rPr>
        <w:t xml:space="preserve">49 </w:t>
      </w:r>
      <w:r>
        <w:rPr>
          <w:bCs/>
          <w:szCs w:val="22"/>
          <w:lang w:val="fr-FR"/>
        </w:rPr>
        <w:t xml:space="preserve">de la loi fédérale sur les brevets d’invention </w:t>
      </w:r>
      <w:r w:rsidRPr="00332F2C">
        <w:rPr>
          <w:bCs/>
          <w:szCs w:val="22"/>
          <w:lang w:val="fr-FR"/>
        </w:rPr>
        <w:t>(</w:t>
      </w:r>
      <w:r>
        <w:rPr>
          <w:bCs/>
          <w:szCs w:val="22"/>
          <w:lang w:val="fr-FR"/>
        </w:rPr>
        <w:t xml:space="preserve">Loi sur les brevets, </w:t>
      </w:r>
      <w:proofErr w:type="spellStart"/>
      <w:r>
        <w:rPr>
          <w:bCs/>
          <w:szCs w:val="22"/>
          <w:lang w:val="fr-FR"/>
        </w:rPr>
        <w:t>LBI</w:t>
      </w:r>
      <w:proofErr w:type="spellEnd"/>
      <w:r>
        <w:rPr>
          <w:bCs/>
          <w:szCs w:val="22"/>
          <w:lang w:val="fr-FR"/>
        </w:rPr>
        <w:t>)</w:t>
      </w:r>
      <w:r w:rsidRPr="00332F2C">
        <w:rPr>
          <w:bCs/>
          <w:szCs w:val="22"/>
          <w:lang w:val="fr-FR"/>
        </w:rPr>
        <w:t xml:space="preserve"> </w:t>
      </w:r>
      <w:r>
        <w:rPr>
          <w:bCs/>
          <w:szCs w:val="22"/>
          <w:lang w:val="fr-FR"/>
        </w:rPr>
        <w:t>exige la divulgation de la source dans les demandes de brevet.  Le non</w:t>
      </w:r>
      <w:r>
        <w:rPr>
          <w:bCs/>
          <w:szCs w:val="22"/>
          <w:lang w:val="fr-FR"/>
        </w:rPr>
        <w:noBreakHyphen/>
        <w:t>respect de cette disposition peut entraîner les sanctions applicables avant la délivrance prévues à l’article </w:t>
      </w:r>
      <w:proofErr w:type="spellStart"/>
      <w:r>
        <w:rPr>
          <w:bCs/>
          <w:szCs w:val="22"/>
          <w:lang w:val="fr-FR"/>
        </w:rPr>
        <w:t>59</w:t>
      </w:r>
      <w:r w:rsidRPr="00CC2E52">
        <w:rPr>
          <w:bCs/>
          <w:i/>
          <w:szCs w:val="22"/>
          <w:lang w:val="fr-FR"/>
        </w:rPr>
        <w:t>a</w:t>
      </w:r>
      <w:proofErr w:type="spellEnd"/>
      <w:r>
        <w:rPr>
          <w:bCs/>
          <w:szCs w:val="22"/>
          <w:lang w:val="fr-FR"/>
        </w:rPr>
        <w:t xml:space="preserve"> et les sanctions applicables après la délivrance prévues à l’article </w:t>
      </w:r>
      <w:proofErr w:type="spellStart"/>
      <w:r>
        <w:rPr>
          <w:bCs/>
          <w:szCs w:val="22"/>
          <w:lang w:val="fr-FR"/>
        </w:rPr>
        <w:t>81</w:t>
      </w:r>
      <w:r w:rsidRPr="00CC2E52">
        <w:rPr>
          <w:bCs/>
          <w:i/>
          <w:szCs w:val="22"/>
          <w:lang w:val="fr-FR"/>
        </w:rPr>
        <w:t>a</w:t>
      </w:r>
      <w:proofErr w:type="spellEnd"/>
      <w:r w:rsidRPr="00332F2C">
        <w:rPr>
          <w:bCs/>
          <w:szCs w:val="22"/>
          <w:lang w:val="fr-FR"/>
        </w:rPr>
        <w:t>.</w:t>
      </w:r>
    </w:p>
    <w:p w:rsidR="00A848F1" w:rsidRPr="00332F2C" w:rsidRDefault="00A848F1" w:rsidP="00A848F1">
      <w:pPr>
        <w:autoSpaceDE w:val="0"/>
        <w:autoSpaceDN w:val="0"/>
        <w:adjustRightInd w:val="0"/>
        <w:rPr>
          <w:bCs/>
          <w:szCs w:val="22"/>
          <w:lang w:val="fr-FR"/>
        </w:rPr>
      </w:pPr>
    </w:p>
    <w:p w:rsidR="00A848F1" w:rsidRPr="00332F2C" w:rsidRDefault="00A848F1" w:rsidP="00A848F1">
      <w:pPr>
        <w:autoSpaceDE w:val="0"/>
        <w:autoSpaceDN w:val="0"/>
        <w:adjustRightInd w:val="0"/>
        <w:rPr>
          <w:bCs/>
          <w:szCs w:val="22"/>
          <w:lang w:val="fr-FR"/>
        </w:rPr>
      </w:pPr>
      <w:r>
        <w:rPr>
          <w:bCs/>
          <w:i/>
          <w:szCs w:val="22"/>
          <w:u w:val="single"/>
          <w:lang w:val="fr-FR"/>
        </w:rPr>
        <w:t>Observations formulées par la Suisse</w:t>
      </w:r>
      <w:r w:rsidRPr="00203FC0">
        <w:rPr>
          <w:bCs/>
          <w:i/>
          <w:szCs w:val="22"/>
          <w:lang w:val="fr-FR"/>
        </w:rPr>
        <w:t> :</w:t>
      </w:r>
      <w:r w:rsidRPr="00332F2C">
        <w:rPr>
          <w:bCs/>
          <w:i/>
          <w:szCs w:val="22"/>
          <w:lang w:val="fr-FR"/>
        </w:rPr>
        <w:t xml:space="preserve"> </w:t>
      </w:r>
      <w:r>
        <w:rPr>
          <w:bCs/>
          <w:i/>
          <w:szCs w:val="22"/>
          <w:lang w:val="fr-FR"/>
        </w:rPr>
        <w:t>Le cadre juridique suisse relatif aux ressources génétiques et aux connaissances traditionnelles comprend également d’autres articles, lois et ordonnances pertinents qui n’ont pas été mentionnés, ou alors de façon incomplète, dans le document des États</w:t>
      </w:r>
      <w:r>
        <w:rPr>
          <w:bCs/>
          <w:i/>
          <w:szCs w:val="22"/>
          <w:lang w:val="fr-FR"/>
        </w:rPr>
        <w:noBreakHyphen/>
        <w:t>Unis d’Amérique.  À noter, en particulier, que les articles </w:t>
      </w:r>
      <w:proofErr w:type="spellStart"/>
      <w:r w:rsidRPr="00332F2C">
        <w:rPr>
          <w:bCs/>
          <w:i/>
          <w:szCs w:val="22"/>
          <w:lang w:val="fr-FR"/>
        </w:rPr>
        <w:t>23p</w:t>
      </w:r>
      <w:proofErr w:type="spellEnd"/>
      <w:r w:rsidRPr="00332F2C">
        <w:rPr>
          <w:bCs/>
          <w:i/>
          <w:szCs w:val="22"/>
          <w:lang w:val="fr-FR"/>
        </w:rPr>
        <w:t xml:space="preserve">, </w:t>
      </w:r>
      <w:proofErr w:type="spellStart"/>
      <w:r w:rsidRPr="00332F2C">
        <w:rPr>
          <w:bCs/>
          <w:i/>
          <w:szCs w:val="22"/>
          <w:lang w:val="fr-FR"/>
        </w:rPr>
        <w:t>23q</w:t>
      </w:r>
      <w:proofErr w:type="spellEnd"/>
      <w:r w:rsidRPr="00332F2C">
        <w:rPr>
          <w:bCs/>
          <w:i/>
          <w:szCs w:val="22"/>
          <w:lang w:val="fr-FR"/>
        </w:rPr>
        <w:t xml:space="preserve">, 24h </w:t>
      </w:r>
      <w:r>
        <w:rPr>
          <w:bCs/>
          <w:i/>
          <w:szCs w:val="22"/>
          <w:lang w:val="fr-FR"/>
        </w:rPr>
        <w:t>al. </w:t>
      </w:r>
      <w:r w:rsidRPr="00332F2C">
        <w:rPr>
          <w:bCs/>
          <w:i/>
          <w:szCs w:val="22"/>
          <w:lang w:val="fr-FR"/>
        </w:rPr>
        <w:t xml:space="preserve">3, </w:t>
      </w:r>
      <w:r>
        <w:rPr>
          <w:bCs/>
          <w:i/>
          <w:szCs w:val="22"/>
          <w:lang w:val="fr-FR"/>
        </w:rPr>
        <w:t>et</w:t>
      </w:r>
      <w:r w:rsidRPr="00332F2C">
        <w:rPr>
          <w:bCs/>
          <w:i/>
          <w:szCs w:val="22"/>
          <w:lang w:val="fr-FR"/>
        </w:rPr>
        <w:t xml:space="preserve"> </w:t>
      </w:r>
      <w:proofErr w:type="spellStart"/>
      <w:r w:rsidRPr="00332F2C">
        <w:rPr>
          <w:bCs/>
          <w:i/>
          <w:szCs w:val="22"/>
          <w:lang w:val="fr-FR"/>
        </w:rPr>
        <w:t>25d</w:t>
      </w:r>
      <w:proofErr w:type="spellEnd"/>
      <w:r w:rsidRPr="00332F2C">
        <w:rPr>
          <w:bCs/>
          <w:i/>
          <w:szCs w:val="22"/>
          <w:lang w:val="fr-FR"/>
        </w:rPr>
        <w:t xml:space="preserve"> </w:t>
      </w:r>
      <w:r>
        <w:rPr>
          <w:bCs/>
          <w:i/>
          <w:szCs w:val="22"/>
          <w:lang w:val="fr-FR"/>
        </w:rPr>
        <w:t>de</w:t>
      </w:r>
      <w:r w:rsidRPr="008D75E9">
        <w:rPr>
          <w:bCs/>
          <w:i/>
          <w:szCs w:val="22"/>
          <w:lang w:val="fr-FR"/>
        </w:rPr>
        <w:t xml:space="preserve"> la </w:t>
      </w:r>
      <w:proofErr w:type="spellStart"/>
      <w:r w:rsidRPr="008D75E9">
        <w:rPr>
          <w:bCs/>
          <w:i/>
          <w:szCs w:val="22"/>
          <w:lang w:val="fr-FR"/>
        </w:rPr>
        <w:t>LPN</w:t>
      </w:r>
      <w:proofErr w:type="spellEnd"/>
      <w:r>
        <w:rPr>
          <w:bCs/>
          <w:i/>
          <w:szCs w:val="22"/>
          <w:lang w:val="fr-FR"/>
        </w:rPr>
        <w:t>, l’</w:t>
      </w:r>
      <w:r w:rsidRPr="00A328BD">
        <w:rPr>
          <w:bCs/>
          <w:i/>
          <w:szCs w:val="22"/>
          <w:lang w:val="fr-FR"/>
        </w:rPr>
        <w:t>Ordonnance sur l</w:t>
      </w:r>
      <w:r>
        <w:rPr>
          <w:bCs/>
          <w:i/>
          <w:szCs w:val="22"/>
          <w:lang w:val="fr-FR"/>
        </w:rPr>
        <w:t>’</w:t>
      </w:r>
      <w:r w:rsidRPr="00A328BD">
        <w:rPr>
          <w:bCs/>
          <w:i/>
          <w:szCs w:val="22"/>
          <w:lang w:val="fr-FR"/>
        </w:rPr>
        <w:t xml:space="preserve">accès aux ressources génétiques et le partage juste et équitable des avantages découlant de leur utilisation (Ordonnance de Nagoya, </w:t>
      </w:r>
      <w:proofErr w:type="spellStart"/>
      <w:r w:rsidRPr="00A328BD">
        <w:rPr>
          <w:bCs/>
          <w:i/>
          <w:szCs w:val="22"/>
          <w:lang w:val="fr-FR"/>
        </w:rPr>
        <w:t>ONag</w:t>
      </w:r>
      <w:proofErr w:type="spellEnd"/>
      <w:r w:rsidRPr="00A328BD">
        <w:rPr>
          <w:bCs/>
          <w:i/>
          <w:szCs w:val="22"/>
          <w:lang w:val="fr-FR"/>
        </w:rPr>
        <w:t xml:space="preserve">) </w:t>
      </w:r>
      <w:r>
        <w:rPr>
          <w:bCs/>
          <w:i/>
          <w:szCs w:val="22"/>
          <w:lang w:val="fr-FR"/>
        </w:rPr>
        <w:t>et l’</w:t>
      </w:r>
      <w:r w:rsidRPr="00A328BD">
        <w:rPr>
          <w:bCs/>
          <w:i/>
          <w:szCs w:val="22"/>
          <w:lang w:val="fr-FR"/>
        </w:rPr>
        <w:t>Ordonnance relative aux brevets d</w:t>
      </w:r>
      <w:r>
        <w:rPr>
          <w:bCs/>
          <w:i/>
          <w:szCs w:val="22"/>
          <w:lang w:val="fr-FR"/>
        </w:rPr>
        <w:t>’</w:t>
      </w:r>
      <w:r w:rsidRPr="00A328BD">
        <w:rPr>
          <w:bCs/>
          <w:i/>
          <w:szCs w:val="22"/>
          <w:lang w:val="fr-FR"/>
        </w:rPr>
        <w:t>invention (Ordonnance sur les brevets, OBI)</w:t>
      </w:r>
      <w:r w:rsidRPr="00332F2C">
        <w:rPr>
          <w:bCs/>
          <w:i/>
          <w:szCs w:val="22"/>
          <w:lang w:val="fr-FR"/>
        </w:rPr>
        <w:t xml:space="preserve"> </w:t>
      </w:r>
      <w:r>
        <w:rPr>
          <w:bCs/>
          <w:i/>
          <w:szCs w:val="22"/>
          <w:lang w:val="fr-FR"/>
        </w:rPr>
        <w:t>ne sont mentionnés nulle part dans le document des États</w:t>
      </w:r>
      <w:r>
        <w:rPr>
          <w:bCs/>
          <w:i/>
          <w:szCs w:val="22"/>
          <w:lang w:val="fr-FR"/>
        </w:rPr>
        <w:noBreakHyphen/>
        <w:t xml:space="preserve">Unis d’Amérique.  En outre, il n’est fait aucune mention des dispositions relatives à la mise en œuvre du </w:t>
      </w:r>
      <w:r w:rsidRPr="0007362F">
        <w:rPr>
          <w:bCs/>
          <w:i/>
          <w:szCs w:val="22"/>
          <w:lang w:val="fr-FR"/>
        </w:rPr>
        <w:t>Traité international sur les ressources phytogénétiques pour l</w:t>
      </w:r>
      <w:r>
        <w:rPr>
          <w:bCs/>
          <w:i/>
          <w:szCs w:val="22"/>
          <w:lang w:val="fr-FR"/>
        </w:rPr>
        <w:t>’</w:t>
      </w:r>
      <w:r w:rsidRPr="0007362F">
        <w:rPr>
          <w:bCs/>
          <w:i/>
          <w:szCs w:val="22"/>
          <w:lang w:val="fr-FR"/>
        </w:rPr>
        <w:t>alimentation et l</w:t>
      </w:r>
      <w:r>
        <w:rPr>
          <w:bCs/>
          <w:i/>
          <w:szCs w:val="22"/>
          <w:lang w:val="fr-FR"/>
        </w:rPr>
        <w:t>’</w:t>
      </w:r>
      <w:r w:rsidRPr="0007362F">
        <w:rPr>
          <w:bCs/>
          <w:i/>
          <w:szCs w:val="22"/>
          <w:lang w:val="fr-FR"/>
        </w:rPr>
        <w:t xml:space="preserve">agriculture </w:t>
      </w:r>
      <w:r w:rsidRPr="00332F2C">
        <w:rPr>
          <w:bCs/>
          <w:i/>
          <w:szCs w:val="22"/>
          <w:lang w:val="fr-FR"/>
        </w:rPr>
        <w:t>(</w:t>
      </w:r>
      <w:proofErr w:type="spellStart"/>
      <w:r w:rsidRPr="00332F2C">
        <w:rPr>
          <w:bCs/>
          <w:i/>
          <w:szCs w:val="22"/>
          <w:lang w:val="fr-FR"/>
        </w:rPr>
        <w:t>ITPGRFA</w:t>
      </w:r>
      <w:proofErr w:type="spellEnd"/>
      <w:r w:rsidRPr="00332F2C">
        <w:rPr>
          <w:bCs/>
          <w:i/>
          <w:szCs w:val="22"/>
          <w:lang w:val="fr-FR"/>
        </w:rPr>
        <w:t xml:space="preserve">), </w:t>
      </w:r>
      <w:r>
        <w:rPr>
          <w:bCs/>
          <w:i/>
          <w:szCs w:val="22"/>
          <w:lang w:val="fr-FR"/>
        </w:rPr>
        <w:t>notamment des articles </w:t>
      </w:r>
      <w:proofErr w:type="spellStart"/>
      <w:r w:rsidRPr="00332F2C">
        <w:rPr>
          <w:bCs/>
          <w:i/>
          <w:szCs w:val="22"/>
          <w:lang w:val="fr-FR"/>
        </w:rPr>
        <w:t>147a</w:t>
      </w:r>
      <w:proofErr w:type="spellEnd"/>
      <w:r w:rsidRPr="00332F2C">
        <w:rPr>
          <w:bCs/>
          <w:i/>
          <w:szCs w:val="22"/>
          <w:lang w:val="fr-FR"/>
        </w:rPr>
        <w:t xml:space="preserve"> </w:t>
      </w:r>
      <w:r>
        <w:rPr>
          <w:bCs/>
          <w:i/>
          <w:szCs w:val="22"/>
          <w:lang w:val="fr-FR"/>
        </w:rPr>
        <w:t>et</w:t>
      </w:r>
      <w:r w:rsidRPr="00332F2C">
        <w:rPr>
          <w:bCs/>
          <w:i/>
          <w:szCs w:val="22"/>
          <w:lang w:val="fr-FR"/>
        </w:rPr>
        <w:t xml:space="preserve"> </w:t>
      </w:r>
      <w:proofErr w:type="spellStart"/>
      <w:r w:rsidRPr="00332F2C">
        <w:rPr>
          <w:bCs/>
          <w:i/>
          <w:szCs w:val="22"/>
          <w:lang w:val="fr-FR"/>
        </w:rPr>
        <w:t>147b</w:t>
      </w:r>
      <w:proofErr w:type="spellEnd"/>
      <w:r w:rsidRPr="00332F2C">
        <w:rPr>
          <w:bCs/>
          <w:i/>
          <w:szCs w:val="22"/>
          <w:lang w:val="fr-FR"/>
        </w:rPr>
        <w:t xml:space="preserve"> </w:t>
      </w:r>
      <w:r>
        <w:rPr>
          <w:bCs/>
          <w:i/>
          <w:szCs w:val="22"/>
          <w:lang w:val="fr-FR"/>
        </w:rPr>
        <w:t xml:space="preserve">de la </w:t>
      </w:r>
      <w:r w:rsidRPr="0007362F">
        <w:rPr>
          <w:bCs/>
          <w:i/>
          <w:szCs w:val="22"/>
          <w:lang w:val="fr-FR"/>
        </w:rPr>
        <w:t>Loi fédérale sur l</w:t>
      </w:r>
      <w:r>
        <w:rPr>
          <w:bCs/>
          <w:i/>
          <w:szCs w:val="22"/>
          <w:lang w:val="fr-FR"/>
        </w:rPr>
        <w:t>’</w:t>
      </w:r>
      <w:r w:rsidRPr="0007362F">
        <w:rPr>
          <w:bCs/>
          <w:i/>
          <w:szCs w:val="22"/>
          <w:lang w:val="fr-FR"/>
        </w:rPr>
        <w:t>agriculture (</w:t>
      </w:r>
      <w:proofErr w:type="spellStart"/>
      <w:r w:rsidRPr="0007362F">
        <w:rPr>
          <w:bCs/>
          <w:i/>
          <w:szCs w:val="22"/>
          <w:lang w:val="fr-FR"/>
        </w:rPr>
        <w:t>LAgr</w:t>
      </w:r>
      <w:proofErr w:type="spellEnd"/>
      <w:r w:rsidRPr="0007362F">
        <w:rPr>
          <w:bCs/>
          <w:i/>
          <w:szCs w:val="22"/>
          <w:lang w:val="fr-FR"/>
        </w:rPr>
        <w:t>)</w:t>
      </w:r>
      <w:r>
        <w:rPr>
          <w:bCs/>
          <w:i/>
          <w:szCs w:val="22"/>
          <w:lang w:val="fr-FR"/>
        </w:rPr>
        <w:t>, ni de l’</w:t>
      </w:r>
      <w:r w:rsidRPr="0007362F">
        <w:rPr>
          <w:bCs/>
          <w:i/>
          <w:szCs w:val="22"/>
          <w:lang w:val="fr-FR"/>
        </w:rPr>
        <w:t>Ordonnance sur la conservation et l</w:t>
      </w:r>
      <w:r>
        <w:rPr>
          <w:bCs/>
          <w:i/>
          <w:szCs w:val="22"/>
          <w:lang w:val="fr-FR"/>
        </w:rPr>
        <w:t>’</w:t>
      </w:r>
      <w:r w:rsidRPr="0007362F">
        <w:rPr>
          <w:bCs/>
          <w:i/>
          <w:szCs w:val="22"/>
          <w:lang w:val="fr-FR"/>
        </w:rPr>
        <w:t>utilisation durable de ressources phytogénétiques pour l</w:t>
      </w:r>
      <w:r>
        <w:rPr>
          <w:bCs/>
          <w:i/>
          <w:szCs w:val="22"/>
          <w:lang w:val="fr-FR"/>
        </w:rPr>
        <w:t>’</w:t>
      </w:r>
      <w:r w:rsidRPr="0007362F">
        <w:rPr>
          <w:bCs/>
          <w:i/>
          <w:szCs w:val="22"/>
          <w:lang w:val="fr-FR"/>
        </w:rPr>
        <w:t>alimentation et l</w:t>
      </w:r>
      <w:r>
        <w:rPr>
          <w:bCs/>
          <w:i/>
          <w:szCs w:val="22"/>
          <w:lang w:val="fr-FR"/>
        </w:rPr>
        <w:t>’</w:t>
      </w:r>
      <w:r w:rsidRPr="0007362F">
        <w:rPr>
          <w:bCs/>
          <w:i/>
          <w:szCs w:val="22"/>
          <w:lang w:val="fr-FR"/>
        </w:rPr>
        <w:t>agriculture (</w:t>
      </w:r>
      <w:proofErr w:type="spellStart"/>
      <w:r w:rsidRPr="0007362F">
        <w:rPr>
          <w:bCs/>
          <w:i/>
          <w:szCs w:val="22"/>
          <w:lang w:val="fr-FR"/>
        </w:rPr>
        <w:t>ORPGAA</w:t>
      </w:r>
      <w:proofErr w:type="spellEnd"/>
      <w:r w:rsidRPr="0007362F">
        <w:rPr>
          <w:bCs/>
          <w:i/>
          <w:szCs w:val="22"/>
          <w:lang w:val="fr-FR"/>
        </w:rPr>
        <w:t>)</w:t>
      </w:r>
      <w:r w:rsidRPr="00332F2C">
        <w:rPr>
          <w:bCs/>
          <w:i/>
          <w:szCs w:val="22"/>
          <w:lang w:val="fr-FR"/>
        </w:rPr>
        <w:t xml:space="preserve">.  </w:t>
      </w:r>
      <w:r>
        <w:rPr>
          <w:bCs/>
          <w:i/>
          <w:szCs w:val="22"/>
          <w:lang w:val="fr-FR"/>
        </w:rPr>
        <w:t>Enfin, pour bien comprendre et appliquer le cadre juridique suisse</w:t>
      </w:r>
      <w:r w:rsidRPr="00332F2C">
        <w:rPr>
          <w:bCs/>
          <w:i/>
          <w:szCs w:val="22"/>
          <w:lang w:val="fr-FR"/>
        </w:rPr>
        <w:t xml:space="preserve">, </w:t>
      </w:r>
      <w:r>
        <w:rPr>
          <w:bCs/>
          <w:i/>
          <w:szCs w:val="22"/>
          <w:lang w:val="fr-FR"/>
        </w:rPr>
        <w:t>il faut également tenir compte des messages du Conseil fédéral au Parlement et des rapports explicatifs.  Par conséquent, les articles choisis par la délégation des États</w:t>
      </w:r>
      <w:r>
        <w:rPr>
          <w:bCs/>
          <w:i/>
          <w:szCs w:val="22"/>
          <w:lang w:val="fr-FR"/>
        </w:rPr>
        <w:noBreakHyphen/>
        <w:t>Unis d’Amérique ne donnent pas une image complète et exacte du cadre juridique suisse.  On trouvera une description complète du cadre juridique suisse dans la partie principale du présent document, ainsi que la liste des dispositions juridiques pertinentes dans l’appendice 1 ci</w:t>
      </w:r>
      <w:r>
        <w:rPr>
          <w:bCs/>
          <w:i/>
          <w:szCs w:val="22"/>
          <w:lang w:val="fr-FR"/>
        </w:rPr>
        <w:noBreakHyphen/>
        <w:t>dessus</w:t>
      </w:r>
      <w:r w:rsidRPr="00332F2C">
        <w:rPr>
          <w:bCs/>
          <w:i/>
          <w:szCs w:val="22"/>
          <w:lang w:val="fr-FR"/>
        </w:rPr>
        <w:t>.</w:t>
      </w:r>
      <w:r w:rsidRPr="00332F2C">
        <w:rPr>
          <w:bCs/>
          <w:szCs w:val="22"/>
          <w:lang w:val="fr-FR"/>
        </w:rPr>
        <w:br w:type="page"/>
      </w:r>
    </w:p>
    <w:p w:rsidR="00A848F1" w:rsidRPr="00332F2C" w:rsidRDefault="00A848F1" w:rsidP="00A848F1">
      <w:pPr>
        <w:kinsoku w:val="0"/>
        <w:overflowPunct w:val="0"/>
        <w:autoSpaceDE w:val="0"/>
        <w:autoSpaceDN w:val="0"/>
        <w:adjustRightInd w:val="0"/>
        <w:spacing w:before="116"/>
        <w:jc w:val="both"/>
        <w:rPr>
          <w:b/>
          <w:bCs/>
          <w:spacing w:val="-1"/>
          <w:szCs w:val="22"/>
          <w:lang w:val="fr-FR"/>
        </w:rPr>
      </w:pPr>
      <w:r w:rsidRPr="00332F2C">
        <w:rPr>
          <w:bCs/>
          <w:spacing w:val="-1"/>
          <w:szCs w:val="22"/>
          <w:lang w:val="fr-FR"/>
        </w:rPr>
        <w:t>1.</w:t>
      </w:r>
      <w:r>
        <w:rPr>
          <w:bCs/>
          <w:spacing w:val="-1"/>
          <w:szCs w:val="22"/>
          <w:lang w:val="fr-FR"/>
        </w:rPr>
        <w:tab/>
      </w:r>
      <w:r>
        <w:rPr>
          <w:b/>
          <w:bCs/>
          <w:spacing w:val="-1"/>
          <w:szCs w:val="22"/>
          <w:lang w:val="fr-FR"/>
        </w:rPr>
        <w:t xml:space="preserve">Exigences prévues par la </w:t>
      </w:r>
      <w:r w:rsidRPr="00536AEA">
        <w:rPr>
          <w:b/>
          <w:bCs/>
          <w:spacing w:val="-1"/>
          <w:szCs w:val="22"/>
          <w:lang w:val="fr-FR"/>
        </w:rPr>
        <w:t>Loi fédérale sur la protection de la nature et du paysage (</w:t>
      </w:r>
      <w:proofErr w:type="spellStart"/>
      <w:r w:rsidRPr="00536AEA">
        <w:rPr>
          <w:b/>
          <w:bCs/>
          <w:spacing w:val="-1"/>
          <w:szCs w:val="22"/>
          <w:lang w:val="fr-FR"/>
        </w:rPr>
        <w:t>LPN</w:t>
      </w:r>
      <w:proofErr w:type="spellEnd"/>
      <w:r w:rsidRPr="00536AEA">
        <w:rPr>
          <w:b/>
          <w:bCs/>
          <w:spacing w:val="-1"/>
          <w:szCs w:val="22"/>
          <w:lang w:val="fr-FR"/>
        </w:rPr>
        <w:t>)</w:t>
      </w:r>
    </w:p>
    <w:p w:rsidR="00A848F1" w:rsidRPr="00332F2C" w:rsidRDefault="00A848F1" w:rsidP="00A848F1">
      <w:pPr>
        <w:kinsoku w:val="0"/>
        <w:overflowPunct w:val="0"/>
        <w:autoSpaceDE w:val="0"/>
        <w:autoSpaceDN w:val="0"/>
        <w:adjustRightInd w:val="0"/>
        <w:jc w:val="both"/>
        <w:rPr>
          <w:b/>
          <w:bCs/>
          <w:spacing w:val="-1"/>
          <w:szCs w:val="22"/>
          <w:lang w:val="fr-FR"/>
        </w:rPr>
      </w:pPr>
    </w:p>
    <w:p w:rsidR="00A848F1" w:rsidRDefault="00A848F1" w:rsidP="00A848F1">
      <w:pPr>
        <w:kinsoku w:val="0"/>
        <w:overflowPunct w:val="0"/>
        <w:autoSpaceDE w:val="0"/>
        <w:autoSpaceDN w:val="0"/>
        <w:adjustRightInd w:val="0"/>
        <w:jc w:val="both"/>
        <w:rPr>
          <w:b/>
          <w:bCs/>
          <w:spacing w:val="-1"/>
          <w:szCs w:val="22"/>
          <w:lang w:val="fr-FR"/>
        </w:rPr>
      </w:pPr>
      <w:r w:rsidRPr="00332F2C">
        <w:rPr>
          <w:bCs/>
          <w:spacing w:val="-1"/>
          <w:szCs w:val="22"/>
          <w:lang w:val="fr-FR"/>
        </w:rPr>
        <w:t>A.</w:t>
      </w:r>
      <w:r>
        <w:rPr>
          <w:bCs/>
          <w:spacing w:val="-1"/>
          <w:szCs w:val="22"/>
          <w:lang w:val="fr-FR"/>
        </w:rPr>
        <w:tab/>
      </w:r>
      <w:r>
        <w:rPr>
          <w:b/>
          <w:bCs/>
          <w:spacing w:val="-1"/>
          <w:szCs w:val="22"/>
          <w:lang w:val="fr-FR"/>
        </w:rPr>
        <w:t>Exigence relative au devoir de diligence</w:t>
      </w:r>
    </w:p>
    <w:p w:rsidR="00A848F1" w:rsidRPr="00332F2C" w:rsidRDefault="00A848F1" w:rsidP="00A848F1">
      <w:pPr>
        <w:kinsoku w:val="0"/>
        <w:overflowPunct w:val="0"/>
        <w:autoSpaceDE w:val="0"/>
        <w:autoSpaceDN w:val="0"/>
        <w:adjustRightInd w:val="0"/>
        <w:ind w:firstLine="567"/>
        <w:jc w:val="both"/>
        <w:rPr>
          <w:bCs/>
          <w:i/>
          <w:szCs w:val="22"/>
          <w:lang w:val="fr-FR"/>
        </w:rPr>
      </w:pPr>
    </w:p>
    <w:p w:rsidR="00A848F1" w:rsidRPr="00332F2C" w:rsidRDefault="00A848F1" w:rsidP="00A848F1">
      <w:pPr>
        <w:kinsoku w:val="0"/>
        <w:overflowPunct w:val="0"/>
        <w:autoSpaceDE w:val="0"/>
        <w:autoSpaceDN w:val="0"/>
        <w:adjustRightInd w:val="0"/>
        <w:jc w:val="both"/>
        <w:rPr>
          <w:bCs/>
          <w:szCs w:val="22"/>
          <w:lang w:val="fr-FR"/>
        </w:rPr>
      </w:pPr>
      <w:r>
        <w:rPr>
          <w:bCs/>
          <w:i/>
          <w:szCs w:val="22"/>
          <w:lang w:val="fr-FR"/>
        </w:rPr>
        <w:t>L’article </w:t>
      </w:r>
      <w:proofErr w:type="spellStart"/>
      <w:r w:rsidRPr="00332F2C">
        <w:rPr>
          <w:bCs/>
          <w:i/>
          <w:szCs w:val="22"/>
          <w:lang w:val="fr-FR"/>
        </w:rPr>
        <w:t>23n</w:t>
      </w:r>
      <w:proofErr w:type="spellEnd"/>
      <w:r w:rsidRPr="00332F2C">
        <w:rPr>
          <w:bCs/>
          <w:i/>
          <w:szCs w:val="22"/>
          <w:lang w:val="fr-FR"/>
        </w:rPr>
        <w:t xml:space="preserve"> </w:t>
      </w:r>
      <w:r>
        <w:rPr>
          <w:bCs/>
          <w:i/>
          <w:szCs w:val="22"/>
          <w:lang w:val="fr-FR"/>
        </w:rPr>
        <w:t>de</w:t>
      </w:r>
      <w:r w:rsidRPr="008D75E9">
        <w:rPr>
          <w:bCs/>
          <w:i/>
          <w:szCs w:val="22"/>
          <w:lang w:val="fr-FR"/>
        </w:rPr>
        <w:t xml:space="preserve"> la </w:t>
      </w:r>
      <w:proofErr w:type="spellStart"/>
      <w:r w:rsidRPr="008D75E9">
        <w:rPr>
          <w:bCs/>
          <w:i/>
          <w:szCs w:val="22"/>
          <w:lang w:val="fr-FR"/>
        </w:rPr>
        <w:t>LPN</w:t>
      </w:r>
      <w:proofErr w:type="spellEnd"/>
      <w:r>
        <w:rPr>
          <w:bCs/>
          <w:i/>
          <w:szCs w:val="22"/>
          <w:lang w:val="fr-FR"/>
        </w:rPr>
        <w:t xml:space="preserve"> prévoit ce qui suit :</w:t>
      </w:r>
    </w:p>
    <w:p w:rsidR="00A848F1" w:rsidRPr="00332F2C" w:rsidRDefault="00A848F1" w:rsidP="00A848F1">
      <w:pPr>
        <w:kinsoku w:val="0"/>
        <w:overflowPunct w:val="0"/>
        <w:autoSpaceDE w:val="0"/>
        <w:autoSpaceDN w:val="0"/>
        <w:adjustRightInd w:val="0"/>
        <w:rPr>
          <w:szCs w:val="22"/>
          <w:lang w:val="fr-FR"/>
        </w:rPr>
      </w:pPr>
      <w:r w:rsidRPr="00332F2C">
        <w:rPr>
          <w:spacing w:val="-1"/>
          <w:szCs w:val="22"/>
          <w:lang w:val="fr-FR"/>
        </w:rPr>
        <w:t>1.</w:t>
      </w:r>
      <w:r>
        <w:rPr>
          <w:spacing w:val="-1"/>
          <w:szCs w:val="22"/>
          <w:lang w:val="fr-FR"/>
        </w:rPr>
        <w:t xml:space="preserve"> </w:t>
      </w:r>
      <w:r w:rsidRPr="00332F2C">
        <w:rPr>
          <w:spacing w:val="-1"/>
          <w:szCs w:val="22"/>
          <w:lang w:val="fr-FR"/>
        </w:rPr>
        <w:t xml:space="preserve"> </w:t>
      </w:r>
      <w:r w:rsidRPr="006C4D94">
        <w:rPr>
          <w:spacing w:val="-1"/>
          <w:szCs w:val="22"/>
          <w:lang w:val="fr-FR"/>
        </w:rPr>
        <w:t>Quiconque, conformément au Protocole de Nagoya, utilise des ressources génétiques ou tire directeme</w:t>
      </w:r>
      <w:r>
        <w:rPr>
          <w:spacing w:val="-1"/>
          <w:szCs w:val="22"/>
          <w:lang w:val="fr-FR"/>
        </w:rPr>
        <w:t>nt des avantages découlant de l’</w:t>
      </w:r>
      <w:r w:rsidRPr="006C4D94">
        <w:rPr>
          <w:spacing w:val="-1"/>
          <w:szCs w:val="22"/>
          <w:lang w:val="fr-FR"/>
        </w:rPr>
        <w:t>utilisation de celles</w:t>
      </w:r>
      <w:r>
        <w:rPr>
          <w:spacing w:val="-1"/>
          <w:szCs w:val="22"/>
          <w:lang w:val="fr-FR"/>
        </w:rPr>
        <w:noBreakHyphen/>
      </w:r>
      <w:r w:rsidRPr="006C4D94">
        <w:rPr>
          <w:spacing w:val="-1"/>
          <w:szCs w:val="22"/>
          <w:lang w:val="fr-FR"/>
        </w:rPr>
        <w:t>ci (utilisateur) doit déployer toute la diligence requise par les circonstances afin de garantir que les conditions suivantes soient remplies</w:t>
      </w:r>
      <w:r>
        <w:rPr>
          <w:spacing w:val="-1"/>
          <w:szCs w:val="22"/>
          <w:lang w:val="fr-FR"/>
        </w:rPr>
        <w:t> :</w:t>
      </w:r>
    </w:p>
    <w:p w:rsidR="00A848F1" w:rsidRPr="00332F2C" w:rsidRDefault="00A848F1" w:rsidP="00A848F1">
      <w:pPr>
        <w:tabs>
          <w:tab w:val="left" w:pos="568"/>
        </w:tabs>
        <w:kinsoku w:val="0"/>
        <w:overflowPunct w:val="0"/>
        <w:autoSpaceDE w:val="0"/>
        <w:autoSpaceDN w:val="0"/>
        <w:adjustRightInd w:val="0"/>
        <w:spacing w:before="74"/>
        <w:ind w:left="209" w:right="1"/>
        <w:rPr>
          <w:szCs w:val="22"/>
          <w:lang w:val="fr-FR"/>
        </w:rPr>
      </w:pPr>
      <w:r w:rsidRPr="00332F2C">
        <w:rPr>
          <w:szCs w:val="22"/>
          <w:lang w:val="fr-FR"/>
        </w:rPr>
        <w:t>a.</w:t>
      </w:r>
      <w:r w:rsidRPr="00332F2C">
        <w:rPr>
          <w:szCs w:val="22"/>
          <w:lang w:val="fr-FR"/>
        </w:rPr>
        <w:tab/>
      </w:r>
      <w:r w:rsidRPr="006C4D94">
        <w:rPr>
          <w:szCs w:val="22"/>
          <w:lang w:val="fr-FR"/>
        </w:rPr>
        <w:t>l</w:t>
      </w:r>
      <w:r>
        <w:rPr>
          <w:szCs w:val="22"/>
          <w:lang w:val="fr-FR"/>
        </w:rPr>
        <w:t>’</w:t>
      </w:r>
      <w:r w:rsidRPr="006C4D94">
        <w:rPr>
          <w:szCs w:val="22"/>
          <w:lang w:val="fr-FR"/>
        </w:rPr>
        <w:t>accès aux ressources génétiques a eu lieu de manière licite</w:t>
      </w:r>
      <w:r w:rsidRPr="00332F2C">
        <w:rPr>
          <w:szCs w:val="22"/>
          <w:lang w:val="fr-FR"/>
        </w:rPr>
        <w:t>;</w:t>
      </w:r>
      <w:r w:rsidRPr="00DC4955">
        <w:rPr>
          <w:lang w:val="fr-FR"/>
        </w:rPr>
        <w:t xml:space="preserve">  </w:t>
      </w:r>
      <w:r>
        <w:rPr>
          <w:spacing w:val="-6"/>
          <w:szCs w:val="22"/>
          <w:lang w:val="fr-FR"/>
        </w:rPr>
        <w:t>et</w:t>
      </w:r>
    </w:p>
    <w:p w:rsidR="00A848F1" w:rsidRPr="00332F2C" w:rsidRDefault="00A848F1" w:rsidP="00A848F1">
      <w:pPr>
        <w:tabs>
          <w:tab w:val="left" w:pos="567"/>
        </w:tabs>
        <w:kinsoku w:val="0"/>
        <w:overflowPunct w:val="0"/>
        <w:autoSpaceDE w:val="0"/>
        <w:autoSpaceDN w:val="0"/>
        <w:adjustRightInd w:val="0"/>
        <w:spacing w:before="80"/>
        <w:ind w:left="209" w:right="1"/>
        <w:rPr>
          <w:szCs w:val="22"/>
          <w:lang w:val="fr-FR"/>
        </w:rPr>
      </w:pPr>
      <w:r w:rsidRPr="00332F2C">
        <w:rPr>
          <w:szCs w:val="22"/>
          <w:lang w:val="fr-FR"/>
        </w:rPr>
        <w:t>b.</w:t>
      </w:r>
      <w:r w:rsidRPr="00332F2C">
        <w:rPr>
          <w:szCs w:val="22"/>
          <w:lang w:val="fr-FR"/>
        </w:rPr>
        <w:tab/>
      </w:r>
      <w:r>
        <w:rPr>
          <w:szCs w:val="22"/>
          <w:lang w:val="fr-FR"/>
        </w:rPr>
        <w:t>des conditions convenues d’</w:t>
      </w:r>
      <w:r w:rsidRPr="006C4D94">
        <w:rPr>
          <w:szCs w:val="22"/>
          <w:lang w:val="fr-FR"/>
        </w:rPr>
        <w:t>un commun accord ont été établies pour le partage juste et équitable de ces avantages</w:t>
      </w:r>
      <w:r w:rsidRPr="00332F2C">
        <w:rPr>
          <w:szCs w:val="22"/>
          <w:lang w:val="fr-FR"/>
        </w:rPr>
        <w:t>.</w:t>
      </w:r>
    </w:p>
    <w:p w:rsidR="00A848F1" w:rsidRPr="00332F2C" w:rsidRDefault="00A848F1" w:rsidP="00A848F1">
      <w:pPr>
        <w:tabs>
          <w:tab w:val="left" w:pos="567"/>
        </w:tabs>
        <w:kinsoku w:val="0"/>
        <w:overflowPunct w:val="0"/>
        <w:autoSpaceDE w:val="0"/>
        <w:autoSpaceDN w:val="0"/>
        <w:adjustRightInd w:val="0"/>
        <w:ind w:left="210"/>
        <w:rPr>
          <w:szCs w:val="22"/>
          <w:lang w:val="fr-FR"/>
        </w:rPr>
      </w:pPr>
    </w:p>
    <w:p w:rsidR="00A848F1" w:rsidRPr="00332F2C" w:rsidRDefault="00A848F1" w:rsidP="00A848F1">
      <w:pPr>
        <w:kinsoku w:val="0"/>
        <w:overflowPunct w:val="0"/>
        <w:autoSpaceDE w:val="0"/>
        <w:autoSpaceDN w:val="0"/>
        <w:adjustRightInd w:val="0"/>
        <w:spacing w:before="79"/>
        <w:ind w:right="1"/>
        <w:jc w:val="both"/>
        <w:rPr>
          <w:szCs w:val="22"/>
          <w:lang w:val="fr-FR"/>
        </w:rPr>
      </w:pPr>
      <w:r w:rsidRPr="00332F2C">
        <w:rPr>
          <w:spacing w:val="-1"/>
          <w:szCs w:val="22"/>
          <w:lang w:val="fr-FR"/>
        </w:rPr>
        <w:t xml:space="preserve">2. </w:t>
      </w:r>
      <w:r>
        <w:rPr>
          <w:spacing w:val="-1"/>
          <w:szCs w:val="22"/>
          <w:lang w:val="fr-FR"/>
        </w:rPr>
        <w:t xml:space="preserve"> </w:t>
      </w:r>
      <w:r w:rsidRPr="006C4D94">
        <w:rPr>
          <w:spacing w:val="-1"/>
          <w:szCs w:val="22"/>
          <w:lang w:val="fr-FR"/>
        </w:rPr>
        <w:t>Ne sont pas soumises au devoir de diligence les ressources génétiques</w:t>
      </w:r>
      <w:r>
        <w:rPr>
          <w:spacing w:val="-1"/>
          <w:szCs w:val="22"/>
          <w:lang w:val="fr-FR"/>
        </w:rPr>
        <w:t> :</w:t>
      </w:r>
    </w:p>
    <w:p w:rsidR="00A848F1" w:rsidRPr="00332F2C" w:rsidRDefault="00A848F1" w:rsidP="00A848F1">
      <w:pPr>
        <w:tabs>
          <w:tab w:val="left" w:pos="568"/>
        </w:tabs>
        <w:kinsoku w:val="0"/>
        <w:overflowPunct w:val="0"/>
        <w:autoSpaceDE w:val="0"/>
        <w:autoSpaceDN w:val="0"/>
        <w:adjustRightInd w:val="0"/>
        <w:spacing w:before="79"/>
        <w:ind w:left="209"/>
        <w:rPr>
          <w:szCs w:val="22"/>
          <w:lang w:val="fr-FR"/>
        </w:rPr>
      </w:pPr>
      <w:r w:rsidRPr="00332F2C">
        <w:rPr>
          <w:szCs w:val="22"/>
          <w:lang w:val="fr-FR"/>
        </w:rPr>
        <w:t>a.</w:t>
      </w:r>
      <w:r w:rsidRPr="00332F2C">
        <w:rPr>
          <w:szCs w:val="22"/>
          <w:lang w:val="fr-FR"/>
        </w:rPr>
        <w:tab/>
      </w:r>
      <w:r>
        <w:rPr>
          <w:szCs w:val="22"/>
          <w:lang w:val="fr-FR"/>
        </w:rPr>
        <w:t xml:space="preserve">qui </w:t>
      </w:r>
      <w:proofErr w:type="gramStart"/>
      <w:r>
        <w:rPr>
          <w:szCs w:val="22"/>
          <w:lang w:val="fr-FR"/>
        </w:rPr>
        <w:t>proviennent</w:t>
      </w:r>
      <w:proofErr w:type="gramEnd"/>
      <w:r>
        <w:rPr>
          <w:szCs w:val="22"/>
          <w:lang w:val="fr-FR"/>
        </w:rPr>
        <w:t xml:space="preserve"> d’</w:t>
      </w:r>
      <w:r w:rsidRPr="006C4D94">
        <w:rPr>
          <w:szCs w:val="22"/>
          <w:lang w:val="fr-FR"/>
        </w:rPr>
        <w:t>un pays qui n</w:t>
      </w:r>
      <w:r>
        <w:rPr>
          <w:szCs w:val="22"/>
          <w:lang w:val="fr-FR"/>
        </w:rPr>
        <w:t>’</w:t>
      </w:r>
      <w:r w:rsidRPr="006C4D94">
        <w:rPr>
          <w:szCs w:val="22"/>
          <w:lang w:val="fr-FR"/>
        </w:rPr>
        <w:t>est pas Partie au Protocole de Nagoya</w:t>
      </w:r>
      <w:r w:rsidRPr="00332F2C">
        <w:rPr>
          <w:szCs w:val="22"/>
          <w:lang w:val="fr-FR"/>
        </w:rPr>
        <w:t>;</w:t>
      </w:r>
    </w:p>
    <w:p w:rsidR="00A848F1" w:rsidRPr="00332F2C" w:rsidRDefault="00A848F1" w:rsidP="00A848F1">
      <w:pPr>
        <w:tabs>
          <w:tab w:val="left" w:pos="568"/>
        </w:tabs>
        <w:kinsoku w:val="0"/>
        <w:overflowPunct w:val="0"/>
        <w:autoSpaceDE w:val="0"/>
        <w:autoSpaceDN w:val="0"/>
        <w:adjustRightInd w:val="0"/>
        <w:spacing w:before="79"/>
        <w:ind w:left="209" w:right="1"/>
        <w:rPr>
          <w:szCs w:val="22"/>
          <w:lang w:val="fr-FR"/>
        </w:rPr>
      </w:pPr>
      <w:r w:rsidRPr="00332F2C">
        <w:rPr>
          <w:szCs w:val="22"/>
          <w:lang w:val="fr-FR"/>
        </w:rPr>
        <w:t>b.</w:t>
      </w:r>
      <w:r w:rsidRPr="00332F2C">
        <w:rPr>
          <w:szCs w:val="22"/>
          <w:lang w:val="fr-FR"/>
        </w:rPr>
        <w:tab/>
      </w:r>
      <w:r w:rsidRPr="006C4D94">
        <w:rPr>
          <w:szCs w:val="22"/>
          <w:lang w:val="fr-FR"/>
        </w:rPr>
        <w:t xml:space="preserve">qui </w:t>
      </w:r>
      <w:proofErr w:type="gramStart"/>
      <w:r w:rsidRPr="006C4D94">
        <w:rPr>
          <w:szCs w:val="22"/>
          <w:lang w:val="fr-FR"/>
        </w:rPr>
        <w:t>proviennent</w:t>
      </w:r>
      <w:proofErr w:type="gramEnd"/>
      <w:r w:rsidRPr="006C4D94">
        <w:rPr>
          <w:szCs w:val="22"/>
          <w:lang w:val="fr-FR"/>
        </w:rPr>
        <w:t xml:space="preserve"> d</w:t>
      </w:r>
      <w:r>
        <w:rPr>
          <w:szCs w:val="22"/>
          <w:lang w:val="fr-FR"/>
        </w:rPr>
        <w:t>’</w:t>
      </w:r>
      <w:r w:rsidRPr="006C4D94">
        <w:rPr>
          <w:szCs w:val="22"/>
          <w:lang w:val="fr-FR"/>
        </w:rPr>
        <w:t>un pays, qui ne s</w:t>
      </w:r>
      <w:r>
        <w:rPr>
          <w:szCs w:val="22"/>
          <w:lang w:val="fr-FR"/>
        </w:rPr>
        <w:t>’</w:t>
      </w:r>
      <w:r w:rsidRPr="006C4D94">
        <w:rPr>
          <w:szCs w:val="22"/>
          <w:lang w:val="fr-FR"/>
        </w:rPr>
        <w:t>est pas doté de réglementations internes en matière d</w:t>
      </w:r>
      <w:r>
        <w:rPr>
          <w:szCs w:val="22"/>
          <w:lang w:val="fr-FR"/>
        </w:rPr>
        <w:t>’</w:t>
      </w:r>
      <w:r w:rsidRPr="006C4D94">
        <w:rPr>
          <w:szCs w:val="22"/>
          <w:lang w:val="fr-FR"/>
        </w:rPr>
        <w:t>accès et de partage des avantages</w:t>
      </w:r>
      <w:r w:rsidRPr="00332F2C">
        <w:rPr>
          <w:spacing w:val="-1"/>
          <w:szCs w:val="22"/>
          <w:lang w:val="fr-FR"/>
        </w:rPr>
        <w:t>;</w:t>
      </w:r>
    </w:p>
    <w:p w:rsidR="00A848F1" w:rsidRPr="00332F2C" w:rsidRDefault="00A848F1" w:rsidP="00A848F1">
      <w:pPr>
        <w:kinsoku w:val="0"/>
        <w:overflowPunct w:val="0"/>
        <w:autoSpaceDE w:val="0"/>
        <w:autoSpaceDN w:val="0"/>
        <w:adjustRightInd w:val="0"/>
        <w:spacing w:before="80"/>
        <w:ind w:right="1"/>
        <w:jc w:val="both"/>
        <w:rPr>
          <w:szCs w:val="22"/>
          <w:lang w:val="fr-FR"/>
        </w:rPr>
      </w:pPr>
      <w:r w:rsidRPr="00332F2C">
        <w:rPr>
          <w:szCs w:val="22"/>
          <w:lang w:val="fr-FR"/>
        </w:rPr>
        <w:t>…</w:t>
      </w:r>
    </w:p>
    <w:p w:rsidR="00A848F1" w:rsidRDefault="00A848F1" w:rsidP="00A848F1">
      <w:pPr>
        <w:kinsoku w:val="0"/>
        <w:overflowPunct w:val="0"/>
        <w:autoSpaceDE w:val="0"/>
        <w:autoSpaceDN w:val="0"/>
        <w:adjustRightInd w:val="0"/>
        <w:spacing w:before="79"/>
        <w:rPr>
          <w:spacing w:val="23"/>
          <w:szCs w:val="22"/>
          <w:lang w:val="fr-FR"/>
        </w:rPr>
      </w:pPr>
      <w:r w:rsidRPr="00332F2C">
        <w:rPr>
          <w:spacing w:val="-1"/>
          <w:szCs w:val="22"/>
          <w:lang w:val="fr-FR"/>
        </w:rPr>
        <w:t xml:space="preserve">5. </w:t>
      </w:r>
      <w:r>
        <w:rPr>
          <w:spacing w:val="-1"/>
          <w:szCs w:val="22"/>
          <w:lang w:val="fr-FR"/>
        </w:rPr>
        <w:t xml:space="preserve"> </w:t>
      </w:r>
      <w:r w:rsidRPr="006C4D94">
        <w:rPr>
          <w:spacing w:val="-1"/>
          <w:szCs w:val="22"/>
          <w:lang w:val="fr-FR"/>
        </w:rPr>
        <w:t>S</w:t>
      </w:r>
      <w:r>
        <w:rPr>
          <w:spacing w:val="-1"/>
          <w:szCs w:val="22"/>
          <w:lang w:val="fr-FR"/>
        </w:rPr>
        <w:t>’</w:t>
      </w:r>
      <w:r w:rsidRPr="006C4D94">
        <w:rPr>
          <w:spacing w:val="-1"/>
          <w:szCs w:val="22"/>
          <w:lang w:val="fr-FR"/>
        </w:rPr>
        <w:t>il n</w:t>
      </w:r>
      <w:r>
        <w:rPr>
          <w:spacing w:val="-1"/>
          <w:szCs w:val="22"/>
          <w:lang w:val="fr-FR"/>
        </w:rPr>
        <w:t>’</w:t>
      </w:r>
      <w:r w:rsidRPr="006C4D94">
        <w:rPr>
          <w:spacing w:val="-1"/>
          <w:szCs w:val="22"/>
          <w:lang w:val="fr-FR"/>
        </w:rPr>
        <w:t>est pas satisfait aux exigences de l</w:t>
      </w:r>
      <w:r>
        <w:rPr>
          <w:spacing w:val="-1"/>
          <w:szCs w:val="22"/>
          <w:lang w:val="fr-FR"/>
        </w:rPr>
        <w:t>’</w:t>
      </w:r>
      <w:r w:rsidRPr="006C4D94">
        <w:rPr>
          <w:spacing w:val="-1"/>
          <w:szCs w:val="22"/>
          <w:lang w:val="fr-FR"/>
        </w:rPr>
        <w:t>al.</w:t>
      </w:r>
      <w:r>
        <w:rPr>
          <w:spacing w:val="-1"/>
          <w:szCs w:val="22"/>
          <w:lang w:val="fr-FR"/>
        </w:rPr>
        <w:t> </w:t>
      </w:r>
      <w:r w:rsidRPr="006C4D94">
        <w:rPr>
          <w:spacing w:val="-1"/>
          <w:szCs w:val="22"/>
          <w:lang w:val="fr-FR"/>
        </w:rPr>
        <w:t>1, let.</w:t>
      </w:r>
      <w:r>
        <w:rPr>
          <w:spacing w:val="-1"/>
          <w:szCs w:val="22"/>
          <w:lang w:val="fr-FR"/>
        </w:rPr>
        <w:t> </w:t>
      </w:r>
      <w:proofErr w:type="gramStart"/>
      <w:r w:rsidRPr="006C4D94">
        <w:rPr>
          <w:spacing w:val="-1"/>
          <w:szCs w:val="22"/>
          <w:lang w:val="fr-FR"/>
        </w:rPr>
        <w:t>a</w:t>
      </w:r>
      <w:proofErr w:type="gramEnd"/>
      <w:r w:rsidRPr="006C4D94">
        <w:rPr>
          <w:spacing w:val="-1"/>
          <w:szCs w:val="22"/>
          <w:lang w:val="fr-FR"/>
        </w:rPr>
        <w:t xml:space="preserve"> et</w:t>
      </w:r>
      <w:r>
        <w:rPr>
          <w:spacing w:val="-1"/>
          <w:szCs w:val="22"/>
          <w:lang w:val="fr-FR"/>
        </w:rPr>
        <w:t> </w:t>
      </w:r>
      <w:r w:rsidRPr="006C4D94">
        <w:rPr>
          <w:spacing w:val="-1"/>
          <w:szCs w:val="22"/>
          <w:lang w:val="fr-FR"/>
        </w:rPr>
        <w:t>b, l</w:t>
      </w:r>
      <w:r>
        <w:rPr>
          <w:spacing w:val="-1"/>
          <w:szCs w:val="22"/>
          <w:lang w:val="fr-FR"/>
        </w:rPr>
        <w:t>’</w:t>
      </w:r>
      <w:r w:rsidRPr="006C4D94">
        <w:rPr>
          <w:spacing w:val="-1"/>
          <w:szCs w:val="22"/>
          <w:lang w:val="fr-FR"/>
        </w:rPr>
        <w:t>utilisateur doit veiller à ce que celles</w:t>
      </w:r>
      <w:r>
        <w:rPr>
          <w:spacing w:val="-1"/>
          <w:szCs w:val="22"/>
          <w:lang w:val="fr-FR"/>
        </w:rPr>
        <w:noBreakHyphen/>
      </w:r>
      <w:r w:rsidRPr="006C4D94">
        <w:rPr>
          <w:spacing w:val="-1"/>
          <w:szCs w:val="22"/>
          <w:lang w:val="fr-FR"/>
        </w:rPr>
        <w:t>ci soient remplies ultérieurement ou renoncer à utiliser les ressources génétiques concernées et à tirer directement des avantages de leur utilisation</w:t>
      </w:r>
      <w:r w:rsidRPr="00332F2C">
        <w:rPr>
          <w:szCs w:val="22"/>
          <w:lang w:val="fr-FR"/>
        </w:rPr>
        <w:t>.</w:t>
      </w:r>
    </w:p>
    <w:p w:rsidR="00A848F1" w:rsidRPr="00332F2C" w:rsidRDefault="00A848F1" w:rsidP="00A848F1">
      <w:pPr>
        <w:kinsoku w:val="0"/>
        <w:overflowPunct w:val="0"/>
        <w:autoSpaceDE w:val="0"/>
        <w:autoSpaceDN w:val="0"/>
        <w:adjustRightInd w:val="0"/>
        <w:spacing w:before="82"/>
        <w:ind w:right="1"/>
        <w:jc w:val="both"/>
        <w:rPr>
          <w:szCs w:val="22"/>
          <w:lang w:val="fr-FR"/>
        </w:rPr>
      </w:pPr>
    </w:p>
    <w:p w:rsidR="00A848F1" w:rsidRPr="00332F2C" w:rsidRDefault="00A848F1" w:rsidP="00A848F1">
      <w:pPr>
        <w:kinsoku w:val="0"/>
        <w:overflowPunct w:val="0"/>
        <w:autoSpaceDE w:val="0"/>
        <w:autoSpaceDN w:val="0"/>
        <w:adjustRightInd w:val="0"/>
        <w:spacing w:before="82"/>
        <w:ind w:right="1"/>
        <w:jc w:val="both"/>
        <w:rPr>
          <w:b/>
          <w:szCs w:val="22"/>
          <w:lang w:val="fr-FR"/>
        </w:rPr>
      </w:pPr>
      <w:r w:rsidRPr="00332F2C">
        <w:rPr>
          <w:szCs w:val="22"/>
          <w:lang w:val="fr-FR"/>
        </w:rPr>
        <w:t>B.</w:t>
      </w:r>
      <w:r>
        <w:rPr>
          <w:szCs w:val="22"/>
          <w:lang w:val="fr-FR"/>
        </w:rPr>
        <w:tab/>
      </w:r>
      <w:r>
        <w:rPr>
          <w:b/>
          <w:szCs w:val="22"/>
          <w:lang w:val="fr-FR"/>
        </w:rPr>
        <w:t>Exigences en matière de n</w:t>
      </w:r>
      <w:r w:rsidRPr="00332F2C">
        <w:rPr>
          <w:b/>
          <w:szCs w:val="22"/>
          <w:lang w:val="fr-FR"/>
        </w:rPr>
        <w:t>otification</w:t>
      </w:r>
      <w:r>
        <w:rPr>
          <w:b/>
          <w:szCs w:val="22"/>
          <w:lang w:val="fr-FR"/>
        </w:rPr>
        <w:t xml:space="preserve"> et d’autorisation de mise sur le marché</w:t>
      </w:r>
    </w:p>
    <w:p w:rsidR="00A848F1" w:rsidRPr="00332F2C" w:rsidRDefault="00A848F1" w:rsidP="00A848F1">
      <w:pPr>
        <w:kinsoku w:val="0"/>
        <w:overflowPunct w:val="0"/>
        <w:autoSpaceDE w:val="0"/>
        <w:autoSpaceDN w:val="0"/>
        <w:adjustRightInd w:val="0"/>
        <w:rPr>
          <w:bCs/>
          <w:i/>
          <w:iCs/>
          <w:szCs w:val="22"/>
          <w:lang w:val="fr-FR"/>
        </w:rPr>
      </w:pPr>
    </w:p>
    <w:p w:rsidR="00A848F1" w:rsidRPr="00332F2C" w:rsidRDefault="00A848F1" w:rsidP="00A848F1">
      <w:pPr>
        <w:kinsoku w:val="0"/>
        <w:overflowPunct w:val="0"/>
        <w:autoSpaceDE w:val="0"/>
        <w:autoSpaceDN w:val="0"/>
        <w:adjustRightInd w:val="0"/>
        <w:rPr>
          <w:bCs/>
          <w:i/>
          <w:iCs/>
          <w:szCs w:val="22"/>
          <w:lang w:val="fr-FR"/>
        </w:rPr>
      </w:pPr>
      <w:r>
        <w:rPr>
          <w:bCs/>
          <w:i/>
          <w:szCs w:val="22"/>
          <w:u w:val="single"/>
          <w:lang w:val="fr-FR"/>
        </w:rPr>
        <w:t>Observation formulée par la Suisse</w:t>
      </w:r>
      <w:r w:rsidRPr="0004751C">
        <w:rPr>
          <w:bCs/>
          <w:i/>
          <w:szCs w:val="22"/>
          <w:lang w:val="fr-FR"/>
        </w:rPr>
        <w:t> :</w:t>
      </w:r>
      <w:r w:rsidRPr="00332F2C">
        <w:rPr>
          <w:bCs/>
          <w:i/>
          <w:szCs w:val="22"/>
          <w:lang w:val="fr-FR"/>
        </w:rPr>
        <w:t xml:space="preserve"> </w:t>
      </w:r>
      <w:r>
        <w:rPr>
          <w:bCs/>
          <w:i/>
          <w:szCs w:val="22"/>
          <w:lang w:val="fr-FR"/>
        </w:rPr>
        <w:t>Ce titre est trompeur, car il mélange les exigences en matière de notification et d’autorisation de mise sur le marché</w:t>
      </w:r>
      <w:r w:rsidRPr="00332F2C">
        <w:rPr>
          <w:bCs/>
          <w:i/>
          <w:szCs w:val="22"/>
          <w:lang w:val="fr-FR"/>
        </w:rPr>
        <w:t>.</w:t>
      </w:r>
    </w:p>
    <w:p w:rsidR="00A848F1" w:rsidRPr="00332F2C" w:rsidRDefault="00A848F1" w:rsidP="00A848F1">
      <w:pPr>
        <w:kinsoku w:val="0"/>
        <w:overflowPunct w:val="0"/>
        <w:autoSpaceDE w:val="0"/>
        <w:autoSpaceDN w:val="0"/>
        <w:adjustRightInd w:val="0"/>
        <w:rPr>
          <w:bCs/>
          <w:i/>
          <w:iCs/>
          <w:szCs w:val="22"/>
          <w:lang w:val="fr-FR"/>
        </w:rPr>
      </w:pPr>
    </w:p>
    <w:p w:rsidR="00A848F1" w:rsidRDefault="00A848F1" w:rsidP="00A848F1">
      <w:pPr>
        <w:kinsoku w:val="0"/>
        <w:overflowPunct w:val="0"/>
        <w:autoSpaceDE w:val="0"/>
        <w:autoSpaceDN w:val="0"/>
        <w:adjustRightInd w:val="0"/>
        <w:rPr>
          <w:i/>
          <w:iCs/>
          <w:szCs w:val="22"/>
          <w:lang w:val="fr-FR"/>
        </w:rPr>
      </w:pPr>
      <w:r>
        <w:rPr>
          <w:bCs/>
          <w:i/>
          <w:iCs/>
          <w:szCs w:val="22"/>
          <w:lang w:val="fr-FR"/>
        </w:rPr>
        <w:t>L’article </w:t>
      </w:r>
      <w:proofErr w:type="spellStart"/>
      <w:r w:rsidRPr="00332F2C">
        <w:rPr>
          <w:bCs/>
          <w:i/>
          <w:iCs/>
          <w:szCs w:val="22"/>
          <w:lang w:val="fr-FR"/>
        </w:rPr>
        <w:t>23o</w:t>
      </w:r>
      <w:proofErr w:type="spellEnd"/>
      <w:r w:rsidRPr="00332F2C">
        <w:rPr>
          <w:i/>
          <w:iCs/>
          <w:szCs w:val="22"/>
          <w:lang w:val="fr-FR"/>
        </w:rPr>
        <w:t xml:space="preserve"> </w:t>
      </w:r>
      <w:r>
        <w:rPr>
          <w:i/>
          <w:iCs/>
          <w:szCs w:val="22"/>
          <w:lang w:val="fr-FR"/>
        </w:rPr>
        <w:t>de</w:t>
      </w:r>
      <w:r w:rsidRPr="008D75E9">
        <w:rPr>
          <w:i/>
          <w:iCs/>
          <w:szCs w:val="22"/>
          <w:lang w:val="fr-FR"/>
        </w:rPr>
        <w:t xml:space="preserve"> la </w:t>
      </w:r>
      <w:proofErr w:type="spellStart"/>
      <w:r w:rsidRPr="008D75E9">
        <w:rPr>
          <w:i/>
          <w:iCs/>
          <w:szCs w:val="22"/>
          <w:lang w:val="fr-FR"/>
        </w:rPr>
        <w:t>LPN</w:t>
      </w:r>
      <w:proofErr w:type="spellEnd"/>
      <w:r>
        <w:rPr>
          <w:i/>
          <w:iCs/>
          <w:szCs w:val="22"/>
          <w:lang w:val="fr-FR"/>
        </w:rPr>
        <w:t xml:space="preserve"> prévoit ce qui suit :</w:t>
      </w:r>
    </w:p>
    <w:p w:rsidR="00A848F1" w:rsidRPr="00332F2C" w:rsidRDefault="00A848F1" w:rsidP="00A848F1">
      <w:pPr>
        <w:kinsoku w:val="0"/>
        <w:overflowPunct w:val="0"/>
        <w:autoSpaceDE w:val="0"/>
        <w:autoSpaceDN w:val="0"/>
        <w:adjustRightInd w:val="0"/>
        <w:rPr>
          <w:szCs w:val="22"/>
          <w:lang w:val="fr-FR"/>
        </w:rPr>
      </w:pPr>
      <w:r w:rsidRPr="00332F2C">
        <w:rPr>
          <w:szCs w:val="22"/>
          <w:lang w:val="fr-FR"/>
        </w:rPr>
        <w:t>1.</w:t>
      </w:r>
      <w:r>
        <w:rPr>
          <w:szCs w:val="22"/>
          <w:lang w:val="fr-FR"/>
        </w:rPr>
        <w:t xml:space="preserve"> </w:t>
      </w:r>
      <w:r w:rsidRPr="00332F2C">
        <w:rPr>
          <w:szCs w:val="22"/>
          <w:lang w:val="fr-FR"/>
        </w:rPr>
        <w:t xml:space="preserve"> </w:t>
      </w:r>
      <w:r w:rsidRPr="0004751C">
        <w:rPr>
          <w:szCs w:val="22"/>
          <w:lang w:val="fr-FR"/>
        </w:rPr>
        <w:t>Il y a lieu de notifier le respect du devoir de diligence à l</w:t>
      </w:r>
      <w:r>
        <w:rPr>
          <w:szCs w:val="22"/>
          <w:lang w:val="fr-FR"/>
        </w:rPr>
        <w:t>’</w:t>
      </w:r>
      <w:proofErr w:type="spellStart"/>
      <w:r>
        <w:rPr>
          <w:szCs w:val="22"/>
          <w:lang w:val="fr-FR"/>
        </w:rPr>
        <w:t>OFEV</w:t>
      </w:r>
      <w:proofErr w:type="spellEnd"/>
      <w:r>
        <w:rPr>
          <w:szCs w:val="22"/>
          <w:lang w:val="fr-FR"/>
        </w:rPr>
        <w:t xml:space="preserve"> avant l’</w:t>
      </w:r>
      <w:r w:rsidRPr="0004751C">
        <w:rPr>
          <w:szCs w:val="22"/>
          <w:lang w:val="fr-FR"/>
        </w:rPr>
        <w:t>obtention de l</w:t>
      </w:r>
      <w:r>
        <w:rPr>
          <w:szCs w:val="22"/>
          <w:lang w:val="fr-FR"/>
        </w:rPr>
        <w:t>’</w:t>
      </w:r>
      <w:r w:rsidRPr="0004751C">
        <w:rPr>
          <w:szCs w:val="22"/>
          <w:lang w:val="fr-FR"/>
        </w:rPr>
        <w:t>autorisation de mise sur le marché ou, lorsqu</w:t>
      </w:r>
      <w:r>
        <w:rPr>
          <w:szCs w:val="22"/>
          <w:lang w:val="fr-FR"/>
        </w:rPr>
        <w:t>’</w:t>
      </w:r>
      <w:r w:rsidRPr="0004751C">
        <w:rPr>
          <w:szCs w:val="22"/>
          <w:lang w:val="fr-FR"/>
        </w:rPr>
        <w:t>une telle autorisation n</w:t>
      </w:r>
      <w:r>
        <w:rPr>
          <w:szCs w:val="22"/>
          <w:lang w:val="fr-FR"/>
        </w:rPr>
        <w:t>’</w:t>
      </w:r>
      <w:r w:rsidRPr="0004751C">
        <w:rPr>
          <w:szCs w:val="22"/>
          <w:lang w:val="fr-FR"/>
        </w:rPr>
        <w:t>est pas nécessaire, avant la commercialisation de produits dont le développement repose sur l</w:t>
      </w:r>
      <w:r>
        <w:rPr>
          <w:szCs w:val="22"/>
          <w:lang w:val="fr-FR"/>
        </w:rPr>
        <w:t>’</w:t>
      </w:r>
      <w:r w:rsidRPr="0004751C">
        <w:rPr>
          <w:szCs w:val="22"/>
          <w:lang w:val="fr-FR"/>
        </w:rPr>
        <w:t>utilisation de ressources génétiques</w:t>
      </w:r>
      <w:r w:rsidRPr="00332F2C">
        <w:rPr>
          <w:szCs w:val="22"/>
          <w:lang w:val="fr-FR"/>
        </w:rPr>
        <w:t>.</w:t>
      </w:r>
    </w:p>
    <w:p w:rsidR="00A848F1" w:rsidRPr="00332F2C" w:rsidRDefault="00A848F1" w:rsidP="00A848F1">
      <w:pPr>
        <w:kinsoku w:val="0"/>
        <w:overflowPunct w:val="0"/>
        <w:autoSpaceDE w:val="0"/>
        <w:autoSpaceDN w:val="0"/>
        <w:adjustRightInd w:val="0"/>
        <w:rPr>
          <w:szCs w:val="22"/>
          <w:lang w:val="fr-FR"/>
        </w:rPr>
      </w:pPr>
    </w:p>
    <w:p w:rsidR="00A848F1" w:rsidRPr="00332F2C" w:rsidRDefault="00A848F1" w:rsidP="00A848F1">
      <w:pPr>
        <w:kinsoku w:val="0"/>
        <w:overflowPunct w:val="0"/>
        <w:autoSpaceDE w:val="0"/>
        <w:autoSpaceDN w:val="0"/>
        <w:adjustRightInd w:val="0"/>
        <w:rPr>
          <w:szCs w:val="22"/>
          <w:lang w:val="fr-FR"/>
        </w:rPr>
      </w:pPr>
      <w:r w:rsidRPr="00332F2C">
        <w:rPr>
          <w:szCs w:val="22"/>
          <w:lang w:val="fr-FR"/>
        </w:rPr>
        <w:t>…</w:t>
      </w:r>
    </w:p>
    <w:p w:rsidR="00A848F1" w:rsidRPr="00332F2C" w:rsidRDefault="00A848F1" w:rsidP="00A848F1">
      <w:pPr>
        <w:kinsoku w:val="0"/>
        <w:overflowPunct w:val="0"/>
        <w:autoSpaceDE w:val="0"/>
        <w:autoSpaceDN w:val="0"/>
        <w:adjustRightInd w:val="0"/>
        <w:rPr>
          <w:szCs w:val="22"/>
          <w:lang w:val="fr-FR"/>
        </w:rPr>
      </w:pPr>
    </w:p>
    <w:p w:rsidR="00A848F1" w:rsidRPr="00332F2C" w:rsidRDefault="00A848F1" w:rsidP="00A848F1">
      <w:pPr>
        <w:autoSpaceDE w:val="0"/>
        <w:autoSpaceDN w:val="0"/>
        <w:adjustRightInd w:val="0"/>
        <w:rPr>
          <w:bCs/>
          <w:szCs w:val="22"/>
          <w:lang w:val="fr-FR"/>
        </w:rPr>
      </w:pPr>
      <w:r w:rsidRPr="00332F2C">
        <w:rPr>
          <w:bCs/>
          <w:szCs w:val="22"/>
          <w:lang w:val="fr-FR"/>
        </w:rPr>
        <w:t>C.</w:t>
      </w:r>
      <w:r>
        <w:rPr>
          <w:bCs/>
          <w:szCs w:val="22"/>
          <w:lang w:val="fr-FR"/>
        </w:rPr>
        <w:tab/>
      </w:r>
      <w:r>
        <w:rPr>
          <w:b/>
          <w:bCs/>
          <w:szCs w:val="22"/>
          <w:lang w:val="fr-FR"/>
        </w:rPr>
        <w:t>Sanctions pénales</w:t>
      </w:r>
    </w:p>
    <w:p w:rsidR="00A848F1" w:rsidRPr="00332F2C" w:rsidRDefault="00A848F1" w:rsidP="00A848F1">
      <w:pPr>
        <w:autoSpaceDE w:val="0"/>
        <w:autoSpaceDN w:val="0"/>
        <w:adjustRightInd w:val="0"/>
        <w:rPr>
          <w:bCs/>
          <w:szCs w:val="22"/>
          <w:lang w:val="fr-FR"/>
        </w:rPr>
      </w:pPr>
    </w:p>
    <w:p w:rsidR="00A848F1" w:rsidRPr="00332F2C" w:rsidRDefault="00A848F1" w:rsidP="00A848F1">
      <w:pPr>
        <w:kinsoku w:val="0"/>
        <w:overflowPunct w:val="0"/>
        <w:autoSpaceDE w:val="0"/>
        <w:autoSpaceDN w:val="0"/>
        <w:adjustRightInd w:val="0"/>
        <w:spacing w:before="78"/>
        <w:ind w:right="402"/>
        <w:jc w:val="both"/>
        <w:rPr>
          <w:szCs w:val="22"/>
          <w:lang w:val="fr-FR"/>
        </w:rPr>
      </w:pPr>
      <w:r>
        <w:rPr>
          <w:i/>
          <w:szCs w:val="22"/>
          <w:lang w:val="fr-FR"/>
        </w:rPr>
        <w:t>L’article </w:t>
      </w:r>
      <w:proofErr w:type="spellStart"/>
      <w:r w:rsidRPr="00332F2C">
        <w:rPr>
          <w:i/>
          <w:szCs w:val="22"/>
          <w:lang w:val="fr-FR"/>
        </w:rPr>
        <w:t>24a</w:t>
      </w:r>
      <w:proofErr w:type="spellEnd"/>
      <w:r w:rsidRPr="00332F2C">
        <w:rPr>
          <w:i/>
          <w:szCs w:val="22"/>
          <w:lang w:val="fr-FR"/>
        </w:rPr>
        <w:t xml:space="preserve"> </w:t>
      </w:r>
      <w:r>
        <w:rPr>
          <w:i/>
          <w:szCs w:val="22"/>
          <w:lang w:val="fr-FR"/>
        </w:rPr>
        <w:t>de</w:t>
      </w:r>
      <w:r w:rsidRPr="008D75E9">
        <w:rPr>
          <w:i/>
          <w:szCs w:val="22"/>
          <w:lang w:val="fr-FR"/>
        </w:rPr>
        <w:t xml:space="preserve"> la </w:t>
      </w:r>
      <w:proofErr w:type="spellStart"/>
      <w:r w:rsidRPr="008D75E9">
        <w:rPr>
          <w:i/>
          <w:szCs w:val="22"/>
          <w:lang w:val="fr-FR"/>
        </w:rPr>
        <w:t>LPN</w:t>
      </w:r>
      <w:proofErr w:type="spellEnd"/>
      <w:r>
        <w:rPr>
          <w:i/>
          <w:szCs w:val="22"/>
          <w:lang w:val="fr-FR"/>
        </w:rPr>
        <w:t xml:space="preserve"> prévoit ce qui suit :</w:t>
      </w:r>
    </w:p>
    <w:p w:rsidR="00A848F1" w:rsidRPr="00332F2C" w:rsidRDefault="00A848F1" w:rsidP="00A848F1">
      <w:pPr>
        <w:kinsoku w:val="0"/>
        <w:overflowPunct w:val="0"/>
        <w:autoSpaceDE w:val="0"/>
        <w:autoSpaceDN w:val="0"/>
        <w:adjustRightInd w:val="0"/>
        <w:rPr>
          <w:szCs w:val="22"/>
          <w:lang w:val="fr-FR"/>
        </w:rPr>
      </w:pPr>
      <w:r w:rsidRPr="00332F2C">
        <w:rPr>
          <w:szCs w:val="22"/>
          <w:lang w:val="fr-FR"/>
        </w:rPr>
        <w:t>…</w:t>
      </w:r>
    </w:p>
    <w:p w:rsidR="00A848F1" w:rsidRPr="00332F2C" w:rsidRDefault="00A848F1" w:rsidP="00A848F1">
      <w:pPr>
        <w:kinsoku w:val="0"/>
        <w:overflowPunct w:val="0"/>
        <w:ind w:hanging="40"/>
        <w:rPr>
          <w:szCs w:val="22"/>
          <w:lang w:val="fr-FR"/>
        </w:rPr>
      </w:pPr>
      <w:r w:rsidRPr="00332F2C">
        <w:rPr>
          <w:spacing w:val="-1"/>
          <w:szCs w:val="22"/>
          <w:lang w:val="fr-FR"/>
        </w:rPr>
        <w:t xml:space="preserve">2.  </w:t>
      </w:r>
      <w:r>
        <w:rPr>
          <w:spacing w:val="-1"/>
          <w:szCs w:val="22"/>
          <w:lang w:val="fr-FR"/>
        </w:rPr>
        <w:t>Est puni d’</w:t>
      </w:r>
      <w:r w:rsidRPr="0004751C">
        <w:rPr>
          <w:spacing w:val="-1"/>
          <w:szCs w:val="22"/>
          <w:lang w:val="fr-FR"/>
        </w:rPr>
        <w:t>une amende de 100</w:t>
      </w:r>
      <w:r>
        <w:rPr>
          <w:spacing w:val="-1"/>
          <w:szCs w:val="22"/>
          <w:lang w:val="fr-FR"/>
        </w:rPr>
        <w:t> </w:t>
      </w:r>
      <w:r w:rsidRPr="0004751C">
        <w:rPr>
          <w:spacing w:val="-1"/>
          <w:szCs w:val="22"/>
          <w:lang w:val="fr-FR"/>
        </w:rPr>
        <w:t>000</w:t>
      </w:r>
      <w:r>
        <w:rPr>
          <w:spacing w:val="-1"/>
          <w:szCs w:val="22"/>
          <w:lang w:val="fr-FR"/>
        </w:rPr>
        <w:t> </w:t>
      </w:r>
      <w:r w:rsidRPr="0004751C">
        <w:rPr>
          <w:spacing w:val="-1"/>
          <w:szCs w:val="22"/>
          <w:lang w:val="fr-FR"/>
        </w:rPr>
        <w:t>francs au plus celui qui, intentionnellement, omet de fournir les informations au sens de l</w:t>
      </w:r>
      <w:r>
        <w:rPr>
          <w:spacing w:val="-1"/>
          <w:szCs w:val="22"/>
          <w:lang w:val="fr-FR"/>
        </w:rPr>
        <w:t>’</w:t>
      </w:r>
      <w:r w:rsidRPr="0004751C">
        <w:rPr>
          <w:spacing w:val="-1"/>
          <w:szCs w:val="22"/>
          <w:lang w:val="fr-FR"/>
        </w:rPr>
        <w:t>art.</w:t>
      </w:r>
      <w:r>
        <w:rPr>
          <w:spacing w:val="-1"/>
          <w:szCs w:val="22"/>
          <w:lang w:val="fr-FR"/>
        </w:rPr>
        <w:t> </w:t>
      </w:r>
      <w:proofErr w:type="spellStart"/>
      <w:r w:rsidRPr="0004751C">
        <w:rPr>
          <w:spacing w:val="-1"/>
          <w:szCs w:val="22"/>
          <w:lang w:val="fr-FR"/>
        </w:rPr>
        <w:t>23o</w:t>
      </w:r>
      <w:proofErr w:type="spellEnd"/>
      <w:r w:rsidRPr="0004751C">
        <w:rPr>
          <w:spacing w:val="-1"/>
          <w:szCs w:val="22"/>
          <w:lang w:val="fr-FR"/>
        </w:rPr>
        <w:t xml:space="preserve"> ou fournit des informations fausses; </w:t>
      </w:r>
      <w:r>
        <w:rPr>
          <w:spacing w:val="-1"/>
          <w:szCs w:val="22"/>
          <w:lang w:val="fr-FR"/>
        </w:rPr>
        <w:t xml:space="preserve"> </w:t>
      </w:r>
      <w:r w:rsidRPr="0004751C">
        <w:rPr>
          <w:spacing w:val="-1"/>
          <w:szCs w:val="22"/>
          <w:lang w:val="fr-FR"/>
        </w:rPr>
        <w:t>si le délinquant agit par négligence, il est puni d</w:t>
      </w:r>
      <w:r>
        <w:rPr>
          <w:spacing w:val="-1"/>
          <w:szCs w:val="22"/>
          <w:lang w:val="fr-FR"/>
        </w:rPr>
        <w:t>’</w:t>
      </w:r>
      <w:r w:rsidRPr="0004751C">
        <w:rPr>
          <w:spacing w:val="-1"/>
          <w:szCs w:val="22"/>
          <w:lang w:val="fr-FR"/>
        </w:rPr>
        <w:t>une amende de 40</w:t>
      </w:r>
      <w:r>
        <w:rPr>
          <w:spacing w:val="-1"/>
          <w:szCs w:val="22"/>
          <w:lang w:val="fr-FR"/>
        </w:rPr>
        <w:t> </w:t>
      </w:r>
      <w:r w:rsidRPr="0004751C">
        <w:rPr>
          <w:spacing w:val="-1"/>
          <w:szCs w:val="22"/>
          <w:lang w:val="fr-FR"/>
        </w:rPr>
        <w:t>000</w:t>
      </w:r>
      <w:r>
        <w:rPr>
          <w:spacing w:val="-1"/>
          <w:szCs w:val="22"/>
          <w:lang w:val="fr-FR"/>
        </w:rPr>
        <w:t> </w:t>
      </w:r>
      <w:r w:rsidRPr="0004751C">
        <w:rPr>
          <w:spacing w:val="-1"/>
          <w:szCs w:val="22"/>
          <w:lang w:val="fr-FR"/>
        </w:rPr>
        <w:t>francs au plus</w:t>
      </w:r>
      <w:r>
        <w:rPr>
          <w:spacing w:val="-1"/>
          <w:szCs w:val="22"/>
          <w:lang w:val="fr-FR"/>
        </w:rPr>
        <w:t xml:space="preserve">.  </w:t>
      </w:r>
      <w:r w:rsidRPr="0004751C">
        <w:rPr>
          <w:spacing w:val="-1"/>
          <w:szCs w:val="22"/>
          <w:lang w:val="fr-FR"/>
        </w:rPr>
        <w:t>Le juge peut ordonner la publication du jugement.</w:t>
      </w:r>
    </w:p>
    <w:p w:rsidR="00A848F1" w:rsidRPr="00332F2C" w:rsidRDefault="00A848F1" w:rsidP="00A848F1">
      <w:pPr>
        <w:kinsoku w:val="0"/>
        <w:overflowPunct w:val="0"/>
        <w:autoSpaceDE w:val="0"/>
        <w:autoSpaceDN w:val="0"/>
        <w:adjustRightInd w:val="0"/>
        <w:rPr>
          <w:szCs w:val="22"/>
          <w:lang w:val="fr-FR"/>
        </w:rPr>
      </w:pPr>
      <w:r w:rsidRPr="00332F2C">
        <w:rPr>
          <w:szCs w:val="22"/>
          <w:lang w:val="fr-FR"/>
        </w:rPr>
        <w:t>…</w:t>
      </w:r>
    </w:p>
    <w:p w:rsidR="00A848F1" w:rsidRPr="00332F2C" w:rsidRDefault="00A848F1" w:rsidP="00A848F1">
      <w:pPr>
        <w:rPr>
          <w:bCs/>
          <w:szCs w:val="22"/>
          <w:u w:val="single"/>
          <w:lang w:val="fr-FR"/>
        </w:rPr>
      </w:pPr>
      <w:r w:rsidRPr="00332F2C">
        <w:rPr>
          <w:bCs/>
          <w:szCs w:val="22"/>
          <w:u w:val="single"/>
          <w:lang w:val="fr-FR"/>
        </w:rPr>
        <w:br w:type="page"/>
      </w:r>
    </w:p>
    <w:p w:rsidR="00A848F1" w:rsidRPr="00332F2C" w:rsidRDefault="00A848F1" w:rsidP="00A848F1">
      <w:pPr>
        <w:autoSpaceDE w:val="0"/>
        <w:autoSpaceDN w:val="0"/>
        <w:adjustRightInd w:val="0"/>
        <w:rPr>
          <w:bCs/>
          <w:szCs w:val="22"/>
          <w:lang w:val="fr-FR"/>
        </w:rPr>
      </w:pPr>
      <w:r w:rsidRPr="00332F2C">
        <w:rPr>
          <w:bCs/>
          <w:szCs w:val="22"/>
          <w:lang w:val="fr-FR"/>
        </w:rPr>
        <w:t>2.</w:t>
      </w:r>
      <w:r>
        <w:rPr>
          <w:bCs/>
          <w:szCs w:val="22"/>
          <w:lang w:val="fr-FR"/>
        </w:rPr>
        <w:t xml:space="preserve"> </w:t>
      </w:r>
      <w:r w:rsidRPr="00332F2C">
        <w:rPr>
          <w:bCs/>
          <w:szCs w:val="22"/>
          <w:lang w:val="fr-FR"/>
        </w:rPr>
        <w:t xml:space="preserve"> </w:t>
      </w:r>
      <w:r>
        <w:rPr>
          <w:b/>
          <w:bCs/>
          <w:szCs w:val="22"/>
          <w:lang w:val="fr-FR"/>
        </w:rPr>
        <w:t xml:space="preserve">Exigences prévues par la loi fédérale sur les brevets d’invention (Loi sur les brevets, </w:t>
      </w:r>
      <w:proofErr w:type="spellStart"/>
      <w:r>
        <w:rPr>
          <w:b/>
          <w:bCs/>
          <w:szCs w:val="22"/>
          <w:lang w:val="fr-FR"/>
        </w:rPr>
        <w:t>LBI</w:t>
      </w:r>
      <w:proofErr w:type="spellEnd"/>
      <w:r>
        <w:rPr>
          <w:b/>
          <w:bCs/>
          <w:szCs w:val="22"/>
          <w:lang w:val="fr-FR"/>
        </w:rPr>
        <w:t>)</w:t>
      </w:r>
    </w:p>
    <w:p w:rsidR="00A848F1" w:rsidRPr="00332F2C" w:rsidRDefault="00A848F1" w:rsidP="00A848F1">
      <w:pPr>
        <w:tabs>
          <w:tab w:val="left" w:pos="986"/>
        </w:tabs>
        <w:autoSpaceDE w:val="0"/>
        <w:autoSpaceDN w:val="0"/>
        <w:adjustRightInd w:val="0"/>
        <w:rPr>
          <w:bCs/>
          <w:szCs w:val="22"/>
          <w:u w:val="single"/>
          <w:lang w:val="fr-FR"/>
        </w:rPr>
      </w:pPr>
    </w:p>
    <w:p w:rsidR="00A848F1" w:rsidRPr="00332F2C" w:rsidRDefault="00A848F1" w:rsidP="00A848F1">
      <w:pPr>
        <w:autoSpaceDE w:val="0"/>
        <w:autoSpaceDN w:val="0"/>
        <w:adjustRightInd w:val="0"/>
        <w:rPr>
          <w:b/>
          <w:bCs/>
          <w:szCs w:val="22"/>
          <w:lang w:val="fr-FR"/>
        </w:rPr>
      </w:pPr>
      <w:r w:rsidRPr="00332F2C">
        <w:rPr>
          <w:b/>
          <w:bCs/>
          <w:szCs w:val="22"/>
          <w:lang w:val="fr-FR"/>
        </w:rPr>
        <w:t>A.</w:t>
      </w:r>
      <w:r w:rsidRPr="00DC4955">
        <w:rPr>
          <w:b/>
          <w:lang w:val="fr-FR"/>
        </w:rPr>
        <w:t xml:space="preserve"> </w:t>
      </w:r>
      <w:r>
        <w:rPr>
          <w:b/>
          <w:bCs/>
          <w:szCs w:val="22"/>
          <w:lang w:val="fr-FR"/>
        </w:rPr>
        <w:t xml:space="preserve"> </w:t>
      </w:r>
      <w:r w:rsidRPr="00332F2C">
        <w:rPr>
          <w:b/>
          <w:bCs/>
          <w:szCs w:val="22"/>
          <w:lang w:val="fr-FR"/>
        </w:rPr>
        <w:t xml:space="preserve">Source </w:t>
      </w:r>
      <w:r>
        <w:rPr>
          <w:b/>
          <w:bCs/>
          <w:szCs w:val="22"/>
          <w:lang w:val="fr-FR"/>
        </w:rPr>
        <w:t>des ressources génétiques</w:t>
      </w:r>
    </w:p>
    <w:p w:rsidR="00A848F1" w:rsidRPr="00332F2C" w:rsidRDefault="00A848F1" w:rsidP="00A848F1">
      <w:pPr>
        <w:autoSpaceDE w:val="0"/>
        <w:autoSpaceDN w:val="0"/>
        <w:adjustRightInd w:val="0"/>
        <w:rPr>
          <w:b/>
          <w:bCs/>
          <w:szCs w:val="22"/>
          <w:lang w:val="fr-FR"/>
        </w:rPr>
      </w:pPr>
    </w:p>
    <w:p w:rsidR="00A848F1" w:rsidRPr="00332F2C" w:rsidRDefault="00A848F1" w:rsidP="00A848F1">
      <w:pPr>
        <w:autoSpaceDE w:val="0"/>
        <w:autoSpaceDN w:val="0"/>
        <w:adjustRightInd w:val="0"/>
        <w:contextualSpacing/>
        <w:rPr>
          <w:i/>
          <w:szCs w:val="22"/>
          <w:lang w:val="fr-FR"/>
        </w:rPr>
      </w:pPr>
      <w:r>
        <w:rPr>
          <w:bCs/>
          <w:i/>
          <w:szCs w:val="22"/>
          <w:lang w:val="fr-FR"/>
        </w:rPr>
        <w:t>L’article </w:t>
      </w:r>
      <w:proofErr w:type="spellStart"/>
      <w:r>
        <w:rPr>
          <w:bCs/>
          <w:i/>
          <w:szCs w:val="22"/>
          <w:lang w:val="fr-FR"/>
        </w:rPr>
        <w:t>49a</w:t>
      </w:r>
      <w:proofErr w:type="spellEnd"/>
      <w:r>
        <w:rPr>
          <w:bCs/>
          <w:i/>
          <w:szCs w:val="22"/>
          <w:lang w:val="fr-FR"/>
        </w:rPr>
        <w:t xml:space="preserve"> de</w:t>
      </w:r>
      <w:r w:rsidRPr="008D75E9">
        <w:rPr>
          <w:bCs/>
          <w:i/>
          <w:szCs w:val="22"/>
          <w:lang w:val="fr-FR"/>
        </w:rPr>
        <w:t xml:space="preserve"> la </w:t>
      </w:r>
      <w:proofErr w:type="spellStart"/>
      <w:r w:rsidRPr="008D75E9">
        <w:rPr>
          <w:bCs/>
          <w:i/>
          <w:szCs w:val="22"/>
          <w:lang w:val="fr-FR"/>
        </w:rPr>
        <w:t>LBI</w:t>
      </w:r>
      <w:proofErr w:type="spellEnd"/>
      <w:r>
        <w:rPr>
          <w:bCs/>
          <w:i/>
          <w:szCs w:val="22"/>
          <w:lang w:val="fr-FR"/>
        </w:rPr>
        <w:t xml:space="preserve"> indique ce qui suit :</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szCs w:val="22"/>
          <w:lang w:val="fr-FR"/>
        </w:rPr>
      </w:pPr>
      <w:r w:rsidRPr="00332F2C">
        <w:rPr>
          <w:szCs w:val="22"/>
          <w:lang w:val="fr-FR"/>
        </w:rPr>
        <w:t xml:space="preserve">1 </w:t>
      </w:r>
      <w:r w:rsidRPr="00FA682B">
        <w:rPr>
          <w:szCs w:val="22"/>
          <w:lang w:val="fr-FR"/>
        </w:rPr>
        <w:t>La demande de brevet doit contenir des indications concernant la source</w:t>
      </w:r>
      <w:r>
        <w:rPr>
          <w:szCs w:val="22"/>
          <w:lang w:val="fr-FR"/>
        </w:rPr>
        <w:t> :</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szCs w:val="22"/>
          <w:lang w:val="fr-FR"/>
        </w:rPr>
      </w:pPr>
      <w:r w:rsidRPr="00332F2C">
        <w:rPr>
          <w:szCs w:val="22"/>
          <w:lang w:val="fr-FR"/>
        </w:rPr>
        <w:t xml:space="preserve">a. </w:t>
      </w:r>
      <w:r>
        <w:rPr>
          <w:szCs w:val="22"/>
          <w:lang w:val="fr-FR"/>
        </w:rPr>
        <w:t xml:space="preserve"> </w:t>
      </w:r>
      <w:r w:rsidRPr="00FA682B">
        <w:rPr>
          <w:szCs w:val="22"/>
          <w:lang w:val="fr-FR"/>
        </w:rPr>
        <w:t>de la r</w:t>
      </w:r>
      <w:r>
        <w:rPr>
          <w:szCs w:val="22"/>
          <w:lang w:val="fr-FR"/>
        </w:rPr>
        <w:t>essource génétique à laquelle l’</w:t>
      </w:r>
      <w:r w:rsidRPr="00FA682B">
        <w:rPr>
          <w:szCs w:val="22"/>
          <w:lang w:val="fr-FR"/>
        </w:rPr>
        <w:t>inventeur ou le requéran</w:t>
      </w:r>
      <w:r>
        <w:rPr>
          <w:szCs w:val="22"/>
          <w:lang w:val="fr-FR"/>
        </w:rPr>
        <w:t>t a eu accès, pour autant que l’</w:t>
      </w:r>
      <w:r w:rsidRPr="00FA682B">
        <w:rPr>
          <w:szCs w:val="22"/>
          <w:lang w:val="fr-FR"/>
        </w:rPr>
        <w:t>invention porte directement sur cette ressource</w:t>
      </w:r>
      <w:r w:rsidRPr="00332F2C">
        <w:rPr>
          <w:szCs w:val="22"/>
          <w:lang w:val="fr-FR"/>
        </w:rPr>
        <w:t>;</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szCs w:val="22"/>
          <w:lang w:val="fr-FR"/>
        </w:rPr>
      </w:pPr>
      <w:r w:rsidRPr="00332F2C">
        <w:rPr>
          <w:szCs w:val="22"/>
          <w:lang w:val="fr-FR"/>
        </w:rPr>
        <w:t xml:space="preserve">b. </w:t>
      </w:r>
      <w:r>
        <w:rPr>
          <w:szCs w:val="22"/>
          <w:lang w:val="fr-FR"/>
        </w:rPr>
        <w:t xml:space="preserve"> </w:t>
      </w:r>
      <w:r w:rsidRPr="00FA682B">
        <w:rPr>
          <w:szCs w:val="22"/>
          <w:lang w:val="fr-FR"/>
        </w:rPr>
        <w:t>du savoir traditionnel des communautés indigènes ou locales relatif aux res</w:t>
      </w:r>
      <w:r>
        <w:rPr>
          <w:szCs w:val="22"/>
          <w:lang w:val="fr-FR"/>
        </w:rPr>
        <w:t>sources génétiques auxquelles l’</w:t>
      </w:r>
      <w:r w:rsidRPr="00FA682B">
        <w:rPr>
          <w:szCs w:val="22"/>
          <w:lang w:val="fr-FR"/>
        </w:rPr>
        <w:t>inventeur ou le requéran</w:t>
      </w:r>
      <w:r>
        <w:rPr>
          <w:szCs w:val="22"/>
          <w:lang w:val="fr-FR"/>
        </w:rPr>
        <w:t>t a eu accès, pour autant que l’</w:t>
      </w:r>
      <w:r w:rsidRPr="00FA682B">
        <w:rPr>
          <w:szCs w:val="22"/>
          <w:lang w:val="fr-FR"/>
        </w:rPr>
        <w:t>invention porte directement sur ce savoir</w:t>
      </w:r>
      <w:r w:rsidRPr="00332F2C">
        <w:rPr>
          <w:szCs w:val="22"/>
          <w:lang w:val="fr-FR"/>
        </w:rPr>
        <w:t>.</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szCs w:val="22"/>
          <w:lang w:val="fr-FR"/>
        </w:rPr>
      </w:pPr>
      <w:r w:rsidRPr="00332F2C">
        <w:rPr>
          <w:szCs w:val="22"/>
          <w:lang w:val="fr-FR"/>
        </w:rPr>
        <w:t xml:space="preserve">2 </w:t>
      </w:r>
      <w:r>
        <w:rPr>
          <w:szCs w:val="22"/>
          <w:lang w:val="fr-FR"/>
        </w:rPr>
        <w:t>Si la source n’</w:t>
      </w:r>
      <w:r w:rsidRPr="00A975EF">
        <w:rPr>
          <w:szCs w:val="22"/>
          <w:lang w:val="fr-FR"/>
        </w:rPr>
        <w:t>est connue ni de l</w:t>
      </w:r>
      <w:r>
        <w:rPr>
          <w:szCs w:val="22"/>
          <w:lang w:val="fr-FR"/>
        </w:rPr>
        <w:t>’</w:t>
      </w:r>
      <w:r w:rsidRPr="00A975EF">
        <w:rPr>
          <w:szCs w:val="22"/>
          <w:lang w:val="fr-FR"/>
        </w:rPr>
        <w:t>inventeur ni du requérant, ce dernier doit le confirmer par écrit</w:t>
      </w:r>
      <w:r w:rsidRPr="00332F2C">
        <w:rPr>
          <w:szCs w:val="22"/>
          <w:lang w:val="fr-FR"/>
        </w:rPr>
        <w:t>.</w:t>
      </w:r>
    </w:p>
    <w:p w:rsidR="00A848F1" w:rsidRPr="00332F2C" w:rsidRDefault="00A848F1" w:rsidP="00A848F1">
      <w:pPr>
        <w:rPr>
          <w:szCs w:val="22"/>
          <w:lang w:val="fr-FR"/>
        </w:rPr>
      </w:pPr>
    </w:p>
    <w:p w:rsidR="00A848F1" w:rsidRPr="00332F2C" w:rsidRDefault="00A848F1" w:rsidP="00A848F1">
      <w:pPr>
        <w:rPr>
          <w:szCs w:val="22"/>
          <w:lang w:val="fr-FR"/>
        </w:rPr>
      </w:pPr>
    </w:p>
    <w:p w:rsidR="00A848F1" w:rsidRPr="00332F2C" w:rsidRDefault="00A848F1" w:rsidP="00A848F1">
      <w:pPr>
        <w:rPr>
          <w:b/>
          <w:szCs w:val="22"/>
          <w:lang w:val="fr-FR"/>
        </w:rPr>
      </w:pPr>
      <w:r w:rsidRPr="00332F2C">
        <w:rPr>
          <w:b/>
          <w:szCs w:val="22"/>
          <w:lang w:val="fr-FR"/>
        </w:rPr>
        <w:t xml:space="preserve">B.  </w:t>
      </w:r>
      <w:r>
        <w:rPr>
          <w:b/>
          <w:szCs w:val="22"/>
          <w:lang w:val="fr-FR"/>
        </w:rPr>
        <w:t>Sanctions applicables avant la délivrance</w:t>
      </w:r>
    </w:p>
    <w:p w:rsidR="00A848F1" w:rsidRDefault="00A848F1" w:rsidP="00A848F1">
      <w:pPr>
        <w:rPr>
          <w:i/>
          <w:szCs w:val="22"/>
          <w:lang w:val="fr-FR"/>
        </w:rPr>
      </w:pPr>
      <w:r>
        <w:rPr>
          <w:i/>
          <w:szCs w:val="22"/>
          <w:lang w:val="fr-FR"/>
        </w:rPr>
        <w:t>L’article 59 de</w:t>
      </w:r>
      <w:r w:rsidRPr="008D75E9">
        <w:rPr>
          <w:i/>
          <w:szCs w:val="22"/>
          <w:lang w:val="fr-FR"/>
        </w:rPr>
        <w:t xml:space="preserve"> la </w:t>
      </w:r>
      <w:proofErr w:type="spellStart"/>
      <w:r w:rsidRPr="008D75E9">
        <w:rPr>
          <w:i/>
          <w:szCs w:val="22"/>
          <w:lang w:val="fr-FR"/>
        </w:rPr>
        <w:t>LBI</w:t>
      </w:r>
      <w:proofErr w:type="spellEnd"/>
      <w:r>
        <w:rPr>
          <w:i/>
          <w:szCs w:val="22"/>
          <w:lang w:val="fr-FR"/>
        </w:rPr>
        <w:t xml:space="preserve"> prévoit ce qui suit :</w:t>
      </w:r>
    </w:p>
    <w:p w:rsidR="00A848F1" w:rsidRPr="00332F2C" w:rsidRDefault="00A848F1" w:rsidP="00A848F1">
      <w:pPr>
        <w:rPr>
          <w:b/>
          <w:szCs w:val="22"/>
          <w:lang w:val="fr-FR"/>
        </w:rPr>
      </w:pPr>
      <w:r w:rsidRPr="00332F2C">
        <w:rPr>
          <w:szCs w:val="22"/>
          <w:lang w:val="fr-FR"/>
        </w:rPr>
        <w:t>…</w:t>
      </w:r>
    </w:p>
    <w:p w:rsidR="00A848F1" w:rsidRDefault="00A848F1" w:rsidP="00A848F1">
      <w:pPr>
        <w:rPr>
          <w:szCs w:val="22"/>
          <w:lang w:val="fr-FR"/>
        </w:rPr>
      </w:pPr>
      <w:r w:rsidRPr="00332F2C">
        <w:rPr>
          <w:szCs w:val="22"/>
          <w:lang w:val="fr-FR"/>
        </w:rPr>
        <w:t xml:space="preserve">2 </w:t>
      </w:r>
      <w:r w:rsidRPr="00BB1A6F">
        <w:rPr>
          <w:szCs w:val="22"/>
          <w:lang w:val="fr-FR"/>
        </w:rPr>
        <w:t>Si la demande de brevet ne répond pas à d</w:t>
      </w:r>
      <w:r>
        <w:rPr>
          <w:szCs w:val="22"/>
          <w:lang w:val="fr-FR"/>
        </w:rPr>
        <w:t>’</w:t>
      </w:r>
      <w:r w:rsidRPr="00BB1A6F">
        <w:rPr>
          <w:szCs w:val="22"/>
          <w:lang w:val="fr-FR"/>
        </w:rPr>
        <w:t>autres prescriptions de la présente loi ou de l</w:t>
      </w:r>
      <w:r>
        <w:rPr>
          <w:szCs w:val="22"/>
          <w:lang w:val="fr-FR"/>
        </w:rPr>
        <w:t>’</w:t>
      </w:r>
      <w:r w:rsidRPr="00BB1A6F">
        <w:rPr>
          <w:szCs w:val="22"/>
          <w:lang w:val="fr-FR"/>
        </w:rPr>
        <w:t>ordonnance, l</w:t>
      </w:r>
      <w:r>
        <w:rPr>
          <w:szCs w:val="22"/>
          <w:lang w:val="fr-FR"/>
        </w:rPr>
        <w:t>’</w:t>
      </w:r>
      <w:proofErr w:type="spellStart"/>
      <w:r w:rsidRPr="00BB1A6F">
        <w:rPr>
          <w:szCs w:val="22"/>
          <w:lang w:val="fr-FR"/>
        </w:rPr>
        <w:t>IPI</w:t>
      </w:r>
      <w:proofErr w:type="spellEnd"/>
      <w:r w:rsidRPr="00BB1A6F">
        <w:rPr>
          <w:szCs w:val="22"/>
          <w:lang w:val="fr-FR"/>
        </w:rPr>
        <w:t xml:space="preserve"> impartit au requérant un délai pour en corriger les défauts</w:t>
      </w:r>
      <w:r w:rsidRPr="00332F2C">
        <w:rPr>
          <w:szCs w:val="22"/>
          <w:lang w:val="fr-FR"/>
        </w:rPr>
        <w:t>.</w:t>
      </w:r>
    </w:p>
    <w:p w:rsidR="00A848F1" w:rsidRPr="00332F2C" w:rsidRDefault="00A848F1" w:rsidP="00A848F1">
      <w:pPr>
        <w:contextualSpacing/>
        <w:rPr>
          <w:i/>
          <w:szCs w:val="22"/>
          <w:lang w:val="fr-FR"/>
        </w:rPr>
      </w:pPr>
      <w:r w:rsidRPr="00332F2C">
        <w:rPr>
          <w:szCs w:val="22"/>
          <w:lang w:val="fr-FR"/>
        </w:rPr>
        <w:t>…</w:t>
      </w:r>
    </w:p>
    <w:p w:rsidR="00A848F1" w:rsidRPr="00332F2C" w:rsidRDefault="00A848F1" w:rsidP="00A848F1">
      <w:pPr>
        <w:autoSpaceDE w:val="0"/>
        <w:autoSpaceDN w:val="0"/>
        <w:adjustRightInd w:val="0"/>
        <w:rPr>
          <w:i/>
          <w:szCs w:val="22"/>
          <w:lang w:val="fr-FR"/>
        </w:rPr>
      </w:pPr>
    </w:p>
    <w:p w:rsidR="00A848F1" w:rsidRDefault="00A848F1" w:rsidP="00A848F1">
      <w:pPr>
        <w:autoSpaceDE w:val="0"/>
        <w:autoSpaceDN w:val="0"/>
        <w:adjustRightInd w:val="0"/>
        <w:rPr>
          <w:i/>
          <w:szCs w:val="22"/>
          <w:lang w:val="fr-FR"/>
        </w:rPr>
      </w:pPr>
      <w:r>
        <w:rPr>
          <w:i/>
          <w:szCs w:val="22"/>
          <w:lang w:val="fr-FR"/>
        </w:rPr>
        <w:t>L’article </w:t>
      </w:r>
      <w:proofErr w:type="spellStart"/>
      <w:r w:rsidRPr="00332F2C">
        <w:rPr>
          <w:i/>
          <w:szCs w:val="22"/>
          <w:lang w:val="fr-FR"/>
        </w:rPr>
        <w:t>59a</w:t>
      </w:r>
      <w:proofErr w:type="spellEnd"/>
      <w:r w:rsidRPr="00332F2C">
        <w:rPr>
          <w:i/>
          <w:szCs w:val="22"/>
          <w:lang w:val="fr-FR"/>
        </w:rPr>
        <w:t xml:space="preserve"> </w:t>
      </w:r>
      <w:r>
        <w:rPr>
          <w:i/>
          <w:szCs w:val="22"/>
          <w:lang w:val="fr-FR"/>
        </w:rPr>
        <w:t>de</w:t>
      </w:r>
      <w:r w:rsidRPr="008D75E9">
        <w:rPr>
          <w:i/>
          <w:szCs w:val="22"/>
          <w:lang w:val="fr-FR"/>
        </w:rPr>
        <w:t xml:space="preserve"> la </w:t>
      </w:r>
      <w:proofErr w:type="spellStart"/>
      <w:r w:rsidRPr="008D75E9">
        <w:rPr>
          <w:i/>
          <w:szCs w:val="22"/>
          <w:lang w:val="fr-FR"/>
        </w:rPr>
        <w:t>LBI</w:t>
      </w:r>
      <w:proofErr w:type="spellEnd"/>
      <w:r>
        <w:rPr>
          <w:i/>
          <w:szCs w:val="22"/>
          <w:lang w:val="fr-FR"/>
        </w:rPr>
        <w:t xml:space="preserve"> prévoit ce qui suit :</w:t>
      </w:r>
    </w:p>
    <w:p w:rsidR="00A848F1" w:rsidRPr="00332F2C" w:rsidRDefault="00A848F1" w:rsidP="00A848F1">
      <w:pPr>
        <w:autoSpaceDE w:val="0"/>
        <w:autoSpaceDN w:val="0"/>
        <w:adjustRightInd w:val="0"/>
        <w:rPr>
          <w:i/>
          <w:szCs w:val="22"/>
          <w:lang w:val="fr-FR"/>
        </w:rPr>
      </w:pPr>
    </w:p>
    <w:p w:rsidR="00A848F1" w:rsidRPr="00332F2C" w:rsidRDefault="00A848F1" w:rsidP="00A848F1">
      <w:pPr>
        <w:kinsoku w:val="0"/>
        <w:overflowPunct w:val="0"/>
        <w:autoSpaceDE w:val="0"/>
        <w:autoSpaceDN w:val="0"/>
        <w:adjustRightInd w:val="0"/>
        <w:rPr>
          <w:szCs w:val="22"/>
          <w:lang w:val="fr-FR"/>
        </w:rPr>
      </w:pPr>
      <w:r w:rsidRPr="00332F2C">
        <w:rPr>
          <w:szCs w:val="22"/>
          <w:lang w:val="fr-FR"/>
        </w:rPr>
        <w:t>…</w:t>
      </w:r>
    </w:p>
    <w:p w:rsidR="00A848F1" w:rsidRPr="00332F2C" w:rsidRDefault="00A848F1" w:rsidP="00A848F1">
      <w:pPr>
        <w:kinsoku w:val="0"/>
        <w:overflowPunct w:val="0"/>
        <w:autoSpaceDE w:val="0"/>
        <w:autoSpaceDN w:val="0"/>
        <w:adjustRightInd w:val="0"/>
        <w:rPr>
          <w:szCs w:val="22"/>
          <w:lang w:val="fr-FR"/>
        </w:rPr>
      </w:pPr>
      <w:r w:rsidRPr="00332F2C">
        <w:rPr>
          <w:b/>
          <w:szCs w:val="22"/>
          <w:lang w:val="fr-FR"/>
        </w:rPr>
        <w:br/>
      </w:r>
      <w:r w:rsidRPr="00332F2C">
        <w:rPr>
          <w:szCs w:val="22"/>
          <w:lang w:val="fr-FR"/>
        </w:rPr>
        <w:t xml:space="preserve">3 </w:t>
      </w:r>
      <w:r w:rsidRPr="00BB1A6F">
        <w:rPr>
          <w:szCs w:val="22"/>
          <w:lang w:val="fr-FR"/>
        </w:rPr>
        <w:t>L</w:t>
      </w:r>
      <w:r>
        <w:rPr>
          <w:szCs w:val="22"/>
          <w:lang w:val="fr-FR"/>
        </w:rPr>
        <w:t>’</w:t>
      </w:r>
      <w:proofErr w:type="spellStart"/>
      <w:r w:rsidRPr="00BB1A6F">
        <w:rPr>
          <w:szCs w:val="22"/>
          <w:lang w:val="fr-FR"/>
        </w:rPr>
        <w:t>IPI</w:t>
      </w:r>
      <w:proofErr w:type="spellEnd"/>
      <w:r w:rsidRPr="00BB1A6F">
        <w:rPr>
          <w:szCs w:val="22"/>
          <w:lang w:val="fr-FR"/>
        </w:rPr>
        <w:t xml:space="preserve"> rejette la demande si</w:t>
      </w:r>
      <w:r>
        <w:rPr>
          <w:szCs w:val="22"/>
          <w:lang w:val="fr-FR"/>
        </w:rPr>
        <w:t> :</w:t>
      </w:r>
      <w:r w:rsidRPr="00332F2C">
        <w:rPr>
          <w:szCs w:val="22"/>
          <w:lang w:val="fr-FR"/>
        </w:rPr>
        <w:t xml:space="preserve"> …</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szCs w:val="22"/>
          <w:lang w:val="fr-FR"/>
        </w:rPr>
      </w:pPr>
      <w:r w:rsidRPr="00332F2C">
        <w:rPr>
          <w:szCs w:val="22"/>
          <w:lang w:val="fr-FR"/>
        </w:rPr>
        <w:t>b.</w:t>
      </w:r>
      <w:r>
        <w:rPr>
          <w:szCs w:val="22"/>
          <w:lang w:val="fr-FR"/>
        </w:rPr>
        <w:t xml:space="preserve"> </w:t>
      </w:r>
      <w:r w:rsidRPr="00332F2C">
        <w:rPr>
          <w:szCs w:val="22"/>
          <w:lang w:val="fr-FR"/>
        </w:rPr>
        <w:t xml:space="preserve"> </w:t>
      </w:r>
      <w:r w:rsidRPr="00BB1A6F">
        <w:rPr>
          <w:szCs w:val="22"/>
          <w:lang w:val="fr-FR"/>
        </w:rPr>
        <w:t>les défauts signalés conformément à l</w:t>
      </w:r>
      <w:r>
        <w:rPr>
          <w:szCs w:val="22"/>
          <w:lang w:val="fr-FR"/>
        </w:rPr>
        <w:t>’</w:t>
      </w:r>
      <w:r w:rsidRPr="00BB1A6F">
        <w:rPr>
          <w:szCs w:val="22"/>
          <w:lang w:val="fr-FR"/>
        </w:rPr>
        <w:t>art.</w:t>
      </w:r>
      <w:r>
        <w:rPr>
          <w:szCs w:val="22"/>
          <w:lang w:val="fr-FR"/>
        </w:rPr>
        <w:t> </w:t>
      </w:r>
      <w:r w:rsidRPr="00BB1A6F">
        <w:rPr>
          <w:szCs w:val="22"/>
          <w:lang w:val="fr-FR"/>
        </w:rPr>
        <w:t>59, al.</w:t>
      </w:r>
      <w:r>
        <w:rPr>
          <w:szCs w:val="22"/>
          <w:lang w:val="fr-FR"/>
        </w:rPr>
        <w:t> </w:t>
      </w:r>
      <w:r w:rsidRPr="00BB1A6F">
        <w:rPr>
          <w:szCs w:val="22"/>
          <w:lang w:val="fr-FR"/>
        </w:rPr>
        <w:t>2 ne sont pas corrigés</w:t>
      </w:r>
      <w:r w:rsidRPr="00332F2C">
        <w:rPr>
          <w:szCs w:val="22"/>
          <w:lang w:val="fr-FR"/>
        </w:rPr>
        <w:t>.</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b/>
          <w:szCs w:val="22"/>
          <w:lang w:val="fr-FR"/>
        </w:rPr>
      </w:pPr>
      <w:r w:rsidRPr="00332F2C">
        <w:rPr>
          <w:b/>
          <w:szCs w:val="22"/>
          <w:lang w:val="fr-FR"/>
        </w:rPr>
        <w:t xml:space="preserve">C. </w:t>
      </w:r>
      <w:r>
        <w:rPr>
          <w:b/>
          <w:szCs w:val="22"/>
          <w:lang w:val="fr-FR"/>
        </w:rPr>
        <w:t xml:space="preserve"> Sanctions applicables après la délivrance</w:t>
      </w:r>
    </w:p>
    <w:p w:rsidR="00A848F1" w:rsidRPr="00332F2C" w:rsidRDefault="00A848F1" w:rsidP="00A848F1">
      <w:pPr>
        <w:autoSpaceDE w:val="0"/>
        <w:autoSpaceDN w:val="0"/>
        <w:adjustRightInd w:val="0"/>
        <w:rPr>
          <w:b/>
          <w:szCs w:val="22"/>
          <w:lang w:val="fr-FR"/>
        </w:rPr>
      </w:pPr>
    </w:p>
    <w:p w:rsidR="00A848F1" w:rsidRDefault="00A848F1" w:rsidP="00A848F1">
      <w:pPr>
        <w:autoSpaceDE w:val="0"/>
        <w:autoSpaceDN w:val="0"/>
        <w:adjustRightInd w:val="0"/>
        <w:rPr>
          <w:i/>
          <w:szCs w:val="22"/>
          <w:lang w:val="fr-FR"/>
        </w:rPr>
      </w:pPr>
      <w:r>
        <w:rPr>
          <w:i/>
          <w:szCs w:val="22"/>
          <w:lang w:val="fr-FR"/>
        </w:rPr>
        <w:t>L’article </w:t>
      </w:r>
      <w:proofErr w:type="spellStart"/>
      <w:r w:rsidRPr="00332F2C">
        <w:rPr>
          <w:i/>
          <w:szCs w:val="22"/>
          <w:lang w:val="fr-FR"/>
        </w:rPr>
        <w:t>81a</w:t>
      </w:r>
      <w:proofErr w:type="spellEnd"/>
      <w:r w:rsidRPr="00332F2C">
        <w:rPr>
          <w:i/>
          <w:szCs w:val="22"/>
          <w:lang w:val="fr-FR"/>
        </w:rPr>
        <w:t xml:space="preserve"> </w:t>
      </w:r>
      <w:r>
        <w:rPr>
          <w:i/>
          <w:szCs w:val="22"/>
          <w:lang w:val="fr-FR"/>
        </w:rPr>
        <w:t>de</w:t>
      </w:r>
      <w:r w:rsidRPr="008D75E9">
        <w:rPr>
          <w:i/>
          <w:szCs w:val="22"/>
          <w:lang w:val="fr-FR"/>
        </w:rPr>
        <w:t xml:space="preserve"> la </w:t>
      </w:r>
      <w:proofErr w:type="spellStart"/>
      <w:r w:rsidRPr="008D75E9">
        <w:rPr>
          <w:i/>
          <w:szCs w:val="22"/>
          <w:lang w:val="fr-FR"/>
        </w:rPr>
        <w:t>LBI</w:t>
      </w:r>
      <w:proofErr w:type="spellEnd"/>
      <w:r>
        <w:rPr>
          <w:i/>
          <w:szCs w:val="22"/>
          <w:lang w:val="fr-FR"/>
        </w:rPr>
        <w:t xml:space="preserve"> prévoit ce qui suit :</w:t>
      </w:r>
    </w:p>
    <w:p w:rsidR="00A848F1" w:rsidRPr="00332F2C" w:rsidRDefault="00A848F1" w:rsidP="00A848F1">
      <w:pPr>
        <w:autoSpaceDE w:val="0"/>
        <w:autoSpaceDN w:val="0"/>
        <w:adjustRightInd w:val="0"/>
        <w:contextualSpacing/>
        <w:rPr>
          <w:i/>
          <w:szCs w:val="22"/>
          <w:lang w:val="fr-FR"/>
        </w:rPr>
      </w:pPr>
    </w:p>
    <w:p w:rsidR="00A848F1" w:rsidRPr="00332F2C" w:rsidRDefault="00A848F1" w:rsidP="00A848F1">
      <w:pPr>
        <w:autoSpaceDE w:val="0"/>
        <w:autoSpaceDN w:val="0"/>
        <w:adjustRightInd w:val="0"/>
        <w:rPr>
          <w:szCs w:val="22"/>
          <w:lang w:val="fr-FR"/>
        </w:rPr>
      </w:pPr>
      <w:r w:rsidRPr="00332F2C">
        <w:rPr>
          <w:szCs w:val="22"/>
          <w:lang w:val="fr-FR"/>
        </w:rPr>
        <w:t xml:space="preserve">1 </w:t>
      </w:r>
      <w:r w:rsidRPr="001112BB">
        <w:rPr>
          <w:szCs w:val="22"/>
          <w:lang w:val="fr-FR"/>
        </w:rPr>
        <w:t>Celui qui fournit intentionnellement d</w:t>
      </w:r>
      <w:r>
        <w:rPr>
          <w:szCs w:val="22"/>
          <w:lang w:val="fr-FR"/>
        </w:rPr>
        <w:t xml:space="preserve">e faux renseignements visés à l’art.  </w:t>
      </w:r>
      <w:proofErr w:type="spellStart"/>
      <w:r>
        <w:rPr>
          <w:szCs w:val="22"/>
          <w:lang w:val="fr-FR"/>
        </w:rPr>
        <w:t>49</w:t>
      </w:r>
      <w:r w:rsidRPr="00CC2E52">
        <w:rPr>
          <w:i/>
          <w:szCs w:val="22"/>
          <w:lang w:val="fr-FR"/>
        </w:rPr>
        <w:t>a</w:t>
      </w:r>
      <w:proofErr w:type="spellEnd"/>
      <w:r>
        <w:rPr>
          <w:szCs w:val="22"/>
          <w:lang w:val="fr-FR"/>
        </w:rPr>
        <w:t xml:space="preserve"> est puni d’</w:t>
      </w:r>
      <w:r w:rsidRPr="001112BB">
        <w:rPr>
          <w:szCs w:val="22"/>
          <w:lang w:val="fr-FR"/>
        </w:rPr>
        <w:t>une amende de 100</w:t>
      </w:r>
      <w:r>
        <w:rPr>
          <w:szCs w:val="22"/>
          <w:lang w:val="fr-FR"/>
        </w:rPr>
        <w:t> </w:t>
      </w:r>
      <w:r w:rsidRPr="001112BB">
        <w:rPr>
          <w:szCs w:val="22"/>
          <w:lang w:val="fr-FR"/>
        </w:rPr>
        <w:t>000</w:t>
      </w:r>
      <w:r>
        <w:rPr>
          <w:szCs w:val="22"/>
          <w:lang w:val="fr-FR"/>
        </w:rPr>
        <w:t> </w:t>
      </w:r>
      <w:r w:rsidRPr="001112BB">
        <w:rPr>
          <w:szCs w:val="22"/>
          <w:lang w:val="fr-FR"/>
        </w:rPr>
        <w:t>francs au plus</w:t>
      </w:r>
      <w:r w:rsidRPr="00332F2C">
        <w:rPr>
          <w:szCs w:val="22"/>
          <w:lang w:val="fr-FR"/>
        </w:rPr>
        <w:t>.</w:t>
      </w:r>
    </w:p>
    <w:p w:rsidR="00A848F1" w:rsidRPr="00332F2C" w:rsidRDefault="00A848F1" w:rsidP="00A848F1">
      <w:pPr>
        <w:autoSpaceDE w:val="0"/>
        <w:autoSpaceDN w:val="0"/>
        <w:adjustRightInd w:val="0"/>
        <w:rPr>
          <w:szCs w:val="22"/>
          <w:lang w:val="fr-FR"/>
        </w:rPr>
      </w:pPr>
      <w:r w:rsidRPr="00332F2C">
        <w:rPr>
          <w:szCs w:val="22"/>
          <w:lang w:val="fr-FR"/>
        </w:rPr>
        <w:t xml:space="preserve">2 </w:t>
      </w:r>
      <w:r w:rsidRPr="001112BB">
        <w:rPr>
          <w:szCs w:val="22"/>
          <w:lang w:val="fr-FR"/>
        </w:rPr>
        <w:t>Le juge peut ordonner la publication du jugement</w:t>
      </w:r>
      <w:r w:rsidRPr="00332F2C">
        <w:rPr>
          <w:szCs w:val="22"/>
          <w:lang w:val="fr-FR"/>
        </w:rPr>
        <w:t>.</w:t>
      </w:r>
    </w:p>
    <w:p w:rsidR="00A848F1" w:rsidRPr="00332F2C" w:rsidRDefault="00A848F1" w:rsidP="00A848F1">
      <w:pPr>
        <w:kinsoku w:val="0"/>
        <w:overflowPunct w:val="0"/>
        <w:autoSpaceDE w:val="0"/>
        <w:autoSpaceDN w:val="0"/>
        <w:adjustRightInd w:val="0"/>
        <w:rPr>
          <w:szCs w:val="22"/>
          <w:lang w:val="fr-FR"/>
        </w:rPr>
      </w:pPr>
      <w:r w:rsidRPr="00332F2C">
        <w:rPr>
          <w:szCs w:val="22"/>
          <w:lang w:val="fr-FR"/>
        </w:rPr>
        <w:t>…</w:t>
      </w:r>
    </w:p>
    <w:p w:rsidR="00A848F1" w:rsidRPr="00332F2C" w:rsidRDefault="00A848F1" w:rsidP="00A848F1">
      <w:pPr>
        <w:rPr>
          <w:szCs w:val="22"/>
          <w:lang w:val="fr-FR"/>
        </w:rPr>
      </w:pPr>
      <w:r w:rsidRPr="00332F2C">
        <w:rPr>
          <w:szCs w:val="22"/>
          <w:lang w:val="fr-FR"/>
        </w:rPr>
        <w:br w:type="page"/>
      </w:r>
    </w:p>
    <w:p w:rsidR="00A848F1" w:rsidRDefault="00A848F1" w:rsidP="00A848F1">
      <w:pPr>
        <w:autoSpaceDE w:val="0"/>
        <w:autoSpaceDN w:val="0"/>
        <w:adjustRightInd w:val="0"/>
        <w:rPr>
          <w:b/>
          <w:szCs w:val="22"/>
          <w:lang w:val="fr-FR"/>
        </w:rPr>
      </w:pPr>
      <w:r w:rsidRPr="00332F2C">
        <w:rPr>
          <w:szCs w:val="22"/>
          <w:lang w:val="fr-FR"/>
        </w:rPr>
        <w:t>III.</w:t>
      </w:r>
      <w:r w:rsidRPr="00332F2C">
        <w:rPr>
          <w:szCs w:val="22"/>
          <w:lang w:val="fr-FR"/>
        </w:rPr>
        <w:tab/>
      </w:r>
      <w:r>
        <w:rPr>
          <w:b/>
          <w:szCs w:val="22"/>
          <w:lang w:val="fr-FR"/>
        </w:rPr>
        <w:t>PRÉSENTATION DU BREVET</w:t>
      </w:r>
    </w:p>
    <w:p w:rsidR="00A848F1" w:rsidRPr="00332F2C" w:rsidRDefault="00A848F1" w:rsidP="00A848F1">
      <w:pPr>
        <w:autoSpaceDE w:val="0"/>
        <w:autoSpaceDN w:val="0"/>
        <w:adjustRightInd w:val="0"/>
        <w:rPr>
          <w:szCs w:val="22"/>
          <w:lang w:val="fr-FR"/>
        </w:rPr>
      </w:pPr>
    </w:p>
    <w:p w:rsidR="00A848F1" w:rsidRDefault="00A848F1" w:rsidP="00A848F1">
      <w:pPr>
        <w:autoSpaceDE w:val="0"/>
        <w:autoSpaceDN w:val="0"/>
        <w:adjustRightInd w:val="0"/>
        <w:rPr>
          <w:szCs w:val="22"/>
          <w:lang w:val="fr-FR"/>
        </w:rPr>
      </w:pPr>
      <w:r w:rsidRPr="00332F2C">
        <w:rPr>
          <w:szCs w:val="22"/>
          <w:lang w:val="fr-FR"/>
        </w:rPr>
        <w:tab/>
      </w:r>
      <w:r>
        <w:rPr>
          <w:szCs w:val="22"/>
          <w:lang w:val="fr-FR"/>
        </w:rPr>
        <w:t>Le brevet utilisé dans cette analyse est le brevet américain n° </w:t>
      </w:r>
      <w:r w:rsidRPr="00332F2C">
        <w:rPr>
          <w:szCs w:val="22"/>
          <w:lang w:val="fr-FR"/>
        </w:rPr>
        <w:t>5</w:t>
      </w:r>
      <w:r>
        <w:rPr>
          <w:szCs w:val="22"/>
          <w:lang w:val="fr-FR"/>
        </w:rPr>
        <w:t> </w:t>
      </w:r>
      <w:r w:rsidRPr="00332F2C">
        <w:rPr>
          <w:szCs w:val="22"/>
          <w:lang w:val="fr-FR"/>
        </w:rPr>
        <w:t>137</w:t>
      </w:r>
      <w:r>
        <w:rPr>
          <w:szCs w:val="22"/>
          <w:lang w:val="fr-FR"/>
        </w:rPr>
        <w:t> </w:t>
      </w:r>
      <w:r w:rsidRPr="00332F2C">
        <w:rPr>
          <w:szCs w:val="22"/>
          <w:lang w:val="fr-FR"/>
        </w:rPr>
        <w:t>870 (</w:t>
      </w:r>
      <w:r>
        <w:rPr>
          <w:szCs w:val="22"/>
          <w:lang w:val="fr-FR"/>
        </w:rPr>
        <w:t>ci</w:t>
      </w:r>
      <w:r>
        <w:rPr>
          <w:szCs w:val="22"/>
          <w:lang w:val="fr-FR"/>
        </w:rPr>
        <w:noBreakHyphen/>
        <w:t xml:space="preserve">après dénommé </w:t>
      </w:r>
      <w:r w:rsidRPr="00332F2C">
        <w:rPr>
          <w:szCs w:val="22"/>
          <w:lang w:val="fr-FR"/>
        </w:rPr>
        <w:t>“</w:t>
      </w:r>
      <w:r>
        <w:rPr>
          <w:szCs w:val="22"/>
          <w:lang w:val="fr-FR"/>
        </w:rPr>
        <w:t>brevet n° 870</w:t>
      </w:r>
      <w:r w:rsidRPr="00332F2C">
        <w:rPr>
          <w:szCs w:val="22"/>
          <w:lang w:val="fr-FR"/>
        </w:rPr>
        <w:t xml:space="preserve">”), </w:t>
      </w:r>
      <w:r>
        <w:rPr>
          <w:szCs w:val="22"/>
          <w:lang w:val="fr-FR"/>
        </w:rPr>
        <w:t xml:space="preserve">intitulé </w:t>
      </w:r>
      <w:r w:rsidRPr="00332F2C">
        <w:rPr>
          <w:szCs w:val="22"/>
          <w:lang w:val="fr-FR"/>
        </w:rPr>
        <w:t>“</w:t>
      </w:r>
      <w:proofErr w:type="spellStart"/>
      <w:r w:rsidRPr="00332F2C">
        <w:rPr>
          <w:szCs w:val="22"/>
          <w:lang w:val="fr-FR"/>
        </w:rPr>
        <w:t>Didemnins</w:t>
      </w:r>
      <w:proofErr w:type="spellEnd"/>
      <w:r w:rsidRPr="00332F2C">
        <w:rPr>
          <w:szCs w:val="22"/>
          <w:lang w:val="fr-FR"/>
        </w:rPr>
        <w:t xml:space="preserve"> </w:t>
      </w:r>
      <w:r>
        <w:rPr>
          <w:szCs w:val="22"/>
          <w:lang w:val="fr-FR"/>
        </w:rPr>
        <w:t>et</w:t>
      </w:r>
      <w:r w:rsidRPr="00332F2C">
        <w:rPr>
          <w:szCs w:val="22"/>
          <w:lang w:val="fr-FR"/>
        </w:rPr>
        <w:t xml:space="preserve"> </w:t>
      </w:r>
      <w:proofErr w:type="spellStart"/>
      <w:r w:rsidRPr="00332F2C">
        <w:rPr>
          <w:szCs w:val="22"/>
          <w:lang w:val="fr-FR"/>
        </w:rPr>
        <w:t>Nordidemnins</w:t>
      </w:r>
      <w:proofErr w:type="spellEnd"/>
      <w:r w:rsidRPr="00332F2C">
        <w:rPr>
          <w:szCs w:val="22"/>
          <w:lang w:val="fr-FR"/>
        </w:rPr>
        <w:t>”</w:t>
      </w:r>
      <w:r>
        <w:rPr>
          <w:szCs w:val="22"/>
          <w:lang w:val="fr-FR"/>
        </w:rPr>
        <w:t>.</w:t>
      </w:r>
      <w:r w:rsidRPr="00332F2C">
        <w:rPr>
          <w:szCs w:val="22"/>
          <w:lang w:val="fr-FR"/>
        </w:rPr>
        <w:t xml:space="preserve">  </w:t>
      </w:r>
      <w:r>
        <w:rPr>
          <w:szCs w:val="22"/>
          <w:lang w:val="fr-FR"/>
        </w:rPr>
        <w:t>La demande de brevet a été déposée aux États</w:t>
      </w:r>
      <w:r>
        <w:rPr>
          <w:szCs w:val="22"/>
          <w:lang w:val="fr-FR"/>
        </w:rPr>
        <w:noBreakHyphen/>
        <w:t>Unis d’Amérique le 20 février 1990 et revendique la priorité nationale de la demande principale n° </w:t>
      </w:r>
      <w:r w:rsidRPr="00332F2C">
        <w:rPr>
          <w:szCs w:val="22"/>
          <w:lang w:val="fr-FR"/>
        </w:rPr>
        <w:t>186</w:t>
      </w:r>
      <w:r>
        <w:rPr>
          <w:szCs w:val="22"/>
          <w:lang w:val="fr-FR"/>
        </w:rPr>
        <w:t> </w:t>
      </w:r>
      <w:r w:rsidRPr="00332F2C">
        <w:rPr>
          <w:szCs w:val="22"/>
          <w:lang w:val="fr-FR"/>
        </w:rPr>
        <w:t xml:space="preserve">932, </w:t>
      </w:r>
      <w:r>
        <w:rPr>
          <w:szCs w:val="22"/>
          <w:lang w:val="fr-FR"/>
        </w:rPr>
        <w:t>déposée le 12 septembre 1980</w:t>
      </w:r>
      <w:r w:rsidRPr="00332F2C">
        <w:rPr>
          <w:szCs w:val="22"/>
          <w:lang w:val="fr-FR"/>
        </w:rPr>
        <w:t xml:space="preserve">.  </w:t>
      </w:r>
      <w:r>
        <w:rPr>
          <w:szCs w:val="22"/>
          <w:lang w:val="fr-FR"/>
        </w:rPr>
        <w:t>Son inventeur est M. </w:t>
      </w:r>
      <w:r w:rsidRPr="00332F2C">
        <w:rPr>
          <w:szCs w:val="22"/>
          <w:lang w:val="fr-FR"/>
        </w:rPr>
        <w:t>Kenneth</w:t>
      </w:r>
      <w:r>
        <w:rPr>
          <w:szCs w:val="22"/>
          <w:lang w:val="fr-FR"/>
        </w:rPr>
        <w:t> </w:t>
      </w:r>
      <w:r w:rsidRPr="00332F2C">
        <w:rPr>
          <w:szCs w:val="22"/>
          <w:lang w:val="fr-FR"/>
        </w:rPr>
        <w:t>L.</w:t>
      </w:r>
      <w:r>
        <w:rPr>
          <w:szCs w:val="22"/>
          <w:lang w:val="fr-FR"/>
        </w:rPr>
        <w:t> </w:t>
      </w:r>
      <w:proofErr w:type="spellStart"/>
      <w:r w:rsidRPr="00332F2C">
        <w:rPr>
          <w:szCs w:val="22"/>
          <w:lang w:val="fr-FR"/>
        </w:rPr>
        <w:t>Rinehart</w:t>
      </w:r>
      <w:proofErr w:type="spellEnd"/>
      <w:r w:rsidRPr="00332F2C">
        <w:rPr>
          <w:szCs w:val="22"/>
          <w:lang w:val="fr-FR"/>
        </w:rPr>
        <w:t xml:space="preserve"> (</w:t>
      </w:r>
      <w:r>
        <w:rPr>
          <w:szCs w:val="22"/>
          <w:lang w:val="fr-FR"/>
        </w:rPr>
        <w:t>ci</w:t>
      </w:r>
      <w:r>
        <w:rPr>
          <w:szCs w:val="22"/>
          <w:lang w:val="fr-FR"/>
        </w:rPr>
        <w:noBreakHyphen/>
        <w:t xml:space="preserve">après dénommé </w:t>
      </w:r>
      <w:r w:rsidRPr="00332F2C">
        <w:rPr>
          <w:szCs w:val="22"/>
          <w:lang w:val="fr-FR"/>
        </w:rPr>
        <w:t>“</w:t>
      </w:r>
      <w:r>
        <w:rPr>
          <w:szCs w:val="22"/>
          <w:lang w:val="fr-FR"/>
        </w:rPr>
        <w:t>M. </w:t>
      </w:r>
      <w:proofErr w:type="spellStart"/>
      <w:r w:rsidRPr="00332F2C">
        <w:rPr>
          <w:szCs w:val="22"/>
          <w:lang w:val="fr-FR"/>
        </w:rPr>
        <w:t>Rinehart</w:t>
      </w:r>
      <w:proofErr w:type="spellEnd"/>
      <w:r w:rsidRPr="00332F2C">
        <w:rPr>
          <w:szCs w:val="22"/>
          <w:lang w:val="fr-FR"/>
        </w:rPr>
        <w:t xml:space="preserve">”) </w:t>
      </w:r>
      <w:r>
        <w:rPr>
          <w:szCs w:val="22"/>
          <w:lang w:val="fr-FR"/>
        </w:rPr>
        <w:t>et le cessionnaire l’université de l’Illinois à Urbana</w:t>
      </w:r>
      <w:r w:rsidRPr="00332F2C">
        <w:rPr>
          <w:szCs w:val="22"/>
          <w:lang w:val="fr-FR"/>
        </w:rPr>
        <w:t>.</w:t>
      </w:r>
    </w:p>
    <w:p w:rsidR="00A848F1" w:rsidRPr="00332F2C" w:rsidRDefault="00A848F1" w:rsidP="00A848F1">
      <w:pPr>
        <w:autoSpaceDE w:val="0"/>
        <w:autoSpaceDN w:val="0"/>
        <w:adjustRightInd w:val="0"/>
        <w:rPr>
          <w:szCs w:val="22"/>
          <w:lang w:val="fr-FR"/>
        </w:rPr>
      </w:pPr>
    </w:p>
    <w:p w:rsidR="00A848F1" w:rsidRDefault="00A848F1" w:rsidP="00A848F1">
      <w:pPr>
        <w:autoSpaceDE w:val="0"/>
        <w:autoSpaceDN w:val="0"/>
        <w:adjustRightInd w:val="0"/>
        <w:rPr>
          <w:bCs/>
          <w:i/>
          <w:szCs w:val="22"/>
          <w:lang w:val="fr-FR"/>
        </w:rPr>
      </w:pPr>
      <w:r>
        <w:rPr>
          <w:bCs/>
          <w:i/>
          <w:szCs w:val="22"/>
          <w:u w:val="single"/>
          <w:lang w:val="fr-FR"/>
        </w:rPr>
        <w:t>Observations formulées par la Suisse</w:t>
      </w:r>
      <w:r w:rsidRPr="00EF36D9">
        <w:rPr>
          <w:bCs/>
          <w:i/>
          <w:szCs w:val="22"/>
          <w:lang w:val="fr-FR"/>
        </w:rPr>
        <w:t> :</w:t>
      </w:r>
      <w:r w:rsidRPr="00332F2C">
        <w:rPr>
          <w:bCs/>
          <w:i/>
          <w:szCs w:val="22"/>
          <w:lang w:val="fr-FR"/>
        </w:rPr>
        <w:t xml:space="preserve"> </w:t>
      </w:r>
      <w:r>
        <w:rPr>
          <w:bCs/>
          <w:i/>
          <w:szCs w:val="22"/>
          <w:lang w:val="fr-FR"/>
        </w:rPr>
        <w:t>Le brevet américain n° </w:t>
      </w:r>
      <w:r w:rsidRPr="00332F2C">
        <w:rPr>
          <w:bCs/>
          <w:i/>
          <w:szCs w:val="22"/>
          <w:lang w:val="fr-FR"/>
        </w:rPr>
        <w:t>5</w:t>
      </w:r>
      <w:r>
        <w:rPr>
          <w:bCs/>
          <w:i/>
          <w:szCs w:val="22"/>
          <w:lang w:val="fr-FR"/>
        </w:rPr>
        <w:t> </w:t>
      </w:r>
      <w:r w:rsidRPr="00332F2C">
        <w:rPr>
          <w:bCs/>
          <w:i/>
          <w:szCs w:val="22"/>
          <w:lang w:val="fr-FR"/>
        </w:rPr>
        <w:t>137</w:t>
      </w:r>
      <w:r>
        <w:rPr>
          <w:bCs/>
          <w:i/>
          <w:szCs w:val="22"/>
          <w:lang w:val="fr-FR"/>
        </w:rPr>
        <w:t> </w:t>
      </w:r>
      <w:r w:rsidRPr="00332F2C">
        <w:rPr>
          <w:bCs/>
          <w:i/>
          <w:szCs w:val="22"/>
          <w:lang w:val="fr-FR"/>
        </w:rPr>
        <w:t xml:space="preserve">870 </w:t>
      </w:r>
      <w:r>
        <w:rPr>
          <w:bCs/>
          <w:i/>
          <w:szCs w:val="22"/>
          <w:lang w:val="fr-FR"/>
        </w:rPr>
        <w:t>a fait l’objet d’une demande déposée le 20 février 1990</w:t>
      </w:r>
      <w:r w:rsidRPr="00332F2C">
        <w:rPr>
          <w:bCs/>
          <w:i/>
          <w:szCs w:val="22"/>
          <w:lang w:val="fr-FR"/>
        </w:rPr>
        <w:t xml:space="preserve">;  </w:t>
      </w:r>
      <w:r>
        <w:rPr>
          <w:bCs/>
          <w:i/>
          <w:szCs w:val="22"/>
          <w:lang w:val="fr-FR"/>
        </w:rPr>
        <w:t>il s’agit donc d’un exemple obsolète pour l’analyse de la législation suisse sur les ressources génétiques qui est entrée en vigueur de nombreuses années plus tard.  L’accès aux ressources génétiques utilisées dans la recherche aboutissant à ce brevet est antérieur à l’entrée en vigueur de</w:t>
      </w:r>
      <w:r w:rsidRPr="008D75E9">
        <w:rPr>
          <w:bCs/>
          <w:i/>
          <w:szCs w:val="22"/>
          <w:lang w:val="fr-FR"/>
        </w:rPr>
        <w:t xml:space="preserve"> la CDB</w:t>
      </w:r>
      <w:r>
        <w:rPr>
          <w:bCs/>
          <w:i/>
          <w:szCs w:val="22"/>
          <w:lang w:val="fr-FR"/>
        </w:rPr>
        <w:t>.  Dans les décennies qui ont suivi, les recherches fondées sur les ressources génétiques ont évolué, de même que la réglementation relative aux ressources génétiques e</w:t>
      </w:r>
      <w:r w:rsidRPr="00332F2C">
        <w:rPr>
          <w:bCs/>
          <w:i/>
          <w:szCs w:val="22"/>
          <w:lang w:val="fr-FR"/>
        </w:rPr>
        <w:t xml:space="preserve">n </w:t>
      </w:r>
      <w:r>
        <w:rPr>
          <w:bCs/>
          <w:i/>
          <w:szCs w:val="22"/>
          <w:lang w:val="fr-FR"/>
        </w:rPr>
        <w:t>Suisse et, très certainement, dans les autres pays cités dans l’analyse, à savoir le Mexique, le Panama, le Honduras, la Colombie et le</w:t>
      </w:r>
      <w:r w:rsidRPr="00332F2C">
        <w:rPr>
          <w:bCs/>
          <w:i/>
          <w:szCs w:val="22"/>
          <w:lang w:val="fr-FR"/>
        </w:rPr>
        <w:t xml:space="preserve"> Belize</w:t>
      </w:r>
      <w:r>
        <w:rPr>
          <w:bCs/>
          <w:i/>
          <w:szCs w:val="22"/>
          <w:lang w:val="fr-FR"/>
        </w:rPr>
        <w:t>.  Une demande de brevet plus récente aurait été plus appropriée pour une analyse correcte et valable des régimes juridiques pertinents</w:t>
      </w:r>
      <w:r w:rsidRPr="00332F2C">
        <w:rPr>
          <w:bCs/>
          <w:i/>
          <w:szCs w:val="22"/>
          <w:lang w:val="fr-FR"/>
        </w:rPr>
        <w:t>.</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i/>
          <w:szCs w:val="22"/>
          <w:lang w:val="fr-FR"/>
        </w:rPr>
      </w:pPr>
      <w:r>
        <w:rPr>
          <w:i/>
          <w:szCs w:val="22"/>
          <w:lang w:val="fr-FR"/>
        </w:rPr>
        <w:t>Le résumé succinct de l’invention indique ce qui suit :</w:t>
      </w:r>
    </w:p>
    <w:p w:rsidR="00A848F1" w:rsidRPr="00332F2C" w:rsidRDefault="00A848F1" w:rsidP="00A848F1">
      <w:pPr>
        <w:autoSpaceDE w:val="0"/>
        <w:autoSpaceDN w:val="0"/>
        <w:adjustRightInd w:val="0"/>
        <w:rPr>
          <w:i/>
          <w:szCs w:val="22"/>
          <w:lang w:val="fr-FR"/>
        </w:rPr>
      </w:pPr>
    </w:p>
    <w:p w:rsidR="00A848F1" w:rsidRDefault="00A848F1" w:rsidP="00A848F1">
      <w:pPr>
        <w:autoSpaceDE w:val="0"/>
        <w:autoSpaceDN w:val="0"/>
        <w:adjustRightInd w:val="0"/>
        <w:rPr>
          <w:color w:val="000000"/>
          <w:szCs w:val="22"/>
          <w:lang w:val="fr-FR"/>
        </w:rPr>
      </w:pPr>
      <w:r w:rsidRPr="008F48C2">
        <w:rPr>
          <w:color w:val="000000"/>
          <w:szCs w:val="22"/>
          <w:lang w:val="fr-FR"/>
        </w:rPr>
        <w:t xml:space="preserve">De nouveaux antibiotiques de </w:t>
      </w:r>
      <w:proofErr w:type="spellStart"/>
      <w:r w:rsidRPr="008F48C2">
        <w:rPr>
          <w:color w:val="000000"/>
          <w:szCs w:val="22"/>
          <w:lang w:val="fr-FR"/>
        </w:rPr>
        <w:t>didemnine</w:t>
      </w:r>
      <w:proofErr w:type="spellEnd"/>
      <w:r w:rsidRPr="008F48C2">
        <w:rPr>
          <w:color w:val="000000"/>
          <w:szCs w:val="22"/>
          <w:lang w:val="fr-FR"/>
        </w:rPr>
        <w:t xml:space="preserve"> </w:t>
      </w:r>
      <w:r>
        <w:rPr>
          <w:color w:val="000000"/>
          <w:szCs w:val="22"/>
          <w:lang w:val="fr-FR"/>
        </w:rPr>
        <w:t>A</w:t>
      </w:r>
      <w:r w:rsidRPr="008F48C2">
        <w:rPr>
          <w:color w:val="000000"/>
          <w:szCs w:val="22"/>
          <w:lang w:val="fr-FR"/>
        </w:rPr>
        <w:t xml:space="preserve">, </w:t>
      </w:r>
      <w:proofErr w:type="spellStart"/>
      <w:r w:rsidRPr="008F48C2">
        <w:rPr>
          <w:color w:val="000000"/>
          <w:szCs w:val="22"/>
          <w:lang w:val="fr-FR"/>
        </w:rPr>
        <w:t>didemnine</w:t>
      </w:r>
      <w:proofErr w:type="spellEnd"/>
      <w:r w:rsidRPr="008F48C2">
        <w:rPr>
          <w:color w:val="000000"/>
          <w:szCs w:val="22"/>
          <w:lang w:val="fr-FR"/>
        </w:rPr>
        <w:t xml:space="preserve"> B, </w:t>
      </w:r>
      <w:proofErr w:type="spellStart"/>
      <w:r w:rsidRPr="008F48C2">
        <w:rPr>
          <w:color w:val="000000"/>
          <w:szCs w:val="22"/>
          <w:lang w:val="fr-FR"/>
        </w:rPr>
        <w:t>didemnine</w:t>
      </w:r>
      <w:proofErr w:type="spellEnd"/>
      <w:r w:rsidRPr="008F48C2">
        <w:rPr>
          <w:color w:val="000000"/>
          <w:szCs w:val="22"/>
          <w:lang w:val="fr-FR"/>
        </w:rPr>
        <w:t xml:space="preserve"> C, </w:t>
      </w:r>
      <w:proofErr w:type="spellStart"/>
      <w:r w:rsidRPr="008F48C2">
        <w:rPr>
          <w:color w:val="000000"/>
          <w:szCs w:val="22"/>
          <w:lang w:val="fr-FR"/>
        </w:rPr>
        <w:t>nordidemnin</w:t>
      </w:r>
      <w:proofErr w:type="spellEnd"/>
      <w:r w:rsidRPr="008F48C2">
        <w:rPr>
          <w:color w:val="000000"/>
          <w:szCs w:val="22"/>
          <w:lang w:val="fr-FR"/>
        </w:rPr>
        <w:t xml:space="preserve"> </w:t>
      </w:r>
      <w:r>
        <w:rPr>
          <w:color w:val="000000"/>
          <w:szCs w:val="22"/>
          <w:lang w:val="fr-FR"/>
        </w:rPr>
        <w:t>A</w:t>
      </w:r>
      <w:r w:rsidRPr="008F48C2">
        <w:rPr>
          <w:color w:val="000000"/>
          <w:szCs w:val="22"/>
          <w:lang w:val="fr-FR"/>
        </w:rPr>
        <w:t xml:space="preserve">, </w:t>
      </w:r>
      <w:proofErr w:type="spellStart"/>
      <w:r w:rsidRPr="008F48C2">
        <w:rPr>
          <w:color w:val="000000"/>
          <w:szCs w:val="22"/>
          <w:lang w:val="fr-FR"/>
        </w:rPr>
        <w:t>nordidemnin</w:t>
      </w:r>
      <w:proofErr w:type="spellEnd"/>
      <w:r w:rsidRPr="008F48C2">
        <w:rPr>
          <w:color w:val="000000"/>
          <w:szCs w:val="22"/>
          <w:lang w:val="fr-FR"/>
        </w:rPr>
        <w:t xml:space="preserve"> B, et </w:t>
      </w:r>
      <w:proofErr w:type="spellStart"/>
      <w:r w:rsidRPr="008F48C2">
        <w:rPr>
          <w:color w:val="000000"/>
          <w:szCs w:val="22"/>
          <w:lang w:val="fr-FR"/>
        </w:rPr>
        <w:t>nordidemnin</w:t>
      </w:r>
      <w:proofErr w:type="spellEnd"/>
      <w:r w:rsidRPr="008F48C2">
        <w:rPr>
          <w:color w:val="000000"/>
          <w:szCs w:val="22"/>
          <w:lang w:val="fr-FR"/>
        </w:rPr>
        <w:t xml:space="preserve"> C sont extrait</w:t>
      </w:r>
      <w:r>
        <w:rPr>
          <w:color w:val="000000"/>
          <w:szCs w:val="22"/>
          <w:lang w:val="fr-FR"/>
        </w:rPr>
        <w:t>s</w:t>
      </w:r>
      <w:r w:rsidRPr="008F48C2">
        <w:rPr>
          <w:color w:val="000000"/>
          <w:szCs w:val="22"/>
          <w:lang w:val="fr-FR"/>
        </w:rPr>
        <w:t xml:space="preserve"> d</w:t>
      </w:r>
      <w:r>
        <w:rPr>
          <w:color w:val="000000"/>
          <w:szCs w:val="22"/>
          <w:lang w:val="fr-FR"/>
        </w:rPr>
        <w:t>’</w:t>
      </w:r>
      <w:r w:rsidRPr="008F48C2">
        <w:rPr>
          <w:color w:val="000000"/>
          <w:szCs w:val="22"/>
          <w:lang w:val="fr-FR"/>
        </w:rPr>
        <w:t xml:space="preserve">un tunicier marin de la famille </w:t>
      </w:r>
      <w:proofErr w:type="spellStart"/>
      <w:r w:rsidRPr="008F48C2">
        <w:rPr>
          <w:color w:val="000000"/>
          <w:szCs w:val="22"/>
          <w:lang w:val="fr-FR"/>
        </w:rPr>
        <w:t>Didemnidae</w:t>
      </w:r>
      <w:proofErr w:type="spellEnd"/>
      <w:r w:rsidRPr="008F48C2">
        <w:rPr>
          <w:color w:val="000000"/>
          <w:szCs w:val="22"/>
          <w:lang w:val="fr-FR"/>
        </w:rPr>
        <w:t xml:space="preserve"> et identifié provisoirement comme </w:t>
      </w:r>
      <w:proofErr w:type="spellStart"/>
      <w:r w:rsidRPr="008F48C2">
        <w:rPr>
          <w:color w:val="000000"/>
          <w:szCs w:val="22"/>
          <w:lang w:val="fr-FR"/>
        </w:rPr>
        <w:t>Trididemnum</w:t>
      </w:r>
      <w:proofErr w:type="spellEnd"/>
      <w:r w:rsidRPr="008F48C2">
        <w:rPr>
          <w:color w:val="000000"/>
          <w:szCs w:val="22"/>
          <w:lang w:val="fr-FR"/>
        </w:rPr>
        <w:t xml:space="preserve"> </w:t>
      </w:r>
      <w:proofErr w:type="spellStart"/>
      <w:r w:rsidRPr="008F48C2">
        <w:rPr>
          <w:color w:val="000000"/>
          <w:szCs w:val="22"/>
          <w:lang w:val="fr-FR"/>
        </w:rPr>
        <w:t>sp</w:t>
      </w:r>
      <w:proofErr w:type="spellEnd"/>
      <w:r>
        <w:rPr>
          <w:color w:val="000000"/>
          <w:szCs w:val="22"/>
          <w:lang w:val="fr-FR"/>
        </w:rPr>
        <w:t xml:space="preserve">.  </w:t>
      </w:r>
      <w:r w:rsidRPr="008F48C2">
        <w:rPr>
          <w:color w:val="000000"/>
          <w:szCs w:val="22"/>
          <w:lang w:val="fr-FR"/>
        </w:rPr>
        <w:t xml:space="preserve">Ces antibiotiques sont actifs contre les virus </w:t>
      </w:r>
      <w:r>
        <w:rPr>
          <w:color w:val="000000"/>
          <w:szCs w:val="22"/>
          <w:lang w:val="fr-FR"/>
        </w:rPr>
        <w:t xml:space="preserve">à </w:t>
      </w:r>
      <w:r w:rsidRPr="008F48C2">
        <w:rPr>
          <w:color w:val="000000"/>
          <w:szCs w:val="22"/>
          <w:lang w:val="fr-FR"/>
        </w:rPr>
        <w:t>ADN</w:t>
      </w:r>
      <w:r>
        <w:rPr>
          <w:color w:val="000000"/>
          <w:szCs w:val="22"/>
          <w:lang w:val="fr-FR"/>
        </w:rPr>
        <w:t>, tels que</w:t>
      </w:r>
      <w:r w:rsidRPr="008F48C2">
        <w:rPr>
          <w:color w:val="000000"/>
          <w:szCs w:val="22"/>
          <w:lang w:val="fr-FR"/>
        </w:rPr>
        <w:t xml:space="preserve"> le virus herpès simplex de </w:t>
      </w:r>
      <w:r>
        <w:rPr>
          <w:color w:val="000000"/>
          <w:szCs w:val="22"/>
          <w:lang w:val="fr-FR"/>
        </w:rPr>
        <w:t>types </w:t>
      </w:r>
      <w:r w:rsidRPr="008F48C2">
        <w:rPr>
          <w:color w:val="000000"/>
          <w:szCs w:val="22"/>
          <w:lang w:val="fr-FR"/>
        </w:rPr>
        <w:t xml:space="preserve">1 et 2, et le virus </w:t>
      </w:r>
      <w:proofErr w:type="spellStart"/>
      <w:r>
        <w:rPr>
          <w:color w:val="000000"/>
          <w:szCs w:val="22"/>
          <w:lang w:val="fr-FR"/>
        </w:rPr>
        <w:t>vaccinia</w:t>
      </w:r>
      <w:proofErr w:type="spellEnd"/>
      <w:r w:rsidRPr="008F48C2">
        <w:rPr>
          <w:color w:val="000000"/>
          <w:szCs w:val="22"/>
          <w:lang w:val="fr-FR"/>
        </w:rPr>
        <w:t xml:space="preserve">; </w:t>
      </w:r>
      <w:r>
        <w:rPr>
          <w:color w:val="000000"/>
          <w:szCs w:val="22"/>
          <w:lang w:val="fr-FR"/>
        </w:rPr>
        <w:t xml:space="preserve"> les </w:t>
      </w:r>
      <w:r w:rsidRPr="008F48C2">
        <w:rPr>
          <w:color w:val="000000"/>
          <w:szCs w:val="22"/>
          <w:lang w:val="fr-FR"/>
        </w:rPr>
        <w:t xml:space="preserve">virus </w:t>
      </w:r>
      <w:r>
        <w:rPr>
          <w:color w:val="000000"/>
          <w:szCs w:val="22"/>
          <w:lang w:val="fr-FR"/>
        </w:rPr>
        <w:t xml:space="preserve">à </w:t>
      </w:r>
      <w:r w:rsidRPr="008F48C2">
        <w:rPr>
          <w:color w:val="000000"/>
          <w:szCs w:val="22"/>
          <w:lang w:val="fr-FR"/>
        </w:rPr>
        <w:t xml:space="preserve">ARN, </w:t>
      </w:r>
      <w:r>
        <w:rPr>
          <w:color w:val="000000"/>
          <w:szCs w:val="22"/>
          <w:lang w:val="fr-FR"/>
        </w:rPr>
        <w:t xml:space="preserve">tels que le virus </w:t>
      </w:r>
      <w:proofErr w:type="spellStart"/>
      <w:r>
        <w:rPr>
          <w:color w:val="000000"/>
          <w:szCs w:val="22"/>
          <w:lang w:val="fr-FR"/>
        </w:rPr>
        <w:t>C</w:t>
      </w:r>
      <w:r w:rsidRPr="008F48C2">
        <w:rPr>
          <w:color w:val="000000"/>
          <w:szCs w:val="22"/>
          <w:lang w:val="fr-FR"/>
        </w:rPr>
        <w:t>oxsackie</w:t>
      </w:r>
      <w:proofErr w:type="spellEnd"/>
      <w:r w:rsidRPr="008F48C2">
        <w:rPr>
          <w:color w:val="000000"/>
          <w:szCs w:val="22"/>
          <w:lang w:val="fr-FR"/>
        </w:rPr>
        <w:t xml:space="preserve"> et le rhinovirus équin; </w:t>
      </w:r>
      <w:r>
        <w:rPr>
          <w:color w:val="000000"/>
          <w:szCs w:val="22"/>
          <w:lang w:val="fr-FR"/>
        </w:rPr>
        <w:t xml:space="preserve"> </w:t>
      </w:r>
      <w:r w:rsidRPr="008F48C2">
        <w:rPr>
          <w:color w:val="000000"/>
          <w:szCs w:val="22"/>
          <w:lang w:val="fr-FR"/>
        </w:rPr>
        <w:t xml:space="preserve">et la </w:t>
      </w:r>
      <w:r>
        <w:rPr>
          <w:color w:val="000000"/>
          <w:szCs w:val="22"/>
          <w:lang w:val="fr-FR"/>
        </w:rPr>
        <w:t>leucémie </w:t>
      </w:r>
      <w:proofErr w:type="spellStart"/>
      <w:r w:rsidRPr="008F48C2">
        <w:rPr>
          <w:color w:val="000000"/>
          <w:szCs w:val="22"/>
          <w:lang w:val="fr-FR"/>
        </w:rPr>
        <w:t>B388</w:t>
      </w:r>
      <w:proofErr w:type="spellEnd"/>
      <w:r w:rsidRPr="008F48C2">
        <w:rPr>
          <w:color w:val="000000"/>
          <w:szCs w:val="22"/>
          <w:lang w:val="fr-FR"/>
        </w:rPr>
        <w:t xml:space="preserve"> chez la souris</w:t>
      </w:r>
      <w:r>
        <w:rPr>
          <w:color w:val="000000"/>
          <w:szCs w:val="22"/>
          <w:lang w:val="fr-FR"/>
        </w:rPr>
        <w:t>.  C</w:t>
      </w:r>
      <w:r w:rsidRPr="008F48C2">
        <w:rPr>
          <w:color w:val="000000"/>
          <w:szCs w:val="22"/>
          <w:lang w:val="fr-FR"/>
        </w:rPr>
        <w:t xml:space="preserve">es antibiotiques peuvent </w:t>
      </w:r>
      <w:r>
        <w:rPr>
          <w:color w:val="000000"/>
          <w:szCs w:val="22"/>
          <w:lang w:val="fr-FR"/>
        </w:rPr>
        <w:t xml:space="preserve">donc </w:t>
      </w:r>
      <w:r w:rsidRPr="008F48C2">
        <w:rPr>
          <w:color w:val="000000"/>
          <w:szCs w:val="22"/>
          <w:lang w:val="fr-FR"/>
        </w:rPr>
        <w:t>être utilisés pour traiter des infections chez l</w:t>
      </w:r>
      <w:r>
        <w:rPr>
          <w:color w:val="000000"/>
          <w:szCs w:val="22"/>
          <w:lang w:val="fr-FR"/>
        </w:rPr>
        <w:t>’</w:t>
      </w:r>
      <w:r w:rsidRPr="008F48C2">
        <w:rPr>
          <w:color w:val="000000"/>
          <w:szCs w:val="22"/>
          <w:lang w:val="fr-FR"/>
        </w:rPr>
        <w:t>homme, les animaux et les plante</w:t>
      </w:r>
      <w:r>
        <w:rPr>
          <w:color w:val="000000"/>
          <w:szCs w:val="22"/>
          <w:lang w:val="fr-FR"/>
        </w:rPr>
        <w:t>s provoquées par ces virus et d’</w:t>
      </w:r>
      <w:r w:rsidRPr="008F48C2">
        <w:rPr>
          <w:color w:val="000000"/>
          <w:szCs w:val="22"/>
          <w:lang w:val="fr-FR"/>
        </w:rPr>
        <w:t xml:space="preserve">autres virus à ADN </w:t>
      </w:r>
      <w:r>
        <w:rPr>
          <w:color w:val="000000"/>
          <w:szCs w:val="22"/>
          <w:lang w:val="fr-FR"/>
        </w:rPr>
        <w:t>ou</w:t>
      </w:r>
      <w:r w:rsidRPr="008F48C2">
        <w:rPr>
          <w:color w:val="000000"/>
          <w:szCs w:val="22"/>
          <w:lang w:val="fr-FR"/>
        </w:rPr>
        <w:t xml:space="preserve"> à ARN</w:t>
      </w:r>
      <w:r>
        <w:rPr>
          <w:color w:val="000000"/>
          <w:szCs w:val="22"/>
          <w:lang w:val="fr-FR"/>
        </w:rPr>
        <w:t>.  La</w:t>
      </w:r>
      <w:r w:rsidRPr="008F48C2">
        <w:rPr>
          <w:color w:val="000000"/>
          <w:szCs w:val="22"/>
          <w:lang w:val="fr-FR"/>
        </w:rPr>
        <w:t xml:space="preserve"> </w:t>
      </w:r>
      <w:proofErr w:type="spellStart"/>
      <w:r w:rsidRPr="008F48C2">
        <w:rPr>
          <w:color w:val="000000"/>
          <w:szCs w:val="22"/>
          <w:lang w:val="fr-FR"/>
        </w:rPr>
        <w:t>didemnine</w:t>
      </w:r>
      <w:proofErr w:type="spellEnd"/>
      <w:r w:rsidRPr="008F48C2">
        <w:rPr>
          <w:color w:val="000000"/>
          <w:szCs w:val="22"/>
          <w:lang w:val="fr-FR"/>
        </w:rPr>
        <w:t xml:space="preserve"> </w:t>
      </w:r>
      <w:r>
        <w:rPr>
          <w:color w:val="000000"/>
          <w:szCs w:val="22"/>
          <w:lang w:val="fr-FR"/>
        </w:rPr>
        <w:t xml:space="preserve">A </w:t>
      </w:r>
      <w:r w:rsidRPr="008F48C2">
        <w:rPr>
          <w:color w:val="000000"/>
          <w:szCs w:val="22"/>
          <w:lang w:val="fr-FR"/>
        </w:rPr>
        <w:t xml:space="preserve">et </w:t>
      </w:r>
      <w:r>
        <w:rPr>
          <w:color w:val="000000"/>
          <w:szCs w:val="22"/>
          <w:lang w:val="fr-FR"/>
        </w:rPr>
        <w:t>la</w:t>
      </w:r>
      <w:r w:rsidRPr="008F48C2">
        <w:rPr>
          <w:color w:val="000000"/>
          <w:szCs w:val="22"/>
          <w:lang w:val="fr-FR"/>
        </w:rPr>
        <w:t xml:space="preserve"> </w:t>
      </w:r>
      <w:proofErr w:type="spellStart"/>
      <w:r w:rsidRPr="008F48C2">
        <w:rPr>
          <w:color w:val="000000"/>
          <w:szCs w:val="22"/>
          <w:lang w:val="fr-FR"/>
        </w:rPr>
        <w:t>didemnine</w:t>
      </w:r>
      <w:proofErr w:type="spellEnd"/>
      <w:r w:rsidRPr="008F48C2">
        <w:rPr>
          <w:color w:val="000000"/>
          <w:szCs w:val="22"/>
          <w:lang w:val="fr-FR"/>
        </w:rPr>
        <w:t xml:space="preserve"> B </w:t>
      </w:r>
      <w:r>
        <w:rPr>
          <w:color w:val="000000"/>
          <w:szCs w:val="22"/>
          <w:lang w:val="fr-FR"/>
        </w:rPr>
        <w:t xml:space="preserve">peuvent </w:t>
      </w:r>
      <w:r w:rsidRPr="008F48C2">
        <w:rPr>
          <w:color w:val="000000"/>
          <w:szCs w:val="22"/>
          <w:lang w:val="fr-FR"/>
        </w:rPr>
        <w:t xml:space="preserve">également inhiber des cellules de la leucémie </w:t>
      </w:r>
      <w:r>
        <w:rPr>
          <w:color w:val="000000"/>
          <w:szCs w:val="22"/>
          <w:lang w:val="fr-FR"/>
        </w:rPr>
        <w:t>murine </w:t>
      </w:r>
      <w:proofErr w:type="spellStart"/>
      <w:r w:rsidRPr="008F48C2">
        <w:rPr>
          <w:color w:val="000000"/>
          <w:szCs w:val="22"/>
          <w:lang w:val="fr-FR"/>
        </w:rPr>
        <w:t>L1210</w:t>
      </w:r>
      <w:proofErr w:type="spellEnd"/>
      <w:r>
        <w:rPr>
          <w:color w:val="000000"/>
          <w:szCs w:val="22"/>
          <w:lang w:val="fr-FR"/>
        </w:rPr>
        <w:t xml:space="preserve"> </w:t>
      </w:r>
      <w:r w:rsidRPr="008F48C2">
        <w:rPr>
          <w:color w:val="000000"/>
          <w:szCs w:val="22"/>
          <w:lang w:val="fr-FR"/>
        </w:rPr>
        <w:t>in vitro</w:t>
      </w:r>
      <w:r>
        <w:rPr>
          <w:color w:val="000000"/>
          <w:szCs w:val="22"/>
          <w:lang w:val="fr-FR"/>
        </w:rPr>
        <w:t>.  Des sels d’</w:t>
      </w:r>
      <w:r w:rsidRPr="008F48C2">
        <w:rPr>
          <w:color w:val="000000"/>
          <w:szCs w:val="22"/>
          <w:lang w:val="fr-FR"/>
        </w:rPr>
        <w:t>addition acides et des dérivés acy</w:t>
      </w:r>
      <w:r>
        <w:rPr>
          <w:color w:val="000000"/>
          <w:szCs w:val="22"/>
          <w:lang w:val="fr-FR"/>
        </w:rPr>
        <w:t xml:space="preserve">lés de la </w:t>
      </w:r>
      <w:proofErr w:type="spellStart"/>
      <w:r w:rsidRPr="008F48C2">
        <w:rPr>
          <w:color w:val="000000"/>
          <w:szCs w:val="22"/>
          <w:lang w:val="fr-FR"/>
        </w:rPr>
        <w:t>didemnin</w:t>
      </w:r>
      <w:r>
        <w:rPr>
          <w:color w:val="000000"/>
          <w:szCs w:val="22"/>
          <w:lang w:val="fr-FR"/>
        </w:rPr>
        <w:t>e</w:t>
      </w:r>
      <w:proofErr w:type="spellEnd"/>
      <w:r w:rsidRPr="008F48C2">
        <w:rPr>
          <w:color w:val="000000"/>
          <w:szCs w:val="22"/>
          <w:lang w:val="fr-FR"/>
        </w:rPr>
        <w:t xml:space="preserve"> peuvent être </w:t>
      </w:r>
      <w:r>
        <w:rPr>
          <w:color w:val="000000"/>
          <w:szCs w:val="22"/>
          <w:lang w:val="fr-FR"/>
        </w:rPr>
        <w:t>produits</w:t>
      </w:r>
      <w:r w:rsidRPr="008F48C2">
        <w:rPr>
          <w:color w:val="000000"/>
          <w:szCs w:val="22"/>
          <w:lang w:val="fr-FR"/>
        </w:rPr>
        <w:t xml:space="preserve"> et utilisés pour les mêmes fins biologiques </w:t>
      </w:r>
      <w:r>
        <w:rPr>
          <w:color w:val="000000"/>
          <w:szCs w:val="22"/>
          <w:lang w:val="fr-FR"/>
        </w:rPr>
        <w:t>que les composés d’origine</w:t>
      </w:r>
      <w:r w:rsidRPr="008F48C2">
        <w:rPr>
          <w:color w:val="000000"/>
          <w:szCs w:val="22"/>
          <w:lang w:val="fr-FR"/>
        </w:rPr>
        <w:t>.</w:t>
      </w:r>
    </w:p>
    <w:p w:rsidR="00A848F1" w:rsidRPr="00332F2C" w:rsidRDefault="00A848F1" w:rsidP="00A848F1">
      <w:pPr>
        <w:autoSpaceDE w:val="0"/>
        <w:autoSpaceDN w:val="0"/>
        <w:adjustRightInd w:val="0"/>
        <w:rPr>
          <w:color w:val="000000"/>
          <w:szCs w:val="22"/>
          <w:lang w:val="fr-FR"/>
        </w:rPr>
      </w:pPr>
    </w:p>
    <w:p w:rsidR="00A848F1" w:rsidRPr="00332F2C" w:rsidRDefault="00A848F1" w:rsidP="00A848F1">
      <w:pPr>
        <w:kinsoku w:val="0"/>
        <w:overflowPunct w:val="0"/>
        <w:autoSpaceDE w:val="0"/>
        <w:autoSpaceDN w:val="0"/>
        <w:adjustRightInd w:val="0"/>
        <w:rPr>
          <w:szCs w:val="22"/>
          <w:lang w:val="fr-FR"/>
        </w:rPr>
      </w:pPr>
      <w:r w:rsidRPr="00332F2C">
        <w:rPr>
          <w:szCs w:val="22"/>
          <w:lang w:val="fr-FR"/>
        </w:rPr>
        <w:t>…</w:t>
      </w:r>
    </w:p>
    <w:p w:rsidR="00A848F1" w:rsidRPr="00332F2C" w:rsidRDefault="00A848F1" w:rsidP="00A848F1">
      <w:pPr>
        <w:kinsoku w:val="0"/>
        <w:overflowPunct w:val="0"/>
        <w:autoSpaceDE w:val="0"/>
        <w:autoSpaceDN w:val="0"/>
        <w:adjustRightInd w:val="0"/>
        <w:rPr>
          <w:szCs w:val="22"/>
          <w:lang w:val="fr-FR"/>
        </w:rPr>
      </w:pPr>
    </w:p>
    <w:p w:rsidR="00A848F1" w:rsidRPr="00332F2C" w:rsidRDefault="00A848F1" w:rsidP="00A848F1">
      <w:pPr>
        <w:autoSpaceDE w:val="0"/>
        <w:autoSpaceDN w:val="0"/>
        <w:adjustRightInd w:val="0"/>
        <w:rPr>
          <w:i/>
          <w:szCs w:val="22"/>
          <w:lang w:val="fr-FR"/>
        </w:rPr>
      </w:pPr>
      <w:r>
        <w:rPr>
          <w:i/>
          <w:szCs w:val="22"/>
          <w:lang w:val="fr-FR"/>
        </w:rPr>
        <w:t>La description détaillée de l’invention indique ce qui suit :</w:t>
      </w:r>
    </w:p>
    <w:p w:rsidR="00A848F1" w:rsidRPr="00332F2C" w:rsidRDefault="00A848F1" w:rsidP="00A848F1">
      <w:pPr>
        <w:autoSpaceDE w:val="0"/>
        <w:autoSpaceDN w:val="0"/>
        <w:adjustRightInd w:val="0"/>
        <w:rPr>
          <w:i/>
          <w:szCs w:val="22"/>
          <w:lang w:val="fr-FR"/>
        </w:rPr>
      </w:pPr>
    </w:p>
    <w:p w:rsidR="00A848F1" w:rsidRPr="006079FC" w:rsidRDefault="00A848F1" w:rsidP="00A848F1">
      <w:pPr>
        <w:spacing w:beforeLines="1" w:before="2" w:afterLines="1" w:after="2"/>
        <w:rPr>
          <w:rFonts w:eastAsia="Cambria"/>
          <w:color w:val="000000"/>
          <w:szCs w:val="22"/>
          <w:lang w:val="fr-FR"/>
        </w:rPr>
      </w:pPr>
      <w:r>
        <w:rPr>
          <w:szCs w:val="22"/>
          <w:lang w:val="fr-FR"/>
        </w:rPr>
        <w:t>L</w:t>
      </w:r>
      <w:r w:rsidRPr="006079FC">
        <w:rPr>
          <w:szCs w:val="22"/>
          <w:lang w:val="fr-FR"/>
        </w:rPr>
        <w:t xml:space="preserve">es emplacements spécifiques </w:t>
      </w:r>
      <w:r>
        <w:rPr>
          <w:szCs w:val="22"/>
          <w:lang w:val="fr-FR"/>
        </w:rPr>
        <w:t>où</w:t>
      </w:r>
      <w:r w:rsidRPr="006079FC">
        <w:rPr>
          <w:szCs w:val="22"/>
          <w:lang w:val="fr-FR"/>
        </w:rPr>
        <w:t xml:space="preserve"> ces organismes ont été obtenus sont </w:t>
      </w:r>
      <w:r>
        <w:rPr>
          <w:szCs w:val="22"/>
          <w:lang w:val="fr-FR"/>
        </w:rPr>
        <w:t>les suivants :</w:t>
      </w:r>
      <w:r w:rsidRPr="006079FC">
        <w:rPr>
          <w:szCs w:val="22"/>
          <w:lang w:val="fr-FR"/>
        </w:rPr>
        <w:t xml:space="preserve"> 1) </w:t>
      </w:r>
      <w:r>
        <w:rPr>
          <w:szCs w:val="22"/>
          <w:lang w:val="fr-FR"/>
        </w:rPr>
        <w:t>Sud</w:t>
      </w:r>
      <w:r>
        <w:rPr>
          <w:szCs w:val="22"/>
          <w:lang w:val="fr-FR"/>
        </w:rPr>
        <w:noBreakHyphen/>
        <w:t>Ouest de l’île de</w:t>
      </w:r>
      <w:r w:rsidRPr="006079FC">
        <w:rPr>
          <w:szCs w:val="22"/>
          <w:lang w:val="fr-FR"/>
        </w:rPr>
        <w:t xml:space="preserve"> Longue Cay</w:t>
      </w:r>
      <w:r>
        <w:rPr>
          <w:szCs w:val="22"/>
          <w:lang w:val="fr-FR"/>
        </w:rPr>
        <w:t xml:space="preserve">e dans l’atoll </w:t>
      </w:r>
      <w:proofErr w:type="spellStart"/>
      <w:r>
        <w:rPr>
          <w:szCs w:val="22"/>
          <w:lang w:val="fr-FR"/>
        </w:rPr>
        <w:t>Lighthouse</w:t>
      </w:r>
      <w:proofErr w:type="spellEnd"/>
      <w:r>
        <w:rPr>
          <w:szCs w:val="22"/>
          <w:lang w:val="fr-FR"/>
        </w:rPr>
        <w:t xml:space="preserve"> </w:t>
      </w:r>
      <w:proofErr w:type="spellStart"/>
      <w:r>
        <w:rPr>
          <w:szCs w:val="22"/>
          <w:lang w:val="fr-FR"/>
        </w:rPr>
        <w:t>Reef</w:t>
      </w:r>
      <w:proofErr w:type="spellEnd"/>
      <w:r w:rsidRPr="006079FC">
        <w:rPr>
          <w:szCs w:val="22"/>
          <w:lang w:val="fr-FR"/>
        </w:rPr>
        <w:t xml:space="preserve"> </w:t>
      </w:r>
      <w:r>
        <w:rPr>
          <w:szCs w:val="22"/>
          <w:lang w:val="fr-FR"/>
        </w:rPr>
        <w:t>(</w:t>
      </w:r>
      <w:r w:rsidRPr="00A41077">
        <w:rPr>
          <w:b/>
          <w:szCs w:val="22"/>
          <w:lang w:val="fr-FR"/>
        </w:rPr>
        <w:t>Belize</w:t>
      </w:r>
      <w:r>
        <w:rPr>
          <w:szCs w:val="22"/>
          <w:lang w:val="fr-FR"/>
        </w:rPr>
        <w:t>)</w:t>
      </w:r>
      <w:r w:rsidRPr="006079FC">
        <w:rPr>
          <w:szCs w:val="22"/>
          <w:lang w:val="fr-FR"/>
        </w:rPr>
        <w:t xml:space="preserve">, </w:t>
      </w:r>
      <w:r>
        <w:rPr>
          <w:szCs w:val="22"/>
          <w:lang w:val="fr-FR"/>
        </w:rPr>
        <w:t>N 17° 11.8’, W 87° 36.5’,</w:t>
      </w:r>
      <w:r w:rsidRPr="006079FC">
        <w:rPr>
          <w:szCs w:val="22"/>
          <w:lang w:val="fr-FR"/>
        </w:rPr>
        <w:t xml:space="preserve"> </w:t>
      </w:r>
      <w:r>
        <w:rPr>
          <w:szCs w:val="22"/>
          <w:lang w:val="fr-FR"/>
        </w:rPr>
        <w:t xml:space="preserve">à une </w:t>
      </w:r>
      <w:r w:rsidRPr="006079FC">
        <w:rPr>
          <w:szCs w:val="22"/>
          <w:lang w:val="fr-FR"/>
        </w:rPr>
        <w:t xml:space="preserve">profondeur de 50 à </w:t>
      </w:r>
      <w:r>
        <w:rPr>
          <w:szCs w:val="22"/>
          <w:lang w:val="fr-FR"/>
        </w:rPr>
        <w:t>100 </w:t>
      </w:r>
      <w:r w:rsidRPr="006079FC">
        <w:rPr>
          <w:szCs w:val="22"/>
          <w:lang w:val="fr-FR"/>
        </w:rPr>
        <w:t xml:space="preserve">pieds;  2) </w:t>
      </w:r>
      <w:r>
        <w:rPr>
          <w:szCs w:val="22"/>
          <w:lang w:val="fr-FR"/>
        </w:rPr>
        <w:t>baie El Cove, île San Andrés</w:t>
      </w:r>
      <w:r w:rsidRPr="006079FC">
        <w:rPr>
          <w:szCs w:val="22"/>
          <w:lang w:val="fr-FR"/>
        </w:rPr>
        <w:t xml:space="preserve"> </w:t>
      </w:r>
      <w:r>
        <w:rPr>
          <w:szCs w:val="22"/>
          <w:lang w:val="fr-FR"/>
        </w:rPr>
        <w:t>(</w:t>
      </w:r>
      <w:r w:rsidRPr="0007660E">
        <w:rPr>
          <w:b/>
          <w:szCs w:val="22"/>
          <w:lang w:val="fr-FR"/>
        </w:rPr>
        <w:t>Colombie</w:t>
      </w:r>
      <w:r>
        <w:rPr>
          <w:szCs w:val="22"/>
          <w:lang w:val="fr-FR"/>
        </w:rPr>
        <w:t>), N 12° 31’46’’, W</w:t>
      </w:r>
      <w:r w:rsidRPr="006079FC">
        <w:rPr>
          <w:szCs w:val="22"/>
          <w:lang w:val="fr-FR"/>
        </w:rPr>
        <w:t xml:space="preserve"> 81</w:t>
      </w:r>
      <w:r>
        <w:rPr>
          <w:szCs w:val="22"/>
          <w:lang w:val="fr-FR"/>
        </w:rPr>
        <w:t>°</w:t>
      </w:r>
      <w:r w:rsidRPr="006079FC">
        <w:rPr>
          <w:szCs w:val="22"/>
          <w:lang w:val="fr-FR"/>
        </w:rPr>
        <w:t xml:space="preserve"> 44</w:t>
      </w:r>
      <w:r>
        <w:rPr>
          <w:szCs w:val="22"/>
          <w:lang w:val="fr-FR"/>
        </w:rPr>
        <w:t>’</w:t>
      </w:r>
      <w:r w:rsidRPr="006079FC">
        <w:rPr>
          <w:szCs w:val="22"/>
          <w:lang w:val="fr-FR"/>
        </w:rPr>
        <w:t>5</w:t>
      </w:r>
      <w:r>
        <w:rPr>
          <w:szCs w:val="22"/>
          <w:lang w:val="fr-FR"/>
        </w:rPr>
        <w:t>’’,</w:t>
      </w:r>
      <w:r w:rsidRPr="006079FC">
        <w:rPr>
          <w:szCs w:val="22"/>
          <w:lang w:val="fr-FR"/>
        </w:rPr>
        <w:t xml:space="preserve"> </w:t>
      </w:r>
      <w:r>
        <w:rPr>
          <w:szCs w:val="22"/>
          <w:lang w:val="fr-FR"/>
        </w:rPr>
        <w:t xml:space="preserve">à une profondeur de </w:t>
      </w:r>
      <w:r w:rsidRPr="006079FC">
        <w:rPr>
          <w:szCs w:val="22"/>
          <w:lang w:val="fr-FR"/>
        </w:rPr>
        <w:t xml:space="preserve">25 à </w:t>
      </w:r>
      <w:r>
        <w:rPr>
          <w:szCs w:val="22"/>
          <w:lang w:val="fr-FR"/>
        </w:rPr>
        <w:t>33 </w:t>
      </w:r>
      <w:r w:rsidRPr="006079FC">
        <w:rPr>
          <w:szCs w:val="22"/>
          <w:lang w:val="fr-FR"/>
        </w:rPr>
        <w:t xml:space="preserve">pieds;  </w:t>
      </w:r>
      <w:r>
        <w:rPr>
          <w:szCs w:val="22"/>
          <w:lang w:val="fr-FR"/>
        </w:rPr>
        <w:t>3) r</w:t>
      </w:r>
      <w:r w:rsidRPr="006079FC">
        <w:rPr>
          <w:szCs w:val="22"/>
          <w:lang w:val="fr-FR"/>
        </w:rPr>
        <w:t xml:space="preserve">écif </w:t>
      </w:r>
      <w:r>
        <w:rPr>
          <w:szCs w:val="22"/>
          <w:lang w:val="fr-FR"/>
        </w:rPr>
        <w:t xml:space="preserve">de </w:t>
      </w:r>
      <w:proofErr w:type="spellStart"/>
      <w:r w:rsidRPr="006079FC">
        <w:rPr>
          <w:szCs w:val="22"/>
          <w:lang w:val="fr-FR"/>
        </w:rPr>
        <w:t>Palancar</w:t>
      </w:r>
      <w:proofErr w:type="spellEnd"/>
      <w:r w:rsidRPr="006079FC">
        <w:rPr>
          <w:szCs w:val="22"/>
          <w:lang w:val="fr-FR"/>
        </w:rPr>
        <w:t xml:space="preserve">, </w:t>
      </w:r>
      <w:r>
        <w:rPr>
          <w:szCs w:val="22"/>
          <w:lang w:val="fr-FR"/>
        </w:rPr>
        <w:t>île de</w:t>
      </w:r>
      <w:r w:rsidRPr="006079FC">
        <w:rPr>
          <w:szCs w:val="22"/>
          <w:lang w:val="fr-FR"/>
        </w:rPr>
        <w:t xml:space="preserve"> </w:t>
      </w:r>
      <w:proofErr w:type="spellStart"/>
      <w:r w:rsidRPr="006079FC">
        <w:rPr>
          <w:szCs w:val="22"/>
          <w:lang w:val="fr-FR"/>
        </w:rPr>
        <w:t>Cozumel</w:t>
      </w:r>
      <w:proofErr w:type="spellEnd"/>
      <w:r>
        <w:rPr>
          <w:szCs w:val="22"/>
          <w:lang w:val="fr-FR"/>
        </w:rPr>
        <w:t xml:space="preserve"> (</w:t>
      </w:r>
      <w:r w:rsidRPr="0007660E">
        <w:rPr>
          <w:b/>
          <w:szCs w:val="22"/>
          <w:lang w:val="fr-FR"/>
        </w:rPr>
        <w:t>Mexique</w:t>
      </w:r>
      <w:r>
        <w:rPr>
          <w:szCs w:val="22"/>
          <w:lang w:val="fr-FR"/>
        </w:rPr>
        <w:t>)</w:t>
      </w:r>
      <w:r w:rsidRPr="006079FC">
        <w:rPr>
          <w:szCs w:val="22"/>
          <w:lang w:val="fr-FR"/>
        </w:rPr>
        <w:t xml:space="preserve">, </w:t>
      </w:r>
      <w:r>
        <w:rPr>
          <w:szCs w:val="22"/>
          <w:lang w:val="fr-FR"/>
        </w:rPr>
        <w:t xml:space="preserve">N </w:t>
      </w:r>
      <w:r w:rsidRPr="006079FC">
        <w:rPr>
          <w:szCs w:val="22"/>
          <w:lang w:val="fr-FR"/>
        </w:rPr>
        <w:t>20</w:t>
      </w:r>
      <w:r>
        <w:rPr>
          <w:szCs w:val="22"/>
          <w:lang w:val="fr-FR"/>
        </w:rPr>
        <w:t>°</w:t>
      </w:r>
      <w:r w:rsidRPr="006079FC">
        <w:rPr>
          <w:szCs w:val="22"/>
          <w:lang w:val="fr-FR"/>
        </w:rPr>
        <w:t xml:space="preserve"> 18</w:t>
      </w:r>
      <w:r>
        <w:rPr>
          <w:szCs w:val="22"/>
          <w:lang w:val="fr-FR"/>
        </w:rPr>
        <w:t>.</w:t>
      </w:r>
      <w:r w:rsidRPr="006079FC">
        <w:rPr>
          <w:szCs w:val="22"/>
          <w:lang w:val="fr-FR"/>
        </w:rPr>
        <w:t>2</w:t>
      </w:r>
      <w:r>
        <w:rPr>
          <w:szCs w:val="22"/>
          <w:lang w:val="fr-FR"/>
        </w:rPr>
        <w:t xml:space="preserve">’, W </w:t>
      </w:r>
      <w:r w:rsidRPr="006079FC">
        <w:rPr>
          <w:szCs w:val="22"/>
          <w:lang w:val="fr-FR"/>
        </w:rPr>
        <w:t>87</w:t>
      </w:r>
      <w:r>
        <w:rPr>
          <w:szCs w:val="22"/>
          <w:lang w:val="fr-FR"/>
        </w:rPr>
        <w:t>° 2.</w:t>
      </w:r>
      <w:r w:rsidRPr="006079FC">
        <w:rPr>
          <w:szCs w:val="22"/>
          <w:lang w:val="fr-FR"/>
        </w:rPr>
        <w:t>5</w:t>
      </w:r>
      <w:r>
        <w:rPr>
          <w:szCs w:val="22"/>
          <w:lang w:val="fr-FR"/>
        </w:rPr>
        <w:t xml:space="preserve">’, à une profondeur de 60 à 100 pieds;  </w:t>
      </w:r>
      <w:r w:rsidRPr="006079FC">
        <w:rPr>
          <w:szCs w:val="22"/>
          <w:lang w:val="fr-FR"/>
        </w:rPr>
        <w:t xml:space="preserve">4) </w:t>
      </w:r>
      <w:r>
        <w:rPr>
          <w:szCs w:val="22"/>
          <w:lang w:val="fr-FR"/>
        </w:rPr>
        <w:t>côté Ouest de</w:t>
      </w:r>
      <w:r w:rsidRPr="006079FC">
        <w:rPr>
          <w:szCs w:val="22"/>
          <w:lang w:val="fr-FR"/>
        </w:rPr>
        <w:t xml:space="preserve"> </w:t>
      </w:r>
      <w:r>
        <w:rPr>
          <w:szCs w:val="22"/>
          <w:lang w:val="fr-FR"/>
        </w:rPr>
        <w:t>l’extrémité</w:t>
      </w:r>
      <w:r w:rsidRPr="006079FC">
        <w:rPr>
          <w:szCs w:val="22"/>
          <w:lang w:val="fr-FR"/>
        </w:rPr>
        <w:t xml:space="preserve"> </w:t>
      </w:r>
      <w:r>
        <w:rPr>
          <w:szCs w:val="22"/>
          <w:lang w:val="fr-FR"/>
        </w:rPr>
        <w:t>Sud</w:t>
      </w:r>
      <w:r w:rsidRPr="006079FC">
        <w:rPr>
          <w:szCs w:val="22"/>
          <w:lang w:val="fr-FR"/>
        </w:rPr>
        <w:t xml:space="preserve"> </w:t>
      </w:r>
      <w:r>
        <w:rPr>
          <w:szCs w:val="22"/>
          <w:lang w:val="fr-FR"/>
        </w:rPr>
        <w:t>de l’atoll</w:t>
      </w:r>
      <w:r w:rsidRPr="006079FC">
        <w:rPr>
          <w:szCs w:val="22"/>
          <w:lang w:val="fr-FR"/>
        </w:rPr>
        <w:t xml:space="preserve"> </w:t>
      </w:r>
      <w:proofErr w:type="spellStart"/>
      <w:r w:rsidRPr="006079FC">
        <w:rPr>
          <w:szCs w:val="22"/>
          <w:lang w:val="fr-FR"/>
        </w:rPr>
        <w:t>Turneffe</w:t>
      </w:r>
      <w:proofErr w:type="spellEnd"/>
      <w:r w:rsidRPr="006079FC">
        <w:rPr>
          <w:szCs w:val="22"/>
          <w:lang w:val="fr-FR"/>
        </w:rPr>
        <w:t xml:space="preserve"> </w:t>
      </w:r>
      <w:r>
        <w:rPr>
          <w:szCs w:val="22"/>
          <w:lang w:val="fr-FR"/>
        </w:rPr>
        <w:t>(</w:t>
      </w:r>
      <w:r w:rsidRPr="0007660E">
        <w:rPr>
          <w:b/>
          <w:szCs w:val="22"/>
          <w:lang w:val="fr-FR"/>
        </w:rPr>
        <w:t>Belize</w:t>
      </w:r>
      <w:r>
        <w:rPr>
          <w:szCs w:val="22"/>
          <w:lang w:val="fr-FR"/>
        </w:rPr>
        <w:t>)</w:t>
      </w:r>
      <w:r w:rsidRPr="006079FC">
        <w:rPr>
          <w:szCs w:val="22"/>
          <w:lang w:val="fr-FR"/>
        </w:rPr>
        <w:t xml:space="preserve">, </w:t>
      </w:r>
      <w:r>
        <w:rPr>
          <w:szCs w:val="22"/>
          <w:lang w:val="fr-FR"/>
        </w:rPr>
        <w:t xml:space="preserve">N </w:t>
      </w:r>
      <w:r w:rsidRPr="006079FC">
        <w:rPr>
          <w:szCs w:val="22"/>
          <w:lang w:val="fr-FR"/>
        </w:rPr>
        <w:t>17</w:t>
      </w:r>
      <w:r>
        <w:rPr>
          <w:szCs w:val="22"/>
          <w:lang w:val="fr-FR"/>
        </w:rPr>
        <w:t>°</w:t>
      </w:r>
      <w:r w:rsidRPr="006079FC">
        <w:rPr>
          <w:szCs w:val="22"/>
          <w:lang w:val="fr-FR"/>
        </w:rPr>
        <w:t xml:space="preserve"> 11</w:t>
      </w:r>
      <w:r>
        <w:rPr>
          <w:szCs w:val="22"/>
          <w:lang w:val="fr-FR"/>
        </w:rPr>
        <w:t>.</w:t>
      </w:r>
      <w:r w:rsidRPr="006079FC">
        <w:rPr>
          <w:szCs w:val="22"/>
          <w:lang w:val="fr-FR"/>
        </w:rPr>
        <w:t>3</w:t>
      </w:r>
      <w:r>
        <w:rPr>
          <w:szCs w:val="22"/>
          <w:lang w:val="fr-FR"/>
        </w:rPr>
        <w:t xml:space="preserve">’, W </w:t>
      </w:r>
      <w:r w:rsidRPr="006079FC">
        <w:rPr>
          <w:szCs w:val="22"/>
          <w:lang w:val="fr-FR"/>
        </w:rPr>
        <w:t>87</w:t>
      </w:r>
      <w:r>
        <w:rPr>
          <w:szCs w:val="22"/>
          <w:lang w:val="fr-FR"/>
        </w:rPr>
        <w:t xml:space="preserve">° </w:t>
      </w:r>
      <w:r w:rsidRPr="006079FC">
        <w:rPr>
          <w:szCs w:val="22"/>
          <w:lang w:val="fr-FR"/>
        </w:rPr>
        <w:t>55</w:t>
      </w:r>
      <w:r>
        <w:rPr>
          <w:szCs w:val="22"/>
          <w:lang w:val="fr-FR"/>
        </w:rPr>
        <w:t>.</w:t>
      </w:r>
      <w:r w:rsidRPr="006079FC">
        <w:rPr>
          <w:szCs w:val="22"/>
          <w:lang w:val="fr-FR"/>
        </w:rPr>
        <w:t>6</w:t>
      </w:r>
      <w:r>
        <w:rPr>
          <w:szCs w:val="22"/>
          <w:lang w:val="fr-FR"/>
        </w:rPr>
        <w:t>’, à une profondeur de</w:t>
      </w:r>
      <w:r w:rsidRPr="006079FC">
        <w:rPr>
          <w:szCs w:val="22"/>
          <w:lang w:val="fr-FR"/>
        </w:rPr>
        <w:t xml:space="preserve"> 50 à </w:t>
      </w:r>
      <w:r>
        <w:rPr>
          <w:szCs w:val="22"/>
          <w:lang w:val="fr-FR"/>
        </w:rPr>
        <w:t>75 </w:t>
      </w:r>
      <w:r w:rsidRPr="006079FC">
        <w:rPr>
          <w:szCs w:val="22"/>
          <w:lang w:val="fr-FR"/>
        </w:rPr>
        <w:t xml:space="preserve">pieds;  5) </w:t>
      </w:r>
      <w:r>
        <w:rPr>
          <w:szCs w:val="22"/>
          <w:lang w:val="fr-FR"/>
        </w:rPr>
        <w:t>extrémité Ouest</w:t>
      </w:r>
      <w:r w:rsidRPr="006079FC">
        <w:rPr>
          <w:szCs w:val="22"/>
          <w:lang w:val="fr-FR"/>
        </w:rPr>
        <w:t xml:space="preserve">, </w:t>
      </w:r>
      <w:proofErr w:type="spellStart"/>
      <w:r w:rsidRPr="006079FC">
        <w:rPr>
          <w:szCs w:val="22"/>
          <w:lang w:val="fr-FR"/>
        </w:rPr>
        <w:t>Coxen</w:t>
      </w:r>
      <w:proofErr w:type="spellEnd"/>
      <w:r w:rsidRPr="006079FC">
        <w:rPr>
          <w:szCs w:val="22"/>
          <w:lang w:val="fr-FR"/>
        </w:rPr>
        <w:t xml:space="preserve"> H</w:t>
      </w:r>
      <w:r>
        <w:rPr>
          <w:szCs w:val="22"/>
          <w:lang w:val="fr-FR"/>
        </w:rPr>
        <w:t>ole</w:t>
      </w:r>
      <w:r w:rsidRPr="006079FC">
        <w:rPr>
          <w:szCs w:val="22"/>
          <w:lang w:val="fr-FR"/>
        </w:rPr>
        <w:t xml:space="preserve">, </w:t>
      </w:r>
      <w:r>
        <w:rPr>
          <w:szCs w:val="22"/>
          <w:lang w:val="fr-FR"/>
        </w:rPr>
        <w:t>île</w:t>
      </w:r>
      <w:r w:rsidRPr="006079FC">
        <w:rPr>
          <w:szCs w:val="22"/>
          <w:lang w:val="fr-FR"/>
        </w:rPr>
        <w:t xml:space="preserve"> </w:t>
      </w:r>
      <w:proofErr w:type="spellStart"/>
      <w:r w:rsidRPr="006079FC">
        <w:rPr>
          <w:szCs w:val="22"/>
          <w:lang w:val="fr-FR"/>
        </w:rPr>
        <w:t>Roatan</w:t>
      </w:r>
      <w:proofErr w:type="spellEnd"/>
      <w:r w:rsidRPr="006079FC">
        <w:rPr>
          <w:szCs w:val="22"/>
          <w:lang w:val="fr-FR"/>
        </w:rPr>
        <w:t xml:space="preserve"> </w:t>
      </w:r>
      <w:r>
        <w:rPr>
          <w:szCs w:val="22"/>
          <w:lang w:val="fr-FR"/>
        </w:rPr>
        <w:t>(</w:t>
      </w:r>
      <w:r w:rsidRPr="00A41077">
        <w:rPr>
          <w:b/>
          <w:szCs w:val="22"/>
          <w:lang w:val="fr-FR"/>
        </w:rPr>
        <w:t>Honduras</w:t>
      </w:r>
      <w:r>
        <w:rPr>
          <w:szCs w:val="22"/>
          <w:lang w:val="fr-FR"/>
        </w:rPr>
        <w:t>)</w:t>
      </w:r>
      <w:r w:rsidRPr="006079FC">
        <w:rPr>
          <w:szCs w:val="22"/>
          <w:lang w:val="fr-FR"/>
        </w:rPr>
        <w:t xml:space="preserve">, </w:t>
      </w:r>
      <w:r>
        <w:rPr>
          <w:szCs w:val="22"/>
          <w:lang w:val="fr-FR"/>
        </w:rPr>
        <w:t xml:space="preserve">N </w:t>
      </w:r>
      <w:r w:rsidRPr="006079FC">
        <w:rPr>
          <w:szCs w:val="22"/>
          <w:lang w:val="fr-FR"/>
        </w:rPr>
        <w:t>16</w:t>
      </w:r>
      <w:r>
        <w:rPr>
          <w:szCs w:val="22"/>
          <w:lang w:val="fr-FR"/>
        </w:rPr>
        <w:t>°</w:t>
      </w:r>
      <w:r w:rsidRPr="006079FC">
        <w:rPr>
          <w:szCs w:val="22"/>
          <w:lang w:val="fr-FR"/>
        </w:rPr>
        <w:t xml:space="preserve"> 15</w:t>
      </w:r>
      <w:r>
        <w:rPr>
          <w:szCs w:val="22"/>
          <w:lang w:val="fr-FR"/>
        </w:rPr>
        <w:t>’, W 86°</w:t>
      </w:r>
      <w:r w:rsidRPr="006079FC">
        <w:rPr>
          <w:szCs w:val="22"/>
          <w:lang w:val="fr-FR"/>
        </w:rPr>
        <w:t xml:space="preserve"> </w:t>
      </w:r>
      <w:r>
        <w:rPr>
          <w:szCs w:val="22"/>
          <w:lang w:val="fr-FR"/>
        </w:rPr>
        <w:t xml:space="preserve">38’, à une profondeur de 10 à 70 pieds;  </w:t>
      </w:r>
      <w:r w:rsidRPr="006079FC">
        <w:rPr>
          <w:szCs w:val="22"/>
          <w:lang w:val="fr-FR"/>
        </w:rPr>
        <w:t xml:space="preserve">6) côté sous le vent </w:t>
      </w:r>
      <w:r>
        <w:rPr>
          <w:szCs w:val="22"/>
          <w:lang w:val="fr-FR"/>
        </w:rPr>
        <w:t xml:space="preserve">le plus à l’Ouest de l’île </w:t>
      </w:r>
      <w:proofErr w:type="spellStart"/>
      <w:r>
        <w:rPr>
          <w:szCs w:val="22"/>
          <w:lang w:val="fr-FR"/>
        </w:rPr>
        <w:t>Cayo</w:t>
      </w:r>
      <w:proofErr w:type="spellEnd"/>
      <w:r>
        <w:rPr>
          <w:szCs w:val="22"/>
          <w:lang w:val="fr-FR"/>
        </w:rPr>
        <w:t xml:space="preserve"> </w:t>
      </w:r>
      <w:proofErr w:type="spellStart"/>
      <w:r>
        <w:rPr>
          <w:szCs w:val="22"/>
          <w:lang w:val="fr-FR"/>
        </w:rPr>
        <w:t>Holandes</w:t>
      </w:r>
      <w:proofErr w:type="spellEnd"/>
      <w:r w:rsidRPr="006079FC">
        <w:rPr>
          <w:szCs w:val="22"/>
          <w:lang w:val="fr-FR"/>
        </w:rPr>
        <w:t xml:space="preserve">, </w:t>
      </w:r>
      <w:r>
        <w:rPr>
          <w:szCs w:val="22"/>
          <w:lang w:val="fr-FR"/>
        </w:rPr>
        <w:t>île San</w:t>
      </w:r>
      <w:r w:rsidRPr="006079FC">
        <w:rPr>
          <w:szCs w:val="22"/>
          <w:lang w:val="fr-FR"/>
        </w:rPr>
        <w:t xml:space="preserve"> </w:t>
      </w:r>
      <w:proofErr w:type="spellStart"/>
      <w:r w:rsidRPr="006079FC">
        <w:rPr>
          <w:szCs w:val="22"/>
          <w:lang w:val="fr-FR"/>
        </w:rPr>
        <w:t>Blas</w:t>
      </w:r>
      <w:proofErr w:type="spellEnd"/>
      <w:r w:rsidRPr="006079FC">
        <w:rPr>
          <w:szCs w:val="22"/>
          <w:lang w:val="fr-FR"/>
        </w:rPr>
        <w:t xml:space="preserve"> </w:t>
      </w:r>
      <w:r>
        <w:rPr>
          <w:szCs w:val="22"/>
          <w:lang w:val="fr-FR"/>
        </w:rPr>
        <w:t>(</w:t>
      </w:r>
      <w:r w:rsidRPr="00A41077">
        <w:rPr>
          <w:b/>
          <w:szCs w:val="22"/>
          <w:lang w:val="fr-FR"/>
        </w:rPr>
        <w:t>Panama</w:t>
      </w:r>
      <w:r>
        <w:rPr>
          <w:szCs w:val="22"/>
          <w:lang w:val="fr-FR"/>
        </w:rPr>
        <w:t>)</w:t>
      </w:r>
      <w:r w:rsidRPr="006079FC">
        <w:rPr>
          <w:szCs w:val="22"/>
          <w:lang w:val="fr-FR"/>
        </w:rPr>
        <w:t xml:space="preserve">, </w:t>
      </w:r>
      <w:r>
        <w:rPr>
          <w:szCs w:val="22"/>
          <w:lang w:val="fr-FR"/>
        </w:rPr>
        <w:t xml:space="preserve">N </w:t>
      </w:r>
      <w:r w:rsidRPr="006079FC">
        <w:rPr>
          <w:szCs w:val="22"/>
          <w:lang w:val="fr-FR"/>
        </w:rPr>
        <w:t>9</w:t>
      </w:r>
      <w:r>
        <w:rPr>
          <w:szCs w:val="22"/>
          <w:lang w:val="fr-FR"/>
        </w:rPr>
        <w:t>°</w:t>
      </w:r>
      <w:r w:rsidRPr="006079FC">
        <w:rPr>
          <w:szCs w:val="22"/>
          <w:lang w:val="fr-FR"/>
        </w:rPr>
        <w:t xml:space="preserve"> 35</w:t>
      </w:r>
      <w:r>
        <w:rPr>
          <w:szCs w:val="22"/>
          <w:lang w:val="fr-FR"/>
        </w:rPr>
        <w:t>.</w:t>
      </w:r>
      <w:r w:rsidRPr="006079FC">
        <w:rPr>
          <w:szCs w:val="22"/>
          <w:lang w:val="fr-FR"/>
        </w:rPr>
        <w:t>6</w:t>
      </w:r>
      <w:r>
        <w:rPr>
          <w:szCs w:val="22"/>
          <w:lang w:val="fr-FR"/>
        </w:rPr>
        <w:t>’, W</w:t>
      </w:r>
      <w:r w:rsidRPr="006079FC">
        <w:rPr>
          <w:szCs w:val="22"/>
          <w:lang w:val="fr-FR"/>
        </w:rPr>
        <w:t xml:space="preserve"> 78</w:t>
      </w:r>
      <w:r>
        <w:rPr>
          <w:szCs w:val="22"/>
          <w:lang w:val="fr-FR"/>
        </w:rPr>
        <w:t>°</w:t>
      </w:r>
      <w:r w:rsidRPr="006079FC">
        <w:rPr>
          <w:szCs w:val="22"/>
          <w:lang w:val="fr-FR"/>
        </w:rPr>
        <w:t xml:space="preserve"> 47</w:t>
      </w:r>
      <w:r>
        <w:rPr>
          <w:szCs w:val="22"/>
          <w:lang w:val="fr-FR"/>
        </w:rPr>
        <w:t>’, à une profondeur de 60 </w:t>
      </w:r>
      <w:r w:rsidRPr="006079FC">
        <w:rPr>
          <w:szCs w:val="22"/>
          <w:lang w:val="fr-FR"/>
        </w:rPr>
        <w:t>pieds.</w:t>
      </w:r>
    </w:p>
    <w:p w:rsidR="00A848F1" w:rsidRPr="00332F2C" w:rsidRDefault="00A848F1" w:rsidP="00A848F1">
      <w:pPr>
        <w:kinsoku w:val="0"/>
        <w:overflowPunct w:val="0"/>
        <w:autoSpaceDE w:val="0"/>
        <w:autoSpaceDN w:val="0"/>
        <w:adjustRightInd w:val="0"/>
        <w:rPr>
          <w:szCs w:val="22"/>
          <w:lang w:val="fr-FR"/>
        </w:rPr>
      </w:pPr>
      <w:r w:rsidRPr="00332F2C">
        <w:rPr>
          <w:szCs w:val="22"/>
          <w:lang w:val="fr-FR"/>
        </w:rPr>
        <w:t>…</w:t>
      </w:r>
    </w:p>
    <w:p w:rsidR="00A848F1" w:rsidRPr="00332F2C" w:rsidRDefault="00A848F1" w:rsidP="00A848F1">
      <w:pPr>
        <w:rPr>
          <w:i/>
          <w:color w:val="000000"/>
          <w:szCs w:val="22"/>
          <w:lang w:val="fr-FR"/>
        </w:rPr>
      </w:pPr>
      <w:r w:rsidRPr="00332F2C">
        <w:rPr>
          <w:i/>
          <w:color w:val="000000"/>
          <w:szCs w:val="22"/>
          <w:lang w:val="fr-FR"/>
        </w:rPr>
        <w:br w:type="page"/>
      </w:r>
    </w:p>
    <w:p w:rsidR="00A848F1" w:rsidRDefault="00A848F1" w:rsidP="00A848F1">
      <w:pPr>
        <w:autoSpaceDE w:val="0"/>
        <w:autoSpaceDN w:val="0"/>
        <w:adjustRightInd w:val="0"/>
        <w:rPr>
          <w:bCs/>
          <w:i/>
          <w:szCs w:val="22"/>
          <w:lang w:val="fr-FR"/>
        </w:rPr>
      </w:pPr>
      <w:r>
        <w:rPr>
          <w:bCs/>
          <w:i/>
          <w:szCs w:val="22"/>
          <w:u w:val="single"/>
          <w:lang w:val="fr-FR"/>
        </w:rPr>
        <w:t>Observations formulées par la Suisse</w:t>
      </w:r>
      <w:r w:rsidRPr="000E79B0">
        <w:rPr>
          <w:bCs/>
          <w:i/>
          <w:szCs w:val="22"/>
          <w:lang w:val="fr-FR"/>
        </w:rPr>
        <w:t> :</w:t>
      </w:r>
    </w:p>
    <w:p w:rsidR="00A848F1" w:rsidRDefault="00A848F1" w:rsidP="00A848F1">
      <w:pPr>
        <w:numPr>
          <w:ilvl w:val="0"/>
          <w:numId w:val="14"/>
        </w:numPr>
        <w:autoSpaceDE w:val="0"/>
        <w:autoSpaceDN w:val="0"/>
        <w:adjustRightInd w:val="0"/>
        <w:rPr>
          <w:bCs/>
          <w:i/>
          <w:szCs w:val="22"/>
          <w:lang w:val="fr-FR"/>
        </w:rPr>
      </w:pPr>
      <w:r>
        <w:rPr>
          <w:bCs/>
          <w:i/>
          <w:szCs w:val="22"/>
          <w:lang w:val="fr-FR"/>
        </w:rPr>
        <w:t>La description contenue dans le brevet américain indique déjà la source des ressources génétiques, y compris les coordonnées précises pour y accéder.  Les informations fournies dépassent ce qui serait demandé du déposant dans</w:t>
      </w:r>
      <w:r w:rsidRPr="008D75E9">
        <w:rPr>
          <w:bCs/>
          <w:i/>
          <w:szCs w:val="22"/>
          <w:lang w:val="fr-FR"/>
        </w:rPr>
        <w:t xml:space="preserve"> la </w:t>
      </w:r>
      <w:proofErr w:type="spellStart"/>
      <w:r w:rsidRPr="008D75E9">
        <w:rPr>
          <w:bCs/>
          <w:i/>
          <w:szCs w:val="22"/>
          <w:lang w:val="fr-FR"/>
        </w:rPr>
        <w:t>LBI</w:t>
      </w:r>
      <w:proofErr w:type="spellEnd"/>
      <w:r>
        <w:rPr>
          <w:bCs/>
          <w:i/>
          <w:szCs w:val="22"/>
          <w:lang w:val="fr-FR"/>
        </w:rPr>
        <w:t xml:space="preserve"> qui, dans ce même cas, exigerait uniquement de divulguer le nom des pays concernés, à savoir la Colombie, le Mexique, le Belize, le Honduras et le Panama</w:t>
      </w:r>
      <w:r w:rsidRPr="00332F2C">
        <w:rPr>
          <w:bCs/>
          <w:i/>
          <w:szCs w:val="22"/>
          <w:lang w:val="fr-FR"/>
        </w:rPr>
        <w:t>.</w:t>
      </w:r>
    </w:p>
    <w:p w:rsidR="00A848F1" w:rsidRDefault="00A848F1" w:rsidP="00A848F1">
      <w:pPr>
        <w:numPr>
          <w:ilvl w:val="0"/>
          <w:numId w:val="14"/>
        </w:numPr>
        <w:autoSpaceDE w:val="0"/>
        <w:autoSpaceDN w:val="0"/>
        <w:adjustRightInd w:val="0"/>
        <w:rPr>
          <w:bCs/>
          <w:i/>
          <w:szCs w:val="22"/>
          <w:lang w:val="fr-FR"/>
        </w:rPr>
      </w:pPr>
      <w:r>
        <w:rPr>
          <w:bCs/>
          <w:i/>
          <w:szCs w:val="22"/>
          <w:lang w:val="fr-FR"/>
        </w:rPr>
        <w:t>La description de l’invention qui figure dans la demande de brevet montre également que, même si les États</w:t>
      </w:r>
      <w:r>
        <w:rPr>
          <w:bCs/>
          <w:i/>
          <w:szCs w:val="22"/>
          <w:lang w:val="fr-FR"/>
        </w:rPr>
        <w:noBreakHyphen/>
        <w:t>Unis d’Amérique ne prévoient pas expressément d’exigence de divulgation de la source des ressources génétiques dans leur système des brevets, les sources précises sont indiquées dans la description de l’invention.  Il est donc difficile de suivre l’argumentation selon laquelle une simple exigence de divulgation pourrait constituer un fardeau ou être difficile à appliquer pour un déposant</w:t>
      </w:r>
      <w:r w:rsidRPr="00332F2C">
        <w:rPr>
          <w:bCs/>
          <w:i/>
          <w:szCs w:val="22"/>
          <w:lang w:val="fr-FR"/>
        </w:rPr>
        <w:t xml:space="preserve">, </w:t>
      </w:r>
      <w:r>
        <w:rPr>
          <w:bCs/>
          <w:i/>
          <w:szCs w:val="22"/>
          <w:lang w:val="fr-FR"/>
        </w:rPr>
        <w:t>dès lors que les informations fournies dans l’exemple utilisé pour l’analyse du système juridique suisse contiennent déjà les informations pertinentes.</w:t>
      </w:r>
    </w:p>
    <w:p w:rsidR="00A848F1" w:rsidRPr="00332F2C" w:rsidRDefault="00A848F1" w:rsidP="00A848F1">
      <w:pPr>
        <w:autoSpaceDE w:val="0"/>
        <w:autoSpaceDN w:val="0"/>
        <w:adjustRightInd w:val="0"/>
        <w:rPr>
          <w:i/>
          <w:color w:val="000000"/>
          <w:szCs w:val="22"/>
          <w:lang w:val="fr-FR"/>
        </w:rPr>
      </w:pPr>
    </w:p>
    <w:p w:rsidR="00A848F1" w:rsidRPr="00332F2C" w:rsidRDefault="00A848F1" w:rsidP="00A848F1">
      <w:pPr>
        <w:autoSpaceDE w:val="0"/>
        <w:autoSpaceDN w:val="0"/>
        <w:adjustRightInd w:val="0"/>
        <w:rPr>
          <w:i/>
          <w:color w:val="000000"/>
          <w:szCs w:val="22"/>
          <w:lang w:val="fr-FR"/>
        </w:rPr>
      </w:pPr>
    </w:p>
    <w:p w:rsidR="00A848F1" w:rsidRPr="00332F2C" w:rsidRDefault="00A848F1" w:rsidP="00A848F1">
      <w:pPr>
        <w:autoSpaceDE w:val="0"/>
        <w:autoSpaceDN w:val="0"/>
        <w:adjustRightInd w:val="0"/>
        <w:rPr>
          <w:i/>
          <w:color w:val="000000"/>
          <w:szCs w:val="22"/>
          <w:lang w:val="fr-FR"/>
        </w:rPr>
      </w:pPr>
      <w:r>
        <w:rPr>
          <w:i/>
          <w:color w:val="000000"/>
          <w:szCs w:val="22"/>
          <w:lang w:val="fr-FR"/>
        </w:rPr>
        <w:t>La revendication n° </w:t>
      </w:r>
      <w:r w:rsidRPr="00332F2C">
        <w:rPr>
          <w:i/>
          <w:color w:val="000000"/>
          <w:szCs w:val="22"/>
          <w:lang w:val="fr-FR"/>
        </w:rPr>
        <w:t xml:space="preserve">1 </w:t>
      </w:r>
      <w:r>
        <w:rPr>
          <w:i/>
          <w:color w:val="000000"/>
          <w:szCs w:val="22"/>
          <w:lang w:val="fr-FR"/>
        </w:rPr>
        <w:t>du brevet n° 870 indique ce qui suit :</w:t>
      </w:r>
    </w:p>
    <w:p w:rsidR="00A848F1" w:rsidRPr="00332F2C" w:rsidRDefault="00A848F1" w:rsidP="00A848F1">
      <w:pPr>
        <w:autoSpaceDE w:val="0"/>
        <w:autoSpaceDN w:val="0"/>
        <w:adjustRightInd w:val="0"/>
        <w:rPr>
          <w:i/>
          <w:color w:val="000000"/>
          <w:szCs w:val="22"/>
          <w:lang w:val="fr-FR"/>
        </w:rPr>
      </w:pPr>
    </w:p>
    <w:p w:rsidR="00A848F1" w:rsidRPr="00332F2C" w:rsidRDefault="00A848F1" w:rsidP="00A848F1">
      <w:pPr>
        <w:autoSpaceDE w:val="0"/>
        <w:autoSpaceDN w:val="0"/>
        <w:adjustRightInd w:val="0"/>
        <w:rPr>
          <w:color w:val="000000"/>
          <w:szCs w:val="22"/>
          <w:lang w:val="fr-FR"/>
        </w:rPr>
      </w:pPr>
      <w:r>
        <w:rPr>
          <w:color w:val="000000"/>
          <w:szCs w:val="22"/>
          <w:lang w:val="fr-FR"/>
        </w:rPr>
        <w:t xml:space="preserve">Une méthode de traitement d’un animal ou d’un humain atteint de leucémie, consistant à administrer à l’hôte une quantité efficace d’une </w:t>
      </w:r>
      <w:proofErr w:type="spellStart"/>
      <w:r w:rsidRPr="00332F2C">
        <w:rPr>
          <w:color w:val="000000"/>
          <w:szCs w:val="22"/>
          <w:lang w:val="fr-FR"/>
        </w:rPr>
        <w:t>didemnin</w:t>
      </w:r>
      <w:r>
        <w:rPr>
          <w:color w:val="000000"/>
          <w:szCs w:val="22"/>
          <w:lang w:val="fr-FR"/>
        </w:rPr>
        <w:t>e</w:t>
      </w:r>
      <w:proofErr w:type="spellEnd"/>
      <w:r>
        <w:rPr>
          <w:color w:val="000000"/>
          <w:szCs w:val="22"/>
          <w:lang w:val="fr-FR"/>
        </w:rPr>
        <w:t xml:space="preserve"> choisie dans le groupe comprenant la </w:t>
      </w:r>
      <w:proofErr w:type="spellStart"/>
      <w:r w:rsidRPr="00332F2C">
        <w:rPr>
          <w:color w:val="000000"/>
          <w:szCs w:val="22"/>
          <w:lang w:val="fr-FR"/>
        </w:rPr>
        <w:t>didemnin</w:t>
      </w:r>
      <w:r>
        <w:rPr>
          <w:color w:val="000000"/>
          <w:szCs w:val="22"/>
          <w:lang w:val="fr-FR"/>
        </w:rPr>
        <w:t>e</w:t>
      </w:r>
      <w:proofErr w:type="spellEnd"/>
      <w:r w:rsidRPr="00332F2C">
        <w:rPr>
          <w:color w:val="000000"/>
          <w:szCs w:val="22"/>
          <w:lang w:val="fr-FR"/>
        </w:rPr>
        <w:t xml:space="preserve"> A, </w:t>
      </w:r>
      <w:r>
        <w:rPr>
          <w:color w:val="000000"/>
          <w:szCs w:val="22"/>
          <w:lang w:val="fr-FR"/>
        </w:rPr>
        <w:t xml:space="preserve">la </w:t>
      </w:r>
      <w:proofErr w:type="spellStart"/>
      <w:r w:rsidRPr="00332F2C">
        <w:rPr>
          <w:color w:val="000000"/>
          <w:szCs w:val="22"/>
          <w:lang w:val="fr-FR"/>
        </w:rPr>
        <w:t>didemnin</w:t>
      </w:r>
      <w:r>
        <w:rPr>
          <w:color w:val="000000"/>
          <w:szCs w:val="22"/>
          <w:lang w:val="fr-FR"/>
        </w:rPr>
        <w:t>e</w:t>
      </w:r>
      <w:proofErr w:type="spellEnd"/>
      <w:r>
        <w:rPr>
          <w:color w:val="000000"/>
          <w:szCs w:val="22"/>
          <w:lang w:val="fr-FR"/>
        </w:rPr>
        <w:t xml:space="preserve"> </w:t>
      </w:r>
      <w:r w:rsidRPr="00332F2C">
        <w:rPr>
          <w:color w:val="000000"/>
          <w:szCs w:val="22"/>
          <w:lang w:val="fr-FR"/>
        </w:rPr>
        <w:t>B</w:t>
      </w:r>
      <w:r>
        <w:rPr>
          <w:color w:val="000000"/>
          <w:szCs w:val="22"/>
          <w:lang w:val="fr-FR"/>
        </w:rPr>
        <w:t xml:space="preserve"> et la</w:t>
      </w:r>
      <w:r w:rsidRPr="00332F2C">
        <w:rPr>
          <w:color w:val="000000"/>
          <w:szCs w:val="22"/>
          <w:lang w:val="fr-FR"/>
        </w:rPr>
        <w:t xml:space="preserve"> </w:t>
      </w:r>
      <w:proofErr w:type="spellStart"/>
      <w:r w:rsidRPr="00332F2C">
        <w:rPr>
          <w:color w:val="000000"/>
          <w:szCs w:val="22"/>
          <w:lang w:val="fr-FR"/>
        </w:rPr>
        <w:t>didemnin</w:t>
      </w:r>
      <w:r>
        <w:rPr>
          <w:color w:val="000000"/>
          <w:szCs w:val="22"/>
          <w:lang w:val="fr-FR"/>
        </w:rPr>
        <w:t>e</w:t>
      </w:r>
      <w:proofErr w:type="spellEnd"/>
      <w:r w:rsidRPr="00332F2C">
        <w:rPr>
          <w:color w:val="000000"/>
          <w:szCs w:val="22"/>
          <w:lang w:val="fr-FR"/>
        </w:rPr>
        <w:t xml:space="preserve"> C </w:t>
      </w:r>
      <w:r>
        <w:rPr>
          <w:color w:val="000000"/>
          <w:szCs w:val="22"/>
          <w:lang w:val="fr-FR"/>
        </w:rPr>
        <w:t xml:space="preserve">ou un sel </w:t>
      </w:r>
      <w:proofErr w:type="spellStart"/>
      <w:r>
        <w:rPr>
          <w:color w:val="000000"/>
          <w:szCs w:val="22"/>
          <w:lang w:val="fr-FR"/>
        </w:rPr>
        <w:t>pharmaceutiquement</w:t>
      </w:r>
      <w:proofErr w:type="spellEnd"/>
      <w:r>
        <w:rPr>
          <w:color w:val="000000"/>
          <w:szCs w:val="22"/>
          <w:lang w:val="fr-FR"/>
        </w:rPr>
        <w:t xml:space="preserve"> acceptable de celle</w:t>
      </w:r>
      <w:r>
        <w:rPr>
          <w:color w:val="000000"/>
          <w:szCs w:val="22"/>
          <w:lang w:val="fr-FR"/>
        </w:rPr>
        <w:noBreakHyphen/>
        <w:t>ci</w:t>
      </w:r>
      <w:r w:rsidRPr="00332F2C">
        <w:rPr>
          <w:color w:val="000000"/>
          <w:szCs w:val="22"/>
          <w:lang w:val="fr-FR"/>
        </w:rPr>
        <w:t>.</w:t>
      </w:r>
    </w:p>
    <w:p w:rsidR="00A848F1" w:rsidRPr="00332F2C" w:rsidRDefault="00A848F1" w:rsidP="00A848F1">
      <w:pPr>
        <w:autoSpaceDE w:val="0"/>
        <w:autoSpaceDN w:val="0"/>
        <w:adjustRightInd w:val="0"/>
        <w:rPr>
          <w:color w:val="000000"/>
          <w:szCs w:val="22"/>
          <w:lang w:val="fr-FR"/>
        </w:rPr>
      </w:pPr>
    </w:p>
    <w:p w:rsidR="00A848F1" w:rsidRPr="00332F2C" w:rsidRDefault="00A848F1" w:rsidP="00A848F1">
      <w:pPr>
        <w:autoSpaceDE w:val="0"/>
        <w:autoSpaceDN w:val="0"/>
        <w:adjustRightInd w:val="0"/>
        <w:rPr>
          <w:color w:val="000000"/>
          <w:szCs w:val="22"/>
          <w:lang w:val="fr-FR"/>
        </w:rPr>
      </w:pPr>
    </w:p>
    <w:p w:rsidR="00A848F1" w:rsidRPr="00332F2C" w:rsidRDefault="00A848F1" w:rsidP="00A848F1">
      <w:pPr>
        <w:autoSpaceDE w:val="0"/>
        <w:autoSpaceDN w:val="0"/>
        <w:adjustRightInd w:val="0"/>
        <w:rPr>
          <w:b/>
          <w:szCs w:val="22"/>
          <w:lang w:val="fr-FR"/>
        </w:rPr>
      </w:pPr>
      <w:r w:rsidRPr="00332F2C">
        <w:rPr>
          <w:szCs w:val="22"/>
          <w:lang w:val="fr-FR"/>
        </w:rPr>
        <w:t>IV.</w:t>
      </w:r>
      <w:r w:rsidRPr="00332F2C">
        <w:rPr>
          <w:szCs w:val="22"/>
          <w:lang w:val="fr-FR"/>
        </w:rPr>
        <w:tab/>
      </w:r>
      <w:r w:rsidRPr="00332F2C">
        <w:rPr>
          <w:b/>
          <w:szCs w:val="22"/>
          <w:lang w:val="fr-FR"/>
        </w:rPr>
        <w:t>ANALYS</w:t>
      </w:r>
      <w:r>
        <w:rPr>
          <w:b/>
          <w:szCs w:val="22"/>
          <w:lang w:val="fr-FR"/>
        </w:rPr>
        <w:t>E</w:t>
      </w:r>
    </w:p>
    <w:p w:rsidR="00A848F1" w:rsidRPr="00332F2C" w:rsidRDefault="00A848F1" w:rsidP="00A848F1">
      <w:pPr>
        <w:autoSpaceDE w:val="0"/>
        <w:autoSpaceDN w:val="0"/>
        <w:adjustRightInd w:val="0"/>
        <w:rPr>
          <w:b/>
          <w:szCs w:val="22"/>
          <w:lang w:val="fr-FR"/>
        </w:rPr>
      </w:pPr>
    </w:p>
    <w:p w:rsidR="00A848F1" w:rsidRPr="00332F2C" w:rsidRDefault="00A848F1" w:rsidP="00A848F1">
      <w:pPr>
        <w:autoSpaceDE w:val="0"/>
        <w:autoSpaceDN w:val="0"/>
        <w:adjustRightInd w:val="0"/>
        <w:rPr>
          <w:szCs w:val="22"/>
          <w:lang w:val="fr-FR"/>
        </w:rPr>
      </w:pPr>
      <w:r w:rsidRPr="00332F2C">
        <w:rPr>
          <w:szCs w:val="22"/>
          <w:lang w:val="fr-FR"/>
        </w:rPr>
        <w:tab/>
      </w:r>
      <w:r>
        <w:rPr>
          <w:szCs w:val="22"/>
          <w:lang w:val="fr-FR"/>
        </w:rPr>
        <w:t>Si l’objet du brevet n° 870 était déposé en Suisse en 2016, que devrait faire le déposant pour se conformer à la législation suisse</w:t>
      </w:r>
      <w:r w:rsidRPr="00332F2C">
        <w:rPr>
          <w:szCs w:val="22"/>
          <w:lang w:val="fr-FR"/>
        </w:rPr>
        <w:t>?</w:t>
      </w:r>
    </w:p>
    <w:p w:rsidR="00A848F1" w:rsidRPr="00332F2C" w:rsidRDefault="00A848F1" w:rsidP="00A848F1">
      <w:pPr>
        <w:autoSpaceDE w:val="0"/>
        <w:autoSpaceDN w:val="0"/>
        <w:adjustRightInd w:val="0"/>
        <w:rPr>
          <w:szCs w:val="22"/>
          <w:lang w:val="fr-FR"/>
        </w:rPr>
      </w:pPr>
    </w:p>
    <w:p w:rsidR="00A848F1" w:rsidRDefault="00A848F1" w:rsidP="00A848F1">
      <w:pPr>
        <w:autoSpaceDE w:val="0"/>
        <w:autoSpaceDN w:val="0"/>
        <w:adjustRightInd w:val="0"/>
        <w:ind w:firstLine="567"/>
        <w:rPr>
          <w:b/>
          <w:szCs w:val="22"/>
          <w:lang w:val="fr-FR"/>
        </w:rPr>
      </w:pPr>
      <w:r w:rsidRPr="00332F2C">
        <w:rPr>
          <w:szCs w:val="22"/>
          <w:lang w:val="fr-FR"/>
        </w:rPr>
        <w:t>A.</w:t>
      </w:r>
      <w:r>
        <w:rPr>
          <w:szCs w:val="22"/>
          <w:lang w:val="fr-FR"/>
        </w:rPr>
        <w:t xml:space="preserve"> </w:t>
      </w:r>
      <w:r w:rsidRPr="00332F2C">
        <w:rPr>
          <w:szCs w:val="22"/>
          <w:lang w:val="fr-FR"/>
        </w:rPr>
        <w:t xml:space="preserve"> </w:t>
      </w:r>
      <w:r>
        <w:rPr>
          <w:b/>
          <w:szCs w:val="22"/>
          <w:lang w:val="fr-FR"/>
        </w:rPr>
        <w:t>Devoir de diligence au Mexique, au Panama, au</w:t>
      </w:r>
      <w:r w:rsidRPr="00B15838">
        <w:rPr>
          <w:b/>
          <w:szCs w:val="22"/>
          <w:lang w:val="fr-FR"/>
        </w:rPr>
        <w:t xml:space="preserve"> Honduras, </w:t>
      </w:r>
      <w:r>
        <w:rPr>
          <w:b/>
          <w:szCs w:val="22"/>
          <w:lang w:val="fr-FR"/>
        </w:rPr>
        <w:t xml:space="preserve">en </w:t>
      </w:r>
      <w:r w:rsidRPr="00B15838">
        <w:rPr>
          <w:b/>
          <w:szCs w:val="22"/>
          <w:lang w:val="fr-FR"/>
        </w:rPr>
        <w:t xml:space="preserve">Colombie et </w:t>
      </w:r>
      <w:r>
        <w:rPr>
          <w:b/>
          <w:szCs w:val="22"/>
          <w:lang w:val="fr-FR"/>
        </w:rPr>
        <w:t>au</w:t>
      </w:r>
      <w:r w:rsidRPr="00B15838">
        <w:rPr>
          <w:b/>
          <w:szCs w:val="22"/>
          <w:lang w:val="fr-FR"/>
        </w:rPr>
        <w:t xml:space="preserve"> Belize</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bCs/>
          <w:i/>
          <w:szCs w:val="22"/>
          <w:lang w:val="fr-FR"/>
        </w:rPr>
      </w:pPr>
      <w:r>
        <w:rPr>
          <w:bCs/>
          <w:i/>
          <w:szCs w:val="22"/>
          <w:u w:val="single"/>
          <w:lang w:val="fr-FR"/>
        </w:rPr>
        <w:t>Observations formulées par la Suisse</w:t>
      </w:r>
      <w:r w:rsidRPr="008B551A">
        <w:rPr>
          <w:bCs/>
          <w:i/>
          <w:szCs w:val="22"/>
          <w:lang w:val="fr-FR"/>
        </w:rPr>
        <w:t> :</w:t>
      </w:r>
      <w:r w:rsidRPr="00332F2C">
        <w:rPr>
          <w:bCs/>
          <w:i/>
          <w:szCs w:val="22"/>
          <w:lang w:val="fr-FR"/>
        </w:rPr>
        <w:t xml:space="preserve"> </w:t>
      </w:r>
      <w:r>
        <w:rPr>
          <w:bCs/>
          <w:i/>
          <w:szCs w:val="22"/>
          <w:lang w:val="fr-FR"/>
        </w:rPr>
        <w:t>Nous ne nous prononçons pas sur l’analyse faite des législations des autres pays dans le document des États</w:t>
      </w:r>
      <w:r>
        <w:rPr>
          <w:bCs/>
          <w:i/>
          <w:szCs w:val="22"/>
          <w:lang w:val="fr-FR"/>
        </w:rPr>
        <w:noBreakHyphen/>
        <w:t>Unis d’Amérique.</w:t>
      </w:r>
    </w:p>
    <w:p w:rsidR="00A848F1" w:rsidRPr="00332F2C" w:rsidRDefault="00A848F1" w:rsidP="00A848F1">
      <w:pPr>
        <w:autoSpaceDE w:val="0"/>
        <w:autoSpaceDN w:val="0"/>
        <w:adjustRightInd w:val="0"/>
        <w:rPr>
          <w:szCs w:val="22"/>
          <w:lang w:val="fr-FR"/>
        </w:rPr>
      </w:pPr>
    </w:p>
    <w:p w:rsidR="00A848F1" w:rsidRDefault="00A848F1" w:rsidP="00A848F1">
      <w:pPr>
        <w:autoSpaceDE w:val="0"/>
        <w:autoSpaceDN w:val="0"/>
        <w:adjustRightInd w:val="0"/>
        <w:rPr>
          <w:color w:val="333333"/>
          <w:szCs w:val="22"/>
          <w:shd w:val="clear" w:color="auto" w:fill="FFFFFF"/>
          <w:lang w:val="fr-FR"/>
        </w:rPr>
      </w:pPr>
      <w:r w:rsidRPr="00332F2C">
        <w:rPr>
          <w:szCs w:val="22"/>
          <w:lang w:val="fr-FR"/>
        </w:rPr>
        <w:tab/>
      </w:r>
      <w:r>
        <w:rPr>
          <w:szCs w:val="22"/>
          <w:lang w:val="fr-FR"/>
        </w:rPr>
        <w:t>Comme indiqué dans le mémoire descriptif du brevet n° 870, l’inventeur a obtenu des échantillons de tunicier marin dans les eaux du Mexique, du Panama, de la Colombie, du Belize et du Honduras.  Selon</w:t>
      </w:r>
      <w:r w:rsidRPr="008D75E9">
        <w:rPr>
          <w:szCs w:val="22"/>
          <w:lang w:val="fr-FR"/>
        </w:rPr>
        <w:t xml:space="preserve"> la </w:t>
      </w:r>
      <w:proofErr w:type="spellStart"/>
      <w:r w:rsidRPr="008D75E9">
        <w:rPr>
          <w:szCs w:val="22"/>
          <w:lang w:val="fr-FR"/>
        </w:rPr>
        <w:t>LPN</w:t>
      </w:r>
      <w:proofErr w:type="spellEnd"/>
      <w:r>
        <w:rPr>
          <w:szCs w:val="22"/>
          <w:lang w:val="fr-FR"/>
        </w:rPr>
        <w:t>, quiconque utilise des ressources génétiques ou tire directement des avantages découlant de l’utilisation de celles</w:t>
      </w:r>
      <w:r>
        <w:rPr>
          <w:szCs w:val="22"/>
          <w:lang w:val="fr-FR"/>
        </w:rPr>
        <w:noBreakHyphen/>
        <w:t>ci doit déployer toute la diligence requise par les circonstances.  Par conséquent, la première question est de savoir si l’inventeur du brevet n° 870 a utilisé des ressources génétiques ou s’il a tiré directement des avantages découlant de l’utilisation de celles</w:t>
      </w:r>
      <w:r>
        <w:rPr>
          <w:szCs w:val="22"/>
          <w:lang w:val="fr-FR"/>
        </w:rPr>
        <w:noBreakHyphen/>
        <w:t xml:space="preserve">ci.  La Protocole de Nagoya donne la définition suivante : </w:t>
      </w:r>
      <w:r w:rsidRPr="00332F2C">
        <w:rPr>
          <w:szCs w:val="22"/>
          <w:lang w:val="fr-FR"/>
        </w:rPr>
        <w:t>“</w:t>
      </w:r>
      <w:r>
        <w:rPr>
          <w:szCs w:val="22"/>
          <w:lang w:val="fr-FR"/>
        </w:rPr>
        <w:t>on entend par ‘[u]</w:t>
      </w:r>
      <w:proofErr w:type="spellStart"/>
      <w:r>
        <w:rPr>
          <w:szCs w:val="22"/>
          <w:lang w:val="fr-FR"/>
        </w:rPr>
        <w:t>tilisation</w:t>
      </w:r>
      <w:proofErr w:type="spellEnd"/>
      <w:r>
        <w:rPr>
          <w:szCs w:val="22"/>
          <w:lang w:val="fr-FR"/>
        </w:rPr>
        <w:t xml:space="preserve"> des ressources génétiques’ </w:t>
      </w:r>
      <w:r w:rsidRPr="00AD394B">
        <w:rPr>
          <w:szCs w:val="22"/>
          <w:lang w:val="fr-FR"/>
        </w:rPr>
        <w:t>les activités de recherche et de développement sur la composition génétique et/ou biochimique de ressources génétiques, notamment par l</w:t>
      </w:r>
      <w:r>
        <w:rPr>
          <w:szCs w:val="22"/>
          <w:lang w:val="fr-FR"/>
        </w:rPr>
        <w:t>’</w:t>
      </w:r>
      <w:r w:rsidRPr="00AD394B">
        <w:rPr>
          <w:szCs w:val="22"/>
          <w:lang w:val="fr-FR"/>
        </w:rPr>
        <w:t>application de la biotechnologie, conformém</w:t>
      </w:r>
      <w:r>
        <w:rPr>
          <w:szCs w:val="22"/>
          <w:lang w:val="fr-FR"/>
        </w:rPr>
        <w:t>ent à la définition fournie à l’</w:t>
      </w:r>
      <w:r w:rsidRPr="00AD394B">
        <w:rPr>
          <w:szCs w:val="22"/>
          <w:lang w:val="fr-FR"/>
        </w:rPr>
        <w:t>article</w:t>
      </w:r>
      <w:r>
        <w:rPr>
          <w:szCs w:val="22"/>
          <w:lang w:val="fr-FR"/>
        </w:rPr>
        <w:t> </w:t>
      </w:r>
      <w:r w:rsidRPr="00AD394B">
        <w:rPr>
          <w:szCs w:val="22"/>
          <w:lang w:val="fr-FR"/>
        </w:rPr>
        <w:t>2 de la Convention</w:t>
      </w:r>
      <w:r w:rsidRPr="00332F2C">
        <w:rPr>
          <w:szCs w:val="22"/>
          <w:shd w:val="clear" w:color="auto" w:fill="FFFFFF"/>
          <w:lang w:val="fr-FR"/>
        </w:rPr>
        <w:t>”</w:t>
      </w:r>
      <w:r>
        <w:rPr>
          <w:szCs w:val="22"/>
          <w:shd w:val="clear" w:color="auto" w:fill="FFFFFF"/>
          <w:lang w:val="fr-FR"/>
        </w:rPr>
        <w:t xml:space="preserve">.  Si l’on part du principe que le terme </w:t>
      </w:r>
      <w:r w:rsidRPr="00332F2C">
        <w:rPr>
          <w:szCs w:val="22"/>
          <w:shd w:val="clear" w:color="auto" w:fill="FFFFFF"/>
          <w:lang w:val="fr-FR"/>
        </w:rPr>
        <w:t>“utili</w:t>
      </w:r>
      <w:r>
        <w:rPr>
          <w:szCs w:val="22"/>
          <w:shd w:val="clear" w:color="auto" w:fill="FFFFFF"/>
          <w:lang w:val="fr-FR"/>
        </w:rPr>
        <w:t>s</w:t>
      </w:r>
      <w:r w:rsidRPr="00332F2C">
        <w:rPr>
          <w:szCs w:val="22"/>
          <w:shd w:val="clear" w:color="auto" w:fill="FFFFFF"/>
          <w:lang w:val="fr-FR"/>
        </w:rPr>
        <w:t xml:space="preserve">ation” </w:t>
      </w:r>
      <w:r>
        <w:rPr>
          <w:szCs w:val="22"/>
          <w:shd w:val="clear" w:color="auto" w:fill="FFFFFF"/>
          <w:lang w:val="fr-FR"/>
        </w:rPr>
        <w:t xml:space="preserve">a le même sens dans la législation suisse, alors l’inventeur a bel et bien </w:t>
      </w:r>
      <w:r w:rsidRPr="00332F2C">
        <w:rPr>
          <w:szCs w:val="22"/>
          <w:shd w:val="clear" w:color="auto" w:fill="FFFFFF"/>
          <w:lang w:val="fr-FR"/>
        </w:rPr>
        <w:t>“utili</w:t>
      </w:r>
      <w:r>
        <w:rPr>
          <w:szCs w:val="22"/>
          <w:shd w:val="clear" w:color="auto" w:fill="FFFFFF"/>
          <w:lang w:val="fr-FR"/>
        </w:rPr>
        <w:t>sé</w:t>
      </w:r>
      <w:r w:rsidRPr="00332F2C">
        <w:rPr>
          <w:szCs w:val="22"/>
          <w:shd w:val="clear" w:color="auto" w:fill="FFFFFF"/>
          <w:lang w:val="fr-FR"/>
        </w:rPr>
        <w:t xml:space="preserve">” </w:t>
      </w:r>
      <w:r>
        <w:rPr>
          <w:szCs w:val="22"/>
          <w:shd w:val="clear" w:color="auto" w:fill="FFFFFF"/>
          <w:lang w:val="fr-FR"/>
        </w:rPr>
        <w:t>les ressources génétiques car des activités de recherche</w:t>
      </w:r>
      <w:r>
        <w:rPr>
          <w:szCs w:val="22"/>
          <w:shd w:val="clear" w:color="auto" w:fill="FFFFFF"/>
          <w:lang w:val="fr-FR"/>
        </w:rPr>
        <w:noBreakHyphen/>
        <w:t>développement ont été menées sur les échantillons</w:t>
      </w:r>
      <w:r w:rsidRPr="00332F2C">
        <w:rPr>
          <w:szCs w:val="22"/>
          <w:shd w:val="clear" w:color="auto" w:fill="FFFFFF"/>
          <w:lang w:val="fr-FR"/>
        </w:rPr>
        <w:t>.</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rPr>
          <w:szCs w:val="22"/>
          <w:lang w:val="fr-FR"/>
        </w:rPr>
      </w:pPr>
      <w:r>
        <w:rPr>
          <w:szCs w:val="22"/>
          <w:lang w:val="fr-FR"/>
        </w:rPr>
        <w:t>Pour répondre aux exigences relatives au devoir de diligence en Suisse selon l’article </w:t>
      </w:r>
      <w:proofErr w:type="spellStart"/>
      <w:r>
        <w:rPr>
          <w:szCs w:val="22"/>
          <w:lang w:val="fr-FR"/>
        </w:rPr>
        <w:t>23</w:t>
      </w:r>
      <w:r w:rsidRPr="00CC2E52">
        <w:rPr>
          <w:i/>
          <w:szCs w:val="22"/>
          <w:lang w:val="fr-FR"/>
        </w:rPr>
        <w:t>n</w:t>
      </w:r>
      <w:proofErr w:type="spellEnd"/>
      <w:r>
        <w:rPr>
          <w:szCs w:val="22"/>
          <w:lang w:val="fr-FR"/>
        </w:rPr>
        <w:t xml:space="preserve"> de</w:t>
      </w:r>
      <w:r w:rsidRPr="008D75E9">
        <w:rPr>
          <w:szCs w:val="22"/>
          <w:lang w:val="fr-FR"/>
        </w:rPr>
        <w:t xml:space="preserve"> la </w:t>
      </w:r>
      <w:proofErr w:type="spellStart"/>
      <w:r w:rsidRPr="008D75E9">
        <w:rPr>
          <w:szCs w:val="22"/>
          <w:lang w:val="fr-FR"/>
        </w:rPr>
        <w:t>LPN</w:t>
      </w:r>
      <w:proofErr w:type="spellEnd"/>
      <w:r w:rsidRPr="00332F2C">
        <w:rPr>
          <w:szCs w:val="22"/>
          <w:lang w:val="fr-FR"/>
        </w:rPr>
        <w:t xml:space="preserve">, </w:t>
      </w:r>
      <w:r>
        <w:rPr>
          <w:szCs w:val="22"/>
          <w:lang w:val="fr-FR"/>
        </w:rPr>
        <w:t>M. </w:t>
      </w:r>
      <w:proofErr w:type="spellStart"/>
      <w:r w:rsidRPr="00332F2C">
        <w:rPr>
          <w:szCs w:val="22"/>
          <w:lang w:val="fr-FR"/>
        </w:rPr>
        <w:t>Rinehart</w:t>
      </w:r>
      <w:proofErr w:type="spellEnd"/>
      <w:r w:rsidRPr="00332F2C">
        <w:rPr>
          <w:szCs w:val="22"/>
          <w:lang w:val="fr-FR"/>
        </w:rPr>
        <w:t xml:space="preserve"> </w:t>
      </w:r>
      <w:r>
        <w:rPr>
          <w:szCs w:val="22"/>
          <w:lang w:val="fr-FR"/>
        </w:rPr>
        <w:t>devrait semble</w:t>
      </w:r>
      <w:r>
        <w:rPr>
          <w:szCs w:val="22"/>
          <w:lang w:val="fr-FR"/>
        </w:rPr>
        <w:noBreakHyphen/>
        <w:t>t</w:t>
      </w:r>
      <w:r>
        <w:rPr>
          <w:szCs w:val="22"/>
          <w:lang w:val="fr-FR"/>
        </w:rPr>
        <w:noBreakHyphen/>
        <w:t>il se conformer aux dispositions en matière d’accès des pays qui sont partie au Protocole de Nagoya et qui en même temps disposent d’une législation nationale en matière d’accès et de partage des avantages.  Parmi les nations susmentionnées, seuls le Mexique et le Panama appartiennent à cette catégorie</w:t>
      </w:r>
      <w:r w:rsidRPr="00332F2C">
        <w:rPr>
          <w:szCs w:val="22"/>
          <w:lang w:val="fr-FR"/>
        </w:rPr>
        <w:t>.</w:t>
      </w:r>
    </w:p>
    <w:p w:rsidR="00A848F1" w:rsidRPr="00332F2C" w:rsidRDefault="00A848F1" w:rsidP="00A848F1">
      <w:pPr>
        <w:rPr>
          <w:i/>
          <w:color w:val="000000"/>
          <w:szCs w:val="22"/>
          <w:lang w:val="fr-FR"/>
        </w:rPr>
      </w:pPr>
      <w:r w:rsidRPr="00332F2C">
        <w:rPr>
          <w:i/>
          <w:color w:val="000000"/>
          <w:szCs w:val="22"/>
          <w:lang w:val="fr-FR"/>
        </w:rPr>
        <w:br w:type="page"/>
      </w:r>
    </w:p>
    <w:p w:rsidR="00A848F1" w:rsidRPr="00332F2C" w:rsidRDefault="00A848F1" w:rsidP="00A848F1">
      <w:pPr>
        <w:autoSpaceDE w:val="0"/>
        <w:autoSpaceDN w:val="0"/>
        <w:adjustRightInd w:val="0"/>
        <w:rPr>
          <w:bCs/>
          <w:i/>
          <w:szCs w:val="22"/>
          <w:lang w:val="fr-FR"/>
        </w:rPr>
      </w:pPr>
      <w:r>
        <w:rPr>
          <w:bCs/>
          <w:i/>
          <w:szCs w:val="22"/>
          <w:u w:val="single"/>
          <w:lang w:val="fr-FR"/>
        </w:rPr>
        <w:t>Observations formulées par la Suisse</w:t>
      </w:r>
      <w:r w:rsidRPr="00FD10ED">
        <w:rPr>
          <w:bCs/>
          <w:i/>
          <w:szCs w:val="22"/>
          <w:lang w:val="fr-FR"/>
        </w:rPr>
        <w:t> :</w:t>
      </w:r>
    </w:p>
    <w:p w:rsidR="00A848F1" w:rsidRDefault="00A848F1" w:rsidP="00A848F1">
      <w:pPr>
        <w:numPr>
          <w:ilvl w:val="0"/>
          <w:numId w:val="15"/>
        </w:numPr>
        <w:autoSpaceDE w:val="0"/>
        <w:autoSpaceDN w:val="0"/>
        <w:adjustRightInd w:val="0"/>
        <w:rPr>
          <w:bCs/>
          <w:i/>
          <w:szCs w:val="22"/>
          <w:lang w:val="fr-FR"/>
        </w:rPr>
      </w:pPr>
      <w:r>
        <w:rPr>
          <w:bCs/>
          <w:i/>
          <w:szCs w:val="22"/>
          <w:lang w:val="fr-FR"/>
        </w:rPr>
        <w:t>L’article </w:t>
      </w:r>
      <w:proofErr w:type="spellStart"/>
      <w:r>
        <w:rPr>
          <w:bCs/>
          <w:i/>
          <w:szCs w:val="22"/>
          <w:lang w:val="fr-FR"/>
        </w:rPr>
        <w:t>23n</w:t>
      </w:r>
      <w:proofErr w:type="spellEnd"/>
      <w:r>
        <w:rPr>
          <w:bCs/>
          <w:i/>
          <w:szCs w:val="22"/>
          <w:lang w:val="fr-FR"/>
        </w:rPr>
        <w:t>, alinéa 3, de</w:t>
      </w:r>
      <w:r w:rsidRPr="008D75E9">
        <w:rPr>
          <w:bCs/>
          <w:i/>
          <w:szCs w:val="22"/>
          <w:lang w:val="fr-FR"/>
        </w:rPr>
        <w:t xml:space="preserve"> la </w:t>
      </w:r>
      <w:proofErr w:type="spellStart"/>
      <w:r w:rsidRPr="008D75E9">
        <w:rPr>
          <w:bCs/>
          <w:i/>
          <w:szCs w:val="22"/>
          <w:lang w:val="fr-FR"/>
        </w:rPr>
        <w:t>LPN</w:t>
      </w:r>
      <w:proofErr w:type="spellEnd"/>
      <w:r>
        <w:rPr>
          <w:bCs/>
          <w:i/>
          <w:szCs w:val="22"/>
          <w:lang w:val="fr-FR"/>
        </w:rPr>
        <w:t>, qui n’est pas mentionné dans le document des États</w:t>
      </w:r>
      <w:r>
        <w:rPr>
          <w:bCs/>
          <w:i/>
          <w:szCs w:val="22"/>
          <w:lang w:val="fr-FR"/>
        </w:rPr>
        <w:noBreakHyphen/>
        <w:t>Unis d’Amérique, indique ce qui suit :</w:t>
      </w:r>
      <w:r w:rsidRPr="00332F2C">
        <w:rPr>
          <w:bCs/>
          <w:i/>
          <w:szCs w:val="22"/>
          <w:lang w:val="fr-FR"/>
        </w:rPr>
        <w:t xml:space="preserve"> </w:t>
      </w:r>
      <w:r>
        <w:rPr>
          <w:bCs/>
          <w:i/>
          <w:szCs w:val="22"/>
          <w:lang w:val="fr-FR"/>
        </w:rPr>
        <w:t>“</w:t>
      </w:r>
      <w:r w:rsidRPr="00FD10ED">
        <w:rPr>
          <w:bCs/>
          <w:i/>
          <w:szCs w:val="22"/>
          <w:lang w:val="fr-FR"/>
        </w:rPr>
        <w:t>On entend par utilisation des ressources génétiques au sens de l</w:t>
      </w:r>
      <w:r>
        <w:rPr>
          <w:bCs/>
          <w:i/>
          <w:szCs w:val="22"/>
          <w:lang w:val="fr-FR"/>
        </w:rPr>
        <w:t>’</w:t>
      </w:r>
      <w:r w:rsidRPr="00FD10ED">
        <w:rPr>
          <w:bCs/>
          <w:i/>
          <w:szCs w:val="22"/>
          <w:lang w:val="fr-FR"/>
        </w:rPr>
        <w:t>al.</w:t>
      </w:r>
      <w:r>
        <w:t> </w:t>
      </w:r>
      <w:r w:rsidRPr="00FD10ED">
        <w:rPr>
          <w:bCs/>
          <w:i/>
          <w:szCs w:val="22"/>
          <w:lang w:val="fr-FR"/>
        </w:rPr>
        <w:t>1 les activités de recherche et de développement sur la composition génétique ou biochimique de ressour</w:t>
      </w:r>
      <w:r>
        <w:rPr>
          <w:bCs/>
          <w:i/>
          <w:szCs w:val="22"/>
          <w:lang w:val="fr-FR"/>
        </w:rPr>
        <w:t>ces génétiques, notamment par l’</w:t>
      </w:r>
      <w:r w:rsidRPr="00FD10ED">
        <w:rPr>
          <w:bCs/>
          <w:i/>
          <w:szCs w:val="22"/>
          <w:lang w:val="fr-FR"/>
        </w:rPr>
        <w:t>application de la biotechnologie</w:t>
      </w:r>
      <w:r w:rsidRPr="00332F2C">
        <w:rPr>
          <w:bCs/>
          <w:i/>
          <w:szCs w:val="22"/>
          <w:lang w:val="fr-FR"/>
        </w:rPr>
        <w:t xml:space="preserve">”.  </w:t>
      </w:r>
      <w:r>
        <w:rPr>
          <w:bCs/>
          <w:i/>
          <w:szCs w:val="22"/>
          <w:lang w:val="fr-FR"/>
        </w:rPr>
        <w:t>Par ailleurs, l’article 2 de l’</w:t>
      </w:r>
      <w:proofErr w:type="spellStart"/>
      <w:r>
        <w:rPr>
          <w:bCs/>
          <w:i/>
          <w:szCs w:val="22"/>
          <w:lang w:val="fr-FR"/>
        </w:rPr>
        <w:t>ONag</w:t>
      </w:r>
      <w:proofErr w:type="spellEnd"/>
      <w:r w:rsidRPr="00332F2C">
        <w:rPr>
          <w:bCs/>
          <w:i/>
          <w:szCs w:val="22"/>
          <w:lang w:val="fr-FR"/>
        </w:rPr>
        <w:t xml:space="preserve"> </w:t>
      </w:r>
      <w:r>
        <w:rPr>
          <w:bCs/>
          <w:i/>
          <w:szCs w:val="22"/>
          <w:lang w:val="fr-FR"/>
        </w:rPr>
        <w:t xml:space="preserve">reprend la définition du Protocole de Nagoya pour le terme </w:t>
      </w:r>
      <w:r w:rsidRPr="00332F2C">
        <w:rPr>
          <w:bCs/>
          <w:i/>
          <w:szCs w:val="22"/>
          <w:lang w:val="fr-FR"/>
        </w:rPr>
        <w:t>“</w:t>
      </w:r>
      <w:r>
        <w:rPr>
          <w:bCs/>
          <w:i/>
          <w:szCs w:val="22"/>
          <w:lang w:val="fr-FR"/>
        </w:rPr>
        <w:t>utilisation des ressources génétiques</w:t>
      </w:r>
      <w:r w:rsidRPr="00332F2C">
        <w:rPr>
          <w:bCs/>
          <w:i/>
          <w:szCs w:val="22"/>
          <w:lang w:val="fr-FR"/>
        </w:rPr>
        <w:t>”.</w:t>
      </w:r>
    </w:p>
    <w:p w:rsidR="00A848F1" w:rsidRPr="00332F2C" w:rsidRDefault="00A848F1" w:rsidP="00A848F1">
      <w:pPr>
        <w:numPr>
          <w:ilvl w:val="0"/>
          <w:numId w:val="15"/>
        </w:numPr>
        <w:autoSpaceDE w:val="0"/>
        <w:autoSpaceDN w:val="0"/>
        <w:adjustRightInd w:val="0"/>
        <w:rPr>
          <w:bCs/>
          <w:i/>
          <w:szCs w:val="22"/>
          <w:lang w:val="fr-FR"/>
        </w:rPr>
      </w:pPr>
      <w:r>
        <w:rPr>
          <w:bCs/>
          <w:i/>
          <w:szCs w:val="22"/>
          <w:lang w:val="fr-FR"/>
        </w:rPr>
        <w:t>Même en l’absence d’une exigence relative au devoir de diligence dans un pays, les chercheurs de ce pays doivent se conformer à la réglementation nationale en matière d’accès en cas d’accès à des ressources génétiques.  Ce paragraphe est trompeur, car il laisse penser que, si un pays ne dispose d’aucun système en ce qui concerne le devoir de diligence</w:t>
      </w:r>
      <w:r w:rsidRPr="00332F2C">
        <w:rPr>
          <w:bCs/>
          <w:i/>
          <w:szCs w:val="22"/>
          <w:lang w:val="fr-FR"/>
        </w:rPr>
        <w:t xml:space="preserve">, </w:t>
      </w:r>
      <w:r>
        <w:rPr>
          <w:bCs/>
          <w:i/>
          <w:szCs w:val="22"/>
          <w:lang w:val="fr-FR"/>
        </w:rPr>
        <w:t>un chercheur de ce pays peut simplement ignorer la réglementation en matière d’accès des autres pays</w:t>
      </w:r>
      <w:r w:rsidRPr="00332F2C">
        <w:rPr>
          <w:bCs/>
          <w:i/>
          <w:szCs w:val="22"/>
          <w:lang w:val="fr-FR"/>
        </w:rPr>
        <w:t>.</w:t>
      </w:r>
    </w:p>
    <w:p w:rsidR="00A848F1" w:rsidRDefault="00A848F1" w:rsidP="00A848F1">
      <w:pPr>
        <w:numPr>
          <w:ilvl w:val="0"/>
          <w:numId w:val="15"/>
        </w:numPr>
        <w:autoSpaceDE w:val="0"/>
        <w:autoSpaceDN w:val="0"/>
        <w:adjustRightInd w:val="0"/>
        <w:rPr>
          <w:bCs/>
          <w:i/>
          <w:szCs w:val="22"/>
          <w:lang w:val="fr-FR"/>
        </w:rPr>
      </w:pPr>
      <w:r>
        <w:rPr>
          <w:bCs/>
          <w:i/>
          <w:szCs w:val="22"/>
          <w:lang w:val="fr-FR"/>
        </w:rPr>
        <w:t>L’exigence relative au devoir de diligence est une mesure qui a été spécialement introduite dans la législation suisse pour la mise en œuvre du Protocole de Nagoya.  Elle s’applique donc uniquement aux ressources génétiques accessibles dans les pays qui sont également parties au Protocole de Nagoya.  Une restriction claire du champ d’application de l’exigence relative au devoir de diligence selon la législation suisse aux parties au Protocole de Nagoya est importante, car seuls ces pays ont les mêmes droits et obligations, qui permettent la mise en œuvre de la mesure</w:t>
      </w:r>
      <w:r w:rsidRPr="00332F2C">
        <w:rPr>
          <w:bCs/>
          <w:i/>
          <w:szCs w:val="22"/>
          <w:lang w:val="fr-FR"/>
        </w:rPr>
        <w:t>.</w:t>
      </w:r>
    </w:p>
    <w:p w:rsidR="00A848F1" w:rsidRDefault="00A848F1" w:rsidP="00A848F1">
      <w:pPr>
        <w:autoSpaceDE w:val="0"/>
        <w:autoSpaceDN w:val="0"/>
        <w:adjustRightInd w:val="0"/>
        <w:ind w:left="360"/>
        <w:rPr>
          <w:bCs/>
          <w:i/>
          <w:strike/>
          <w:szCs w:val="22"/>
          <w:lang w:val="fr-FR"/>
        </w:rPr>
      </w:pPr>
    </w:p>
    <w:p w:rsidR="00A848F1" w:rsidRDefault="00A848F1" w:rsidP="00A848F1">
      <w:pPr>
        <w:autoSpaceDE w:val="0"/>
        <w:autoSpaceDN w:val="0"/>
        <w:adjustRightInd w:val="0"/>
        <w:rPr>
          <w:szCs w:val="22"/>
          <w:lang w:val="fr-FR"/>
        </w:rPr>
      </w:pPr>
      <w:r w:rsidRPr="00332F2C">
        <w:rPr>
          <w:szCs w:val="22"/>
          <w:lang w:val="fr-FR"/>
        </w:rPr>
        <w:tab/>
      </w:r>
      <w:r>
        <w:rPr>
          <w:szCs w:val="22"/>
          <w:u w:val="single"/>
          <w:lang w:val="fr-FR"/>
        </w:rPr>
        <w:t>Mexique</w:t>
      </w:r>
      <w:r w:rsidRPr="00B92B5E">
        <w:rPr>
          <w:szCs w:val="22"/>
          <w:lang w:val="fr-FR"/>
        </w:rPr>
        <w:t> :</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ind w:firstLine="567"/>
        <w:rPr>
          <w:szCs w:val="22"/>
          <w:lang w:val="fr-FR"/>
        </w:rPr>
      </w:pPr>
      <w:r>
        <w:rPr>
          <w:szCs w:val="22"/>
          <w:lang w:val="fr-FR"/>
        </w:rPr>
        <w:t>La législation du Mexique en matière d’accès est complexe et varie selon que l’accès est demandé sur terre ou en mer.  Toute personne souhaitant accéder à une zone aquatique fédérale pour y effectuer des recherches doit demander une autorisation auprès du Secrétariat de l’a</w:t>
      </w:r>
      <w:r w:rsidRPr="009456C8">
        <w:rPr>
          <w:szCs w:val="22"/>
          <w:lang w:val="fr-FR"/>
        </w:rPr>
        <w:t>griculture, d</w:t>
      </w:r>
      <w:r>
        <w:rPr>
          <w:szCs w:val="22"/>
          <w:lang w:val="fr-FR"/>
        </w:rPr>
        <w:t>e l’é</w:t>
      </w:r>
      <w:r w:rsidRPr="009456C8">
        <w:rPr>
          <w:szCs w:val="22"/>
          <w:lang w:val="fr-FR"/>
        </w:rPr>
        <w:t>levage</w:t>
      </w:r>
      <w:r>
        <w:rPr>
          <w:szCs w:val="22"/>
          <w:lang w:val="fr-FR"/>
        </w:rPr>
        <w:t xml:space="preserve"> et du d</w:t>
      </w:r>
      <w:r w:rsidRPr="009456C8">
        <w:rPr>
          <w:szCs w:val="22"/>
          <w:lang w:val="fr-FR"/>
        </w:rPr>
        <w:t xml:space="preserve">éveloppement </w:t>
      </w:r>
      <w:r>
        <w:rPr>
          <w:szCs w:val="22"/>
          <w:lang w:val="fr-FR"/>
        </w:rPr>
        <w:t>r</w:t>
      </w:r>
      <w:r w:rsidRPr="009456C8">
        <w:rPr>
          <w:szCs w:val="22"/>
          <w:lang w:val="fr-FR"/>
        </w:rPr>
        <w:t xml:space="preserve">ural, des </w:t>
      </w:r>
      <w:r>
        <w:rPr>
          <w:szCs w:val="22"/>
          <w:lang w:val="fr-FR"/>
        </w:rPr>
        <w:t>p</w:t>
      </w:r>
      <w:r w:rsidRPr="009456C8">
        <w:rPr>
          <w:szCs w:val="22"/>
          <w:lang w:val="fr-FR"/>
        </w:rPr>
        <w:t>êches et d</w:t>
      </w:r>
      <w:r>
        <w:rPr>
          <w:szCs w:val="22"/>
          <w:lang w:val="fr-FR"/>
        </w:rPr>
        <w:t>e l’a</w:t>
      </w:r>
      <w:r w:rsidRPr="009456C8">
        <w:rPr>
          <w:szCs w:val="22"/>
          <w:lang w:val="fr-FR"/>
        </w:rPr>
        <w:t>limentation (</w:t>
      </w:r>
      <w:proofErr w:type="spellStart"/>
      <w:r w:rsidRPr="009456C8">
        <w:rPr>
          <w:i/>
          <w:szCs w:val="22"/>
          <w:lang w:val="fr-FR"/>
        </w:rPr>
        <w:t>Secretaría</w:t>
      </w:r>
      <w:proofErr w:type="spellEnd"/>
      <w:r w:rsidRPr="009456C8">
        <w:rPr>
          <w:i/>
          <w:szCs w:val="22"/>
          <w:lang w:val="fr-FR"/>
        </w:rPr>
        <w:t xml:space="preserve"> de </w:t>
      </w:r>
      <w:proofErr w:type="spellStart"/>
      <w:r w:rsidRPr="009456C8">
        <w:rPr>
          <w:i/>
          <w:szCs w:val="22"/>
          <w:lang w:val="fr-FR"/>
        </w:rPr>
        <w:t>Agricultura</w:t>
      </w:r>
      <w:proofErr w:type="spellEnd"/>
      <w:r w:rsidRPr="009456C8">
        <w:rPr>
          <w:i/>
          <w:szCs w:val="22"/>
          <w:lang w:val="fr-FR"/>
        </w:rPr>
        <w:t xml:space="preserve">, </w:t>
      </w:r>
      <w:proofErr w:type="spellStart"/>
      <w:r w:rsidRPr="009456C8">
        <w:rPr>
          <w:i/>
          <w:szCs w:val="22"/>
          <w:lang w:val="fr-FR"/>
        </w:rPr>
        <w:t>Ganadaría</w:t>
      </w:r>
      <w:proofErr w:type="spellEnd"/>
      <w:r w:rsidRPr="009456C8">
        <w:rPr>
          <w:i/>
          <w:szCs w:val="22"/>
          <w:lang w:val="fr-FR"/>
        </w:rPr>
        <w:t xml:space="preserve">, </w:t>
      </w:r>
      <w:proofErr w:type="spellStart"/>
      <w:r w:rsidRPr="009456C8">
        <w:rPr>
          <w:i/>
          <w:szCs w:val="22"/>
          <w:lang w:val="fr-FR"/>
        </w:rPr>
        <w:t>Desarrollo</w:t>
      </w:r>
      <w:proofErr w:type="spellEnd"/>
      <w:r w:rsidRPr="009456C8">
        <w:rPr>
          <w:i/>
          <w:szCs w:val="22"/>
          <w:lang w:val="fr-FR"/>
        </w:rPr>
        <w:t xml:space="preserve"> Rural, </w:t>
      </w:r>
      <w:proofErr w:type="spellStart"/>
      <w:r w:rsidRPr="009456C8">
        <w:rPr>
          <w:i/>
          <w:szCs w:val="22"/>
          <w:lang w:val="fr-FR"/>
        </w:rPr>
        <w:t>Pesca</w:t>
      </w:r>
      <w:proofErr w:type="spellEnd"/>
      <w:r w:rsidRPr="009456C8">
        <w:rPr>
          <w:i/>
          <w:szCs w:val="22"/>
          <w:lang w:val="fr-FR"/>
        </w:rPr>
        <w:t xml:space="preserve"> y </w:t>
      </w:r>
      <w:proofErr w:type="spellStart"/>
      <w:r w:rsidRPr="009456C8">
        <w:rPr>
          <w:i/>
          <w:szCs w:val="22"/>
          <w:lang w:val="fr-FR"/>
        </w:rPr>
        <w:t>Alimentación</w:t>
      </w:r>
      <w:proofErr w:type="spellEnd"/>
      <w:r w:rsidRPr="009456C8">
        <w:rPr>
          <w:i/>
          <w:szCs w:val="22"/>
          <w:lang w:val="fr-FR"/>
        </w:rPr>
        <w:t xml:space="preserve">, </w:t>
      </w:r>
      <w:proofErr w:type="spellStart"/>
      <w:r w:rsidRPr="009456C8">
        <w:rPr>
          <w:i/>
          <w:szCs w:val="22"/>
          <w:lang w:val="fr-FR"/>
        </w:rPr>
        <w:t>SAGARPA</w:t>
      </w:r>
      <w:proofErr w:type="spellEnd"/>
      <w:r w:rsidRPr="009456C8">
        <w:rPr>
          <w:szCs w:val="22"/>
          <w:lang w:val="fr-FR"/>
        </w:rPr>
        <w:t>)</w:t>
      </w:r>
      <w:r w:rsidRPr="00332F2C">
        <w:rPr>
          <w:szCs w:val="22"/>
          <w:lang w:val="fr-FR"/>
        </w:rPr>
        <w:t xml:space="preserve">.  </w:t>
      </w:r>
      <w:r>
        <w:rPr>
          <w:szCs w:val="22"/>
          <w:lang w:val="fr-FR"/>
        </w:rPr>
        <w:t>Doivent notamment être fournis les renseignements suivants</w:t>
      </w:r>
      <w:r w:rsidRPr="00332F2C">
        <w:rPr>
          <w:szCs w:val="22"/>
          <w:vertAlign w:val="superscript"/>
          <w:lang w:val="fr-FR"/>
        </w:rPr>
        <w:footnoteReference w:id="12"/>
      </w:r>
      <w:r>
        <w:rPr>
          <w:szCs w:val="22"/>
          <w:lang w:val="fr-FR"/>
        </w:rPr>
        <w:t> :</w:t>
      </w:r>
    </w:p>
    <w:p w:rsidR="00A848F1" w:rsidRPr="00332F2C" w:rsidRDefault="00A848F1" w:rsidP="00A848F1">
      <w:pPr>
        <w:numPr>
          <w:ilvl w:val="0"/>
          <w:numId w:val="10"/>
        </w:numPr>
        <w:spacing w:before="100" w:beforeAutospacing="1" w:after="100" w:afterAutospacing="1"/>
        <w:rPr>
          <w:rFonts w:eastAsia="Times New Roman"/>
          <w:szCs w:val="22"/>
          <w:lang w:val="fr-FR"/>
        </w:rPr>
      </w:pPr>
      <w:r>
        <w:rPr>
          <w:rFonts w:eastAsia="Times New Roman"/>
          <w:szCs w:val="22"/>
          <w:lang w:val="fr-FR"/>
        </w:rPr>
        <w:t>les noms des personnes responsables et des experts techniques du projet</w:t>
      </w:r>
      <w:r w:rsidRPr="00332F2C">
        <w:rPr>
          <w:rFonts w:eastAsia="Times New Roman"/>
          <w:szCs w:val="22"/>
          <w:lang w:val="fr-FR"/>
        </w:rPr>
        <w:t>;</w:t>
      </w:r>
    </w:p>
    <w:p w:rsidR="00A848F1" w:rsidRPr="00332F2C" w:rsidRDefault="00A848F1" w:rsidP="00A848F1">
      <w:pPr>
        <w:numPr>
          <w:ilvl w:val="0"/>
          <w:numId w:val="10"/>
        </w:numPr>
        <w:spacing w:before="100" w:beforeAutospacing="1" w:after="100" w:afterAutospacing="1"/>
        <w:rPr>
          <w:rFonts w:eastAsia="Times New Roman"/>
          <w:szCs w:val="22"/>
          <w:lang w:val="fr-FR"/>
        </w:rPr>
      </w:pPr>
      <w:r>
        <w:rPr>
          <w:rFonts w:eastAsia="Times New Roman"/>
          <w:szCs w:val="22"/>
          <w:lang w:val="fr-FR"/>
        </w:rPr>
        <w:t>les objectifs de l’étude</w:t>
      </w:r>
      <w:r w:rsidRPr="00332F2C">
        <w:rPr>
          <w:rFonts w:eastAsia="Times New Roman"/>
          <w:szCs w:val="22"/>
          <w:lang w:val="fr-FR"/>
        </w:rPr>
        <w:t>;</w:t>
      </w:r>
    </w:p>
    <w:p w:rsidR="00A848F1" w:rsidRPr="00332F2C" w:rsidRDefault="00A848F1" w:rsidP="00A848F1">
      <w:pPr>
        <w:numPr>
          <w:ilvl w:val="0"/>
          <w:numId w:val="10"/>
        </w:numPr>
        <w:spacing w:before="100" w:beforeAutospacing="1" w:after="100" w:afterAutospacing="1"/>
        <w:rPr>
          <w:rFonts w:eastAsia="Times New Roman"/>
          <w:szCs w:val="22"/>
          <w:lang w:val="fr-FR"/>
        </w:rPr>
      </w:pPr>
      <w:r>
        <w:rPr>
          <w:rFonts w:eastAsia="Times New Roman"/>
          <w:szCs w:val="22"/>
          <w:lang w:val="fr-FR"/>
        </w:rPr>
        <w:t>l’application pratique des résultats</w:t>
      </w:r>
      <w:r w:rsidRPr="00332F2C">
        <w:rPr>
          <w:rFonts w:eastAsia="Times New Roman"/>
          <w:szCs w:val="22"/>
          <w:lang w:val="fr-FR"/>
        </w:rPr>
        <w:t>;</w:t>
      </w:r>
    </w:p>
    <w:p w:rsidR="00A848F1" w:rsidRPr="00332F2C" w:rsidRDefault="00A848F1" w:rsidP="00A848F1">
      <w:pPr>
        <w:numPr>
          <w:ilvl w:val="0"/>
          <w:numId w:val="10"/>
        </w:numPr>
        <w:spacing w:before="100" w:beforeAutospacing="1" w:after="100" w:afterAutospacing="1"/>
        <w:rPr>
          <w:rFonts w:eastAsia="Times New Roman"/>
          <w:szCs w:val="22"/>
          <w:lang w:val="fr-FR"/>
        </w:rPr>
      </w:pPr>
      <w:r>
        <w:rPr>
          <w:rFonts w:eastAsia="Times New Roman"/>
          <w:szCs w:val="22"/>
          <w:lang w:val="fr-FR"/>
        </w:rPr>
        <w:t>les noms communs et scientifiques des organismes faisant l’objet des recherches</w:t>
      </w:r>
      <w:r w:rsidRPr="00332F2C">
        <w:rPr>
          <w:rFonts w:eastAsia="Times New Roman"/>
          <w:szCs w:val="22"/>
          <w:lang w:val="fr-FR"/>
        </w:rPr>
        <w:t>;</w:t>
      </w:r>
    </w:p>
    <w:p w:rsidR="00A848F1" w:rsidRPr="00332F2C" w:rsidRDefault="00A848F1" w:rsidP="00A848F1">
      <w:pPr>
        <w:numPr>
          <w:ilvl w:val="0"/>
          <w:numId w:val="10"/>
        </w:numPr>
        <w:spacing w:before="100" w:beforeAutospacing="1" w:after="100" w:afterAutospacing="1"/>
        <w:rPr>
          <w:rFonts w:eastAsia="Times New Roman"/>
          <w:szCs w:val="22"/>
          <w:lang w:val="fr-FR"/>
        </w:rPr>
      </w:pPr>
      <w:r>
        <w:rPr>
          <w:rFonts w:eastAsia="Times New Roman"/>
          <w:szCs w:val="22"/>
          <w:lang w:val="fr-FR"/>
        </w:rPr>
        <w:t>l’emplacement au niveau local, municipal et au niveau de l’État</w:t>
      </w:r>
      <w:r w:rsidRPr="00332F2C">
        <w:rPr>
          <w:rFonts w:eastAsia="Times New Roman"/>
          <w:szCs w:val="22"/>
          <w:lang w:val="fr-FR"/>
        </w:rPr>
        <w:t>;</w:t>
      </w:r>
    </w:p>
    <w:p w:rsidR="00A848F1" w:rsidRPr="00332F2C" w:rsidRDefault="00A848F1" w:rsidP="00A848F1">
      <w:pPr>
        <w:numPr>
          <w:ilvl w:val="0"/>
          <w:numId w:val="10"/>
        </w:numPr>
        <w:spacing w:before="100" w:beforeAutospacing="1" w:after="100" w:afterAutospacing="1"/>
        <w:rPr>
          <w:rFonts w:eastAsia="Times New Roman"/>
          <w:szCs w:val="22"/>
          <w:lang w:val="fr-FR"/>
        </w:rPr>
      </w:pPr>
      <w:r>
        <w:rPr>
          <w:rFonts w:eastAsia="Times New Roman"/>
          <w:szCs w:val="22"/>
          <w:lang w:val="fr-FR"/>
        </w:rPr>
        <w:t>les coordonnées géographiques</w:t>
      </w:r>
      <w:r w:rsidRPr="00332F2C">
        <w:rPr>
          <w:rFonts w:eastAsia="Times New Roman"/>
          <w:szCs w:val="22"/>
          <w:lang w:val="fr-FR"/>
        </w:rPr>
        <w:t xml:space="preserve">;  </w:t>
      </w:r>
      <w:r>
        <w:rPr>
          <w:rFonts w:eastAsia="Times New Roman"/>
          <w:szCs w:val="22"/>
          <w:lang w:val="fr-FR"/>
        </w:rPr>
        <w:t>et</w:t>
      </w:r>
    </w:p>
    <w:p w:rsidR="00A848F1" w:rsidRDefault="00A848F1" w:rsidP="00A848F1">
      <w:pPr>
        <w:numPr>
          <w:ilvl w:val="0"/>
          <w:numId w:val="10"/>
        </w:numPr>
        <w:spacing w:before="100" w:beforeAutospacing="1" w:after="100" w:afterAutospacing="1"/>
        <w:rPr>
          <w:rFonts w:eastAsia="Times New Roman"/>
          <w:szCs w:val="22"/>
          <w:lang w:val="fr-FR"/>
        </w:rPr>
      </w:pPr>
      <w:r>
        <w:rPr>
          <w:rFonts w:eastAsia="Times New Roman"/>
          <w:szCs w:val="22"/>
          <w:lang w:val="fr-FR"/>
        </w:rPr>
        <w:t>les raisons pour le choix de la zone</w:t>
      </w:r>
      <w:r w:rsidRPr="00332F2C">
        <w:rPr>
          <w:rFonts w:eastAsia="Times New Roman"/>
          <w:szCs w:val="22"/>
          <w:lang w:val="fr-FR"/>
        </w:rPr>
        <w:t>.</w:t>
      </w:r>
    </w:p>
    <w:p w:rsidR="00A848F1" w:rsidRDefault="00A848F1" w:rsidP="00A848F1">
      <w:pPr>
        <w:autoSpaceDE w:val="0"/>
        <w:autoSpaceDN w:val="0"/>
        <w:adjustRightInd w:val="0"/>
        <w:rPr>
          <w:szCs w:val="22"/>
          <w:lang w:val="fr-FR"/>
        </w:rPr>
      </w:pPr>
      <w:r>
        <w:rPr>
          <w:szCs w:val="22"/>
          <w:lang w:val="fr-FR"/>
        </w:rPr>
        <w:t>La loi exige également des détenteurs d’une autorisation qu’ils présentent des rapports de statut</w:t>
      </w:r>
      <w:r w:rsidRPr="008D75E9">
        <w:rPr>
          <w:szCs w:val="22"/>
          <w:lang w:val="fr-FR"/>
        </w:rPr>
        <w:t xml:space="preserve"> au </w:t>
      </w:r>
      <w:proofErr w:type="spellStart"/>
      <w:r w:rsidRPr="008D75E9">
        <w:rPr>
          <w:szCs w:val="22"/>
          <w:lang w:val="fr-FR"/>
        </w:rPr>
        <w:t>SAG</w:t>
      </w:r>
      <w:r>
        <w:rPr>
          <w:szCs w:val="22"/>
          <w:lang w:val="fr-FR"/>
        </w:rPr>
        <w:t>ARPA</w:t>
      </w:r>
      <w:proofErr w:type="spellEnd"/>
      <w:r>
        <w:rPr>
          <w:szCs w:val="22"/>
          <w:lang w:val="fr-FR"/>
        </w:rPr>
        <w:t xml:space="preserve"> et qu’ils se conforment aux autres réglementations du Mexique, telles que la loi sur la pêche et la réglementation de la loi sur la pêche</w:t>
      </w:r>
      <w:r w:rsidRPr="00332F2C">
        <w:rPr>
          <w:szCs w:val="22"/>
          <w:lang w:val="fr-FR"/>
        </w:rPr>
        <w:t>.</w:t>
      </w:r>
    </w:p>
    <w:p w:rsidR="00A848F1" w:rsidRPr="00332F2C" w:rsidRDefault="00A848F1" w:rsidP="00A848F1">
      <w:pPr>
        <w:autoSpaceDE w:val="0"/>
        <w:autoSpaceDN w:val="0"/>
        <w:adjustRightInd w:val="0"/>
        <w:rPr>
          <w:szCs w:val="22"/>
          <w:lang w:val="fr-FR"/>
        </w:rPr>
      </w:pPr>
    </w:p>
    <w:p w:rsidR="00A848F1" w:rsidRDefault="00A848F1" w:rsidP="00A848F1">
      <w:pPr>
        <w:autoSpaceDE w:val="0"/>
        <w:autoSpaceDN w:val="0"/>
        <w:adjustRightInd w:val="0"/>
        <w:ind w:firstLine="720"/>
        <w:rPr>
          <w:szCs w:val="22"/>
          <w:lang w:val="fr-FR"/>
        </w:rPr>
      </w:pPr>
      <w:r>
        <w:rPr>
          <w:szCs w:val="22"/>
          <w:lang w:val="fr-FR"/>
        </w:rPr>
        <w:t>Dans le cas présent, M. </w:t>
      </w:r>
      <w:proofErr w:type="spellStart"/>
      <w:r w:rsidRPr="00332F2C">
        <w:rPr>
          <w:szCs w:val="22"/>
          <w:lang w:val="fr-FR"/>
        </w:rPr>
        <w:t>Rinehart</w:t>
      </w:r>
      <w:proofErr w:type="spellEnd"/>
      <w:r w:rsidRPr="00332F2C">
        <w:rPr>
          <w:szCs w:val="22"/>
          <w:lang w:val="fr-FR"/>
        </w:rPr>
        <w:t xml:space="preserve"> </w:t>
      </w:r>
      <w:r>
        <w:rPr>
          <w:szCs w:val="22"/>
          <w:lang w:val="fr-FR"/>
        </w:rPr>
        <w:t>a obtenu les tuniciers dans le r</w:t>
      </w:r>
      <w:r w:rsidRPr="006079FC">
        <w:rPr>
          <w:szCs w:val="22"/>
          <w:lang w:val="fr-FR"/>
        </w:rPr>
        <w:t xml:space="preserve">écif </w:t>
      </w:r>
      <w:r>
        <w:rPr>
          <w:szCs w:val="22"/>
          <w:lang w:val="fr-FR"/>
        </w:rPr>
        <w:t xml:space="preserve">de </w:t>
      </w:r>
      <w:proofErr w:type="spellStart"/>
      <w:r w:rsidRPr="006079FC">
        <w:rPr>
          <w:szCs w:val="22"/>
          <w:lang w:val="fr-FR"/>
        </w:rPr>
        <w:t>Palancar</w:t>
      </w:r>
      <w:proofErr w:type="spellEnd"/>
      <w:r w:rsidRPr="006079FC">
        <w:rPr>
          <w:szCs w:val="22"/>
          <w:lang w:val="fr-FR"/>
        </w:rPr>
        <w:t xml:space="preserve">, </w:t>
      </w:r>
      <w:r>
        <w:rPr>
          <w:szCs w:val="22"/>
          <w:lang w:val="fr-FR"/>
        </w:rPr>
        <w:t>île de</w:t>
      </w:r>
      <w:r w:rsidRPr="006079FC">
        <w:rPr>
          <w:szCs w:val="22"/>
          <w:lang w:val="fr-FR"/>
        </w:rPr>
        <w:t xml:space="preserve"> </w:t>
      </w:r>
      <w:proofErr w:type="spellStart"/>
      <w:r w:rsidRPr="006079FC">
        <w:rPr>
          <w:szCs w:val="22"/>
          <w:lang w:val="fr-FR"/>
        </w:rPr>
        <w:t>Cozumel</w:t>
      </w:r>
      <w:proofErr w:type="spellEnd"/>
      <w:r>
        <w:rPr>
          <w:szCs w:val="22"/>
          <w:lang w:val="fr-FR"/>
        </w:rPr>
        <w:t xml:space="preserve"> (Mexique), dans une zone administrée par le Parc national marin des récifs de </w:t>
      </w:r>
      <w:proofErr w:type="spellStart"/>
      <w:r>
        <w:rPr>
          <w:szCs w:val="22"/>
          <w:lang w:val="fr-FR"/>
        </w:rPr>
        <w:t>Cozumel</w:t>
      </w:r>
      <w:proofErr w:type="spellEnd"/>
      <w:r>
        <w:rPr>
          <w:szCs w:val="22"/>
          <w:lang w:val="fr-FR"/>
        </w:rPr>
        <w:t>.  Il devrait donc obtenir une autorisation auprès</w:t>
      </w:r>
      <w:r w:rsidRPr="008D75E9">
        <w:rPr>
          <w:szCs w:val="22"/>
          <w:lang w:val="fr-FR"/>
        </w:rPr>
        <w:t xml:space="preserve"> du </w:t>
      </w:r>
      <w:proofErr w:type="spellStart"/>
      <w:r w:rsidRPr="008D75E9">
        <w:rPr>
          <w:szCs w:val="22"/>
          <w:lang w:val="fr-FR"/>
        </w:rPr>
        <w:t>SAG</w:t>
      </w:r>
      <w:r w:rsidRPr="00332F2C">
        <w:rPr>
          <w:szCs w:val="22"/>
          <w:lang w:val="fr-FR"/>
        </w:rPr>
        <w:t>ARPA</w:t>
      </w:r>
      <w:proofErr w:type="spellEnd"/>
      <w:r w:rsidRPr="00332F2C">
        <w:rPr>
          <w:szCs w:val="22"/>
          <w:lang w:val="fr-FR"/>
        </w:rPr>
        <w:t xml:space="preserve"> </w:t>
      </w:r>
      <w:r>
        <w:rPr>
          <w:szCs w:val="22"/>
          <w:lang w:val="fr-FR"/>
        </w:rPr>
        <w:t>et remplir les nombreuses conditions susmentionnées</w:t>
      </w:r>
      <w:r w:rsidRPr="00332F2C">
        <w:rPr>
          <w:szCs w:val="22"/>
          <w:lang w:val="fr-FR"/>
        </w:rPr>
        <w:t xml:space="preserve">.  </w:t>
      </w:r>
      <w:r>
        <w:rPr>
          <w:szCs w:val="22"/>
          <w:lang w:val="fr-FR"/>
        </w:rPr>
        <w:t>M. </w:t>
      </w:r>
      <w:proofErr w:type="spellStart"/>
      <w:r w:rsidRPr="00332F2C">
        <w:rPr>
          <w:szCs w:val="22"/>
          <w:lang w:val="fr-FR"/>
        </w:rPr>
        <w:t>Rinehart</w:t>
      </w:r>
      <w:proofErr w:type="spellEnd"/>
      <w:r w:rsidRPr="00332F2C">
        <w:rPr>
          <w:szCs w:val="22"/>
          <w:lang w:val="fr-FR"/>
        </w:rPr>
        <w:t xml:space="preserve"> </w:t>
      </w:r>
      <w:r>
        <w:rPr>
          <w:szCs w:val="22"/>
          <w:lang w:val="fr-FR"/>
        </w:rPr>
        <w:t>devrait également se conformer aux autres lois et règlements nationaux et fédéraux applicables</w:t>
      </w:r>
      <w:r w:rsidRPr="00332F2C">
        <w:rPr>
          <w:szCs w:val="22"/>
          <w:lang w:val="fr-FR"/>
        </w:rPr>
        <w:t>.</w:t>
      </w:r>
    </w:p>
    <w:p w:rsidR="00A848F1" w:rsidRPr="00332F2C" w:rsidRDefault="00A848F1" w:rsidP="00A848F1">
      <w:pPr>
        <w:autoSpaceDE w:val="0"/>
        <w:autoSpaceDN w:val="0"/>
        <w:adjustRightInd w:val="0"/>
        <w:ind w:firstLine="720"/>
        <w:rPr>
          <w:szCs w:val="22"/>
          <w:lang w:val="fr-FR"/>
        </w:rPr>
      </w:pPr>
    </w:p>
    <w:p w:rsidR="00A848F1" w:rsidRDefault="00A848F1" w:rsidP="00A848F1">
      <w:pPr>
        <w:keepNext/>
        <w:autoSpaceDE w:val="0"/>
        <w:autoSpaceDN w:val="0"/>
        <w:adjustRightInd w:val="0"/>
        <w:rPr>
          <w:szCs w:val="22"/>
          <w:lang w:val="fr-FR"/>
        </w:rPr>
      </w:pPr>
      <w:r w:rsidRPr="00332F2C">
        <w:rPr>
          <w:b/>
          <w:szCs w:val="22"/>
          <w:lang w:val="fr-FR"/>
        </w:rPr>
        <w:tab/>
      </w:r>
      <w:r w:rsidRPr="00332F2C">
        <w:rPr>
          <w:szCs w:val="22"/>
          <w:u w:val="single"/>
          <w:lang w:val="fr-FR"/>
        </w:rPr>
        <w:t>Panama</w:t>
      </w:r>
      <w:r w:rsidRPr="004A6FBD">
        <w:rPr>
          <w:szCs w:val="22"/>
          <w:lang w:val="fr-FR"/>
        </w:rPr>
        <w:t> :</w:t>
      </w:r>
    </w:p>
    <w:p w:rsidR="00A848F1" w:rsidRPr="00332F2C" w:rsidRDefault="00A848F1" w:rsidP="00A848F1">
      <w:pPr>
        <w:keepNext/>
        <w:autoSpaceDE w:val="0"/>
        <w:autoSpaceDN w:val="0"/>
        <w:adjustRightInd w:val="0"/>
        <w:rPr>
          <w:szCs w:val="22"/>
          <w:lang w:val="fr-FR"/>
        </w:rPr>
      </w:pPr>
    </w:p>
    <w:p w:rsidR="00A848F1" w:rsidRPr="00332F2C" w:rsidRDefault="00A848F1" w:rsidP="00A848F1">
      <w:pPr>
        <w:autoSpaceDE w:val="0"/>
        <w:autoSpaceDN w:val="0"/>
        <w:adjustRightInd w:val="0"/>
        <w:ind w:firstLine="567"/>
        <w:rPr>
          <w:szCs w:val="22"/>
          <w:lang w:val="fr-FR"/>
        </w:rPr>
      </w:pPr>
      <w:r>
        <w:rPr>
          <w:szCs w:val="22"/>
          <w:lang w:val="fr-FR"/>
        </w:rPr>
        <w:t xml:space="preserve">Le </w:t>
      </w:r>
      <w:r w:rsidRPr="00332F2C">
        <w:rPr>
          <w:szCs w:val="22"/>
          <w:lang w:val="fr-FR"/>
        </w:rPr>
        <w:t xml:space="preserve">Panama </w:t>
      </w:r>
      <w:r>
        <w:rPr>
          <w:szCs w:val="22"/>
          <w:lang w:val="fr-FR"/>
        </w:rPr>
        <w:t>est également partie au Protocole de Nagoya et sa réglementation en matière d’accès et de partage des avantages figure dans le Décret exécutif n° 25 du 29 avril 2009</w:t>
      </w:r>
      <w:r w:rsidRPr="00332F2C">
        <w:rPr>
          <w:szCs w:val="22"/>
          <w:lang w:val="fr-FR"/>
        </w:rPr>
        <w:t xml:space="preserve">.  </w:t>
      </w:r>
      <w:r>
        <w:rPr>
          <w:szCs w:val="22"/>
          <w:lang w:val="fr-FR"/>
        </w:rPr>
        <w:t>Dans ce décret, il est indiqué que les personnes qui souhaitent accéder au patrimoine génétique national, y compris aux zones marines et côtières</w:t>
      </w:r>
      <w:r w:rsidRPr="00332F2C">
        <w:rPr>
          <w:szCs w:val="22"/>
          <w:vertAlign w:val="superscript"/>
          <w:lang w:val="fr-FR"/>
        </w:rPr>
        <w:footnoteReference w:id="13"/>
      </w:r>
      <w:r>
        <w:rPr>
          <w:szCs w:val="22"/>
          <w:lang w:val="fr-FR"/>
        </w:rPr>
        <w:t>, doivent obtenir une autorisation auprès de l’Unité d’accès aux ressources génétiques (</w:t>
      </w:r>
      <w:proofErr w:type="spellStart"/>
      <w:r w:rsidRPr="00D80687">
        <w:rPr>
          <w:i/>
          <w:color w:val="000000"/>
          <w:szCs w:val="22"/>
        </w:rPr>
        <w:t>Unidad</w:t>
      </w:r>
      <w:proofErr w:type="spellEnd"/>
      <w:r w:rsidRPr="00D80687">
        <w:rPr>
          <w:i/>
          <w:color w:val="000000"/>
          <w:szCs w:val="22"/>
        </w:rPr>
        <w:t xml:space="preserve"> de </w:t>
      </w:r>
      <w:proofErr w:type="spellStart"/>
      <w:r w:rsidRPr="00D80687">
        <w:rPr>
          <w:i/>
          <w:color w:val="000000"/>
          <w:szCs w:val="22"/>
        </w:rPr>
        <w:t>Acceso</w:t>
      </w:r>
      <w:proofErr w:type="spellEnd"/>
      <w:r w:rsidRPr="00D80687">
        <w:rPr>
          <w:i/>
          <w:color w:val="000000"/>
          <w:szCs w:val="22"/>
        </w:rPr>
        <w:t xml:space="preserve"> al </w:t>
      </w:r>
      <w:proofErr w:type="spellStart"/>
      <w:r w:rsidRPr="00D80687">
        <w:rPr>
          <w:i/>
          <w:color w:val="000000"/>
          <w:szCs w:val="22"/>
        </w:rPr>
        <w:t>Recurso</w:t>
      </w:r>
      <w:proofErr w:type="spellEnd"/>
      <w:r w:rsidRPr="00D80687">
        <w:rPr>
          <w:i/>
          <w:color w:val="000000"/>
          <w:szCs w:val="22"/>
        </w:rPr>
        <w:t xml:space="preserve"> </w:t>
      </w:r>
      <w:proofErr w:type="spellStart"/>
      <w:r w:rsidRPr="00D80687">
        <w:rPr>
          <w:i/>
          <w:color w:val="000000"/>
          <w:szCs w:val="22"/>
        </w:rPr>
        <w:t>Genético</w:t>
      </w:r>
      <w:proofErr w:type="spellEnd"/>
      <w:r>
        <w:rPr>
          <w:i/>
          <w:color w:val="000000"/>
          <w:szCs w:val="22"/>
        </w:rPr>
        <w:t xml:space="preserve">, </w:t>
      </w:r>
      <w:proofErr w:type="spellStart"/>
      <w:r>
        <w:rPr>
          <w:i/>
          <w:color w:val="000000"/>
          <w:szCs w:val="22"/>
        </w:rPr>
        <w:t>UNARGEN</w:t>
      </w:r>
      <w:proofErr w:type="spellEnd"/>
      <w:r>
        <w:rPr>
          <w:szCs w:val="22"/>
          <w:lang w:val="fr-FR"/>
        </w:rPr>
        <w:t>).  Elles doivent notamment obtenir les pièces suivantes :</w:t>
      </w:r>
    </w:p>
    <w:p w:rsidR="00A848F1" w:rsidRPr="00332F2C" w:rsidRDefault="00A848F1" w:rsidP="00A848F1">
      <w:pPr>
        <w:autoSpaceDE w:val="0"/>
        <w:autoSpaceDN w:val="0"/>
        <w:adjustRightInd w:val="0"/>
        <w:ind w:firstLine="567"/>
        <w:rPr>
          <w:szCs w:val="22"/>
          <w:lang w:val="fr-FR"/>
        </w:rPr>
      </w:pPr>
    </w:p>
    <w:p w:rsidR="00A848F1" w:rsidRDefault="00A848F1" w:rsidP="00A848F1">
      <w:pPr>
        <w:numPr>
          <w:ilvl w:val="0"/>
          <w:numId w:val="11"/>
        </w:numPr>
        <w:autoSpaceDE w:val="0"/>
        <w:autoSpaceDN w:val="0"/>
        <w:adjustRightInd w:val="0"/>
        <w:contextualSpacing/>
        <w:rPr>
          <w:rFonts w:eastAsia="Calibri"/>
          <w:szCs w:val="22"/>
          <w:lang w:val="fr-FR"/>
        </w:rPr>
      </w:pPr>
      <w:r>
        <w:rPr>
          <w:rFonts w:eastAsia="Calibri"/>
          <w:szCs w:val="22"/>
          <w:lang w:val="fr-FR"/>
        </w:rPr>
        <w:t xml:space="preserve">un accord contenant le </w:t>
      </w:r>
      <w:r w:rsidRPr="00D80687">
        <w:rPr>
          <w:rFonts w:eastAsia="Calibri"/>
          <w:szCs w:val="22"/>
          <w:lang w:val="fr-FR"/>
        </w:rPr>
        <w:t xml:space="preserve">consentement libre, préalable et donné en connaissance de cause </w:t>
      </w:r>
      <w:r>
        <w:rPr>
          <w:rFonts w:eastAsia="Calibri"/>
          <w:szCs w:val="22"/>
          <w:lang w:val="fr-FR"/>
        </w:rPr>
        <w:t>du détenteur de la ressource</w:t>
      </w:r>
      <w:r w:rsidRPr="00332F2C">
        <w:rPr>
          <w:rFonts w:eastAsia="Calibri"/>
          <w:szCs w:val="22"/>
          <w:lang w:val="fr-FR"/>
        </w:rPr>
        <w:t>;</w:t>
      </w:r>
    </w:p>
    <w:p w:rsidR="00A848F1" w:rsidRDefault="00A848F1" w:rsidP="00A848F1">
      <w:pPr>
        <w:numPr>
          <w:ilvl w:val="0"/>
          <w:numId w:val="11"/>
        </w:numPr>
        <w:autoSpaceDE w:val="0"/>
        <w:autoSpaceDN w:val="0"/>
        <w:adjustRightInd w:val="0"/>
        <w:contextualSpacing/>
        <w:rPr>
          <w:rFonts w:eastAsia="Calibri"/>
          <w:szCs w:val="22"/>
          <w:lang w:val="fr-FR"/>
        </w:rPr>
      </w:pPr>
      <w:r>
        <w:rPr>
          <w:rFonts w:eastAsia="Calibri"/>
          <w:szCs w:val="22"/>
          <w:lang w:val="fr-FR"/>
        </w:rPr>
        <w:t>un contrat d’accès établi par l’</w:t>
      </w:r>
      <w:proofErr w:type="spellStart"/>
      <w:r>
        <w:rPr>
          <w:rFonts w:eastAsia="Calibri"/>
          <w:szCs w:val="22"/>
          <w:lang w:val="fr-FR"/>
        </w:rPr>
        <w:t>UNARGEN</w:t>
      </w:r>
      <w:proofErr w:type="spellEnd"/>
      <w:r w:rsidRPr="00332F2C">
        <w:rPr>
          <w:rFonts w:eastAsia="Calibri"/>
          <w:szCs w:val="22"/>
          <w:lang w:val="fr-FR"/>
        </w:rPr>
        <w:t xml:space="preserve">;  </w:t>
      </w:r>
      <w:r>
        <w:rPr>
          <w:rFonts w:eastAsia="Calibri"/>
          <w:szCs w:val="22"/>
          <w:lang w:val="fr-FR"/>
        </w:rPr>
        <w:t>et</w:t>
      </w:r>
    </w:p>
    <w:p w:rsidR="00A848F1" w:rsidRPr="00332F2C" w:rsidRDefault="00A848F1" w:rsidP="00A848F1">
      <w:pPr>
        <w:numPr>
          <w:ilvl w:val="0"/>
          <w:numId w:val="11"/>
        </w:numPr>
        <w:autoSpaceDE w:val="0"/>
        <w:autoSpaceDN w:val="0"/>
        <w:adjustRightInd w:val="0"/>
        <w:contextualSpacing/>
        <w:rPr>
          <w:rFonts w:eastAsia="Calibri"/>
          <w:szCs w:val="22"/>
          <w:lang w:val="fr-FR"/>
        </w:rPr>
      </w:pPr>
      <w:r>
        <w:rPr>
          <w:rFonts w:eastAsia="Calibri"/>
          <w:szCs w:val="22"/>
          <w:lang w:val="fr-FR"/>
        </w:rPr>
        <w:t>un contrat sur les avantages établi par l’</w:t>
      </w:r>
      <w:proofErr w:type="spellStart"/>
      <w:r w:rsidRPr="00332F2C">
        <w:rPr>
          <w:rFonts w:eastAsia="Calibri"/>
          <w:szCs w:val="22"/>
          <w:lang w:val="fr-FR"/>
        </w:rPr>
        <w:t>UNARGEN</w:t>
      </w:r>
      <w:proofErr w:type="spellEnd"/>
      <w:r w:rsidRPr="00332F2C">
        <w:rPr>
          <w:rFonts w:eastAsia="Calibri"/>
          <w:szCs w:val="22"/>
          <w:lang w:val="fr-FR"/>
        </w:rPr>
        <w:t>.</w:t>
      </w:r>
    </w:p>
    <w:p w:rsidR="00A848F1" w:rsidRPr="00332F2C" w:rsidRDefault="00A848F1" w:rsidP="00A848F1">
      <w:pPr>
        <w:autoSpaceDE w:val="0"/>
        <w:autoSpaceDN w:val="0"/>
        <w:adjustRightInd w:val="0"/>
        <w:rPr>
          <w:szCs w:val="22"/>
          <w:lang w:val="fr-FR"/>
        </w:rPr>
      </w:pPr>
    </w:p>
    <w:p w:rsidR="00A848F1" w:rsidRDefault="00A848F1" w:rsidP="00A848F1">
      <w:pPr>
        <w:autoSpaceDE w:val="0"/>
        <w:autoSpaceDN w:val="0"/>
        <w:adjustRightInd w:val="0"/>
        <w:rPr>
          <w:szCs w:val="22"/>
          <w:lang w:val="fr-FR"/>
        </w:rPr>
      </w:pPr>
      <w:r>
        <w:rPr>
          <w:szCs w:val="22"/>
          <w:lang w:val="fr-FR"/>
        </w:rPr>
        <w:t>Elles doivent également se conformer aux différentes dispositions du décret pendant toute la durée du contrat d’accès</w:t>
      </w:r>
      <w:r w:rsidRPr="00332F2C">
        <w:rPr>
          <w:szCs w:val="22"/>
          <w:lang w:val="fr-FR"/>
        </w:rPr>
        <w:t>.</w:t>
      </w:r>
    </w:p>
    <w:p w:rsidR="00A848F1" w:rsidRPr="00332F2C" w:rsidRDefault="00A848F1" w:rsidP="00A848F1">
      <w:pPr>
        <w:autoSpaceDE w:val="0"/>
        <w:autoSpaceDN w:val="0"/>
        <w:adjustRightInd w:val="0"/>
        <w:rPr>
          <w:szCs w:val="22"/>
          <w:lang w:val="fr-FR"/>
        </w:rPr>
      </w:pPr>
    </w:p>
    <w:p w:rsidR="00A848F1" w:rsidRPr="00332F2C" w:rsidRDefault="00A848F1" w:rsidP="00A848F1">
      <w:pPr>
        <w:autoSpaceDE w:val="0"/>
        <w:autoSpaceDN w:val="0"/>
        <w:adjustRightInd w:val="0"/>
        <w:ind w:firstLine="720"/>
        <w:rPr>
          <w:szCs w:val="22"/>
          <w:lang w:val="fr-FR"/>
        </w:rPr>
      </w:pPr>
      <w:r>
        <w:rPr>
          <w:szCs w:val="22"/>
          <w:lang w:val="fr-FR"/>
        </w:rPr>
        <w:t>Comme indiqué dans le brevet n° 870, M. </w:t>
      </w:r>
      <w:proofErr w:type="spellStart"/>
      <w:r w:rsidRPr="00332F2C">
        <w:rPr>
          <w:szCs w:val="22"/>
          <w:lang w:val="fr-FR"/>
        </w:rPr>
        <w:t>Rinehart</w:t>
      </w:r>
      <w:proofErr w:type="spellEnd"/>
      <w:r>
        <w:rPr>
          <w:szCs w:val="22"/>
          <w:lang w:val="fr-FR"/>
        </w:rPr>
        <w:t xml:space="preserve"> a obtenu des tuniciers aux abords de l’île </w:t>
      </w:r>
      <w:proofErr w:type="spellStart"/>
      <w:r>
        <w:rPr>
          <w:szCs w:val="22"/>
          <w:lang w:val="fr-FR"/>
        </w:rPr>
        <w:t>Cayo</w:t>
      </w:r>
      <w:proofErr w:type="spellEnd"/>
      <w:r>
        <w:rPr>
          <w:szCs w:val="22"/>
          <w:lang w:val="fr-FR"/>
        </w:rPr>
        <w:t xml:space="preserve"> </w:t>
      </w:r>
      <w:proofErr w:type="spellStart"/>
      <w:r>
        <w:rPr>
          <w:szCs w:val="22"/>
          <w:lang w:val="fr-FR"/>
        </w:rPr>
        <w:t>Holandes</w:t>
      </w:r>
      <w:proofErr w:type="spellEnd"/>
      <w:r w:rsidRPr="006079FC">
        <w:rPr>
          <w:szCs w:val="22"/>
          <w:lang w:val="fr-FR"/>
        </w:rPr>
        <w:t xml:space="preserve">, </w:t>
      </w:r>
      <w:r>
        <w:rPr>
          <w:szCs w:val="22"/>
          <w:lang w:val="fr-FR"/>
        </w:rPr>
        <w:t>île San</w:t>
      </w:r>
      <w:r w:rsidRPr="006079FC">
        <w:rPr>
          <w:szCs w:val="22"/>
          <w:lang w:val="fr-FR"/>
        </w:rPr>
        <w:t xml:space="preserve"> </w:t>
      </w:r>
      <w:proofErr w:type="spellStart"/>
      <w:r w:rsidRPr="006079FC">
        <w:rPr>
          <w:szCs w:val="22"/>
          <w:lang w:val="fr-FR"/>
        </w:rPr>
        <w:t>Blas</w:t>
      </w:r>
      <w:proofErr w:type="spellEnd"/>
      <w:r w:rsidRPr="006079FC">
        <w:rPr>
          <w:szCs w:val="22"/>
          <w:lang w:val="fr-FR"/>
        </w:rPr>
        <w:t xml:space="preserve"> </w:t>
      </w:r>
      <w:r>
        <w:rPr>
          <w:szCs w:val="22"/>
          <w:lang w:val="fr-FR"/>
        </w:rPr>
        <w:t>(</w:t>
      </w:r>
      <w:r w:rsidRPr="008053E8">
        <w:rPr>
          <w:szCs w:val="22"/>
          <w:lang w:val="fr-FR"/>
        </w:rPr>
        <w:t>Panama</w:t>
      </w:r>
      <w:r>
        <w:rPr>
          <w:szCs w:val="22"/>
          <w:lang w:val="fr-FR"/>
        </w:rPr>
        <w:t>).  Par conséquent, il devrait obtenir le consentement libre, préalable et donné en connaissance de cause du propriétaire du site de recherche.  Ensuite, il doit obtenir un contrat d’accès et un contrat sur les avantages établis par l’</w:t>
      </w:r>
      <w:proofErr w:type="spellStart"/>
      <w:r w:rsidRPr="00332F2C">
        <w:rPr>
          <w:szCs w:val="22"/>
          <w:lang w:val="fr-FR"/>
        </w:rPr>
        <w:t>UNARGEN</w:t>
      </w:r>
      <w:proofErr w:type="spellEnd"/>
      <w:r>
        <w:rPr>
          <w:szCs w:val="22"/>
          <w:lang w:val="fr-FR"/>
        </w:rPr>
        <w:t xml:space="preserve">.  Enfin, il doit se conformer à la réglementation panaméenne applicable lorsqu’il accède au site aux abords de l’île </w:t>
      </w:r>
      <w:proofErr w:type="spellStart"/>
      <w:r>
        <w:rPr>
          <w:szCs w:val="22"/>
          <w:lang w:val="fr-FR"/>
        </w:rPr>
        <w:t>Cayo</w:t>
      </w:r>
      <w:proofErr w:type="spellEnd"/>
      <w:r>
        <w:rPr>
          <w:szCs w:val="22"/>
          <w:lang w:val="fr-FR"/>
        </w:rPr>
        <w:t xml:space="preserve"> </w:t>
      </w:r>
      <w:proofErr w:type="spellStart"/>
      <w:r>
        <w:rPr>
          <w:szCs w:val="22"/>
          <w:lang w:val="fr-FR"/>
        </w:rPr>
        <w:t>Holandes</w:t>
      </w:r>
      <w:proofErr w:type="spellEnd"/>
      <w:r w:rsidRPr="00332F2C">
        <w:rPr>
          <w:szCs w:val="22"/>
          <w:lang w:val="fr-FR"/>
        </w:rPr>
        <w:t>.</w:t>
      </w:r>
    </w:p>
    <w:p w:rsidR="00A848F1" w:rsidRPr="00332F2C" w:rsidRDefault="00A848F1" w:rsidP="00A848F1">
      <w:pPr>
        <w:autoSpaceDE w:val="0"/>
        <w:autoSpaceDN w:val="0"/>
        <w:adjustRightInd w:val="0"/>
        <w:ind w:firstLine="567"/>
        <w:rPr>
          <w:szCs w:val="22"/>
          <w:u w:val="single"/>
          <w:lang w:val="fr-FR"/>
        </w:rPr>
      </w:pPr>
    </w:p>
    <w:p w:rsidR="00A848F1" w:rsidRDefault="00A848F1" w:rsidP="00A848F1">
      <w:pPr>
        <w:autoSpaceDE w:val="0"/>
        <w:autoSpaceDN w:val="0"/>
        <w:adjustRightInd w:val="0"/>
        <w:ind w:firstLine="567"/>
        <w:rPr>
          <w:szCs w:val="22"/>
          <w:lang w:val="fr-FR"/>
        </w:rPr>
      </w:pPr>
      <w:r>
        <w:rPr>
          <w:szCs w:val="22"/>
          <w:u w:val="single"/>
          <w:lang w:val="fr-FR"/>
        </w:rPr>
        <w:t>Honduras, Colombie et</w:t>
      </w:r>
      <w:r w:rsidRPr="00332F2C">
        <w:rPr>
          <w:szCs w:val="22"/>
          <w:u w:val="single"/>
          <w:lang w:val="fr-FR"/>
        </w:rPr>
        <w:t xml:space="preserve"> Belize</w:t>
      </w:r>
      <w:r w:rsidRPr="008053E8">
        <w:rPr>
          <w:szCs w:val="22"/>
          <w:lang w:val="fr-FR"/>
        </w:rPr>
        <w:t> :</w:t>
      </w:r>
    </w:p>
    <w:p w:rsidR="00A848F1" w:rsidRPr="00332F2C" w:rsidRDefault="00A848F1" w:rsidP="00A848F1">
      <w:pPr>
        <w:autoSpaceDE w:val="0"/>
        <w:autoSpaceDN w:val="0"/>
        <w:adjustRightInd w:val="0"/>
        <w:ind w:left="720"/>
        <w:rPr>
          <w:szCs w:val="22"/>
          <w:lang w:val="fr-FR"/>
        </w:rPr>
      </w:pPr>
    </w:p>
    <w:p w:rsidR="00A848F1" w:rsidRPr="00332F2C" w:rsidRDefault="00A848F1" w:rsidP="00A848F1">
      <w:pPr>
        <w:autoSpaceDE w:val="0"/>
        <w:autoSpaceDN w:val="0"/>
        <w:adjustRightInd w:val="0"/>
        <w:rPr>
          <w:szCs w:val="22"/>
          <w:lang w:val="fr-FR"/>
        </w:rPr>
      </w:pPr>
      <w:r w:rsidRPr="00DC4955">
        <w:rPr>
          <w:szCs w:val="22"/>
          <w:lang w:val="fr-FR"/>
        </w:rPr>
        <w:tab/>
      </w:r>
      <w:r w:rsidRPr="00DC4955">
        <w:rPr>
          <w:lang w:val="fr-FR"/>
        </w:rPr>
        <w:t>M.</w:t>
      </w:r>
      <w:r w:rsidRPr="00DC4955">
        <w:rPr>
          <w:szCs w:val="22"/>
          <w:lang w:val="fr-FR"/>
        </w:rPr>
        <w:t> </w:t>
      </w:r>
      <w:proofErr w:type="spellStart"/>
      <w:r w:rsidRPr="00DC4955">
        <w:rPr>
          <w:szCs w:val="22"/>
          <w:lang w:val="fr-FR"/>
        </w:rPr>
        <w:t>Rinehart</w:t>
      </w:r>
      <w:proofErr w:type="spellEnd"/>
      <w:r w:rsidRPr="00DC4955">
        <w:rPr>
          <w:szCs w:val="22"/>
          <w:lang w:val="fr-FR"/>
        </w:rPr>
        <w:t xml:space="preserve"> a également extrait des tuniciers du Honduras, de la Colombie et du Belize.</w:t>
      </w:r>
      <w:r>
        <w:rPr>
          <w:szCs w:val="22"/>
          <w:lang w:val="fr-FR"/>
        </w:rPr>
        <w:t xml:space="preserve">  Parmi ces pays, seul le Honduras est partie au Protocole de Nagoya</w:t>
      </w:r>
      <w:r w:rsidRPr="00332F2C">
        <w:rPr>
          <w:szCs w:val="22"/>
          <w:lang w:val="fr-FR"/>
        </w:rPr>
        <w:t xml:space="preserve">, </w:t>
      </w:r>
      <w:r>
        <w:rPr>
          <w:szCs w:val="22"/>
          <w:lang w:val="fr-FR"/>
        </w:rPr>
        <w:t>mais il ne dispose pas d’une législation nationale en matière d’accès et de partage des avantages.  Par conséquent, la Suisse n’exigerait pas de M. </w:t>
      </w:r>
      <w:proofErr w:type="spellStart"/>
      <w:r w:rsidRPr="00332F2C">
        <w:rPr>
          <w:szCs w:val="22"/>
          <w:lang w:val="fr-FR"/>
        </w:rPr>
        <w:t>Rinehart</w:t>
      </w:r>
      <w:proofErr w:type="spellEnd"/>
      <w:r w:rsidRPr="00332F2C">
        <w:rPr>
          <w:szCs w:val="22"/>
          <w:lang w:val="fr-FR"/>
        </w:rPr>
        <w:t xml:space="preserve"> </w:t>
      </w:r>
      <w:r>
        <w:rPr>
          <w:szCs w:val="22"/>
          <w:lang w:val="fr-FR"/>
        </w:rPr>
        <w:t>qu’il respecte le devoir de diligence dans le cadre de ses activités dans ces pays.  Supposons, maintenant, qu’il ait obtenu des tuniciers dans 10 autres pays qui sont parties au Protocole de Nagoya et qui disposent d’une législation en matière d’accès et de partage des avantages.  Dans ce cas, il devrait clairement, pour chaque pays supplémentaire, satisfaire des exigences supplémentaires qui pourraient décourager la recherche</w:t>
      </w:r>
      <w:r w:rsidRPr="00332F2C">
        <w:rPr>
          <w:szCs w:val="22"/>
          <w:lang w:val="fr-FR"/>
        </w:rPr>
        <w:t>.</w:t>
      </w:r>
    </w:p>
    <w:p w:rsidR="00A848F1" w:rsidRPr="00332F2C" w:rsidRDefault="00A848F1" w:rsidP="00A848F1">
      <w:pPr>
        <w:autoSpaceDE w:val="0"/>
        <w:autoSpaceDN w:val="0"/>
        <w:adjustRightInd w:val="0"/>
        <w:rPr>
          <w:szCs w:val="22"/>
          <w:lang w:val="fr-FR"/>
        </w:rPr>
      </w:pPr>
    </w:p>
    <w:p w:rsidR="00A848F1" w:rsidRDefault="00A848F1" w:rsidP="00A848F1">
      <w:pPr>
        <w:autoSpaceDE w:val="0"/>
        <w:autoSpaceDN w:val="0"/>
        <w:adjustRightInd w:val="0"/>
        <w:rPr>
          <w:bCs/>
          <w:i/>
          <w:szCs w:val="22"/>
          <w:lang w:val="fr-FR"/>
        </w:rPr>
      </w:pPr>
      <w:r>
        <w:rPr>
          <w:bCs/>
          <w:i/>
          <w:szCs w:val="22"/>
          <w:u w:val="single"/>
          <w:lang w:val="fr-FR"/>
        </w:rPr>
        <w:t>Observations formulées par la Suisse</w:t>
      </w:r>
      <w:r w:rsidRPr="00FC267A">
        <w:rPr>
          <w:bCs/>
          <w:i/>
          <w:szCs w:val="22"/>
          <w:lang w:val="fr-FR"/>
        </w:rPr>
        <w:t> :</w:t>
      </w:r>
      <w:r w:rsidRPr="00332F2C">
        <w:rPr>
          <w:bCs/>
          <w:i/>
          <w:szCs w:val="22"/>
          <w:lang w:val="fr-FR"/>
        </w:rPr>
        <w:t xml:space="preserve"> </w:t>
      </w:r>
      <w:r>
        <w:rPr>
          <w:bCs/>
          <w:i/>
          <w:szCs w:val="22"/>
          <w:lang w:val="fr-FR"/>
        </w:rPr>
        <w:t>Il convient de noter que, compte tenu du Protocole de Nagoya, de nombreux pays sont actuellement en train de revoir leurs exigences réglementaires en matière d’accès et de partage des avantages ou d’introduire de nouvelles exigences à cet égard.  De plus, les parties au Protocole de Nagoya ont l’obligation de soumettre leurs mesures législatives, administratives et de politique générale en matière d’accès et de partage des avantages, de même que les informations concernant le correspondant national et l’autorité ou les autorités nationales compétentes, au Centre d’échange sur l’accès et le partage des avantages</w:t>
      </w:r>
      <w:r w:rsidRPr="00332F2C">
        <w:rPr>
          <w:bCs/>
          <w:i/>
          <w:szCs w:val="22"/>
          <w:lang w:val="fr-FR"/>
        </w:rPr>
        <w:t xml:space="preserve"> (</w:t>
      </w:r>
      <w:r>
        <w:rPr>
          <w:bCs/>
          <w:i/>
          <w:szCs w:val="22"/>
          <w:lang w:val="fr-FR"/>
        </w:rPr>
        <w:t>voir l’article 14 du Protocole de Nagoya</w:t>
      </w:r>
      <w:r w:rsidRPr="00332F2C">
        <w:rPr>
          <w:bCs/>
          <w:i/>
          <w:szCs w:val="22"/>
          <w:lang w:val="fr-FR"/>
        </w:rPr>
        <w:t>)</w:t>
      </w:r>
      <w:r>
        <w:rPr>
          <w:bCs/>
          <w:i/>
          <w:szCs w:val="22"/>
          <w:lang w:val="fr-FR"/>
        </w:rPr>
        <w:t>.  Ces informations permettront également de déterminer plus facilement les cas dans lesquels s’applique l’exigence relative au devoir de diligence</w:t>
      </w:r>
      <w:r w:rsidRPr="00332F2C">
        <w:rPr>
          <w:bCs/>
          <w:i/>
          <w:szCs w:val="22"/>
          <w:lang w:val="fr-FR"/>
        </w:rPr>
        <w:t>.</w:t>
      </w:r>
    </w:p>
    <w:p w:rsidR="00A848F1" w:rsidRPr="00332F2C" w:rsidRDefault="00A848F1" w:rsidP="00A848F1">
      <w:pPr>
        <w:autoSpaceDE w:val="0"/>
        <w:autoSpaceDN w:val="0"/>
        <w:adjustRightInd w:val="0"/>
        <w:rPr>
          <w:bCs/>
          <w:i/>
          <w:szCs w:val="22"/>
          <w:lang w:val="fr-FR"/>
        </w:rPr>
      </w:pPr>
    </w:p>
    <w:p w:rsidR="00A848F1" w:rsidRPr="00332F2C" w:rsidRDefault="00A848F1" w:rsidP="00A848F1">
      <w:pPr>
        <w:autoSpaceDE w:val="0"/>
        <w:autoSpaceDN w:val="0"/>
        <w:adjustRightInd w:val="0"/>
        <w:rPr>
          <w:szCs w:val="22"/>
          <w:lang w:val="fr-FR"/>
        </w:rPr>
      </w:pPr>
    </w:p>
    <w:p w:rsidR="00A848F1" w:rsidRDefault="00A848F1" w:rsidP="00A848F1">
      <w:pPr>
        <w:keepNext/>
        <w:autoSpaceDE w:val="0"/>
        <w:autoSpaceDN w:val="0"/>
        <w:adjustRightInd w:val="0"/>
        <w:ind w:firstLine="720"/>
        <w:rPr>
          <w:b/>
          <w:szCs w:val="22"/>
          <w:lang w:val="fr-FR"/>
        </w:rPr>
      </w:pPr>
      <w:r w:rsidRPr="00332F2C">
        <w:rPr>
          <w:szCs w:val="22"/>
          <w:lang w:val="fr-FR"/>
        </w:rPr>
        <w:t xml:space="preserve">B. </w:t>
      </w:r>
      <w:r>
        <w:rPr>
          <w:szCs w:val="22"/>
          <w:lang w:val="fr-FR"/>
        </w:rPr>
        <w:t xml:space="preserve"> </w:t>
      </w:r>
      <w:r w:rsidRPr="00332F2C">
        <w:rPr>
          <w:b/>
          <w:szCs w:val="22"/>
          <w:lang w:val="fr-FR"/>
        </w:rPr>
        <w:t>Notification</w:t>
      </w:r>
    </w:p>
    <w:p w:rsidR="00A848F1" w:rsidRPr="00332F2C" w:rsidRDefault="00A848F1" w:rsidP="00A848F1">
      <w:pPr>
        <w:keepNext/>
        <w:autoSpaceDE w:val="0"/>
        <w:autoSpaceDN w:val="0"/>
        <w:adjustRightInd w:val="0"/>
        <w:rPr>
          <w:i/>
          <w:szCs w:val="22"/>
          <w:lang w:val="fr-FR"/>
        </w:rPr>
      </w:pPr>
    </w:p>
    <w:p w:rsidR="00A848F1" w:rsidRDefault="00A848F1" w:rsidP="00A848F1">
      <w:pPr>
        <w:autoSpaceDE w:val="0"/>
        <w:autoSpaceDN w:val="0"/>
        <w:adjustRightInd w:val="0"/>
        <w:rPr>
          <w:szCs w:val="22"/>
          <w:lang w:val="fr-FR"/>
        </w:rPr>
      </w:pPr>
      <w:r w:rsidRPr="00332F2C">
        <w:rPr>
          <w:szCs w:val="22"/>
          <w:lang w:val="fr-FR"/>
        </w:rPr>
        <w:tab/>
      </w:r>
      <w:r>
        <w:rPr>
          <w:szCs w:val="22"/>
          <w:lang w:val="fr-FR"/>
        </w:rPr>
        <w:t xml:space="preserve">Après avoir respecté le devoir de diligence à l’égard de </w:t>
      </w:r>
      <w:r>
        <w:rPr>
          <w:szCs w:val="22"/>
          <w:u w:val="single"/>
          <w:lang w:val="fr-FR"/>
        </w:rPr>
        <w:t>nombreux pays potentiels</w:t>
      </w:r>
      <w:r w:rsidRPr="00332F2C">
        <w:rPr>
          <w:szCs w:val="22"/>
          <w:lang w:val="fr-FR"/>
        </w:rPr>
        <w:t xml:space="preserve">, </w:t>
      </w:r>
      <w:r>
        <w:rPr>
          <w:szCs w:val="22"/>
          <w:lang w:val="fr-FR"/>
        </w:rPr>
        <w:t>les déposants en Suisse doivent, en vertu de l’article </w:t>
      </w:r>
      <w:proofErr w:type="spellStart"/>
      <w:r>
        <w:rPr>
          <w:szCs w:val="22"/>
          <w:lang w:val="fr-FR"/>
        </w:rPr>
        <w:t>23</w:t>
      </w:r>
      <w:r w:rsidRPr="00CC2E52">
        <w:rPr>
          <w:i/>
          <w:szCs w:val="22"/>
          <w:lang w:val="fr-FR"/>
        </w:rPr>
        <w:t>o</w:t>
      </w:r>
      <w:proofErr w:type="spellEnd"/>
      <w:r>
        <w:rPr>
          <w:szCs w:val="22"/>
          <w:lang w:val="fr-FR"/>
        </w:rPr>
        <w:t xml:space="preserve"> de</w:t>
      </w:r>
      <w:r w:rsidRPr="008D75E9">
        <w:rPr>
          <w:szCs w:val="22"/>
          <w:lang w:val="fr-FR"/>
        </w:rPr>
        <w:t xml:space="preserve"> la </w:t>
      </w:r>
      <w:proofErr w:type="spellStart"/>
      <w:r w:rsidRPr="008D75E9">
        <w:rPr>
          <w:szCs w:val="22"/>
          <w:lang w:val="fr-FR"/>
        </w:rPr>
        <w:t>LPN</w:t>
      </w:r>
      <w:proofErr w:type="spellEnd"/>
      <w:r>
        <w:rPr>
          <w:szCs w:val="22"/>
          <w:lang w:val="fr-FR"/>
        </w:rPr>
        <w:t>, notifier le respect du devoir de diligence avant l’obtention de l’autorisation de mise sur le marché ou avant la commercialisation de produits.  Cette disposition exige que les déposants notifient le respect du devoir de diligence à l’Office fédéral de l’environnement (</w:t>
      </w:r>
      <w:proofErr w:type="spellStart"/>
      <w:r>
        <w:rPr>
          <w:szCs w:val="22"/>
          <w:lang w:val="fr-FR"/>
        </w:rPr>
        <w:t>OFEV</w:t>
      </w:r>
      <w:proofErr w:type="spellEnd"/>
      <w:r>
        <w:rPr>
          <w:szCs w:val="22"/>
          <w:lang w:val="fr-FR"/>
        </w:rPr>
        <w:t>)</w:t>
      </w:r>
      <w:r w:rsidRPr="00332F2C">
        <w:rPr>
          <w:szCs w:val="22"/>
          <w:lang w:val="fr-FR"/>
        </w:rPr>
        <w:t xml:space="preserve">.  </w:t>
      </w:r>
      <w:r>
        <w:rPr>
          <w:szCs w:val="22"/>
          <w:lang w:val="fr-FR"/>
        </w:rPr>
        <w:t>Dans ce cas, M. </w:t>
      </w:r>
      <w:proofErr w:type="spellStart"/>
      <w:r w:rsidRPr="00332F2C">
        <w:rPr>
          <w:szCs w:val="22"/>
          <w:lang w:val="fr-FR"/>
        </w:rPr>
        <w:t>Rinehart</w:t>
      </w:r>
      <w:proofErr w:type="spellEnd"/>
      <w:r w:rsidRPr="00332F2C">
        <w:rPr>
          <w:szCs w:val="22"/>
          <w:lang w:val="fr-FR"/>
        </w:rPr>
        <w:t xml:space="preserve"> </w:t>
      </w:r>
      <w:r>
        <w:rPr>
          <w:szCs w:val="22"/>
          <w:lang w:val="fr-FR"/>
        </w:rPr>
        <w:t>devrait notifier le respect du devoir de diligence à l’égard du Mexique et du Panama à l’</w:t>
      </w:r>
      <w:proofErr w:type="spellStart"/>
      <w:r>
        <w:rPr>
          <w:szCs w:val="22"/>
          <w:lang w:val="fr-FR"/>
        </w:rPr>
        <w:t>OFEV</w:t>
      </w:r>
      <w:proofErr w:type="spellEnd"/>
      <w:r w:rsidRPr="00332F2C">
        <w:rPr>
          <w:szCs w:val="22"/>
          <w:lang w:val="fr-FR"/>
        </w:rPr>
        <w:t>.</w:t>
      </w:r>
    </w:p>
    <w:p w:rsidR="00A848F1" w:rsidRPr="00332F2C" w:rsidRDefault="00A848F1" w:rsidP="00A848F1">
      <w:pPr>
        <w:autoSpaceDE w:val="0"/>
        <w:autoSpaceDN w:val="0"/>
        <w:adjustRightInd w:val="0"/>
        <w:rPr>
          <w:bCs/>
          <w:i/>
          <w:szCs w:val="22"/>
          <w:u w:val="single"/>
          <w:lang w:val="fr-FR"/>
        </w:rPr>
      </w:pPr>
    </w:p>
    <w:p w:rsidR="00A848F1" w:rsidRDefault="00A848F1" w:rsidP="00A848F1">
      <w:pPr>
        <w:autoSpaceDE w:val="0"/>
        <w:autoSpaceDN w:val="0"/>
        <w:adjustRightInd w:val="0"/>
        <w:rPr>
          <w:bCs/>
          <w:i/>
          <w:szCs w:val="22"/>
          <w:lang w:val="fr-FR"/>
        </w:rPr>
      </w:pPr>
      <w:r>
        <w:rPr>
          <w:bCs/>
          <w:i/>
          <w:szCs w:val="22"/>
          <w:u w:val="single"/>
          <w:lang w:val="fr-FR"/>
        </w:rPr>
        <w:t>Observations formulées par la Suisse</w:t>
      </w:r>
      <w:r w:rsidRPr="0027555F">
        <w:rPr>
          <w:bCs/>
          <w:i/>
          <w:szCs w:val="22"/>
          <w:lang w:val="fr-FR"/>
        </w:rPr>
        <w:t> :</w:t>
      </w:r>
      <w:r w:rsidRPr="00332F2C">
        <w:rPr>
          <w:bCs/>
          <w:i/>
          <w:szCs w:val="22"/>
          <w:lang w:val="fr-FR"/>
        </w:rPr>
        <w:t xml:space="preserve"> </w:t>
      </w:r>
      <w:r>
        <w:rPr>
          <w:bCs/>
          <w:i/>
          <w:szCs w:val="22"/>
          <w:lang w:val="fr-FR"/>
        </w:rPr>
        <w:t>Le déposant du brevet américain n° </w:t>
      </w:r>
      <w:r w:rsidRPr="00332F2C">
        <w:rPr>
          <w:bCs/>
          <w:i/>
          <w:szCs w:val="22"/>
          <w:lang w:val="fr-FR"/>
        </w:rPr>
        <w:t>5</w:t>
      </w:r>
      <w:r>
        <w:rPr>
          <w:bCs/>
          <w:i/>
          <w:szCs w:val="22"/>
          <w:lang w:val="fr-FR"/>
        </w:rPr>
        <w:t> </w:t>
      </w:r>
      <w:r w:rsidRPr="00332F2C">
        <w:rPr>
          <w:bCs/>
          <w:i/>
          <w:szCs w:val="22"/>
          <w:lang w:val="fr-FR"/>
        </w:rPr>
        <w:t>137</w:t>
      </w:r>
      <w:r>
        <w:rPr>
          <w:bCs/>
          <w:i/>
          <w:szCs w:val="22"/>
          <w:lang w:val="fr-FR"/>
        </w:rPr>
        <w:t> </w:t>
      </w:r>
      <w:r w:rsidRPr="00332F2C">
        <w:rPr>
          <w:bCs/>
          <w:i/>
          <w:szCs w:val="22"/>
          <w:lang w:val="fr-FR"/>
        </w:rPr>
        <w:t>870, M.</w:t>
      </w:r>
      <w:r>
        <w:rPr>
          <w:bCs/>
          <w:i/>
          <w:szCs w:val="22"/>
          <w:lang w:val="fr-FR"/>
        </w:rPr>
        <w:t> </w:t>
      </w:r>
      <w:proofErr w:type="spellStart"/>
      <w:r w:rsidRPr="00332F2C">
        <w:rPr>
          <w:bCs/>
          <w:i/>
          <w:szCs w:val="22"/>
          <w:lang w:val="fr-FR"/>
        </w:rPr>
        <w:t>Rinehart</w:t>
      </w:r>
      <w:proofErr w:type="spellEnd"/>
      <w:r w:rsidRPr="00332F2C">
        <w:rPr>
          <w:bCs/>
          <w:i/>
          <w:szCs w:val="22"/>
          <w:lang w:val="fr-FR"/>
        </w:rPr>
        <w:t xml:space="preserve">, </w:t>
      </w:r>
      <w:r>
        <w:rPr>
          <w:bCs/>
          <w:i/>
          <w:szCs w:val="22"/>
          <w:lang w:val="fr-FR"/>
        </w:rPr>
        <w:t>n’a apparemment commercialisé aucun produit.  Par conséquent, contrairement à ce qui est suggéré dans le texte, il n’y aurait aucune obligation de notifier le respect du devoir de diligence à l’</w:t>
      </w:r>
      <w:proofErr w:type="spellStart"/>
      <w:r>
        <w:rPr>
          <w:bCs/>
          <w:i/>
          <w:szCs w:val="22"/>
          <w:lang w:val="fr-FR"/>
        </w:rPr>
        <w:t>OFEV</w:t>
      </w:r>
      <w:proofErr w:type="spellEnd"/>
      <w:r>
        <w:rPr>
          <w:bCs/>
          <w:i/>
          <w:szCs w:val="22"/>
          <w:lang w:val="fr-FR"/>
        </w:rPr>
        <w:t>.  Cette notification est requise uniquement avant l’obtention de l’autorisation de mise sur le marché ou avant la commercialisation de produits dont le développement repose sur l’utilisation de ressources génétiques</w:t>
      </w:r>
      <w:r w:rsidRPr="00332F2C">
        <w:rPr>
          <w:bCs/>
          <w:i/>
          <w:szCs w:val="22"/>
          <w:lang w:val="fr-FR"/>
        </w:rPr>
        <w:t xml:space="preserve"> (</w:t>
      </w:r>
      <w:r>
        <w:rPr>
          <w:bCs/>
          <w:i/>
          <w:szCs w:val="22"/>
          <w:lang w:val="fr-FR"/>
        </w:rPr>
        <w:t>a</w:t>
      </w:r>
      <w:r w:rsidRPr="00332F2C">
        <w:rPr>
          <w:bCs/>
          <w:i/>
          <w:szCs w:val="22"/>
          <w:lang w:val="fr-FR"/>
        </w:rPr>
        <w:t>rticle</w:t>
      </w:r>
      <w:r>
        <w:rPr>
          <w:bCs/>
          <w:i/>
          <w:szCs w:val="22"/>
          <w:lang w:val="fr-FR"/>
        </w:rPr>
        <w:t> </w:t>
      </w:r>
      <w:proofErr w:type="spellStart"/>
      <w:r w:rsidRPr="00332F2C">
        <w:rPr>
          <w:bCs/>
          <w:i/>
          <w:szCs w:val="22"/>
          <w:lang w:val="fr-FR"/>
        </w:rPr>
        <w:t>23o</w:t>
      </w:r>
      <w:proofErr w:type="spellEnd"/>
      <w:r w:rsidRPr="00332F2C">
        <w:rPr>
          <w:bCs/>
          <w:i/>
          <w:szCs w:val="22"/>
          <w:lang w:val="fr-FR"/>
        </w:rPr>
        <w:t xml:space="preserve"> </w:t>
      </w:r>
      <w:r>
        <w:rPr>
          <w:bCs/>
          <w:i/>
          <w:szCs w:val="22"/>
          <w:lang w:val="fr-FR"/>
        </w:rPr>
        <w:t>de</w:t>
      </w:r>
      <w:r w:rsidRPr="008D75E9">
        <w:rPr>
          <w:bCs/>
          <w:i/>
          <w:szCs w:val="22"/>
          <w:lang w:val="fr-FR"/>
        </w:rPr>
        <w:t xml:space="preserve"> la </w:t>
      </w:r>
      <w:proofErr w:type="spellStart"/>
      <w:r w:rsidRPr="008D75E9">
        <w:rPr>
          <w:bCs/>
          <w:i/>
          <w:szCs w:val="22"/>
          <w:lang w:val="fr-FR"/>
        </w:rPr>
        <w:t>LPN</w:t>
      </w:r>
      <w:proofErr w:type="spellEnd"/>
      <w:r w:rsidRPr="00332F2C">
        <w:rPr>
          <w:bCs/>
          <w:i/>
          <w:szCs w:val="22"/>
          <w:lang w:val="fr-FR"/>
        </w:rPr>
        <w:t xml:space="preserve">).  </w:t>
      </w:r>
      <w:r>
        <w:rPr>
          <w:bCs/>
          <w:i/>
          <w:szCs w:val="22"/>
          <w:lang w:val="fr-FR"/>
        </w:rPr>
        <w:t>Il convient de noter que l’autorisation de mise sur le marché et la commercialisation ne sont pas sujettes au dépôt d’une demande de brevet</w:t>
      </w:r>
      <w:r w:rsidRPr="00332F2C">
        <w:rPr>
          <w:bCs/>
          <w:i/>
          <w:szCs w:val="22"/>
          <w:lang w:val="fr-FR"/>
        </w:rPr>
        <w:t>.</w:t>
      </w:r>
    </w:p>
    <w:p w:rsidR="00A848F1" w:rsidRPr="00332F2C" w:rsidRDefault="00A848F1" w:rsidP="00A848F1">
      <w:pPr>
        <w:autoSpaceDE w:val="0"/>
        <w:autoSpaceDN w:val="0"/>
        <w:adjustRightInd w:val="0"/>
        <w:rPr>
          <w:szCs w:val="22"/>
          <w:lang w:val="fr-FR"/>
        </w:rPr>
      </w:pPr>
    </w:p>
    <w:p w:rsidR="008E65FA" w:rsidRPr="00277EAC" w:rsidRDefault="008E65FA" w:rsidP="008E65FA">
      <w:pPr>
        <w:autoSpaceDE w:val="0"/>
        <w:autoSpaceDN w:val="0"/>
        <w:adjustRightInd w:val="0"/>
        <w:rPr>
          <w:szCs w:val="22"/>
        </w:rPr>
      </w:pPr>
    </w:p>
    <w:p w:rsidR="008E65FA" w:rsidRPr="003602E4" w:rsidRDefault="008E65FA" w:rsidP="008E65FA">
      <w:pPr>
        <w:autoSpaceDE w:val="0"/>
        <w:autoSpaceDN w:val="0"/>
        <w:adjustRightInd w:val="0"/>
        <w:rPr>
          <w:i/>
          <w:szCs w:val="22"/>
        </w:rPr>
      </w:pPr>
      <w:r w:rsidRPr="00277EAC">
        <w:rPr>
          <w:szCs w:val="22"/>
        </w:rPr>
        <w:tab/>
      </w:r>
      <w:r w:rsidRPr="003602E4">
        <w:rPr>
          <w:szCs w:val="22"/>
        </w:rPr>
        <w:t>C.</w:t>
      </w:r>
      <w:r>
        <w:rPr>
          <w:szCs w:val="22"/>
        </w:rPr>
        <w:t xml:space="preserve"> </w:t>
      </w:r>
      <w:r w:rsidRPr="003602E4">
        <w:rPr>
          <w:szCs w:val="22"/>
        </w:rPr>
        <w:t xml:space="preserve"> </w:t>
      </w:r>
      <w:r w:rsidRPr="003602E4">
        <w:rPr>
          <w:b/>
          <w:szCs w:val="22"/>
        </w:rPr>
        <w:t xml:space="preserve">Autorisation de mise sur le marché pour les </w:t>
      </w:r>
      <w:r>
        <w:rPr>
          <w:b/>
          <w:szCs w:val="22"/>
        </w:rPr>
        <w:t xml:space="preserve">médicaments et les </w:t>
      </w:r>
      <w:r w:rsidRPr="003602E4">
        <w:rPr>
          <w:b/>
          <w:szCs w:val="22"/>
        </w:rPr>
        <w:t xml:space="preserve">produits </w:t>
      </w:r>
      <w:r>
        <w:rPr>
          <w:b/>
          <w:szCs w:val="22"/>
        </w:rPr>
        <w:t>thé</w:t>
      </w:r>
      <w:r w:rsidRPr="003602E4">
        <w:rPr>
          <w:b/>
          <w:szCs w:val="22"/>
        </w:rPr>
        <w:t>rapeuti</w:t>
      </w:r>
      <w:r>
        <w:rPr>
          <w:b/>
          <w:szCs w:val="22"/>
        </w:rPr>
        <w:t>q</w:t>
      </w:r>
      <w:r w:rsidRPr="003602E4">
        <w:rPr>
          <w:b/>
          <w:szCs w:val="22"/>
        </w:rPr>
        <w:t>u</w:t>
      </w:r>
      <w:r>
        <w:rPr>
          <w:b/>
          <w:szCs w:val="22"/>
        </w:rPr>
        <w:t>e</w:t>
      </w:r>
      <w:r w:rsidRPr="003602E4">
        <w:rPr>
          <w:b/>
          <w:szCs w:val="22"/>
        </w:rPr>
        <w:t>s</w:t>
      </w:r>
    </w:p>
    <w:p w:rsidR="008E65FA" w:rsidRPr="003602E4" w:rsidRDefault="008E65FA" w:rsidP="008E65FA">
      <w:pPr>
        <w:autoSpaceDE w:val="0"/>
        <w:autoSpaceDN w:val="0"/>
        <w:adjustRightInd w:val="0"/>
        <w:rPr>
          <w:szCs w:val="22"/>
        </w:rPr>
      </w:pPr>
    </w:p>
    <w:p w:rsidR="008E65FA" w:rsidRDefault="008E65FA" w:rsidP="008E65FA">
      <w:pPr>
        <w:autoSpaceDE w:val="0"/>
        <w:autoSpaceDN w:val="0"/>
        <w:adjustRightInd w:val="0"/>
        <w:rPr>
          <w:szCs w:val="22"/>
        </w:rPr>
      </w:pPr>
      <w:r w:rsidRPr="003602E4">
        <w:rPr>
          <w:szCs w:val="22"/>
        </w:rPr>
        <w:tab/>
      </w:r>
      <w:r w:rsidRPr="009A456F">
        <w:rPr>
          <w:szCs w:val="22"/>
        </w:rPr>
        <w:t>Après avoir notifié l</w:t>
      </w:r>
      <w:r>
        <w:rPr>
          <w:szCs w:val="22"/>
        </w:rPr>
        <w:t>’</w:t>
      </w:r>
      <w:proofErr w:type="spellStart"/>
      <w:r w:rsidRPr="009A456F">
        <w:rPr>
          <w:szCs w:val="22"/>
        </w:rPr>
        <w:t>OFEV</w:t>
      </w:r>
      <w:proofErr w:type="spellEnd"/>
      <w:r w:rsidRPr="009A456F">
        <w:rPr>
          <w:szCs w:val="22"/>
        </w:rPr>
        <w:t xml:space="preserve">, certains </w:t>
      </w:r>
      <w:r>
        <w:rPr>
          <w:szCs w:val="22"/>
        </w:rPr>
        <w:t>dépos</w:t>
      </w:r>
      <w:r w:rsidRPr="009A456F">
        <w:rPr>
          <w:szCs w:val="22"/>
        </w:rPr>
        <w:t>ants souhaitant exercer une activité commerciale en Sui</w:t>
      </w:r>
      <w:r>
        <w:rPr>
          <w:szCs w:val="22"/>
        </w:rPr>
        <w:t>ss</w:t>
      </w:r>
      <w:r w:rsidRPr="009A456F">
        <w:rPr>
          <w:szCs w:val="22"/>
        </w:rPr>
        <w:t xml:space="preserve">e </w:t>
      </w:r>
      <w:r>
        <w:rPr>
          <w:szCs w:val="22"/>
        </w:rPr>
        <w:t xml:space="preserve">peuvent devoir </w:t>
      </w:r>
      <w:r w:rsidRPr="009A456F">
        <w:rPr>
          <w:szCs w:val="22"/>
        </w:rPr>
        <w:t>obt</w:t>
      </w:r>
      <w:r>
        <w:rPr>
          <w:szCs w:val="22"/>
        </w:rPr>
        <w:t>e</w:t>
      </w:r>
      <w:r w:rsidRPr="009A456F">
        <w:rPr>
          <w:szCs w:val="22"/>
        </w:rPr>
        <w:t>n</w:t>
      </w:r>
      <w:r>
        <w:rPr>
          <w:szCs w:val="22"/>
        </w:rPr>
        <w:t>ir une autorisation de mise sur le</w:t>
      </w:r>
      <w:r w:rsidRPr="009A456F">
        <w:rPr>
          <w:szCs w:val="22"/>
        </w:rPr>
        <w:t xml:space="preserve"> mar</w:t>
      </w:r>
      <w:r>
        <w:rPr>
          <w:szCs w:val="22"/>
        </w:rPr>
        <w:t xml:space="preserve">ché.  </w:t>
      </w:r>
      <w:r w:rsidRPr="009A456F">
        <w:rPr>
          <w:szCs w:val="22"/>
        </w:rPr>
        <w:t xml:space="preserve">Pour ce qui est des nouveaux médicaments et produits thérapeutiques, les </w:t>
      </w:r>
      <w:r>
        <w:rPr>
          <w:szCs w:val="22"/>
        </w:rPr>
        <w:t>d</w:t>
      </w:r>
      <w:r w:rsidRPr="009A456F">
        <w:rPr>
          <w:szCs w:val="22"/>
        </w:rPr>
        <w:t>é</w:t>
      </w:r>
      <w:r>
        <w:rPr>
          <w:szCs w:val="22"/>
        </w:rPr>
        <w:t>pos</w:t>
      </w:r>
      <w:r w:rsidRPr="009A456F">
        <w:rPr>
          <w:szCs w:val="22"/>
        </w:rPr>
        <w:t>ants doivent recevoir l</w:t>
      </w:r>
      <w:r>
        <w:rPr>
          <w:szCs w:val="22"/>
        </w:rPr>
        <w:t>’</w:t>
      </w:r>
      <w:r w:rsidRPr="009A456F">
        <w:rPr>
          <w:szCs w:val="22"/>
        </w:rPr>
        <w:t xml:space="preserve">aval de </w:t>
      </w:r>
      <w:proofErr w:type="spellStart"/>
      <w:r w:rsidRPr="009A456F">
        <w:rPr>
          <w:szCs w:val="22"/>
        </w:rPr>
        <w:t>Swissmedic</w:t>
      </w:r>
      <w:proofErr w:type="spellEnd"/>
      <w:r w:rsidRPr="009A456F">
        <w:rPr>
          <w:szCs w:val="22"/>
        </w:rPr>
        <w:t xml:space="preserve">, </w:t>
      </w:r>
      <w:r>
        <w:rPr>
          <w:szCs w:val="22"/>
        </w:rPr>
        <w:t xml:space="preserve">qui s’assurera de la sûreté des </w:t>
      </w:r>
      <w:r w:rsidRPr="009A456F">
        <w:rPr>
          <w:szCs w:val="22"/>
        </w:rPr>
        <w:t>produ</w:t>
      </w:r>
      <w:r>
        <w:rPr>
          <w:szCs w:val="22"/>
        </w:rPr>
        <w:t>i</w:t>
      </w:r>
      <w:r w:rsidRPr="009A456F">
        <w:rPr>
          <w:szCs w:val="22"/>
        </w:rPr>
        <w:t xml:space="preserve">ts </w:t>
      </w:r>
      <w:r>
        <w:rPr>
          <w:szCs w:val="22"/>
        </w:rPr>
        <w:t>avant de les autoriser à la vente e</w:t>
      </w:r>
      <w:r w:rsidRPr="009A456F">
        <w:rPr>
          <w:szCs w:val="22"/>
        </w:rPr>
        <w:t>n S</w:t>
      </w:r>
      <w:r>
        <w:rPr>
          <w:szCs w:val="22"/>
        </w:rPr>
        <w:t>u</w:t>
      </w:r>
      <w:r w:rsidRPr="009A456F">
        <w:rPr>
          <w:szCs w:val="22"/>
        </w:rPr>
        <w:t>i</w:t>
      </w:r>
      <w:r>
        <w:rPr>
          <w:szCs w:val="22"/>
        </w:rPr>
        <w:t>ss</w:t>
      </w:r>
      <w:r w:rsidRPr="009A456F">
        <w:rPr>
          <w:szCs w:val="22"/>
        </w:rPr>
        <w:t>e</w:t>
      </w:r>
      <w:r>
        <w:rPr>
          <w:szCs w:val="22"/>
        </w:rPr>
        <w:t>.  En l’espèce</w:t>
      </w:r>
      <w:r w:rsidRPr="009A456F">
        <w:rPr>
          <w:szCs w:val="22"/>
        </w:rPr>
        <w:t xml:space="preserve">, </w:t>
      </w:r>
      <w:r>
        <w:rPr>
          <w:szCs w:val="22"/>
        </w:rPr>
        <w:t>les</w:t>
      </w:r>
      <w:r w:rsidRPr="009A456F">
        <w:rPr>
          <w:szCs w:val="22"/>
        </w:rPr>
        <w:t xml:space="preserve"> recherche</w:t>
      </w:r>
      <w:r>
        <w:rPr>
          <w:szCs w:val="22"/>
        </w:rPr>
        <w:t>s</w:t>
      </w:r>
      <w:r w:rsidRPr="009A456F">
        <w:rPr>
          <w:szCs w:val="22"/>
        </w:rPr>
        <w:t xml:space="preserve"> de </w:t>
      </w:r>
      <w:r>
        <w:rPr>
          <w:szCs w:val="22"/>
        </w:rPr>
        <w:t>M. </w:t>
      </w:r>
      <w:proofErr w:type="spellStart"/>
      <w:r w:rsidRPr="009A456F">
        <w:rPr>
          <w:szCs w:val="22"/>
        </w:rPr>
        <w:t>Rinehart</w:t>
      </w:r>
      <w:proofErr w:type="spellEnd"/>
      <w:r w:rsidRPr="009A456F">
        <w:rPr>
          <w:szCs w:val="22"/>
        </w:rPr>
        <w:t xml:space="preserve"> </w:t>
      </w:r>
      <w:r>
        <w:rPr>
          <w:szCs w:val="22"/>
        </w:rPr>
        <w:t>ay</w:t>
      </w:r>
      <w:r w:rsidRPr="009A456F">
        <w:rPr>
          <w:szCs w:val="22"/>
        </w:rPr>
        <w:t>a</w:t>
      </w:r>
      <w:r>
        <w:rPr>
          <w:szCs w:val="22"/>
        </w:rPr>
        <w:t>nt</w:t>
      </w:r>
      <w:r w:rsidRPr="009A456F">
        <w:rPr>
          <w:szCs w:val="22"/>
        </w:rPr>
        <w:t xml:space="preserve"> été menée</w:t>
      </w:r>
      <w:r>
        <w:rPr>
          <w:szCs w:val="22"/>
        </w:rPr>
        <w:t>s</w:t>
      </w:r>
      <w:r w:rsidRPr="009A456F">
        <w:rPr>
          <w:szCs w:val="22"/>
        </w:rPr>
        <w:t xml:space="preserve"> </w:t>
      </w:r>
      <w:r>
        <w:rPr>
          <w:szCs w:val="22"/>
        </w:rPr>
        <w:t>dans le cadre de son</w:t>
      </w:r>
      <w:r w:rsidRPr="009A456F">
        <w:rPr>
          <w:szCs w:val="22"/>
        </w:rPr>
        <w:t xml:space="preserve"> poste à l</w:t>
      </w:r>
      <w:r>
        <w:rPr>
          <w:szCs w:val="22"/>
        </w:rPr>
        <w:t>’</w:t>
      </w:r>
      <w:r w:rsidRPr="009A456F">
        <w:rPr>
          <w:szCs w:val="22"/>
        </w:rPr>
        <w:t>Université de l</w:t>
      </w:r>
      <w:r>
        <w:rPr>
          <w:szCs w:val="22"/>
        </w:rPr>
        <w:t>’</w:t>
      </w:r>
      <w:r w:rsidRPr="009A456F">
        <w:rPr>
          <w:szCs w:val="22"/>
        </w:rPr>
        <w:t>Illinois, il est peu probable que l</w:t>
      </w:r>
      <w:r>
        <w:rPr>
          <w:szCs w:val="22"/>
        </w:rPr>
        <w:t>’u</w:t>
      </w:r>
      <w:r w:rsidRPr="009A456F">
        <w:rPr>
          <w:szCs w:val="22"/>
        </w:rPr>
        <w:t>niversité commercial</w:t>
      </w:r>
      <w:r>
        <w:rPr>
          <w:szCs w:val="22"/>
        </w:rPr>
        <w:t>is</w:t>
      </w:r>
      <w:r w:rsidRPr="009A456F">
        <w:rPr>
          <w:szCs w:val="22"/>
        </w:rPr>
        <w:t xml:space="preserve">e </w:t>
      </w:r>
      <w:r>
        <w:rPr>
          <w:szCs w:val="22"/>
        </w:rPr>
        <w:t>des</w:t>
      </w:r>
      <w:r w:rsidRPr="009A456F">
        <w:rPr>
          <w:szCs w:val="22"/>
        </w:rPr>
        <w:t xml:space="preserve"> produit</w:t>
      </w:r>
      <w:r>
        <w:rPr>
          <w:szCs w:val="22"/>
        </w:rPr>
        <w:t>s</w:t>
      </w:r>
      <w:r w:rsidRPr="009A456F">
        <w:rPr>
          <w:szCs w:val="22"/>
        </w:rPr>
        <w:t xml:space="preserve"> cont</w:t>
      </w:r>
      <w:r>
        <w:rPr>
          <w:szCs w:val="22"/>
        </w:rPr>
        <w:t>e</w:t>
      </w:r>
      <w:r w:rsidRPr="009A456F">
        <w:rPr>
          <w:szCs w:val="22"/>
        </w:rPr>
        <w:t>n</w:t>
      </w:r>
      <w:r>
        <w:rPr>
          <w:szCs w:val="22"/>
        </w:rPr>
        <w:t>a</w:t>
      </w:r>
      <w:r w:rsidRPr="009A456F">
        <w:rPr>
          <w:szCs w:val="22"/>
        </w:rPr>
        <w:t>n</w:t>
      </w:r>
      <w:r>
        <w:rPr>
          <w:szCs w:val="22"/>
        </w:rPr>
        <w:t>t</w:t>
      </w:r>
      <w:r w:rsidRPr="009A456F">
        <w:rPr>
          <w:szCs w:val="22"/>
        </w:rPr>
        <w:t xml:space="preserve"> </w:t>
      </w:r>
      <w:r>
        <w:rPr>
          <w:szCs w:val="22"/>
        </w:rPr>
        <w:t>la</w:t>
      </w:r>
      <w:r w:rsidRPr="009A456F">
        <w:rPr>
          <w:szCs w:val="22"/>
        </w:rPr>
        <w:t xml:space="preserve"> </w:t>
      </w:r>
      <w:proofErr w:type="spellStart"/>
      <w:r w:rsidRPr="009A456F">
        <w:rPr>
          <w:szCs w:val="22"/>
        </w:rPr>
        <w:t>didemnin</w:t>
      </w:r>
      <w:r>
        <w:rPr>
          <w:szCs w:val="22"/>
        </w:rPr>
        <w:t>e</w:t>
      </w:r>
      <w:proofErr w:type="spellEnd"/>
      <w:r w:rsidRPr="009A456F">
        <w:rPr>
          <w:szCs w:val="22"/>
        </w:rPr>
        <w:t xml:space="preserve"> </w:t>
      </w:r>
      <w:r>
        <w:rPr>
          <w:szCs w:val="22"/>
        </w:rPr>
        <w:t xml:space="preserve">présente dans les </w:t>
      </w:r>
      <w:r w:rsidRPr="009A456F">
        <w:rPr>
          <w:szCs w:val="22"/>
        </w:rPr>
        <w:t>tunic</w:t>
      </w:r>
      <w:r>
        <w:rPr>
          <w:szCs w:val="22"/>
        </w:rPr>
        <w:t>ier</w:t>
      </w:r>
      <w:r w:rsidRPr="009A456F">
        <w:rPr>
          <w:szCs w:val="22"/>
        </w:rPr>
        <w:t>s</w:t>
      </w:r>
      <w:r>
        <w:rPr>
          <w:szCs w:val="22"/>
        </w:rPr>
        <w:t xml:space="preserve">.  </w:t>
      </w:r>
      <w:r w:rsidRPr="00700EA1">
        <w:rPr>
          <w:szCs w:val="22"/>
        </w:rPr>
        <w:t xml:space="preserve">Toutefois, tout </w:t>
      </w:r>
      <w:r>
        <w:rPr>
          <w:szCs w:val="22"/>
        </w:rPr>
        <w:t>d</w:t>
      </w:r>
      <w:r w:rsidRPr="00700EA1">
        <w:rPr>
          <w:szCs w:val="22"/>
        </w:rPr>
        <w:t>é</w:t>
      </w:r>
      <w:r>
        <w:rPr>
          <w:szCs w:val="22"/>
        </w:rPr>
        <w:t>pos</w:t>
      </w:r>
      <w:r w:rsidRPr="00700EA1">
        <w:rPr>
          <w:szCs w:val="22"/>
        </w:rPr>
        <w:t xml:space="preserve">ant </w:t>
      </w:r>
      <w:r>
        <w:rPr>
          <w:szCs w:val="22"/>
        </w:rPr>
        <w:t xml:space="preserve">d’une demande de brevet </w:t>
      </w:r>
      <w:r w:rsidRPr="00700EA1">
        <w:rPr>
          <w:szCs w:val="22"/>
        </w:rPr>
        <w:t>à des fins commerciales devrait obtenir l</w:t>
      </w:r>
      <w:r>
        <w:rPr>
          <w:szCs w:val="22"/>
        </w:rPr>
        <w:t>’</w:t>
      </w:r>
      <w:r w:rsidRPr="00700EA1">
        <w:rPr>
          <w:szCs w:val="22"/>
        </w:rPr>
        <w:t>autorisation de l</w:t>
      </w:r>
      <w:r>
        <w:rPr>
          <w:szCs w:val="22"/>
        </w:rPr>
        <w:t>’</w:t>
      </w:r>
      <w:proofErr w:type="spellStart"/>
      <w:r w:rsidRPr="00700EA1">
        <w:rPr>
          <w:szCs w:val="22"/>
        </w:rPr>
        <w:t>OFE</w:t>
      </w:r>
      <w:r>
        <w:rPr>
          <w:szCs w:val="22"/>
        </w:rPr>
        <w:t>V</w:t>
      </w:r>
      <w:proofErr w:type="spellEnd"/>
      <w:r w:rsidRPr="00700EA1">
        <w:rPr>
          <w:szCs w:val="22"/>
        </w:rPr>
        <w:t xml:space="preserve"> </w:t>
      </w:r>
      <w:r>
        <w:rPr>
          <w:szCs w:val="22"/>
        </w:rPr>
        <w:t xml:space="preserve">avant de commercialiser des produits </w:t>
      </w:r>
      <w:r w:rsidRPr="00700EA1">
        <w:rPr>
          <w:szCs w:val="22"/>
        </w:rPr>
        <w:t>pharmaceuti</w:t>
      </w:r>
      <w:r>
        <w:rPr>
          <w:szCs w:val="22"/>
        </w:rPr>
        <w:t>que</w:t>
      </w:r>
      <w:r w:rsidRPr="00700EA1">
        <w:rPr>
          <w:szCs w:val="22"/>
        </w:rPr>
        <w:t>s d</w:t>
      </w:r>
      <w:r>
        <w:rPr>
          <w:szCs w:val="22"/>
        </w:rPr>
        <w:t>é</w:t>
      </w:r>
      <w:r w:rsidRPr="00700EA1">
        <w:rPr>
          <w:szCs w:val="22"/>
        </w:rPr>
        <w:t>riv</w:t>
      </w:r>
      <w:r>
        <w:rPr>
          <w:szCs w:val="22"/>
        </w:rPr>
        <w:t>és de ressources génétiques</w:t>
      </w:r>
      <w:r w:rsidRPr="00700EA1">
        <w:rPr>
          <w:szCs w:val="22"/>
        </w:rPr>
        <w:t>.</w:t>
      </w:r>
    </w:p>
    <w:p w:rsidR="008E65FA" w:rsidRPr="00700EA1" w:rsidRDefault="008E65FA" w:rsidP="008E65FA">
      <w:pPr>
        <w:autoSpaceDE w:val="0"/>
        <w:autoSpaceDN w:val="0"/>
        <w:adjustRightInd w:val="0"/>
        <w:rPr>
          <w:szCs w:val="22"/>
        </w:rPr>
      </w:pPr>
    </w:p>
    <w:p w:rsidR="008E65FA" w:rsidRPr="00F641D2" w:rsidRDefault="008E65FA" w:rsidP="008E65FA">
      <w:pPr>
        <w:autoSpaceDE w:val="0"/>
        <w:autoSpaceDN w:val="0"/>
        <w:adjustRightInd w:val="0"/>
        <w:rPr>
          <w:bCs/>
          <w:i/>
          <w:szCs w:val="22"/>
        </w:rPr>
      </w:pPr>
      <w:r>
        <w:rPr>
          <w:bCs/>
          <w:i/>
          <w:szCs w:val="22"/>
          <w:u w:val="single"/>
        </w:rPr>
        <w:t>Observations formulées par</w:t>
      </w:r>
      <w:r w:rsidRPr="00F07A58">
        <w:rPr>
          <w:bCs/>
          <w:i/>
          <w:szCs w:val="22"/>
          <w:u w:val="single"/>
        </w:rPr>
        <w:t xml:space="preserve"> la Suisse </w:t>
      </w:r>
      <w:r w:rsidRPr="008E65FA">
        <w:rPr>
          <w:i/>
          <w:u w:val="single"/>
        </w:rPr>
        <w:t>:</w:t>
      </w:r>
      <w:r w:rsidRPr="00F07A58">
        <w:rPr>
          <w:bCs/>
          <w:i/>
          <w:szCs w:val="22"/>
        </w:rPr>
        <w:t xml:space="preserve"> contrairement à ce qui est indiqué dans le texte ci</w:t>
      </w:r>
      <w:r>
        <w:rPr>
          <w:bCs/>
          <w:i/>
          <w:szCs w:val="22"/>
        </w:rPr>
        <w:noBreakHyphen/>
      </w:r>
      <w:r w:rsidRPr="00F07A58">
        <w:rPr>
          <w:bCs/>
          <w:i/>
          <w:szCs w:val="22"/>
        </w:rPr>
        <w:t>dessus, l</w:t>
      </w:r>
      <w:r>
        <w:rPr>
          <w:bCs/>
          <w:i/>
          <w:szCs w:val="22"/>
        </w:rPr>
        <w:t>’</w:t>
      </w:r>
      <w:r w:rsidRPr="00F07A58">
        <w:rPr>
          <w:bCs/>
          <w:i/>
          <w:szCs w:val="22"/>
        </w:rPr>
        <w:t>obligation de notifier à l</w:t>
      </w:r>
      <w:r>
        <w:rPr>
          <w:bCs/>
          <w:i/>
          <w:szCs w:val="22"/>
        </w:rPr>
        <w:t>’</w:t>
      </w:r>
      <w:proofErr w:type="spellStart"/>
      <w:r w:rsidRPr="00F07A58">
        <w:rPr>
          <w:bCs/>
          <w:i/>
          <w:szCs w:val="22"/>
        </w:rPr>
        <w:t>OFEV</w:t>
      </w:r>
      <w:proofErr w:type="spellEnd"/>
      <w:r w:rsidRPr="00F07A58">
        <w:rPr>
          <w:bCs/>
          <w:i/>
          <w:szCs w:val="22"/>
        </w:rPr>
        <w:t xml:space="preserve"> n</w:t>
      </w:r>
      <w:r>
        <w:rPr>
          <w:bCs/>
          <w:i/>
          <w:szCs w:val="22"/>
        </w:rPr>
        <w:t>’</w:t>
      </w:r>
      <w:r w:rsidRPr="00F07A58">
        <w:rPr>
          <w:bCs/>
          <w:i/>
          <w:szCs w:val="22"/>
        </w:rPr>
        <w:t>est pas une proc</w:t>
      </w:r>
      <w:r>
        <w:rPr>
          <w:bCs/>
          <w:i/>
          <w:szCs w:val="22"/>
        </w:rPr>
        <w:t>é</w:t>
      </w:r>
      <w:r w:rsidRPr="00F07A58">
        <w:rPr>
          <w:bCs/>
          <w:i/>
          <w:szCs w:val="22"/>
        </w:rPr>
        <w:t>dure d</w:t>
      </w:r>
      <w:r>
        <w:rPr>
          <w:bCs/>
          <w:i/>
          <w:szCs w:val="22"/>
        </w:rPr>
        <w:t>’</w:t>
      </w:r>
      <w:r w:rsidRPr="00F07A58">
        <w:rPr>
          <w:bCs/>
          <w:i/>
          <w:szCs w:val="22"/>
        </w:rPr>
        <w:t>autorisation</w:t>
      </w:r>
      <w:r>
        <w:rPr>
          <w:bCs/>
          <w:i/>
          <w:szCs w:val="22"/>
        </w:rPr>
        <w:t xml:space="preserve">.  </w:t>
      </w:r>
      <w:r w:rsidRPr="00F07A58">
        <w:rPr>
          <w:bCs/>
          <w:i/>
          <w:szCs w:val="22"/>
        </w:rPr>
        <w:t xml:space="preserve">Un </w:t>
      </w:r>
      <w:r>
        <w:rPr>
          <w:bCs/>
          <w:i/>
          <w:szCs w:val="22"/>
        </w:rPr>
        <w:t>d</w:t>
      </w:r>
      <w:r w:rsidRPr="00F07A58">
        <w:rPr>
          <w:bCs/>
          <w:i/>
          <w:szCs w:val="22"/>
        </w:rPr>
        <w:t>é</w:t>
      </w:r>
      <w:r>
        <w:rPr>
          <w:bCs/>
          <w:i/>
          <w:szCs w:val="22"/>
        </w:rPr>
        <w:t xml:space="preserve">posant d’une demande de brevet </w:t>
      </w:r>
      <w:r w:rsidRPr="00F07A58">
        <w:rPr>
          <w:bCs/>
          <w:i/>
          <w:szCs w:val="22"/>
        </w:rPr>
        <w:t>à des fins commerciales n</w:t>
      </w:r>
      <w:r>
        <w:rPr>
          <w:bCs/>
          <w:i/>
          <w:szCs w:val="22"/>
        </w:rPr>
        <w:t>’</w:t>
      </w:r>
      <w:r w:rsidRPr="00F07A58">
        <w:rPr>
          <w:bCs/>
          <w:i/>
          <w:szCs w:val="22"/>
        </w:rPr>
        <w:t xml:space="preserve">aurait pas besoin de demander </w:t>
      </w:r>
      <w:r>
        <w:rPr>
          <w:bCs/>
          <w:i/>
          <w:szCs w:val="22"/>
        </w:rPr>
        <w:t xml:space="preserve">une </w:t>
      </w:r>
      <w:r w:rsidRPr="00F07A58">
        <w:rPr>
          <w:bCs/>
          <w:i/>
          <w:szCs w:val="22"/>
        </w:rPr>
        <w:t xml:space="preserve">autorisation </w:t>
      </w:r>
      <w:r>
        <w:rPr>
          <w:bCs/>
          <w:i/>
          <w:szCs w:val="22"/>
        </w:rPr>
        <w:t>à l’</w:t>
      </w:r>
      <w:proofErr w:type="spellStart"/>
      <w:r>
        <w:rPr>
          <w:bCs/>
          <w:i/>
          <w:szCs w:val="22"/>
        </w:rPr>
        <w:t>OFEV</w:t>
      </w:r>
      <w:proofErr w:type="spellEnd"/>
      <w:r>
        <w:rPr>
          <w:bCs/>
          <w:i/>
          <w:szCs w:val="22"/>
        </w:rPr>
        <w:t xml:space="preserve"> pour la</w:t>
      </w:r>
      <w:r w:rsidRPr="00F07A58">
        <w:rPr>
          <w:bCs/>
          <w:i/>
          <w:szCs w:val="22"/>
        </w:rPr>
        <w:t xml:space="preserve"> </w:t>
      </w:r>
      <w:r>
        <w:rPr>
          <w:bCs/>
          <w:i/>
          <w:szCs w:val="22"/>
        </w:rPr>
        <w:t>mise sur le marché d’un</w:t>
      </w:r>
      <w:r w:rsidRPr="00F07A58">
        <w:rPr>
          <w:bCs/>
          <w:i/>
          <w:szCs w:val="22"/>
        </w:rPr>
        <w:t xml:space="preserve"> produ</w:t>
      </w:r>
      <w:r>
        <w:rPr>
          <w:bCs/>
          <w:i/>
          <w:szCs w:val="22"/>
        </w:rPr>
        <w:t>it.  Dans le cadre de l’obligation de</w:t>
      </w:r>
      <w:r w:rsidRPr="00F07A58">
        <w:rPr>
          <w:bCs/>
          <w:i/>
          <w:szCs w:val="22"/>
        </w:rPr>
        <w:t xml:space="preserve"> notifier, il incombe au </w:t>
      </w:r>
      <w:r>
        <w:rPr>
          <w:bCs/>
          <w:i/>
          <w:szCs w:val="22"/>
        </w:rPr>
        <w:t>d</w:t>
      </w:r>
      <w:r w:rsidRPr="00F07A58">
        <w:rPr>
          <w:bCs/>
          <w:i/>
          <w:szCs w:val="22"/>
        </w:rPr>
        <w:t>é</w:t>
      </w:r>
      <w:r>
        <w:rPr>
          <w:bCs/>
          <w:i/>
          <w:szCs w:val="22"/>
        </w:rPr>
        <w:t>pos</w:t>
      </w:r>
      <w:r w:rsidRPr="00F07A58">
        <w:rPr>
          <w:bCs/>
          <w:i/>
          <w:szCs w:val="22"/>
        </w:rPr>
        <w:t>ant de notif</w:t>
      </w:r>
      <w:r>
        <w:rPr>
          <w:bCs/>
          <w:i/>
          <w:szCs w:val="22"/>
        </w:rPr>
        <w:t xml:space="preserve">ier les </w:t>
      </w:r>
      <w:r w:rsidRPr="00F07A58">
        <w:rPr>
          <w:bCs/>
          <w:i/>
          <w:szCs w:val="22"/>
        </w:rPr>
        <w:t>information</w:t>
      </w:r>
      <w:r>
        <w:rPr>
          <w:bCs/>
          <w:i/>
          <w:szCs w:val="22"/>
        </w:rPr>
        <w:t>s correctes à l’</w:t>
      </w:r>
      <w:proofErr w:type="spellStart"/>
      <w:r>
        <w:rPr>
          <w:bCs/>
          <w:i/>
          <w:szCs w:val="22"/>
        </w:rPr>
        <w:t>OFEV</w:t>
      </w:r>
      <w:proofErr w:type="spellEnd"/>
      <w:r w:rsidRPr="00F07A58">
        <w:rPr>
          <w:bCs/>
          <w:i/>
          <w:szCs w:val="22"/>
        </w:rPr>
        <w:t>.  L</w:t>
      </w:r>
      <w:r>
        <w:rPr>
          <w:bCs/>
          <w:i/>
          <w:szCs w:val="22"/>
        </w:rPr>
        <w:t>’</w:t>
      </w:r>
      <w:proofErr w:type="spellStart"/>
      <w:r w:rsidRPr="00F07A58">
        <w:rPr>
          <w:bCs/>
          <w:i/>
          <w:szCs w:val="22"/>
        </w:rPr>
        <w:t>OFEV</w:t>
      </w:r>
      <w:proofErr w:type="spellEnd"/>
      <w:r w:rsidRPr="00F07A58">
        <w:rPr>
          <w:bCs/>
          <w:i/>
          <w:szCs w:val="22"/>
        </w:rPr>
        <w:t xml:space="preserve">, de même que </w:t>
      </w:r>
      <w:proofErr w:type="spellStart"/>
      <w:r w:rsidRPr="00F07A58">
        <w:rPr>
          <w:bCs/>
          <w:i/>
          <w:szCs w:val="22"/>
        </w:rPr>
        <w:t>Swissmedic</w:t>
      </w:r>
      <w:proofErr w:type="spellEnd"/>
      <w:r w:rsidRPr="00F07A58">
        <w:rPr>
          <w:bCs/>
          <w:i/>
          <w:szCs w:val="22"/>
        </w:rPr>
        <w:t>, ne procéderont qu</w:t>
      </w:r>
      <w:r>
        <w:rPr>
          <w:bCs/>
          <w:i/>
          <w:szCs w:val="22"/>
        </w:rPr>
        <w:t>’</w:t>
      </w:r>
      <w:r w:rsidRPr="00F07A58">
        <w:rPr>
          <w:bCs/>
          <w:i/>
          <w:szCs w:val="22"/>
        </w:rPr>
        <w:t xml:space="preserve">à </w:t>
      </w:r>
      <w:r>
        <w:rPr>
          <w:bCs/>
          <w:i/>
          <w:szCs w:val="22"/>
        </w:rPr>
        <w:t>un</w:t>
      </w:r>
      <w:r w:rsidRPr="00F07A58">
        <w:rPr>
          <w:bCs/>
          <w:i/>
          <w:szCs w:val="22"/>
        </w:rPr>
        <w:t xml:space="preserve"> contrôle formel pour vérifier si les informations ont été fournies (art. 10 let</w:t>
      </w:r>
      <w:r>
        <w:rPr>
          <w:bCs/>
          <w:i/>
          <w:szCs w:val="22"/>
        </w:rPr>
        <w:t>. </w:t>
      </w:r>
      <w:r w:rsidRPr="00F07A58">
        <w:rPr>
          <w:bCs/>
          <w:i/>
          <w:szCs w:val="22"/>
        </w:rPr>
        <w:t xml:space="preserve">h </w:t>
      </w:r>
      <w:r>
        <w:rPr>
          <w:bCs/>
          <w:i/>
          <w:szCs w:val="22"/>
        </w:rPr>
        <w:t>et</w:t>
      </w:r>
      <w:r w:rsidRPr="00F07A58">
        <w:rPr>
          <w:bCs/>
          <w:i/>
          <w:szCs w:val="22"/>
        </w:rPr>
        <w:t xml:space="preserve"> </w:t>
      </w:r>
      <w:r>
        <w:rPr>
          <w:bCs/>
          <w:i/>
          <w:szCs w:val="22"/>
        </w:rPr>
        <w:t>art. </w:t>
      </w:r>
      <w:r w:rsidRPr="00F07A58">
        <w:rPr>
          <w:bCs/>
          <w:i/>
          <w:szCs w:val="22"/>
        </w:rPr>
        <w:t xml:space="preserve">11 </w:t>
      </w:r>
      <w:proofErr w:type="spellStart"/>
      <w:r>
        <w:rPr>
          <w:bCs/>
          <w:i/>
          <w:szCs w:val="22"/>
        </w:rPr>
        <w:t>O</w:t>
      </w:r>
      <w:r w:rsidRPr="00F07A58">
        <w:rPr>
          <w:bCs/>
          <w:i/>
          <w:szCs w:val="22"/>
        </w:rPr>
        <w:t>Nag</w:t>
      </w:r>
      <w:proofErr w:type="spellEnd"/>
      <w:r w:rsidRPr="00F07A58">
        <w:rPr>
          <w:bCs/>
          <w:i/>
          <w:szCs w:val="22"/>
        </w:rPr>
        <w:t>, a</w:t>
      </w:r>
      <w:r>
        <w:rPr>
          <w:bCs/>
          <w:i/>
          <w:szCs w:val="22"/>
        </w:rPr>
        <w:t xml:space="preserve">insi que </w:t>
      </w:r>
      <w:r w:rsidRPr="00F07A58">
        <w:rPr>
          <w:bCs/>
          <w:i/>
          <w:szCs w:val="22"/>
        </w:rPr>
        <w:t>art</w:t>
      </w:r>
      <w:r>
        <w:rPr>
          <w:bCs/>
          <w:i/>
          <w:szCs w:val="22"/>
        </w:rPr>
        <w:t> </w:t>
      </w:r>
      <w:r w:rsidRPr="00F07A58">
        <w:rPr>
          <w:bCs/>
          <w:i/>
          <w:szCs w:val="22"/>
        </w:rPr>
        <w:t>3</w:t>
      </w:r>
      <w:r>
        <w:rPr>
          <w:bCs/>
          <w:i/>
          <w:szCs w:val="22"/>
        </w:rPr>
        <w:t>, al</w:t>
      </w:r>
      <w:r w:rsidRPr="00F07A58">
        <w:rPr>
          <w:bCs/>
          <w:i/>
          <w:szCs w:val="22"/>
        </w:rPr>
        <w:t>.</w:t>
      </w:r>
      <w:r>
        <w:rPr>
          <w:bCs/>
          <w:i/>
          <w:szCs w:val="22"/>
        </w:rPr>
        <w:t> </w:t>
      </w:r>
      <w:proofErr w:type="spellStart"/>
      <w:r w:rsidRPr="00582DA6">
        <w:rPr>
          <w:bCs/>
          <w:i/>
          <w:szCs w:val="22"/>
        </w:rPr>
        <w:t>1</w:t>
      </w:r>
      <w:r w:rsidRPr="00582DA6">
        <w:rPr>
          <w:bCs/>
          <w:i/>
          <w:szCs w:val="22"/>
          <w:vertAlign w:val="superscript"/>
        </w:rPr>
        <w:t>bis</w:t>
      </w:r>
      <w:proofErr w:type="spellEnd"/>
      <w:r w:rsidRPr="00582DA6">
        <w:rPr>
          <w:bCs/>
          <w:i/>
          <w:szCs w:val="22"/>
        </w:rPr>
        <w:t xml:space="preserve"> </w:t>
      </w:r>
      <w:r>
        <w:rPr>
          <w:bCs/>
          <w:i/>
          <w:szCs w:val="22"/>
        </w:rPr>
        <w:t>et</w:t>
      </w:r>
      <w:r w:rsidRPr="00582DA6">
        <w:rPr>
          <w:bCs/>
          <w:i/>
          <w:szCs w:val="22"/>
        </w:rPr>
        <w:t xml:space="preserve"> </w:t>
      </w:r>
      <w:r>
        <w:rPr>
          <w:bCs/>
          <w:i/>
          <w:szCs w:val="22"/>
        </w:rPr>
        <w:t>art. </w:t>
      </w:r>
      <w:r w:rsidRPr="00582DA6">
        <w:rPr>
          <w:bCs/>
          <w:i/>
          <w:szCs w:val="22"/>
        </w:rPr>
        <w:t>7</w:t>
      </w:r>
      <w:r>
        <w:rPr>
          <w:bCs/>
          <w:i/>
          <w:szCs w:val="22"/>
        </w:rPr>
        <w:t>, al. </w:t>
      </w:r>
      <w:proofErr w:type="spellStart"/>
      <w:r w:rsidRPr="00582DA6">
        <w:rPr>
          <w:bCs/>
          <w:i/>
          <w:szCs w:val="22"/>
        </w:rPr>
        <w:t>1</w:t>
      </w:r>
      <w:r w:rsidRPr="00582DA6">
        <w:rPr>
          <w:bCs/>
          <w:i/>
          <w:szCs w:val="22"/>
          <w:vertAlign w:val="superscript"/>
        </w:rPr>
        <w:t>bis</w:t>
      </w:r>
      <w:proofErr w:type="spellEnd"/>
      <w:r w:rsidRPr="00582DA6">
        <w:rPr>
          <w:bCs/>
          <w:i/>
          <w:szCs w:val="22"/>
        </w:rPr>
        <w:t xml:space="preserve"> </w:t>
      </w:r>
      <w:r>
        <w:rPr>
          <w:bCs/>
          <w:i/>
          <w:szCs w:val="22"/>
        </w:rPr>
        <w:t xml:space="preserve">de l’Ordonnance sur les médicaments </w:t>
      </w:r>
      <w:r w:rsidRPr="00582DA6">
        <w:rPr>
          <w:bCs/>
          <w:i/>
          <w:szCs w:val="22"/>
        </w:rPr>
        <w:t>(</w:t>
      </w:r>
      <w:proofErr w:type="spellStart"/>
      <w:r w:rsidRPr="00582DA6">
        <w:rPr>
          <w:bCs/>
          <w:i/>
          <w:szCs w:val="22"/>
        </w:rPr>
        <w:t>O</w:t>
      </w:r>
      <w:r>
        <w:rPr>
          <w:bCs/>
          <w:i/>
          <w:szCs w:val="22"/>
        </w:rPr>
        <w:t>Méd</w:t>
      </w:r>
      <w:proofErr w:type="spellEnd"/>
      <w:r w:rsidRPr="00582DA6">
        <w:rPr>
          <w:bCs/>
          <w:i/>
          <w:szCs w:val="22"/>
        </w:rPr>
        <w:t>)</w:t>
      </w:r>
      <w:r>
        <w:rPr>
          <w:bCs/>
          <w:i/>
          <w:szCs w:val="22"/>
        </w:rPr>
        <w:t xml:space="preserve">.  </w:t>
      </w:r>
      <w:r w:rsidRPr="00F641D2">
        <w:rPr>
          <w:bCs/>
          <w:i/>
          <w:szCs w:val="22"/>
        </w:rPr>
        <w:t>Cela étant, l</w:t>
      </w:r>
      <w:r>
        <w:rPr>
          <w:bCs/>
          <w:i/>
          <w:szCs w:val="22"/>
        </w:rPr>
        <w:t>’</w:t>
      </w:r>
      <w:proofErr w:type="spellStart"/>
      <w:r w:rsidRPr="00F641D2">
        <w:rPr>
          <w:bCs/>
          <w:i/>
          <w:szCs w:val="22"/>
        </w:rPr>
        <w:t>OFEV</w:t>
      </w:r>
      <w:proofErr w:type="spellEnd"/>
      <w:r w:rsidRPr="00F641D2">
        <w:rPr>
          <w:bCs/>
          <w:i/>
          <w:szCs w:val="22"/>
        </w:rPr>
        <w:t xml:space="preserve"> vérifiera le respect des obligations conformément à</w:t>
      </w:r>
      <w:r w:rsidRPr="00D8497A">
        <w:rPr>
          <w:bCs/>
          <w:i/>
          <w:szCs w:val="22"/>
        </w:rPr>
        <w:t xml:space="preserve"> la </w:t>
      </w:r>
      <w:proofErr w:type="spellStart"/>
      <w:r w:rsidRPr="00D8497A">
        <w:rPr>
          <w:bCs/>
          <w:i/>
          <w:szCs w:val="22"/>
        </w:rPr>
        <w:t>LPN</w:t>
      </w:r>
      <w:proofErr w:type="spellEnd"/>
      <w:r w:rsidRPr="00F641D2">
        <w:rPr>
          <w:bCs/>
          <w:i/>
          <w:szCs w:val="22"/>
        </w:rPr>
        <w:t xml:space="preserve"> lorsque des indices concrets laissent suppose</w:t>
      </w:r>
      <w:r>
        <w:rPr>
          <w:bCs/>
          <w:i/>
          <w:szCs w:val="22"/>
        </w:rPr>
        <w:t>r</w:t>
      </w:r>
      <w:r w:rsidRPr="00F641D2">
        <w:rPr>
          <w:bCs/>
          <w:i/>
          <w:szCs w:val="22"/>
        </w:rPr>
        <w:t xml:space="preserve"> une infracti</w:t>
      </w:r>
      <w:r>
        <w:rPr>
          <w:bCs/>
          <w:i/>
          <w:szCs w:val="22"/>
        </w:rPr>
        <w:t>o</w:t>
      </w:r>
      <w:r w:rsidRPr="00F641D2">
        <w:rPr>
          <w:bCs/>
          <w:i/>
          <w:szCs w:val="22"/>
        </w:rPr>
        <w:t>n ou lorsqu</w:t>
      </w:r>
      <w:r>
        <w:rPr>
          <w:bCs/>
          <w:i/>
          <w:szCs w:val="22"/>
        </w:rPr>
        <w:t>’</w:t>
      </w:r>
      <w:r w:rsidRPr="00F641D2">
        <w:rPr>
          <w:bCs/>
          <w:i/>
          <w:szCs w:val="22"/>
        </w:rPr>
        <w:t>il effectue des contr</w:t>
      </w:r>
      <w:r>
        <w:rPr>
          <w:bCs/>
          <w:i/>
          <w:szCs w:val="22"/>
        </w:rPr>
        <w:t>ôles par sondage</w:t>
      </w:r>
      <w:r w:rsidRPr="00F641D2">
        <w:rPr>
          <w:bCs/>
          <w:i/>
          <w:szCs w:val="22"/>
        </w:rPr>
        <w:t xml:space="preserve"> (</w:t>
      </w:r>
      <w:r>
        <w:rPr>
          <w:bCs/>
          <w:i/>
          <w:szCs w:val="22"/>
        </w:rPr>
        <w:t>a</w:t>
      </w:r>
      <w:r w:rsidRPr="00F641D2">
        <w:rPr>
          <w:bCs/>
          <w:i/>
          <w:szCs w:val="22"/>
        </w:rPr>
        <w:t>rt</w:t>
      </w:r>
      <w:r>
        <w:rPr>
          <w:bCs/>
          <w:i/>
          <w:szCs w:val="22"/>
        </w:rPr>
        <w:t>. </w:t>
      </w:r>
      <w:r w:rsidRPr="00F641D2">
        <w:rPr>
          <w:bCs/>
          <w:i/>
          <w:szCs w:val="22"/>
        </w:rPr>
        <w:t>10</w:t>
      </w:r>
      <w:r>
        <w:rPr>
          <w:bCs/>
          <w:i/>
          <w:szCs w:val="22"/>
        </w:rPr>
        <w:t xml:space="preserve">, </w:t>
      </w:r>
      <w:r w:rsidRPr="00F641D2">
        <w:rPr>
          <w:bCs/>
          <w:i/>
          <w:szCs w:val="22"/>
        </w:rPr>
        <w:t>let</w:t>
      </w:r>
      <w:r>
        <w:rPr>
          <w:bCs/>
          <w:i/>
          <w:szCs w:val="22"/>
        </w:rPr>
        <w:t>. </w:t>
      </w:r>
      <w:r w:rsidRPr="00F641D2">
        <w:rPr>
          <w:bCs/>
          <w:i/>
          <w:szCs w:val="22"/>
        </w:rPr>
        <w:t xml:space="preserve">i </w:t>
      </w:r>
      <w:proofErr w:type="spellStart"/>
      <w:r>
        <w:rPr>
          <w:bCs/>
          <w:i/>
          <w:szCs w:val="22"/>
        </w:rPr>
        <w:t>O</w:t>
      </w:r>
      <w:r w:rsidRPr="00F641D2">
        <w:rPr>
          <w:bCs/>
          <w:i/>
          <w:szCs w:val="22"/>
        </w:rPr>
        <w:t>Nag</w:t>
      </w:r>
      <w:proofErr w:type="spellEnd"/>
      <w:r w:rsidRPr="00F641D2">
        <w:rPr>
          <w:bCs/>
          <w:i/>
          <w:szCs w:val="22"/>
        </w:rPr>
        <w:t>).</w:t>
      </w:r>
    </w:p>
    <w:p w:rsidR="008E65FA" w:rsidRPr="00F641D2" w:rsidRDefault="008E65FA" w:rsidP="008E65FA">
      <w:pPr>
        <w:autoSpaceDE w:val="0"/>
        <w:autoSpaceDN w:val="0"/>
        <w:adjustRightInd w:val="0"/>
        <w:rPr>
          <w:szCs w:val="22"/>
        </w:rPr>
      </w:pPr>
    </w:p>
    <w:p w:rsidR="008E65FA" w:rsidRPr="00F641D2" w:rsidRDefault="008E65FA" w:rsidP="008E65FA">
      <w:pPr>
        <w:autoSpaceDE w:val="0"/>
        <w:autoSpaceDN w:val="0"/>
        <w:adjustRightInd w:val="0"/>
        <w:rPr>
          <w:szCs w:val="22"/>
        </w:rPr>
      </w:pPr>
    </w:p>
    <w:p w:rsidR="008E65FA" w:rsidRPr="000F3E39" w:rsidRDefault="008E65FA" w:rsidP="008E65FA">
      <w:pPr>
        <w:autoSpaceDE w:val="0"/>
        <w:autoSpaceDN w:val="0"/>
        <w:adjustRightInd w:val="0"/>
        <w:rPr>
          <w:b/>
          <w:szCs w:val="22"/>
        </w:rPr>
      </w:pPr>
      <w:r w:rsidRPr="00F641D2">
        <w:rPr>
          <w:szCs w:val="22"/>
        </w:rPr>
        <w:tab/>
      </w:r>
      <w:r w:rsidRPr="000F3E39">
        <w:rPr>
          <w:szCs w:val="22"/>
        </w:rPr>
        <w:t>D.</w:t>
      </w:r>
      <w:r>
        <w:rPr>
          <w:szCs w:val="22"/>
        </w:rPr>
        <w:t xml:space="preserve"> </w:t>
      </w:r>
      <w:r w:rsidRPr="000F3E39">
        <w:rPr>
          <w:szCs w:val="22"/>
        </w:rPr>
        <w:t xml:space="preserve"> </w:t>
      </w:r>
      <w:r w:rsidRPr="000F3E39">
        <w:rPr>
          <w:b/>
          <w:szCs w:val="22"/>
        </w:rPr>
        <w:t>Pour l</w:t>
      </w:r>
      <w:r>
        <w:rPr>
          <w:b/>
          <w:szCs w:val="22"/>
        </w:rPr>
        <w:t>es</w:t>
      </w:r>
      <w:r w:rsidRPr="000F3E39">
        <w:rPr>
          <w:b/>
          <w:szCs w:val="22"/>
        </w:rPr>
        <w:t xml:space="preserve"> d</w:t>
      </w:r>
      <w:r>
        <w:rPr>
          <w:b/>
          <w:szCs w:val="22"/>
        </w:rPr>
        <w:t>éposants de de</w:t>
      </w:r>
      <w:r w:rsidRPr="000F3E39">
        <w:rPr>
          <w:b/>
          <w:szCs w:val="22"/>
        </w:rPr>
        <w:t>mande</w:t>
      </w:r>
      <w:r>
        <w:rPr>
          <w:b/>
          <w:szCs w:val="22"/>
        </w:rPr>
        <w:t>s</w:t>
      </w:r>
      <w:r w:rsidRPr="000F3E39">
        <w:rPr>
          <w:b/>
          <w:szCs w:val="22"/>
        </w:rPr>
        <w:t xml:space="preserve"> de brevet, la source des ressources génétiques doit </w:t>
      </w:r>
      <w:r>
        <w:rPr>
          <w:b/>
          <w:szCs w:val="22"/>
        </w:rPr>
        <w:t>être indiquée</w:t>
      </w:r>
    </w:p>
    <w:p w:rsidR="008E65FA" w:rsidRPr="000F3E39" w:rsidRDefault="008E65FA" w:rsidP="008E65FA">
      <w:pPr>
        <w:autoSpaceDE w:val="0"/>
        <w:autoSpaceDN w:val="0"/>
        <w:adjustRightInd w:val="0"/>
        <w:rPr>
          <w:i/>
          <w:szCs w:val="22"/>
        </w:rPr>
      </w:pPr>
    </w:p>
    <w:p w:rsidR="008E65FA" w:rsidRPr="000F3E39" w:rsidRDefault="008E65FA" w:rsidP="008E65FA">
      <w:pPr>
        <w:autoSpaceDE w:val="0"/>
        <w:autoSpaceDN w:val="0"/>
        <w:adjustRightInd w:val="0"/>
        <w:ind w:firstLine="720"/>
        <w:rPr>
          <w:szCs w:val="22"/>
        </w:rPr>
      </w:pPr>
      <w:r>
        <w:rPr>
          <w:szCs w:val="22"/>
        </w:rPr>
        <w:t>E</w:t>
      </w:r>
      <w:r w:rsidRPr="00F641D2">
        <w:rPr>
          <w:szCs w:val="22"/>
        </w:rPr>
        <w:t xml:space="preserve">n </w:t>
      </w:r>
      <w:r>
        <w:rPr>
          <w:szCs w:val="22"/>
        </w:rPr>
        <w:t>plus des exigences ci</w:t>
      </w:r>
      <w:r>
        <w:rPr>
          <w:szCs w:val="22"/>
        </w:rPr>
        <w:noBreakHyphen/>
        <w:t>dessus</w:t>
      </w:r>
      <w:r w:rsidRPr="00F641D2">
        <w:rPr>
          <w:szCs w:val="22"/>
        </w:rPr>
        <w:t xml:space="preserve">, </w:t>
      </w:r>
      <w:r>
        <w:rPr>
          <w:szCs w:val="22"/>
        </w:rPr>
        <w:t xml:space="preserve">la </w:t>
      </w:r>
      <w:r w:rsidRPr="00F641D2">
        <w:rPr>
          <w:szCs w:val="22"/>
        </w:rPr>
        <w:t>S</w:t>
      </w:r>
      <w:r>
        <w:rPr>
          <w:szCs w:val="22"/>
        </w:rPr>
        <w:t>u</w:t>
      </w:r>
      <w:r w:rsidRPr="00F641D2">
        <w:rPr>
          <w:szCs w:val="22"/>
        </w:rPr>
        <w:t>i</w:t>
      </w:r>
      <w:r>
        <w:rPr>
          <w:szCs w:val="22"/>
        </w:rPr>
        <w:t>ss</w:t>
      </w:r>
      <w:r w:rsidRPr="00F641D2">
        <w:rPr>
          <w:szCs w:val="22"/>
        </w:rPr>
        <w:t xml:space="preserve">e </w:t>
      </w:r>
      <w:r>
        <w:rPr>
          <w:szCs w:val="22"/>
        </w:rPr>
        <w:t xml:space="preserve">oblige les déposants à indiquer la </w:t>
      </w:r>
      <w:r w:rsidRPr="000F3E39">
        <w:rPr>
          <w:szCs w:val="22"/>
        </w:rPr>
        <w:t xml:space="preserve">source </w:t>
      </w:r>
      <w:r>
        <w:rPr>
          <w:szCs w:val="22"/>
        </w:rPr>
        <w:t>des ressources génétiques dans leurs demandes de brevet</w:t>
      </w:r>
      <w:r w:rsidRPr="000F3E39">
        <w:rPr>
          <w:szCs w:val="22"/>
        </w:rPr>
        <w:t>.</w:t>
      </w:r>
    </w:p>
    <w:p w:rsidR="008E65FA" w:rsidRPr="000F3E39" w:rsidRDefault="008E65FA" w:rsidP="008E65FA">
      <w:pPr>
        <w:autoSpaceDE w:val="0"/>
        <w:autoSpaceDN w:val="0"/>
        <w:adjustRightInd w:val="0"/>
        <w:ind w:firstLine="720"/>
        <w:rPr>
          <w:szCs w:val="22"/>
        </w:rPr>
      </w:pPr>
    </w:p>
    <w:p w:rsidR="008E65FA" w:rsidRDefault="008E65FA" w:rsidP="008E65FA">
      <w:pPr>
        <w:autoSpaceDE w:val="0"/>
        <w:autoSpaceDN w:val="0"/>
        <w:adjustRightInd w:val="0"/>
        <w:rPr>
          <w:bCs/>
          <w:i/>
          <w:szCs w:val="22"/>
        </w:rPr>
      </w:pPr>
      <w:r w:rsidRPr="000F3E39">
        <w:rPr>
          <w:bCs/>
          <w:i/>
          <w:szCs w:val="22"/>
          <w:u w:val="single"/>
        </w:rPr>
        <w:t>Observation</w:t>
      </w:r>
      <w:r>
        <w:rPr>
          <w:bCs/>
          <w:i/>
          <w:szCs w:val="22"/>
          <w:u w:val="single"/>
        </w:rPr>
        <w:t>s</w:t>
      </w:r>
      <w:r w:rsidRPr="000F3E39">
        <w:rPr>
          <w:bCs/>
          <w:i/>
          <w:szCs w:val="22"/>
          <w:u w:val="single"/>
        </w:rPr>
        <w:t xml:space="preserve"> formulée</w:t>
      </w:r>
      <w:r>
        <w:rPr>
          <w:bCs/>
          <w:i/>
          <w:szCs w:val="22"/>
          <w:u w:val="single"/>
        </w:rPr>
        <w:t>s</w:t>
      </w:r>
      <w:r w:rsidRPr="000F3E39">
        <w:rPr>
          <w:bCs/>
          <w:i/>
          <w:szCs w:val="22"/>
          <w:u w:val="single"/>
        </w:rPr>
        <w:t xml:space="preserve"> par la Suisse </w:t>
      </w:r>
      <w:r w:rsidRPr="008E65FA">
        <w:rPr>
          <w:i/>
          <w:u w:val="single"/>
        </w:rPr>
        <w:t>:</w:t>
      </w:r>
      <w:r w:rsidRPr="000F3E39">
        <w:rPr>
          <w:bCs/>
          <w:i/>
          <w:szCs w:val="22"/>
        </w:rPr>
        <w:t xml:space="preserve"> contrairement à ce que </w:t>
      </w:r>
      <w:r>
        <w:rPr>
          <w:bCs/>
          <w:i/>
          <w:szCs w:val="22"/>
        </w:rPr>
        <w:t xml:space="preserve">suggère </w:t>
      </w:r>
      <w:r w:rsidRPr="000F3E39">
        <w:rPr>
          <w:bCs/>
          <w:i/>
          <w:szCs w:val="22"/>
        </w:rPr>
        <w:t>le text</w:t>
      </w:r>
      <w:r>
        <w:rPr>
          <w:bCs/>
          <w:i/>
          <w:szCs w:val="22"/>
        </w:rPr>
        <w:t>e, l’obligation d</w:t>
      </w:r>
      <w:r w:rsidRPr="000F3E39">
        <w:rPr>
          <w:bCs/>
          <w:i/>
          <w:szCs w:val="22"/>
        </w:rPr>
        <w:t>e notifi</w:t>
      </w:r>
      <w:r>
        <w:rPr>
          <w:bCs/>
          <w:i/>
          <w:szCs w:val="22"/>
        </w:rPr>
        <w:t>er</w:t>
      </w:r>
      <w:r w:rsidRPr="000F3E39">
        <w:rPr>
          <w:bCs/>
          <w:i/>
          <w:szCs w:val="22"/>
        </w:rPr>
        <w:t xml:space="preserve"> </w:t>
      </w:r>
      <w:r>
        <w:rPr>
          <w:bCs/>
          <w:i/>
          <w:szCs w:val="22"/>
        </w:rPr>
        <w:t>ne s’applique pas aux déposants</w:t>
      </w:r>
      <w:r w:rsidRPr="000F3E39">
        <w:rPr>
          <w:bCs/>
          <w:i/>
          <w:szCs w:val="22"/>
        </w:rPr>
        <w:t>.</w:t>
      </w:r>
    </w:p>
    <w:p w:rsidR="008E65FA" w:rsidRPr="000F3E39" w:rsidRDefault="008E65FA" w:rsidP="008E65FA">
      <w:pPr>
        <w:autoSpaceDE w:val="0"/>
        <w:autoSpaceDN w:val="0"/>
        <w:adjustRightInd w:val="0"/>
        <w:rPr>
          <w:bCs/>
          <w:i/>
          <w:szCs w:val="22"/>
        </w:rPr>
      </w:pPr>
    </w:p>
    <w:p w:rsidR="008E65FA" w:rsidRPr="000F3E39" w:rsidRDefault="008E65FA" w:rsidP="008E65FA">
      <w:pPr>
        <w:autoSpaceDE w:val="0"/>
        <w:autoSpaceDN w:val="0"/>
        <w:adjustRightInd w:val="0"/>
        <w:ind w:firstLine="720"/>
        <w:rPr>
          <w:szCs w:val="22"/>
        </w:rPr>
      </w:pPr>
    </w:p>
    <w:p w:rsidR="008E65FA" w:rsidRDefault="008E65FA" w:rsidP="008E65FA">
      <w:pPr>
        <w:autoSpaceDE w:val="0"/>
        <w:autoSpaceDN w:val="0"/>
        <w:adjustRightInd w:val="0"/>
        <w:ind w:firstLine="720"/>
        <w:rPr>
          <w:szCs w:val="22"/>
        </w:rPr>
      </w:pPr>
      <w:r w:rsidRPr="000F3E39">
        <w:rPr>
          <w:szCs w:val="22"/>
        </w:rPr>
        <w:t>Selon l</w:t>
      </w:r>
      <w:r>
        <w:rPr>
          <w:szCs w:val="22"/>
        </w:rPr>
        <w:t>’</w:t>
      </w:r>
      <w:r w:rsidRPr="000F3E39">
        <w:rPr>
          <w:szCs w:val="22"/>
        </w:rPr>
        <w:t>art. </w:t>
      </w:r>
      <w:proofErr w:type="spellStart"/>
      <w:r w:rsidRPr="000F3E39">
        <w:rPr>
          <w:szCs w:val="22"/>
        </w:rPr>
        <w:t>49</w:t>
      </w:r>
      <w:r w:rsidRPr="001C42EF">
        <w:rPr>
          <w:i/>
          <w:szCs w:val="22"/>
        </w:rPr>
        <w:t>a</w:t>
      </w:r>
      <w:proofErr w:type="spellEnd"/>
      <w:r w:rsidRPr="000F3E39">
        <w:rPr>
          <w:szCs w:val="22"/>
        </w:rPr>
        <w:t xml:space="preserve"> de la Loi sur les brevets</w:t>
      </w:r>
      <w:r>
        <w:rPr>
          <w:szCs w:val="22"/>
        </w:rPr>
        <w:t xml:space="preserve"> (</w:t>
      </w:r>
      <w:proofErr w:type="spellStart"/>
      <w:r>
        <w:rPr>
          <w:szCs w:val="22"/>
        </w:rPr>
        <w:t>LBI</w:t>
      </w:r>
      <w:proofErr w:type="spellEnd"/>
      <w:r>
        <w:rPr>
          <w:szCs w:val="22"/>
        </w:rPr>
        <w:t>)</w:t>
      </w:r>
      <w:r w:rsidRPr="000F3E39">
        <w:rPr>
          <w:szCs w:val="22"/>
        </w:rPr>
        <w:t>, “La demande de brevet doit contenir des indications concernant la source : a</w:t>
      </w:r>
      <w:r>
        <w:rPr>
          <w:szCs w:val="22"/>
        </w:rPr>
        <w:t>.</w:t>
      </w:r>
      <w:r w:rsidRPr="000F3E39">
        <w:rPr>
          <w:szCs w:val="22"/>
        </w:rPr>
        <w:t> de la ressource génétique à laquelle l</w:t>
      </w:r>
      <w:r>
        <w:rPr>
          <w:szCs w:val="22"/>
        </w:rPr>
        <w:t>’</w:t>
      </w:r>
      <w:r w:rsidRPr="000F3E39">
        <w:rPr>
          <w:szCs w:val="22"/>
        </w:rPr>
        <w:t xml:space="preserve">inventeur ou </w:t>
      </w:r>
      <w:r>
        <w:rPr>
          <w:szCs w:val="22"/>
        </w:rPr>
        <w:t xml:space="preserve">le requérant a eu </w:t>
      </w:r>
      <w:r w:rsidRPr="000F3E39">
        <w:rPr>
          <w:szCs w:val="22"/>
        </w:rPr>
        <w:t>acc</w:t>
      </w:r>
      <w:r>
        <w:rPr>
          <w:szCs w:val="22"/>
        </w:rPr>
        <w:t>è</w:t>
      </w:r>
      <w:r w:rsidRPr="000F3E39">
        <w:rPr>
          <w:szCs w:val="22"/>
        </w:rPr>
        <w:t xml:space="preserve">s, </w:t>
      </w:r>
      <w:r>
        <w:rPr>
          <w:szCs w:val="22"/>
        </w:rPr>
        <w:t>pour autant que l’</w:t>
      </w:r>
      <w:r w:rsidRPr="000F3E39">
        <w:rPr>
          <w:szCs w:val="22"/>
        </w:rPr>
        <w:t xml:space="preserve">invention </w:t>
      </w:r>
      <w:r>
        <w:rPr>
          <w:b/>
          <w:szCs w:val="22"/>
        </w:rPr>
        <w:t>porte d</w:t>
      </w:r>
      <w:r w:rsidRPr="000F3E39">
        <w:rPr>
          <w:b/>
          <w:szCs w:val="22"/>
        </w:rPr>
        <w:t>irect</w:t>
      </w:r>
      <w:r>
        <w:rPr>
          <w:b/>
          <w:szCs w:val="22"/>
        </w:rPr>
        <w:t>ement</w:t>
      </w:r>
      <w:r w:rsidRPr="000F3E39">
        <w:rPr>
          <w:szCs w:val="22"/>
        </w:rPr>
        <w:t xml:space="preserve"> </w:t>
      </w:r>
      <w:r>
        <w:rPr>
          <w:szCs w:val="22"/>
        </w:rPr>
        <w:t>sur cette</w:t>
      </w:r>
      <w:r w:rsidRPr="000F3E39">
        <w:rPr>
          <w:szCs w:val="22"/>
        </w:rPr>
        <w:t xml:space="preserve"> re</w:t>
      </w:r>
      <w:r>
        <w:rPr>
          <w:szCs w:val="22"/>
        </w:rPr>
        <w:t>s</w:t>
      </w:r>
      <w:r w:rsidRPr="000F3E39">
        <w:rPr>
          <w:szCs w:val="22"/>
        </w:rPr>
        <w:t xml:space="preserve">source; </w:t>
      </w:r>
      <w:r>
        <w:rPr>
          <w:szCs w:val="22"/>
        </w:rPr>
        <w:t xml:space="preserve"> b. du savoir </w:t>
      </w:r>
      <w:r w:rsidRPr="000F3E39">
        <w:rPr>
          <w:szCs w:val="22"/>
        </w:rPr>
        <w:t>tradition</w:t>
      </w:r>
      <w:r>
        <w:rPr>
          <w:szCs w:val="22"/>
        </w:rPr>
        <w:t xml:space="preserve">nel des communautés indigènes ou </w:t>
      </w:r>
      <w:r w:rsidRPr="000F3E39">
        <w:rPr>
          <w:szCs w:val="22"/>
        </w:rPr>
        <w:t xml:space="preserve">locales </w:t>
      </w:r>
      <w:r>
        <w:rPr>
          <w:szCs w:val="22"/>
        </w:rPr>
        <w:t xml:space="preserve">relatif aux </w:t>
      </w:r>
      <w:r w:rsidRPr="000F3E39">
        <w:rPr>
          <w:szCs w:val="22"/>
        </w:rPr>
        <w:t>re</w:t>
      </w:r>
      <w:r>
        <w:rPr>
          <w:szCs w:val="22"/>
        </w:rPr>
        <w:t>s</w:t>
      </w:r>
      <w:r w:rsidRPr="000F3E39">
        <w:rPr>
          <w:szCs w:val="22"/>
        </w:rPr>
        <w:t xml:space="preserve">sources </w:t>
      </w:r>
      <w:r>
        <w:rPr>
          <w:szCs w:val="22"/>
        </w:rPr>
        <w:t>génétiques auxquelles l’</w:t>
      </w:r>
      <w:r w:rsidRPr="000F3E39">
        <w:rPr>
          <w:szCs w:val="22"/>
        </w:rPr>
        <w:t>invent</w:t>
      </w:r>
      <w:r>
        <w:rPr>
          <w:szCs w:val="22"/>
        </w:rPr>
        <w:t>eu</w:t>
      </w:r>
      <w:r w:rsidRPr="000F3E39">
        <w:rPr>
          <w:szCs w:val="22"/>
        </w:rPr>
        <w:t>r o</w:t>
      </w:r>
      <w:r>
        <w:rPr>
          <w:szCs w:val="22"/>
        </w:rPr>
        <w:t xml:space="preserve">u le requérant a eu </w:t>
      </w:r>
      <w:r w:rsidRPr="000F3E39">
        <w:rPr>
          <w:szCs w:val="22"/>
        </w:rPr>
        <w:t>acc</w:t>
      </w:r>
      <w:r>
        <w:rPr>
          <w:szCs w:val="22"/>
        </w:rPr>
        <w:t>è</w:t>
      </w:r>
      <w:r w:rsidRPr="000F3E39">
        <w:rPr>
          <w:szCs w:val="22"/>
        </w:rPr>
        <w:t>s, p</w:t>
      </w:r>
      <w:r>
        <w:rPr>
          <w:szCs w:val="22"/>
        </w:rPr>
        <w:t>our autant que l’</w:t>
      </w:r>
      <w:r w:rsidRPr="000F3E39">
        <w:rPr>
          <w:szCs w:val="22"/>
        </w:rPr>
        <w:t xml:space="preserve">invention </w:t>
      </w:r>
      <w:r>
        <w:rPr>
          <w:szCs w:val="22"/>
        </w:rPr>
        <w:t>porte</w:t>
      </w:r>
      <w:r w:rsidRPr="000F3E39">
        <w:rPr>
          <w:szCs w:val="22"/>
        </w:rPr>
        <w:t xml:space="preserve"> direct</w:t>
      </w:r>
      <w:r>
        <w:rPr>
          <w:szCs w:val="22"/>
        </w:rPr>
        <w:t>ement sur ce savoir</w:t>
      </w:r>
      <w:r w:rsidRPr="000F3E39">
        <w:rPr>
          <w:szCs w:val="22"/>
        </w:rPr>
        <w:t>” (</w:t>
      </w:r>
      <w:r>
        <w:rPr>
          <w:szCs w:val="22"/>
        </w:rPr>
        <w:t>caractères gras ajoutés</w:t>
      </w:r>
      <w:r w:rsidRPr="000F3E39">
        <w:rPr>
          <w:szCs w:val="22"/>
        </w:rPr>
        <w:t xml:space="preserve">).  </w:t>
      </w:r>
      <w:r w:rsidRPr="00136CEE">
        <w:rPr>
          <w:szCs w:val="22"/>
        </w:rPr>
        <w:t>L</w:t>
      </w:r>
      <w:r>
        <w:rPr>
          <w:szCs w:val="22"/>
        </w:rPr>
        <w:t>’</w:t>
      </w:r>
      <w:r w:rsidRPr="00136CEE">
        <w:rPr>
          <w:szCs w:val="22"/>
        </w:rPr>
        <w:t>art. </w:t>
      </w:r>
      <w:proofErr w:type="spellStart"/>
      <w:r w:rsidRPr="00136CEE">
        <w:rPr>
          <w:szCs w:val="22"/>
        </w:rPr>
        <w:t>49</w:t>
      </w:r>
      <w:r w:rsidRPr="001C42EF">
        <w:rPr>
          <w:i/>
          <w:szCs w:val="22"/>
        </w:rPr>
        <w:t>b</w:t>
      </w:r>
      <w:proofErr w:type="spellEnd"/>
      <w:r w:rsidRPr="00136CEE">
        <w:rPr>
          <w:szCs w:val="22"/>
        </w:rPr>
        <w:t xml:space="preserve"> quant à lui prévoit que</w:t>
      </w:r>
      <w:r>
        <w:rPr>
          <w:szCs w:val="22"/>
        </w:rPr>
        <w:t>,</w:t>
      </w:r>
      <w:r w:rsidRPr="00136CEE">
        <w:rPr>
          <w:szCs w:val="22"/>
        </w:rPr>
        <w:t xml:space="preserve"> si </w:t>
      </w:r>
      <w:r>
        <w:rPr>
          <w:szCs w:val="22"/>
        </w:rPr>
        <w:t xml:space="preserve">la </w:t>
      </w:r>
      <w:r w:rsidRPr="00136CEE">
        <w:rPr>
          <w:szCs w:val="22"/>
        </w:rPr>
        <w:t>source de la resso</w:t>
      </w:r>
      <w:r>
        <w:rPr>
          <w:szCs w:val="22"/>
        </w:rPr>
        <w:t>urce génétique n’est connue ni de l’</w:t>
      </w:r>
      <w:r w:rsidRPr="00136CEE">
        <w:rPr>
          <w:szCs w:val="22"/>
        </w:rPr>
        <w:t>invent</w:t>
      </w:r>
      <w:r>
        <w:rPr>
          <w:szCs w:val="22"/>
        </w:rPr>
        <w:t>eu</w:t>
      </w:r>
      <w:r w:rsidRPr="00136CEE">
        <w:rPr>
          <w:szCs w:val="22"/>
        </w:rPr>
        <w:t xml:space="preserve">r </w:t>
      </w:r>
      <w:r>
        <w:rPr>
          <w:szCs w:val="22"/>
        </w:rPr>
        <w:t>ni du requér</w:t>
      </w:r>
      <w:r w:rsidRPr="00136CEE">
        <w:rPr>
          <w:szCs w:val="22"/>
        </w:rPr>
        <w:t>ant</w:t>
      </w:r>
      <w:r>
        <w:rPr>
          <w:szCs w:val="22"/>
        </w:rPr>
        <w:t>,</w:t>
      </w:r>
      <w:r w:rsidRPr="00136CEE">
        <w:rPr>
          <w:szCs w:val="22"/>
        </w:rPr>
        <w:t xml:space="preserve"> </w:t>
      </w:r>
      <w:r>
        <w:rPr>
          <w:szCs w:val="22"/>
        </w:rPr>
        <w:t>ce dernier doit le confirmer par écrit</w:t>
      </w:r>
      <w:r w:rsidRPr="00136CEE">
        <w:rPr>
          <w:szCs w:val="22"/>
        </w:rPr>
        <w:t>.</w:t>
      </w:r>
    </w:p>
    <w:p w:rsidR="008E65FA" w:rsidRPr="00136CEE" w:rsidRDefault="008E65FA" w:rsidP="008E65FA">
      <w:pPr>
        <w:autoSpaceDE w:val="0"/>
        <w:autoSpaceDN w:val="0"/>
        <w:adjustRightInd w:val="0"/>
        <w:ind w:firstLine="720"/>
        <w:rPr>
          <w:szCs w:val="22"/>
        </w:rPr>
      </w:pPr>
    </w:p>
    <w:p w:rsidR="008E65FA" w:rsidRDefault="008E65FA" w:rsidP="008E65FA">
      <w:pPr>
        <w:autoSpaceDE w:val="0"/>
        <w:autoSpaceDN w:val="0"/>
        <w:adjustRightInd w:val="0"/>
        <w:ind w:firstLine="720"/>
        <w:rPr>
          <w:color w:val="333333"/>
          <w:szCs w:val="22"/>
          <w:shd w:val="clear" w:color="auto" w:fill="FFFFFF"/>
        </w:rPr>
      </w:pPr>
      <w:r w:rsidRPr="00F53D0E">
        <w:rPr>
          <w:szCs w:val="22"/>
        </w:rPr>
        <w:t xml:space="preserve">Nous comprenons dès lors que, </w:t>
      </w:r>
      <w:r>
        <w:rPr>
          <w:szCs w:val="22"/>
        </w:rPr>
        <w:t>s’agissant</w:t>
      </w:r>
      <w:r w:rsidRPr="00F53D0E">
        <w:rPr>
          <w:szCs w:val="22"/>
        </w:rPr>
        <w:t xml:space="preserve"> </w:t>
      </w:r>
      <w:r>
        <w:rPr>
          <w:szCs w:val="22"/>
        </w:rPr>
        <w:t xml:space="preserve">du </w:t>
      </w:r>
      <w:r w:rsidRPr="00F53D0E">
        <w:rPr>
          <w:szCs w:val="22"/>
        </w:rPr>
        <w:t>brevet</w:t>
      </w:r>
      <w:r>
        <w:rPr>
          <w:szCs w:val="22"/>
        </w:rPr>
        <w:t xml:space="preserve"> n° </w:t>
      </w:r>
      <w:r w:rsidRPr="00F53D0E">
        <w:rPr>
          <w:szCs w:val="22"/>
        </w:rPr>
        <w:t xml:space="preserve">870, </w:t>
      </w:r>
      <w:r>
        <w:rPr>
          <w:szCs w:val="22"/>
        </w:rPr>
        <w:t>M. </w:t>
      </w:r>
      <w:proofErr w:type="spellStart"/>
      <w:r w:rsidRPr="00F53D0E">
        <w:rPr>
          <w:szCs w:val="22"/>
        </w:rPr>
        <w:t>Rinehart</w:t>
      </w:r>
      <w:proofErr w:type="spellEnd"/>
      <w:r w:rsidRPr="00F53D0E">
        <w:rPr>
          <w:szCs w:val="22"/>
        </w:rPr>
        <w:t xml:space="preserve"> </w:t>
      </w:r>
      <w:r>
        <w:rPr>
          <w:szCs w:val="22"/>
        </w:rPr>
        <w:t>devrait indiquer chaque lieu où il a obtenu l</w:t>
      </w:r>
      <w:r w:rsidRPr="00F53D0E">
        <w:rPr>
          <w:szCs w:val="22"/>
        </w:rPr>
        <w:t>e</w:t>
      </w:r>
      <w:r>
        <w:rPr>
          <w:szCs w:val="22"/>
        </w:rPr>
        <w:t>s</w:t>
      </w:r>
      <w:r w:rsidRPr="00F53D0E">
        <w:rPr>
          <w:szCs w:val="22"/>
        </w:rPr>
        <w:t xml:space="preserve"> tunic</w:t>
      </w:r>
      <w:r>
        <w:rPr>
          <w:szCs w:val="22"/>
        </w:rPr>
        <w:t>ier</w:t>
      </w:r>
      <w:r w:rsidRPr="00F53D0E">
        <w:rPr>
          <w:szCs w:val="22"/>
        </w:rPr>
        <w:t>s</w:t>
      </w:r>
      <w:r>
        <w:rPr>
          <w:szCs w:val="22"/>
        </w:rPr>
        <w:t xml:space="preserve">.  </w:t>
      </w:r>
      <w:r w:rsidRPr="00F53D0E">
        <w:rPr>
          <w:szCs w:val="22"/>
        </w:rPr>
        <w:t>Sur la base d</w:t>
      </w:r>
      <w:r>
        <w:rPr>
          <w:szCs w:val="22"/>
        </w:rPr>
        <w:t>e la loi</w:t>
      </w:r>
      <w:r w:rsidRPr="00F53D0E">
        <w:rPr>
          <w:szCs w:val="22"/>
        </w:rPr>
        <w:t>, il devrait d</w:t>
      </w:r>
      <w:r>
        <w:rPr>
          <w:szCs w:val="22"/>
        </w:rPr>
        <w:t>’</w:t>
      </w:r>
      <w:r w:rsidRPr="00F53D0E">
        <w:rPr>
          <w:szCs w:val="22"/>
        </w:rPr>
        <w:t>abord d</w:t>
      </w:r>
      <w:r>
        <w:rPr>
          <w:szCs w:val="22"/>
        </w:rPr>
        <w:t>é</w:t>
      </w:r>
      <w:r w:rsidRPr="00F53D0E">
        <w:rPr>
          <w:szCs w:val="22"/>
        </w:rPr>
        <w:t xml:space="preserve">terminer si son invention </w:t>
      </w:r>
      <w:r>
        <w:rPr>
          <w:szCs w:val="22"/>
        </w:rPr>
        <w:t xml:space="preserve">était </w:t>
      </w:r>
      <w:r w:rsidRPr="00F53D0E">
        <w:rPr>
          <w:szCs w:val="22"/>
        </w:rPr>
        <w:t>“direct</w:t>
      </w:r>
      <w:r>
        <w:rPr>
          <w:szCs w:val="22"/>
        </w:rPr>
        <w:t>ement fondée</w:t>
      </w:r>
      <w:r w:rsidRPr="00F53D0E">
        <w:rPr>
          <w:szCs w:val="22"/>
        </w:rPr>
        <w:t xml:space="preserve">” </w:t>
      </w:r>
      <w:r>
        <w:rPr>
          <w:szCs w:val="22"/>
        </w:rPr>
        <w:t>sur l</w:t>
      </w:r>
      <w:r w:rsidRPr="00F53D0E">
        <w:rPr>
          <w:szCs w:val="22"/>
        </w:rPr>
        <w:t>e</w:t>
      </w:r>
      <w:r>
        <w:rPr>
          <w:szCs w:val="22"/>
        </w:rPr>
        <w:t>s</w:t>
      </w:r>
      <w:r w:rsidRPr="00F53D0E">
        <w:rPr>
          <w:szCs w:val="22"/>
        </w:rPr>
        <w:t xml:space="preserve"> tunic</w:t>
      </w:r>
      <w:r>
        <w:rPr>
          <w:szCs w:val="22"/>
        </w:rPr>
        <w:t>ier</w:t>
      </w:r>
      <w:r w:rsidRPr="00F53D0E">
        <w:rPr>
          <w:szCs w:val="22"/>
        </w:rPr>
        <w:t>s</w:t>
      </w:r>
      <w:r>
        <w:rPr>
          <w:szCs w:val="22"/>
        </w:rPr>
        <w:t xml:space="preserve">.  </w:t>
      </w:r>
      <w:r w:rsidRPr="00C4425D">
        <w:rPr>
          <w:szCs w:val="22"/>
        </w:rPr>
        <w:t xml:space="preserve">Or, la définition de </w:t>
      </w:r>
      <w:r>
        <w:rPr>
          <w:szCs w:val="22"/>
        </w:rPr>
        <w:t xml:space="preserve">l’expression </w:t>
      </w:r>
      <w:r w:rsidRPr="00C4425D">
        <w:rPr>
          <w:szCs w:val="22"/>
        </w:rPr>
        <w:t>“directement fondé</w:t>
      </w:r>
      <w:r>
        <w:rPr>
          <w:szCs w:val="22"/>
        </w:rPr>
        <w:t>e</w:t>
      </w:r>
      <w:r w:rsidRPr="00C4425D">
        <w:rPr>
          <w:szCs w:val="22"/>
        </w:rPr>
        <w:t xml:space="preserve">” ne ressort pas clairement du texte et un </w:t>
      </w:r>
      <w:r>
        <w:rPr>
          <w:szCs w:val="22"/>
        </w:rPr>
        <w:t>dépos</w:t>
      </w:r>
      <w:r w:rsidRPr="00C4425D">
        <w:rPr>
          <w:szCs w:val="22"/>
        </w:rPr>
        <w:t xml:space="preserve">ant ne peut </w:t>
      </w:r>
      <w:r>
        <w:rPr>
          <w:szCs w:val="22"/>
        </w:rPr>
        <w:t xml:space="preserve">pas présumer qu’il </w:t>
      </w:r>
      <w:r w:rsidRPr="00C4425D">
        <w:rPr>
          <w:szCs w:val="22"/>
        </w:rPr>
        <w:t xml:space="preserve">comprend le sens donné à cette expression mais </w:t>
      </w:r>
      <w:r>
        <w:rPr>
          <w:szCs w:val="22"/>
        </w:rPr>
        <w:t xml:space="preserve">devrait </w:t>
      </w:r>
      <w:r w:rsidRPr="00C4425D">
        <w:rPr>
          <w:szCs w:val="22"/>
        </w:rPr>
        <w:t>consult</w:t>
      </w:r>
      <w:r>
        <w:rPr>
          <w:szCs w:val="22"/>
        </w:rPr>
        <w:t>er</w:t>
      </w:r>
      <w:r w:rsidRPr="00C4425D">
        <w:rPr>
          <w:szCs w:val="22"/>
        </w:rPr>
        <w:t xml:space="preserve"> </w:t>
      </w:r>
      <w:r>
        <w:rPr>
          <w:szCs w:val="22"/>
        </w:rPr>
        <w:t xml:space="preserve">un conseil en brevets </w:t>
      </w:r>
      <w:r w:rsidRPr="00C4425D">
        <w:rPr>
          <w:szCs w:val="22"/>
        </w:rPr>
        <w:t xml:space="preserve">local </w:t>
      </w:r>
      <w:r>
        <w:rPr>
          <w:szCs w:val="22"/>
        </w:rPr>
        <w:t xml:space="preserve">ou effectuer des recherches dans la législation suisse en matière de brevets.  </w:t>
      </w:r>
      <w:r w:rsidRPr="0069300C">
        <w:rPr>
          <w:szCs w:val="22"/>
        </w:rPr>
        <w:t>S</w:t>
      </w:r>
      <w:r>
        <w:rPr>
          <w:szCs w:val="22"/>
        </w:rPr>
        <w:t>’</w:t>
      </w:r>
      <w:r w:rsidRPr="0069300C">
        <w:rPr>
          <w:szCs w:val="22"/>
        </w:rPr>
        <w:t>il résultait de ces recherches que le libellé a le sens que lui a donné la délégation suisse à la vingt</w:t>
      </w:r>
      <w:r>
        <w:rPr>
          <w:szCs w:val="22"/>
        </w:rPr>
        <w:noBreakHyphen/>
      </w:r>
      <w:r w:rsidRPr="0069300C">
        <w:rPr>
          <w:szCs w:val="22"/>
        </w:rPr>
        <w:t>neuvième</w:t>
      </w:r>
      <w:r>
        <w:rPr>
          <w:szCs w:val="22"/>
        </w:rPr>
        <w:t> </w:t>
      </w:r>
      <w:r w:rsidRPr="0069300C">
        <w:rPr>
          <w:szCs w:val="22"/>
        </w:rPr>
        <w:t>session de l</w:t>
      </w:r>
      <w:r>
        <w:rPr>
          <w:szCs w:val="22"/>
        </w:rPr>
        <w:t>’</w:t>
      </w:r>
      <w:proofErr w:type="spellStart"/>
      <w:r w:rsidRPr="0069300C">
        <w:rPr>
          <w:szCs w:val="22"/>
        </w:rPr>
        <w:t>IGC</w:t>
      </w:r>
      <w:proofErr w:type="spellEnd"/>
      <w:r w:rsidRPr="0069300C">
        <w:rPr>
          <w:szCs w:val="22"/>
        </w:rPr>
        <w:t xml:space="preserve">, </w:t>
      </w:r>
      <w:r>
        <w:rPr>
          <w:szCs w:val="22"/>
        </w:rPr>
        <w:t>à savoir</w:t>
      </w:r>
      <w:r w:rsidRPr="0069300C">
        <w:rPr>
          <w:szCs w:val="22"/>
        </w:rPr>
        <w:t xml:space="preserve"> “</w:t>
      </w:r>
      <w:proofErr w:type="gramStart"/>
      <w:r>
        <w:rPr>
          <w:szCs w:val="22"/>
        </w:rPr>
        <w:t>qu’</w:t>
      </w:r>
      <w:r w:rsidRPr="0069300C">
        <w:rPr>
          <w:szCs w:val="22"/>
        </w:rPr>
        <w:t>[</w:t>
      </w:r>
      <w:proofErr w:type="gramEnd"/>
      <w:r>
        <w:rPr>
          <w:szCs w:val="22"/>
        </w:rPr>
        <w:t>u</w:t>
      </w:r>
      <w:r w:rsidRPr="0069300C">
        <w:rPr>
          <w:szCs w:val="22"/>
        </w:rPr>
        <w:t>n</w:t>
      </w:r>
      <w:r>
        <w:rPr>
          <w:szCs w:val="22"/>
        </w:rPr>
        <w:t>e</w:t>
      </w:r>
      <w:r w:rsidRPr="0069300C">
        <w:rPr>
          <w:szCs w:val="22"/>
        </w:rPr>
        <w:t xml:space="preserve"> invention] </w:t>
      </w:r>
      <w:r>
        <w:rPr>
          <w:szCs w:val="22"/>
        </w:rPr>
        <w:t>n’</w:t>
      </w:r>
      <w:r w:rsidRPr="0069300C">
        <w:rPr>
          <w:szCs w:val="22"/>
        </w:rPr>
        <w:t>exist</w:t>
      </w:r>
      <w:r>
        <w:rPr>
          <w:szCs w:val="22"/>
        </w:rPr>
        <w:t>erait pas sans les ressources génétiques ou les savoirs traditionnels</w:t>
      </w:r>
      <w:r w:rsidRPr="0069300C">
        <w:rPr>
          <w:szCs w:val="22"/>
        </w:rPr>
        <w:t>”</w:t>
      </w:r>
      <w:r w:rsidRPr="00277EAC">
        <w:rPr>
          <w:szCs w:val="22"/>
          <w:vertAlign w:val="superscript"/>
        </w:rPr>
        <w:footnoteReference w:id="14"/>
      </w:r>
      <w:r>
        <w:rPr>
          <w:szCs w:val="22"/>
        </w:rPr>
        <w:t>,</w:t>
      </w:r>
      <w:r w:rsidRPr="0069300C">
        <w:rPr>
          <w:szCs w:val="22"/>
        </w:rPr>
        <w:t xml:space="preserve"> </w:t>
      </w:r>
      <w:r>
        <w:rPr>
          <w:szCs w:val="22"/>
        </w:rPr>
        <w:t xml:space="preserve">il semblerait nécessaire d’indiquer la </w:t>
      </w:r>
      <w:r w:rsidRPr="0069300C">
        <w:rPr>
          <w:szCs w:val="22"/>
        </w:rPr>
        <w:t xml:space="preserve">source </w:t>
      </w:r>
      <w:r>
        <w:rPr>
          <w:szCs w:val="22"/>
        </w:rPr>
        <w:t xml:space="preserve">pour toutes les ressources génétiques qui ont été utilisées.  Pratiquement toutes les ressources génétiques décrites dans une </w:t>
      </w:r>
      <w:r w:rsidRPr="00555395">
        <w:rPr>
          <w:szCs w:val="22"/>
        </w:rPr>
        <w:t xml:space="preserve">spécification pourraient </w:t>
      </w:r>
      <w:r>
        <w:rPr>
          <w:szCs w:val="22"/>
        </w:rPr>
        <w:t xml:space="preserve">être concernées, pas seulement celles qui figurent dans les revendications.  </w:t>
      </w:r>
      <w:r w:rsidRPr="006975DB">
        <w:rPr>
          <w:szCs w:val="22"/>
        </w:rPr>
        <w:t xml:space="preserve">Par exemple, les </w:t>
      </w:r>
      <w:r>
        <w:rPr>
          <w:szCs w:val="22"/>
        </w:rPr>
        <w:t>d</w:t>
      </w:r>
      <w:r w:rsidRPr="006975DB">
        <w:rPr>
          <w:szCs w:val="22"/>
        </w:rPr>
        <w:t>é</w:t>
      </w:r>
      <w:r>
        <w:rPr>
          <w:szCs w:val="22"/>
        </w:rPr>
        <w:t>pos</w:t>
      </w:r>
      <w:r w:rsidRPr="006975DB">
        <w:rPr>
          <w:szCs w:val="22"/>
        </w:rPr>
        <w:t xml:space="preserve">ants utilisent souvent de nombreuses ressources génétiques </w:t>
      </w:r>
      <w:r>
        <w:rPr>
          <w:szCs w:val="22"/>
        </w:rPr>
        <w:t>au cours de la phase</w:t>
      </w:r>
      <w:r w:rsidRPr="006975DB">
        <w:rPr>
          <w:szCs w:val="22"/>
        </w:rPr>
        <w:t xml:space="preserve"> </w:t>
      </w:r>
      <w:r>
        <w:rPr>
          <w:szCs w:val="22"/>
        </w:rPr>
        <w:t>d’</w:t>
      </w:r>
      <w:r w:rsidRPr="006975DB">
        <w:rPr>
          <w:szCs w:val="22"/>
        </w:rPr>
        <w:t>expérimenta</w:t>
      </w:r>
      <w:r>
        <w:rPr>
          <w:szCs w:val="22"/>
        </w:rPr>
        <w:t xml:space="preserve">tion qui précède la réalisation de </w:t>
      </w:r>
      <w:r w:rsidRPr="006975DB">
        <w:rPr>
          <w:szCs w:val="22"/>
        </w:rPr>
        <w:t>l</w:t>
      </w:r>
      <w:r>
        <w:rPr>
          <w:szCs w:val="22"/>
        </w:rPr>
        <w:t>’</w:t>
      </w:r>
      <w:r w:rsidRPr="006975DB">
        <w:rPr>
          <w:szCs w:val="22"/>
        </w:rPr>
        <w:t xml:space="preserve">invention, </w:t>
      </w:r>
      <w:r>
        <w:rPr>
          <w:szCs w:val="22"/>
        </w:rPr>
        <w:t>même si ces ressources génétiques ne font pas elles</w:t>
      </w:r>
      <w:r>
        <w:rPr>
          <w:szCs w:val="22"/>
        </w:rPr>
        <w:noBreakHyphen/>
        <w:t>mêmes partie intégrante de l’</w:t>
      </w:r>
      <w:r w:rsidRPr="006975DB">
        <w:rPr>
          <w:szCs w:val="22"/>
        </w:rPr>
        <w:t>invention</w:t>
      </w:r>
      <w:r>
        <w:rPr>
          <w:szCs w:val="22"/>
        </w:rPr>
        <w:t xml:space="preserve">.  </w:t>
      </w:r>
      <w:r w:rsidRPr="006975DB">
        <w:rPr>
          <w:szCs w:val="22"/>
        </w:rPr>
        <w:t>Dans le cas du brevet n° 870, M. </w:t>
      </w:r>
      <w:proofErr w:type="spellStart"/>
      <w:r w:rsidRPr="006975DB">
        <w:rPr>
          <w:szCs w:val="22"/>
        </w:rPr>
        <w:t>Rinehart</w:t>
      </w:r>
      <w:proofErr w:type="spellEnd"/>
      <w:r w:rsidRPr="006975DB">
        <w:rPr>
          <w:szCs w:val="22"/>
        </w:rPr>
        <w:t xml:space="preserve"> a </w:t>
      </w:r>
      <w:r>
        <w:rPr>
          <w:szCs w:val="22"/>
        </w:rPr>
        <w:t>procédé à</w:t>
      </w:r>
      <w:r w:rsidRPr="006975DB">
        <w:rPr>
          <w:szCs w:val="22"/>
        </w:rPr>
        <w:t xml:space="preserve"> des exp</w:t>
      </w:r>
      <w:r>
        <w:rPr>
          <w:szCs w:val="22"/>
        </w:rPr>
        <w:t>é</w:t>
      </w:r>
      <w:r w:rsidRPr="006975DB">
        <w:rPr>
          <w:szCs w:val="22"/>
        </w:rPr>
        <w:t xml:space="preserve">riences </w:t>
      </w:r>
      <w:r>
        <w:rPr>
          <w:szCs w:val="22"/>
        </w:rPr>
        <w:t>sur des végétaux, des animaux, des</w:t>
      </w:r>
      <w:r w:rsidRPr="006975DB">
        <w:rPr>
          <w:szCs w:val="22"/>
        </w:rPr>
        <w:t xml:space="preserve"> </w:t>
      </w:r>
      <w:r>
        <w:rPr>
          <w:szCs w:val="22"/>
        </w:rPr>
        <w:t xml:space="preserve">sujets </w:t>
      </w:r>
      <w:r w:rsidRPr="006975DB">
        <w:rPr>
          <w:szCs w:val="22"/>
        </w:rPr>
        <w:t>huma</w:t>
      </w:r>
      <w:r>
        <w:rPr>
          <w:szCs w:val="22"/>
        </w:rPr>
        <w:t>i</w:t>
      </w:r>
      <w:r w:rsidRPr="006975DB">
        <w:rPr>
          <w:szCs w:val="22"/>
        </w:rPr>
        <w:t xml:space="preserve">ns, </w:t>
      </w:r>
      <w:r>
        <w:rPr>
          <w:szCs w:val="22"/>
        </w:rPr>
        <w:t xml:space="preserve">des virus à </w:t>
      </w:r>
      <w:r w:rsidRPr="006975DB">
        <w:rPr>
          <w:szCs w:val="22"/>
        </w:rPr>
        <w:t>A</w:t>
      </w:r>
      <w:r>
        <w:rPr>
          <w:szCs w:val="22"/>
        </w:rPr>
        <w:t xml:space="preserve">DN et des virus à </w:t>
      </w:r>
      <w:r w:rsidRPr="006975DB">
        <w:rPr>
          <w:szCs w:val="22"/>
        </w:rPr>
        <w:t>A</w:t>
      </w:r>
      <w:r>
        <w:rPr>
          <w:szCs w:val="22"/>
        </w:rPr>
        <w:t>RN</w:t>
      </w:r>
      <w:r w:rsidRPr="006975DB">
        <w:rPr>
          <w:szCs w:val="22"/>
        </w:rPr>
        <w:t xml:space="preserve"> </w:t>
      </w:r>
      <w:r>
        <w:rPr>
          <w:szCs w:val="22"/>
        </w:rPr>
        <w:t>afin d’établir la v</w:t>
      </w:r>
      <w:r w:rsidRPr="006975DB">
        <w:rPr>
          <w:szCs w:val="22"/>
        </w:rPr>
        <w:t>iabilit</w:t>
      </w:r>
      <w:r>
        <w:rPr>
          <w:szCs w:val="22"/>
        </w:rPr>
        <w:t>é de son</w:t>
      </w:r>
      <w:r w:rsidRPr="006975DB">
        <w:rPr>
          <w:szCs w:val="22"/>
        </w:rPr>
        <w:t xml:space="preserve"> invention</w:t>
      </w:r>
      <w:r>
        <w:rPr>
          <w:szCs w:val="22"/>
        </w:rPr>
        <w:t xml:space="preserve">.  </w:t>
      </w:r>
      <w:r w:rsidRPr="006975DB">
        <w:rPr>
          <w:szCs w:val="22"/>
        </w:rPr>
        <w:t>Sans cela, l</w:t>
      </w:r>
      <w:r>
        <w:rPr>
          <w:szCs w:val="22"/>
        </w:rPr>
        <w:t>’</w:t>
      </w:r>
      <w:r w:rsidRPr="006975DB">
        <w:rPr>
          <w:szCs w:val="22"/>
        </w:rPr>
        <w:t>invention “n</w:t>
      </w:r>
      <w:r>
        <w:rPr>
          <w:szCs w:val="22"/>
        </w:rPr>
        <w:t>’</w:t>
      </w:r>
      <w:r w:rsidRPr="006975DB">
        <w:rPr>
          <w:szCs w:val="22"/>
        </w:rPr>
        <w:t>existerait pas” parce que M. </w:t>
      </w:r>
      <w:proofErr w:type="spellStart"/>
      <w:r w:rsidRPr="006975DB">
        <w:rPr>
          <w:szCs w:val="22"/>
        </w:rPr>
        <w:t>Rinehart</w:t>
      </w:r>
      <w:proofErr w:type="spellEnd"/>
      <w:r w:rsidRPr="006975DB">
        <w:rPr>
          <w:szCs w:val="22"/>
        </w:rPr>
        <w:t xml:space="preserve"> ne saurait </w:t>
      </w:r>
      <w:r>
        <w:rPr>
          <w:szCs w:val="22"/>
        </w:rPr>
        <w:t>même pas si elle avait lieu d’être.  Cependant, le critère de</w:t>
      </w:r>
      <w:r w:rsidRPr="00894F9C">
        <w:rPr>
          <w:szCs w:val="22"/>
        </w:rPr>
        <w:t xml:space="preserve"> “n</w:t>
      </w:r>
      <w:r>
        <w:rPr>
          <w:szCs w:val="22"/>
        </w:rPr>
        <w:t>on</w:t>
      </w:r>
      <w:r>
        <w:rPr>
          <w:szCs w:val="22"/>
        </w:rPr>
        <w:noBreakHyphen/>
      </w:r>
      <w:r w:rsidRPr="00894F9C">
        <w:rPr>
          <w:szCs w:val="22"/>
        </w:rPr>
        <w:t>existe</w:t>
      </w:r>
      <w:r>
        <w:rPr>
          <w:szCs w:val="22"/>
        </w:rPr>
        <w:t>nce</w:t>
      </w:r>
      <w:r w:rsidRPr="00894F9C">
        <w:rPr>
          <w:szCs w:val="22"/>
        </w:rPr>
        <w:t xml:space="preserve">” soulève la question de savoir quelles autres ressources génétiques devraient </w:t>
      </w:r>
      <w:r>
        <w:rPr>
          <w:szCs w:val="22"/>
        </w:rPr>
        <w:t xml:space="preserve">être prises en compte.  </w:t>
      </w:r>
      <w:r w:rsidRPr="00894F9C">
        <w:rPr>
          <w:szCs w:val="22"/>
        </w:rPr>
        <w:t>Par exemple, si</w:t>
      </w:r>
      <w:r>
        <w:rPr>
          <w:szCs w:val="22"/>
        </w:rPr>
        <w:t xml:space="preserve"> </w:t>
      </w:r>
      <w:r w:rsidRPr="00894F9C">
        <w:rPr>
          <w:szCs w:val="22"/>
        </w:rPr>
        <w:t>l</w:t>
      </w:r>
      <w:r>
        <w:rPr>
          <w:szCs w:val="22"/>
        </w:rPr>
        <w:t>’on n’</w:t>
      </w:r>
      <w:r w:rsidRPr="00894F9C">
        <w:rPr>
          <w:szCs w:val="22"/>
        </w:rPr>
        <w:t xml:space="preserve">avait pas découvert la bactérie </w:t>
      </w:r>
      <w:r w:rsidRPr="00894F9C">
        <w:rPr>
          <w:szCs w:val="22"/>
          <w:shd w:val="clear" w:color="auto" w:fill="FFFFFF"/>
        </w:rPr>
        <w:t xml:space="preserve">thermophile </w:t>
      </w:r>
      <w:proofErr w:type="spellStart"/>
      <w:r w:rsidRPr="00894F9C">
        <w:rPr>
          <w:i/>
          <w:szCs w:val="22"/>
          <w:shd w:val="clear" w:color="auto" w:fill="FFFFFF"/>
        </w:rPr>
        <w:t>Thermus</w:t>
      </w:r>
      <w:proofErr w:type="spellEnd"/>
      <w:r w:rsidRPr="00894F9C">
        <w:rPr>
          <w:i/>
          <w:szCs w:val="22"/>
          <w:shd w:val="clear" w:color="auto" w:fill="FFFFFF"/>
        </w:rPr>
        <w:t xml:space="preserve"> </w:t>
      </w:r>
      <w:proofErr w:type="spellStart"/>
      <w:r w:rsidRPr="00894F9C">
        <w:rPr>
          <w:i/>
          <w:szCs w:val="22"/>
          <w:shd w:val="clear" w:color="auto" w:fill="FFFFFF"/>
        </w:rPr>
        <w:t>aquaticus</w:t>
      </w:r>
      <w:proofErr w:type="spellEnd"/>
      <w:r w:rsidRPr="00894F9C">
        <w:rPr>
          <w:szCs w:val="22"/>
          <w:shd w:val="clear" w:color="auto" w:fill="FFFFFF"/>
        </w:rPr>
        <w:t xml:space="preserve"> </w:t>
      </w:r>
      <w:r>
        <w:rPr>
          <w:szCs w:val="22"/>
          <w:shd w:val="clear" w:color="auto" w:fill="FFFFFF"/>
        </w:rPr>
        <w:t xml:space="preserve">dans le parc national de Yellowstone </w:t>
      </w:r>
      <w:r w:rsidRPr="00894F9C">
        <w:rPr>
          <w:szCs w:val="22"/>
          <w:shd w:val="clear" w:color="auto" w:fill="FFFFFF"/>
        </w:rPr>
        <w:t xml:space="preserve">aux </w:t>
      </w:r>
      <w:r>
        <w:rPr>
          <w:szCs w:val="22"/>
          <w:shd w:val="clear" w:color="auto" w:fill="FFFFFF"/>
        </w:rPr>
        <w:t>États</w:t>
      </w:r>
      <w:r>
        <w:rPr>
          <w:szCs w:val="22"/>
          <w:shd w:val="clear" w:color="auto" w:fill="FFFFFF"/>
        </w:rPr>
        <w:noBreakHyphen/>
      </w:r>
      <w:r w:rsidRPr="00894F9C">
        <w:rPr>
          <w:szCs w:val="22"/>
          <w:shd w:val="clear" w:color="auto" w:fill="FFFFFF"/>
        </w:rPr>
        <w:t>Uni</w:t>
      </w:r>
      <w:r>
        <w:rPr>
          <w:szCs w:val="22"/>
          <w:shd w:val="clear" w:color="auto" w:fill="FFFFFF"/>
        </w:rPr>
        <w:t>s d’Amérique</w:t>
      </w:r>
      <w:r w:rsidRPr="00894F9C">
        <w:rPr>
          <w:szCs w:val="22"/>
          <w:shd w:val="clear" w:color="auto" w:fill="FFFFFF"/>
        </w:rPr>
        <w:t xml:space="preserve">, </w:t>
      </w:r>
      <w:r>
        <w:rPr>
          <w:szCs w:val="22"/>
          <w:shd w:val="clear" w:color="auto" w:fill="FFFFFF"/>
        </w:rPr>
        <w:t xml:space="preserve">soit les techniques </w:t>
      </w:r>
      <w:r w:rsidRPr="00894F9C">
        <w:rPr>
          <w:szCs w:val="22"/>
          <w:shd w:val="clear" w:color="auto" w:fill="FFFFFF"/>
        </w:rPr>
        <w:t>biotechnologiques u</w:t>
      </w:r>
      <w:r>
        <w:rPr>
          <w:szCs w:val="22"/>
          <w:shd w:val="clear" w:color="auto" w:fill="FFFFFF"/>
        </w:rPr>
        <w:t>tilisées dans l’invention de M. </w:t>
      </w:r>
      <w:proofErr w:type="spellStart"/>
      <w:r w:rsidRPr="00894F9C">
        <w:rPr>
          <w:szCs w:val="22"/>
          <w:shd w:val="clear" w:color="auto" w:fill="FFFFFF"/>
        </w:rPr>
        <w:t>Rinehart</w:t>
      </w:r>
      <w:proofErr w:type="spellEnd"/>
      <w:r w:rsidRPr="00894F9C">
        <w:rPr>
          <w:szCs w:val="22"/>
          <w:shd w:val="clear" w:color="auto" w:fill="FFFFFF"/>
        </w:rPr>
        <w:t xml:space="preserve">, </w:t>
      </w:r>
      <w:r>
        <w:rPr>
          <w:szCs w:val="22"/>
          <w:shd w:val="clear" w:color="auto" w:fill="FFFFFF"/>
        </w:rPr>
        <w:t>l’</w:t>
      </w:r>
      <w:r w:rsidRPr="00894F9C">
        <w:rPr>
          <w:szCs w:val="22"/>
          <w:shd w:val="clear" w:color="auto" w:fill="FFFFFF"/>
        </w:rPr>
        <w:t>invention n</w:t>
      </w:r>
      <w:r>
        <w:rPr>
          <w:szCs w:val="22"/>
          <w:shd w:val="clear" w:color="auto" w:fill="FFFFFF"/>
        </w:rPr>
        <w:t>’</w:t>
      </w:r>
      <w:r w:rsidRPr="00894F9C">
        <w:rPr>
          <w:szCs w:val="22"/>
          <w:shd w:val="clear" w:color="auto" w:fill="FFFFFF"/>
        </w:rPr>
        <w:t>exist</w:t>
      </w:r>
      <w:r>
        <w:rPr>
          <w:szCs w:val="22"/>
          <w:shd w:val="clear" w:color="auto" w:fill="FFFFFF"/>
        </w:rPr>
        <w:t>erait pas.  La</w:t>
      </w:r>
      <w:r w:rsidRPr="00894F9C">
        <w:rPr>
          <w:szCs w:val="22"/>
          <w:shd w:val="clear" w:color="auto" w:fill="FFFFFF"/>
        </w:rPr>
        <w:t xml:space="preserve"> source de cette ressou</w:t>
      </w:r>
      <w:r>
        <w:rPr>
          <w:szCs w:val="22"/>
          <w:shd w:val="clear" w:color="auto" w:fill="FFFFFF"/>
        </w:rPr>
        <w:t>r</w:t>
      </w:r>
      <w:r w:rsidRPr="00894F9C">
        <w:rPr>
          <w:szCs w:val="22"/>
          <w:shd w:val="clear" w:color="auto" w:fill="FFFFFF"/>
        </w:rPr>
        <w:t>ce génét</w:t>
      </w:r>
      <w:r>
        <w:rPr>
          <w:szCs w:val="22"/>
          <w:shd w:val="clear" w:color="auto" w:fill="FFFFFF"/>
        </w:rPr>
        <w:t>i</w:t>
      </w:r>
      <w:r w:rsidRPr="00894F9C">
        <w:rPr>
          <w:szCs w:val="22"/>
          <w:shd w:val="clear" w:color="auto" w:fill="FFFFFF"/>
        </w:rPr>
        <w:t>que devr</w:t>
      </w:r>
      <w:r>
        <w:rPr>
          <w:szCs w:val="22"/>
          <w:shd w:val="clear" w:color="auto" w:fill="FFFFFF"/>
        </w:rPr>
        <w:t>a</w:t>
      </w:r>
      <w:r w:rsidRPr="00894F9C">
        <w:rPr>
          <w:szCs w:val="22"/>
          <w:shd w:val="clear" w:color="auto" w:fill="FFFFFF"/>
        </w:rPr>
        <w:t>it</w:t>
      </w:r>
      <w:r>
        <w:rPr>
          <w:szCs w:val="22"/>
          <w:shd w:val="clear" w:color="auto" w:fill="FFFFFF"/>
        </w:rPr>
        <w:noBreakHyphen/>
      </w:r>
      <w:r w:rsidRPr="00894F9C">
        <w:rPr>
          <w:szCs w:val="22"/>
          <w:shd w:val="clear" w:color="auto" w:fill="FFFFFF"/>
        </w:rPr>
        <w:t xml:space="preserve">elle également </w:t>
      </w:r>
      <w:r>
        <w:rPr>
          <w:szCs w:val="22"/>
          <w:shd w:val="clear" w:color="auto" w:fill="FFFFFF"/>
        </w:rPr>
        <w:t>ê</w:t>
      </w:r>
      <w:r w:rsidRPr="00894F9C">
        <w:rPr>
          <w:szCs w:val="22"/>
          <w:shd w:val="clear" w:color="auto" w:fill="FFFFFF"/>
        </w:rPr>
        <w:t>tre indiquée?</w:t>
      </w:r>
    </w:p>
    <w:p w:rsidR="008E65FA" w:rsidRPr="00894F9C" w:rsidRDefault="008E65FA" w:rsidP="008E65FA">
      <w:pPr>
        <w:autoSpaceDE w:val="0"/>
        <w:autoSpaceDN w:val="0"/>
        <w:adjustRightInd w:val="0"/>
        <w:rPr>
          <w:color w:val="333333"/>
          <w:szCs w:val="22"/>
          <w:shd w:val="clear" w:color="auto" w:fill="FFFFFF"/>
        </w:rPr>
      </w:pPr>
    </w:p>
    <w:p w:rsidR="008E65FA" w:rsidRPr="00894F9C" w:rsidRDefault="008E65FA" w:rsidP="008E65FA">
      <w:pPr>
        <w:autoSpaceDE w:val="0"/>
        <w:autoSpaceDN w:val="0"/>
        <w:adjustRightInd w:val="0"/>
        <w:rPr>
          <w:color w:val="333333"/>
          <w:szCs w:val="22"/>
          <w:shd w:val="clear" w:color="auto" w:fill="FFFFFF"/>
        </w:rPr>
      </w:pPr>
    </w:p>
    <w:p w:rsidR="008E65FA" w:rsidRPr="00894F9C" w:rsidRDefault="008E65FA" w:rsidP="008E65FA">
      <w:pPr>
        <w:autoSpaceDE w:val="0"/>
        <w:autoSpaceDN w:val="0"/>
        <w:adjustRightInd w:val="0"/>
        <w:ind w:firstLine="720"/>
        <w:rPr>
          <w:szCs w:val="22"/>
        </w:rPr>
      </w:pPr>
      <w:r w:rsidRPr="00894F9C">
        <w:rPr>
          <w:szCs w:val="22"/>
        </w:rPr>
        <w:t>Le tableau 1 présente une vue d</w:t>
      </w:r>
      <w:r>
        <w:rPr>
          <w:szCs w:val="22"/>
        </w:rPr>
        <w:t>’</w:t>
      </w:r>
      <w:r w:rsidRPr="00894F9C">
        <w:rPr>
          <w:szCs w:val="22"/>
        </w:rPr>
        <w:t>ensemble des exigences prévues par</w:t>
      </w:r>
      <w:r w:rsidRPr="00D8497A">
        <w:rPr>
          <w:szCs w:val="22"/>
        </w:rPr>
        <w:t xml:space="preserve"> la </w:t>
      </w:r>
      <w:proofErr w:type="spellStart"/>
      <w:r w:rsidRPr="00D8497A">
        <w:rPr>
          <w:szCs w:val="22"/>
        </w:rPr>
        <w:t>LBI</w:t>
      </w:r>
      <w:proofErr w:type="spellEnd"/>
      <w:r w:rsidRPr="00894F9C">
        <w:rPr>
          <w:szCs w:val="22"/>
        </w:rPr>
        <w:t xml:space="preserve">, </w:t>
      </w:r>
      <w:r>
        <w:rPr>
          <w:szCs w:val="22"/>
        </w:rPr>
        <w:t>y compris</w:t>
      </w:r>
      <w:r w:rsidRPr="00894F9C">
        <w:rPr>
          <w:szCs w:val="22"/>
        </w:rPr>
        <w:t xml:space="preserve"> les ressources génétiques figurant dans la spécific</w:t>
      </w:r>
      <w:r>
        <w:rPr>
          <w:szCs w:val="22"/>
        </w:rPr>
        <w:t>a</w:t>
      </w:r>
      <w:r w:rsidRPr="00894F9C">
        <w:rPr>
          <w:szCs w:val="22"/>
        </w:rPr>
        <w:t>tion de M.</w:t>
      </w:r>
      <w:r>
        <w:rPr>
          <w:szCs w:val="22"/>
        </w:rPr>
        <w:t> </w:t>
      </w:r>
      <w:proofErr w:type="spellStart"/>
      <w:r w:rsidRPr="00894F9C">
        <w:rPr>
          <w:szCs w:val="22"/>
        </w:rPr>
        <w:t>Rinehart</w:t>
      </w:r>
      <w:proofErr w:type="spellEnd"/>
      <w:r w:rsidRPr="00894F9C">
        <w:rPr>
          <w:szCs w:val="22"/>
        </w:rPr>
        <w:t xml:space="preserve"> </w:t>
      </w:r>
      <w:r>
        <w:rPr>
          <w:szCs w:val="22"/>
        </w:rPr>
        <w:t>dont il conviendrait de déterminer si elles sont couvertes par la définition que la</w:t>
      </w:r>
      <w:r w:rsidRPr="00894F9C">
        <w:rPr>
          <w:szCs w:val="22"/>
        </w:rPr>
        <w:t xml:space="preserve"> S</w:t>
      </w:r>
      <w:r>
        <w:rPr>
          <w:szCs w:val="22"/>
        </w:rPr>
        <w:t>uisse donne de l’expression</w:t>
      </w:r>
      <w:r w:rsidRPr="00894F9C">
        <w:rPr>
          <w:szCs w:val="22"/>
        </w:rPr>
        <w:t xml:space="preserve"> “direct</w:t>
      </w:r>
      <w:r>
        <w:rPr>
          <w:szCs w:val="22"/>
        </w:rPr>
        <w:t>ement fondée sur</w:t>
      </w:r>
      <w:r w:rsidRPr="00894F9C">
        <w:rPr>
          <w:szCs w:val="22"/>
        </w:rPr>
        <w:t>”</w:t>
      </w:r>
      <w:r>
        <w:rPr>
          <w:szCs w:val="22"/>
        </w:rPr>
        <w:t>.</w:t>
      </w:r>
    </w:p>
    <w:p w:rsidR="008E65FA" w:rsidRPr="00894F9C" w:rsidRDefault="008E65FA" w:rsidP="008E65FA">
      <w:pPr>
        <w:autoSpaceDE w:val="0"/>
        <w:autoSpaceDN w:val="0"/>
        <w:adjustRightInd w:val="0"/>
        <w:ind w:firstLine="720"/>
        <w:rPr>
          <w:szCs w:val="22"/>
        </w:rPr>
      </w:pPr>
    </w:p>
    <w:p w:rsidR="008E65FA" w:rsidRDefault="008E65FA">
      <w:pPr>
        <w:rPr>
          <w:szCs w:val="22"/>
        </w:rPr>
      </w:pPr>
      <w:r>
        <w:rPr>
          <w:szCs w:val="22"/>
        </w:rPr>
        <w:br w:type="page"/>
      </w:r>
    </w:p>
    <w:p w:rsidR="008E65FA" w:rsidRPr="00894F9C" w:rsidRDefault="008E65FA" w:rsidP="008E65FA">
      <w:pPr>
        <w:autoSpaceDE w:val="0"/>
        <w:autoSpaceDN w:val="0"/>
        <w:adjustRightInd w:val="0"/>
        <w:ind w:firstLine="720"/>
        <w:rPr>
          <w:szCs w:val="22"/>
        </w:rPr>
      </w:pPr>
      <w:r w:rsidRPr="00506DB3">
        <w:rPr>
          <w:szCs w:val="22"/>
        </w:rPr>
        <w:t xml:space="preserve">TABLEAU 1.  </w:t>
      </w:r>
      <w:r w:rsidRPr="00894F9C">
        <w:rPr>
          <w:szCs w:val="22"/>
        </w:rPr>
        <w:t>VUE D</w:t>
      </w:r>
      <w:r>
        <w:rPr>
          <w:szCs w:val="22"/>
        </w:rPr>
        <w:t>’</w:t>
      </w:r>
      <w:r w:rsidRPr="00894F9C">
        <w:rPr>
          <w:szCs w:val="22"/>
        </w:rPr>
        <w:t xml:space="preserve">ENSEMBLE DES EXIGENCES </w:t>
      </w:r>
      <w:r>
        <w:rPr>
          <w:szCs w:val="22"/>
        </w:rPr>
        <w:t xml:space="preserve">QUI S’APPLIQUENT </w:t>
      </w:r>
      <w:r w:rsidRPr="00894F9C">
        <w:rPr>
          <w:szCs w:val="22"/>
        </w:rPr>
        <w:t xml:space="preserve">EN VERTU DE LA </w:t>
      </w:r>
      <w:proofErr w:type="spellStart"/>
      <w:r w:rsidRPr="00894F9C">
        <w:rPr>
          <w:szCs w:val="22"/>
        </w:rPr>
        <w:t>L</w:t>
      </w:r>
      <w:r>
        <w:rPr>
          <w:szCs w:val="22"/>
        </w:rPr>
        <w:t>BI</w:t>
      </w:r>
      <w:proofErr w:type="spellEnd"/>
      <w:r w:rsidRPr="00894F9C">
        <w:rPr>
          <w:szCs w:val="22"/>
        </w:rPr>
        <w:t xml:space="preserve"> </w:t>
      </w:r>
      <w:r>
        <w:rPr>
          <w:szCs w:val="22"/>
        </w:rPr>
        <w:t>AU DÉPOSANT DU BREVET N° </w:t>
      </w:r>
      <w:r w:rsidRPr="00894F9C">
        <w:rPr>
          <w:szCs w:val="22"/>
        </w:rPr>
        <w:t>870</w:t>
      </w:r>
    </w:p>
    <w:p w:rsidR="008E65FA" w:rsidRPr="00894F9C" w:rsidRDefault="008E65FA" w:rsidP="008E65FA">
      <w:pPr>
        <w:autoSpaceDE w:val="0"/>
        <w:autoSpaceDN w:val="0"/>
        <w:adjustRightInd w:val="0"/>
        <w:ind w:firstLine="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2700"/>
        <w:gridCol w:w="3955"/>
      </w:tblGrid>
      <w:tr w:rsidR="008E65FA" w:rsidRPr="00506DB3" w:rsidTr="006C2059">
        <w:trPr>
          <w:trHeight w:val="467"/>
        </w:trPr>
        <w:tc>
          <w:tcPr>
            <w:tcW w:w="2695" w:type="dxa"/>
            <w:shd w:val="clear" w:color="auto" w:fill="A6A6A6"/>
          </w:tcPr>
          <w:p w:rsidR="008E65FA" w:rsidRPr="00277EAC" w:rsidRDefault="008E65FA" w:rsidP="006C2059">
            <w:pPr>
              <w:autoSpaceDE w:val="0"/>
              <w:autoSpaceDN w:val="0"/>
              <w:adjustRightInd w:val="0"/>
              <w:rPr>
                <w:rFonts w:eastAsia="Calibri"/>
                <w:b/>
                <w:szCs w:val="22"/>
              </w:rPr>
            </w:pPr>
            <w:r w:rsidRPr="00277EAC">
              <w:rPr>
                <w:rFonts w:eastAsia="Calibri"/>
                <w:b/>
                <w:szCs w:val="22"/>
              </w:rPr>
              <w:t>Re</w:t>
            </w:r>
            <w:r>
              <w:rPr>
                <w:rFonts w:eastAsia="Calibri"/>
                <w:b/>
                <w:szCs w:val="22"/>
              </w:rPr>
              <w:t>s</w:t>
            </w:r>
            <w:r w:rsidRPr="00277EAC">
              <w:rPr>
                <w:rFonts w:eastAsia="Calibri"/>
                <w:b/>
                <w:szCs w:val="22"/>
              </w:rPr>
              <w:t>source</w:t>
            </w:r>
            <w:r>
              <w:rPr>
                <w:rFonts w:eastAsia="Calibri"/>
                <w:b/>
                <w:szCs w:val="22"/>
              </w:rPr>
              <w:t xml:space="preserve"> génétique</w:t>
            </w:r>
            <w:r w:rsidRPr="00277EAC">
              <w:rPr>
                <w:rFonts w:eastAsia="Calibri"/>
                <w:b/>
                <w:szCs w:val="22"/>
              </w:rPr>
              <w:t>/</w:t>
            </w:r>
            <w:r>
              <w:rPr>
                <w:rFonts w:eastAsia="Calibri"/>
                <w:b/>
                <w:szCs w:val="22"/>
              </w:rPr>
              <w:t>savoir t</w:t>
            </w:r>
            <w:r w:rsidRPr="00277EAC">
              <w:rPr>
                <w:rFonts w:eastAsia="Calibri"/>
                <w:b/>
                <w:szCs w:val="22"/>
              </w:rPr>
              <w:t>radition</w:t>
            </w:r>
            <w:r>
              <w:rPr>
                <w:rFonts w:eastAsia="Calibri"/>
                <w:b/>
                <w:szCs w:val="22"/>
              </w:rPr>
              <w:t>nel</w:t>
            </w:r>
          </w:p>
        </w:tc>
        <w:tc>
          <w:tcPr>
            <w:tcW w:w="2700" w:type="dxa"/>
            <w:shd w:val="clear" w:color="auto" w:fill="A6A6A6"/>
          </w:tcPr>
          <w:p w:rsidR="008E65FA" w:rsidRPr="00277EAC" w:rsidRDefault="008E65FA" w:rsidP="006C2059">
            <w:pPr>
              <w:autoSpaceDE w:val="0"/>
              <w:autoSpaceDN w:val="0"/>
              <w:adjustRightInd w:val="0"/>
              <w:rPr>
                <w:rFonts w:eastAsia="Calibri"/>
                <w:b/>
                <w:szCs w:val="22"/>
              </w:rPr>
            </w:pPr>
            <w:r>
              <w:rPr>
                <w:rFonts w:eastAsia="Calibri"/>
                <w:b/>
                <w:szCs w:val="22"/>
              </w:rPr>
              <w:t>Emplacement dans la spé</w:t>
            </w:r>
            <w:r w:rsidRPr="00277EAC">
              <w:rPr>
                <w:rFonts w:eastAsia="Calibri"/>
                <w:b/>
                <w:szCs w:val="22"/>
              </w:rPr>
              <w:t>cification</w:t>
            </w:r>
          </w:p>
        </w:tc>
        <w:tc>
          <w:tcPr>
            <w:tcW w:w="3955" w:type="dxa"/>
            <w:shd w:val="clear" w:color="auto" w:fill="A6A6A6"/>
          </w:tcPr>
          <w:p w:rsidR="008E65FA" w:rsidRPr="00013605" w:rsidRDefault="008E65FA" w:rsidP="006C2059">
            <w:pPr>
              <w:autoSpaceDE w:val="0"/>
              <w:autoSpaceDN w:val="0"/>
              <w:adjustRightInd w:val="0"/>
              <w:rPr>
                <w:rFonts w:eastAsia="Calibri"/>
                <w:b/>
                <w:szCs w:val="22"/>
              </w:rPr>
            </w:pPr>
            <w:r w:rsidRPr="00013605">
              <w:rPr>
                <w:rFonts w:eastAsia="Calibri"/>
                <w:b/>
                <w:szCs w:val="22"/>
              </w:rPr>
              <w:t xml:space="preserve">Le </w:t>
            </w:r>
            <w:r>
              <w:rPr>
                <w:rFonts w:eastAsia="Calibri"/>
                <w:b/>
                <w:szCs w:val="22"/>
              </w:rPr>
              <w:t>d</w:t>
            </w:r>
            <w:r w:rsidRPr="00013605">
              <w:rPr>
                <w:rFonts w:eastAsia="Calibri"/>
                <w:b/>
                <w:szCs w:val="22"/>
              </w:rPr>
              <w:t>é</w:t>
            </w:r>
            <w:r>
              <w:rPr>
                <w:rFonts w:eastAsia="Calibri"/>
                <w:b/>
                <w:szCs w:val="22"/>
              </w:rPr>
              <w:t>pos</w:t>
            </w:r>
            <w:r w:rsidRPr="00013605">
              <w:rPr>
                <w:rFonts w:eastAsia="Calibri"/>
                <w:b/>
                <w:szCs w:val="22"/>
              </w:rPr>
              <w:t>ant du brevet n°</w:t>
            </w:r>
            <w:r>
              <w:rPr>
                <w:rFonts w:eastAsia="Calibri"/>
                <w:b/>
                <w:szCs w:val="22"/>
              </w:rPr>
              <w:t> </w:t>
            </w:r>
            <w:r w:rsidRPr="00013605">
              <w:rPr>
                <w:rFonts w:eastAsia="Calibri"/>
                <w:b/>
                <w:szCs w:val="22"/>
              </w:rPr>
              <w:t xml:space="preserve">870 </w:t>
            </w:r>
            <w:r>
              <w:rPr>
                <w:rFonts w:eastAsia="Calibri"/>
                <w:b/>
                <w:szCs w:val="22"/>
              </w:rPr>
              <w:t>satisfait</w:t>
            </w:r>
            <w:r>
              <w:rPr>
                <w:rFonts w:eastAsia="Calibri"/>
                <w:b/>
                <w:szCs w:val="22"/>
              </w:rPr>
              <w:noBreakHyphen/>
              <w:t xml:space="preserve">il à </w:t>
            </w:r>
            <w:r w:rsidRPr="00013605">
              <w:rPr>
                <w:rFonts w:eastAsia="Calibri"/>
                <w:b/>
                <w:szCs w:val="22"/>
              </w:rPr>
              <w:t>l</w:t>
            </w:r>
            <w:r>
              <w:rPr>
                <w:rFonts w:eastAsia="Calibri"/>
                <w:b/>
                <w:szCs w:val="22"/>
              </w:rPr>
              <w:t>’</w:t>
            </w:r>
            <w:r w:rsidRPr="00013605">
              <w:rPr>
                <w:rFonts w:eastAsia="Calibri"/>
                <w:b/>
                <w:szCs w:val="22"/>
              </w:rPr>
              <w:t>exigence de divulgation?</w:t>
            </w:r>
          </w:p>
        </w:tc>
      </w:tr>
      <w:tr w:rsidR="008E65FA" w:rsidRPr="00277EAC" w:rsidTr="006C2059">
        <w:tc>
          <w:tcPr>
            <w:tcW w:w="2695" w:type="dxa"/>
            <w:shd w:val="clear" w:color="auto" w:fill="auto"/>
          </w:tcPr>
          <w:p w:rsidR="008E65FA" w:rsidRPr="00D55D91" w:rsidRDefault="008E65FA" w:rsidP="006C2059">
            <w:pPr>
              <w:autoSpaceDE w:val="0"/>
              <w:autoSpaceDN w:val="0"/>
              <w:adjustRightInd w:val="0"/>
              <w:rPr>
                <w:rFonts w:eastAsia="Calibri"/>
                <w:szCs w:val="22"/>
              </w:rPr>
            </w:pPr>
            <w:r>
              <w:rPr>
                <w:rFonts w:eastAsia="Calibri"/>
                <w:szCs w:val="22"/>
              </w:rPr>
              <w:t>C</w:t>
            </w:r>
            <w:r w:rsidRPr="00D55D91">
              <w:rPr>
                <w:rFonts w:eastAsia="Calibri"/>
                <w:szCs w:val="22"/>
              </w:rPr>
              <w:t>o</w:t>
            </w:r>
            <w:r>
              <w:rPr>
                <w:rFonts w:eastAsia="Calibri"/>
                <w:szCs w:val="22"/>
              </w:rPr>
              <w:t>mpris dans</w:t>
            </w:r>
            <w:r w:rsidRPr="00D55D91">
              <w:rPr>
                <w:rFonts w:eastAsia="Calibri"/>
                <w:szCs w:val="22"/>
              </w:rPr>
              <w:t xml:space="preserve"> l</w:t>
            </w:r>
            <w:r>
              <w:rPr>
                <w:rFonts w:eastAsia="Calibri"/>
                <w:szCs w:val="22"/>
              </w:rPr>
              <w:t>e</w:t>
            </w:r>
            <w:r w:rsidRPr="00D55D91">
              <w:rPr>
                <w:rFonts w:eastAsia="Calibri"/>
                <w:szCs w:val="22"/>
              </w:rPr>
              <w:t xml:space="preserve"> </w:t>
            </w:r>
            <w:r>
              <w:rPr>
                <w:rFonts w:eastAsia="Calibri"/>
                <w:szCs w:val="22"/>
              </w:rPr>
              <w:t>champ</w:t>
            </w:r>
            <w:r w:rsidRPr="00D55D91">
              <w:rPr>
                <w:rFonts w:eastAsia="Calibri"/>
                <w:szCs w:val="22"/>
              </w:rPr>
              <w:t xml:space="preserve"> de la revendication mais pas obtenu</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Revendication</w:t>
            </w:r>
            <w:r w:rsidRPr="00277EAC">
              <w:rPr>
                <w:rFonts w:eastAsia="Calibri"/>
                <w:szCs w:val="22"/>
              </w:rPr>
              <w:t>s</w:t>
            </w:r>
          </w:p>
        </w:tc>
        <w:tc>
          <w:tcPr>
            <w:tcW w:w="395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r w:rsidRPr="00277EAC">
              <w:rPr>
                <w:rFonts w:eastAsia="Calibri"/>
                <w:szCs w:val="22"/>
              </w:rPr>
              <w:t>?</w:t>
            </w:r>
          </w:p>
        </w:tc>
      </w:tr>
      <w:tr w:rsidR="008E65FA" w:rsidRPr="00277EAC" w:rsidTr="006C2059">
        <w:tc>
          <w:tcPr>
            <w:tcW w:w="269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Tunic</w:t>
            </w:r>
            <w:r>
              <w:rPr>
                <w:rFonts w:eastAsia="Calibri"/>
                <w:szCs w:val="22"/>
              </w:rPr>
              <w:t>ier</w:t>
            </w:r>
            <w:r w:rsidRPr="00277EAC">
              <w:rPr>
                <w:rFonts w:eastAsia="Calibri"/>
                <w:szCs w:val="22"/>
              </w:rPr>
              <w:t>s, Belize</w:t>
            </w:r>
            <w:r>
              <w:rPr>
                <w:rFonts w:eastAsia="Calibri"/>
                <w:szCs w:val="22"/>
              </w:rPr>
              <w:t>, lieu n° </w:t>
            </w:r>
            <w:r w:rsidRPr="00277EAC">
              <w:rPr>
                <w:rFonts w:eastAsia="Calibri"/>
                <w:szCs w:val="22"/>
              </w:rPr>
              <w:t>1</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nes 53</w:t>
            </w:r>
            <w:r>
              <w:rPr>
                <w:rFonts w:eastAsia="Calibri"/>
                <w:szCs w:val="22"/>
              </w:rPr>
              <w:noBreakHyphen/>
            </w:r>
            <w:r w:rsidRPr="00277EAC">
              <w:rPr>
                <w:rFonts w:eastAsia="Calibri"/>
                <w:szCs w:val="22"/>
              </w:rPr>
              <w:t>55</w:t>
            </w:r>
          </w:p>
        </w:tc>
        <w:tc>
          <w:tcPr>
            <w:tcW w:w="395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277EAC" w:rsidTr="006C2059">
        <w:tc>
          <w:tcPr>
            <w:tcW w:w="269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Tunic</w:t>
            </w:r>
            <w:r>
              <w:rPr>
                <w:rFonts w:eastAsia="Calibri"/>
                <w:szCs w:val="22"/>
              </w:rPr>
              <w:t>ier</w:t>
            </w:r>
            <w:r w:rsidRPr="00277EAC">
              <w:rPr>
                <w:rFonts w:eastAsia="Calibri"/>
                <w:szCs w:val="22"/>
              </w:rPr>
              <w:t>s, Colombi</w:t>
            </w:r>
            <w:r>
              <w:rPr>
                <w:rFonts w:eastAsia="Calibri"/>
                <w:szCs w:val="22"/>
              </w:rPr>
              <w:t>e</w:t>
            </w:r>
            <w:r w:rsidRPr="00277EAC">
              <w:rPr>
                <w:rFonts w:eastAsia="Calibri"/>
                <w:szCs w:val="22"/>
              </w:rPr>
              <w:t xml:space="preserve"> </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nes 55</w:t>
            </w:r>
            <w:r>
              <w:rPr>
                <w:rFonts w:eastAsia="Calibri"/>
                <w:szCs w:val="22"/>
              </w:rPr>
              <w:noBreakHyphen/>
            </w:r>
            <w:r w:rsidRPr="00277EAC">
              <w:rPr>
                <w:rFonts w:eastAsia="Calibri"/>
                <w:szCs w:val="22"/>
              </w:rPr>
              <w:t>56</w:t>
            </w:r>
          </w:p>
        </w:tc>
        <w:tc>
          <w:tcPr>
            <w:tcW w:w="395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277EAC" w:rsidTr="006C2059">
        <w:trPr>
          <w:trHeight w:val="215"/>
        </w:trPr>
        <w:tc>
          <w:tcPr>
            <w:tcW w:w="269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Tunic</w:t>
            </w:r>
            <w:r>
              <w:rPr>
                <w:rFonts w:eastAsia="Calibri"/>
                <w:szCs w:val="22"/>
              </w:rPr>
              <w:t>iers</w:t>
            </w:r>
            <w:r w:rsidRPr="00277EAC">
              <w:rPr>
                <w:rFonts w:eastAsia="Calibri"/>
                <w:szCs w:val="22"/>
              </w:rPr>
              <w:t>, Mexi</w:t>
            </w:r>
            <w:r>
              <w:rPr>
                <w:rFonts w:eastAsia="Calibri"/>
                <w:szCs w:val="22"/>
              </w:rPr>
              <w:t>que</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nes 56</w:t>
            </w:r>
            <w:r>
              <w:rPr>
                <w:rFonts w:eastAsia="Calibri"/>
                <w:szCs w:val="22"/>
              </w:rPr>
              <w:noBreakHyphen/>
            </w:r>
            <w:r w:rsidRPr="00277EAC">
              <w:rPr>
                <w:rFonts w:eastAsia="Calibri"/>
                <w:szCs w:val="22"/>
              </w:rPr>
              <w:t>58</w:t>
            </w:r>
          </w:p>
        </w:tc>
        <w:tc>
          <w:tcPr>
            <w:tcW w:w="395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277EAC" w:rsidTr="006C2059">
        <w:tc>
          <w:tcPr>
            <w:tcW w:w="269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Tunic</w:t>
            </w:r>
            <w:r>
              <w:rPr>
                <w:rFonts w:eastAsia="Calibri"/>
                <w:szCs w:val="22"/>
              </w:rPr>
              <w:t>ier</w:t>
            </w:r>
            <w:r w:rsidRPr="00277EAC">
              <w:rPr>
                <w:rFonts w:eastAsia="Calibri"/>
                <w:szCs w:val="22"/>
              </w:rPr>
              <w:t>s, Belize</w:t>
            </w:r>
            <w:r>
              <w:rPr>
                <w:rFonts w:eastAsia="Calibri"/>
                <w:szCs w:val="22"/>
              </w:rPr>
              <w:t>, lieu n° 2</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nes 58</w:t>
            </w:r>
            <w:r>
              <w:rPr>
                <w:rFonts w:eastAsia="Calibri"/>
                <w:szCs w:val="22"/>
              </w:rPr>
              <w:noBreakHyphen/>
            </w:r>
            <w:r w:rsidRPr="00277EAC">
              <w:rPr>
                <w:rFonts w:eastAsia="Calibri"/>
                <w:szCs w:val="22"/>
              </w:rPr>
              <w:t>60</w:t>
            </w:r>
          </w:p>
        </w:tc>
        <w:tc>
          <w:tcPr>
            <w:tcW w:w="395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277EAC" w:rsidTr="006C2059">
        <w:trPr>
          <w:trHeight w:val="269"/>
        </w:trPr>
        <w:tc>
          <w:tcPr>
            <w:tcW w:w="269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Tunic</w:t>
            </w:r>
            <w:r>
              <w:rPr>
                <w:rFonts w:eastAsia="Calibri"/>
                <w:szCs w:val="22"/>
              </w:rPr>
              <w:t>ier</w:t>
            </w:r>
            <w:r w:rsidRPr="00277EAC">
              <w:rPr>
                <w:rFonts w:eastAsia="Calibri"/>
                <w:szCs w:val="22"/>
              </w:rPr>
              <w:t>s, Honduras</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nes 60</w:t>
            </w:r>
            <w:r>
              <w:rPr>
                <w:rFonts w:eastAsia="Calibri"/>
                <w:szCs w:val="22"/>
              </w:rPr>
              <w:noBreakHyphen/>
            </w:r>
            <w:r w:rsidRPr="00277EAC">
              <w:rPr>
                <w:rFonts w:eastAsia="Calibri"/>
                <w:szCs w:val="22"/>
              </w:rPr>
              <w:t>62</w:t>
            </w:r>
          </w:p>
        </w:tc>
        <w:tc>
          <w:tcPr>
            <w:tcW w:w="395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277EAC" w:rsidTr="006C2059">
        <w:trPr>
          <w:trHeight w:val="269"/>
        </w:trPr>
        <w:tc>
          <w:tcPr>
            <w:tcW w:w="269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Tunic</w:t>
            </w:r>
            <w:r>
              <w:rPr>
                <w:rFonts w:eastAsia="Calibri"/>
                <w:szCs w:val="22"/>
              </w:rPr>
              <w:t>ier</w:t>
            </w:r>
            <w:r w:rsidRPr="00277EAC">
              <w:rPr>
                <w:rFonts w:eastAsia="Calibri"/>
                <w:szCs w:val="22"/>
              </w:rPr>
              <w:t>s, Panama</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nes 62</w:t>
            </w:r>
            <w:r>
              <w:rPr>
                <w:rFonts w:eastAsia="Calibri"/>
                <w:szCs w:val="22"/>
              </w:rPr>
              <w:noBreakHyphen/>
            </w:r>
            <w:r w:rsidRPr="00277EAC">
              <w:rPr>
                <w:rFonts w:eastAsia="Calibri"/>
                <w:szCs w:val="22"/>
              </w:rPr>
              <w:t>64</w:t>
            </w:r>
          </w:p>
        </w:tc>
        <w:tc>
          <w:tcPr>
            <w:tcW w:w="395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277EAC" w:rsidTr="006C2059">
        <w:trPr>
          <w:trHeight w:val="269"/>
        </w:trPr>
        <w:tc>
          <w:tcPr>
            <w:tcW w:w="269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Animaux de laboratoire</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 30</w:t>
            </w:r>
          </w:p>
        </w:tc>
        <w:tc>
          <w:tcPr>
            <w:tcW w:w="395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requis</w:t>
            </w:r>
            <w:r w:rsidRPr="00277EAC">
              <w:rPr>
                <w:rFonts w:eastAsia="Calibri"/>
                <w:color w:val="C00000"/>
                <w:szCs w:val="22"/>
              </w:rPr>
              <w:t>**</w:t>
            </w:r>
          </w:p>
        </w:tc>
      </w:tr>
      <w:tr w:rsidR="008E65FA" w:rsidRPr="00277EAC" w:rsidTr="006C2059">
        <w:tc>
          <w:tcPr>
            <w:tcW w:w="269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Sujets humains</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 30</w:t>
            </w:r>
          </w:p>
        </w:tc>
        <w:tc>
          <w:tcPr>
            <w:tcW w:w="395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requis</w:t>
            </w:r>
            <w:r w:rsidRPr="00277EAC">
              <w:rPr>
                <w:rFonts w:eastAsia="Calibri"/>
                <w:color w:val="C00000"/>
                <w:szCs w:val="22"/>
              </w:rPr>
              <w:t>**</w:t>
            </w:r>
          </w:p>
        </w:tc>
      </w:tr>
      <w:tr w:rsidR="008E65FA" w:rsidRPr="00277EAC" w:rsidTr="006C2059">
        <w:tc>
          <w:tcPr>
            <w:tcW w:w="269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Végétaux de laboratoire</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 30</w:t>
            </w:r>
          </w:p>
        </w:tc>
        <w:tc>
          <w:tcPr>
            <w:tcW w:w="395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requis</w:t>
            </w:r>
            <w:r w:rsidRPr="00277EAC">
              <w:rPr>
                <w:rFonts w:eastAsia="Calibri"/>
                <w:color w:val="C00000"/>
                <w:szCs w:val="22"/>
              </w:rPr>
              <w:t>**</w:t>
            </w:r>
          </w:p>
        </w:tc>
      </w:tr>
      <w:tr w:rsidR="008E65FA" w:rsidRPr="00277EAC" w:rsidTr="006C2059">
        <w:tc>
          <w:tcPr>
            <w:tcW w:w="269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Virus à ADN</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 31</w:t>
            </w:r>
          </w:p>
        </w:tc>
        <w:tc>
          <w:tcPr>
            <w:tcW w:w="3955" w:type="dxa"/>
            <w:shd w:val="clear" w:color="auto" w:fill="auto"/>
          </w:tcPr>
          <w:p w:rsidR="008E65FA" w:rsidRPr="00277EAC" w:rsidRDefault="008E65FA" w:rsidP="006C2059">
            <w:pPr>
              <w:autoSpaceDE w:val="0"/>
              <w:autoSpaceDN w:val="0"/>
              <w:adjustRightInd w:val="0"/>
              <w:rPr>
                <w:rFonts w:eastAsia="Calibri"/>
                <w:color w:val="C00000"/>
                <w:szCs w:val="22"/>
              </w:rPr>
            </w:pPr>
            <w:r w:rsidRPr="00277EAC">
              <w:rPr>
                <w:rFonts w:eastAsia="Calibri"/>
                <w:color w:val="C00000"/>
                <w:szCs w:val="22"/>
              </w:rPr>
              <w:t>**</w:t>
            </w:r>
            <w:r>
              <w:rPr>
                <w:rFonts w:eastAsia="Calibri"/>
                <w:color w:val="C00000"/>
                <w:szCs w:val="22"/>
              </w:rPr>
              <w:t>requis</w:t>
            </w:r>
            <w:r w:rsidRPr="00277EAC">
              <w:rPr>
                <w:rFonts w:eastAsia="Calibri"/>
                <w:color w:val="C00000"/>
                <w:szCs w:val="22"/>
              </w:rPr>
              <w:t>**</w:t>
            </w:r>
          </w:p>
        </w:tc>
      </w:tr>
      <w:tr w:rsidR="008E65FA" w:rsidRPr="00277EAC" w:rsidTr="006C2059">
        <w:tc>
          <w:tcPr>
            <w:tcW w:w="269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 xml:space="preserve">Virus à </w:t>
            </w:r>
            <w:r w:rsidRPr="00277EAC">
              <w:rPr>
                <w:rFonts w:eastAsia="Calibri"/>
                <w:szCs w:val="22"/>
              </w:rPr>
              <w:t>A</w:t>
            </w:r>
            <w:r>
              <w:rPr>
                <w:rFonts w:eastAsia="Calibri"/>
                <w:szCs w:val="22"/>
              </w:rPr>
              <w:t>RN</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 1, li</w:t>
            </w:r>
            <w:r>
              <w:rPr>
                <w:rFonts w:eastAsia="Calibri"/>
                <w:szCs w:val="22"/>
              </w:rPr>
              <w:t>g</w:t>
            </w:r>
            <w:r w:rsidRPr="00277EAC">
              <w:rPr>
                <w:rFonts w:eastAsia="Calibri"/>
                <w:szCs w:val="22"/>
              </w:rPr>
              <w:t>ne 31</w:t>
            </w:r>
          </w:p>
        </w:tc>
        <w:tc>
          <w:tcPr>
            <w:tcW w:w="3955" w:type="dxa"/>
            <w:shd w:val="clear" w:color="auto" w:fill="auto"/>
          </w:tcPr>
          <w:p w:rsidR="008E65FA" w:rsidRPr="00277EAC" w:rsidRDefault="008E65FA" w:rsidP="006C2059">
            <w:pPr>
              <w:autoSpaceDE w:val="0"/>
              <w:autoSpaceDN w:val="0"/>
              <w:adjustRightInd w:val="0"/>
              <w:rPr>
                <w:rFonts w:eastAsia="Calibri"/>
                <w:color w:val="C00000"/>
                <w:szCs w:val="22"/>
              </w:rPr>
            </w:pPr>
            <w:r w:rsidRPr="00277EAC">
              <w:rPr>
                <w:rFonts w:eastAsia="Calibri"/>
                <w:color w:val="C00000"/>
                <w:szCs w:val="22"/>
              </w:rPr>
              <w:t>**</w:t>
            </w:r>
            <w:r>
              <w:rPr>
                <w:rFonts w:eastAsia="Calibri"/>
                <w:color w:val="C00000"/>
                <w:szCs w:val="22"/>
              </w:rPr>
              <w:t>r</w:t>
            </w:r>
            <w:r w:rsidRPr="00277EAC">
              <w:rPr>
                <w:rFonts w:eastAsia="Calibri"/>
                <w:color w:val="C00000"/>
                <w:szCs w:val="22"/>
              </w:rPr>
              <w:t>e</w:t>
            </w:r>
            <w:r>
              <w:rPr>
                <w:rFonts w:eastAsia="Calibri"/>
                <w:color w:val="C00000"/>
                <w:szCs w:val="22"/>
              </w:rPr>
              <w:t>quis</w:t>
            </w:r>
            <w:r w:rsidRPr="00277EAC">
              <w:rPr>
                <w:rFonts w:eastAsia="Calibri"/>
                <w:color w:val="C00000"/>
                <w:szCs w:val="22"/>
              </w:rPr>
              <w:t>**</w:t>
            </w:r>
          </w:p>
        </w:tc>
      </w:tr>
      <w:tr w:rsidR="008E65FA" w:rsidRPr="00277EAC" w:rsidTr="006C2059">
        <w:tc>
          <w:tcPr>
            <w:tcW w:w="269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Savoir t</w:t>
            </w:r>
            <w:r w:rsidRPr="00277EAC">
              <w:rPr>
                <w:rFonts w:eastAsia="Calibri"/>
                <w:szCs w:val="22"/>
              </w:rPr>
              <w:t>radition</w:t>
            </w:r>
            <w:r>
              <w:rPr>
                <w:rFonts w:eastAsia="Calibri"/>
                <w:szCs w:val="22"/>
              </w:rPr>
              <w:t>ne</w:t>
            </w:r>
            <w:r w:rsidRPr="00277EAC">
              <w:rPr>
                <w:rFonts w:eastAsia="Calibri"/>
                <w:szCs w:val="22"/>
              </w:rPr>
              <w:t>l</w:t>
            </w:r>
          </w:p>
        </w:tc>
        <w:tc>
          <w:tcPr>
            <w:tcW w:w="270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Pas indiqué</w:t>
            </w:r>
          </w:p>
        </w:tc>
        <w:tc>
          <w:tcPr>
            <w:tcW w:w="3955" w:type="dxa"/>
            <w:shd w:val="clear" w:color="auto" w:fill="auto"/>
          </w:tcPr>
          <w:p w:rsidR="008E65FA" w:rsidRPr="00277EAC" w:rsidRDefault="008E65FA" w:rsidP="006C2059">
            <w:pPr>
              <w:autoSpaceDE w:val="0"/>
              <w:autoSpaceDN w:val="0"/>
              <w:adjustRightInd w:val="0"/>
              <w:rPr>
                <w:rFonts w:eastAsia="Calibri"/>
                <w:color w:val="C00000"/>
                <w:szCs w:val="22"/>
              </w:rPr>
            </w:pPr>
            <w:r w:rsidRPr="00277EAC">
              <w:rPr>
                <w:rFonts w:eastAsia="Calibri"/>
                <w:color w:val="C00000"/>
                <w:szCs w:val="22"/>
              </w:rPr>
              <w:t>**</w:t>
            </w:r>
            <w:r>
              <w:rPr>
                <w:rFonts w:eastAsia="Calibri"/>
                <w:color w:val="C00000"/>
                <w:szCs w:val="22"/>
              </w:rPr>
              <w:t>r</w:t>
            </w:r>
            <w:r w:rsidRPr="00277EAC">
              <w:rPr>
                <w:rFonts w:eastAsia="Calibri"/>
                <w:color w:val="C00000"/>
                <w:szCs w:val="22"/>
              </w:rPr>
              <w:t>e</w:t>
            </w:r>
            <w:r>
              <w:rPr>
                <w:rFonts w:eastAsia="Calibri"/>
                <w:color w:val="C00000"/>
                <w:szCs w:val="22"/>
              </w:rPr>
              <w:t>quis</w:t>
            </w:r>
            <w:r w:rsidRPr="00277EAC">
              <w:rPr>
                <w:rFonts w:eastAsia="Calibri"/>
                <w:color w:val="C00000"/>
                <w:szCs w:val="22"/>
              </w:rPr>
              <w:t>**</w:t>
            </w:r>
          </w:p>
        </w:tc>
      </w:tr>
    </w:tbl>
    <w:p w:rsidR="008E65FA" w:rsidRPr="00277EAC" w:rsidRDefault="008E65FA" w:rsidP="008E65FA">
      <w:pPr>
        <w:autoSpaceDE w:val="0"/>
        <w:autoSpaceDN w:val="0"/>
        <w:adjustRightInd w:val="0"/>
        <w:ind w:firstLine="720"/>
        <w:rPr>
          <w:szCs w:val="22"/>
        </w:rPr>
      </w:pPr>
    </w:p>
    <w:p w:rsidR="008E65FA" w:rsidRPr="00506DB3" w:rsidRDefault="008E65FA" w:rsidP="008E65FA">
      <w:pPr>
        <w:autoSpaceDE w:val="0"/>
        <w:autoSpaceDN w:val="0"/>
        <w:adjustRightInd w:val="0"/>
        <w:rPr>
          <w:bCs/>
          <w:i/>
          <w:szCs w:val="22"/>
        </w:rPr>
      </w:pPr>
      <w:r w:rsidRPr="00506DB3">
        <w:rPr>
          <w:bCs/>
          <w:i/>
          <w:szCs w:val="22"/>
          <w:u w:val="single"/>
        </w:rPr>
        <w:t>Observation</w:t>
      </w:r>
      <w:r>
        <w:rPr>
          <w:bCs/>
          <w:i/>
          <w:szCs w:val="22"/>
          <w:u w:val="single"/>
        </w:rPr>
        <w:t>s</w:t>
      </w:r>
      <w:r w:rsidRPr="00506DB3">
        <w:rPr>
          <w:bCs/>
          <w:i/>
          <w:szCs w:val="22"/>
          <w:u w:val="single"/>
        </w:rPr>
        <w:t xml:space="preserve"> formulée</w:t>
      </w:r>
      <w:r>
        <w:rPr>
          <w:bCs/>
          <w:i/>
          <w:szCs w:val="22"/>
          <w:u w:val="single"/>
        </w:rPr>
        <w:t>s</w:t>
      </w:r>
      <w:r w:rsidRPr="00506DB3">
        <w:rPr>
          <w:bCs/>
          <w:i/>
          <w:szCs w:val="22"/>
          <w:u w:val="single"/>
        </w:rPr>
        <w:t xml:space="preserve"> par la Suisse </w:t>
      </w:r>
      <w:r w:rsidRPr="008E65FA">
        <w:rPr>
          <w:i/>
          <w:u w:val="single"/>
        </w:rPr>
        <w:t>:</w:t>
      </w:r>
      <w:r w:rsidRPr="00506DB3">
        <w:rPr>
          <w:bCs/>
          <w:i/>
          <w:szCs w:val="22"/>
        </w:rPr>
        <w:t xml:space="preserve"> cette section contient plusieurs interprétations er</w:t>
      </w:r>
      <w:r>
        <w:rPr>
          <w:bCs/>
          <w:i/>
          <w:szCs w:val="22"/>
        </w:rPr>
        <w:t>r</w:t>
      </w:r>
      <w:r w:rsidRPr="00506DB3">
        <w:rPr>
          <w:bCs/>
          <w:i/>
          <w:szCs w:val="22"/>
        </w:rPr>
        <w:t xml:space="preserve">onées </w:t>
      </w:r>
      <w:r>
        <w:rPr>
          <w:bCs/>
          <w:i/>
          <w:szCs w:val="22"/>
        </w:rPr>
        <w:t>au sujet de l’indication de la source dans</w:t>
      </w:r>
      <w:r w:rsidRPr="00D8497A">
        <w:rPr>
          <w:bCs/>
          <w:i/>
          <w:szCs w:val="22"/>
        </w:rPr>
        <w:t xml:space="preserve"> la </w:t>
      </w:r>
      <w:proofErr w:type="spellStart"/>
      <w:r w:rsidRPr="00D8497A">
        <w:rPr>
          <w:bCs/>
          <w:i/>
          <w:szCs w:val="22"/>
        </w:rPr>
        <w:t>LBI</w:t>
      </w:r>
      <w:proofErr w:type="spellEnd"/>
      <w:r>
        <w:rPr>
          <w:bCs/>
          <w:i/>
          <w:szCs w:val="22"/>
        </w:rPr>
        <w:t> </w:t>
      </w:r>
      <w:r w:rsidRPr="00506DB3">
        <w:rPr>
          <w:bCs/>
          <w:i/>
          <w:szCs w:val="22"/>
        </w:rPr>
        <w:t>:</w:t>
      </w:r>
    </w:p>
    <w:p w:rsidR="008E65FA" w:rsidRPr="00506DB3" w:rsidRDefault="008E65FA" w:rsidP="008E65FA">
      <w:pPr>
        <w:numPr>
          <w:ilvl w:val="0"/>
          <w:numId w:val="13"/>
        </w:numPr>
        <w:autoSpaceDE w:val="0"/>
        <w:autoSpaceDN w:val="0"/>
        <w:adjustRightInd w:val="0"/>
        <w:rPr>
          <w:bCs/>
          <w:i/>
          <w:szCs w:val="22"/>
        </w:rPr>
      </w:pPr>
      <w:r w:rsidRPr="00506DB3">
        <w:rPr>
          <w:bCs/>
          <w:i/>
          <w:szCs w:val="22"/>
        </w:rPr>
        <w:t xml:space="preserve">La “notion de source” </w:t>
      </w:r>
      <w:r>
        <w:rPr>
          <w:bCs/>
          <w:i/>
          <w:szCs w:val="22"/>
        </w:rPr>
        <w:t xml:space="preserve">au sens </w:t>
      </w:r>
      <w:r w:rsidRPr="00506DB3">
        <w:rPr>
          <w:bCs/>
          <w:i/>
          <w:szCs w:val="22"/>
        </w:rPr>
        <w:t>d</w:t>
      </w:r>
      <w:r>
        <w:rPr>
          <w:bCs/>
          <w:i/>
          <w:szCs w:val="22"/>
        </w:rPr>
        <w:t>e</w:t>
      </w:r>
      <w:r w:rsidRPr="00D8497A">
        <w:rPr>
          <w:bCs/>
          <w:i/>
          <w:szCs w:val="22"/>
        </w:rPr>
        <w:t xml:space="preserve"> la </w:t>
      </w:r>
      <w:proofErr w:type="spellStart"/>
      <w:r w:rsidRPr="00D8497A">
        <w:rPr>
          <w:bCs/>
          <w:i/>
          <w:szCs w:val="22"/>
        </w:rPr>
        <w:t>LBI</w:t>
      </w:r>
      <w:proofErr w:type="spellEnd"/>
      <w:r w:rsidRPr="00506DB3">
        <w:rPr>
          <w:bCs/>
          <w:i/>
          <w:szCs w:val="22"/>
        </w:rPr>
        <w:t xml:space="preserve"> n</w:t>
      </w:r>
      <w:r>
        <w:rPr>
          <w:bCs/>
          <w:i/>
          <w:szCs w:val="22"/>
        </w:rPr>
        <w:t>’</w:t>
      </w:r>
      <w:r w:rsidRPr="00506DB3">
        <w:rPr>
          <w:bCs/>
          <w:i/>
          <w:szCs w:val="22"/>
        </w:rPr>
        <w:t>exige pas du requérant qu</w:t>
      </w:r>
      <w:r>
        <w:rPr>
          <w:bCs/>
          <w:i/>
          <w:szCs w:val="22"/>
        </w:rPr>
        <w:t>’</w:t>
      </w:r>
      <w:r w:rsidRPr="00506DB3">
        <w:rPr>
          <w:bCs/>
          <w:i/>
          <w:szCs w:val="22"/>
        </w:rPr>
        <w:t>il indique l</w:t>
      </w:r>
      <w:r>
        <w:rPr>
          <w:bCs/>
          <w:i/>
          <w:szCs w:val="22"/>
        </w:rPr>
        <w:t>’emplacement précis</w:t>
      </w:r>
      <w:r w:rsidRPr="00506DB3">
        <w:rPr>
          <w:bCs/>
          <w:i/>
          <w:szCs w:val="22"/>
        </w:rPr>
        <w:t xml:space="preserve"> (coord</w:t>
      </w:r>
      <w:r>
        <w:rPr>
          <w:bCs/>
          <w:i/>
          <w:szCs w:val="22"/>
        </w:rPr>
        <w:t>onné</w:t>
      </w:r>
      <w:r w:rsidRPr="00506DB3">
        <w:rPr>
          <w:bCs/>
          <w:i/>
          <w:szCs w:val="22"/>
        </w:rPr>
        <w:t xml:space="preserve">es) </w:t>
      </w:r>
      <w:r>
        <w:rPr>
          <w:bCs/>
          <w:i/>
          <w:szCs w:val="22"/>
        </w:rPr>
        <w:t xml:space="preserve">d’une ressource génétique.  </w:t>
      </w:r>
      <w:r w:rsidRPr="00506DB3">
        <w:rPr>
          <w:bCs/>
          <w:i/>
          <w:szCs w:val="22"/>
        </w:rPr>
        <w:t>La source primaire dans le cas d</w:t>
      </w:r>
      <w:r>
        <w:rPr>
          <w:bCs/>
          <w:i/>
          <w:szCs w:val="22"/>
        </w:rPr>
        <w:t>’</w:t>
      </w:r>
      <w:r w:rsidRPr="00506DB3">
        <w:rPr>
          <w:bCs/>
          <w:i/>
          <w:szCs w:val="22"/>
        </w:rPr>
        <w:t>espèce serait les noms des pays fourniss</w:t>
      </w:r>
      <w:r>
        <w:rPr>
          <w:bCs/>
          <w:i/>
          <w:szCs w:val="22"/>
        </w:rPr>
        <w:t>a</w:t>
      </w:r>
      <w:r w:rsidRPr="00506DB3">
        <w:rPr>
          <w:bCs/>
          <w:i/>
          <w:szCs w:val="22"/>
        </w:rPr>
        <w:t>nt la ressource génétique</w:t>
      </w:r>
      <w:r>
        <w:rPr>
          <w:bCs/>
          <w:i/>
          <w:szCs w:val="22"/>
        </w:rPr>
        <w:t>.  Ces noms étant connus du requérant</w:t>
      </w:r>
      <w:r w:rsidRPr="00506DB3">
        <w:rPr>
          <w:bCs/>
          <w:i/>
          <w:szCs w:val="22"/>
        </w:rPr>
        <w:t>, il pourrait facilement satisfaire à l</w:t>
      </w:r>
      <w:r>
        <w:rPr>
          <w:bCs/>
          <w:i/>
          <w:szCs w:val="22"/>
        </w:rPr>
        <w:t>’</w:t>
      </w:r>
      <w:r w:rsidRPr="00506DB3">
        <w:rPr>
          <w:bCs/>
          <w:i/>
          <w:szCs w:val="22"/>
        </w:rPr>
        <w:t>exigence de divulgation.</w:t>
      </w:r>
    </w:p>
    <w:p w:rsidR="008E65FA" w:rsidRPr="00CA6E19" w:rsidRDefault="008E65FA" w:rsidP="008E65FA">
      <w:pPr>
        <w:numPr>
          <w:ilvl w:val="0"/>
          <w:numId w:val="13"/>
        </w:numPr>
        <w:autoSpaceDE w:val="0"/>
        <w:autoSpaceDN w:val="0"/>
        <w:adjustRightInd w:val="0"/>
        <w:rPr>
          <w:bCs/>
          <w:i/>
          <w:szCs w:val="22"/>
        </w:rPr>
      </w:pPr>
      <w:r w:rsidRPr="00506DB3">
        <w:rPr>
          <w:bCs/>
          <w:i/>
          <w:szCs w:val="22"/>
        </w:rPr>
        <w:t>L</w:t>
      </w:r>
      <w:r>
        <w:rPr>
          <w:bCs/>
          <w:i/>
          <w:szCs w:val="22"/>
        </w:rPr>
        <w:t>’</w:t>
      </w:r>
      <w:r w:rsidRPr="00506DB3">
        <w:rPr>
          <w:bCs/>
          <w:i/>
          <w:szCs w:val="22"/>
        </w:rPr>
        <w:t>interprétation de “l</w:t>
      </w:r>
      <w:r>
        <w:rPr>
          <w:bCs/>
          <w:i/>
          <w:szCs w:val="22"/>
        </w:rPr>
        <w:t>’</w:t>
      </w:r>
      <w:r w:rsidRPr="00506DB3">
        <w:rPr>
          <w:bCs/>
          <w:i/>
          <w:szCs w:val="22"/>
        </w:rPr>
        <w:t>élément déclencheur” de l</w:t>
      </w:r>
      <w:r>
        <w:rPr>
          <w:bCs/>
          <w:i/>
          <w:szCs w:val="22"/>
        </w:rPr>
        <w:t>’</w:t>
      </w:r>
      <w:r w:rsidRPr="00506DB3">
        <w:rPr>
          <w:bCs/>
          <w:i/>
          <w:szCs w:val="22"/>
        </w:rPr>
        <w:t>exigence de divulgation est incorrect</w:t>
      </w:r>
      <w:r>
        <w:rPr>
          <w:bCs/>
          <w:i/>
          <w:szCs w:val="22"/>
        </w:rPr>
        <w:t xml:space="preserve">e.  </w:t>
      </w:r>
      <w:r w:rsidRPr="00CA6E19">
        <w:rPr>
          <w:bCs/>
          <w:i/>
          <w:szCs w:val="22"/>
        </w:rPr>
        <w:t>L</w:t>
      </w:r>
      <w:r>
        <w:rPr>
          <w:bCs/>
          <w:i/>
          <w:szCs w:val="22"/>
        </w:rPr>
        <w:t>’</w:t>
      </w:r>
      <w:r w:rsidRPr="00CA6E19">
        <w:rPr>
          <w:bCs/>
          <w:i/>
          <w:szCs w:val="22"/>
        </w:rPr>
        <w:t>expression “directement fondée sur” a été incorporée dans l</w:t>
      </w:r>
      <w:r>
        <w:rPr>
          <w:bCs/>
          <w:i/>
          <w:szCs w:val="22"/>
        </w:rPr>
        <w:t>’</w:t>
      </w:r>
      <w:r w:rsidRPr="00CA6E19">
        <w:rPr>
          <w:bCs/>
          <w:i/>
          <w:szCs w:val="22"/>
        </w:rPr>
        <w:t>art. </w:t>
      </w:r>
      <w:proofErr w:type="spellStart"/>
      <w:r w:rsidRPr="00CA6E19">
        <w:rPr>
          <w:bCs/>
          <w:i/>
          <w:szCs w:val="22"/>
        </w:rPr>
        <w:t>49a</w:t>
      </w:r>
      <w:proofErr w:type="spellEnd"/>
      <w:r w:rsidRPr="00CA6E19">
        <w:rPr>
          <w:bCs/>
          <w:i/>
          <w:szCs w:val="22"/>
        </w:rPr>
        <w:t xml:space="preserve"> de</w:t>
      </w:r>
      <w:r w:rsidRPr="00D8497A">
        <w:rPr>
          <w:bCs/>
          <w:i/>
          <w:szCs w:val="22"/>
        </w:rPr>
        <w:t xml:space="preserve"> la </w:t>
      </w:r>
      <w:proofErr w:type="spellStart"/>
      <w:r w:rsidRPr="00D8497A">
        <w:rPr>
          <w:bCs/>
          <w:i/>
          <w:szCs w:val="22"/>
        </w:rPr>
        <w:t>LBI</w:t>
      </w:r>
      <w:proofErr w:type="spellEnd"/>
      <w:r w:rsidRPr="00CA6E19">
        <w:rPr>
          <w:bCs/>
          <w:i/>
          <w:szCs w:val="22"/>
        </w:rPr>
        <w:t xml:space="preserve"> afin d</w:t>
      </w:r>
      <w:r>
        <w:rPr>
          <w:bCs/>
          <w:i/>
          <w:szCs w:val="22"/>
        </w:rPr>
        <w:t>’</w:t>
      </w:r>
      <w:r w:rsidRPr="00CA6E19">
        <w:rPr>
          <w:bCs/>
          <w:i/>
          <w:szCs w:val="22"/>
        </w:rPr>
        <w:t>exclure l</w:t>
      </w:r>
      <w:r>
        <w:rPr>
          <w:bCs/>
          <w:i/>
          <w:szCs w:val="22"/>
        </w:rPr>
        <w:t>a nécessité</w:t>
      </w:r>
      <w:r w:rsidRPr="00CA6E19">
        <w:rPr>
          <w:bCs/>
          <w:i/>
          <w:szCs w:val="22"/>
        </w:rPr>
        <w:t xml:space="preserve"> d</w:t>
      </w:r>
      <w:r>
        <w:rPr>
          <w:bCs/>
          <w:i/>
          <w:szCs w:val="22"/>
        </w:rPr>
        <w:t>’</w:t>
      </w:r>
      <w:r w:rsidRPr="00CA6E19">
        <w:rPr>
          <w:bCs/>
          <w:i/>
          <w:szCs w:val="22"/>
        </w:rPr>
        <w:t>indiquer les ressources génétiques qui sont utilisées dans les processus expérimentaux interven</w:t>
      </w:r>
      <w:r>
        <w:rPr>
          <w:bCs/>
          <w:i/>
          <w:szCs w:val="22"/>
        </w:rPr>
        <w:t>a</w:t>
      </w:r>
      <w:r w:rsidRPr="00CA6E19">
        <w:rPr>
          <w:bCs/>
          <w:i/>
          <w:szCs w:val="22"/>
        </w:rPr>
        <w:t>nt dans le développement d</w:t>
      </w:r>
      <w:r>
        <w:rPr>
          <w:bCs/>
          <w:i/>
          <w:szCs w:val="22"/>
        </w:rPr>
        <w:t>’</w:t>
      </w:r>
      <w:r w:rsidRPr="00CA6E19">
        <w:rPr>
          <w:bCs/>
          <w:i/>
          <w:szCs w:val="22"/>
        </w:rPr>
        <w:t xml:space="preserve">une invention, </w:t>
      </w:r>
      <w:r>
        <w:rPr>
          <w:bCs/>
          <w:i/>
          <w:szCs w:val="22"/>
        </w:rPr>
        <w:t>si ces</w:t>
      </w:r>
      <w:r w:rsidRPr="00CA6E19">
        <w:rPr>
          <w:bCs/>
          <w:i/>
          <w:szCs w:val="22"/>
        </w:rPr>
        <w:t xml:space="preserve"> res</w:t>
      </w:r>
      <w:r>
        <w:rPr>
          <w:bCs/>
          <w:i/>
          <w:szCs w:val="22"/>
        </w:rPr>
        <w:t>s</w:t>
      </w:r>
      <w:r w:rsidRPr="00CA6E19">
        <w:rPr>
          <w:bCs/>
          <w:i/>
          <w:szCs w:val="22"/>
        </w:rPr>
        <w:t xml:space="preserve">ources </w:t>
      </w:r>
      <w:r>
        <w:rPr>
          <w:bCs/>
          <w:i/>
          <w:szCs w:val="22"/>
        </w:rPr>
        <w:t>génétiques ne font pas elles</w:t>
      </w:r>
      <w:r>
        <w:rPr>
          <w:bCs/>
          <w:i/>
          <w:szCs w:val="22"/>
        </w:rPr>
        <w:noBreakHyphen/>
        <w:t>mêmes partie intégrante de l’</w:t>
      </w:r>
      <w:r w:rsidRPr="00CA6E19">
        <w:rPr>
          <w:bCs/>
          <w:i/>
          <w:szCs w:val="22"/>
        </w:rPr>
        <w:t>invention</w:t>
      </w:r>
      <w:r>
        <w:rPr>
          <w:bCs/>
          <w:i/>
          <w:szCs w:val="22"/>
        </w:rPr>
        <w:t>.  Par conséquent, il ne serait pas nécessaire d’indiquer les organismes et les virus de laboratoire utilisés dans les expériences effectuées par M. </w:t>
      </w:r>
      <w:proofErr w:type="spellStart"/>
      <w:r w:rsidRPr="00CA6E19">
        <w:rPr>
          <w:bCs/>
          <w:i/>
          <w:szCs w:val="22"/>
        </w:rPr>
        <w:t>Rinehart</w:t>
      </w:r>
      <w:proofErr w:type="spellEnd"/>
      <w:r w:rsidRPr="00CA6E19">
        <w:rPr>
          <w:bCs/>
          <w:i/>
          <w:szCs w:val="22"/>
        </w:rPr>
        <w:t>.</w:t>
      </w:r>
    </w:p>
    <w:p w:rsidR="008E65FA" w:rsidRPr="00CA6E19" w:rsidRDefault="008E65FA" w:rsidP="008E65FA">
      <w:pPr>
        <w:autoSpaceDE w:val="0"/>
        <w:autoSpaceDN w:val="0"/>
        <w:adjustRightInd w:val="0"/>
        <w:ind w:left="360"/>
        <w:rPr>
          <w:bCs/>
          <w:i/>
          <w:szCs w:val="22"/>
        </w:rPr>
      </w:pPr>
    </w:p>
    <w:p w:rsidR="008E65FA" w:rsidRPr="00CA6E19" w:rsidRDefault="008E65FA" w:rsidP="008E65FA">
      <w:pPr>
        <w:autoSpaceDE w:val="0"/>
        <w:autoSpaceDN w:val="0"/>
        <w:adjustRightInd w:val="0"/>
        <w:rPr>
          <w:szCs w:val="22"/>
        </w:rPr>
      </w:pPr>
    </w:p>
    <w:p w:rsidR="008E65FA" w:rsidRPr="00CA6E19" w:rsidRDefault="008E65FA" w:rsidP="008E65FA">
      <w:pPr>
        <w:autoSpaceDE w:val="0"/>
        <w:autoSpaceDN w:val="0"/>
        <w:adjustRightInd w:val="0"/>
        <w:ind w:firstLine="720"/>
        <w:rPr>
          <w:i/>
          <w:szCs w:val="22"/>
        </w:rPr>
      </w:pPr>
      <w:r w:rsidRPr="00277EAC">
        <w:rPr>
          <w:szCs w:val="22"/>
        </w:rPr>
        <w:t xml:space="preserve">E.  </w:t>
      </w:r>
      <w:r w:rsidRPr="00CA6E19">
        <w:rPr>
          <w:b/>
          <w:szCs w:val="22"/>
        </w:rPr>
        <w:t xml:space="preserve">Sanctions </w:t>
      </w:r>
      <w:r>
        <w:rPr>
          <w:b/>
          <w:szCs w:val="22"/>
        </w:rPr>
        <w:t>prév</w:t>
      </w:r>
      <w:r w:rsidRPr="00CA6E19">
        <w:rPr>
          <w:b/>
          <w:szCs w:val="22"/>
        </w:rPr>
        <w:t xml:space="preserve">ues en cas de </w:t>
      </w:r>
      <w:r>
        <w:rPr>
          <w:b/>
          <w:szCs w:val="22"/>
        </w:rPr>
        <w:t>violation</w:t>
      </w:r>
      <w:r w:rsidRPr="00CA6E19">
        <w:rPr>
          <w:b/>
          <w:szCs w:val="22"/>
        </w:rPr>
        <w:t xml:space="preserve"> de</w:t>
      </w:r>
      <w:r w:rsidRPr="00D8497A">
        <w:rPr>
          <w:b/>
          <w:szCs w:val="22"/>
        </w:rPr>
        <w:t xml:space="preserve"> la </w:t>
      </w:r>
      <w:proofErr w:type="spellStart"/>
      <w:r w:rsidRPr="00D8497A">
        <w:rPr>
          <w:b/>
          <w:szCs w:val="22"/>
        </w:rPr>
        <w:t>LPN</w:t>
      </w:r>
      <w:proofErr w:type="spellEnd"/>
      <w:r w:rsidRPr="00CA6E19">
        <w:rPr>
          <w:b/>
          <w:szCs w:val="22"/>
        </w:rPr>
        <w:t xml:space="preserve"> et de</w:t>
      </w:r>
      <w:r w:rsidRPr="00D8497A">
        <w:rPr>
          <w:b/>
          <w:szCs w:val="22"/>
        </w:rPr>
        <w:t xml:space="preserve"> la </w:t>
      </w:r>
      <w:proofErr w:type="spellStart"/>
      <w:r w:rsidRPr="00D8497A">
        <w:rPr>
          <w:b/>
          <w:szCs w:val="22"/>
        </w:rPr>
        <w:t>LBI</w:t>
      </w:r>
      <w:proofErr w:type="spellEnd"/>
    </w:p>
    <w:p w:rsidR="008E65FA" w:rsidRPr="00CA6E19" w:rsidRDefault="008E65FA" w:rsidP="008E65FA">
      <w:pPr>
        <w:autoSpaceDE w:val="0"/>
        <w:autoSpaceDN w:val="0"/>
        <w:adjustRightInd w:val="0"/>
        <w:ind w:firstLine="720"/>
        <w:rPr>
          <w:szCs w:val="22"/>
        </w:rPr>
      </w:pPr>
    </w:p>
    <w:p w:rsidR="008E65FA" w:rsidRDefault="008E65FA" w:rsidP="008E65FA">
      <w:pPr>
        <w:autoSpaceDE w:val="0"/>
        <w:autoSpaceDN w:val="0"/>
        <w:adjustRightInd w:val="0"/>
        <w:ind w:firstLine="720"/>
        <w:rPr>
          <w:szCs w:val="22"/>
        </w:rPr>
      </w:pPr>
      <w:r w:rsidRPr="00482771">
        <w:rPr>
          <w:szCs w:val="22"/>
        </w:rPr>
        <w:t xml:space="preserve">La Suisse </w:t>
      </w:r>
      <w:r>
        <w:rPr>
          <w:szCs w:val="22"/>
        </w:rPr>
        <w:t>prévoit</w:t>
      </w:r>
      <w:r w:rsidRPr="00482771">
        <w:rPr>
          <w:szCs w:val="22"/>
        </w:rPr>
        <w:t xml:space="preserve"> des sanctions sévères </w:t>
      </w:r>
      <w:r>
        <w:rPr>
          <w:szCs w:val="22"/>
        </w:rPr>
        <w:t>à l’encontre</w:t>
      </w:r>
      <w:r w:rsidRPr="00482771">
        <w:rPr>
          <w:szCs w:val="22"/>
        </w:rPr>
        <w:t xml:space="preserve"> </w:t>
      </w:r>
      <w:r>
        <w:rPr>
          <w:szCs w:val="22"/>
        </w:rPr>
        <w:t xml:space="preserve">de </w:t>
      </w:r>
      <w:r w:rsidRPr="00482771">
        <w:rPr>
          <w:szCs w:val="22"/>
        </w:rPr>
        <w:t>ceu</w:t>
      </w:r>
      <w:r>
        <w:rPr>
          <w:szCs w:val="22"/>
        </w:rPr>
        <w:t>x</w:t>
      </w:r>
      <w:r w:rsidRPr="00482771">
        <w:rPr>
          <w:szCs w:val="22"/>
        </w:rPr>
        <w:t xml:space="preserve"> qui </w:t>
      </w:r>
      <w:r>
        <w:rPr>
          <w:szCs w:val="22"/>
        </w:rPr>
        <w:t xml:space="preserve">ne respectent pas le devoir de diligence, l’obligation de notifier et l’exigence de divulgation.  </w:t>
      </w:r>
      <w:r w:rsidRPr="00482771">
        <w:rPr>
          <w:szCs w:val="22"/>
        </w:rPr>
        <w:t>L</w:t>
      </w:r>
      <w:r>
        <w:rPr>
          <w:szCs w:val="22"/>
        </w:rPr>
        <w:t>’</w:t>
      </w:r>
      <w:r w:rsidRPr="00482771">
        <w:rPr>
          <w:szCs w:val="22"/>
        </w:rPr>
        <w:t>om</w:t>
      </w:r>
      <w:r>
        <w:rPr>
          <w:szCs w:val="22"/>
        </w:rPr>
        <w:t>ission</w:t>
      </w:r>
      <w:r w:rsidRPr="00482771">
        <w:rPr>
          <w:szCs w:val="22"/>
        </w:rPr>
        <w:t xml:space="preserve"> de notifier de manière approprié</w:t>
      </w:r>
      <w:r>
        <w:rPr>
          <w:szCs w:val="22"/>
        </w:rPr>
        <w:t xml:space="preserve">e le respect du devoir de diligence pourrait être punie d’une amende allant jusqu’à </w:t>
      </w:r>
      <w:r w:rsidRPr="00482771">
        <w:rPr>
          <w:szCs w:val="22"/>
        </w:rPr>
        <w:t>100</w:t>
      </w:r>
      <w:r>
        <w:rPr>
          <w:szCs w:val="22"/>
        </w:rPr>
        <w:t> </w:t>
      </w:r>
      <w:r w:rsidRPr="00482771">
        <w:rPr>
          <w:szCs w:val="22"/>
        </w:rPr>
        <w:t>000</w:t>
      </w:r>
      <w:r>
        <w:rPr>
          <w:szCs w:val="22"/>
        </w:rPr>
        <w:t> francs suisses</w:t>
      </w:r>
      <w:r w:rsidRPr="00277EAC">
        <w:rPr>
          <w:szCs w:val="22"/>
          <w:vertAlign w:val="superscript"/>
        </w:rPr>
        <w:footnoteReference w:id="15"/>
      </w:r>
      <w:r>
        <w:rPr>
          <w:szCs w:val="22"/>
        </w:rPr>
        <w:t>.</w:t>
      </w:r>
      <w:r w:rsidRPr="00482771">
        <w:rPr>
          <w:szCs w:val="22"/>
        </w:rPr>
        <w:t xml:space="preserve">  </w:t>
      </w:r>
      <w:r>
        <w:rPr>
          <w:szCs w:val="22"/>
        </w:rPr>
        <w:t>De plus</w:t>
      </w:r>
      <w:r w:rsidRPr="00450289">
        <w:rPr>
          <w:szCs w:val="22"/>
        </w:rPr>
        <w:t>, le juge peut ordonner la publication du jugement</w:t>
      </w:r>
      <w:r>
        <w:rPr>
          <w:szCs w:val="22"/>
        </w:rPr>
        <w:t xml:space="preserve">.  </w:t>
      </w:r>
      <w:r w:rsidRPr="00450289">
        <w:rPr>
          <w:szCs w:val="22"/>
        </w:rPr>
        <w:t>Ainsi, dans le cas de M. </w:t>
      </w:r>
      <w:proofErr w:type="spellStart"/>
      <w:r w:rsidRPr="00450289">
        <w:rPr>
          <w:szCs w:val="22"/>
        </w:rPr>
        <w:t>Rinehart</w:t>
      </w:r>
      <w:proofErr w:type="spellEnd"/>
      <w:r w:rsidRPr="00450289">
        <w:rPr>
          <w:szCs w:val="22"/>
        </w:rPr>
        <w:t>, une amende de 100 000</w:t>
      </w:r>
      <w:r>
        <w:rPr>
          <w:szCs w:val="22"/>
        </w:rPr>
        <w:t> </w:t>
      </w:r>
      <w:r w:rsidRPr="00450289">
        <w:rPr>
          <w:szCs w:val="22"/>
        </w:rPr>
        <w:t xml:space="preserve">francs suisses pourrait être </w:t>
      </w:r>
      <w:r>
        <w:rPr>
          <w:szCs w:val="22"/>
        </w:rPr>
        <w:t>infligé</w:t>
      </w:r>
      <w:r w:rsidRPr="00450289">
        <w:rPr>
          <w:szCs w:val="22"/>
        </w:rPr>
        <w:t xml:space="preserve">e pour </w:t>
      </w:r>
      <w:r>
        <w:rPr>
          <w:szCs w:val="22"/>
          <w:u w:val="single"/>
        </w:rPr>
        <w:t>tout pa</w:t>
      </w:r>
      <w:r w:rsidRPr="00450289">
        <w:rPr>
          <w:szCs w:val="22"/>
          <w:u w:val="single"/>
        </w:rPr>
        <w:t>y</w:t>
      </w:r>
      <w:r>
        <w:rPr>
          <w:szCs w:val="22"/>
          <w:u w:val="single"/>
        </w:rPr>
        <w:t>s</w:t>
      </w:r>
      <w:r w:rsidRPr="00450289">
        <w:rPr>
          <w:szCs w:val="22"/>
        </w:rPr>
        <w:t xml:space="preserve"> </w:t>
      </w:r>
      <w:r>
        <w:rPr>
          <w:szCs w:val="22"/>
        </w:rPr>
        <w:t xml:space="preserve">au sujet duquel il ne procède pas à la </w:t>
      </w:r>
      <w:r w:rsidRPr="00450289">
        <w:rPr>
          <w:szCs w:val="22"/>
        </w:rPr>
        <w:t xml:space="preserve">notification </w:t>
      </w:r>
      <w:r>
        <w:rPr>
          <w:szCs w:val="22"/>
        </w:rPr>
        <w:t>appropriée du respect du devoir de diligence.  En outre, le juge peut ordonner la</w:t>
      </w:r>
      <w:r w:rsidRPr="00450289">
        <w:rPr>
          <w:szCs w:val="22"/>
        </w:rPr>
        <w:t xml:space="preserve"> publication du jugement </w:t>
      </w:r>
      <w:r>
        <w:rPr>
          <w:szCs w:val="22"/>
        </w:rPr>
        <w:t>pour</w:t>
      </w:r>
      <w:r w:rsidRPr="00450289">
        <w:rPr>
          <w:szCs w:val="22"/>
        </w:rPr>
        <w:t xml:space="preserve"> </w:t>
      </w:r>
      <w:r>
        <w:rPr>
          <w:szCs w:val="22"/>
          <w:u w:val="single"/>
        </w:rPr>
        <w:t xml:space="preserve">toute </w:t>
      </w:r>
      <w:r w:rsidRPr="00450289">
        <w:rPr>
          <w:szCs w:val="22"/>
          <w:u w:val="single"/>
        </w:rPr>
        <w:t>violation</w:t>
      </w:r>
      <w:r w:rsidRPr="00450289">
        <w:rPr>
          <w:szCs w:val="22"/>
        </w:rPr>
        <w:t xml:space="preserve"> </w:t>
      </w:r>
      <w:r>
        <w:rPr>
          <w:szCs w:val="22"/>
        </w:rPr>
        <w:t>de l’obligation de</w:t>
      </w:r>
      <w:r w:rsidRPr="00450289">
        <w:rPr>
          <w:szCs w:val="22"/>
        </w:rPr>
        <w:t xml:space="preserve"> notifi</w:t>
      </w:r>
      <w:r>
        <w:rPr>
          <w:szCs w:val="22"/>
        </w:rPr>
        <w:t>er</w:t>
      </w:r>
      <w:r w:rsidRPr="00450289">
        <w:rPr>
          <w:szCs w:val="22"/>
        </w:rPr>
        <w:t xml:space="preserve"> </w:t>
      </w:r>
      <w:r>
        <w:rPr>
          <w:szCs w:val="22"/>
        </w:rPr>
        <w:t>par M. </w:t>
      </w:r>
      <w:proofErr w:type="spellStart"/>
      <w:r w:rsidRPr="00450289">
        <w:rPr>
          <w:szCs w:val="22"/>
        </w:rPr>
        <w:t>Rinehart</w:t>
      </w:r>
      <w:proofErr w:type="spellEnd"/>
      <w:r w:rsidRPr="00450289">
        <w:rPr>
          <w:szCs w:val="22"/>
        </w:rPr>
        <w:t>.</w:t>
      </w:r>
    </w:p>
    <w:p w:rsidR="008E65FA" w:rsidRPr="00450289" w:rsidRDefault="008E65FA" w:rsidP="008E65FA">
      <w:pPr>
        <w:autoSpaceDE w:val="0"/>
        <w:autoSpaceDN w:val="0"/>
        <w:adjustRightInd w:val="0"/>
        <w:ind w:firstLine="720"/>
        <w:contextualSpacing/>
        <w:rPr>
          <w:szCs w:val="22"/>
        </w:rPr>
      </w:pPr>
    </w:p>
    <w:p w:rsidR="008E65FA" w:rsidRDefault="008E65FA" w:rsidP="008E65FA">
      <w:pPr>
        <w:autoSpaceDE w:val="0"/>
        <w:autoSpaceDN w:val="0"/>
        <w:adjustRightInd w:val="0"/>
        <w:ind w:firstLine="720"/>
        <w:contextualSpacing/>
        <w:rPr>
          <w:szCs w:val="22"/>
        </w:rPr>
      </w:pPr>
      <w:r w:rsidRPr="00450289">
        <w:rPr>
          <w:szCs w:val="22"/>
        </w:rPr>
        <w:t>Concernant le</w:t>
      </w:r>
      <w:r>
        <w:rPr>
          <w:szCs w:val="22"/>
        </w:rPr>
        <w:t>s</w:t>
      </w:r>
      <w:r w:rsidRPr="00450289">
        <w:rPr>
          <w:szCs w:val="22"/>
        </w:rPr>
        <w:t xml:space="preserve"> brevet</w:t>
      </w:r>
      <w:r>
        <w:rPr>
          <w:szCs w:val="22"/>
        </w:rPr>
        <w:t>s</w:t>
      </w:r>
      <w:r w:rsidRPr="00450289">
        <w:rPr>
          <w:szCs w:val="22"/>
        </w:rPr>
        <w:t xml:space="preserve">, celui qui fournit </w:t>
      </w:r>
      <w:r>
        <w:rPr>
          <w:szCs w:val="22"/>
        </w:rPr>
        <w:t>de faux renseignements dans une demande de brevet est puni d’une amende jusqu’à 1</w:t>
      </w:r>
      <w:r w:rsidRPr="00450289">
        <w:rPr>
          <w:szCs w:val="22"/>
        </w:rPr>
        <w:t>00</w:t>
      </w:r>
      <w:r>
        <w:rPr>
          <w:szCs w:val="22"/>
        </w:rPr>
        <w:t> </w:t>
      </w:r>
      <w:r w:rsidRPr="00450289">
        <w:rPr>
          <w:szCs w:val="22"/>
        </w:rPr>
        <w:t>000</w:t>
      </w:r>
      <w:r>
        <w:rPr>
          <w:szCs w:val="22"/>
        </w:rPr>
        <w:t> francs suisses</w:t>
      </w:r>
      <w:r w:rsidRPr="00277EAC">
        <w:rPr>
          <w:szCs w:val="22"/>
          <w:vertAlign w:val="superscript"/>
        </w:rPr>
        <w:footnoteReference w:id="16"/>
      </w:r>
      <w:r>
        <w:rPr>
          <w:szCs w:val="22"/>
        </w:rPr>
        <w:t>.</w:t>
      </w:r>
      <w:r w:rsidRPr="00450289">
        <w:rPr>
          <w:szCs w:val="22"/>
        </w:rPr>
        <w:t xml:space="preserve">  </w:t>
      </w:r>
      <w:r w:rsidRPr="003448E4">
        <w:rPr>
          <w:szCs w:val="22"/>
        </w:rPr>
        <w:t xml:space="preserve">Ici aussi, le juge peut ordonner la publication </w:t>
      </w:r>
      <w:r>
        <w:rPr>
          <w:szCs w:val="22"/>
        </w:rPr>
        <w:t>du</w:t>
      </w:r>
      <w:r w:rsidRPr="003448E4">
        <w:rPr>
          <w:szCs w:val="22"/>
        </w:rPr>
        <w:t xml:space="preserve"> jug</w:t>
      </w:r>
      <w:r>
        <w:rPr>
          <w:szCs w:val="22"/>
        </w:rPr>
        <w:t>e</w:t>
      </w:r>
      <w:r w:rsidRPr="003448E4">
        <w:rPr>
          <w:szCs w:val="22"/>
        </w:rPr>
        <w:t>ment</w:t>
      </w:r>
      <w:r w:rsidRPr="00277EAC">
        <w:rPr>
          <w:szCs w:val="22"/>
          <w:vertAlign w:val="superscript"/>
        </w:rPr>
        <w:footnoteReference w:id="17"/>
      </w:r>
      <w:r>
        <w:rPr>
          <w:szCs w:val="22"/>
        </w:rPr>
        <w:t>.</w:t>
      </w:r>
      <w:r w:rsidRPr="003448E4">
        <w:rPr>
          <w:szCs w:val="22"/>
        </w:rPr>
        <w:t xml:space="preserve"> </w:t>
      </w:r>
      <w:r>
        <w:rPr>
          <w:szCs w:val="22"/>
        </w:rPr>
        <w:t xml:space="preserve"> </w:t>
      </w:r>
      <w:r w:rsidRPr="003448E4">
        <w:rPr>
          <w:szCs w:val="22"/>
        </w:rPr>
        <w:t>Si l</w:t>
      </w:r>
      <w:r>
        <w:rPr>
          <w:szCs w:val="22"/>
        </w:rPr>
        <w:t>’</w:t>
      </w:r>
      <w:r w:rsidRPr="003448E4">
        <w:rPr>
          <w:szCs w:val="22"/>
        </w:rPr>
        <w:t>indication de la source de la ressource génétique ne figur</w:t>
      </w:r>
      <w:r>
        <w:rPr>
          <w:szCs w:val="22"/>
        </w:rPr>
        <w:t>e pas dans la demande de brevet</w:t>
      </w:r>
      <w:r w:rsidRPr="003448E4">
        <w:rPr>
          <w:szCs w:val="22"/>
        </w:rPr>
        <w:t xml:space="preserve">, </w:t>
      </w:r>
      <w:r>
        <w:rPr>
          <w:szCs w:val="22"/>
        </w:rPr>
        <w:t xml:space="preserve">elle doit être fournie dans un certain délai, faute de quoi la demande de brevet risque d’être rejetée.  </w:t>
      </w:r>
      <w:r w:rsidRPr="00FC7385">
        <w:rPr>
          <w:szCs w:val="22"/>
        </w:rPr>
        <w:t>Si M. </w:t>
      </w:r>
      <w:proofErr w:type="spellStart"/>
      <w:r w:rsidRPr="00FC7385">
        <w:rPr>
          <w:szCs w:val="22"/>
        </w:rPr>
        <w:t>Rinehart</w:t>
      </w:r>
      <w:proofErr w:type="spellEnd"/>
      <w:r w:rsidRPr="00FC7385">
        <w:rPr>
          <w:szCs w:val="22"/>
        </w:rPr>
        <w:t xml:space="preserve"> a indiqué la source des tuniciers, cela remonte à 1990, de nombreuses années avant que la Suisse n</w:t>
      </w:r>
      <w:r>
        <w:rPr>
          <w:szCs w:val="22"/>
        </w:rPr>
        <w:t>’adopt</w:t>
      </w:r>
      <w:r w:rsidRPr="00FC7385">
        <w:rPr>
          <w:szCs w:val="22"/>
        </w:rPr>
        <w:t xml:space="preserve">e des exigences en matière </w:t>
      </w:r>
      <w:r>
        <w:rPr>
          <w:szCs w:val="22"/>
        </w:rPr>
        <w:t xml:space="preserve">de divulgation, </w:t>
      </w:r>
      <w:r w:rsidRPr="00FC7385">
        <w:rPr>
          <w:szCs w:val="22"/>
        </w:rPr>
        <w:t>d</w:t>
      </w:r>
      <w:r>
        <w:rPr>
          <w:szCs w:val="22"/>
        </w:rPr>
        <w:t>’</w:t>
      </w:r>
      <w:r w:rsidRPr="00FC7385">
        <w:rPr>
          <w:szCs w:val="22"/>
        </w:rPr>
        <w:t>ac</w:t>
      </w:r>
      <w:r>
        <w:rPr>
          <w:szCs w:val="22"/>
        </w:rPr>
        <w:t>cès et de partage des avantages.  De plus</w:t>
      </w:r>
      <w:r w:rsidRPr="00FC7385">
        <w:rPr>
          <w:szCs w:val="22"/>
        </w:rPr>
        <w:t xml:space="preserve">, </w:t>
      </w:r>
      <w:r>
        <w:rPr>
          <w:szCs w:val="22"/>
        </w:rPr>
        <w:t>s</w:t>
      </w:r>
      <w:r w:rsidRPr="00FC7385">
        <w:rPr>
          <w:szCs w:val="22"/>
        </w:rPr>
        <w:t>e</w:t>
      </w:r>
      <w:r>
        <w:rPr>
          <w:szCs w:val="22"/>
        </w:rPr>
        <w:t>lo</w:t>
      </w:r>
      <w:r w:rsidRPr="00FC7385">
        <w:rPr>
          <w:szCs w:val="22"/>
        </w:rPr>
        <w:t xml:space="preserve">n la loi </w:t>
      </w:r>
      <w:r>
        <w:rPr>
          <w:szCs w:val="22"/>
        </w:rPr>
        <w:t xml:space="preserve">actuellement </w:t>
      </w:r>
      <w:r w:rsidRPr="00FC7385">
        <w:rPr>
          <w:szCs w:val="22"/>
        </w:rPr>
        <w:t xml:space="preserve">en vigueur, il pourrait </w:t>
      </w:r>
      <w:r>
        <w:rPr>
          <w:szCs w:val="22"/>
        </w:rPr>
        <w:t>être puni s’il n’indique pas la</w:t>
      </w:r>
      <w:r w:rsidRPr="00FC7385">
        <w:rPr>
          <w:szCs w:val="22"/>
        </w:rPr>
        <w:t xml:space="preserve"> source </w:t>
      </w:r>
      <w:r>
        <w:rPr>
          <w:szCs w:val="22"/>
        </w:rPr>
        <w:t>des</w:t>
      </w:r>
      <w:r w:rsidRPr="00FC7385">
        <w:rPr>
          <w:szCs w:val="22"/>
        </w:rPr>
        <w:t xml:space="preserve"> anima</w:t>
      </w:r>
      <w:r>
        <w:rPr>
          <w:szCs w:val="22"/>
        </w:rPr>
        <w:t>ux, végétaux, virus à ADN et virus à ARN sur lesquels il a procédé à des</w:t>
      </w:r>
      <w:r w:rsidRPr="00FC7385">
        <w:rPr>
          <w:szCs w:val="22"/>
        </w:rPr>
        <w:t xml:space="preserve"> exp</w:t>
      </w:r>
      <w:r>
        <w:rPr>
          <w:szCs w:val="22"/>
        </w:rPr>
        <w:t>é</w:t>
      </w:r>
      <w:r w:rsidRPr="00FC7385">
        <w:rPr>
          <w:szCs w:val="22"/>
        </w:rPr>
        <w:t>ri</w:t>
      </w:r>
      <w:r>
        <w:rPr>
          <w:szCs w:val="22"/>
        </w:rPr>
        <w:t>e</w:t>
      </w:r>
      <w:r w:rsidRPr="00FC7385">
        <w:rPr>
          <w:szCs w:val="22"/>
        </w:rPr>
        <w:t>n</w:t>
      </w:r>
      <w:r>
        <w:rPr>
          <w:szCs w:val="22"/>
        </w:rPr>
        <w:t>ce</w:t>
      </w:r>
      <w:r w:rsidRPr="00FC7385">
        <w:rPr>
          <w:szCs w:val="22"/>
        </w:rPr>
        <w:t>s.</w:t>
      </w:r>
    </w:p>
    <w:p w:rsidR="008E65FA" w:rsidRPr="00FC7385" w:rsidRDefault="008E65FA" w:rsidP="008E65FA">
      <w:pPr>
        <w:autoSpaceDE w:val="0"/>
        <w:autoSpaceDN w:val="0"/>
        <w:adjustRightInd w:val="0"/>
        <w:ind w:firstLine="720"/>
        <w:contextualSpacing/>
        <w:rPr>
          <w:szCs w:val="22"/>
        </w:rPr>
      </w:pPr>
    </w:p>
    <w:p w:rsidR="008E65FA" w:rsidRDefault="008E65FA" w:rsidP="008E65FA">
      <w:pPr>
        <w:autoSpaceDE w:val="0"/>
        <w:autoSpaceDN w:val="0"/>
        <w:adjustRightInd w:val="0"/>
        <w:ind w:firstLine="720"/>
        <w:contextualSpacing/>
        <w:rPr>
          <w:szCs w:val="22"/>
        </w:rPr>
      </w:pPr>
      <w:r w:rsidRPr="00FC7385">
        <w:rPr>
          <w:szCs w:val="22"/>
        </w:rPr>
        <w:t>Le tableau ci</w:t>
      </w:r>
      <w:r>
        <w:rPr>
          <w:szCs w:val="22"/>
        </w:rPr>
        <w:noBreakHyphen/>
      </w:r>
      <w:r w:rsidRPr="00FC7385">
        <w:rPr>
          <w:szCs w:val="22"/>
        </w:rPr>
        <w:t xml:space="preserve">dessous présente le type de sanctions </w:t>
      </w:r>
      <w:r>
        <w:rPr>
          <w:szCs w:val="22"/>
        </w:rPr>
        <w:t xml:space="preserve">qu’encourrait aujourd’hui </w:t>
      </w:r>
      <w:r w:rsidRPr="00FC7385">
        <w:rPr>
          <w:szCs w:val="22"/>
        </w:rPr>
        <w:t>M. </w:t>
      </w:r>
      <w:proofErr w:type="spellStart"/>
      <w:r w:rsidRPr="00FC7385">
        <w:rPr>
          <w:szCs w:val="22"/>
        </w:rPr>
        <w:t>Rinehart</w:t>
      </w:r>
      <w:proofErr w:type="spellEnd"/>
      <w:r>
        <w:rPr>
          <w:szCs w:val="22"/>
        </w:rPr>
        <w:t xml:space="preserve">.  </w:t>
      </w:r>
      <w:r w:rsidRPr="00FC7385">
        <w:rPr>
          <w:szCs w:val="22"/>
        </w:rPr>
        <w:t xml:space="preserve">Il pourrait </w:t>
      </w:r>
      <w:r>
        <w:rPr>
          <w:szCs w:val="22"/>
        </w:rPr>
        <w:t>en effet</w:t>
      </w:r>
      <w:r w:rsidRPr="00FC7385">
        <w:rPr>
          <w:szCs w:val="22"/>
        </w:rPr>
        <w:t xml:space="preserve"> </w:t>
      </w:r>
      <w:r>
        <w:rPr>
          <w:szCs w:val="22"/>
        </w:rPr>
        <w:t>s’exposer</w:t>
      </w:r>
      <w:r w:rsidRPr="00FC7385">
        <w:rPr>
          <w:szCs w:val="22"/>
        </w:rPr>
        <w:t xml:space="preserve"> </w:t>
      </w:r>
      <w:r>
        <w:rPr>
          <w:szCs w:val="22"/>
        </w:rPr>
        <w:t xml:space="preserve">à </w:t>
      </w:r>
      <w:r w:rsidRPr="00FC7385">
        <w:rPr>
          <w:szCs w:val="22"/>
        </w:rPr>
        <w:t>des amendes jusqu</w:t>
      </w:r>
      <w:r>
        <w:rPr>
          <w:szCs w:val="22"/>
        </w:rPr>
        <w:t>’</w:t>
      </w:r>
      <w:r w:rsidRPr="00FC7385">
        <w:rPr>
          <w:szCs w:val="22"/>
        </w:rPr>
        <w:t>à</w:t>
      </w:r>
      <w:r>
        <w:rPr>
          <w:szCs w:val="22"/>
        </w:rPr>
        <w:t xml:space="preserve"> </w:t>
      </w:r>
      <w:r w:rsidRPr="00FC7385">
        <w:rPr>
          <w:szCs w:val="22"/>
        </w:rPr>
        <w:t>200</w:t>
      </w:r>
      <w:r>
        <w:rPr>
          <w:szCs w:val="22"/>
        </w:rPr>
        <w:t> </w:t>
      </w:r>
      <w:r w:rsidRPr="00FC7385">
        <w:rPr>
          <w:szCs w:val="22"/>
        </w:rPr>
        <w:t>000</w:t>
      </w:r>
      <w:r>
        <w:rPr>
          <w:szCs w:val="22"/>
        </w:rPr>
        <w:t> francs suisses</w:t>
      </w:r>
      <w:r w:rsidRPr="00FC7385">
        <w:rPr>
          <w:szCs w:val="22"/>
        </w:rPr>
        <w:t xml:space="preserve">, </w:t>
      </w:r>
      <w:r>
        <w:rPr>
          <w:szCs w:val="22"/>
        </w:rPr>
        <w:t>à la publication de plusieurs jugements sur ordonnance du juge et au refus d’au moins un brevet</w:t>
      </w:r>
      <w:r w:rsidRPr="00277EAC">
        <w:rPr>
          <w:szCs w:val="22"/>
          <w:vertAlign w:val="superscript"/>
        </w:rPr>
        <w:footnoteReference w:id="18"/>
      </w:r>
      <w:r>
        <w:rPr>
          <w:szCs w:val="22"/>
        </w:rPr>
        <w:t>.</w:t>
      </w:r>
      <w:r w:rsidRPr="00FC7385">
        <w:rPr>
          <w:szCs w:val="22"/>
        </w:rPr>
        <w:t xml:space="preserve">  </w:t>
      </w:r>
      <w:r>
        <w:rPr>
          <w:szCs w:val="22"/>
        </w:rPr>
        <w:t xml:space="preserve">De toute évidence, cela influencerait considérablement </w:t>
      </w:r>
      <w:r w:rsidRPr="00780D7C">
        <w:rPr>
          <w:szCs w:val="22"/>
        </w:rPr>
        <w:t>la d</w:t>
      </w:r>
      <w:r>
        <w:rPr>
          <w:szCs w:val="22"/>
        </w:rPr>
        <w:t>é</w:t>
      </w:r>
      <w:r w:rsidRPr="00780D7C">
        <w:rPr>
          <w:szCs w:val="22"/>
        </w:rPr>
        <w:t>cision d</w:t>
      </w:r>
      <w:r>
        <w:rPr>
          <w:szCs w:val="22"/>
        </w:rPr>
        <w:t>’</w:t>
      </w:r>
      <w:r w:rsidRPr="00780D7C">
        <w:rPr>
          <w:szCs w:val="22"/>
        </w:rPr>
        <w:t>un requé</w:t>
      </w:r>
      <w:r>
        <w:rPr>
          <w:szCs w:val="22"/>
        </w:rPr>
        <w:t>r</w:t>
      </w:r>
      <w:r w:rsidRPr="00780D7C">
        <w:rPr>
          <w:szCs w:val="22"/>
        </w:rPr>
        <w:t>ant de d</w:t>
      </w:r>
      <w:r>
        <w:rPr>
          <w:szCs w:val="22"/>
        </w:rPr>
        <w:t>é</w:t>
      </w:r>
      <w:r w:rsidRPr="00780D7C">
        <w:rPr>
          <w:szCs w:val="22"/>
        </w:rPr>
        <w:t>poser une demande de brevet en Suisse aujourd</w:t>
      </w:r>
      <w:r>
        <w:rPr>
          <w:szCs w:val="22"/>
        </w:rPr>
        <w:t>’hui</w:t>
      </w:r>
      <w:r w:rsidRPr="00780D7C">
        <w:rPr>
          <w:szCs w:val="22"/>
        </w:rPr>
        <w:t>.</w:t>
      </w:r>
    </w:p>
    <w:p w:rsidR="008E65FA" w:rsidRDefault="008E65FA" w:rsidP="008E65FA">
      <w:pPr>
        <w:rPr>
          <w:szCs w:val="22"/>
        </w:rPr>
      </w:pPr>
    </w:p>
    <w:p w:rsidR="008E65FA" w:rsidRPr="00780D7C" w:rsidRDefault="008E65FA" w:rsidP="008E65FA">
      <w:pPr>
        <w:rPr>
          <w:szCs w:val="22"/>
        </w:rPr>
      </w:pPr>
    </w:p>
    <w:p w:rsidR="008E65FA" w:rsidRPr="00780D7C" w:rsidRDefault="008E65FA" w:rsidP="008E65FA">
      <w:pPr>
        <w:autoSpaceDE w:val="0"/>
        <w:autoSpaceDN w:val="0"/>
        <w:adjustRightInd w:val="0"/>
        <w:ind w:firstLine="720"/>
        <w:rPr>
          <w:szCs w:val="22"/>
        </w:rPr>
      </w:pPr>
      <w:r w:rsidRPr="00277EAC">
        <w:rPr>
          <w:szCs w:val="22"/>
        </w:rPr>
        <w:t>TABLE</w:t>
      </w:r>
      <w:r>
        <w:rPr>
          <w:szCs w:val="22"/>
        </w:rPr>
        <w:t>AU </w:t>
      </w:r>
      <w:r w:rsidRPr="00277EAC">
        <w:rPr>
          <w:szCs w:val="22"/>
        </w:rPr>
        <w:t xml:space="preserve">2.  </w:t>
      </w:r>
      <w:r w:rsidRPr="00780D7C">
        <w:rPr>
          <w:szCs w:val="22"/>
        </w:rPr>
        <w:t>VUE D</w:t>
      </w:r>
      <w:r>
        <w:rPr>
          <w:szCs w:val="22"/>
        </w:rPr>
        <w:t>’</w:t>
      </w:r>
      <w:r w:rsidRPr="00780D7C">
        <w:rPr>
          <w:szCs w:val="22"/>
        </w:rPr>
        <w:t xml:space="preserve">ENSEMBLE DES SANCTIONS </w:t>
      </w:r>
      <w:r>
        <w:rPr>
          <w:szCs w:val="22"/>
        </w:rPr>
        <w:t xml:space="preserve">PRÉVUES PAR </w:t>
      </w:r>
      <w:r w:rsidRPr="00780D7C">
        <w:rPr>
          <w:szCs w:val="22"/>
        </w:rPr>
        <w:t xml:space="preserve">LA LOI SUISSE </w:t>
      </w:r>
      <w:r>
        <w:rPr>
          <w:szCs w:val="22"/>
        </w:rPr>
        <w:t>À L’ENCONTRE DU DÉPOSANT DU BREVET N° 8</w:t>
      </w:r>
      <w:r w:rsidRPr="00780D7C">
        <w:rPr>
          <w:szCs w:val="22"/>
        </w:rPr>
        <w:t>70</w:t>
      </w:r>
    </w:p>
    <w:p w:rsidR="008E65FA" w:rsidRPr="00780D7C" w:rsidRDefault="008E65FA" w:rsidP="008E65FA">
      <w:pPr>
        <w:autoSpaceDE w:val="0"/>
        <w:autoSpaceDN w:val="0"/>
        <w:adjustRightInd w:val="0"/>
        <w:ind w:firstLine="7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2015"/>
        <w:gridCol w:w="1725"/>
        <w:gridCol w:w="1870"/>
      </w:tblGrid>
      <w:tr w:rsidR="008E65FA" w:rsidRPr="00277EAC" w:rsidTr="008E65FA">
        <w:trPr>
          <w:cantSplit/>
          <w:trHeight w:val="467"/>
          <w:tblHeader/>
        </w:trPr>
        <w:tc>
          <w:tcPr>
            <w:tcW w:w="1870" w:type="dxa"/>
            <w:shd w:val="clear" w:color="auto" w:fill="auto"/>
          </w:tcPr>
          <w:p w:rsidR="008E65FA" w:rsidRPr="00780D7C" w:rsidRDefault="008E65FA" w:rsidP="006C2059">
            <w:pPr>
              <w:autoSpaceDE w:val="0"/>
              <w:autoSpaceDN w:val="0"/>
              <w:adjustRightInd w:val="0"/>
              <w:rPr>
                <w:rFonts w:eastAsia="Calibri"/>
                <w:b/>
                <w:szCs w:val="22"/>
              </w:rPr>
            </w:pPr>
            <w:r w:rsidRPr="00780D7C">
              <w:rPr>
                <w:rFonts w:eastAsia="Calibri"/>
                <w:b/>
                <w:szCs w:val="22"/>
              </w:rPr>
              <w:t>Disposition suisse</w:t>
            </w:r>
          </w:p>
        </w:tc>
        <w:tc>
          <w:tcPr>
            <w:tcW w:w="1870" w:type="dxa"/>
            <w:shd w:val="clear" w:color="auto" w:fill="auto"/>
          </w:tcPr>
          <w:p w:rsidR="008E65FA" w:rsidRPr="00780D7C" w:rsidRDefault="008E65FA" w:rsidP="006C2059">
            <w:pPr>
              <w:autoSpaceDE w:val="0"/>
              <w:autoSpaceDN w:val="0"/>
              <w:adjustRightInd w:val="0"/>
              <w:rPr>
                <w:rFonts w:eastAsia="Calibri"/>
                <w:b/>
                <w:szCs w:val="22"/>
              </w:rPr>
            </w:pPr>
            <w:r w:rsidRPr="00780D7C">
              <w:rPr>
                <w:rFonts w:eastAsia="Calibri"/>
                <w:b/>
                <w:szCs w:val="22"/>
              </w:rPr>
              <w:t xml:space="preserve">Le </w:t>
            </w:r>
            <w:r>
              <w:rPr>
                <w:rFonts w:eastAsia="Calibri"/>
                <w:b/>
                <w:szCs w:val="22"/>
              </w:rPr>
              <w:t>d</w:t>
            </w:r>
            <w:r w:rsidRPr="00780D7C">
              <w:rPr>
                <w:rFonts w:eastAsia="Calibri"/>
                <w:b/>
                <w:szCs w:val="22"/>
              </w:rPr>
              <w:t>é</w:t>
            </w:r>
            <w:r>
              <w:rPr>
                <w:rFonts w:eastAsia="Calibri"/>
                <w:b/>
                <w:szCs w:val="22"/>
              </w:rPr>
              <w:t>posa</w:t>
            </w:r>
            <w:r w:rsidRPr="00780D7C">
              <w:rPr>
                <w:rFonts w:eastAsia="Calibri"/>
                <w:b/>
                <w:szCs w:val="22"/>
              </w:rPr>
              <w:t xml:space="preserve">nt </w:t>
            </w:r>
            <w:r>
              <w:rPr>
                <w:rFonts w:eastAsia="Calibri"/>
                <w:b/>
                <w:szCs w:val="22"/>
              </w:rPr>
              <w:t>d</w:t>
            </w:r>
            <w:r w:rsidRPr="00780D7C">
              <w:rPr>
                <w:rFonts w:eastAsia="Calibri"/>
                <w:b/>
                <w:szCs w:val="22"/>
              </w:rPr>
              <w:t>u brevet n°</w:t>
            </w:r>
            <w:r>
              <w:rPr>
                <w:rFonts w:eastAsia="Calibri"/>
                <w:b/>
                <w:szCs w:val="22"/>
              </w:rPr>
              <w:t> </w:t>
            </w:r>
            <w:r w:rsidRPr="00780D7C">
              <w:rPr>
                <w:rFonts w:eastAsia="Calibri"/>
                <w:b/>
                <w:szCs w:val="22"/>
              </w:rPr>
              <w:t>870 satisfait</w:t>
            </w:r>
            <w:r>
              <w:rPr>
                <w:rFonts w:eastAsia="Calibri"/>
                <w:b/>
                <w:szCs w:val="22"/>
              </w:rPr>
              <w:noBreakHyphen/>
            </w:r>
            <w:r w:rsidRPr="00780D7C">
              <w:rPr>
                <w:rFonts w:eastAsia="Calibri"/>
                <w:b/>
                <w:szCs w:val="22"/>
              </w:rPr>
              <w:t xml:space="preserve">il aux </w:t>
            </w:r>
            <w:r>
              <w:rPr>
                <w:rFonts w:eastAsia="Calibri"/>
                <w:b/>
                <w:szCs w:val="22"/>
              </w:rPr>
              <w:t>exigenc</w:t>
            </w:r>
            <w:r w:rsidRPr="00780D7C">
              <w:rPr>
                <w:rFonts w:eastAsia="Calibri"/>
                <w:b/>
                <w:szCs w:val="22"/>
              </w:rPr>
              <w:t>es?</w:t>
            </w:r>
          </w:p>
        </w:tc>
        <w:tc>
          <w:tcPr>
            <w:tcW w:w="2015" w:type="dxa"/>
            <w:shd w:val="clear" w:color="auto" w:fill="auto"/>
          </w:tcPr>
          <w:p w:rsidR="008E65FA" w:rsidRPr="00277EAC" w:rsidRDefault="008E65FA" w:rsidP="006C2059">
            <w:pPr>
              <w:autoSpaceDE w:val="0"/>
              <w:autoSpaceDN w:val="0"/>
              <w:adjustRightInd w:val="0"/>
              <w:rPr>
                <w:rFonts w:eastAsia="Calibri"/>
                <w:b/>
                <w:szCs w:val="22"/>
              </w:rPr>
            </w:pPr>
            <w:r>
              <w:rPr>
                <w:rFonts w:eastAsia="Calibri"/>
                <w:b/>
                <w:szCs w:val="22"/>
              </w:rPr>
              <w:t>Amendes maximales</w:t>
            </w:r>
          </w:p>
        </w:tc>
        <w:tc>
          <w:tcPr>
            <w:tcW w:w="1725" w:type="dxa"/>
            <w:shd w:val="clear" w:color="auto" w:fill="auto"/>
          </w:tcPr>
          <w:p w:rsidR="008E65FA" w:rsidRPr="00277EAC" w:rsidRDefault="008E65FA" w:rsidP="006C2059">
            <w:pPr>
              <w:autoSpaceDE w:val="0"/>
              <w:autoSpaceDN w:val="0"/>
              <w:adjustRightInd w:val="0"/>
              <w:rPr>
                <w:rFonts w:eastAsia="Calibri"/>
                <w:b/>
                <w:szCs w:val="22"/>
              </w:rPr>
            </w:pPr>
            <w:r>
              <w:rPr>
                <w:rFonts w:eastAsia="Calibri"/>
                <w:b/>
                <w:szCs w:val="22"/>
              </w:rPr>
              <w:t>Publication du j</w:t>
            </w:r>
            <w:r w:rsidRPr="00277EAC">
              <w:rPr>
                <w:rFonts w:eastAsia="Calibri"/>
                <w:b/>
                <w:szCs w:val="22"/>
              </w:rPr>
              <w:t>ug</w:t>
            </w:r>
            <w:r>
              <w:rPr>
                <w:rFonts w:eastAsia="Calibri"/>
                <w:b/>
                <w:szCs w:val="22"/>
              </w:rPr>
              <w:t>ement</w:t>
            </w:r>
          </w:p>
        </w:tc>
        <w:tc>
          <w:tcPr>
            <w:tcW w:w="1870" w:type="dxa"/>
            <w:shd w:val="clear" w:color="auto" w:fill="auto"/>
          </w:tcPr>
          <w:p w:rsidR="008E65FA" w:rsidRPr="00277EAC" w:rsidRDefault="008E65FA" w:rsidP="006C2059">
            <w:pPr>
              <w:autoSpaceDE w:val="0"/>
              <w:autoSpaceDN w:val="0"/>
              <w:adjustRightInd w:val="0"/>
              <w:rPr>
                <w:rFonts w:eastAsia="Calibri"/>
                <w:b/>
                <w:szCs w:val="22"/>
              </w:rPr>
            </w:pPr>
            <w:r>
              <w:rPr>
                <w:rFonts w:eastAsia="Calibri"/>
                <w:b/>
                <w:szCs w:val="22"/>
              </w:rPr>
              <w:t>Refus du brevet</w:t>
            </w:r>
          </w:p>
        </w:tc>
      </w:tr>
      <w:tr w:rsidR="008E65FA" w:rsidRPr="00CD0B99" w:rsidTr="006C2059">
        <w:tc>
          <w:tcPr>
            <w:tcW w:w="1870" w:type="dxa"/>
            <w:shd w:val="clear" w:color="auto" w:fill="A6A6A6"/>
          </w:tcPr>
          <w:p w:rsidR="008E65FA" w:rsidRPr="00CD0B99" w:rsidRDefault="008E65FA" w:rsidP="006C2059">
            <w:pPr>
              <w:autoSpaceDE w:val="0"/>
              <w:autoSpaceDN w:val="0"/>
              <w:adjustRightInd w:val="0"/>
              <w:rPr>
                <w:rFonts w:eastAsia="Calibri"/>
                <w:i/>
                <w:szCs w:val="22"/>
              </w:rPr>
            </w:pPr>
            <w:r w:rsidRPr="00CD0B99">
              <w:rPr>
                <w:rFonts w:eastAsia="Calibri"/>
                <w:i/>
                <w:szCs w:val="22"/>
              </w:rPr>
              <w:t>Devoir de diligence (art.</w:t>
            </w:r>
            <w:r>
              <w:rPr>
                <w:rFonts w:eastAsia="Calibri"/>
                <w:i/>
                <w:szCs w:val="22"/>
              </w:rPr>
              <w:t> </w:t>
            </w:r>
            <w:proofErr w:type="spellStart"/>
            <w:r w:rsidRPr="00CD0B99">
              <w:rPr>
                <w:rFonts w:eastAsia="Calibri"/>
                <w:i/>
                <w:szCs w:val="22"/>
              </w:rPr>
              <w:t>23n</w:t>
            </w:r>
            <w:proofErr w:type="spellEnd"/>
            <w:r w:rsidRPr="00CD0B99">
              <w:rPr>
                <w:rFonts w:eastAsia="Calibri"/>
                <w:i/>
                <w:szCs w:val="22"/>
              </w:rPr>
              <w:t xml:space="preserve"> </w:t>
            </w:r>
            <w:proofErr w:type="spellStart"/>
            <w:r>
              <w:rPr>
                <w:rFonts w:eastAsia="Calibri"/>
                <w:i/>
                <w:szCs w:val="22"/>
              </w:rPr>
              <w:t>LP</w:t>
            </w:r>
            <w:r w:rsidRPr="00CD0B99">
              <w:rPr>
                <w:rFonts w:eastAsia="Calibri"/>
                <w:i/>
                <w:szCs w:val="22"/>
              </w:rPr>
              <w:t>N</w:t>
            </w:r>
            <w:proofErr w:type="spellEnd"/>
            <w:r w:rsidRPr="00CD0B99">
              <w:rPr>
                <w:rFonts w:eastAsia="Calibri"/>
                <w:i/>
                <w:szCs w:val="22"/>
              </w:rPr>
              <w:t>)</w:t>
            </w:r>
          </w:p>
        </w:tc>
        <w:tc>
          <w:tcPr>
            <w:tcW w:w="1870" w:type="dxa"/>
            <w:shd w:val="clear" w:color="auto" w:fill="A6A6A6"/>
          </w:tcPr>
          <w:p w:rsidR="008E65FA" w:rsidRPr="00CD0B99" w:rsidRDefault="008E65FA" w:rsidP="006C2059">
            <w:pPr>
              <w:autoSpaceDE w:val="0"/>
              <w:autoSpaceDN w:val="0"/>
              <w:adjustRightInd w:val="0"/>
              <w:rPr>
                <w:rFonts w:eastAsia="Calibri"/>
                <w:szCs w:val="22"/>
              </w:rPr>
            </w:pPr>
          </w:p>
        </w:tc>
        <w:tc>
          <w:tcPr>
            <w:tcW w:w="2015" w:type="dxa"/>
            <w:shd w:val="clear" w:color="auto" w:fill="A6A6A6"/>
          </w:tcPr>
          <w:p w:rsidR="008E65FA" w:rsidRPr="00CD0B99" w:rsidRDefault="008E65FA" w:rsidP="006C2059">
            <w:pPr>
              <w:autoSpaceDE w:val="0"/>
              <w:autoSpaceDN w:val="0"/>
              <w:adjustRightInd w:val="0"/>
              <w:rPr>
                <w:rFonts w:eastAsia="Calibri"/>
                <w:szCs w:val="22"/>
              </w:rPr>
            </w:pPr>
          </w:p>
        </w:tc>
        <w:tc>
          <w:tcPr>
            <w:tcW w:w="1725" w:type="dxa"/>
            <w:shd w:val="clear" w:color="auto" w:fill="A6A6A6"/>
          </w:tcPr>
          <w:p w:rsidR="008E65FA" w:rsidRPr="00CD0B99" w:rsidRDefault="008E65FA" w:rsidP="006C2059">
            <w:pPr>
              <w:autoSpaceDE w:val="0"/>
              <w:autoSpaceDN w:val="0"/>
              <w:adjustRightInd w:val="0"/>
              <w:rPr>
                <w:rFonts w:eastAsia="Calibri"/>
                <w:szCs w:val="22"/>
              </w:rPr>
            </w:pPr>
          </w:p>
        </w:tc>
        <w:tc>
          <w:tcPr>
            <w:tcW w:w="1870" w:type="dxa"/>
            <w:shd w:val="clear" w:color="auto" w:fill="A6A6A6"/>
          </w:tcPr>
          <w:p w:rsidR="008E65FA" w:rsidRPr="00CD0B99" w:rsidRDefault="008E65FA" w:rsidP="006C2059">
            <w:pPr>
              <w:autoSpaceDE w:val="0"/>
              <w:autoSpaceDN w:val="0"/>
              <w:adjustRightInd w:val="0"/>
              <w:rPr>
                <w:rFonts w:eastAsia="Calibri"/>
                <w:szCs w:val="22"/>
              </w:rPr>
            </w:pPr>
          </w:p>
        </w:tc>
      </w:tr>
      <w:tr w:rsidR="008E65FA" w:rsidRPr="00277EAC" w:rsidTr="006C2059">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Belize</w:t>
            </w:r>
            <w:r>
              <w:rPr>
                <w:rFonts w:eastAsia="Calibri"/>
                <w:szCs w:val="22"/>
              </w:rPr>
              <w:t>, lieu n° 1</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 requis</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rPr>
          <w:trHeight w:val="215"/>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Colombi</w:t>
            </w:r>
            <w:r>
              <w:rPr>
                <w:rFonts w:eastAsia="Calibri"/>
                <w:szCs w:val="22"/>
              </w:rPr>
              <w:t>e</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 requis</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Mexi</w:t>
            </w:r>
            <w:r>
              <w:rPr>
                <w:rFonts w:eastAsia="Calibri"/>
                <w:szCs w:val="22"/>
              </w:rPr>
              <w:t>que</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w:t>
            </w:r>
            <w:r w:rsidRPr="00277EAC">
              <w:rPr>
                <w:rFonts w:eastAsia="Calibri"/>
                <w:color w:val="C00000"/>
                <w:szCs w:val="22"/>
              </w:rPr>
              <w:t>e</w:t>
            </w:r>
            <w:r>
              <w:rPr>
                <w:rFonts w:eastAsia="Calibri"/>
                <w:color w:val="C00000"/>
                <w:szCs w:val="22"/>
              </w:rPr>
              <w:t>quis</w:t>
            </w:r>
            <w:r w:rsidRPr="00277EAC">
              <w:rPr>
                <w:rFonts w:eastAsia="Calibri"/>
                <w:color w:val="C00000"/>
                <w:szCs w:val="22"/>
              </w:rPr>
              <w:t>**</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Belize</w:t>
            </w:r>
            <w:r>
              <w:rPr>
                <w:rFonts w:eastAsia="Calibri"/>
                <w:szCs w:val="22"/>
              </w:rPr>
              <w:t>, lieu n° </w:t>
            </w:r>
            <w:r w:rsidRPr="00277EAC">
              <w:rPr>
                <w:rFonts w:eastAsia="Calibri"/>
                <w:szCs w:val="22"/>
              </w:rPr>
              <w:t>2</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 requis</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 xml:space="preserve">Honduras </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 requis</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 xml:space="preserve">Panama </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w:t>
            </w:r>
            <w:r w:rsidRPr="00277EAC">
              <w:rPr>
                <w:rFonts w:eastAsia="Calibri"/>
                <w:color w:val="C00000"/>
                <w:szCs w:val="22"/>
              </w:rPr>
              <w:t>e</w:t>
            </w:r>
            <w:r>
              <w:rPr>
                <w:rFonts w:eastAsia="Calibri"/>
                <w:color w:val="C00000"/>
                <w:szCs w:val="22"/>
              </w:rPr>
              <w:t>quis</w:t>
            </w:r>
            <w:r w:rsidRPr="00277EAC">
              <w:rPr>
                <w:rFonts w:eastAsia="Calibri"/>
                <w:color w:val="C00000"/>
                <w:szCs w:val="22"/>
              </w:rPr>
              <w:t>**</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S</w:t>
            </w:r>
            <w:r>
              <w:rPr>
                <w:rFonts w:eastAsia="Calibri"/>
                <w:b/>
                <w:szCs w:val="22"/>
              </w:rPr>
              <w:t>ous</w:t>
            </w:r>
            <w:r>
              <w:rPr>
                <w:rFonts w:eastAsia="Calibri"/>
                <w:b/>
                <w:szCs w:val="22"/>
              </w:rPr>
              <w:noBreakHyphen/>
            </w:r>
            <w:r w:rsidRPr="00277EAC">
              <w:rPr>
                <w:rFonts w:eastAsia="Calibri"/>
                <w:b/>
                <w:szCs w:val="22"/>
              </w:rPr>
              <w:t>total</w:t>
            </w:r>
          </w:p>
        </w:tc>
        <w:tc>
          <w:tcPr>
            <w:tcW w:w="1870" w:type="dxa"/>
            <w:shd w:val="clear" w:color="auto" w:fill="auto"/>
          </w:tcPr>
          <w:p w:rsidR="008E65FA" w:rsidRPr="00277EAC" w:rsidRDefault="008E65FA" w:rsidP="006C2059">
            <w:pPr>
              <w:autoSpaceDE w:val="0"/>
              <w:autoSpaceDN w:val="0"/>
              <w:adjustRightInd w:val="0"/>
              <w:rPr>
                <w:rFonts w:eastAsia="Calibri"/>
                <w:b/>
                <w:color w:val="C00000"/>
                <w:szCs w:val="22"/>
              </w:rPr>
            </w:pPr>
            <w:r w:rsidRPr="00277EAC">
              <w:rPr>
                <w:rFonts w:eastAsia="Calibri"/>
                <w:b/>
                <w:szCs w:val="22"/>
              </w:rPr>
              <w:t>2</w:t>
            </w:r>
            <w:r>
              <w:rPr>
                <w:rFonts w:eastAsia="Calibri"/>
                <w:b/>
                <w:szCs w:val="22"/>
              </w:rPr>
              <w:t> exigences réglementaire</w:t>
            </w:r>
            <w:r w:rsidRPr="00277EAC">
              <w:rPr>
                <w:rFonts w:eastAsia="Calibri"/>
                <w:b/>
                <w:szCs w:val="22"/>
              </w:rPr>
              <w:t>s</w:t>
            </w:r>
          </w:p>
        </w:tc>
        <w:tc>
          <w:tcPr>
            <w:tcW w:w="2015"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NA</w:t>
            </w:r>
          </w:p>
        </w:tc>
        <w:tc>
          <w:tcPr>
            <w:tcW w:w="1725"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NA</w:t>
            </w:r>
          </w:p>
        </w:tc>
        <w:tc>
          <w:tcPr>
            <w:tcW w:w="1870"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NA</w:t>
            </w:r>
          </w:p>
        </w:tc>
      </w:tr>
      <w:tr w:rsidR="008E65FA" w:rsidRPr="00277EAC" w:rsidTr="006C2059">
        <w:tc>
          <w:tcPr>
            <w:tcW w:w="1870" w:type="dxa"/>
            <w:shd w:val="clear" w:color="auto" w:fill="A6A6A6"/>
          </w:tcPr>
          <w:p w:rsidR="008E65FA" w:rsidRPr="00277EAC" w:rsidRDefault="008E65FA" w:rsidP="006C2059">
            <w:pPr>
              <w:autoSpaceDE w:val="0"/>
              <w:autoSpaceDN w:val="0"/>
              <w:adjustRightInd w:val="0"/>
              <w:rPr>
                <w:rFonts w:eastAsia="Calibri"/>
                <w:i/>
                <w:szCs w:val="22"/>
              </w:rPr>
            </w:pPr>
            <w:r w:rsidRPr="00277EAC">
              <w:rPr>
                <w:rFonts w:eastAsia="Calibri"/>
                <w:i/>
                <w:szCs w:val="22"/>
              </w:rPr>
              <w:t>Notification (</w:t>
            </w:r>
            <w:r>
              <w:rPr>
                <w:rFonts w:eastAsia="Calibri"/>
                <w:i/>
                <w:szCs w:val="22"/>
              </w:rPr>
              <w:t>a</w:t>
            </w:r>
            <w:r w:rsidRPr="00277EAC">
              <w:rPr>
                <w:rFonts w:eastAsia="Calibri"/>
                <w:i/>
                <w:szCs w:val="22"/>
              </w:rPr>
              <w:t>rt.</w:t>
            </w:r>
            <w:r>
              <w:rPr>
                <w:rFonts w:eastAsia="Calibri"/>
                <w:i/>
                <w:szCs w:val="22"/>
              </w:rPr>
              <w:t> </w:t>
            </w:r>
            <w:proofErr w:type="spellStart"/>
            <w:r w:rsidRPr="00277EAC">
              <w:rPr>
                <w:rFonts w:eastAsia="Calibri"/>
                <w:i/>
                <w:szCs w:val="22"/>
              </w:rPr>
              <w:t>23o</w:t>
            </w:r>
            <w:proofErr w:type="spellEnd"/>
            <w:r w:rsidRPr="00277EAC">
              <w:rPr>
                <w:rFonts w:eastAsia="Calibri"/>
                <w:i/>
                <w:szCs w:val="22"/>
              </w:rPr>
              <w:t xml:space="preserve"> </w:t>
            </w:r>
            <w:proofErr w:type="spellStart"/>
            <w:r>
              <w:rPr>
                <w:rFonts w:eastAsia="Calibri"/>
                <w:i/>
                <w:szCs w:val="22"/>
              </w:rPr>
              <w:t>LP</w:t>
            </w:r>
            <w:r w:rsidRPr="00277EAC">
              <w:rPr>
                <w:rFonts w:eastAsia="Calibri"/>
                <w:i/>
                <w:szCs w:val="22"/>
              </w:rPr>
              <w:t>N</w:t>
            </w:r>
            <w:proofErr w:type="spellEnd"/>
            <w:r w:rsidRPr="00277EAC">
              <w:rPr>
                <w:rFonts w:eastAsia="Calibri"/>
                <w:i/>
                <w:szCs w:val="22"/>
              </w:rPr>
              <w:t>)</w:t>
            </w:r>
          </w:p>
        </w:tc>
        <w:tc>
          <w:tcPr>
            <w:tcW w:w="1870" w:type="dxa"/>
            <w:shd w:val="clear" w:color="auto" w:fill="000000"/>
          </w:tcPr>
          <w:p w:rsidR="008E65FA" w:rsidRPr="00277EAC" w:rsidRDefault="008E65FA" w:rsidP="006C2059">
            <w:pPr>
              <w:autoSpaceDE w:val="0"/>
              <w:autoSpaceDN w:val="0"/>
              <w:adjustRightInd w:val="0"/>
              <w:rPr>
                <w:rFonts w:eastAsia="Calibri"/>
                <w:szCs w:val="22"/>
              </w:rPr>
            </w:pPr>
          </w:p>
        </w:tc>
        <w:tc>
          <w:tcPr>
            <w:tcW w:w="2015" w:type="dxa"/>
            <w:shd w:val="clear" w:color="auto" w:fill="000000"/>
          </w:tcPr>
          <w:p w:rsidR="008E65FA" w:rsidRPr="00277EAC" w:rsidRDefault="008E65FA" w:rsidP="006C2059">
            <w:pPr>
              <w:autoSpaceDE w:val="0"/>
              <w:autoSpaceDN w:val="0"/>
              <w:adjustRightInd w:val="0"/>
              <w:rPr>
                <w:rFonts w:eastAsia="Calibri"/>
                <w:szCs w:val="22"/>
              </w:rPr>
            </w:pPr>
          </w:p>
        </w:tc>
        <w:tc>
          <w:tcPr>
            <w:tcW w:w="1725" w:type="dxa"/>
            <w:shd w:val="clear" w:color="auto" w:fill="000000"/>
          </w:tcPr>
          <w:p w:rsidR="008E65FA" w:rsidRPr="00277EAC" w:rsidRDefault="008E65FA" w:rsidP="006C2059">
            <w:pPr>
              <w:autoSpaceDE w:val="0"/>
              <w:autoSpaceDN w:val="0"/>
              <w:adjustRightInd w:val="0"/>
              <w:rPr>
                <w:rFonts w:eastAsia="Calibri"/>
                <w:szCs w:val="22"/>
              </w:rPr>
            </w:pPr>
          </w:p>
        </w:tc>
        <w:tc>
          <w:tcPr>
            <w:tcW w:w="1870" w:type="dxa"/>
            <w:shd w:val="clear" w:color="auto" w:fill="000000"/>
          </w:tcPr>
          <w:p w:rsidR="008E65FA" w:rsidRPr="00277EAC" w:rsidRDefault="008E65FA" w:rsidP="006C2059">
            <w:pPr>
              <w:autoSpaceDE w:val="0"/>
              <w:autoSpaceDN w:val="0"/>
              <w:adjustRightInd w:val="0"/>
              <w:rPr>
                <w:rFonts w:eastAsia="Calibri"/>
                <w:szCs w:val="22"/>
              </w:rPr>
            </w:pPr>
          </w:p>
        </w:tc>
      </w:tr>
      <w:tr w:rsidR="008E65FA" w:rsidRPr="00277EAC" w:rsidTr="006C2059">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Belize</w:t>
            </w:r>
            <w:r>
              <w:rPr>
                <w:rFonts w:eastAsia="Calibri"/>
                <w:szCs w:val="22"/>
              </w:rPr>
              <w:t>, lieu n° </w:t>
            </w:r>
            <w:r w:rsidRPr="00277EAC">
              <w:rPr>
                <w:rFonts w:eastAsia="Calibri"/>
                <w:szCs w:val="22"/>
              </w:rPr>
              <w:t>1</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 requis</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Colombi</w:t>
            </w:r>
            <w:r>
              <w:rPr>
                <w:rFonts w:eastAsia="Calibri"/>
                <w:szCs w:val="22"/>
              </w:rPr>
              <w:t>e</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 requis</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rPr>
          <w:trHeight w:val="260"/>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Mexi</w:t>
            </w:r>
            <w:r>
              <w:rPr>
                <w:rFonts w:eastAsia="Calibri"/>
                <w:szCs w:val="22"/>
              </w:rPr>
              <w:t>que</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w:t>
            </w:r>
            <w:r w:rsidRPr="00277EAC">
              <w:rPr>
                <w:rFonts w:eastAsia="Calibri"/>
                <w:color w:val="C00000"/>
                <w:szCs w:val="22"/>
              </w:rPr>
              <w:t>e</w:t>
            </w:r>
            <w:r>
              <w:rPr>
                <w:rFonts w:eastAsia="Calibri"/>
                <w:color w:val="C00000"/>
                <w:szCs w:val="22"/>
              </w:rPr>
              <w:t>quis</w:t>
            </w:r>
            <w:r w:rsidRPr="00277EAC">
              <w:rPr>
                <w:rFonts w:eastAsia="Calibri"/>
                <w:color w:val="C00000"/>
                <w:szCs w:val="22"/>
              </w:rPr>
              <w:t>**</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Belize</w:t>
            </w:r>
            <w:r>
              <w:rPr>
                <w:rFonts w:eastAsia="Calibri"/>
                <w:szCs w:val="22"/>
              </w:rPr>
              <w:t>, lieu n° </w:t>
            </w:r>
            <w:r w:rsidRPr="00277EAC">
              <w:rPr>
                <w:rFonts w:eastAsia="Calibri"/>
                <w:szCs w:val="22"/>
              </w:rPr>
              <w:t>2</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 requis</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Honduras</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 requis</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Panama</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**N</w:t>
            </w:r>
            <w:r>
              <w:rPr>
                <w:rFonts w:eastAsia="Calibri"/>
                <w:color w:val="C00000"/>
                <w:szCs w:val="22"/>
              </w:rPr>
              <w:t>on requis</w:t>
            </w:r>
            <w:r w:rsidRPr="00277EAC">
              <w:rPr>
                <w:rFonts w:eastAsia="Calibri"/>
                <w:color w:val="C00000"/>
                <w:szCs w:val="22"/>
              </w:rPr>
              <w:t>**</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277EAC" w:rsidTr="006C2059">
        <w:tc>
          <w:tcPr>
            <w:tcW w:w="1870"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S</w:t>
            </w:r>
            <w:r>
              <w:rPr>
                <w:rFonts w:eastAsia="Calibri"/>
                <w:b/>
                <w:szCs w:val="22"/>
              </w:rPr>
              <w:t>ous</w:t>
            </w:r>
            <w:r>
              <w:rPr>
                <w:rFonts w:eastAsia="Calibri"/>
                <w:b/>
                <w:szCs w:val="22"/>
              </w:rPr>
              <w:noBreakHyphen/>
            </w:r>
            <w:r w:rsidRPr="00277EAC">
              <w:rPr>
                <w:rFonts w:eastAsia="Calibri"/>
                <w:b/>
                <w:szCs w:val="22"/>
              </w:rPr>
              <w:t>total</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b/>
                <w:szCs w:val="22"/>
              </w:rPr>
              <w:t>2</w:t>
            </w:r>
            <w:r>
              <w:rPr>
                <w:rFonts w:eastAsia="Calibri"/>
                <w:b/>
                <w:szCs w:val="22"/>
              </w:rPr>
              <w:t> exigences réglementaires</w:t>
            </w:r>
          </w:p>
        </w:tc>
        <w:tc>
          <w:tcPr>
            <w:tcW w:w="2015" w:type="dxa"/>
            <w:shd w:val="clear" w:color="auto" w:fill="auto"/>
          </w:tcPr>
          <w:p w:rsidR="008E65FA" w:rsidRPr="00CD0B99" w:rsidRDefault="008E65FA" w:rsidP="006C2059">
            <w:pPr>
              <w:autoSpaceDE w:val="0"/>
              <w:autoSpaceDN w:val="0"/>
              <w:adjustRightInd w:val="0"/>
              <w:rPr>
                <w:rFonts w:eastAsia="Calibri"/>
                <w:b/>
                <w:szCs w:val="22"/>
              </w:rPr>
            </w:pPr>
            <w:r w:rsidRPr="00CD0B99">
              <w:rPr>
                <w:rFonts w:eastAsia="Calibri"/>
                <w:b/>
                <w:szCs w:val="22"/>
              </w:rPr>
              <w:t>100 000 francs suisses au plus (pénal)</w:t>
            </w:r>
          </w:p>
        </w:tc>
        <w:tc>
          <w:tcPr>
            <w:tcW w:w="1725"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1</w:t>
            </w:r>
            <w:r>
              <w:rPr>
                <w:rFonts w:eastAsia="Calibri"/>
                <w:b/>
                <w:szCs w:val="22"/>
              </w:rPr>
              <w:t> j</w:t>
            </w:r>
            <w:r w:rsidRPr="00277EAC">
              <w:rPr>
                <w:rFonts w:eastAsia="Calibri"/>
                <w:b/>
                <w:szCs w:val="22"/>
              </w:rPr>
              <w:t>ug</w:t>
            </w:r>
            <w:r>
              <w:rPr>
                <w:rFonts w:eastAsia="Calibri"/>
                <w:b/>
                <w:szCs w:val="22"/>
              </w:rPr>
              <w:t>e</w:t>
            </w:r>
            <w:r w:rsidRPr="00277EAC">
              <w:rPr>
                <w:rFonts w:eastAsia="Calibri"/>
                <w:b/>
                <w:szCs w:val="22"/>
              </w:rPr>
              <w:t xml:space="preserve">ment </w:t>
            </w:r>
            <w:r>
              <w:rPr>
                <w:rFonts w:eastAsia="Calibri"/>
                <w:b/>
                <w:szCs w:val="22"/>
              </w:rPr>
              <w:t>p</w:t>
            </w:r>
            <w:r w:rsidRPr="00277EAC">
              <w:rPr>
                <w:rFonts w:eastAsia="Calibri"/>
                <w:b/>
                <w:szCs w:val="22"/>
              </w:rPr>
              <w:t>ubli</w:t>
            </w:r>
            <w:r>
              <w:rPr>
                <w:rFonts w:eastAsia="Calibri"/>
                <w:b/>
                <w:szCs w:val="22"/>
              </w:rPr>
              <w:t>é</w:t>
            </w:r>
          </w:p>
        </w:tc>
        <w:tc>
          <w:tcPr>
            <w:tcW w:w="1870"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NA</w:t>
            </w:r>
          </w:p>
        </w:tc>
      </w:tr>
      <w:tr w:rsidR="008E65FA" w:rsidRPr="00277EAC" w:rsidTr="006C2059">
        <w:tc>
          <w:tcPr>
            <w:tcW w:w="1870" w:type="dxa"/>
            <w:shd w:val="clear" w:color="auto" w:fill="A6A6A6"/>
          </w:tcPr>
          <w:p w:rsidR="008E65FA" w:rsidRPr="00CD0B99" w:rsidRDefault="008E65FA" w:rsidP="006C2059">
            <w:pPr>
              <w:autoSpaceDE w:val="0"/>
              <w:autoSpaceDN w:val="0"/>
              <w:adjustRightInd w:val="0"/>
              <w:rPr>
                <w:rFonts w:eastAsia="Calibri"/>
                <w:i/>
                <w:szCs w:val="22"/>
              </w:rPr>
            </w:pPr>
            <w:r w:rsidRPr="00CD0B99">
              <w:rPr>
                <w:rFonts w:eastAsia="Calibri"/>
                <w:i/>
                <w:szCs w:val="22"/>
              </w:rPr>
              <w:t xml:space="preserve">Autorisation de mise sur le </w:t>
            </w:r>
            <w:proofErr w:type="gramStart"/>
            <w:r w:rsidRPr="00CD0B99">
              <w:rPr>
                <w:rFonts w:eastAsia="Calibri"/>
                <w:i/>
                <w:szCs w:val="22"/>
              </w:rPr>
              <w:t>marché</w:t>
            </w:r>
            <w:proofErr w:type="gramEnd"/>
            <w:r w:rsidRPr="00CD0B99">
              <w:rPr>
                <w:rFonts w:eastAsia="Calibri"/>
                <w:i/>
                <w:szCs w:val="22"/>
              </w:rPr>
              <w:br/>
              <w:t xml:space="preserve">(Loi fédérale sur les médicaments </w:t>
            </w:r>
            <w:r>
              <w:rPr>
                <w:rFonts w:eastAsia="Calibri"/>
                <w:i/>
                <w:szCs w:val="22"/>
              </w:rPr>
              <w:t>et les dispositifs médicaux</w:t>
            </w:r>
            <w:r w:rsidRPr="00CD0B99">
              <w:rPr>
                <w:rFonts w:eastAsia="Calibri"/>
                <w:i/>
                <w:szCs w:val="22"/>
              </w:rPr>
              <w:t>)</w:t>
            </w:r>
          </w:p>
        </w:tc>
        <w:tc>
          <w:tcPr>
            <w:tcW w:w="1870" w:type="dxa"/>
            <w:shd w:val="clear" w:color="auto" w:fill="auto"/>
          </w:tcPr>
          <w:p w:rsidR="008E65FA" w:rsidRPr="00CD0B99" w:rsidRDefault="008E65FA" w:rsidP="006C2059">
            <w:pPr>
              <w:autoSpaceDE w:val="0"/>
              <w:autoSpaceDN w:val="0"/>
              <w:adjustRightInd w:val="0"/>
              <w:rPr>
                <w:rFonts w:eastAsia="Calibri"/>
                <w:szCs w:val="22"/>
              </w:rPr>
            </w:pPr>
            <w:r w:rsidRPr="00CD0B99">
              <w:rPr>
                <w:rFonts w:eastAsia="Calibri"/>
                <w:szCs w:val="22"/>
              </w:rPr>
              <w:t xml:space="preserve">Non requis mais </w:t>
            </w:r>
            <w:r>
              <w:rPr>
                <w:rFonts w:eastAsia="Calibri"/>
                <w:szCs w:val="22"/>
              </w:rPr>
              <w:t xml:space="preserve">le </w:t>
            </w:r>
            <w:r w:rsidRPr="00CD0B99">
              <w:rPr>
                <w:rFonts w:eastAsia="Calibri"/>
                <w:szCs w:val="22"/>
              </w:rPr>
              <w:t>serait en cas d</w:t>
            </w:r>
            <w:r>
              <w:rPr>
                <w:rFonts w:eastAsia="Calibri"/>
                <w:szCs w:val="22"/>
              </w:rPr>
              <w:t>’</w:t>
            </w:r>
            <w:r w:rsidRPr="00CD0B99">
              <w:rPr>
                <w:rFonts w:eastAsia="Calibri"/>
                <w:szCs w:val="22"/>
              </w:rPr>
              <w:t>exploitation commerciale de la res</w:t>
            </w:r>
            <w:r>
              <w:rPr>
                <w:rFonts w:eastAsia="Calibri"/>
                <w:szCs w:val="22"/>
              </w:rPr>
              <w:t>s</w:t>
            </w:r>
            <w:r w:rsidRPr="00CD0B99">
              <w:rPr>
                <w:rFonts w:eastAsia="Calibri"/>
                <w:szCs w:val="22"/>
              </w:rPr>
              <w:t>ource génétique</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Vari</w:t>
            </w:r>
            <w:r>
              <w:rPr>
                <w:rFonts w:eastAsia="Calibri"/>
                <w:szCs w:val="22"/>
              </w:rPr>
              <w:t>abl</w:t>
            </w:r>
            <w:r w:rsidRPr="00277EAC">
              <w:rPr>
                <w:rFonts w:eastAsia="Calibri"/>
                <w:szCs w:val="22"/>
              </w:rPr>
              <w:t>e</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NA</w:t>
            </w:r>
          </w:p>
        </w:tc>
      </w:tr>
      <w:tr w:rsidR="008E65FA" w:rsidRPr="00352ECD" w:rsidTr="006C2059">
        <w:tc>
          <w:tcPr>
            <w:tcW w:w="1870" w:type="dxa"/>
            <w:shd w:val="clear" w:color="auto" w:fill="A6A6A6"/>
          </w:tcPr>
          <w:p w:rsidR="008E65FA" w:rsidRPr="00352ECD" w:rsidRDefault="008E65FA" w:rsidP="006C2059">
            <w:pPr>
              <w:autoSpaceDE w:val="0"/>
              <w:autoSpaceDN w:val="0"/>
              <w:adjustRightInd w:val="0"/>
              <w:rPr>
                <w:rFonts w:eastAsia="Calibri"/>
                <w:i/>
                <w:szCs w:val="22"/>
              </w:rPr>
            </w:pPr>
            <w:r w:rsidRPr="00352ECD">
              <w:rPr>
                <w:rFonts w:eastAsia="Calibri"/>
                <w:i/>
                <w:szCs w:val="22"/>
              </w:rPr>
              <w:t>Divulgation</w:t>
            </w:r>
          </w:p>
          <w:p w:rsidR="008E65FA" w:rsidRPr="00352ECD" w:rsidRDefault="008E65FA" w:rsidP="006C2059">
            <w:pPr>
              <w:autoSpaceDE w:val="0"/>
              <w:autoSpaceDN w:val="0"/>
              <w:adjustRightInd w:val="0"/>
              <w:rPr>
                <w:rFonts w:eastAsia="Calibri"/>
                <w:szCs w:val="22"/>
              </w:rPr>
            </w:pPr>
            <w:r w:rsidRPr="00352ECD">
              <w:rPr>
                <w:rFonts w:eastAsia="Calibri"/>
                <w:i/>
                <w:szCs w:val="22"/>
              </w:rPr>
              <w:t xml:space="preserve">(Loi sur les brevets, </w:t>
            </w:r>
            <w:proofErr w:type="spellStart"/>
            <w:r w:rsidRPr="00352ECD">
              <w:rPr>
                <w:rFonts w:eastAsia="Calibri"/>
                <w:i/>
                <w:szCs w:val="22"/>
              </w:rPr>
              <w:t>art.49a</w:t>
            </w:r>
            <w:proofErr w:type="spellEnd"/>
            <w:r w:rsidRPr="00352ECD">
              <w:rPr>
                <w:rFonts w:eastAsia="Calibri"/>
                <w:i/>
                <w:szCs w:val="22"/>
              </w:rPr>
              <w:t>)</w:t>
            </w:r>
          </w:p>
        </w:tc>
        <w:tc>
          <w:tcPr>
            <w:tcW w:w="1870" w:type="dxa"/>
            <w:shd w:val="clear" w:color="auto" w:fill="000000"/>
          </w:tcPr>
          <w:p w:rsidR="008E65FA" w:rsidRPr="00352ECD" w:rsidRDefault="008E65FA" w:rsidP="006C2059">
            <w:pPr>
              <w:autoSpaceDE w:val="0"/>
              <w:autoSpaceDN w:val="0"/>
              <w:adjustRightInd w:val="0"/>
              <w:rPr>
                <w:rFonts w:eastAsia="Calibri"/>
                <w:szCs w:val="22"/>
              </w:rPr>
            </w:pPr>
          </w:p>
        </w:tc>
        <w:tc>
          <w:tcPr>
            <w:tcW w:w="2015" w:type="dxa"/>
            <w:shd w:val="clear" w:color="auto" w:fill="000000"/>
          </w:tcPr>
          <w:p w:rsidR="008E65FA" w:rsidRPr="00352ECD" w:rsidRDefault="008E65FA" w:rsidP="006C2059">
            <w:pPr>
              <w:autoSpaceDE w:val="0"/>
              <w:autoSpaceDN w:val="0"/>
              <w:adjustRightInd w:val="0"/>
              <w:rPr>
                <w:rFonts w:eastAsia="Calibri"/>
                <w:szCs w:val="22"/>
              </w:rPr>
            </w:pPr>
          </w:p>
        </w:tc>
        <w:tc>
          <w:tcPr>
            <w:tcW w:w="1725" w:type="dxa"/>
            <w:shd w:val="clear" w:color="auto" w:fill="000000"/>
          </w:tcPr>
          <w:p w:rsidR="008E65FA" w:rsidRPr="00352ECD" w:rsidRDefault="008E65FA" w:rsidP="006C2059">
            <w:pPr>
              <w:autoSpaceDE w:val="0"/>
              <w:autoSpaceDN w:val="0"/>
              <w:adjustRightInd w:val="0"/>
              <w:rPr>
                <w:rFonts w:eastAsia="Calibri"/>
                <w:szCs w:val="22"/>
              </w:rPr>
            </w:pPr>
          </w:p>
        </w:tc>
        <w:tc>
          <w:tcPr>
            <w:tcW w:w="1870" w:type="dxa"/>
            <w:shd w:val="clear" w:color="auto" w:fill="000000"/>
          </w:tcPr>
          <w:p w:rsidR="008E65FA" w:rsidRPr="00352ECD" w:rsidRDefault="008E65FA" w:rsidP="006C2059">
            <w:pPr>
              <w:autoSpaceDE w:val="0"/>
              <w:autoSpaceDN w:val="0"/>
              <w:adjustRightInd w:val="0"/>
              <w:rPr>
                <w:rFonts w:eastAsia="Calibri"/>
                <w:szCs w:val="22"/>
              </w:rPr>
            </w:pPr>
          </w:p>
        </w:tc>
      </w:tr>
      <w:tr w:rsidR="008E65FA" w:rsidRPr="00277EAC" w:rsidTr="006C2059">
        <w:trPr>
          <w:trHeight w:val="296"/>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Belize</w:t>
            </w:r>
            <w:r>
              <w:rPr>
                <w:rFonts w:eastAsia="Calibri"/>
                <w:szCs w:val="22"/>
              </w:rPr>
              <w:t>, lieu n° 1</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Colombi</w:t>
            </w:r>
            <w:r>
              <w:rPr>
                <w:rFonts w:eastAsia="Calibri"/>
                <w:szCs w:val="22"/>
              </w:rPr>
              <w:t>e</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Mexi</w:t>
            </w:r>
            <w:r>
              <w:rPr>
                <w:rFonts w:eastAsia="Calibri"/>
                <w:szCs w:val="22"/>
              </w:rPr>
              <w:t>que</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r>
      <w:tr w:rsidR="008E65FA" w:rsidRPr="00277EAC" w:rsidTr="006C2059">
        <w:trPr>
          <w:trHeight w:val="260"/>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Belize</w:t>
            </w:r>
            <w:r>
              <w:rPr>
                <w:rFonts w:eastAsia="Calibri"/>
                <w:szCs w:val="22"/>
              </w:rPr>
              <w:t>, lieu n° </w:t>
            </w:r>
            <w:r w:rsidRPr="00277EAC">
              <w:rPr>
                <w:rFonts w:eastAsia="Calibri"/>
                <w:szCs w:val="22"/>
              </w:rPr>
              <w:t>2</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r>
      <w:tr w:rsidR="008E65FA" w:rsidRPr="00277EAC" w:rsidTr="006C2059">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Honduras</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Panama</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No</w:t>
            </w:r>
            <w:r>
              <w:rPr>
                <w:rFonts w:eastAsia="Calibri"/>
                <w:szCs w:val="22"/>
              </w:rPr>
              <w:t>n</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Anima</w:t>
            </w:r>
            <w:r>
              <w:rPr>
                <w:rFonts w:eastAsia="Calibri"/>
                <w:szCs w:val="22"/>
              </w:rPr>
              <w:t>ux de laboratoire</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w:t>
            </w:r>
            <w:r w:rsidRPr="00277EAC">
              <w:rPr>
                <w:rFonts w:eastAsia="Calibri"/>
                <w:color w:val="C00000"/>
                <w:szCs w:val="22"/>
              </w:rPr>
              <w:t>e</w:t>
            </w:r>
            <w:r>
              <w:rPr>
                <w:rFonts w:eastAsia="Calibri"/>
                <w:color w:val="C00000"/>
                <w:szCs w:val="22"/>
              </w:rPr>
              <w:t>quis</w:t>
            </w:r>
            <w:r w:rsidRPr="00277EAC">
              <w:rPr>
                <w:rFonts w:eastAsia="Calibri"/>
                <w:color w:val="C00000"/>
                <w:szCs w:val="22"/>
              </w:rPr>
              <w:t>**</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Végétaux de laboratoire</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w:t>
            </w:r>
            <w:r w:rsidRPr="00277EAC">
              <w:rPr>
                <w:rFonts w:eastAsia="Calibri"/>
                <w:color w:val="C00000"/>
                <w:szCs w:val="22"/>
              </w:rPr>
              <w:t>e</w:t>
            </w:r>
            <w:r>
              <w:rPr>
                <w:rFonts w:eastAsia="Calibri"/>
                <w:color w:val="C00000"/>
                <w:szCs w:val="22"/>
              </w:rPr>
              <w:t>quis</w:t>
            </w:r>
            <w:r w:rsidRPr="00277EAC">
              <w:rPr>
                <w:rFonts w:eastAsia="Calibri"/>
                <w:color w:val="C00000"/>
                <w:szCs w:val="22"/>
              </w:rPr>
              <w:t>**</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Sujets h</w:t>
            </w:r>
            <w:r w:rsidRPr="00277EAC">
              <w:rPr>
                <w:rFonts w:eastAsia="Calibri"/>
                <w:szCs w:val="22"/>
              </w:rPr>
              <w:t>uma</w:t>
            </w:r>
            <w:r>
              <w:rPr>
                <w:rFonts w:eastAsia="Calibri"/>
                <w:szCs w:val="22"/>
              </w:rPr>
              <w:t>i</w:t>
            </w:r>
            <w:r w:rsidRPr="00277EAC">
              <w:rPr>
                <w:rFonts w:eastAsia="Calibri"/>
                <w:szCs w:val="22"/>
              </w:rPr>
              <w:t>ns</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w:t>
            </w:r>
            <w:r w:rsidRPr="00277EAC">
              <w:rPr>
                <w:rFonts w:eastAsia="Calibri"/>
                <w:color w:val="C00000"/>
                <w:szCs w:val="22"/>
              </w:rPr>
              <w:t>e</w:t>
            </w:r>
            <w:r>
              <w:rPr>
                <w:rFonts w:eastAsia="Calibri"/>
                <w:color w:val="C00000"/>
                <w:szCs w:val="22"/>
              </w:rPr>
              <w:t>quis</w:t>
            </w:r>
            <w:r w:rsidRPr="00277EAC">
              <w:rPr>
                <w:rFonts w:eastAsia="Calibri"/>
                <w:color w:val="C00000"/>
                <w:szCs w:val="22"/>
              </w:rPr>
              <w:t>**</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Virus</w:t>
            </w:r>
            <w:r>
              <w:rPr>
                <w:rFonts w:eastAsia="Calibri"/>
                <w:szCs w:val="22"/>
              </w:rPr>
              <w:t xml:space="preserve"> à ADN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w:t>
            </w:r>
            <w:r w:rsidRPr="00277EAC">
              <w:rPr>
                <w:rFonts w:eastAsia="Calibri"/>
                <w:color w:val="C00000"/>
                <w:szCs w:val="22"/>
              </w:rPr>
              <w:t>e</w:t>
            </w:r>
            <w:r>
              <w:rPr>
                <w:rFonts w:eastAsia="Calibri"/>
                <w:color w:val="C00000"/>
                <w:szCs w:val="22"/>
              </w:rPr>
              <w:t>quis</w:t>
            </w:r>
            <w:r w:rsidRPr="00277EAC">
              <w:rPr>
                <w:rFonts w:eastAsia="Calibri"/>
                <w:color w:val="C00000"/>
                <w:szCs w:val="22"/>
              </w:rPr>
              <w:t>**</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277EAC"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szCs w:val="22"/>
              </w:rPr>
              <w:t>Virus</w:t>
            </w:r>
            <w:r>
              <w:rPr>
                <w:rFonts w:eastAsia="Calibri"/>
                <w:szCs w:val="22"/>
              </w:rPr>
              <w:t xml:space="preserve"> à ARN</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sidRPr="00277EAC">
              <w:rPr>
                <w:rFonts w:eastAsia="Calibri"/>
                <w:color w:val="C00000"/>
                <w:szCs w:val="22"/>
              </w:rPr>
              <w:t>**</w:t>
            </w:r>
            <w:r>
              <w:rPr>
                <w:rFonts w:eastAsia="Calibri"/>
                <w:color w:val="C00000"/>
                <w:szCs w:val="22"/>
              </w:rPr>
              <w:t>R</w:t>
            </w:r>
            <w:r w:rsidRPr="00277EAC">
              <w:rPr>
                <w:rFonts w:eastAsia="Calibri"/>
                <w:color w:val="C00000"/>
                <w:szCs w:val="22"/>
              </w:rPr>
              <w:t>e</w:t>
            </w:r>
            <w:r>
              <w:rPr>
                <w:rFonts w:eastAsia="Calibri"/>
                <w:color w:val="C00000"/>
                <w:szCs w:val="22"/>
              </w:rPr>
              <w:t>quis</w:t>
            </w:r>
            <w:r w:rsidRPr="00277EAC">
              <w:rPr>
                <w:rFonts w:eastAsia="Calibri"/>
                <w:color w:val="C00000"/>
                <w:szCs w:val="22"/>
              </w:rPr>
              <w:t>**</w:t>
            </w:r>
          </w:p>
        </w:tc>
        <w:tc>
          <w:tcPr>
            <w:tcW w:w="201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725"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c>
          <w:tcPr>
            <w:tcW w:w="1870" w:type="dxa"/>
            <w:shd w:val="clear" w:color="auto" w:fill="auto"/>
          </w:tcPr>
          <w:p w:rsidR="008E65FA" w:rsidRPr="00277EAC" w:rsidRDefault="008E65FA" w:rsidP="006C2059">
            <w:pPr>
              <w:autoSpaceDE w:val="0"/>
              <w:autoSpaceDN w:val="0"/>
              <w:adjustRightInd w:val="0"/>
              <w:rPr>
                <w:rFonts w:eastAsia="Calibri"/>
                <w:szCs w:val="22"/>
              </w:rPr>
            </w:pPr>
            <w:r>
              <w:rPr>
                <w:rFonts w:eastAsia="Calibri"/>
                <w:szCs w:val="22"/>
              </w:rPr>
              <w:t>Oui</w:t>
            </w:r>
          </w:p>
        </w:tc>
      </w:tr>
      <w:tr w:rsidR="008E65FA" w:rsidRPr="00352ECD" w:rsidTr="006C2059">
        <w:trPr>
          <w:trHeight w:val="269"/>
        </w:trPr>
        <w:tc>
          <w:tcPr>
            <w:tcW w:w="1870"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S</w:t>
            </w:r>
            <w:r>
              <w:rPr>
                <w:rFonts w:eastAsia="Calibri"/>
                <w:b/>
                <w:szCs w:val="22"/>
              </w:rPr>
              <w:t>ous</w:t>
            </w:r>
            <w:r>
              <w:rPr>
                <w:rFonts w:eastAsia="Calibri"/>
                <w:b/>
                <w:szCs w:val="22"/>
              </w:rPr>
              <w:noBreakHyphen/>
            </w:r>
            <w:r w:rsidRPr="00277EAC">
              <w:rPr>
                <w:rFonts w:eastAsia="Calibri"/>
                <w:b/>
                <w:szCs w:val="22"/>
              </w:rPr>
              <w:t>total</w:t>
            </w:r>
          </w:p>
        </w:tc>
        <w:tc>
          <w:tcPr>
            <w:tcW w:w="1870" w:type="dxa"/>
            <w:shd w:val="clear" w:color="auto" w:fill="auto"/>
          </w:tcPr>
          <w:p w:rsidR="008E65FA" w:rsidRPr="00277EAC" w:rsidRDefault="008E65FA" w:rsidP="006C2059">
            <w:pPr>
              <w:autoSpaceDE w:val="0"/>
              <w:autoSpaceDN w:val="0"/>
              <w:adjustRightInd w:val="0"/>
              <w:rPr>
                <w:rFonts w:eastAsia="Calibri"/>
                <w:b/>
                <w:color w:val="C00000"/>
                <w:szCs w:val="22"/>
              </w:rPr>
            </w:pPr>
            <w:r w:rsidRPr="00277EAC">
              <w:rPr>
                <w:rFonts w:eastAsia="Calibri"/>
                <w:b/>
                <w:szCs w:val="22"/>
              </w:rPr>
              <w:t>5</w:t>
            </w:r>
            <w:r>
              <w:rPr>
                <w:rFonts w:eastAsia="Calibri"/>
                <w:b/>
                <w:szCs w:val="22"/>
              </w:rPr>
              <w:t> exigences réglementaires</w:t>
            </w:r>
          </w:p>
        </w:tc>
        <w:tc>
          <w:tcPr>
            <w:tcW w:w="2015" w:type="dxa"/>
            <w:shd w:val="clear" w:color="auto" w:fill="auto"/>
          </w:tcPr>
          <w:p w:rsidR="008E65FA" w:rsidRPr="00277EAC" w:rsidRDefault="008E65FA" w:rsidP="006C2059">
            <w:pPr>
              <w:autoSpaceDE w:val="0"/>
              <w:autoSpaceDN w:val="0"/>
              <w:adjustRightInd w:val="0"/>
              <w:rPr>
                <w:rFonts w:eastAsia="Calibri"/>
                <w:b/>
                <w:szCs w:val="22"/>
              </w:rPr>
            </w:pPr>
            <w:r>
              <w:rPr>
                <w:rFonts w:eastAsia="Calibri"/>
                <w:b/>
                <w:szCs w:val="22"/>
              </w:rPr>
              <w:t>1</w:t>
            </w:r>
            <w:r w:rsidRPr="00277EAC">
              <w:rPr>
                <w:rFonts w:eastAsia="Calibri"/>
                <w:b/>
                <w:szCs w:val="22"/>
              </w:rPr>
              <w:t>00</w:t>
            </w:r>
            <w:r>
              <w:rPr>
                <w:rFonts w:eastAsia="Calibri"/>
                <w:b/>
                <w:szCs w:val="22"/>
              </w:rPr>
              <w:t> </w:t>
            </w:r>
            <w:r w:rsidRPr="00277EAC">
              <w:rPr>
                <w:rFonts w:eastAsia="Calibri"/>
                <w:b/>
                <w:szCs w:val="22"/>
              </w:rPr>
              <w:t>000</w:t>
            </w:r>
            <w:r>
              <w:rPr>
                <w:rFonts w:eastAsia="Calibri"/>
                <w:b/>
                <w:szCs w:val="22"/>
              </w:rPr>
              <w:t> francs suisses au plus</w:t>
            </w:r>
          </w:p>
        </w:tc>
        <w:tc>
          <w:tcPr>
            <w:tcW w:w="1725"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1</w:t>
            </w:r>
            <w:r>
              <w:rPr>
                <w:rFonts w:eastAsia="Calibri"/>
                <w:b/>
                <w:szCs w:val="22"/>
              </w:rPr>
              <w:t> j</w:t>
            </w:r>
            <w:r w:rsidRPr="00277EAC">
              <w:rPr>
                <w:rFonts w:eastAsia="Calibri"/>
                <w:b/>
                <w:szCs w:val="22"/>
              </w:rPr>
              <w:t>ug</w:t>
            </w:r>
            <w:r>
              <w:rPr>
                <w:rFonts w:eastAsia="Calibri"/>
                <w:b/>
                <w:szCs w:val="22"/>
              </w:rPr>
              <w:t>e</w:t>
            </w:r>
            <w:r w:rsidRPr="00277EAC">
              <w:rPr>
                <w:rFonts w:eastAsia="Calibri"/>
                <w:b/>
                <w:szCs w:val="22"/>
              </w:rPr>
              <w:t xml:space="preserve">ment </w:t>
            </w:r>
            <w:r>
              <w:rPr>
                <w:rFonts w:eastAsia="Calibri"/>
                <w:b/>
                <w:szCs w:val="22"/>
              </w:rPr>
              <w:t>p</w:t>
            </w:r>
            <w:r w:rsidRPr="00277EAC">
              <w:rPr>
                <w:rFonts w:eastAsia="Calibri"/>
                <w:b/>
                <w:szCs w:val="22"/>
              </w:rPr>
              <w:t>ubli</w:t>
            </w:r>
            <w:r>
              <w:rPr>
                <w:rFonts w:eastAsia="Calibri"/>
                <w:b/>
                <w:szCs w:val="22"/>
              </w:rPr>
              <w:t>é</w:t>
            </w:r>
          </w:p>
        </w:tc>
        <w:tc>
          <w:tcPr>
            <w:tcW w:w="1870" w:type="dxa"/>
            <w:shd w:val="clear" w:color="auto" w:fill="auto"/>
          </w:tcPr>
          <w:p w:rsidR="008E65FA" w:rsidRPr="00352ECD" w:rsidRDefault="008E65FA" w:rsidP="006C2059">
            <w:pPr>
              <w:autoSpaceDE w:val="0"/>
              <w:autoSpaceDN w:val="0"/>
              <w:adjustRightInd w:val="0"/>
              <w:rPr>
                <w:rFonts w:eastAsia="Calibri"/>
                <w:b/>
                <w:szCs w:val="22"/>
              </w:rPr>
            </w:pPr>
            <w:r w:rsidRPr="00352ECD">
              <w:rPr>
                <w:rFonts w:eastAsia="Calibri"/>
                <w:b/>
                <w:szCs w:val="22"/>
              </w:rPr>
              <w:t>Au moins 1</w:t>
            </w:r>
            <w:r>
              <w:rPr>
                <w:rFonts w:eastAsia="Calibri"/>
                <w:b/>
                <w:szCs w:val="22"/>
              </w:rPr>
              <w:t> </w:t>
            </w:r>
            <w:r w:rsidRPr="00352ECD">
              <w:rPr>
                <w:rFonts w:eastAsia="Calibri"/>
                <w:b/>
                <w:szCs w:val="22"/>
              </w:rPr>
              <w:t xml:space="preserve">brevet refusé (voire plus suivant le nombre </w:t>
            </w:r>
            <w:r>
              <w:rPr>
                <w:rFonts w:eastAsia="Calibri"/>
                <w:b/>
                <w:szCs w:val="22"/>
              </w:rPr>
              <w:t>de demandes de brevet connexes déposées</w:t>
            </w:r>
            <w:r w:rsidRPr="00352ECD">
              <w:rPr>
                <w:rFonts w:eastAsia="Calibri"/>
                <w:b/>
                <w:szCs w:val="22"/>
              </w:rPr>
              <w:t>)</w:t>
            </w:r>
          </w:p>
        </w:tc>
      </w:tr>
      <w:tr w:rsidR="008E65FA" w:rsidRPr="00277EAC" w:rsidTr="006C2059">
        <w:trPr>
          <w:trHeight w:val="431"/>
        </w:trPr>
        <w:tc>
          <w:tcPr>
            <w:tcW w:w="1870" w:type="dxa"/>
            <w:shd w:val="clear" w:color="auto" w:fill="A6A6A6"/>
          </w:tcPr>
          <w:p w:rsidR="008E65FA" w:rsidRPr="00277EAC" w:rsidRDefault="008E65FA" w:rsidP="006C2059">
            <w:pPr>
              <w:autoSpaceDE w:val="0"/>
              <w:autoSpaceDN w:val="0"/>
              <w:adjustRightInd w:val="0"/>
              <w:rPr>
                <w:rFonts w:eastAsia="Calibri"/>
                <w:b/>
                <w:szCs w:val="22"/>
              </w:rPr>
            </w:pPr>
            <w:r w:rsidRPr="00277EAC">
              <w:rPr>
                <w:rFonts w:eastAsia="Calibri"/>
                <w:b/>
                <w:szCs w:val="22"/>
              </w:rPr>
              <w:t>Total</w:t>
            </w:r>
            <w:r>
              <w:rPr>
                <w:rFonts w:eastAsia="Calibri"/>
                <w:b/>
                <w:szCs w:val="22"/>
              </w:rPr>
              <w:t xml:space="preserve"> général</w:t>
            </w:r>
          </w:p>
        </w:tc>
        <w:tc>
          <w:tcPr>
            <w:tcW w:w="1870"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9</w:t>
            </w:r>
            <w:r>
              <w:rPr>
                <w:rFonts w:eastAsia="Calibri"/>
                <w:b/>
                <w:szCs w:val="22"/>
              </w:rPr>
              <w:t> exigences réglementaires</w:t>
            </w:r>
          </w:p>
        </w:tc>
        <w:tc>
          <w:tcPr>
            <w:tcW w:w="2015" w:type="dxa"/>
            <w:shd w:val="clear" w:color="auto" w:fill="auto"/>
          </w:tcPr>
          <w:p w:rsidR="008E65FA" w:rsidRPr="00277EAC" w:rsidRDefault="008E65FA" w:rsidP="006C2059">
            <w:pPr>
              <w:autoSpaceDE w:val="0"/>
              <w:autoSpaceDN w:val="0"/>
              <w:adjustRightInd w:val="0"/>
              <w:rPr>
                <w:rFonts w:eastAsia="Calibri"/>
                <w:b/>
                <w:szCs w:val="22"/>
              </w:rPr>
            </w:pPr>
            <w:r>
              <w:rPr>
                <w:rFonts w:eastAsia="Calibri"/>
                <w:b/>
                <w:szCs w:val="22"/>
              </w:rPr>
              <w:t>2</w:t>
            </w:r>
            <w:r w:rsidRPr="00277EAC">
              <w:rPr>
                <w:rFonts w:eastAsia="Calibri"/>
                <w:b/>
                <w:szCs w:val="22"/>
              </w:rPr>
              <w:t>0</w:t>
            </w:r>
            <w:r>
              <w:rPr>
                <w:rFonts w:eastAsia="Calibri"/>
                <w:b/>
                <w:szCs w:val="22"/>
              </w:rPr>
              <w:t>0 </w:t>
            </w:r>
            <w:r w:rsidRPr="00277EAC">
              <w:rPr>
                <w:rFonts w:eastAsia="Calibri"/>
                <w:b/>
                <w:szCs w:val="22"/>
              </w:rPr>
              <w:t>000</w:t>
            </w:r>
            <w:r>
              <w:rPr>
                <w:rFonts w:eastAsia="Calibri"/>
                <w:b/>
                <w:szCs w:val="22"/>
              </w:rPr>
              <w:t> francs suisses</w:t>
            </w:r>
          </w:p>
        </w:tc>
        <w:tc>
          <w:tcPr>
            <w:tcW w:w="1725" w:type="dxa"/>
            <w:shd w:val="clear" w:color="auto" w:fill="auto"/>
          </w:tcPr>
          <w:p w:rsidR="008E65FA" w:rsidRPr="00277EAC" w:rsidRDefault="008E65FA" w:rsidP="006C2059">
            <w:pPr>
              <w:autoSpaceDE w:val="0"/>
              <w:autoSpaceDN w:val="0"/>
              <w:adjustRightInd w:val="0"/>
              <w:rPr>
                <w:rFonts w:eastAsia="Calibri"/>
                <w:b/>
                <w:szCs w:val="22"/>
              </w:rPr>
            </w:pPr>
            <w:r w:rsidRPr="00277EAC">
              <w:rPr>
                <w:rFonts w:eastAsia="Calibri"/>
                <w:b/>
                <w:szCs w:val="22"/>
              </w:rPr>
              <w:t>2</w:t>
            </w:r>
            <w:r>
              <w:rPr>
                <w:rFonts w:eastAsia="Calibri"/>
                <w:b/>
                <w:szCs w:val="22"/>
              </w:rPr>
              <w:t> j</w:t>
            </w:r>
            <w:r w:rsidRPr="00277EAC">
              <w:rPr>
                <w:rFonts w:eastAsia="Calibri"/>
                <w:b/>
                <w:szCs w:val="22"/>
              </w:rPr>
              <w:t>ug</w:t>
            </w:r>
            <w:r>
              <w:rPr>
                <w:rFonts w:eastAsia="Calibri"/>
                <w:b/>
                <w:szCs w:val="22"/>
              </w:rPr>
              <w:t>e</w:t>
            </w:r>
            <w:r w:rsidRPr="00277EAC">
              <w:rPr>
                <w:rFonts w:eastAsia="Calibri"/>
                <w:b/>
                <w:szCs w:val="22"/>
              </w:rPr>
              <w:t xml:space="preserve">ments </w:t>
            </w:r>
            <w:r>
              <w:rPr>
                <w:rFonts w:eastAsia="Calibri"/>
                <w:b/>
                <w:szCs w:val="22"/>
              </w:rPr>
              <w:t>p</w:t>
            </w:r>
            <w:r w:rsidRPr="00277EAC">
              <w:rPr>
                <w:rFonts w:eastAsia="Calibri"/>
                <w:b/>
                <w:szCs w:val="22"/>
              </w:rPr>
              <w:t>ubli</w:t>
            </w:r>
            <w:r>
              <w:rPr>
                <w:rFonts w:eastAsia="Calibri"/>
                <w:b/>
                <w:szCs w:val="22"/>
              </w:rPr>
              <w:t>é</w:t>
            </w:r>
            <w:r w:rsidRPr="00277EAC">
              <w:rPr>
                <w:rFonts w:eastAsia="Calibri"/>
                <w:b/>
                <w:szCs w:val="22"/>
              </w:rPr>
              <w:t>s</w:t>
            </w:r>
          </w:p>
        </w:tc>
        <w:tc>
          <w:tcPr>
            <w:tcW w:w="1870" w:type="dxa"/>
            <w:shd w:val="clear" w:color="auto" w:fill="auto"/>
          </w:tcPr>
          <w:p w:rsidR="008E65FA" w:rsidRPr="00277EAC" w:rsidRDefault="008E65FA" w:rsidP="006C2059">
            <w:pPr>
              <w:autoSpaceDE w:val="0"/>
              <w:autoSpaceDN w:val="0"/>
              <w:adjustRightInd w:val="0"/>
              <w:rPr>
                <w:rFonts w:eastAsia="Calibri"/>
                <w:b/>
                <w:szCs w:val="22"/>
              </w:rPr>
            </w:pPr>
            <w:r>
              <w:rPr>
                <w:rFonts w:eastAsia="Calibri"/>
                <w:b/>
                <w:szCs w:val="22"/>
              </w:rPr>
              <w:t xml:space="preserve">Au moins </w:t>
            </w:r>
            <w:r w:rsidRPr="00277EAC">
              <w:rPr>
                <w:rFonts w:eastAsia="Calibri"/>
                <w:b/>
                <w:szCs w:val="22"/>
              </w:rPr>
              <w:t>1</w:t>
            </w:r>
            <w:r>
              <w:rPr>
                <w:rFonts w:eastAsia="Calibri"/>
                <w:b/>
                <w:szCs w:val="22"/>
              </w:rPr>
              <w:t> brevet refusé</w:t>
            </w:r>
          </w:p>
        </w:tc>
      </w:tr>
    </w:tbl>
    <w:p w:rsidR="008E65FA" w:rsidRPr="00277EAC" w:rsidRDefault="008E65FA" w:rsidP="008E65FA">
      <w:pPr>
        <w:autoSpaceDE w:val="0"/>
        <w:autoSpaceDN w:val="0"/>
        <w:adjustRightInd w:val="0"/>
        <w:rPr>
          <w:szCs w:val="22"/>
        </w:rPr>
      </w:pPr>
    </w:p>
    <w:p w:rsidR="008E65FA" w:rsidRPr="00277EAC" w:rsidRDefault="008E65FA" w:rsidP="008E65FA">
      <w:pPr>
        <w:autoSpaceDE w:val="0"/>
        <w:autoSpaceDN w:val="0"/>
        <w:adjustRightInd w:val="0"/>
        <w:rPr>
          <w:szCs w:val="22"/>
        </w:rPr>
      </w:pPr>
    </w:p>
    <w:p w:rsidR="008E65FA" w:rsidRDefault="008E65FA" w:rsidP="008E65FA">
      <w:pPr>
        <w:autoSpaceDE w:val="0"/>
        <w:autoSpaceDN w:val="0"/>
        <w:adjustRightInd w:val="0"/>
        <w:rPr>
          <w:szCs w:val="22"/>
        </w:rPr>
      </w:pPr>
      <w:r w:rsidRPr="0038384B">
        <w:rPr>
          <w:szCs w:val="22"/>
        </w:rPr>
        <w:t>D</w:t>
      </w:r>
      <w:r>
        <w:rPr>
          <w:szCs w:val="22"/>
        </w:rPr>
        <w:t>’</w:t>
      </w:r>
      <w:r w:rsidRPr="0038384B">
        <w:rPr>
          <w:szCs w:val="22"/>
        </w:rPr>
        <w:t xml:space="preserve">aucuns diront que la solution pour éviter de </w:t>
      </w:r>
      <w:r>
        <w:rPr>
          <w:szCs w:val="22"/>
        </w:rPr>
        <w:t>s’exposer à de l</w:t>
      </w:r>
      <w:r w:rsidRPr="0038384B">
        <w:rPr>
          <w:szCs w:val="22"/>
        </w:rPr>
        <w:t>ourdes amendes en Sui</w:t>
      </w:r>
      <w:r>
        <w:rPr>
          <w:szCs w:val="22"/>
        </w:rPr>
        <w:t>ss</w:t>
      </w:r>
      <w:r w:rsidRPr="0038384B">
        <w:rPr>
          <w:szCs w:val="22"/>
        </w:rPr>
        <w:t xml:space="preserve">e </w:t>
      </w:r>
      <w:r>
        <w:rPr>
          <w:szCs w:val="22"/>
        </w:rPr>
        <w:t xml:space="preserve">est que les déposants ne soumettent pas intentionnellement de faux renseignements au sujet de l’origine ou de la </w:t>
      </w:r>
      <w:r w:rsidRPr="0038384B">
        <w:rPr>
          <w:szCs w:val="22"/>
        </w:rPr>
        <w:t>notification</w:t>
      </w:r>
      <w:r>
        <w:rPr>
          <w:szCs w:val="22"/>
        </w:rPr>
        <w:t>.  Il n’en demeure pas moins qu’une amende substantielle de</w:t>
      </w:r>
      <w:r w:rsidRPr="003E7D03">
        <w:rPr>
          <w:szCs w:val="22"/>
        </w:rPr>
        <w:t xml:space="preserve"> 40</w:t>
      </w:r>
      <w:r>
        <w:rPr>
          <w:szCs w:val="22"/>
        </w:rPr>
        <w:t> </w:t>
      </w:r>
      <w:r w:rsidRPr="003E7D03">
        <w:rPr>
          <w:szCs w:val="22"/>
        </w:rPr>
        <w:t>000</w:t>
      </w:r>
      <w:r>
        <w:rPr>
          <w:szCs w:val="22"/>
        </w:rPr>
        <w:t> francs suisses s’applique en cas d</w:t>
      </w:r>
      <w:r w:rsidRPr="003E7D03">
        <w:rPr>
          <w:szCs w:val="22"/>
        </w:rPr>
        <w:t>e n</w:t>
      </w:r>
      <w:r>
        <w:rPr>
          <w:szCs w:val="22"/>
        </w:rPr>
        <w:t>é</w:t>
      </w:r>
      <w:r w:rsidRPr="003E7D03">
        <w:rPr>
          <w:szCs w:val="22"/>
        </w:rPr>
        <w:t xml:space="preserve">gligence </w:t>
      </w:r>
      <w:r>
        <w:rPr>
          <w:szCs w:val="22"/>
        </w:rPr>
        <w:t>en ce qui concerne la</w:t>
      </w:r>
      <w:r w:rsidRPr="003E7D03">
        <w:rPr>
          <w:szCs w:val="22"/>
        </w:rPr>
        <w:t xml:space="preserve"> notification</w:t>
      </w:r>
      <w:r>
        <w:rPr>
          <w:szCs w:val="22"/>
        </w:rPr>
        <w:t xml:space="preserve"> et que cet acte reste considéré comme un délit, qu’il ait été commis intentionnellement ou pas.</w:t>
      </w:r>
    </w:p>
    <w:p w:rsidR="008E65FA" w:rsidRPr="003E7D03" w:rsidRDefault="008E65FA" w:rsidP="008E65FA">
      <w:pPr>
        <w:autoSpaceDE w:val="0"/>
        <w:autoSpaceDN w:val="0"/>
        <w:adjustRightInd w:val="0"/>
        <w:rPr>
          <w:szCs w:val="22"/>
        </w:rPr>
      </w:pPr>
    </w:p>
    <w:p w:rsidR="008E65FA" w:rsidRDefault="008E65FA" w:rsidP="008E65FA">
      <w:pPr>
        <w:autoSpaceDE w:val="0"/>
        <w:autoSpaceDN w:val="0"/>
        <w:adjustRightInd w:val="0"/>
        <w:rPr>
          <w:szCs w:val="22"/>
        </w:rPr>
      </w:pPr>
      <w:r w:rsidRPr="003E7D03">
        <w:rPr>
          <w:szCs w:val="22"/>
        </w:rPr>
        <w:t xml:space="preserve">De plus, la publication potentielle des jugements (au niveau pénal en cas de </w:t>
      </w:r>
      <w:r>
        <w:rPr>
          <w:szCs w:val="22"/>
        </w:rPr>
        <w:t>fausse déclaration ou d’informations incomplètes</w:t>
      </w:r>
      <w:r w:rsidRPr="003E7D03">
        <w:rPr>
          <w:szCs w:val="22"/>
        </w:rPr>
        <w:t xml:space="preserve">) </w:t>
      </w:r>
      <w:r>
        <w:rPr>
          <w:szCs w:val="22"/>
        </w:rPr>
        <w:t>et l</w:t>
      </w:r>
      <w:r w:rsidRPr="003E7D03">
        <w:rPr>
          <w:szCs w:val="22"/>
        </w:rPr>
        <w:t>a</w:t>
      </w:r>
      <w:r>
        <w:rPr>
          <w:szCs w:val="22"/>
        </w:rPr>
        <w:t xml:space="preserve"> possibilité qu’un brevet</w:t>
      </w:r>
      <w:r w:rsidRPr="003E7D03">
        <w:rPr>
          <w:szCs w:val="22"/>
        </w:rPr>
        <w:t xml:space="preserve"> </w:t>
      </w:r>
      <w:r>
        <w:rPr>
          <w:szCs w:val="22"/>
        </w:rPr>
        <w:t>soit refusé sont des facteurs dissuasifs majeurs pour les petits déposants dans le domaine de la recherche comme M. </w:t>
      </w:r>
      <w:proofErr w:type="spellStart"/>
      <w:r w:rsidRPr="003E7D03">
        <w:rPr>
          <w:szCs w:val="22"/>
        </w:rPr>
        <w:t>Rinehart</w:t>
      </w:r>
      <w:proofErr w:type="spellEnd"/>
      <w:r w:rsidRPr="003E7D03">
        <w:rPr>
          <w:szCs w:val="22"/>
        </w:rPr>
        <w:t xml:space="preserve">, </w:t>
      </w:r>
      <w:r>
        <w:rPr>
          <w:szCs w:val="22"/>
        </w:rPr>
        <w:t>qui seraient découragés de déposer une demande de brevet en</w:t>
      </w:r>
      <w:r w:rsidRPr="003E7D03">
        <w:rPr>
          <w:szCs w:val="22"/>
        </w:rPr>
        <w:t xml:space="preserve"> S</w:t>
      </w:r>
      <w:r>
        <w:rPr>
          <w:szCs w:val="22"/>
        </w:rPr>
        <w:t>u</w:t>
      </w:r>
      <w:r w:rsidRPr="003E7D03">
        <w:rPr>
          <w:szCs w:val="22"/>
        </w:rPr>
        <w:t>i</w:t>
      </w:r>
      <w:r>
        <w:rPr>
          <w:szCs w:val="22"/>
        </w:rPr>
        <w:t>ss</w:t>
      </w:r>
      <w:r w:rsidRPr="003E7D03">
        <w:rPr>
          <w:szCs w:val="22"/>
        </w:rPr>
        <w:t>e.</w:t>
      </w:r>
    </w:p>
    <w:p w:rsidR="008E65FA" w:rsidRPr="003E7D03" w:rsidRDefault="008E65FA" w:rsidP="008E65FA">
      <w:pPr>
        <w:autoSpaceDE w:val="0"/>
        <w:autoSpaceDN w:val="0"/>
        <w:adjustRightInd w:val="0"/>
        <w:rPr>
          <w:szCs w:val="22"/>
        </w:rPr>
      </w:pPr>
    </w:p>
    <w:p w:rsidR="008E65FA" w:rsidRPr="0021158D" w:rsidRDefault="008E65FA" w:rsidP="008E65FA">
      <w:pPr>
        <w:autoSpaceDE w:val="0"/>
        <w:autoSpaceDN w:val="0"/>
        <w:adjustRightInd w:val="0"/>
        <w:rPr>
          <w:szCs w:val="22"/>
        </w:rPr>
      </w:pPr>
      <w:r>
        <w:rPr>
          <w:szCs w:val="22"/>
        </w:rPr>
        <w:t>Dans l’ensemble</w:t>
      </w:r>
      <w:r w:rsidRPr="0021158D">
        <w:rPr>
          <w:szCs w:val="22"/>
        </w:rPr>
        <w:t>, il est clair que l</w:t>
      </w:r>
      <w:r>
        <w:rPr>
          <w:szCs w:val="22"/>
        </w:rPr>
        <w:t>’</w:t>
      </w:r>
      <w:r w:rsidRPr="0021158D">
        <w:rPr>
          <w:szCs w:val="22"/>
        </w:rPr>
        <w:t>exigence de divulgation pr</w:t>
      </w:r>
      <w:r>
        <w:rPr>
          <w:szCs w:val="22"/>
        </w:rPr>
        <w:t>é</w:t>
      </w:r>
      <w:r w:rsidRPr="0021158D">
        <w:rPr>
          <w:szCs w:val="22"/>
        </w:rPr>
        <w:t>vue en Suisse ne se limite pas à une</w:t>
      </w:r>
      <w:r>
        <w:rPr>
          <w:szCs w:val="22"/>
        </w:rPr>
        <w:t xml:space="preserve"> simple </w:t>
      </w:r>
      <w:r w:rsidRPr="0021158D">
        <w:rPr>
          <w:szCs w:val="22"/>
        </w:rPr>
        <w:t>“c</w:t>
      </w:r>
      <w:r>
        <w:rPr>
          <w:szCs w:val="22"/>
        </w:rPr>
        <w:t>ase à cocher</w:t>
      </w:r>
      <w:r w:rsidRPr="0021158D">
        <w:rPr>
          <w:szCs w:val="22"/>
        </w:rPr>
        <w:t xml:space="preserve">” </w:t>
      </w:r>
      <w:r>
        <w:rPr>
          <w:szCs w:val="22"/>
        </w:rPr>
        <w:t>et un temps</w:t>
      </w:r>
      <w:r w:rsidRPr="0021158D">
        <w:rPr>
          <w:szCs w:val="22"/>
        </w:rPr>
        <w:t xml:space="preserve"> consid</w:t>
      </w:r>
      <w:r>
        <w:rPr>
          <w:szCs w:val="22"/>
        </w:rPr>
        <w:t>é</w:t>
      </w:r>
      <w:r w:rsidRPr="0021158D">
        <w:rPr>
          <w:szCs w:val="22"/>
        </w:rPr>
        <w:t xml:space="preserve">rable </w:t>
      </w:r>
      <w:r>
        <w:rPr>
          <w:szCs w:val="22"/>
        </w:rPr>
        <w:t>s</w:t>
      </w:r>
      <w:r w:rsidRPr="0021158D">
        <w:rPr>
          <w:szCs w:val="22"/>
        </w:rPr>
        <w:t>e</w:t>
      </w:r>
      <w:r>
        <w:rPr>
          <w:szCs w:val="22"/>
        </w:rPr>
        <w:t>rait nécessaire pour dé</w:t>
      </w:r>
      <w:r w:rsidRPr="0021158D">
        <w:rPr>
          <w:szCs w:val="22"/>
        </w:rPr>
        <w:t>termine</w:t>
      </w:r>
      <w:r>
        <w:rPr>
          <w:szCs w:val="22"/>
        </w:rPr>
        <w:t>r</w:t>
      </w:r>
      <w:r w:rsidRPr="0021158D">
        <w:rPr>
          <w:szCs w:val="22"/>
        </w:rPr>
        <w:t xml:space="preserve"> </w:t>
      </w:r>
      <w:r>
        <w:rPr>
          <w:szCs w:val="22"/>
        </w:rPr>
        <w:t>si elle doit être remplie et c</w:t>
      </w:r>
      <w:r w:rsidRPr="0021158D">
        <w:rPr>
          <w:szCs w:val="22"/>
        </w:rPr>
        <w:t>o</w:t>
      </w:r>
      <w:r>
        <w:rPr>
          <w:szCs w:val="22"/>
        </w:rPr>
        <w:t>mment</w:t>
      </w:r>
      <w:r w:rsidRPr="0021158D">
        <w:rPr>
          <w:szCs w:val="22"/>
        </w:rPr>
        <w:t>.</w:t>
      </w:r>
    </w:p>
    <w:p w:rsidR="008E65FA" w:rsidRPr="0021158D" w:rsidRDefault="008E65FA" w:rsidP="008E65FA">
      <w:pPr>
        <w:autoSpaceDE w:val="0"/>
        <w:autoSpaceDN w:val="0"/>
        <w:adjustRightInd w:val="0"/>
        <w:rPr>
          <w:bCs/>
          <w:i/>
          <w:szCs w:val="22"/>
          <w:u w:val="single"/>
        </w:rPr>
      </w:pPr>
    </w:p>
    <w:p w:rsidR="008E65FA" w:rsidRPr="009E3932" w:rsidRDefault="008E65FA" w:rsidP="008E65FA">
      <w:pPr>
        <w:autoSpaceDE w:val="0"/>
        <w:autoSpaceDN w:val="0"/>
        <w:adjustRightInd w:val="0"/>
        <w:rPr>
          <w:bCs/>
          <w:i/>
          <w:szCs w:val="22"/>
        </w:rPr>
      </w:pPr>
      <w:r w:rsidRPr="009E3932">
        <w:rPr>
          <w:bCs/>
          <w:i/>
          <w:szCs w:val="22"/>
          <w:u w:val="single"/>
        </w:rPr>
        <w:t>Observation</w:t>
      </w:r>
      <w:r>
        <w:rPr>
          <w:bCs/>
          <w:i/>
          <w:szCs w:val="22"/>
          <w:u w:val="single"/>
        </w:rPr>
        <w:t>s</w:t>
      </w:r>
      <w:r w:rsidRPr="009E3932">
        <w:rPr>
          <w:bCs/>
          <w:i/>
          <w:szCs w:val="22"/>
          <w:u w:val="single"/>
        </w:rPr>
        <w:t xml:space="preserve"> formulée</w:t>
      </w:r>
      <w:r>
        <w:rPr>
          <w:bCs/>
          <w:i/>
          <w:szCs w:val="22"/>
          <w:u w:val="single"/>
        </w:rPr>
        <w:t>s</w:t>
      </w:r>
      <w:r w:rsidRPr="009E3932">
        <w:rPr>
          <w:bCs/>
          <w:i/>
          <w:szCs w:val="22"/>
          <w:u w:val="single"/>
        </w:rPr>
        <w:t xml:space="preserve"> par la Suisse </w:t>
      </w:r>
      <w:r w:rsidRPr="008E65FA">
        <w:rPr>
          <w:i/>
          <w:u w:val="single"/>
        </w:rPr>
        <w:t>:</w:t>
      </w:r>
      <w:r w:rsidRPr="009E3932">
        <w:rPr>
          <w:bCs/>
          <w:i/>
          <w:szCs w:val="22"/>
        </w:rPr>
        <w:t xml:space="preserve"> cette section contient également des informations inexact</w:t>
      </w:r>
      <w:r>
        <w:rPr>
          <w:bCs/>
          <w:i/>
          <w:szCs w:val="22"/>
        </w:rPr>
        <w:t>e</w:t>
      </w:r>
      <w:r w:rsidRPr="009E3932">
        <w:rPr>
          <w:bCs/>
          <w:i/>
          <w:szCs w:val="22"/>
        </w:rPr>
        <w:t>s</w:t>
      </w:r>
      <w:r>
        <w:rPr>
          <w:bCs/>
          <w:i/>
          <w:szCs w:val="22"/>
        </w:rPr>
        <w:t> </w:t>
      </w:r>
      <w:r w:rsidRPr="009E3932">
        <w:rPr>
          <w:bCs/>
          <w:i/>
          <w:szCs w:val="22"/>
        </w:rPr>
        <w:t>:</w:t>
      </w:r>
    </w:p>
    <w:p w:rsidR="008E65FA" w:rsidRPr="009E3932" w:rsidRDefault="008E65FA" w:rsidP="008E65FA">
      <w:pPr>
        <w:autoSpaceDE w:val="0"/>
        <w:autoSpaceDN w:val="0"/>
        <w:adjustRightInd w:val="0"/>
        <w:rPr>
          <w:bCs/>
          <w:i/>
          <w:szCs w:val="22"/>
        </w:rPr>
      </w:pPr>
    </w:p>
    <w:p w:rsidR="008E65FA" w:rsidRDefault="008E65FA" w:rsidP="008E65FA">
      <w:pPr>
        <w:numPr>
          <w:ilvl w:val="0"/>
          <w:numId w:val="12"/>
        </w:numPr>
        <w:autoSpaceDE w:val="0"/>
        <w:autoSpaceDN w:val="0"/>
        <w:adjustRightInd w:val="0"/>
        <w:rPr>
          <w:bCs/>
          <w:i/>
          <w:szCs w:val="22"/>
        </w:rPr>
      </w:pPr>
      <w:r w:rsidRPr="009E3932">
        <w:rPr>
          <w:bCs/>
          <w:i/>
          <w:szCs w:val="22"/>
        </w:rPr>
        <w:t>Dans le cadre d</w:t>
      </w:r>
      <w:r>
        <w:rPr>
          <w:bCs/>
          <w:i/>
          <w:szCs w:val="22"/>
        </w:rPr>
        <w:t>u devoir d</w:t>
      </w:r>
      <w:r w:rsidRPr="009E3932">
        <w:rPr>
          <w:bCs/>
          <w:i/>
          <w:szCs w:val="22"/>
        </w:rPr>
        <w:t xml:space="preserve">e diligence, </w:t>
      </w:r>
      <w:r>
        <w:rPr>
          <w:bCs/>
          <w:i/>
          <w:szCs w:val="22"/>
        </w:rPr>
        <w:t>la</w:t>
      </w:r>
      <w:r w:rsidRPr="009E3932">
        <w:rPr>
          <w:bCs/>
          <w:i/>
          <w:szCs w:val="22"/>
        </w:rPr>
        <w:t xml:space="preserve"> list</w:t>
      </w:r>
      <w:r>
        <w:rPr>
          <w:bCs/>
          <w:i/>
          <w:szCs w:val="22"/>
        </w:rPr>
        <w:t>e</w:t>
      </w:r>
      <w:r w:rsidRPr="009E3932">
        <w:rPr>
          <w:bCs/>
          <w:i/>
          <w:szCs w:val="22"/>
        </w:rPr>
        <w:t xml:space="preserve"> </w:t>
      </w:r>
      <w:r>
        <w:rPr>
          <w:bCs/>
          <w:i/>
          <w:szCs w:val="22"/>
        </w:rPr>
        <w:t>des</w:t>
      </w:r>
      <w:r w:rsidRPr="009E3932">
        <w:rPr>
          <w:bCs/>
          <w:i/>
          <w:szCs w:val="22"/>
        </w:rPr>
        <w:t xml:space="preserve"> sanctions </w:t>
      </w:r>
      <w:r>
        <w:rPr>
          <w:bCs/>
          <w:i/>
          <w:szCs w:val="22"/>
        </w:rPr>
        <w:t>possibles est</w:t>
      </w:r>
      <w:r w:rsidRPr="009E3932">
        <w:rPr>
          <w:bCs/>
          <w:i/>
          <w:szCs w:val="22"/>
        </w:rPr>
        <w:t xml:space="preserve"> incompl</w:t>
      </w:r>
      <w:r>
        <w:rPr>
          <w:bCs/>
          <w:i/>
          <w:szCs w:val="22"/>
        </w:rPr>
        <w:t>è</w:t>
      </w:r>
      <w:r w:rsidRPr="009E3932">
        <w:rPr>
          <w:bCs/>
          <w:i/>
          <w:szCs w:val="22"/>
        </w:rPr>
        <w:t>te</w:t>
      </w:r>
      <w:r>
        <w:rPr>
          <w:bCs/>
          <w:i/>
          <w:szCs w:val="22"/>
        </w:rPr>
        <w:t xml:space="preserve">.  </w:t>
      </w:r>
      <w:r w:rsidRPr="009E3932">
        <w:rPr>
          <w:bCs/>
          <w:i/>
          <w:szCs w:val="22"/>
        </w:rPr>
        <w:t>En</w:t>
      </w:r>
      <w:r>
        <w:rPr>
          <w:bCs/>
          <w:i/>
          <w:szCs w:val="22"/>
        </w:rPr>
        <w:t> </w:t>
      </w:r>
      <w:r w:rsidRPr="009E3932">
        <w:rPr>
          <w:bCs/>
          <w:i/>
          <w:szCs w:val="22"/>
        </w:rPr>
        <w:t>particulier, le texte ne fait pas mention de la possibilité de prendre des sanctions administratives lorsque des in</w:t>
      </w:r>
      <w:r>
        <w:rPr>
          <w:bCs/>
          <w:i/>
          <w:szCs w:val="22"/>
        </w:rPr>
        <w:t>dic</w:t>
      </w:r>
      <w:r w:rsidRPr="009E3932">
        <w:rPr>
          <w:bCs/>
          <w:i/>
          <w:szCs w:val="22"/>
        </w:rPr>
        <w:t xml:space="preserve">es concrets </w:t>
      </w:r>
      <w:r>
        <w:rPr>
          <w:bCs/>
          <w:i/>
          <w:szCs w:val="22"/>
        </w:rPr>
        <w:t>laissent supposer une infraction</w:t>
      </w:r>
      <w:r w:rsidRPr="009E3932">
        <w:rPr>
          <w:bCs/>
          <w:i/>
          <w:szCs w:val="22"/>
        </w:rPr>
        <w:t xml:space="preserve"> (</w:t>
      </w:r>
      <w:r>
        <w:rPr>
          <w:bCs/>
          <w:i/>
          <w:szCs w:val="22"/>
        </w:rPr>
        <w:t>voir l’a</w:t>
      </w:r>
      <w:r w:rsidRPr="009E3932">
        <w:rPr>
          <w:bCs/>
          <w:i/>
          <w:szCs w:val="22"/>
        </w:rPr>
        <w:t>rt.</w:t>
      </w:r>
      <w:r>
        <w:rPr>
          <w:bCs/>
          <w:i/>
          <w:szCs w:val="22"/>
        </w:rPr>
        <w:t> </w:t>
      </w:r>
      <w:r w:rsidRPr="009E3932">
        <w:rPr>
          <w:bCs/>
          <w:i/>
          <w:szCs w:val="22"/>
        </w:rPr>
        <w:t xml:space="preserve">10 </w:t>
      </w:r>
      <w:proofErr w:type="spellStart"/>
      <w:r>
        <w:rPr>
          <w:bCs/>
          <w:i/>
          <w:szCs w:val="22"/>
        </w:rPr>
        <w:t>O</w:t>
      </w:r>
      <w:r w:rsidRPr="009E3932">
        <w:rPr>
          <w:bCs/>
          <w:i/>
          <w:szCs w:val="22"/>
        </w:rPr>
        <w:t>Nag</w:t>
      </w:r>
      <w:proofErr w:type="spellEnd"/>
      <w:r w:rsidRPr="009E3932">
        <w:rPr>
          <w:bCs/>
          <w:i/>
          <w:szCs w:val="22"/>
        </w:rPr>
        <w:t xml:space="preserve"> a</w:t>
      </w:r>
      <w:r>
        <w:rPr>
          <w:bCs/>
          <w:i/>
          <w:szCs w:val="22"/>
        </w:rPr>
        <w:t xml:space="preserve">insi que les </w:t>
      </w:r>
      <w:r w:rsidRPr="009E3932">
        <w:rPr>
          <w:bCs/>
          <w:i/>
          <w:szCs w:val="22"/>
        </w:rPr>
        <w:t>expl</w:t>
      </w:r>
      <w:r>
        <w:rPr>
          <w:bCs/>
          <w:i/>
          <w:szCs w:val="22"/>
        </w:rPr>
        <w:t>ic</w:t>
      </w:r>
      <w:r w:rsidRPr="009E3932">
        <w:rPr>
          <w:bCs/>
          <w:i/>
          <w:szCs w:val="22"/>
        </w:rPr>
        <w:t xml:space="preserve">ations </w:t>
      </w:r>
      <w:r>
        <w:rPr>
          <w:bCs/>
          <w:i/>
          <w:szCs w:val="22"/>
        </w:rPr>
        <w:t xml:space="preserve">fournies dans le </w:t>
      </w:r>
      <w:r w:rsidRPr="009E3932">
        <w:rPr>
          <w:bCs/>
          <w:i/>
          <w:szCs w:val="22"/>
        </w:rPr>
        <w:t>Message portant approbation du Protocol</w:t>
      </w:r>
      <w:r>
        <w:rPr>
          <w:bCs/>
          <w:i/>
          <w:szCs w:val="22"/>
        </w:rPr>
        <w:t>e de Nagoya et sa mise en œuvre</w:t>
      </w:r>
      <w:r w:rsidRPr="009E3932">
        <w:rPr>
          <w:bCs/>
          <w:i/>
          <w:szCs w:val="22"/>
        </w:rPr>
        <w:t>)</w:t>
      </w:r>
      <w:r>
        <w:rPr>
          <w:bCs/>
          <w:i/>
          <w:szCs w:val="22"/>
        </w:rPr>
        <w:t xml:space="preserve">.  </w:t>
      </w:r>
      <w:r w:rsidRPr="009E3932">
        <w:rPr>
          <w:bCs/>
          <w:i/>
          <w:szCs w:val="22"/>
        </w:rPr>
        <w:t xml:space="preserve">De plus, les utilisateurs ont également la possibilité </w:t>
      </w:r>
      <w:r>
        <w:rPr>
          <w:bCs/>
          <w:i/>
          <w:szCs w:val="22"/>
        </w:rPr>
        <w:t xml:space="preserve">de satisfaire ultérieurement au devoir de </w:t>
      </w:r>
      <w:r w:rsidRPr="009E3932">
        <w:rPr>
          <w:bCs/>
          <w:i/>
          <w:szCs w:val="22"/>
        </w:rPr>
        <w:t xml:space="preserve">diligence </w:t>
      </w:r>
      <w:r>
        <w:rPr>
          <w:bCs/>
          <w:i/>
          <w:szCs w:val="22"/>
        </w:rPr>
        <w:t>si celui</w:t>
      </w:r>
      <w:r>
        <w:rPr>
          <w:bCs/>
          <w:i/>
          <w:szCs w:val="22"/>
        </w:rPr>
        <w:noBreakHyphen/>
        <w:t>ci n’a pas été rempli</w:t>
      </w:r>
      <w:r w:rsidRPr="009E3932">
        <w:rPr>
          <w:bCs/>
          <w:i/>
          <w:szCs w:val="22"/>
        </w:rPr>
        <w:t xml:space="preserve"> (</w:t>
      </w:r>
      <w:r>
        <w:rPr>
          <w:bCs/>
          <w:i/>
          <w:szCs w:val="22"/>
        </w:rPr>
        <w:t>voir notamment l’a</w:t>
      </w:r>
      <w:r w:rsidRPr="009E3932">
        <w:rPr>
          <w:bCs/>
          <w:i/>
          <w:szCs w:val="22"/>
        </w:rPr>
        <w:t>rt.</w:t>
      </w:r>
      <w:r>
        <w:rPr>
          <w:bCs/>
          <w:i/>
          <w:szCs w:val="22"/>
        </w:rPr>
        <w:t> </w:t>
      </w:r>
      <w:proofErr w:type="spellStart"/>
      <w:r w:rsidRPr="009E3932">
        <w:rPr>
          <w:bCs/>
          <w:i/>
          <w:szCs w:val="22"/>
        </w:rPr>
        <w:t>23n</w:t>
      </w:r>
      <w:proofErr w:type="spellEnd"/>
      <w:r w:rsidRPr="009E3932">
        <w:rPr>
          <w:bCs/>
          <w:i/>
          <w:szCs w:val="22"/>
        </w:rPr>
        <w:t xml:space="preserve"> a</w:t>
      </w:r>
      <w:r>
        <w:rPr>
          <w:bCs/>
          <w:i/>
          <w:szCs w:val="22"/>
        </w:rPr>
        <w:t>l</w:t>
      </w:r>
      <w:r w:rsidRPr="009E3932">
        <w:rPr>
          <w:bCs/>
          <w:i/>
          <w:szCs w:val="22"/>
        </w:rPr>
        <w:t>.</w:t>
      </w:r>
      <w:r>
        <w:rPr>
          <w:bCs/>
          <w:i/>
          <w:szCs w:val="22"/>
        </w:rPr>
        <w:t> </w:t>
      </w:r>
      <w:r w:rsidRPr="00D86C96">
        <w:rPr>
          <w:bCs/>
          <w:i/>
          <w:szCs w:val="22"/>
        </w:rPr>
        <w:t xml:space="preserve">5 </w:t>
      </w:r>
      <w:proofErr w:type="spellStart"/>
      <w:r>
        <w:rPr>
          <w:bCs/>
          <w:i/>
          <w:szCs w:val="22"/>
        </w:rPr>
        <w:t>LP</w:t>
      </w:r>
      <w:r w:rsidRPr="00D86C96">
        <w:rPr>
          <w:bCs/>
          <w:i/>
          <w:szCs w:val="22"/>
        </w:rPr>
        <w:t>N</w:t>
      </w:r>
      <w:proofErr w:type="spellEnd"/>
      <w:r>
        <w:rPr>
          <w:bCs/>
          <w:i/>
          <w:szCs w:val="22"/>
        </w:rPr>
        <w:t xml:space="preserve"> et l’a</w:t>
      </w:r>
      <w:r w:rsidRPr="00D86C96">
        <w:rPr>
          <w:bCs/>
          <w:i/>
          <w:szCs w:val="22"/>
        </w:rPr>
        <w:t>rt.</w:t>
      </w:r>
      <w:r>
        <w:rPr>
          <w:bCs/>
          <w:i/>
          <w:szCs w:val="22"/>
        </w:rPr>
        <w:t> </w:t>
      </w:r>
      <w:r w:rsidRPr="00D86C96">
        <w:rPr>
          <w:bCs/>
          <w:i/>
          <w:szCs w:val="22"/>
        </w:rPr>
        <w:t xml:space="preserve">10 </w:t>
      </w:r>
      <w:proofErr w:type="spellStart"/>
      <w:r>
        <w:rPr>
          <w:bCs/>
          <w:i/>
          <w:szCs w:val="22"/>
        </w:rPr>
        <w:t>O</w:t>
      </w:r>
      <w:r w:rsidRPr="00D86C96">
        <w:rPr>
          <w:bCs/>
          <w:i/>
          <w:szCs w:val="22"/>
        </w:rPr>
        <w:t>Nag</w:t>
      </w:r>
      <w:proofErr w:type="spellEnd"/>
      <w:r w:rsidRPr="00D86C96">
        <w:rPr>
          <w:bCs/>
          <w:i/>
          <w:szCs w:val="22"/>
        </w:rPr>
        <w:t>).</w:t>
      </w:r>
    </w:p>
    <w:p w:rsidR="008E65FA" w:rsidRDefault="008E65FA" w:rsidP="008E65FA">
      <w:pPr>
        <w:numPr>
          <w:ilvl w:val="0"/>
          <w:numId w:val="12"/>
        </w:numPr>
        <w:autoSpaceDE w:val="0"/>
        <w:autoSpaceDN w:val="0"/>
        <w:adjustRightInd w:val="0"/>
        <w:rPr>
          <w:bCs/>
          <w:i/>
          <w:szCs w:val="22"/>
        </w:rPr>
      </w:pPr>
      <w:r w:rsidRPr="00D86C96">
        <w:rPr>
          <w:bCs/>
          <w:i/>
          <w:szCs w:val="22"/>
        </w:rPr>
        <w:t>Contrairement à ce qui est indiqué dans le tableau 2 ci</w:t>
      </w:r>
      <w:r>
        <w:rPr>
          <w:bCs/>
          <w:i/>
          <w:szCs w:val="22"/>
        </w:rPr>
        <w:noBreakHyphen/>
      </w:r>
      <w:r w:rsidRPr="00D86C96">
        <w:rPr>
          <w:bCs/>
          <w:i/>
          <w:szCs w:val="22"/>
        </w:rPr>
        <w:t>dessus,</w:t>
      </w:r>
      <w:r>
        <w:rPr>
          <w:bCs/>
          <w:i/>
          <w:szCs w:val="22"/>
        </w:rPr>
        <w:t xml:space="preserve"> </w:t>
      </w:r>
      <w:r w:rsidRPr="00D86C96">
        <w:rPr>
          <w:bCs/>
          <w:i/>
          <w:szCs w:val="22"/>
        </w:rPr>
        <w:t>l</w:t>
      </w:r>
      <w:r>
        <w:rPr>
          <w:bCs/>
          <w:i/>
          <w:szCs w:val="22"/>
        </w:rPr>
        <w:t>’</w:t>
      </w:r>
      <w:r w:rsidRPr="00D86C96">
        <w:rPr>
          <w:bCs/>
          <w:i/>
          <w:szCs w:val="22"/>
        </w:rPr>
        <w:t>obligation de notifi</w:t>
      </w:r>
      <w:r>
        <w:rPr>
          <w:bCs/>
          <w:i/>
          <w:szCs w:val="22"/>
        </w:rPr>
        <w:t>er</w:t>
      </w:r>
      <w:r w:rsidRPr="00D86C96">
        <w:rPr>
          <w:bCs/>
          <w:i/>
          <w:szCs w:val="22"/>
        </w:rPr>
        <w:t xml:space="preserve"> </w:t>
      </w:r>
      <w:r>
        <w:rPr>
          <w:bCs/>
          <w:i/>
          <w:szCs w:val="22"/>
        </w:rPr>
        <w:t>en vertu de</w:t>
      </w:r>
      <w:r w:rsidRPr="00D8497A">
        <w:rPr>
          <w:bCs/>
          <w:i/>
          <w:szCs w:val="22"/>
        </w:rPr>
        <w:t xml:space="preserve"> la </w:t>
      </w:r>
      <w:proofErr w:type="spellStart"/>
      <w:r w:rsidRPr="00D8497A">
        <w:rPr>
          <w:bCs/>
          <w:i/>
          <w:szCs w:val="22"/>
        </w:rPr>
        <w:t>LPN</w:t>
      </w:r>
      <w:proofErr w:type="spellEnd"/>
      <w:r w:rsidRPr="00D86C96">
        <w:rPr>
          <w:bCs/>
          <w:i/>
          <w:szCs w:val="22"/>
        </w:rPr>
        <w:t xml:space="preserve"> </w:t>
      </w:r>
      <w:r>
        <w:rPr>
          <w:bCs/>
          <w:i/>
          <w:szCs w:val="22"/>
        </w:rPr>
        <w:t>ne s’</w:t>
      </w:r>
      <w:r w:rsidRPr="00D86C96">
        <w:rPr>
          <w:bCs/>
          <w:i/>
          <w:szCs w:val="22"/>
        </w:rPr>
        <w:t>appli</w:t>
      </w:r>
      <w:r>
        <w:rPr>
          <w:bCs/>
          <w:i/>
          <w:szCs w:val="22"/>
        </w:rPr>
        <w:t>que pas</w:t>
      </w:r>
      <w:r w:rsidRPr="00D86C96">
        <w:rPr>
          <w:bCs/>
          <w:i/>
          <w:szCs w:val="22"/>
        </w:rPr>
        <w:t xml:space="preserve"> (no</w:t>
      </w:r>
      <w:r>
        <w:rPr>
          <w:bCs/>
          <w:i/>
          <w:szCs w:val="22"/>
        </w:rPr>
        <w:t>n requis</w:t>
      </w:r>
      <w:r w:rsidRPr="00D86C96">
        <w:rPr>
          <w:bCs/>
          <w:i/>
          <w:szCs w:val="22"/>
        </w:rPr>
        <w:t xml:space="preserve">) </w:t>
      </w:r>
      <w:r>
        <w:rPr>
          <w:bCs/>
          <w:i/>
          <w:szCs w:val="22"/>
        </w:rPr>
        <w:t>à l’égard des demandes de</w:t>
      </w:r>
      <w:r w:rsidRPr="00D86C96">
        <w:rPr>
          <w:bCs/>
          <w:i/>
          <w:szCs w:val="22"/>
        </w:rPr>
        <w:t xml:space="preserve"> </w:t>
      </w:r>
      <w:r>
        <w:rPr>
          <w:bCs/>
          <w:i/>
          <w:szCs w:val="22"/>
        </w:rPr>
        <w:t>brev</w:t>
      </w:r>
      <w:r w:rsidRPr="00D86C96">
        <w:rPr>
          <w:bCs/>
          <w:i/>
          <w:szCs w:val="22"/>
        </w:rPr>
        <w:t>et</w:t>
      </w:r>
      <w:r>
        <w:rPr>
          <w:bCs/>
          <w:i/>
          <w:szCs w:val="22"/>
        </w:rPr>
        <w:t>.  Cela signifie également que les sanctions pénales</w:t>
      </w:r>
      <w:r w:rsidRPr="00D86C96">
        <w:rPr>
          <w:bCs/>
          <w:i/>
          <w:szCs w:val="22"/>
        </w:rPr>
        <w:t xml:space="preserve"> (</w:t>
      </w:r>
      <w:r>
        <w:rPr>
          <w:bCs/>
          <w:i/>
          <w:szCs w:val="22"/>
        </w:rPr>
        <w:t>amendes</w:t>
      </w:r>
      <w:r w:rsidRPr="00D86C96">
        <w:rPr>
          <w:bCs/>
          <w:i/>
          <w:szCs w:val="22"/>
        </w:rPr>
        <w:t xml:space="preserve">) </w:t>
      </w:r>
      <w:r>
        <w:rPr>
          <w:bCs/>
          <w:i/>
          <w:szCs w:val="22"/>
        </w:rPr>
        <w:t>décrites à l’a</w:t>
      </w:r>
      <w:r w:rsidRPr="00D86C96">
        <w:rPr>
          <w:bCs/>
          <w:i/>
          <w:szCs w:val="22"/>
        </w:rPr>
        <w:t>rticle</w:t>
      </w:r>
      <w:r>
        <w:rPr>
          <w:bCs/>
          <w:i/>
          <w:szCs w:val="22"/>
        </w:rPr>
        <w:t> </w:t>
      </w:r>
      <w:proofErr w:type="spellStart"/>
      <w:r w:rsidRPr="00D86C96">
        <w:rPr>
          <w:bCs/>
          <w:i/>
          <w:szCs w:val="22"/>
        </w:rPr>
        <w:t>24a</w:t>
      </w:r>
      <w:proofErr w:type="spellEnd"/>
      <w:r w:rsidRPr="00D86C96">
        <w:rPr>
          <w:bCs/>
          <w:i/>
          <w:szCs w:val="22"/>
        </w:rPr>
        <w:t xml:space="preserve"> </w:t>
      </w:r>
      <w:r>
        <w:rPr>
          <w:bCs/>
          <w:i/>
          <w:szCs w:val="22"/>
        </w:rPr>
        <w:t>de</w:t>
      </w:r>
      <w:r w:rsidRPr="00D8497A">
        <w:rPr>
          <w:bCs/>
          <w:i/>
          <w:szCs w:val="22"/>
        </w:rPr>
        <w:t xml:space="preserve"> la </w:t>
      </w:r>
      <w:proofErr w:type="spellStart"/>
      <w:r w:rsidRPr="00D8497A">
        <w:rPr>
          <w:bCs/>
          <w:i/>
          <w:szCs w:val="22"/>
        </w:rPr>
        <w:t>LPN</w:t>
      </w:r>
      <w:proofErr w:type="spellEnd"/>
      <w:r w:rsidRPr="00D86C96">
        <w:rPr>
          <w:bCs/>
          <w:i/>
          <w:szCs w:val="22"/>
        </w:rPr>
        <w:t xml:space="preserve"> </w:t>
      </w:r>
      <w:r>
        <w:rPr>
          <w:bCs/>
          <w:i/>
          <w:szCs w:val="22"/>
        </w:rPr>
        <w:t>ne sont p</w:t>
      </w:r>
      <w:r w:rsidRPr="00D86C96">
        <w:rPr>
          <w:bCs/>
          <w:i/>
          <w:szCs w:val="22"/>
        </w:rPr>
        <w:t>a</w:t>
      </w:r>
      <w:r>
        <w:rPr>
          <w:bCs/>
          <w:i/>
          <w:szCs w:val="22"/>
        </w:rPr>
        <w:t>s</w:t>
      </w:r>
      <w:r w:rsidRPr="00D86C96">
        <w:rPr>
          <w:bCs/>
          <w:i/>
          <w:szCs w:val="22"/>
        </w:rPr>
        <w:t xml:space="preserve"> applicable</w:t>
      </w:r>
      <w:r>
        <w:rPr>
          <w:bCs/>
          <w:i/>
          <w:szCs w:val="22"/>
        </w:rPr>
        <w:t>s</w:t>
      </w:r>
      <w:r w:rsidRPr="00D86C96">
        <w:rPr>
          <w:bCs/>
          <w:i/>
          <w:szCs w:val="22"/>
        </w:rPr>
        <w:t xml:space="preserve"> </w:t>
      </w:r>
      <w:r>
        <w:rPr>
          <w:bCs/>
          <w:i/>
          <w:szCs w:val="22"/>
        </w:rPr>
        <w:t>aux requérants lorsqu’ils déposent une demande de brevet</w:t>
      </w:r>
      <w:r w:rsidRPr="00D86C96">
        <w:rPr>
          <w:bCs/>
          <w:i/>
          <w:szCs w:val="22"/>
        </w:rPr>
        <w:t>.</w:t>
      </w:r>
    </w:p>
    <w:p w:rsidR="008E65FA" w:rsidRPr="00D86C96" w:rsidRDefault="008E65FA" w:rsidP="008E65FA">
      <w:pPr>
        <w:numPr>
          <w:ilvl w:val="0"/>
          <w:numId w:val="12"/>
        </w:numPr>
        <w:autoSpaceDE w:val="0"/>
        <w:autoSpaceDN w:val="0"/>
        <w:adjustRightInd w:val="0"/>
        <w:rPr>
          <w:bCs/>
          <w:i/>
          <w:szCs w:val="22"/>
        </w:rPr>
      </w:pPr>
      <w:r w:rsidRPr="00D86C96">
        <w:rPr>
          <w:bCs/>
          <w:i/>
          <w:szCs w:val="22"/>
        </w:rPr>
        <w:t>Étant donné que l</w:t>
      </w:r>
      <w:r>
        <w:rPr>
          <w:bCs/>
          <w:i/>
          <w:szCs w:val="22"/>
        </w:rPr>
        <w:t>’</w:t>
      </w:r>
      <w:r w:rsidRPr="00D86C96">
        <w:rPr>
          <w:bCs/>
          <w:i/>
          <w:szCs w:val="22"/>
        </w:rPr>
        <w:t xml:space="preserve">élément déclencheur et la notion de source ont été mal compris, le tableau contient également des sanctions </w:t>
      </w:r>
      <w:r>
        <w:rPr>
          <w:bCs/>
          <w:i/>
          <w:szCs w:val="22"/>
        </w:rPr>
        <w:t>incorrectes en ce qui concerne l’indication de la</w:t>
      </w:r>
      <w:r w:rsidRPr="00D86C96">
        <w:rPr>
          <w:bCs/>
          <w:i/>
          <w:szCs w:val="22"/>
        </w:rPr>
        <w:t xml:space="preserve"> source </w:t>
      </w:r>
      <w:r>
        <w:rPr>
          <w:bCs/>
          <w:i/>
          <w:szCs w:val="22"/>
        </w:rPr>
        <w:t>dans</w:t>
      </w:r>
      <w:r w:rsidRPr="00D8497A">
        <w:rPr>
          <w:bCs/>
          <w:i/>
          <w:szCs w:val="22"/>
        </w:rPr>
        <w:t xml:space="preserve"> la </w:t>
      </w:r>
      <w:proofErr w:type="spellStart"/>
      <w:r w:rsidRPr="00D8497A">
        <w:rPr>
          <w:bCs/>
          <w:i/>
          <w:szCs w:val="22"/>
        </w:rPr>
        <w:t>LBI</w:t>
      </w:r>
      <w:proofErr w:type="spellEnd"/>
      <w:r>
        <w:rPr>
          <w:bCs/>
          <w:i/>
          <w:szCs w:val="22"/>
        </w:rPr>
        <w:t>.  E</w:t>
      </w:r>
      <w:r w:rsidRPr="00D86C96">
        <w:rPr>
          <w:bCs/>
          <w:i/>
          <w:szCs w:val="22"/>
        </w:rPr>
        <w:t>n particulier, il n</w:t>
      </w:r>
      <w:r>
        <w:rPr>
          <w:bCs/>
          <w:i/>
          <w:szCs w:val="22"/>
        </w:rPr>
        <w:t>’</w:t>
      </w:r>
      <w:r w:rsidRPr="00D86C96">
        <w:rPr>
          <w:bCs/>
          <w:i/>
          <w:szCs w:val="22"/>
        </w:rPr>
        <w:t xml:space="preserve">y aurait pas de sanctions </w:t>
      </w:r>
      <w:r>
        <w:rPr>
          <w:bCs/>
          <w:i/>
          <w:szCs w:val="22"/>
        </w:rPr>
        <w:t>en cas de non</w:t>
      </w:r>
      <w:r>
        <w:rPr>
          <w:bCs/>
          <w:i/>
          <w:szCs w:val="22"/>
        </w:rPr>
        <w:noBreakHyphen/>
        <w:t>divulgation de la source des organismes de laboratoire</w:t>
      </w:r>
      <w:r w:rsidRPr="00D86C96">
        <w:rPr>
          <w:bCs/>
          <w:i/>
          <w:szCs w:val="22"/>
        </w:rPr>
        <w:t>.</w:t>
      </w:r>
    </w:p>
    <w:p w:rsidR="008E65FA" w:rsidRDefault="008E65FA" w:rsidP="008E65FA"/>
    <w:p w:rsidR="008E65FA" w:rsidRPr="00D86C96" w:rsidRDefault="008E65FA" w:rsidP="008E65FA"/>
    <w:p w:rsidR="008E65FA" w:rsidRPr="00D86C96" w:rsidRDefault="008E65FA" w:rsidP="008E65FA"/>
    <w:p w:rsidR="008E65FA" w:rsidRPr="00D627D5" w:rsidRDefault="008E65FA" w:rsidP="008E65FA">
      <w:pPr>
        <w:ind w:left="5500"/>
      </w:pPr>
      <w:r w:rsidRPr="00D627D5">
        <w:t xml:space="preserve">[Fin </w:t>
      </w:r>
      <w:r>
        <w:t>de l’appendice 2</w:t>
      </w:r>
      <w:r w:rsidRPr="00D627D5">
        <w:t xml:space="preserve"> et du document]</w:t>
      </w:r>
    </w:p>
    <w:p w:rsidR="0040701A" w:rsidRDefault="0040701A" w:rsidP="00A848F1"/>
    <w:sectPr w:rsidR="0040701A" w:rsidSect="00A848F1">
      <w:headerReference w:type="default" r:id="rId36"/>
      <w:headerReference w:type="first" r:id="rId37"/>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8F1" w:rsidRDefault="00A848F1">
      <w:r>
        <w:separator/>
      </w:r>
    </w:p>
    <w:p w:rsidR="00A848F1" w:rsidRDefault="00A848F1"/>
  </w:endnote>
  <w:endnote w:type="continuationSeparator" w:id="0">
    <w:p w:rsidR="00A848F1" w:rsidRDefault="00A848F1" w:rsidP="003B38C1">
      <w:r>
        <w:separator/>
      </w:r>
    </w:p>
    <w:p w:rsidR="00A848F1" w:rsidRPr="003B38C1" w:rsidRDefault="00A848F1" w:rsidP="003B38C1">
      <w:pPr>
        <w:spacing w:after="60"/>
        <w:rPr>
          <w:sz w:val="17"/>
        </w:rPr>
      </w:pPr>
      <w:r>
        <w:rPr>
          <w:sz w:val="17"/>
        </w:rPr>
        <w:t>[Endnote continued from previous page]</w:t>
      </w:r>
    </w:p>
    <w:p w:rsidR="00A848F1" w:rsidRDefault="00A848F1"/>
  </w:endnote>
  <w:endnote w:type="continuationNotice" w:id="1">
    <w:p w:rsidR="00A848F1" w:rsidRPr="003B38C1" w:rsidRDefault="00A848F1" w:rsidP="003B38C1">
      <w:pPr>
        <w:spacing w:before="60"/>
        <w:jc w:val="right"/>
        <w:rPr>
          <w:sz w:val="17"/>
          <w:szCs w:val="17"/>
        </w:rPr>
      </w:pPr>
      <w:r w:rsidRPr="003B38C1">
        <w:rPr>
          <w:sz w:val="17"/>
          <w:szCs w:val="17"/>
        </w:rPr>
        <w:t>[Endnote continued on next page]</w:t>
      </w:r>
    </w:p>
    <w:p w:rsidR="00A848F1" w:rsidRDefault="00A84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1" w:rsidRPr="00F21027" w:rsidRDefault="00A848F1" w:rsidP="00F21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8F1" w:rsidRDefault="00A848F1">
      <w:r>
        <w:separator/>
      </w:r>
    </w:p>
  </w:footnote>
  <w:footnote w:type="continuationSeparator" w:id="0">
    <w:p w:rsidR="00A848F1" w:rsidRDefault="00A848F1" w:rsidP="008B60B2">
      <w:r>
        <w:separator/>
      </w:r>
    </w:p>
    <w:p w:rsidR="00A848F1" w:rsidRPr="00ED77FB" w:rsidRDefault="00A848F1" w:rsidP="008B60B2">
      <w:pPr>
        <w:spacing w:after="60"/>
        <w:rPr>
          <w:sz w:val="17"/>
          <w:szCs w:val="17"/>
        </w:rPr>
      </w:pPr>
      <w:r w:rsidRPr="00ED77FB">
        <w:rPr>
          <w:sz w:val="17"/>
          <w:szCs w:val="17"/>
        </w:rPr>
        <w:t>[Footnote continued from previous page]</w:t>
      </w:r>
    </w:p>
    <w:p w:rsidR="00A848F1" w:rsidRDefault="00A848F1"/>
  </w:footnote>
  <w:footnote w:type="continuationNotice" w:id="1">
    <w:p w:rsidR="00A848F1" w:rsidRPr="00ED77FB" w:rsidRDefault="00A848F1" w:rsidP="008B60B2">
      <w:pPr>
        <w:spacing w:before="60"/>
        <w:jc w:val="right"/>
        <w:rPr>
          <w:sz w:val="17"/>
          <w:szCs w:val="17"/>
        </w:rPr>
      </w:pPr>
      <w:r w:rsidRPr="00ED77FB">
        <w:rPr>
          <w:sz w:val="17"/>
          <w:szCs w:val="17"/>
        </w:rPr>
        <w:t>[Footnote continued on next page]</w:t>
      </w:r>
    </w:p>
    <w:p w:rsidR="00A848F1" w:rsidRDefault="00A848F1"/>
  </w:footnote>
  <w:footnote w:id="2">
    <w:p w:rsidR="00A848F1" w:rsidRPr="0040701A" w:rsidRDefault="00A848F1" w:rsidP="00A848F1">
      <w:pPr>
        <w:rPr>
          <w:sz w:val="18"/>
          <w:szCs w:val="18"/>
          <w:lang w:val="en-GB"/>
        </w:rPr>
      </w:pPr>
      <w:r w:rsidRPr="0040701A">
        <w:rPr>
          <w:rStyle w:val="FootnoteTextChar"/>
          <w:szCs w:val="18"/>
          <w:vertAlign w:val="superscript"/>
        </w:rPr>
        <w:footnoteRef/>
      </w:r>
      <w:r w:rsidRPr="0040701A">
        <w:rPr>
          <w:sz w:val="18"/>
          <w:szCs w:val="18"/>
          <w:vertAlign w:val="superscript"/>
        </w:rPr>
        <w:t xml:space="preserve"> </w:t>
      </w:r>
      <w:r w:rsidRPr="0040701A">
        <w:rPr>
          <w:sz w:val="18"/>
          <w:szCs w:val="18"/>
        </w:rPr>
        <w:tab/>
      </w:r>
      <w:hyperlink r:id="rId1" w:history="1">
        <w:proofErr w:type="gramStart"/>
        <w:r w:rsidRPr="0040701A">
          <w:rPr>
            <w:smallCaps/>
            <w:sz w:val="18"/>
            <w:szCs w:val="18"/>
            <w:u w:val="single"/>
            <w:lang w:val="en-GB"/>
          </w:rPr>
          <w:t>WIPO/</w:t>
        </w:r>
        <w:proofErr w:type="spellStart"/>
        <w:r w:rsidRPr="0040701A">
          <w:rPr>
            <w:smallCaps/>
            <w:sz w:val="18"/>
            <w:szCs w:val="18"/>
            <w:u w:val="single"/>
            <w:lang w:val="en-GB"/>
          </w:rPr>
          <w:t>GRTKF</w:t>
        </w:r>
        <w:proofErr w:type="spellEnd"/>
        <w:r w:rsidRPr="0040701A">
          <w:rPr>
            <w:smallCaps/>
            <w:sz w:val="18"/>
            <w:szCs w:val="18"/>
            <w:u w:val="single"/>
            <w:lang w:val="en-GB"/>
          </w:rPr>
          <w:t>/IC/30/9</w:t>
        </w:r>
      </w:hyperlink>
      <w:r w:rsidRPr="0040701A">
        <w:rPr>
          <w:smallCaps/>
          <w:sz w:val="18"/>
          <w:szCs w:val="18"/>
          <w:lang w:val="en-GB"/>
        </w:rPr>
        <w:t>.</w:t>
      </w:r>
      <w:proofErr w:type="gramEnd"/>
    </w:p>
  </w:footnote>
  <w:footnote w:id="3">
    <w:p w:rsidR="00A848F1" w:rsidRPr="0040701A" w:rsidRDefault="00A848F1" w:rsidP="00A848F1">
      <w:pPr>
        <w:rPr>
          <w:sz w:val="18"/>
          <w:szCs w:val="18"/>
          <w:lang w:val="en-GB"/>
        </w:rPr>
      </w:pPr>
      <w:r w:rsidRPr="0040701A">
        <w:rPr>
          <w:rStyle w:val="FootnoteTextChar"/>
          <w:szCs w:val="18"/>
          <w:vertAlign w:val="superscript"/>
        </w:rPr>
        <w:footnoteRef/>
      </w:r>
      <w:r w:rsidRPr="0040701A">
        <w:rPr>
          <w:sz w:val="18"/>
          <w:szCs w:val="18"/>
        </w:rPr>
        <w:t xml:space="preserve"> </w:t>
      </w:r>
      <w:r w:rsidRPr="0040701A">
        <w:rPr>
          <w:sz w:val="18"/>
          <w:szCs w:val="18"/>
        </w:rPr>
        <w:tab/>
      </w:r>
      <w:hyperlink r:id="rId2" w:history="1">
        <w:proofErr w:type="spellStart"/>
        <w:r w:rsidRPr="0040701A">
          <w:rPr>
            <w:sz w:val="18"/>
            <w:szCs w:val="18"/>
            <w:u w:val="single"/>
          </w:rPr>
          <w:t>WIPO</w:t>
        </w:r>
        <w:proofErr w:type="spellEnd"/>
        <w:r w:rsidRPr="0040701A">
          <w:rPr>
            <w:sz w:val="18"/>
            <w:szCs w:val="18"/>
            <w:u w:val="single"/>
          </w:rPr>
          <w:t>/</w:t>
        </w:r>
        <w:proofErr w:type="spellStart"/>
        <w:r w:rsidRPr="0040701A">
          <w:rPr>
            <w:sz w:val="18"/>
            <w:szCs w:val="18"/>
            <w:u w:val="single"/>
          </w:rPr>
          <w:t>GRTKF</w:t>
        </w:r>
        <w:proofErr w:type="spellEnd"/>
        <w:r w:rsidRPr="0040701A">
          <w:rPr>
            <w:sz w:val="18"/>
            <w:szCs w:val="18"/>
            <w:u w:val="single"/>
          </w:rPr>
          <w:t>/IC/16/</w:t>
        </w:r>
        <w:proofErr w:type="spellStart"/>
        <w:r w:rsidRPr="0040701A">
          <w:rPr>
            <w:sz w:val="18"/>
            <w:szCs w:val="18"/>
            <w:u w:val="single"/>
          </w:rPr>
          <w:t>INF</w:t>
        </w:r>
        <w:proofErr w:type="spellEnd"/>
        <w:r w:rsidRPr="0040701A">
          <w:rPr>
            <w:sz w:val="18"/>
            <w:szCs w:val="18"/>
            <w:u w:val="single"/>
          </w:rPr>
          <w:t>/14</w:t>
        </w:r>
      </w:hyperlink>
      <w:r w:rsidRPr="0040701A">
        <w:rPr>
          <w:sz w:val="18"/>
          <w:szCs w:val="18"/>
        </w:rPr>
        <w:t>.</w:t>
      </w:r>
    </w:p>
  </w:footnote>
  <w:footnote w:id="4">
    <w:p w:rsidR="00A848F1" w:rsidRPr="0040701A" w:rsidRDefault="00A848F1" w:rsidP="00A848F1">
      <w:pPr>
        <w:rPr>
          <w:rFonts w:ascii="Times New Roman" w:hAnsi="Times New Roman" w:cs="Times New Roman"/>
          <w:sz w:val="18"/>
          <w:szCs w:val="18"/>
        </w:rPr>
      </w:pPr>
      <w:r w:rsidRPr="0040701A">
        <w:rPr>
          <w:rStyle w:val="FootnoteTextChar"/>
          <w:szCs w:val="18"/>
          <w:vertAlign w:val="superscript"/>
        </w:rPr>
        <w:footnoteRef/>
      </w:r>
      <w:r w:rsidRPr="0040701A">
        <w:rPr>
          <w:sz w:val="18"/>
          <w:szCs w:val="18"/>
          <w:vertAlign w:val="superscript"/>
        </w:rPr>
        <w:t xml:space="preserve"> </w:t>
      </w:r>
      <w:r w:rsidRPr="0040701A">
        <w:rPr>
          <w:sz w:val="18"/>
          <w:szCs w:val="18"/>
        </w:rPr>
        <w:tab/>
      </w:r>
      <w:r w:rsidRPr="0040701A">
        <w:rPr>
          <w:color w:val="000000"/>
          <w:position w:val="2"/>
          <w:sz w:val="18"/>
          <w:szCs w:val="18"/>
        </w:rPr>
        <w:t>Le message concernant la modification de la Loi sur les brevets du 23 novembre 2005</w:t>
      </w:r>
      <w:r w:rsidRPr="0040701A">
        <w:rPr>
          <w:color w:val="333333"/>
          <w:position w:val="2"/>
          <w:sz w:val="18"/>
          <w:szCs w:val="18"/>
        </w:rPr>
        <w:t xml:space="preserve"> </w:t>
      </w:r>
      <w:r w:rsidRPr="0040701A">
        <w:rPr>
          <w:sz w:val="18"/>
          <w:szCs w:val="18"/>
        </w:rPr>
        <w:t xml:space="preserve">est disponible en </w:t>
      </w:r>
      <w:r w:rsidRPr="0040701A">
        <w:rPr>
          <w:sz w:val="18"/>
          <w:szCs w:val="18"/>
          <w:u w:val="single"/>
        </w:rPr>
        <w:t>allemand</w:t>
      </w:r>
      <w:r w:rsidRPr="0040701A">
        <w:rPr>
          <w:sz w:val="18"/>
          <w:szCs w:val="18"/>
        </w:rPr>
        <w:t xml:space="preserve">, </w:t>
      </w:r>
      <w:hyperlink r:id="rId3" w:history="1">
        <w:r w:rsidRPr="0040701A">
          <w:rPr>
            <w:sz w:val="18"/>
            <w:szCs w:val="18"/>
            <w:u w:val="single"/>
          </w:rPr>
          <w:t>français</w:t>
        </w:r>
      </w:hyperlink>
      <w:r w:rsidRPr="0040701A">
        <w:rPr>
          <w:sz w:val="18"/>
          <w:szCs w:val="18"/>
        </w:rPr>
        <w:t xml:space="preserve">, et </w:t>
      </w:r>
      <w:hyperlink r:id="rId4" w:history="1">
        <w:r w:rsidRPr="0040701A">
          <w:rPr>
            <w:sz w:val="18"/>
            <w:szCs w:val="18"/>
            <w:u w:val="single"/>
          </w:rPr>
          <w:t>italien</w:t>
        </w:r>
      </w:hyperlink>
      <w:r w:rsidRPr="0040701A">
        <w:rPr>
          <w:sz w:val="18"/>
          <w:szCs w:val="18"/>
        </w:rPr>
        <w:t>.</w:t>
      </w:r>
    </w:p>
  </w:footnote>
  <w:footnote w:id="5">
    <w:p w:rsidR="00A848F1" w:rsidRPr="0040701A" w:rsidRDefault="00A848F1" w:rsidP="00A848F1">
      <w:pPr>
        <w:rPr>
          <w:sz w:val="18"/>
          <w:szCs w:val="18"/>
        </w:rPr>
      </w:pPr>
      <w:r w:rsidRPr="0040701A">
        <w:rPr>
          <w:rStyle w:val="FootnoteTextChar"/>
          <w:szCs w:val="18"/>
          <w:vertAlign w:val="superscript"/>
        </w:rPr>
        <w:footnoteRef/>
      </w:r>
      <w:r w:rsidRPr="0040701A">
        <w:rPr>
          <w:sz w:val="18"/>
          <w:szCs w:val="18"/>
          <w:vertAlign w:val="superscript"/>
        </w:rPr>
        <w:t xml:space="preserve"> </w:t>
      </w:r>
      <w:r w:rsidRPr="0040701A">
        <w:rPr>
          <w:sz w:val="18"/>
          <w:szCs w:val="18"/>
        </w:rPr>
        <w:tab/>
        <w:t xml:space="preserve">Le préambule de la décision </w:t>
      </w:r>
      <w:proofErr w:type="spellStart"/>
      <w:r w:rsidRPr="0040701A">
        <w:rPr>
          <w:sz w:val="18"/>
          <w:szCs w:val="18"/>
        </w:rPr>
        <w:t>UNEP</w:t>
      </w:r>
      <w:proofErr w:type="spellEnd"/>
      <w:r w:rsidRPr="0040701A">
        <w:rPr>
          <w:sz w:val="18"/>
          <w:szCs w:val="18"/>
        </w:rPr>
        <w:t>/</w:t>
      </w:r>
      <w:proofErr w:type="spellStart"/>
      <w:r w:rsidRPr="0040701A">
        <w:rPr>
          <w:sz w:val="18"/>
          <w:szCs w:val="18"/>
        </w:rPr>
        <w:t>CBD</w:t>
      </w:r>
      <w:proofErr w:type="spellEnd"/>
      <w:r w:rsidRPr="0040701A">
        <w:rPr>
          <w:sz w:val="18"/>
          <w:szCs w:val="18"/>
        </w:rPr>
        <w:t>/COP/DEC/X/1, portant adoption du Protocole de Nagoya, fait référence au “régime international d’accès et de partage des avantages”.  Le préambule, ainsi que l’article 4 du Protocole de Nagoya, indiquent clairement qu’il existe plusieurs instruments internationaux pour mettre en œuvre “l’accès et le partage des avantages”.</w:t>
      </w:r>
    </w:p>
  </w:footnote>
  <w:footnote w:id="6">
    <w:p w:rsidR="00A848F1" w:rsidRPr="0040701A" w:rsidRDefault="00A848F1" w:rsidP="00A848F1">
      <w:pPr>
        <w:pStyle w:val="FootnoteText"/>
        <w:rPr>
          <w:rFonts w:ascii="Times New Roman" w:hAnsi="Times New Roman" w:cs="Times New Roman"/>
          <w:szCs w:val="18"/>
        </w:rPr>
      </w:pPr>
      <w:r w:rsidRPr="0040701A">
        <w:rPr>
          <w:rStyle w:val="FootnoteReference"/>
          <w:szCs w:val="18"/>
        </w:rPr>
        <w:footnoteRef/>
      </w:r>
      <w:r w:rsidRPr="0040701A">
        <w:rPr>
          <w:szCs w:val="18"/>
        </w:rPr>
        <w:t xml:space="preserve"> </w:t>
      </w:r>
      <w:r w:rsidRPr="0040701A">
        <w:rPr>
          <w:szCs w:val="18"/>
        </w:rPr>
        <w:tab/>
        <w:t xml:space="preserve">L’article 15.5 de la Convention sur la diversité biologique (CDB) et l’article 6.1 du Protocole de Nagoya stipulent que “l’accès aux ressources génétiques est soumis au consentement préalable donné en connaissance de cause…, </w:t>
      </w:r>
      <w:r w:rsidRPr="0040701A">
        <w:rPr>
          <w:szCs w:val="18"/>
          <w:u w:val="single"/>
        </w:rPr>
        <w:t>sauf décision contraire de cette Partie”</w:t>
      </w:r>
      <w:r w:rsidRPr="0040701A">
        <w:rPr>
          <w:szCs w:val="18"/>
        </w:rPr>
        <w:t>.  En conséquence, les Parties peuvent décider de ne pas demander le consentement préalable en connaissance de cause pour l’accès à leurs ressources génétiques.  C’est le cas dans divers pays.  En Suisse, à ce jour, la majorité des ressources génétiques sont uniquement soumises à une exigence d’information et de notification au moment de la commercialisation ou approbation préalable à la mise sur le marché (voir l’article 8 du Protocole de Nagoya).</w:t>
      </w:r>
    </w:p>
  </w:footnote>
  <w:footnote w:id="7">
    <w:p w:rsidR="00A848F1" w:rsidRPr="0040701A" w:rsidRDefault="00A848F1" w:rsidP="00A848F1">
      <w:pPr>
        <w:autoSpaceDE w:val="0"/>
        <w:autoSpaceDN w:val="0"/>
        <w:adjustRightInd w:val="0"/>
        <w:rPr>
          <w:sz w:val="18"/>
          <w:szCs w:val="18"/>
          <w:lang w:val="en-GB"/>
        </w:rPr>
      </w:pPr>
      <w:r w:rsidRPr="0040701A">
        <w:rPr>
          <w:rStyle w:val="FootnoteTextChar"/>
          <w:szCs w:val="18"/>
          <w:vertAlign w:val="superscript"/>
        </w:rPr>
        <w:footnoteRef/>
      </w:r>
      <w:r w:rsidRPr="0040701A">
        <w:rPr>
          <w:sz w:val="18"/>
          <w:szCs w:val="18"/>
          <w:vertAlign w:val="superscript"/>
        </w:rPr>
        <w:t xml:space="preserve"> </w:t>
      </w:r>
      <w:r w:rsidRPr="0040701A">
        <w:rPr>
          <w:sz w:val="18"/>
          <w:szCs w:val="18"/>
          <w:vertAlign w:val="superscript"/>
        </w:rPr>
        <w:tab/>
      </w:r>
      <w:r w:rsidRPr="0040701A">
        <w:rPr>
          <w:color w:val="231F20"/>
          <w:sz w:val="18"/>
          <w:szCs w:val="18"/>
        </w:rPr>
        <w:t xml:space="preserve">Secrétariat de la Convention sur la diversité biologique (2008).  L’accès et le partage des avantages dans la pratique : tendances dans les partenariats entre les secteurs.  </w:t>
      </w:r>
      <w:proofErr w:type="gramStart"/>
      <w:r w:rsidRPr="0040701A">
        <w:rPr>
          <w:color w:val="231F20"/>
          <w:sz w:val="18"/>
          <w:szCs w:val="18"/>
          <w:lang w:val="en-GB"/>
        </w:rPr>
        <w:t xml:space="preserve">Montréal, </w:t>
      </w:r>
      <w:proofErr w:type="spellStart"/>
      <w:r w:rsidRPr="0040701A">
        <w:rPr>
          <w:color w:val="231F20"/>
          <w:sz w:val="18"/>
          <w:szCs w:val="18"/>
          <w:lang w:val="en-GB"/>
        </w:rPr>
        <w:t>Série</w:t>
      </w:r>
      <w:proofErr w:type="spellEnd"/>
      <w:r w:rsidRPr="0040701A">
        <w:rPr>
          <w:color w:val="231F20"/>
          <w:sz w:val="18"/>
          <w:szCs w:val="18"/>
          <w:lang w:val="en-GB"/>
        </w:rPr>
        <w:t xml:space="preserve"> technique n° 38, 140 pages.</w:t>
      </w:r>
      <w:proofErr w:type="gramEnd"/>
    </w:p>
  </w:footnote>
  <w:footnote w:id="8">
    <w:p w:rsidR="00A848F1" w:rsidRPr="0040701A" w:rsidRDefault="00A848F1" w:rsidP="00A848F1">
      <w:pPr>
        <w:pStyle w:val="FootnoteText"/>
        <w:rPr>
          <w:rFonts w:ascii="Times New Roman" w:hAnsi="Times New Roman" w:cs="Times New Roman"/>
          <w:szCs w:val="18"/>
        </w:rPr>
      </w:pPr>
      <w:r w:rsidRPr="0040701A">
        <w:rPr>
          <w:rStyle w:val="FootnoteReference"/>
          <w:szCs w:val="18"/>
        </w:rPr>
        <w:footnoteRef/>
      </w:r>
      <w:r w:rsidRPr="0040701A">
        <w:rPr>
          <w:szCs w:val="18"/>
        </w:rPr>
        <w:t xml:space="preserve"> </w:t>
      </w:r>
      <w:r w:rsidRPr="0040701A">
        <w:rPr>
          <w:szCs w:val="18"/>
        </w:rPr>
        <w:tab/>
      </w:r>
      <w:hyperlink r:id="rId5" w:history="1">
        <w:proofErr w:type="spellStart"/>
        <w:r w:rsidRPr="0040701A">
          <w:rPr>
            <w:rStyle w:val="Hyperlink"/>
            <w:color w:val="auto"/>
            <w:szCs w:val="18"/>
          </w:rPr>
          <w:t>WIPO</w:t>
        </w:r>
        <w:proofErr w:type="spellEnd"/>
        <w:r w:rsidRPr="0040701A">
          <w:rPr>
            <w:rStyle w:val="Hyperlink"/>
            <w:color w:val="auto"/>
            <w:szCs w:val="18"/>
          </w:rPr>
          <w:t>/</w:t>
        </w:r>
        <w:proofErr w:type="spellStart"/>
        <w:r w:rsidRPr="0040701A">
          <w:rPr>
            <w:rStyle w:val="Hyperlink"/>
            <w:color w:val="auto"/>
            <w:szCs w:val="18"/>
          </w:rPr>
          <w:t>GRTKF</w:t>
        </w:r>
        <w:proofErr w:type="spellEnd"/>
        <w:r w:rsidRPr="0040701A">
          <w:rPr>
            <w:rStyle w:val="Hyperlink"/>
            <w:color w:val="auto"/>
            <w:szCs w:val="18"/>
          </w:rPr>
          <w:t>/IC/11/10</w:t>
        </w:r>
      </w:hyperlink>
      <w:r w:rsidRPr="0040701A">
        <w:rPr>
          <w:rStyle w:val="Hyperlink"/>
          <w:color w:val="auto"/>
          <w:szCs w:val="18"/>
        </w:rPr>
        <w:t>.</w:t>
      </w:r>
    </w:p>
  </w:footnote>
  <w:footnote w:id="9">
    <w:p w:rsidR="00A848F1" w:rsidRPr="0040701A" w:rsidRDefault="00A848F1" w:rsidP="00A848F1">
      <w:pPr>
        <w:pStyle w:val="FootnoteText"/>
        <w:rPr>
          <w:i/>
          <w:szCs w:val="18"/>
        </w:rPr>
      </w:pPr>
      <w:r w:rsidRPr="0040701A">
        <w:rPr>
          <w:rStyle w:val="FootnoteReference"/>
          <w:szCs w:val="18"/>
        </w:rPr>
        <w:footnoteRef/>
      </w:r>
      <w:r w:rsidRPr="0040701A">
        <w:rPr>
          <w:szCs w:val="18"/>
        </w:rPr>
        <w:t xml:space="preserve"> </w:t>
      </w:r>
      <w:r w:rsidRPr="0040701A">
        <w:rPr>
          <w:szCs w:val="18"/>
        </w:rPr>
        <w:tab/>
        <w:t>Selon l’art. </w:t>
      </w:r>
      <w:proofErr w:type="spellStart"/>
      <w:r w:rsidRPr="0040701A">
        <w:rPr>
          <w:szCs w:val="18"/>
        </w:rPr>
        <w:t>17.1.a</w:t>
      </w:r>
      <w:proofErr w:type="spellEnd"/>
      <w:r w:rsidRPr="0040701A">
        <w:rPr>
          <w:szCs w:val="18"/>
        </w:rPr>
        <w:t>)i) du Protocole de Nagoya</w:t>
      </w:r>
      <w:r w:rsidRPr="0040701A">
        <w:rPr>
          <w:i/>
          <w:szCs w:val="18"/>
        </w:rPr>
        <w:t xml:space="preserve">, “Afin de soutenir la conformité, chaque Partie prend les mesures nécessaires, selon qu’il convient, pour surveiller l’utilisation et augmenter la transparence concernant l’utilisation des ressources génétiques.  Ces mesures comprennent : a) La désignation d’un ou plusieurs points de contrôle, [qui] recueilleraient ou recevraient selon qu’il convient, les informations concernant l’obtention du consentement préalable donné en connaissance de cause, la </w:t>
      </w:r>
      <w:r w:rsidRPr="0040701A">
        <w:rPr>
          <w:i/>
          <w:szCs w:val="18"/>
          <w:u w:val="single"/>
        </w:rPr>
        <w:t>source de la ressource génétique</w:t>
      </w:r>
      <w:r w:rsidRPr="0040701A">
        <w:rPr>
          <w:i/>
          <w:szCs w:val="18"/>
        </w:rPr>
        <w:t>, l’établissement de conditions convenues d’un commun accord et/ou l’utilisation des ressources génétiques, le cas échéant.</w:t>
      </w:r>
      <w:r w:rsidRPr="0040701A">
        <w:rPr>
          <w:szCs w:val="18"/>
        </w:rPr>
        <w:t>”</w:t>
      </w:r>
    </w:p>
  </w:footnote>
  <w:footnote w:id="10">
    <w:p w:rsidR="00A848F1" w:rsidRPr="0040701A" w:rsidRDefault="00A848F1" w:rsidP="00A848F1">
      <w:pPr>
        <w:pStyle w:val="FootnoteText"/>
        <w:rPr>
          <w:szCs w:val="18"/>
        </w:rPr>
      </w:pPr>
      <w:r w:rsidRPr="0040701A">
        <w:rPr>
          <w:rStyle w:val="FootnoteReference"/>
          <w:szCs w:val="18"/>
        </w:rPr>
        <w:footnoteRef/>
      </w:r>
      <w:r w:rsidRPr="0040701A">
        <w:rPr>
          <w:szCs w:val="18"/>
        </w:rPr>
        <w:t xml:space="preserve"> </w:t>
      </w:r>
      <w:r w:rsidRPr="0040701A">
        <w:rPr>
          <w:szCs w:val="18"/>
        </w:rPr>
        <w:tab/>
      </w:r>
      <w:hyperlink r:id="rId6" w:history="1">
        <w:r w:rsidRPr="0040701A">
          <w:rPr>
            <w:rStyle w:val="Hyperlink"/>
            <w:szCs w:val="18"/>
          </w:rPr>
          <w:t>Règlement (UE) N° 511/2014</w:t>
        </w:r>
      </w:hyperlink>
      <w:r w:rsidRPr="0040701A">
        <w:rPr>
          <w:szCs w:val="18"/>
        </w:rPr>
        <w:t xml:space="preserve"> du Parlement européen et du Conseil du 16 avril 2014 relatif aux mesures concernant le respect par les utilisateurs du Protocole de Nagoya sur l’accès aux ressources génétiques et le partage juste et équitable des avantages découlant de leur utilisation.</w:t>
      </w:r>
    </w:p>
  </w:footnote>
  <w:footnote w:id="11">
    <w:p w:rsidR="00A848F1" w:rsidRPr="0040701A" w:rsidRDefault="00A848F1" w:rsidP="00A848F1">
      <w:pPr>
        <w:pStyle w:val="FootnoteText"/>
        <w:rPr>
          <w:rFonts w:ascii="Times New Roman" w:hAnsi="Times New Roman" w:cs="Times New Roman"/>
          <w:szCs w:val="18"/>
        </w:rPr>
      </w:pPr>
      <w:r w:rsidRPr="0040701A">
        <w:rPr>
          <w:rStyle w:val="FootnoteReference"/>
          <w:szCs w:val="18"/>
        </w:rPr>
        <w:footnoteRef/>
      </w:r>
      <w:r w:rsidRPr="0040701A">
        <w:rPr>
          <w:szCs w:val="18"/>
        </w:rPr>
        <w:t xml:space="preserve"> </w:t>
      </w:r>
      <w:r w:rsidRPr="0040701A">
        <w:rPr>
          <w:szCs w:val="18"/>
        </w:rPr>
        <w:tab/>
        <w:t>http://www.un.org/sustainabledevelopment/sustainable</w:t>
      </w:r>
      <w:r w:rsidRPr="0040701A">
        <w:rPr>
          <w:szCs w:val="18"/>
        </w:rPr>
        <w:noBreakHyphen/>
        <w:t>development</w:t>
      </w:r>
      <w:r w:rsidRPr="0040701A">
        <w:rPr>
          <w:szCs w:val="18"/>
        </w:rPr>
        <w:noBreakHyphen/>
        <w:t>goals/.</w:t>
      </w:r>
    </w:p>
  </w:footnote>
  <w:footnote w:id="12">
    <w:p w:rsidR="00A848F1" w:rsidRPr="00381704" w:rsidRDefault="00A848F1" w:rsidP="00A848F1">
      <w:pPr>
        <w:pStyle w:val="FootnoteText"/>
        <w:rPr>
          <w:lang w:val="fr-FR"/>
        </w:rPr>
      </w:pPr>
      <w:r w:rsidRPr="00381704">
        <w:rPr>
          <w:rStyle w:val="FootnoteReference"/>
          <w:lang w:val="fr-FR"/>
        </w:rPr>
        <w:footnoteRef/>
      </w:r>
      <w:r w:rsidRPr="00381704">
        <w:rPr>
          <w:lang w:val="fr-FR"/>
        </w:rPr>
        <w:t xml:space="preserve"> </w:t>
      </w:r>
      <w:r>
        <w:rPr>
          <w:lang w:val="fr-FR"/>
        </w:rPr>
        <w:tab/>
      </w:r>
      <w:hyperlink r:id="rId7" w:history="1">
        <w:r w:rsidRPr="00381704">
          <w:rPr>
            <w:rStyle w:val="Hyperlink"/>
            <w:lang w:val="fr-FR"/>
          </w:rPr>
          <w:t>http://www.fao.org/fishery/legalframework/nalo_mexico/fr</w:t>
        </w:r>
      </w:hyperlink>
      <w:r>
        <w:rPr>
          <w:lang w:val="fr-FR"/>
        </w:rPr>
        <w:t>.</w:t>
      </w:r>
    </w:p>
  </w:footnote>
  <w:footnote w:id="13">
    <w:p w:rsidR="00A848F1" w:rsidRDefault="00A848F1" w:rsidP="00A848F1">
      <w:pPr>
        <w:pStyle w:val="FootnoteText"/>
        <w:rPr>
          <w:lang w:val="fr-FR"/>
        </w:rPr>
      </w:pPr>
      <w:r w:rsidRPr="00381704">
        <w:rPr>
          <w:rStyle w:val="FootnoteReference"/>
          <w:lang w:val="fr-FR"/>
        </w:rPr>
        <w:footnoteRef/>
      </w:r>
      <w:r w:rsidRPr="00381704">
        <w:rPr>
          <w:lang w:val="fr-FR"/>
        </w:rPr>
        <w:t xml:space="preserve"> </w:t>
      </w:r>
      <w:r>
        <w:rPr>
          <w:lang w:val="fr-FR"/>
        </w:rPr>
        <w:tab/>
      </w:r>
      <w:r w:rsidRPr="00381704">
        <w:rPr>
          <w:lang w:val="fr-FR"/>
        </w:rPr>
        <w:t>Panama, Décret exécutif n° 25 du 29</w:t>
      </w:r>
      <w:r>
        <w:rPr>
          <w:lang w:val="fr-FR"/>
        </w:rPr>
        <w:t> </w:t>
      </w:r>
      <w:r w:rsidRPr="00381704">
        <w:rPr>
          <w:lang w:val="fr-FR"/>
        </w:rPr>
        <w:t>avril</w:t>
      </w:r>
      <w:r>
        <w:rPr>
          <w:lang w:val="fr-FR"/>
        </w:rPr>
        <w:t> </w:t>
      </w:r>
      <w:r w:rsidRPr="00381704">
        <w:rPr>
          <w:lang w:val="fr-FR"/>
        </w:rPr>
        <w:t>2009, article</w:t>
      </w:r>
      <w:r>
        <w:rPr>
          <w:lang w:val="fr-FR"/>
        </w:rPr>
        <w:t> </w:t>
      </w:r>
      <w:proofErr w:type="spellStart"/>
      <w:r w:rsidRPr="00381704">
        <w:rPr>
          <w:lang w:val="fr-FR"/>
        </w:rPr>
        <w:t>6.g</w:t>
      </w:r>
      <w:proofErr w:type="spellEnd"/>
      <w:r w:rsidRPr="00381704">
        <w:rPr>
          <w:lang w:val="fr-FR"/>
        </w:rPr>
        <w:t xml:space="preserve">). </w:t>
      </w:r>
      <w:r>
        <w:rPr>
          <w:lang w:val="fr-FR"/>
        </w:rPr>
        <w:t xml:space="preserve"> </w:t>
      </w:r>
    </w:p>
    <w:p w:rsidR="00A848F1" w:rsidRPr="00381704" w:rsidRDefault="00A848F1" w:rsidP="00A848F1">
      <w:pPr>
        <w:pStyle w:val="FootnoteText"/>
        <w:rPr>
          <w:lang w:val="fr-FR"/>
        </w:rPr>
      </w:pPr>
    </w:p>
  </w:footnote>
  <w:footnote w:id="14">
    <w:p w:rsidR="008E65FA" w:rsidRPr="00555395" w:rsidRDefault="008E65FA" w:rsidP="008E65FA">
      <w:pPr>
        <w:pStyle w:val="FootnoteText"/>
      </w:pPr>
      <w:r>
        <w:rPr>
          <w:rStyle w:val="FootnoteReference"/>
        </w:rPr>
        <w:footnoteRef/>
      </w:r>
      <w:r w:rsidRPr="00555395">
        <w:t xml:space="preserve"> </w:t>
      </w:r>
      <w:r>
        <w:tab/>
      </w:r>
      <w:r w:rsidRPr="00555395">
        <w:t>Paragraphes</w:t>
      </w:r>
      <w:r>
        <w:t> </w:t>
      </w:r>
      <w:r w:rsidRPr="00555395">
        <w:t>231</w:t>
      </w:r>
      <w:r>
        <w:noBreakHyphen/>
      </w:r>
      <w:r w:rsidRPr="00555395">
        <w:t>232 du projet de rapport</w:t>
      </w:r>
      <w:r>
        <w:t xml:space="preserve"> du</w:t>
      </w:r>
      <w:r w:rsidRPr="00555395">
        <w:t xml:space="preserve"> Comité </w:t>
      </w:r>
      <w:proofErr w:type="spellStart"/>
      <w:r w:rsidRPr="00555395">
        <w:t>intergouvernemental</w:t>
      </w:r>
      <w:proofErr w:type="spellEnd"/>
      <w:r w:rsidRPr="00555395">
        <w:t xml:space="preserve"> </w:t>
      </w:r>
      <w:r>
        <w:t>de la propriété i</w:t>
      </w:r>
      <w:r w:rsidRPr="00555395">
        <w:t>ntellectu</w:t>
      </w:r>
      <w:r>
        <w:t>e</w:t>
      </w:r>
      <w:r w:rsidRPr="00555395">
        <w:t>l</w:t>
      </w:r>
      <w:r>
        <w:t>le relative aux ressources génétiques, aux savoirs traditionnels et au fol</w:t>
      </w:r>
      <w:r w:rsidRPr="00555395">
        <w:t>klore</w:t>
      </w:r>
      <w:r>
        <w:t xml:space="preserve">, </w:t>
      </w:r>
      <w:r w:rsidRPr="00555395">
        <w:t>vingt</w:t>
      </w:r>
      <w:r>
        <w:noBreakHyphen/>
      </w:r>
      <w:r w:rsidRPr="00555395">
        <w:t>neuvième session</w:t>
      </w:r>
      <w:r>
        <w:t>,</w:t>
      </w:r>
      <w:r w:rsidRPr="00555395">
        <w:t xml:space="preserve"> Genève, 15</w:t>
      </w:r>
      <w:r>
        <w:noBreakHyphen/>
      </w:r>
      <w:r w:rsidRPr="00555395">
        <w:t>19</w:t>
      </w:r>
      <w:r>
        <w:t> </w:t>
      </w:r>
      <w:r w:rsidRPr="00555395">
        <w:t>février</w:t>
      </w:r>
      <w:r>
        <w:t> 2016.</w:t>
      </w:r>
    </w:p>
  </w:footnote>
  <w:footnote w:id="15">
    <w:p w:rsidR="008E65FA" w:rsidRPr="00780D7C" w:rsidRDefault="008E65FA" w:rsidP="008E65FA">
      <w:pPr>
        <w:pStyle w:val="FootnoteText"/>
      </w:pPr>
      <w:r>
        <w:rPr>
          <w:rStyle w:val="FootnoteReference"/>
        </w:rPr>
        <w:footnoteRef/>
      </w:r>
      <w:r w:rsidRPr="00780D7C">
        <w:t xml:space="preserve"> </w:t>
      </w:r>
      <w:r>
        <w:tab/>
      </w:r>
      <w:r w:rsidRPr="00780D7C">
        <w:t xml:space="preserve">Loi fédérale sur la protection de la nature </w:t>
      </w:r>
      <w:r>
        <w:t>et du p</w:t>
      </w:r>
      <w:r w:rsidRPr="00780D7C">
        <w:t>a</w:t>
      </w:r>
      <w:r>
        <w:t>ysage</w:t>
      </w:r>
      <w:r w:rsidRPr="00780D7C">
        <w:t xml:space="preserve">, </w:t>
      </w:r>
      <w:r>
        <w:t>a</w:t>
      </w:r>
      <w:r w:rsidRPr="00780D7C">
        <w:t>rt.</w:t>
      </w:r>
      <w:r>
        <w:t> </w:t>
      </w:r>
      <w:proofErr w:type="spellStart"/>
      <w:r w:rsidRPr="00780D7C">
        <w:t>24</w:t>
      </w:r>
      <w:r w:rsidRPr="00780D7C">
        <w:rPr>
          <w:i/>
        </w:rPr>
        <w:t>a</w:t>
      </w:r>
      <w:proofErr w:type="spellEnd"/>
      <w:r w:rsidRPr="00780D7C">
        <w:t>.</w:t>
      </w:r>
    </w:p>
  </w:footnote>
  <w:footnote w:id="16">
    <w:p w:rsidR="008E65FA" w:rsidRPr="00780D7C" w:rsidRDefault="008E65FA" w:rsidP="008E65FA">
      <w:pPr>
        <w:pStyle w:val="FootnoteText"/>
      </w:pPr>
      <w:r>
        <w:rPr>
          <w:rStyle w:val="FootnoteReference"/>
        </w:rPr>
        <w:footnoteRef/>
      </w:r>
      <w:r w:rsidRPr="00780D7C">
        <w:t xml:space="preserve"> </w:t>
      </w:r>
      <w:r>
        <w:tab/>
      </w:r>
      <w:r w:rsidRPr="00780D7C">
        <w:t>Loi fédérale sur les brevets d</w:t>
      </w:r>
      <w:r>
        <w:t>’</w:t>
      </w:r>
      <w:r w:rsidRPr="00780D7C">
        <w:t>invention, art. </w:t>
      </w:r>
      <w:proofErr w:type="spellStart"/>
      <w:r w:rsidRPr="00780D7C">
        <w:t>81</w:t>
      </w:r>
      <w:proofErr w:type="gramStart"/>
      <w:r w:rsidRPr="00780D7C">
        <w:t>.</w:t>
      </w:r>
      <w:r w:rsidRPr="00780D7C">
        <w:rPr>
          <w:i/>
        </w:rPr>
        <w:t>a</w:t>
      </w:r>
      <w:r>
        <w:t>.</w:t>
      </w:r>
      <w:r w:rsidRPr="00780D7C">
        <w:t>1</w:t>
      </w:r>
      <w:proofErr w:type="spellEnd"/>
      <w:proofErr w:type="gramEnd"/>
      <w:r w:rsidRPr="00780D7C">
        <w:t>).</w:t>
      </w:r>
    </w:p>
  </w:footnote>
  <w:footnote w:id="17">
    <w:p w:rsidR="008E65FA" w:rsidRPr="00780D7C" w:rsidRDefault="008E65FA" w:rsidP="008E65FA">
      <w:pPr>
        <w:pStyle w:val="FootnoteText"/>
      </w:pPr>
      <w:r>
        <w:rPr>
          <w:rStyle w:val="FootnoteReference"/>
        </w:rPr>
        <w:footnoteRef/>
      </w:r>
      <w:r w:rsidRPr="00780D7C">
        <w:t xml:space="preserve"> </w:t>
      </w:r>
      <w:r>
        <w:tab/>
      </w:r>
      <w:r w:rsidRPr="00780D7C">
        <w:t>Loi fédérale sur les brevets d</w:t>
      </w:r>
      <w:r>
        <w:t>’</w:t>
      </w:r>
      <w:r w:rsidRPr="00780D7C">
        <w:t>invention, art. </w:t>
      </w:r>
      <w:proofErr w:type="spellStart"/>
      <w:r w:rsidRPr="00780D7C">
        <w:t>81</w:t>
      </w:r>
      <w:proofErr w:type="gramStart"/>
      <w:r w:rsidRPr="00780D7C">
        <w:t>.</w:t>
      </w:r>
      <w:r w:rsidRPr="00780D7C">
        <w:rPr>
          <w:i/>
        </w:rPr>
        <w:t>a</w:t>
      </w:r>
      <w:r>
        <w:t>.</w:t>
      </w:r>
      <w:r w:rsidRPr="00780D7C">
        <w:t>2</w:t>
      </w:r>
      <w:proofErr w:type="spellEnd"/>
      <w:proofErr w:type="gramEnd"/>
      <w:r w:rsidRPr="00780D7C">
        <w:t>).</w:t>
      </w:r>
    </w:p>
  </w:footnote>
  <w:footnote w:id="18">
    <w:p w:rsidR="008E65FA" w:rsidRPr="00780D7C" w:rsidRDefault="008E65FA" w:rsidP="008E65FA">
      <w:pPr>
        <w:pStyle w:val="FootnoteText"/>
      </w:pPr>
      <w:r>
        <w:rPr>
          <w:rStyle w:val="FootnoteReference"/>
        </w:rPr>
        <w:footnoteRef/>
      </w:r>
      <w:r w:rsidRPr="00780D7C">
        <w:t xml:space="preserve"> </w:t>
      </w:r>
      <w:r>
        <w:tab/>
      </w:r>
      <w:r w:rsidRPr="00780D7C">
        <w:t>Si M. </w:t>
      </w:r>
      <w:proofErr w:type="spellStart"/>
      <w:r w:rsidRPr="00780D7C">
        <w:rPr>
          <w:rFonts w:cs="Calibri"/>
        </w:rPr>
        <w:t>Rinehart</w:t>
      </w:r>
      <w:proofErr w:type="spellEnd"/>
      <w:r w:rsidRPr="00780D7C">
        <w:rPr>
          <w:rFonts w:cs="Calibri"/>
        </w:rPr>
        <w:t xml:space="preserve"> d</w:t>
      </w:r>
      <w:r>
        <w:rPr>
          <w:rFonts w:cs="Calibri"/>
        </w:rPr>
        <w:t>é</w:t>
      </w:r>
      <w:r w:rsidRPr="00780D7C">
        <w:rPr>
          <w:rFonts w:cs="Calibri"/>
        </w:rPr>
        <w:t>pose plusieurs demandes de brevet connexes, par ex</w:t>
      </w:r>
      <w:r>
        <w:rPr>
          <w:rFonts w:cs="Calibri"/>
        </w:rPr>
        <w:t>e</w:t>
      </w:r>
      <w:r w:rsidRPr="00780D7C">
        <w:rPr>
          <w:rFonts w:cs="Calibri"/>
        </w:rPr>
        <w:t xml:space="preserve">mple, </w:t>
      </w:r>
      <w:r>
        <w:rPr>
          <w:rFonts w:cs="Calibri"/>
        </w:rPr>
        <w:t>de multiples</w:t>
      </w:r>
      <w:r w:rsidRPr="00780D7C">
        <w:rPr>
          <w:rFonts w:cs="Calibri"/>
        </w:rPr>
        <w:t xml:space="preserve"> </w:t>
      </w:r>
      <w:r>
        <w:rPr>
          <w:rFonts w:cs="Calibri"/>
        </w:rPr>
        <w:t>brev</w:t>
      </w:r>
      <w:r w:rsidRPr="00780D7C">
        <w:rPr>
          <w:rFonts w:cs="Calibri"/>
        </w:rPr>
        <w:t xml:space="preserve">ets </w:t>
      </w:r>
      <w:r>
        <w:rPr>
          <w:rFonts w:cs="Calibri"/>
        </w:rPr>
        <w:t xml:space="preserve">seraient alors refusés en </w:t>
      </w:r>
      <w:r w:rsidRPr="00780D7C">
        <w:rPr>
          <w:rFonts w:cs="Calibri"/>
        </w:rPr>
        <w:t>S</w:t>
      </w:r>
      <w:r>
        <w:rPr>
          <w:rFonts w:cs="Calibri"/>
        </w:rPr>
        <w:t>u</w:t>
      </w:r>
      <w:r w:rsidRPr="00780D7C">
        <w:rPr>
          <w:rFonts w:cs="Calibri"/>
        </w:rPr>
        <w:t>i</w:t>
      </w:r>
      <w:r>
        <w:rPr>
          <w:rFonts w:cs="Calibri"/>
        </w:rPr>
        <w:t>ss</w:t>
      </w:r>
      <w:r w:rsidRPr="00780D7C">
        <w:rPr>
          <w:rFonts w:cs="Calibri"/>
        </w:rPr>
        <w: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1" w:rsidRDefault="00A848F1" w:rsidP="00477D6B">
    <w:pPr>
      <w:jc w:val="right"/>
    </w:pPr>
    <w:proofErr w:type="spellStart"/>
    <w:r>
      <w:t>WIPO</w:t>
    </w:r>
    <w:proofErr w:type="spellEnd"/>
    <w:r>
      <w:t>/</w:t>
    </w:r>
    <w:proofErr w:type="spellStart"/>
    <w:r>
      <w:t>GRTKF</w:t>
    </w:r>
    <w:proofErr w:type="spellEnd"/>
    <w:r>
      <w:t>/IC/31/8</w:t>
    </w:r>
  </w:p>
  <w:p w:rsidR="00A848F1" w:rsidRDefault="00A848F1" w:rsidP="00477D6B">
    <w:pPr>
      <w:jc w:val="right"/>
    </w:pPr>
    <w:proofErr w:type="gramStart"/>
    <w:r>
      <w:t>page</w:t>
    </w:r>
    <w:proofErr w:type="gramEnd"/>
    <w:r>
      <w:t xml:space="preserve"> </w:t>
    </w:r>
    <w:r>
      <w:fldChar w:fldCharType="begin"/>
    </w:r>
    <w:r>
      <w:instrText xml:space="preserve"> PAGE  \* MERGEFORMAT </w:instrText>
    </w:r>
    <w:r>
      <w:fldChar w:fldCharType="separate"/>
    </w:r>
    <w:r w:rsidR="005641A8">
      <w:rPr>
        <w:noProof/>
      </w:rPr>
      <w:t>2</w:t>
    </w:r>
    <w:r>
      <w:fldChar w:fldCharType="end"/>
    </w:r>
  </w:p>
  <w:p w:rsidR="00A848F1" w:rsidRDefault="00A848F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1" w:rsidRPr="003436A0" w:rsidRDefault="00A848F1" w:rsidP="00464114">
    <w:pPr>
      <w:pStyle w:val="Header"/>
      <w:jc w:val="right"/>
      <w:rPr>
        <w:lang w:val="fr-FR"/>
      </w:rPr>
    </w:pPr>
    <w:r w:rsidRPr="003436A0">
      <w:rPr>
        <w:lang w:val="fr-FR"/>
      </w:rPr>
      <w:t>WIPO/GRTKF/IC/31/8</w:t>
    </w:r>
  </w:p>
  <w:p w:rsidR="00A848F1" w:rsidRPr="003436A0" w:rsidRDefault="00A848F1">
    <w:pPr>
      <w:pStyle w:val="Header"/>
      <w:jc w:val="right"/>
      <w:rPr>
        <w:lang w:val="fr-FR"/>
      </w:rPr>
    </w:pPr>
    <w:r>
      <w:rPr>
        <w:lang w:val="fr-FR"/>
      </w:rPr>
      <w:t>Annexe</w:t>
    </w:r>
    <w:r w:rsidRPr="003436A0">
      <w:rPr>
        <w:lang w:val="fr-FR"/>
      </w:rPr>
      <w:t xml:space="preserve">, page </w:t>
    </w:r>
    <w:r>
      <w:fldChar w:fldCharType="begin"/>
    </w:r>
    <w:r w:rsidRPr="003436A0">
      <w:rPr>
        <w:lang w:val="fr-FR"/>
      </w:rPr>
      <w:instrText xml:space="preserve"> PAGE   \* MERGEFORMAT </w:instrText>
    </w:r>
    <w:r>
      <w:fldChar w:fldCharType="separate"/>
    </w:r>
    <w:r w:rsidR="005641A8">
      <w:rPr>
        <w:noProof/>
        <w:lang w:val="fr-FR"/>
      </w:rPr>
      <w:t>13</w:t>
    </w:r>
    <w:r>
      <w:rPr>
        <w:noProof/>
      </w:rPr>
      <w:fldChar w:fldCharType="end"/>
    </w:r>
  </w:p>
  <w:p w:rsidR="00A848F1" w:rsidRPr="003436A0" w:rsidRDefault="00A848F1"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1" w:rsidRDefault="00A848F1" w:rsidP="00D00A34">
    <w:pPr>
      <w:pStyle w:val="Header"/>
      <w:jc w:val="right"/>
    </w:pPr>
    <w:proofErr w:type="spellStart"/>
    <w:r>
      <w:t>WIPO</w:t>
    </w:r>
    <w:proofErr w:type="spellEnd"/>
    <w:r>
      <w:t>/</w:t>
    </w:r>
    <w:proofErr w:type="spellStart"/>
    <w:r>
      <w:t>GRTKF</w:t>
    </w:r>
    <w:proofErr w:type="spellEnd"/>
    <w:r>
      <w:t>/IC/31/8</w:t>
    </w:r>
  </w:p>
  <w:p w:rsidR="00A848F1" w:rsidRDefault="00A848F1" w:rsidP="00D00A34">
    <w:pPr>
      <w:pStyle w:val="Header"/>
      <w:jc w:val="right"/>
    </w:pPr>
    <w:r>
      <w:t>ANNEXE</w:t>
    </w:r>
  </w:p>
  <w:p w:rsidR="00A848F1" w:rsidRDefault="00A848F1" w:rsidP="00D00A3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1" w:rsidRPr="003436A0" w:rsidRDefault="00A848F1" w:rsidP="00464114">
    <w:pPr>
      <w:pStyle w:val="Header"/>
      <w:jc w:val="right"/>
      <w:rPr>
        <w:lang w:val="fr-FR"/>
      </w:rPr>
    </w:pPr>
    <w:r w:rsidRPr="003436A0">
      <w:rPr>
        <w:lang w:val="fr-FR"/>
      </w:rPr>
      <w:t>WIPO/GRTKF/IC/31/8</w:t>
    </w:r>
  </w:p>
  <w:p w:rsidR="00A848F1" w:rsidRPr="003436A0" w:rsidRDefault="00A848F1">
    <w:pPr>
      <w:pStyle w:val="Header"/>
      <w:jc w:val="right"/>
      <w:rPr>
        <w:lang w:val="fr-FR"/>
      </w:rPr>
    </w:pPr>
    <w:r>
      <w:rPr>
        <w:lang w:val="fr-FR"/>
      </w:rPr>
      <w:t>Appendice</w:t>
    </w:r>
    <w:r w:rsidRPr="003436A0">
      <w:rPr>
        <w:lang w:val="fr-FR"/>
      </w:rPr>
      <w:t xml:space="preserve"> </w:t>
    </w:r>
    <w:r>
      <w:rPr>
        <w:lang w:val="fr-FR"/>
      </w:rPr>
      <w:t>1</w:t>
    </w:r>
    <w:r w:rsidRPr="003436A0">
      <w:rPr>
        <w:lang w:val="fr-FR"/>
      </w:rPr>
      <w:t xml:space="preserve">, page </w:t>
    </w:r>
    <w:r>
      <w:fldChar w:fldCharType="begin"/>
    </w:r>
    <w:r w:rsidRPr="003436A0">
      <w:rPr>
        <w:lang w:val="fr-FR"/>
      </w:rPr>
      <w:instrText xml:space="preserve"> PAGE   \* MERGEFORMAT </w:instrText>
    </w:r>
    <w:r>
      <w:fldChar w:fldCharType="separate"/>
    </w:r>
    <w:r w:rsidR="005641A8">
      <w:rPr>
        <w:noProof/>
        <w:lang w:val="fr-FR"/>
      </w:rPr>
      <w:t>2</w:t>
    </w:r>
    <w:r>
      <w:rPr>
        <w:noProof/>
      </w:rPr>
      <w:fldChar w:fldCharType="end"/>
    </w:r>
  </w:p>
  <w:p w:rsidR="00A848F1" w:rsidRPr="003436A0" w:rsidRDefault="00A848F1"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1" w:rsidRDefault="00A848F1" w:rsidP="00D00A34">
    <w:pPr>
      <w:pStyle w:val="Header"/>
      <w:jc w:val="right"/>
    </w:pPr>
    <w:proofErr w:type="spellStart"/>
    <w:r>
      <w:t>WIPO</w:t>
    </w:r>
    <w:proofErr w:type="spellEnd"/>
    <w:r>
      <w:t>/</w:t>
    </w:r>
    <w:proofErr w:type="spellStart"/>
    <w:r>
      <w:t>GRTKF</w:t>
    </w:r>
    <w:proofErr w:type="spellEnd"/>
    <w:r>
      <w:t>/IC/31/8</w:t>
    </w:r>
  </w:p>
  <w:p w:rsidR="00A848F1" w:rsidRDefault="00A848F1" w:rsidP="00D00A34">
    <w:pPr>
      <w:pStyle w:val="Header"/>
      <w:jc w:val="right"/>
    </w:pPr>
    <w:r>
      <w:t>APPENDICE 1</w:t>
    </w:r>
  </w:p>
  <w:p w:rsidR="00A848F1" w:rsidRDefault="00A848F1" w:rsidP="00D00A3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1" w:rsidRPr="003436A0" w:rsidRDefault="00A848F1" w:rsidP="00464114">
    <w:pPr>
      <w:pStyle w:val="Header"/>
      <w:jc w:val="right"/>
      <w:rPr>
        <w:lang w:val="fr-FR"/>
      </w:rPr>
    </w:pPr>
    <w:r w:rsidRPr="003436A0">
      <w:rPr>
        <w:lang w:val="fr-FR"/>
      </w:rPr>
      <w:t>WIPO/GRTKF/IC/31/8</w:t>
    </w:r>
  </w:p>
  <w:p w:rsidR="00A848F1" w:rsidRPr="003436A0" w:rsidRDefault="00A848F1">
    <w:pPr>
      <w:pStyle w:val="Header"/>
      <w:jc w:val="right"/>
      <w:rPr>
        <w:lang w:val="fr-FR"/>
      </w:rPr>
    </w:pPr>
    <w:r w:rsidRPr="003436A0">
      <w:rPr>
        <w:lang w:val="fr-FR"/>
      </w:rPr>
      <w:t>Appendi</w:t>
    </w:r>
    <w:r>
      <w:rPr>
        <w:lang w:val="fr-FR"/>
      </w:rPr>
      <w:t>ce</w:t>
    </w:r>
    <w:r w:rsidRPr="003436A0">
      <w:rPr>
        <w:lang w:val="fr-FR"/>
      </w:rPr>
      <w:t xml:space="preserve"> </w:t>
    </w:r>
    <w:r>
      <w:rPr>
        <w:lang w:val="fr-FR"/>
      </w:rPr>
      <w:t>2</w:t>
    </w:r>
    <w:r w:rsidRPr="003436A0">
      <w:rPr>
        <w:lang w:val="fr-FR"/>
      </w:rPr>
      <w:t xml:space="preserve">, page </w:t>
    </w:r>
    <w:r>
      <w:fldChar w:fldCharType="begin"/>
    </w:r>
    <w:r w:rsidRPr="003436A0">
      <w:rPr>
        <w:lang w:val="fr-FR"/>
      </w:rPr>
      <w:instrText xml:space="preserve"> PAGE   \* MERGEFORMAT </w:instrText>
    </w:r>
    <w:r>
      <w:fldChar w:fldCharType="separate"/>
    </w:r>
    <w:r w:rsidR="005641A8">
      <w:rPr>
        <w:noProof/>
        <w:lang w:val="fr-FR"/>
      </w:rPr>
      <w:t>14</w:t>
    </w:r>
    <w:r>
      <w:rPr>
        <w:noProof/>
      </w:rPr>
      <w:fldChar w:fldCharType="end"/>
    </w:r>
  </w:p>
  <w:p w:rsidR="00A848F1" w:rsidRPr="003436A0" w:rsidRDefault="00A848F1" w:rsidP="00477D6B">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8F1" w:rsidRPr="00332F2C" w:rsidRDefault="00A848F1" w:rsidP="00D00A34">
    <w:pPr>
      <w:pStyle w:val="Header"/>
      <w:jc w:val="right"/>
      <w:rPr>
        <w:lang w:val="fr-FR"/>
      </w:rPr>
    </w:pPr>
    <w:r w:rsidRPr="00332F2C">
      <w:rPr>
        <w:lang w:val="fr-FR"/>
      </w:rPr>
      <w:t>WIPO/GRTKF/IC/31/8</w:t>
    </w:r>
  </w:p>
  <w:p w:rsidR="00A848F1" w:rsidRPr="00332F2C" w:rsidRDefault="00A848F1" w:rsidP="00D00A34">
    <w:pPr>
      <w:pStyle w:val="Header"/>
      <w:jc w:val="right"/>
      <w:rPr>
        <w:lang w:val="fr-FR"/>
      </w:rPr>
    </w:pPr>
    <w:r w:rsidRPr="00332F2C">
      <w:rPr>
        <w:lang w:val="fr-FR"/>
      </w:rPr>
      <w:t>APPENDICE 2</w:t>
    </w:r>
  </w:p>
  <w:p w:rsidR="00A848F1" w:rsidRPr="00332F2C" w:rsidRDefault="00A848F1" w:rsidP="00D00A34">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5.45pt;height:.55pt" o:bullet="t">
        <v:imagedata r:id="rId1" o:title=""/>
      </v:shape>
    </w:pict>
  </w:numPicBullet>
  <w:abstractNum w:abstractNumId="0">
    <w:nsid w:val="F95903CC"/>
    <w:multiLevelType w:val="hybridMultilevel"/>
    <w:tmpl w:val="166724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2FD4C62"/>
    <w:multiLevelType w:val="multilevel"/>
    <w:tmpl w:val="11A2DE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7">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9">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D9755CE"/>
    <w:multiLevelType w:val="hybridMultilevel"/>
    <w:tmpl w:val="4D727078"/>
    <w:lvl w:ilvl="0" w:tplc="2A52E0EA">
      <w:start w:val="1"/>
      <w:numFmt w:val="upperRoman"/>
      <w:pStyle w:val="Heading1"/>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4">
    <w:nsid w:val="271F1B33"/>
    <w:multiLevelType w:val="hybridMultilevel"/>
    <w:tmpl w:val="9EDE4430"/>
    <w:lvl w:ilvl="0" w:tplc="6B7C0762">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9">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2">
    <w:nsid w:val="4AE43FD1"/>
    <w:multiLevelType w:val="multilevel"/>
    <w:tmpl w:val="F29A925A"/>
    <w:lvl w:ilvl="0">
      <w:start w:val="1"/>
      <w:numFmt w:val="bullet"/>
      <w:lvlText w:val=""/>
      <w:lvlJc w:val="left"/>
      <w:pPr>
        <w:tabs>
          <w:tab w:val="num" w:pos="567"/>
        </w:tabs>
        <w:ind w:left="0" w:firstLine="0"/>
      </w:pPr>
      <w:rPr>
        <w:rFonts w:ascii="Symbol" w:hAnsi="Symbol"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52956019"/>
    <w:multiLevelType w:val="multilevel"/>
    <w:tmpl w:val="F29A925A"/>
    <w:lvl w:ilvl="0">
      <w:start w:val="1"/>
      <w:numFmt w:val="bullet"/>
      <w:lvlText w:val=""/>
      <w:lvlJc w:val="left"/>
      <w:pPr>
        <w:tabs>
          <w:tab w:val="num" w:pos="567"/>
        </w:tabs>
        <w:ind w:left="0" w:firstLine="0"/>
      </w:pPr>
      <w:rPr>
        <w:rFonts w:ascii="Symbol" w:hAnsi="Symbol"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8">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nsid w:val="6A7E3A17"/>
    <w:multiLevelType w:val="multilevel"/>
    <w:tmpl w:val="F29A925A"/>
    <w:lvl w:ilvl="0">
      <w:start w:val="1"/>
      <w:numFmt w:val="bullet"/>
      <w:lvlText w:val=""/>
      <w:lvlJc w:val="left"/>
      <w:pPr>
        <w:tabs>
          <w:tab w:val="num" w:pos="567"/>
        </w:tabs>
        <w:ind w:left="0" w:firstLine="0"/>
      </w:pPr>
      <w:rPr>
        <w:rFonts w:ascii="Symbol" w:hAnsi="Symbol"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2">
    <w:nsid w:val="6CCC1BBD"/>
    <w:multiLevelType w:val="multilevel"/>
    <w:tmpl w:val="B72EDBB6"/>
    <w:lvl w:ilvl="0">
      <w:start w:val="1"/>
      <w:numFmt w:val="decimal"/>
      <w:lvlRestart w:val="0"/>
      <w:lvlText w:val="%1."/>
      <w:lvlJc w:val="left"/>
      <w:pPr>
        <w:tabs>
          <w:tab w:val="num" w:pos="567"/>
        </w:tabs>
        <w:ind w:left="0" w:firstLine="0"/>
      </w:pPr>
      <w:rPr>
        <w:rFonts w:hint="default"/>
      </w:rPr>
    </w:lvl>
    <w:lvl w:ilvl="1">
      <w:start w:val="1"/>
      <w:numFmt w:val="decimal"/>
      <w:lvlText w:val="%2."/>
      <w:lvlJc w:val="left"/>
      <w:pPr>
        <w:tabs>
          <w:tab w:val="num" w:pos="1134"/>
        </w:tabs>
        <w:ind w:left="567" w:firstLine="0"/>
      </w:pPr>
      <w:rPr>
        <w:rFonts w:hint="default"/>
        <w:color w:val="auto"/>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4">
    <w:nsid w:val="74AE78D1"/>
    <w:multiLevelType w:val="multilevel"/>
    <w:tmpl w:val="11A2DE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AF2585F"/>
    <w:multiLevelType w:val="hybridMultilevel"/>
    <w:tmpl w:val="842867CC"/>
    <w:lvl w:ilvl="0" w:tplc="81DEA4CA">
      <w:start w:val="1"/>
      <w:numFmt w:val="bullet"/>
      <w:lvlText w:val=""/>
      <w:lvlJc w:val="left"/>
      <w:pPr>
        <w:ind w:left="1134"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nsid w:val="7BCB63FE"/>
    <w:multiLevelType w:val="hybridMultilevel"/>
    <w:tmpl w:val="1C88E606"/>
    <w:lvl w:ilvl="0" w:tplc="AA30679C">
      <w:start w:val="1"/>
      <w:numFmt w:val="bullet"/>
      <w:lvlText w:val=""/>
      <w:lvlJc w:val="left"/>
      <w:pPr>
        <w:ind w:left="567" w:hanging="56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2"/>
  </w:num>
  <w:num w:numId="4">
    <w:abstractNumId w:val="17"/>
  </w:num>
  <w:num w:numId="5">
    <w:abstractNumId w:val="11"/>
  </w:num>
  <w:num w:numId="6">
    <w:abstractNumId w:val="21"/>
  </w:num>
  <w:num w:numId="7">
    <w:abstractNumId w:val="20"/>
  </w:num>
  <w:num w:numId="8">
    <w:abstractNumId w:val="7"/>
  </w:num>
  <w:num w:numId="9">
    <w:abstractNumId w:val="16"/>
  </w:num>
  <w:num w:numId="10">
    <w:abstractNumId w:val="19"/>
  </w:num>
  <w:num w:numId="11">
    <w:abstractNumId w:val="4"/>
  </w:num>
  <w:num w:numId="12">
    <w:abstractNumId w:val="30"/>
  </w:num>
  <w:num w:numId="13">
    <w:abstractNumId w:val="28"/>
  </w:num>
  <w:num w:numId="14">
    <w:abstractNumId w:val="10"/>
  </w:num>
  <w:num w:numId="15">
    <w:abstractNumId w:val="36"/>
  </w:num>
  <w:num w:numId="16">
    <w:abstractNumId w:val="25"/>
  </w:num>
  <w:num w:numId="17">
    <w:abstractNumId w:val="15"/>
  </w:num>
  <w:num w:numId="18">
    <w:abstractNumId w:val="5"/>
  </w:num>
  <w:num w:numId="19">
    <w:abstractNumId w:val="23"/>
  </w:num>
  <w:num w:numId="20">
    <w:abstractNumId w:val="13"/>
  </w:num>
  <w:num w:numId="21">
    <w:abstractNumId w:val="33"/>
  </w:num>
  <w:num w:numId="22">
    <w:abstractNumId w:val="6"/>
  </w:num>
  <w:num w:numId="23">
    <w:abstractNumId w:val="8"/>
  </w:num>
  <w:num w:numId="24">
    <w:abstractNumId w:val="27"/>
  </w:num>
  <w:num w:numId="25">
    <w:abstractNumId w:val="29"/>
  </w:num>
  <w:num w:numId="26">
    <w:abstractNumId w:val="18"/>
  </w:num>
  <w:num w:numId="27">
    <w:abstractNumId w:val="9"/>
  </w:num>
  <w:num w:numId="28">
    <w:abstractNumId w:val="24"/>
  </w:num>
  <w:num w:numId="29">
    <w:abstractNumId w:val="3"/>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0"/>
  </w:num>
  <w:num w:numId="36">
    <w:abstractNumId w:val="2"/>
  </w:num>
  <w:num w:numId="37">
    <w:abstractNumId w:val="34"/>
  </w:num>
  <w:num w:numId="38">
    <w:abstractNumId w:val="32"/>
  </w:num>
  <w:num w:numId="39">
    <w:abstractNumId w:val="35"/>
  </w:num>
  <w:num w:numId="40">
    <w:abstractNumId w:val="14"/>
  </w:num>
  <w:num w:numId="41">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ABF"/>
    <w:rsid w:val="00014CD3"/>
    <w:rsid w:val="000162EF"/>
    <w:rsid w:val="000222F7"/>
    <w:rsid w:val="0002566E"/>
    <w:rsid w:val="000260AD"/>
    <w:rsid w:val="00031A5D"/>
    <w:rsid w:val="000348E8"/>
    <w:rsid w:val="0003779D"/>
    <w:rsid w:val="000401D5"/>
    <w:rsid w:val="00043CAA"/>
    <w:rsid w:val="00045ED4"/>
    <w:rsid w:val="00051423"/>
    <w:rsid w:val="0005652D"/>
    <w:rsid w:val="00073C22"/>
    <w:rsid w:val="00075432"/>
    <w:rsid w:val="00081236"/>
    <w:rsid w:val="00085F8E"/>
    <w:rsid w:val="000876D1"/>
    <w:rsid w:val="00092C98"/>
    <w:rsid w:val="000968ED"/>
    <w:rsid w:val="000A0BFB"/>
    <w:rsid w:val="000A4338"/>
    <w:rsid w:val="000A518D"/>
    <w:rsid w:val="000B55BD"/>
    <w:rsid w:val="000C4360"/>
    <w:rsid w:val="000D10D9"/>
    <w:rsid w:val="000D4534"/>
    <w:rsid w:val="000D573B"/>
    <w:rsid w:val="000D74B4"/>
    <w:rsid w:val="000E7A6E"/>
    <w:rsid w:val="000F5E56"/>
    <w:rsid w:val="001056D5"/>
    <w:rsid w:val="00133655"/>
    <w:rsid w:val="001362EE"/>
    <w:rsid w:val="00140CF9"/>
    <w:rsid w:val="001439AC"/>
    <w:rsid w:val="001454B1"/>
    <w:rsid w:val="00145E6D"/>
    <w:rsid w:val="00147D71"/>
    <w:rsid w:val="00150171"/>
    <w:rsid w:val="00152104"/>
    <w:rsid w:val="0015324F"/>
    <w:rsid w:val="0015560F"/>
    <w:rsid w:val="00156CC6"/>
    <w:rsid w:val="00161381"/>
    <w:rsid w:val="00170099"/>
    <w:rsid w:val="001832A6"/>
    <w:rsid w:val="00184A9F"/>
    <w:rsid w:val="00185912"/>
    <w:rsid w:val="00190616"/>
    <w:rsid w:val="0019339C"/>
    <w:rsid w:val="0019354E"/>
    <w:rsid w:val="001A450D"/>
    <w:rsid w:val="001B504F"/>
    <w:rsid w:val="001B5C0D"/>
    <w:rsid w:val="001B7C9D"/>
    <w:rsid w:val="001C5A1A"/>
    <w:rsid w:val="001D0F1E"/>
    <w:rsid w:val="001D3059"/>
    <w:rsid w:val="001D683B"/>
    <w:rsid w:val="001E552A"/>
    <w:rsid w:val="001E6774"/>
    <w:rsid w:val="00221CA1"/>
    <w:rsid w:val="00225026"/>
    <w:rsid w:val="00235FDB"/>
    <w:rsid w:val="002450FD"/>
    <w:rsid w:val="00245BA1"/>
    <w:rsid w:val="002529C0"/>
    <w:rsid w:val="00253AFF"/>
    <w:rsid w:val="002604EE"/>
    <w:rsid w:val="0026166F"/>
    <w:rsid w:val="002634C4"/>
    <w:rsid w:val="00271750"/>
    <w:rsid w:val="002738E8"/>
    <w:rsid w:val="00274EB7"/>
    <w:rsid w:val="00275775"/>
    <w:rsid w:val="002759BA"/>
    <w:rsid w:val="00277EAC"/>
    <w:rsid w:val="00280172"/>
    <w:rsid w:val="00285976"/>
    <w:rsid w:val="002928D3"/>
    <w:rsid w:val="002929BB"/>
    <w:rsid w:val="002A4474"/>
    <w:rsid w:val="002B798E"/>
    <w:rsid w:val="002C070E"/>
    <w:rsid w:val="002C5FAA"/>
    <w:rsid w:val="002C6651"/>
    <w:rsid w:val="002D4704"/>
    <w:rsid w:val="002F1FE6"/>
    <w:rsid w:val="002F4E68"/>
    <w:rsid w:val="00300EB7"/>
    <w:rsid w:val="00306E35"/>
    <w:rsid w:val="00312F7F"/>
    <w:rsid w:val="003228B7"/>
    <w:rsid w:val="0032500F"/>
    <w:rsid w:val="00334167"/>
    <w:rsid w:val="003344BE"/>
    <w:rsid w:val="00341B18"/>
    <w:rsid w:val="003436A0"/>
    <w:rsid w:val="00345FD5"/>
    <w:rsid w:val="00357C98"/>
    <w:rsid w:val="00364D16"/>
    <w:rsid w:val="003673CF"/>
    <w:rsid w:val="003716CD"/>
    <w:rsid w:val="00380888"/>
    <w:rsid w:val="0038134B"/>
    <w:rsid w:val="003845C1"/>
    <w:rsid w:val="00391E9B"/>
    <w:rsid w:val="003931FA"/>
    <w:rsid w:val="00395709"/>
    <w:rsid w:val="00396772"/>
    <w:rsid w:val="003A6F89"/>
    <w:rsid w:val="003B38C1"/>
    <w:rsid w:val="003B67D8"/>
    <w:rsid w:val="003C79A2"/>
    <w:rsid w:val="003D168D"/>
    <w:rsid w:val="003D509F"/>
    <w:rsid w:val="003E7861"/>
    <w:rsid w:val="00400AED"/>
    <w:rsid w:val="0040701A"/>
    <w:rsid w:val="00410AD9"/>
    <w:rsid w:val="00412468"/>
    <w:rsid w:val="00423E3E"/>
    <w:rsid w:val="00427AF4"/>
    <w:rsid w:val="0043096D"/>
    <w:rsid w:val="00432FDB"/>
    <w:rsid w:val="004400E2"/>
    <w:rsid w:val="00445FC8"/>
    <w:rsid w:val="00451E58"/>
    <w:rsid w:val="0045235A"/>
    <w:rsid w:val="004573E2"/>
    <w:rsid w:val="004603D8"/>
    <w:rsid w:val="00464114"/>
    <w:rsid w:val="004647DA"/>
    <w:rsid w:val="00467F20"/>
    <w:rsid w:val="00472F88"/>
    <w:rsid w:val="00474062"/>
    <w:rsid w:val="00475F47"/>
    <w:rsid w:val="0047670F"/>
    <w:rsid w:val="00477D6B"/>
    <w:rsid w:val="00492820"/>
    <w:rsid w:val="004A0B90"/>
    <w:rsid w:val="004A2391"/>
    <w:rsid w:val="004C23DB"/>
    <w:rsid w:val="004C5AA2"/>
    <w:rsid w:val="004C74F7"/>
    <w:rsid w:val="004E33EC"/>
    <w:rsid w:val="004F43E3"/>
    <w:rsid w:val="004F4FC1"/>
    <w:rsid w:val="00511F1C"/>
    <w:rsid w:val="00513EAC"/>
    <w:rsid w:val="0052293D"/>
    <w:rsid w:val="00524FCD"/>
    <w:rsid w:val="005260CD"/>
    <w:rsid w:val="0053057A"/>
    <w:rsid w:val="00541575"/>
    <w:rsid w:val="005504B2"/>
    <w:rsid w:val="00555B1F"/>
    <w:rsid w:val="00560A29"/>
    <w:rsid w:val="00561A27"/>
    <w:rsid w:val="005641A8"/>
    <w:rsid w:val="00565E48"/>
    <w:rsid w:val="00573318"/>
    <w:rsid w:val="00580A55"/>
    <w:rsid w:val="00585E88"/>
    <w:rsid w:val="00586CC9"/>
    <w:rsid w:val="00595945"/>
    <w:rsid w:val="005A0462"/>
    <w:rsid w:val="005B2B8F"/>
    <w:rsid w:val="005F255F"/>
    <w:rsid w:val="005F2E15"/>
    <w:rsid w:val="005F4448"/>
    <w:rsid w:val="00605827"/>
    <w:rsid w:val="0060780A"/>
    <w:rsid w:val="00612600"/>
    <w:rsid w:val="006151B6"/>
    <w:rsid w:val="00617DEC"/>
    <w:rsid w:val="0063126A"/>
    <w:rsid w:val="00633A68"/>
    <w:rsid w:val="00641DA3"/>
    <w:rsid w:val="00642C66"/>
    <w:rsid w:val="00643AE7"/>
    <w:rsid w:val="00646050"/>
    <w:rsid w:val="0065025B"/>
    <w:rsid w:val="006613DF"/>
    <w:rsid w:val="00662C49"/>
    <w:rsid w:val="00663332"/>
    <w:rsid w:val="00664050"/>
    <w:rsid w:val="00664B62"/>
    <w:rsid w:val="00665105"/>
    <w:rsid w:val="006674E3"/>
    <w:rsid w:val="006713CA"/>
    <w:rsid w:val="0067493D"/>
    <w:rsid w:val="00675FAD"/>
    <w:rsid w:val="00676C5C"/>
    <w:rsid w:val="00676C94"/>
    <w:rsid w:val="00681AD7"/>
    <w:rsid w:val="00694E7B"/>
    <w:rsid w:val="00695681"/>
    <w:rsid w:val="006A093B"/>
    <w:rsid w:val="006A13D8"/>
    <w:rsid w:val="006A4A89"/>
    <w:rsid w:val="006A6F25"/>
    <w:rsid w:val="006C13EE"/>
    <w:rsid w:val="006D4B11"/>
    <w:rsid w:val="006D5B3F"/>
    <w:rsid w:val="006E0538"/>
    <w:rsid w:val="006E6C1B"/>
    <w:rsid w:val="006F0F81"/>
    <w:rsid w:val="00701518"/>
    <w:rsid w:val="00703D69"/>
    <w:rsid w:val="007058FB"/>
    <w:rsid w:val="00714D7D"/>
    <w:rsid w:val="007260EB"/>
    <w:rsid w:val="00733540"/>
    <w:rsid w:val="00733BA3"/>
    <w:rsid w:val="00741FF1"/>
    <w:rsid w:val="00745622"/>
    <w:rsid w:val="007549A4"/>
    <w:rsid w:val="0076690D"/>
    <w:rsid w:val="00776C0D"/>
    <w:rsid w:val="00780041"/>
    <w:rsid w:val="007A56BE"/>
    <w:rsid w:val="007B2186"/>
    <w:rsid w:val="007B2431"/>
    <w:rsid w:val="007B3A36"/>
    <w:rsid w:val="007B6945"/>
    <w:rsid w:val="007B6A58"/>
    <w:rsid w:val="007B79A5"/>
    <w:rsid w:val="007D1613"/>
    <w:rsid w:val="007D3A46"/>
    <w:rsid w:val="007D5CB4"/>
    <w:rsid w:val="007E4472"/>
    <w:rsid w:val="007F00CD"/>
    <w:rsid w:val="007F1AEC"/>
    <w:rsid w:val="007F30F2"/>
    <w:rsid w:val="007F48A4"/>
    <w:rsid w:val="00806396"/>
    <w:rsid w:val="008077F9"/>
    <w:rsid w:val="008078F6"/>
    <w:rsid w:val="008157FA"/>
    <w:rsid w:val="00832C2D"/>
    <w:rsid w:val="00834622"/>
    <w:rsid w:val="00837C6D"/>
    <w:rsid w:val="00840A38"/>
    <w:rsid w:val="00851237"/>
    <w:rsid w:val="0085436D"/>
    <w:rsid w:val="008568D0"/>
    <w:rsid w:val="00863099"/>
    <w:rsid w:val="00865C86"/>
    <w:rsid w:val="00886B4A"/>
    <w:rsid w:val="008A0427"/>
    <w:rsid w:val="008B2CC1"/>
    <w:rsid w:val="008B4B69"/>
    <w:rsid w:val="008B60B2"/>
    <w:rsid w:val="008C3955"/>
    <w:rsid w:val="008C3E32"/>
    <w:rsid w:val="008C53FB"/>
    <w:rsid w:val="008D1BBC"/>
    <w:rsid w:val="008D207F"/>
    <w:rsid w:val="008E233D"/>
    <w:rsid w:val="008E65FA"/>
    <w:rsid w:val="008E66FF"/>
    <w:rsid w:val="008F6BB2"/>
    <w:rsid w:val="008F7585"/>
    <w:rsid w:val="008F7B51"/>
    <w:rsid w:val="009050DD"/>
    <w:rsid w:val="0090731E"/>
    <w:rsid w:val="00916EE2"/>
    <w:rsid w:val="00933075"/>
    <w:rsid w:val="00936BA3"/>
    <w:rsid w:val="009415F8"/>
    <w:rsid w:val="00946305"/>
    <w:rsid w:val="009504D6"/>
    <w:rsid w:val="00951DE8"/>
    <w:rsid w:val="00954C37"/>
    <w:rsid w:val="00966A22"/>
    <w:rsid w:val="0096722F"/>
    <w:rsid w:val="009708EB"/>
    <w:rsid w:val="00974828"/>
    <w:rsid w:val="009764CD"/>
    <w:rsid w:val="0097664F"/>
    <w:rsid w:val="00980843"/>
    <w:rsid w:val="00986633"/>
    <w:rsid w:val="00993B20"/>
    <w:rsid w:val="00994C17"/>
    <w:rsid w:val="009A1BB2"/>
    <w:rsid w:val="009A45AA"/>
    <w:rsid w:val="009C1EDE"/>
    <w:rsid w:val="009D3A50"/>
    <w:rsid w:val="009E04BD"/>
    <w:rsid w:val="009E2791"/>
    <w:rsid w:val="009E3F6F"/>
    <w:rsid w:val="009E6164"/>
    <w:rsid w:val="009F499F"/>
    <w:rsid w:val="009F4A6B"/>
    <w:rsid w:val="00A04454"/>
    <w:rsid w:val="00A07EA3"/>
    <w:rsid w:val="00A11853"/>
    <w:rsid w:val="00A13F73"/>
    <w:rsid w:val="00A24328"/>
    <w:rsid w:val="00A27507"/>
    <w:rsid w:val="00A401D3"/>
    <w:rsid w:val="00A42DAF"/>
    <w:rsid w:val="00A45BD8"/>
    <w:rsid w:val="00A5041B"/>
    <w:rsid w:val="00A54374"/>
    <w:rsid w:val="00A63DDD"/>
    <w:rsid w:val="00A65621"/>
    <w:rsid w:val="00A67813"/>
    <w:rsid w:val="00A74EC0"/>
    <w:rsid w:val="00A75B31"/>
    <w:rsid w:val="00A75C22"/>
    <w:rsid w:val="00A848F1"/>
    <w:rsid w:val="00A85B8E"/>
    <w:rsid w:val="00A87AFF"/>
    <w:rsid w:val="00A941CC"/>
    <w:rsid w:val="00A9713D"/>
    <w:rsid w:val="00AA3281"/>
    <w:rsid w:val="00AA4AC6"/>
    <w:rsid w:val="00AC04DA"/>
    <w:rsid w:val="00AC205C"/>
    <w:rsid w:val="00AD5076"/>
    <w:rsid w:val="00AD6271"/>
    <w:rsid w:val="00AD725E"/>
    <w:rsid w:val="00AD7CEE"/>
    <w:rsid w:val="00AF6F3B"/>
    <w:rsid w:val="00AF79FD"/>
    <w:rsid w:val="00B05A69"/>
    <w:rsid w:val="00B0724A"/>
    <w:rsid w:val="00B20A6D"/>
    <w:rsid w:val="00B23D16"/>
    <w:rsid w:val="00B259D8"/>
    <w:rsid w:val="00B357C9"/>
    <w:rsid w:val="00B62A81"/>
    <w:rsid w:val="00B62F02"/>
    <w:rsid w:val="00B631AD"/>
    <w:rsid w:val="00B763A7"/>
    <w:rsid w:val="00B87BF6"/>
    <w:rsid w:val="00B9116B"/>
    <w:rsid w:val="00B96FF9"/>
    <w:rsid w:val="00B9734B"/>
    <w:rsid w:val="00BC35F6"/>
    <w:rsid w:val="00BD142E"/>
    <w:rsid w:val="00BD3661"/>
    <w:rsid w:val="00C00149"/>
    <w:rsid w:val="00C050B5"/>
    <w:rsid w:val="00C11BFE"/>
    <w:rsid w:val="00C1456A"/>
    <w:rsid w:val="00C25D62"/>
    <w:rsid w:val="00C330CA"/>
    <w:rsid w:val="00C33E76"/>
    <w:rsid w:val="00C515E3"/>
    <w:rsid w:val="00C53DB3"/>
    <w:rsid w:val="00C5543C"/>
    <w:rsid w:val="00C624C1"/>
    <w:rsid w:val="00C636D4"/>
    <w:rsid w:val="00C6490C"/>
    <w:rsid w:val="00C67326"/>
    <w:rsid w:val="00C7008E"/>
    <w:rsid w:val="00C71C81"/>
    <w:rsid w:val="00C77FA8"/>
    <w:rsid w:val="00C804C9"/>
    <w:rsid w:val="00C94629"/>
    <w:rsid w:val="00C97EE7"/>
    <w:rsid w:val="00CA241E"/>
    <w:rsid w:val="00CA4241"/>
    <w:rsid w:val="00CB0FA7"/>
    <w:rsid w:val="00CB5D4B"/>
    <w:rsid w:val="00CC301F"/>
    <w:rsid w:val="00CC59DE"/>
    <w:rsid w:val="00CD32BD"/>
    <w:rsid w:val="00CD5028"/>
    <w:rsid w:val="00CD5231"/>
    <w:rsid w:val="00CD65A4"/>
    <w:rsid w:val="00CE0D7E"/>
    <w:rsid w:val="00CE6072"/>
    <w:rsid w:val="00CE644D"/>
    <w:rsid w:val="00CE7C1D"/>
    <w:rsid w:val="00CF4938"/>
    <w:rsid w:val="00D00A34"/>
    <w:rsid w:val="00D03618"/>
    <w:rsid w:val="00D047C6"/>
    <w:rsid w:val="00D110CD"/>
    <w:rsid w:val="00D141D2"/>
    <w:rsid w:val="00D311CE"/>
    <w:rsid w:val="00D32884"/>
    <w:rsid w:val="00D36E0A"/>
    <w:rsid w:val="00D45252"/>
    <w:rsid w:val="00D525AB"/>
    <w:rsid w:val="00D53701"/>
    <w:rsid w:val="00D56C94"/>
    <w:rsid w:val="00D63D4B"/>
    <w:rsid w:val="00D65095"/>
    <w:rsid w:val="00D654C1"/>
    <w:rsid w:val="00D67508"/>
    <w:rsid w:val="00D71B4D"/>
    <w:rsid w:val="00D836FE"/>
    <w:rsid w:val="00D8746F"/>
    <w:rsid w:val="00D87D70"/>
    <w:rsid w:val="00D93A63"/>
    <w:rsid w:val="00D93D55"/>
    <w:rsid w:val="00DA4748"/>
    <w:rsid w:val="00DA5BCF"/>
    <w:rsid w:val="00DB54BF"/>
    <w:rsid w:val="00DB5EFD"/>
    <w:rsid w:val="00DC2CE0"/>
    <w:rsid w:val="00DC7401"/>
    <w:rsid w:val="00DD6491"/>
    <w:rsid w:val="00DE3DF4"/>
    <w:rsid w:val="00DE4915"/>
    <w:rsid w:val="00E067D5"/>
    <w:rsid w:val="00E06A50"/>
    <w:rsid w:val="00E15603"/>
    <w:rsid w:val="00E1688F"/>
    <w:rsid w:val="00E16A4E"/>
    <w:rsid w:val="00E31A08"/>
    <w:rsid w:val="00E335FE"/>
    <w:rsid w:val="00E403F2"/>
    <w:rsid w:val="00E45751"/>
    <w:rsid w:val="00E5021F"/>
    <w:rsid w:val="00E51B23"/>
    <w:rsid w:val="00E52C35"/>
    <w:rsid w:val="00E628F3"/>
    <w:rsid w:val="00E63A31"/>
    <w:rsid w:val="00E723E9"/>
    <w:rsid w:val="00E75929"/>
    <w:rsid w:val="00E83130"/>
    <w:rsid w:val="00EA41A6"/>
    <w:rsid w:val="00EA5564"/>
    <w:rsid w:val="00EA5730"/>
    <w:rsid w:val="00EC2A6E"/>
    <w:rsid w:val="00EC4E49"/>
    <w:rsid w:val="00ED1F5C"/>
    <w:rsid w:val="00ED77FB"/>
    <w:rsid w:val="00EE054C"/>
    <w:rsid w:val="00EE45AC"/>
    <w:rsid w:val="00EF4118"/>
    <w:rsid w:val="00EF660B"/>
    <w:rsid w:val="00F021A6"/>
    <w:rsid w:val="00F0549F"/>
    <w:rsid w:val="00F05655"/>
    <w:rsid w:val="00F058CC"/>
    <w:rsid w:val="00F07AC0"/>
    <w:rsid w:val="00F21027"/>
    <w:rsid w:val="00F23315"/>
    <w:rsid w:val="00F245BE"/>
    <w:rsid w:val="00F34945"/>
    <w:rsid w:val="00F36D61"/>
    <w:rsid w:val="00F3726C"/>
    <w:rsid w:val="00F41D5D"/>
    <w:rsid w:val="00F449BC"/>
    <w:rsid w:val="00F520E6"/>
    <w:rsid w:val="00F6280B"/>
    <w:rsid w:val="00F63DB3"/>
    <w:rsid w:val="00F66152"/>
    <w:rsid w:val="00F757AD"/>
    <w:rsid w:val="00F85A8F"/>
    <w:rsid w:val="00F962B0"/>
    <w:rsid w:val="00FB1681"/>
    <w:rsid w:val="00FC0A2F"/>
    <w:rsid w:val="00FC2614"/>
    <w:rsid w:val="00FD10B7"/>
    <w:rsid w:val="00FE4A18"/>
    <w:rsid w:val="00FE6FF5"/>
    <w:rsid w:val="00FF1A84"/>
    <w:rsid w:val="00FF2432"/>
    <w:rsid w:val="00FF2A4B"/>
    <w:rsid w:val="00FF544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F1C"/>
    <w:rPr>
      <w:rFonts w:ascii="Arial" w:eastAsia="SimSun" w:hAnsi="Arial" w:cs="Arial"/>
      <w:sz w:val="22"/>
      <w:lang w:eastAsia="zh-CN"/>
    </w:rPr>
  </w:style>
  <w:style w:type="paragraph" w:styleId="Heading1">
    <w:name w:val="heading 1"/>
    <w:basedOn w:val="Normal"/>
    <w:next w:val="Normal"/>
    <w:link w:val="Heading1Char"/>
    <w:qFormat/>
    <w:rsid w:val="0040701A"/>
    <w:pPr>
      <w:keepNext/>
      <w:numPr>
        <w:numId w:val="5"/>
      </w:numPr>
      <w:spacing w:before="240" w:after="60"/>
      <w:ind w:left="567" w:hanging="567"/>
      <w:outlineLvl w:val="0"/>
    </w:pPr>
    <w:rPr>
      <w:bCs/>
      <w:caps/>
      <w:szCs w:val="22"/>
      <w:lang w:val="fr-FR"/>
    </w:rPr>
  </w:style>
  <w:style w:type="paragraph" w:styleId="Heading2">
    <w:name w:val="heading 2"/>
    <w:basedOn w:val="Normal"/>
    <w:next w:val="Normal"/>
    <w:link w:val="Heading2Char"/>
    <w:qFormat/>
    <w:rsid w:val="00E067D5"/>
    <w:pPr>
      <w:keepNext/>
      <w:spacing w:before="240" w:after="60"/>
      <w:ind w:left="567" w:hanging="567"/>
      <w:outlineLvl w:val="1"/>
    </w:pPr>
    <w:rPr>
      <w:i/>
      <w:szCs w:val="22"/>
      <w:lang w:val="fr-FR"/>
    </w:rPr>
  </w:style>
  <w:style w:type="paragraph" w:styleId="Heading3">
    <w:name w:val="heading 3"/>
    <w:basedOn w:val="Normal"/>
    <w:next w:val="Normal"/>
    <w:link w:val="Heading3Char"/>
    <w:qFormat/>
    <w:rsid w:val="00511F1C"/>
    <w:pPr>
      <w:keepNext/>
      <w:spacing w:before="240" w:after="60"/>
      <w:outlineLvl w:val="2"/>
    </w:pPr>
    <w:rPr>
      <w:bCs/>
      <w:szCs w:val="26"/>
      <w:u w:val="single"/>
    </w:rPr>
  </w:style>
  <w:style w:type="paragraph" w:styleId="Heading4">
    <w:name w:val="heading 4"/>
    <w:basedOn w:val="Normal"/>
    <w:next w:val="Normal"/>
    <w:link w:val="Heading4Char"/>
    <w:qFormat/>
    <w:rsid w:val="00511F1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semiHidden/>
    <w:unhideWhenUsed/>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semiHidden/>
    <w:unhideWhenUsed/>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semiHidden/>
    <w:unhideWhenUsed/>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11F1C"/>
    <w:pPr>
      <w:ind w:left="5534"/>
    </w:pPr>
    <w:rPr>
      <w:lang w:val="en-US"/>
    </w:rPr>
  </w:style>
  <w:style w:type="paragraph" w:styleId="BodyText">
    <w:name w:val="Body Text"/>
    <w:basedOn w:val="Normal"/>
    <w:link w:val="BodyTextChar"/>
    <w:uiPriority w:val="1"/>
    <w:qFormat/>
    <w:rsid w:val="00511F1C"/>
    <w:pPr>
      <w:spacing w:after="220"/>
    </w:pPr>
  </w:style>
  <w:style w:type="paragraph" w:styleId="Caption">
    <w:name w:val="caption"/>
    <w:basedOn w:val="Normal"/>
    <w:next w:val="Normal"/>
    <w:qFormat/>
    <w:rsid w:val="00511F1C"/>
    <w:rPr>
      <w:b/>
      <w:bCs/>
      <w:sz w:val="18"/>
    </w:rPr>
  </w:style>
  <w:style w:type="paragraph" w:styleId="CommentText">
    <w:name w:val="annotation text"/>
    <w:basedOn w:val="Normal"/>
    <w:link w:val="CommentTextChar"/>
    <w:rsid w:val="00511F1C"/>
    <w:rPr>
      <w:sz w:val="18"/>
    </w:rPr>
  </w:style>
  <w:style w:type="paragraph" w:styleId="EndnoteText">
    <w:name w:val="endnote text"/>
    <w:basedOn w:val="Normal"/>
    <w:link w:val="EndnoteTextChar"/>
    <w:semiHidden/>
    <w:rsid w:val="00511F1C"/>
    <w:rPr>
      <w:sz w:val="18"/>
    </w:rPr>
  </w:style>
  <w:style w:type="paragraph" w:styleId="Footer">
    <w:name w:val="footer"/>
    <w:basedOn w:val="Normal"/>
    <w:link w:val="FooterChar"/>
    <w:uiPriority w:val="99"/>
    <w:rsid w:val="00511F1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511F1C"/>
    <w:rPr>
      <w:sz w:val="18"/>
    </w:rPr>
  </w:style>
  <w:style w:type="paragraph" w:styleId="Header">
    <w:name w:val="header"/>
    <w:basedOn w:val="Normal"/>
    <w:link w:val="HeaderChar"/>
    <w:uiPriority w:val="99"/>
    <w:rsid w:val="00511F1C"/>
    <w:pPr>
      <w:tabs>
        <w:tab w:val="center" w:pos="4536"/>
        <w:tab w:val="right" w:pos="9072"/>
      </w:tabs>
    </w:pPr>
  </w:style>
  <w:style w:type="paragraph" w:styleId="ListNumber">
    <w:name w:val="List Number"/>
    <w:basedOn w:val="Normal"/>
    <w:semiHidden/>
    <w:rsid w:val="00511F1C"/>
    <w:pPr>
      <w:numPr>
        <w:numId w:val="28"/>
      </w:numPr>
    </w:pPr>
  </w:style>
  <w:style w:type="paragraph" w:customStyle="1" w:styleId="ONUME">
    <w:name w:val="ONUM E"/>
    <w:basedOn w:val="BodyText"/>
    <w:rsid w:val="00511F1C"/>
    <w:pPr>
      <w:numPr>
        <w:numId w:val="29"/>
      </w:numPr>
    </w:pPr>
  </w:style>
  <w:style w:type="paragraph" w:customStyle="1" w:styleId="ONUMFS">
    <w:name w:val="ONUM FS"/>
    <w:basedOn w:val="BodyText"/>
    <w:rsid w:val="00511F1C"/>
    <w:pPr>
      <w:numPr>
        <w:numId w:val="30"/>
      </w:numPr>
    </w:pPr>
  </w:style>
  <w:style w:type="paragraph" w:styleId="Salutation">
    <w:name w:val="Salutation"/>
    <w:basedOn w:val="Normal"/>
    <w:next w:val="Normal"/>
    <w:link w:val="SalutationChar"/>
    <w:semiHidden/>
    <w:rsid w:val="00511F1C"/>
  </w:style>
  <w:style w:type="paragraph" w:styleId="Signature">
    <w:name w:val="Signature"/>
    <w:basedOn w:val="Normal"/>
    <w:link w:val="SignatureChar"/>
    <w:semiHidden/>
    <w:rsid w:val="00511F1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ColorfulList-Accent11">
    <w:name w:val="Colorful List - Accent 1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basedOn w:val="DefaultParagraphFont"/>
    <w:link w:val="Heading1"/>
    <w:rsid w:val="0040701A"/>
    <w:rPr>
      <w:rFonts w:ascii="Arial" w:eastAsia="SimSun" w:hAnsi="Arial" w:cs="Arial"/>
      <w:bCs/>
      <w:caps/>
      <w:sz w:val="22"/>
      <w:szCs w:val="22"/>
      <w:lang w:val="fr-FR" w:eastAsia="zh-CN"/>
    </w:rPr>
  </w:style>
  <w:style w:type="character" w:customStyle="1" w:styleId="Heading2Char">
    <w:name w:val="Heading 2 Char"/>
    <w:basedOn w:val="DefaultParagraphFont"/>
    <w:link w:val="Heading2"/>
    <w:rsid w:val="00E067D5"/>
    <w:rPr>
      <w:rFonts w:ascii="Arial" w:eastAsia="SimSun" w:hAnsi="Arial" w:cs="Arial"/>
      <w:i/>
      <w:sz w:val="22"/>
      <w:szCs w:val="22"/>
      <w:lang w:val="fr-FR" w:eastAsia="zh-CN"/>
    </w:rPr>
  </w:style>
  <w:style w:type="character" w:customStyle="1" w:styleId="Heading3Char">
    <w:name w:val="Heading 3 Char"/>
    <w:basedOn w:val="DefaultParagraphFont"/>
    <w:link w:val="Heading3"/>
    <w:rsid w:val="00511F1C"/>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11F1C"/>
    <w:rPr>
      <w:rFonts w:ascii="Arial" w:eastAsia="SimSun" w:hAnsi="Arial" w:cs="Arial"/>
      <w:bCs/>
      <w:i/>
      <w:sz w:val="22"/>
      <w:szCs w:val="28"/>
      <w:lang w:eastAsia="zh-CN"/>
    </w:rPr>
  </w:style>
  <w:style w:type="character" w:styleId="PlaceholderText">
    <w:name w:val="Placeholder Text"/>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511F1C"/>
    <w:rPr>
      <w:rFonts w:ascii="Arial" w:eastAsia="SimSun" w:hAnsi="Arial" w:cs="Arial"/>
      <w:sz w:val="22"/>
      <w:lang w:eastAsia="zh-CN"/>
    </w:rPr>
  </w:style>
  <w:style w:type="character" w:customStyle="1" w:styleId="FooterChar">
    <w:name w:val="Footer Char"/>
    <w:basedOn w:val="DefaultParagraphFont"/>
    <w:link w:val="Footer"/>
    <w:uiPriority w:val="99"/>
    <w:rsid w:val="00511F1C"/>
    <w:rPr>
      <w:rFonts w:ascii="Arial" w:eastAsia="SimSun" w:hAnsi="Arial" w:cs="Arial"/>
      <w:sz w:val="22"/>
      <w:lang w:eastAsia="zh-CN"/>
    </w:rPr>
  </w:style>
  <w:style w:type="paragraph" w:styleId="ListParagraph">
    <w:name w:val="List Paragraph"/>
    <w:basedOn w:val="Normal"/>
    <w:uiPriority w:val="34"/>
    <w:qFormat/>
    <w:rsid w:val="00511F1C"/>
    <w:pPr>
      <w:ind w:left="720"/>
      <w:contextualSpacing/>
    </w:p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780041"/>
    <w:pPr>
      <w:tabs>
        <w:tab w:val="left" w:pos="709"/>
        <w:tab w:val="left" w:pos="1418"/>
        <w:tab w:val="right" w:pos="9214"/>
      </w:tabs>
      <w:spacing w:before="220"/>
      <w:ind w:left="567" w:right="851" w:hanging="567"/>
    </w:pPr>
    <w:rPr>
      <w:rFonts w:eastAsia="Calibri" w:cs="Times New Roman"/>
      <w:caps/>
      <w:noProof/>
      <w:szCs w:val="22"/>
      <w:lang w:val="de-CH" w:eastAsia="en-US"/>
    </w:rPr>
  </w:style>
  <w:style w:type="paragraph" w:styleId="TOC2">
    <w:name w:val="toc 2"/>
    <w:basedOn w:val="Normal"/>
    <w:next w:val="Normal"/>
    <w:autoRedefine/>
    <w:uiPriority w:val="39"/>
    <w:unhideWhenUsed/>
    <w:rsid w:val="00780041"/>
    <w:pPr>
      <w:tabs>
        <w:tab w:val="left" w:pos="1134"/>
        <w:tab w:val="right" w:pos="9214"/>
      </w:tabs>
      <w:ind w:left="1134" w:right="851" w:hanging="567"/>
    </w:pPr>
    <w:rPr>
      <w:rFonts w:eastAsia="Calibri" w:cs="Times New Roman"/>
      <w:i/>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basedOn w:val="DefaultParagraphFont"/>
    <w:link w:val="FootnoteText"/>
    <w:uiPriority w:val="99"/>
    <w:semiHidden/>
    <w:rsid w:val="00511F1C"/>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basedOn w:val="DefaultParagraphFont"/>
    <w:link w:val="CommentText"/>
    <w:rsid w:val="00511F1C"/>
    <w:rPr>
      <w:rFonts w:ascii="Arial" w:eastAsia="SimSun" w:hAnsi="Arial" w:cs="Arial"/>
      <w:sz w:val="18"/>
      <w:lang w:eastAsia="zh-CN"/>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styleId="TOCHeading">
    <w:name w:val="TOC Heading"/>
    <w:basedOn w:val="Heading1"/>
    <w:next w:val="Normal"/>
    <w:uiPriority w:val="39"/>
    <w:unhideWhenUsed/>
    <w:qFormat/>
    <w:rsid w:val="00AD5076"/>
    <w:pPr>
      <w:keepLines/>
      <w:spacing w:after="0" w:line="259" w:lineRule="auto"/>
      <w:outlineLvl w:val="9"/>
    </w:pPr>
    <w:rPr>
      <w:rFonts w:ascii="Cambria" w:eastAsia="Times New Roman" w:hAnsi="Cambria" w:cs="Times New Roman"/>
      <w:b/>
      <w:bCs w:val="0"/>
      <w:caps w:val="0"/>
      <w:color w:val="365F91"/>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basedOn w:val="DefaultParagraphFont"/>
    <w:link w:val="BodyText"/>
    <w:uiPriority w:val="1"/>
    <w:rsid w:val="00511F1C"/>
    <w:rPr>
      <w:rFonts w:ascii="Arial" w:eastAsia="SimSun" w:hAnsi="Arial" w:cs="Arial"/>
      <w:sz w:val="22"/>
      <w:lang w:eastAsia="zh-CN"/>
    </w:rPr>
  </w:style>
  <w:style w:type="character" w:customStyle="1" w:styleId="EndnoteTextChar">
    <w:name w:val="Endnote Text Char"/>
    <w:basedOn w:val="DefaultParagraphFont"/>
    <w:link w:val="EndnoteText"/>
    <w:semiHidden/>
    <w:rsid w:val="00511F1C"/>
    <w:rPr>
      <w:rFonts w:ascii="Arial" w:eastAsia="SimSun" w:hAnsi="Arial" w:cs="Arial"/>
      <w:sz w:val="18"/>
      <w:lang w:eastAsia="zh-CN"/>
    </w:rPr>
  </w:style>
  <w:style w:type="character" w:customStyle="1" w:styleId="SalutationChar">
    <w:name w:val="Salutation Char"/>
    <w:basedOn w:val="DefaultParagraphFont"/>
    <w:link w:val="Salutation"/>
    <w:semiHidden/>
    <w:rsid w:val="00511F1C"/>
    <w:rPr>
      <w:rFonts w:ascii="Arial" w:eastAsia="SimSun" w:hAnsi="Arial" w:cs="Arial"/>
      <w:sz w:val="22"/>
      <w:lang w:eastAsia="zh-CN"/>
    </w:rPr>
  </w:style>
  <w:style w:type="character" w:customStyle="1" w:styleId="SignatureChar">
    <w:name w:val="Signature Char"/>
    <w:basedOn w:val="DefaultParagraphFont"/>
    <w:link w:val="Signature"/>
    <w:semiHidden/>
    <w:rsid w:val="00511F1C"/>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styleId="Revision">
    <w:name w:val="Revision"/>
    <w:hidden/>
    <w:uiPriority w:val="99"/>
    <w:semiHidden/>
    <w:rsid w:val="00AD5076"/>
    <w:rPr>
      <w:rFonts w:ascii="Calibri" w:hAnsi="Calibri"/>
      <w:sz w:val="22"/>
      <w:szCs w:val="22"/>
      <w:lang w:val="en-US" w:eastAsia="en-US"/>
    </w:rPr>
  </w:style>
  <w:style w:type="character" w:customStyle="1" w:styleId="preferred">
    <w:name w:val="preferred"/>
    <w:basedOn w:val="DefaultParagraphFont"/>
    <w:rsid w:val="0063126A"/>
  </w:style>
  <w:style w:type="paragraph" w:customStyle="1" w:styleId="Meetingplacedate">
    <w:name w:val="Meeting place &amp; date"/>
    <w:basedOn w:val="Normal"/>
    <w:next w:val="Normal"/>
    <w:rsid w:val="00511F1C"/>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511F1C"/>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1F1C"/>
    <w:rPr>
      <w:rFonts w:ascii="Arial" w:eastAsia="SimSun" w:hAnsi="Arial" w:cs="Arial"/>
      <w:sz w:val="22"/>
      <w:lang w:eastAsia="zh-CN"/>
    </w:rPr>
  </w:style>
  <w:style w:type="paragraph" w:styleId="Heading1">
    <w:name w:val="heading 1"/>
    <w:basedOn w:val="Normal"/>
    <w:next w:val="Normal"/>
    <w:link w:val="Heading1Char"/>
    <w:qFormat/>
    <w:rsid w:val="0040701A"/>
    <w:pPr>
      <w:keepNext/>
      <w:numPr>
        <w:numId w:val="5"/>
      </w:numPr>
      <w:spacing w:before="240" w:after="60"/>
      <w:ind w:left="567" w:hanging="567"/>
      <w:outlineLvl w:val="0"/>
    </w:pPr>
    <w:rPr>
      <w:bCs/>
      <w:caps/>
      <w:szCs w:val="22"/>
      <w:lang w:val="fr-FR"/>
    </w:rPr>
  </w:style>
  <w:style w:type="paragraph" w:styleId="Heading2">
    <w:name w:val="heading 2"/>
    <w:basedOn w:val="Normal"/>
    <w:next w:val="Normal"/>
    <w:link w:val="Heading2Char"/>
    <w:qFormat/>
    <w:rsid w:val="00E067D5"/>
    <w:pPr>
      <w:keepNext/>
      <w:spacing w:before="240" w:after="60"/>
      <w:ind w:left="567" w:hanging="567"/>
      <w:outlineLvl w:val="1"/>
    </w:pPr>
    <w:rPr>
      <w:i/>
      <w:szCs w:val="22"/>
      <w:lang w:val="fr-FR"/>
    </w:rPr>
  </w:style>
  <w:style w:type="paragraph" w:styleId="Heading3">
    <w:name w:val="heading 3"/>
    <w:basedOn w:val="Normal"/>
    <w:next w:val="Normal"/>
    <w:link w:val="Heading3Char"/>
    <w:qFormat/>
    <w:rsid w:val="00511F1C"/>
    <w:pPr>
      <w:keepNext/>
      <w:spacing w:before="240" w:after="60"/>
      <w:outlineLvl w:val="2"/>
    </w:pPr>
    <w:rPr>
      <w:bCs/>
      <w:szCs w:val="26"/>
      <w:u w:val="single"/>
    </w:rPr>
  </w:style>
  <w:style w:type="paragraph" w:styleId="Heading4">
    <w:name w:val="heading 4"/>
    <w:basedOn w:val="Normal"/>
    <w:next w:val="Normal"/>
    <w:link w:val="Heading4Char"/>
    <w:qFormat/>
    <w:rsid w:val="00511F1C"/>
    <w:pPr>
      <w:keepNext/>
      <w:spacing w:before="240" w:after="60"/>
      <w:outlineLvl w:val="3"/>
    </w:pPr>
    <w:rPr>
      <w:bCs/>
      <w:i/>
      <w:szCs w:val="28"/>
    </w:rPr>
  </w:style>
  <w:style w:type="paragraph" w:styleId="Heading5">
    <w:name w:val="heading 5"/>
    <w:basedOn w:val="Normal"/>
    <w:link w:val="Heading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Heading7">
    <w:name w:val="heading 7"/>
    <w:basedOn w:val="Normal"/>
    <w:next w:val="Normal"/>
    <w:link w:val="Heading7Char"/>
    <w:uiPriority w:val="9"/>
    <w:semiHidden/>
    <w:unhideWhenUsed/>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Heading8">
    <w:name w:val="heading 8"/>
    <w:basedOn w:val="Normal"/>
    <w:next w:val="Normal"/>
    <w:link w:val="Heading8Char"/>
    <w:uiPriority w:val="9"/>
    <w:semiHidden/>
    <w:unhideWhenUsed/>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Heading9">
    <w:name w:val="heading 9"/>
    <w:basedOn w:val="Normal"/>
    <w:next w:val="Normal"/>
    <w:link w:val="Heading9Char"/>
    <w:uiPriority w:val="9"/>
    <w:semiHidden/>
    <w:unhideWhenUsed/>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11F1C"/>
    <w:pPr>
      <w:ind w:left="5534"/>
    </w:pPr>
    <w:rPr>
      <w:lang w:val="en-US"/>
    </w:rPr>
  </w:style>
  <w:style w:type="paragraph" w:styleId="BodyText">
    <w:name w:val="Body Text"/>
    <w:basedOn w:val="Normal"/>
    <w:link w:val="BodyTextChar"/>
    <w:uiPriority w:val="1"/>
    <w:qFormat/>
    <w:rsid w:val="00511F1C"/>
    <w:pPr>
      <w:spacing w:after="220"/>
    </w:pPr>
  </w:style>
  <w:style w:type="paragraph" w:styleId="Caption">
    <w:name w:val="caption"/>
    <w:basedOn w:val="Normal"/>
    <w:next w:val="Normal"/>
    <w:qFormat/>
    <w:rsid w:val="00511F1C"/>
    <w:rPr>
      <w:b/>
      <w:bCs/>
      <w:sz w:val="18"/>
    </w:rPr>
  </w:style>
  <w:style w:type="paragraph" w:styleId="CommentText">
    <w:name w:val="annotation text"/>
    <w:basedOn w:val="Normal"/>
    <w:link w:val="CommentTextChar"/>
    <w:rsid w:val="00511F1C"/>
    <w:rPr>
      <w:sz w:val="18"/>
    </w:rPr>
  </w:style>
  <w:style w:type="paragraph" w:styleId="EndnoteText">
    <w:name w:val="endnote text"/>
    <w:basedOn w:val="Normal"/>
    <w:link w:val="EndnoteTextChar"/>
    <w:semiHidden/>
    <w:rsid w:val="00511F1C"/>
    <w:rPr>
      <w:sz w:val="18"/>
    </w:rPr>
  </w:style>
  <w:style w:type="paragraph" w:styleId="Footer">
    <w:name w:val="footer"/>
    <w:basedOn w:val="Normal"/>
    <w:link w:val="FooterChar"/>
    <w:uiPriority w:val="99"/>
    <w:rsid w:val="00511F1C"/>
    <w:pPr>
      <w:tabs>
        <w:tab w:val="center" w:pos="4320"/>
        <w:tab w:val="right" w:pos="8640"/>
      </w:tabs>
    </w:pPr>
  </w:style>
  <w:style w:type="paragraph" w:customStyle="1" w:styleId="Endofdocument">
    <w:name w:val="End of document"/>
    <w:basedOn w:val="Normal"/>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uiPriority w:val="99"/>
    <w:semiHidden/>
    <w:rsid w:val="00511F1C"/>
    <w:rPr>
      <w:sz w:val="18"/>
    </w:rPr>
  </w:style>
  <w:style w:type="paragraph" w:styleId="Header">
    <w:name w:val="header"/>
    <w:basedOn w:val="Normal"/>
    <w:link w:val="HeaderChar"/>
    <w:uiPriority w:val="99"/>
    <w:rsid w:val="00511F1C"/>
    <w:pPr>
      <w:tabs>
        <w:tab w:val="center" w:pos="4536"/>
        <w:tab w:val="right" w:pos="9072"/>
      </w:tabs>
    </w:pPr>
  </w:style>
  <w:style w:type="paragraph" w:styleId="ListNumber">
    <w:name w:val="List Number"/>
    <w:basedOn w:val="Normal"/>
    <w:semiHidden/>
    <w:rsid w:val="00511F1C"/>
    <w:pPr>
      <w:numPr>
        <w:numId w:val="28"/>
      </w:numPr>
    </w:pPr>
  </w:style>
  <w:style w:type="paragraph" w:customStyle="1" w:styleId="ONUME">
    <w:name w:val="ONUM E"/>
    <w:basedOn w:val="BodyText"/>
    <w:rsid w:val="00511F1C"/>
    <w:pPr>
      <w:numPr>
        <w:numId w:val="29"/>
      </w:numPr>
    </w:pPr>
  </w:style>
  <w:style w:type="paragraph" w:customStyle="1" w:styleId="ONUMFS">
    <w:name w:val="ONUM FS"/>
    <w:basedOn w:val="BodyText"/>
    <w:rsid w:val="00511F1C"/>
    <w:pPr>
      <w:numPr>
        <w:numId w:val="30"/>
      </w:numPr>
    </w:pPr>
  </w:style>
  <w:style w:type="paragraph" w:styleId="Salutation">
    <w:name w:val="Salutation"/>
    <w:basedOn w:val="Normal"/>
    <w:next w:val="Normal"/>
    <w:link w:val="SalutationChar"/>
    <w:semiHidden/>
    <w:rsid w:val="00511F1C"/>
  </w:style>
  <w:style w:type="paragraph" w:styleId="Signature">
    <w:name w:val="Signature"/>
    <w:basedOn w:val="Normal"/>
    <w:link w:val="SignatureChar"/>
    <w:semiHidden/>
    <w:rsid w:val="00511F1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link w:val="BalloonTextChar"/>
    <w:uiPriority w:val="99"/>
    <w:rsid w:val="006D4B11"/>
    <w:rPr>
      <w:rFonts w:ascii="Tahoma" w:hAnsi="Tahoma" w:cs="Tahoma"/>
      <w:sz w:val="16"/>
      <w:szCs w:val="16"/>
    </w:rPr>
  </w:style>
  <w:style w:type="character" w:styleId="PageNumber">
    <w:name w:val="page number"/>
    <w:basedOn w:val="DefaultParagraphFont"/>
    <w:rsid w:val="00951DE8"/>
  </w:style>
  <w:style w:type="paragraph" w:customStyle="1" w:styleId="ColorfulList-Accent11">
    <w:name w:val="Colorful List - Accent 1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Heading5Char">
    <w:name w:val="Heading 5 Char"/>
    <w:link w:val="Heading5"/>
    <w:uiPriority w:val="9"/>
    <w:rsid w:val="00AD5076"/>
    <w:rPr>
      <w:b/>
      <w:bCs/>
    </w:rPr>
  </w:style>
  <w:style w:type="character" w:customStyle="1" w:styleId="Heading7Char">
    <w:name w:val="Heading 7 Char"/>
    <w:link w:val="Heading7"/>
    <w:uiPriority w:val="9"/>
    <w:semiHidden/>
    <w:rsid w:val="00AD5076"/>
    <w:rPr>
      <w:rFonts w:ascii="Cambria" w:hAnsi="Cambria"/>
      <w:i/>
      <w:iCs/>
      <w:color w:val="243F60"/>
      <w:sz w:val="22"/>
      <w:szCs w:val="22"/>
    </w:rPr>
  </w:style>
  <w:style w:type="character" w:customStyle="1" w:styleId="Heading8Char">
    <w:name w:val="Heading 8 Char"/>
    <w:link w:val="Heading8"/>
    <w:uiPriority w:val="9"/>
    <w:semiHidden/>
    <w:rsid w:val="00AD5076"/>
    <w:rPr>
      <w:rFonts w:ascii="Cambria" w:hAnsi="Cambria"/>
      <w:color w:val="272727"/>
      <w:sz w:val="21"/>
      <w:szCs w:val="21"/>
    </w:rPr>
  </w:style>
  <w:style w:type="character" w:customStyle="1" w:styleId="Heading9Char">
    <w:name w:val="Heading 9 Char"/>
    <w:link w:val="Heading9"/>
    <w:uiPriority w:val="9"/>
    <w:semiHidden/>
    <w:rsid w:val="00AD5076"/>
    <w:rPr>
      <w:rFonts w:ascii="Cambria" w:hAnsi="Cambria"/>
      <w:i/>
      <w:iCs/>
      <w:color w:val="272727"/>
      <w:sz w:val="21"/>
      <w:szCs w:val="21"/>
    </w:rPr>
  </w:style>
  <w:style w:type="character" w:customStyle="1" w:styleId="Heading1Char">
    <w:name w:val="Heading 1 Char"/>
    <w:basedOn w:val="DefaultParagraphFont"/>
    <w:link w:val="Heading1"/>
    <w:rsid w:val="0040701A"/>
    <w:rPr>
      <w:rFonts w:ascii="Arial" w:eastAsia="SimSun" w:hAnsi="Arial" w:cs="Arial"/>
      <w:bCs/>
      <w:caps/>
      <w:sz w:val="22"/>
      <w:szCs w:val="22"/>
      <w:lang w:val="fr-FR" w:eastAsia="zh-CN"/>
    </w:rPr>
  </w:style>
  <w:style w:type="character" w:customStyle="1" w:styleId="Heading2Char">
    <w:name w:val="Heading 2 Char"/>
    <w:basedOn w:val="DefaultParagraphFont"/>
    <w:link w:val="Heading2"/>
    <w:rsid w:val="00E067D5"/>
    <w:rPr>
      <w:rFonts w:ascii="Arial" w:eastAsia="SimSun" w:hAnsi="Arial" w:cs="Arial"/>
      <w:i/>
      <w:sz w:val="22"/>
      <w:szCs w:val="22"/>
      <w:lang w:val="fr-FR" w:eastAsia="zh-CN"/>
    </w:rPr>
  </w:style>
  <w:style w:type="character" w:customStyle="1" w:styleId="Heading3Char">
    <w:name w:val="Heading 3 Char"/>
    <w:basedOn w:val="DefaultParagraphFont"/>
    <w:link w:val="Heading3"/>
    <w:rsid w:val="00511F1C"/>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11F1C"/>
    <w:rPr>
      <w:rFonts w:ascii="Arial" w:eastAsia="SimSun" w:hAnsi="Arial" w:cs="Arial"/>
      <w:bCs/>
      <w:i/>
      <w:sz w:val="22"/>
      <w:szCs w:val="28"/>
      <w:lang w:eastAsia="zh-CN"/>
    </w:rPr>
  </w:style>
  <w:style w:type="character" w:styleId="PlaceholderText">
    <w:name w:val="Placeholder Text"/>
    <w:uiPriority w:val="99"/>
    <w:semiHidden/>
    <w:rsid w:val="00AD5076"/>
    <w:rPr>
      <w:color w:val="808080"/>
    </w:rPr>
  </w:style>
  <w:style w:type="character" w:customStyle="1" w:styleId="BalloonTextChar">
    <w:name w:val="Balloon Text Char"/>
    <w:link w:val="BalloonText"/>
    <w:uiPriority w:val="99"/>
    <w:rsid w:val="00AD5076"/>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511F1C"/>
    <w:rPr>
      <w:rFonts w:ascii="Arial" w:eastAsia="SimSun" w:hAnsi="Arial" w:cs="Arial"/>
      <w:sz w:val="22"/>
      <w:lang w:eastAsia="zh-CN"/>
    </w:rPr>
  </w:style>
  <w:style w:type="character" w:customStyle="1" w:styleId="FooterChar">
    <w:name w:val="Footer Char"/>
    <w:basedOn w:val="DefaultParagraphFont"/>
    <w:link w:val="Footer"/>
    <w:uiPriority w:val="99"/>
    <w:rsid w:val="00511F1C"/>
    <w:rPr>
      <w:rFonts w:ascii="Arial" w:eastAsia="SimSun" w:hAnsi="Arial" w:cs="Arial"/>
      <w:sz w:val="22"/>
      <w:lang w:eastAsia="zh-CN"/>
    </w:rPr>
  </w:style>
  <w:style w:type="paragraph" w:styleId="ListParagraph">
    <w:name w:val="List Paragraph"/>
    <w:basedOn w:val="Normal"/>
    <w:uiPriority w:val="34"/>
    <w:qFormat/>
    <w:rsid w:val="00511F1C"/>
    <w:pPr>
      <w:ind w:left="720"/>
      <w:contextualSpacing/>
    </w:pPr>
  </w:style>
  <w:style w:type="paragraph" w:styleId="Title">
    <w:name w:val="Title"/>
    <w:basedOn w:val="Normal"/>
    <w:next w:val="Normal"/>
    <w:link w:val="TitleChar"/>
    <w:uiPriority w:val="10"/>
    <w:qFormat/>
    <w:rsid w:val="00AD5076"/>
    <w:pPr>
      <w:spacing w:before="720" w:after="240" w:line="288" w:lineRule="auto"/>
    </w:pPr>
    <w:rPr>
      <w:rFonts w:eastAsia="Calibri" w:cs="Times New Roman"/>
      <w:b/>
      <w:sz w:val="28"/>
      <w:szCs w:val="22"/>
      <w:lang w:val="de-CH" w:eastAsia="en-US"/>
    </w:rPr>
  </w:style>
  <w:style w:type="character" w:customStyle="1" w:styleId="TitleChar">
    <w:name w:val="Title Char"/>
    <w:link w:val="Title"/>
    <w:uiPriority w:val="10"/>
    <w:rsid w:val="00AD5076"/>
    <w:rPr>
      <w:rFonts w:ascii="Arial" w:eastAsia="Calibri" w:hAnsi="Arial"/>
      <w:b/>
      <w:sz w:val="28"/>
      <w:szCs w:val="22"/>
      <w:lang w:val="de-CH"/>
    </w:rPr>
  </w:style>
  <w:style w:type="paragraph" w:styleId="TOC1">
    <w:name w:val="toc 1"/>
    <w:basedOn w:val="Normal"/>
    <w:next w:val="Normal"/>
    <w:autoRedefine/>
    <w:uiPriority w:val="39"/>
    <w:unhideWhenUsed/>
    <w:rsid w:val="00780041"/>
    <w:pPr>
      <w:tabs>
        <w:tab w:val="left" w:pos="709"/>
        <w:tab w:val="left" w:pos="1418"/>
        <w:tab w:val="right" w:pos="9214"/>
      </w:tabs>
      <w:spacing w:before="220"/>
      <w:ind w:left="567" w:right="851" w:hanging="567"/>
    </w:pPr>
    <w:rPr>
      <w:rFonts w:eastAsia="Calibri" w:cs="Times New Roman"/>
      <w:caps/>
      <w:noProof/>
      <w:szCs w:val="22"/>
      <w:lang w:val="de-CH" w:eastAsia="en-US"/>
    </w:rPr>
  </w:style>
  <w:style w:type="paragraph" w:styleId="TOC2">
    <w:name w:val="toc 2"/>
    <w:basedOn w:val="Normal"/>
    <w:next w:val="Normal"/>
    <w:autoRedefine/>
    <w:uiPriority w:val="39"/>
    <w:unhideWhenUsed/>
    <w:rsid w:val="00780041"/>
    <w:pPr>
      <w:tabs>
        <w:tab w:val="left" w:pos="1134"/>
        <w:tab w:val="right" w:pos="9214"/>
      </w:tabs>
      <w:ind w:left="1134" w:right="851" w:hanging="567"/>
    </w:pPr>
    <w:rPr>
      <w:rFonts w:eastAsia="Calibri" w:cs="Times New Roman"/>
      <w:i/>
      <w:noProof/>
      <w:szCs w:val="22"/>
      <w:lang w:val="en-GB" w:eastAsia="en-US"/>
    </w:rPr>
  </w:style>
  <w:style w:type="paragraph" w:styleId="TOC3">
    <w:name w:val="toc 3"/>
    <w:basedOn w:val="Normal"/>
    <w:next w:val="Normal"/>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AD5076"/>
    <w:rPr>
      <w:color w:val="0000FF"/>
      <w:u w:val="single"/>
    </w:rPr>
  </w:style>
  <w:style w:type="character" w:customStyle="1" w:styleId="FootnoteTextChar">
    <w:name w:val="Footnote Text Char"/>
    <w:basedOn w:val="DefaultParagraphFont"/>
    <w:link w:val="FootnoteText"/>
    <w:uiPriority w:val="99"/>
    <w:semiHidden/>
    <w:rsid w:val="00511F1C"/>
    <w:rPr>
      <w:rFonts w:ascii="Arial" w:eastAsia="SimSun" w:hAnsi="Arial" w:cs="Arial"/>
      <w:sz w:val="18"/>
      <w:lang w:eastAsia="zh-CN"/>
    </w:rPr>
  </w:style>
  <w:style w:type="character" w:styleId="FootnoteReference">
    <w:name w:val="footnote reference"/>
    <w:uiPriority w:val="99"/>
    <w:unhideWhenUsed/>
    <w:rsid w:val="00AD5076"/>
    <w:rPr>
      <w:vertAlign w:val="superscript"/>
    </w:rPr>
  </w:style>
  <w:style w:type="character" w:styleId="CommentReference">
    <w:name w:val="annotation reference"/>
    <w:unhideWhenUsed/>
    <w:rsid w:val="00AD5076"/>
    <w:rPr>
      <w:sz w:val="16"/>
      <w:szCs w:val="16"/>
    </w:rPr>
  </w:style>
  <w:style w:type="character" w:customStyle="1" w:styleId="CommentTextChar">
    <w:name w:val="Comment Text Char"/>
    <w:basedOn w:val="DefaultParagraphFont"/>
    <w:link w:val="CommentText"/>
    <w:rsid w:val="00511F1C"/>
    <w:rPr>
      <w:rFonts w:ascii="Arial" w:eastAsia="SimSun" w:hAnsi="Arial" w:cs="Arial"/>
      <w:sz w:val="18"/>
      <w:lang w:eastAsia="zh-CN"/>
    </w:rPr>
  </w:style>
  <w:style w:type="paragraph" w:styleId="CommentSubject">
    <w:name w:val="annotation subject"/>
    <w:basedOn w:val="CommentText"/>
    <w:next w:val="CommentText"/>
    <w:link w:val="CommentSubjectChar"/>
    <w:unhideWhenUsed/>
    <w:rsid w:val="00AD5076"/>
    <w:pPr>
      <w:spacing w:after="200"/>
    </w:pPr>
    <w:rPr>
      <w:rFonts w:ascii="Calibri" w:eastAsia="Times New Roman" w:hAnsi="Calibri" w:cs="Times New Roman"/>
      <w:b/>
      <w:bCs/>
      <w:sz w:val="20"/>
      <w:lang w:eastAsia="en-US"/>
    </w:rPr>
  </w:style>
  <w:style w:type="character" w:customStyle="1" w:styleId="CommentTextChar1">
    <w:name w:val="Comment Text Char1"/>
    <w:rsid w:val="00AD5076"/>
    <w:rPr>
      <w:rFonts w:ascii="Arial" w:eastAsia="SimSun" w:hAnsi="Arial" w:cs="Arial"/>
      <w:sz w:val="18"/>
      <w:lang w:eastAsia="zh-CN"/>
    </w:rPr>
  </w:style>
  <w:style w:type="character" w:customStyle="1" w:styleId="CommentSubjectChar">
    <w:name w:val="Comment Subject Char"/>
    <w:link w:val="CommentSubject"/>
    <w:rsid w:val="00AD5076"/>
    <w:rPr>
      <w:rFonts w:ascii="Calibri" w:eastAsia="SimSun" w:hAnsi="Calibri" w:cs="Arial"/>
      <w:b/>
      <w:bCs/>
      <w:sz w:val="18"/>
      <w:lang w:eastAsia="zh-CN"/>
    </w:rPr>
  </w:style>
  <w:style w:type="character" w:styleId="FollowedHyperlink">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AD5076"/>
    <w:rPr>
      <w:i/>
      <w:iCs/>
    </w:rPr>
  </w:style>
  <w:style w:type="character" w:styleId="Strong">
    <w:name w:val="Strong"/>
    <w:uiPriority w:val="22"/>
    <w:qFormat/>
    <w:rsid w:val="00AD5076"/>
    <w:rPr>
      <w:b/>
      <w:bCs/>
    </w:rPr>
  </w:style>
  <w:style w:type="paragraph" w:styleId="TOCHeading">
    <w:name w:val="TOC Heading"/>
    <w:basedOn w:val="Heading1"/>
    <w:next w:val="Normal"/>
    <w:uiPriority w:val="39"/>
    <w:unhideWhenUsed/>
    <w:qFormat/>
    <w:rsid w:val="00AD5076"/>
    <w:pPr>
      <w:keepLines/>
      <w:spacing w:after="0" w:line="259" w:lineRule="auto"/>
      <w:outlineLvl w:val="9"/>
    </w:pPr>
    <w:rPr>
      <w:rFonts w:ascii="Cambria" w:eastAsia="Times New Roman" w:hAnsi="Cambria" w:cs="Times New Roman"/>
      <w:b/>
      <w:bCs w:val="0"/>
      <w:caps w:val="0"/>
      <w:color w:val="365F91"/>
      <w:sz w:val="32"/>
      <w:lang w:val="de-CH" w:eastAsia="de-CH"/>
    </w:rPr>
  </w:style>
  <w:style w:type="paragraph" w:styleId="TOC4">
    <w:name w:val="toc 4"/>
    <w:basedOn w:val="Normal"/>
    <w:next w:val="Normal"/>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AD5076"/>
  </w:style>
  <w:style w:type="character" w:customStyle="1" w:styleId="BodyTextChar">
    <w:name w:val="Body Text Char"/>
    <w:basedOn w:val="DefaultParagraphFont"/>
    <w:link w:val="BodyText"/>
    <w:uiPriority w:val="1"/>
    <w:rsid w:val="00511F1C"/>
    <w:rPr>
      <w:rFonts w:ascii="Arial" w:eastAsia="SimSun" w:hAnsi="Arial" w:cs="Arial"/>
      <w:sz w:val="22"/>
      <w:lang w:eastAsia="zh-CN"/>
    </w:rPr>
  </w:style>
  <w:style w:type="character" w:customStyle="1" w:styleId="EndnoteTextChar">
    <w:name w:val="Endnote Text Char"/>
    <w:basedOn w:val="DefaultParagraphFont"/>
    <w:link w:val="EndnoteText"/>
    <w:semiHidden/>
    <w:rsid w:val="00511F1C"/>
    <w:rPr>
      <w:rFonts w:ascii="Arial" w:eastAsia="SimSun" w:hAnsi="Arial" w:cs="Arial"/>
      <w:sz w:val="18"/>
      <w:lang w:eastAsia="zh-CN"/>
    </w:rPr>
  </w:style>
  <w:style w:type="character" w:customStyle="1" w:styleId="SalutationChar">
    <w:name w:val="Salutation Char"/>
    <w:basedOn w:val="DefaultParagraphFont"/>
    <w:link w:val="Salutation"/>
    <w:semiHidden/>
    <w:rsid w:val="00511F1C"/>
    <w:rPr>
      <w:rFonts w:ascii="Arial" w:eastAsia="SimSun" w:hAnsi="Arial" w:cs="Arial"/>
      <w:sz w:val="22"/>
      <w:lang w:eastAsia="zh-CN"/>
    </w:rPr>
  </w:style>
  <w:style w:type="character" w:customStyle="1" w:styleId="SignatureChar">
    <w:name w:val="Signature Char"/>
    <w:basedOn w:val="DefaultParagraphFont"/>
    <w:link w:val="Signature"/>
    <w:semiHidden/>
    <w:rsid w:val="00511F1C"/>
    <w:rPr>
      <w:rFonts w:ascii="Arial" w:eastAsia="SimSun" w:hAnsi="Arial" w:cs="Arial"/>
      <w:sz w:val="22"/>
      <w:lang w:eastAsia="zh-CN"/>
    </w:rPr>
  </w:style>
  <w:style w:type="paragraph" w:styleId="BodyText2">
    <w:name w:val="Body Text 2"/>
    <w:basedOn w:val="Normal"/>
    <w:link w:val="BodyText2Char"/>
    <w:rsid w:val="00AD5076"/>
    <w:rPr>
      <w:rFonts w:ascii="Times New Roman" w:eastAsia="Times New Roman" w:hAnsi="Times New Roman" w:cs="Times New Roman"/>
      <w:b/>
      <w:bCs/>
      <w:sz w:val="24"/>
      <w:szCs w:val="24"/>
      <w:lang w:eastAsia="en-US"/>
    </w:rPr>
  </w:style>
  <w:style w:type="character" w:customStyle="1" w:styleId="BodyText2Char">
    <w:name w:val="Body Text 2 Char"/>
    <w:link w:val="BodyText2"/>
    <w:rsid w:val="00AD5076"/>
    <w:rPr>
      <w:b/>
      <w:bCs/>
      <w:sz w:val="24"/>
      <w:szCs w:val="24"/>
    </w:rPr>
  </w:style>
  <w:style w:type="paragraph" w:styleId="NormalWeb">
    <w:name w:val="Normal (Web)"/>
    <w:basedOn w:val="Normal"/>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D5076"/>
    <w:pPr>
      <w:ind w:left="5534"/>
    </w:pPr>
    <w:rPr>
      <w:i/>
    </w:rPr>
  </w:style>
  <w:style w:type="paragraph" w:customStyle="1" w:styleId="Char0">
    <w:name w:val="Char 字元 字元"/>
    <w:basedOn w:val="Normal"/>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TableGrid">
    <w:name w:val="Table Grid"/>
    <w:basedOn w:val="TableNormal"/>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styleId="Revision">
    <w:name w:val="Revision"/>
    <w:hidden/>
    <w:uiPriority w:val="99"/>
    <w:semiHidden/>
    <w:rsid w:val="00AD5076"/>
    <w:rPr>
      <w:rFonts w:ascii="Calibri" w:hAnsi="Calibri"/>
      <w:sz w:val="22"/>
      <w:szCs w:val="22"/>
      <w:lang w:val="en-US" w:eastAsia="en-US"/>
    </w:rPr>
  </w:style>
  <w:style w:type="character" w:customStyle="1" w:styleId="preferred">
    <w:name w:val="preferred"/>
    <w:basedOn w:val="DefaultParagraphFont"/>
    <w:rsid w:val="0063126A"/>
  </w:style>
  <w:style w:type="paragraph" w:customStyle="1" w:styleId="Meetingplacedate">
    <w:name w:val="Meeting place &amp; date"/>
    <w:basedOn w:val="Normal"/>
    <w:next w:val="Normal"/>
    <w:rsid w:val="00511F1C"/>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511F1C"/>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admin.ch/opc/de/federal-gazette/2006/1.pdf" TargetMode="External"/><Relationship Id="rId26" Type="http://schemas.openxmlformats.org/officeDocument/2006/relationships/hyperlink" Target="http://www.bafu.admin.ch/biotechnologie/13477/16459/index.html?lang=it&amp;download=NHzLpZeg7t,lnp6I0NTU042l2Z6ln1ah2oZn4Z2qZpnO2Yuq2Z6gpJCHeYR9g2ym162epYbg2c_JjKbNoKSn6A--"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dmin.ch/opc/de/federal-gazette/2013/3009.pdf"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s://www.admin.ch/opc/it/classified-compilation/19770250/index.html" TargetMode="External"/><Relationship Id="rId25" Type="http://schemas.openxmlformats.org/officeDocument/2006/relationships/hyperlink" Target="http://www.bafu.admin.ch/biotechnologie/13477/16459/index.html?lang=fr&amp;download=NHzLpZeg7t,lnp6I0NTU042l2Z6ln1ae2IZn4Z2qZpnO2Yuq2Z6gpJCHeYR9g2ym162epYbg2c_JjKbNoKSn6A--" TargetMode="External"/><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min.ch/opc/fr/classified-compilation/19770250/index.html" TargetMode="External"/><Relationship Id="rId20" Type="http://schemas.openxmlformats.org/officeDocument/2006/relationships/hyperlink" Target="https://www.admin.ch/opc/it/federal-gazette/2006/1.pdf" TargetMode="External"/><Relationship Id="rId29" Type="http://schemas.openxmlformats.org/officeDocument/2006/relationships/hyperlink" Target="https://www.admin.ch/opc/it/classified-compilation/20151992/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bafu.admin.ch/biotechnologie/13477/16459/index.html?lang=de&amp;download=NHzLpZeg7t,lnp6I0NTU042l2Z6ln1acy4Zn4Z2qZpnO2Yuq2Z6gpJCHeYR9g2ym162epYbg2c_JjKbNoKSn6A--" TargetMode="External"/><Relationship Id="rId32" Type="http://schemas.openxmlformats.org/officeDocument/2006/relationships/hyperlink" Target="https://www.admin.ch/opc/it/classified-compilation/20011787/index.html" TargetMode="External"/><Relationship Id="rId37"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https://www.admin.ch/opc/de/classified-compilation/19770250/index.html" TargetMode="External"/><Relationship Id="rId23" Type="http://schemas.openxmlformats.org/officeDocument/2006/relationships/hyperlink" Target="https://www.admin.ch/opc/it/federal-gazette/2013/2531.pdf" TargetMode="External"/><Relationship Id="rId28" Type="http://schemas.openxmlformats.org/officeDocument/2006/relationships/hyperlink" Target="https://www.admin.ch/opc/fr/classified-compilation/20151992/index.html" TargetMode="Externa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admin.ch/opc/fr/federal-gazette/2006/1.pdf" TargetMode="External"/><Relationship Id="rId31" Type="http://schemas.openxmlformats.org/officeDocument/2006/relationships/hyperlink" Target="https://www.admin.ch/opc/fr/classified-compilation/20011787/index.htm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s://www.admin.ch/opc/fr/federal-gazette/2013/2659.pdf" TargetMode="External"/><Relationship Id="rId27" Type="http://schemas.openxmlformats.org/officeDocument/2006/relationships/hyperlink" Target="https://www.admin.ch/opc/de/classified-compilation/20151992/index.html" TargetMode="External"/><Relationship Id="rId30" Type="http://schemas.openxmlformats.org/officeDocument/2006/relationships/hyperlink" Target="https://www.admin.ch/opc/de/classified-compilation/20011787/index.html"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admin.ch/opc/fr/federal-gazette/2006/1.pdf" TargetMode="External"/><Relationship Id="rId7" Type="http://schemas.openxmlformats.org/officeDocument/2006/relationships/hyperlink" Target="http://www.fao.org/fishery/legalframework/nalo_mexico/fr" TargetMode="External"/><Relationship Id="rId2" Type="http://schemas.openxmlformats.org/officeDocument/2006/relationships/hyperlink" Target="http://www.wipo.int/meetings/en/doc_details.jsp?doc_id=131586" TargetMode="External"/><Relationship Id="rId1" Type="http://schemas.openxmlformats.org/officeDocument/2006/relationships/hyperlink" Target="http://www.wipo.int/edocs/mdocs/tk/en/wipo_grtkf_ic_30/wipo_grtkf_ic_30_9.pdf" TargetMode="External"/><Relationship Id="rId6" Type="http://schemas.openxmlformats.org/officeDocument/2006/relationships/hyperlink" Target="http://eur-lex.europa.eu/legal-content/EN/TXT/PDF/?uri=CELEX:32014R0511&amp;from=EN" TargetMode="External"/><Relationship Id="rId5" Type="http://schemas.openxmlformats.org/officeDocument/2006/relationships/hyperlink" Target="http://www.wipo.int/edocs/mdocs/tk/en/wipo_grtkf_ic_11/wipo_grtkf_ic_11_10.pdf" TargetMode="External"/><Relationship Id="rId4" Type="http://schemas.openxmlformats.org/officeDocument/2006/relationships/hyperlink" Target="https://www.admin.ch/opc/it/federal-gazette/2006/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0F53-29ED-4ACC-994B-95A4C24C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30</Pages>
  <Words>13104</Words>
  <Characters>75802</Characters>
  <Application>Microsoft Office Word</Application>
  <DocSecurity>0</DocSecurity>
  <Lines>1082</Lines>
  <Paragraphs>158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88748</CharactersWithSpaces>
  <SharedDoc>false</SharedDoc>
  <HLinks>
    <vt:vector size="300" baseType="variant">
      <vt:variant>
        <vt:i4>2752556</vt:i4>
      </vt:variant>
      <vt:variant>
        <vt:i4>168</vt:i4>
      </vt:variant>
      <vt:variant>
        <vt:i4>0</vt:i4>
      </vt:variant>
      <vt:variant>
        <vt:i4>5</vt:i4>
      </vt:variant>
      <vt:variant>
        <vt:lpwstr>https://www.admin.ch/opc/it/classified-compilation/20011787/index.html</vt:lpwstr>
      </vt:variant>
      <vt:variant>
        <vt:lpwstr/>
      </vt:variant>
      <vt:variant>
        <vt:i4>2424874</vt:i4>
      </vt:variant>
      <vt:variant>
        <vt:i4>165</vt:i4>
      </vt:variant>
      <vt:variant>
        <vt:i4>0</vt:i4>
      </vt:variant>
      <vt:variant>
        <vt:i4>5</vt:i4>
      </vt:variant>
      <vt:variant>
        <vt:lpwstr>https://www.admin.ch/opc/fr/classified-compilation/20011787/index.html</vt:lpwstr>
      </vt:variant>
      <vt:variant>
        <vt:lpwstr/>
      </vt:variant>
      <vt:variant>
        <vt:i4>2555965</vt:i4>
      </vt:variant>
      <vt:variant>
        <vt:i4>162</vt:i4>
      </vt:variant>
      <vt:variant>
        <vt:i4>0</vt:i4>
      </vt:variant>
      <vt:variant>
        <vt:i4>5</vt:i4>
      </vt:variant>
      <vt:variant>
        <vt:lpwstr>https://www.admin.ch/opc/de/classified-compilation/20011787/index.html</vt:lpwstr>
      </vt:variant>
      <vt:variant>
        <vt:lpwstr/>
      </vt:variant>
      <vt:variant>
        <vt:i4>2752547</vt:i4>
      </vt:variant>
      <vt:variant>
        <vt:i4>159</vt:i4>
      </vt:variant>
      <vt:variant>
        <vt:i4>0</vt:i4>
      </vt:variant>
      <vt:variant>
        <vt:i4>5</vt:i4>
      </vt:variant>
      <vt:variant>
        <vt:lpwstr>https://www.admin.ch/opc/it/classified-compilation/20151992/index.html</vt:lpwstr>
      </vt:variant>
      <vt:variant>
        <vt:lpwstr/>
      </vt:variant>
      <vt:variant>
        <vt:i4>2424869</vt:i4>
      </vt:variant>
      <vt:variant>
        <vt:i4>156</vt:i4>
      </vt:variant>
      <vt:variant>
        <vt:i4>0</vt:i4>
      </vt:variant>
      <vt:variant>
        <vt:i4>5</vt:i4>
      </vt:variant>
      <vt:variant>
        <vt:lpwstr>https://www.admin.ch/opc/fr/classified-compilation/20151992/index.html</vt:lpwstr>
      </vt:variant>
      <vt:variant>
        <vt:lpwstr/>
      </vt:variant>
      <vt:variant>
        <vt:i4>2555954</vt:i4>
      </vt:variant>
      <vt:variant>
        <vt:i4>153</vt:i4>
      </vt:variant>
      <vt:variant>
        <vt:i4>0</vt:i4>
      </vt:variant>
      <vt:variant>
        <vt:i4>5</vt:i4>
      </vt:variant>
      <vt:variant>
        <vt:lpwstr>https://www.admin.ch/opc/de/classified-compilation/20151992/index.html</vt:lpwstr>
      </vt:variant>
      <vt:variant>
        <vt:lpwstr/>
      </vt:variant>
      <vt:variant>
        <vt:i4>2490421</vt:i4>
      </vt:variant>
      <vt:variant>
        <vt:i4>150</vt:i4>
      </vt:variant>
      <vt:variant>
        <vt:i4>0</vt:i4>
      </vt:variant>
      <vt:variant>
        <vt:i4>5</vt:i4>
      </vt:variant>
      <vt:variant>
        <vt:lpwstr>https://www.admin.ch/opc/en/classified-compilation/19983407/index.html</vt:lpwstr>
      </vt:variant>
      <vt:variant>
        <vt:lpwstr/>
      </vt:variant>
      <vt:variant>
        <vt:i4>8192113</vt:i4>
      </vt:variant>
      <vt:variant>
        <vt:i4>147</vt:i4>
      </vt:variant>
      <vt:variant>
        <vt:i4>0</vt:i4>
      </vt:variant>
      <vt:variant>
        <vt:i4>5</vt:i4>
      </vt:variant>
      <vt:variant>
        <vt:lpwstr>ftp://ftp.fao.org/docrep/fao/011/i0510e/i0510e.pdf</vt:lpwstr>
      </vt:variant>
      <vt:variant>
        <vt:lpwstr/>
      </vt:variant>
      <vt:variant>
        <vt:i4>6226025</vt:i4>
      </vt:variant>
      <vt:variant>
        <vt:i4>144</vt:i4>
      </vt:variant>
      <vt:variant>
        <vt:i4>0</vt:i4>
      </vt:variant>
      <vt:variant>
        <vt:i4>5</vt:i4>
      </vt:variant>
      <vt:variant>
        <vt:lpwstr>http://www.bafu.admin.ch/biotechnologie/13477/16459/index.html?lang=it&amp;download=NHzLpZeg7t,lnp6I0NTU042l2Z6ln1ah2oZn4Z2qZpnO2Yuq2Z6gpJCHeYR9g2ym162epYbg2c_JjKbNoKSn6A--</vt:lpwstr>
      </vt:variant>
      <vt:variant>
        <vt:lpwstr/>
      </vt:variant>
      <vt:variant>
        <vt:i4>5374054</vt:i4>
      </vt:variant>
      <vt:variant>
        <vt:i4>141</vt:i4>
      </vt:variant>
      <vt:variant>
        <vt:i4>0</vt:i4>
      </vt:variant>
      <vt:variant>
        <vt:i4>5</vt:i4>
      </vt:variant>
      <vt:variant>
        <vt:lpwstr>http://www.bafu.admin.ch/biotechnologie/13477/16459/index.html?lang=fr&amp;download=NHzLpZeg7t,lnp6I0NTU042l2Z6ln1ae2IZn4Z2qZpnO2Yuq2Z6gpJCHeYR9g2ym162epYbg2c_JjKbNoKSn6A--</vt:lpwstr>
      </vt:variant>
      <vt:variant>
        <vt:lpwstr/>
      </vt:variant>
      <vt:variant>
        <vt:i4>1966127</vt:i4>
      </vt:variant>
      <vt:variant>
        <vt:i4>138</vt:i4>
      </vt:variant>
      <vt:variant>
        <vt:i4>0</vt:i4>
      </vt:variant>
      <vt:variant>
        <vt:i4>5</vt:i4>
      </vt:variant>
      <vt:variant>
        <vt:lpwstr>http://www.bafu.admin.ch/biotechnologie/13477/16459/index.html?lang=de&amp;download=NHzLpZeg7t,lnp6I0NTU042l2Z6ln1acy4Zn4Z2qZpnO2Yuq2Z6gpJCHeYR9g2ym162epYbg2c_JjKbNoKSn6A--</vt:lpwstr>
      </vt:variant>
      <vt:variant>
        <vt:lpwstr/>
      </vt:variant>
      <vt:variant>
        <vt:i4>2359362</vt:i4>
      </vt:variant>
      <vt:variant>
        <vt:i4>135</vt:i4>
      </vt:variant>
      <vt:variant>
        <vt:i4>0</vt:i4>
      </vt:variant>
      <vt:variant>
        <vt:i4>5</vt:i4>
      </vt:variant>
      <vt:variant>
        <vt:lpwstr>http://www.sib.admin.ch/fileadmin/_migrated/content_uploads/Ratification_of_the_NP_inSwitzerland_-_Explanatory_notes_to_the_draft_legal_measures_-_10_April2013.pdf</vt:lpwstr>
      </vt:variant>
      <vt:variant>
        <vt:lpwstr/>
      </vt:variant>
      <vt:variant>
        <vt:i4>1179661</vt:i4>
      </vt:variant>
      <vt:variant>
        <vt:i4>132</vt:i4>
      </vt:variant>
      <vt:variant>
        <vt:i4>0</vt:i4>
      </vt:variant>
      <vt:variant>
        <vt:i4>5</vt:i4>
      </vt:variant>
      <vt:variant>
        <vt:lpwstr>https://www.admin.ch/opc/it/federal-gazette/2013/2531.pdf</vt:lpwstr>
      </vt:variant>
      <vt:variant>
        <vt:lpwstr/>
      </vt:variant>
      <vt:variant>
        <vt:i4>1769472</vt:i4>
      </vt:variant>
      <vt:variant>
        <vt:i4>129</vt:i4>
      </vt:variant>
      <vt:variant>
        <vt:i4>0</vt:i4>
      </vt:variant>
      <vt:variant>
        <vt:i4>5</vt:i4>
      </vt:variant>
      <vt:variant>
        <vt:lpwstr>https://www.admin.ch/opc/fr/federal-gazette/2013/2659.pdf</vt:lpwstr>
      </vt:variant>
      <vt:variant>
        <vt:lpwstr/>
      </vt:variant>
      <vt:variant>
        <vt:i4>1900561</vt:i4>
      </vt:variant>
      <vt:variant>
        <vt:i4>126</vt:i4>
      </vt:variant>
      <vt:variant>
        <vt:i4>0</vt:i4>
      </vt:variant>
      <vt:variant>
        <vt:i4>5</vt:i4>
      </vt:variant>
      <vt:variant>
        <vt:lpwstr>https://www.admin.ch/opc/de/federal-gazette/2013/3009.pdf</vt:lpwstr>
      </vt:variant>
      <vt:variant>
        <vt:lpwstr/>
      </vt:variant>
      <vt:variant>
        <vt:i4>2883635</vt:i4>
      </vt:variant>
      <vt:variant>
        <vt:i4>123</vt:i4>
      </vt:variant>
      <vt:variant>
        <vt:i4>0</vt:i4>
      </vt:variant>
      <vt:variant>
        <vt:i4>5</vt:i4>
      </vt:variant>
      <vt:variant>
        <vt:lpwstr>https://www.admin.ch/opc/en/classified-compilation/20150120/index.html</vt:lpwstr>
      </vt:variant>
      <vt:variant>
        <vt:lpwstr/>
      </vt:variant>
      <vt:variant>
        <vt:i4>3014717</vt:i4>
      </vt:variant>
      <vt:variant>
        <vt:i4>120</vt:i4>
      </vt:variant>
      <vt:variant>
        <vt:i4>0</vt:i4>
      </vt:variant>
      <vt:variant>
        <vt:i4>5</vt:i4>
      </vt:variant>
      <vt:variant>
        <vt:lpwstr>https://www.admin.ch/opc/en/classified-compilation/19660144/index.html</vt:lpwstr>
      </vt:variant>
      <vt:variant>
        <vt:lpwstr/>
      </vt:variant>
      <vt:variant>
        <vt:i4>3801148</vt:i4>
      </vt:variant>
      <vt:variant>
        <vt:i4>117</vt:i4>
      </vt:variant>
      <vt:variant>
        <vt:i4>0</vt:i4>
      </vt:variant>
      <vt:variant>
        <vt:i4>5</vt:i4>
      </vt:variant>
      <vt:variant>
        <vt:lpwstr>https://www.cbd.int/abs/doc/protocol/nagoya-protocol-en.pdf</vt:lpwstr>
      </vt:variant>
      <vt:variant>
        <vt:lpwstr/>
      </vt:variant>
      <vt:variant>
        <vt:i4>1638418</vt:i4>
      </vt:variant>
      <vt:variant>
        <vt:i4>114</vt:i4>
      </vt:variant>
      <vt:variant>
        <vt:i4>0</vt:i4>
      </vt:variant>
      <vt:variant>
        <vt:i4>5</vt:i4>
      </vt:variant>
      <vt:variant>
        <vt:lpwstr>https://www.cbd.int/doc/legal/cbd-en.pdf</vt:lpwstr>
      </vt:variant>
      <vt:variant>
        <vt:lpwstr/>
      </vt:variant>
      <vt:variant>
        <vt:i4>8060978</vt:i4>
      </vt:variant>
      <vt:variant>
        <vt:i4>111</vt:i4>
      </vt:variant>
      <vt:variant>
        <vt:i4>0</vt:i4>
      </vt:variant>
      <vt:variant>
        <vt:i4>5</vt:i4>
      </vt:variant>
      <vt:variant>
        <vt:lpwstr>https://www.admin.ch/opc/it/federal-gazette/2006/1.pdf</vt:lpwstr>
      </vt:variant>
      <vt:variant>
        <vt:lpwstr/>
      </vt:variant>
      <vt:variant>
        <vt:i4>7602228</vt:i4>
      </vt:variant>
      <vt:variant>
        <vt:i4>108</vt:i4>
      </vt:variant>
      <vt:variant>
        <vt:i4>0</vt:i4>
      </vt:variant>
      <vt:variant>
        <vt:i4>5</vt:i4>
      </vt:variant>
      <vt:variant>
        <vt:lpwstr>https://www.admin.ch/opc/fr/federal-gazette/2006/1.pdf</vt:lpwstr>
      </vt:variant>
      <vt:variant>
        <vt:lpwstr/>
      </vt:variant>
      <vt:variant>
        <vt:i4>7733283</vt:i4>
      </vt:variant>
      <vt:variant>
        <vt:i4>105</vt:i4>
      </vt:variant>
      <vt:variant>
        <vt:i4>0</vt:i4>
      </vt:variant>
      <vt:variant>
        <vt:i4>5</vt:i4>
      </vt:variant>
      <vt:variant>
        <vt:lpwstr>https://www.admin.ch/opc/de/federal-gazette/2006/1.pdf</vt:lpwstr>
      </vt:variant>
      <vt:variant>
        <vt:lpwstr/>
      </vt:variant>
      <vt:variant>
        <vt:i4>2228257</vt:i4>
      </vt:variant>
      <vt:variant>
        <vt:i4>102</vt:i4>
      </vt:variant>
      <vt:variant>
        <vt:i4>0</vt:i4>
      </vt:variant>
      <vt:variant>
        <vt:i4>5</vt:i4>
      </vt:variant>
      <vt:variant>
        <vt:lpwstr>https://www.admin.ch/opc/it/classified-compilation/19770250/index.html</vt:lpwstr>
      </vt:variant>
      <vt:variant>
        <vt:lpwstr/>
      </vt:variant>
      <vt:variant>
        <vt:i4>2949159</vt:i4>
      </vt:variant>
      <vt:variant>
        <vt:i4>99</vt:i4>
      </vt:variant>
      <vt:variant>
        <vt:i4>0</vt:i4>
      </vt:variant>
      <vt:variant>
        <vt:i4>5</vt:i4>
      </vt:variant>
      <vt:variant>
        <vt:lpwstr>https://www.admin.ch/opc/fr/classified-compilation/19770250/index.html</vt:lpwstr>
      </vt:variant>
      <vt:variant>
        <vt:lpwstr/>
      </vt:variant>
      <vt:variant>
        <vt:i4>3080240</vt:i4>
      </vt:variant>
      <vt:variant>
        <vt:i4>96</vt:i4>
      </vt:variant>
      <vt:variant>
        <vt:i4>0</vt:i4>
      </vt:variant>
      <vt:variant>
        <vt:i4>5</vt:i4>
      </vt:variant>
      <vt:variant>
        <vt:lpwstr>https://www.admin.ch/opc/de/classified-compilation/19770250/index.html</vt:lpwstr>
      </vt:variant>
      <vt:variant>
        <vt:lpwstr/>
      </vt:variant>
      <vt:variant>
        <vt:i4>2687027</vt:i4>
      </vt:variant>
      <vt:variant>
        <vt:i4>93</vt:i4>
      </vt:variant>
      <vt:variant>
        <vt:i4>0</vt:i4>
      </vt:variant>
      <vt:variant>
        <vt:i4>5</vt:i4>
      </vt:variant>
      <vt:variant>
        <vt:lpwstr>https://www.admin.ch/opc/en/classified-compilation/19540108/index.html</vt:lpwstr>
      </vt:variant>
      <vt:variant>
        <vt:lpwstr/>
      </vt:variant>
      <vt:variant>
        <vt:i4>1441854</vt:i4>
      </vt:variant>
      <vt:variant>
        <vt:i4>86</vt:i4>
      </vt:variant>
      <vt:variant>
        <vt:i4>0</vt:i4>
      </vt:variant>
      <vt:variant>
        <vt:i4>5</vt:i4>
      </vt:variant>
      <vt:variant>
        <vt:lpwstr/>
      </vt:variant>
      <vt:variant>
        <vt:lpwstr>_Toc457989544</vt:lpwstr>
      </vt:variant>
      <vt:variant>
        <vt:i4>1441854</vt:i4>
      </vt:variant>
      <vt:variant>
        <vt:i4>83</vt:i4>
      </vt:variant>
      <vt:variant>
        <vt:i4>0</vt:i4>
      </vt:variant>
      <vt:variant>
        <vt:i4>5</vt:i4>
      </vt:variant>
      <vt:variant>
        <vt:lpwstr/>
      </vt:variant>
      <vt:variant>
        <vt:lpwstr>_Toc457989543</vt:lpwstr>
      </vt:variant>
      <vt:variant>
        <vt:i4>1245246</vt:i4>
      </vt:variant>
      <vt:variant>
        <vt:i4>77</vt:i4>
      </vt:variant>
      <vt:variant>
        <vt:i4>0</vt:i4>
      </vt:variant>
      <vt:variant>
        <vt:i4>5</vt:i4>
      </vt:variant>
      <vt:variant>
        <vt:lpwstr/>
      </vt:variant>
      <vt:variant>
        <vt:lpwstr>_Toc457989517</vt:lpwstr>
      </vt:variant>
      <vt:variant>
        <vt:i4>1245246</vt:i4>
      </vt:variant>
      <vt:variant>
        <vt:i4>74</vt:i4>
      </vt:variant>
      <vt:variant>
        <vt:i4>0</vt:i4>
      </vt:variant>
      <vt:variant>
        <vt:i4>5</vt:i4>
      </vt:variant>
      <vt:variant>
        <vt:lpwstr/>
      </vt:variant>
      <vt:variant>
        <vt:lpwstr>_Toc457989516</vt:lpwstr>
      </vt:variant>
      <vt:variant>
        <vt:i4>1179710</vt:i4>
      </vt:variant>
      <vt:variant>
        <vt:i4>68</vt:i4>
      </vt:variant>
      <vt:variant>
        <vt:i4>0</vt:i4>
      </vt:variant>
      <vt:variant>
        <vt:i4>5</vt:i4>
      </vt:variant>
      <vt:variant>
        <vt:lpwstr/>
      </vt:variant>
      <vt:variant>
        <vt:lpwstr>_Toc457989506</vt:lpwstr>
      </vt:variant>
      <vt:variant>
        <vt:i4>1179710</vt:i4>
      </vt:variant>
      <vt:variant>
        <vt:i4>62</vt:i4>
      </vt:variant>
      <vt:variant>
        <vt:i4>0</vt:i4>
      </vt:variant>
      <vt:variant>
        <vt:i4>5</vt:i4>
      </vt:variant>
      <vt:variant>
        <vt:lpwstr/>
      </vt:variant>
      <vt:variant>
        <vt:lpwstr>_Toc457989502</vt:lpwstr>
      </vt:variant>
      <vt:variant>
        <vt:i4>1769535</vt:i4>
      </vt:variant>
      <vt:variant>
        <vt:i4>56</vt:i4>
      </vt:variant>
      <vt:variant>
        <vt:i4>0</vt:i4>
      </vt:variant>
      <vt:variant>
        <vt:i4>5</vt:i4>
      </vt:variant>
      <vt:variant>
        <vt:lpwstr/>
      </vt:variant>
      <vt:variant>
        <vt:lpwstr>_Toc457989490</vt:lpwstr>
      </vt:variant>
      <vt:variant>
        <vt:i4>1703999</vt:i4>
      </vt:variant>
      <vt:variant>
        <vt:i4>50</vt:i4>
      </vt:variant>
      <vt:variant>
        <vt:i4>0</vt:i4>
      </vt:variant>
      <vt:variant>
        <vt:i4>5</vt:i4>
      </vt:variant>
      <vt:variant>
        <vt:lpwstr/>
      </vt:variant>
      <vt:variant>
        <vt:lpwstr>_Toc457989486</vt:lpwstr>
      </vt:variant>
      <vt:variant>
        <vt:i4>1703999</vt:i4>
      </vt:variant>
      <vt:variant>
        <vt:i4>44</vt:i4>
      </vt:variant>
      <vt:variant>
        <vt:i4>0</vt:i4>
      </vt:variant>
      <vt:variant>
        <vt:i4>5</vt:i4>
      </vt:variant>
      <vt:variant>
        <vt:lpwstr/>
      </vt:variant>
      <vt:variant>
        <vt:lpwstr>_Toc457989485</vt:lpwstr>
      </vt:variant>
      <vt:variant>
        <vt:i4>1376319</vt:i4>
      </vt:variant>
      <vt:variant>
        <vt:i4>38</vt:i4>
      </vt:variant>
      <vt:variant>
        <vt:i4>0</vt:i4>
      </vt:variant>
      <vt:variant>
        <vt:i4>5</vt:i4>
      </vt:variant>
      <vt:variant>
        <vt:lpwstr/>
      </vt:variant>
      <vt:variant>
        <vt:lpwstr>_Toc457989472</vt:lpwstr>
      </vt:variant>
      <vt:variant>
        <vt:i4>1310783</vt:i4>
      </vt:variant>
      <vt:variant>
        <vt:i4>32</vt:i4>
      </vt:variant>
      <vt:variant>
        <vt:i4>0</vt:i4>
      </vt:variant>
      <vt:variant>
        <vt:i4>5</vt:i4>
      </vt:variant>
      <vt:variant>
        <vt:lpwstr/>
      </vt:variant>
      <vt:variant>
        <vt:lpwstr>_Toc457989468</vt:lpwstr>
      </vt:variant>
      <vt:variant>
        <vt:i4>1507391</vt:i4>
      </vt:variant>
      <vt:variant>
        <vt:i4>26</vt:i4>
      </vt:variant>
      <vt:variant>
        <vt:i4>0</vt:i4>
      </vt:variant>
      <vt:variant>
        <vt:i4>5</vt:i4>
      </vt:variant>
      <vt:variant>
        <vt:lpwstr/>
      </vt:variant>
      <vt:variant>
        <vt:lpwstr>_Toc457989454</vt:lpwstr>
      </vt:variant>
      <vt:variant>
        <vt:i4>1441855</vt:i4>
      </vt:variant>
      <vt:variant>
        <vt:i4>20</vt:i4>
      </vt:variant>
      <vt:variant>
        <vt:i4>0</vt:i4>
      </vt:variant>
      <vt:variant>
        <vt:i4>5</vt:i4>
      </vt:variant>
      <vt:variant>
        <vt:lpwstr/>
      </vt:variant>
      <vt:variant>
        <vt:lpwstr>_Toc457989444</vt:lpwstr>
      </vt:variant>
      <vt:variant>
        <vt:i4>1441855</vt:i4>
      </vt:variant>
      <vt:variant>
        <vt:i4>14</vt:i4>
      </vt:variant>
      <vt:variant>
        <vt:i4>0</vt:i4>
      </vt:variant>
      <vt:variant>
        <vt:i4>5</vt:i4>
      </vt:variant>
      <vt:variant>
        <vt:lpwstr/>
      </vt:variant>
      <vt:variant>
        <vt:lpwstr>_Toc457989440</vt:lpwstr>
      </vt:variant>
      <vt:variant>
        <vt:i4>1114175</vt:i4>
      </vt:variant>
      <vt:variant>
        <vt:i4>8</vt:i4>
      </vt:variant>
      <vt:variant>
        <vt:i4>0</vt:i4>
      </vt:variant>
      <vt:variant>
        <vt:i4>5</vt:i4>
      </vt:variant>
      <vt:variant>
        <vt:lpwstr/>
      </vt:variant>
      <vt:variant>
        <vt:lpwstr>_Toc457989439</vt:lpwstr>
      </vt:variant>
      <vt:variant>
        <vt:i4>1114175</vt:i4>
      </vt:variant>
      <vt:variant>
        <vt:i4>2</vt:i4>
      </vt:variant>
      <vt:variant>
        <vt:i4>0</vt:i4>
      </vt:variant>
      <vt:variant>
        <vt:i4>5</vt:i4>
      </vt:variant>
      <vt:variant>
        <vt:lpwstr/>
      </vt:variant>
      <vt:variant>
        <vt:lpwstr>_Toc457989434</vt:lpwstr>
      </vt:variant>
      <vt:variant>
        <vt:i4>4718631</vt:i4>
      </vt:variant>
      <vt:variant>
        <vt:i4>21</vt:i4>
      </vt:variant>
      <vt:variant>
        <vt:i4>0</vt:i4>
      </vt:variant>
      <vt:variant>
        <vt:i4>5</vt:i4>
      </vt:variant>
      <vt:variant>
        <vt:lpwstr>http://www.fao.org/fishery/legalframework/nalo_mexico/en</vt:lpwstr>
      </vt:variant>
      <vt:variant>
        <vt:lpwstr/>
      </vt:variant>
      <vt:variant>
        <vt:i4>3670059</vt:i4>
      </vt:variant>
      <vt:variant>
        <vt:i4>18</vt:i4>
      </vt:variant>
      <vt:variant>
        <vt:i4>0</vt:i4>
      </vt:variant>
      <vt:variant>
        <vt:i4>5</vt:i4>
      </vt:variant>
      <vt:variant>
        <vt:lpwstr>http://eur-lex.europa.eu/legal-content/EN/TXT/PDF/?uri=CELEX:32014R0511&amp;from=EN</vt:lpwstr>
      </vt:variant>
      <vt:variant>
        <vt:lpwstr/>
      </vt:variant>
      <vt:variant>
        <vt:i4>2293786</vt:i4>
      </vt:variant>
      <vt:variant>
        <vt:i4>15</vt:i4>
      </vt:variant>
      <vt:variant>
        <vt:i4>0</vt:i4>
      </vt:variant>
      <vt:variant>
        <vt:i4>5</vt:i4>
      </vt:variant>
      <vt:variant>
        <vt:lpwstr>http://www.wipo.int/edocs/mdocs/tk/en/wipo_grtkf_ic_11/wipo_grtkf_ic_11_10.pdf</vt:lpwstr>
      </vt:variant>
      <vt:variant>
        <vt:lpwstr/>
      </vt:variant>
      <vt:variant>
        <vt:i4>8060978</vt:i4>
      </vt:variant>
      <vt:variant>
        <vt:i4>12</vt:i4>
      </vt:variant>
      <vt:variant>
        <vt:i4>0</vt:i4>
      </vt:variant>
      <vt:variant>
        <vt:i4>5</vt:i4>
      </vt:variant>
      <vt:variant>
        <vt:lpwstr>https://www.admin.ch/opc/it/federal-gazette/2006/1.pdf</vt:lpwstr>
      </vt:variant>
      <vt:variant>
        <vt:lpwstr/>
      </vt:variant>
      <vt:variant>
        <vt:i4>7602228</vt:i4>
      </vt:variant>
      <vt:variant>
        <vt:i4>9</vt:i4>
      </vt:variant>
      <vt:variant>
        <vt:i4>0</vt:i4>
      </vt:variant>
      <vt:variant>
        <vt:i4>5</vt:i4>
      </vt:variant>
      <vt:variant>
        <vt:lpwstr>https://www.admin.ch/opc/fr/federal-gazette/2006/1.pdf</vt:lpwstr>
      </vt:variant>
      <vt:variant>
        <vt:lpwstr/>
      </vt:variant>
      <vt:variant>
        <vt:i4>7733283</vt:i4>
      </vt:variant>
      <vt:variant>
        <vt:i4>6</vt:i4>
      </vt:variant>
      <vt:variant>
        <vt:i4>0</vt:i4>
      </vt:variant>
      <vt:variant>
        <vt:i4>5</vt:i4>
      </vt:variant>
      <vt:variant>
        <vt:lpwstr>https://www.admin.ch/opc/de/federal-gazette/2006/1.pdf</vt:lpwstr>
      </vt:variant>
      <vt:variant>
        <vt:lpwstr/>
      </vt:variant>
      <vt:variant>
        <vt:i4>5439566</vt:i4>
      </vt:variant>
      <vt:variant>
        <vt:i4>3</vt:i4>
      </vt:variant>
      <vt:variant>
        <vt:i4>0</vt:i4>
      </vt:variant>
      <vt:variant>
        <vt:i4>5</vt:i4>
      </vt:variant>
      <vt:variant>
        <vt:lpwstr>http://www.wipo.int/meetings/en/doc_details.jsp?doc_id=131586</vt:lpwstr>
      </vt:variant>
      <vt:variant>
        <vt:lpwstr/>
      </vt:variant>
      <vt:variant>
        <vt:i4>4980779</vt:i4>
      </vt:variant>
      <vt:variant>
        <vt:i4>0</vt:i4>
      </vt:variant>
      <vt:variant>
        <vt:i4>0</vt:i4>
      </vt:variant>
      <vt:variant>
        <vt:i4>5</vt:i4>
      </vt:variant>
      <vt:variant>
        <vt:lpwstr>http://www.wipo.int/edocs/mdocs/tk/en/wipo_grtkf_ic_30/wipo_grtkf_ic_30_9.pdf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NGG/MP/SCU/CB/sc</cp:keywords>
  <cp:lastModifiedBy>COUTURE Sébastien</cp:lastModifiedBy>
  <cp:revision>14</cp:revision>
  <cp:lastPrinted>2016-09-16T08:48:00Z</cp:lastPrinted>
  <dcterms:created xsi:type="dcterms:W3CDTF">2016-09-16T07:22:00Z</dcterms:created>
  <dcterms:modified xsi:type="dcterms:W3CDTF">2016-09-16T14:08:00Z</dcterms:modified>
</cp:coreProperties>
</file>