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D5D58" w:rsidRPr="00CD5D58" w:rsidTr="00324BA0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D5D58" w:rsidRPr="00CD5D58" w:rsidRDefault="00CD5D58" w:rsidP="00324BA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5D58" w:rsidRPr="00CD5D58" w:rsidRDefault="00CD5D58" w:rsidP="00324BA0">
            <w:pPr>
              <w:rPr>
                <w:lang w:val="fr-FR"/>
              </w:rPr>
            </w:pPr>
            <w:r w:rsidRPr="00CD5D58">
              <w:rPr>
                <w:noProof/>
                <w:lang w:eastAsia="en-US"/>
              </w:rPr>
              <w:drawing>
                <wp:inline distT="0" distB="0" distL="0" distR="0" wp14:anchorId="24C5A4F9" wp14:editId="4D569815">
                  <wp:extent cx="1861185" cy="1320165"/>
                  <wp:effectExtent l="0" t="0" r="5715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5D58" w:rsidRPr="00CD5D58" w:rsidRDefault="00CD5D58" w:rsidP="00324BA0">
            <w:pPr>
              <w:jc w:val="right"/>
              <w:rPr>
                <w:lang w:val="fr-FR"/>
              </w:rPr>
            </w:pPr>
            <w:r w:rsidRPr="00CD5D5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D5D58" w:rsidRPr="00CD5D58" w:rsidTr="00324BA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D5D58" w:rsidRPr="00CD5D58" w:rsidRDefault="00CD5D58" w:rsidP="00CD5D5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5D58">
              <w:rPr>
                <w:rFonts w:ascii="Arial Black" w:hAnsi="Arial Black"/>
                <w:caps/>
                <w:sz w:val="15"/>
                <w:lang w:val="fr-FR"/>
              </w:rPr>
              <w:t>WIPO/GRTKF/IC/30/5</w:t>
            </w:r>
          </w:p>
        </w:tc>
      </w:tr>
      <w:tr w:rsidR="00CD5D58" w:rsidRPr="00CD5D58" w:rsidTr="00324BA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D5D58" w:rsidRPr="00CD5D58" w:rsidRDefault="00CD5D58" w:rsidP="00324B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5D58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CD5D58" w:rsidRPr="00CD5D58" w:rsidTr="00324BA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D5D58" w:rsidRPr="00CD5D58" w:rsidRDefault="00CD5D58" w:rsidP="00324B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D5D58">
              <w:rPr>
                <w:rFonts w:ascii="Arial Black" w:hAnsi="Arial Black"/>
                <w:caps/>
                <w:sz w:val="15"/>
                <w:lang w:val="fr-FR"/>
              </w:rPr>
              <w:t>DATE : 9 MARS 2016</w:t>
            </w:r>
          </w:p>
        </w:tc>
      </w:tr>
    </w:tbl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b/>
          <w:sz w:val="28"/>
          <w:szCs w:val="28"/>
          <w:lang w:val="fr-FR"/>
        </w:rPr>
      </w:pPr>
      <w:r w:rsidRPr="00CD5D58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b/>
          <w:sz w:val="24"/>
          <w:szCs w:val="24"/>
          <w:lang w:val="fr-FR"/>
        </w:rPr>
      </w:pPr>
      <w:r w:rsidRPr="00CD5D58">
        <w:rPr>
          <w:b/>
          <w:sz w:val="24"/>
          <w:szCs w:val="24"/>
          <w:lang w:val="fr-FR"/>
        </w:rPr>
        <w:t>Trentième session</w:t>
      </w:r>
    </w:p>
    <w:p w:rsidR="00CD5D58" w:rsidRPr="00CD5D58" w:rsidRDefault="00CD5D58" w:rsidP="00CD5D58">
      <w:pPr>
        <w:rPr>
          <w:b/>
          <w:sz w:val="24"/>
          <w:szCs w:val="24"/>
          <w:lang w:val="fr-FR"/>
        </w:rPr>
      </w:pPr>
      <w:r w:rsidRPr="00CD5D58">
        <w:rPr>
          <w:b/>
          <w:sz w:val="24"/>
          <w:szCs w:val="24"/>
          <w:lang w:val="fr-FR"/>
        </w:rPr>
        <w:t>Genève, 30 mai – 3 juin 2016</w:t>
      </w:r>
    </w:p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lang w:val="fr-FR"/>
        </w:rPr>
      </w:pPr>
    </w:p>
    <w:p w:rsidR="00CD5D58" w:rsidRPr="00CD5D58" w:rsidRDefault="00CD5D58" w:rsidP="00CD5D58">
      <w:pPr>
        <w:rPr>
          <w:lang w:val="fr-FR"/>
        </w:rPr>
      </w:pPr>
    </w:p>
    <w:p w:rsidR="00302338" w:rsidRPr="00CD5D58" w:rsidRDefault="00302338" w:rsidP="00302338">
      <w:pPr>
        <w:rPr>
          <w:lang w:val="fr-FR"/>
        </w:rPr>
      </w:pPr>
    </w:p>
    <w:p w:rsidR="00302338" w:rsidRPr="00CD5D58" w:rsidRDefault="00302338" w:rsidP="00302338">
      <w:pPr>
        <w:rPr>
          <w:lang w:val="fr-FR"/>
        </w:rPr>
      </w:pPr>
    </w:p>
    <w:p w:rsidR="00302338" w:rsidRPr="00CD5D58" w:rsidRDefault="002C0223" w:rsidP="002C0223">
      <w:pPr>
        <w:rPr>
          <w:caps/>
          <w:sz w:val="24"/>
          <w:lang w:val="fr-FR"/>
        </w:rPr>
      </w:pPr>
      <w:bookmarkStart w:id="1" w:name="TitleOfDoc"/>
      <w:bookmarkEnd w:id="1"/>
      <w:r w:rsidRPr="00CD5D58">
        <w:rPr>
          <w:caps/>
          <w:sz w:val="24"/>
          <w:lang w:val="fr-FR"/>
        </w:rPr>
        <w:t xml:space="preserve">Liste indicative de questions en suspens </w:t>
      </w:r>
      <w:r w:rsidR="004C5101" w:rsidRPr="00CD5D58">
        <w:rPr>
          <w:caps/>
          <w:sz w:val="24"/>
          <w:lang w:val="fr-FR"/>
        </w:rPr>
        <w:t>À</w:t>
      </w:r>
      <w:r w:rsidRPr="00CD5D58">
        <w:rPr>
          <w:caps/>
          <w:sz w:val="24"/>
          <w:lang w:val="fr-FR"/>
        </w:rPr>
        <w:t xml:space="preserve"> aborder/r</w:t>
      </w:r>
      <w:r w:rsidR="004C5101" w:rsidRPr="00CD5D58">
        <w:rPr>
          <w:caps/>
          <w:sz w:val="24"/>
          <w:lang w:val="fr-FR"/>
        </w:rPr>
        <w:t>É</w:t>
      </w:r>
      <w:r w:rsidRPr="00CD5D58">
        <w:rPr>
          <w:caps/>
          <w:sz w:val="24"/>
          <w:lang w:val="fr-FR"/>
        </w:rPr>
        <w:t>gler</w:t>
      </w:r>
    </w:p>
    <w:p w:rsidR="00302338" w:rsidRPr="00CD5D58" w:rsidRDefault="00302338" w:rsidP="00302338">
      <w:pPr>
        <w:rPr>
          <w:lang w:val="fr-FR"/>
        </w:rPr>
      </w:pPr>
    </w:p>
    <w:p w:rsidR="00302338" w:rsidRPr="00CD5D58" w:rsidRDefault="00012DA6" w:rsidP="00302338">
      <w:pPr>
        <w:rPr>
          <w:i/>
          <w:lang w:val="fr-FR"/>
        </w:rPr>
      </w:pPr>
      <w:bookmarkStart w:id="2" w:name="Prepared"/>
      <w:bookmarkEnd w:id="2"/>
      <w:r w:rsidRPr="00CD5D58">
        <w:rPr>
          <w:i/>
          <w:lang w:val="fr-FR"/>
        </w:rPr>
        <w:t xml:space="preserve">Document </w:t>
      </w:r>
      <w:r w:rsidR="002C0223" w:rsidRPr="00CD5D58">
        <w:rPr>
          <w:i/>
          <w:lang w:val="fr-FR"/>
        </w:rPr>
        <w:t>établi par le</w:t>
      </w:r>
      <w:r w:rsidR="00472D56" w:rsidRPr="00CD5D58">
        <w:rPr>
          <w:i/>
          <w:lang w:val="fr-FR"/>
        </w:rPr>
        <w:t xml:space="preserve"> Secr</w:t>
      </w:r>
      <w:r w:rsidR="002C0223" w:rsidRPr="00CD5D58">
        <w:rPr>
          <w:i/>
          <w:lang w:val="fr-FR"/>
        </w:rPr>
        <w:t>é</w:t>
      </w:r>
      <w:r w:rsidR="00472D56" w:rsidRPr="00CD5D58">
        <w:rPr>
          <w:i/>
          <w:lang w:val="fr-FR"/>
        </w:rPr>
        <w:t>tariat</w:t>
      </w:r>
    </w:p>
    <w:p w:rsidR="00302338" w:rsidRPr="00CD5D58" w:rsidRDefault="00302338" w:rsidP="00302338">
      <w:pPr>
        <w:rPr>
          <w:i/>
          <w:lang w:val="fr-FR"/>
        </w:rPr>
      </w:pPr>
    </w:p>
    <w:p w:rsidR="00302338" w:rsidRPr="00CD5D58" w:rsidRDefault="00302338" w:rsidP="00302338">
      <w:pPr>
        <w:rPr>
          <w:i/>
          <w:lang w:val="fr-FR"/>
        </w:rPr>
      </w:pPr>
    </w:p>
    <w:p w:rsidR="00302338" w:rsidRPr="00CD5D58" w:rsidRDefault="00302338" w:rsidP="00302338">
      <w:pPr>
        <w:rPr>
          <w:i/>
          <w:lang w:val="fr-FR"/>
        </w:rPr>
      </w:pPr>
    </w:p>
    <w:p w:rsidR="00302338" w:rsidRPr="00CD5D58" w:rsidRDefault="00302338" w:rsidP="00C64FAD">
      <w:pPr>
        <w:tabs>
          <w:tab w:val="left" w:pos="1710"/>
        </w:tabs>
        <w:rPr>
          <w:i/>
          <w:szCs w:val="22"/>
          <w:lang w:val="fr-FR"/>
        </w:rPr>
      </w:pPr>
    </w:p>
    <w:p w:rsidR="00CD5D58" w:rsidRDefault="002C0223" w:rsidP="002C0223">
      <w:pPr>
        <w:pStyle w:val="ONUME"/>
        <w:rPr>
          <w:lang w:val="fr-FR"/>
        </w:rPr>
      </w:pPr>
      <w:r w:rsidRPr="00CD5D58">
        <w:rPr>
          <w:lang w:val="fr-FR"/>
        </w:rPr>
        <w:t>À sa vingt</w:t>
      </w:r>
      <w:r w:rsidR="002064B9">
        <w:rPr>
          <w:lang w:val="fr-FR"/>
        </w:rPr>
        <w:noBreakHyphen/>
      </w:r>
      <w:r w:rsidRPr="00CD5D58">
        <w:rPr>
          <w:lang w:val="fr-FR"/>
        </w:rPr>
        <w:t>neuvième session tenue du 15 au 19 février </w:t>
      </w:r>
      <w:r w:rsidR="00EE50ED" w:rsidRPr="00CD5D58">
        <w:rPr>
          <w:lang w:val="fr-FR"/>
        </w:rPr>
        <w:t xml:space="preserve">2016, </w:t>
      </w:r>
      <w:r w:rsidRPr="00CD5D58">
        <w:rPr>
          <w:lang w:val="fr-FR"/>
        </w:rPr>
        <w:t>le Comité intergouvernemental de la propriété intellectuelle relative aux ressources génétiques, aux savoirs traditionnels et au folklore (ci</w:t>
      </w:r>
      <w:r w:rsidR="002064B9">
        <w:rPr>
          <w:lang w:val="fr-FR"/>
        </w:rPr>
        <w:noBreakHyphen/>
      </w:r>
      <w:r w:rsidRPr="00CD5D58">
        <w:rPr>
          <w:lang w:val="fr-FR"/>
        </w:rPr>
        <w:t>après dénommé “comité”), a décidé de transmettre à sa trentième session une “</w:t>
      </w:r>
      <w:r w:rsidRPr="00CD5D58">
        <w:rPr>
          <w:szCs w:val="22"/>
          <w:lang w:val="fr-FR"/>
        </w:rPr>
        <w:t>Liste indicative de questions en suspens à aborder/régler à la prochaine session</w:t>
      </w:r>
      <w:r w:rsidR="00012DA6" w:rsidRPr="00CD5D58">
        <w:rPr>
          <w:lang w:val="fr-FR"/>
        </w:rPr>
        <w:t>”</w:t>
      </w:r>
      <w:r w:rsidR="00B86E49" w:rsidRPr="00CD5D58">
        <w:rPr>
          <w:lang w:val="fr-FR"/>
        </w:rPr>
        <w:t xml:space="preserve"> (</w:t>
      </w:r>
      <w:r w:rsidRPr="00CD5D58">
        <w:rPr>
          <w:lang w:val="fr-FR"/>
        </w:rPr>
        <w:t>ci</w:t>
      </w:r>
      <w:r w:rsidR="002064B9">
        <w:rPr>
          <w:lang w:val="fr-FR"/>
        </w:rPr>
        <w:noBreakHyphen/>
      </w:r>
      <w:r w:rsidRPr="00CD5D58">
        <w:rPr>
          <w:lang w:val="fr-FR"/>
        </w:rPr>
        <w:t xml:space="preserve">après dénommée </w:t>
      </w:r>
      <w:r w:rsidR="00B86E49" w:rsidRPr="00CD5D58">
        <w:rPr>
          <w:lang w:val="fr-FR"/>
        </w:rPr>
        <w:t>“</w:t>
      </w:r>
      <w:r w:rsidRPr="00CD5D58">
        <w:rPr>
          <w:lang w:val="fr-FR"/>
        </w:rPr>
        <w:t>l</w:t>
      </w:r>
      <w:r w:rsidR="00B86E49" w:rsidRPr="00CD5D58">
        <w:rPr>
          <w:lang w:val="fr-FR"/>
        </w:rPr>
        <w:t>ist</w:t>
      </w:r>
      <w:r w:rsidRPr="00CD5D58">
        <w:rPr>
          <w:lang w:val="fr-FR"/>
        </w:rPr>
        <w:t>e</w:t>
      </w:r>
      <w:r w:rsidR="00B86E49" w:rsidRPr="00CD5D58">
        <w:rPr>
          <w:lang w:val="fr-FR"/>
        </w:rPr>
        <w:t>”)</w:t>
      </w:r>
      <w:r w:rsidR="00012DA6" w:rsidRPr="00CD5D58">
        <w:rPr>
          <w:lang w:val="fr-FR"/>
        </w:rPr>
        <w:t xml:space="preserve">, </w:t>
      </w:r>
      <w:r w:rsidRPr="00CD5D58">
        <w:rPr>
          <w:lang w:val="fr-FR"/>
        </w:rPr>
        <w:t>dont une copie figurait dans l</w:t>
      </w:r>
      <w:r w:rsidR="00CD5D58">
        <w:rPr>
          <w:lang w:val="fr-FR"/>
        </w:rPr>
        <w:t>’</w:t>
      </w:r>
      <w:r w:rsidRPr="00CD5D58">
        <w:rPr>
          <w:lang w:val="fr-FR"/>
        </w:rPr>
        <w:t>annexe du document intitulé “</w:t>
      </w:r>
      <w:r w:rsidR="00012DA6" w:rsidRPr="00CD5D58">
        <w:rPr>
          <w:lang w:val="fr-FR"/>
        </w:rPr>
        <w:t>D</w:t>
      </w:r>
      <w:r w:rsidRPr="00CD5D58">
        <w:rPr>
          <w:lang w:val="fr-FR"/>
        </w:rPr>
        <w:t>é</w:t>
      </w:r>
      <w:r w:rsidR="00012DA6" w:rsidRPr="00CD5D58">
        <w:rPr>
          <w:lang w:val="fr-FR"/>
        </w:rPr>
        <w:t xml:space="preserve">cisions </w:t>
      </w:r>
      <w:r w:rsidRPr="00CD5D58">
        <w:rPr>
          <w:lang w:val="fr-FR"/>
        </w:rPr>
        <w:t>de la vingt</w:t>
      </w:r>
      <w:r w:rsidR="002064B9">
        <w:rPr>
          <w:lang w:val="fr-FR"/>
        </w:rPr>
        <w:noBreakHyphen/>
      </w:r>
      <w:r w:rsidRPr="00CD5D58">
        <w:rPr>
          <w:lang w:val="fr-FR"/>
        </w:rPr>
        <w:t>neuvième session du comité”</w:t>
      </w:r>
      <w:r w:rsidR="00012DA6" w:rsidRPr="00CD5D58">
        <w:rPr>
          <w:lang w:val="fr-FR"/>
        </w:rPr>
        <w:t>.</w:t>
      </w:r>
    </w:p>
    <w:p w:rsidR="00012DA6" w:rsidRPr="00CD5D58" w:rsidRDefault="002C0223" w:rsidP="00012DA6">
      <w:pPr>
        <w:pStyle w:val="ONUME"/>
        <w:rPr>
          <w:szCs w:val="22"/>
          <w:lang w:val="fr-FR"/>
        </w:rPr>
      </w:pPr>
      <w:r w:rsidRPr="00CD5D58">
        <w:rPr>
          <w:szCs w:val="22"/>
          <w:lang w:val="fr-FR"/>
        </w:rPr>
        <w:t>Conformément à cette décision, la liste figure dans l</w:t>
      </w:r>
      <w:r w:rsidR="00CD5D58">
        <w:rPr>
          <w:szCs w:val="22"/>
          <w:lang w:val="fr-FR"/>
        </w:rPr>
        <w:t>’</w:t>
      </w:r>
      <w:r w:rsidRPr="00CD5D58">
        <w:rPr>
          <w:szCs w:val="22"/>
          <w:lang w:val="fr-FR"/>
        </w:rPr>
        <w:t xml:space="preserve">annexe du présent </w:t>
      </w:r>
      <w:r w:rsidR="00012DA6" w:rsidRPr="00CD5D58">
        <w:rPr>
          <w:szCs w:val="22"/>
          <w:lang w:val="fr-FR"/>
        </w:rPr>
        <w:t>document.</w:t>
      </w:r>
    </w:p>
    <w:p w:rsidR="00CD5D58" w:rsidRDefault="002C0223" w:rsidP="00012DA6">
      <w:pPr>
        <w:pStyle w:val="ONUME"/>
        <w:ind w:left="5533"/>
        <w:rPr>
          <w:i/>
          <w:szCs w:val="22"/>
          <w:lang w:val="fr-FR"/>
        </w:rPr>
      </w:pPr>
      <w:r w:rsidRPr="00CD5D58">
        <w:rPr>
          <w:i/>
          <w:szCs w:val="22"/>
          <w:lang w:val="fr-FR"/>
        </w:rPr>
        <w:t>Le comité est invité à prendre note de la liste figurant dans l</w:t>
      </w:r>
      <w:r w:rsidR="00CD5D58">
        <w:rPr>
          <w:i/>
          <w:szCs w:val="22"/>
          <w:lang w:val="fr-FR"/>
        </w:rPr>
        <w:t>’</w:t>
      </w:r>
      <w:r w:rsidRPr="00CD5D58">
        <w:rPr>
          <w:i/>
          <w:szCs w:val="22"/>
          <w:lang w:val="fr-FR"/>
        </w:rPr>
        <w:t>annexe</w:t>
      </w:r>
      <w:r w:rsidR="0059616E" w:rsidRPr="00CD5D58">
        <w:rPr>
          <w:i/>
          <w:szCs w:val="22"/>
          <w:lang w:val="fr-FR"/>
        </w:rPr>
        <w:t>.</w:t>
      </w:r>
    </w:p>
    <w:p w:rsidR="00196D1F" w:rsidRPr="00CD5D58" w:rsidRDefault="00196D1F" w:rsidP="00196D1F">
      <w:pPr>
        <w:pStyle w:val="ONUME"/>
        <w:numPr>
          <w:ilvl w:val="0"/>
          <w:numId w:val="0"/>
        </w:numPr>
        <w:ind w:left="5533"/>
        <w:rPr>
          <w:szCs w:val="22"/>
          <w:lang w:val="fr-FR"/>
        </w:rPr>
      </w:pPr>
    </w:p>
    <w:p w:rsidR="00302338" w:rsidRPr="00CD5D58" w:rsidRDefault="007A26B9" w:rsidP="00012DA6">
      <w:pPr>
        <w:pStyle w:val="ONUME"/>
        <w:numPr>
          <w:ilvl w:val="0"/>
          <w:numId w:val="0"/>
        </w:numPr>
        <w:tabs>
          <w:tab w:val="left" w:pos="1710"/>
        </w:tabs>
        <w:ind w:left="5533"/>
        <w:rPr>
          <w:color w:val="000000"/>
          <w:szCs w:val="22"/>
          <w:lang w:val="fr-FR"/>
        </w:rPr>
      </w:pPr>
      <w:r w:rsidRPr="00CD5D58">
        <w:rPr>
          <w:szCs w:val="22"/>
          <w:lang w:val="fr-FR"/>
        </w:rPr>
        <w:t>[</w:t>
      </w:r>
      <w:r w:rsidR="002C0223" w:rsidRPr="00CD5D58">
        <w:rPr>
          <w:szCs w:val="22"/>
          <w:lang w:val="fr-FR"/>
        </w:rPr>
        <w:t>L</w:t>
      </w:r>
      <w:r w:rsidR="00CD5D58">
        <w:rPr>
          <w:szCs w:val="22"/>
          <w:lang w:val="fr-FR"/>
        </w:rPr>
        <w:t>’</w:t>
      </w:r>
      <w:r w:rsidR="002C0223" w:rsidRPr="00CD5D58">
        <w:rPr>
          <w:szCs w:val="22"/>
          <w:lang w:val="fr-FR"/>
        </w:rPr>
        <w:t>a</w:t>
      </w:r>
      <w:r w:rsidRPr="00CD5D58">
        <w:rPr>
          <w:szCs w:val="22"/>
          <w:lang w:val="fr-FR"/>
        </w:rPr>
        <w:t>nnex</w:t>
      </w:r>
      <w:r w:rsidR="002C0223" w:rsidRPr="00CD5D58">
        <w:rPr>
          <w:szCs w:val="22"/>
          <w:lang w:val="fr-FR"/>
        </w:rPr>
        <w:t>e suit</w:t>
      </w:r>
      <w:r w:rsidRPr="00CD5D58">
        <w:rPr>
          <w:szCs w:val="22"/>
          <w:lang w:val="fr-FR"/>
        </w:rPr>
        <w:t>]</w:t>
      </w:r>
    </w:p>
    <w:p w:rsidR="00BD75DB" w:rsidRPr="00CD5D58" w:rsidRDefault="00BD75DB" w:rsidP="00C64FAD">
      <w:pPr>
        <w:tabs>
          <w:tab w:val="left" w:pos="1710"/>
        </w:tabs>
        <w:rPr>
          <w:color w:val="000000"/>
          <w:szCs w:val="22"/>
          <w:lang w:val="fr-FR"/>
        </w:rPr>
        <w:sectPr w:rsidR="00BD75DB" w:rsidRPr="00CD5D58" w:rsidSect="002064B9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02338" w:rsidRPr="00CD5D58" w:rsidRDefault="00FE6C6B" w:rsidP="00FE6C6B">
      <w:pPr>
        <w:tabs>
          <w:tab w:val="left" w:pos="1710"/>
        </w:tabs>
        <w:jc w:val="center"/>
        <w:rPr>
          <w:b/>
          <w:color w:val="000000"/>
          <w:szCs w:val="22"/>
          <w:lang w:val="fr-FR"/>
        </w:rPr>
      </w:pPr>
      <w:r w:rsidRPr="00CD5D58">
        <w:rPr>
          <w:b/>
          <w:color w:val="000000"/>
          <w:szCs w:val="22"/>
          <w:lang w:val="fr-FR"/>
        </w:rPr>
        <w:lastRenderedPageBreak/>
        <w:t>ANNEX</w:t>
      </w:r>
      <w:r w:rsidR="002C0223" w:rsidRPr="00CD5D58">
        <w:rPr>
          <w:b/>
          <w:color w:val="000000"/>
          <w:szCs w:val="22"/>
          <w:lang w:val="fr-FR"/>
        </w:rPr>
        <w:t>E</w:t>
      </w:r>
    </w:p>
    <w:p w:rsidR="00FE6C6B" w:rsidRPr="00CD5D58" w:rsidRDefault="00FE6C6B" w:rsidP="00FE6C6B">
      <w:pPr>
        <w:tabs>
          <w:tab w:val="left" w:pos="1710"/>
        </w:tabs>
        <w:jc w:val="center"/>
        <w:rPr>
          <w:b/>
          <w:color w:val="000000"/>
          <w:szCs w:val="22"/>
          <w:lang w:val="fr-FR"/>
        </w:rPr>
      </w:pPr>
    </w:p>
    <w:p w:rsidR="00BD75DB" w:rsidRPr="00CD5D58" w:rsidRDefault="002C0223" w:rsidP="00FE6C6B">
      <w:pPr>
        <w:tabs>
          <w:tab w:val="left" w:pos="1710"/>
        </w:tabs>
        <w:jc w:val="center"/>
        <w:rPr>
          <w:b/>
          <w:color w:val="000000"/>
          <w:szCs w:val="22"/>
          <w:lang w:val="fr-FR"/>
        </w:rPr>
      </w:pPr>
      <w:r w:rsidRPr="00CD5D58">
        <w:rPr>
          <w:b/>
          <w:color w:val="000000"/>
          <w:szCs w:val="22"/>
          <w:lang w:val="fr-FR"/>
        </w:rPr>
        <w:t>Liste indicative de questions en suspens à aborder/régler</w:t>
      </w:r>
    </w:p>
    <w:p w:rsidR="00BD75DB" w:rsidRPr="00CD5D58" w:rsidRDefault="00BD75DB" w:rsidP="00C64FAD">
      <w:pPr>
        <w:tabs>
          <w:tab w:val="left" w:pos="1710"/>
        </w:tabs>
        <w:rPr>
          <w:color w:val="000000"/>
          <w:szCs w:val="22"/>
          <w:lang w:val="fr-FR"/>
        </w:rPr>
      </w:pPr>
    </w:p>
    <w:p w:rsidR="00FE6C6B" w:rsidRPr="00CD5D58" w:rsidRDefault="00FE6C6B" w:rsidP="00FE6C6B">
      <w:pPr>
        <w:tabs>
          <w:tab w:val="left" w:pos="2238"/>
        </w:tabs>
        <w:rPr>
          <w:lang w:val="fr-FR"/>
        </w:rPr>
      </w:pPr>
    </w:p>
    <w:p w:rsidR="00FE6C6B" w:rsidRPr="00CD5D58" w:rsidRDefault="00FE6C6B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List</w:t>
      </w:r>
      <w:r w:rsidR="002C0223" w:rsidRPr="00CD5D58">
        <w:rPr>
          <w:b/>
          <w:lang w:val="fr-FR"/>
        </w:rPr>
        <w:t>e</w:t>
      </w:r>
      <w:r w:rsidRPr="00CD5D58">
        <w:rPr>
          <w:b/>
          <w:lang w:val="fr-FR"/>
        </w:rPr>
        <w:t xml:space="preserve"> </w:t>
      </w:r>
      <w:r w:rsidR="002C0223" w:rsidRPr="00CD5D58">
        <w:rPr>
          <w:b/>
          <w:lang w:val="fr-FR"/>
        </w:rPr>
        <w:t>de</w:t>
      </w:r>
      <w:r w:rsidRPr="00CD5D58">
        <w:rPr>
          <w:b/>
          <w:lang w:val="fr-FR"/>
        </w:rPr>
        <w:t xml:space="preserve"> term</w:t>
      </w:r>
      <w:r w:rsidR="002C0223" w:rsidRPr="00CD5D58">
        <w:rPr>
          <w:b/>
          <w:lang w:val="fr-FR"/>
        </w:rPr>
        <w:t>e</w:t>
      </w:r>
      <w:r w:rsidRPr="00CD5D58">
        <w:rPr>
          <w:b/>
          <w:lang w:val="fr-FR"/>
        </w:rPr>
        <w:t>s</w:t>
      </w:r>
    </w:p>
    <w:p w:rsidR="00FE6C6B" w:rsidRPr="00CD5D58" w:rsidRDefault="00FE6C6B" w:rsidP="00FE6C6B">
      <w:pPr>
        <w:ind w:left="360"/>
        <w:rPr>
          <w:b/>
          <w:lang w:val="fr-FR"/>
        </w:rPr>
      </w:pPr>
    </w:p>
    <w:p w:rsidR="00FE6C6B" w:rsidRPr="00CD5D58" w:rsidRDefault="002C0223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Préambule</w:t>
      </w:r>
    </w:p>
    <w:p w:rsidR="00FE6C6B" w:rsidRPr="00CD5D58" w:rsidRDefault="00FE6C6B" w:rsidP="00FE6C6B">
      <w:pPr>
        <w:rPr>
          <w:b/>
          <w:szCs w:val="22"/>
          <w:lang w:val="fr-FR"/>
        </w:rPr>
      </w:pPr>
    </w:p>
    <w:p w:rsidR="00FE6C6B" w:rsidRPr="00CD5D58" w:rsidRDefault="002C0223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Objectifs de politique générale</w:t>
      </w:r>
    </w:p>
    <w:p w:rsidR="004C5101" w:rsidRPr="00CD5D58" w:rsidRDefault="004C5101" w:rsidP="004C5101">
      <w:pPr>
        <w:numPr>
          <w:ilvl w:val="0"/>
          <w:numId w:val="12"/>
        </w:numPr>
        <w:contextualSpacing/>
        <w:rPr>
          <w:lang w:val="fr-FR"/>
        </w:rPr>
      </w:pPr>
      <w:r w:rsidRPr="00CD5D58">
        <w:rPr>
          <w:lang w:val="fr-FR"/>
        </w:rPr>
        <w:t>efficacité et transparence</w:t>
      </w:r>
    </w:p>
    <w:p w:rsidR="004C5101" w:rsidRPr="00CD5D58" w:rsidRDefault="004C5101" w:rsidP="004C5101">
      <w:pPr>
        <w:numPr>
          <w:ilvl w:val="0"/>
          <w:numId w:val="12"/>
        </w:numPr>
        <w:contextualSpacing/>
        <w:rPr>
          <w:lang w:val="fr-FR"/>
        </w:rPr>
      </w:pPr>
      <w:r w:rsidRPr="00CD5D58">
        <w:rPr>
          <w:lang w:val="fr-FR"/>
        </w:rPr>
        <w:t>question de savoir s</w:t>
      </w:r>
      <w:r w:rsidR="00CD5D58">
        <w:rPr>
          <w:lang w:val="fr-FR"/>
        </w:rPr>
        <w:t>’</w:t>
      </w:r>
      <w:r w:rsidRPr="00CD5D58">
        <w:rPr>
          <w:lang w:val="fr-FR"/>
        </w:rPr>
        <w:t>il convient de maintenir l</w:t>
      </w:r>
      <w:r w:rsidR="00CD5D58">
        <w:rPr>
          <w:lang w:val="fr-FR"/>
        </w:rPr>
        <w:t>’</w:t>
      </w:r>
      <w:r w:rsidRPr="00CD5D58">
        <w:rPr>
          <w:lang w:val="fr-FR"/>
        </w:rPr>
        <w:t>appropriation illicite dans le texte (et dans l</w:t>
      </w:r>
      <w:r w:rsidR="00CD5D58">
        <w:rPr>
          <w:lang w:val="fr-FR"/>
        </w:rPr>
        <w:t>’</w:t>
      </w:r>
      <w:r w:rsidRPr="00CD5D58">
        <w:rPr>
          <w:lang w:val="fr-FR"/>
        </w:rPr>
        <w:t>affirmative, comment la définir)</w:t>
      </w:r>
    </w:p>
    <w:p w:rsidR="004C5101" w:rsidRPr="00CD5D58" w:rsidRDefault="004C5101" w:rsidP="004C5101">
      <w:pPr>
        <w:numPr>
          <w:ilvl w:val="0"/>
          <w:numId w:val="12"/>
        </w:numPr>
        <w:contextualSpacing/>
        <w:rPr>
          <w:lang w:val="fr-FR"/>
        </w:rPr>
      </w:pPr>
      <w:r w:rsidRPr="00CD5D58">
        <w:rPr>
          <w:lang w:val="fr-FR"/>
        </w:rPr>
        <w:t>complémentarité/renforcement mutuel avec les arrangements internationaux</w:t>
      </w:r>
    </w:p>
    <w:p w:rsidR="00FE6C6B" w:rsidRPr="00CD5D58" w:rsidRDefault="004C5101" w:rsidP="004C5101">
      <w:pPr>
        <w:numPr>
          <w:ilvl w:val="0"/>
          <w:numId w:val="12"/>
        </w:numPr>
        <w:contextualSpacing/>
        <w:rPr>
          <w:lang w:val="fr-FR"/>
        </w:rPr>
      </w:pPr>
      <w:r w:rsidRPr="00CD5D58">
        <w:rPr>
          <w:lang w:val="fr-FR"/>
        </w:rPr>
        <w:t>prévention/réduction des brevets “indus” (quel est le terme approprié)</w:t>
      </w:r>
    </w:p>
    <w:p w:rsidR="00FE6C6B" w:rsidRPr="00CD5D58" w:rsidRDefault="00FE6C6B" w:rsidP="00FE6C6B">
      <w:pPr>
        <w:ind w:left="360"/>
        <w:rPr>
          <w:lang w:val="fr-FR"/>
        </w:rPr>
      </w:pPr>
    </w:p>
    <w:p w:rsidR="00FE6C6B" w:rsidRPr="00CD5D58" w:rsidRDefault="004C5101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Objet</w:t>
      </w:r>
    </w:p>
    <w:p w:rsidR="004C5101" w:rsidRPr="00CD5D58" w:rsidRDefault="004C5101" w:rsidP="004C5101">
      <w:pPr>
        <w:pStyle w:val="ColorfulList-Accent11"/>
        <w:numPr>
          <w:ilvl w:val="0"/>
          <w:numId w:val="12"/>
        </w:numPr>
        <w:spacing w:after="0" w:line="240" w:lineRule="auto"/>
        <w:ind w:left="1134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L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instrument doit</w:t>
      </w:r>
      <w:r w:rsidR="002064B9">
        <w:rPr>
          <w:rFonts w:ascii="Arial" w:hAnsi="Arial" w:cs="Arial"/>
        </w:rPr>
        <w:noBreakHyphen/>
      </w:r>
      <w:r w:rsidRPr="00CD5D58">
        <w:rPr>
          <w:rFonts w:ascii="Arial" w:hAnsi="Arial" w:cs="Arial"/>
        </w:rPr>
        <w:t>il s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appliquer à :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tout droit de propriété intellectuelle ou seulement aux droits de brevet</w:t>
      </w:r>
    </w:p>
    <w:p w:rsidR="004C5101" w:rsidRPr="00CD5D58" w:rsidRDefault="004C5101" w:rsidP="004C5101">
      <w:pPr>
        <w:pStyle w:val="ColorfulList-Accent11"/>
        <w:numPr>
          <w:ilvl w:val="0"/>
          <w:numId w:val="12"/>
        </w:numPr>
        <w:spacing w:after="0" w:line="240" w:lineRule="auto"/>
        <w:ind w:left="1134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Outre les ressources génétiques, l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instrument devrait</w:t>
      </w:r>
      <w:r w:rsidR="002064B9">
        <w:rPr>
          <w:rFonts w:ascii="Arial" w:hAnsi="Arial" w:cs="Arial"/>
        </w:rPr>
        <w:noBreakHyphen/>
      </w:r>
      <w:r w:rsidRPr="00CD5D58">
        <w:rPr>
          <w:rFonts w:ascii="Arial" w:hAnsi="Arial" w:cs="Arial"/>
        </w:rPr>
        <w:t>il également s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appliquer aux :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produits dérivés</w:t>
      </w:r>
    </w:p>
    <w:p w:rsidR="00FE6C6B" w:rsidRPr="00CD5D58" w:rsidRDefault="004C5101" w:rsidP="004C5101">
      <w:pPr>
        <w:numPr>
          <w:ilvl w:val="1"/>
          <w:numId w:val="12"/>
        </w:numPr>
        <w:ind w:left="1701" w:hanging="567"/>
        <w:contextualSpacing/>
        <w:rPr>
          <w:lang w:val="fr-FR"/>
        </w:rPr>
      </w:pPr>
      <w:r w:rsidRPr="00CD5D58">
        <w:rPr>
          <w:lang w:val="fr-FR"/>
        </w:rPr>
        <w:t>savoirs traditionnels connexes/savoirs traditionnels associés aux ressources génétiques</w:t>
      </w:r>
    </w:p>
    <w:p w:rsidR="00FE6C6B" w:rsidRPr="00CD5D58" w:rsidRDefault="00FE6C6B" w:rsidP="00FE6C6B">
      <w:pPr>
        <w:ind w:left="1080"/>
        <w:rPr>
          <w:lang w:val="fr-FR"/>
        </w:rPr>
      </w:pPr>
    </w:p>
    <w:p w:rsidR="00FE6C6B" w:rsidRPr="00CD5D58" w:rsidRDefault="004C5101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Exigence de divulgation</w:t>
      </w:r>
    </w:p>
    <w:p w:rsidR="004C5101" w:rsidRPr="00CD5D58" w:rsidRDefault="004C5101" w:rsidP="004C5101">
      <w:pPr>
        <w:pStyle w:val="ColorfulList-Accent11"/>
        <w:numPr>
          <w:ilvl w:val="0"/>
          <w:numId w:val="12"/>
        </w:numPr>
        <w:spacing w:after="0" w:line="240" w:lineRule="auto"/>
        <w:ind w:left="1134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Teneur de la divulgation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origine et/ou source des ressources génétiques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informations concernant la conformité avec les exigences en matière d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 xml:space="preserve">accès et de partage des avantages, </w:t>
      </w:r>
      <w:r w:rsidR="00CD5D58">
        <w:rPr>
          <w:rFonts w:ascii="Arial" w:hAnsi="Arial" w:cs="Arial"/>
        </w:rPr>
        <w:t>y compris</w:t>
      </w:r>
      <w:r w:rsidRPr="00CD5D58">
        <w:rPr>
          <w:rFonts w:ascii="Arial" w:hAnsi="Arial" w:cs="Arial"/>
        </w:rPr>
        <w:t xml:space="preserve"> le consentement préalable en connaissance de cause</w:t>
      </w:r>
    </w:p>
    <w:p w:rsidR="004C5101" w:rsidRPr="00CD5D58" w:rsidRDefault="004C5101" w:rsidP="004C5101">
      <w:pPr>
        <w:pStyle w:val="ColorfulList-Accent11"/>
        <w:numPr>
          <w:ilvl w:val="0"/>
          <w:numId w:val="12"/>
        </w:numPr>
        <w:spacing w:after="0" w:line="240" w:lineRule="auto"/>
        <w:ind w:left="1134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Exceptions et limitations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type d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exceptions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exceptions relatives à l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intérêt public uniquement</w:t>
      </w:r>
    </w:p>
    <w:p w:rsidR="004C5101" w:rsidRPr="00CD5D58" w:rsidRDefault="004C5101" w:rsidP="004C5101">
      <w:pPr>
        <w:pStyle w:val="ColorfulList-Accent11"/>
        <w:numPr>
          <w:ilvl w:val="0"/>
          <w:numId w:val="12"/>
        </w:numPr>
        <w:spacing w:after="0" w:line="240" w:lineRule="auto"/>
        <w:ind w:left="1134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Les ressources génétiques et/ou dérivés existant dans la nature ou isolés de la nature sont des objets susceptibles de protection par la propriété intellectuelle/par brevet</w:t>
      </w:r>
    </w:p>
    <w:p w:rsidR="004C5101" w:rsidRPr="00CD5D58" w:rsidRDefault="004C5101" w:rsidP="004C5101">
      <w:pPr>
        <w:pStyle w:val="ColorfulList-Accent11"/>
        <w:numPr>
          <w:ilvl w:val="0"/>
          <w:numId w:val="12"/>
        </w:numPr>
        <w:spacing w:after="0" w:line="240" w:lineRule="auto"/>
        <w:ind w:left="1134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Conséquence de la non</w:t>
      </w:r>
      <w:r w:rsidR="002064B9">
        <w:rPr>
          <w:rFonts w:ascii="Arial" w:hAnsi="Arial" w:cs="Arial"/>
        </w:rPr>
        <w:noBreakHyphen/>
      </w:r>
      <w:r w:rsidRPr="00CD5D58">
        <w:rPr>
          <w:rFonts w:ascii="Arial" w:hAnsi="Arial" w:cs="Arial"/>
        </w:rPr>
        <w:t>conformité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accord type minimum et/ou maximum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mesures/sanctions à l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intérieur et/ou à l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extérieur du système des brevets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conditions de révocation admises</w:t>
      </w:r>
    </w:p>
    <w:p w:rsidR="004C5101" w:rsidRPr="00CD5D58" w:rsidRDefault="004C5101" w:rsidP="004C5101">
      <w:pPr>
        <w:pStyle w:val="ColorfulList-Accent11"/>
        <w:numPr>
          <w:ilvl w:val="0"/>
          <w:numId w:val="12"/>
        </w:numPr>
        <w:spacing w:after="0" w:line="240" w:lineRule="auto"/>
        <w:ind w:left="1134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Élément déclencheur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invention revendiquée fondée directement sur l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objet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utilisation de l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objet</w:t>
      </w:r>
    </w:p>
    <w:p w:rsidR="004C5101" w:rsidRPr="00CD5D58" w:rsidRDefault="004C5101" w:rsidP="004C5101">
      <w:pPr>
        <w:pStyle w:val="ColorfulList-Accent11"/>
        <w:numPr>
          <w:ilvl w:val="1"/>
          <w:numId w:val="12"/>
        </w:numPr>
        <w:spacing w:after="0" w:line="240" w:lineRule="auto"/>
        <w:ind w:left="1701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nécessité d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accès physique ou d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accès à un objet non tangible</w:t>
      </w:r>
    </w:p>
    <w:p w:rsidR="004C5101" w:rsidRPr="00CD5D58" w:rsidRDefault="004C5101" w:rsidP="004C5101">
      <w:pPr>
        <w:pStyle w:val="ColorfulList-Accent11"/>
        <w:numPr>
          <w:ilvl w:val="0"/>
          <w:numId w:val="12"/>
        </w:numPr>
        <w:spacing w:after="0" w:line="240" w:lineRule="auto"/>
        <w:ind w:left="1134" w:hanging="567"/>
        <w:rPr>
          <w:rFonts w:ascii="Arial" w:hAnsi="Arial" w:cs="Arial"/>
        </w:rPr>
      </w:pPr>
      <w:r w:rsidRPr="00CD5D58">
        <w:rPr>
          <w:rFonts w:ascii="Arial" w:hAnsi="Arial" w:cs="Arial"/>
        </w:rPr>
        <w:t>Lien avec les régimes nationaux et internes en matière d</w:t>
      </w:r>
      <w:r w:rsidR="00CD5D58">
        <w:rPr>
          <w:rFonts w:ascii="Arial" w:hAnsi="Arial" w:cs="Arial"/>
        </w:rPr>
        <w:t>’</w:t>
      </w:r>
      <w:r w:rsidRPr="00CD5D58">
        <w:rPr>
          <w:rFonts w:ascii="Arial" w:hAnsi="Arial" w:cs="Arial"/>
        </w:rPr>
        <w:t>accès et de partage des avantages</w:t>
      </w:r>
    </w:p>
    <w:p w:rsidR="00FE6C6B" w:rsidRPr="00CD5D58" w:rsidRDefault="004C5101" w:rsidP="004C5101">
      <w:pPr>
        <w:numPr>
          <w:ilvl w:val="1"/>
          <w:numId w:val="12"/>
        </w:numPr>
        <w:ind w:left="1701" w:hanging="567"/>
        <w:contextualSpacing/>
        <w:rPr>
          <w:lang w:val="fr-FR"/>
        </w:rPr>
      </w:pPr>
      <w:r w:rsidRPr="00CD5D58">
        <w:rPr>
          <w:lang w:val="fr-FR"/>
        </w:rPr>
        <w:t>rôle de l</w:t>
      </w:r>
      <w:r w:rsidR="00CD5D58">
        <w:rPr>
          <w:lang w:val="fr-FR"/>
        </w:rPr>
        <w:t>’</w:t>
      </w:r>
      <w:r w:rsidRPr="00CD5D58">
        <w:rPr>
          <w:lang w:val="fr-FR"/>
        </w:rPr>
        <w:t>office de la propriété intellectuelle/office de brevets dans la notification des informations relatives à la divulgation au Centre d</w:t>
      </w:r>
      <w:r w:rsidR="00CD5D58">
        <w:rPr>
          <w:lang w:val="fr-FR"/>
        </w:rPr>
        <w:t>’</w:t>
      </w:r>
      <w:r w:rsidRPr="00CD5D58">
        <w:rPr>
          <w:lang w:val="fr-FR"/>
        </w:rPr>
        <w:t xml:space="preserve">échanges établi par la Convention sur la diversité biologique, le Protocole de Nagoya et le Traité international sur les ressources </w:t>
      </w:r>
      <w:proofErr w:type="spellStart"/>
      <w:r w:rsidRPr="00CD5D58">
        <w:rPr>
          <w:lang w:val="fr-FR"/>
        </w:rPr>
        <w:t>phytogénétiques</w:t>
      </w:r>
      <w:proofErr w:type="spellEnd"/>
      <w:r w:rsidRPr="00CD5D58">
        <w:rPr>
          <w:lang w:val="fr-FR"/>
        </w:rPr>
        <w:t xml:space="preserve"> pour l</w:t>
      </w:r>
      <w:r w:rsidR="00CD5D58">
        <w:rPr>
          <w:lang w:val="fr-FR"/>
        </w:rPr>
        <w:t>’</w:t>
      </w:r>
      <w:r w:rsidRPr="00CD5D58">
        <w:rPr>
          <w:lang w:val="fr-FR"/>
        </w:rPr>
        <w:t>alimentation et l</w:t>
      </w:r>
      <w:r w:rsidR="00CD5D58">
        <w:rPr>
          <w:lang w:val="fr-FR"/>
        </w:rPr>
        <w:t>’</w:t>
      </w:r>
      <w:r w:rsidRPr="00CD5D58">
        <w:rPr>
          <w:lang w:val="fr-FR"/>
        </w:rPr>
        <w:t>agriculture</w:t>
      </w:r>
    </w:p>
    <w:p w:rsidR="00FE6C6B" w:rsidRPr="00CD5D58" w:rsidRDefault="00FE6C6B" w:rsidP="00FE6C6B">
      <w:pPr>
        <w:ind w:left="360"/>
        <w:rPr>
          <w:lang w:val="fr-FR"/>
        </w:rPr>
      </w:pPr>
    </w:p>
    <w:p w:rsidR="00FE6C6B" w:rsidRPr="00CD5D58" w:rsidRDefault="004C5101" w:rsidP="004C5101">
      <w:pPr>
        <w:keepNext/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lastRenderedPageBreak/>
        <w:t>Mesures défensives/absence de divulgation</w:t>
      </w:r>
    </w:p>
    <w:p w:rsidR="00FE6C6B" w:rsidRPr="00CD5D58" w:rsidRDefault="004C5101" w:rsidP="004C5101">
      <w:pPr>
        <w:keepLines/>
        <w:numPr>
          <w:ilvl w:val="0"/>
          <w:numId w:val="12"/>
        </w:numPr>
        <w:ind w:left="1134" w:hanging="567"/>
        <w:contextualSpacing/>
        <w:rPr>
          <w:lang w:val="fr-FR"/>
        </w:rPr>
      </w:pPr>
      <w:r w:rsidRPr="00CD5D58">
        <w:rPr>
          <w:lang w:val="fr-FR"/>
        </w:rPr>
        <w:t>Examen de la nécessité de prévoir des mesures/systèmes supplémentaires fondés sur la diligence requise</w:t>
      </w:r>
    </w:p>
    <w:p w:rsidR="00FE6C6B" w:rsidRPr="00CD5D58" w:rsidRDefault="00FE6C6B" w:rsidP="00FE6C6B">
      <w:pPr>
        <w:ind w:left="360"/>
        <w:rPr>
          <w:lang w:val="fr-FR"/>
        </w:rPr>
      </w:pPr>
    </w:p>
    <w:p w:rsidR="00FE6C6B" w:rsidRPr="00CD5D58" w:rsidRDefault="004C5101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Bases de données</w:t>
      </w:r>
    </w:p>
    <w:p w:rsidR="004C5101" w:rsidRPr="00CD5D58" w:rsidRDefault="004C5101" w:rsidP="004C5101">
      <w:pPr>
        <w:numPr>
          <w:ilvl w:val="0"/>
          <w:numId w:val="12"/>
        </w:numPr>
        <w:ind w:left="1134" w:hanging="567"/>
        <w:contextualSpacing/>
        <w:rPr>
          <w:lang w:val="fr-FR"/>
        </w:rPr>
      </w:pPr>
      <w:r w:rsidRPr="00CD5D58">
        <w:rPr>
          <w:lang w:val="fr-FR"/>
        </w:rPr>
        <w:t>Bases de données en tant que mesures défensives ou que complément d</w:t>
      </w:r>
      <w:r w:rsidR="00CD5D58">
        <w:rPr>
          <w:lang w:val="fr-FR"/>
        </w:rPr>
        <w:t>’</w:t>
      </w:r>
      <w:r w:rsidRPr="00CD5D58">
        <w:rPr>
          <w:lang w:val="fr-FR"/>
        </w:rPr>
        <w:t>une exigence de divulgation</w:t>
      </w:r>
    </w:p>
    <w:p w:rsidR="004C5101" w:rsidRPr="00CD5D58" w:rsidRDefault="004C5101" w:rsidP="004C5101">
      <w:pPr>
        <w:numPr>
          <w:ilvl w:val="0"/>
          <w:numId w:val="12"/>
        </w:numPr>
        <w:ind w:left="1134" w:hanging="567"/>
        <w:contextualSpacing/>
        <w:rPr>
          <w:lang w:val="fr-FR"/>
        </w:rPr>
      </w:pPr>
      <w:r w:rsidRPr="00CD5D58">
        <w:rPr>
          <w:lang w:val="fr-FR"/>
        </w:rPr>
        <w:t>Garanties pour les savoirs traditionnels largement partagés et/ou accessibles au public</w:t>
      </w:r>
    </w:p>
    <w:p w:rsidR="00FE6C6B" w:rsidRPr="00CD5D58" w:rsidRDefault="004C5101" w:rsidP="004C5101">
      <w:pPr>
        <w:numPr>
          <w:ilvl w:val="0"/>
          <w:numId w:val="12"/>
        </w:numPr>
        <w:ind w:left="1134" w:hanging="567"/>
        <w:contextualSpacing/>
        <w:rPr>
          <w:lang w:val="fr-FR"/>
        </w:rPr>
      </w:pPr>
      <w:r w:rsidRPr="00CD5D58">
        <w:rPr>
          <w:lang w:val="fr-FR"/>
        </w:rPr>
        <w:t>Obligation pesant sur les détenteurs de savoirs traditionnels et les États membres</w:t>
      </w:r>
    </w:p>
    <w:p w:rsidR="00FE6C6B" w:rsidRPr="00CD5D58" w:rsidRDefault="00FE6C6B" w:rsidP="00FE6C6B">
      <w:pPr>
        <w:ind w:left="360"/>
        <w:rPr>
          <w:lang w:val="fr-FR"/>
        </w:rPr>
      </w:pPr>
    </w:p>
    <w:p w:rsidR="00FE6C6B" w:rsidRPr="00CD5D58" w:rsidRDefault="004C5101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Lien avec des arrangements internationaux, notamment le PCT et le PLT</w:t>
      </w:r>
    </w:p>
    <w:p w:rsidR="00FE6C6B" w:rsidRPr="00CD5D58" w:rsidRDefault="00FE6C6B" w:rsidP="00FE6C6B">
      <w:pPr>
        <w:ind w:left="360"/>
        <w:rPr>
          <w:b/>
          <w:lang w:val="fr-FR"/>
        </w:rPr>
      </w:pPr>
    </w:p>
    <w:p w:rsidR="00FE6C6B" w:rsidRPr="00CD5D58" w:rsidRDefault="004C5101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Coopération transfrontière</w:t>
      </w:r>
    </w:p>
    <w:p w:rsidR="00FE6C6B" w:rsidRPr="00CD5D58" w:rsidRDefault="00FE6C6B" w:rsidP="00FE6C6B">
      <w:pPr>
        <w:ind w:left="360"/>
        <w:rPr>
          <w:b/>
          <w:lang w:val="fr-FR"/>
        </w:rPr>
      </w:pPr>
    </w:p>
    <w:p w:rsidR="00FE6C6B" w:rsidRPr="00CD5D58" w:rsidRDefault="004C5101" w:rsidP="00FE6C6B">
      <w:pPr>
        <w:numPr>
          <w:ilvl w:val="0"/>
          <w:numId w:val="11"/>
        </w:numPr>
        <w:ind w:left="360"/>
        <w:contextualSpacing/>
        <w:rPr>
          <w:b/>
          <w:lang w:val="fr-FR"/>
        </w:rPr>
      </w:pPr>
      <w:r w:rsidRPr="00CD5D58">
        <w:rPr>
          <w:b/>
          <w:lang w:val="fr-FR"/>
        </w:rPr>
        <w:t>Assistance technique, coopération et renforcement des capacités</w:t>
      </w:r>
    </w:p>
    <w:p w:rsidR="00FE6C6B" w:rsidRPr="00CD5D58" w:rsidRDefault="00FE6C6B" w:rsidP="00FE6C6B">
      <w:pPr>
        <w:spacing w:after="120" w:line="260" w:lineRule="atLeast"/>
        <w:rPr>
          <w:iCs/>
          <w:szCs w:val="22"/>
          <w:lang w:val="fr-FR"/>
        </w:rPr>
      </w:pPr>
    </w:p>
    <w:p w:rsidR="00FE6C6B" w:rsidRPr="00CD5D58" w:rsidRDefault="00FE6C6B" w:rsidP="00FE6C6B">
      <w:pPr>
        <w:spacing w:after="120" w:line="260" w:lineRule="atLeast"/>
        <w:rPr>
          <w:iCs/>
          <w:szCs w:val="22"/>
          <w:lang w:val="fr-FR"/>
        </w:rPr>
      </w:pPr>
    </w:p>
    <w:p w:rsidR="00FE6C6B" w:rsidRPr="00CD5D58" w:rsidRDefault="00FE6C6B" w:rsidP="00FE6C6B">
      <w:pPr>
        <w:spacing w:after="120" w:line="260" w:lineRule="atLeast"/>
        <w:ind w:left="5610"/>
        <w:jc w:val="both"/>
        <w:rPr>
          <w:iCs/>
          <w:szCs w:val="22"/>
          <w:lang w:val="fr-FR"/>
        </w:rPr>
      </w:pPr>
      <w:r w:rsidRPr="00CD5D58">
        <w:rPr>
          <w:iCs/>
          <w:szCs w:val="22"/>
          <w:lang w:val="fr-FR"/>
        </w:rPr>
        <w:t>[</w:t>
      </w:r>
      <w:r w:rsidR="004C5101" w:rsidRPr="00CD5D58">
        <w:rPr>
          <w:iCs/>
          <w:szCs w:val="22"/>
          <w:lang w:val="fr-FR"/>
        </w:rPr>
        <w:t>Fin de l</w:t>
      </w:r>
      <w:r w:rsidR="00CD5D58">
        <w:rPr>
          <w:iCs/>
          <w:szCs w:val="22"/>
          <w:lang w:val="fr-FR"/>
        </w:rPr>
        <w:t>’</w:t>
      </w:r>
      <w:r w:rsidR="004C5101" w:rsidRPr="00CD5D58">
        <w:rPr>
          <w:iCs/>
          <w:szCs w:val="22"/>
          <w:lang w:val="fr-FR"/>
        </w:rPr>
        <w:t>annexe et du document</w:t>
      </w:r>
      <w:r w:rsidRPr="00CD5D58">
        <w:rPr>
          <w:iCs/>
          <w:szCs w:val="22"/>
          <w:lang w:val="fr-FR"/>
        </w:rPr>
        <w:t>]</w:t>
      </w:r>
    </w:p>
    <w:p w:rsidR="00BD75DB" w:rsidRPr="00CD5D58" w:rsidRDefault="00BD75DB" w:rsidP="00C64FAD">
      <w:pPr>
        <w:tabs>
          <w:tab w:val="left" w:pos="1710"/>
        </w:tabs>
        <w:rPr>
          <w:color w:val="000000"/>
          <w:szCs w:val="22"/>
          <w:lang w:val="fr-FR"/>
        </w:rPr>
      </w:pPr>
    </w:p>
    <w:sectPr w:rsidR="00BD75DB" w:rsidRPr="00CD5D58" w:rsidSect="002064B9">
      <w:head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23" w:rsidRDefault="00FD3923">
      <w:r>
        <w:separator/>
      </w:r>
    </w:p>
  </w:endnote>
  <w:endnote w:type="continuationSeparator" w:id="0">
    <w:p w:rsidR="00FD3923" w:rsidRDefault="00FD3923">
      <w:r>
        <w:continuationSeparator/>
      </w:r>
    </w:p>
  </w:endnote>
  <w:endnote w:type="continuationNotice" w:id="1">
    <w:p w:rsidR="002064B9" w:rsidRDefault="00206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B9" w:rsidRPr="002064B9" w:rsidRDefault="002064B9" w:rsidP="002064B9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B9" w:rsidRPr="002064B9" w:rsidRDefault="002064B9" w:rsidP="00206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23" w:rsidRDefault="00FD3923">
      <w:r>
        <w:separator/>
      </w:r>
    </w:p>
  </w:footnote>
  <w:footnote w:type="continuationSeparator" w:id="0">
    <w:p w:rsidR="00FD3923" w:rsidRDefault="00FD3923">
      <w:r>
        <w:continuationSeparator/>
      </w:r>
    </w:p>
  </w:footnote>
  <w:footnote w:type="continuationNotice" w:id="1">
    <w:p w:rsidR="002064B9" w:rsidRDefault="002064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</w:t>
    </w:r>
    <w:r w:rsidR="00C85400">
      <w:t>IPO/GRTKF/IC/30</w:t>
    </w:r>
    <w:r w:rsidR="00DC741C">
      <w:t>/INF/</w:t>
    </w:r>
    <w:r w:rsidR="00876D50">
      <w:t>10</w:t>
    </w:r>
  </w:p>
  <w:p w:rsidR="00B554CF" w:rsidRDefault="00B554CF" w:rsidP="0025415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064B9">
      <w:rPr>
        <w:noProof/>
      </w:rPr>
      <w:t>2</w:t>
    </w:r>
    <w:r>
      <w:fldChar w:fldCharType="end"/>
    </w:r>
  </w:p>
  <w:p w:rsidR="00B554CF" w:rsidRDefault="00B554CF" w:rsidP="00254151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56" w:rsidRDefault="00254456" w:rsidP="00254151">
    <w:pPr>
      <w:jc w:val="right"/>
    </w:pPr>
    <w:r>
      <w:t>W</w:t>
    </w:r>
    <w:r w:rsidR="00F9799A">
      <w:t>IPO/GRTKF/IC/30/</w:t>
    </w:r>
    <w:r w:rsidR="004C2E5C">
      <w:t>5</w:t>
    </w:r>
  </w:p>
  <w:p w:rsidR="00254456" w:rsidRDefault="002F5442" w:rsidP="00254151">
    <w:pPr>
      <w:jc w:val="right"/>
    </w:pPr>
    <w:proofErr w:type="spellStart"/>
    <w:r>
      <w:t>Annex</w:t>
    </w:r>
    <w:r w:rsidR="004C5101">
      <w:t>e</w:t>
    </w:r>
    <w:proofErr w:type="spellEnd"/>
    <w:r>
      <w:t xml:space="preserve">, </w:t>
    </w:r>
    <w:r w:rsidR="00254456">
      <w:t xml:space="preserve">page </w:t>
    </w:r>
    <w:r w:rsidR="00254456">
      <w:fldChar w:fldCharType="begin"/>
    </w:r>
    <w:r w:rsidR="00254456">
      <w:instrText xml:space="preserve"> PAGE  \* MERGEFORMAT </w:instrText>
    </w:r>
    <w:r w:rsidR="00254456">
      <w:fldChar w:fldCharType="separate"/>
    </w:r>
    <w:r w:rsidR="00B37FD6">
      <w:rPr>
        <w:noProof/>
      </w:rPr>
      <w:t>2</w:t>
    </w:r>
    <w:r w:rsidR="00254456">
      <w:fldChar w:fldCharType="end"/>
    </w:r>
  </w:p>
  <w:p w:rsidR="00254456" w:rsidRDefault="00254456" w:rsidP="00254151">
    <w:pPr>
      <w:jc w:val="right"/>
    </w:pPr>
  </w:p>
  <w:p w:rsidR="007A006C" w:rsidRDefault="007A006C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DB" w:rsidRDefault="00BD75DB">
    <w:pPr>
      <w:pStyle w:val="Header"/>
    </w:pPr>
  </w:p>
  <w:p w:rsidR="00BD75DB" w:rsidRDefault="00C85400" w:rsidP="00BD75DB">
    <w:pPr>
      <w:pStyle w:val="Header"/>
      <w:jc w:val="right"/>
    </w:pPr>
    <w:r>
      <w:t>WIPO</w:t>
    </w:r>
    <w:r w:rsidR="00F9799A">
      <w:t>/GRTKF/IC/30/</w:t>
    </w:r>
    <w:r w:rsidR="00012DA6">
      <w:t>5</w:t>
    </w:r>
  </w:p>
  <w:p w:rsidR="00BD75DB" w:rsidRDefault="00254456" w:rsidP="00BD75DB">
    <w:pPr>
      <w:pStyle w:val="Header"/>
      <w:jc w:val="right"/>
    </w:pPr>
    <w:r>
      <w:t>ANNEX</w:t>
    </w:r>
    <w:r w:rsidR="004C5101">
      <w:t>E</w:t>
    </w:r>
  </w:p>
  <w:p w:rsidR="00BD75DB" w:rsidRDefault="00BD75DB" w:rsidP="00BD7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EEC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81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1">
    <w:nsid w:val="75D11C28"/>
    <w:multiLevelType w:val="multilevel"/>
    <w:tmpl w:val="CCEAE0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12DA6"/>
    <w:rsid w:val="00014859"/>
    <w:rsid w:val="00015131"/>
    <w:rsid w:val="00015B1E"/>
    <w:rsid w:val="00021326"/>
    <w:rsid w:val="00035147"/>
    <w:rsid w:val="00067BE6"/>
    <w:rsid w:val="000751E6"/>
    <w:rsid w:val="00082CE5"/>
    <w:rsid w:val="00094BED"/>
    <w:rsid w:val="00094DB0"/>
    <w:rsid w:val="000A7863"/>
    <w:rsid w:val="000F5E56"/>
    <w:rsid w:val="00122DF0"/>
    <w:rsid w:val="00144226"/>
    <w:rsid w:val="00181F91"/>
    <w:rsid w:val="00194282"/>
    <w:rsid w:val="00196D1F"/>
    <w:rsid w:val="001D4831"/>
    <w:rsid w:val="001D6B66"/>
    <w:rsid w:val="001E6B0C"/>
    <w:rsid w:val="001E71FA"/>
    <w:rsid w:val="002064B9"/>
    <w:rsid w:val="00221E27"/>
    <w:rsid w:val="00227F28"/>
    <w:rsid w:val="00237730"/>
    <w:rsid w:val="00254151"/>
    <w:rsid w:val="00254456"/>
    <w:rsid w:val="0027424D"/>
    <w:rsid w:val="00286A5B"/>
    <w:rsid w:val="0029132D"/>
    <w:rsid w:val="00292B56"/>
    <w:rsid w:val="002C0223"/>
    <w:rsid w:val="002C2E20"/>
    <w:rsid w:val="002D7D9B"/>
    <w:rsid w:val="002E5A9C"/>
    <w:rsid w:val="002E6FFB"/>
    <w:rsid w:val="002F0D78"/>
    <w:rsid w:val="002F36EE"/>
    <w:rsid w:val="002F5442"/>
    <w:rsid w:val="00300E66"/>
    <w:rsid w:val="00302338"/>
    <w:rsid w:val="00321D0C"/>
    <w:rsid w:val="00322EBF"/>
    <w:rsid w:val="00337B8D"/>
    <w:rsid w:val="00353B44"/>
    <w:rsid w:val="00360FC1"/>
    <w:rsid w:val="003701F0"/>
    <w:rsid w:val="00383EE4"/>
    <w:rsid w:val="00395756"/>
    <w:rsid w:val="003A7431"/>
    <w:rsid w:val="003B1E1C"/>
    <w:rsid w:val="003C631D"/>
    <w:rsid w:val="003D778B"/>
    <w:rsid w:val="00420E89"/>
    <w:rsid w:val="00431118"/>
    <w:rsid w:val="00432381"/>
    <w:rsid w:val="004406CC"/>
    <w:rsid w:val="0044605A"/>
    <w:rsid w:val="0045393A"/>
    <w:rsid w:val="00472D56"/>
    <w:rsid w:val="0049441F"/>
    <w:rsid w:val="004C2E5C"/>
    <w:rsid w:val="004C5101"/>
    <w:rsid w:val="004D1E94"/>
    <w:rsid w:val="004D66C5"/>
    <w:rsid w:val="004F1EE8"/>
    <w:rsid w:val="00501A0D"/>
    <w:rsid w:val="0050773F"/>
    <w:rsid w:val="00513121"/>
    <w:rsid w:val="00523B06"/>
    <w:rsid w:val="00535AF3"/>
    <w:rsid w:val="00544CAE"/>
    <w:rsid w:val="00551AA3"/>
    <w:rsid w:val="005540A9"/>
    <w:rsid w:val="0059616E"/>
    <w:rsid w:val="005A24B5"/>
    <w:rsid w:val="005C16F6"/>
    <w:rsid w:val="005C6173"/>
    <w:rsid w:val="005D0BEE"/>
    <w:rsid w:val="005D51DD"/>
    <w:rsid w:val="005D6E66"/>
    <w:rsid w:val="00602B74"/>
    <w:rsid w:val="00606FE3"/>
    <w:rsid w:val="00627A7D"/>
    <w:rsid w:val="00637896"/>
    <w:rsid w:val="00644A2F"/>
    <w:rsid w:val="00651EE9"/>
    <w:rsid w:val="006521AF"/>
    <w:rsid w:val="00652E28"/>
    <w:rsid w:val="00665431"/>
    <w:rsid w:val="00674331"/>
    <w:rsid w:val="00675CC0"/>
    <w:rsid w:val="006775E8"/>
    <w:rsid w:val="00680C65"/>
    <w:rsid w:val="0068489B"/>
    <w:rsid w:val="00687A88"/>
    <w:rsid w:val="00690E41"/>
    <w:rsid w:val="00691CBB"/>
    <w:rsid w:val="006A53DC"/>
    <w:rsid w:val="006B7E9D"/>
    <w:rsid w:val="006D0308"/>
    <w:rsid w:val="006E1AAE"/>
    <w:rsid w:val="006F44BF"/>
    <w:rsid w:val="00704A79"/>
    <w:rsid w:val="00731B4E"/>
    <w:rsid w:val="0073419F"/>
    <w:rsid w:val="00735934"/>
    <w:rsid w:val="007779AD"/>
    <w:rsid w:val="007A006C"/>
    <w:rsid w:val="007A1008"/>
    <w:rsid w:val="007A1EDB"/>
    <w:rsid w:val="007A26B9"/>
    <w:rsid w:val="007A4D7F"/>
    <w:rsid w:val="007A6B90"/>
    <w:rsid w:val="007A6BEC"/>
    <w:rsid w:val="007B1607"/>
    <w:rsid w:val="007B240C"/>
    <w:rsid w:val="007C6CF3"/>
    <w:rsid w:val="007C7BE0"/>
    <w:rsid w:val="007D469D"/>
    <w:rsid w:val="007D53C7"/>
    <w:rsid w:val="007D7E3E"/>
    <w:rsid w:val="007F51EE"/>
    <w:rsid w:val="00801B37"/>
    <w:rsid w:val="00804DB7"/>
    <w:rsid w:val="00807DFC"/>
    <w:rsid w:val="008246AA"/>
    <w:rsid w:val="00850506"/>
    <w:rsid w:val="008718D4"/>
    <w:rsid w:val="00876D50"/>
    <w:rsid w:val="00887CEB"/>
    <w:rsid w:val="00890CB5"/>
    <w:rsid w:val="008933E6"/>
    <w:rsid w:val="008965F9"/>
    <w:rsid w:val="008A3699"/>
    <w:rsid w:val="008A5CE8"/>
    <w:rsid w:val="008D340F"/>
    <w:rsid w:val="008D515A"/>
    <w:rsid w:val="008D7485"/>
    <w:rsid w:val="008D7EE2"/>
    <w:rsid w:val="008F341D"/>
    <w:rsid w:val="008F4C33"/>
    <w:rsid w:val="009002B7"/>
    <w:rsid w:val="009054A3"/>
    <w:rsid w:val="00907722"/>
    <w:rsid w:val="009108E7"/>
    <w:rsid w:val="00924653"/>
    <w:rsid w:val="009277F7"/>
    <w:rsid w:val="00966839"/>
    <w:rsid w:val="0098646B"/>
    <w:rsid w:val="0098770C"/>
    <w:rsid w:val="009A16D0"/>
    <w:rsid w:val="009B3676"/>
    <w:rsid w:val="009D7A5F"/>
    <w:rsid w:val="009E2349"/>
    <w:rsid w:val="009E4902"/>
    <w:rsid w:val="009F197B"/>
    <w:rsid w:val="00A13056"/>
    <w:rsid w:val="00A23D3F"/>
    <w:rsid w:val="00A25B71"/>
    <w:rsid w:val="00A261A7"/>
    <w:rsid w:val="00A45A0C"/>
    <w:rsid w:val="00A54040"/>
    <w:rsid w:val="00A654D7"/>
    <w:rsid w:val="00A81D35"/>
    <w:rsid w:val="00A9758A"/>
    <w:rsid w:val="00AA064C"/>
    <w:rsid w:val="00AC0982"/>
    <w:rsid w:val="00AD1D1E"/>
    <w:rsid w:val="00AE75AA"/>
    <w:rsid w:val="00AF518D"/>
    <w:rsid w:val="00AF7FAF"/>
    <w:rsid w:val="00B04B82"/>
    <w:rsid w:val="00B129A0"/>
    <w:rsid w:val="00B32AD0"/>
    <w:rsid w:val="00B37CF9"/>
    <w:rsid w:val="00B37FD6"/>
    <w:rsid w:val="00B41C4B"/>
    <w:rsid w:val="00B42DC6"/>
    <w:rsid w:val="00B47038"/>
    <w:rsid w:val="00B554CF"/>
    <w:rsid w:val="00B55F29"/>
    <w:rsid w:val="00B7641F"/>
    <w:rsid w:val="00B7724D"/>
    <w:rsid w:val="00B824E7"/>
    <w:rsid w:val="00B827E5"/>
    <w:rsid w:val="00B82E77"/>
    <w:rsid w:val="00B84566"/>
    <w:rsid w:val="00B86E49"/>
    <w:rsid w:val="00BD75DB"/>
    <w:rsid w:val="00BE28F9"/>
    <w:rsid w:val="00BF0477"/>
    <w:rsid w:val="00BF31D2"/>
    <w:rsid w:val="00C10995"/>
    <w:rsid w:val="00C17D04"/>
    <w:rsid w:val="00C17FD0"/>
    <w:rsid w:val="00C20F26"/>
    <w:rsid w:val="00C451E7"/>
    <w:rsid w:val="00C47A5D"/>
    <w:rsid w:val="00C52F14"/>
    <w:rsid w:val="00C64FAD"/>
    <w:rsid w:val="00C85400"/>
    <w:rsid w:val="00C948E4"/>
    <w:rsid w:val="00CB185B"/>
    <w:rsid w:val="00CD51CE"/>
    <w:rsid w:val="00CD5D58"/>
    <w:rsid w:val="00CD65AB"/>
    <w:rsid w:val="00CE5669"/>
    <w:rsid w:val="00CE5A88"/>
    <w:rsid w:val="00D21685"/>
    <w:rsid w:val="00D21781"/>
    <w:rsid w:val="00D319B9"/>
    <w:rsid w:val="00D34CBD"/>
    <w:rsid w:val="00D37D1F"/>
    <w:rsid w:val="00D43A36"/>
    <w:rsid w:val="00D542B1"/>
    <w:rsid w:val="00D61B5C"/>
    <w:rsid w:val="00D62EC4"/>
    <w:rsid w:val="00D734A0"/>
    <w:rsid w:val="00D740C6"/>
    <w:rsid w:val="00DA0FAF"/>
    <w:rsid w:val="00DB3C04"/>
    <w:rsid w:val="00DC5988"/>
    <w:rsid w:val="00DC741C"/>
    <w:rsid w:val="00DD4D2C"/>
    <w:rsid w:val="00DF0DC2"/>
    <w:rsid w:val="00E0131E"/>
    <w:rsid w:val="00E060D5"/>
    <w:rsid w:val="00E36DFF"/>
    <w:rsid w:val="00E84318"/>
    <w:rsid w:val="00EB480A"/>
    <w:rsid w:val="00EC26DF"/>
    <w:rsid w:val="00EE41CA"/>
    <w:rsid w:val="00EE50ED"/>
    <w:rsid w:val="00F03CD6"/>
    <w:rsid w:val="00F214E8"/>
    <w:rsid w:val="00F27D33"/>
    <w:rsid w:val="00F34D18"/>
    <w:rsid w:val="00F53F8E"/>
    <w:rsid w:val="00F86F78"/>
    <w:rsid w:val="00F9799A"/>
    <w:rsid w:val="00FA0180"/>
    <w:rsid w:val="00FB1136"/>
    <w:rsid w:val="00FB3CD2"/>
    <w:rsid w:val="00FD3923"/>
    <w:rsid w:val="00FE3275"/>
    <w:rsid w:val="00FE6C6B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4C5101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fr-FR" w:eastAsia="en-US"/>
    </w:rPr>
  </w:style>
  <w:style w:type="character" w:styleId="Hyperlink">
    <w:name w:val="Hyperlink"/>
    <w:basedOn w:val="DefaultParagraphFont"/>
    <w:rsid w:val="002064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4C5101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fr-FR" w:eastAsia="en-US"/>
    </w:rPr>
  </w:style>
  <w:style w:type="character" w:styleId="Hyperlink">
    <w:name w:val="Hyperlink"/>
    <w:basedOn w:val="DefaultParagraphFont"/>
    <w:rsid w:val="00206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8805-A100-4C74-953E-9D4724F1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ST/mhf</cp:keywords>
  <cp:lastModifiedBy>MORENO PALESTINI Maria Del Pilar</cp:lastModifiedBy>
  <cp:revision>7</cp:revision>
  <cp:lastPrinted>2016-03-30T13:21:00Z</cp:lastPrinted>
  <dcterms:created xsi:type="dcterms:W3CDTF">2016-03-24T15:01:00Z</dcterms:created>
  <dcterms:modified xsi:type="dcterms:W3CDTF">2016-03-30T13:21:00Z</dcterms:modified>
</cp:coreProperties>
</file>