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96CC7" w:rsidRPr="00CE78E8" w:rsidTr="00496CC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E78E8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E78E8" w:rsidRDefault="00BD7CBF" w:rsidP="00916EE2">
            <w:r w:rsidRPr="00CE78E8">
              <w:rPr>
                <w:noProof/>
                <w:lang w:val="en-US" w:eastAsia="en-US"/>
              </w:rPr>
              <w:drawing>
                <wp:inline distT="0" distB="0" distL="0" distR="0" wp14:anchorId="068EF225" wp14:editId="34EC1EF4">
                  <wp:extent cx="1859280" cy="1322705"/>
                  <wp:effectExtent l="0" t="0" r="762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E78E8" w:rsidRDefault="00496CC7" w:rsidP="00916EE2">
            <w:pPr>
              <w:jc w:val="right"/>
            </w:pPr>
            <w:r w:rsidRPr="00CE78E8">
              <w:rPr>
                <w:b/>
                <w:sz w:val="40"/>
                <w:szCs w:val="40"/>
              </w:rPr>
              <w:t>F</w:t>
            </w:r>
          </w:p>
        </w:tc>
      </w:tr>
      <w:tr w:rsidR="008B2CC1" w:rsidRPr="00CE78E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E78E8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78E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96CC7" w:rsidRPr="00CE78E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E78E8" w:rsidRDefault="008B2CC1" w:rsidP="00496C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78E8">
              <w:rPr>
                <w:rFonts w:ascii="Arial Black" w:hAnsi="Arial Black"/>
                <w:caps/>
                <w:sz w:val="15"/>
              </w:rPr>
              <w:t>ORIGINAL</w:t>
            </w:r>
            <w:r w:rsidR="00CC5D54" w:rsidRPr="00CE78E8">
              <w:rPr>
                <w:rFonts w:ascii="Arial Black" w:hAnsi="Arial Black"/>
                <w:caps/>
                <w:sz w:val="15"/>
              </w:rPr>
              <w:t> </w:t>
            </w:r>
            <w:r w:rsidRPr="00CE78E8">
              <w:rPr>
                <w:rFonts w:ascii="Arial Black" w:hAnsi="Arial Black"/>
                <w:caps/>
                <w:sz w:val="15"/>
              </w:rPr>
              <w:t>:</w:t>
            </w:r>
            <w:r w:rsidR="00496CC7" w:rsidRPr="00CE78E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 w:rsidR="00496CC7" w:rsidRPr="00CE78E8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CE78E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E78E8" w:rsidRDefault="008B2CC1" w:rsidP="00496C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78E8">
              <w:rPr>
                <w:rFonts w:ascii="Arial Black" w:hAnsi="Arial Black"/>
                <w:caps/>
                <w:sz w:val="15"/>
              </w:rPr>
              <w:t>DATE</w:t>
            </w:r>
            <w:r w:rsidR="00CC5D54" w:rsidRPr="00CE78E8">
              <w:rPr>
                <w:rFonts w:ascii="Arial Black" w:hAnsi="Arial Black"/>
                <w:caps/>
                <w:sz w:val="15"/>
              </w:rPr>
              <w:t> </w:t>
            </w:r>
            <w:r w:rsidRPr="00CE78E8">
              <w:rPr>
                <w:rFonts w:ascii="Arial Black" w:hAnsi="Arial Black"/>
                <w:caps/>
                <w:sz w:val="15"/>
              </w:rPr>
              <w:t>:</w:t>
            </w:r>
            <w:r w:rsidR="00A42DAF" w:rsidRPr="00CE78E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496CC7" w:rsidRPr="00CE78E8">
              <w:rPr>
                <w:rFonts w:ascii="Arial Black" w:hAnsi="Arial Black"/>
                <w:caps/>
                <w:sz w:val="15"/>
              </w:rPr>
              <w:t>19 FéVRIER</w:t>
            </w:r>
            <w:r w:rsidR="005428C9" w:rsidRPr="00CE78E8">
              <w:rPr>
                <w:rFonts w:ascii="Arial Black" w:hAnsi="Arial Black"/>
                <w:caps/>
                <w:sz w:val="15"/>
              </w:rPr>
              <w:t xml:space="preserve"> 201</w:t>
            </w:r>
            <w:r w:rsidR="00025798" w:rsidRPr="00CE78E8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676A9E" w:rsidRPr="00CE78E8" w:rsidRDefault="00676A9E" w:rsidP="008B2CC1"/>
    <w:p w:rsidR="00676A9E" w:rsidRPr="00CE78E8" w:rsidRDefault="00676A9E" w:rsidP="008B2CC1"/>
    <w:p w:rsidR="00676A9E" w:rsidRPr="00CE78E8" w:rsidRDefault="00676A9E" w:rsidP="008B2CC1"/>
    <w:p w:rsidR="00676A9E" w:rsidRPr="00CE78E8" w:rsidRDefault="00676A9E" w:rsidP="008B2CC1"/>
    <w:p w:rsidR="00676A9E" w:rsidRPr="00CE78E8" w:rsidRDefault="00676A9E" w:rsidP="008B2CC1"/>
    <w:p w:rsidR="00676A9E" w:rsidRPr="00CE78E8" w:rsidRDefault="00496CC7" w:rsidP="00496CC7">
      <w:pPr>
        <w:rPr>
          <w:b/>
          <w:sz w:val="28"/>
          <w:szCs w:val="28"/>
        </w:rPr>
      </w:pPr>
      <w:r w:rsidRPr="00CE78E8">
        <w:rPr>
          <w:b/>
          <w:sz w:val="28"/>
          <w:szCs w:val="28"/>
        </w:rPr>
        <w:t>Comité intergouvernemental de la propriété intellectuelle relative aux ressources génétiques, aux savoirs traditionnels et au folklore</w:t>
      </w:r>
    </w:p>
    <w:p w:rsidR="00676A9E" w:rsidRPr="00CE78E8" w:rsidRDefault="00676A9E" w:rsidP="00496CC7"/>
    <w:p w:rsidR="00676A9E" w:rsidRPr="00CE78E8" w:rsidRDefault="00676A9E" w:rsidP="00496CC7"/>
    <w:p w:rsidR="00676A9E" w:rsidRPr="00CE78E8" w:rsidRDefault="00496CC7" w:rsidP="00496CC7">
      <w:pPr>
        <w:rPr>
          <w:b/>
          <w:sz w:val="24"/>
          <w:szCs w:val="24"/>
        </w:rPr>
      </w:pPr>
      <w:r w:rsidRPr="00CE78E8">
        <w:rPr>
          <w:b/>
          <w:sz w:val="24"/>
          <w:szCs w:val="24"/>
        </w:rPr>
        <w:t>Vingt</w:t>
      </w:r>
      <w:r w:rsidR="002C53C2">
        <w:rPr>
          <w:b/>
          <w:sz w:val="24"/>
          <w:szCs w:val="24"/>
        </w:rPr>
        <w:noBreakHyphen/>
      </w:r>
      <w:r w:rsidRPr="00CE78E8">
        <w:rPr>
          <w:b/>
          <w:sz w:val="24"/>
          <w:szCs w:val="24"/>
        </w:rPr>
        <w:t>neuvième session</w:t>
      </w:r>
    </w:p>
    <w:p w:rsidR="00676A9E" w:rsidRPr="00CE78E8" w:rsidRDefault="00496CC7" w:rsidP="00496CC7">
      <w:pPr>
        <w:rPr>
          <w:b/>
          <w:sz w:val="24"/>
          <w:szCs w:val="24"/>
        </w:rPr>
      </w:pPr>
      <w:r w:rsidRPr="00CE78E8">
        <w:rPr>
          <w:b/>
          <w:sz w:val="24"/>
          <w:szCs w:val="24"/>
        </w:rPr>
        <w:t>Genève, 15 – 19 février 2016</w:t>
      </w:r>
    </w:p>
    <w:p w:rsidR="00676A9E" w:rsidRPr="00CE78E8" w:rsidRDefault="00676A9E" w:rsidP="008B2CC1"/>
    <w:p w:rsidR="00676A9E" w:rsidRPr="00CE78E8" w:rsidRDefault="00676A9E" w:rsidP="008B2CC1"/>
    <w:p w:rsidR="00676A9E" w:rsidRPr="00CE78E8" w:rsidRDefault="00676A9E" w:rsidP="008B2CC1"/>
    <w:p w:rsidR="00676A9E" w:rsidRPr="00CE78E8" w:rsidRDefault="009C58C7" w:rsidP="009C58C7">
      <w:pPr>
        <w:rPr>
          <w:caps/>
          <w:sz w:val="24"/>
        </w:rPr>
      </w:pPr>
      <w:bookmarkStart w:id="2" w:name="TitleOfDoc"/>
      <w:bookmarkEnd w:id="2"/>
      <w:r w:rsidRPr="00CE78E8">
        <w:rPr>
          <w:caps/>
          <w:sz w:val="24"/>
        </w:rPr>
        <w:t>DÉCISIONS DE LA VINGT</w:t>
      </w:r>
      <w:r w:rsidR="002C53C2">
        <w:rPr>
          <w:caps/>
          <w:sz w:val="24"/>
        </w:rPr>
        <w:noBreakHyphen/>
      </w:r>
      <w:r w:rsidRPr="00CE78E8">
        <w:rPr>
          <w:caps/>
          <w:sz w:val="24"/>
        </w:rPr>
        <w:t>neuvième SESSION DU COMITÉ</w:t>
      </w:r>
    </w:p>
    <w:p w:rsidR="00676A9E" w:rsidRPr="00CE78E8" w:rsidRDefault="00676A9E" w:rsidP="008B2CC1"/>
    <w:p w:rsidR="00676A9E" w:rsidRPr="00CE78E8" w:rsidRDefault="009C58C7" w:rsidP="009C58C7">
      <w:pPr>
        <w:rPr>
          <w:i/>
        </w:rPr>
      </w:pPr>
      <w:bookmarkStart w:id="3" w:name="Prepared"/>
      <w:bookmarkEnd w:id="3"/>
      <w:proofErr w:type="gramStart"/>
      <w:r w:rsidRPr="00CE78E8">
        <w:rPr>
          <w:i/>
        </w:rPr>
        <w:t>adopté</w:t>
      </w:r>
      <w:proofErr w:type="gramEnd"/>
      <w:r w:rsidRPr="00CE78E8">
        <w:rPr>
          <w:i/>
        </w:rPr>
        <w:t xml:space="preserve"> par l</w:t>
      </w:r>
      <w:bookmarkStart w:id="4" w:name="_GoBack"/>
      <w:bookmarkEnd w:id="4"/>
      <w:r w:rsidRPr="00CE78E8">
        <w:rPr>
          <w:i/>
        </w:rPr>
        <w:t>e comité</w:t>
      </w:r>
    </w:p>
    <w:p w:rsidR="00676A9E" w:rsidRPr="00CE78E8" w:rsidRDefault="00676A9E"/>
    <w:p w:rsidR="00676A9E" w:rsidRPr="00CE78E8" w:rsidRDefault="00676A9E"/>
    <w:p w:rsidR="00676A9E" w:rsidRPr="00CE78E8" w:rsidRDefault="005428C9" w:rsidP="00CE565F">
      <w:pPr>
        <w:pStyle w:val="Heading2"/>
      </w:pPr>
      <w:r w:rsidRPr="00CE78E8">
        <w:br w:type="page"/>
      </w:r>
      <w:r w:rsidR="00CE565F" w:rsidRPr="00CE78E8">
        <w:lastRenderedPageBreak/>
        <w:t>Décision en ce qui concerne le point</w:t>
      </w:r>
      <w:r w:rsidR="00105B8D">
        <w:t> </w:t>
      </w:r>
      <w:r w:rsidR="00CE565F" w:rsidRPr="00CE78E8">
        <w:t>2 de l</w:t>
      </w:r>
      <w:r w:rsidR="00CE78E8">
        <w:t>’</w:t>
      </w:r>
      <w:r w:rsidR="00CE565F" w:rsidRPr="00CE78E8">
        <w:t>ordre du jour :</w:t>
      </w:r>
    </w:p>
    <w:p w:rsidR="00676A9E" w:rsidRPr="00CE78E8" w:rsidRDefault="00CE565F" w:rsidP="00CE565F">
      <w:pPr>
        <w:pStyle w:val="Heading2"/>
        <w:rPr>
          <w:szCs w:val="22"/>
        </w:rPr>
      </w:pPr>
      <w:r w:rsidRPr="00CE78E8">
        <w:rPr>
          <w:szCs w:val="22"/>
        </w:rPr>
        <w:t>Élection du bureau</w:t>
      </w:r>
    </w:p>
    <w:p w:rsidR="00CE565F" w:rsidRPr="00CE78E8" w:rsidRDefault="00CE565F" w:rsidP="00CE565F"/>
    <w:p w:rsidR="00676A9E" w:rsidRPr="00CE78E8" w:rsidRDefault="00730DC7" w:rsidP="00CE565F">
      <w:pPr>
        <w:pStyle w:val="ONUMFS"/>
        <w:numPr>
          <w:ilvl w:val="0"/>
          <w:numId w:val="0"/>
        </w:numPr>
      </w:pPr>
      <w:r w:rsidRPr="00CE78E8">
        <w:t>Sur proposition de la délégation de la Suisse, appuyée par la délégation de l</w:t>
      </w:r>
      <w:r w:rsidR="00CE78E8">
        <w:t>’</w:t>
      </w:r>
      <w:r w:rsidRPr="00CE78E8">
        <w:t>Inde, et par la délégation des Bahamas au nom du groupe des pays d</w:t>
      </w:r>
      <w:r w:rsidR="00CE78E8">
        <w:t>’</w:t>
      </w:r>
      <w:r w:rsidRPr="00CE78E8">
        <w:t>Amérique latine et des Caraïbes (GRULAC), le comité, à l</w:t>
      </w:r>
      <w:r w:rsidR="00CE78E8">
        <w:t>’</w:t>
      </w:r>
      <w:r w:rsidRPr="00CE78E8">
        <w:t>unanimité et par acclamation, a élu M.</w:t>
      </w:r>
      <w:r w:rsidR="00CC5D54" w:rsidRPr="00CE78E8">
        <w:t> </w:t>
      </w:r>
      <w:r w:rsidR="003E4BD1" w:rsidRPr="00CE78E8">
        <w:t>Ian </w:t>
      </w:r>
      <w:r w:rsidRPr="00CE78E8">
        <w:t>Goss (Australie) président pour l</w:t>
      </w:r>
      <w:r w:rsidR="00CE78E8">
        <w:t>’</w:t>
      </w:r>
      <w:r w:rsidRPr="00CE78E8">
        <w:t>exercice biennal</w:t>
      </w:r>
      <w:r w:rsidR="00CC5D54" w:rsidRPr="00CE78E8">
        <w:t> </w:t>
      </w:r>
      <w:r w:rsidRPr="00CE78E8">
        <w:t>2016</w:t>
      </w:r>
      <w:r w:rsidR="002C53C2">
        <w:noBreakHyphen/>
      </w:r>
      <w:r w:rsidRPr="00CE78E8">
        <w:t>2017.</w:t>
      </w:r>
      <w:r w:rsidR="003E1392" w:rsidRPr="00CE78E8">
        <w:t xml:space="preserve">  </w:t>
      </w:r>
      <w:r w:rsidRPr="00CE78E8">
        <w:t>Sur proposition de la délégation de l</w:t>
      </w:r>
      <w:r w:rsidR="00CE78E8">
        <w:t>’</w:t>
      </w:r>
      <w:r w:rsidRPr="00CE78E8">
        <w:t>Autriche, appuyée par la délégation de la Lettonie au nom du groupe des pays d</w:t>
      </w:r>
      <w:r w:rsidR="00CE78E8">
        <w:t>’</w:t>
      </w:r>
      <w:r w:rsidRPr="00CE78E8">
        <w:t>Europe centrale et des États baltes, le comité a élu M.</w:t>
      </w:r>
      <w:r w:rsidR="00CC5D54" w:rsidRPr="00CE78E8">
        <w:t> </w:t>
      </w:r>
      <w:proofErr w:type="spellStart"/>
      <w:r w:rsidR="003E4BD1" w:rsidRPr="00CE78E8">
        <w:t>Jukka</w:t>
      </w:r>
      <w:proofErr w:type="spellEnd"/>
      <w:r w:rsidR="003E4BD1" w:rsidRPr="00CE78E8">
        <w:t> </w:t>
      </w:r>
      <w:proofErr w:type="spellStart"/>
      <w:r w:rsidRPr="00CE78E8">
        <w:t>Liedes</w:t>
      </w:r>
      <w:proofErr w:type="spellEnd"/>
      <w:r w:rsidRPr="00CE78E8">
        <w:t xml:space="preserve"> (Finlande) et, sur proposition de la délégation de l</w:t>
      </w:r>
      <w:r w:rsidR="00CE78E8">
        <w:t>’</w:t>
      </w:r>
      <w:r w:rsidRPr="00CE78E8">
        <w:t>Inde, appuyée par la délégation des Bahamas au nom</w:t>
      </w:r>
      <w:r w:rsidR="00496CC7" w:rsidRPr="00CE78E8">
        <w:t xml:space="preserve"> du GRU</w:t>
      </w:r>
      <w:r w:rsidRPr="00CE78E8">
        <w:t>LA</w:t>
      </w:r>
      <w:r w:rsidR="002C53C2">
        <w:t>C</w:t>
      </w:r>
      <w:r w:rsidRPr="00CE78E8">
        <w:t>, M.</w:t>
      </w:r>
      <w:r w:rsidR="00CC5D54" w:rsidRPr="00CE78E8">
        <w:t> </w:t>
      </w:r>
      <w:r w:rsidRPr="00CE78E8">
        <w:t>l</w:t>
      </w:r>
      <w:r w:rsidR="00CE78E8">
        <w:t>’</w:t>
      </w:r>
      <w:r w:rsidR="00250FCC" w:rsidRPr="00CE78E8">
        <w:t>A</w:t>
      </w:r>
      <w:r w:rsidRPr="00CE78E8">
        <w:t>mbassadeur Robert</w:t>
      </w:r>
      <w:r w:rsidR="003E4BD1" w:rsidRPr="00CE78E8">
        <w:t> </w:t>
      </w:r>
      <w:proofErr w:type="spellStart"/>
      <w:r w:rsidRPr="00CE78E8">
        <w:t>Matheus</w:t>
      </w:r>
      <w:proofErr w:type="spellEnd"/>
      <w:r w:rsidR="002C53C2">
        <w:t> </w:t>
      </w:r>
      <w:r w:rsidRPr="00CE78E8">
        <w:t>Michael</w:t>
      </w:r>
      <w:r w:rsidR="002C53C2">
        <w:t> </w:t>
      </w:r>
      <w:proofErr w:type="spellStart"/>
      <w:r w:rsidRPr="00CE78E8">
        <w:t>Tene</w:t>
      </w:r>
      <w:proofErr w:type="spellEnd"/>
      <w:r w:rsidRPr="00CE78E8">
        <w:t xml:space="preserve"> (Indonésie) aux postes de vice</w:t>
      </w:r>
      <w:r w:rsidR="002C53C2">
        <w:noBreakHyphen/>
      </w:r>
      <w:r w:rsidRPr="00CE78E8">
        <w:t>présidents pour la même période.</w:t>
      </w:r>
    </w:p>
    <w:p w:rsidR="00676A9E" w:rsidRPr="00CE78E8" w:rsidRDefault="00CE565F" w:rsidP="00CE565F">
      <w:pPr>
        <w:pStyle w:val="Heading2"/>
      </w:pPr>
      <w:r w:rsidRPr="00CE78E8">
        <w:t>Décision en ce qui concerne le point</w:t>
      </w:r>
      <w:r w:rsidR="00105B8D">
        <w:t> </w:t>
      </w:r>
      <w:r w:rsidRPr="00CE78E8">
        <w:t>3 de l</w:t>
      </w:r>
      <w:r w:rsidR="00CE78E8">
        <w:t>’</w:t>
      </w:r>
      <w:r w:rsidRPr="00CE78E8">
        <w:t>ordre du jour :</w:t>
      </w:r>
    </w:p>
    <w:p w:rsidR="00676A9E" w:rsidRPr="00CE78E8" w:rsidRDefault="00CE565F" w:rsidP="00CE565F">
      <w:pPr>
        <w:pStyle w:val="Heading2"/>
      </w:pPr>
      <w:r w:rsidRPr="00CE78E8">
        <w:t>Adoption de l</w:t>
      </w:r>
      <w:r w:rsidR="00CE78E8">
        <w:t>’</w:t>
      </w:r>
      <w:r w:rsidRPr="00CE78E8">
        <w:t>ordre du jour</w:t>
      </w:r>
    </w:p>
    <w:p w:rsidR="00CE565F" w:rsidRPr="00CE78E8" w:rsidRDefault="00CE565F" w:rsidP="00CE565F"/>
    <w:p w:rsidR="00676A9E" w:rsidRPr="00CE78E8" w:rsidRDefault="00730DC7" w:rsidP="00CE565F">
      <w:pPr>
        <w:pStyle w:val="ONUMFS"/>
        <w:numPr>
          <w:ilvl w:val="0"/>
          <w:numId w:val="0"/>
        </w:numPr>
      </w:pPr>
      <w:r w:rsidRPr="00CE78E8">
        <w:t>Le président a soumis pour adoption le projet d</w:t>
      </w:r>
      <w:r w:rsidR="00CE78E8">
        <w:t>’</w:t>
      </w:r>
      <w:r w:rsidRPr="00CE78E8">
        <w:t>ordre du jour diffusé sous la cote WIPO/GRTKF/IC/29/1 Prov.3, qui a été adopté.</w:t>
      </w:r>
    </w:p>
    <w:p w:rsidR="00676A9E" w:rsidRPr="00CE78E8" w:rsidRDefault="00CE565F" w:rsidP="00CE565F">
      <w:pPr>
        <w:pStyle w:val="Heading2"/>
      </w:pPr>
      <w:r w:rsidRPr="00CE78E8">
        <w:t>Décision en ce qui concerne le point</w:t>
      </w:r>
      <w:r w:rsidR="00105B8D">
        <w:t> </w:t>
      </w:r>
      <w:r w:rsidRPr="00CE78E8">
        <w:t>4 de l</w:t>
      </w:r>
      <w:r w:rsidR="00CE78E8">
        <w:t>’</w:t>
      </w:r>
      <w:r w:rsidRPr="00CE78E8">
        <w:t>ordre du jour :</w:t>
      </w:r>
    </w:p>
    <w:p w:rsidR="00676A9E" w:rsidRPr="00CE78E8" w:rsidRDefault="00CE565F" w:rsidP="00CE565F">
      <w:pPr>
        <w:pStyle w:val="Heading2"/>
      </w:pPr>
      <w:r w:rsidRPr="00CE78E8">
        <w:t>Adoption du rapport de la vingt</w:t>
      </w:r>
      <w:r w:rsidR="002C53C2">
        <w:noBreakHyphen/>
      </w:r>
      <w:r w:rsidRPr="00CE78E8">
        <w:t>huitième session</w:t>
      </w:r>
    </w:p>
    <w:p w:rsidR="00CE565F" w:rsidRPr="00CE78E8" w:rsidRDefault="00CE565F" w:rsidP="00CE565F"/>
    <w:p w:rsidR="00676A9E" w:rsidRPr="00CE78E8" w:rsidRDefault="00730DC7" w:rsidP="00CE565F">
      <w:pPr>
        <w:pStyle w:val="ONUMFS"/>
        <w:numPr>
          <w:ilvl w:val="0"/>
          <w:numId w:val="0"/>
        </w:numPr>
      </w:pPr>
      <w:r w:rsidRPr="00CE78E8">
        <w:t>Le président a soumis pour adoption le projet de rapport révisé de la vingt</w:t>
      </w:r>
      <w:r w:rsidR="002C53C2">
        <w:noBreakHyphen/>
      </w:r>
      <w:r w:rsidRPr="00CE78E8">
        <w:t>huitième</w:t>
      </w:r>
      <w:r w:rsidR="00CC5D54" w:rsidRPr="00CE78E8">
        <w:t> </w:t>
      </w:r>
      <w:r w:rsidRPr="00CE78E8">
        <w:t>session du comité (WIPO/GRTKF/IC/28/11</w:t>
      </w:r>
      <w:r w:rsidR="00CC5D54" w:rsidRPr="00CE78E8">
        <w:t> </w:t>
      </w:r>
      <w:r w:rsidRPr="00CE78E8">
        <w:t>Prov.2), qui a été adopté.</w:t>
      </w:r>
    </w:p>
    <w:p w:rsidR="00676A9E" w:rsidRPr="00CE78E8" w:rsidRDefault="00CE565F" w:rsidP="00CE565F">
      <w:pPr>
        <w:pStyle w:val="Heading2"/>
      </w:pPr>
      <w:r w:rsidRPr="00CE78E8">
        <w:t>Décision en ce qui concerne le point 5 de l</w:t>
      </w:r>
      <w:r w:rsidR="00CE78E8">
        <w:t>’</w:t>
      </w:r>
      <w:r w:rsidRPr="00CE78E8">
        <w:t>ordre du jour :</w:t>
      </w:r>
    </w:p>
    <w:p w:rsidR="00676A9E" w:rsidRPr="00CE78E8" w:rsidRDefault="00CE565F" w:rsidP="00CE565F">
      <w:pPr>
        <w:pStyle w:val="Heading2"/>
      </w:pPr>
      <w:r w:rsidRPr="00CE78E8">
        <w:t>Accréditation de certaines organisations</w:t>
      </w:r>
    </w:p>
    <w:p w:rsidR="00CE565F" w:rsidRPr="00CE78E8" w:rsidRDefault="00CE565F" w:rsidP="00CE565F"/>
    <w:p w:rsidR="00676A9E" w:rsidRPr="00CE78E8" w:rsidRDefault="00550FF8" w:rsidP="00CE565F">
      <w:pPr>
        <w:pStyle w:val="ONUMFS"/>
        <w:numPr>
          <w:ilvl w:val="0"/>
          <w:numId w:val="0"/>
        </w:numPr>
      </w:pPr>
      <w:r w:rsidRPr="00CE78E8">
        <w:t>Le comité a approuvé à l</w:t>
      </w:r>
      <w:r w:rsidR="00CE78E8">
        <w:t>’</w:t>
      </w:r>
      <w:r w:rsidRPr="00CE78E8">
        <w:t>unanimité l</w:t>
      </w:r>
      <w:r w:rsidR="00CE78E8">
        <w:t>’</w:t>
      </w:r>
      <w:r w:rsidRPr="00CE78E8">
        <w:t>accréditation de 17 organisations indiquées dans l</w:t>
      </w:r>
      <w:r w:rsidR="00CE78E8">
        <w:t>’</w:t>
      </w:r>
      <w:r w:rsidRPr="00CE78E8">
        <w:t>annexe du document WIPO/GRTKF/IC/29/2 à titre d</w:t>
      </w:r>
      <w:r w:rsidR="00CE78E8">
        <w:t>’</w:t>
      </w:r>
      <w:r w:rsidRPr="00CE78E8">
        <w:t>observatrices ad</w:t>
      </w:r>
      <w:r w:rsidR="00CC5D54" w:rsidRPr="00CE78E8">
        <w:t> </w:t>
      </w:r>
      <w:r w:rsidRPr="00CE78E8">
        <w:t xml:space="preserve">hoc, </w:t>
      </w:r>
      <w:r w:rsidR="00CE78E8">
        <w:t>à savoir</w:t>
      </w:r>
      <w:r w:rsidR="00CC5D54" w:rsidRPr="00CE78E8">
        <w:t> :</w:t>
      </w:r>
      <w:r w:rsidRPr="00CE78E8">
        <w:t xml:space="preserve"> Action jeunesse pour le développement (AJED</w:t>
      </w:r>
      <w:r w:rsidR="002C53C2">
        <w:noBreakHyphen/>
      </w:r>
      <w:r w:rsidRPr="00CE78E8">
        <w:t>Congo);  Actions pour la défense des droits des peuples de la forêt et de l</w:t>
      </w:r>
      <w:r w:rsidR="00CE78E8">
        <w:t>’</w:t>
      </w:r>
      <w:r w:rsidRPr="00CE78E8">
        <w:t xml:space="preserve">environnement (ADPE);  </w:t>
      </w:r>
      <w:proofErr w:type="spellStart"/>
      <w:r w:rsidRPr="00CE78E8">
        <w:t>Agencia</w:t>
      </w:r>
      <w:proofErr w:type="spellEnd"/>
      <w:r w:rsidRPr="00CE78E8">
        <w:t xml:space="preserve"> Internacional de </w:t>
      </w:r>
      <w:proofErr w:type="spellStart"/>
      <w:r w:rsidRPr="00CE78E8">
        <w:t>Prensa</w:t>
      </w:r>
      <w:proofErr w:type="spellEnd"/>
      <w:r w:rsidRPr="00CE78E8">
        <w:t xml:space="preserve"> </w:t>
      </w:r>
      <w:proofErr w:type="spellStart"/>
      <w:r w:rsidRPr="00CE78E8">
        <w:t>Indígena</w:t>
      </w:r>
      <w:proofErr w:type="spellEnd"/>
      <w:r w:rsidRPr="00CE78E8">
        <w:t xml:space="preserve"> (AIPIN);  </w:t>
      </w:r>
      <w:proofErr w:type="spellStart"/>
      <w:r w:rsidRPr="00CE78E8">
        <w:t>Associação</w:t>
      </w:r>
      <w:proofErr w:type="spellEnd"/>
      <w:r w:rsidRPr="00CE78E8">
        <w:t xml:space="preserve"> dos </w:t>
      </w:r>
      <w:proofErr w:type="spellStart"/>
      <w:r w:rsidRPr="00CE78E8">
        <w:t>Camponeses</w:t>
      </w:r>
      <w:proofErr w:type="spellEnd"/>
      <w:r w:rsidRPr="00CE78E8">
        <w:t xml:space="preserve"> para o </w:t>
      </w:r>
      <w:proofErr w:type="spellStart"/>
      <w:r w:rsidRPr="00CE78E8">
        <w:t>Desenvolvimento</w:t>
      </w:r>
      <w:proofErr w:type="spellEnd"/>
      <w:r w:rsidRPr="00CE78E8">
        <w:t xml:space="preserve"> Agro</w:t>
      </w:r>
      <w:r w:rsidR="002C53C2">
        <w:noBreakHyphen/>
      </w:r>
      <w:proofErr w:type="spellStart"/>
      <w:r w:rsidRPr="00CE78E8">
        <w:t>Peuario</w:t>
      </w:r>
      <w:proofErr w:type="spellEnd"/>
      <w:r w:rsidRPr="00CE78E8">
        <w:t xml:space="preserve"> e </w:t>
      </w:r>
      <w:proofErr w:type="spellStart"/>
      <w:r w:rsidRPr="00CE78E8">
        <w:t>Pescas</w:t>
      </w:r>
      <w:proofErr w:type="spellEnd"/>
      <w:r w:rsidRPr="00CE78E8">
        <w:t xml:space="preserve"> Tala</w:t>
      </w:r>
      <w:r w:rsidR="002C53C2">
        <w:noBreakHyphen/>
      </w:r>
      <w:proofErr w:type="spellStart"/>
      <w:r w:rsidRPr="00CE78E8">
        <w:t>Hary</w:t>
      </w:r>
      <w:proofErr w:type="spellEnd"/>
      <w:r w:rsidRPr="00CE78E8">
        <w:t xml:space="preserve"> (ACDAPTH);  Bureau of Consultation for West Papua </w:t>
      </w:r>
      <w:proofErr w:type="spellStart"/>
      <w:r w:rsidRPr="00CE78E8">
        <w:t>Indige</w:t>
      </w:r>
      <w:r w:rsidR="003E4BD1" w:rsidRPr="00CE78E8">
        <w:t>nous</w:t>
      </w:r>
      <w:proofErr w:type="spellEnd"/>
      <w:r w:rsidR="003E4BD1" w:rsidRPr="00CE78E8">
        <w:t xml:space="preserve"> </w:t>
      </w:r>
      <w:proofErr w:type="spellStart"/>
      <w:r w:rsidR="003E4BD1" w:rsidRPr="00CE78E8">
        <w:t>Community</w:t>
      </w:r>
      <w:proofErr w:type="spellEnd"/>
      <w:r w:rsidR="003E4BD1" w:rsidRPr="00CE78E8">
        <w:t xml:space="preserve"> Development;  CS </w:t>
      </w:r>
      <w:r w:rsidRPr="00CE78E8">
        <w:t xml:space="preserve">Consulting;  Fondation </w:t>
      </w:r>
      <w:proofErr w:type="spellStart"/>
      <w:r w:rsidRPr="00CE78E8">
        <w:t>Makambi</w:t>
      </w:r>
      <w:proofErr w:type="spellEnd"/>
      <w:r w:rsidRPr="00CE78E8">
        <w:t xml:space="preserve"> pour le développement;  </w:t>
      </w:r>
      <w:proofErr w:type="spellStart"/>
      <w:r w:rsidRPr="00CE78E8">
        <w:t>Gur</w:t>
      </w:r>
      <w:proofErr w:type="spellEnd"/>
      <w:r w:rsidRPr="00CE78E8">
        <w:t xml:space="preserve"> A </w:t>
      </w:r>
      <w:proofErr w:type="spellStart"/>
      <w:r w:rsidRPr="00CE78E8">
        <w:t>Baradharaw</w:t>
      </w:r>
      <w:proofErr w:type="spellEnd"/>
      <w:r w:rsidRPr="00CE78E8">
        <w:t xml:space="preserve"> </w:t>
      </w:r>
      <w:proofErr w:type="spellStart"/>
      <w:r w:rsidRPr="00CE78E8">
        <w:t>Kod</w:t>
      </w:r>
      <w:proofErr w:type="spellEnd"/>
      <w:r w:rsidRPr="00CE78E8">
        <w:t xml:space="preserve"> Torres </w:t>
      </w:r>
      <w:proofErr w:type="spellStart"/>
      <w:r w:rsidRPr="00CE78E8">
        <w:t>Strait</w:t>
      </w:r>
      <w:proofErr w:type="spellEnd"/>
      <w:r w:rsidRPr="00CE78E8">
        <w:t xml:space="preserve"> </w:t>
      </w:r>
      <w:proofErr w:type="spellStart"/>
      <w:r w:rsidRPr="00CE78E8">
        <w:t>Sea</w:t>
      </w:r>
      <w:proofErr w:type="spellEnd"/>
      <w:r w:rsidRPr="00CE78E8">
        <w:t xml:space="preserve"> and Land Council (Torres </w:t>
      </w:r>
      <w:proofErr w:type="spellStart"/>
      <w:r w:rsidRPr="00CE78E8">
        <w:t>Strait</w:t>
      </w:r>
      <w:proofErr w:type="spellEnd"/>
      <w:r w:rsidRPr="00CE78E8">
        <w:t xml:space="preserve"> </w:t>
      </w:r>
      <w:proofErr w:type="spellStart"/>
      <w:r w:rsidRPr="00CE78E8">
        <w:t>Islander</w:t>
      </w:r>
      <w:proofErr w:type="spellEnd"/>
      <w:r w:rsidRPr="00CE78E8">
        <w:t xml:space="preserve">) Corporation;  International Centre for </w:t>
      </w:r>
      <w:proofErr w:type="spellStart"/>
      <w:r w:rsidRPr="00CE78E8">
        <w:t>Environmental</w:t>
      </w:r>
      <w:proofErr w:type="spellEnd"/>
      <w:r w:rsidRPr="00CE78E8">
        <w:t xml:space="preserve"> Education and </w:t>
      </w:r>
      <w:proofErr w:type="spellStart"/>
      <w:r w:rsidRPr="00CE78E8">
        <w:t>Community</w:t>
      </w:r>
      <w:proofErr w:type="spellEnd"/>
      <w:r w:rsidRPr="00CE78E8">
        <w:t xml:space="preserve"> Development (ICENECDEV);  </w:t>
      </w:r>
      <w:proofErr w:type="spellStart"/>
      <w:r w:rsidRPr="00CE78E8">
        <w:t>Korea</w:t>
      </w:r>
      <w:proofErr w:type="spellEnd"/>
      <w:r w:rsidRPr="00CE78E8">
        <w:t xml:space="preserve"> Institute of Oriental </w:t>
      </w:r>
      <w:proofErr w:type="spellStart"/>
      <w:r w:rsidRPr="00CE78E8">
        <w:t>Medicine</w:t>
      </w:r>
      <w:proofErr w:type="spellEnd"/>
      <w:r w:rsidRPr="00CE78E8">
        <w:t xml:space="preserve"> (KIOM);  ONG femmes et enfants en détresse (FEED);  </w:t>
      </w:r>
      <w:proofErr w:type="spellStart"/>
      <w:r w:rsidRPr="00CE78E8">
        <w:t>Phuthadikobo</w:t>
      </w:r>
      <w:proofErr w:type="spellEnd"/>
      <w:r w:rsidRPr="00CE78E8">
        <w:t xml:space="preserve"> Museum;  Rassemblement des Africains conscients, intègres, nationalistes, engagés et solidaires</w:t>
      </w:r>
      <w:r w:rsidR="00CC5D54" w:rsidRPr="00CE78E8">
        <w:t> </w:t>
      </w:r>
      <w:r w:rsidRPr="00CE78E8">
        <w:t>: Association (RACINES);  Union des jeunes autochtones du Burundi pour le développement communautaire (UJEDECO);  Union des peuples autochtones pour le réveil au développement (UPARED);  Union nationale des organisations non gouvernementales de développement (UNONGD);  Villages unis (United Villages);  et White Brid</w:t>
      </w:r>
      <w:r w:rsidR="002C53C2" w:rsidRPr="00CE78E8">
        <w:t>ge</w:t>
      </w:r>
      <w:r w:rsidR="002C53C2">
        <w:t xml:space="preserve">.  </w:t>
      </w:r>
      <w:r w:rsidR="002C53C2" w:rsidRPr="00CE78E8">
        <w:t>Le</w:t>
      </w:r>
      <w:r w:rsidRPr="00CE78E8">
        <w:t xml:space="preserve"> comité a décidé de différer l</w:t>
      </w:r>
      <w:r w:rsidR="00CE78E8">
        <w:t>’</w:t>
      </w:r>
      <w:r w:rsidRPr="00CE78E8">
        <w:t>examen de la demande d</w:t>
      </w:r>
      <w:r w:rsidR="00CE78E8">
        <w:t>’</w:t>
      </w:r>
      <w:r w:rsidRPr="00CE78E8">
        <w:t xml:space="preserve">accréditation du Bureau of Consultation for West Papua </w:t>
      </w:r>
      <w:proofErr w:type="spellStart"/>
      <w:r w:rsidRPr="00CE78E8">
        <w:t>Indigenous</w:t>
      </w:r>
      <w:proofErr w:type="spellEnd"/>
      <w:r w:rsidRPr="00CE78E8">
        <w:t xml:space="preserve"> </w:t>
      </w:r>
      <w:proofErr w:type="spellStart"/>
      <w:r w:rsidRPr="00CE78E8">
        <w:t>Community</w:t>
      </w:r>
      <w:proofErr w:type="spellEnd"/>
      <w:r w:rsidRPr="00CE78E8">
        <w:t xml:space="preserve"> Development à sa trentième</w:t>
      </w:r>
      <w:r w:rsidR="00CC5D54" w:rsidRPr="00CE78E8">
        <w:t> </w:t>
      </w:r>
      <w:r w:rsidRPr="00CE78E8">
        <w:t>session.</w:t>
      </w:r>
    </w:p>
    <w:p w:rsidR="00676A9E" w:rsidRPr="00CE78E8" w:rsidRDefault="00CE565F" w:rsidP="00CE565F">
      <w:pPr>
        <w:pStyle w:val="Heading2"/>
      </w:pPr>
      <w:r w:rsidRPr="00CE78E8">
        <w:lastRenderedPageBreak/>
        <w:t>Décision en ce qui concerne le point</w:t>
      </w:r>
      <w:r w:rsidR="00105B8D">
        <w:t> </w:t>
      </w:r>
      <w:r w:rsidRPr="00CE78E8">
        <w:t>6 de l</w:t>
      </w:r>
      <w:r w:rsidR="00CE78E8">
        <w:t>’</w:t>
      </w:r>
      <w:r w:rsidRPr="00CE78E8">
        <w:t>ordre du jour :</w:t>
      </w:r>
    </w:p>
    <w:p w:rsidR="00676A9E" w:rsidRPr="00CE78E8" w:rsidRDefault="00CE565F" w:rsidP="00CE565F">
      <w:pPr>
        <w:pStyle w:val="Heading2"/>
      </w:pPr>
      <w:r w:rsidRPr="00CE78E8">
        <w:t>Participation des communautés autochtones et locales</w:t>
      </w:r>
    </w:p>
    <w:p w:rsidR="00CE565F" w:rsidRPr="00CE78E8" w:rsidRDefault="00CE565F" w:rsidP="00CE565F"/>
    <w:p w:rsidR="00676A9E" w:rsidRPr="00CE78E8" w:rsidRDefault="00DA469B" w:rsidP="00CE565F">
      <w:pPr>
        <w:pStyle w:val="ONUMFS"/>
        <w:numPr>
          <w:ilvl w:val="0"/>
          <w:numId w:val="0"/>
        </w:numPr>
      </w:pPr>
      <w:r w:rsidRPr="00CE78E8">
        <w:t>Le comité a pris note des documents WIPO/GRTKF/IC/29/3, WIPO/GRTKF/IC/29/INF/4 et WIPO/GRTKF/IC/29/INF/6.</w:t>
      </w:r>
    </w:p>
    <w:p w:rsidR="00676A9E" w:rsidRPr="00CE78E8" w:rsidRDefault="00DA469B" w:rsidP="00CE565F">
      <w:pPr>
        <w:pStyle w:val="ONUMFS"/>
        <w:numPr>
          <w:ilvl w:val="0"/>
          <w:numId w:val="0"/>
        </w:numPr>
      </w:pPr>
      <w:r w:rsidRPr="00CE78E8">
        <w:t>Le comité a vivement encouragé et invité les membres du comité et tous les organismes publics ou privés intéressés à contribuer au Fonds de contributions volontaires de l</w:t>
      </w:r>
      <w:r w:rsidR="00CE78E8">
        <w:t>’</w:t>
      </w:r>
      <w:r w:rsidRPr="00CE78E8">
        <w:t>OMPI pour les communautés autochtones et locales accréditées.</w:t>
      </w:r>
    </w:p>
    <w:p w:rsidR="00676A9E" w:rsidRPr="00CE78E8" w:rsidRDefault="00DA469B" w:rsidP="00CE565F">
      <w:pPr>
        <w:pStyle w:val="ONUMFS"/>
        <w:numPr>
          <w:ilvl w:val="0"/>
          <w:numId w:val="0"/>
        </w:numPr>
      </w:pPr>
      <w:r w:rsidRPr="00CE78E8">
        <w:t>Le président a proposé les huit</w:t>
      </w:r>
      <w:r w:rsidR="00CC5D54" w:rsidRPr="00CE78E8">
        <w:t> </w:t>
      </w:r>
      <w:r w:rsidRPr="00CE78E8">
        <w:t>membres ci</w:t>
      </w:r>
      <w:r w:rsidR="002C53C2">
        <w:noBreakHyphen/>
      </w:r>
      <w:r w:rsidRPr="00CE78E8">
        <w:t>après qui siégeront à titre personnel au Conseil consultatif et le comité les a élus par acclamation</w:t>
      </w:r>
      <w:r w:rsidR="00CC5D54" w:rsidRPr="00CE78E8">
        <w:t> </w:t>
      </w:r>
      <w:r w:rsidRPr="00CE78E8">
        <w:t xml:space="preserve">: </w:t>
      </w:r>
      <w:r w:rsidR="00F24515" w:rsidRPr="00CE78E8">
        <w:t>M.</w:t>
      </w:r>
      <w:r w:rsidR="002177A9" w:rsidRPr="00CE78E8">
        <w:t> </w:t>
      </w:r>
      <w:proofErr w:type="spellStart"/>
      <w:r w:rsidR="00F24515" w:rsidRPr="00CE78E8">
        <w:t>Fayssal</w:t>
      </w:r>
      <w:proofErr w:type="spellEnd"/>
      <w:r w:rsidR="00F24515" w:rsidRPr="00CE78E8">
        <w:t xml:space="preserve"> ALLEK, premier secrétaire, Mission permanente d</w:t>
      </w:r>
      <w:r w:rsidR="00621ED4">
        <w:t>e l</w:t>
      </w:r>
      <w:r w:rsidR="00CE78E8">
        <w:t>’</w:t>
      </w:r>
      <w:r w:rsidR="00F24515" w:rsidRPr="00CE78E8">
        <w:t>Algérie, Genève;  M.</w:t>
      </w:r>
      <w:r w:rsidR="002177A9" w:rsidRPr="00CE78E8">
        <w:t> </w:t>
      </w:r>
      <w:proofErr w:type="spellStart"/>
      <w:r w:rsidR="00F24515" w:rsidRPr="00CE78E8">
        <w:t>Parviz</w:t>
      </w:r>
      <w:proofErr w:type="spellEnd"/>
      <w:r w:rsidR="00F24515" w:rsidRPr="00CE78E8">
        <w:t xml:space="preserve"> EMOMOV, deuxième secrétaire, Mission permanente du Tadjikistan, Genève;  M.</w:t>
      </w:r>
      <w:r w:rsidR="002177A9" w:rsidRPr="00CE78E8">
        <w:t> </w:t>
      </w:r>
      <w:r w:rsidR="00F24515" w:rsidRPr="00CE78E8">
        <w:t>Nelson DE LEÓN KANTULE, représentant de l</w:t>
      </w:r>
      <w:r w:rsidR="00CE78E8">
        <w:t>’</w:t>
      </w:r>
      <w:proofErr w:type="spellStart"/>
      <w:r w:rsidR="00F24515" w:rsidRPr="00CE78E8">
        <w:t>Asociación</w:t>
      </w:r>
      <w:proofErr w:type="spellEnd"/>
      <w:r w:rsidR="00F24515" w:rsidRPr="00CE78E8">
        <w:t xml:space="preserve"> </w:t>
      </w:r>
      <w:proofErr w:type="spellStart"/>
      <w:r w:rsidR="00F24515" w:rsidRPr="00CE78E8">
        <w:t>Kunas</w:t>
      </w:r>
      <w:proofErr w:type="spellEnd"/>
      <w:r w:rsidR="00F24515" w:rsidRPr="00CE78E8">
        <w:t xml:space="preserve"> </w:t>
      </w:r>
      <w:proofErr w:type="spellStart"/>
      <w:r w:rsidR="00F24515" w:rsidRPr="00CE78E8">
        <w:t>unidos</w:t>
      </w:r>
      <w:proofErr w:type="spellEnd"/>
      <w:r w:rsidR="00F24515" w:rsidRPr="00CE78E8">
        <w:t xml:space="preserve"> </w:t>
      </w:r>
      <w:proofErr w:type="spellStart"/>
      <w:r w:rsidR="00F24515" w:rsidRPr="00CE78E8">
        <w:t>por</w:t>
      </w:r>
      <w:proofErr w:type="spellEnd"/>
      <w:r w:rsidR="00F24515" w:rsidRPr="00CE78E8">
        <w:t xml:space="preserve"> </w:t>
      </w:r>
      <w:proofErr w:type="spellStart"/>
      <w:r w:rsidR="00F24515" w:rsidRPr="00CE78E8">
        <w:t>Napguana</w:t>
      </w:r>
      <w:proofErr w:type="spellEnd"/>
      <w:r w:rsidR="00F24515" w:rsidRPr="00CE78E8">
        <w:t xml:space="preserve">/Association of </w:t>
      </w:r>
      <w:proofErr w:type="spellStart"/>
      <w:r w:rsidR="00F24515" w:rsidRPr="00CE78E8">
        <w:t>Kunas</w:t>
      </w:r>
      <w:proofErr w:type="spellEnd"/>
      <w:r w:rsidR="00F24515" w:rsidRPr="00CE78E8">
        <w:t xml:space="preserve"> for Mother </w:t>
      </w:r>
      <w:proofErr w:type="spellStart"/>
      <w:r w:rsidR="00F24515" w:rsidRPr="00CE78E8">
        <w:t>Earth</w:t>
      </w:r>
      <w:proofErr w:type="spellEnd"/>
      <w:r w:rsidR="00F24515" w:rsidRPr="00CE78E8">
        <w:t xml:space="preserve"> (KUNA) (Panama);  M.</w:t>
      </w:r>
      <w:r w:rsidR="002177A9" w:rsidRPr="00CE78E8">
        <w:t> </w:t>
      </w:r>
      <w:r w:rsidR="00F24515" w:rsidRPr="00CE78E8">
        <w:t xml:space="preserve">Raymond FRYBERG, représentant des tribus </w:t>
      </w:r>
      <w:proofErr w:type="spellStart"/>
      <w:r w:rsidR="00F24515" w:rsidRPr="00CE78E8">
        <w:t>Tulalip</w:t>
      </w:r>
      <w:proofErr w:type="spellEnd"/>
      <w:r w:rsidR="00F24515" w:rsidRPr="00CE78E8">
        <w:t xml:space="preserve"> de Washington (États</w:t>
      </w:r>
      <w:r w:rsidR="002C53C2">
        <w:noBreakHyphen/>
      </w:r>
      <w:r w:rsidR="00F24515" w:rsidRPr="00CE78E8">
        <w:t>Unis d</w:t>
      </w:r>
      <w:r w:rsidR="00CE78E8">
        <w:t>’</w:t>
      </w:r>
      <w:r w:rsidR="00F24515" w:rsidRPr="00CE78E8">
        <w:t>Amérique);  M.</w:t>
      </w:r>
      <w:r w:rsidR="002177A9" w:rsidRPr="00CE78E8">
        <w:t> </w:t>
      </w:r>
      <w:r w:rsidR="00F24515" w:rsidRPr="00CE78E8">
        <w:t xml:space="preserve">Carlo Maria MARENGHI, </w:t>
      </w:r>
      <w:r w:rsidR="00B205DD" w:rsidRPr="00CE78E8">
        <w:t>attaché chargé de la propriété intellectuelle et du commerce, Mission permanente du Saint</w:t>
      </w:r>
      <w:r w:rsidR="002C53C2">
        <w:noBreakHyphen/>
      </w:r>
      <w:r w:rsidR="00B205DD" w:rsidRPr="00CE78E8">
        <w:t>Siège (Genève);  Mme</w:t>
      </w:r>
      <w:r w:rsidR="002177A9" w:rsidRPr="00CE78E8">
        <w:t> </w:t>
      </w:r>
      <w:r w:rsidR="00B205DD" w:rsidRPr="00CE78E8">
        <w:t>Mary</w:t>
      </w:r>
      <w:r w:rsidR="0084775A" w:rsidRPr="00CE78E8">
        <w:t> </w:t>
      </w:r>
      <w:r w:rsidR="00B205DD" w:rsidRPr="00CE78E8">
        <w:t>NARFI,</w:t>
      </w:r>
      <w:r w:rsidR="0084775A" w:rsidRPr="00CE78E8">
        <w:t xml:space="preserve"> </w:t>
      </w:r>
      <w:r w:rsidR="001448A4" w:rsidRPr="00CE78E8">
        <w:t>administratrice exécutive,</w:t>
      </w:r>
      <w:r w:rsidR="00B205DD" w:rsidRPr="00CE78E8">
        <w:t xml:space="preserve"> Ministère du tourisme, du commerce, des échanges et de l</w:t>
      </w:r>
      <w:r w:rsidR="00CE78E8">
        <w:t>’</w:t>
      </w:r>
      <w:r w:rsidR="007256DC" w:rsidRPr="00CE78E8">
        <w:t>économie N</w:t>
      </w:r>
      <w:r w:rsidR="00B205DD" w:rsidRPr="00CE78E8">
        <w:t>i</w:t>
      </w:r>
      <w:r w:rsidR="002C53C2">
        <w:noBreakHyphen/>
      </w:r>
      <w:r w:rsidR="00B205DD" w:rsidRPr="00CE78E8">
        <w:t>Vanuatu, Port</w:t>
      </w:r>
      <w:r w:rsidR="00621ED4">
        <w:noBreakHyphen/>
      </w:r>
      <w:r w:rsidR="00B205DD" w:rsidRPr="00CE78E8">
        <w:t>Vila (Vanuatu);  M.</w:t>
      </w:r>
      <w:r w:rsidR="002177A9" w:rsidRPr="00CE78E8">
        <w:t> </w:t>
      </w:r>
      <w:r w:rsidR="00B205DD" w:rsidRPr="00CE78E8">
        <w:t xml:space="preserve">Pita </w:t>
      </w:r>
      <w:proofErr w:type="spellStart"/>
      <w:r w:rsidR="00B205DD" w:rsidRPr="00CE78E8">
        <w:t>Kalesita</w:t>
      </w:r>
      <w:proofErr w:type="spellEnd"/>
      <w:r w:rsidR="00B205DD" w:rsidRPr="00CE78E8">
        <w:t xml:space="preserve"> NIUBALAVU, consultant, Secrétariat du Forum des îles du Pacifique (Fidji);  Mme</w:t>
      </w:r>
      <w:r w:rsidR="002177A9" w:rsidRPr="00CE78E8">
        <w:t> </w:t>
      </w:r>
      <w:proofErr w:type="spellStart"/>
      <w:r w:rsidR="0084775A" w:rsidRPr="00CE78E8">
        <w:t>Marcela</w:t>
      </w:r>
      <w:proofErr w:type="spellEnd"/>
      <w:r w:rsidR="0084775A" w:rsidRPr="00CE78E8">
        <w:t> </w:t>
      </w:r>
      <w:r w:rsidR="00B205DD" w:rsidRPr="00CE78E8">
        <w:t>PAIVA, conseillère, Mission permanente du Chili, Genève.</w:t>
      </w:r>
    </w:p>
    <w:p w:rsidR="00676A9E" w:rsidRPr="00CE78E8" w:rsidRDefault="00B73517" w:rsidP="00CE565F">
      <w:pPr>
        <w:pStyle w:val="ONUMFS"/>
        <w:numPr>
          <w:ilvl w:val="0"/>
          <w:numId w:val="0"/>
        </w:numPr>
      </w:pPr>
      <w:r w:rsidRPr="00CE78E8">
        <w:t>Le président a désigné M.</w:t>
      </w:r>
      <w:r w:rsidR="00CC5D54" w:rsidRPr="00CE78E8">
        <w:t> </w:t>
      </w:r>
      <w:r w:rsidRPr="00CE78E8">
        <w:t>l</w:t>
      </w:r>
      <w:r w:rsidR="00CE78E8">
        <w:t>’</w:t>
      </w:r>
      <w:r w:rsidR="00250FCC" w:rsidRPr="00CE78E8">
        <w:t>A</w:t>
      </w:r>
      <w:r w:rsidR="003E4BD1" w:rsidRPr="00CE78E8">
        <w:t>mbassadeur Robert </w:t>
      </w:r>
      <w:proofErr w:type="spellStart"/>
      <w:r w:rsidRPr="00CE78E8">
        <w:t>Matheus</w:t>
      </w:r>
      <w:proofErr w:type="spellEnd"/>
      <w:r w:rsidRPr="00CE78E8">
        <w:t xml:space="preserve"> Michael </w:t>
      </w:r>
      <w:proofErr w:type="spellStart"/>
      <w:r w:rsidRPr="00CE78E8">
        <w:t>Tene</w:t>
      </w:r>
      <w:proofErr w:type="spellEnd"/>
      <w:r w:rsidRPr="00CE78E8">
        <w:t>, vice</w:t>
      </w:r>
      <w:r w:rsidR="002C53C2">
        <w:noBreakHyphen/>
      </w:r>
      <w:r w:rsidRPr="00CE78E8">
        <w:t>président du comité, comme président du Conseil consultatif.</w:t>
      </w:r>
    </w:p>
    <w:p w:rsidR="00676A9E" w:rsidRPr="00CE78E8" w:rsidRDefault="00CE565F" w:rsidP="00CE565F">
      <w:pPr>
        <w:pStyle w:val="Heading2"/>
      </w:pPr>
      <w:r w:rsidRPr="00CE78E8">
        <w:t>Décision en ce qui concerne le point 7 de l</w:t>
      </w:r>
      <w:r w:rsidR="00CE78E8">
        <w:t>’</w:t>
      </w:r>
      <w:r w:rsidRPr="00CE78E8">
        <w:t>ordre du jour :</w:t>
      </w:r>
    </w:p>
    <w:p w:rsidR="00676A9E" w:rsidRPr="00CE78E8" w:rsidRDefault="00CE565F" w:rsidP="00CE565F">
      <w:pPr>
        <w:pStyle w:val="Heading2"/>
      </w:pPr>
      <w:r w:rsidRPr="00CE78E8">
        <w:t>Ressources génétiques</w:t>
      </w:r>
    </w:p>
    <w:p w:rsidR="00CE565F" w:rsidRPr="00CE78E8" w:rsidRDefault="00CE565F" w:rsidP="00CE565F"/>
    <w:p w:rsidR="00676A9E" w:rsidRPr="00CE78E8" w:rsidRDefault="00FC792F" w:rsidP="00CE565F">
      <w:pPr>
        <w:pStyle w:val="ONUMFS"/>
        <w:numPr>
          <w:ilvl w:val="0"/>
          <w:numId w:val="0"/>
        </w:numPr>
        <w:rPr>
          <w:lang w:eastAsia="en-US"/>
        </w:rPr>
      </w:pPr>
      <w:r w:rsidRPr="00CE78E8">
        <w:rPr>
          <w:lang w:eastAsia="en-US"/>
        </w:rPr>
        <w:t xml:space="preserve">Le comité a examiné les </w:t>
      </w:r>
      <w:r w:rsidR="00B479CE" w:rsidRPr="00CE78E8">
        <w:rPr>
          <w:lang w:eastAsia="en-US"/>
        </w:rPr>
        <w:t xml:space="preserve">principales </w:t>
      </w:r>
      <w:r w:rsidRPr="00CE78E8">
        <w:rPr>
          <w:lang w:eastAsia="en-US"/>
        </w:rPr>
        <w:t>questions, sur la base des documents WIPO/GRTKF/IC/29/4, WIPO/GRTKF/IC/29/5 et WIPO/G</w:t>
      </w:r>
      <w:r w:rsidR="00566A01" w:rsidRPr="00CE78E8">
        <w:rPr>
          <w:lang w:eastAsia="en-US"/>
        </w:rPr>
        <w:t>RTKF/IC/29/6, et il a décidé de transmettre</w:t>
      </w:r>
      <w:r w:rsidRPr="00CE78E8">
        <w:rPr>
          <w:lang w:eastAsia="en-US"/>
        </w:rPr>
        <w:t xml:space="preserve"> le texte faisant l</w:t>
      </w:r>
      <w:r w:rsidR="00CE78E8">
        <w:rPr>
          <w:lang w:eastAsia="en-US"/>
        </w:rPr>
        <w:t>’</w:t>
      </w:r>
      <w:r w:rsidRPr="00CE78E8">
        <w:rPr>
          <w:lang w:eastAsia="en-US"/>
        </w:rPr>
        <w:t>objet de l</w:t>
      </w:r>
      <w:r w:rsidR="00CE78E8">
        <w:rPr>
          <w:lang w:eastAsia="en-US"/>
        </w:rPr>
        <w:t>’</w:t>
      </w:r>
      <w:r w:rsidRPr="00CE78E8">
        <w:rPr>
          <w:lang w:eastAsia="en-US"/>
        </w:rPr>
        <w:t>annexe du document WIPO/GRTKF/IC/29/4, moyennant la suppression de l</w:t>
      </w:r>
      <w:r w:rsidR="00CE78E8">
        <w:rPr>
          <w:lang w:eastAsia="en-US"/>
        </w:rPr>
        <w:t>’</w:t>
      </w:r>
      <w:r w:rsidRPr="00CE78E8">
        <w:rPr>
          <w:lang w:eastAsia="en-US"/>
        </w:rPr>
        <w:t>article</w:t>
      </w:r>
      <w:r w:rsidR="002177A9" w:rsidRPr="00CE78E8">
        <w:rPr>
          <w:lang w:eastAsia="en-US"/>
        </w:rPr>
        <w:t> </w:t>
      </w:r>
      <w:r w:rsidRPr="00CE78E8">
        <w:rPr>
          <w:lang w:eastAsia="en-US"/>
        </w:rPr>
        <w:t>2, à la prochaine session du comi</w:t>
      </w:r>
      <w:r w:rsidR="002C53C2" w:rsidRPr="00CE78E8">
        <w:rPr>
          <w:lang w:eastAsia="en-US"/>
        </w:rPr>
        <w:t>té</w:t>
      </w:r>
      <w:r w:rsidR="002C53C2">
        <w:rPr>
          <w:lang w:eastAsia="en-US"/>
        </w:rPr>
        <w:t xml:space="preserve">.  </w:t>
      </w:r>
      <w:r w:rsidR="002C53C2" w:rsidRPr="00CE78E8">
        <w:t>Le</w:t>
      </w:r>
      <w:r w:rsidR="00B479CE" w:rsidRPr="00CE78E8">
        <w:t>s articles établis par les facilitateurs seront traités dans le corps du rapport de la sessi</w:t>
      </w:r>
      <w:r w:rsidR="002C53C2" w:rsidRPr="00CE78E8">
        <w:t>on</w:t>
      </w:r>
      <w:r w:rsidR="002C53C2">
        <w:t xml:space="preserve">.  </w:t>
      </w:r>
      <w:r w:rsidR="002C53C2" w:rsidRPr="00CE78E8">
        <w:rPr>
          <w:lang w:eastAsia="en-US"/>
        </w:rPr>
        <w:t>Le</w:t>
      </w:r>
      <w:r w:rsidR="004A6DDE" w:rsidRPr="00CE78E8">
        <w:rPr>
          <w:lang w:eastAsia="en-US"/>
        </w:rPr>
        <w:t xml:space="preserve"> comité a également transmis à la pr</w:t>
      </w:r>
      <w:r w:rsidR="00566A01" w:rsidRPr="00CE78E8">
        <w:rPr>
          <w:lang w:eastAsia="en-US"/>
        </w:rPr>
        <w:t xml:space="preserve">ochaine session du comité une </w:t>
      </w:r>
      <w:r w:rsidR="002177A9" w:rsidRPr="00CE78E8">
        <w:rPr>
          <w:lang w:eastAsia="en-US"/>
        </w:rPr>
        <w:t>“</w:t>
      </w:r>
      <w:r w:rsidR="00566A01" w:rsidRPr="00CE78E8">
        <w:rPr>
          <w:lang w:eastAsia="en-US"/>
        </w:rPr>
        <w:t>L</w:t>
      </w:r>
      <w:r w:rsidR="004A6DDE" w:rsidRPr="00CE78E8">
        <w:rPr>
          <w:lang w:eastAsia="en-US"/>
        </w:rPr>
        <w:t>iste indicative des questions en suspens à aborder ou à régler à la session suivante</w:t>
      </w:r>
      <w:r w:rsidR="002177A9" w:rsidRPr="00CE78E8">
        <w:rPr>
          <w:lang w:eastAsia="en-US"/>
        </w:rPr>
        <w:t>”</w:t>
      </w:r>
      <w:r w:rsidR="004A6DDE" w:rsidRPr="00CE78E8">
        <w:rPr>
          <w:lang w:eastAsia="en-US"/>
        </w:rPr>
        <w:t xml:space="preserve">, dont une copie </w:t>
      </w:r>
      <w:r w:rsidR="00566A01" w:rsidRPr="00CE78E8">
        <w:rPr>
          <w:lang w:eastAsia="en-US"/>
        </w:rPr>
        <w:t>figure en annex</w:t>
      </w:r>
      <w:r w:rsidR="004A6DDE" w:rsidRPr="00CE78E8">
        <w:rPr>
          <w:lang w:eastAsia="en-US"/>
        </w:rPr>
        <w:t>e</w:t>
      </w:r>
      <w:r w:rsidR="00B479CE" w:rsidRPr="00CE78E8">
        <w:rPr>
          <w:lang w:eastAsia="en-US"/>
        </w:rPr>
        <w:t>.</w:t>
      </w:r>
    </w:p>
    <w:p w:rsidR="00676A9E" w:rsidRPr="00CE78E8" w:rsidRDefault="00B4131F" w:rsidP="00CE565F">
      <w:pPr>
        <w:pStyle w:val="ONUMFS"/>
        <w:numPr>
          <w:ilvl w:val="0"/>
          <w:numId w:val="0"/>
        </w:numPr>
        <w:rPr>
          <w:lang w:eastAsia="en-US"/>
        </w:rPr>
      </w:pPr>
      <w:r w:rsidRPr="00CE78E8">
        <w:rPr>
          <w:lang w:eastAsia="en-US"/>
        </w:rPr>
        <w:t>Eu égard aux ressources que les participants du comité voudront peut</w:t>
      </w:r>
      <w:r w:rsidR="002C53C2">
        <w:rPr>
          <w:lang w:eastAsia="en-US"/>
        </w:rPr>
        <w:noBreakHyphen/>
      </w:r>
      <w:r w:rsidRPr="00CE78E8">
        <w:rPr>
          <w:lang w:eastAsia="en-US"/>
        </w:rPr>
        <w:t>être utiliser en tant qu</w:t>
      </w:r>
      <w:r w:rsidR="00CE78E8">
        <w:rPr>
          <w:lang w:eastAsia="en-US"/>
        </w:rPr>
        <w:t>’</w:t>
      </w:r>
      <w:r w:rsidRPr="00CE78E8">
        <w:rPr>
          <w:lang w:eastAsia="en-US"/>
        </w:rPr>
        <w:t>instruments de référence dans leurs préparatifs des sessions du comité</w:t>
      </w:r>
      <w:r w:rsidR="002177A9" w:rsidRPr="00CE78E8">
        <w:rPr>
          <w:lang w:eastAsia="en-US"/>
        </w:rPr>
        <w:t> </w:t>
      </w:r>
      <w:r w:rsidRPr="00CE78E8">
        <w:rPr>
          <w:lang w:eastAsia="en-US"/>
        </w:rPr>
        <w:t>: a)</w:t>
      </w:r>
      <w:r w:rsidR="002177A9" w:rsidRPr="00CE78E8">
        <w:rPr>
          <w:lang w:eastAsia="en-US"/>
        </w:rPr>
        <w:t> </w:t>
      </w:r>
      <w:r w:rsidRPr="00CE78E8">
        <w:rPr>
          <w:lang w:eastAsia="en-US"/>
        </w:rPr>
        <w:t>le Secrétariat est prié d</w:t>
      </w:r>
      <w:r w:rsidR="00CE78E8">
        <w:rPr>
          <w:lang w:eastAsia="en-US"/>
        </w:rPr>
        <w:t>’</w:t>
      </w:r>
      <w:r w:rsidRPr="00CE78E8">
        <w:rPr>
          <w:lang w:eastAsia="en-US"/>
        </w:rPr>
        <w:t>établir, bien avant la trentième session du comité, une nouvelle page</w:t>
      </w:r>
      <w:r w:rsidR="002177A9" w:rsidRPr="00CE78E8">
        <w:rPr>
          <w:lang w:eastAsia="en-US"/>
        </w:rPr>
        <w:t> </w:t>
      </w:r>
      <w:r w:rsidRPr="00CE78E8">
        <w:rPr>
          <w:lang w:eastAsia="en-US"/>
        </w:rPr>
        <w:t xml:space="preserve">Web rassemblant toutes les ressources existantes sur les expériences aux niveaux régional, national, local et communautaire </w:t>
      </w:r>
      <w:r w:rsidRPr="00CE78E8">
        <w:rPr>
          <w:i/>
          <w:lang w:eastAsia="en-US"/>
        </w:rPr>
        <w:t>(</w:t>
      </w:r>
      <w:r w:rsidRPr="00CE78E8">
        <w:rPr>
          <w:lang w:eastAsia="en-US"/>
        </w:rPr>
        <w:t>comme les études, collections de lois, propositions, bases de données, codes volontaires et protoc</w:t>
      </w:r>
      <w:r w:rsidR="00566A01" w:rsidRPr="00CE78E8">
        <w:rPr>
          <w:lang w:eastAsia="en-US"/>
        </w:rPr>
        <w:t>o</w:t>
      </w:r>
      <w:r w:rsidRPr="00CE78E8">
        <w:rPr>
          <w:lang w:eastAsia="en-US"/>
        </w:rPr>
        <w:t>les,</w:t>
      </w:r>
      <w:r w:rsidR="00566A01" w:rsidRPr="00CE78E8">
        <w:rPr>
          <w:lang w:eastAsia="en-US"/>
        </w:rPr>
        <w:t xml:space="preserve"> et</w:t>
      </w:r>
      <w:r w:rsidRPr="00CE78E8">
        <w:rPr>
          <w:lang w:eastAsia="en-US"/>
        </w:rPr>
        <w:t xml:space="preserve"> exposés) </w:t>
      </w:r>
      <w:r w:rsidR="00566A01" w:rsidRPr="00CE78E8">
        <w:rPr>
          <w:lang w:eastAsia="en-US"/>
        </w:rPr>
        <w:t>préparées</w:t>
      </w:r>
      <w:r w:rsidRPr="00CE78E8">
        <w:rPr>
          <w:lang w:eastAsia="en-US"/>
        </w:rPr>
        <w:t xml:space="preserve"> par le Secrétariat de l</w:t>
      </w:r>
      <w:r w:rsidR="00CE78E8">
        <w:rPr>
          <w:lang w:eastAsia="en-US"/>
        </w:rPr>
        <w:t>’</w:t>
      </w:r>
      <w:r w:rsidRPr="00CE78E8">
        <w:rPr>
          <w:lang w:eastAsia="en-US"/>
        </w:rPr>
        <w:t>OMPI ou soumise</w:t>
      </w:r>
      <w:r w:rsidR="00566A01" w:rsidRPr="00CE78E8">
        <w:rPr>
          <w:lang w:eastAsia="en-US"/>
        </w:rPr>
        <w:t>s</w:t>
      </w:r>
      <w:r w:rsidRPr="00CE78E8">
        <w:rPr>
          <w:lang w:eastAsia="en-US"/>
        </w:rPr>
        <w:t xml:space="preserve"> par les États membres et </w:t>
      </w:r>
      <w:r w:rsidR="00566A01" w:rsidRPr="00CE78E8">
        <w:rPr>
          <w:lang w:eastAsia="en-US"/>
        </w:rPr>
        <w:t xml:space="preserve">les </w:t>
      </w:r>
      <w:r w:rsidRPr="00CE78E8">
        <w:rPr>
          <w:lang w:eastAsia="en-US"/>
        </w:rPr>
        <w:t>observateurs aux fins des travaux du comité à ce jour et de faire un rapport sur ce point dans un document d</w:t>
      </w:r>
      <w:r w:rsidR="00CE78E8">
        <w:rPr>
          <w:lang w:eastAsia="en-US"/>
        </w:rPr>
        <w:t>’</w:t>
      </w:r>
      <w:r w:rsidRPr="00CE78E8">
        <w:rPr>
          <w:lang w:eastAsia="en-US"/>
        </w:rPr>
        <w:t>information à la trentième session du comité;  et b)</w:t>
      </w:r>
      <w:r w:rsidR="002177A9" w:rsidRPr="00CE78E8">
        <w:rPr>
          <w:lang w:eastAsia="en-US"/>
        </w:rPr>
        <w:t> </w:t>
      </w:r>
      <w:r w:rsidRPr="00CE78E8">
        <w:rPr>
          <w:lang w:eastAsia="en-US"/>
        </w:rPr>
        <w:t>les États membres et les observateurs sont invités à envoyer au Secrétariat, avant le 3</w:t>
      </w:r>
      <w:r w:rsidR="000911E1" w:rsidRPr="00CE78E8">
        <w:rPr>
          <w:lang w:eastAsia="en-US"/>
        </w:rPr>
        <w:t>1 mars 20</w:t>
      </w:r>
      <w:r w:rsidRPr="00CE78E8">
        <w:rPr>
          <w:lang w:eastAsia="en-US"/>
        </w:rPr>
        <w:t xml:space="preserve">16, des références concernant toute autre ressource qui pourrait être utile aux participants du comité en tant que matériel de référence, et le </w:t>
      </w:r>
      <w:r w:rsidR="00566A01" w:rsidRPr="00CE78E8">
        <w:rPr>
          <w:lang w:eastAsia="en-US"/>
        </w:rPr>
        <w:t>Secrétariat communiq</w:t>
      </w:r>
      <w:r w:rsidRPr="00CE78E8">
        <w:rPr>
          <w:lang w:eastAsia="en-US"/>
        </w:rPr>
        <w:t>u</w:t>
      </w:r>
      <w:r w:rsidR="00566A01" w:rsidRPr="00CE78E8">
        <w:rPr>
          <w:lang w:eastAsia="en-US"/>
        </w:rPr>
        <w:t>e</w:t>
      </w:r>
      <w:r w:rsidRPr="00CE78E8">
        <w:rPr>
          <w:lang w:eastAsia="en-US"/>
        </w:rPr>
        <w:t xml:space="preserve">ra </w:t>
      </w:r>
      <w:r w:rsidR="00566A01" w:rsidRPr="00CE78E8">
        <w:rPr>
          <w:lang w:eastAsia="en-US"/>
        </w:rPr>
        <w:t>la</w:t>
      </w:r>
      <w:r w:rsidRPr="00CE78E8">
        <w:rPr>
          <w:lang w:eastAsia="en-US"/>
        </w:rPr>
        <w:t xml:space="preserve"> liste de ces références à la trentième session du comité dans un docum</w:t>
      </w:r>
      <w:r w:rsidR="00676A9E" w:rsidRPr="00CE78E8">
        <w:rPr>
          <w:lang w:eastAsia="en-US"/>
        </w:rPr>
        <w:t>ent d</w:t>
      </w:r>
      <w:r w:rsidR="00CE78E8">
        <w:rPr>
          <w:lang w:eastAsia="en-US"/>
        </w:rPr>
        <w:t>’</w:t>
      </w:r>
      <w:r w:rsidR="00676A9E" w:rsidRPr="00CE78E8">
        <w:rPr>
          <w:lang w:eastAsia="en-US"/>
        </w:rPr>
        <w:t>information</w:t>
      </w:r>
      <w:r w:rsidRPr="00CE78E8">
        <w:rPr>
          <w:lang w:eastAsia="en-US"/>
        </w:rPr>
        <w:t>.</w:t>
      </w:r>
    </w:p>
    <w:p w:rsidR="00CE565F" w:rsidRPr="00CE78E8" w:rsidRDefault="00676A9E" w:rsidP="00CE565F">
      <w:pPr>
        <w:pStyle w:val="ONUMFS"/>
        <w:numPr>
          <w:ilvl w:val="0"/>
          <w:numId w:val="0"/>
        </w:numPr>
        <w:rPr>
          <w:lang w:eastAsia="en-US"/>
        </w:rPr>
      </w:pPr>
      <w:r w:rsidRPr="00CE78E8">
        <w:rPr>
          <w:lang w:eastAsia="en-US"/>
        </w:rPr>
        <w:t>Le comité a pris note des mises à jour et améliorations continues apportées par le Secrétariat à l</w:t>
      </w:r>
      <w:r w:rsidR="00CE78E8">
        <w:rPr>
          <w:lang w:eastAsia="en-US"/>
        </w:rPr>
        <w:t>’</w:t>
      </w:r>
      <w:r w:rsidRPr="00CE78E8">
        <w:rPr>
          <w:lang w:eastAsia="en-US"/>
        </w:rPr>
        <w:t>étude technique sur les exigences relatives à la divulgation d</w:t>
      </w:r>
      <w:r w:rsidR="00CE78E8">
        <w:rPr>
          <w:lang w:eastAsia="en-US"/>
        </w:rPr>
        <w:t>’</w:t>
      </w:r>
      <w:r w:rsidRPr="00CE78E8">
        <w:rPr>
          <w:lang w:eastAsia="en-US"/>
        </w:rPr>
        <w:t>informations en rapport avec les ressources génétiques et les savoirs traditionnels dans les systèmes de brevets</w:t>
      </w:r>
      <w:r w:rsidR="00566A01" w:rsidRPr="00CE78E8">
        <w:rPr>
          <w:lang w:eastAsia="en-US"/>
        </w:rPr>
        <w:t>,</w:t>
      </w:r>
      <w:r w:rsidRPr="00CE78E8">
        <w:rPr>
          <w:lang w:eastAsia="en-US"/>
        </w:rPr>
        <w:t xml:space="preserve"> établie </w:t>
      </w:r>
      <w:r w:rsidRPr="00CE78E8">
        <w:rPr>
          <w:lang w:eastAsia="en-US"/>
        </w:rPr>
        <w:lastRenderedPageBreak/>
        <w:t>en</w:t>
      </w:r>
      <w:r w:rsidR="002177A9" w:rsidRPr="00CE78E8">
        <w:rPr>
          <w:lang w:eastAsia="en-US"/>
        </w:rPr>
        <w:t> </w:t>
      </w:r>
      <w:r w:rsidRPr="00CE78E8">
        <w:rPr>
          <w:lang w:eastAsia="en-US"/>
        </w:rPr>
        <w:t>2004, et de l</w:t>
      </w:r>
      <w:r w:rsidR="00CE78E8">
        <w:rPr>
          <w:lang w:eastAsia="en-US"/>
        </w:rPr>
        <w:t>’</w:t>
      </w:r>
      <w:r w:rsidRPr="00CE78E8">
        <w:rPr>
          <w:lang w:eastAsia="en-US"/>
        </w:rPr>
        <w:t xml:space="preserve">accent mis sur </w:t>
      </w:r>
      <w:r w:rsidR="00566A01" w:rsidRPr="00CE78E8">
        <w:rPr>
          <w:lang w:eastAsia="en-US"/>
        </w:rPr>
        <w:t>s</w:t>
      </w:r>
      <w:r w:rsidRPr="00CE78E8">
        <w:rPr>
          <w:lang w:eastAsia="en-US"/>
        </w:rPr>
        <w:t>es expériences concrètes, et il invite les États membres et les observateurs à transmettre des informations dans le cadre de cet exercice et demande au Secrétariat d</w:t>
      </w:r>
      <w:r w:rsidR="00CE78E8">
        <w:rPr>
          <w:lang w:eastAsia="en-US"/>
        </w:rPr>
        <w:t>’</w:t>
      </w:r>
      <w:r w:rsidRPr="00CE78E8">
        <w:rPr>
          <w:lang w:eastAsia="en-US"/>
        </w:rPr>
        <w:t>y mettre un terme au plus vite.</w:t>
      </w:r>
    </w:p>
    <w:p w:rsidR="00CE565F" w:rsidRPr="00CE78E8" w:rsidRDefault="00676A9E" w:rsidP="00CE565F">
      <w:pPr>
        <w:pStyle w:val="ONUMFS"/>
        <w:numPr>
          <w:ilvl w:val="0"/>
          <w:numId w:val="0"/>
        </w:numPr>
        <w:rPr>
          <w:lang w:eastAsia="en-US"/>
        </w:rPr>
      </w:pPr>
      <w:r w:rsidRPr="00CE78E8">
        <w:rPr>
          <w:lang w:eastAsia="en-US"/>
        </w:rPr>
        <w:t>Le comité a aussi pris note des documents WIPO/GRTKF/IC/29/7, WIPO/GRTKF/IC/29/INF/7, WIPO/GRTKF/IC/29/INF/8, WIPO/GRTKF/IC/29/INF/9 et WIPO/GRTKF/IC/29/INF/10.</w:t>
      </w:r>
    </w:p>
    <w:p w:rsidR="00676A9E" w:rsidRPr="00CE78E8" w:rsidRDefault="00CE565F" w:rsidP="00CE565F">
      <w:pPr>
        <w:pStyle w:val="Heading2"/>
      </w:pPr>
      <w:r w:rsidRPr="00CE78E8">
        <w:t>Décision en ce qui concerne le point 8 de l</w:t>
      </w:r>
      <w:r w:rsidR="00CE78E8">
        <w:t>’</w:t>
      </w:r>
      <w:r w:rsidRPr="00CE78E8">
        <w:t>ordre du jour :</w:t>
      </w:r>
    </w:p>
    <w:p w:rsidR="00676A9E" w:rsidRPr="00CE78E8" w:rsidRDefault="00CE565F" w:rsidP="00CE565F">
      <w:pPr>
        <w:pStyle w:val="Heading2"/>
      </w:pPr>
      <w:r w:rsidRPr="00CE78E8">
        <w:t>Questions diverses</w:t>
      </w:r>
    </w:p>
    <w:p w:rsidR="00CE565F" w:rsidRPr="00CE78E8" w:rsidRDefault="00CE565F" w:rsidP="00CE565F"/>
    <w:p w:rsidR="00676A9E" w:rsidRPr="00CE78E8" w:rsidRDefault="00676A9E" w:rsidP="00CE565F">
      <w:pPr>
        <w:pStyle w:val="ONUMFS"/>
        <w:numPr>
          <w:ilvl w:val="0"/>
          <w:numId w:val="0"/>
        </w:numPr>
      </w:pPr>
      <w:r w:rsidRPr="00CE78E8">
        <w:t>Ce point de l</w:t>
      </w:r>
      <w:r w:rsidR="00CE78E8">
        <w:t>’</w:t>
      </w:r>
      <w:r w:rsidRPr="00CE78E8">
        <w:t>ordre du jour n</w:t>
      </w:r>
      <w:r w:rsidR="00CE78E8">
        <w:t>’</w:t>
      </w:r>
      <w:r w:rsidRPr="00CE78E8">
        <w:t>a fait l</w:t>
      </w:r>
      <w:r w:rsidR="00CE78E8">
        <w:t>’</w:t>
      </w:r>
      <w:r w:rsidRPr="00CE78E8">
        <w:t>objet d</w:t>
      </w:r>
      <w:r w:rsidR="00CE78E8">
        <w:t>’</w:t>
      </w:r>
      <w:r w:rsidRPr="00CE78E8">
        <w:t>aucune discussion.</w:t>
      </w:r>
    </w:p>
    <w:p w:rsidR="00676A9E" w:rsidRPr="00CE78E8" w:rsidRDefault="00CE565F" w:rsidP="00CE565F">
      <w:pPr>
        <w:pStyle w:val="Heading2"/>
      </w:pPr>
      <w:r w:rsidRPr="00CE78E8">
        <w:t>Décision en ce qui concerne le point</w:t>
      </w:r>
      <w:r w:rsidR="00105B8D">
        <w:t> </w:t>
      </w:r>
      <w:r w:rsidRPr="00CE78E8">
        <w:t>9 de l</w:t>
      </w:r>
      <w:r w:rsidR="00CE78E8">
        <w:t>’</w:t>
      </w:r>
      <w:r w:rsidRPr="00CE78E8">
        <w:t>ordre du jour :</w:t>
      </w:r>
    </w:p>
    <w:p w:rsidR="00676A9E" w:rsidRPr="00CE78E8" w:rsidRDefault="00CE565F" w:rsidP="00CE565F">
      <w:pPr>
        <w:pStyle w:val="Heading2"/>
      </w:pPr>
      <w:r w:rsidRPr="00CE78E8">
        <w:t>Clôture de la session</w:t>
      </w:r>
    </w:p>
    <w:p w:rsidR="00CE565F" w:rsidRPr="00CE78E8" w:rsidRDefault="00CE565F" w:rsidP="00CE565F"/>
    <w:p w:rsidR="00676A9E" w:rsidRPr="00CE78E8" w:rsidRDefault="00676A9E" w:rsidP="00CE565F">
      <w:pPr>
        <w:pStyle w:val="ONUMFS"/>
        <w:numPr>
          <w:ilvl w:val="0"/>
          <w:numId w:val="0"/>
        </w:numPr>
      </w:pPr>
      <w:r w:rsidRPr="00CE78E8">
        <w:t>Le comité a adopté ses décisions relatives aux points 2, 3, 4, 5, 6 et 7 de l</w:t>
      </w:r>
      <w:r w:rsidR="00CE78E8">
        <w:t>’</w:t>
      </w:r>
      <w:r w:rsidRPr="00CE78E8">
        <w:t xml:space="preserve">ordre du jour le 19 février 2016. </w:t>
      </w:r>
      <w:r w:rsidR="002177A9" w:rsidRPr="00CE78E8">
        <w:t xml:space="preserve"> </w:t>
      </w:r>
      <w:r w:rsidRPr="00CE78E8">
        <w:t>Il est convenu qu</w:t>
      </w:r>
      <w:r w:rsidR="00CE78E8">
        <w:t>’</w:t>
      </w:r>
      <w:r w:rsidRPr="00CE78E8">
        <w:t>un projet de rapport écrit contenant le texte de ces décisions ayant fait l</w:t>
      </w:r>
      <w:r w:rsidR="00CE78E8">
        <w:t>’</w:t>
      </w:r>
      <w:r w:rsidRPr="00CE78E8">
        <w:t>objet d</w:t>
      </w:r>
      <w:r w:rsidR="00CE78E8">
        <w:t>’</w:t>
      </w:r>
      <w:r w:rsidRPr="00CE78E8">
        <w:t>un accord et toutes les interventions prononcées devant le comité serait établi et diffusé avant le 2</w:t>
      </w:r>
      <w:r w:rsidR="000911E1" w:rsidRPr="00CE78E8">
        <w:t>9 mars 20</w:t>
      </w:r>
      <w:r w:rsidRPr="00CE78E8">
        <w:t>16.  Les participants du comité seraient invités à soumettre des corrections écrites relatives à leurs interventions figurant dans le projet de rapport avant qu</w:t>
      </w:r>
      <w:r w:rsidR="00CE78E8">
        <w:t>’</w:t>
      </w:r>
      <w:r w:rsidRPr="00CE78E8">
        <w:t>une version finale du projet de rapport soit distribuée aux participants du comité pour adoption à la prochaine session du comité.</w:t>
      </w:r>
    </w:p>
    <w:p w:rsidR="00676A9E" w:rsidRPr="00CE78E8" w:rsidRDefault="00676A9E" w:rsidP="00250FCC">
      <w:pPr>
        <w:spacing w:line="260" w:lineRule="atLeast"/>
        <w:rPr>
          <w:szCs w:val="22"/>
        </w:rPr>
      </w:pPr>
    </w:p>
    <w:p w:rsidR="00676A9E" w:rsidRPr="00CE78E8" w:rsidRDefault="00676A9E" w:rsidP="00250FCC">
      <w:pPr>
        <w:spacing w:line="260" w:lineRule="atLeast"/>
        <w:rPr>
          <w:szCs w:val="22"/>
        </w:rPr>
      </w:pPr>
    </w:p>
    <w:p w:rsidR="00164815" w:rsidRPr="00CE78E8" w:rsidRDefault="00676A9E" w:rsidP="00164815">
      <w:pPr>
        <w:spacing w:line="260" w:lineRule="atLeast"/>
        <w:ind w:left="5534"/>
        <w:rPr>
          <w:iCs/>
          <w:szCs w:val="22"/>
        </w:rPr>
      </w:pPr>
      <w:r w:rsidRPr="00CE78E8">
        <w:rPr>
          <w:iCs/>
          <w:szCs w:val="22"/>
        </w:rPr>
        <w:t>[L</w:t>
      </w:r>
      <w:r w:rsidR="00CE78E8">
        <w:rPr>
          <w:iCs/>
          <w:szCs w:val="22"/>
        </w:rPr>
        <w:t>’</w:t>
      </w:r>
      <w:r w:rsidRPr="00CE78E8">
        <w:rPr>
          <w:iCs/>
          <w:szCs w:val="22"/>
        </w:rPr>
        <w:t>annexe suit]</w:t>
      </w:r>
    </w:p>
    <w:p w:rsidR="00CE565F" w:rsidRPr="00CE78E8" w:rsidRDefault="00CE565F" w:rsidP="00CE565F"/>
    <w:p w:rsidR="00CE565F" w:rsidRPr="00CE78E8" w:rsidRDefault="00CE565F" w:rsidP="00164815">
      <w:pPr>
        <w:spacing w:line="260" w:lineRule="atLeast"/>
        <w:ind w:left="5534"/>
        <w:rPr>
          <w:iCs/>
          <w:szCs w:val="22"/>
        </w:rPr>
        <w:sectPr w:rsidR="00CE565F" w:rsidRPr="00CE78E8" w:rsidSect="00CE56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50FCC" w:rsidRPr="00CE78E8" w:rsidRDefault="00250FCC" w:rsidP="00250FCC">
      <w:pPr>
        <w:jc w:val="center"/>
        <w:rPr>
          <w:b/>
        </w:rPr>
      </w:pPr>
      <w:r w:rsidRPr="00CE78E8">
        <w:rPr>
          <w:b/>
        </w:rPr>
        <w:lastRenderedPageBreak/>
        <w:t>ANNEXE</w:t>
      </w:r>
    </w:p>
    <w:p w:rsidR="00250FCC" w:rsidRPr="00CE78E8" w:rsidRDefault="00250FCC" w:rsidP="00250FCC">
      <w:pPr>
        <w:jc w:val="center"/>
        <w:rPr>
          <w:b/>
        </w:rPr>
      </w:pPr>
    </w:p>
    <w:p w:rsidR="00250FCC" w:rsidRPr="00CE78E8" w:rsidRDefault="00250FCC" w:rsidP="00250FCC">
      <w:pPr>
        <w:jc w:val="center"/>
        <w:rPr>
          <w:b/>
        </w:rPr>
      </w:pPr>
      <w:r w:rsidRPr="00CE78E8">
        <w:rPr>
          <w:b/>
        </w:rPr>
        <w:t xml:space="preserve">Liste indicative de questions en suspens </w:t>
      </w:r>
      <w:r w:rsidRPr="00CE78E8">
        <w:rPr>
          <w:b/>
        </w:rPr>
        <w:br/>
        <w:t>à aborder/régler à la prochaine sessio</w:t>
      </w:r>
      <w:r w:rsidRPr="00CE78E8">
        <w:t>n</w:t>
      </w:r>
    </w:p>
    <w:p w:rsidR="00250FCC" w:rsidRPr="00CE78E8" w:rsidRDefault="00250FCC" w:rsidP="00250FCC">
      <w:pPr>
        <w:tabs>
          <w:tab w:val="left" w:pos="2238"/>
        </w:tabs>
      </w:pPr>
    </w:p>
    <w:p w:rsidR="00250FCC" w:rsidRPr="00CE78E8" w:rsidRDefault="00250FCC" w:rsidP="00250FCC">
      <w:pPr>
        <w:tabs>
          <w:tab w:val="left" w:pos="2238"/>
        </w:tabs>
      </w:pPr>
    </w:p>
    <w:p w:rsidR="00250FCC" w:rsidRPr="00CE78E8" w:rsidRDefault="00250FCC" w:rsidP="006D4A4B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t>Liste de termes</w:t>
      </w:r>
    </w:p>
    <w:p w:rsidR="00250FCC" w:rsidRPr="00CE78E8" w:rsidRDefault="00250FCC" w:rsidP="006D4A4B"/>
    <w:p w:rsidR="00250FCC" w:rsidRPr="00CE78E8" w:rsidRDefault="00250FCC" w:rsidP="006D4A4B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t>Préambule</w:t>
      </w:r>
    </w:p>
    <w:p w:rsidR="00250FCC" w:rsidRPr="00CE78E8" w:rsidRDefault="00250FCC" w:rsidP="00250FCC">
      <w:pPr>
        <w:rPr>
          <w:b/>
          <w:szCs w:val="22"/>
        </w:rPr>
      </w:pPr>
    </w:p>
    <w:p w:rsidR="00250FCC" w:rsidRPr="00CE78E8" w:rsidRDefault="00250FCC" w:rsidP="006D4A4B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t>Objectifs de politique générale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efficacité et transparence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question de savoir s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il convient de maintenir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appropriation illicite dans le texte (et dans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affirmative, comment la définir)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complémentarité/renforcement mutuel avec les arrangements internationaux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prévention/réduction des brevets “indus” (quel est le terme approprié)</w:t>
      </w:r>
    </w:p>
    <w:p w:rsidR="00250FCC" w:rsidRPr="00CE78E8" w:rsidRDefault="00250FCC" w:rsidP="006D4A4B"/>
    <w:p w:rsidR="00250FCC" w:rsidRPr="00CE78E8" w:rsidRDefault="00250FCC" w:rsidP="006D4A4B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t>Objet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instrument doit</w:t>
      </w:r>
      <w:r w:rsidR="002C53C2">
        <w:rPr>
          <w:rFonts w:ascii="Arial" w:hAnsi="Arial" w:cs="Arial"/>
        </w:rPr>
        <w:noBreakHyphen/>
      </w:r>
      <w:r w:rsidRPr="00CE78E8">
        <w:rPr>
          <w:rFonts w:ascii="Arial" w:hAnsi="Arial" w:cs="Arial"/>
        </w:rPr>
        <w:t>il s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appliquer à :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tout droit de propriété intellectuelle ou seulement aux droits de brevet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Outre les ressources génétiques,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instrument devrait</w:t>
      </w:r>
      <w:r w:rsidR="002C53C2">
        <w:rPr>
          <w:rFonts w:ascii="Arial" w:hAnsi="Arial" w:cs="Arial"/>
        </w:rPr>
        <w:noBreakHyphen/>
      </w:r>
      <w:r w:rsidRPr="00CE78E8">
        <w:rPr>
          <w:rFonts w:ascii="Arial" w:hAnsi="Arial" w:cs="Arial"/>
        </w:rPr>
        <w:t>il également s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appliquer aux :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produits dérivés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savoirs traditionnels connexes/savoirs traditionnels associés aux ressources génétiques</w:t>
      </w:r>
    </w:p>
    <w:p w:rsidR="00250FCC" w:rsidRPr="00CE78E8" w:rsidRDefault="00250FCC" w:rsidP="006D4A4B"/>
    <w:p w:rsidR="00250FCC" w:rsidRPr="00CE78E8" w:rsidRDefault="00250FCC" w:rsidP="006D4A4B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t>Exigence de divulgation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Teneur de la divulgation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origine et/ou source des ressources génétiques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informations concernant la conformité avec les exigences en matière d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 xml:space="preserve">accès et de partage des avantages, </w:t>
      </w:r>
      <w:r w:rsidR="00CE78E8">
        <w:rPr>
          <w:rFonts w:ascii="Arial" w:hAnsi="Arial" w:cs="Arial"/>
        </w:rPr>
        <w:t>y compris</w:t>
      </w:r>
      <w:r w:rsidRPr="00CE78E8">
        <w:rPr>
          <w:rFonts w:ascii="Arial" w:hAnsi="Arial" w:cs="Arial"/>
        </w:rPr>
        <w:t xml:space="preserve"> le consentement préalable en connaissance de cause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Exceptions et limitations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type d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exceptions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exceptions relatives à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intérêt public uniquement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Les ressources génétiques et/ou dérivés existant dans la nature ou isolés de la nature sont des objets susceptibles de protection par la propriété intellectuelle/par brevet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Conséquence de la non</w:t>
      </w:r>
      <w:r w:rsidR="002C53C2">
        <w:rPr>
          <w:rFonts w:ascii="Arial" w:hAnsi="Arial" w:cs="Arial"/>
        </w:rPr>
        <w:noBreakHyphen/>
      </w:r>
      <w:r w:rsidRPr="00CE78E8">
        <w:rPr>
          <w:rFonts w:ascii="Arial" w:hAnsi="Arial" w:cs="Arial"/>
        </w:rPr>
        <w:t>conformité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accord type minimum et/ou maximum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mesures/sanctions à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intérieur et/ou à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extérieur du système des brevets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conditions de révocation admises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Élément déclencheur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invention revendiquée fondée directement sur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objet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utilisation de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objet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nécessité d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accès physique ou d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accès à un objet non tangible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Lien avec les régimes nationaux et internes en matière d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accès et de partage des avantages</w:t>
      </w:r>
    </w:p>
    <w:p w:rsidR="00250FCC" w:rsidRPr="00CE78E8" w:rsidRDefault="00250FCC" w:rsidP="006D4A4B">
      <w:pPr>
        <w:pStyle w:val="ColorfulList-Accent11"/>
        <w:numPr>
          <w:ilvl w:val="1"/>
          <w:numId w:val="9"/>
        </w:numPr>
        <w:spacing w:after="0" w:line="240" w:lineRule="auto"/>
        <w:ind w:left="1701" w:hanging="567"/>
        <w:rPr>
          <w:rFonts w:ascii="Arial" w:hAnsi="Arial" w:cs="Arial"/>
        </w:rPr>
      </w:pPr>
      <w:r w:rsidRPr="00CE78E8">
        <w:rPr>
          <w:rFonts w:ascii="Arial" w:hAnsi="Arial" w:cs="Arial"/>
        </w:rPr>
        <w:t>rôle de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office de la propriété intellectuelle/office de brevets dans la notification des informations relatives à la divulgation au Centre d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 xml:space="preserve">échanges établi par la Convention sur la diversité biologique, le Protocole de Nagoya et le Traité international sur les ressources </w:t>
      </w:r>
      <w:proofErr w:type="spellStart"/>
      <w:r w:rsidRPr="00CE78E8">
        <w:rPr>
          <w:rFonts w:ascii="Arial" w:hAnsi="Arial" w:cs="Arial"/>
        </w:rPr>
        <w:t>phytogénétiques</w:t>
      </w:r>
      <w:proofErr w:type="spellEnd"/>
      <w:r w:rsidRPr="00CE78E8">
        <w:rPr>
          <w:rFonts w:ascii="Arial" w:hAnsi="Arial" w:cs="Arial"/>
        </w:rPr>
        <w:t xml:space="preserve"> pour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alimentation et l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agriculture</w:t>
      </w:r>
    </w:p>
    <w:p w:rsidR="00250FCC" w:rsidRPr="00CE78E8" w:rsidRDefault="00250FCC" w:rsidP="006D4A4B"/>
    <w:p w:rsidR="00250FCC" w:rsidRPr="00CE78E8" w:rsidRDefault="00250FCC" w:rsidP="006D4A4B">
      <w:pPr>
        <w:pStyle w:val="ColorfulList-Accent11"/>
        <w:keepNext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lastRenderedPageBreak/>
        <w:t>Mesures défensives/absence de divulgation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Examen de la nécessité de prévoir des mesures/systèmes supplémentaires fondés sur la diligence requise</w:t>
      </w:r>
    </w:p>
    <w:p w:rsidR="00250FCC" w:rsidRPr="00CE78E8" w:rsidRDefault="00250FCC" w:rsidP="006D4A4B"/>
    <w:p w:rsidR="00250FCC" w:rsidRPr="00CE78E8" w:rsidRDefault="00250FCC" w:rsidP="006D4A4B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t>Bases de données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 xml:space="preserve">Bases de données en </w:t>
      </w:r>
      <w:r w:rsidR="00B479CE" w:rsidRPr="00CE78E8">
        <w:rPr>
          <w:rFonts w:ascii="Arial" w:hAnsi="Arial" w:cs="Arial"/>
        </w:rPr>
        <w:t xml:space="preserve">tant que mesures défensives ou que </w:t>
      </w:r>
      <w:r w:rsidRPr="00CE78E8">
        <w:rPr>
          <w:rFonts w:ascii="Arial" w:hAnsi="Arial" w:cs="Arial"/>
        </w:rPr>
        <w:t>complément d</w:t>
      </w:r>
      <w:r w:rsidR="00CE78E8">
        <w:rPr>
          <w:rFonts w:ascii="Arial" w:hAnsi="Arial" w:cs="Arial"/>
        </w:rPr>
        <w:t>’</w:t>
      </w:r>
      <w:r w:rsidRPr="00CE78E8">
        <w:rPr>
          <w:rFonts w:ascii="Arial" w:hAnsi="Arial" w:cs="Arial"/>
        </w:rPr>
        <w:t>une exigence de divulgation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Garanties pour les savoirs traditionnels largement partagés et/ou accessibles au public</w:t>
      </w:r>
    </w:p>
    <w:p w:rsidR="00250FCC" w:rsidRPr="00CE78E8" w:rsidRDefault="00250FCC" w:rsidP="006D4A4B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CE78E8">
        <w:rPr>
          <w:rFonts w:ascii="Arial" w:hAnsi="Arial" w:cs="Arial"/>
        </w:rPr>
        <w:t>Obligation pesant sur les détenteurs de savoirs traditionnels et les États membres</w:t>
      </w:r>
    </w:p>
    <w:p w:rsidR="00250FCC" w:rsidRPr="00CE78E8" w:rsidRDefault="00250FCC" w:rsidP="006D4A4B"/>
    <w:p w:rsidR="00250FCC" w:rsidRPr="00CE78E8" w:rsidRDefault="00250FCC" w:rsidP="006D4A4B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t>Lien avec des arrangements internationaux, notamment le PCT et le PLT</w:t>
      </w:r>
    </w:p>
    <w:p w:rsidR="00250FCC" w:rsidRPr="00CE78E8" w:rsidRDefault="00250FCC" w:rsidP="006D4A4B"/>
    <w:p w:rsidR="00250FCC" w:rsidRPr="00CE78E8" w:rsidRDefault="00250FCC" w:rsidP="006D4A4B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t>Coopération transfrontière</w:t>
      </w:r>
    </w:p>
    <w:p w:rsidR="00250FCC" w:rsidRPr="00CE78E8" w:rsidRDefault="00250FCC" w:rsidP="006D4A4B"/>
    <w:p w:rsidR="00250FCC" w:rsidRPr="00CE78E8" w:rsidRDefault="00250FCC" w:rsidP="006D4A4B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E78E8">
        <w:rPr>
          <w:rFonts w:ascii="Arial" w:hAnsi="Arial" w:cs="Arial"/>
          <w:b/>
        </w:rPr>
        <w:t>Assistance technique, coopération et renforcement des capacités</w:t>
      </w:r>
    </w:p>
    <w:p w:rsidR="00250FCC" w:rsidRPr="00CE78E8" w:rsidRDefault="00250FCC" w:rsidP="00250FCC">
      <w:pPr>
        <w:rPr>
          <w:iCs/>
          <w:szCs w:val="22"/>
        </w:rPr>
      </w:pPr>
    </w:p>
    <w:p w:rsidR="00250FCC" w:rsidRPr="00CE78E8" w:rsidRDefault="00250FCC" w:rsidP="00250FCC">
      <w:pPr>
        <w:rPr>
          <w:iCs/>
          <w:szCs w:val="22"/>
        </w:rPr>
      </w:pPr>
    </w:p>
    <w:p w:rsidR="006D4A4B" w:rsidRPr="00CE78E8" w:rsidRDefault="006D4A4B" w:rsidP="00250FCC">
      <w:pPr>
        <w:rPr>
          <w:iCs/>
          <w:szCs w:val="22"/>
        </w:rPr>
      </w:pPr>
    </w:p>
    <w:p w:rsidR="006D4A4B" w:rsidRPr="00CE78E8" w:rsidRDefault="006D4A4B">
      <w:pPr>
        <w:pStyle w:val="Endofdocument-Annex"/>
      </w:pPr>
      <w:r w:rsidRPr="00CE78E8">
        <w:t>[Fin de l</w:t>
      </w:r>
      <w:r w:rsidR="00CE78E8">
        <w:t>’</w:t>
      </w:r>
      <w:r w:rsidRPr="00CE78E8">
        <w:t>annexe et du document]</w:t>
      </w:r>
    </w:p>
    <w:sectPr w:rsidR="006D4A4B" w:rsidRPr="00CE78E8" w:rsidSect="00CE565F">
      <w:head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A6" w:rsidRDefault="00F577A6">
      <w:r>
        <w:separator/>
      </w:r>
    </w:p>
  </w:endnote>
  <w:endnote w:type="continuationSeparator" w:id="0">
    <w:p w:rsidR="00F577A6" w:rsidRDefault="00F577A6" w:rsidP="003B38C1">
      <w:r>
        <w:separator/>
      </w:r>
    </w:p>
    <w:p w:rsidR="00F577A6" w:rsidRPr="006432A3" w:rsidRDefault="00F577A6" w:rsidP="003B38C1">
      <w:pPr>
        <w:spacing w:after="60"/>
        <w:rPr>
          <w:sz w:val="17"/>
          <w:lang w:val="en-US"/>
        </w:rPr>
      </w:pPr>
      <w:r w:rsidRPr="006432A3">
        <w:rPr>
          <w:sz w:val="17"/>
          <w:lang w:val="en-US"/>
        </w:rPr>
        <w:t>[Endnote continued from previous page]</w:t>
      </w:r>
    </w:p>
  </w:endnote>
  <w:endnote w:type="continuationNotice" w:id="1">
    <w:p w:rsidR="00F577A6" w:rsidRPr="006432A3" w:rsidRDefault="00F577A6" w:rsidP="003B38C1">
      <w:pPr>
        <w:spacing w:before="60"/>
        <w:jc w:val="right"/>
        <w:rPr>
          <w:sz w:val="17"/>
          <w:szCs w:val="17"/>
          <w:lang w:val="en-US"/>
        </w:rPr>
      </w:pPr>
      <w:r w:rsidRPr="006432A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15" w:rsidRDefault="00A11B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15" w:rsidRDefault="00A11B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5F" w:rsidRPr="00A11B15" w:rsidRDefault="00CE565F" w:rsidP="00A11B15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fr-CH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815" w:rsidRPr="00164815" w:rsidRDefault="00164815" w:rsidP="00164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A6" w:rsidRDefault="00F577A6">
      <w:r>
        <w:separator/>
      </w:r>
    </w:p>
  </w:footnote>
  <w:footnote w:type="continuationSeparator" w:id="0">
    <w:p w:rsidR="00F577A6" w:rsidRDefault="00F577A6" w:rsidP="008B60B2">
      <w:r>
        <w:separator/>
      </w:r>
    </w:p>
    <w:p w:rsidR="00F577A6" w:rsidRPr="006432A3" w:rsidRDefault="00F577A6" w:rsidP="008B60B2">
      <w:pPr>
        <w:spacing w:after="60"/>
        <w:rPr>
          <w:sz w:val="17"/>
          <w:szCs w:val="17"/>
          <w:lang w:val="en-US"/>
        </w:rPr>
      </w:pPr>
      <w:r w:rsidRPr="006432A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577A6" w:rsidRPr="006432A3" w:rsidRDefault="00F577A6" w:rsidP="008B60B2">
      <w:pPr>
        <w:spacing w:before="60"/>
        <w:jc w:val="right"/>
        <w:rPr>
          <w:sz w:val="17"/>
          <w:szCs w:val="17"/>
          <w:lang w:val="en-US"/>
        </w:rPr>
      </w:pPr>
      <w:r w:rsidRPr="006432A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15" w:rsidRDefault="00A11B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99" w:rsidRDefault="00721799" w:rsidP="00477D6B">
    <w:pPr>
      <w:jc w:val="right"/>
    </w:pPr>
  </w:p>
  <w:p w:rsidR="00A84CB3" w:rsidRDefault="00A84CB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64D2B">
      <w:rPr>
        <w:noProof/>
      </w:rPr>
      <w:t>4</w:t>
    </w:r>
    <w:r>
      <w:fldChar w:fldCharType="end"/>
    </w:r>
  </w:p>
  <w:p w:rsidR="00A84CB3" w:rsidRDefault="00A84CB3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15" w:rsidRDefault="00A11B1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815" w:rsidRDefault="00164815" w:rsidP="00477D6B">
    <w:pPr>
      <w:jc w:val="right"/>
    </w:pPr>
  </w:p>
  <w:p w:rsidR="00164815" w:rsidRDefault="00164815" w:rsidP="00477D6B">
    <w:pPr>
      <w:jc w:val="right"/>
    </w:pPr>
    <w:r>
      <w:t xml:space="preserve">Annexe, page </w:t>
    </w:r>
    <w:r>
      <w:fldChar w:fldCharType="begin"/>
    </w:r>
    <w:r>
      <w:instrText xml:space="preserve"> PAGE  \* MERGEFORMAT </w:instrText>
    </w:r>
    <w:r>
      <w:fldChar w:fldCharType="separate"/>
    </w:r>
    <w:r w:rsidR="00564D2B">
      <w:rPr>
        <w:noProof/>
      </w:rPr>
      <w:t>2</w:t>
    </w:r>
    <w:r>
      <w:fldChar w:fldCharType="end"/>
    </w:r>
  </w:p>
  <w:p w:rsidR="00164815" w:rsidRDefault="00164815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815" w:rsidRDefault="00164815" w:rsidP="00164815">
    <w:pPr>
      <w:pStyle w:val="Header"/>
      <w:jc w:val="right"/>
    </w:pPr>
  </w:p>
  <w:p w:rsidR="00164815" w:rsidRDefault="00164815" w:rsidP="00164815">
    <w:pPr>
      <w:pStyle w:val="Header"/>
      <w:jc w:val="right"/>
    </w:pPr>
    <w:r>
      <w:t>ANNEXE</w:t>
    </w:r>
  </w:p>
  <w:p w:rsidR="00164815" w:rsidRDefault="00164815" w:rsidP="001648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5EF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BCDCCD42"/>
    <w:lvl w:ilvl="0" w:tplc="5DB2D736">
      <w:start w:val="5"/>
      <w:numFmt w:val="bullet"/>
      <w:lvlText w:val="–"/>
      <w:lvlJc w:val="left"/>
      <w:pPr>
        <w:ind w:left="1134" w:hanging="567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6DA254C0"/>
    <w:lvl w:ilvl="0" w:tplc="6B0AF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5428C9"/>
    <w:rsid w:val="00020B0B"/>
    <w:rsid w:val="00025798"/>
    <w:rsid w:val="00034F1B"/>
    <w:rsid w:val="000350CA"/>
    <w:rsid w:val="000362A5"/>
    <w:rsid w:val="000436D2"/>
    <w:rsid w:val="00043CAA"/>
    <w:rsid w:val="0005374D"/>
    <w:rsid w:val="000565C4"/>
    <w:rsid w:val="00062057"/>
    <w:rsid w:val="00065E90"/>
    <w:rsid w:val="00071A99"/>
    <w:rsid w:val="00075432"/>
    <w:rsid w:val="000807E0"/>
    <w:rsid w:val="00080964"/>
    <w:rsid w:val="0008488C"/>
    <w:rsid w:val="000911E1"/>
    <w:rsid w:val="000921DC"/>
    <w:rsid w:val="00095BB5"/>
    <w:rsid w:val="000968ED"/>
    <w:rsid w:val="000A1944"/>
    <w:rsid w:val="000A60FB"/>
    <w:rsid w:val="000B2978"/>
    <w:rsid w:val="000D1B54"/>
    <w:rsid w:val="000D3909"/>
    <w:rsid w:val="000F2E33"/>
    <w:rsid w:val="000F5E56"/>
    <w:rsid w:val="0010308B"/>
    <w:rsid w:val="00105B8D"/>
    <w:rsid w:val="00121780"/>
    <w:rsid w:val="001362EE"/>
    <w:rsid w:val="001442D3"/>
    <w:rsid w:val="001448A4"/>
    <w:rsid w:val="00146DA5"/>
    <w:rsid w:val="001470CC"/>
    <w:rsid w:val="0015134A"/>
    <w:rsid w:val="00152411"/>
    <w:rsid w:val="00154FB1"/>
    <w:rsid w:val="00164815"/>
    <w:rsid w:val="001709F8"/>
    <w:rsid w:val="00181D8F"/>
    <w:rsid w:val="001832A6"/>
    <w:rsid w:val="001876C3"/>
    <w:rsid w:val="001954E9"/>
    <w:rsid w:val="001C2F18"/>
    <w:rsid w:val="001C455B"/>
    <w:rsid w:val="001D5E3A"/>
    <w:rsid w:val="001E1F6E"/>
    <w:rsid w:val="001E6FC1"/>
    <w:rsid w:val="001F1EC2"/>
    <w:rsid w:val="00202976"/>
    <w:rsid w:val="00206D37"/>
    <w:rsid w:val="00214A3C"/>
    <w:rsid w:val="00216048"/>
    <w:rsid w:val="002177A9"/>
    <w:rsid w:val="00231B6C"/>
    <w:rsid w:val="00250FCC"/>
    <w:rsid w:val="00252AB2"/>
    <w:rsid w:val="0025530F"/>
    <w:rsid w:val="00255D22"/>
    <w:rsid w:val="002564D5"/>
    <w:rsid w:val="00256FAF"/>
    <w:rsid w:val="002634C4"/>
    <w:rsid w:val="002638FD"/>
    <w:rsid w:val="002814AB"/>
    <w:rsid w:val="002824FB"/>
    <w:rsid w:val="00287BFD"/>
    <w:rsid w:val="002928D3"/>
    <w:rsid w:val="002953D8"/>
    <w:rsid w:val="002A43DB"/>
    <w:rsid w:val="002C0313"/>
    <w:rsid w:val="002C53C2"/>
    <w:rsid w:val="002C5548"/>
    <w:rsid w:val="002C62CF"/>
    <w:rsid w:val="002D404E"/>
    <w:rsid w:val="002F1FE6"/>
    <w:rsid w:val="002F4E68"/>
    <w:rsid w:val="002F5463"/>
    <w:rsid w:val="00312F7F"/>
    <w:rsid w:val="0031723F"/>
    <w:rsid w:val="003306CE"/>
    <w:rsid w:val="003333F0"/>
    <w:rsid w:val="00346218"/>
    <w:rsid w:val="00350495"/>
    <w:rsid w:val="00352782"/>
    <w:rsid w:val="003558D6"/>
    <w:rsid w:val="00361450"/>
    <w:rsid w:val="003651B6"/>
    <w:rsid w:val="003673CF"/>
    <w:rsid w:val="003765E0"/>
    <w:rsid w:val="00381777"/>
    <w:rsid w:val="003845C1"/>
    <w:rsid w:val="003A6F89"/>
    <w:rsid w:val="003B3135"/>
    <w:rsid w:val="003B38C1"/>
    <w:rsid w:val="003C6B19"/>
    <w:rsid w:val="003D4844"/>
    <w:rsid w:val="003D5516"/>
    <w:rsid w:val="003E1392"/>
    <w:rsid w:val="003E2A86"/>
    <w:rsid w:val="003E4BD1"/>
    <w:rsid w:val="00401142"/>
    <w:rsid w:val="0041001F"/>
    <w:rsid w:val="004202B6"/>
    <w:rsid w:val="00423E3E"/>
    <w:rsid w:val="00427AF4"/>
    <w:rsid w:val="0043552C"/>
    <w:rsid w:val="004375EF"/>
    <w:rsid w:val="00445410"/>
    <w:rsid w:val="00450B59"/>
    <w:rsid w:val="00461D05"/>
    <w:rsid w:val="004647DA"/>
    <w:rsid w:val="00474062"/>
    <w:rsid w:val="00477D6B"/>
    <w:rsid w:val="00484901"/>
    <w:rsid w:val="0049441E"/>
    <w:rsid w:val="00496CC7"/>
    <w:rsid w:val="004A6DDE"/>
    <w:rsid w:val="004B02C3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056A1"/>
    <w:rsid w:val="00511661"/>
    <w:rsid w:val="00511974"/>
    <w:rsid w:val="00513B37"/>
    <w:rsid w:val="00520987"/>
    <w:rsid w:val="00525A4E"/>
    <w:rsid w:val="0053057A"/>
    <w:rsid w:val="005342A9"/>
    <w:rsid w:val="005367E7"/>
    <w:rsid w:val="005371E6"/>
    <w:rsid w:val="005428C9"/>
    <w:rsid w:val="00545480"/>
    <w:rsid w:val="005454CD"/>
    <w:rsid w:val="00550FF8"/>
    <w:rsid w:val="00560A29"/>
    <w:rsid w:val="00564D2B"/>
    <w:rsid w:val="00566A01"/>
    <w:rsid w:val="00572C50"/>
    <w:rsid w:val="00583C53"/>
    <w:rsid w:val="00585336"/>
    <w:rsid w:val="005A172D"/>
    <w:rsid w:val="005B0853"/>
    <w:rsid w:val="005C6649"/>
    <w:rsid w:val="005D0849"/>
    <w:rsid w:val="005E2009"/>
    <w:rsid w:val="005E4C5C"/>
    <w:rsid w:val="00605827"/>
    <w:rsid w:val="00611867"/>
    <w:rsid w:val="00613C99"/>
    <w:rsid w:val="00621ED4"/>
    <w:rsid w:val="0062784B"/>
    <w:rsid w:val="00640082"/>
    <w:rsid w:val="006432A3"/>
    <w:rsid w:val="00646050"/>
    <w:rsid w:val="00646181"/>
    <w:rsid w:val="00661DD3"/>
    <w:rsid w:val="006713CA"/>
    <w:rsid w:val="006766A7"/>
    <w:rsid w:val="00676A9E"/>
    <w:rsid w:val="00676C5C"/>
    <w:rsid w:val="006861AD"/>
    <w:rsid w:val="0069066E"/>
    <w:rsid w:val="006A5A26"/>
    <w:rsid w:val="006B77F9"/>
    <w:rsid w:val="006B7929"/>
    <w:rsid w:val="006C6AAD"/>
    <w:rsid w:val="006D081C"/>
    <w:rsid w:val="006D3AD2"/>
    <w:rsid w:val="006D4A4B"/>
    <w:rsid w:val="006E0F4A"/>
    <w:rsid w:val="00703430"/>
    <w:rsid w:val="00707D36"/>
    <w:rsid w:val="00713832"/>
    <w:rsid w:val="00716C2E"/>
    <w:rsid w:val="00717B47"/>
    <w:rsid w:val="00721799"/>
    <w:rsid w:val="00722E8E"/>
    <w:rsid w:val="007256DC"/>
    <w:rsid w:val="007257DE"/>
    <w:rsid w:val="007303E7"/>
    <w:rsid w:val="00730DC7"/>
    <w:rsid w:val="007448CF"/>
    <w:rsid w:val="00754813"/>
    <w:rsid w:val="00761013"/>
    <w:rsid w:val="007652D3"/>
    <w:rsid w:val="00767182"/>
    <w:rsid w:val="0077451F"/>
    <w:rsid w:val="00777C94"/>
    <w:rsid w:val="007907BE"/>
    <w:rsid w:val="00791AC0"/>
    <w:rsid w:val="007A0F4B"/>
    <w:rsid w:val="007A1190"/>
    <w:rsid w:val="007A23EF"/>
    <w:rsid w:val="007B0983"/>
    <w:rsid w:val="007C3BCD"/>
    <w:rsid w:val="007D1613"/>
    <w:rsid w:val="007D4F65"/>
    <w:rsid w:val="007D7ED8"/>
    <w:rsid w:val="007E152B"/>
    <w:rsid w:val="007E3DB7"/>
    <w:rsid w:val="007E3DEA"/>
    <w:rsid w:val="007F1E05"/>
    <w:rsid w:val="007F2974"/>
    <w:rsid w:val="00824C70"/>
    <w:rsid w:val="0083577D"/>
    <w:rsid w:val="00836C9F"/>
    <w:rsid w:val="00840EAF"/>
    <w:rsid w:val="0084775A"/>
    <w:rsid w:val="008558CD"/>
    <w:rsid w:val="008754C4"/>
    <w:rsid w:val="00891C8C"/>
    <w:rsid w:val="008A6397"/>
    <w:rsid w:val="008A74D8"/>
    <w:rsid w:val="008B2CC1"/>
    <w:rsid w:val="008B58C5"/>
    <w:rsid w:val="008B60B2"/>
    <w:rsid w:val="008C2F88"/>
    <w:rsid w:val="008D2E95"/>
    <w:rsid w:val="008D6B5A"/>
    <w:rsid w:val="008F030D"/>
    <w:rsid w:val="009040E2"/>
    <w:rsid w:val="0090731E"/>
    <w:rsid w:val="00910004"/>
    <w:rsid w:val="0091074A"/>
    <w:rsid w:val="00916EE2"/>
    <w:rsid w:val="0092199F"/>
    <w:rsid w:val="00927CAE"/>
    <w:rsid w:val="00931A71"/>
    <w:rsid w:val="00932A5B"/>
    <w:rsid w:val="009516EA"/>
    <w:rsid w:val="009604A8"/>
    <w:rsid w:val="0096293F"/>
    <w:rsid w:val="00966A22"/>
    <w:rsid w:val="0096722F"/>
    <w:rsid w:val="00980843"/>
    <w:rsid w:val="00985AE3"/>
    <w:rsid w:val="00986C5A"/>
    <w:rsid w:val="009929DE"/>
    <w:rsid w:val="0099438E"/>
    <w:rsid w:val="009944AB"/>
    <w:rsid w:val="00994B55"/>
    <w:rsid w:val="009959AF"/>
    <w:rsid w:val="009A7B57"/>
    <w:rsid w:val="009C53E2"/>
    <w:rsid w:val="009C58C7"/>
    <w:rsid w:val="009C63E7"/>
    <w:rsid w:val="009E2373"/>
    <w:rsid w:val="009E2791"/>
    <w:rsid w:val="009E3F6F"/>
    <w:rsid w:val="009E659F"/>
    <w:rsid w:val="009F2B61"/>
    <w:rsid w:val="009F3043"/>
    <w:rsid w:val="009F499F"/>
    <w:rsid w:val="009F4CC2"/>
    <w:rsid w:val="00A0009C"/>
    <w:rsid w:val="00A0168C"/>
    <w:rsid w:val="00A11B15"/>
    <w:rsid w:val="00A12500"/>
    <w:rsid w:val="00A1732B"/>
    <w:rsid w:val="00A177D3"/>
    <w:rsid w:val="00A42DAF"/>
    <w:rsid w:val="00A430D9"/>
    <w:rsid w:val="00A45BD8"/>
    <w:rsid w:val="00A5375D"/>
    <w:rsid w:val="00A57F96"/>
    <w:rsid w:val="00A71AAA"/>
    <w:rsid w:val="00A73D1B"/>
    <w:rsid w:val="00A84CB3"/>
    <w:rsid w:val="00A869B7"/>
    <w:rsid w:val="00A87BB8"/>
    <w:rsid w:val="00A90C28"/>
    <w:rsid w:val="00A923B9"/>
    <w:rsid w:val="00A93823"/>
    <w:rsid w:val="00A97B48"/>
    <w:rsid w:val="00AA5520"/>
    <w:rsid w:val="00AB12FB"/>
    <w:rsid w:val="00AB5611"/>
    <w:rsid w:val="00AC068F"/>
    <w:rsid w:val="00AC1225"/>
    <w:rsid w:val="00AC205C"/>
    <w:rsid w:val="00AD5B1F"/>
    <w:rsid w:val="00AE75B1"/>
    <w:rsid w:val="00AF0A6B"/>
    <w:rsid w:val="00AF656F"/>
    <w:rsid w:val="00AF7468"/>
    <w:rsid w:val="00B05A69"/>
    <w:rsid w:val="00B05C85"/>
    <w:rsid w:val="00B205DD"/>
    <w:rsid w:val="00B352AA"/>
    <w:rsid w:val="00B4131F"/>
    <w:rsid w:val="00B4161B"/>
    <w:rsid w:val="00B4750F"/>
    <w:rsid w:val="00B479CE"/>
    <w:rsid w:val="00B5262E"/>
    <w:rsid w:val="00B66E59"/>
    <w:rsid w:val="00B66E89"/>
    <w:rsid w:val="00B71A26"/>
    <w:rsid w:val="00B73517"/>
    <w:rsid w:val="00B85E2E"/>
    <w:rsid w:val="00B860C6"/>
    <w:rsid w:val="00B87F6E"/>
    <w:rsid w:val="00B9430B"/>
    <w:rsid w:val="00B94DD1"/>
    <w:rsid w:val="00B9734B"/>
    <w:rsid w:val="00BB17C8"/>
    <w:rsid w:val="00BC3598"/>
    <w:rsid w:val="00BD7CBF"/>
    <w:rsid w:val="00BE6033"/>
    <w:rsid w:val="00BE79B1"/>
    <w:rsid w:val="00BF2338"/>
    <w:rsid w:val="00C073D1"/>
    <w:rsid w:val="00C11BFE"/>
    <w:rsid w:val="00C234BB"/>
    <w:rsid w:val="00C24327"/>
    <w:rsid w:val="00C277B0"/>
    <w:rsid w:val="00C5604A"/>
    <w:rsid w:val="00C62DA1"/>
    <w:rsid w:val="00C75B46"/>
    <w:rsid w:val="00C76E73"/>
    <w:rsid w:val="00C90F37"/>
    <w:rsid w:val="00C93098"/>
    <w:rsid w:val="00CA04EB"/>
    <w:rsid w:val="00CA2F19"/>
    <w:rsid w:val="00CA4785"/>
    <w:rsid w:val="00CB550F"/>
    <w:rsid w:val="00CC0A5A"/>
    <w:rsid w:val="00CC162F"/>
    <w:rsid w:val="00CC4E81"/>
    <w:rsid w:val="00CC5D54"/>
    <w:rsid w:val="00CD1800"/>
    <w:rsid w:val="00CD3B25"/>
    <w:rsid w:val="00CE565F"/>
    <w:rsid w:val="00CE78E8"/>
    <w:rsid w:val="00D11513"/>
    <w:rsid w:val="00D44E92"/>
    <w:rsid w:val="00D45252"/>
    <w:rsid w:val="00D50FFC"/>
    <w:rsid w:val="00D629A8"/>
    <w:rsid w:val="00D6405C"/>
    <w:rsid w:val="00D71B4D"/>
    <w:rsid w:val="00D721E6"/>
    <w:rsid w:val="00D762E1"/>
    <w:rsid w:val="00D845B7"/>
    <w:rsid w:val="00D90E91"/>
    <w:rsid w:val="00D91B6D"/>
    <w:rsid w:val="00D93D55"/>
    <w:rsid w:val="00D967DA"/>
    <w:rsid w:val="00DA469B"/>
    <w:rsid w:val="00DC46BA"/>
    <w:rsid w:val="00DD4024"/>
    <w:rsid w:val="00DD64A4"/>
    <w:rsid w:val="00DE2E33"/>
    <w:rsid w:val="00DE4503"/>
    <w:rsid w:val="00E00F56"/>
    <w:rsid w:val="00E149A9"/>
    <w:rsid w:val="00E24442"/>
    <w:rsid w:val="00E2611A"/>
    <w:rsid w:val="00E335FE"/>
    <w:rsid w:val="00E35FA5"/>
    <w:rsid w:val="00E40D96"/>
    <w:rsid w:val="00E543EE"/>
    <w:rsid w:val="00E65B9B"/>
    <w:rsid w:val="00E91D11"/>
    <w:rsid w:val="00EA016E"/>
    <w:rsid w:val="00EA1CEF"/>
    <w:rsid w:val="00EB0034"/>
    <w:rsid w:val="00EC4E49"/>
    <w:rsid w:val="00EC5340"/>
    <w:rsid w:val="00ED77FB"/>
    <w:rsid w:val="00EE45FA"/>
    <w:rsid w:val="00EE4D2D"/>
    <w:rsid w:val="00EF4BBD"/>
    <w:rsid w:val="00EF5F08"/>
    <w:rsid w:val="00F03A64"/>
    <w:rsid w:val="00F1492B"/>
    <w:rsid w:val="00F22343"/>
    <w:rsid w:val="00F230F1"/>
    <w:rsid w:val="00F2335C"/>
    <w:rsid w:val="00F24515"/>
    <w:rsid w:val="00F32FDB"/>
    <w:rsid w:val="00F33D45"/>
    <w:rsid w:val="00F3602C"/>
    <w:rsid w:val="00F47246"/>
    <w:rsid w:val="00F538D9"/>
    <w:rsid w:val="00F577A6"/>
    <w:rsid w:val="00F640E1"/>
    <w:rsid w:val="00F66152"/>
    <w:rsid w:val="00F76A1B"/>
    <w:rsid w:val="00F77A10"/>
    <w:rsid w:val="00F97667"/>
    <w:rsid w:val="00FB0A2C"/>
    <w:rsid w:val="00FB3F63"/>
    <w:rsid w:val="00FB511D"/>
    <w:rsid w:val="00FC792F"/>
    <w:rsid w:val="00FD4FAB"/>
    <w:rsid w:val="00FD576E"/>
    <w:rsid w:val="00FD6AA5"/>
    <w:rsid w:val="00FE1763"/>
    <w:rsid w:val="00FE33BA"/>
    <w:rsid w:val="00FE5F59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8E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250FCC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8E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250FCC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CD62-AEF6-4948-9A8A-6A5FF86A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keywords>JCH/NGG/mhf/sc</cp:keywords>
  <cp:lastModifiedBy>MORENO PALESTINI Maria Del Pilar</cp:lastModifiedBy>
  <cp:revision>4</cp:revision>
  <cp:lastPrinted>2016-02-22T10:12:00Z</cp:lastPrinted>
  <dcterms:created xsi:type="dcterms:W3CDTF">2016-02-22T10:11:00Z</dcterms:created>
  <dcterms:modified xsi:type="dcterms:W3CDTF">2016-02-22T10:12:00Z</dcterms:modified>
</cp:coreProperties>
</file>