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06A57" w:rsidRPr="00806A57" w:rsidTr="00291E2F">
        <w:trPr>
          <w:trHeight w:val="2511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96EE7" w:rsidRPr="00806A57" w:rsidRDefault="00F96EE7" w:rsidP="00094B96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6EE7" w:rsidRPr="00806A57" w:rsidRDefault="00F96EE7" w:rsidP="00094B96">
            <w:pPr>
              <w:rPr>
                <w:lang w:val="fr-FR"/>
              </w:rPr>
            </w:pPr>
            <w:r w:rsidRPr="00806A57">
              <w:rPr>
                <w:noProof/>
                <w:lang w:eastAsia="en-US"/>
              </w:rPr>
              <w:drawing>
                <wp:inline distT="0" distB="0" distL="0" distR="0" wp14:anchorId="0C0450B3" wp14:editId="1C98A005">
                  <wp:extent cx="1856105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6EE7" w:rsidRPr="00806A57" w:rsidRDefault="00F96EE7" w:rsidP="00094B96">
            <w:pPr>
              <w:jc w:val="right"/>
              <w:rPr>
                <w:lang w:val="fr-FR"/>
              </w:rPr>
            </w:pPr>
            <w:r w:rsidRPr="00806A5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06A57" w:rsidRPr="00806A57" w:rsidTr="00094B9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96EE7" w:rsidRPr="00D61329" w:rsidRDefault="00F96EE7" w:rsidP="00D613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1329">
              <w:rPr>
                <w:rFonts w:ascii="Arial Black" w:hAnsi="Arial Black"/>
                <w:caps/>
                <w:sz w:val="15"/>
              </w:rPr>
              <w:t>WIPO/GRTKF/IC/29/INF/</w:t>
            </w:r>
            <w:r w:rsidR="00D61329">
              <w:rPr>
                <w:rFonts w:ascii="Arial Black" w:hAnsi="Arial Black"/>
                <w:caps/>
                <w:sz w:val="15"/>
              </w:rPr>
              <w:t xml:space="preserve">2 </w:t>
            </w:r>
            <w:r w:rsidR="00D61329" w:rsidRPr="00D61329">
              <w:rPr>
                <w:rFonts w:ascii="Arial Black" w:hAnsi="Arial Black"/>
                <w:caps/>
                <w:sz w:val="15"/>
              </w:rPr>
              <w:t>REV</w:t>
            </w:r>
            <w:r w:rsidR="00D61329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06A57" w:rsidRPr="00806A57" w:rsidTr="00094B9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96EE7" w:rsidRPr="00806A57" w:rsidRDefault="00F96EE7" w:rsidP="00094B9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6A57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F96EE7" w:rsidRPr="00806A57" w:rsidTr="00094B9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96EE7" w:rsidRPr="00806A57" w:rsidRDefault="00F96EE7" w:rsidP="00D6132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06A5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r w:rsidR="00D61329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Pr="00806A5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AF15C1">
              <w:rPr>
                <w:rFonts w:ascii="Arial Black" w:hAnsi="Arial Black"/>
                <w:caps/>
                <w:sz w:val="15"/>
                <w:lang w:val="fr-FR"/>
              </w:rPr>
              <w:t>FÉ</w:t>
            </w:r>
            <w:r w:rsidR="00D61329">
              <w:rPr>
                <w:rFonts w:ascii="Arial Black" w:hAnsi="Arial Black"/>
                <w:caps/>
                <w:sz w:val="15"/>
                <w:lang w:val="fr-FR"/>
              </w:rPr>
              <w:t>VRIER</w:t>
            </w:r>
            <w:r w:rsidRPr="00806A57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135E23" w:rsidRPr="00806A57" w:rsidRDefault="00135E23" w:rsidP="00F96EE7">
      <w:pPr>
        <w:rPr>
          <w:lang w:val="fr-FR"/>
        </w:rPr>
      </w:pPr>
      <w:bookmarkStart w:id="0" w:name="_GoBack"/>
      <w:bookmarkEnd w:id="0"/>
    </w:p>
    <w:p w:rsidR="00135E23" w:rsidRPr="00806A57" w:rsidRDefault="00135E23" w:rsidP="00F96EE7">
      <w:pPr>
        <w:rPr>
          <w:lang w:val="fr-FR"/>
        </w:rPr>
      </w:pPr>
    </w:p>
    <w:p w:rsidR="00135E23" w:rsidRPr="00806A57" w:rsidRDefault="00135E23" w:rsidP="00F96EE7">
      <w:pPr>
        <w:rPr>
          <w:lang w:val="fr-FR"/>
        </w:rPr>
      </w:pPr>
    </w:p>
    <w:p w:rsidR="00135E23" w:rsidRPr="00806A57" w:rsidRDefault="00135E23" w:rsidP="00F96EE7">
      <w:pPr>
        <w:rPr>
          <w:lang w:val="fr-FR"/>
        </w:rPr>
      </w:pPr>
    </w:p>
    <w:p w:rsidR="00135E23" w:rsidRPr="00806A57" w:rsidRDefault="00135E23" w:rsidP="00F96EE7">
      <w:pPr>
        <w:rPr>
          <w:lang w:val="fr-FR"/>
        </w:rPr>
      </w:pPr>
    </w:p>
    <w:p w:rsidR="00135E23" w:rsidRPr="00806A57" w:rsidRDefault="00436D13" w:rsidP="00436D13">
      <w:pPr>
        <w:rPr>
          <w:b/>
          <w:sz w:val="28"/>
          <w:szCs w:val="28"/>
          <w:lang w:val="fr-FR"/>
        </w:rPr>
      </w:pPr>
      <w:r w:rsidRPr="00806A57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135E23" w:rsidRPr="00806A57" w:rsidRDefault="00135E23" w:rsidP="003845C1">
      <w:pPr>
        <w:rPr>
          <w:lang w:val="fr-FR"/>
        </w:rPr>
      </w:pPr>
    </w:p>
    <w:p w:rsidR="00135E23" w:rsidRPr="00806A57" w:rsidRDefault="00135E23" w:rsidP="003845C1">
      <w:pPr>
        <w:rPr>
          <w:lang w:val="fr-FR"/>
        </w:rPr>
      </w:pPr>
    </w:p>
    <w:p w:rsidR="00135E23" w:rsidRPr="00806A57" w:rsidRDefault="00436D13" w:rsidP="00436D13">
      <w:pPr>
        <w:rPr>
          <w:b/>
          <w:sz w:val="24"/>
          <w:szCs w:val="24"/>
          <w:lang w:val="fr-FR"/>
        </w:rPr>
      </w:pPr>
      <w:r w:rsidRPr="00806A57">
        <w:rPr>
          <w:b/>
          <w:sz w:val="24"/>
          <w:szCs w:val="24"/>
          <w:lang w:val="fr-FR"/>
        </w:rPr>
        <w:t>Vingt</w:t>
      </w:r>
      <w:r w:rsidR="0076346F" w:rsidRPr="00806A57">
        <w:rPr>
          <w:b/>
          <w:sz w:val="24"/>
          <w:szCs w:val="24"/>
          <w:lang w:val="fr-FR"/>
        </w:rPr>
        <w:t>-</w:t>
      </w:r>
      <w:r w:rsidRPr="00806A57">
        <w:rPr>
          <w:b/>
          <w:sz w:val="24"/>
          <w:szCs w:val="24"/>
          <w:lang w:val="fr-FR"/>
        </w:rPr>
        <w:t>neuvième</w:t>
      </w:r>
      <w:r w:rsidR="00377616" w:rsidRPr="00806A57">
        <w:rPr>
          <w:b/>
          <w:sz w:val="24"/>
          <w:szCs w:val="24"/>
          <w:lang w:val="fr-FR"/>
        </w:rPr>
        <w:t> </w:t>
      </w:r>
      <w:r w:rsidRPr="00806A57">
        <w:rPr>
          <w:b/>
          <w:sz w:val="24"/>
          <w:szCs w:val="24"/>
          <w:lang w:val="fr-FR"/>
        </w:rPr>
        <w:t>session</w:t>
      </w:r>
    </w:p>
    <w:p w:rsidR="00135E23" w:rsidRPr="00806A57" w:rsidRDefault="00436D13" w:rsidP="00436D13">
      <w:pPr>
        <w:rPr>
          <w:b/>
          <w:sz w:val="24"/>
          <w:szCs w:val="24"/>
          <w:lang w:val="fr-FR"/>
        </w:rPr>
      </w:pPr>
      <w:r w:rsidRPr="00806A57">
        <w:rPr>
          <w:b/>
          <w:sz w:val="24"/>
          <w:szCs w:val="24"/>
          <w:lang w:val="fr-FR"/>
        </w:rPr>
        <w:t>Genève, 15 – 1</w:t>
      </w:r>
      <w:r w:rsidR="00C93EC6" w:rsidRPr="00806A57">
        <w:rPr>
          <w:b/>
          <w:sz w:val="24"/>
          <w:szCs w:val="24"/>
          <w:lang w:val="fr-FR"/>
        </w:rPr>
        <w:t>9 février 20</w:t>
      </w:r>
      <w:r w:rsidRPr="00806A57">
        <w:rPr>
          <w:b/>
          <w:sz w:val="24"/>
          <w:szCs w:val="24"/>
          <w:lang w:val="fr-FR"/>
        </w:rPr>
        <w:t>16</w:t>
      </w:r>
    </w:p>
    <w:p w:rsidR="00135E23" w:rsidRPr="00806A57" w:rsidRDefault="00135E23" w:rsidP="008B2CC1">
      <w:pPr>
        <w:rPr>
          <w:lang w:val="fr-FR"/>
        </w:rPr>
      </w:pPr>
    </w:p>
    <w:p w:rsidR="00135E23" w:rsidRPr="00806A57" w:rsidRDefault="00135E23" w:rsidP="008B2CC1">
      <w:pPr>
        <w:rPr>
          <w:lang w:val="fr-FR"/>
        </w:rPr>
      </w:pPr>
    </w:p>
    <w:p w:rsidR="00135E23" w:rsidRPr="00806A57" w:rsidRDefault="00135E23" w:rsidP="008B2CC1">
      <w:pPr>
        <w:rPr>
          <w:lang w:val="fr-FR"/>
        </w:rPr>
      </w:pPr>
    </w:p>
    <w:p w:rsidR="00135E23" w:rsidRPr="00806A57" w:rsidRDefault="00436D13" w:rsidP="00436D13">
      <w:pPr>
        <w:rPr>
          <w:caps/>
          <w:sz w:val="24"/>
          <w:lang w:val="fr-FR"/>
        </w:rPr>
      </w:pPr>
      <w:bookmarkStart w:id="1" w:name="TitleOfDoc"/>
      <w:bookmarkEnd w:id="1"/>
      <w:r w:rsidRPr="00806A57">
        <w:rPr>
          <w:caps/>
          <w:sz w:val="24"/>
          <w:lang w:val="fr-FR"/>
        </w:rPr>
        <w:t>RÉSUMÉ SUCCINCT DES DOCUMENTS</w:t>
      </w:r>
    </w:p>
    <w:p w:rsidR="00135E23" w:rsidRPr="00806A57" w:rsidRDefault="00135E23" w:rsidP="008B2CC1">
      <w:pPr>
        <w:rPr>
          <w:lang w:val="fr-FR"/>
        </w:rPr>
      </w:pPr>
    </w:p>
    <w:p w:rsidR="00135E23" w:rsidRPr="00806A57" w:rsidRDefault="00436D13" w:rsidP="00436D13">
      <w:pPr>
        <w:rPr>
          <w:i/>
          <w:lang w:val="fr-FR"/>
        </w:rPr>
      </w:pPr>
      <w:bookmarkStart w:id="2" w:name="Prepared"/>
      <w:bookmarkEnd w:id="2"/>
      <w:r w:rsidRPr="00806A57">
        <w:rPr>
          <w:i/>
          <w:lang w:val="fr-FR"/>
        </w:rPr>
        <w:t>Document établi par le Secrétariat</w:t>
      </w:r>
    </w:p>
    <w:p w:rsidR="00135E23" w:rsidRPr="00806A57" w:rsidRDefault="00135E23" w:rsidP="008B2CC1">
      <w:pPr>
        <w:rPr>
          <w:lang w:val="fr-FR"/>
        </w:rPr>
      </w:pPr>
    </w:p>
    <w:p w:rsidR="00135E23" w:rsidRPr="00806A57" w:rsidRDefault="00135E23" w:rsidP="00263E8D">
      <w:pPr>
        <w:tabs>
          <w:tab w:val="left" w:pos="1418"/>
        </w:tabs>
        <w:rPr>
          <w:lang w:val="fr-FR"/>
        </w:rPr>
      </w:pPr>
    </w:p>
    <w:p w:rsidR="00135E23" w:rsidRPr="00806A57" w:rsidRDefault="00135E23" w:rsidP="00263E8D">
      <w:pPr>
        <w:tabs>
          <w:tab w:val="left" w:pos="1418"/>
        </w:tabs>
        <w:rPr>
          <w:lang w:val="fr-FR"/>
        </w:rPr>
      </w:pPr>
    </w:p>
    <w:p w:rsidR="00135E23" w:rsidRPr="00806A57" w:rsidRDefault="0076346F" w:rsidP="0076346F">
      <w:pPr>
        <w:pStyle w:val="Heading2"/>
        <w:rPr>
          <w:lang w:val="fr-FR"/>
        </w:rPr>
      </w:pPr>
      <w:r w:rsidRPr="00806A57">
        <w:rPr>
          <w:lang w:val="fr-FR"/>
        </w:rPr>
        <w:t>I.</w:t>
      </w:r>
      <w:r w:rsidRPr="00806A57">
        <w:rPr>
          <w:lang w:val="fr-FR"/>
        </w:rPr>
        <w:tab/>
        <w:t>Documents de travail pour la vingt</w:t>
      </w:r>
      <w:r w:rsidRPr="00806A57">
        <w:rPr>
          <w:lang w:val="fr-FR"/>
        </w:rPr>
        <w:noBreakHyphen/>
        <w:t>neuvième session</w:t>
      </w:r>
    </w:p>
    <w:p w:rsidR="00135E23" w:rsidRPr="00806A57" w:rsidRDefault="00135E23" w:rsidP="0046055C">
      <w:pPr>
        <w:tabs>
          <w:tab w:val="left" w:pos="1418"/>
        </w:tabs>
        <w:rPr>
          <w:lang w:val="fr-FR"/>
        </w:rPr>
      </w:pPr>
    </w:p>
    <w:p w:rsidR="00135E23" w:rsidRPr="00806A57" w:rsidRDefault="00436D13" w:rsidP="0076346F">
      <w:pPr>
        <w:pStyle w:val="ONUMFS"/>
        <w:rPr>
          <w:lang w:val="fr-FR"/>
        </w:rPr>
      </w:pPr>
      <w:r w:rsidRPr="00806A57">
        <w:rPr>
          <w:lang w:val="fr-FR"/>
        </w:rPr>
        <w:t>Le texte qui suit est un bref résumé des documents qui sont établis, ou qui doivent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être, pour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neuvième session du Comité intergouvernemental de la propriété intellectuelle relative aux ressources génétiques, aux savoirs traditionnels et au folklore (ci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après dénommé “comité” ou “IGC”) à la date du 25 novembre 2015.</w:t>
      </w:r>
      <w:r w:rsidR="005D78A0" w:rsidRPr="00806A57">
        <w:rPr>
          <w:lang w:val="fr-FR"/>
        </w:rPr>
        <w:t xml:space="preserve">  </w:t>
      </w:r>
      <w:r w:rsidRPr="00806A57">
        <w:rPr>
          <w:lang w:val="fr-FR"/>
        </w:rPr>
        <w:t>Chacun de ces documents, ainsi que tout document supplémentaire, sera publié dès sa finalisation sur la page : http://www.wipo.int/meetings/fr/details.jsp?meeting_id=38983</w:t>
      </w:r>
      <w:r w:rsidR="00806A57">
        <w:rPr>
          <w:lang w:val="fr-FR"/>
        </w:rPr>
        <w:t>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WIPO/GRTKF/IC/29/1 Prov.</w:t>
      </w:r>
      <w:r w:rsidR="00D61329">
        <w:rPr>
          <w:lang w:val="fr-FR"/>
        </w:rPr>
        <w:t>3</w:t>
      </w:r>
      <w:r w:rsidRPr="00806A57">
        <w:rPr>
          <w:lang w:val="fr-FR"/>
        </w:rPr>
        <w:t> : Projet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ordre du jour de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neuvième session</w:t>
      </w:r>
    </w:p>
    <w:p w:rsidR="00135E23" w:rsidRPr="00806A57" w:rsidRDefault="00135E23" w:rsidP="0046055C">
      <w:pPr>
        <w:rPr>
          <w:u w:val="single"/>
          <w:lang w:val="fr-FR"/>
        </w:rPr>
      </w:pPr>
    </w:p>
    <w:p w:rsidR="00135E23" w:rsidRPr="00806A57" w:rsidRDefault="00FB6080" w:rsidP="0076346F">
      <w:pPr>
        <w:pStyle w:val="ONUMFS"/>
        <w:rPr>
          <w:lang w:val="fr-FR"/>
        </w:rPr>
      </w:pPr>
      <w:r w:rsidRPr="00806A57">
        <w:rPr>
          <w:lang w:val="fr-FR"/>
        </w:rPr>
        <w:t>Ce document, qui contient les points dont le comité devrait traiter, est soumis au comité aux fins de son adoption.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WIPO/GRTKF/IC/29/2 : Accréditation de certaines organisations</w:t>
      </w:r>
    </w:p>
    <w:p w:rsidR="00135E23" w:rsidRPr="00806A57" w:rsidRDefault="00135E23" w:rsidP="0046055C">
      <w:pPr>
        <w:rPr>
          <w:u w:val="single"/>
          <w:lang w:val="fr-FR"/>
        </w:rPr>
      </w:pPr>
    </w:p>
    <w:p w:rsidR="00135E23" w:rsidRPr="00806A57" w:rsidRDefault="00FB6080" w:rsidP="0076346F">
      <w:pPr>
        <w:pStyle w:val="ONUMFS"/>
        <w:rPr>
          <w:lang w:val="fr-FR"/>
        </w:rPr>
      </w:pPr>
      <w:r w:rsidRPr="00806A57">
        <w:rPr>
          <w:lang w:val="fr-FR"/>
        </w:rPr>
        <w:t>Ce document indique le nom et les coordonnées des personnes à contacter, ainsi que les buts et objectifs des organisations qui ont demandé au comité leur accréditation en qualité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observatrices ad hoc aux sessions en cours et aux sessions futures du comité.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lastRenderedPageBreak/>
        <w:t>WIPO/GRTKF/IC/29/3 : Participation des communautés locales et autochtones : Fonds de contributions volontaires</w:t>
      </w:r>
    </w:p>
    <w:p w:rsidR="00135E23" w:rsidRPr="00806A57" w:rsidRDefault="00135E23" w:rsidP="0046055C">
      <w:pPr>
        <w:rPr>
          <w:u w:val="single"/>
          <w:lang w:val="fr-FR"/>
        </w:rPr>
      </w:pPr>
    </w:p>
    <w:p w:rsidR="00135E23" w:rsidRPr="00806A57" w:rsidRDefault="00FB6080" w:rsidP="0076346F">
      <w:pPr>
        <w:pStyle w:val="ONUMFS"/>
        <w:rPr>
          <w:lang w:val="fr-FR"/>
        </w:rPr>
      </w:pPr>
      <w:r w:rsidRPr="00806A57">
        <w:rPr>
          <w:lang w:val="fr-FR"/>
        </w:rPr>
        <w:t>En 2005,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Assemblée générale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a créé un “Fonds de contributions volontaires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pour les communautés autochtones et locales accréditées”.</w:t>
      </w:r>
      <w:r w:rsidR="005D78A0" w:rsidRPr="00806A57">
        <w:rPr>
          <w:lang w:val="fr-FR"/>
        </w:rPr>
        <w:t xml:space="preserve">  </w:t>
      </w:r>
      <w:r w:rsidRPr="00806A57">
        <w:rPr>
          <w:lang w:val="fr-FR"/>
        </w:rPr>
        <w:t>Cette décision a été prise sur la base du document WO/GA/32/6, modifié ultérieurement par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Assemblée générale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en septembre 2010, qui précise les objectifs et le fonctionnement du Fon</w:t>
      </w:r>
      <w:r w:rsidR="003719FA" w:rsidRPr="00806A57">
        <w:rPr>
          <w:lang w:val="fr-FR"/>
        </w:rPr>
        <w:t>ds.  Ce</w:t>
      </w:r>
      <w:r w:rsidRPr="00806A57">
        <w:rPr>
          <w:lang w:val="fr-FR"/>
        </w:rPr>
        <w:t> document porte sur la constitution du conseil consultatif dudit fonds et fournit des renseignements sur la collecte de fonds lancée par le Secrétari</w:t>
      </w:r>
      <w:r w:rsidR="003719FA" w:rsidRPr="00806A57">
        <w:rPr>
          <w:lang w:val="fr-FR"/>
        </w:rPr>
        <w:t>at.  La</w:t>
      </w:r>
      <w:r w:rsidRPr="00806A57">
        <w:rPr>
          <w:lang w:val="fr-FR"/>
        </w:rPr>
        <w:t xml:space="preserve"> note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information demandée contenant des précisions sur les contributions reçues et les bénéficiaires fait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objet du document WIPO/GRTKF/IC/29/INF/4 diffusé parallèlement.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WIPO/GRTKF/IC/29/4 : Document de synthèse concernant la propriété intellectuelle et les ressources génétiques</w:t>
      </w:r>
    </w:p>
    <w:p w:rsidR="00135E23" w:rsidRPr="00806A57" w:rsidRDefault="00135E23" w:rsidP="00DA2592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135E23" w:rsidRPr="00806A57" w:rsidRDefault="008A08CD" w:rsidP="0076346F">
      <w:pPr>
        <w:pStyle w:val="ONUMFS"/>
        <w:rPr>
          <w:lang w:val="fr-FR"/>
        </w:rPr>
      </w:pPr>
      <w:r w:rsidRPr="00806A57">
        <w:rPr>
          <w:lang w:val="fr-FR"/>
        </w:rPr>
        <w:t>À sa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sixième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>s</w:t>
      </w:r>
      <w:r w:rsidR="00FE23B5" w:rsidRPr="00806A57">
        <w:rPr>
          <w:lang w:val="fr-FR"/>
        </w:rPr>
        <w:t>ession</w:t>
      </w:r>
      <w:r w:rsidR="00663404" w:rsidRPr="00806A57">
        <w:rPr>
          <w:lang w:val="fr-FR"/>
        </w:rPr>
        <w:t>,</w:t>
      </w:r>
      <w:r w:rsidR="00FE23B5" w:rsidRPr="00806A57">
        <w:rPr>
          <w:lang w:val="fr-FR"/>
        </w:rPr>
        <w:t xml:space="preserve"> </w:t>
      </w:r>
      <w:r w:rsidRPr="00806A57">
        <w:rPr>
          <w:lang w:val="fr-FR"/>
        </w:rPr>
        <w:t>le comité a élaboré, sur la base du</w:t>
      </w:r>
      <w:r w:rsidR="004B68C2" w:rsidRPr="00806A57">
        <w:rPr>
          <w:lang w:val="fr-FR"/>
        </w:rPr>
        <w:t xml:space="preserve"> document</w:t>
      </w:r>
      <w:r w:rsidRPr="00806A57">
        <w:rPr>
          <w:lang w:val="fr-FR"/>
        </w:rPr>
        <w:t xml:space="preserve"> </w:t>
      </w:r>
      <w:r w:rsidR="00FE23B5" w:rsidRPr="00806A57">
        <w:rPr>
          <w:lang w:val="fr-FR"/>
        </w:rPr>
        <w:t xml:space="preserve">WIPO/GRTKF/IC/26/4, </w:t>
      </w:r>
      <w:r w:rsidRPr="00806A57">
        <w:rPr>
          <w:lang w:val="fr-FR"/>
        </w:rPr>
        <w:t xml:space="preserve">le </w:t>
      </w:r>
      <w:r w:rsidR="00FE23B5" w:rsidRPr="00806A57">
        <w:rPr>
          <w:lang w:val="fr-FR"/>
        </w:rPr>
        <w:t>“</w:t>
      </w:r>
      <w:r w:rsidRPr="00806A57">
        <w:rPr>
          <w:lang w:val="fr-FR"/>
        </w:rPr>
        <w:t>Document de synthèse concernant la propriété intellectuelle relative aux ressources génétiques</w:t>
      </w:r>
      <w:r w:rsidR="00377616" w:rsidRPr="00806A57">
        <w:rPr>
          <w:lang w:val="fr-FR"/>
        </w:rPr>
        <w:t> </w:t>
      </w:r>
      <w:r w:rsidR="00423147" w:rsidRPr="00806A57">
        <w:rPr>
          <w:lang w:val="fr-FR"/>
        </w:rPr>
        <w:t>Rev.</w:t>
      </w:r>
      <w:r w:rsidR="00FE23B5" w:rsidRPr="00806A57">
        <w:rPr>
          <w:lang w:val="fr-FR"/>
        </w:rPr>
        <w:t xml:space="preserve">2”.  </w:t>
      </w:r>
      <w:r w:rsidR="00FB6080" w:rsidRPr="00806A57">
        <w:rPr>
          <w:lang w:val="fr-FR"/>
        </w:rPr>
        <w:t>Il a décidé que, à la clôture de la session le 7 février 2014, le texte serait transmis à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Assemblée générale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OMPI pour examen à sa session de septembre 2014, sous réserve des ajustements ou des modifications convenus pouvant découler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examen des questions transversales à la vingt</w:t>
      </w:r>
      <w:r w:rsidR="003719FA" w:rsidRPr="00806A57">
        <w:rPr>
          <w:lang w:val="fr-FR"/>
        </w:rPr>
        <w:noBreakHyphen/>
      </w:r>
      <w:r w:rsidR="00FB6080" w:rsidRPr="00806A57">
        <w:rPr>
          <w:lang w:val="fr-FR"/>
        </w:rPr>
        <w:t>huitième session du comité, conformément au mandat du comité pour 2014</w:t>
      </w:r>
      <w:r w:rsidR="003719FA" w:rsidRPr="00806A57">
        <w:rPr>
          <w:lang w:val="fr-FR"/>
        </w:rPr>
        <w:noBreakHyphen/>
      </w:r>
      <w:r w:rsidR="00FB6080" w:rsidRPr="00806A57">
        <w:rPr>
          <w:lang w:val="fr-FR"/>
        </w:rPr>
        <w:t>2015 et au programme de travail pour 2014.</w:t>
      </w:r>
      <w:r w:rsidR="00FE23B5" w:rsidRPr="00806A57">
        <w:rPr>
          <w:lang w:val="fr-FR"/>
        </w:rPr>
        <w:t xml:space="preserve">  </w:t>
      </w:r>
      <w:r w:rsidR="00FB6080" w:rsidRPr="00806A57">
        <w:rPr>
          <w:lang w:val="fr-FR"/>
        </w:rPr>
        <w:t>Le texte a été diffusé à la vingt</w:t>
      </w:r>
      <w:r w:rsidR="003719FA" w:rsidRPr="00806A57">
        <w:rPr>
          <w:lang w:val="fr-FR"/>
        </w:rPr>
        <w:noBreakHyphen/>
      </w:r>
      <w:r w:rsidR="00FB6080" w:rsidRPr="00806A57">
        <w:rPr>
          <w:lang w:val="fr-FR"/>
        </w:rPr>
        <w:t>huitième session du comité sous la cote WIPO/GRTKF/IC/28/4 et transmis à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Assemblée générale pour examen à sa session de 2014 en tant qu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annexe A du document WO/GA/46/6.  Aucune décision n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 été prise concernant le comité durant la session de 2014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Assemblée généra</w:t>
      </w:r>
      <w:r w:rsidR="003719FA" w:rsidRPr="00806A57">
        <w:rPr>
          <w:lang w:val="fr-FR"/>
        </w:rPr>
        <w:t xml:space="preserve">le.  À </w:t>
      </w:r>
      <w:r w:rsidR="00FB6080" w:rsidRPr="00806A57">
        <w:rPr>
          <w:lang w:val="fr-FR"/>
        </w:rPr>
        <w:t>sa session de 2015,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Assemblée générale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OMPI a pris note du document WO/GA/47/12, et de ses annexes, et est convenue que le comité “continuera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accélérer ses travaux en vue de réduire les divergences actuelles en s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 xml:space="preserve">engageant pleinement et de manière ouverte, </w:t>
      </w:r>
      <w:r w:rsidR="005A6E46" w:rsidRPr="00806A57">
        <w:rPr>
          <w:lang w:val="fr-FR"/>
        </w:rPr>
        <w:t>y compris</w:t>
      </w:r>
      <w:r w:rsidR="00FB6080" w:rsidRPr="00806A57">
        <w:rPr>
          <w:lang w:val="fr-FR"/>
        </w:rPr>
        <w:t xml:space="preserve"> en ce qui concerne les négociations sur la base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un texte, afin de parvenir à un accord sur un ou plusieurs instruments juridiques internationaux, sans préjuger de la nature du ou des résultats, relatifs à la propriété intellectuelle, propres à garantir une protection équilibrée et effective des ressources génétiques, des savoirs traditionnels et des expressions culturelles traditionnelles” et que, “au cours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exercice biennal 2016</w:t>
      </w:r>
      <w:r w:rsidR="003719FA" w:rsidRPr="00806A57">
        <w:rPr>
          <w:lang w:val="fr-FR"/>
        </w:rPr>
        <w:noBreakHyphen/>
      </w:r>
      <w:r w:rsidR="00FB6080" w:rsidRPr="00806A57">
        <w:rPr>
          <w:lang w:val="fr-FR"/>
        </w:rPr>
        <w:t>2017, le comité mènera ses travaux en s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appuyant sur les activités qu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il a déjà réalisées” et “s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appuiera sur tous les documents de travail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 xml:space="preserve">OMPI, notamment les documents WIPO/GRTKF/IC/28/4, WIPO/GRTKF/IC/28/5 et WIPO/GRTKF/IC/28/6, ainsi que sur toute autre contribution des membres, suivant une approche fondée sur des bases factuelles, </w:t>
      </w:r>
      <w:r w:rsidR="005A6E46" w:rsidRPr="00806A57">
        <w:rPr>
          <w:lang w:val="fr-FR"/>
        </w:rPr>
        <w:t>y compris</w:t>
      </w:r>
      <w:r w:rsidR="00FB6080" w:rsidRPr="00806A57">
        <w:rPr>
          <w:lang w:val="fr-FR"/>
        </w:rPr>
        <w:t xml:space="preserve"> des études et des exemples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expériences nationales, de lois nationales et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objets pouvant bénéficier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une protection et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objets qu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il n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est pas prévu de protéger;  ainsi que sur les résultats des travaux du ou des comités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experts créés par le comité et des séminaires et ateliers en rapport avec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IGC organisés au titre du programme</w:t>
      </w:r>
      <w:r w:rsidR="00AE4C09" w:rsidRPr="00806A57">
        <w:rPr>
          <w:lang w:val="fr-FR"/>
        </w:rPr>
        <w:t> </w:t>
      </w:r>
      <w:r w:rsidR="00FB6080" w:rsidRPr="00806A57">
        <w:rPr>
          <w:lang w:val="fr-FR"/>
        </w:rPr>
        <w:t>4”.</w:t>
      </w:r>
      <w:r w:rsidR="006D074F" w:rsidRPr="00806A57">
        <w:rPr>
          <w:lang w:val="fr-FR"/>
        </w:rPr>
        <w:t xml:space="preserve">  </w:t>
      </w:r>
      <w:r w:rsidR="00DF3804" w:rsidRPr="00806A57">
        <w:rPr>
          <w:lang w:val="fr-FR"/>
        </w:rPr>
        <w:t>Le document WIPO/GRTKF/IC/29/4 a été établi pour cette session conformément à cette décision.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WIPO/GRTKF/IC/29/5 : Recommandation commune concernant les ressources génétiques et les savoirs traditionnels associés aux ressources génétiques</w:t>
      </w:r>
    </w:p>
    <w:p w:rsidR="00135E23" w:rsidRPr="00806A57" w:rsidRDefault="00135E23" w:rsidP="00551625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À la vingtième session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IGC tenue en février 2012, les délégations du Canada, des États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Unis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 xml:space="preserve">Amérique, du Japon, de la Norvège et de la République de Corée ont diffusé une “Recommandation commune concernant les ressources génétiques et les savoirs traditionnels associés aux ressources génétiques”, </w:t>
      </w:r>
      <w:r w:rsidR="00626293" w:rsidRPr="00806A57">
        <w:rPr>
          <w:lang w:val="fr-FR"/>
        </w:rPr>
        <w:t>contenue dans le</w:t>
      </w:r>
      <w:r w:rsidR="00551625" w:rsidRPr="00806A57">
        <w:rPr>
          <w:lang w:val="fr-FR"/>
        </w:rPr>
        <w:t xml:space="preserve"> document WIPO/GRTKF/IC/20/9</w:t>
      </w:r>
      <w:r w:rsidR="00FA4B5F">
        <w:rPr>
          <w:lang w:val="fr-FR"/>
        </w:rPr>
        <w:t> </w:t>
      </w:r>
      <w:proofErr w:type="spellStart"/>
      <w:r w:rsidR="00551625" w:rsidRPr="00806A57">
        <w:rPr>
          <w:lang w:val="fr-FR"/>
        </w:rPr>
        <w:t>R</w:t>
      </w:r>
      <w:r w:rsidR="003719FA" w:rsidRPr="00806A57">
        <w:rPr>
          <w:lang w:val="fr-FR"/>
        </w:rPr>
        <w:t>ev</w:t>
      </w:r>
      <w:proofErr w:type="spellEnd"/>
      <w:r w:rsidR="003719FA" w:rsidRPr="00806A57">
        <w:rPr>
          <w:lang w:val="fr-FR"/>
        </w:rPr>
        <w:t>.  Ce</w:t>
      </w:r>
      <w:r w:rsidR="007E5699" w:rsidRPr="00806A57">
        <w:rPr>
          <w:lang w:val="fr-FR"/>
        </w:rPr>
        <w:t xml:space="preserve"> document a été présenté de nouveau par ses </w:t>
      </w:r>
      <w:r w:rsidR="00626293" w:rsidRPr="00806A57">
        <w:rPr>
          <w:lang w:val="fr-FR"/>
        </w:rPr>
        <w:t>co</w:t>
      </w:r>
      <w:r w:rsidR="003719FA" w:rsidRPr="00806A57">
        <w:rPr>
          <w:lang w:val="fr-FR"/>
        </w:rPr>
        <w:noBreakHyphen/>
      </w:r>
      <w:r w:rsidR="007E5699" w:rsidRPr="00806A57">
        <w:rPr>
          <w:lang w:val="fr-FR"/>
        </w:rPr>
        <w:t>auteurs a</w:t>
      </w:r>
      <w:r w:rsidR="00626293" w:rsidRPr="00806A57">
        <w:rPr>
          <w:lang w:val="fr-FR"/>
        </w:rPr>
        <w:t>ux vingt</w:t>
      </w:r>
      <w:r w:rsidR="003719FA" w:rsidRPr="00806A57">
        <w:rPr>
          <w:lang w:val="fr-FR"/>
        </w:rPr>
        <w:noBreakHyphen/>
      </w:r>
      <w:r w:rsidR="00626293" w:rsidRPr="00806A57">
        <w:rPr>
          <w:lang w:val="fr-FR"/>
        </w:rPr>
        <w:t>troisième, vingt</w:t>
      </w:r>
      <w:r w:rsidR="003719FA" w:rsidRPr="00806A57">
        <w:rPr>
          <w:lang w:val="fr-FR"/>
        </w:rPr>
        <w:noBreakHyphen/>
      </w:r>
      <w:r w:rsidR="00626293" w:rsidRPr="00806A57">
        <w:rPr>
          <w:lang w:val="fr-FR"/>
        </w:rPr>
        <w:t>quatrième, vingt</w:t>
      </w:r>
      <w:r w:rsidR="003719FA" w:rsidRPr="00806A57">
        <w:rPr>
          <w:lang w:val="fr-FR"/>
        </w:rPr>
        <w:noBreakHyphen/>
      </w:r>
      <w:r w:rsidR="00626293" w:rsidRPr="00806A57">
        <w:rPr>
          <w:lang w:val="fr-FR"/>
        </w:rPr>
        <w:t>sixième, vingt</w:t>
      </w:r>
      <w:r w:rsidR="003719FA" w:rsidRPr="00806A57">
        <w:rPr>
          <w:lang w:val="fr-FR"/>
        </w:rPr>
        <w:noBreakHyphen/>
      </w:r>
      <w:r w:rsidR="007E5699" w:rsidRPr="00806A57">
        <w:rPr>
          <w:lang w:val="fr-FR"/>
        </w:rPr>
        <w:t>septième et vingt</w:t>
      </w:r>
      <w:r w:rsidR="003719FA" w:rsidRPr="00806A57">
        <w:rPr>
          <w:lang w:val="fr-FR"/>
        </w:rPr>
        <w:noBreakHyphen/>
      </w:r>
      <w:r w:rsidR="007E5699" w:rsidRPr="00806A57">
        <w:rPr>
          <w:lang w:val="fr-FR"/>
        </w:rPr>
        <w:t>huitième</w:t>
      </w:r>
      <w:r w:rsidR="00377616" w:rsidRPr="00806A57">
        <w:rPr>
          <w:lang w:val="fr-FR"/>
        </w:rPr>
        <w:t> </w:t>
      </w:r>
      <w:r w:rsidR="007E5699" w:rsidRPr="00806A57">
        <w:rPr>
          <w:lang w:val="fr-FR"/>
        </w:rPr>
        <w:t>sessions de l</w:t>
      </w:r>
      <w:r w:rsidR="005A6E46" w:rsidRPr="00806A57">
        <w:rPr>
          <w:lang w:val="fr-FR"/>
        </w:rPr>
        <w:t>’</w:t>
      </w:r>
      <w:r w:rsidR="007E5699" w:rsidRPr="00806A57">
        <w:rPr>
          <w:lang w:val="fr-FR"/>
        </w:rPr>
        <w:t xml:space="preserve">IGC, et diffusé </w:t>
      </w:r>
      <w:r w:rsidR="007E5699" w:rsidRPr="00806A57">
        <w:rPr>
          <w:lang w:val="fr-FR"/>
        </w:rPr>
        <w:lastRenderedPageBreak/>
        <w:t xml:space="preserve">sous les cotes </w:t>
      </w:r>
      <w:r w:rsidR="00551625" w:rsidRPr="00806A57">
        <w:rPr>
          <w:lang w:val="fr-FR"/>
        </w:rPr>
        <w:t xml:space="preserve">WIPO/GRTKF/IC/23/5, WIPO/GRTKF/24/5, WIPO/GRTKF/IC/26/5, WIPO/GRTKF/IC/27/6 </w:t>
      </w:r>
      <w:r w:rsidR="00AE4C09" w:rsidRPr="00806A57">
        <w:rPr>
          <w:lang w:val="fr-FR"/>
        </w:rPr>
        <w:t>et</w:t>
      </w:r>
      <w:r w:rsidR="00551625" w:rsidRPr="00806A57">
        <w:rPr>
          <w:lang w:val="fr-FR"/>
        </w:rPr>
        <w:t xml:space="preserve"> WIPO/GRTKF/IC/28/7</w:t>
      </w:r>
      <w:r w:rsidR="007E5699" w:rsidRPr="00806A57">
        <w:rPr>
          <w:lang w:val="fr-FR"/>
        </w:rPr>
        <w:t xml:space="preserve"> respectiveme</w:t>
      </w:r>
      <w:r w:rsidR="003719FA" w:rsidRPr="00806A57">
        <w:rPr>
          <w:lang w:val="fr-FR"/>
        </w:rPr>
        <w:t>nt.  Le</w:t>
      </w:r>
      <w:r w:rsidR="00626293" w:rsidRPr="00806A57">
        <w:rPr>
          <w:lang w:val="fr-FR"/>
        </w:rPr>
        <w:t>s co</w:t>
      </w:r>
      <w:r w:rsidR="003719FA" w:rsidRPr="00806A57">
        <w:rPr>
          <w:lang w:val="fr-FR"/>
        </w:rPr>
        <w:noBreakHyphen/>
      </w:r>
      <w:r w:rsidR="00626293" w:rsidRPr="00806A57">
        <w:rPr>
          <w:lang w:val="fr-FR"/>
        </w:rPr>
        <w:t>auteurs ont présenté de nouveau cette proposition en tant que document de travail pour la présente session.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WIPO/GRTKF/IC/29/6 : Recommandation commune concernant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utilisation de bases de données pour la protection défensive des ressources génétiques et des savoirs traditionnels associés aux ressources génétiques</w:t>
      </w:r>
    </w:p>
    <w:p w:rsidR="00135E23" w:rsidRPr="00806A57" w:rsidRDefault="00135E23" w:rsidP="00551625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À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troisième session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IGC tenue en février 2013, une recommandation commune concernant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utilisation de bases de données pour la protection défensive des ressources génétiques et des savoirs traditionnels associés aux ressources génétiques a été présentée par les délégations du Canada, des États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Unis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Amérique, du Japon et de la République de Cor</w:t>
      </w:r>
      <w:r w:rsidR="003719FA" w:rsidRPr="00806A57">
        <w:rPr>
          <w:lang w:val="fr-FR"/>
        </w:rPr>
        <w:t>ée.  Ce</w:t>
      </w:r>
      <w:r w:rsidR="00626293" w:rsidRPr="00806A57">
        <w:rPr>
          <w:lang w:val="fr-FR"/>
        </w:rPr>
        <w:t>tte proposition est contenue dans le</w:t>
      </w:r>
      <w:r w:rsidR="00551625" w:rsidRPr="00806A57">
        <w:rPr>
          <w:lang w:val="fr-FR"/>
        </w:rPr>
        <w:t xml:space="preserve"> document WIPO/GRTKF/IC/23/7.  </w:t>
      </w:r>
      <w:r w:rsidR="002A5464" w:rsidRPr="00806A57">
        <w:rPr>
          <w:lang w:val="fr-FR"/>
        </w:rPr>
        <w:t>Ce document a été présenté de nouveau par ses auteurs aux vingt</w:t>
      </w:r>
      <w:r w:rsidR="003719FA" w:rsidRPr="00806A57">
        <w:rPr>
          <w:lang w:val="fr-FR"/>
        </w:rPr>
        <w:noBreakHyphen/>
      </w:r>
      <w:r w:rsidR="002A5464" w:rsidRPr="00806A57">
        <w:rPr>
          <w:lang w:val="fr-FR"/>
        </w:rPr>
        <w:t>quatrième, vingt</w:t>
      </w:r>
      <w:r w:rsidR="003719FA" w:rsidRPr="00806A57">
        <w:rPr>
          <w:lang w:val="fr-FR"/>
        </w:rPr>
        <w:noBreakHyphen/>
      </w:r>
      <w:r w:rsidR="002A5464" w:rsidRPr="00806A57">
        <w:rPr>
          <w:lang w:val="fr-FR"/>
        </w:rPr>
        <w:t>sixième et vingt</w:t>
      </w:r>
      <w:r w:rsidR="003719FA" w:rsidRPr="00806A57">
        <w:rPr>
          <w:lang w:val="fr-FR"/>
        </w:rPr>
        <w:noBreakHyphen/>
      </w:r>
      <w:r w:rsidR="002A5464" w:rsidRPr="00806A57">
        <w:rPr>
          <w:lang w:val="fr-FR"/>
        </w:rPr>
        <w:t>septième et vingt</w:t>
      </w:r>
      <w:r w:rsidR="003719FA" w:rsidRPr="00806A57">
        <w:rPr>
          <w:lang w:val="fr-FR"/>
        </w:rPr>
        <w:noBreakHyphen/>
      </w:r>
      <w:r w:rsidR="002A5464" w:rsidRPr="00806A57">
        <w:rPr>
          <w:lang w:val="fr-FR"/>
        </w:rPr>
        <w:t>huitièm</w:t>
      </w:r>
      <w:r w:rsidR="00D9108C" w:rsidRPr="00806A57">
        <w:rPr>
          <w:lang w:val="fr-FR"/>
        </w:rPr>
        <w:t>e</w:t>
      </w:r>
      <w:r w:rsidR="00377616" w:rsidRPr="00806A57">
        <w:rPr>
          <w:lang w:val="fr-FR"/>
        </w:rPr>
        <w:t> </w:t>
      </w:r>
      <w:r w:rsidR="002A5464" w:rsidRPr="00806A57">
        <w:rPr>
          <w:lang w:val="fr-FR"/>
        </w:rPr>
        <w:t>sessions de l</w:t>
      </w:r>
      <w:r w:rsidR="005A6E46" w:rsidRPr="00806A57">
        <w:rPr>
          <w:lang w:val="fr-FR"/>
        </w:rPr>
        <w:t>’</w:t>
      </w:r>
      <w:r w:rsidR="002A5464" w:rsidRPr="00806A57">
        <w:rPr>
          <w:lang w:val="fr-FR"/>
        </w:rPr>
        <w:t>IGC, et diffusé sous les cotes WIPO/GRTKF/IC/24/7, WIPO/GRTKF/IC/26/6, WIPO/GRTKF/IC/27/7, et WIPO/GRTKF/IC/28/8 respectiveme</w:t>
      </w:r>
      <w:r w:rsidR="003719FA" w:rsidRPr="00806A57">
        <w:rPr>
          <w:lang w:val="fr-FR"/>
        </w:rPr>
        <w:t>nt.  Le</w:t>
      </w:r>
      <w:r w:rsidR="002A5464" w:rsidRPr="00806A57">
        <w:rPr>
          <w:lang w:val="fr-FR"/>
        </w:rPr>
        <w:t>s co</w:t>
      </w:r>
      <w:r w:rsidR="003719FA" w:rsidRPr="00806A57">
        <w:rPr>
          <w:lang w:val="fr-FR"/>
        </w:rPr>
        <w:noBreakHyphen/>
      </w:r>
      <w:r w:rsidR="002A5464" w:rsidRPr="00806A57">
        <w:rPr>
          <w:lang w:val="fr-FR"/>
        </w:rPr>
        <w:t>auteurs ont présenté de nouveau cette proposition en tant que document de travail pour la présente session</w:t>
      </w:r>
      <w:r w:rsidR="00551625" w:rsidRPr="00806A57">
        <w:rPr>
          <w:lang w:val="fr-FR"/>
        </w:rPr>
        <w:t>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WIPO/GRTKF/IC/29/7 : Proposition de mandat pour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étude du Secrétariat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sur les mesures visant à éviter la délivrance de brevets de manière indue et sur le respect des systèmes existants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accès et de partage des avantages</w:t>
      </w:r>
    </w:p>
    <w:p w:rsidR="00135E23" w:rsidRPr="00806A57" w:rsidRDefault="00135E23" w:rsidP="00551625">
      <w:pPr>
        <w:pStyle w:val="ONUME"/>
        <w:numPr>
          <w:ilvl w:val="0"/>
          <w:numId w:val="0"/>
        </w:numPr>
        <w:spacing w:after="0"/>
        <w:rPr>
          <w:u w:val="single"/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À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troisième session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IGC tenue en février 2013, une proposition de mandat pour une étude sur les mesures visant à éviter la délivrance de brevets par erreur et sur le respect des systèmes existants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accès et de partage des avantages a été mise à disposition par les délégations du Canada, des États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Unis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Amérique, du Japon et de la République de Cor</w:t>
      </w:r>
      <w:r w:rsidR="003719FA" w:rsidRPr="00806A57">
        <w:rPr>
          <w:lang w:val="fr-FR"/>
        </w:rPr>
        <w:t>ée.  Ce</w:t>
      </w:r>
      <w:r w:rsidR="00D35759" w:rsidRPr="00806A57">
        <w:rPr>
          <w:lang w:val="fr-FR"/>
        </w:rPr>
        <w:t>tte proposition est contenue dans le</w:t>
      </w:r>
      <w:r w:rsidR="00551625" w:rsidRPr="00806A57">
        <w:rPr>
          <w:lang w:val="fr-FR"/>
        </w:rPr>
        <w:t xml:space="preserve"> document WIPO/GRTKF/IC/23/6.  </w:t>
      </w:r>
      <w:r w:rsidR="00D35759" w:rsidRPr="00806A57">
        <w:rPr>
          <w:lang w:val="fr-FR"/>
        </w:rPr>
        <w:t>Ce document a été</w:t>
      </w:r>
      <w:r w:rsidR="0076346F" w:rsidRPr="00806A57">
        <w:rPr>
          <w:lang w:val="fr-FR"/>
        </w:rPr>
        <w:t xml:space="preserve"> présenté de nouveau à la vingt</w:t>
      </w:r>
      <w:r w:rsidR="0076346F" w:rsidRPr="00806A57">
        <w:rPr>
          <w:lang w:val="fr-FR"/>
        </w:rPr>
        <w:noBreakHyphen/>
      </w:r>
      <w:r w:rsidR="00D35759" w:rsidRPr="00806A57">
        <w:rPr>
          <w:lang w:val="fr-FR"/>
        </w:rPr>
        <w:t>quatrième</w:t>
      </w:r>
      <w:r w:rsidR="00377616" w:rsidRPr="00806A57">
        <w:rPr>
          <w:lang w:val="fr-FR"/>
        </w:rPr>
        <w:t> </w:t>
      </w:r>
      <w:r w:rsidR="00D35759" w:rsidRPr="00806A57">
        <w:rPr>
          <w:lang w:val="fr-FR"/>
        </w:rPr>
        <w:t>session de l</w:t>
      </w:r>
      <w:r w:rsidR="005A6E46" w:rsidRPr="00806A57">
        <w:rPr>
          <w:lang w:val="fr-FR"/>
        </w:rPr>
        <w:t>’</w:t>
      </w:r>
      <w:r w:rsidR="00D35759" w:rsidRPr="00806A57">
        <w:rPr>
          <w:lang w:val="fr-FR"/>
        </w:rPr>
        <w:t>IGC, sous la cote WIPO/GRTKF/IC/24/6</w:t>
      </w:r>
      <w:r w:rsidR="00377616" w:rsidRPr="00806A57">
        <w:rPr>
          <w:lang w:val="fr-FR"/>
        </w:rPr>
        <w:t> </w:t>
      </w:r>
      <w:proofErr w:type="spellStart"/>
      <w:r w:rsidR="00D35759" w:rsidRPr="00806A57">
        <w:rPr>
          <w:lang w:val="fr-FR"/>
        </w:rPr>
        <w:t>Rev</w:t>
      </w:r>
      <w:proofErr w:type="spellEnd"/>
      <w:r w:rsidR="00D35759" w:rsidRPr="00806A57">
        <w:rPr>
          <w:lang w:val="fr-FR"/>
        </w:rPr>
        <w:t>., par les délégations du Canada, des États</w:t>
      </w:r>
      <w:r w:rsidR="003719FA" w:rsidRPr="00806A57">
        <w:rPr>
          <w:lang w:val="fr-FR"/>
        </w:rPr>
        <w:noBreakHyphen/>
      </w:r>
      <w:r w:rsidR="00D35759" w:rsidRPr="00806A57">
        <w:rPr>
          <w:lang w:val="fr-FR"/>
        </w:rPr>
        <w:t>Unis d</w:t>
      </w:r>
      <w:r w:rsidR="005A6E46" w:rsidRPr="00806A57">
        <w:rPr>
          <w:lang w:val="fr-FR"/>
        </w:rPr>
        <w:t>’</w:t>
      </w:r>
      <w:r w:rsidR="00D35759" w:rsidRPr="00806A57">
        <w:rPr>
          <w:lang w:val="fr-FR"/>
        </w:rPr>
        <w:t>Amérique, de la Fédération de Russie, du Japon et de la République de Corée, puis prése</w:t>
      </w:r>
      <w:r w:rsidR="00BC00A4" w:rsidRPr="00806A57">
        <w:rPr>
          <w:lang w:val="fr-FR"/>
        </w:rPr>
        <w:t>nté une nouvelle fois aux vingt</w:t>
      </w:r>
      <w:r w:rsidR="003719FA" w:rsidRPr="00806A57">
        <w:rPr>
          <w:lang w:val="fr-FR"/>
        </w:rPr>
        <w:noBreakHyphen/>
      </w:r>
      <w:r w:rsidR="00BC00A4" w:rsidRPr="00806A57">
        <w:rPr>
          <w:lang w:val="fr-FR"/>
        </w:rPr>
        <w:t>sixième, vingt</w:t>
      </w:r>
      <w:r w:rsidR="003719FA" w:rsidRPr="00806A57">
        <w:rPr>
          <w:lang w:val="fr-FR"/>
        </w:rPr>
        <w:noBreakHyphen/>
      </w:r>
      <w:r w:rsidR="00D35759" w:rsidRPr="00806A57">
        <w:rPr>
          <w:lang w:val="fr-FR"/>
        </w:rPr>
        <w:t>septième et vingt</w:t>
      </w:r>
      <w:r w:rsidR="003719FA" w:rsidRPr="00806A57">
        <w:rPr>
          <w:lang w:val="fr-FR"/>
        </w:rPr>
        <w:noBreakHyphen/>
      </w:r>
      <w:r w:rsidR="00D35759" w:rsidRPr="00806A57">
        <w:rPr>
          <w:lang w:val="fr-FR"/>
        </w:rPr>
        <w:t>huitième</w:t>
      </w:r>
      <w:r w:rsidR="00377616" w:rsidRPr="00806A57">
        <w:rPr>
          <w:lang w:val="fr-FR"/>
        </w:rPr>
        <w:t> </w:t>
      </w:r>
      <w:r w:rsidR="00D35759" w:rsidRPr="00806A57">
        <w:rPr>
          <w:lang w:val="fr-FR"/>
        </w:rPr>
        <w:t>sessions de l</w:t>
      </w:r>
      <w:r w:rsidR="005A6E46" w:rsidRPr="00806A57">
        <w:rPr>
          <w:lang w:val="fr-FR"/>
        </w:rPr>
        <w:t>’</w:t>
      </w:r>
      <w:r w:rsidR="00D35759" w:rsidRPr="00806A57">
        <w:rPr>
          <w:lang w:val="fr-FR"/>
        </w:rPr>
        <w:t>IGC par les délégations du Canada, des États</w:t>
      </w:r>
      <w:r w:rsidR="003719FA" w:rsidRPr="00806A57">
        <w:rPr>
          <w:lang w:val="fr-FR"/>
        </w:rPr>
        <w:noBreakHyphen/>
      </w:r>
      <w:r w:rsidR="00D35759" w:rsidRPr="00806A57">
        <w:rPr>
          <w:lang w:val="fr-FR"/>
        </w:rPr>
        <w:t>Unis d</w:t>
      </w:r>
      <w:r w:rsidR="005A6E46" w:rsidRPr="00806A57">
        <w:rPr>
          <w:lang w:val="fr-FR"/>
        </w:rPr>
        <w:t>’</w:t>
      </w:r>
      <w:r w:rsidR="00D35759" w:rsidRPr="00806A57">
        <w:rPr>
          <w:lang w:val="fr-FR"/>
        </w:rPr>
        <w:t>Amérique, de la Fédération de Russie, du Japon, de la Norvège et de la République de Corée, sous les cotes WIPO/GRTKF/IC/26/</w:t>
      </w:r>
      <w:r w:rsidR="00BC00A4" w:rsidRPr="00806A57">
        <w:rPr>
          <w:lang w:val="fr-FR"/>
        </w:rPr>
        <w:t>7,</w:t>
      </w:r>
      <w:r w:rsidR="00D35759" w:rsidRPr="00806A57">
        <w:rPr>
          <w:lang w:val="fr-FR"/>
        </w:rPr>
        <w:t xml:space="preserve"> WIPO/GRTKF/IC/27/8, </w:t>
      </w:r>
      <w:r w:rsidR="00C93EC6" w:rsidRPr="00806A57">
        <w:rPr>
          <w:lang w:val="fr-FR"/>
        </w:rPr>
        <w:t xml:space="preserve">WIPO/GRTKF/IC/28/9 </w:t>
      </w:r>
      <w:r w:rsidR="00D35759" w:rsidRPr="00806A57">
        <w:rPr>
          <w:lang w:val="fr-FR"/>
        </w:rPr>
        <w:t>respectiveme</w:t>
      </w:r>
      <w:r w:rsidR="003719FA" w:rsidRPr="00806A57">
        <w:rPr>
          <w:lang w:val="fr-FR"/>
        </w:rPr>
        <w:t>nt.  Le</w:t>
      </w:r>
      <w:r w:rsidR="00D35759" w:rsidRPr="00806A57">
        <w:rPr>
          <w:lang w:val="fr-FR"/>
        </w:rPr>
        <w:t xml:space="preserve">s auteurs des documents WIPO/GRTKF/IC/26/7, WIPO/GRTKF/IC/27/8 </w:t>
      </w:r>
      <w:r w:rsidR="00C93EC6" w:rsidRPr="00806A57">
        <w:rPr>
          <w:lang w:val="fr-FR"/>
        </w:rPr>
        <w:t xml:space="preserve">et WIPO/GRTKF/IC/28/9 </w:t>
      </w:r>
      <w:r w:rsidR="00D35759" w:rsidRPr="00806A57">
        <w:rPr>
          <w:lang w:val="fr-FR"/>
        </w:rPr>
        <w:t>ont présenté de nouveau cette proposition en tant que document de travail pour la présente session.</w:t>
      </w:r>
    </w:p>
    <w:p w:rsidR="00135E23" w:rsidRPr="00806A57" w:rsidRDefault="00515CBB" w:rsidP="00515CBB">
      <w:pPr>
        <w:pStyle w:val="Heading2"/>
        <w:rPr>
          <w:lang w:val="fr-FR"/>
        </w:rPr>
      </w:pPr>
      <w:r w:rsidRPr="00806A57">
        <w:rPr>
          <w:lang w:val="fr-FR"/>
        </w:rPr>
        <w:t>II.</w:t>
      </w:r>
      <w:r w:rsidRPr="00806A57">
        <w:rPr>
          <w:lang w:val="fr-FR"/>
        </w:rPr>
        <w:tab/>
        <w:t>Documents d’information pour la vingt</w:t>
      </w:r>
      <w:r w:rsidRPr="00806A57">
        <w:rPr>
          <w:lang w:val="fr-FR"/>
        </w:rPr>
        <w:noBreakHyphen/>
        <w:t>neuvième session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WIPO/GRTKF/IC/29/INF/1 </w:t>
      </w:r>
      <w:proofErr w:type="spellStart"/>
      <w:r w:rsidRPr="00806A57">
        <w:rPr>
          <w:lang w:val="fr-FR"/>
        </w:rPr>
        <w:t>Prov</w:t>
      </w:r>
      <w:proofErr w:type="spellEnd"/>
      <w:r w:rsidRPr="00806A57">
        <w:rPr>
          <w:lang w:val="fr-FR"/>
        </w:rPr>
        <w:t>. : Liste des participants</w:t>
      </w:r>
    </w:p>
    <w:p w:rsidR="00135E23" w:rsidRPr="00806A57" w:rsidRDefault="00135E23" w:rsidP="000A3AC8">
      <w:pPr>
        <w:rPr>
          <w:u w:val="single"/>
          <w:lang w:val="fr-FR"/>
        </w:rPr>
      </w:pPr>
    </w:p>
    <w:p w:rsidR="00135E23" w:rsidRPr="00806A57" w:rsidRDefault="00CB364E" w:rsidP="00515CBB">
      <w:pPr>
        <w:pStyle w:val="ONUMFS"/>
        <w:rPr>
          <w:lang w:val="fr-FR"/>
        </w:rPr>
      </w:pPr>
      <w:r w:rsidRPr="00806A57">
        <w:rPr>
          <w:lang w:val="fr-FR"/>
        </w:rPr>
        <w:t>Une liste provisoire sera distribuée à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neuvième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>session du comité</w:t>
      </w:r>
      <w:r w:rsidR="005D78A0" w:rsidRPr="00806A57">
        <w:rPr>
          <w:lang w:val="fr-FR"/>
        </w:rPr>
        <w:t>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WIPO/GRTKF/IC/29/INF/2</w:t>
      </w:r>
      <w:r w:rsidR="00D61329">
        <w:rPr>
          <w:lang w:val="fr-FR"/>
        </w:rPr>
        <w:t xml:space="preserve"> </w:t>
      </w:r>
      <w:proofErr w:type="spellStart"/>
      <w:r w:rsidR="00D61329">
        <w:rPr>
          <w:lang w:val="fr-FR"/>
        </w:rPr>
        <w:t>Rev</w:t>
      </w:r>
      <w:proofErr w:type="spellEnd"/>
      <w:r w:rsidR="00D61329">
        <w:rPr>
          <w:lang w:val="fr-FR"/>
        </w:rPr>
        <w:t>.</w:t>
      </w:r>
      <w:r w:rsidRPr="00806A57">
        <w:rPr>
          <w:lang w:val="fr-FR"/>
        </w:rPr>
        <w:t> : Résumé succinct des documents</w:t>
      </w:r>
    </w:p>
    <w:p w:rsidR="00135E23" w:rsidRPr="00806A57" w:rsidRDefault="00135E23" w:rsidP="001C7E40">
      <w:pPr>
        <w:rPr>
          <w:u w:val="single"/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Il s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agit du présent document, établi pour servir de guide dans la documentation du comité.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lastRenderedPageBreak/>
        <w:t>WIPO/GRTKF/IC/29/INF/3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>: Projet de programme pour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neuvième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>session</w:t>
      </w:r>
    </w:p>
    <w:p w:rsidR="00135E23" w:rsidRPr="00806A57" w:rsidRDefault="00135E23" w:rsidP="00515CBB">
      <w:pPr>
        <w:keepNext/>
        <w:keepLines/>
        <w:rPr>
          <w:u w:val="single"/>
          <w:lang w:val="fr-FR"/>
        </w:rPr>
      </w:pPr>
    </w:p>
    <w:p w:rsidR="00135E23" w:rsidRPr="00806A57" w:rsidRDefault="0076346F" w:rsidP="00806A57">
      <w:pPr>
        <w:pStyle w:val="ONUMFS"/>
        <w:keepNext/>
        <w:keepLines/>
        <w:rPr>
          <w:u w:val="single"/>
          <w:lang w:val="fr-FR"/>
        </w:rPr>
      </w:pPr>
      <w:r w:rsidRPr="00806A57">
        <w:rPr>
          <w:lang w:val="fr-FR"/>
        </w:rPr>
        <w:t>Conformément à la demande du c</w:t>
      </w:r>
      <w:r w:rsidR="00135E23" w:rsidRPr="00806A57">
        <w:rPr>
          <w:lang w:val="fr-FR"/>
        </w:rPr>
        <w:t xml:space="preserve">omité </w:t>
      </w:r>
      <w:r w:rsidR="00806A57" w:rsidRPr="00806A57">
        <w:rPr>
          <w:lang w:val="fr-FR"/>
        </w:rPr>
        <w:t>à</w:t>
      </w:r>
      <w:r w:rsidR="00135E23" w:rsidRPr="00806A57">
        <w:rPr>
          <w:lang w:val="fr-FR"/>
        </w:rPr>
        <w:t xml:space="preserve"> sa dixième</w:t>
      </w:r>
      <w:r w:rsidR="00F44414" w:rsidRPr="00806A57">
        <w:rPr>
          <w:lang w:val="fr-FR"/>
        </w:rPr>
        <w:t> </w:t>
      </w:r>
      <w:r w:rsidR="00135E23" w:rsidRPr="00806A57">
        <w:rPr>
          <w:lang w:val="fr-FR"/>
        </w:rPr>
        <w:t>session, le présent document contient une proposition de programme et définit le temps qui pourrait être alloué à chaque point de l</w:t>
      </w:r>
      <w:r w:rsidR="005A6E46" w:rsidRPr="00806A57">
        <w:rPr>
          <w:lang w:val="fr-FR"/>
        </w:rPr>
        <w:t>’</w:t>
      </w:r>
      <w:r w:rsidR="00135E23" w:rsidRPr="00806A57">
        <w:rPr>
          <w:lang w:val="fr-FR"/>
        </w:rPr>
        <w:t>ordre du jo</w:t>
      </w:r>
      <w:r w:rsidR="003719FA" w:rsidRPr="00806A57">
        <w:rPr>
          <w:lang w:val="fr-FR"/>
        </w:rPr>
        <w:t>ur.  Ce</w:t>
      </w:r>
      <w:r w:rsidR="00FB6080" w:rsidRPr="00806A57">
        <w:rPr>
          <w:lang w:val="fr-FR"/>
        </w:rPr>
        <w:t xml:space="preserve"> projet de programme n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est présenté qu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à titre indicatif :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organisation effective du travail du comité sera décidée par le président et par les membres conformément aux règles de procédure.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WIPO/GRTKF/IC/29/INF/4 : Fonds de contributions volontaires pour les communautés autochtones et locales accréditées : note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information sur les contributions financières et les demandes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assistance financière</w:t>
      </w:r>
    </w:p>
    <w:p w:rsidR="00135E23" w:rsidRPr="00806A57" w:rsidRDefault="00135E23" w:rsidP="001C7E40">
      <w:pPr>
        <w:rPr>
          <w:u w:val="single"/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Ce document contient les informations à communiquer au comité en ce qui concerne le fonctionnement du Fonds de contributions volontaires pour les communautés autochtones et locales accrédité</w:t>
      </w:r>
      <w:r w:rsidR="003719FA" w:rsidRPr="00806A57">
        <w:rPr>
          <w:lang w:val="fr-FR"/>
        </w:rPr>
        <w:t>es.  Le</w:t>
      </w:r>
      <w:r w:rsidRPr="00806A57">
        <w:rPr>
          <w:lang w:val="fr-FR"/>
        </w:rPr>
        <w:t>s règles sont énoncées dans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annexe du document WO/GA/32/6 qui a été approuvé par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Assemblée générale à sa trente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deuxième session puis adopté en septembre 2010.</w:t>
      </w:r>
      <w:r w:rsidR="005D78A0" w:rsidRPr="00806A57">
        <w:rPr>
          <w:lang w:val="fr-FR"/>
        </w:rPr>
        <w:t xml:space="preserve">  </w:t>
      </w:r>
      <w:r w:rsidRPr="00806A57">
        <w:rPr>
          <w:lang w:val="fr-FR"/>
        </w:rPr>
        <w:t>Plus précisément, il contient des informations sur les contributions versées ou promises et sur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assistance effectivement fournie aux représentants des communautés autochtones et locales accréditées.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WIPO/GRTKF/IC/29/INF/5 : Note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information destinée à la réunion des représentants des communautés autochtones et locales</w:t>
      </w:r>
    </w:p>
    <w:p w:rsidR="00135E23" w:rsidRPr="00806A57" w:rsidRDefault="00135E23" w:rsidP="001C7E40">
      <w:pPr>
        <w:rPr>
          <w:u w:val="single"/>
          <w:lang w:val="fr-FR"/>
        </w:rPr>
      </w:pPr>
    </w:p>
    <w:p w:rsidR="00135E23" w:rsidRPr="00806A57" w:rsidRDefault="00EF0002" w:rsidP="00515CBB">
      <w:pPr>
        <w:pStyle w:val="ONUMFS"/>
        <w:rPr>
          <w:lang w:val="fr-FR"/>
        </w:rPr>
      </w:pPr>
      <w:r w:rsidRPr="00806A57">
        <w:rPr>
          <w:lang w:val="fr-FR"/>
        </w:rPr>
        <w:t>À la suite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une décision prise par le comité à sa septième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>session, chaque session suivante du comité a débuté par une réunion présidée par un membre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une communauté autochto</w:t>
      </w:r>
      <w:r w:rsidR="003719FA" w:rsidRPr="00806A57">
        <w:rPr>
          <w:lang w:val="fr-FR"/>
        </w:rPr>
        <w:t>ne.  Le</w:t>
      </w:r>
      <w:r w:rsidR="00FB6080" w:rsidRPr="00806A57">
        <w:rPr>
          <w:lang w:val="fr-FR"/>
        </w:rPr>
        <w:t xml:space="preserve"> groupe d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experts s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est réuni au début des 21 sessions précédentes du comi</w:t>
      </w:r>
      <w:r w:rsidR="003719FA" w:rsidRPr="00806A57">
        <w:rPr>
          <w:lang w:val="fr-FR"/>
        </w:rPr>
        <w:t xml:space="preserve">té.  À </w:t>
      </w:r>
      <w:r w:rsidR="00FB6080" w:rsidRPr="00806A57">
        <w:rPr>
          <w:lang w:val="fr-FR"/>
        </w:rPr>
        <w:t>chaque occasion, des représentants de communautés autochtones et locales ont présenté des exposés sur un thème particulier lié aux négociations au sein du comi</w:t>
      </w:r>
      <w:r w:rsidR="003719FA" w:rsidRPr="00806A57">
        <w:rPr>
          <w:lang w:val="fr-FR"/>
        </w:rPr>
        <w:t>té.  Ce</w:t>
      </w:r>
      <w:r w:rsidR="00FB6080" w:rsidRPr="00806A57">
        <w:rPr>
          <w:lang w:val="fr-FR"/>
        </w:rPr>
        <w:t>s exposés sont disponibles sur le site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OMPI, à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adresse http://wipo.int/tk/fr/igc/panels.html et sont également accessibles par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intermédiaire du Portail sur les questions autochtones sur le site Web de l</w:t>
      </w:r>
      <w:r w:rsidR="005A6E46" w:rsidRPr="00806A57">
        <w:rPr>
          <w:lang w:val="fr-FR"/>
        </w:rPr>
        <w:t>’</w:t>
      </w:r>
      <w:r w:rsidR="00FB6080" w:rsidRPr="00806A57">
        <w:rPr>
          <w:lang w:val="fr-FR"/>
        </w:rPr>
        <w:t>O</w:t>
      </w:r>
      <w:r w:rsidR="003719FA" w:rsidRPr="00806A57">
        <w:rPr>
          <w:lang w:val="fr-FR"/>
        </w:rPr>
        <w:t>MPI.  Ce</w:t>
      </w:r>
      <w:r w:rsidR="00CB364E" w:rsidRPr="00806A57">
        <w:rPr>
          <w:lang w:val="fr-FR"/>
        </w:rPr>
        <w:t xml:space="preserve"> document indique les modalités pratiques qu</w:t>
      </w:r>
      <w:r w:rsidR="005A6E46" w:rsidRPr="00806A57">
        <w:rPr>
          <w:lang w:val="fr-FR"/>
        </w:rPr>
        <w:t>’</w:t>
      </w:r>
      <w:r w:rsidR="00CB364E" w:rsidRPr="00806A57">
        <w:rPr>
          <w:lang w:val="fr-FR"/>
        </w:rPr>
        <w:t>il est proposé de mettre en œuvre pour la réunion du groupe d</w:t>
      </w:r>
      <w:r w:rsidR="005A6E46" w:rsidRPr="00806A57">
        <w:rPr>
          <w:lang w:val="fr-FR"/>
        </w:rPr>
        <w:t>’</w:t>
      </w:r>
      <w:r w:rsidR="00CB364E" w:rsidRPr="00806A57">
        <w:rPr>
          <w:lang w:val="fr-FR"/>
        </w:rPr>
        <w:t>experts à la vingt</w:t>
      </w:r>
      <w:r w:rsidR="003719FA" w:rsidRPr="00806A57">
        <w:rPr>
          <w:lang w:val="fr-FR"/>
        </w:rPr>
        <w:noBreakHyphen/>
      </w:r>
      <w:r w:rsidR="00CB364E" w:rsidRPr="00806A57">
        <w:rPr>
          <w:lang w:val="fr-FR"/>
        </w:rPr>
        <w:t>neuvième</w:t>
      </w:r>
      <w:r w:rsidR="00377616" w:rsidRPr="00806A57">
        <w:rPr>
          <w:lang w:val="fr-FR"/>
        </w:rPr>
        <w:t> </w:t>
      </w:r>
      <w:r w:rsidR="00CB364E" w:rsidRPr="00806A57">
        <w:rPr>
          <w:lang w:val="fr-FR"/>
        </w:rPr>
        <w:t>session du comité.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WIPO/GRTKF/IC/29/INF/6 : Fonds de contributions volontaires pour les communautés autochtones et locales accréditées : décisions prises par le Directeur général conformément aux recommandations adoptées par le Conseil consultatif</w:t>
      </w:r>
    </w:p>
    <w:p w:rsidR="00135E23" w:rsidRPr="00806A57" w:rsidRDefault="00135E23" w:rsidP="001C7E40">
      <w:pPr>
        <w:rPr>
          <w:u w:val="single"/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Ce document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information informera le comité des décisions en matière de financement que le Directeur général prendra conformément à la recommandation qui sera adoptée par le Conseil consultatif du Fonds de contributions volontaires pour les communautés autochtones et locales accréditées en marge de la vingt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neuvième session du comité.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WIPO/GRTKF/IC/29/INF/7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>: Glossaire des principaux termes relatifs à la propriété intellectuelle et aux ressources génétiques, aux savoirs traditionnels et aux expressions culturelles traditionnelles</w:t>
      </w:r>
    </w:p>
    <w:p w:rsidR="00135E23" w:rsidRPr="00806A57" w:rsidRDefault="00135E23" w:rsidP="001C7E40">
      <w:pPr>
        <w:pStyle w:val="Footer"/>
        <w:rPr>
          <w:u w:val="single"/>
          <w:lang w:val="fr-FR"/>
        </w:rPr>
      </w:pPr>
    </w:p>
    <w:p w:rsidR="00135E23" w:rsidRPr="00806A57" w:rsidRDefault="00FB6080" w:rsidP="00515CBB">
      <w:pPr>
        <w:pStyle w:val="ONUMFS"/>
        <w:rPr>
          <w:lang w:val="fr-FR"/>
        </w:rPr>
      </w:pPr>
      <w:r w:rsidRPr="00806A57">
        <w:rPr>
          <w:lang w:val="fr-FR"/>
        </w:rPr>
        <w:t>À sa dix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 xml:space="preserve">neuvième session, “le comité a invité le Secrétariat à mettre à jour les glossaires disponibles dans les documents WIPO/GRTKF/IC/19/INF/7 intitulé </w:t>
      </w:r>
      <w:r w:rsidR="005A6E46" w:rsidRPr="00806A57">
        <w:rPr>
          <w:lang w:val="fr-FR"/>
        </w:rPr>
        <w:t>‘</w:t>
      </w:r>
      <w:r w:rsidRPr="00806A57">
        <w:rPr>
          <w:lang w:val="fr-FR"/>
        </w:rPr>
        <w:t>Glossaire des principaux termes relatifs à la propriété intellectuelle et aux expressions culturelles traditionnelles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 xml:space="preserve">, WIPO/GRTKF/IC/19/INF/8 intitulé </w:t>
      </w:r>
      <w:r w:rsidR="005A6E46" w:rsidRPr="00806A57">
        <w:rPr>
          <w:lang w:val="fr-FR"/>
        </w:rPr>
        <w:t>‘</w:t>
      </w:r>
      <w:r w:rsidRPr="00806A57">
        <w:rPr>
          <w:lang w:val="fr-FR"/>
        </w:rPr>
        <w:t>Glossaire des principaux termes relatifs à la propriété intellectuelle et aux savoirs traditionnels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 xml:space="preserve"> et WIPO/GRTKF/IC/19/INF/9 intitulé </w:t>
      </w:r>
      <w:r w:rsidR="005A6E46" w:rsidRPr="00806A57">
        <w:rPr>
          <w:lang w:val="fr-FR"/>
        </w:rPr>
        <w:t>‘</w:t>
      </w:r>
      <w:r w:rsidRPr="00806A57">
        <w:rPr>
          <w:lang w:val="fr-FR"/>
        </w:rPr>
        <w:t xml:space="preserve">Glossaire des </w:t>
      </w:r>
      <w:r w:rsidRPr="00806A57">
        <w:rPr>
          <w:lang w:val="fr-FR"/>
        </w:rPr>
        <w:lastRenderedPageBreak/>
        <w:t>principaux termes relatifs à la propriété intellectuelle et aux ressources génétiques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, à les regrouper dans un seul document et à publier ce glossaire unifié sous la forme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un document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information à la prochaine session du comité”.</w:t>
      </w:r>
      <w:r w:rsidR="008411CE" w:rsidRPr="00806A57">
        <w:rPr>
          <w:lang w:val="fr-FR"/>
        </w:rPr>
        <w:t xml:space="preserve">  </w:t>
      </w:r>
      <w:r w:rsidRPr="00806A57">
        <w:rPr>
          <w:lang w:val="fr-FR"/>
        </w:rPr>
        <w:t>Ce document est mis à disposition sous la forme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une version actualisée du glossaire unifié pour cette session.</w:t>
      </w:r>
    </w:p>
    <w:p w:rsidR="00135E23" w:rsidRPr="00806A57" w:rsidRDefault="00FB6080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WIPO/GRTKF/IC/29/INF/8 : Rapport sur la mise en œuvre des activités du groupe</w:t>
      </w:r>
      <w:r w:rsidR="00515CBB" w:rsidRPr="00806A57">
        <w:rPr>
          <w:lang w:val="fr-FR"/>
        </w:rPr>
        <w:t> </w:t>
      </w:r>
      <w:r w:rsidRPr="00806A57">
        <w:rPr>
          <w:lang w:val="fr-FR"/>
        </w:rPr>
        <w:t>C (“Options concernant les conditions convenues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un commun accord en matière de partage juste et équitable des avantages”)</w:t>
      </w:r>
    </w:p>
    <w:p w:rsidR="00135E23" w:rsidRPr="00806A57" w:rsidRDefault="00135E23" w:rsidP="001C7E4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35E23" w:rsidRPr="00806A57" w:rsidRDefault="00F96EE7" w:rsidP="00515CBB">
      <w:pPr>
        <w:pStyle w:val="ONUMFS"/>
        <w:rPr>
          <w:lang w:val="fr-FR"/>
        </w:rPr>
      </w:pPr>
      <w:r w:rsidRPr="00806A57">
        <w:rPr>
          <w:lang w:val="fr-FR"/>
        </w:rPr>
        <w:t>À sa dix</w:t>
      </w:r>
      <w:r w:rsidR="003719FA" w:rsidRPr="00806A57">
        <w:rPr>
          <w:lang w:val="fr-FR"/>
        </w:rPr>
        <w:noBreakHyphen/>
      </w:r>
      <w:r w:rsidRPr="00806A57">
        <w:rPr>
          <w:lang w:val="fr-FR"/>
        </w:rPr>
        <w:t>neuvième session, “le comité a demandé au Secrétariat de finaliser et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actualiser régulièrement selon les besoins les activités</w:t>
      </w:r>
      <w:r w:rsidR="00515CBB" w:rsidRPr="00806A57">
        <w:rPr>
          <w:lang w:val="fr-FR"/>
        </w:rPr>
        <w:t xml:space="preserve"> mentionnées dans le groupe C (‘</w:t>
      </w:r>
      <w:r w:rsidRPr="00806A57">
        <w:rPr>
          <w:lang w:val="fr-FR"/>
        </w:rPr>
        <w:t>Options concernant les conditions convenues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un commun accord en matière de partage juste et équitable des avantages</w:t>
      </w:r>
      <w:r w:rsidR="00515CBB" w:rsidRPr="00806A57">
        <w:rPr>
          <w:lang w:val="fr-FR"/>
        </w:rPr>
        <w:t>’</w:t>
      </w:r>
      <w:r w:rsidRPr="00806A57">
        <w:rPr>
          <w:lang w:val="fr-FR"/>
        </w:rPr>
        <w:t>) et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en tenir informé le comité à chaque session”.</w:t>
      </w:r>
      <w:r w:rsidR="00673501" w:rsidRPr="00806A57">
        <w:rPr>
          <w:lang w:val="fr-FR"/>
        </w:rPr>
        <w:t xml:space="preserve">  </w:t>
      </w:r>
      <w:r w:rsidRPr="00806A57">
        <w:rPr>
          <w:lang w:val="fr-FR"/>
        </w:rPr>
        <w:t>Ce document est établi et mis à disposition conformément à la demande précitée.</w:t>
      </w:r>
    </w:p>
    <w:p w:rsidR="00135E23" w:rsidRPr="00806A57" w:rsidRDefault="00F96EE7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WIPO/GRTKF/IC/29/INF/9 : Ressources disponibles sur le site Web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consacré aux savoirs traditionnels, aux expressions culturelles traditionnelles et aux ressources génétiques</w:t>
      </w:r>
    </w:p>
    <w:p w:rsidR="00135E23" w:rsidRPr="00806A57" w:rsidRDefault="00135E23" w:rsidP="00032660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35E23" w:rsidRPr="00806A57" w:rsidRDefault="00F96EE7" w:rsidP="00515CBB">
      <w:pPr>
        <w:pStyle w:val="ONUMFS"/>
        <w:rPr>
          <w:lang w:val="fr-FR"/>
        </w:rPr>
      </w:pPr>
      <w:r w:rsidRPr="00806A57">
        <w:rPr>
          <w:lang w:val="fr-FR"/>
        </w:rPr>
        <w:t>À sa vingtième session, le comité a invité le Secrétariat à établir un document d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information dans lequel seraient décrites brièvement les ressources disponibles sur le site Web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consacré aux savoirs traditionnels, aux expressions culturelles traditionnelles et aux ressources génétiques en vue de soutenir et de renforcer la participation des observateurs à ses trava</w:t>
      </w:r>
      <w:r w:rsidR="003719FA" w:rsidRPr="00806A57">
        <w:rPr>
          <w:lang w:val="fr-FR"/>
        </w:rPr>
        <w:t>ux.  Ce</w:t>
      </w:r>
      <w:r w:rsidRPr="00806A57">
        <w:rPr>
          <w:lang w:val="fr-FR"/>
        </w:rPr>
        <w:t xml:space="preserve"> document fait le point sur les ressources disponibles sur le site Web.</w:t>
      </w:r>
    </w:p>
    <w:p w:rsidR="00135E23" w:rsidRPr="00806A57" w:rsidRDefault="00195E23" w:rsidP="006E5DCB">
      <w:pPr>
        <w:pStyle w:val="Heading3"/>
        <w:rPr>
          <w:lang w:val="fr-FR"/>
        </w:rPr>
      </w:pPr>
      <w:r w:rsidRPr="00806A57">
        <w:rPr>
          <w:lang w:val="fr-FR"/>
        </w:rPr>
        <w:t>WIPO/GRTKF/IC/29/INF/10</w:t>
      </w:r>
      <w:r w:rsidR="00377616" w:rsidRPr="00806A57">
        <w:rPr>
          <w:lang w:val="fr-FR"/>
        </w:rPr>
        <w:t> </w:t>
      </w:r>
      <w:r w:rsidRPr="00806A57">
        <w:rPr>
          <w:lang w:val="fr-FR"/>
        </w:rPr>
        <w:t xml:space="preserve">: </w:t>
      </w:r>
      <w:r w:rsidR="00515CBB" w:rsidRPr="00806A57">
        <w:rPr>
          <w:lang w:val="fr-FR"/>
        </w:rPr>
        <w:t>Étude technique des principales questions relatives à la propriété intellectuelle dans les projets d</w:t>
      </w:r>
      <w:r w:rsidR="005A6E46" w:rsidRPr="00806A57">
        <w:rPr>
          <w:lang w:val="fr-FR"/>
        </w:rPr>
        <w:t>’</w:t>
      </w:r>
      <w:r w:rsidR="00515CBB" w:rsidRPr="00806A57">
        <w:rPr>
          <w:lang w:val="fr-FR"/>
        </w:rPr>
        <w:t>instruments de l</w:t>
      </w:r>
      <w:r w:rsidR="005A6E46" w:rsidRPr="00806A57">
        <w:rPr>
          <w:lang w:val="fr-FR"/>
        </w:rPr>
        <w:t>’</w:t>
      </w:r>
      <w:r w:rsidR="00515CBB" w:rsidRPr="00806A57">
        <w:rPr>
          <w:lang w:val="fr-FR"/>
        </w:rPr>
        <w:t>OMPI sur les ressources génétiques, les savoirs traditionnels et les expressions culturelles traditionnelles, par M.</w:t>
      </w:r>
      <w:r w:rsidR="00377616" w:rsidRPr="00806A57">
        <w:rPr>
          <w:lang w:val="fr-FR"/>
        </w:rPr>
        <w:t> </w:t>
      </w:r>
      <w:r w:rsidR="00515CBB" w:rsidRPr="00806A57">
        <w:rPr>
          <w:lang w:val="fr-FR"/>
        </w:rPr>
        <w:t>James </w:t>
      </w:r>
      <w:proofErr w:type="spellStart"/>
      <w:r w:rsidR="00515CBB" w:rsidRPr="00806A57">
        <w:rPr>
          <w:lang w:val="fr-FR"/>
        </w:rPr>
        <w:t>Anaya</w:t>
      </w:r>
      <w:proofErr w:type="spellEnd"/>
    </w:p>
    <w:p w:rsidR="00135E23" w:rsidRPr="00806A57" w:rsidRDefault="00135E23" w:rsidP="00195E23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:rsidR="00135E23" w:rsidRPr="00806A57" w:rsidRDefault="00F316C6" w:rsidP="00806A57">
      <w:pPr>
        <w:pStyle w:val="ONUMFS"/>
        <w:rPr>
          <w:lang w:val="fr-FR"/>
        </w:rPr>
      </w:pPr>
      <w:r w:rsidRPr="00806A57">
        <w:rPr>
          <w:lang w:val="fr-FR"/>
        </w:rPr>
        <w:t>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 xml:space="preserve">Instance permanente des </w:t>
      </w:r>
      <w:r w:rsidR="005A6E46" w:rsidRPr="00806A57">
        <w:rPr>
          <w:lang w:val="fr-FR"/>
        </w:rPr>
        <w:t>Nations Unies</w:t>
      </w:r>
      <w:r w:rsidRPr="00806A57">
        <w:rPr>
          <w:lang w:val="fr-FR"/>
        </w:rPr>
        <w:t xml:space="preserve"> sur les questions autochtones (UNPFII) a recommandé</w:t>
      </w:r>
      <w:r w:rsidR="00806A57" w:rsidRPr="00806A57">
        <w:rPr>
          <w:lang w:val="fr-FR"/>
        </w:rPr>
        <w:t>, à</w:t>
      </w:r>
      <w:r w:rsidRPr="00806A57">
        <w:rPr>
          <w:lang w:val="fr-FR"/>
        </w:rPr>
        <w:t xml:space="preserve"> sa onzième</w:t>
      </w:r>
      <w:r w:rsidR="00F44414" w:rsidRPr="00806A57">
        <w:rPr>
          <w:lang w:val="fr-FR"/>
        </w:rPr>
        <w:t> </w:t>
      </w:r>
      <w:r w:rsidRPr="00806A57">
        <w:rPr>
          <w:lang w:val="fr-FR"/>
        </w:rPr>
        <w:t>session</w:t>
      </w:r>
      <w:r w:rsidR="00806A57" w:rsidRPr="00806A57">
        <w:rPr>
          <w:lang w:val="fr-FR"/>
        </w:rPr>
        <w:t>,</w:t>
      </w:r>
      <w:r w:rsidRPr="00806A57">
        <w:rPr>
          <w:lang w:val="fr-FR"/>
        </w:rPr>
        <w:t xml:space="preserve"> que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OMPI mette en place une étude technique, menée par un expert de</w:t>
      </w:r>
      <w:r w:rsidR="00806A57" w:rsidRPr="00806A57">
        <w:rPr>
          <w:lang w:val="fr-FR"/>
        </w:rPr>
        <w:t xml:space="preserve">s </w:t>
      </w:r>
      <w:r w:rsidRPr="00806A57">
        <w:rPr>
          <w:lang w:val="fr-FR"/>
        </w:rPr>
        <w:t>question</w:t>
      </w:r>
      <w:r w:rsidR="00806A57" w:rsidRPr="00806A57">
        <w:rPr>
          <w:lang w:val="fr-FR"/>
        </w:rPr>
        <w:t>s</w:t>
      </w:r>
      <w:r w:rsidRPr="00806A57">
        <w:rPr>
          <w:lang w:val="fr-FR"/>
        </w:rPr>
        <w:t xml:space="preserve"> </w:t>
      </w:r>
      <w:r w:rsidR="00806A57" w:rsidRPr="00806A57">
        <w:rPr>
          <w:lang w:val="fr-FR"/>
        </w:rPr>
        <w:t>autochtones</w:t>
      </w:r>
      <w:r w:rsidRPr="00806A57">
        <w:rPr>
          <w:lang w:val="fr-FR"/>
        </w:rPr>
        <w:t xml:space="preserve">, se concentrant sur les projets de textes </w:t>
      </w:r>
      <w:r w:rsidR="00AE4C09" w:rsidRPr="00806A57">
        <w:rPr>
          <w:lang w:val="fr-FR"/>
        </w:rPr>
        <w:t>relatifs</w:t>
      </w:r>
      <w:r w:rsidRPr="00806A57">
        <w:rPr>
          <w:lang w:val="fr-FR"/>
        </w:rPr>
        <w:t xml:space="preserve"> aux savoirs traditionnels, aux ressources génétiques et aux expressions culturelles traditionnelles et de faire part de ses observations à ce sujet à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IGC par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>intermédiaire de 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 xml:space="preserve">Instance. </w:t>
      </w:r>
      <w:r w:rsidR="00195E23" w:rsidRPr="00806A57">
        <w:rPr>
          <w:lang w:val="fr-FR"/>
        </w:rPr>
        <w:t xml:space="preserve"> </w:t>
      </w:r>
      <w:r w:rsidRPr="00806A57">
        <w:rPr>
          <w:lang w:val="fr-FR"/>
        </w:rPr>
        <w:t>L</w:t>
      </w:r>
      <w:r w:rsidR="005A6E46" w:rsidRPr="00806A57">
        <w:rPr>
          <w:lang w:val="fr-FR"/>
        </w:rPr>
        <w:t>’</w:t>
      </w:r>
      <w:r w:rsidRPr="00806A57">
        <w:rPr>
          <w:lang w:val="fr-FR"/>
        </w:rPr>
        <w:t xml:space="preserve">étude devait être réalisée </w:t>
      </w:r>
      <w:r w:rsidR="00806A57" w:rsidRPr="00806A57">
        <w:rPr>
          <w:lang w:val="fr-FR"/>
        </w:rPr>
        <w:t>du point de vue</w:t>
      </w:r>
      <w:r w:rsidRPr="00806A57">
        <w:rPr>
          <w:lang w:val="fr-FR"/>
        </w:rPr>
        <w:t xml:space="preserve"> des droits des peuples autochtones.</w:t>
      </w:r>
      <w:r w:rsidR="00195E23" w:rsidRPr="00806A57">
        <w:rPr>
          <w:lang w:val="fr-FR"/>
        </w:rPr>
        <w:t xml:space="preserve">  </w:t>
      </w:r>
      <w:r w:rsidR="00F96EE7" w:rsidRPr="00806A57">
        <w:rPr>
          <w:lang w:val="fr-FR"/>
        </w:rPr>
        <w:t>En consultation avec</w:t>
      </w:r>
      <w:r w:rsidR="00EF0002" w:rsidRPr="00806A57">
        <w:rPr>
          <w:lang w:val="fr-FR"/>
        </w:rPr>
        <w:t xml:space="preserve"> le Secrétariat de l</w:t>
      </w:r>
      <w:r w:rsidR="005A6E46" w:rsidRPr="00806A57">
        <w:rPr>
          <w:lang w:val="fr-FR"/>
        </w:rPr>
        <w:t>’</w:t>
      </w:r>
      <w:r w:rsidR="00EF0002" w:rsidRPr="00806A57">
        <w:rPr>
          <w:lang w:val="fr-FR"/>
        </w:rPr>
        <w:t>UNPFII, M. </w:t>
      </w:r>
      <w:r w:rsidR="00221942" w:rsidRPr="00806A57">
        <w:rPr>
          <w:lang w:val="fr-FR"/>
        </w:rPr>
        <w:t>James </w:t>
      </w:r>
      <w:proofErr w:type="spellStart"/>
      <w:r w:rsidR="00F96EE7" w:rsidRPr="00806A57">
        <w:rPr>
          <w:lang w:val="fr-FR"/>
        </w:rPr>
        <w:t>Anaya</w:t>
      </w:r>
      <w:proofErr w:type="spellEnd"/>
      <w:r w:rsidR="00F96EE7" w:rsidRPr="00806A57">
        <w:rPr>
          <w:lang w:val="fr-FR"/>
        </w:rPr>
        <w:t>, professeur de droit et politiques relatifs aux droits de l</w:t>
      </w:r>
      <w:r w:rsidR="005A6E46" w:rsidRPr="00806A57">
        <w:rPr>
          <w:lang w:val="fr-FR"/>
        </w:rPr>
        <w:t>’</w:t>
      </w:r>
      <w:r w:rsidR="00F96EE7" w:rsidRPr="00806A57">
        <w:rPr>
          <w:lang w:val="fr-FR"/>
        </w:rPr>
        <w:t>homme à l</w:t>
      </w:r>
      <w:r w:rsidR="005A6E46" w:rsidRPr="00806A57">
        <w:rPr>
          <w:lang w:val="fr-FR"/>
        </w:rPr>
        <w:t>’</w:t>
      </w:r>
      <w:r w:rsidR="00F96EE7" w:rsidRPr="00806A57">
        <w:rPr>
          <w:lang w:val="fr-FR"/>
        </w:rPr>
        <w:t>Université de l</w:t>
      </w:r>
      <w:r w:rsidR="005A6E46" w:rsidRPr="00806A57">
        <w:rPr>
          <w:lang w:val="fr-FR"/>
        </w:rPr>
        <w:t>’</w:t>
      </w:r>
      <w:r w:rsidR="00F96EE7" w:rsidRPr="00806A57">
        <w:rPr>
          <w:lang w:val="fr-FR"/>
        </w:rPr>
        <w:t>Arizona (États</w:t>
      </w:r>
      <w:r w:rsidR="003719FA" w:rsidRPr="00806A57">
        <w:rPr>
          <w:lang w:val="fr-FR"/>
        </w:rPr>
        <w:noBreakHyphen/>
      </w:r>
      <w:r w:rsidR="00F96EE7" w:rsidRPr="00806A57">
        <w:rPr>
          <w:lang w:val="fr-FR"/>
        </w:rPr>
        <w:t>Unis d</w:t>
      </w:r>
      <w:r w:rsidR="005A6E46" w:rsidRPr="00806A57">
        <w:rPr>
          <w:lang w:val="fr-FR"/>
        </w:rPr>
        <w:t>’</w:t>
      </w:r>
      <w:r w:rsidR="00F96EE7" w:rsidRPr="00806A57">
        <w:rPr>
          <w:lang w:val="fr-FR"/>
        </w:rPr>
        <w:t>Amérique), a été chargé par le Secrétariat de l</w:t>
      </w:r>
      <w:r w:rsidR="005A6E46" w:rsidRPr="00806A57">
        <w:rPr>
          <w:lang w:val="fr-FR"/>
        </w:rPr>
        <w:t>’</w:t>
      </w:r>
      <w:r w:rsidR="00F96EE7" w:rsidRPr="00806A57">
        <w:rPr>
          <w:lang w:val="fr-FR"/>
        </w:rPr>
        <w:t>OMPI, en</w:t>
      </w:r>
      <w:r w:rsidR="00377616" w:rsidRPr="00806A57">
        <w:rPr>
          <w:lang w:val="fr-FR"/>
        </w:rPr>
        <w:t> </w:t>
      </w:r>
      <w:r w:rsidR="00F96EE7" w:rsidRPr="00806A57">
        <w:rPr>
          <w:lang w:val="fr-FR"/>
        </w:rPr>
        <w:t>2014, de mener cette étude technique sous sa seule responsabili</w:t>
      </w:r>
      <w:r w:rsidR="003719FA" w:rsidRPr="00806A57">
        <w:rPr>
          <w:lang w:val="fr-FR"/>
        </w:rPr>
        <w:t xml:space="preserve">té.  </w:t>
      </w:r>
      <w:r w:rsidR="00806A57">
        <w:rPr>
          <w:lang w:val="fr-FR"/>
        </w:rPr>
        <w:t>M. </w:t>
      </w:r>
      <w:proofErr w:type="spellStart"/>
      <w:r w:rsidR="00D73867" w:rsidRPr="00806A57">
        <w:rPr>
          <w:lang w:val="fr-FR"/>
        </w:rPr>
        <w:t>Anaya</w:t>
      </w:r>
      <w:proofErr w:type="spellEnd"/>
      <w:r w:rsidR="00D73867" w:rsidRPr="00806A57">
        <w:rPr>
          <w:lang w:val="fr-FR"/>
        </w:rPr>
        <w:t xml:space="preserve"> a </w:t>
      </w:r>
      <w:r w:rsidR="00806A57" w:rsidRPr="00806A57">
        <w:rPr>
          <w:lang w:val="fr-FR"/>
        </w:rPr>
        <w:t>achevé</w:t>
      </w:r>
      <w:r w:rsidR="00D73867" w:rsidRPr="00806A57">
        <w:rPr>
          <w:lang w:val="fr-FR"/>
        </w:rPr>
        <w:t xml:space="preserve"> son étude en</w:t>
      </w:r>
      <w:r w:rsidR="00F44414" w:rsidRPr="00806A57">
        <w:rPr>
          <w:lang w:val="fr-FR"/>
        </w:rPr>
        <w:t> </w:t>
      </w:r>
      <w:r w:rsidR="00D73867" w:rsidRPr="00806A57">
        <w:rPr>
          <w:lang w:val="fr-FR"/>
        </w:rPr>
        <w:t>2014 et l</w:t>
      </w:r>
      <w:r w:rsidR="005A6E46" w:rsidRPr="00806A57">
        <w:rPr>
          <w:lang w:val="fr-FR"/>
        </w:rPr>
        <w:t>’</w:t>
      </w:r>
      <w:r w:rsidR="00D73867" w:rsidRPr="00806A57">
        <w:rPr>
          <w:lang w:val="fr-FR"/>
        </w:rPr>
        <w:t>a présentée au Secrétariat de l</w:t>
      </w:r>
      <w:r w:rsidR="005A6E46" w:rsidRPr="00806A57">
        <w:rPr>
          <w:lang w:val="fr-FR"/>
        </w:rPr>
        <w:t>’</w:t>
      </w:r>
      <w:r w:rsidR="00D73867" w:rsidRPr="00806A57">
        <w:rPr>
          <w:lang w:val="fr-FR"/>
        </w:rPr>
        <w:t>UNP</w:t>
      </w:r>
      <w:r w:rsidR="003719FA" w:rsidRPr="00806A57">
        <w:rPr>
          <w:lang w:val="fr-FR"/>
        </w:rPr>
        <w:t>FII.  Le</w:t>
      </w:r>
      <w:r w:rsidR="00D73867" w:rsidRPr="00806A57">
        <w:rPr>
          <w:lang w:val="fr-FR"/>
        </w:rPr>
        <w:t xml:space="preserve"> 2</w:t>
      </w:r>
      <w:r w:rsidR="005A6E46" w:rsidRPr="00806A57">
        <w:rPr>
          <w:lang w:val="fr-FR"/>
        </w:rPr>
        <w:t>8 mai 20</w:t>
      </w:r>
      <w:r w:rsidR="00D73867" w:rsidRPr="00806A57">
        <w:rPr>
          <w:lang w:val="fr-FR"/>
        </w:rPr>
        <w:t>15, le Secrétariat de l</w:t>
      </w:r>
      <w:r w:rsidR="005A6E46" w:rsidRPr="00806A57">
        <w:rPr>
          <w:lang w:val="fr-FR"/>
        </w:rPr>
        <w:t>’</w:t>
      </w:r>
      <w:r w:rsidR="00D73867" w:rsidRPr="00806A57">
        <w:rPr>
          <w:lang w:val="fr-FR"/>
        </w:rPr>
        <w:t>OMPI a reçu une demande provenant du Secrétariat de l</w:t>
      </w:r>
      <w:r w:rsidR="005A6E46" w:rsidRPr="00806A57">
        <w:rPr>
          <w:lang w:val="fr-FR"/>
        </w:rPr>
        <w:t>’</w:t>
      </w:r>
      <w:r w:rsidR="0076346F" w:rsidRPr="00806A57">
        <w:rPr>
          <w:lang w:val="fr-FR"/>
        </w:rPr>
        <w:t>UNPFII</w:t>
      </w:r>
      <w:r w:rsidR="00806A57" w:rsidRPr="00806A57">
        <w:rPr>
          <w:lang w:val="fr-FR"/>
        </w:rPr>
        <w:t>, visant à ce que</w:t>
      </w:r>
      <w:r w:rsidR="00D73867" w:rsidRPr="00806A57">
        <w:rPr>
          <w:lang w:val="fr-FR"/>
        </w:rPr>
        <w:t xml:space="preserve"> le texte de l</w:t>
      </w:r>
      <w:r w:rsidR="005A6E46" w:rsidRPr="00806A57">
        <w:rPr>
          <w:lang w:val="fr-FR"/>
        </w:rPr>
        <w:t>’</w:t>
      </w:r>
      <w:r w:rsidR="00D73867" w:rsidRPr="00806A57">
        <w:rPr>
          <w:lang w:val="fr-FR"/>
        </w:rPr>
        <w:t xml:space="preserve">étude technique réalisée par </w:t>
      </w:r>
      <w:r w:rsidR="00806A57">
        <w:rPr>
          <w:lang w:val="fr-FR"/>
        </w:rPr>
        <w:t>M. </w:t>
      </w:r>
      <w:proofErr w:type="spellStart"/>
      <w:r w:rsidR="00D73867" w:rsidRPr="00806A57">
        <w:rPr>
          <w:lang w:val="fr-FR"/>
        </w:rPr>
        <w:t>Anaya</w:t>
      </w:r>
      <w:proofErr w:type="spellEnd"/>
      <w:r w:rsidR="00D73867" w:rsidRPr="00806A57">
        <w:rPr>
          <w:lang w:val="fr-FR"/>
        </w:rPr>
        <w:t xml:space="preserve"> </w:t>
      </w:r>
      <w:r w:rsidR="00806A57" w:rsidRPr="00806A57">
        <w:rPr>
          <w:lang w:val="fr-FR"/>
        </w:rPr>
        <w:t xml:space="preserve">soit présenté au comité </w:t>
      </w:r>
      <w:r w:rsidR="00D73867" w:rsidRPr="00806A57">
        <w:rPr>
          <w:lang w:val="fr-FR"/>
        </w:rPr>
        <w:t>en tant que document d</w:t>
      </w:r>
      <w:r w:rsidR="005A6E46" w:rsidRPr="00806A57">
        <w:rPr>
          <w:lang w:val="fr-FR"/>
        </w:rPr>
        <w:t>’</w:t>
      </w:r>
      <w:r w:rsidR="00D73867" w:rsidRPr="00806A57">
        <w:rPr>
          <w:lang w:val="fr-FR"/>
        </w:rPr>
        <w:t>informati</w:t>
      </w:r>
      <w:r w:rsidR="003719FA" w:rsidRPr="00806A57">
        <w:rPr>
          <w:lang w:val="fr-FR"/>
        </w:rPr>
        <w:t>on.  Ce</w:t>
      </w:r>
      <w:r w:rsidR="00F96EE7" w:rsidRPr="00806A57">
        <w:rPr>
          <w:lang w:val="fr-FR"/>
        </w:rPr>
        <w:t> document est établi et mis à disposition conformément à la demande précitée.</w:t>
      </w:r>
    </w:p>
    <w:p w:rsidR="00135E23" w:rsidRPr="00806A57" w:rsidRDefault="00135E23" w:rsidP="00515CBB">
      <w:pPr>
        <w:pStyle w:val="Endofdocument-Annex"/>
        <w:rPr>
          <w:lang w:val="fr-FR"/>
        </w:rPr>
      </w:pPr>
    </w:p>
    <w:p w:rsidR="00135E23" w:rsidRPr="00806A57" w:rsidRDefault="00135E23" w:rsidP="00515CBB">
      <w:pPr>
        <w:pStyle w:val="Endofdocument-Annex"/>
        <w:rPr>
          <w:lang w:val="fr-FR"/>
        </w:rPr>
      </w:pPr>
    </w:p>
    <w:p w:rsidR="008B78C0" w:rsidRPr="00806A57" w:rsidRDefault="00F96EE7" w:rsidP="00515CBB">
      <w:pPr>
        <w:pStyle w:val="Endofdocument-Annex"/>
        <w:rPr>
          <w:lang w:val="fr-FR"/>
        </w:rPr>
      </w:pPr>
      <w:r w:rsidRPr="00806A57">
        <w:rPr>
          <w:lang w:val="fr-FR"/>
        </w:rPr>
        <w:t>[Fin du document]</w:t>
      </w:r>
    </w:p>
    <w:sectPr w:rsidR="008B78C0" w:rsidRPr="00806A57" w:rsidSect="005A6E46">
      <w:headerReference w:type="default" r:id="rId9"/>
      <w:foot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7E" w:rsidRDefault="0042467E">
      <w:r>
        <w:separator/>
      </w:r>
    </w:p>
  </w:endnote>
  <w:endnote w:type="continuationSeparator" w:id="0">
    <w:p w:rsidR="0042467E" w:rsidRDefault="0042467E" w:rsidP="003B38C1">
      <w:r>
        <w:separator/>
      </w:r>
    </w:p>
    <w:p w:rsidR="0042467E" w:rsidRPr="003B38C1" w:rsidRDefault="0042467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2467E" w:rsidRPr="003B38C1" w:rsidRDefault="0042467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46" w:rsidRPr="00291E2F" w:rsidRDefault="005A6E46" w:rsidP="00291E2F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7E" w:rsidRDefault="0042467E">
      <w:r>
        <w:separator/>
      </w:r>
    </w:p>
  </w:footnote>
  <w:footnote w:type="continuationSeparator" w:id="0">
    <w:p w:rsidR="0042467E" w:rsidRDefault="0042467E" w:rsidP="008B60B2">
      <w:r>
        <w:separator/>
      </w:r>
    </w:p>
    <w:p w:rsidR="0042467E" w:rsidRPr="00ED77FB" w:rsidRDefault="0042467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2467E" w:rsidRPr="00ED77FB" w:rsidRDefault="0042467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B01" w:rsidRDefault="007E6B01" w:rsidP="00170D7F">
    <w:pPr>
      <w:jc w:val="right"/>
    </w:pPr>
    <w:r>
      <w:t>WIPO/GRTKF/IC/2</w:t>
    </w:r>
    <w:r w:rsidR="00DE79B7">
      <w:t>9</w:t>
    </w:r>
    <w:r>
      <w:t>/INF/2</w:t>
    </w:r>
    <w:r w:rsidR="00D61329">
      <w:t xml:space="preserve"> Rev.</w:t>
    </w:r>
  </w:p>
  <w:p w:rsidR="007E6B01" w:rsidRDefault="007E6B01" w:rsidP="00477D6B">
    <w:pPr>
      <w:jc w:val="right"/>
    </w:pPr>
    <w:proofErr w:type="gramStart"/>
    <w:r>
      <w:t>page</w:t>
    </w:r>
    <w:proofErr w:type="gramEnd"/>
    <w:r w:rsidR="00AE4C0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D07A9">
      <w:rPr>
        <w:noProof/>
      </w:rPr>
      <w:t>5</w:t>
    </w:r>
    <w:r>
      <w:fldChar w:fldCharType="end"/>
    </w:r>
  </w:p>
  <w:p w:rsidR="00020CAE" w:rsidRDefault="00020CA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clip_image001"/>
      </v:shape>
    </w:pict>
  </w:numPicBullet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88423C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6C54D4"/>
    <w:multiLevelType w:val="hybridMultilevel"/>
    <w:tmpl w:val="576C4DC8"/>
    <w:lvl w:ilvl="0" w:tplc="ED1E2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224C1C4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4F0470C"/>
    <w:multiLevelType w:val="hybridMultilevel"/>
    <w:tmpl w:val="9B8005A8"/>
    <w:lvl w:ilvl="0" w:tplc="448C06B2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263004"/>
    <w:multiLevelType w:val="hybridMultilevel"/>
    <w:tmpl w:val="5CF496F2"/>
    <w:lvl w:ilvl="0" w:tplc="448C06B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0F694E"/>
    <w:multiLevelType w:val="hybridMultilevel"/>
    <w:tmpl w:val="61CA07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2">
    <w:nsid w:val="5BF932FA"/>
    <w:multiLevelType w:val="hybridMultilevel"/>
    <w:tmpl w:val="9E96635C"/>
    <w:lvl w:ilvl="0" w:tplc="4BD825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9692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E59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5677A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80A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80BC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891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6B42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ADB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D615587"/>
    <w:multiLevelType w:val="hybridMultilevel"/>
    <w:tmpl w:val="B0A4F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8D4B86"/>
    <w:multiLevelType w:val="hybridMultilevel"/>
    <w:tmpl w:val="EC006D60"/>
    <w:lvl w:ilvl="0" w:tplc="B936D62C">
      <w:start w:val="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1"/>
  </w:num>
  <w:num w:numId="16">
    <w:abstractNumId w:val="13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UPOV\Meetings|TextBase TMs\UPOV\Other|TextBase TMs\UPOV\Publications|TextBase TMs\UPOV\Technical Guidelines|TextBase TMs\Glossaries\EN-FR"/>
    <w:docVar w:name="TextBaseURL" w:val="empty"/>
    <w:docVar w:name="UILng" w:val="en"/>
  </w:docVars>
  <w:rsids>
    <w:rsidRoot w:val="008F0928"/>
    <w:rsid w:val="000034FB"/>
    <w:rsid w:val="00003C25"/>
    <w:rsid w:val="0000407A"/>
    <w:rsid w:val="00011188"/>
    <w:rsid w:val="0001731C"/>
    <w:rsid w:val="0002000B"/>
    <w:rsid w:val="00020704"/>
    <w:rsid w:val="00020CAE"/>
    <w:rsid w:val="00021829"/>
    <w:rsid w:val="00021960"/>
    <w:rsid w:val="00023633"/>
    <w:rsid w:val="00031686"/>
    <w:rsid w:val="000318DE"/>
    <w:rsid w:val="00032660"/>
    <w:rsid w:val="00043CAA"/>
    <w:rsid w:val="00044AE4"/>
    <w:rsid w:val="0005067E"/>
    <w:rsid w:val="00053879"/>
    <w:rsid w:val="00054711"/>
    <w:rsid w:val="0005652D"/>
    <w:rsid w:val="000576F1"/>
    <w:rsid w:val="000579CA"/>
    <w:rsid w:val="00057CE8"/>
    <w:rsid w:val="0006664C"/>
    <w:rsid w:val="00075432"/>
    <w:rsid w:val="000763DC"/>
    <w:rsid w:val="0008556C"/>
    <w:rsid w:val="00085FD5"/>
    <w:rsid w:val="000968ED"/>
    <w:rsid w:val="000A3AC8"/>
    <w:rsid w:val="000A4589"/>
    <w:rsid w:val="000A7AC3"/>
    <w:rsid w:val="000B15D1"/>
    <w:rsid w:val="000B36F0"/>
    <w:rsid w:val="000C0062"/>
    <w:rsid w:val="000C5327"/>
    <w:rsid w:val="000D3AAC"/>
    <w:rsid w:val="000E1DA3"/>
    <w:rsid w:val="000E3FC1"/>
    <w:rsid w:val="000E6379"/>
    <w:rsid w:val="000F5E56"/>
    <w:rsid w:val="00101070"/>
    <w:rsid w:val="00120129"/>
    <w:rsid w:val="0012405A"/>
    <w:rsid w:val="00131A3B"/>
    <w:rsid w:val="00131BC3"/>
    <w:rsid w:val="00134774"/>
    <w:rsid w:val="00135E23"/>
    <w:rsid w:val="001362EE"/>
    <w:rsid w:val="00137B46"/>
    <w:rsid w:val="00156282"/>
    <w:rsid w:val="001569A8"/>
    <w:rsid w:val="00162990"/>
    <w:rsid w:val="00170D7F"/>
    <w:rsid w:val="00170E8F"/>
    <w:rsid w:val="001728A3"/>
    <w:rsid w:val="001753C4"/>
    <w:rsid w:val="001832A6"/>
    <w:rsid w:val="00195E23"/>
    <w:rsid w:val="0019632D"/>
    <w:rsid w:val="00196B56"/>
    <w:rsid w:val="001A19D5"/>
    <w:rsid w:val="001C4FB9"/>
    <w:rsid w:val="001C5AF1"/>
    <w:rsid w:val="001C5B67"/>
    <w:rsid w:val="001C7E40"/>
    <w:rsid w:val="001D42B0"/>
    <w:rsid w:val="001E5659"/>
    <w:rsid w:val="001F0525"/>
    <w:rsid w:val="001F065B"/>
    <w:rsid w:val="00205ADD"/>
    <w:rsid w:val="0021133C"/>
    <w:rsid w:val="00213898"/>
    <w:rsid w:val="00214CD5"/>
    <w:rsid w:val="00215CE7"/>
    <w:rsid w:val="00221942"/>
    <w:rsid w:val="00227093"/>
    <w:rsid w:val="00235AFE"/>
    <w:rsid w:val="00235CC4"/>
    <w:rsid w:val="00235F71"/>
    <w:rsid w:val="00245EB1"/>
    <w:rsid w:val="00246D0A"/>
    <w:rsid w:val="00254471"/>
    <w:rsid w:val="002634C4"/>
    <w:rsid w:val="00263E8D"/>
    <w:rsid w:val="002707FD"/>
    <w:rsid w:val="002719E4"/>
    <w:rsid w:val="00280438"/>
    <w:rsid w:val="002806A6"/>
    <w:rsid w:val="002806FF"/>
    <w:rsid w:val="00290E4E"/>
    <w:rsid w:val="00291E2F"/>
    <w:rsid w:val="002928D3"/>
    <w:rsid w:val="002A1159"/>
    <w:rsid w:val="002A211B"/>
    <w:rsid w:val="002A402E"/>
    <w:rsid w:val="002A5464"/>
    <w:rsid w:val="002B41B1"/>
    <w:rsid w:val="002B5138"/>
    <w:rsid w:val="002D670D"/>
    <w:rsid w:val="002D7590"/>
    <w:rsid w:val="002E528F"/>
    <w:rsid w:val="002F1FE6"/>
    <w:rsid w:val="002F4E68"/>
    <w:rsid w:val="0031124B"/>
    <w:rsid w:val="0031135A"/>
    <w:rsid w:val="00312F7F"/>
    <w:rsid w:val="00320368"/>
    <w:rsid w:val="003228B7"/>
    <w:rsid w:val="00322F0F"/>
    <w:rsid w:val="003237EE"/>
    <w:rsid w:val="003244A3"/>
    <w:rsid w:val="0032654B"/>
    <w:rsid w:val="003326F6"/>
    <w:rsid w:val="003329BB"/>
    <w:rsid w:val="003335E1"/>
    <w:rsid w:val="003349EA"/>
    <w:rsid w:val="003512CF"/>
    <w:rsid w:val="00355674"/>
    <w:rsid w:val="003673CF"/>
    <w:rsid w:val="003719FA"/>
    <w:rsid w:val="00377616"/>
    <w:rsid w:val="003845C1"/>
    <w:rsid w:val="003852BF"/>
    <w:rsid w:val="0039066D"/>
    <w:rsid w:val="00391D2E"/>
    <w:rsid w:val="003A43EA"/>
    <w:rsid w:val="003A5CD8"/>
    <w:rsid w:val="003A6F89"/>
    <w:rsid w:val="003A7F6C"/>
    <w:rsid w:val="003B0A4E"/>
    <w:rsid w:val="003B288F"/>
    <w:rsid w:val="003B2CF6"/>
    <w:rsid w:val="003B38C1"/>
    <w:rsid w:val="003B776F"/>
    <w:rsid w:val="003C1871"/>
    <w:rsid w:val="003D423E"/>
    <w:rsid w:val="003D566C"/>
    <w:rsid w:val="003E541D"/>
    <w:rsid w:val="003F0A9B"/>
    <w:rsid w:val="003F3C49"/>
    <w:rsid w:val="003F5535"/>
    <w:rsid w:val="00401044"/>
    <w:rsid w:val="00416F63"/>
    <w:rsid w:val="00423147"/>
    <w:rsid w:val="00423D09"/>
    <w:rsid w:val="00423E3E"/>
    <w:rsid w:val="0042467E"/>
    <w:rsid w:val="00427AF4"/>
    <w:rsid w:val="00436AF7"/>
    <w:rsid w:val="00436D13"/>
    <w:rsid w:val="004400E2"/>
    <w:rsid w:val="004416C9"/>
    <w:rsid w:val="0044541D"/>
    <w:rsid w:val="004533F2"/>
    <w:rsid w:val="00455A30"/>
    <w:rsid w:val="00457644"/>
    <w:rsid w:val="0046055C"/>
    <w:rsid w:val="004639B4"/>
    <w:rsid w:val="004647DA"/>
    <w:rsid w:val="00474062"/>
    <w:rsid w:val="0047419B"/>
    <w:rsid w:val="00477D6B"/>
    <w:rsid w:val="0048773A"/>
    <w:rsid w:val="00493B12"/>
    <w:rsid w:val="00497460"/>
    <w:rsid w:val="00497524"/>
    <w:rsid w:val="004A09A8"/>
    <w:rsid w:val="004A0E61"/>
    <w:rsid w:val="004B0104"/>
    <w:rsid w:val="004B1D6D"/>
    <w:rsid w:val="004B2F86"/>
    <w:rsid w:val="004B68C2"/>
    <w:rsid w:val="004C0AA8"/>
    <w:rsid w:val="004C355B"/>
    <w:rsid w:val="004D363B"/>
    <w:rsid w:val="004D44E8"/>
    <w:rsid w:val="004D4734"/>
    <w:rsid w:val="004D7C9F"/>
    <w:rsid w:val="004E1223"/>
    <w:rsid w:val="004E1AD0"/>
    <w:rsid w:val="004E314A"/>
    <w:rsid w:val="004E5B62"/>
    <w:rsid w:val="00511E42"/>
    <w:rsid w:val="00513895"/>
    <w:rsid w:val="00515CBB"/>
    <w:rsid w:val="00516753"/>
    <w:rsid w:val="0053057A"/>
    <w:rsid w:val="00534369"/>
    <w:rsid w:val="0053708C"/>
    <w:rsid w:val="005402D2"/>
    <w:rsid w:val="0054589F"/>
    <w:rsid w:val="00551625"/>
    <w:rsid w:val="00552E2A"/>
    <w:rsid w:val="00560A29"/>
    <w:rsid w:val="0058022A"/>
    <w:rsid w:val="005804D3"/>
    <w:rsid w:val="00582B5C"/>
    <w:rsid w:val="00591849"/>
    <w:rsid w:val="00594ABF"/>
    <w:rsid w:val="00595977"/>
    <w:rsid w:val="005A1C1F"/>
    <w:rsid w:val="005A1D27"/>
    <w:rsid w:val="005A6E46"/>
    <w:rsid w:val="005B3FE6"/>
    <w:rsid w:val="005C3259"/>
    <w:rsid w:val="005C561E"/>
    <w:rsid w:val="005C66ED"/>
    <w:rsid w:val="005C6B27"/>
    <w:rsid w:val="005C6D3B"/>
    <w:rsid w:val="005D42C4"/>
    <w:rsid w:val="005D78A0"/>
    <w:rsid w:val="005F1EA9"/>
    <w:rsid w:val="005F48F9"/>
    <w:rsid w:val="005F5239"/>
    <w:rsid w:val="00605827"/>
    <w:rsid w:val="00614BEB"/>
    <w:rsid w:val="0061528F"/>
    <w:rsid w:val="0062474D"/>
    <w:rsid w:val="00626293"/>
    <w:rsid w:val="00636E63"/>
    <w:rsid w:val="00645B81"/>
    <w:rsid w:val="00646050"/>
    <w:rsid w:val="0065128C"/>
    <w:rsid w:val="00652CAA"/>
    <w:rsid w:val="00656119"/>
    <w:rsid w:val="00663404"/>
    <w:rsid w:val="006713CA"/>
    <w:rsid w:val="00673501"/>
    <w:rsid w:val="00673572"/>
    <w:rsid w:val="0067609C"/>
    <w:rsid w:val="00676C5C"/>
    <w:rsid w:val="00677202"/>
    <w:rsid w:val="006819A5"/>
    <w:rsid w:val="006844A3"/>
    <w:rsid w:val="00684921"/>
    <w:rsid w:val="006941FD"/>
    <w:rsid w:val="006A3EBB"/>
    <w:rsid w:val="006B02AD"/>
    <w:rsid w:val="006B31A5"/>
    <w:rsid w:val="006B3F7A"/>
    <w:rsid w:val="006B5055"/>
    <w:rsid w:val="006C332D"/>
    <w:rsid w:val="006D074F"/>
    <w:rsid w:val="006D07A9"/>
    <w:rsid w:val="006D3345"/>
    <w:rsid w:val="006D46C7"/>
    <w:rsid w:val="006E31C0"/>
    <w:rsid w:val="006E557C"/>
    <w:rsid w:val="006E5DCB"/>
    <w:rsid w:val="006E5E43"/>
    <w:rsid w:val="006F1053"/>
    <w:rsid w:val="006F3031"/>
    <w:rsid w:val="006F41FD"/>
    <w:rsid w:val="006F55DF"/>
    <w:rsid w:val="006F75BC"/>
    <w:rsid w:val="006F77B1"/>
    <w:rsid w:val="007057BD"/>
    <w:rsid w:val="007058FB"/>
    <w:rsid w:val="00705F51"/>
    <w:rsid w:val="007221F2"/>
    <w:rsid w:val="007275BF"/>
    <w:rsid w:val="007275D9"/>
    <w:rsid w:val="007305E7"/>
    <w:rsid w:val="0073316F"/>
    <w:rsid w:val="0073668D"/>
    <w:rsid w:val="0073728A"/>
    <w:rsid w:val="00757F6E"/>
    <w:rsid w:val="0076346F"/>
    <w:rsid w:val="00764642"/>
    <w:rsid w:val="00770354"/>
    <w:rsid w:val="0077137E"/>
    <w:rsid w:val="00777695"/>
    <w:rsid w:val="00781BCB"/>
    <w:rsid w:val="00781CCC"/>
    <w:rsid w:val="00784F18"/>
    <w:rsid w:val="00786473"/>
    <w:rsid w:val="007928BF"/>
    <w:rsid w:val="007A01D2"/>
    <w:rsid w:val="007A039C"/>
    <w:rsid w:val="007B6A58"/>
    <w:rsid w:val="007C4035"/>
    <w:rsid w:val="007C4F01"/>
    <w:rsid w:val="007D1613"/>
    <w:rsid w:val="007D2158"/>
    <w:rsid w:val="007D3893"/>
    <w:rsid w:val="007D5385"/>
    <w:rsid w:val="007E3A58"/>
    <w:rsid w:val="007E5699"/>
    <w:rsid w:val="007E60D5"/>
    <w:rsid w:val="007E6B01"/>
    <w:rsid w:val="007E7E9F"/>
    <w:rsid w:val="00803615"/>
    <w:rsid w:val="00806A57"/>
    <w:rsid w:val="008103CB"/>
    <w:rsid w:val="0082113C"/>
    <w:rsid w:val="00824D19"/>
    <w:rsid w:val="00834CC5"/>
    <w:rsid w:val="0083752A"/>
    <w:rsid w:val="008404F1"/>
    <w:rsid w:val="008411CE"/>
    <w:rsid w:val="00842675"/>
    <w:rsid w:val="0086505C"/>
    <w:rsid w:val="008724F5"/>
    <w:rsid w:val="008730FF"/>
    <w:rsid w:val="008949AB"/>
    <w:rsid w:val="008A05DD"/>
    <w:rsid w:val="008A08CD"/>
    <w:rsid w:val="008A12D5"/>
    <w:rsid w:val="008A2F49"/>
    <w:rsid w:val="008A464A"/>
    <w:rsid w:val="008A6D76"/>
    <w:rsid w:val="008B2CC1"/>
    <w:rsid w:val="008B60B2"/>
    <w:rsid w:val="008B78C0"/>
    <w:rsid w:val="008C50B9"/>
    <w:rsid w:val="008C5179"/>
    <w:rsid w:val="008C5325"/>
    <w:rsid w:val="008F0928"/>
    <w:rsid w:val="008F11A5"/>
    <w:rsid w:val="008F2D50"/>
    <w:rsid w:val="008F5AD9"/>
    <w:rsid w:val="0090112E"/>
    <w:rsid w:val="009012F4"/>
    <w:rsid w:val="00902E44"/>
    <w:rsid w:val="0090731E"/>
    <w:rsid w:val="00916EE2"/>
    <w:rsid w:val="00917273"/>
    <w:rsid w:val="00934607"/>
    <w:rsid w:val="00936EDD"/>
    <w:rsid w:val="00943B6F"/>
    <w:rsid w:val="00965A13"/>
    <w:rsid w:val="00966A22"/>
    <w:rsid w:val="0096722F"/>
    <w:rsid w:val="00977BC2"/>
    <w:rsid w:val="00980843"/>
    <w:rsid w:val="00983A3D"/>
    <w:rsid w:val="00996B01"/>
    <w:rsid w:val="009A38E4"/>
    <w:rsid w:val="009A77F7"/>
    <w:rsid w:val="009B6304"/>
    <w:rsid w:val="009C1E41"/>
    <w:rsid w:val="009D1E96"/>
    <w:rsid w:val="009D6E25"/>
    <w:rsid w:val="009E2791"/>
    <w:rsid w:val="009E3F6F"/>
    <w:rsid w:val="009E4FD6"/>
    <w:rsid w:val="009E65F7"/>
    <w:rsid w:val="009F0809"/>
    <w:rsid w:val="009F499F"/>
    <w:rsid w:val="009F5C85"/>
    <w:rsid w:val="009F6335"/>
    <w:rsid w:val="00A00452"/>
    <w:rsid w:val="00A14F62"/>
    <w:rsid w:val="00A15C63"/>
    <w:rsid w:val="00A328AB"/>
    <w:rsid w:val="00A34DD2"/>
    <w:rsid w:val="00A4189B"/>
    <w:rsid w:val="00A42DAF"/>
    <w:rsid w:val="00A45BD8"/>
    <w:rsid w:val="00A604A1"/>
    <w:rsid w:val="00A63FB7"/>
    <w:rsid w:val="00A64595"/>
    <w:rsid w:val="00A6472F"/>
    <w:rsid w:val="00A66076"/>
    <w:rsid w:val="00A73A30"/>
    <w:rsid w:val="00A82535"/>
    <w:rsid w:val="00A85B8E"/>
    <w:rsid w:val="00AA2020"/>
    <w:rsid w:val="00AB7B8B"/>
    <w:rsid w:val="00AC1EE6"/>
    <w:rsid w:val="00AC205C"/>
    <w:rsid w:val="00AC2087"/>
    <w:rsid w:val="00AC5DD1"/>
    <w:rsid w:val="00AD3F15"/>
    <w:rsid w:val="00AE4C09"/>
    <w:rsid w:val="00AF0552"/>
    <w:rsid w:val="00AF15C1"/>
    <w:rsid w:val="00B0180F"/>
    <w:rsid w:val="00B01E23"/>
    <w:rsid w:val="00B0312D"/>
    <w:rsid w:val="00B05A69"/>
    <w:rsid w:val="00B06886"/>
    <w:rsid w:val="00B06DD5"/>
    <w:rsid w:val="00B101AE"/>
    <w:rsid w:val="00B1173A"/>
    <w:rsid w:val="00B312B7"/>
    <w:rsid w:val="00B312BA"/>
    <w:rsid w:val="00B70238"/>
    <w:rsid w:val="00B74001"/>
    <w:rsid w:val="00B75179"/>
    <w:rsid w:val="00B82A7E"/>
    <w:rsid w:val="00B9734B"/>
    <w:rsid w:val="00BA6AEF"/>
    <w:rsid w:val="00BB0310"/>
    <w:rsid w:val="00BB0BEE"/>
    <w:rsid w:val="00BB2445"/>
    <w:rsid w:val="00BB32D1"/>
    <w:rsid w:val="00BB3BAC"/>
    <w:rsid w:val="00BB7867"/>
    <w:rsid w:val="00BC00A4"/>
    <w:rsid w:val="00BC1979"/>
    <w:rsid w:val="00BD0B70"/>
    <w:rsid w:val="00BD676E"/>
    <w:rsid w:val="00BD72B3"/>
    <w:rsid w:val="00BD7792"/>
    <w:rsid w:val="00BD7F6F"/>
    <w:rsid w:val="00BE45F3"/>
    <w:rsid w:val="00BE4B4C"/>
    <w:rsid w:val="00BF05F3"/>
    <w:rsid w:val="00BF560F"/>
    <w:rsid w:val="00C06F2B"/>
    <w:rsid w:val="00C1091B"/>
    <w:rsid w:val="00C11BFE"/>
    <w:rsid w:val="00C122A8"/>
    <w:rsid w:val="00C15127"/>
    <w:rsid w:val="00C2080D"/>
    <w:rsid w:val="00C22571"/>
    <w:rsid w:val="00C2416F"/>
    <w:rsid w:val="00C31942"/>
    <w:rsid w:val="00C33958"/>
    <w:rsid w:val="00C35881"/>
    <w:rsid w:val="00C35939"/>
    <w:rsid w:val="00C52B8C"/>
    <w:rsid w:val="00C632AD"/>
    <w:rsid w:val="00C74EBB"/>
    <w:rsid w:val="00C80D7D"/>
    <w:rsid w:val="00C93EC6"/>
    <w:rsid w:val="00C94629"/>
    <w:rsid w:val="00CB010F"/>
    <w:rsid w:val="00CB364E"/>
    <w:rsid w:val="00CC334A"/>
    <w:rsid w:val="00CC4A7D"/>
    <w:rsid w:val="00CC7EF1"/>
    <w:rsid w:val="00CD3E85"/>
    <w:rsid w:val="00CD5975"/>
    <w:rsid w:val="00CD6233"/>
    <w:rsid w:val="00CF4F93"/>
    <w:rsid w:val="00D04D97"/>
    <w:rsid w:val="00D06607"/>
    <w:rsid w:val="00D13636"/>
    <w:rsid w:val="00D144A6"/>
    <w:rsid w:val="00D16D06"/>
    <w:rsid w:val="00D303CA"/>
    <w:rsid w:val="00D32670"/>
    <w:rsid w:val="00D35759"/>
    <w:rsid w:val="00D449AE"/>
    <w:rsid w:val="00D45252"/>
    <w:rsid w:val="00D61329"/>
    <w:rsid w:val="00D71B4D"/>
    <w:rsid w:val="00D73867"/>
    <w:rsid w:val="00D758B0"/>
    <w:rsid w:val="00D865CD"/>
    <w:rsid w:val="00D86ACE"/>
    <w:rsid w:val="00D86D7B"/>
    <w:rsid w:val="00D9108C"/>
    <w:rsid w:val="00D921D8"/>
    <w:rsid w:val="00D93D55"/>
    <w:rsid w:val="00DA2592"/>
    <w:rsid w:val="00DA2A56"/>
    <w:rsid w:val="00DA67DB"/>
    <w:rsid w:val="00DA6C37"/>
    <w:rsid w:val="00DB5FC1"/>
    <w:rsid w:val="00DC76C7"/>
    <w:rsid w:val="00DE3D3A"/>
    <w:rsid w:val="00DE6722"/>
    <w:rsid w:val="00DE6F27"/>
    <w:rsid w:val="00DE79B7"/>
    <w:rsid w:val="00DF23F9"/>
    <w:rsid w:val="00DF3804"/>
    <w:rsid w:val="00DF4AA7"/>
    <w:rsid w:val="00E00586"/>
    <w:rsid w:val="00E00FC9"/>
    <w:rsid w:val="00E16BAB"/>
    <w:rsid w:val="00E21835"/>
    <w:rsid w:val="00E21E82"/>
    <w:rsid w:val="00E25311"/>
    <w:rsid w:val="00E26B1A"/>
    <w:rsid w:val="00E30979"/>
    <w:rsid w:val="00E335FE"/>
    <w:rsid w:val="00E33D7C"/>
    <w:rsid w:val="00E40918"/>
    <w:rsid w:val="00E42E79"/>
    <w:rsid w:val="00E5021F"/>
    <w:rsid w:val="00E5518C"/>
    <w:rsid w:val="00E56205"/>
    <w:rsid w:val="00E6063C"/>
    <w:rsid w:val="00E6188A"/>
    <w:rsid w:val="00E63B5F"/>
    <w:rsid w:val="00E7149F"/>
    <w:rsid w:val="00E77897"/>
    <w:rsid w:val="00E979BE"/>
    <w:rsid w:val="00EA161C"/>
    <w:rsid w:val="00EA4EF1"/>
    <w:rsid w:val="00EA5567"/>
    <w:rsid w:val="00EC15B2"/>
    <w:rsid w:val="00EC29CC"/>
    <w:rsid w:val="00EC4E49"/>
    <w:rsid w:val="00EC5847"/>
    <w:rsid w:val="00ED39EB"/>
    <w:rsid w:val="00ED4F46"/>
    <w:rsid w:val="00ED761D"/>
    <w:rsid w:val="00ED77FB"/>
    <w:rsid w:val="00EE0936"/>
    <w:rsid w:val="00EF0002"/>
    <w:rsid w:val="00EF08B4"/>
    <w:rsid w:val="00EF3025"/>
    <w:rsid w:val="00F021A6"/>
    <w:rsid w:val="00F04E9F"/>
    <w:rsid w:val="00F06962"/>
    <w:rsid w:val="00F076DB"/>
    <w:rsid w:val="00F11C04"/>
    <w:rsid w:val="00F13513"/>
    <w:rsid w:val="00F15BDC"/>
    <w:rsid w:val="00F2018D"/>
    <w:rsid w:val="00F23878"/>
    <w:rsid w:val="00F3096E"/>
    <w:rsid w:val="00F316C6"/>
    <w:rsid w:val="00F36250"/>
    <w:rsid w:val="00F4127C"/>
    <w:rsid w:val="00F44414"/>
    <w:rsid w:val="00F455C1"/>
    <w:rsid w:val="00F4705D"/>
    <w:rsid w:val="00F47449"/>
    <w:rsid w:val="00F47C43"/>
    <w:rsid w:val="00F53D6C"/>
    <w:rsid w:val="00F55337"/>
    <w:rsid w:val="00F57BB5"/>
    <w:rsid w:val="00F66152"/>
    <w:rsid w:val="00F810C5"/>
    <w:rsid w:val="00F96EE7"/>
    <w:rsid w:val="00FA4B5F"/>
    <w:rsid w:val="00FB3776"/>
    <w:rsid w:val="00FB558D"/>
    <w:rsid w:val="00FB6080"/>
    <w:rsid w:val="00FD71F9"/>
    <w:rsid w:val="00FD77EF"/>
    <w:rsid w:val="00FE23B5"/>
    <w:rsid w:val="00FF2D0F"/>
    <w:rsid w:val="00FF4CFA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5D78A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link w:val="Footer"/>
    <w:rsid w:val="005D78A0"/>
    <w:rPr>
      <w:rFonts w:ascii="Arial" w:eastAsia="SimSun" w:hAnsi="Arial" w:cs="Arial"/>
      <w:sz w:val="22"/>
      <w:lang w:val="en-US" w:eastAsia="zh-CN" w:bidi="ar-SA"/>
    </w:rPr>
  </w:style>
  <w:style w:type="paragraph" w:customStyle="1" w:styleId="Char">
    <w:name w:val="Char 字元 字元"/>
    <w:basedOn w:val="Normal"/>
    <w:rsid w:val="008F092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FootnoteReference">
    <w:name w:val="footnote reference"/>
    <w:semiHidden/>
    <w:rsid w:val="002A1159"/>
    <w:rPr>
      <w:vertAlign w:val="superscript"/>
    </w:rPr>
  </w:style>
  <w:style w:type="paragraph" w:customStyle="1" w:styleId="TitleofDoc">
    <w:name w:val="Title of Doc"/>
    <w:basedOn w:val="Normal"/>
    <w:rsid w:val="00D326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BalloonText">
    <w:name w:val="Balloon Text"/>
    <w:basedOn w:val="Normal"/>
    <w:semiHidden/>
    <w:rsid w:val="00B06886"/>
    <w:rPr>
      <w:rFonts w:ascii="Tahoma" w:hAnsi="Tahoma" w:cs="Tahoma"/>
      <w:sz w:val="16"/>
      <w:szCs w:val="16"/>
    </w:rPr>
  </w:style>
  <w:style w:type="character" w:styleId="Hyperlink">
    <w:name w:val="Hyperlink"/>
    <w:rsid w:val="00BD7F6F"/>
    <w:rPr>
      <w:color w:val="0000FF"/>
      <w:u w:val="single"/>
    </w:rPr>
  </w:style>
  <w:style w:type="character" w:styleId="FollowedHyperlink">
    <w:name w:val="FollowedHyperlink"/>
    <w:rsid w:val="00B1173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14981</CharactersWithSpaces>
  <SharedDoc>false</SharedDoc>
  <HLinks>
    <vt:vector size="6" baseType="variant">
      <vt:variant>
        <vt:i4>5767173</vt:i4>
      </vt:variant>
      <vt:variant>
        <vt:i4>0</vt:i4>
      </vt:variant>
      <vt:variant>
        <vt:i4>0</vt:i4>
      </vt:variant>
      <vt:variant>
        <vt:i4>5</vt:i4>
      </vt:variant>
      <vt:variant>
        <vt:lpwstr>http://wipo.int/tk/en/igc/panels.html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keywords>MHF/LM/ko</cp:keywords>
  <cp:lastModifiedBy>MORENO PALESTINI Maria Del Pilar</cp:lastModifiedBy>
  <cp:revision>5</cp:revision>
  <cp:lastPrinted>2016-02-11T10:27:00Z</cp:lastPrinted>
  <dcterms:created xsi:type="dcterms:W3CDTF">2016-02-11T09:00:00Z</dcterms:created>
  <dcterms:modified xsi:type="dcterms:W3CDTF">2016-02-11T10:28:00Z</dcterms:modified>
</cp:coreProperties>
</file>