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D177A9" w:rsidRPr="00BF4F07" w14:paraId="2E8A878E" w14:textId="77777777" w:rsidTr="00B66725">
        <w:tc>
          <w:tcPr>
            <w:tcW w:w="4513" w:type="dxa"/>
            <w:tcBorders>
              <w:bottom w:val="single" w:sz="4" w:space="0" w:color="auto"/>
            </w:tcBorders>
            <w:tcMar>
              <w:bottom w:w="170" w:type="dxa"/>
            </w:tcMar>
          </w:tcPr>
          <w:p w14:paraId="6AC8217A" w14:textId="77777777" w:rsidR="00D177A9" w:rsidRPr="00BF4F07" w:rsidRDefault="00D177A9" w:rsidP="00B66725">
            <w:pPr>
              <w:rPr>
                <w:lang w:val="fr-FR"/>
              </w:rPr>
            </w:pPr>
            <w:bookmarkStart w:id="0" w:name="TitleOfDoc"/>
            <w:bookmarkEnd w:id="0"/>
          </w:p>
        </w:tc>
        <w:tc>
          <w:tcPr>
            <w:tcW w:w="4337" w:type="dxa"/>
            <w:tcBorders>
              <w:bottom w:val="single" w:sz="4" w:space="0" w:color="auto"/>
            </w:tcBorders>
            <w:tcMar>
              <w:left w:w="0" w:type="dxa"/>
              <w:right w:w="0" w:type="dxa"/>
            </w:tcMar>
          </w:tcPr>
          <w:p w14:paraId="1AB93A10" w14:textId="77777777" w:rsidR="00D177A9" w:rsidRPr="00BF4F07" w:rsidRDefault="00D177A9" w:rsidP="00B66725">
            <w:pPr>
              <w:rPr>
                <w:lang w:val="fr-FR"/>
              </w:rPr>
            </w:pPr>
            <w:r w:rsidRPr="00BF4F07">
              <w:rPr>
                <w:lang w:val="fr-FR" w:eastAsia="fr-CH"/>
              </w:rPr>
              <w:drawing>
                <wp:inline distT="0" distB="0" distL="0" distR="0" wp14:anchorId="2463015D" wp14:editId="05380642">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4EF52B4A" w14:textId="77777777" w:rsidR="00D177A9" w:rsidRPr="00BF4F07" w:rsidRDefault="00D177A9" w:rsidP="00B66725">
            <w:pPr>
              <w:jc w:val="right"/>
              <w:rPr>
                <w:lang w:val="fr-FR"/>
              </w:rPr>
            </w:pPr>
            <w:r w:rsidRPr="00BF4F07">
              <w:rPr>
                <w:b/>
                <w:sz w:val="40"/>
                <w:szCs w:val="40"/>
                <w:lang w:val="fr-FR"/>
              </w:rPr>
              <w:t>F</w:t>
            </w:r>
          </w:p>
        </w:tc>
      </w:tr>
      <w:tr w:rsidR="00D177A9" w:rsidRPr="00BF4F07" w14:paraId="10C6E40C" w14:textId="77777777" w:rsidTr="00B66725">
        <w:trPr>
          <w:trHeight w:hRule="exact" w:val="357"/>
        </w:trPr>
        <w:tc>
          <w:tcPr>
            <w:tcW w:w="9356" w:type="dxa"/>
            <w:gridSpan w:val="3"/>
            <w:tcBorders>
              <w:top w:val="single" w:sz="4" w:space="0" w:color="auto"/>
            </w:tcBorders>
            <w:tcMar>
              <w:top w:w="170" w:type="dxa"/>
              <w:left w:w="0" w:type="dxa"/>
              <w:right w:w="0" w:type="dxa"/>
            </w:tcMar>
            <w:vAlign w:val="bottom"/>
          </w:tcPr>
          <w:p w14:paraId="137F2BFA" w14:textId="06C77FFE" w:rsidR="00D177A9" w:rsidRPr="00BF4F07" w:rsidRDefault="00D177A9" w:rsidP="00D177A9">
            <w:pPr>
              <w:jc w:val="right"/>
              <w:rPr>
                <w:rFonts w:ascii="Arial Black" w:hAnsi="Arial Black"/>
                <w:caps/>
                <w:sz w:val="15"/>
                <w:lang w:val="fr-FR"/>
              </w:rPr>
            </w:pPr>
            <w:r w:rsidRPr="00BF4F07">
              <w:rPr>
                <w:rFonts w:ascii="Arial Black" w:hAnsi="Arial Black"/>
                <w:caps/>
                <w:sz w:val="15"/>
                <w:lang w:val="fr-FR"/>
              </w:rPr>
              <w:t>WIPO/EXP/IPTK/GE/19/</w:t>
            </w:r>
            <w:r w:rsidRPr="00BF4F07">
              <w:rPr>
                <w:rFonts w:ascii="Arial Black" w:hAnsi="Arial Black"/>
                <w:caps/>
                <w:sz w:val="15"/>
                <w:lang w:val="fr-FR"/>
              </w:rPr>
              <w:t>2</w:t>
            </w:r>
          </w:p>
        </w:tc>
      </w:tr>
      <w:tr w:rsidR="00D177A9" w:rsidRPr="00BF4F07" w14:paraId="386B6083" w14:textId="77777777" w:rsidTr="00B66725">
        <w:trPr>
          <w:trHeight w:hRule="exact" w:val="170"/>
        </w:trPr>
        <w:tc>
          <w:tcPr>
            <w:tcW w:w="9356" w:type="dxa"/>
            <w:gridSpan w:val="3"/>
            <w:noWrap/>
            <w:tcMar>
              <w:left w:w="0" w:type="dxa"/>
              <w:right w:w="0" w:type="dxa"/>
            </w:tcMar>
            <w:vAlign w:val="bottom"/>
          </w:tcPr>
          <w:p w14:paraId="39276C1D" w14:textId="77777777" w:rsidR="00D177A9" w:rsidRPr="00BF4F07" w:rsidRDefault="00D177A9" w:rsidP="00B66725">
            <w:pPr>
              <w:jc w:val="right"/>
              <w:rPr>
                <w:rFonts w:ascii="Arial Black" w:hAnsi="Arial Black"/>
                <w:caps/>
                <w:sz w:val="15"/>
                <w:lang w:val="fr-FR"/>
              </w:rPr>
            </w:pPr>
            <w:r w:rsidRPr="00BF4F07">
              <w:rPr>
                <w:rFonts w:ascii="Arial Black" w:hAnsi="Arial Black"/>
                <w:caps/>
                <w:sz w:val="15"/>
                <w:lang w:val="fr-FR"/>
              </w:rPr>
              <w:t xml:space="preserve">ORIGINAL : </w:t>
            </w:r>
            <w:bookmarkStart w:id="1" w:name="Original"/>
            <w:bookmarkEnd w:id="1"/>
            <w:r w:rsidRPr="00BF4F07">
              <w:rPr>
                <w:rFonts w:ascii="Arial Black" w:hAnsi="Arial Black"/>
                <w:caps/>
                <w:sz w:val="15"/>
                <w:lang w:val="fr-FR"/>
              </w:rPr>
              <w:t xml:space="preserve">anglais </w:t>
            </w:r>
          </w:p>
        </w:tc>
      </w:tr>
      <w:tr w:rsidR="00D177A9" w:rsidRPr="00BF4F07" w14:paraId="7B689079" w14:textId="77777777" w:rsidTr="00B66725">
        <w:trPr>
          <w:trHeight w:hRule="exact" w:val="198"/>
        </w:trPr>
        <w:tc>
          <w:tcPr>
            <w:tcW w:w="9356" w:type="dxa"/>
            <w:gridSpan w:val="3"/>
            <w:tcMar>
              <w:left w:w="0" w:type="dxa"/>
              <w:right w:w="0" w:type="dxa"/>
            </w:tcMar>
            <w:vAlign w:val="bottom"/>
          </w:tcPr>
          <w:p w14:paraId="0A62627A" w14:textId="77777777" w:rsidR="00D177A9" w:rsidRPr="00BF4F07" w:rsidRDefault="00D177A9" w:rsidP="00B66725">
            <w:pPr>
              <w:jc w:val="right"/>
              <w:rPr>
                <w:rFonts w:ascii="Arial Black" w:hAnsi="Arial Black"/>
                <w:caps/>
                <w:sz w:val="15"/>
                <w:lang w:val="fr-FR"/>
              </w:rPr>
            </w:pPr>
            <w:r w:rsidRPr="00BF4F07">
              <w:rPr>
                <w:rFonts w:ascii="Arial Black" w:hAnsi="Arial Black"/>
                <w:caps/>
                <w:sz w:val="15"/>
                <w:lang w:val="fr-FR"/>
              </w:rPr>
              <w:t xml:space="preserve">DATE : </w:t>
            </w:r>
            <w:bookmarkStart w:id="2" w:name="Date"/>
            <w:bookmarkEnd w:id="2"/>
            <w:r w:rsidRPr="00BF4F07">
              <w:rPr>
                <w:rFonts w:ascii="Arial Black" w:hAnsi="Arial Black"/>
                <w:caps/>
                <w:sz w:val="15"/>
                <w:lang w:val="fr-FR"/>
              </w:rPr>
              <w:t xml:space="preserve">5 mars 2019 </w:t>
            </w:r>
          </w:p>
        </w:tc>
      </w:tr>
    </w:tbl>
    <w:p w14:paraId="5434A06C" w14:textId="77777777" w:rsidR="004346E8" w:rsidRDefault="004346E8" w:rsidP="00D177A9">
      <w:pPr>
        <w:rPr>
          <w:lang w:val="fr-FR"/>
        </w:rPr>
      </w:pPr>
    </w:p>
    <w:p w14:paraId="01FB4301" w14:textId="77777777" w:rsidR="004346E8" w:rsidRDefault="004346E8" w:rsidP="00D177A9">
      <w:pPr>
        <w:rPr>
          <w:lang w:val="fr-FR"/>
        </w:rPr>
      </w:pPr>
    </w:p>
    <w:p w14:paraId="1F4622D4" w14:textId="77777777" w:rsidR="004346E8" w:rsidRDefault="004346E8" w:rsidP="00D177A9">
      <w:pPr>
        <w:rPr>
          <w:lang w:val="fr-FR"/>
        </w:rPr>
      </w:pPr>
    </w:p>
    <w:p w14:paraId="60B2F1F6" w14:textId="77777777" w:rsidR="004346E8" w:rsidRDefault="004346E8" w:rsidP="00D177A9">
      <w:pPr>
        <w:rPr>
          <w:lang w:val="fr-FR"/>
        </w:rPr>
      </w:pPr>
    </w:p>
    <w:p w14:paraId="389D0A2E" w14:textId="77777777" w:rsidR="004346E8" w:rsidRDefault="00D177A9" w:rsidP="00D177A9">
      <w:pPr>
        <w:rPr>
          <w:lang w:val="fr-FR"/>
        </w:rPr>
      </w:pPr>
      <w:r w:rsidRPr="00BF4F07">
        <w:rPr>
          <w:b/>
          <w:sz w:val="28"/>
          <w:szCs w:val="28"/>
          <w:lang w:val="fr-FR"/>
        </w:rPr>
        <w:t>Groupe spécial d’experts sur les savoirs traditionnels et les expressions culturelles traditionnelles</w:t>
      </w:r>
    </w:p>
    <w:p w14:paraId="7B9C59A7" w14:textId="77777777" w:rsidR="004346E8" w:rsidRDefault="004346E8" w:rsidP="00D177A9">
      <w:pPr>
        <w:rPr>
          <w:lang w:val="fr-FR"/>
        </w:rPr>
      </w:pPr>
    </w:p>
    <w:p w14:paraId="38285ECB" w14:textId="77777777" w:rsidR="004346E8" w:rsidRDefault="004346E8" w:rsidP="00D177A9">
      <w:pPr>
        <w:rPr>
          <w:lang w:val="fr-FR"/>
        </w:rPr>
      </w:pPr>
    </w:p>
    <w:p w14:paraId="6C793370" w14:textId="77777777" w:rsidR="004346E8" w:rsidRDefault="00D177A9" w:rsidP="00D177A9">
      <w:pPr>
        <w:rPr>
          <w:lang w:val="fr-FR"/>
        </w:rPr>
      </w:pPr>
      <w:r w:rsidRPr="00BF4F07">
        <w:rPr>
          <w:b/>
          <w:sz w:val="24"/>
          <w:szCs w:val="24"/>
          <w:lang w:val="fr-FR"/>
        </w:rPr>
        <w:t>Genève, 17 mars 2019</w:t>
      </w:r>
    </w:p>
    <w:p w14:paraId="00B74ACD" w14:textId="77777777" w:rsidR="004346E8" w:rsidRDefault="004346E8" w:rsidP="00D177A9">
      <w:pPr>
        <w:rPr>
          <w:lang w:val="fr-FR"/>
        </w:rPr>
      </w:pPr>
    </w:p>
    <w:p w14:paraId="12BD385F" w14:textId="77777777" w:rsidR="004346E8" w:rsidRDefault="004346E8" w:rsidP="00D177A9">
      <w:pPr>
        <w:rPr>
          <w:lang w:val="fr-FR"/>
        </w:rPr>
      </w:pPr>
    </w:p>
    <w:p w14:paraId="00285A33" w14:textId="77777777" w:rsidR="004346E8" w:rsidRDefault="004346E8" w:rsidP="00D177A9">
      <w:pPr>
        <w:rPr>
          <w:lang w:val="fr-FR"/>
        </w:rPr>
      </w:pPr>
    </w:p>
    <w:p w14:paraId="07ED9B1A" w14:textId="77777777" w:rsidR="004346E8" w:rsidRDefault="00BF4F07" w:rsidP="00BF4F07">
      <w:pPr>
        <w:rPr>
          <w:caps/>
          <w:sz w:val="24"/>
          <w:lang w:val="fr-FR"/>
        </w:rPr>
      </w:pPr>
      <w:r w:rsidRPr="008520E8">
        <w:rPr>
          <w:caps/>
          <w:sz w:val="24"/>
          <w:lang w:val="fr-FR"/>
        </w:rPr>
        <w:t>Note d’information de fond</w:t>
      </w:r>
    </w:p>
    <w:p w14:paraId="4163F96B" w14:textId="77777777" w:rsidR="004346E8" w:rsidRDefault="004346E8" w:rsidP="000D4BD5">
      <w:pPr>
        <w:rPr>
          <w:lang w:val="fr-FR"/>
        </w:rPr>
      </w:pPr>
    </w:p>
    <w:p w14:paraId="29CC769B" w14:textId="77777777" w:rsidR="004346E8" w:rsidRDefault="00BF4F07" w:rsidP="00BF4F07">
      <w:pPr>
        <w:rPr>
          <w:i/>
          <w:lang w:val="fr-FR"/>
        </w:rPr>
      </w:pPr>
      <w:bookmarkStart w:id="3" w:name="Prepared"/>
      <w:bookmarkEnd w:id="3"/>
      <w:proofErr w:type="gramStart"/>
      <w:r w:rsidRPr="008520E8">
        <w:rPr>
          <w:i/>
          <w:lang w:val="fr-FR"/>
        </w:rPr>
        <w:t>établie</w:t>
      </w:r>
      <w:proofErr w:type="gramEnd"/>
      <w:r w:rsidRPr="008520E8">
        <w:rPr>
          <w:i/>
          <w:lang w:val="fr-FR"/>
        </w:rPr>
        <w:t xml:space="preserve"> par le Bureau international de l’OMPI</w:t>
      </w:r>
    </w:p>
    <w:p w14:paraId="23EEDA9F" w14:textId="77777777" w:rsidR="004346E8" w:rsidRDefault="004346E8" w:rsidP="000D4BD5">
      <w:pPr>
        <w:rPr>
          <w:lang w:val="fr-FR"/>
        </w:rPr>
      </w:pPr>
    </w:p>
    <w:p w14:paraId="1D45D616" w14:textId="77777777" w:rsidR="004346E8" w:rsidRDefault="004346E8" w:rsidP="000D4BD5">
      <w:pPr>
        <w:rPr>
          <w:lang w:val="fr-FR"/>
        </w:rPr>
      </w:pPr>
    </w:p>
    <w:p w14:paraId="1B32D90B" w14:textId="77777777" w:rsidR="004346E8" w:rsidRDefault="004346E8">
      <w:pPr>
        <w:rPr>
          <w:lang w:val="fr-FR"/>
        </w:rPr>
      </w:pPr>
    </w:p>
    <w:p w14:paraId="604D1FDB" w14:textId="77777777" w:rsidR="004346E8" w:rsidRDefault="000D4BD5">
      <w:pPr>
        <w:rPr>
          <w:lang w:val="fr-FR"/>
        </w:rPr>
      </w:pPr>
      <w:r w:rsidRPr="00BF4F07">
        <w:rPr>
          <w:lang w:val="fr-FR"/>
        </w:rPr>
        <w:br w:type="page"/>
      </w:r>
    </w:p>
    <w:p w14:paraId="7131DD74" w14:textId="07C9346B" w:rsidR="004346E8" w:rsidRDefault="00BF4F07" w:rsidP="008520E8">
      <w:pPr>
        <w:pStyle w:val="ONUMFS"/>
        <w:rPr>
          <w:lang w:val="fr-FR"/>
        </w:rPr>
      </w:pPr>
      <w:r w:rsidRPr="006A56DF">
        <w:rPr>
          <w:lang w:val="fr-FR"/>
        </w:rPr>
        <w:lastRenderedPageBreak/>
        <w:t>Conformément au mandat du Comité intergouvernemental de la propriété intellectuelle relative aux ressources génétiques, aux savoirs traditionnels et au folklore (“IGC”) et aux décisions de</w:t>
      </w:r>
      <w:r w:rsidRPr="00CD3406">
        <w:rPr>
          <w:color w:val="000000"/>
          <w:lang w:val="fr-FR"/>
        </w:rPr>
        <w:t>s</w:t>
      </w:r>
      <w:r w:rsidRPr="006A56DF">
        <w:rPr>
          <w:lang w:val="fr-FR"/>
        </w:rPr>
        <w:t xml:space="preserve"> trente-septième </w:t>
      </w:r>
      <w:r w:rsidRPr="00CD3406">
        <w:rPr>
          <w:color w:val="000000"/>
          <w:lang w:val="fr-FR"/>
        </w:rPr>
        <w:t xml:space="preserve">et trente-huitième </w:t>
      </w:r>
      <w:r w:rsidRPr="006A56DF">
        <w:rPr>
          <w:lang w:val="fr-FR"/>
        </w:rPr>
        <w:t>session</w:t>
      </w:r>
      <w:r w:rsidRPr="00CD3406">
        <w:rPr>
          <w:color w:val="000000"/>
          <w:lang w:val="fr-FR"/>
        </w:rPr>
        <w:t>s</w:t>
      </w:r>
      <w:r w:rsidRPr="006A56DF">
        <w:rPr>
          <w:lang w:val="fr-FR"/>
        </w:rPr>
        <w:t xml:space="preserve"> de l’IGC, l’objectif général du Groupe spécial d’experts sur les savoirs traditionnels et les expressions culturelles traditionnelles est de traiter des questions précises d’ordre juridique, politique ou technique.</w:t>
      </w:r>
      <w:r w:rsidRPr="003273FE">
        <w:rPr>
          <w:lang w:val="fr-FR"/>
        </w:rPr>
        <w:t xml:space="preserve">  </w:t>
      </w:r>
      <w:r w:rsidRPr="006A56DF">
        <w:rPr>
          <w:lang w:val="fr-FR"/>
        </w:rPr>
        <w:t>Les résultats de ces travaux feront l’objet d’un rapport et seront examinés par l’IGC.</w:t>
      </w:r>
    </w:p>
    <w:p w14:paraId="2109AAAC" w14:textId="77777777" w:rsidR="004346E8" w:rsidRDefault="004346E8" w:rsidP="00610789">
      <w:pPr>
        <w:rPr>
          <w:szCs w:val="22"/>
          <w:lang w:val="fr-FR"/>
        </w:rPr>
      </w:pPr>
    </w:p>
    <w:p w14:paraId="182013B2" w14:textId="14B9E493" w:rsidR="004346E8" w:rsidRDefault="00BF4F07" w:rsidP="008520E8">
      <w:pPr>
        <w:pStyle w:val="ONUMFS"/>
        <w:rPr>
          <w:lang w:val="fr-FR"/>
        </w:rPr>
      </w:pPr>
      <w:r w:rsidRPr="008520E8">
        <w:rPr>
          <w:lang w:val="fr-FR"/>
        </w:rPr>
        <w:t xml:space="preserve">Conformément aux décisions prises </w:t>
      </w:r>
      <w:r w:rsidRPr="00BF4F07">
        <w:rPr>
          <w:color w:val="000000"/>
          <w:lang w:val="fr-FR"/>
        </w:rPr>
        <w:t>aux</w:t>
      </w:r>
      <w:r w:rsidRPr="008520E8">
        <w:rPr>
          <w:lang w:val="fr-FR"/>
        </w:rPr>
        <w:t xml:space="preserve"> trente-septième </w:t>
      </w:r>
      <w:r w:rsidRPr="00BF4F07">
        <w:rPr>
          <w:color w:val="000000"/>
          <w:lang w:val="fr-FR"/>
        </w:rPr>
        <w:t xml:space="preserve">et trente-huitième </w:t>
      </w:r>
      <w:r w:rsidRPr="008520E8">
        <w:rPr>
          <w:lang w:val="fr-FR"/>
        </w:rPr>
        <w:t>session</w:t>
      </w:r>
      <w:r w:rsidRPr="00BF4F07">
        <w:rPr>
          <w:color w:val="000000"/>
          <w:lang w:val="fr-FR"/>
        </w:rPr>
        <w:t>s</w:t>
      </w:r>
      <w:r w:rsidRPr="008520E8">
        <w:rPr>
          <w:lang w:val="fr-FR"/>
        </w:rPr>
        <w:t xml:space="preserve"> de l’IGC, les États membres, par l’intermédiaire des coordonnateurs régionaux, ont été invités à suggérer des questions précises à soumettre à l’examen du groupe spécial d’experts.</w:t>
      </w:r>
      <w:r w:rsidR="00610789" w:rsidRPr="00BF4F07">
        <w:rPr>
          <w:lang w:val="fr-FR"/>
        </w:rPr>
        <w:t xml:space="preserve">  </w:t>
      </w:r>
      <w:r w:rsidRPr="008520E8">
        <w:rPr>
          <w:lang w:val="fr-FR"/>
        </w:rPr>
        <w:t>Le président et les vice-présidents de l’IGC ont ensuite établi une liste de questions à partir des suggestions formulées par les États membres et l’ont transmise aux coordonnateurs régionaux pour commentaires.</w:t>
      </w:r>
      <w:r w:rsidR="00610789" w:rsidRPr="00BF4F07">
        <w:rPr>
          <w:lang w:val="fr-FR"/>
        </w:rPr>
        <w:t xml:space="preserve">  </w:t>
      </w:r>
      <w:r w:rsidRPr="008520E8">
        <w:rPr>
          <w:lang w:val="fr-FR"/>
        </w:rPr>
        <w:t>En se fondant sur ce qui précède, le président et les vice-présidents ont établi la liste comme suit</w:t>
      </w:r>
      <w:r w:rsidR="00D11DE7">
        <w:rPr>
          <w:lang w:val="fr-FR"/>
        </w:rPr>
        <w:t> </w:t>
      </w:r>
      <w:r w:rsidRPr="008520E8">
        <w:rPr>
          <w:lang w:val="fr-FR"/>
        </w:rPr>
        <w:t>:</w:t>
      </w:r>
      <w:r w:rsidR="00572A09" w:rsidRPr="00BF4F07">
        <w:rPr>
          <w:lang w:val="fr-FR"/>
        </w:rPr>
        <w:t xml:space="preserve">  </w:t>
      </w:r>
    </w:p>
    <w:p w14:paraId="21A05647" w14:textId="77777777" w:rsidR="004346E8" w:rsidRDefault="004346E8" w:rsidP="00610789">
      <w:pPr>
        <w:rPr>
          <w:lang w:val="fr-FR"/>
        </w:rPr>
      </w:pPr>
    </w:p>
    <w:p w14:paraId="5C9D8A0D" w14:textId="3563AB65" w:rsidR="004346E8" w:rsidRDefault="00D11DE7" w:rsidP="00BF4F07">
      <w:pPr>
        <w:rPr>
          <w:rFonts w:eastAsia="DengXian"/>
          <w:szCs w:val="22"/>
          <w:lang w:val="fr-FR"/>
        </w:rPr>
      </w:pPr>
      <w:r>
        <w:rPr>
          <w:rFonts w:eastAsia="DengXian"/>
          <w:szCs w:val="22"/>
          <w:lang w:val="fr-FR"/>
        </w:rPr>
        <w:t>“</w:t>
      </w:r>
      <w:r w:rsidR="00BF4F07" w:rsidRPr="00BF4F07">
        <w:rPr>
          <w:rFonts w:eastAsia="DengXian"/>
          <w:color w:val="000000"/>
          <w:szCs w:val="22"/>
          <w:lang w:val="fr-FR"/>
        </w:rPr>
        <w:t>En ce qui concerne les</w:t>
      </w:r>
      <w:r w:rsidR="00BF4F07" w:rsidRPr="008520E8">
        <w:rPr>
          <w:rFonts w:eastAsia="DengXian"/>
          <w:szCs w:val="22"/>
          <w:lang w:val="fr-FR"/>
        </w:rPr>
        <w:t xml:space="preserve"> savoirs traditionnels et</w:t>
      </w:r>
      <w:r w:rsidR="00BF4F07" w:rsidRPr="00BF4F07">
        <w:rPr>
          <w:rFonts w:eastAsia="DengXian"/>
          <w:color w:val="000000"/>
          <w:szCs w:val="22"/>
          <w:lang w:val="fr-FR"/>
        </w:rPr>
        <w:t xml:space="preserve"> les</w:t>
      </w:r>
      <w:r w:rsidR="00BF4F07" w:rsidRPr="008520E8">
        <w:rPr>
          <w:rFonts w:eastAsia="DengXian"/>
          <w:szCs w:val="22"/>
          <w:lang w:val="fr-FR"/>
        </w:rPr>
        <w:t xml:space="preserve"> expressions culturelles traditionnelles,</w:t>
      </w:r>
    </w:p>
    <w:p w14:paraId="22C60844" w14:textId="77777777" w:rsidR="004346E8" w:rsidRDefault="004346E8" w:rsidP="00BF4F07">
      <w:pPr>
        <w:ind w:left="360"/>
        <w:rPr>
          <w:rFonts w:eastAsia="DengXian"/>
          <w:szCs w:val="22"/>
          <w:lang w:val="fr-FR"/>
        </w:rPr>
      </w:pPr>
    </w:p>
    <w:p w14:paraId="52250C6F" w14:textId="77777777" w:rsidR="004346E8" w:rsidRDefault="00BF4F07" w:rsidP="00BF4F07">
      <w:pPr>
        <w:numPr>
          <w:ilvl w:val="0"/>
          <w:numId w:val="25"/>
        </w:numPr>
        <w:ind w:left="720"/>
        <w:contextualSpacing/>
        <w:rPr>
          <w:rFonts w:eastAsia="DengXian"/>
          <w:szCs w:val="22"/>
          <w:lang w:val="fr-FR"/>
        </w:rPr>
      </w:pPr>
      <w:r w:rsidRPr="006A56DF">
        <w:rPr>
          <w:rFonts w:eastAsia="DengXian"/>
          <w:szCs w:val="22"/>
          <w:lang w:val="fr-FR"/>
        </w:rPr>
        <w:t>Objet, y compris définitions connexes</w:t>
      </w:r>
      <w:r w:rsidRPr="00CD3406">
        <w:rPr>
          <w:rFonts w:eastAsia="DengXian"/>
          <w:color w:val="000000"/>
          <w:szCs w:val="22"/>
          <w:lang w:val="fr-FR"/>
        </w:rPr>
        <w:t>.</w:t>
      </w:r>
    </w:p>
    <w:p w14:paraId="725AD9F5" w14:textId="77777777" w:rsidR="004346E8" w:rsidRDefault="004346E8" w:rsidP="00BF4F07">
      <w:pPr>
        <w:ind w:left="720"/>
        <w:contextualSpacing/>
        <w:rPr>
          <w:rFonts w:eastAsia="DengXian"/>
          <w:szCs w:val="22"/>
          <w:lang w:val="fr-FR"/>
        </w:rPr>
      </w:pPr>
    </w:p>
    <w:p w14:paraId="20AF3561" w14:textId="77777777" w:rsidR="004346E8" w:rsidRDefault="00BF4F07" w:rsidP="00BF4F07">
      <w:pPr>
        <w:numPr>
          <w:ilvl w:val="0"/>
          <w:numId w:val="25"/>
        </w:numPr>
        <w:ind w:left="720"/>
        <w:contextualSpacing/>
        <w:rPr>
          <w:rFonts w:eastAsia="DengXian"/>
          <w:szCs w:val="22"/>
          <w:lang w:val="fr-FR"/>
        </w:rPr>
      </w:pPr>
      <w:r w:rsidRPr="00CD3406">
        <w:rPr>
          <w:rFonts w:eastAsia="DengXian"/>
          <w:color w:val="000000"/>
          <w:szCs w:val="22"/>
          <w:lang w:val="fr-FR"/>
        </w:rPr>
        <w:t>É</w:t>
      </w:r>
      <w:r w:rsidRPr="006A56DF">
        <w:rPr>
          <w:rFonts w:eastAsia="DengXian"/>
          <w:szCs w:val="22"/>
          <w:lang w:val="fr-FR"/>
        </w:rPr>
        <w:t>tendue de la protection</w:t>
      </w:r>
    </w:p>
    <w:p w14:paraId="0F58B3A1" w14:textId="77777777" w:rsidR="004346E8" w:rsidRDefault="00BF4F07" w:rsidP="00BF4F07">
      <w:pPr>
        <w:numPr>
          <w:ilvl w:val="1"/>
          <w:numId w:val="25"/>
        </w:numPr>
        <w:ind w:left="1440"/>
        <w:contextualSpacing/>
        <w:rPr>
          <w:rFonts w:eastAsia="DengXian"/>
          <w:szCs w:val="22"/>
          <w:lang w:val="fr-FR"/>
        </w:rPr>
      </w:pPr>
      <w:proofErr w:type="gramStart"/>
      <w:r w:rsidRPr="00CD3406">
        <w:rPr>
          <w:rFonts w:eastAsia="DengXian"/>
          <w:color w:val="000000"/>
          <w:szCs w:val="22"/>
          <w:lang w:val="fr-FR"/>
        </w:rPr>
        <w:t>p</w:t>
      </w:r>
      <w:r w:rsidRPr="006A56DF">
        <w:rPr>
          <w:rFonts w:eastAsia="DengXian"/>
          <w:szCs w:val="22"/>
          <w:lang w:val="fr-FR"/>
        </w:rPr>
        <w:t>oursuite</w:t>
      </w:r>
      <w:proofErr w:type="gramEnd"/>
      <w:r w:rsidRPr="006A56DF">
        <w:rPr>
          <w:rFonts w:eastAsia="DengXian"/>
          <w:szCs w:val="22"/>
          <w:lang w:val="fr-FR"/>
        </w:rPr>
        <w:t xml:space="preserve"> de l</w:t>
      </w:r>
      <w:r>
        <w:rPr>
          <w:rFonts w:eastAsia="DengXian"/>
          <w:szCs w:val="22"/>
          <w:lang w:val="fr-FR"/>
        </w:rPr>
        <w:t>’</w:t>
      </w:r>
      <w:r w:rsidRPr="006A56DF">
        <w:rPr>
          <w:rFonts w:eastAsia="DengXian"/>
          <w:szCs w:val="22"/>
          <w:lang w:val="fr-FR"/>
        </w:rPr>
        <w:t>examen d</w:t>
      </w:r>
      <w:r>
        <w:rPr>
          <w:rFonts w:eastAsia="DengXian"/>
          <w:szCs w:val="22"/>
          <w:lang w:val="fr-FR"/>
        </w:rPr>
        <w:t>’</w:t>
      </w:r>
      <w:r w:rsidRPr="006A56DF">
        <w:rPr>
          <w:rFonts w:eastAsia="DengXian"/>
          <w:szCs w:val="22"/>
          <w:lang w:val="fr-FR"/>
        </w:rPr>
        <w:t xml:space="preserve">une éventuelle </w:t>
      </w:r>
      <w:r>
        <w:rPr>
          <w:rFonts w:eastAsia="DengXian"/>
          <w:szCs w:val="22"/>
          <w:lang w:val="fr-FR"/>
        </w:rPr>
        <w:t>“</w:t>
      </w:r>
      <w:r w:rsidRPr="006A56DF">
        <w:rPr>
          <w:rFonts w:eastAsia="DengXian"/>
          <w:szCs w:val="22"/>
          <w:lang w:val="fr-FR"/>
        </w:rPr>
        <w:t>approche progressive</w:t>
      </w:r>
      <w:r>
        <w:rPr>
          <w:rFonts w:eastAsia="DengXian"/>
          <w:szCs w:val="22"/>
          <w:lang w:val="fr-FR"/>
        </w:rPr>
        <w:t>”</w:t>
      </w:r>
      <w:r w:rsidRPr="006A56DF">
        <w:rPr>
          <w:rFonts w:eastAsia="DengXian"/>
          <w:szCs w:val="22"/>
          <w:lang w:val="fr-FR"/>
        </w:rPr>
        <w:t xml:space="preserve"> (protection différenciée)</w:t>
      </w:r>
    </w:p>
    <w:p w14:paraId="035CD6AB" w14:textId="49C5EA2F" w:rsidR="004346E8" w:rsidRDefault="00346E11" w:rsidP="00BF4F07">
      <w:pPr>
        <w:numPr>
          <w:ilvl w:val="1"/>
          <w:numId w:val="25"/>
        </w:numPr>
        <w:ind w:left="1440"/>
        <w:contextualSpacing/>
        <w:rPr>
          <w:rFonts w:eastAsia="DengXian"/>
          <w:szCs w:val="22"/>
          <w:lang w:val="fr-FR"/>
        </w:rPr>
      </w:pPr>
      <w:proofErr w:type="gramStart"/>
      <w:r>
        <w:rPr>
          <w:rFonts w:eastAsia="DengXian"/>
          <w:color w:val="000000"/>
          <w:szCs w:val="22"/>
          <w:lang w:val="fr-FR"/>
        </w:rPr>
        <w:t>critères</w:t>
      </w:r>
      <w:proofErr w:type="gramEnd"/>
      <w:r w:rsidR="00BF4F07" w:rsidRPr="006A56DF">
        <w:rPr>
          <w:rFonts w:eastAsia="DengXian"/>
          <w:szCs w:val="22"/>
          <w:lang w:val="fr-FR"/>
        </w:rPr>
        <w:t xml:space="preserve"> </w:t>
      </w:r>
      <w:r w:rsidR="00BF4F07" w:rsidRPr="00CD3406">
        <w:rPr>
          <w:rFonts w:eastAsia="DengXian"/>
          <w:color w:val="000000"/>
          <w:szCs w:val="22"/>
          <w:lang w:val="fr-FR"/>
        </w:rPr>
        <w:t xml:space="preserve">à remplir pour bénéficier de </w:t>
      </w:r>
      <w:r w:rsidR="00BF4F07" w:rsidRPr="006A56DF">
        <w:rPr>
          <w:rFonts w:eastAsia="DengXian"/>
          <w:szCs w:val="22"/>
          <w:lang w:val="fr-FR"/>
        </w:rPr>
        <w:t>la protection</w:t>
      </w:r>
    </w:p>
    <w:p w14:paraId="7E55827F" w14:textId="77777777" w:rsidR="004346E8" w:rsidRDefault="00BF4F07" w:rsidP="00BF4F07">
      <w:pPr>
        <w:numPr>
          <w:ilvl w:val="1"/>
          <w:numId w:val="25"/>
        </w:numPr>
        <w:ind w:left="1440"/>
        <w:contextualSpacing/>
        <w:rPr>
          <w:rFonts w:eastAsia="DengXian"/>
          <w:szCs w:val="22"/>
          <w:lang w:val="fr-FR"/>
        </w:rPr>
      </w:pPr>
      <w:proofErr w:type="gramStart"/>
      <w:r w:rsidRPr="00CD3406">
        <w:rPr>
          <w:rFonts w:eastAsia="DengXian"/>
          <w:color w:val="000000"/>
          <w:szCs w:val="22"/>
          <w:lang w:val="fr-FR"/>
        </w:rPr>
        <w:t>d</w:t>
      </w:r>
      <w:r w:rsidRPr="006A56DF">
        <w:rPr>
          <w:rFonts w:eastAsia="DengXian"/>
          <w:szCs w:val="22"/>
          <w:lang w:val="fr-FR"/>
        </w:rPr>
        <w:t>éfinitions</w:t>
      </w:r>
      <w:proofErr w:type="gramEnd"/>
      <w:r w:rsidRPr="006A56DF">
        <w:rPr>
          <w:rFonts w:eastAsia="DengXian"/>
          <w:szCs w:val="22"/>
          <w:lang w:val="fr-FR"/>
        </w:rPr>
        <w:t xml:space="preserve"> connexe</w:t>
      </w:r>
      <w:r>
        <w:rPr>
          <w:rFonts w:eastAsia="DengXian"/>
          <w:color w:val="000000"/>
          <w:szCs w:val="22"/>
          <w:lang w:val="fr-FR"/>
        </w:rPr>
        <w:t>s.</w:t>
      </w:r>
      <w:r w:rsidR="00AC7B78" w:rsidRPr="00BF4F07">
        <w:rPr>
          <w:rFonts w:eastAsia="DengXian"/>
          <w:szCs w:val="22"/>
          <w:lang w:val="fr-FR"/>
        </w:rPr>
        <w:t>”</w:t>
      </w:r>
      <w:r w:rsidR="007C48E8" w:rsidRPr="00BF4F07">
        <w:rPr>
          <w:rFonts w:eastAsia="DengXian"/>
          <w:szCs w:val="22"/>
          <w:lang w:val="fr-FR"/>
        </w:rPr>
        <w:t xml:space="preserve"> </w:t>
      </w:r>
      <w:r w:rsidR="00AC7B78" w:rsidRPr="00BF4F07">
        <w:rPr>
          <w:rFonts w:eastAsia="DengXian"/>
          <w:szCs w:val="22"/>
          <w:lang w:val="fr-FR"/>
        </w:rPr>
        <w:br/>
      </w:r>
    </w:p>
    <w:p w14:paraId="03F638CB" w14:textId="419F1DB3" w:rsidR="004346E8" w:rsidRDefault="00CE525E" w:rsidP="008520E8">
      <w:pPr>
        <w:pStyle w:val="ONUMFS"/>
        <w:rPr>
          <w:lang w:val="fr-FR"/>
        </w:rPr>
      </w:pPr>
      <w:r w:rsidRPr="008520E8">
        <w:rPr>
          <w:lang w:val="fr-FR"/>
        </w:rPr>
        <w:t xml:space="preserve">La présente note d’information de fond fournit des informations générales sur la liste des questions et propose au groupe spécial d’experts quelques points </w:t>
      </w:r>
      <w:r w:rsidRPr="00CE525E">
        <w:rPr>
          <w:color w:val="000000"/>
          <w:lang w:val="fr-FR"/>
        </w:rPr>
        <w:t>et</w:t>
      </w:r>
      <w:r w:rsidR="00A33A33">
        <w:rPr>
          <w:color w:val="000000"/>
          <w:lang w:val="fr-FR"/>
        </w:rPr>
        <w:t xml:space="preserve"> une</w:t>
      </w:r>
      <w:r w:rsidRPr="00CE525E">
        <w:rPr>
          <w:color w:val="000000"/>
          <w:lang w:val="fr-FR"/>
        </w:rPr>
        <w:t xml:space="preserve"> tâche </w:t>
      </w:r>
      <w:r w:rsidRPr="008520E8">
        <w:rPr>
          <w:lang w:val="fr-FR"/>
        </w:rPr>
        <w:t>à examiner.</w:t>
      </w:r>
      <w:r w:rsidR="00610789" w:rsidRPr="00BF4F07">
        <w:rPr>
          <w:lang w:val="fr-FR"/>
        </w:rPr>
        <w:t xml:space="preserve">  </w:t>
      </w:r>
      <w:r w:rsidRPr="008520E8">
        <w:rPr>
          <w:lang w:val="fr-FR"/>
        </w:rPr>
        <w:t>Les coprésidents du groupe spécial d</w:t>
      </w:r>
      <w:r w:rsidR="00D11DE7">
        <w:rPr>
          <w:lang w:val="fr-FR"/>
        </w:rPr>
        <w:t>’</w:t>
      </w:r>
      <w:r w:rsidRPr="008520E8">
        <w:rPr>
          <w:lang w:val="fr-FR"/>
        </w:rPr>
        <w:t xml:space="preserve">experts fourniront de plus amples indications sur la manière dont ces questions et </w:t>
      </w:r>
      <w:r w:rsidRPr="00CE525E">
        <w:rPr>
          <w:color w:val="000000"/>
          <w:lang w:val="fr-FR"/>
        </w:rPr>
        <w:t>ce</w:t>
      </w:r>
      <w:r w:rsidR="005B25C3">
        <w:rPr>
          <w:color w:val="000000"/>
          <w:lang w:val="fr-FR"/>
        </w:rPr>
        <w:t>tte</w:t>
      </w:r>
      <w:r w:rsidRPr="00CE525E">
        <w:rPr>
          <w:color w:val="000000"/>
          <w:lang w:val="fr-FR"/>
        </w:rPr>
        <w:t xml:space="preserve"> tâche </w:t>
      </w:r>
      <w:r w:rsidRPr="008520E8">
        <w:rPr>
          <w:lang w:val="fr-FR"/>
        </w:rPr>
        <w:t xml:space="preserve">seront </w:t>
      </w:r>
      <w:r w:rsidRPr="00CE525E">
        <w:rPr>
          <w:color w:val="000000"/>
          <w:lang w:val="fr-FR"/>
        </w:rPr>
        <w:t xml:space="preserve">examinées </w:t>
      </w:r>
      <w:r w:rsidRPr="008520E8">
        <w:rPr>
          <w:lang w:val="fr-FR"/>
        </w:rPr>
        <w:t>au cours de la réunion.</w:t>
      </w:r>
      <w:r w:rsidR="006D3C9F" w:rsidRPr="00BF4F07">
        <w:rPr>
          <w:lang w:val="fr-FR"/>
        </w:rPr>
        <w:t xml:space="preserve"> </w:t>
      </w:r>
      <w:r w:rsidR="00031920" w:rsidRPr="00BF4F07">
        <w:rPr>
          <w:lang w:val="fr-FR"/>
        </w:rPr>
        <w:t xml:space="preserve"> </w:t>
      </w:r>
      <w:r w:rsidRPr="00CE525E">
        <w:rPr>
          <w:color w:val="000000"/>
          <w:lang w:val="fr-FR"/>
        </w:rPr>
        <w:t>Pour rappel, les questions des savoirs traditionnels et des expressions culturelles traditionnelles seront également examinées aux trente-neuvième et quarantième sessions de l’IGC.</w:t>
      </w:r>
      <w:r w:rsidR="006D3C9F" w:rsidRPr="00BF4F07">
        <w:rPr>
          <w:szCs w:val="22"/>
          <w:lang w:val="fr-FR"/>
        </w:rPr>
        <w:t xml:space="preserve"> </w:t>
      </w:r>
    </w:p>
    <w:p w14:paraId="17ED6804" w14:textId="77777777" w:rsidR="004346E8" w:rsidRDefault="004346E8" w:rsidP="000D4BD5">
      <w:pPr>
        <w:rPr>
          <w:lang w:val="fr-FR"/>
        </w:rPr>
      </w:pPr>
    </w:p>
    <w:p w14:paraId="0EFD45D4" w14:textId="77777777" w:rsidR="004346E8" w:rsidRDefault="00CE525E" w:rsidP="00CE525E">
      <w:pPr>
        <w:rPr>
          <w:b/>
          <w:lang w:val="fr-FR"/>
        </w:rPr>
      </w:pPr>
      <w:r w:rsidRPr="00CE525E">
        <w:rPr>
          <w:b/>
          <w:color w:val="000000"/>
          <w:lang w:val="fr-FR"/>
        </w:rPr>
        <w:t>O</w:t>
      </w:r>
      <w:r w:rsidRPr="008520E8">
        <w:rPr>
          <w:b/>
          <w:lang w:val="fr-FR"/>
        </w:rPr>
        <w:t>bjet</w:t>
      </w:r>
    </w:p>
    <w:p w14:paraId="256C7E8E" w14:textId="77777777" w:rsidR="004346E8" w:rsidRDefault="004346E8" w:rsidP="0001278A">
      <w:pPr>
        <w:rPr>
          <w:lang w:val="fr-FR"/>
        </w:rPr>
      </w:pPr>
    </w:p>
    <w:p w14:paraId="006822C5" w14:textId="3868CD47" w:rsidR="004346E8" w:rsidRDefault="00CE525E" w:rsidP="008520E8">
      <w:pPr>
        <w:pStyle w:val="ONUMFS"/>
        <w:rPr>
          <w:lang w:val="fr-FR"/>
        </w:rPr>
      </w:pPr>
      <w:r w:rsidRPr="008520E8">
        <w:rPr>
          <w:lang w:val="fr-FR"/>
        </w:rPr>
        <w:t>La première question relative à l</w:t>
      </w:r>
      <w:r w:rsidR="00D11DE7">
        <w:rPr>
          <w:lang w:val="fr-FR"/>
        </w:rPr>
        <w:t>’</w:t>
      </w:r>
      <w:r w:rsidRPr="008520E8">
        <w:rPr>
          <w:lang w:val="fr-FR"/>
        </w:rPr>
        <w:t>objet que le groupe spécial d</w:t>
      </w:r>
      <w:r w:rsidR="00D11DE7">
        <w:rPr>
          <w:lang w:val="fr-FR"/>
        </w:rPr>
        <w:t>’</w:t>
      </w:r>
      <w:r w:rsidRPr="008520E8">
        <w:rPr>
          <w:lang w:val="fr-FR"/>
        </w:rPr>
        <w:t>experts est invité à examiner est celle de la définition de l</w:t>
      </w:r>
      <w:r w:rsidR="00D11DE7">
        <w:rPr>
          <w:lang w:val="fr-FR"/>
        </w:rPr>
        <w:t>’</w:t>
      </w:r>
      <w:r w:rsidRPr="008520E8">
        <w:rPr>
          <w:lang w:val="fr-FR"/>
        </w:rPr>
        <w:t>objet.</w:t>
      </w:r>
      <w:r w:rsidR="007B2BB5" w:rsidRPr="00BF4F07">
        <w:rPr>
          <w:lang w:val="fr-FR"/>
        </w:rPr>
        <w:t xml:space="preserve">  </w:t>
      </w:r>
      <w:r w:rsidRPr="008520E8">
        <w:rPr>
          <w:lang w:val="fr-FR"/>
        </w:rPr>
        <w:t xml:space="preserve">D’une manière générale, les dispositions des instruments juridiques relatives à l’objet visent à </w:t>
      </w:r>
      <w:r w:rsidRPr="00CE525E">
        <w:rPr>
          <w:color w:val="000000"/>
          <w:lang w:val="fr-FR"/>
        </w:rPr>
        <w:t>définir</w:t>
      </w:r>
      <w:r w:rsidRPr="008520E8">
        <w:rPr>
          <w:lang w:val="fr-FR"/>
        </w:rPr>
        <w:t xml:space="preserve"> l’objet de la protection.</w:t>
      </w:r>
      <w:r w:rsidR="007B2BB5" w:rsidRPr="00BF4F07">
        <w:rPr>
          <w:lang w:val="fr-FR"/>
        </w:rPr>
        <w:t xml:space="preserve">  </w:t>
      </w:r>
    </w:p>
    <w:p w14:paraId="360A9D75" w14:textId="77777777" w:rsidR="004346E8" w:rsidRDefault="004346E8" w:rsidP="000D4BD5">
      <w:pPr>
        <w:rPr>
          <w:lang w:val="fr-FR"/>
        </w:rPr>
      </w:pPr>
    </w:p>
    <w:p w14:paraId="5F21ACB3" w14:textId="2D9D7A1A" w:rsidR="004346E8" w:rsidRDefault="00A560E9" w:rsidP="008520E8">
      <w:pPr>
        <w:pStyle w:val="ONUMFS"/>
        <w:rPr>
          <w:lang w:val="fr-FR"/>
        </w:rPr>
      </w:pPr>
      <w:r w:rsidRPr="008520E8">
        <w:rPr>
          <w:lang w:val="fr-FR"/>
        </w:rPr>
        <w:t xml:space="preserve">Dans le cadre de leurs discussions sur la question, les experts sont invités à prendre note </w:t>
      </w:r>
      <w:r w:rsidR="00024D54">
        <w:rPr>
          <w:lang w:val="fr-FR"/>
        </w:rPr>
        <w:t>de ce qui suit</w:t>
      </w:r>
      <w:r w:rsidR="00D11DE7">
        <w:rPr>
          <w:lang w:val="fr-FR"/>
        </w:rPr>
        <w:t> </w:t>
      </w:r>
      <w:r w:rsidRPr="008520E8">
        <w:rPr>
          <w:lang w:val="fr-FR"/>
        </w:rPr>
        <w:t>:</w:t>
      </w:r>
    </w:p>
    <w:p w14:paraId="29EB262C" w14:textId="77777777" w:rsidR="004346E8" w:rsidRDefault="004346E8" w:rsidP="000D4BD5">
      <w:pPr>
        <w:rPr>
          <w:lang w:val="fr-FR"/>
        </w:rPr>
      </w:pPr>
    </w:p>
    <w:p w14:paraId="2E5EA51E" w14:textId="7804EFDD" w:rsidR="004346E8" w:rsidRDefault="00A560E9" w:rsidP="00A560E9">
      <w:pPr>
        <w:pStyle w:val="Paragraphedeliste"/>
        <w:numPr>
          <w:ilvl w:val="0"/>
          <w:numId w:val="33"/>
        </w:numPr>
        <w:rPr>
          <w:lang w:val="fr-FR"/>
        </w:rPr>
      </w:pPr>
      <w:r w:rsidRPr="008520E8">
        <w:rPr>
          <w:lang w:val="fr-FR"/>
        </w:rPr>
        <w:t xml:space="preserve">Les dispositions relatives à l’objet de la protection </w:t>
      </w:r>
      <w:r w:rsidRPr="00A560E9">
        <w:rPr>
          <w:color w:val="000000"/>
          <w:lang w:val="fr-FR"/>
        </w:rPr>
        <w:t>peuvent inclure</w:t>
      </w:r>
      <w:r w:rsidRPr="008520E8">
        <w:rPr>
          <w:lang w:val="fr-FR"/>
        </w:rPr>
        <w:t xml:space="preserve"> une définition ou une description de l’objet lui-même, ainsi que </w:t>
      </w:r>
      <w:r w:rsidRPr="00A560E9">
        <w:rPr>
          <w:color w:val="000000"/>
          <w:lang w:val="fr-FR"/>
        </w:rPr>
        <w:t xml:space="preserve">des </w:t>
      </w:r>
      <w:r w:rsidRPr="008520E8">
        <w:rPr>
          <w:lang w:val="fr-FR"/>
        </w:rPr>
        <w:t>critères matériels plus précis auxquels les savoirs traditionnels et les expressions culturelles traditionnelles doivent satisfaire pour être protégés.</w:t>
      </w:r>
      <w:r w:rsidR="008B7F57" w:rsidRPr="00BF4F07">
        <w:rPr>
          <w:lang w:val="fr-FR"/>
        </w:rPr>
        <w:t xml:space="preserve">  </w:t>
      </w:r>
      <w:r w:rsidRPr="008520E8">
        <w:rPr>
          <w:lang w:val="fr-FR"/>
        </w:rPr>
        <w:t>Il</w:t>
      </w:r>
      <w:r w:rsidRPr="00A560E9">
        <w:rPr>
          <w:color w:val="000000"/>
          <w:lang w:val="fr-FR"/>
        </w:rPr>
        <w:t xml:space="preserve"> se peut </w:t>
      </w:r>
      <w:r w:rsidRPr="008520E8">
        <w:rPr>
          <w:lang w:val="fr-FR"/>
        </w:rPr>
        <w:t xml:space="preserve">en effet </w:t>
      </w:r>
      <w:r w:rsidRPr="00A560E9">
        <w:rPr>
          <w:color w:val="000000"/>
          <w:lang w:val="fr-FR"/>
        </w:rPr>
        <w:t>qu</w:t>
      </w:r>
      <w:r w:rsidR="00D11DE7">
        <w:rPr>
          <w:color w:val="000000"/>
          <w:lang w:val="fr-FR"/>
        </w:rPr>
        <w:t>’</w:t>
      </w:r>
      <w:r w:rsidRPr="00A560E9">
        <w:rPr>
          <w:color w:val="000000"/>
          <w:lang w:val="fr-FR"/>
        </w:rPr>
        <w:t xml:space="preserve">il faille faire </w:t>
      </w:r>
      <w:r w:rsidRPr="008520E8">
        <w:rPr>
          <w:lang w:val="fr-FR"/>
        </w:rPr>
        <w:t>la distinction entre l’objet de manière générale et l’objet de la protection.</w:t>
      </w:r>
    </w:p>
    <w:p w14:paraId="7FF130A2" w14:textId="77777777" w:rsidR="004346E8" w:rsidRDefault="004346E8" w:rsidP="00415138">
      <w:pPr>
        <w:pStyle w:val="Paragraphedeliste"/>
        <w:rPr>
          <w:lang w:val="fr-FR"/>
        </w:rPr>
      </w:pPr>
    </w:p>
    <w:p w14:paraId="00DF8695" w14:textId="32927995" w:rsidR="004346E8" w:rsidRPr="008520E8" w:rsidRDefault="00203B24" w:rsidP="00D0132F">
      <w:pPr>
        <w:pStyle w:val="Paragraphedeliste"/>
        <w:numPr>
          <w:ilvl w:val="0"/>
          <w:numId w:val="33"/>
        </w:numPr>
        <w:rPr>
          <w:lang w:val="fr-FR"/>
        </w:rPr>
      </w:pPr>
      <w:r w:rsidRPr="008520E8">
        <w:rPr>
          <w:lang w:val="fr-FR"/>
        </w:rPr>
        <w:t xml:space="preserve">Les normes internationales de propriété intellectuelle renvoient </w:t>
      </w:r>
      <w:r w:rsidRPr="008520E8">
        <w:rPr>
          <w:color w:val="000000"/>
          <w:lang w:val="fr-FR"/>
        </w:rPr>
        <w:t xml:space="preserve">souvent </w:t>
      </w:r>
      <w:r w:rsidRPr="008520E8">
        <w:rPr>
          <w:lang w:val="fr-FR"/>
        </w:rPr>
        <w:t>au niveau national pour la définition de la portée exacte de l’objet de la protection.</w:t>
      </w:r>
      <w:r w:rsidR="007B2BB5" w:rsidRPr="008520E8">
        <w:rPr>
          <w:lang w:val="fr-FR"/>
        </w:rPr>
        <w:t xml:space="preserve">  </w:t>
      </w:r>
      <w:r w:rsidRPr="008520E8">
        <w:rPr>
          <w:lang w:val="fr-FR"/>
        </w:rPr>
        <w:t>Les instruments internationaux peuvent aller d’une description large et générale de l’objet de la protection à l’absence pure et simple de définition, en passant par une série de critères auxquels l’objet doit répondre pour bénéficier de la protection (qui sont appelés “critères de protection” dans le cadre de l’IGC).</w:t>
      </w:r>
    </w:p>
    <w:p w14:paraId="1A3AA62C" w14:textId="77777777" w:rsidR="004346E8" w:rsidRDefault="004346E8" w:rsidP="000D4BD5">
      <w:pPr>
        <w:rPr>
          <w:lang w:val="fr-FR"/>
        </w:rPr>
      </w:pPr>
    </w:p>
    <w:p w14:paraId="0EFC689A" w14:textId="0338A48B" w:rsidR="004346E8" w:rsidRDefault="00203B24" w:rsidP="008520E8">
      <w:pPr>
        <w:pStyle w:val="ONUMFS"/>
        <w:rPr>
          <w:lang w:val="fr-FR"/>
        </w:rPr>
      </w:pPr>
      <w:r w:rsidRPr="008520E8">
        <w:rPr>
          <w:lang w:val="fr-FR"/>
        </w:rPr>
        <w:t xml:space="preserve">Les </w:t>
      </w:r>
      <w:r w:rsidR="006103B8">
        <w:rPr>
          <w:lang w:val="fr-FR"/>
        </w:rPr>
        <w:t>questions</w:t>
      </w:r>
      <w:r w:rsidRPr="008520E8">
        <w:rPr>
          <w:lang w:val="fr-FR"/>
        </w:rPr>
        <w:t xml:space="preserve"> que le groupe spécial d’experts est invité à examiner sont</w:t>
      </w:r>
      <w:r w:rsidRPr="00203B24">
        <w:rPr>
          <w:color w:val="000000"/>
          <w:lang w:val="fr-FR"/>
        </w:rPr>
        <w:t xml:space="preserve"> notamment</w:t>
      </w:r>
      <w:r w:rsidRPr="008520E8">
        <w:rPr>
          <w:lang w:val="fr-FR"/>
        </w:rPr>
        <w:t xml:space="preserve"> les suivant</w:t>
      </w:r>
      <w:r w:rsidR="006103B8">
        <w:rPr>
          <w:lang w:val="fr-FR"/>
        </w:rPr>
        <w:t>e</w:t>
      </w:r>
      <w:r w:rsidRPr="008520E8">
        <w:rPr>
          <w:lang w:val="fr-FR"/>
        </w:rPr>
        <w:t>s</w:t>
      </w:r>
      <w:r w:rsidR="00D11DE7">
        <w:rPr>
          <w:lang w:val="fr-FR"/>
        </w:rPr>
        <w:t> </w:t>
      </w:r>
      <w:r w:rsidRPr="008520E8">
        <w:rPr>
          <w:lang w:val="fr-FR"/>
        </w:rPr>
        <w:t>:</w:t>
      </w:r>
    </w:p>
    <w:p w14:paraId="7C008F60" w14:textId="1C5FFAE8" w:rsidR="004346E8" w:rsidRDefault="00674FE7" w:rsidP="00674FE7">
      <w:pPr>
        <w:pStyle w:val="Paragraphedeliste"/>
        <w:numPr>
          <w:ilvl w:val="0"/>
          <w:numId w:val="28"/>
        </w:numPr>
        <w:rPr>
          <w:lang w:val="fr-FR"/>
        </w:rPr>
      </w:pPr>
      <w:r w:rsidRPr="008520E8">
        <w:rPr>
          <w:lang w:val="fr-FR"/>
        </w:rPr>
        <w:t>Est-il nécessaire pour l</w:t>
      </w:r>
      <w:r w:rsidR="00CE070C">
        <w:rPr>
          <w:lang w:val="fr-FR"/>
        </w:rPr>
        <w:t xml:space="preserve">e ou les </w:t>
      </w:r>
      <w:r w:rsidRPr="008520E8">
        <w:rPr>
          <w:lang w:val="fr-FR"/>
        </w:rPr>
        <w:t>instrument</w:t>
      </w:r>
      <w:r w:rsidR="00CE070C">
        <w:rPr>
          <w:lang w:val="fr-FR"/>
        </w:rPr>
        <w:t>s</w:t>
      </w:r>
      <w:r w:rsidRPr="008520E8">
        <w:rPr>
          <w:lang w:val="fr-FR"/>
        </w:rPr>
        <w:t xml:space="preserve"> de définir </w:t>
      </w:r>
      <w:r w:rsidR="00D11DE7">
        <w:rPr>
          <w:lang w:val="fr-FR"/>
        </w:rPr>
        <w:t>“</w:t>
      </w:r>
      <w:r w:rsidRPr="008520E8">
        <w:rPr>
          <w:lang w:val="fr-FR"/>
        </w:rPr>
        <w:t>l</w:t>
      </w:r>
      <w:r w:rsidR="00D11DE7">
        <w:rPr>
          <w:lang w:val="fr-FR"/>
        </w:rPr>
        <w:t>’</w:t>
      </w:r>
      <w:r w:rsidRPr="008520E8">
        <w:rPr>
          <w:lang w:val="fr-FR"/>
        </w:rPr>
        <w:t>objet</w:t>
      </w:r>
      <w:r w:rsidR="00D11DE7">
        <w:rPr>
          <w:lang w:val="fr-FR"/>
        </w:rPr>
        <w:t>”</w:t>
      </w:r>
      <w:r w:rsidRPr="008520E8">
        <w:rPr>
          <w:lang w:val="fr-FR"/>
        </w:rPr>
        <w:t>?</w:t>
      </w:r>
      <w:r w:rsidR="005C0A74" w:rsidRPr="00BF4F07">
        <w:rPr>
          <w:lang w:val="fr-FR"/>
        </w:rPr>
        <w:t xml:space="preserve"> </w:t>
      </w:r>
    </w:p>
    <w:p w14:paraId="3C895ED8" w14:textId="77777777" w:rsidR="004346E8" w:rsidRDefault="004346E8" w:rsidP="00415138">
      <w:pPr>
        <w:pStyle w:val="Paragraphedeliste"/>
        <w:rPr>
          <w:lang w:val="fr-FR"/>
        </w:rPr>
      </w:pPr>
    </w:p>
    <w:p w14:paraId="45504BC9" w14:textId="2A1063B2" w:rsidR="004346E8" w:rsidRDefault="00674FE7" w:rsidP="00674FE7">
      <w:pPr>
        <w:pStyle w:val="Paragraphedeliste"/>
        <w:numPr>
          <w:ilvl w:val="0"/>
          <w:numId w:val="28"/>
        </w:numPr>
        <w:rPr>
          <w:lang w:val="fr-FR"/>
        </w:rPr>
      </w:pPr>
      <w:r w:rsidRPr="008520E8">
        <w:rPr>
          <w:lang w:val="fr-FR"/>
        </w:rPr>
        <w:t>Dans l</w:t>
      </w:r>
      <w:r w:rsidR="00D11DE7">
        <w:rPr>
          <w:lang w:val="fr-FR"/>
        </w:rPr>
        <w:t>’</w:t>
      </w:r>
      <w:r w:rsidRPr="008520E8">
        <w:rPr>
          <w:lang w:val="fr-FR"/>
        </w:rPr>
        <w:t>affirmative</w:t>
      </w:r>
      <w:r w:rsidR="00D11DE7">
        <w:rPr>
          <w:lang w:val="fr-FR"/>
        </w:rPr>
        <w:t> </w:t>
      </w:r>
      <w:r w:rsidRPr="008520E8">
        <w:rPr>
          <w:lang w:val="fr-FR"/>
        </w:rPr>
        <w:t>:</w:t>
      </w:r>
    </w:p>
    <w:p w14:paraId="347831DE" w14:textId="77777777" w:rsidR="004346E8" w:rsidRDefault="004346E8" w:rsidP="00AC7B78">
      <w:pPr>
        <w:pStyle w:val="Paragraphedeliste"/>
        <w:rPr>
          <w:lang w:val="fr-FR"/>
        </w:rPr>
      </w:pPr>
    </w:p>
    <w:p w14:paraId="4C98BD5B" w14:textId="0922D00E" w:rsidR="004346E8" w:rsidRDefault="00674FE7" w:rsidP="00674FE7">
      <w:pPr>
        <w:pStyle w:val="Paragraphedeliste"/>
        <w:numPr>
          <w:ilvl w:val="1"/>
          <w:numId w:val="28"/>
        </w:numPr>
        <w:rPr>
          <w:lang w:val="fr-FR"/>
        </w:rPr>
      </w:pPr>
      <w:r w:rsidRPr="00674FE7">
        <w:rPr>
          <w:color w:val="000000"/>
          <w:lang w:val="fr-FR"/>
        </w:rPr>
        <w:t>C</w:t>
      </w:r>
      <w:r w:rsidRPr="008520E8">
        <w:rPr>
          <w:lang w:val="fr-FR"/>
        </w:rPr>
        <w:t xml:space="preserve">es définitions </w:t>
      </w:r>
      <w:r w:rsidRPr="00674FE7">
        <w:rPr>
          <w:color w:val="000000"/>
          <w:lang w:val="fr-FR"/>
        </w:rPr>
        <w:t xml:space="preserve">devraient-elles figurer </w:t>
      </w:r>
      <w:r w:rsidR="00866679">
        <w:rPr>
          <w:color w:val="000000"/>
          <w:lang w:val="fr-FR"/>
        </w:rPr>
        <w:t xml:space="preserve">dans </w:t>
      </w:r>
      <w:r w:rsidRPr="00674FE7">
        <w:rPr>
          <w:color w:val="000000"/>
          <w:lang w:val="fr-FR"/>
        </w:rPr>
        <w:t xml:space="preserve">la section intitulée </w:t>
      </w:r>
      <w:r w:rsidR="00D11DE7">
        <w:rPr>
          <w:color w:val="000000"/>
          <w:lang w:val="fr-FR"/>
        </w:rPr>
        <w:t>“</w:t>
      </w:r>
      <w:r w:rsidRPr="00674FE7">
        <w:rPr>
          <w:color w:val="000000"/>
          <w:lang w:val="fr-FR"/>
        </w:rPr>
        <w:t>Utilisation des termes</w:t>
      </w:r>
      <w:r w:rsidR="00D11DE7">
        <w:rPr>
          <w:color w:val="000000"/>
          <w:lang w:val="fr-FR"/>
        </w:rPr>
        <w:t>”</w:t>
      </w:r>
      <w:r w:rsidRPr="008520E8">
        <w:rPr>
          <w:lang w:val="fr-FR"/>
        </w:rPr>
        <w:t xml:space="preserve"> ou </w:t>
      </w:r>
      <w:r w:rsidRPr="00674FE7">
        <w:rPr>
          <w:color w:val="000000"/>
          <w:lang w:val="fr-FR"/>
        </w:rPr>
        <w:t>faire l</w:t>
      </w:r>
      <w:r w:rsidR="00D11DE7">
        <w:rPr>
          <w:color w:val="000000"/>
          <w:lang w:val="fr-FR"/>
        </w:rPr>
        <w:t>’</w:t>
      </w:r>
      <w:r w:rsidRPr="00674FE7">
        <w:rPr>
          <w:color w:val="000000"/>
          <w:lang w:val="fr-FR"/>
        </w:rPr>
        <w:t>objet d</w:t>
      </w:r>
      <w:r w:rsidR="00D11DE7">
        <w:rPr>
          <w:color w:val="000000"/>
          <w:lang w:val="fr-FR"/>
        </w:rPr>
        <w:t>’</w:t>
      </w:r>
      <w:r w:rsidRPr="008520E8">
        <w:rPr>
          <w:lang w:val="fr-FR"/>
        </w:rPr>
        <w:t xml:space="preserve">articles </w:t>
      </w:r>
      <w:r w:rsidRPr="00674FE7">
        <w:rPr>
          <w:color w:val="000000"/>
          <w:lang w:val="fr-FR"/>
        </w:rPr>
        <w:t>à part entière</w:t>
      </w:r>
      <w:r w:rsidRPr="008520E8">
        <w:rPr>
          <w:lang w:val="fr-FR"/>
        </w:rPr>
        <w:t>?</w:t>
      </w:r>
    </w:p>
    <w:p w14:paraId="4C3036CA" w14:textId="78AB9473" w:rsidR="004346E8" w:rsidRDefault="000D4345" w:rsidP="000D4345">
      <w:pPr>
        <w:pStyle w:val="Paragraphedeliste"/>
        <w:numPr>
          <w:ilvl w:val="1"/>
          <w:numId w:val="28"/>
        </w:numPr>
        <w:rPr>
          <w:lang w:val="fr-FR"/>
        </w:rPr>
      </w:pPr>
      <w:r w:rsidRPr="008520E8">
        <w:rPr>
          <w:lang w:val="fr-FR"/>
        </w:rPr>
        <w:t xml:space="preserve">Quelles sont les </w:t>
      </w:r>
      <w:r w:rsidRPr="000D4345">
        <w:rPr>
          <w:color w:val="000000"/>
          <w:lang w:val="fr-FR"/>
        </w:rPr>
        <w:t xml:space="preserve">principales expressions qui </w:t>
      </w:r>
      <w:r w:rsidRPr="008520E8">
        <w:rPr>
          <w:lang w:val="fr-FR"/>
        </w:rPr>
        <w:t>définissent l</w:t>
      </w:r>
      <w:r w:rsidR="00D11DE7">
        <w:rPr>
          <w:lang w:val="fr-FR"/>
        </w:rPr>
        <w:t>’</w:t>
      </w:r>
      <w:r w:rsidRPr="008520E8">
        <w:rPr>
          <w:lang w:val="fr-FR"/>
        </w:rPr>
        <w:t xml:space="preserve">objet, par exemple </w:t>
      </w:r>
      <w:r w:rsidR="00D11DE7">
        <w:rPr>
          <w:lang w:val="fr-FR"/>
        </w:rPr>
        <w:t>“</w:t>
      </w:r>
      <w:r w:rsidRPr="008520E8">
        <w:rPr>
          <w:lang w:val="fr-FR"/>
        </w:rPr>
        <w:t>créé</w:t>
      </w:r>
      <w:r w:rsidRPr="000D4345">
        <w:rPr>
          <w:color w:val="000000"/>
          <w:lang w:val="fr-FR"/>
        </w:rPr>
        <w:t>s</w:t>
      </w:r>
      <w:r w:rsidRPr="008520E8">
        <w:rPr>
          <w:lang w:val="fr-FR"/>
        </w:rPr>
        <w:t>, généré</w:t>
      </w:r>
      <w:r w:rsidRPr="000D4345">
        <w:rPr>
          <w:color w:val="000000"/>
          <w:lang w:val="fr-FR"/>
        </w:rPr>
        <w:t>s</w:t>
      </w:r>
      <w:r w:rsidRPr="008520E8">
        <w:rPr>
          <w:lang w:val="fr-FR"/>
        </w:rPr>
        <w:t>, exprimé</w:t>
      </w:r>
      <w:r w:rsidRPr="000D4345">
        <w:rPr>
          <w:color w:val="000000"/>
          <w:lang w:val="fr-FR"/>
        </w:rPr>
        <w:t>s</w:t>
      </w:r>
      <w:r w:rsidRPr="008520E8">
        <w:rPr>
          <w:lang w:val="fr-FR"/>
        </w:rPr>
        <w:t>, développé</w:t>
      </w:r>
      <w:r w:rsidRPr="000D4345">
        <w:rPr>
          <w:color w:val="000000"/>
          <w:lang w:val="fr-FR"/>
        </w:rPr>
        <w:t>s</w:t>
      </w:r>
      <w:r w:rsidRPr="008520E8">
        <w:rPr>
          <w:lang w:val="fr-FR"/>
        </w:rPr>
        <w:t xml:space="preserve"> et entretenu</w:t>
      </w:r>
      <w:r w:rsidRPr="000D4345">
        <w:rPr>
          <w:color w:val="000000"/>
          <w:lang w:val="fr-FR"/>
        </w:rPr>
        <w:t>s</w:t>
      </w:r>
      <w:r w:rsidRPr="008520E8">
        <w:rPr>
          <w:lang w:val="fr-FR"/>
        </w:rPr>
        <w:t xml:space="preserve"> par les communautés autochtones et locales</w:t>
      </w:r>
      <w:r w:rsidR="00D11DE7">
        <w:rPr>
          <w:lang w:val="fr-FR"/>
        </w:rPr>
        <w:t>”</w:t>
      </w:r>
      <w:r w:rsidRPr="008520E8">
        <w:rPr>
          <w:lang w:val="fr-FR"/>
        </w:rPr>
        <w:t xml:space="preserve">, </w:t>
      </w:r>
      <w:r w:rsidR="00D11DE7">
        <w:rPr>
          <w:color w:val="000000"/>
          <w:lang w:val="fr-FR"/>
        </w:rPr>
        <w:t>“</w:t>
      </w:r>
      <w:r w:rsidRPr="008520E8">
        <w:rPr>
          <w:lang w:val="fr-FR"/>
        </w:rPr>
        <w:t>directement lié</w:t>
      </w:r>
      <w:r w:rsidRPr="000D4345">
        <w:rPr>
          <w:color w:val="000000"/>
          <w:lang w:val="fr-FR"/>
        </w:rPr>
        <w:t>s</w:t>
      </w:r>
      <w:r w:rsidRPr="008520E8">
        <w:rPr>
          <w:lang w:val="fr-FR"/>
        </w:rPr>
        <w:t xml:space="preserve"> à l</w:t>
      </w:r>
      <w:r w:rsidR="00D11DE7">
        <w:rPr>
          <w:lang w:val="fr-FR"/>
        </w:rPr>
        <w:t>’</w:t>
      </w:r>
      <w:r w:rsidRPr="008520E8">
        <w:rPr>
          <w:lang w:val="fr-FR"/>
        </w:rPr>
        <w:t>identité/au patrimoine social/culturel des communautés autochtones et locales</w:t>
      </w:r>
      <w:r w:rsidR="00D11DE7">
        <w:rPr>
          <w:color w:val="000000"/>
          <w:lang w:val="fr-FR"/>
        </w:rPr>
        <w:t>”</w:t>
      </w:r>
      <w:r w:rsidRPr="008520E8">
        <w:rPr>
          <w:lang w:val="fr-FR"/>
        </w:rPr>
        <w:t xml:space="preserve">, </w:t>
      </w:r>
      <w:r w:rsidR="00D11DE7">
        <w:rPr>
          <w:lang w:val="fr-FR"/>
        </w:rPr>
        <w:t>“</w:t>
      </w:r>
      <w:r w:rsidRPr="008520E8">
        <w:rPr>
          <w:lang w:val="fr-FR"/>
        </w:rPr>
        <w:t xml:space="preserve">transmis entre générations ou </w:t>
      </w:r>
      <w:r w:rsidRPr="000D4345">
        <w:rPr>
          <w:color w:val="000000"/>
          <w:lang w:val="fr-FR"/>
        </w:rPr>
        <w:t xml:space="preserve">de </w:t>
      </w:r>
      <w:r w:rsidRPr="008520E8">
        <w:rPr>
          <w:lang w:val="fr-FR"/>
        </w:rPr>
        <w:t>génération en génération</w:t>
      </w:r>
      <w:r w:rsidR="00D11DE7">
        <w:rPr>
          <w:lang w:val="fr-FR"/>
        </w:rPr>
        <w:t>”</w:t>
      </w:r>
      <w:r w:rsidRPr="008520E8">
        <w:rPr>
          <w:lang w:val="fr-FR"/>
        </w:rPr>
        <w:t xml:space="preserve"> et </w:t>
      </w:r>
      <w:r w:rsidR="00D11DE7">
        <w:rPr>
          <w:lang w:val="fr-FR"/>
        </w:rPr>
        <w:t>“</w:t>
      </w:r>
      <w:r w:rsidRPr="000D4345">
        <w:rPr>
          <w:color w:val="000000"/>
          <w:lang w:val="fr-FR"/>
        </w:rPr>
        <w:t xml:space="preserve">peuvent </w:t>
      </w:r>
      <w:r w:rsidRPr="008520E8">
        <w:rPr>
          <w:lang w:val="fr-FR"/>
        </w:rPr>
        <w:t>être dynamique</w:t>
      </w:r>
      <w:r w:rsidRPr="000D4345">
        <w:rPr>
          <w:color w:val="000000"/>
          <w:lang w:val="fr-FR"/>
        </w:rPr>
        <w:t>s</w:t>
      </w:r>
      <w:r w:rsidRPr="008520E8">
        <w:rPr>
          <w:lang w:val="fr-FR"/>
        </w:rPr>
        <w:t xml:space="preserve"> et évolutif</w:t>
      </w:r>
      <w:r w:rsidRPr="000D4345">
        <w:rPr>
          <w:color w:val="000000"/>
          <w:lang w:val="fr-FR"/>
        </w:rPr>
        <w:t>s</w:t>
      </w:r>
      <w:r w:rsidR="00D11DE7">
        <w:rPr>
          <w:lang w:val="fr-FR"/>
        </w:rPr>
        <w:t>”</w:t>
      </w:r>
      <w:r w:rsidRPr="008520E8">
        <w:rPr>
          <w:lang w:val="fr-FR"/>
        </w:rPr>
        <w:t>?</w:t>
      </w:r>
    </w:p>
    <w:p w14:paraId="16342CCF" w14:textId="357F1982" w:rsidR="004346E8" w:rsidRDefault="000D4345" w:rsidP="000D4345">
      <w:pPr>
        <w:pStyle w:val="Paragraphedeliste"/>
        <w:numPr>
          <w:ilvl w:val="1"/>
          <w:numId w:val="28"/>
        </w:numPr>
        <w:rPr>
          <w:lang w:val="fr-FR"/>
        </w:rPr>
      </w:pPr>
      <w:r w:rsidRPr="008520E8">
        <w:rPr>
          <w:lang w:val="fr-FR"/>
        </w:rPr>
        <w:t>Quel</w:t>
      </w:r>
      <w:r w:rsidRPr="000D4345">
        <w:rPr>
          <w:color w:val="000000"/>
          <w:lang w:val="fr-FR"/>
        </w:rPr>
        <w:t>le</w:t>
      </w:r>
      <w:r w:rsidRPr="008520E8">
        <w:rPr>
          <w:lang w:val="fr-FR"/>
        </w:rPr>
        <w:t xml:space="preserve">s sont les </w:t>
      </w:r>
      <w:r w:rsidRPr="000D4345">
        <w:rPr>
          <w:color w:val="000000"/>
          <w:lang w:val="fr-FR"/>
        </w:rPr>
        <w:t>principales expressions</w:t>
      </w:r>
      <w:r w:rsidRPr="008520E8">
        <w:rPr>
          <w:lang w:val="fr-FR"/>
        </w:rPr>
        <w:t xml:space="preserve"> pour décrire respectivement les savoirs traditionnels et les expressions culturelles traditionnelles, par exemple les expressions culturelles traditionnelles </w:t>
      </w:r>
      <w:r w:rsidR="00D11DE7">
        <w:rPr>
          <w:lang w:val="fr-FR"/>
        </w:rPr>
        <w:t>“</w:t>
      </w:r>
      <w:r w:rsidRPr="008520E8">
        <w:rPr>
          <w:lang w:val="fr-FR"/>
        </w:rPr>
        <w:t>consistent en toute forme d</w:t>
      </w:r>
      <w:r w:rsidR="00D11DE7">
        <w:rPr>
          <w:lang w:val="fr-FR"/>
        </w:rPr>
        <w:t>’</w:t>
      </w:r>
      <w:r w:rsidRPr="008520E8">
        <w:rPr>
          <w:lang w:val="fr-FR"/>
        </w:rPr>
        <w:t>expression créative ou spirituelle, artistique et littéraire, tangible ou intangible, ou en une combinaison de ces éléments, tel</w:t>
      </w:r>
      <w:r w:rsidRPr="000D4345">
        <w:rPr>
          <w:color w:val="000000"/>
          <w:lang w:val="fr-FR"/>
        </w:rPr>
        <w:t>le</w:t>
      </w:r>
      <w:r w:rsidRPr="008520E8">
        <w:rPr>
          <w:lang w:val="fr-FR"/>
        </w:rPr>
        <w:t xml:space="preserve"> qu</w:t>
      </w:r>
      <w:r w:rsidR="00D11DE7">
        <w:rPr>
          <w:color w:val="000000"/>
          <w:lang w:val="fr-FR"/>
        </w:rPr>
        <w:t>’</w:t>
      </w:r>
      <w:r w:rsidRPr="000D4345">
        <w:rPr>
          <w:color w:val="000000"/>
          <w:lang w:val="fr-FR"/>
        </w:rPr>
        <w:t>actions</w:t>
      </w:r>
      <w:r w:rsidRPr="008520E8">
        <w:rPr>
          <w:rStyle w:val="Appelnotedebasdep"/>
          <w:lang w:val="fr-FR"/>
        </w:rPr>
        <w:footnoteReference w:id="2"/>
      </w:r>
      <w:r w:rsidRPr="008520E8">
        <w:rPr>
          <w:lang w:val="fr-FR"/>
        </w:rPr>
        <w:t xml:space="preserve">, </w:t>
      </w:r>
      <w:r w:rsidRPr="000D4345">
        <w:rPr>
          <w:color w:val="000000"/>
          <w:lang w:val="fr-FR"/>
        </w:rPr>
        <w:t>objets</w:t>
      </w:r>
      <w:r w:rsidRPr="008520E8">
        <w:rPr>
          <w:rStyle w:val="Appelnotedebasdep"/>
          <w:lang w:val="fr-FR"/>
        </w:rPr>
        <w:footnoteReference w:id="3"/>
      </w:r>
      <w:r w:rsidRPr="008520E8">
        <w:rPr>
          <w:lang w:val="fr-FR"/>
        </w:rPr>
        <w:t xml:space="preserve">, musique et </w:t>
      </w:r>
      <w:r w:rsidRPr="000D4345">
        <w:rPr>
          <w:color w:val="000000"/>
          <w:lang w:val="fr-FR"/>
        </w:rPr>
        <w:t>sons</w:t>
      </w:r>
      <w:r w:rsidRPr="008520E8">
        <w:rPr>
          <w:rStyle w:val="Appelnotedebasdep"/>
          <w:lang w:val="fr-FR"/>
        </w:rPr>
        <w:footnoteReference w:id="4"/>
      </w:r>
      <w:r w:rsidRPr="008520E8">
        <w:rPr>
          <w:lang w:val="fr-FR"/>
        </w:rPr>
        <w:t>, ou formes verbales</w:t>
      </w:r>
      <w:r w:rsidRPr="008520E8">
        <w:rPr>
          <w:rStyle w:val="Appelnotedebasdep"/>
          <w:lang w:val="fr-FR"/>
        </w:rPr>
        <w:footnoteReference w:id="5"/>
      </w:r>
      <w:r w:rsidR="00D11DE7">
        <w:rPr>
          <w:lang w:val="fr-FR"/>
        </w:rPr>
        <w:t>”</w:t>
      </w:r>
      <w:r w:rsidRPr="008520E8">
        <w:rPr>
          <w:lang w:val="fr-FR"/>
        </w:rPr>
        <w:t xml:space="preserve">, et les savoirs traditionnels </w:t>
      </w:r>
      <w:r w:rsidR="00D11DE7">
        <w:rPr>
          <w:lang w:val="fr-FR"/>
        </w:rPr>
        <w:t>“</w:t>
      </w:r>
      <w:r w:rsidRPr="008520E8">
        <w:rPr>
          <w:lang w:val="fr-FR"/>
        </w:rPr>
        <w:t>prennent la forme d</w:t>
      </w:r>
      <w:r w:rsidR="00D11DE7">
        <w:rPr>
          <w:color w:val="000000"/>
          <w:lang w:val="fr-FR"/>
        </w:rPr>
        <w:t>’</w:t>
      </w:r>
      <w:r w:rsidRPr="000D4345">
        <w:rPr>
          <w:color w:val="000000"/>
          <w:lang w:val="fr-FR"/>
        </w:rPr>
        <w:t>un</w:t>
      </w:r>
      <w:r w:rsidRPr="008520E8">
        <w:rPr>
          <w:lang w:val="fr-FR"/>
        </w:rPr>
        <w:t xml:space="preserve"> savoir-faire, de techniques, de pratiques, d</w:t>
      </w:r>
      <w:r w:rsidR="00D11DE7">
        <w:rPr>
          <w:lang w:val="fr-FR"/>
        </w:rPr>
        <w:t>’</w:t>
      </w:r>
      <w:r w:rsidRPr="008520E8">
        <w:rPr>
          <w:lang w:val="fr-FR"/>
        </w:rPr>
        <w:t>enseignements et d</w:t>
      </w:r>
      <w:r w:rsidR="00D11DE7">
        <w:rPr>
          <w:lang w:val="fr-FR"/>
        </w:rPr>
        <w:t>’</w:t>
      </w:r>
      <w:r w:rsidRPr="008520E8">
        <w:rPr>
          <w:lang w:val="fr-FR"/>
        </w:rPr>
        <w:t>apprentissages</w:t>
      </w:r>
      <w:r w:rsidR="00D11DE7">
        <w:rPr>
          <w:lang w:val="fr-FR"/>
        </w:rPr>
        <w:t>”</w:t>
      </w:r>
      <w:r w:rsidRPr="008520E8">
        <w:rPr>
          <w:lang w:val="fr-FR"/>
        </w:rPr>
        <w:t>?</w:t>
      </w:r>
    </w:p>
    <w:p w14:paraId="421DFC3D" w14:textId="229EE081" w:rsidR="004346E8" w:rsidRDefault="000D4345" w:rsidP="000D4345">
      <w:pPr>
        <w:pStyle w:val="Paragraphedeliste"/>
        <w:numPr>
          <w:ilvl w:val="0"/>
          <w:numId w:val="28"/>
        </w:numPr>
        <w:rPr>
          <w:lang w:val="fr-FR"/>
        </w:rPr>
      </w:pPr>
      <w:r w:rsidRPr="008520E8">
        <w:rPr>
          <w:lang w:val="fr-FR"/>
        </w:rPr>
        <w:t xml:space="preserve">Le ou les instruments devraient-ils faire la distinction entre </w:t>
      </w:r>
      <w:r w:rsidR="00D11DE7">
        <w:rPr>
          <w:lang w:val="fr-FR"/>
        </w:rPr>
        <w:t>“</w:t>
      </w:r>
      <w:r w:rsidRPr="008520E8">
        <w:rPr>
          <w:lang w:val="fr-FR"/>
        </w:rPr>
        <w:t>l</w:t>
      </w:r>
      <w:r w:rsidR="00D11DE7">
        <w:rPr>
          <w:lang w:val="fr-FR"/>
        </w:rPr>
        <w:t>’</w:t>
      </w:r>
      <w:r w:rsidRPr="008520E8">
        <w:rPr>
          <w:lang w:val="fr-FR"/>
        </w:rPr>
        <w:t>objet</w:t>
      </w:r>
      <w:r w:rsidR="00D11DE7">
        <w:rPr>
          <w:lang w:val="fr-FR"/>
        </w:rPr>
        <w:t>”</w:t>
      </w:r>
      <w:r w:rsidRPr="008520E8">
        <w:rPr>
          <w:lang w:val="fr-FR"/>
        </w:rPr>
        <w:t xml:space="preserve"> et </w:t>
      </w:r>
      <w:r w:rsidR="00D11DE7">
        <w:rPr>
          <w:lang w:val="fr-FR"/>
        </w:rPr>
        <w:t>“</w:t>
      </w:r>
      <w:r w:rsidRPr="000D4345">
        <w:rPr>
          <w:color w:val="000000"/>
          <w:lang w:val="fr-FR"/>
        </w:rPr>
        <w:t>l</w:t>
      </w:r>
      <w:r w:rsidR="00D11DE7">
        <w:rPr>
          <w:color w:val="000000"/>
          <w:lang w:val="fr-FR"/>
        </w:rPr>
        <w:t>’</w:t>
      </w:r>
      <w:r w:rsidRPr="008520E8">
        <w:rPr>
          <w:lang w:val="fr-FR"/>
        </w:rPr>
        <w:t>objet de la protection</w:t>
      </w:r>
      <w:r w:rsidR="00D11DE7">
        <w:rPr>
          <w:lang w:val="fr-FR"/>
        </w:rPr>
        <w:t>”</w:t>
      </w:r>
      <w:r w:rsidRPr="008520E8">
        <w:rPr>
          <w:lang w:val="fr-FR"/>
        </w:rPr>
        <w:t>?</w:t>
      </w:r>
      <w:r w:rsidR="005C0A74" w:rsidRPr="00BF4F07">
        <w:rPr>
          <w:lang w:val="fr-FR"/>
        </w:rPr>
        <w:t xml:space="preserve">  </w:t>
      </w:r>
      <w:r w:rsidRPr="008520E8">
        <w:rPr>
          <w:lang w:val="fr-FR"/>
        </w:rPr>
        <w:t>Dans l</w:t>
      </w:r>
      <w:r w:rsidR="00D11DE7">
        <w:rPr>
          <w:lang w:val="fr-FR"/>
        </w:rPr>
        <w:t>’</w:t>
      </w:r>
      <w:r w:rsidRPr="008520E8">
        <w:rPr>
          <w:lang w:val="fr-FR"/>
        </w:rPr>
        <w:t>affirmative, comment</w:t>
      </w:r>
      <w:r w:rsidR="0042309E">
        <w:rPr>
          <w:lang w:val="fr-FR"/>
        </w:rPr>
        <w:t xml:space="preserve"> </w:t>
      </w:r>
      <w:bookmarkStart w:id="4" w:name="_GoBack"/>
      <w:bookmarkEnd w:id="4"/>
      <w:r w:rsidR="0042309E">
        <w:rPr>
          <w:lang w:val="fr-FR"/>
        </w:rPr>
        <w:t>(</w:t>
      </w:r>
      <w:r w:rsidRPr="008520E8">
        <w:rPr>
          <w:lang w:val="fr-FR"/>
        </w:rPr>
        <w:t>que</w:t>
      </w:r>
      <w:r w:rsidR="007C7A5F" w:rsidRPr="008520E8">
        <w:rPr>
          <w:lang w:val="fr-FR"/>
        </w:rPr>
        <w:t>l</w:t>
      </w:r>
      <w:r w:rsidRPr="008520E8">
        <w:rPr>
          <w:lang w:val="fr-FR"/>
        </w:rPr>
        <w:t xml:space="preserve">s </w:t>
      </w:r>
      <w:r w:rsidR="00D11DE7">
        <w:rPr>
          <w:lang w:val="fr-FR"/>
        </w:rPr>
        <w:t>“</w:t>
      </w:r>
      <w:r w:rsidR="007C7A5F" w:rsidRPr="008520E8">
        <w:rPr>
          <w:lang w:val="fr-FR"/>
        </w:rPr>
        <w:t>c</w:t>
      </w:r>
      <w:r w:rsidR="0041632D">
        <w:rPr>
          <w:lang w:val="fr-FR"/>
        </w:rPr>
        <w:t xml:space="preserve">ritères </w:t>
      </w:r>
      <w:r w:rsidRPr="000D4345">
        <w:rPr>
          <w:color w:val="000000"/>
          <w:lang w:val="fr-FR"/>
        </w:rPr>
        <w:t>à remplir pour bénéficier de la protection</w:t>
      </w:r>
      <w:r w:rsidR="00D11DE7">
        <w:rPr>
          <w:lang w:val="fr-FR"/>
        </w:rPr>
        <w:t>”</w:t>
      </w:r>
      <w:r w:rsidRPr="008520E8">
        <w:rPr>
          <w:lang w:val="fr-FR"/>
        </w:rPr>
        <w:t>)</w:t>
      </w:r>
      <w:r w:rsidR="0042309E">
        <w:rPr>
          <w:lang w:val="fr-FR"/>
        </w:rPr>
        <w:t>?  Q</w:t>
      </w:r>
      <w:r w:rsidRPr="008520E8">
        <w:rPr>
          <w:lang w:val="fr-FR"/>
        </w:rPr>
        <w:t>uelles</w:t>
      </w:r>
      <w:r w:rsidRPr="000D4345">
        <w:rPr>
          <w:color w:val="000000"/>
          <w:lang w:val="fr-FR"/>
        </w:rPr>
        <w:t xml:space="preserve"> questions devraient être du ressort des législations nationales</w:t>
      </w:r>
      <w:r w:rsidRPr="008520E8">
        <w:rPr>
          <w:lang w:val="fr-FR"/>
        </w:rPr>
        <w:t>?</w:t>
      </w:r>
    </w:p>
    <w:p w14:paraId="476EA6FF" w14:textId="5CF21EF9" w:rsidR="004346E8" w:rsidRDefault="000D4345" w:rsidP="000D4345">
      <w:pPr>
        <w:pStyle w:val="Paragraphedeliste"/>
        <w:numPr>
          <w:ilvl w:val="0"/>
          <w:numId w:val="28"/>
        </w:numPr>
        <w:rPr>
          <w:szCs w:val="22"/>
          <w:lang w:val="fr-FR"/>
        </w:rPr>
      </w:pPr>
      <w:r w:rsidRPr="008520E8">
        <w:rPr>
          <w:szCs w:val="22"/>
          <w:lang w:val="fr-FR"/>
        </w:rPr>
        <w:t>Lors de l</w:t>
      </w:r>
      <w:r w:rsidR="00D11DE7">
        <w:rPr>
          <w:szCs w:val="22"/>
          <w:lang w:val="fr-FR"/>
        </w:rPr>
        <w:t>’</w:t>
      </w:r>
      <w:r w:rsidRPr="008520E8">
        <w:rPr>
          <w:szCs w:val="22"/>
          <w:lang w:val="fr-FR"/>
        </w:rPr>
        <w:t>examen des questions ci-dessus, il convient de noter qu</w:t>
      </w:r>
      <w:r w:rsidR="00D11DE7">
        <w:rPr>
          <w:szCs w:val="22"/>
          <w:lang w:val="fr-FR"/>
        </w:rPr>
        <w:t>’</w:t>
      </w:r>
      <w:r w:rsidRPr="008520E8">
        <w:rPr>
          <w:szCs w:val="22"/>
          <w:lang w:val="fr-FR"/>
        </w:rPr>
        <w:t>un certain nombre d</w:t>
      </w:r>
      <w:r w:rsidR="00D11DE7">
        <w:rPr>
          <w:szCs w:val="22"/>
          <w:lang w:val="fr-FR"/>
        </w:rPr>
        <w:t>’</w:t>
      </w:r>
      <w:r w:rsidRPr="008520E8">
        <w:rPr>
          <w:szCs w:val="22"/>
          <w:lang w:val="fr-FR"/>
        </w:rPr>
        <w:t>approches ont été proposées dans les documents de travail relatifs aux savoirs traditionnels et aux expressions culturelles traditionnelles pour établir la relation/</w:t>
      </w:r>
      <w:r w:rsidRPr="000D4345">
        <w:rPr>
          <w:color w:val="000000"/>
          <w:szCs w:val="22"/>
          <w:lang w:val="fr-FR"/>
        </w:rPr>
        <w:t>l</w:t>
      </w:r>
      <w:r w:rsidR="00D11DE7">
        <w:rPr>
          <w:color w:val="000000"/>
          <w:szCs w:val="22"/>
          <w:lang w:val="fr-FR"/>
        </w:rPr>
        <w:t>’</w:t>
      </w:r>
      <w:r w:rsidRPr="000D4345">
        <w:rPr>
          <w:color w:val="000000"/>
          <w:szCs w:val="22"/>
          <w:lang w:val="fr-FR"/>
        </w:rPr>
        <w:t>interface entre</w:t>
      </w:r>
      <w:r w:rsidRPr="008520E8">
        <w:rPr>
          <w:szCs w:val="22"/>
          <w:lang w:val="fr-FR"/>
        </w:rPr>
        <w:t xml:space="preserve"> l</w:t>
      </w:r>
      <w:r w:rsidR="00D11DE7">
        <w:rPr>
          <w:szCs w:val="22"/>
          <w:lang w:val="fr-FR"/>
        </w:rPr>
        <w:t>’</w:t>
      </w:r>
      <w:r w:rsidRPr="008520E8">
        <w:rPr>
          <w:szCs w:val="22"/>
          <w:lang w:val="fr-FR"/>
        </w:rPr>
        <w:t xml:space="preserve">objet de la protection et la portée des droits moraux ou patrimoniaux relatifs aux savoirs traditionnels et aux expressions culturelles traditionnelles, y compris les limitations </w:t>
      </w:r>
      <w:r w:rsidRPr="000D4345">
        <w:rPr>
          <w:color w:val="000000"/>
          <w:szCs w:val="22"/>
          <w:lang w:val="fr-FR"/>
        </w:rPr>
        <w:t xml:space="preserve">relatives </w:t>
      </w:r>
      <w:r w:rsidRPr="008520E8">
        <w:rPr>
          <w:szCs w:val="22"/>
          <w:lang w:val="fr-FR"/>
        </w:rPr>
        <w:t>à ces droits.</w:t>
      </w:r>
      <w:r w:rsidR="0056607C" w:rsidRPr="00BF4F07">
        <w:rPr>
          <w:szCs w:val="22"/>
          <w:lang w:val="fr-FR"/>
        </w:rPr>
        <w:t xml:space="preserve"> </w:t>
      </w:r>
      <w:r w:rsidR="00FF38A8" w:rsidRPr="00BF4F07">
        <w:rPr>
          <w:szCs w:val="22"/>
          <w:lang w:val="fr-FR"/>
        </w:rPr>
        <w:t xml:space="preserve"> </w:t>
      </w:r>
      <w:r w:rsidR="007C7A5F" w:rsidRPr="008520E8">
        <w:rPr>
          <w:szCs w:val="22"/>
          <w:lang w:val="fr-FR"/>
        </w:rPr>
        <w:t>Il s’agit notamment</w:t>
      </w:r>
      <w:r w:rsidR="00D11DE7">
        <w:rPr>
          <w:szCs w:val="22"/>
          <w:lang w:val="fr-FR"/>
        </w:rPr>
        <w:t> </w:t>
      </w:r>
      <w:r w:rsidRPr="008520E8">
        <w:rPr>
          <w:szCs w:val="22"/>
          <w:lang w:val="fr-FR"/>
        </w:rPr>
        <w:t>:</w:t>
      </w:r>
    </w:p>
    <w:p w14:paraId="3420A179" w14:textId="2A29477B" w:rsidR="004346E8" w:rsidRDefault="007C7A5F" w:rsidP="007C7A5F">
      <w:pPr>
        <w:pStyle w:val="Paragraphedeliste"/>
        <w:numPr>
          <w:ilvl w:val="1"/>
          <w:numId w:val="28"/>
        </w:numPr>
        <w:rPr>
          <w:szCs w:val="22"/>
          <w:lang w:val="fr-FR"/>
        </w:rPr>
      </w:pPr>
      <w:proofErr w:type="gramStart"/>
      <w:r w:rsidRPr="007C7A5F">
        <w:rPr>
          <w:color w:val="000000"/>
          <w:szCs w:val="22"/>
          <w:lang w:val="fr-FR"/>
        </w:rPr>
        <w:t>d</w:t>
      </w:r>
      <w:r w:rsidR="00D11DE7">
        <w:rPr>
          <w:color w:val="000000"/>
          <w:szCs w:val="22"/>
          <w:lang w:val="fr-FR"/>
        </w:rPr>
        <w:t>’</w:t>
      </w:r>
      <w:r w:rsidRPr="007C7A5F">
        <w:rPr>
          <w:color w:val="000000"/>
          <w:szCs w:val="22"/>
          <w:lang w:val="fr-FR"/>
        </w:rPr>
        <w:t>é</w:t>
      </w:r>
      <w:r w:rsidRPr="008520E8">
        <w:rPr>
          <w:szCs w:val="22"/>
          <w:lang w:val="fr-FR"/>
        </w:rPr>
        <w:t>tablir</w:t>
      </w:r>
      <w:proofErr w:type="gramEnd"/>
      <w:r w:rsidRPr="008520E8">
        <w:rPr>
          <w:szCs w:val="22"/>
          <w:lang w:val="fr-FR"/>
        </w:rPr>
        <w:t xml:space="preserve"> un lien entre les </w:t>
      </w:r>
      <w:r w:rsidR="00346E11">
        <w:rPr>
          <w:szCs w:val="22"/>
          <w:lang w:val="fr-FR"/>
        </w:rPr>
        <w:t>critères</w:t>
      </w:r>
      <w:r w:rsidRPr="008520E8">
        <w:rPr>
          <w:szCs w:val="22"/>
          <w:lang w:val="fr-FR"/>
        </w:rPr>
        <w:t xml:space="preserve"> </w:t>
      </w:r>
      <w:r w:rsidRPr="007C7A5F">
        <w:rPr>
          <w:color w:val="000000"/>
          <w:szCs w:val="22"/>
          <w:lang w:val="fr-FR"/>
        </w:rPr>
        <w:t xml:space="preserve">à remplir et </w:t>
      </w:r>
      <w:r w:rsidRPr="008520E8">
        <w:rPr>
          <w:szCs w:val="22"/>
          <w:lang w:val="fr-FR"/>
        </w:rPr>
        <w:t>l</w:t>
      </w:r>
      <w:r w:rsidRPr="007C7A5F">
        <w:rPr>
          <w:color w:val="000000"/>
          <w:szCs w:val="22"/>
          <w:lang w:val="fr-FR"/>
        </w:rPr>
        <w:t>es</w:t>
      </w:r>
      <w:r w:rsidRPr="008520E8">
        <w:rPr>
          <w:szCs w:val="22"/>
          <w:lang w:val="fr-FR"/>
        </w:rPr>
        <w:t xml:space="preserve"> définition</w:t>
      </w:r>
      <w:r w:rsidRPr="007C7A5F">
        <w:rPr>
          <w:color w:val="000000"/>
          <w:szCs w:val="22"/>
          <w:lang w:val="fr-FR"/>
        </w:rPr>
        <w:t>s relatives aux</w:t>
      </w:r>
      <w:r w:rsidRPr="008520E8">
        <w:rPr>
          <w:szCs w:val="22"/>
          <w:lang w:val="fr-FR"/>
        </w:rPr>
        <w:t xml:space="preserve"> </w:t>
      </w:r>
      <w:r w:rsidRPr="007C7A5F">
        <w:rPr>
          <w:color w:val="000000"/>
          <w:szCs w:val="22"/>
          <w:lang w:val="fr-FR"/>
        </w:rPr>
        <w:t xml:space="preserve">savoirs traditionnels et aux expressions culturelles traditionnelles et une différenciation de </w:t>
      </w:r>
      <w:r w:rsidRPr="008520E8">
        <w:rPr>
          <w:szCs w:val="22"/>
          <w:lang w:val="fr-FR"/>
        </w:rPr>
        <w:t>l</w:t>
      </w:r>
      <w:r w:rsidR="00D11DE7">
        <w:rPr>
          <w:szCs w:val="22"/>
          <w:lang w:val="fr-FR"/>
        </w:rPr>
        <w:t>’</w:t>
      </w:r>
      <w:r w:rsidRPr="008520E8">
        <w:rPr>
          <w:szCs w:val="22"/>
          <w:lang w:val="fr-FR"/>
        </w:rPr>
        <w:t>étendue de la protection dans le</w:t>
      </w:r>
      <w:r w:rsidRPr="007C7A5F">
        <w:rPr>
          <w:color w:val="000000"/>
          <w:szCs w:val="22"/>
          <w:lang w:val="fr-FR"/>
        </w:rPr>
        <w:t>s</w:t>
      </w:r>
      <w:r w:rsidRPr="008520E8">
        <w:rPr>
          <w:szCs w:val="22"/>
          <w:lang w:val="fr-FR"/>
        </w:rPr>
        <w:t xml:space="preserve"> projet</w:t>
      </w:r>
      <w:r w:rsidRPr="007C7A5F">
        <w:rPr>
          <w:color w:val="000000"/>
          <w:szCs w:val="22"/>
          <w:lang w:val="fr-FR"/>
        </w:rPr>
        <w:t>s</w:t>
      </w:r>
      <w:r w:rsidRPr="008520E8">
        <w:rPr>
          <w:szCs w:val="22"/>
          <w:lang w:val="fr-FR"/>
        </w:rPr>
        <w:t xml:space="preserve"> d</w:t>
      </w:r>
      <w:r w:rsidR="00D11DE7">
        <w:rPr>
          <w:szCs w:val="22"/>
          <w:lang w:val="fr-FR"/>
        </w:rPr>
        <w:t>’</w:t>
      </w:r>
      <w:r w:rsidRPr="008520E8">
        <w:rPr>
          <w:szCs w:val="22"/>
          <w:lang w:val="fr-FR"/>
        </w:rPr>
        <w:t>articles relatif</w:t>
      </w:r>
      <w:r w:rsidRPr="007C7A5F">
        <w:rPr>
          <w:color w:val="000000"/>
          <w:szCs w:val="22"/>
          <w:lang w:val="fr-FR"/>
        </w:rPr>
        <w:t>s</w:t>
      </w:r>
      <w:r w:rsidRPr="008520E8">
        <w:rPr>
          <w:szCs w:val="22"/>
          <w:lang w:val="fr-FR"/>
        </w:rPr>
        <w:t xml:space="preserve"> à l</w:t>
      </w:r>
      <w:r w:rsidR="00D11DE7">
        <w:rPr>
          <w:szCs w:val="22"/>
          <w:lang w:val="fr-FR"/>
        </w:rPr>
        <w:t>’“</w:t>
      </w:r>
      <w:r w:rsidRPr="008520E8">
        <w:rPr>
          <w:szCs w:val="22"/>
          <w:lang w:val="fr-FR"/>
        </w:rPr>
        <w:t>étendue de la protection</w:t>
      </w:r>
      <w:r w:rsidR="00D11DE7">
        <w:rPr>
          <w:szCs w:val="22"/>
          <w:lang w:val="fr-FR"/>
        </w:rPr>
        <w:t>”</w:t>
      </w:r>
      <w:r w:rsidRPr="008520E8">
        <w:rPr>
          <w:szCs w:val="22"/>
          <w:lang w:val="fr-FR"/>
        </w:rPr>
        <w:t xml:space="preserve"> </w:t>
      </w:r>
      <w:r w:rsidRPr="007C7A5F">
        <w:rPr>
          <w:color w:val="000000"/>
          <w:szCs w:val="22"/>
          <w:lang w:val="fr-FR"/>
        </w:rPr>
        <w:t xml:space="preserve">en fonction </w:t>
      </w:r>
      <w:r w:rsidRPr="008520E8">
        <w:rPr>
          <w:szCs w:val="22"/>
          <w:lang w:val="fr-FR"/>
        </w:rPr>
        <w:t xml:space="preserve">de la diffusion </w:t>
      </w:r>
      <w:r w:rsidRPr="007C7A5F">
        <w:rPr>
          <w:color w:val="000000"/>
          <w:szCs w:val="22"/>
          <w:lang w:val="fr-FR"/>
        </w:rPr>
        <w:t>des</w:t>
      </w:r>
      <w:r w:rsidRPr="008520E8">
        <w:rPr>
          <w:szCs w:val="22"/>
          <w:lang w:val="fr-FR"/>
        </w:rPr>
        <w:t xml:space="preserve"> </w:t>
      </w:r>
      <w:r w:rsidRPr="007C7A5F">
        <w:rPr>
          <w:color w:val="000000"/>
          <w:szCs w:val="22"/>
          <w:lang w:val="fr-FR"/>
        </w:rPr>
        <w:t xml:space="preserve">savoirs </w:t>
      </w:r>
      <w:r w:rsidRPr="008520E8">
        <w:rPr>
          <w:szCs w:val="22"/>
          <w:lang w:val="fr-FR"/>
        </w:rPr>
        <w:t xml:space="preserve">et </w:t>
      </w:r>
      <w:r w:rsidRPr="007C7A5F">
        <w:rPr>
          <w:color w:val="000000"/>
          <w:szCs w:val="22"/>
          <w:lang w:val="fr-FR"/>
        </w:rPr>
        <w:t xml:space="preserve">des </w:t>
      </w:r>
      <w:r w:rsidRPr="008520E8">
        <w:rPr>
          <w:szCs w:val="22"/>
          <w:lang w:val="fr-FR"/>
        </w:rPr>
        <w:t xml:space="preserve">expressions culturelles et </w:t>
      </w:r>
      <w:r w:rsidRPr="007C7A5F">
        <w:rPr>
          <w:color w:val="000000"/>
          <w:szCs w:val="22"/>
          <w:lang w:val="fr-FR"/>
        </w:rPr>
        <w:t xml:space="preserve">de </w:t>
      </w:r>
      <w:r w:rsidRPr="008520E8">
        <w:rPr>
          <w:szCs w:val="22"/>
          <w:lang w:val="fr-FR"/>
        </w:rPr>
        <w:t>la nature de leur contrôle et gestion au sein d</w:t>
      </w:r>
      <w:r w:rsidR="00D11DE7">
        <w:rPr>
          <w:szCs w:val="22"/>
          <w:lang w:val="fr-FR"/>
        </w:rPr>
        <w:t>’</w:t>
      </w:r>
      <w:r w:rsidRPr="008520E8">
        <w:rPr>
          <w:szCs w:val="22"/>
          <w:lang w:val="fr-FR"/>
        </w:rPr>
        <w:t>une communauté autochtone ou local</w:t>
      </w:r>
      <w:r w:rsidR="00692289">
        <w:rPr>
          <w:szCs w:val="22"/>
          <w:lang w:val="fr-FR"/>
        </w:rPr>
        <w:t>e;</w:t>
      </w:r>
    </w:p>
    <w:p w14:paraId="30191394" w14:textId="5D89DF3E" w:rsidR="004346E8" w:rsidRDefault="00692289" w:rsidP="007C7A5F">
      <w:pPr>
        <w:pStyle w:val="Paragraphedeliste"/>
        <w:numPr>
          <w:ilvl w:val="1"/>
          <w:numId w:val="28"/>
        </w:numPr>
        <w:rPr>
          <w:lang w:val="fr-FR"/>
        </w:rPr>
      </w:pPr>
      <w:proofErr w:type="gramStart"/>
      <w:r>
        <w:rPr>
          <w:lang w:val="fr-FR"/>
        </w:rPr>
        <w:t>d’établir</w:t>
      </w:r>
      <w:proofErr w:type="gramEnd"/>
      <w:r w:rsidR="007C7A5F" w:rsidRPr="008520E8">
        <w:rPr>
          <w:lang w:val="fr-FR"/>
        </w:rPr>
        <w:t xml:space="preserve"> de</w:t>
      </w:r>
      <w:r>
        <w:rPr>
          <w:lang w:val="fr-FR"/>
        </w:rPr>
        <w:t>s</w:t>
      </w:r>
      <w:r w:rsidR="007C7A5F" w:rsidRPr="008520E8">
        <w:rPr>
          <w:lang w:val="fr-FR"/>
        </w:rPr>
        <w:t xml:space="preserve"> définitions spécifiques relatives aux savoirs traditionnels et </w:t>
      </w:r>
      <w:r>
        <w:rPr>
          <w:lang w:val="fr-FR"/>
        </w:rPr>
        <w:t xml:space="preserve">aux </w:t>
      </w:r>
      <w:r w:rsidR="007C7A5F" w:rsidRPr="008520E8">
        <w:rPr>
          <w:lang w:val="fr-FR"/>
        </w:rPr>
        <w:t>expressions culturelles traditionnelles protégés</w:t>
      </w:r>
      <w:r w:rsidR="00445004">
        <w:rPr>
          <w:lang w:val="fr-FR"/>
        </w:rPr>
        <w:t>,</w:t>
      </w:r>
      <w:r w:rsidR="007C7A5F" w:rsidRPr="008520E8">
        <w:rPr>
          <w:lang w:val="fr-FR"/>
        </w:rPr>
        <w:t xml:space="preserve"> </w:t>
      </w:r>
      <w:r w:rsidR="00445004">
        <w:rPr>
          <w:lang w:val="fr-FR"/>
        </w:rPr>
        <w:t>compte tenu</w:t>
      </w:r>
      <w:r w:rsidR="007C7A5F" w:rsidRPr="008520E8">
        <w:rPr>
          <w:lang w:val="fr-FR"/>
        </w:rPr>
        <w:t xml:space="preserve"> </w:t>
      </w:r>
      <w:r w:rsidR="00445004">
        <w:rPr>
          <w:lang w:val="fr-FR"/>
        </w:rPr>
        <w:t>d</w:t>
      </w:r>
      <w:r w:rsidR="007C7A5F" w:rsidRPr="008520E8">
        <w:rPr>
          <w:lang w:val="fr-FR"/>
        </w:rPr>
        <w:t xml:space="preserve">es </w:t>
      </w:r>
      <w:r w:rsidR="00346E11">
        <w:rPr>
          <w:lang w:val="fr-FR"/>
        </w:rPr>
        <w:t>critères</w:t>
      </w:r>
      <w:r w:rsidR="007C7A5F" w:rsidRPr="008520E8">
        <w:rPr>
          <w:lang w:val="fr-FR"/>
        </w:rPr>
        <w:t xml:space="preserve"> à remplir pour bénéficier de la protection;</w:t>
      </w:r>
      <w:r w:rsidR="00445004">
        <w:rPr>
          <w:lang w:val="fr-FR"/>
        </w:rPr>
        <w:t xml:space="preserve">  et</w:t>
      </w:r>
    </w:p>
    <w:p w14:paraId="1C345247" w14:textId="7D54ADF2" w:rsidR="004346E8" w:rsidRDefault="00445004" w:rsidP="007C7A5F">
      <w:pPr>
        <w:pStyle w:val="Paragraphedeliste"/>
        <w:numPr>
          <w:ilvl w:val="1"/>
          <w:numId w:val="28"/>
        </w:numPr>
        <w:rPr>
          <w:lang w:val="fr-FR"/>
        </w:rPr>
      </w:pPr>
      <w:proofErr w:type="gramStart"/>
      <w:r>
        <w:rPr>
          <w:lang w:val="fr-FR"/>
        </w:rPr>
        <w:t>d’envisager</w:t>
      </w:r>
      <w:proofErr w:type="gramEnd"/>
      <w:r>
        <w:rPr>
          <w:lang w:val="fr-FR"/>
        </w:rPr>
        <w:t xml:space="preserve"> u</w:t>
      </w:r>
      <w:r w:rsidR="007C7A5F" w:rsidRPr="008520E8">
        <w:rPr>
          <w:lang w:val="fr-FR"/>
        </w:rPr>
        <w:t>ne combinaison des approches susmentionnées.</w:t>
      </w:r>
    </w:p>
    <w:p w14:paraId="601C8314" w14:textId="0CF277BA" w:rsidR="004346E8" w:rsidRDefault="007C7A5F" w:rsidP="007C7A5F">
      <w:pPr>
        <w:pStyle w:val="Paragraphedeliste"/>
        <w:numPr>
          <w:ilvl w:val="0"/>
          <w:numId w:val="28"/>
        </w:numPr>
        <w:rPr>
          <w:lang w:val="fr-FR"/>
        </w:rPr>
      </w:pPr>
      <w:r w:rsidRPr="008520E8">
        <w:rPr>
          <w:lang w:val="fr-FR"/>
        </w:rPr>
        <w:t xml:space="preserve">Est-il nécessaire de définir le terme </w:t>
      </w:r>
      <w:r w:rsidR="00D11DE7">
        <w:rPr>
          <w:lang w:val="fr-FR"/>
        </w:rPr>
        <w:t>“</w:t>
      </w:r>
      <w:r w:rsidRPr="008520E8">
        <w:rPr>
          <w:lang w:val="fr-FR"/>
        </w:rPr>
        <w:t>traditionnel</w:t>
      </w:r>
      <w:r w:rsidR="00D11DE7">
        <w:rPr>
          <w:lang w:val="fr-FR"/>
        </w:rPr>
        <w:t>”</w:t>
      </w:r>
      <w:r w:rsidRPr="008520E8">
        <w:rPr>
          <w:lang w:val="fr-FR"/>
        </w:rPr>
        <w:t>?</w:t>
      </w:r>
      <w:r w:rsidR="003321D2" w:rsidRPr="00BF4F07">
        <w:rPr>
          <w:lang w:val="fr-FR"/>
        </w:rPr>
        <w:t xml:space="preserve"> </w:t>
      </w:r>
      <w:r w:rsidR="0024255A">
        <w:rPr>
          <w:lang w:val="fr-FR"/>
        </w:rPr>
        <w:t xml:space="preserve"> </w:t>
      </w:r>
      <w:r w:rsidRPr="008520E8">
        <w:rPr>
          <w:lang w:val="fr-FR"/>
        </w:rPr>
        <w:t>Dans l</w:t>
      </w:r>
      <w:r w:rsidR="00D11DE7">
        <w:rPr>
          <w:lang w:val="fr-FR"/>
        </w:rPr>
        <w:t>’</w:t>
      </w:r>
      <w:r w:rsidRPr="008520E8">
        <w:rPr>
          <w:lang w:val="fr-FR"/>
        </w:rPr>
        <w:t>affirmative, comment?</w:t>
      </w:r>
    </w:p>
    <w:p w14:paraId="40DD77BF" w14:textId="77777777" w:rsidR="004346E8" w:rsidRDefault="004346E8" w:rsidP="00E778A2">
      <w:pPr>
        <w:rPr>
          <w:lang w:val="fr-FR"/>
        </w:rPr>
      </w:pPr>
    </w:p>
    <w:p w14:paraId="2269F19E" w14:textId="77376C7E" w:rsidR="004346E8" w:rsidRDefault="004346E8" w:rsidP="004346E8">
      <w:pPr>
        <w:pStyle w:val="Paragraphedeliste"/>
        <w:numPr>
          <w:ilvl w:val="0"/>
          <w:numId w:val="28"/>
        </w:numPr>
        <w:rPr>
          <w:lang w:val="fr-FR"/>
        </w:rPr>
      </w:pPr>
      <w:r w:rsidRPr="008520E8">
        <w:rPr>
          <w:lang w:val="fr-FR"/>
        </w:rPr>
        <w:lastRenderedPageBreak/>
        <w:t>La définition de l</w:t>
      </w:r>
      <w:r w:rsidR="00D11DE7">
        <w:rPr>
          <w:lang w:val="fr-FR"/>
        </w:rPr>
        <w:t>’</w:t>
      </w:r>
      <w:r w:rsidRPr="008520E8">
        <w:rPr>
          <w:lang w:val="fr-FR"/>
        </w:rPr>
        <w:t xml:space="preserve">objet de la protection devrait-elle inclure un élément temporel (par exemple, que les savoirs traditionnels ou les expressions culturelles traditionnelles </w:t>
      </w:r>
      <w:r w:rsidR="006A5CCD">
        <w:rPr>
          <w:lang w:val="fr-FR"/>
        </w:rPr>
        <w:t xml:space="preserve">doivent avoir </w:t>
      </w:r>
      <w:r w:rsidRPr="008520E8">
        <w:rPr>
          <w:lang w:val="fr-FR"/>
        </w:rPr>
        <w:t>exist</w:t>
      </w:r>
      <w:r w:rsidR="006A5CCD">
        <w:rPr>
          <w:lang w:val="fr-FR"/>
        </w:rPr>
        <w:t>é</w:t>
      </w:r>
      <w:r w:rsidRPr="008520E8">
        <w:rPr>
          <w:lang w:val="fr-FR"/>
        </w:rPr>
        <w:t xml:space="preserve"> pendant</w:t>
      </w:r>
      <w:r w:rsidRPr="004346E8">
        <w:rPr>
          <w:color w:val="000000"/>
          <w:lang w:val="fr-FR"/>
        </w:rPr>
        <w:t xml:space="preserve"> une durée</w:t>
      </w:r>
      <w:r w:rsidRPr="008520E8">
        <w:rPr>
          <w:lang w:val="fr-FR"/>
        </w:rPr>
        <w:t xml:space="preserve"> </w:t>
      </w:r>
      <w:r w:rsidR="00D11DE7">
        <w:rPr>
          <w:lang w:val="fr-FR"/>
        </w:rPr>
        <w:t>“</w:t>
      </w:r>
      <w:r w:rsidRPr="004346E8">
        <w:rPr>
          <w:color w:val="000000"/>
          <w:lang w:val="fr-FR"/>
        </w:rPr>
        <w:t xml:space="preserve">qui ne peut être inférieure à </w:t>
      </w:r>
      <w:r w:rsidRPr="008520E8">
        <w:rPr>
          <w:lang w:val="fr-FR"/>
        </w:rPr>
        <w:t>50</w:t>
      </w:r>
      <w:r w:rsidR="00D11DE7">
        <w:rPr>
          <w:lang w:val="fr-FR"/>
        </w:rPr>
        <w:t> </w:t>
      </w:r>
      <w:r w:rsidRPr="008520E8">
        <w:rPr>
          <w:lang w:val="fr-FR"/>
        </w:rPr>
        <w:t xml:space="preserve">ans ou </w:t>
      </w:r>
      <w:r w:rsidRPr="004346E8">
        <w:rPr>
          <w:color w:val="000000"/>
          <w:lang w:val="fr-FR"/>
        </w:rPr>
        <w:t xml:space="preserve">à </w:t>
      </w:r>
      <w:r w:rsidRPr="008520E8">
        <w:rPr>
          <w:lang w:val="fr-FR"/>
        </w:rPr>
        <w:t xml:space="preserve">une période </w:t>
      </w:r>
      <w:r w:rsidRPr="004346E8">
        <w:rPr>
          <w:color w:val="000000"/>
          <w:lang w:val="fr-FR"/>
        </w:rPr>
        <w:t xml:space="preserve">de </w:t>
      </w:r>
      <w:r w:rsidRPr="008520E8">
        <w:rPr>
          <w:lang w:val="fr-FR"/>
        </w:rPr>
        <w:t>cinq générations</w:t>
      </w:r>
      <w:r w:rsidR="00D11DE7">
        <w:rPr>
          <w:lang w:val="fr-FR"/>
        </w:rPr>
        <w:t>”</w:t>
      </w:r>
      <w:r w:rsidRPr="008520E8">
        <w:rPr>
          <w:lang w:val="fr-FR"/>
        </w:rPr>
        <w:t>)?</w:t>
      </w:r>
    </w:p>
    <w:p w14:paraId="6A250303" w14:textId="056B9946" w:rsidR="004346E8" w:rsidRDefault="004346E8" w:rsidP="004346E8">
      <w:pPr>
        <w:pStyle w:val="Paragraphedeliste"/>
        <w:numPr>
          <w:ilvl w:val="0"/>
          <w:numId w:val="28"/>
        </w:numPr>
        <w:rPr>
          <w:lang w:val="fr-FR"/>
        </w:rPr>
      </w:pPr>
      <w:r w:rsidRPr="004346E8">
        <w:rPr>
          <w:color w:val="000000"/>
          <w:lang w:val="fr-FR"/>
        </w:rPr>
        <w:t>Faut-il prévoir d</w:t>
      </w:r>
      <w:r w:rsidRPr="008520E8">
        <w:rPr>
          <w:lang w:val="fr-FR"/>
        </w:rPr>
        <w:t>es exemples de savoirs traditionnels ou d</w:t>
      </w:r>
      <w:r w:rsidR="00D11DE7">
        <w:rPr>
          <w:lang w:val="fr-FR"/>
        </w:rPr>
        <w:t>’</w:t>
      </w:r>
      <w:r w:rsidRPr="008520E8">
        <w:rPr>
          <w:lang w:val="fr-FR"/>
        </w:rPr>
        <w:t>expressions culturelles traditionnelles</w:t>
      </w:r>
      <w:r w:rsidRPr="004346E8">
        <w:rPr>
          <w:color w:val="000000"/>
          <w:lang w:val="fr-FR"/>
        </w:rPr>
        <w:t xml:space="preserve"> </w:t>
      </w:r>
      <w:r w:rsidRPr="008520E8">
        <w:rPr>
          <w:lang w:val="fr-FR"/>
        </w:rPr>
        <w:t>dans l</w:t>
      </w:r>
      <w:r w:rsidR="00D11DE7">
        <w:rPr>
          <w:lang w:val="fr-FR"/>
        </w:rPr>
        <w:t>’</w:t>
      </w:r>
      <w:r w:rsidRPr="008520E8">
        <w:rPr>
          <w:lang w:val="fr-FR"/>
        </w:rPr>
        <w:t>instrument?</w:t>
      </w:r>
    </w:p>
    <w:p w14:paraId="28F1747D" w14:textId="77777777" w:rsidR="004346E8" w:rsidRDefault="004346E8" w:rsidP="000D4BD5">
      <w:pPr>
        <w:rPr>
          <w:lang w:val="fr-FR"/>
        </w:rPr>
      </w:pPr>
    </w:p>
    <w:p w14:paraId="197E2295" w14:textId="2D32E282" w:rsidR="004346E8" w:rsidRDefault="004346E8" w:rsidP="004346E8">
      <w:pPr>
        <w:rPr>
          <w:b/>
          <w:lang w:val="fr-FR"/>
        </w:rPr>
      </w:pPr>
      <w:r w:rsidRPr="004346E8">
        <w:rPr>
          <w:b/>
          <w:color w:val="000000"/>
          <w:lang w:val="fr-FR"/>
        </w:rPr>
        <w:t>É</w:t>
      </w:r>
      <w:r w:rsidRPr="008520E8">
        <w:rPr>
          <w:b/>
          <w:lang w:val="fr-FR"/>
        </w:rPr>
        <w:t>tendue de la protection</w:t>
      </w:r>
    </w:p>
    <w:p w14:paraId="17015C10" w14:textId="77777777" w:rsidR="004346E8" w:rsidRDefault="004346E8" w:rsidP="00CC0A33">
      <w:pPr>
        <w:rPr>
          <w:lang w:val="fr-FR"/>
        </w:rPr>
      </w:pPr>
    </w:p>
    <w:p w14:paraId="644402A9" w14:textId="5A0F9161" w:rsidR="004346E8" w:rsidRDefault="00337D2C" w:rsidP="008520E8">
      <w:pPr>
        <w:pStyle w:val="ONUMFS"/>
        <w:rPr>
          <w:lang w:val="fr-FR"/>
        </w:rPr>
      </w:pPr>
      <w:r w:rsidRPr="008520E8">
        <w:rPr>
          <w:lang w:val="fr-FR"/>
        </w:rPr>
        <w:t>L</w:t>
      </w:r>
      <w:r w:rsidR="00D11DE7">
        <w:rPr>
          <w:lang w:val="fr-FR"/>
        </w:rPr>
        <w:t>’</w:t>
      </w:r>
      <w:r w:rsidRPr="008520E8">
        <w:rPr>
          <w:lang w:val="fr-FR"/>
        </w:rPr>
        <w:t xml:space="preserve">étendue de la protection </w:t>
      </w:r>
      <w:r w:rsidRPr="00337D2C">
        <w:rPr>
          <w:color w:val="000000"/>
          <w:lang w:val="fr-FR"/>
        </w:rPr>
        <w:t>a pour objet de</w:t>
      </w:r>
      <w:r w:rsidRPr="008520E8">
        <w:rPr>
          <w:lang w:val="fr-FR"/>
        </w:rPr>
        <w:t xml:space="preserve"> déterminer quels actes ou omissions spécifiques </w:t>
      </w:r>
      <w:r w:rsidRPr="00337D2C">
        <w:rPr>
          <w:color w:val="000000"/>
          <w:lang w:val="fr-FR"/>
        </w:rPr>
        <w:t>à l</w:t>
      </w:r>
      <w:r w:rsidR="00D11DE7">
        <w:rPr>
          <w:color w:val="000000"/>
          <w:lang w:val="fr-FR"/>
        </w:rPr>
        <w:t>’</w:t>
      </w:r>
      <w:r w:rsidRPr="00337D2C">
        <w:rPr>
          <w:color w:val="000000"/>
          <w:lang w:val="fr-FR"/>
        </w:rPr>
        <w:t xml:space="preserve">égard </w:t>
      </w:r>
      <w:r w:rsidRPr="008520E8">
        <w:rPr>
          <w:lang w:val="fr-FR"/>
        </w:rPr>
        <w:t xml:space="preserve">des savoirs traditionnels ou des expressions culturelles traditionnelles </w:t>
      </w:r>
      <w:r w:rsidRPr="00337D2C">
        <w:rPr>
          <w:color w:val="000000"/>
          <w:lang w:val="fr-FR"/>
        </w:rPr>
        <w:t>protégés</w:t>
      </w:r>
      <w:r w:rsidRPr="008520E8">
        <w:rPr>
          <w:lang w:val="fr-FR"/>
        </w:rPr>
        <w:t xml:space="preserve"> devraient être interdits ou </w:t>
      </w:r>
      <w:r w:rsidRPr="00337D2C">
        <w:rPr>
          <w:color w:val="000000"/>
          <w:lang w:val="fr-FR"/>
        </w:rPr>
        <w:t>empêchés</w:t>
      </w:r>
      <w:r w:rsidRPr="008520E8">
        <w:rPr>
          <w:lang w:val="fr-FR"/>
        </w:rPr>
        <w:t xml:space="preserve"> ou </w:t>
      </w:r>
      <w:r w:rsidRPr="00337D2C">
        <w:rPr>
          <w:color w:val="000000"/>
          <w:lang w:val="fr-FR"/>
        </w:rPr>
        <w:t>le type d</w:t>
      </w:r>
      <w:r w:rsidR="00D11DE7">
        <w:rPr>
          <w:color w:val="000000"/>
          <w:lang w:val="fr-FR"/>
        </w:rPr>
        <w:t>’</w:t>
      </w:r>
      <w:r w:rsidRPr="00337D2C">
        <w:rPr>
          <w:color w:val="000000"/>
          <w:lang w:val="fr-FR"/>
        </w:rPr>
        <w:t>atteintes portée</w:t>
      </w:r>
      <w:r w:rsidR="00D11DE7">
        <w:rPr>
          <w:color w:val="000000"/>
          <w:lang w:val="fr-FR"/>
        </w:rPr>
        <w:t xml:space="preserve">s </w:t>
      </w:r>
      <w:r w:rsidRPr="008520E8">
        <w:rPr>
          <w:lang w:val="fr-FR"/>
        </w:rPr>
        <w:t xml:space="preserve">aux expressions culturelles traditionnelles </w:t>
      </w:r>
      <w:r w:rsidRPr="00337D2C">
        <w:rPr>
          <w:color w:val="000000"/>
          <w:lang w:val="fr-FR"/>
        </w:rPr>
        <w:t xml:space="preserve">ou aux expressions culturelles traditionnelles que </w:t>
      </w:r>
      <w:r w:rsidR="00082699">
        <w:rPr>
          <w:lang w:val="fr-FR"/>
        </w:rPr>
        <w:t>des</w:t>
      </w:r>
      <w:r w:rsidRPr="008520E8">
        <w:rPr>
          <w:lang w:val="fr-FR"/>
        </w:rPr>
        <w:t xml:space="preserve"> instruments similaires fondés sur la propriété intellectuelle</w:t>
      </w:r>
      <w:r w:rsidRPr="00337D2C">
        <w:rPr>
          <w:color w:val="000000"/>
          <w:lang w:val="fr-FR"/>
        </w:rPr>
        <w:t xml:space="preserve"> devraient prendre en considération</w:t>
      </w:r>
      <w:r w:rsidRPr="008520E8">
        <w:rPr>
          <w:lang w:val="fr-FR"/>
        </w:rPr>
        <w:t>?</w:t>
      </w:r>
    </w:p>
    <w:p w14:paraId="20270CA0" w14:textId="77777777" w:rsidR="004346E8" w:rsidRDefault="004346E8" w:rsidP="00CC0A33">
      <w:pPr>
        <w:rPr>
          <w:szCs w:val="22"/>
          <w:lang w:val="fr-FR"/>
        </w:rPr>
      </w:pPr>
    </w:p>
    <w:p w14:paraId="721BCE6C" w14:textId="3F8B30A6" w:rsidR="004346E8" w:rsidRDefault="00337D2C" w:rsidP="008520E8">
      <w:pPr>
        <w:pStyle w:val="ONUMFS"/>
        <w:rPr>
          <w:lang w:val="fr-FR"/>
        </w:rPr>
      </w:pPr>
      <w:r w:rsidRPr="008520E8">
        <w:rPr>
          <w:lang w:val="fr-FR"/>
        </w:rPr>
        <w:t xml:space="preserve">Le groupe spécial d’experts est invité à </w:t>
      </w:r>
      <w:r w:rsidRPr="00337D2C">
        <w:rPr>
          <w:color w:val="000000"/>
          <w:lang w:val="fr-FR"/>
        </w:rPr>
        <w:t>préciser</w:t>
      </w:r>
      <w:r w:rsidR="00D11DE7">
        <w:rPr>
          <w:color w:val="000000"/>
          <w:lang w:val="fr-FR"/>
        </w:rPr>
        <w:t> </w:t>
      </w:r>
      <w:r w:rsidRPr="00337D2C">
        <w:rPr>
          <w:color w:val="000000"/>
          <w:lang w:val="fr-FR"/>
        </w:rPr>
        <w:t>:</w:t>
      </w:r>
    </w:p>
    <w:p w14:paraId="182407E4" w14:textId="1842EA75" w:rsidR="004346E8" w:rsidRDefault="00337D2C" w:rsidP="00337D2C">
      <w:pPr>
        <w:pStyle w:val="Paragraphedeliste"/>
        <w:numPr>
          <w:ilvl w:val="0"/>
          <w:numId w:val="22"/>
        </w:numPr>
        <w:rPr>
          <w:szCs w:val="22"/>
          <w:lang w:val="fr-FR"/>
        </w:rPr>
      </w:pPr>
      <w:proofErr w:type="gramStart"/>
      <w:r w:rsidRPr="008520E8">
        <w:rPr>
          <w:szCs w:val="22"/>
          <w:lang w:val="fr-FR"/>
        </w:rPr>
        <w:t>quelle</w:t>
      </w:r>
      <w:proofErr w:type="gramEnd"/>
      <w:r w:rsidRPr="008520E8">
        <w:rPr>
          <w:szCs w:val="22"/>
          <w:lang w:val="fr-FR"/>
        </w:rPr>
        <w:t xml:space="preserve"> approche il conviendrait d’adopter parmi une approche fondée sur les droits, une approche fondée sur les mesures et une combinaison de ces deux approches</w:t>
      </w:r>
      <w:r w:rsidRPr="00337D2C">
        <w:rPr>
          <w:color w:val="000000"/>
          <w:szCs w:val="22"/>
          <w:lang w:val="fr-FR"/>
        </w:rPr>
        <w:t>?</w:t>
      </w:r>
      <w:r w:rsidR="00303705" w:rsidRPr="00BF4F07">
        <w:rPr>
          <w:szCs w:val="22"/>
          <w:lang w:val="fr-FR"/>
        </w:rPr>
        <w:t xml:space="preserve">  </w:t>
      </w:r>
      <w:r w:rsidRPr="008520E8">
        <w:rPr>
          <w:szCs w:val="22"/>
          <w:lang w:val="fr-FR"/>
        </w:rPr>
        <w:t>Dans le cas de l’option fondée sur les droits, les bénéficiaires se voient accorder des droits qu’ils peuvent</w:t>
      </w:r>
      <w:r w:rsidRPr="00337D2C">
        <w:rPr>
          <w:color w:val="000000"/>
          <w:szCs w:val="22"/>
          <w:lang w:val="fr-FR"/>
        </w:rPr>
        <w:t xml:space="preserve"> directement</w:t>
      </w:r>
      <w:r w:rsidRPr="008520E8">
        <w:rPr>
          <w:szCs w:val="22"/>
          <w:lang w:val="fr-FR"/>
        </w:rPr>
        <w:t xml:space="preserve"> gérer et faire appliquer</w:t>
      </w:r>
      <w:r w:rsidRPr="00337D2C">
        <w:rPr>
          <w:color w:val="000000"/>
          <w:szCs w:val="22"/>
          <w:lang w:val="fr-FR"/>
        </w:rPr>
        <w:t xml:space="preserve"> et</w:t>
      </w:r>
      <w:r w:rsidRPr="008520E8">
        <w:rPr>
          <w:szCs w:val="22"/>
          <w:lang w:val="fr-FR"/>
        </w:rPr>
        <w:t xml:space="preserve"> dans celui de l’option fondée sur des mesures, les États</w:t>
      </w:r>
      <w:r w:rsidRPr="00337D2C">
        <w:rPr>
          <w:color w:val="000000"/>
          <w:szCs w:val="22"/>
          <w:lang w:val="fr-FR"/>
        </w:rPr>
        <w:t xml:space="preserve"> membres </w:t>
      </w:r>
      <w:r w:rsidRPr="008520E8">
        <w:rPr>
          <w:szCs w:val="22"/>
          <w:lang w:val="fr-FR"/>
        </w:rPr>
        <w:t>sont tenus de prendre des mesures pour protéger les savoirs traditionnels</w:t>
      </w:r>
      <w:r w:rsidRPr="00337D2C">
        <w:rPr>
          <w:color w:val="000000"/>
          <w:szCs w:val="22"/>
          <w:lang w:val="fr-FR"/>
        </w:rPr>
        <w:t xml:space="preserve"> et les expressions culturelles traditionnelles</w:t>
      </w:r>
      <w:r w:rsidRPr="008520E8">
        <w:rPr>
          <w:szCs w:val="22"/>
          <w:lang w:val="fr-FR"/>
        </w:rPr>
        <w:t xml:space="preserve">, mesures qui peuvent inclure une large gamme de </w:t>
      </w:r>
      <w:r w:rsidRPr="00337D2C">
        <w:rPr>
          <w:color w:val="000000"/>
          <w:szCs w:val="22"/>
          <w:lang w:val="fr-FR"/>
        </w:rPr>
        <w:t xml:space="preserve">mesures </w:t>
      </w:r>
      <w:r w:rsidRPr="008520E8">
        <w:rPr>
          <w:szCs w:val="22"/>
          <w:lang w:val="fr-FR"/>
        </w:rPr>
        <w:t>juridiques et pratiques, civiles</w:t>
      </w:r>
      <w:r w:rsidRPr="00337D2C">
        <w:rPr>
          <w:color w:val="000000"/>
          <w:szCs w:val="22"/>
          <w:lang w:val="fr-FR"/>
        </w:rPr>
        <w:t>,</w:t>
      </w:r>
      <w:r w:rsidRPr="008520E8">
        <w:rPr>
          <w:szCs w:val="22"/>
          <w:lang w:val="fr-FR"/>
        </w:rPr>
        <w:t xml:space="preserve"> </w:t>
      </w:r>
      <w:r w:rsidRPr="00337D2C">
        <w:rPr>
          <w:color w:val="000000"/>
          <w:szCs w:val="22"/>
          <w:lang w:val="fr-FR"/>
        </w:rPr>
        <w:t>administratives ou</w:t>
      </w:r>
      <w:r w:rsidRPr="008520E8">
        <w:rPr>
          <w:szCs w:val="22"/>
          <w:lang w:val="fr-FR"/>
        </w:rPr>
        <w:t xml:space="preserve"> pénales.</w:t>
      </w:r>
      <w:r w:rsidR="00351AC7" w:rsidRPr="00BF4F07">
        <w:rPr>
          <w:szCs w:val="22"/>
          <w:lang w:val="fr-FR"/>
        </w:rPr>
        <w:t xml:space="preserve">  </w:t>
      </w:r>
      <w:r w:rsidRPr="008520E8">
        <w:rPr>
          <w:szCs w:val="22"/>
          <w:lang w:val="fr-FR"/>
        </w:rPr>
        <w:t xml:space="preserve">Les deux approches sont prises en </w:t>
      </w:r>
      <w:r w:rsidRPr="00337D2C">
        <w:rPr>
          <w:color w:val="000000"/>
          <w:szCs w:val="22"/>
          <w:lang w:val="fr-FR"/>
        </w:rPr>
        <w:t xml:space="preserve">considération </w:t>
      </w:r>
      <w:r w:rsidRPr="008520E8">
        <w:rPr>
          <w:szCs w:val="22"/>
          <w:lang w:val="fr-FR"/>
        </w:rPr>
        <w:t xml:space="preserve">dans les instruments internationaux existants en matière de propriété </w:t>
      </w:r>
      <w:proofErr w:type="gramStart"/>
      <w:r w:rsidRPr="008520E8">
        <w:rPr>
          <w:szCs w:val="22"/>
          <w:lang w:val="fr-FR"/>
        </w:rPr>
        <w:t xml:space="preserve">intellectuelle; </w:t>
      </w:r>
      <w:r w:rsidRPr="00337D2C">
        <w:rPr>
          <w:color w:val="000000"/>
          <w:szCs w:val="22"/>
          <w:lang w:val="fr-FR"/>
        </w:rPr>
        <w:t xml:space="preserve"> </w:t>
      </w:r>
      <w:r w:rsidRPr="008520E8">
        <w:rPr>
          <w:szCs w:val="22"/>
          <w:lang w:val="fr-FR"/>
        </w:rPr>
        <w:t>et</w:t>
      </w:r>
      <w:proofErr w:type="gramEnd"/>
    </w:p>
    <w:p w14:paraId="35655412" w14:textId="56019ABB" w:rsidR="004346E8" w:rsidRDefault="00337D2C" w:rsidP="00337D2C">
      <w:pPr>
        <w:pStyle w:val="Paragraphedeliste"/>
        <w:numPr>
          <w:ilvl w:val="0"/>
          <w:numId w:val="22"/>
        </w:numPr>
        <w:rPr>
          <w:szCs w:val="22"/>
          <w:lang w:val="fr-FR"/>
        </w:rPr>
      </w:pPr>
      <w:proofErr w:type="gramStart"/>
      <w:r w:rsidRPr="008520E8">
        <w:rPr>
          <w:szCs w:val="22"/>
          <w:lang w:val="fr-FR"/>
        </w:rPr>
        <w:t>quelle</w:t>
      </w:r>
      <w:proofErr w:type="gramEnd"/>
      <w:r w:rsidRPr="008520E8">
        <w:rPr>
          <w:szCs w:val="22"/>
          <w:lang w:val="fr-FR"/>
        </w:rPr>
        <w:t xml:space="preserve"> souplesse serait nécessaire pour que l’étendue de la protection puisse être définie au niveau national.</w:t>
      </w:r>
    </w:p>
    <w:p w14:paraId="0B570A2A" w14:textId="77777777" w:rsidR="004346E8" w:rsidRDefault="004346E8" w:rsidP="00CC0A33">
      <w:pPr>
        <w:rPr>
          <w:lang w:val="fr-FR"/>
        </w:rPr>
      </w:pPr>
    </w:p>
    <w:p w14:paraId="60D2B11B" w14:textId="148C0D6B" w:rsidR="004346E8" w:rsidRDefault="00337D2C" w:rsidP="008520E8">
      <w:pPr>
        <w:pStyle w:val="ONUMFS"/>
        <w:rPr>
          <w:lang w:val="fr-FR"/>
        </w:rPr>
      </w:pPr>
      <w:r w:rsidRPr="008520E8">
        <w:rPr>
          <w:lang w:val="fr-FR"/>
        </w:rPr>
        <w:t>L’IGC examine depuis plusieurs années ce qu’il est convenu d’appeler l’“approche à plusieurs niveaux” (également dénommée “protection différenciée”), selon laquelle les titulaires de droits bénéficieraient de différents types ou niveaux de droits ou de mesures en fonction de la nature et des caractéristiques de l’objet, du niveau de contrôle que les bénéficiaires conservent sur ce dernier et de son degré de diffusion.</w:t>
      </w:r>
      <w:r w:rsidR="007C17CA" w:rsidRPr="00BF4F07">
        <w:rPr>
          <w:lang w:val="fr-FR"/>
        </w:rPr>
        <w:t xml:space="preserve">  </w:t>
      </w:r>
    </w:p>
    <w:p w14:paraId="0DE154AB" w14:textId="77777777" w:rsidR="004346E8" w:rsidRDefault="004346E8" w:rsidP="00CC0A33">
      <w:pPr>
        <w:rPr>
          <w:lang w:val="fr-FR"/>
        </w:rPr>
      </w:pPr>
    </w:p>
    <w:p w14:paraId="16C3A993" w14:textId="0903CE6B" w:rsidR="004346E8" w:rsidRDefault="00337D2C" w:rsidP="008520E8">
      <w:pPr>
        <w:pStyle w:val="ONUMFS"/>
        <w:rPr>
          <w:lang w:val="fr-FR"/>
        </w:rPr>
      </w:pPr>
      <w:r w:rsidRPr="008520E8">
        <w:rPr>
          <w:lang w:val="fr-FR"/>
        </w:rPr>
        <w:t>À cet égard, et afin de tester les incidences pratiques et juridiques d</w:t>
      </w:r>
      <w:r w:rsidR="00D11DE7">
        <w:rPr>
          <w:lang w:val="fr-FR"/>
        </w:rPr>
        <w:t>’</w:t>
      </w:r>
      <w:r w:rsidRPr="008520E8">
        <w:rPr>
          <w:lang w:val="fr-FR"/>
        </w:rPr>
        <w:t xml:space="preserve">une </w:t>
      </w:r>
      <w:r w:rsidR="00D11DE7">
        <w:rPr>
          <w:lang w:val="fr-FR"/>
        </w:rPr>
        <w:t>“</w:t>
      </w:r>
      <w:r w:rsidRPr="008520E8">
        <w:rPr>
          <w:lang w:val="fr-FR"/>
        </w:rPr>
        <w:t>approche progressive</w:t>
      </w:r>
      <w:r w:rsidR="00D11DE7">
        <w:rPr>
          <w:lang w:val="fr-FR"/>
        </w:rPr>
        <w:t>”</w:t>
      </w:r>
      <w:r w:rsidRPr="008520E8">
        <w:rPr>
          <w:lang w:val="fr-FR"/>
        </w:rPr>
        <w:t>, le groupe spécial d</w:t>
      </w:r>
      <w:r w:rsidR="00D11DE7">
        <w:rPr>
          <w:lang w:val="fr-FR"/>
        </w:rPr>
        <w:t>’</w:t>
      </w:r>
      <w:r w:rsidRPr="008520E8">
        <w:rPr>
          <w:lang w:val="fr-FR"/>
        </w:rPr>
        <w:t>experts est invité à</w:t>
      </w:r>
      <w:r w:rsidR="00D11DE7">
        <w:rPr>
          <w:lang w:val="fr-FR"/>
        </w:rPr>
        <w:t> </w:t>
      </w:r>
      <w:r w:rsidRPr="008520E8">
        <w:rPr>
          <w:lang w:val="fr-FR"/>
        </w:rPr>
        <w:t>:</w:t>
      </w:r>
    </w:p>
    <w:p w14:paraId="6B4D24E5" w14:textId="77777777" w:rsidR="004346E8" w:rsidRDefault="004346E8" w:rsidP="00CC0A33">
      <w:pPr>
        <w:rPr>
          <w:lang w:val="fr-FR"/>
        </w:rPr>
      </w:pPr>
    </w:p>
    <w:p w14:paraId="10386849" w14:textId="1A19547F" w:rsidR="004346E8" w:rsidRDefault="00337D2C" w:rsidP="008520E8">
      <w:pPr>
        <w:pStyle w:val="Paragraphedeliste"/>
        <w:numPr>
          <w:ilvl w:val="0"/>
          <w:numId w:val="31"/>
        </w:numPr>
        <w:rPr>
          <w:lang w:val="fr-FR"/>
        </w:rPr>
      </w:pPr>
      <w:proofErr w:type="gramStart"/>
      <w:r w:rsidRPr="008520E8">
        <w:rPr>
          <w:lang w:val="fr-FR"/>
        </w:rPr>
        <w:t>élaborer</w:t>
      </w:r>
      <w:proofErr w:type="gramEnd"/>
      <w:r w:rsidRPr="008520E8">
        <w:rPr>
          <w:lang w:val="fr-FR"/>
        </w:rPr>
        <w:t xml:space="preserve"> un projet de cadre(s) qui refléterait une approche progressive des savoirs traditionnels et des expressions culturelles traditionnelles.</w:t>
      </w:r>
      <w:r w:rsidR="008A58D1" w:rsidRPr="00BF4F07">
        <w:rPr>
          <w:lang w:val="fr-FR"/>
        </w:rPr>
        <w:t xml:space="preserve">  </w:t>
      </w:r>
      <w:r w:rsidR="008520E8" w:rsidRPr="008520E8">
        <w:rPr>
          <w:color w:val="000000"/>
          <w:lang w:val="fr-FR"/>
        </w:rPr>
        <w:t>Le ou les</w:t>
      </w:r>
      <w:r w:rsidR="008520E8" w:rsidRPr="008520E8">
        <w:rPr>
          <w:lang w:val="fr-FR"/>
        </w:rPr>
        <w:t xml:space="preserve"> cadres pourrai</w:t>
      </w:r>
      <w:r w:rsidR="008520E8" w:rsidRPr="008520E8">
        <w:rPr>
          <w:color w:val="000000"/>
          <w:lang w:val="fr-FR"/>
        </w:rPr>
        <w:t>en</w:t>
      </w:r>
      <w:r w:rsidR="008520E8" w:rsidRPr="008520E8">
        <w:rPr>
          <w:lang w:val="fr-FR"/>
        </w:rPr>
        <w:t xml:space="preserve">t, par exemple, tenir compte des droits économiques, moraux ou des droits à rémunération et établir une distinction entre les différentes formes sous lesquelles les savoirs traditionnels et les expressions culturelles traditionnelles peuvent être trouvés, tels que les savoirs traditionnels et les expressions culturelles traditionnelles secrets, </w:t>
      </w:r>
      <w:r w:rsidR="008520E8" w:rsidRPr="008520E8">
        <w:rPr>
          <w:color w:val="000000"/>
          <w:lang w:val="fr-FR"/>
        </w:rPr>
        <w:t>circonscrits ou</w:t>
      </w:r>
      <w:r w:rsidR="008520E8" w:rsidRPr="008520E8">
        <w:rPr>
          <w:lang w:val="fr-FR"/>
        </w:rPr>
        <w:t xml:space="preserve"> accessibles au public.</w:t>
      </w:r>
    </w:p>
    <w:p w14:paraId="5F058073" w14:textId="77777777" w:rsidR="004346E8" w:rsidRDefault="004346E8" w:rsidP="006F4E56">
      <w:pPr>
        <w:pStyle w:val="Paragraphedeliste"/>
        <w:rPr>
          <w:lang w:val="fr-FR"/>
        </w:rPr>
      </w:pPr>
    </w:p>
    <w:p w14:paraId="1929873E" w14:textId="60E7B434" w:rsidR="004346E8" w:rsidRDefault="008520E8" w:rsidP="008520E8">
      <w:pPr>
        <w:outlineLvl w:val="0"/>
        <w:rPr>
          <w:b/>
          <w:lang w:val="fr-FR"/>
        </w:rPr>
      </w:pPr>
      <w:r w:rsidRPr="008520E8">
        <w:rPr>
          <w:b/>
          <w:lang w:val="fr-FR"/>
        </w:rPr>
        <w:t>Ressources utiles</w:t>
      </w:r>
      <w:r w:rsidR="00E77050" w:rsidRPr="00BF4F07">
        <w:rPr>
          <w:b/>
          <w:lang w:val="fr-FR"/>
        </w:rPr>
        <w:t xml:space="preserve"> </w:t>
      </w:r>
    </w:p>
    <w:p w14:paraId="69361715" w14:textId="77777777" w:rsidR="004346E8" w:rsidRDefault="004346E8" w:rsidP="00E77050">
      <w:pPr>
        <w:rPr>
          <w:lang w:val="fr-FR"/>
        </w:rPr>
      </w:pPr>
    </w:p>
    <w:p w14:paraId="089C6152" w14:textId="3A970007" w:rsidR="004346E8" w:rsidRDefault="008520E8" w:rsidP="008520E8">
      <w:pPr>
        <w:pStyle w:val="ONUMFS"/>
        <w:rPr>
          <w:lang w:val="fr-FR"/>
        </w:rPr>
      </w:pPr>
      <w:r w:rsidRPr="008520E8">
        <w:rPr>
          <w:lang w:val="fr-FR"/>
        </w:rPr>
        <w:t>Le site Web de l’OMPI comporte des ressources utiles que le groupe spécial d’experts pourrait utiliser comme documentation de référence, telles que</w:t>
      </w:r>
      <w:r w:rsidR="00D11DE7">
        <w:rPr>
          <w:lang w:val="fr-FR"/>
        </w:rPr>
        <w:t> </w:t>
      </w:r>
      <w:r w:rsidRPr="008520E8">
        <w:rPr>
          <w:lang w:val="fr-FR"/>
        </w:rPr>
        <w:t>:</w:t>
      </w:r>
    </w:p>
    <w:p w14:paraId="724E4EB8" w14:textId="77777777" w:rsidR="004346E8" w:rsidRDefault="004346E8" w:rsidP="00E77050">
      <w:pPr>
        <w:rPr>
          <w:lang w:val="fr-FR"/>
        </w:rPr>
      </w:pPr>
    </w:p>
    <w:p w14:paraId="3C176C7E" w14:textId="3A5D5A2C" w:rsidR="004346E8" w:rsidRDefault="008520E8" w:rsidP="008520E8">
      <w:pPr>
        <w:pStyle w:val="Paragraphedeliste"/>
        <w:numPr>
          <w:ilvl w:val="0"/>
          <w:numId w:val="19"/>
        </w:numPr>
        <w:rPr>
          <w:lang w:val="fr-FR"/>
        </w:rPr>
      </w:pPr>
      <w:r w:rsidRPr="008520E8">
        <w:rPr>
          <w:lang w:val="fr-FR"/>
        </w:rPr>
        <w:t>Note d’information du président établie en vue de la trente-</w:t>
      </w:r>
      <w:r w:rsidRPr="008520E8">
        <w:rPr>
          <w:color w:val="000000"/>
          <w:lang w:val="fr-FR"/>
        </w:rPr>
        <w:t xml:space="preserve">neuvième </w:t>
      </w:r>
      <w:r w:rsidRPr="008520E8">
        <w:rPr>
          <w:lang w:val="fr-FR"/>
        </w:rPr>
        <w:t xml:space="preserve">session de l’IGC, </w:t>
      </w:r>
      <w:hyperlink r:id="rId9" w:history="1">
        <w:r w:rsidRPr="008520E8">
          <w:rPr>
            <w:rStyle w:val="Lienhypertexte"/>
          </w:rPr>
          <w:t>http://www.wipo.int/meetings/fr/doc_details.jsp?doc_id=429638</w:t>
        </w:r>
      </w:hyperlink>
      <w:r w:rsidRPr="008520E8">
        <w:rPr>
          <w:lang w:val="fr-FR"/>
        </w:rPr>
        <w:t>;</w:t>
      </w:r>
      <w:r w:rsidR="00BD16F8" w:rsidRPr="00BF4F07">
        <w:rPr>
          <w:lang w:val="fr-FR"/>
        </w:rPr>
        <w:t xml:space="preserve"> </w:t>
      </w:r>
    </w:p>
    <w:p w14:paraId="69A9E627" w14:textId="77777777" w:rsidR="004346E8" w:rsidRDefault="004346E8" w:rsidP="00CE1AD8">
      <w:pPr>
        <w:pStyle w:val="Paragraphedeliste"/>
        <w:rPr>
          <w:lang w:val="fr-FR"/>
        </w:rPr>
      </w:pPr>
    </w:p>
    <w:p w14:paraId="39237F9F" w14:textId="5C9753E1" w:rsidR="004346E8" w:rsidRDefault="008520E8" w:rsidP="008520E8">
      <w:pPr>
        <w:pStyle w:val="Paragraphedeliste"/>
        <w:numPr>
          <w:ilvl w:val="0"/>
          <w:numId w:val="19"/>
        </w:numPr>
        <w:rPr>
          <w:lang w:val="fr-FR"/>
        </w:rPr>
      </w:pPr>
      <w:r w:rsidRPr="008520E8">
        <w:rPr>
          <w:lang w:val="fr-FR"/>
        </w:rPr>
        <w:lastRenderedPageBreak/>
        <w:t>WIPO/GRTKF/IC/39/6, La protection des savoirs traditionnels</w:t>
      </w:r>
      <w:r w:rsidR="00D11DE7">
        <w:rPr>
          <w:lang w:val="fr-FR"/>
        </w:rPr>
        <w:t> </w:t>
      </w:r>
      <w:r w:rsidRPr="008520E8">
        <w:rPr>
          <w:lang w:val="fr-FR"/>
        </w:rPr>
        <w:t xml:space="preserve">: projet actualisé d’analyse des lacunes, </w:t>
      </w:r>
      <w:hyperlink r:id="rId10" w:history="1">
        <w:r w:rsidRPr="008520E8">
          <w:rPr>
            <w:rStyle w:val="Lienhypertexte"/>
          </w:rPr>
          <w:t>https://www.wipo.int/meetings/fr/doc_details.jsp?doc_id=426449</w:t>
        </w:r>
      </w:hyperlink>
      <w:r w:rsidRPr="008520E8">
        <w:rPr>
          <w:lang w:val="fr-FR"/>
        </w:rPr>
        <w:t>;</w:t>
      </w:r>
      <w:r w:rsidR="00BD16F8" w:rsidRPr="00BF4F07">
        <w:rPr>
          <w:lang w:val="fr-FR"/>
        </w:rPr>
        <w:t xml:space="preserve"> </w:t>
      </w:r>
    </w:p>
    <w:p w14:paraId="21E3BA6D" w14:textId="77777777" w:rsidR="004346E8" w:rsidRDefault="004346E8" w:rsidP="00E77050">
      <w:pPr>
        <w:pStyle w:val="Paragraphedeliste"/>
        <w:rPr>
          <w:lang w:val="fr-FR"/>
        </w:rPr>
      </w:pPr>
    </w:p>
    <w:p w14:paraId="46309827" w14:textId="765F974E" w:rsidR="004346E8" w:rsidRDefault="008520E8" w:rsidP="008520E8">
      <w:pPr>
        <w:pStyle w:val="Paragraphedeliste"/>
        <w:numPr>
          <w:ilvl w:val="0"/>
          <w:numId w:val="19"/>
        </w:numPr>
        <w:rPr>
          <w:lang w:val="fr-FR"/>
        </w:rPr>
      </w:pPr>
      <w:r w:rsidRPr="008520E8">
        <w:rPr>
          <w:lang w:val="fr-FR"/>
        </w:rPr>
        <w:t>WIPO/GRTKF/IC/39/7, La protection des expressions culturelles traditionnelles</w:t>
      </w:r>
      <w:r w:rsidR="00D11DE7">
        <w:rPr>
          <w:lang w:val="fr-FR"/>
        </w:rPr>
        <w:t> </w:t>
      </w:r>
      <w:r w:rsidRPr="008520E8">
        <w:rPr>
          <w:lang w:val="fr-FR"/>
        </w:rPr>
        <w:t xml:space="preserve">: projet actualisé d’analyse des lacunes, </w:t>
      </w:r>
      <w:hyperlink r:id="rId11" w:history="1">
        <w:r w:rsidRPr="008520E8">
          <w:rPr>
            <w:rStyle w:val="Lienhypertexte"/>
          </w:rPr>
          <w:t>https://www.wipo.int/meetings/fr/doc_details.jsp?doc_id=426450</w:t>
        </w:r>
      </w:hyperlink>
      <w:r w:rsidRPr="008520E8">
        <w:rPr>
          <w:lang w:val="fr-FR"/>
        </w:rPr>
        <w:t>;</w:t>
      </w:r>
      <w:r w:rsidR="00BD16F8" w:rsidRPr="00BF4F07">
        <w:rPr>
          <w:lang w:val="fr-FR"/>
        </w:rPr>
        <w:t xml:space="preserve"> </w:t>
      </w:r>
    </w:p>
    <w:p w14:paraId="5149E297" w14:textId="77777777" w:rsidR="004346E8" w:rsidRDefault="004346E8" w:rsidP="00E77050">
      <w:pPr>
        <w:pStyle w:val="Paragraphedeliste"/>
        <w:rPr>
          <w:lang w:val="fr-FR"/>
        </w:rPr>
      </w:pPr>
    </w:p>
    <w:p w14:paraId="36E3CF45" w14:textId="4028536B" w:rsidR="004346E8" w:rsidRDefault="008520E8" w:rsidP="008520E8">
      <w:pPr>
        <w:pStyle w:val="Paragraphedeliste"/>
        <w:numPr>
          <w:ilvl w:val="0"/>
          <w:numId w:val="19"/>
        </w:numPr>
        <w:rPr>
          <w:lang w:val="fr-FR"/>
        </w:rPr>
      </w:pPr>
      <w:r w:rsidRPr="008520E8">
        <w:rPr>
          <w:lang w:val="fr-FR"/>
        </w:rPr>
        <w:t xml:space="preserve">WIPO/GRTKF/IC/17/INF/8, Note sur les significations du terme “domaine public” dans le système de la propriété intellectuelle, traitant en particulier de la protection des savoirs traditionnels et des expressions culturelles traditionnelles ou expressions du folklore, </w:t>
      </w:r>
      <w:hyperlink r:id="rId12" w:history="1">
        <w:r w:rsidRPr="008520E8">
          <w:rPr>
            <w:rStyle w:val="Lienhypertexte"/>
          </w:rPr>
          <w:t>https://www.wipo.int/meetings/fr/doc_details.jsp?doc_id=149213</w:t>
        </w:r>
      </w:hyperlink>
      <w:r w:rsidRPr="008520E8">
        <w:rPr>
          <w:lang w:val="fr-FR"/>
        </w:rPr>
        <w:t>;</w:t>
      </w:r>
      <w:r w:rsidR="00BD16F8" w:rsidRPr="00BF4F07">
        <w:rPr>
          <w:lang w:val="fr-FR"/>
        </w:rPr>
        <w:t xml:space="preserve"> </w:t>
      </w:r>
    </w:p>
    <w:p w14:paraId="5C935990" w14:textId="77777777" w:rsidR="004346E8" w:rsidRDefault="004346E8" w:rsidP="00E77050">
      <w:pPr>
        <w:pStyle w:val="Paragraphedeliste"/>
        <w:rPr>
          <w:lang w:val="fr-FR"/>
        </w:rPr>
      </w:pPr>
    </w:p>
    <w:p w14:paraId="7673311E" w14:textId="7D7E7639" w:rsidR="004346E8" w:rsidRDefault="008520E8" w:rsidP="008520E8">
      <w:pPr>
        <w:pStyle w:val="Paragraphedeliste"/>
        <w:numPr>
          <w:ilvl w:val="0"/>
          <w:numId w:val="19"/>
        </w:numPr>
        <w:rPr>
          <w:lang w:val="fr-FR"/>
        </w:rPr>
      </w:pPr>
      <w:r w:rsidRPr="008520E8">
        <w:rPr>
          <w:lang w:val="fr-FR"/>
        </w:rPr>
        <w:t xml:space="preserve">WIPO/GRTKF/IC/17/INF/9, Liste et explication technique succincte des différentes formes sous lesquelles les savoirs traditionnels peuvent se présenter, </w:t>
      </w:r>
      <w:hyperlink r:id="rId13" w:history="1">
        <w:r w:rsidRPr="008520E8">
          <w:rPr>
            <w:rStyle w:val="Lienhypertexte"/>
          </w:rPr>
          <w:t>https://www.wipo.int/meetings/fr/doc_details.jsp?doc_id=147152</w:t>
        </w:r>
      </w:hyperlink>
      <w:r w:rsidRPr="008520E8">
        <w:rPr>
          <w:lang w:val="fr-FR"/>
        </w:rPr>
        <w:t>;</w:t>
      </w:r>
      <w:r w:rsidR="00BD16F8" w:rsidRPr="00BF4F07">
        <w:rPr>
          <w:lang w:val="fr-FR"/>
        </w:rPr>
        <w:t xml:space="preserve"> </w:t>
      </w:r>
    </w:p>
    <w:p w14:paraId="3C303326" w14:textId="77777777" w:rsidR="004346E8" w:rsidRDefault="004346E8" w:rsidP="00E77050">
      <w:pPr>
        <w:pStyle w:val="Paragraphedeliste"/>
        <w:rPr>
          <w:lang w:val="fr-FR"/>
        </w:rPr>
      </w:pPr>
    </w:p>
    <w:p w14:paraId="17C38171" w14:textId="0DCD6554" w:rsidR="004346E8" w:rsidRDefault="008520E8" w:rsidP="008520E8">
      <w:pPr>
        <w:pStyle w:val="Paragraphedeliste"/>
        <w:numPr>
          <w:ilvl w:val="0"/>
          <w:numId w:val="19"/>
        </w:numPr>
        <w:rPr>
          <w:lang w:val="fr-FR"/>
        </w:rPr>
      </w:pPr>
      <w:r w:rsidRPr="008520E8">
        <w:rPr>
          <w:lang w:val="fr-FR"/>
        </w:rPr>
        <w:t xml:space="preserve">Données d’expérience régionales, nationales, locales et communautaires, </w:t>
      </w:r>
      <w:hyperlink r:id="rId14" w:history="1">
        <w:r w:rsidRPr="008520E8">
          <w:rPr>
            <w:rStyle w:val="Lienhypertexte"/>
          </w:rPr>
          <w:t>https://www.wipo.int/tk/fr/resources/tk_experiences.html</w:t>
        </w:r>
      </w:hyperlink>
      <w:r w:rsidRPr="008520E8">
        <w:rPr>
          <w:lang w:val="fr-FR"/>
        </w:rPr>
        <w:t>;</w:t>
      </w:r>
      <w:r w:rsidR="00BD16F8" w:rsidRPr="00BF4F07">
        <w:rPr>
          <w:lang w:val="fr-FR"/>
        </w:rPr>
        <w:t xml:space="preserve"> </w:t>
      </w:r>
    </w:p>
    <w:p w14:paraId="4249885E" w14:textId="77777777" w:rsidR="004346E8" w:rsidRDefault="004346E8" w:rsidP="00E77050">
      <w:pPr>
        <w:rPr>
          <w:lang w:val="fr-FR"/>
        </w:rPr>
      </w:pPr>
    </w:p>
    <w:p w14:paraId="41DE27F8" w14:textId="12B0F29F" w:rsidR="004346E8" w:rsidRDefault="008520E8" w:rsidP="008520E8">
      <w:pPr>
        <w:pStyle w:val="Paragraphedeliste"/>
        <w:numPr>
          <w:ilvl w:val="0"/>
          <w:numId w:val="19"/>
        </w:numPr>
        <w:rPr>
          <w:lang w:val="fr-FR"/>
        </w:rPr>
      </w:pPr>
      <w:r w:rsidRPr="008520E8">
        <w:rPr>
          <w:lang w:val="fr-FR"/>
        </w:rPr>
        <w:t xml:space="preserve">Conférences et exposés sur des thèmes choisis, </w:t>
      </w:r>
      <w:hyperlink r:id="rId15" w:anchor="4" w:history="1">
        <w:r w:rsidRPr="008520E8">
          <w:rPr>
            <w:rStyle w:val="Lienhypertexte"/>
          </w:rPr>
          <w:t>https://www.wipo.int/tk/fr/resources/tk_experiences.html#4</w:t>
        </w:r>
      </w:hyperlink>
      <w:r w:rsidRPr="008520E8">
        <w:rPr>
          <w:lang w:val="fr-FR"/>
        </w:rPr>
        <w:t>.</w:t>
      </w:r>
    </w:p>
    <w:p w14:paraId="02B0292B" w14:textId="77777777" w:rsidR="004346E8" w:rsidRDefault="004346E8" w:rsidP="00E77050">
      <w:pPr>
        <w:rPr>
          <w:lang w:val="fr-FR"/>
        </w:rPr>
      </w:pPr>
    </w:p>
    <w:p w14:paraId="3B280274" w14:textId="77777777" w:rsidR="004346E8" w:rsidRDefault="004346E8" w:rsidP="000D4BD5">
      <w:pPr>
        <w:rPr>
          <w:lang w:val="fr-FR"/>
        </w:rPr>
      </w:pPr>
    </w:p>
    <w:p w14:paraId="6D51D5A8" w14:textId="2228DA07" w:rsidR="004346E8" w:rsidRDefault="008520E8" w:rsidP="008520E8">
      <w:pPr>
        <w:pStyle w:val="Endofdocument-Annex"/>
        <w:rPr>
          <w:lang w:val="fr-FR"/>
        </w:rPr>
      </w:pPr>
      <w:r w:rsidRPr="008520E8">
        <w:rPr>
          <w:lang w:val="fr-FR"/>
        </w:rPr>
        <w:t>[Fin du document]</w:t>
      </w:r>
    </w:p>
    <w:sectPr w:rsidR="004346E8" w:rsidSect="000D4BD5">
      <w:headerReference w:type="even" r:id="rId16"/>
      <w:headerReference w:type="default" r:id="rId17"/>
      <w:footerReference w:type="even" r:id="rId18"/>
      <w:footerReference w:type="default" r:id="rId19"/>
      <w:headerReference w:type="first" r:id="rId20"/>
      <w:footerReference w:type="first" r:id="rId21"/>
      <w:endnotePr>
        <w:numFmt w:val="decimal"/>
      </w:endnotePr>
      <w:pgSz w:w="11907" w:h="16840" w:code="9"/>
      <w:pgMar w:top="567" w:right="1134" w:bottom="1418" w:left="1418" w:header="510" w:footer="1021" w:gutter="0"/>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31791A" w16cid:durableId="2019030B"/>
  <w16cid:commentId w16cid:paraId="7690DF21" w16cid:durableId="201901A7"/>
  <w16cid:commentId w16cid:paraId="41603091" w16cid:durableId="2019034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7FC2F" w14:textId="77777777" w:rsidR="0092213D" w:rsidRDefault="0092213D">
      <w:r>
        <w:separator/>
      </w:r>
    </w:p>
  </w:endnote>
  <w:endnote w:type="continuationSeparator" w:id="0">
    <w:p w14:paraId="4E87E698" w14:textId="77777777" w:rsidR="0092213D" w:rsidRDefault="0092213D" w:rsidP="003B38C1">
      <w:r>
        <w:separator/>
      </w:r>
    </w:p>
    <w:p w14:paraId="4EA64370" w14:textId="77777777" w:rsidR="0092213D" w:rsidRPr="003B38C1" w:rsidRDefault="0092213D" w:rsidP="003B38C1">
      <w:pPr>
        <w:spacing w:after="60"/>
        <w:rPr>
          <w:sz w:val="17"/>
        </w:rPr>
      </w:pPr>
      <w:r>
        <w:rPr>
          <w:sz w:val="17"/>
        </w:rPr>
        <w:t>[Endnote continued from previous page]</w:t>
      </w:r>
    </w:p>
  </w:endnote>
  <w:endnote w:type="continuationNotice" w:id="1">
    <w:p w14:paraId="590F14E9" w14:textId="77777777" w:rsidR="0092213D" w:rsidRPr="003B38C1" w:rsidRDefault="0092213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AFF" w:usb1="C000E47F" w:usb2="00000029" w:usb3="00000000" w:csb0="000001FF" w:csb1="00000000"/>
  </w:font>
  <w:font w:name="Arial Black">
    <w:panose1 w:val="020B0A04020102020204"/>
    <w:charset w:val="00"/>
    <w:family w:val="swiss"/>
    <w:pitch w:val="variable"/>
    <w:sig w:usb0="A00002AF" w:usb1="400078FB" w:usb2="00000000" w:usb3="00000000" w:csb0="0000009F" w:csb1="00000000"/>
  </w:font>
  <w:font w:name="DengXian">
    <w:altName w:val="等线"/>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985E4" w14:textId="77777777" w:rsidR="00D11DE7" w:rsidRDefault="00D11DE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089B0" w14:textId="77777777" w:rsidR="00D11DE7" w:rsidRDefault="00D11DE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B33A6" w14:textId="77777777" w:rsidR="00D11DE7" w:rsidRDefault="00D11DE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A5068" w14:textId="77777777" w:rsidR="0092213D" w:rsidRDefault="0092213D">
      <w:r>
        <w:separator/>
      </w:r>
    </w:p>
  </w:footnote>
  <w:footnote w:type="continuationSeparator" w:id="0">
    <w:p w14:paraId="313F3FB7" w14:textId="77777777" w:rsidR="0092213D" w:rsidRDefault="0092213D" w:rsidP="008B60B2">
      <w:r>
        <w:separator/>
      </w:r>
    </w:p>
    <w:p w14:paraId="627C2426" w14:textId="77777777" w:rsidR="0092213D" w:rsidRPr="00ED77FB" w:rsidRDefault="0092213D" w:rsidP="008B60B2">
      <w:pPr>
        <w:spacing w:after="60"/>
        <w:rPr>
          <w:sz w:val="17"/>
          <w:szCs w:val="17"/>
        </w:rPr>
      </w:pPr>
      <w:r w:rsidRPr="00ED77FB">
        <w:rPr>
          <w:sz w:val="17"/>
          <w:szCs w:val="17"/>
        </w:rPr>
        <w:t>[Footnote continued from previous page]</w:t>
      </w:r>
    </w:p>
  </w:footnote>
  <w:footnote w:type="continuationNotice" w:id="1">
    <w:p w14:paraId="0905FDCE" w14:textId="77777777" w:rsidR="0092213D" w:rsidRPr="00ED77FB" w:rsidRDefault="0092213D" w:rsidP="008B60B2">
      <w:pPr>
        <w:spacing w:before="60"/>
        <w:jc w:val="right"/>
        <w:rPr>
          <w:sz w:val="17"/>
          <w:szCs w:val="17"/>
        </w:rPr>
      </w:pPr>
      <w:r w:rsidRPr="00ED77FB">
        <w:rPr>
          <w:sz w:val="17"/>
          <w:szCs w:val="17"/>
        </w:rPr>
        <w:t>[Footnote continued on next page]</w:t>
      </w:r>
    </w:p>
  </w:footnote>
  <w:footnote w:id="2">
    <w:p w14:paraId="106A907C" w14:textId="390951B7" w:rsidR="000D4345" w:rsidRPr="008520E8" w:rsidRDefault="000D4345" w:rsidP="000D4345">
      <w:pPr>
        <w:pStyle w:val="Notedebasdepage"/>
        <w:rPr>
          <w:lang w:val="fr-FR"/>
        </w:rPr>
      </w:pPr>
      <w:r w:rsidRPr="008520E8">
        <w:rPr>
          <w:rStyle w:val="Appelnotedebasdep"/>
          <w:lang w:val="fr-FR"/>
        </w:rPr>
        <w:footnoteRef/>
      </w:r>
      <w:r w:rsidRPr="008520E8">
        <w:rPr>
          <w:lang w:val="fr-FR"/>
        </w:rPr>
        <w:t xml:space="preserve"> Telles que les danses, les œuvres de mascarade, les pièces de théâtre, les cérémonies, les rituels, les rituels dans des lieux sacrés et lors de pèlerinages, les jeux et les sports traditionnels/sports et jeux traditionnels, les spectacles de marionnettes et autres représentations, qu’elles soient fixées ou non. </w:t>
      </w:r>
    </w:p>
  </w:footnote>
  <w:footnote w:id="3">
    <w:p w14:paraId="5C3C9A9A" w14:textId="5297026F" w:rsidR="000D4345" w:rsidRPr="008520E8" w:rsidRDefault="000D4345" w:rsidP="000D4345">
      <w:pPr>
        <w:pStyle w:val="Notedebasdepage"/>
        <w:rPr>
          <w:lang w:val="fr-FR"/>
        </w:rPr>
      </w:pPr>
      <w:r w:rsidRPr="008520E8">
        <w:rPr>
          <w:rStyle w:val="Appelnotedebasdep"/>
          <w:lang w:val="fr-FR"/>
        </w:rPr>
        <w:footnoteRef/>
      </w:r>
      <w:r w:rsidRPr="008520E8">
        <w:rPr>
          <w:lang w:val="fr-FR"/>
        </w:rPr>
        <w:t xml:space="preserve"> Telles que les ouvrages d’art, les produits artisanaux, les masques ou tenues de cérémonie, les tapis faits à la main, l’architecture et les formes spirituelles tangibles et les lieux sacrés. </w:t>
      </w:r>
    </w:p>
  </w:footnote>
  <w:footnote w:id="4">
    <w:p w14:paraId="1C35F992" w14:textId="287E93BD" w:rsidR="000D4345" w:rsidRPr="008520E8" w:rsidRDefault="000D4345" w:rsidP="000D4345">
      <w:pPr>
        <w:pStyle w:val="Notedebasdepage"/>
        <w:rPr>
          <w:lang w:val="fr-FR"/>
        </w:rPr>
      </w:pPr>
      <w:r w:rsidRPr="008520E8">
        <w:rPr>
          <w:rStyle w:val="Appelnotedebasdep"/>
          <w:lang w:val="fr-FR"/>
        </w:rPr>
        <w:footnoteRef/>
      </w:r>
      <w:r w:rsidRPr="008520E8">
        <w:rPr>
          <w:lang w:val="fr-FR"/>
        </w:rPr>
        <w:t xml:space="preserve"> Telles que les chansons, les rythmes et musique instrumentale, les chansons qui sont l’expression de rituels. </w:t>
      </w:r>
    </w:p>
  </w:footnote>
  <w:footnote w:id="5">
    <w:p w14:paraId="5E968681" w14:textId="49CDC3A3" w:rsidR="000D4345" w:rsidRPr="008520E8" w:rsidRDefault="000D4345" w:rsidP="000D4345">
      <w:pPr>
        <w:pStyle w:val="Notedebasdepage"/>
        <w:rPr>
          <w:lang w:val="fr-FR"/>
        </w:rPr>
      </w:pPr>
      <w:r w:rsidRPr="008520E8">
        <w:rPr>
          <w:rStyle w:val="Appelnotedebasdep"/>
          <w:lang w:val="fr-FR"/>
        </w:rPr>
        <w:footnoteRef/>
      </w:r>
      <w:r w:rsidRPr="008520E8">
        <w:rPr>
          <w:lang w:val="fr-FR"/>
        </w:rPr>
        <w:t xml:space="preserve"> Telles que les histoires, les épopées, les légendes, les histoires populaires, les poèmes, les énigmes et autres </w:t>
      </w:r>
      <w:proofErr w:type="gramStart"/>
      <w:r w:rsidRPr="008520E8">
        <w:rPr>
          <w:lang w:val="fr-FR"/>
        </w:rPr>
        <w:t>récits;  les</w:t>
      </w:r>
      <w:proofErr w:type="gramEnd"/>
      <w:r w:rsidRPr="008520E8">
        <w:rPr>
          <w:lang w:val="fr-FR"/>
        </w:rPr>
        <w:t xml:space="preserve"> mots, les signes, les noms et les symboles.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33ABB" w14:textId="77777777" w:rsidR="00D11DE7" w:rsidRDefault="00D11DE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AAC97" w14:textId="77777777" w:rsidR="00EC4E49" w:rsidRPr="00750AD4" w:rsidRDefault="000D4BD5" w:rsidP="00477D6B">
    <w:pPr>
      <w:jc w:val="right"/>
      <w:rPr>
        <w:lang w:val="fr-CH"/>
      </w:rPr>
    </w:pPr>
    <w:bookmarkStart w:id="5" w:name="Code2"/>
    <w:bookmarkEnd w:id="5"/>
    <w:r w:rsidRPr="00750AD4">
      <w:rPr>
        <w:lang w:val="fr-CH"/>
      </w:rPr>
      <w:t>W</w:t>
    </w:r>
    <w:r w:rsidR="007C48E8">
      <w:rPr>
        <w:lang w:val="fr-CH"/>
      </w:rPr>
      <w:t>IPO/EXP/IPTK/GE/19</w:t>
    </w:r>
    <w:r w:rsidR="00610789" w:rsidRPr="00750AD4">
      <w:rPr>
        <w:lang w:val="fr-CH"/>
      </w:rPr>
      <w:t>/2</w:t>
    </w:r>
  </w:p>
  <w:p w14:paraId="301BE683" w14:textId="365B05A4" w:rsidR="00EC4E49" w:rsidRPr="00750AD4" w:rsidRDefault="00EC4E49" w:rsidP="00477D6B">
    <w:pPr>
      <w:jc w:val="right"/>
      <w:rPr>
        <w:lang w:val="fr-CH"/>
      </w:rPr>
    </w:pPr>
    <w:r w:rsidRPr="00750AD4">
      <w:rPr>
        <w:lang w:val="fr-CH"/>
      </w:rPr>
      <w:t>page</w:t>
    </w:r>
    <w:r w:rsidR="00D11DE7">
      <w:rPr>
        <w:lang w:val="fr-CH"/>
      </w:rPr>
      <w:t> </w:t>
    </w:r>
    <w:r>
      <w:fldChar w:fldCharType="begin"/>
    </w:r>
    <w:r w:rsidRPr="00750AD4">
      <w:rPr>
        <w:lang w:val="fr-CH"/>
      </w:rPr>
      <w:instrText xml:space="preserve"> PAGE  \* MERGEFORMAT </w:instrText>
    </w:r>
    <w:r>
      <w:fldChar w:fldCharType="separate"/>
    </w:r>
    <w:r w:rsidR="0042309E">
      <w:rPr>
        <w:noProof/>
        <w:lang w:val="fr-CH"/>
      </w:rPr>
      <w:t>5</w:t>
    </w:r>
    <w:r>
      <w:fldChar w:fldCharType="end"/>
    </w:r>
  </w:p>
  <w:p w14:paraId="3966F845" w14:textId="77777777" w:rsidR="00EC4E49" w:rsidRPr="00750AD4" w:rsidRDefault="00EC4E49" w:rsidP="00477D6B">
    <w:pPr>
      <w:jc w:val="right"/>
      <w:rPr>
        <w:lang w:val="fr-CH"/>
      </w:rPr>
    </w:pPr>
  </w:p>
  <w:p w14:paraId="3E4F5040" w14:textId="77777777" w:rsidR="008A134B" w:rsidRPr="00750AD4" w:rsidRDefault="008A134B" w:rsidP="00477D6B">
    <w:pPr>
      <w:jc w:val="right"/>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41A6E" w14:textId="77777777" w:rsidR="00D11DE7" w:rsidRDefault="00D11DE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30F0E9C"/>
    <w:multiLevelType w:val="hybridMultilevel"/>
    <w:tmpl w:val="34F4E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9430170"/>
    <w:multiLevelType w:val="hybridMultilevel"/>
    <w:tmpl w:val="CB680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044BF"/>
    <w:multiLevelType w:val="hybridMultilevel"/>
    <w:tmpl w:val="B59A5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55D78"/>
    <w:multiLevelType w:val="hybridMultilevel"/>
    <w:tmpl w:val="1BEEE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357071B"/>
    <w:multiLevelType w:val="hybridMultilevel"/>
    <w:tmpl w:val="B2FCE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5404D3"/>
    <w:multiLevelType w:val="hybridMultilevel"/>
    <w:tmpl w:val="79BE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C47C86"/>
    <w:multiLevelType w:val="hybridMultilevel"/>
    <w:tmpl w:val="E46C7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465187"/>
    <w:multiLevelType w:val="hybridMultilevel"/>
    <w:tmpl w:val="C8668644"/>
    <w:lvl w:ilvl="0" w:tplc="9BE8828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730247"/>
    <w:multiLevelType w:val="hybridMultilevel"/>
    <w:tmpl w:val="10AE60B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3" w15:restartNumberingAfterBreak="0">
    <w:nsid w:val="3D8317F8"/>
    <w:multiLevelType w:val="hybridMultilevel"/>
    <w:tmpl w:val="97C04836"/>
    <w:lvl w:ilvl="0" w:tplc="94FE7FF0">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84410B"/>
    <w:multiLevelType w:val="hybridMultilevel"/>
    <w:tmpl w:val="1840C94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5" w15:restartNumberingAfterBreak="0">
    <w:nsid w:val="430D048F"/>
    <w:multiLevelType w:val="hybridMultilevel"/>
    <w:tmpl w:val="06568D42"/>
    <w:lvl w:ilvl="0" w:tplc="04090003">
      <w:start w:val="1"/>
      <w:numFmt w:val="bullet"/>
      <w:lvlText w:val="o"/>
      <w:lvlJc w:val="left"/>
      <w:pPr>
        <w:ind w:left="1494" w:hanging="360"/>
      </w:pPr>
      <w:rPr>
        <w:rFonts w:ascii="Courier New" w:hAnsi="Courier New" w:cs="Courier New"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6" w15:restartNumberingAfterBreak="0">
    <w:nsid w:val="4328111E"/>
    <w:multiLevelType w:val="hybridMultilevel"/>
    <w:tmpl w:val="CB6ECA54"/>
    <w:lvl w:ilvl="0" w:tplc="9BE8828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40E0D81"/>
    <w:multiLevelType w:val="hybridMultilevel"/>
    <w:tmpl w:val="6B4E0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4512A0F"/>
    <w:multiLevelType w:val="hybridMultilevel"/>
    <w:tmpl w:val="5E705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7A39B1"/>
    <w:multiLevelType w:val="hybridMultilevel"/>
    <w:tmpl w:val="E32CB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591F7C"/>
    <w:multiLevelType w:val="hybridMultilevel"/>
    <w:tmpl w:val="02CC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904638"/>
    <w:multiLevelType w:val="hybridMultilevel"/>
    <w:tmpl w:val="2CF07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8B3C46"/>
    <w:multiLevelType w:val="hybridMultilevel"/>
    <w:tmpl w:val="799E19C6"/>
    <w:lvl w:ilvl="0" w:tplc="AEB04A72">
      <w:start w:val="1"/>
      <w:numFmt w:val="decimal"/>
      <w:lvlRestart w:val="0"/>
      <w:pStyle w:val="Listenumros"/>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235D38"/>
    <w:multiLevelType w:val="hybridMultilevel"/>
    <w:tmpl w:val="E26E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13404D"/>
    <w:multiLevelType w:val="hybridMultilevel"/>
    <w:tmpl w:val="F738D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C127EF"/>
    <w:multiLevelType w:val="hybridMultilevel"/>
    <w:tmpl w:val="8280F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F32C52"/>
    <w:multiLevelType w:val="hybridMultilevel"/>
    <w:tmpl w:val="23C8386C"/>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66EC25B6"/>
    <w:multiLevelType w:val="hybridMultilevel"/>
    <w:tmpl w:val="D7463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7A5D86"/>
    <w:multiLevelType w:val="hybridMultilevel"/>
    <w:tmpl w:val="1E389E36"/>
    <w:lvl w:ilvl="0" w:tplc="DFD6BAF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4B187D"/>
    <w:multiLevelType w:val="hybridMultilevel"/>
    <w:tmpl w:val="5CF20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9666A3"/>
    <w:multiLevelType w:val="hybridMultilevel"/>
    <w:tmpl w:val="BE9048EA"/>
    <w:lvl w:ilvl="0" w:tplc="DFD6BAF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E04EAA"/>
    <w:multiLevelType w:val="hybridMultilevel"/>
    <w:tmpl w:val="F49A5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8"/>
  </w:num>
  <w:num w:numId="3">
    <w:abstractNumId w:val="0"/>
  </w:num>
  <w:num w:numId="4">
    <w:abstractNumId w:val="23"/>
  </w:num>
  <w:num w:numId="5">
    <w:abstractNumId w:val="2"/>
  </w:num>
  <w:num w:numId="6">
    <w:abstractNumId w:val="7"/>
  </w:num>
  <w:num w:numId="7">
    <w:abstractNumId w:val="19"/>
  </w:num>
  <w:num w:numId="8">
    <w:abstractNumId w:val="13"/>
  </w:num>
  <w:num w:numId="9">
    <w:abstractNumId w:val="15"/>
  </w:num>
  <w:num w:numId="10">
    <w:abstractNumId w:val="16"/>
  </w:num>
  <w:num w:numId="11">
    <w:abstractNumId w:val="11"/>
  </w:num>
  <w:num w:numId="12">
    <w:abstractNumId w:val="21"/>
  </w:num>
  <w:num w:numId="13">
    <w:abstractNumId w:val="24"/>
  </w:num>
  <w:num w:numId="14">
    <w:abstractNumId w:val="25"/>
  </w:num>
  <w:num w:numId="15">
    <w:abstractNumId w:val="30"/>
  </w:num>
  <w:num w:numId="16">
    <w:abstractNumId w:val="10"/>
  </w:num>
  <w:num w:numId="17">
    <w:abstractNumId w:val="26"/>
  </w:num>
  <w:num w:numId="18">
    <w:abstractNumId w:val="14"/>
  </w:num>
  <w:num w:numId="19">
    <w:abstractNumId w:val="5"/>
  </w:num>
  <w:num w:numId="20">
    <w:abstractNumId w:val="9"/>
  </w:num>
  <w:num w:numId="21">
    <w:abstractNumId w:val="3"/>
  </w:num>
  <w:num w:numId="22">
    <w:abstractNumId w:val="8"/>
  </w:num>
  <w:num w:numId="23">
    <w:abstractNumId w:val="28"/>
  </w:num>
  <w:num w:numId="24">
    <w:abstractNumId w:val="17"/>
  </w:num>
  <w:num w:numId="25">
    <w:abstractNumId w:val="27"/>
    <w:lvlOverride w:ilvl="0">
      <w:startOverride w:val="1"/>
    </w:lvlOverride>
    <w:lvlOverride w:ilvl="1"/>
    <w:lvlOverride w:ilvl="2"/>
    <w:lvlOverride w:ilvl="3"/>
    <w:lvlOverride w:ilvl="4"/>
    <w:lvlOverride w:ilvl="5"/>
    <w:lvlOverride w:ilvl="6"/>
    <w:lvlOverride w:ilvl="7"/>
    <w:lvlOverride w:ilvl="8"/>
  </w:num>
  <w:num w:numId="26">
    <w:abstractNumId w:val="1"/>
  </w:num>
  <w:num w:numId="27">
    <w:abstractNumId w:val="22"/>
  </w:num>
  <w:num w:numId="28">
    <w:abstractNumId w:val="4"/>
  </w:num>
  <w:num w:numId="29">
    <w:abstractNumId w:val="20"/>
  </w:num>
  <w:num w:numId="30">
    <w:abstractNumId w:val="29"/>
  </w:num>
  <w:num w:numId="31">
    <w:abstractNumId w:val="12"/>
  </w:num>
  <w:num w:numId="32">
    <w:abstractNumId w:val="31"/>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9"/>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insDel="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FTS_Glossary|WIPOLDTERM"/>
    <w:docVar w:name="TermBaseURL" w:val="empty"/>
    <w:docVar w:name="TextBases" w:val="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
    <w:docVar w:name="TextBaseURL" w:val="empty"/>
    <w:docVar w:name="UILng" w:val="en"/>
  </w:docVars>
  <w:rsids>
    <w:rsidRoot w:val="000D4BD5"/>
    <w:rsid w:val="00003BD6"/>
    <w:rsid w:val="00011398"/>
    <w:rsid w:val="00012180"/>
    <w:rsid w:val="0001278A"/>
    <w:rsid w:val="00013048"/>
    <w:rsid w:val="00024041"/>
    <w:rsid w:val="00024D54"/>
    <w:rsid w:val="00031920"/>
    <w:rsid w:val="00033185"/>
    <w:rsid w:val="00036321"/>
    <w:rsid w:val="000411A6"/>
    <w:rsid w:val="00043CAA"/>
    <w:rsid w:val="000443E8"/>
    <w:rsid w:val="00075432"/>
    <w:rsid w:val="000807DB"/>
    <w:rsid w:val="00082699"/>
    <w:rsid w:val="000831C9"/>
    <w:rsid w:val="00084F25"/>
    <w:rsid w:val="00092261"/>
    <w:rsid w:val="000968ED"/>
    <w:rsid w:val="000A3302"/>
    <w:rsid w:val="000A6A46"/>
    <w:rsid w:val="000B290B"/>
    <w:rsid w:val="000B5BC2"/>
    <w:rsid w:val="000D4345"/>
    <w:rsid w:val="000D4BD5"/>
    <w:rsid w:val="000D7BEA"/>
    <w:rsid w:val="000E2B93"/>
    <w:rsid w:val="000E56B0"/>
    <w:rsid w:val="000E69A5"/>
    <w:rsid w:val="000F2E91"/>
    <w:rsid w:val="000F33DB"/>
    <w:rsid w:val="000F5E56"/>
    <w:rsid w:val="001362EE"/>
    <w:rsid w:val="00150D56"/>
    <w:rsid w:val="001647D5"/>
    <w:rsid w:val="00166A92"/>
    <w:rsid w:val="00181199"/>
    <w:rsid w:val="0018292F"/>
    <w:rsid w:val="001832A6"/>
    <w:rsid w:val="00187B07"/>
    <w:rsid w:val="00187F6C"/>
    <w:rsid w:val="00191D11"/>
    <w:rsid w:val="001A233E"/>
    <w:rsid w:val="001D088E"/>
    <w:rsid w:val="001F084E"/>
    <w:rsid w:val="00203B24"/>
    <w:rsid w:val="0021217E"/>
    <w:rsid w:val="00227C6C"/>
    <w:rsid w:val="00233C45"/>
    <w:rsid w:val="0024255A"/>
    <w:rsid w:val="00256D87"/>
    <w:rsid w:val="002623D6"/>
    <w:rsid w:val="002634C4"/>
    <w:rsid w:val="00275B90"/>
    <w:rsid w:val="00276A9A"/>
    <w:rsid w:val="002921B8"/>
    <w:rsid w:val="002928D3"/>
    <w:rsid w:val="0029357E"/>
    <w:rsid w:val="002965AA"/>
    <w:rsid w:val="002B6D96"/>
    <w:rsid w:val="002C20A7"/>
    <w:rsid w:val="002D4CCC"/>
    <w:rsid w:val="002E3707"/>
    <w:rsid w:val="002F1FE6"/>
    <w:rsid w:val="002F3289"/>
    <w:rsid w:val="002F4E68"/>
    <w:rsid w:val="002F7062"/>
    <w:rsid w:val="00303705"/>
    <w:rsid w:val="00312F7F"/>
    <w:rsid w:val="00313FBF"/>
    <w:rsid w:val="00321FF0"/>
    <w:rsid w:val="003321D2"/>
    <w:rsid w:val="00337D2C"/>
    <w:rsid w:val="00340AE9"/>
    <w:rsid w:val="00346E11"/>
    <w:rsid w:val="00351AC7"/>
    <w:rsid w:val="00361450"/>
    <w:rsid w:val="003673CF"/>
    <w:rsid w:val="0037092D"/>
    <w:rsid w:val="0037653F"/>
    <w:rsid w:val="003845C1"/>
    <w:rsid w:val="003A1EF3"/>
    <w:rsid w:val="003A6F89"/>
    <w:rsid w:val="003B1152"/>
    <w:rsid w:val="003B27D2"/>
    <w:rsid w:val="003B38C1"/>
    <w:rsid w:val="003C397C"/>
    <w:rsid w:val="003D12FC"/>
    <w:rsid w:val="003E1F8F"/>
    <w:rsid w:val="003E350C"/>
    <w:rsid w:val="003E3795"/>
    <w:rsid w:val="003F5634"/>
    <w:rsid w:val="004018A1"/>
    <w:rsid w:val="0040282C"/>
    <w:rsid w:val="00403511"/>
    <w:rsid w:val="00412E3A"/>
    <w:rsid w:val="00415138"/>
    <w:rsid w:val="004151EA"/>
    <w:rsid w:val="00415F38"/>
    <w:rsid w:val="0041632D"/>
    <w:rsid w:val="0042309E"/>
    <w:rsid w:val="00423E3E"/>
    <w:rsid w:val="00427AF4"/>
    <w:rsid w:val="0043177A"/>
    <w:rsid w:val="004346E8"/>
    <w:rsid w:val="0043778A"/>
    <w:rsid w:val="00441DB4"/>
    <w:rsid w:val="004426F1"/>
    <w:rsid w:val="00442E2E"/>
    <w:rsid w:val="00445004"/>
    <w:rsid w:val="0046251E"/>
    <w:rsid w:val="004647DA"/>
    <w:rsid w:val="00474062"/>
    <w:rsid w:val="00477D6B"/>
    <w:rsid w:val="004B350D"/>
    <w:rsid w:val="004B3998"/>
    <w:rsid w:val="004C073A"/>
    <w:rsid w:val="004D2A4A"/>
    <w:rsid w:val="004F668B"/>
    <w:rsid w:val="005019FF"/>
    <w:rsid w:val="00516C2D"/>
    <w:rsid w:val="00517798"/>
    <w:rsid w:val="00520061"/>
    <w:rsid w:val="00521E04"/>
    <w:rsid w:val="00527CDC"/>
    <w:rsid w:val="00530376"/>
    <w:rsid w:val="0053057A"/>
    <w:rsid w:val="005428E7"/>
    <w:rsid w:val="00554401"/>
    <w:rsid w:val="00560A29"/>
    <w:rsid w:val="00562D1E"/>
    <w:rsid w:val="0056607C"/>
    <w:rsid w:val="00572A09"/>
    <w:rsid w:val="005B25C3"/>
    <w:rsid w:val="005C0A74"/>
    <w:rsid w:val="005C4023"/>
    <w:rsid w:val="005C6649"/>
    <w:rsid w:val="005C7230"/>
    <w:rsid w:val="005E07C0"/>
    <w:rsid w:val="005E4EC6"/>
    <w:rsid w:val="00601A98"/>
    <w:rsid w:val="0060323A"/>
    <w:rsid w:val="00604D1B"/>
    <w:rsid w:val="00605827"/>
    <w:rsid w:val="006068B5"/>
    <w:rsid w:val="006103B8"/>
    <w:rsid w:val="00610789"/>
    <w:rsid w:val="00616520"/>
    <w:rsid w:val="0062027D"/>
    <w:rsid w:val="00623AE8"/>
    <w:rsid w:val="00646050"/>
    <w:rsid w:val="00654696"/>
    <w:rsid w:val="006713CA"/>
    <w:rsid w:val="00674FE7"/>
    <w:rsid w:val="00676C5C"/>
    <w:rsid w:val="00683816"/>
    <w:rsid w:val="00685F65"/>
    <w:rsid w:val="00692289"/>
    <w:rsid w:val="006A5CCD"/>
    <w:rsid w:val="006D3C9F"/>
    <w:rsid w:val="006E279F"/>
    <w:rsid w:val="006F4E56"/>
    <w:rsid w:val="00704117"/>
    <w:rsid w:val="007043EE"/>
    <w:rsid w:val="007111E2"/>
    <w:rsid w:val="007301FA"/>
    <w:rsid w:val="007322A0"/>
    <w:rsid w:val="007435C7"/>
    <w:rsid w:val="00750AD4"/>
    <w:rsid w:val="00774DAD"/>
    <w:rsid w:val="007767BE"/>
    <w:rsid w:val="0079184B"/>
    <w:rsid w:val="007A1575"/>
    <w:rsid w:val="007B2BB5"/>
    <w:rsid w:val="007B44F7"/>
    <w:rsid w:val="007C17CA"/>
    <w:rsid w:val="007C4728"/>
    <w:rsid w:val="007C48E8"/>
    <w:rsid w:val="007C7A5F"/>
    <w:rsid w:val="007D1613"/>
    <w:rsid w:val="007E46A9"/>
    <w:rsid w:val="007E4C0E"/>
    <w:rsid w:val="007E71EB"/>
    <w:rsid w:val="00816717"/>
    <w:rsid w:val="00816953"/>
    <w:rsid w:val="00830727"/>
    <w:rsid w:val="00834069"/>
    <w:rsid w:val="00844C5C"/>
    <w:rsid w:val="00846707"/>
    <w:rsid w:val="008467DB"/>
    <w:rsid w:val="00847939"/>
    <w:rsid w:val="0085040B"/>
    <w:rsid w:val="008520E8"/>
    <w:rsid w:val="00853630"/>
    <w:rsid w:val="00856425"/>
    <w:rsid w:val="00866679"/>
    <w:rsid w:val="00870735"/>
    <w:rsid w:val="00881144"/>
    <w:rsid w:val="008864E4"/>
    <w:rsid w:val="00891976"/>
    <w:rsid w:val="008A134B"/>
    <w:rsid w:val="008A58D1"/>
    <w:rsid w:val="008B2CC1"/>
    <w:rsid w:val="008B4576"/>
    <w:rsid w:val="008B60B2"/>
    <w:rsid w:val="008B7F57"/>
    <w:rsid w:val="008C10CF"/>
    <w:rsid w:val="008D0D4B"/>
    <w:rsid w:val="008D4377"/>
    <w:rsid w:val="008F0024"/>
    <w:rsid w:val="008F6A04"/>
    <w:rsid w:val="0090731E"/>
    <w:rsid w:val="009153FF"/>
    <w:rsid w:val="00916EE2"/>
    <w:rsid w:val="0092213D"/>
    <w:rsid w:val="00950A4C"/>
    <w:rsid w:val="00951AC5"/>
    <w:rsid w:val="00966A22"/>
    <w:rsid w:val="0096722F"/>
    <w:rsid w:val="00967756"/>
    <w:rsid w:val="00980286"/>
    <w:rsid w:val="00980803"/>
    <w:rsid w:val="00980843"/>
    <w:rsid w:val="0099414F"/>
    <w:rsid w:val="009A0B04"/>
    <w:rsid w:val="009B07AD"/>
    <w:rsid w:val="009C2752"/>
    <w:rsid w:val="009C3880"/>
    <w:rsid w:val="009C3F61"/>
    <w:rsid w:val="009E2791"/>
    <w:rsid w:val="009E3F6F"/>
    <w:rsid w:val="009F499F"/>
    <w:rsid w:val="009F7789"/>
    <w:rsid w:val="00A05DB8"/>
    <w:rsid w:val="00A22486"/>
    <w:rsid w:val="00A2390D"/>
    <w:rsid w:val="00A25932"/>
    <w:rsid w:val="00A33A33"/>
    <w:rsid w:val="00A361CE"/>
    <w:rsid w:val="00A37342"/>
    <w:rsid w:val="00A42DAF"/>
    <w:rsid w:val="00A45BD8"/>
    <w:rsid w:val="00A560E9"/>
    <w:rsid w:val="00A67FE6"/>
    <w:rsid w:val="00A73D7E"/>
    <w:rsid w:val="00A74AE9"/>
    <w:rsid w:val="00A869B7"/>
    <w:rsid w:val="00AC205C"/>
    <w:rsid w:val="00AC7B78"/>
    <w:rsid w:val="00AD0DB2"/>
    <w:rsid w:val="00AD3F34"/>
    <w:rsid w:val="00AE5D78"/>
    <w:rsid w:val="00AF0A6B"/>
    <w:rsid w:val="00AF1ED6"/>
    <w:rsid w:val="00B05A69"/>
    <w:rsid w:val="00B112D7"/>
    <w:rsid w:val="00B314B5"/>
    <w:rsid w:val="00B727F0"/>
    <w:rsid w:val="00B77005"/>
    <w:rsid w:val="00B77DA3"/>
    <w:rsid w:val="00B9734B"/>
    <w:rsid w:val="00BA16E1"/>
    <w:rsid w:val="00BA30E2"/>
    <w:rsid w:val="00BB11BB"/>
    <w:rsid w:val="00BC1B79"/>
    <w:rsid w:val="00BC4A9E"/>
    <w:rsid w:val="00BC5E16"/>
    <w:rsid w:val="00BD16F8"/>
    <w:rsid w:val="00BD6FAC"/>
    <w:rsid w:val="00BE1072"/>
    <w:rsid w:val="00BE6183"/>
    <w:rsid w:val="00BF4F07"/>
    <w:rsid w:val="00BF6A83"/>
    <w:rsid w:val="00C11090"/>
    <w:rsid w:val="00C11BFE"/>
    <w:rsid w:val="00C23E36"/>
    <w:rsid w:val="00C278C5"/>
    <w:rsid w:val="00C40E7F"/>
    <w:rsid w:val="00C42861"/>
    <w:rsid w:val="00C5068F"/>
    <w:rsid w:val="00C57CEF"/>
    <w:rsid w:val="00C605A3"/>
    <w:rsid w:val="00C7190A"/>
    <w:rsid w:val="00C7365D"/>
    <w:rsid w:val="00C81E70"/>
    <w:rsid w:val="00C83170"/>
    <w:rsid w:val="00C838AA"/>
    <w:rsid w:val="00C86D74"/>
    <w:rsid w:val="00C94728"/>
    <w:rsid w:val="00C9666C"/>
    <w:rsid w:val="00CC0A33"/>
    <w:rsid w:val="00CC0C14"/>
    <w:rsid w:val="00CC5FF5"/>
    <w:rsid w:val="00CD04F1"/>
    <w:rsid w:val="00CE070C"/>
    <w:rsid w:val="00CE1AD8"/>
    <w:rsid w:val="00CE525E"/>
    <w:rsid w:val="00CE66EF"/>
    <w:rsid w:val="00CF1E16"/>
    <w:rsid w:val="00D00F50"/>
    <w:rsid w:val="00D05554"/>
    <w:rsid w:val="00D1181D"/>
    <w:rsid w:val="00D11DE7"/>
    <w:rsid w:val="00D177A9"/>
    <w:rsid w:val="00D31010"/>
    <w:rsid w:val="00D32AD3"/>
    <w:rsid w:val="00D33CEC"/>
    <w:rsid w:val="00D34743"/>
    <w:rsid w:val="00D4330B"/>
    <w:rsid w:val="00D45252"/>
    <w:rsid w:val="00D53171"/>
    <w:rsid w:val="00D61185"/>
    <w:rsid w:val="00D66B9B"/>
    <w:rsid w:val="00D715AE"/>
    <w:rsid w:val="00D71B4D"/>
    <w:rsid w:val="00D80FF7"/>
    <w:rsid w:val="00D93D55"/>
    <w:rsid w:val="00DC5D23"/>
    <w:rsid w:val="00DE079F"/>
    <w:rsid w:val="00DE1A0A"/>
    <w:rsid w:val="00DE45DC"/>
    <w:rsid w:val="00DE4DCB"/>
    <w:rsid w:val="00DF7C36"/>
    <w:rsid w:val="00E02CE2"/>
    <w:rsid w:val="00E1184A"/>
    <w:rsid w:val="00E15015"/>
    <w:rsid w:val="00E163E8"/>
    <w:rsid w:val="00E16C10"/>
    <w:rsid w:val="00E21EA7"/>
    <w:rsid w:val="00E31B7A"/>
    <w:rsid w:val="00E335FE"/>
    <w:rsid w:val="00E408B2"/>
    <w:rsid w:val="00E50C3E"/>
    <w:rsid w:val="00E53211"/>
    <w:rsid w:val="00E57D3D"/>
    <w:rsid w:val="00E65079"/>
    <w:rsid w:val="00E723B6"/>
    <w:rsid w:val="00E759FB"/>
    <w:rsid w:val="00E75D08"/>
    <w:rsid w:val="00E77050"/>
    <w:rsid w:val="00E778A2"/>
    <w:rsid w:val="00E80817"/>
    <w:rsid w:val="00E82D9F"/>
    <w:rsid w:val="00E82F37"/>
    <w:rsid w:val="00E84D66"/>
    <w:rsid w:val="00E94608"/>
    <w:rsid w:val="00EA1198"/>
    <w:rsid w:val="00EA1441"/>
    <w:rsid w:val="00EA751D"/>
    <w:rsid w:val="00EA7D6E"/>
    <w:rsid w:val="00EC4815"/>
    <w:rsid w:val="00EC4E49"/>
    <w:rsid w:val="00EC7882"/>
    <w:rsid w:val="00ED77FB"/>
    <w:rsid w:val="00EE45FA"/>
    <w:rsid w:val="00EE4A26"/>
    <w:rsid w:val="00EF1964"/>
    <w:rsid w:val="00EF442A"/>
    <w:rsid w:val="00F0685A"/>
    <w:rsid w:val="00F23CBA"/>
    <w:rsid w:val="00F54D37"/>
    <w:rsid w:val="00F66152"/>
    <w:rsid w:val="00F83C2E"/>
    <w:rsid w:val="00FA6B85"/>
    <w:rsid w:val="00FA79C4"/>
    <w:rsid w:val="00FC01F4"/>
    <w:rsid w:val="00FC4540"/>
    <w:rsid w:val="00FD5C58"/>
    <w:rsid w:val="00FE22FF"/>
    <w:rsid w:val="00FE60B6"/>
    <w:rsid w:val="00FF38A8"/>
    <w:rsid w:val="00FF5291"/>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FF69E6A"/>
  <w15:docId w15:val="{4F2F2A6B-A54B-417B-B708-119D663DF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Titre1">
    <w:name w:val="heading 1"/>
    <w:basedOn w:val="Normal"/>
    <w:next w:val="Normal"/>
    <w:qFormat/>
    <w:rsid w:val="00676C5C"/>
    <w:pPr>
      <w:keepNext/>
      <w:spacing w:before="240" w:after="60"/>
      <w:outlineLvl w:val="0"/>
    </w:pPr>
    <w:rPr>
      <w:b/>
      <w:bCs/>
      <w:caps/>
      <w:kern w:val="32"/>
      <w:szCs w:val="32"/>
    </w:rPr>
  </w:style>
  <w:style w:type="paragraph" w:styleId="Titre2">
    <w:name w:val="heading 2"/>
    <w:basedOn w:val="Normal"/>
    <w:next w:val="Normal"/>
    <w:qFormat/>
    <w:rsid w:val="00676C5C"/>
    <w:pPr>
      <w:keepNext/>
      <w:spacing w:before="240" w:after="60"/>
      <w:outlineLvl w:val="1"/>
    </w:pPr>
    <w:rPr>
      <w:bCs/>
      <w:iCs/>
      <w:caps/>
      <w:szCs w:val="28"/>
    </w:rPr>
  </w:style>
  <w:style w:type="paragraph" w:styleId="Titre3">
    <w:name w:val="heading 3"/>
    <w:basedOn w:val="Normal"/>
    <w:next w:val="Normal"/>
    <w:qFormat/>
    <w:rsid w:val="00676C5C"/>
    <w:pPr>
      <w:keepNext/>
      <w:spacing w:before="240" w:after="60"/>
      <w:outlineLvl w:val="2"/>
    </w:pPr>
    <w:rPr>
      <w:bCs/>
      <w:szCs w:val="26"/>
      <w:u w:val="single"/>
    </w:rPr>
  </w:style>
  <w:style w:type="paragraph" w:styleId="Titre4">
    <w:name w:val="heading 4"/>
    <w:basedOn w:val="Normal"/>
    <w:next w:val="Normal"/>
    <w:qFormat/>
    <w:rsid w:val="00676C5C"/>
    <w:pPr>
      <w:keepNext/>
      <w:spacing w:before="240" w:after="60"/>
      <w:outlineLvl w:val="3"/>
    </w:pPr>
    <w:rPr>
      <w:bCs/>
      <w:i/>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dofdocument-Annex">
    <w:name w:val="[End of document - Annex]"/>
    <w:basedOn w:val="Normal"/>
    <w:rsid w:val="0053057A"/>
    <w:pPr>
      <w:ind w:left="5534"/>
    </w:pPr>
  </w:style>
  <w:style w:type="paragraph" w:styleId="Corpsdetexte">
    <w:name w:val="Body Text"/>
    <w:basedOn w:val="Normal"/>
    <w:rsid w:val="00676C5C"/>
    <w:pPr>
      <w:spacing w:after="220"/>
    </w:pPr>
  </w:style>
  <w:style w:type="paragraph" w:styleId="Lgende">
    <w:name w:val="caption"/>
    <w:basedOn w:val="Normal"/>
    <w:next w:val="Normal"/>
    <w:qFormat/>
    <w:rsid w:val="00676C5C"/>
    <w:rPr>
      <w:b/>
      <w:bCs/>
      <w:sz w:val="18"/>
    </w:rPr>
  </w:style>
  <w:style w:type="paragraph" w:styleId="Commentaire">
    <w:name w:val="annotation text"/>
    <w:basedOn w:val="Normal"/>
    <w:link w:val="CommentaireCar"/>
    <w:uiPriority w:val="99"/>
    <w:semiHidden/>
    <w:rsid w:val="00676C5C"/>
    <w:rPr>
      <w:sz w:val="18"/>
    </w:rPr>
  </w:style>
  <w:style w:type="paragraph" w:styleId="Notedefin">
    <w:name w:val="endnote text"/>
    <w:basedOn w:val="Normal"/>
    <w:semiHidden/>
    <w:rsid w:val="00676C5C"/>
    <w:rPr>
      <w:sz w:val="18"/>
    </w:rPr>
  </w:style>
  <w:style w:type="paragraph" w:styleId="Pieddepage">
    <w:name w:val="footer"/>
    <w:basedOn w:val="Normal"/>
    <w:semiHidden/>
    <w:rsid w:val="00676C5C"/>
    <w:pPr>
      <w:tabs>
        <w:tab w:val="center" w:pos="4320"/>
        <w:tab w:val="right" w:pos="8640"/>
      </w:tabs>
    </w:pPr>
  </w:style>
  <w:style w:type="paragraph" w:styleId="Notedebasdepage">
    <w:name w:val="footnote text"/>
    <w:basedOn w:val="Normal"/>
    <w:link w:val="NotedebasdepageCar"/>
    <w:rsid w:val="00676C5C"/>
    <w:rPr>
      <w:sz w:val="18"/>
    </w:rPr>
  </w:style>
  <w:style w:type="paragraph" w:styleId="En-tte">
    <w:name w:val="header"/>
    <w:basedOn w:val="Normal"/>
    <w:semiHidden/>
    <w:rsid w:val="00676C5C"/>
    <w:pPr>
      <w:tabs>
        <w:tab w:val="center" w:pos="4536"/>
        <w:tab w:val="right" w:pos="9072"/>
      </w:tabs>
    </w:pPr>
  </w:style>
  <w:style w:type="paragraph" w:styleId="Listenumros">
    <w:name w:val="List Number"/>
    <w:basedOn w:val="Normal"/>
    <w:semiHidden/>
    <w:rsid w:val="00676C5C"/>
    <w:pPr>
      <w:numPr>
        <w:numId w:val="4"/>
      </w:numPr>
    </w:pPr>
  </w:style>
  <w:style w:type="paragraph" w:customStyle="1" w:styleId="ONUME">
    <w:name w:val="ONUM E"/>
    <w:basedOn w:val="Corpsdetexte"/>
    <w:rsid w:val="00676C5C"/>
    <w:pPr>
      <w:numPr>
        <w:numId w:val="5"/>
      </w:numPr>
    </w:pPr>
  </w:style>
  <w:style w:type="paragraph" w:customStyle="1" w:styleId="ONUMFS">
    <w:name w:val="ONUM FS"/>
    <w:basedOn w:val="Corpsdetexte"/>
    <w:rsid w:val="00676C5C"/>
    <w:pPr>
      <w:numPr>
        <w:numId w:val="6"/>
      </w:numPr>
    </w:pPr>
  </w:style>
  <w:style w:type="paragraph" w:styleId="Salutations">
    <w:name w:val="Salutation"/>
    <w:basedOn w:val="Normal"/>
    <w:next w:val="Normal"/>
    <w:semiHidden/>
    <w:rsid w:val="00676C5C"/>
  </w:style>
  <w:style w:type="paragraph" w:styleId="Signature">
    <w:name w:val="Signature"/>
    <w:basedOn w:val="Normal"/>
    <w:semiHidden/>
    <w:rsid w:val="00676C5C"/>
    <w:pPr>
      <w:ind w:left="5250"/>
    </w:pPr>
  </w:style>
  <w:style w:type="paragraph" w:styleId="Paragraphedeliste">
    <w:name w:val="List Paragraph"/>
    <w:basedOn w:val="Normal"/>
    <w:uiPriority w:val="34"/>
    <w:qFormat/>
    <w:rsid w:val="000D4BD5"/>
    <w:pPr>
      <w:ind w:left="720"/>
      <w:contextualSpacing/>
    </w:pPr>
  </w:style>
  <w:style w:type="table" w:styleId="Grilledutableau">
    <w:name w:val="Table Grid"/>
    <w:basedOn w:val="TableauNormal"/>
    <w:rsid w:val="000D4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semiHidden/>
    <w:unhideWhenUsed/>
    <w:rsid w:val="00847939"/>
    <w:rPr>
      <w:rFonts w:ascii="Segoe UI" w:hAnsi="Segoe UI" w:cs="Segoe UI"/>
      <w:sz w:val="18"/>
      <w:szCs w:val="18"/>
    </w:rPr>
  </w:style>
  <w:style w:type="character" w:customStyle="1" w:styleId="TextedebullesCar">
    <w:name w:val="Texte de bulles Car"/>
    <w:basedOn w:val="Policepardfaut"/>
    <w:link w:val="Textedebulles"/>
    <w:semiHidden/>
    <w:rsid w:val="00847939"/>
    <w:rPr>
      <w:rFonts w:ascii="Segoe UI" w:eastAsia="SimSun" w:hAnsi="Segoe UI" w:cs="Segoe UI"/>
      <w:sz w:val="18"/>
      <w:szCs w:val="18"/>
      <w:lang w:val="en-US" w:eastAsia="zh-CN"/>
    </w:rPr>
  </w:style>
  <w:style w:type="character" w:styleId="Lienhypertexte">
    <w:name w:val="Hyperlink"/>
    <w:basedOn w:val="Policepardfaut"/>
    <w:unhideWhenUsed/>
    <w:rsid w:val="00E77050"/>
    <w:rPr>
      <w:color w:val="0000FF" w:themeColor="hyperlink"/>
      <w:u w:val="single"/>
    </w:rPr>
  </w:style>
  <w:style w:type="character" w:customStyle="1" w:styleId="CommentaireCar">
    <w:name w:val="Commentaire Car"/>
    <w:basedOn w:val="Policepardfaut"/>
    <w:link w:val="Commentaire"/>
    <w:uiPriority w:val="99"/>
    <w:semiHidden/>
    <w:rsid w:val="0001278A"/>
    <w:rPr>
      <w:rFonts w:ascii="Arial" w:eastAsia="SimSun" w:hAnsi="Arial" w:cs="Arial"/>
      <w:sz w:val="18"/>
      <w:lang w:val="en-US" w:eastAsia="zh-CN"/>
    </w:rPr>
  </w:style>
  <w:style w:type="character" w:styleId="Marquedecommentaire">
    <w:name w:val="annotation reference"/>
    <w:basedOn w:val="Policepardfaut"/>
    <w:semiHidden/>
    <w:unhideWhenUsed/>
    <w:rsid w:val="007111E2"/>
    <w:rPr>
      <w:sz w:val="16"/>
      <w:szCs w:val="16"/>
    </w:rPr>
  </w:style>
  <w:style w:type="paragraph" w:styleId="Objetducommentaire">
    <w:name w:val="annotation subject"/>
    <w:basedOn w:val="Commentaire"/>
    <w:next w:val="Commentaire"/>
    <w:link w:val="ObjetducommentaireCar"/>
    <w:semiHidden/>
    <w:unhideWhenUsed/>
    <w:rsid w:val="007111E2"/>
    <w:rPr>
      <w:b/>
      <w:bCs/>
      <w:sz w:val="20"/>
    </w:rPr>
  </w:style>
  <w:style w:type="character" w:customStyle="1" w:styleId="ObjetducommentaireCar">
    <w:name w:val="Objet du commentaire Car"/>
    <w:basedOn w:val="CommentaireCar"/>
    <w:link w:val="Objetducommentaire"/>
    <w:semiHidden/>
    <w:rsid w:val="007111E2"/>
    <w:rPr>
      <w:rFonts w:ascii="Arial" w:eastAsia="SimSun" w:hAnsi="Arial" w:cs="Arial"/>
      <w:b/>
      <w:bCs/>
      <w:sz w:val="18"/>
      <w:lang w:val="en-US" w:eastAsia="zh-CN"/>
    </w:rPr>
  </w:style>
  <w:style w:type="paragraph" w:styleId="Rvision">
    <w:name w:val="Revision"/>
    <w:hidden/>
    <w:uiPriority w:val="99"/>
    <w:semiHidden/>
    <w:rsid w:val="0062027D"/>
    <w:rPr>
      <w:rFonts w:ascii="Arial" w:eastAsia="SimSun" w:hAnsi="Arial" w:cs="Arial"/>
      <w:sz w:val="22"/>
      <w:lang w:val="en-US" w:eastAsia="zh-CN"/>
    </w:rPr>
  </w:style>
  <w:style w:type="character" w:styleId="Appelnotedebasdep">
    <w:name w:val="footnote reference"/>
    <w:aliases w:val="4_G,Footnotes refss,Footnote Ref,16 Point,Superscript 6 Point,Footnote Refernece,Footnote number,ftref,a Footnote Reference,FZ,Appel note de bas de page,Texto de nota al pie,referencia nota al pie,BVI fnr,Ref"/>
    <w:basedOn w:val="Policepardfaut"/>
    <w:unhideWhenUsed/>
    <w:qFormat/>
    <w:rsid w:val="00685F65"/>
    <w:rPr>
      <w:vertAlign w:val="superscript"/>
    </w:rPr>
  </w:style>
  <w:style w:type="character" w:customStyle="1" w:styleId="NotedebasdepageCar">
    <w:name w:val="Note de bas de page Car"/>
    <w:basedOn w:val="Policepardfaut"/>
    <w:link w:val="Notedebasdepage"/>
    <w:rsid w:val="00227C6C"/>
    <w:rPr>
      <w:rFonts w:ascii="Arial" w:eastAsia="SimSun" w:hAnsi="Arial" w:cs="Arial"/>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49060">
      <w:bodyDiv w:val="1"/>
      <w:marLeft w:val="0"/>
      <w:marRight w:val="0"/>
      <w:marTop w:val="0"/>
      <w:marBottom w:val="0"/>
      <w:divBdr>
        <w:top w:val="none" w:sz="0" w:space="0" w:color="auto"/>
        <w:left w:val="none" w:sz="0" w:space="0" w:color="auto"/>
        <w:bottom w:val="none" w:sz="0" w:space="0" w:color="auto"/>
        <w:right w:val="none" w:sz="0" w:space="0" w:color="auto"/>
      </w:divBdr>
    </w:div>
    <w:div w:id="1600530299">
      <w:bodyDiv w:val="1"/>
      <w:marLeft w:val="0"/>
      <w:marRight w:val="0"/>
      <w:marTop w:val="0"/>
      <w:marBottom w:val="0"/>
      <w:divBdr>
        <w:top w:val="none" w:sz="0" w:space="0" w:color="auto"/>
        <w:left w:val="none" w:sz="0" w:space="0" w:color="auto"/>
        <w:bottom w:val="none" w:sz="0" w:space="0" w:color="auto"/>
        <w:right w:val="none" w:sz="0" w:space="0" w:color="auto"/>
      </w:divBdr>
    </w:div>
    <w:div w:id="195528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meetings/en/doc_details.jsp?doc_id=147152"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wipo.int/meetings/en/doc_details.jsp?doc_id=149213"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meetings/en/doc_details.jsp?doc_id=426450"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wipo.int/tk/en/resources/tk_experiences.html" TargetMode="External"/><Relationship Id="rId23" Type="http://schemas.openxmlformats.org/officeDocument/2006/relationships/theme" Target="theme/theme1.xml"/><Relationship Id="rId10" Type="http://schemas.openxmlformats.org/officeDocument/2006/relationships/hyperlink" Target="https://www.wipo.int/meetings/en/doc_details.jsp?doc_id=426449"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wipo.int/meetings/en/doc_details.jsp?doc_id=429638" TargetMode="External"/><Relationship Id="rId14" Type="http://schemas.openxmlformats.org/officeDocument/2006/relationships/hyperlink" Target="https://www.wipo.int/tk/en/resources/tk_experiences.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107AF-8553-4DC8-A8F5-1CF564D94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5</Pages>
  <Words>1452</Words>
  <Characters>9986</Characters>
  <Application>Microsoft Office Word</Application>
  <DocSecurity>0</DocSecurity>
  <Lines>3328</Lines>
  <Paragraphs>672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WIPO</Company>
  <LinksUpToDate>false</LinksUpToDate>
  <CharactersWithSpaces>10766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Goss</dc:creator>
  <cp:lastModifiedBy>PLUMLEY Mauricio</cp:lastModifiedBy>
  <cp:revision>35</cp:revision>
  <cp:lastPrinted>2019-03-13T13:21:00Z</cp:lastPrinted>
  <dcterms:created xsi:type="dcterms:W3CDTF">2019-03-13T11:08:00Z</dcterms:created>
  <dcterms:modified xsi:type="dcterms:W3CDTF">2019-03-13T14:29:00Z</dcterms:modified>
</cp:coreProperties>
</file>