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17B68" w:rsidRPr="008B2CC1" w:rsidTr="00B6672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17B68" w:rsidRPr="008B2CC1" w:rsidRDefault="00E17B68" w:rsidP="00B66725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17B68" w:rsidRPr="008B2CC1" w:rsidRDefault="00E17B68" w:rsidP="00B66725">
            <w:r>
              <w:rPr>
                <w:noProof/>
                <w:lang w:val="fr-FR" w:eastAsia="fr-FR"/>
              </w:rPr>
              <w:drawing>
                <wp:inline distT="0" distB="0" distL="0" distR="0" wp14:anchorId="3122D964" wp14:editId="20FA9BBC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17B68" w:rsidRPr="008B2CC1" w:rsidRDefault="00E17B68" w:rsidP="00B66725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E17B68" w:rsidRPr="001832A6" w:rsidTr="00B66725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17B68" w:rsidRPr="0090731E" w:rsidRDefault="00E17B68" w:rsidP="00B66725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spellStart"/>
            <w:r w:rsidRPr="003273FE">
              <w:rPr>
                <w:rFonts w:ascii="Arial Black" w:hAnsi="Arial Black"/>
                <w:caps/>
                <w:sz w:val="15"/>
                <w:lang w:val="fr-FR"/>
              </w:rPr>
              <w:t>WIPO</w:t>
            </w:r>
            <w:proofErr w:type="spellEnd"/>
            <w:r w:rsidRPr="003273FE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proofErr w:type="spellStart"/>
            <w:r w:rsidRPr="003273FE">
              <w:rPr>
                <w:rFonts w:ascii="Arial Black" w:hAnsi="Arial Black"/>
                <w:caps/>
                <w:sz w:val="15"/>
                <w:lang w:val="fr-FR"/>
              </w:rPr>
              <w:t>EXP</w:t>
            </w:r>
            <w:proofErr w:type="spellEnd"/>
            <w:r w:rsidRPr="003273FE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proofErr w:type="spellStart"/>
            <w:r w:rsidRPr="003273FE">
              <w:rPr>
                <w:rFonts w:ascii="Arial Black" w:hAnsi="Arial Black"/>
                <w:caps/>
                <w:sz w:val="15"/>
                <w:lang w:val="fr-FR"/>
              </w:rPr>
              <w:t>IPTK</w:t>
            </w:r>
            <w:proofErr w:type="spellEnd"/>
            <w:r w:rsidRPr="003273FE">
              <w:rPr>
                <w:rFonts w:ascii="Arial Black" w:hAnsi="Arial Black"/>
                <w:caps/>
                <w:sz w:val="15"/>
                <w:lang w:val="fr-FR"/>
              </w:rPr>
              <w:t>/GE/19/1</w:t>
            </w:r>
          </w:p>
        </w:tc>
      </w:tr>
      <w:tr w:rsidR="00E17B68" w:rsidRPr="001832A6" w:rsidTr="00B6672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17B68" w:rsidRPr="0090731E" w:rsidRDefault="00E17B68" w:rsidP="00B6672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A66AB7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E17B68" w:rsidRPr="001832A6" w:rsidTr="00B6672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17B68" w:rsidRPr="0090731E" w:rsidRDefault="00E17B68" w:rsidP="00B6672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A66AB7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5</w:t>
            </w:r>
            <w:r w:rsidR="00E70D34">
              <w:rPr>
                <w:rFonts w:ascii="Arial Black" w:hAnsi="Arial Black"/>
                <w:caps/>
                <w:sz w:val="15"/>
              </w:rPr>
              <w:t> </w:t>
            </w:r>
            <w:r>
              <w:rPr>
                <w:rFonts w:ascii="Arial Black" w:hAnsi="Arial Black"/>
                <w:caps/>
                <w:sz w:val="15"/>
              </w:rPr>
              <w:t>mars</w:t>
            </w:r>
            <w:r w:rsidR="00E70D34">
              <w:rPr>
                <w:rFonts w:ascii="Arial Black" w:hAnsi="Arial Black"/>
                <w:caps/>
                <w:sz w:val="15"/>
              </w:rPr>
              <w:t> </w:t>
            </w:r>
            <w:r>
              <w:rPr>
                <w:rFonts w:ascii="Arial Black" w:hAnsi="Arial Black"/>
                <w:caps/>
                <w:sz w:val="15"/>
              </w:rPr>
              <w:t>2019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6A56DF" w:rsidRDefault="006A56DF" w:rsidP="00E17B68"/>
    <w:p w:rsidR="006A56DF" w:rsidRDefault="006A56DF" w:rsidP="00E17B68"/>
    <w:p w:rsidR="006A56DF" w:rsidRDefault="006A56DF" w:rsidP="00E17B68"/>
    <w:p w:rsidR="006A56DF" w:rsidRDefault="006A56DF" w:rsidP="00E17B68"/>
    <w:p w:rsidR="006A56DF" w:rsidRDefault="00E17B68" w:rsidP="00E17B68">
      <w:r w:rsidRPr="006A56DF">
        <w:rPr>
          <w:b/>
          <w:sz w:val="28"/>
          <w:szCs w:val="28"/>
          <w:lang w:val="fr-FR"/>
        </w:rPr>
        <w:t>Groupe spécial d</w:t>
      </w:r>
      <w:r w:rsidR="00A66AB7">
        <w:rPr>
          <w:b/>
          <w:sz w:val="28"/>
          <w:szCs w:val="28"/>
          <w:lang w:val="fr-FR"/>
        </w:rPr>
        <w:t>’</w:t>
      </w:r>
      <w:r w:rsidRPr="006A56DF">
        <w:rPr>
          <w:b/>
          <w:sz w:val="28"/>
          <w:szCs w:val="28"/>
          <w:lang w:val="fr-FR"/>
        </w:rPr>
        <w:t>experts sur les savoirs traditionnels et les expressions culturelles traditionnelles</w:t>
      </w:r>
    </w:p>
    <w:p w:rsidR="006A56DF" w:rsidRDefault="006A56DF" w:rsidP="00E17B68"/>
    <w:p w:rsidR="006A56DF" w:rsidRDefault="006A56DF" w:rsidP="00E17B68"/>
    <w:p w:rsidR="006A56DF" w:rsidRDefault="00E17B68" w:rsidP="00E17B68">
      <w:r w:rsidRPr="006A56DF">
        <w:rPr>
          <w:b/>
          <w:sz w:val="24"/>
          <w:szCs w:val="24"/>
          <w:lang w:val="fr-FR"/>
        </w:rPr>
        <w:t>Genève, 17</w:t>
      </w:r>
      <w:r w:rsidR="00E70D34">
        <w:rPr>
          <w:b/>
          <w:sz w:val="24"/>
          <w:szCs w:val="24"/>
          <w:lang w:val="fr-FR"/>
        </w:rPr>
        <w:t> </w:t>
      </w:r>
      <w:r w:rsidRPr="006A56DF">
        <w:rPr>
          <w:b/>
          <w:sz w:val="24"/>
          <w:szCs w:val="24"/>
          <w:lang w:val="fr-FR"/>
        </w:rPr>
        <w:t>mars</w:t>
      </w:r>
      <w:r w:rsidR="00E70D34">
        <w:rPr>
          <w:b/>
          <w:sz w:val="24"/>
          <w:szCs w:val="24"/>
          <w:lang w:val="fr-FR"/>
        </w:rPr>
        <w:t> </w:t>
      </w:r>
      <w:r w:rsidRPr="006A56DF">
        <w:rPr>
          <w:b/>
          <w:sz w:val="24"/>
          <w:szCs w:val="24"/>
          <w:lang w:val="fr-FR"/>
        </w:rPr>
        <w:t>2019</w:t>
      </w:r>
    </w:p>
    <w:p w:rsidR="006A56DF" w:rsidRDefault="006A56DF" w:rsidP="00E17B68"/>
    <w:p w:rsidR="006A56DF" w:rsidRDefault="006A56DF" w:rsidP="00E17B68"/>
    <w:p w:rsidR="006A56DF" w:rsidRDefault="006A56DF" w:rsidP="00E17B68"/>
    <w:p w:rsidR="006A56DF" w:rsidRDefault="001C0BFB" w:rsidP="001C0BFB">
      <w:pPr>
        <w:rPr>
          <w:caps/>
          <w:sz w:val="24"/>
          <w:lang w:val="fr-FR"/>
        </w:rPr>
      </w:pPr>
      <w:r w:rsidRPr="006A56DF">
        <w:rPr>
          <w:caps/>
          <w:sz w:val="24"/>
          <w:lang w:val="fr-FR"/>
        </w:rPr>
        <w:t>NOTE D</w:t>
      </w:r>
      <w:r w:rsidR="00A66AB7">
        <w:rPr>
          <w:caps/>
          <w:sz w:val="24"/>
          <w:lang w:val="fr-FR"/>
        </w:rPr>
        <w:t>’</w:t>
      </w:r>
      <w:r w:rsidRPr="006A56DF">
        <w:rPr>
          <w:caps/>
          <w:sz w:val="24"/>
          <w:lang w:val="fr-FR"/>
        </w:rPr>
        <w:t>INFORMATION SUR LA MÉTHODOLOGIE ET LE PROGRAMME</w:t>
      </w:r>
    </w:p>
    <w:p w:rsidR="006A56DF" w:rsidRDefault="006A56DF" w:rsidP="000D4BD5">
      <w:pPr>
        <w:rPr>
          <w:lang w:val="fr-FR"/>
        </w:rPr>
      </w:pPr>
    </w:p>
    <w:p w:rsidR="006A56DF" w:rsidRDefault="001C0BFB" w:rsidP="001C0BFB">
      <w:pPr>
        <w:rPr>
          <w:i/>
          <w:lang w:val="fr-FR"/>
        </w:rPr>
      </w:pPr>
      <w:bookmarkStart w:id="3" w:name="Prepared"/>
      <w:bookmarkEnd w:id="3"/>
      <w:proofErr w:type="gramStart"/>
      <w:r w:rsidRPr="006A56DF">
        <w:rPr>
          <w:i/>
          <w:lang w:val="fr-FR"/>
        </w:rPr>
        <w:t>établie</w:t>
      </w:r>
      <w:proofErr w:type="gramEnd"/>
      <w:r w:rsidRPr="006A56DF">
        <w:rPr>
          <w:i/>
          <w:lang w:val="fr-FR"/>
        </w:rPr>
        <w:t xml:space="preserve"> par le Bureau international de l</w:t>
      </w:r>
      <w:r w:rsidR="00A66AB7">
        <w:rPr>
          <w:i/>
          <w:lang w:val="fr-FR"/>
        </w:rPr>
        <w:t>’</w:t>
      </w:r>
      <w:r w:rsidRPr="006A56DF">
        <w:rPr>
          <w:i/>
          <w:lang w:val="fr-FR"/>
        </w:rPr>
        <w:t>OMPI</w:t>
      </w:r>
    </w:p>
    <w:p w:rsidR="006A56DF" w:rsidRDefault="006A56DF" w:rsidP="000D4BD5">
      <w:pPr>
        <w:rPr>
          <w:lang w:val="fr-FR"/>
        </w:rPr>
      </w:pPr>
    </w:p>
    <w:p w:rsidR="006A56DF" w:rsidRDefault="006A56DF" w:rsidP="000D4BD5">
      <w:pPr>
        <w:rPr>
          <w:lang w:val="fr-FR"/>
        </w:rPr>
      </w:pPr>
    </w:p>
    <w:p w:rsidR="006A56DF" w:rsidRDefault="000D4BD5">
      <w:pPr>
        <w:rPr>
          <w:lang w:val="fr-FR"/>
        </w:rPr>
      </w:pPr>
      <w:r w:rsidRPr="003273FE">
        <w:rPr>
          <w:lang w:val="fr-FR"/>
        </w:rPr>
        <w:br w:type="page"/>
      </w:r>
    </w:p>
    <w:p w:rsidR="00A66AB7" w:rsidRDefault="00CD3406" w:rsidP="00A66AB7">
      <w:pPr>
        <w:pStyle w:val="ONUMFS"/>
        <w:rPr>
          <w:lang w:val="fr-FR"/>
        </w:rPr>
      </w:pPr>
      <w:r w:rsidRPr="006A56DF">
        <w:rPr>
          <w:lang w:val="fr-FR"/>
        </w:rPr>
        <w:lastRenderedPageBreak/>
        <w:t xml:space="preserve">Conformément au mandat du Comité </w:t>
      </w:r>
      <w:proofErr w:type="spellStart"/>
      <w:r w:rsidRPr="006A56DF">
        <w:rPr>
          <w:lang w:val="fr-FR"/>
        </w:rPr>
        <w:t>intergouvernemental</w:t>
      </w:r>
      <w:proofErr w:type="spellEnd"/>
      <w:r w:rsidRPr="006A56DF">
        <w:rPr>
          <w:lang w:val="fr-FR"/>
        </w:rPr>
        <w:t xml:space="preserve"> de la propriété intellectuelle relative aux ressources génétiques, aux savoirs traditionnels et au folklore (“</w:t>
      </w:r>
      <w:proofErr w:type="spellStart"/>
      <w:r w:rsidRPr="006A56DF">
        <w:rPr>
          <w:lang w:val="fr-FR"/>
        </w:rPr>
        <w:t>IGC</w:t>
      </w:r>
      <w:proofErr w:type="spellEnd"/>
      <w:r w:rsidRPr="006A56DF">
        <w:rPr>
          <w:lang w:val="fr-FR"/>
        </w:rPr>
        <w:t>”) et aux décisions de</w:t>
      </w:r>
      <w:r w:rsidRPr="00CD3406">
        <w:rPr>
          <w:color w:val="000000"/>
          <w:lang w:val="fr-FR"/>
        </w:rPr>
        <w:t>s</w:t>
      </w:r>
      <w:r w:rsidRPr="006A56DF">
        <w:rPr>
          <w:lang w:val="fr-FR"/>
        </w:rPr>
        <w:t xml:space="preserve"> trente</w:t>
      </w:r>
      <w:r w:rsidR="00132AB7">
        <w:rPr>
          <w:lang w:val="fr-FR"/>
        </w:rPr>
        <w:noBreakHyphen/>
      </w:r>
      <w:r w:rsidRPr="006A56DF">
        <w:rPr>
          <w:lang w:val="fr-FR"/>
        </w:rPr>
        <w:t xml:space="preserve">septième </w:t>
      </w:r>
      <w:r w:rsidRPr="00CD3406">
        <w:rPr>
          <w:color w:val="000000"/>
          <w:lang w:val="fr-FR"/>
        </w:rPr>
        <w:t>et trente</w:t>
      </w:r>
      <w:r w:rsidR="00132AB7">
        <w:rPr>
          <w:color w:val="000000"/>
          <w:lang w:val="fr-FR"/>
        </w:rPr>
        <w:noBreakHyphen/>
      </w:r>
      <w:r w:rsidRPr="00CD3406">
        <w:rPr>
          <w:color w:val="000000"/>
          <w:lang w:val="fr-FR"/>
        </w:rPr>
        <w:t>huit</w:t>
      </w:r>
      <w:r w:rsidR="00A66AB7">
        <w:rPr>
          <w:color w:val="000000"/>
          <w:lang w:val="fr-FR"/>
        </w:rPr>
        <w:t>ième session</w:t>
      </w:r>
      <w:r w:rsidRPr="00CD3406">
        <w:rPr>
          <w:color w:val="000000"/>
          <w:lang w:val="fr-FR"/>
        </w:rPr>
        <w:t>s</w:t>
      </w:r>
      <w:r w:rsidRPr="006A56DF">
        <w:rPr>
          <w:lang w:val="fr-FR"/>
        </w:rPr>
        <w:t xml:space="preserve"> de l</w:t>
      </w:r>
      <w:r w:rsidR="00A66AB7">
        <w:rPr>
          <w:lang w:val="fr-FR"/>
        </w:rPr>
        <w:t>’</w:t>
      </w:r>
      <w:proofErr w:type="spellStart"/>
      <w:r w:rsidRPr="006A56DF">
        <w:rPr>
          <w:lang w:val="fr-FR"/>
        </w:rPr>
        <w:t>IGC</w:t>
      </w:r>
      <w:proofErr w:type="spellEnd"/>
      <w:r w:rsidRPr="006A56DF">
        <w:rPr>
          <w:lang w:val="fr-FR"/>
        </w:rPr>
        <w:t>, l</w:t>
      </w:r>
      <w:r w:rsidR="00A66AB7">
        <w:rPr>
          <w:lang w:val="fr-FR"/>
        </w:rPr>
        <w:t>’</w:t>
      </w:r>
      <w:r w:rsidRPr="006A56DF">
        <w:rPr>
          <w:lang w:val="fr-FR"/>
        </w:rPr>
        <w:t>objectif général du Groupe spécial d</w:t>
      </w:r>
      <w:r w:rsidR="00A66AB7">
        <w:rPr>
          <w:lang w:val="fr-FR"/>
        </w:rPr>
        <w:t>’</w:t>
      </w:r>
      <w:r w:rsidRPr="006A56DF">
        <w:rPr>
          <w:lang w:val="fr-FR"/>
        </w:rPr>
        <w:t>experts sur les savoirs traditionnels et les expressions culturelles traditionnelles est de traiter des questions précises d</w:t>
      </w:r>
      <w:r w:rsidR="00A66AB7">
        <w:rPr>
          <w:lang w:val="fr-FR"/>
        </w:rPr>
        <w:t>’</w:t>
      </w:r>
      <w:r w:rsidRPr="006A56DF">
        <w:rPr>
          <w:lang w:val="fr-FR"/>
        </w:rPr>
        <w:t>ordre juridique, politique ou techniq</w:t>
      </w:r>
      <w:r w:rsidR="00132AB7" w:rsidRPr="006A56DF">
        <w:rPr>
          <w:lang w:val="fr-FR"/>
        </w:rPr>
        <w:t>ue</w:t>
      </w:r>
      <w:r w:rsidR="00132AB7">
        <w:rPr>
          <w:lang w:val="fr-FR"/>
        </w:rPr>
        <w:t xml:space="preserve">.  </w:t>
      </w:r>
      <w:r w:rsidR="00132AB7" w:rsidRPr="006A56DF">
        <w:rPr>
          <w:lang w:val="fr-FR"/>
        </w:rPr>
        <w:t>Le</w:t>
      </w:r>
      <w:r w:rsidRPr="006A56DF">
        <w:rPr>
          <w:lang w:val="fr-FR"/>
        </w:rPr>
        <w:t>s résultats de ces travaux feront l</w:t>
      </w:r>
      <w:r w:rsidR="00A66AB7">
        <w:rPr>
          <w:lang w:val="fr-FR"/>
        </w:rPr>
        <w:t>’</w:t>
      </w:r>
      <w:r w:rsidRPr="006A56DF">
        <w:rPr>
          <w:lang w:val="fr-FR"/>
        </w:rPr>
        <w:t>objet d</w:t>
      </w:r>
      <w:r w:rsidR="00A66AB7">
        <w:rPr>
          <w:lang w:val="fr-FR"/>
        </w:rPr>
        <w:t>’</w:t>
      </w:r>
      <w:r w:rsidRPr="006A56DF">
        <w:rPr>
          <w:lang w:val="fr-FR"/>
        </w:rPr>
        <w:t>un rapport et seront examinés par l</w:t>
      </w:r>
      <w:r w:rsidR="00A66AB7">
        <w:rPr>
          <w:lang w:val="fr-FR"/>
        </w:rPr>
        <w:t>’</w:t>
      </w:r>
      <w:proofErr w:type="spellStart"/>
      <w:r w:rsidRPr="006A56DF">
        <w:rPr>
          <w:lang w:val="fr-FR"/>
        </w:rPr>
        <w:t>IGC</w:t>
      </w:r>
      <w:proofErr w:type="spellEnd"/>
      <w:r w:rsidRPr="006A56DF">
        <w:rPr>
          <w:lang w:val="fr-FR"/>
        </w:rPr>
        <w:t>.</w:t>
      </w:r>
    </w:p>
    <w:p w:rsidR="00A66AB7" w:rsidRDefault="00CD3406" w:rsidP="00A66AB7">
      <w:pPr>
        <w:pStyle w:val="ONUMFS"/>
        <w:rPr>
          <w:lang w:val="fr-FR"/>
        </w:rPr>
      </w:pPr>
      <w:r w:rsidRPr="006A56DF">
        <w:rPr>
          <w:lang w:val="fr-FR"/>
        </w:rPr>
        <w:t>La présente note d</w:t>
      </w:r>
      <w:r w:rsidR="00A66AB7">
        <w:rPr>
          <w:lang w:val="fr-FR"/>
        </w:rPr>
        <w:t>’</w:t>
      </w:r>
      <w:r w:rsidRPr="006A56DF">
        <w:rPr>
          <w:lang w:val="fr-FR"/>
        </w:rPr>
        <w:t>information expose la méthodologie et le programme du groupe spécial d</w:t>
      </w:r>
      <w:r w:rsidR="00A66AB7">
        <w:rPr>
          <w:lang w:val="fr-FR"/>
        </w:rPr>
        <w:t>’</w:t>
      </w:r>
      <w:r w:rsidRPr="006A56DF">
        <w:rPr>
          <w:lang w:val="fr-FR"/>
        </w:rPr>
        <w:t xml:space="preserve">experts, conformément aux décisions prises </w:t>
      </w:r>
      <w:r w:rsidRPr="00CD3406">
        <w:rPr>
          <w:color w:val="000000"/>
          <w:lang w:val="fr-FR"/>
        </w:rPr>
        <w:t xml:space="preserve">aux </w:t>
      </w:r>
      <w:r w:rsidRPr="006A56DF">
        <w:rPr>
          <w:lang w:val="fr-FR"/>
        </w:rPr>
        <w:t>trente</w:t>
      </w:r>
      <w:r w:rsidR="00132AB7">
        <w:rPr>
          <w:lang w:val="fr-FR"/>
        </w:rPr>
        <w:noBreakHyphen/>
      </w:r>
      <w:r w:rsidRPr="006A56DF">
        <w:rPr>
          <w:lang w:val="fr-FR"/>
        </w:rPr>
        <w:t>septième</w:t>
      </w:r>
      <w:r w:rsidRPr="00CD3406">
        <w:rPr>
          <w:color w:val="000000"/>
          <w:lang w:val="fr-FR"/>
        </w:rPr>
        <w:t xml:space="preserve"> et trente</w:t>
      </w:r>
      <w:r w:rsidR="00132AB7">
        <w:rPr>
          <w:color w:val="000000"/>
          <w:lang w:val="fr-FR"/>
        </w:rPr>
        <w:noBreakHyphen/>
      </w:r>
      <w:r w:rsidRPr="00CD3406">
        <w:rPr>
          <w:color w:val="000000"/>
          <w:lang w:val="fr-FR"/>
        </w:rPr>
        <w:t>huit</w:t>
      </w:r>
      <w:r w:rsidR="00A66AB7">
        <w:rPr>
          <w:color w:val="000000"/>
          <w:lang w:val="fr-FR"/>
        </w:rPr>
        <w:t>ième session</w:t>
      </w:r>
      <w:r w:rsidRPr="00CD3406">
        <w:rPr>
          <w:color w:val="000000"/>
          <w:lang w:val="fr-FR"/>
        </w:rPr>
        <w:t>s</w:t>
      </w:r>
      <w:r w:rsidRPr="006A56DF">
        <w:rPr>
          <w:lang w:val="fr-FR"/>
        </w:rPr>
        <w:t xml:space="preserve"> de l</w:t>
      </w:r>
      <w:r w:rsidR="00A66AB7">
        <w:rPr>
          <w:lang w:val="fr-FR"/>
        </w:rPr>
        <w:t>’</w:t>
      </w:r>
      <w:proofErr w:type="spellStart"/>
      <w:r w:rsidRPr="006A56DF">
        <w:rPr>
          <w:lang w:val="fr-FR"/>
        </w:rPr>
        <w:t>IGC</w:t>
      </w:r>
      <w:proofErr w:type="spellEnd"/>
      <w:r w:rsidRPr="006A56DF">
        <w:rPr>
          <w:lang w:val="fr-FR"/>
        </w:rPr>
        <w:t>.</w:t>
      </w:r>
    </w:p>
    <w:p w:rsidR="00A66AB7" w:rsidRDefault="00CD3406" w:rsidP="00A66AB7">
      <w:pPr>
        <w:pStyle w:val="ONUMFS"/>
        <w:rPr>
          <w:rFonts w:eastAsia="DengXian"/>
          <w:lang w:val="fr-FR"/>
        </w:rPr>
      </w:pPr>
      <w:r w:rsidRPr="006A56DF">
        <w:rPr>
          <w:lang w:val="fr-FR"/>
        </w:rPr>
        <w:t>Une note d</w:t>
      </w:r>
      <w:r w:rsidR="00A66AB7">
        <w:rPr>
          <w:lang w:val="fr-FR"/>
        </w:rPr>
        <w:t>’</w:t>
      </w:r>
      <w:r w:rsidRPr="006A56DF">
        <w:rPr>
          <w:lang w:val="fr-FR"/>
        </w:rPr>
        <w:t>information distincte sur les questions de fond (</w:t>
      </w:r>
      <w:r w:rsidR="00A66AB7" w:rsidRPr="006A56DF">
        <w:rPr>
          <w:lang w:val="fr-FR"/>
        </w:rPr>
        <w:t>document</w:t>
      </w:r>
      <w:r w:rsidR="00A66AB7">
        <w:rPr>
          <w:lang w:val="fr-FR"/>
        </w:rPr>
        <w:t xml:space="preserve"> </w:t>
      </w:r>
      <w:proofErr w:type="spellStart"/>
      <w:r w:rsidR="00A66AB7" w:rsidRPr="006A56DF">
        <w:rPr>
          <w:lang w:val="fr-FR"/>
        </w:rPr>
        <w:t>WI</w:t>
      </w:r>
      <w:r w:rsidRPr="006A56DF">
        <w:rPr>
          <w:lang w:val="fr-FR"/>
        </w:rPr>
        <w:t>PO</w:t>
      </w:r>
      <w:proofErr w:type="spellEnd"/>
      <w:r w:rsidRPr="006A56DF">
        <w:rPr>
          <w:lang w:val="fr-FR"/>
        </w:rPr>
        <w:t>/</w:t>
      </w:r>
      <w:proofErr w:type="spellStart"/>
      <w:r w:rsidRPr="006A56DF">
        <w:rPr>
          <w:lang w:val="fr-FR"/>
        </w:rPr>
        <w:t>EXP</w:t>
      </w:r>
      <w:proofErr w:type="spellEnd"/>
      <w:r w:rsidRPr="006A56DF">
        <w:rPr>
          <w:lang w:val="fr-FR"/>
        </w:rPr>
        <w:t>/</w:t>
      </w:r>
      <w:proofErr w:type="spellStart"/>
      <w:r w:rsidRPr="006A56DF">
        <w:rPr>
          <w:lang w:val="fr-FR"/>
        </w:rPr>
        <w:t>IPTK</w:t>
      </w:r>
      <w:proofErr w:type="spellEnd"/>
      <w:r w:rsidRPr="006A56DF">
        <w:rPr>
          <w:lang w:val="fr-FR"/>
        </w:rPr>
        <w:t>/GE/19/2) mentionnera des questions plus précises et contiendra des informations générales sur la liste des questions à trait</w:t>
      </w:r>
      <w:r w:rsidR="00132AB7" w:rsidRPr="006A56DF">
        <w:rPr>
          <w:lang w:val="fr-FR"/>
        </w:rPr>
        <w:t>er</w:t>
      </w:r>
      <w:r w:rsidR="00132AB7">
        <w:rPr>
          <w:lang w:val="fr-FR"/>
        </w:rPr>
        <w:t xml:space="preserve">.  </w:t>
      </w:r>
      <w:r w:rsidR="00132AB7" w:rsidRPr="006A56DF">
        <w:rPr>
          <w:lang w:val="fr-FR"/>
        </w:rPr>
        <w:t>En</w:t>
      </w:r>
      <w:r w:rsidRPr="006A56DF">
        <w:rPr>
          <w:lang w:val="fr-FR"/>
        </w:rPr>
        <w:t xml:space="preserve"> ce qui concerne les savoirs traditionnels et les expressions culturelles traditionnelles, la liste des </w:t>
      </w:r>
      <w:r w:rsidRPr="00CD3406">
        <w:rPr>
          <w:color w:val="000000"/>
          <w:lang w:val="fr-FR"/>
        </w:rPr>
        <w:t xml:space="preserve">questions </w:t>
      </w:r>
      <w:r w:rsidRPr="006A56DF">
        <w:rPr>
          <w:lang w:val="fr-FR"/>
        </w:rPr>
        <w:t>à traiter est</w:t>
      </w:r>
      <w:r w:rsidRPr="00CD3406">
        <w:rPr>
          <w:color w:val="000000"/>
          <w:lang w:val="fr-FR"/>
        </w:rPr>
        <w:t xml:space="preserve"> la suivante</w:t>
      </w:r>
      <w:r w:rsidR="00A66AB7">
        <w:rPr>
          <w:lang w:val="fr-FR"/>
        </w:rPr>
        <w:t> :</w:t>
      </w:r>
    </w:p>
    <w:p w:rsidR="006A56DF" w:rsidRDefault="00CD3406" w:rsidP="00A66AB7">
      <w:pPr>
        <w:numPr>
          <w:ilvl w:val="0"/>
          <w:numId w:val="15"/>
        </w:numPr>
        <w:ind w:left="1134" w:hanging="567"/>
        <w:contextualSpacing/>
        <w:rPr>
          <w:rFonts w:eastAsia="DengXian"/>
          <w:szCs w:val="22"/>
          <w:lang w:val="fr-FR"/>
        </w:rPr>
      </w:pPr>
      <w:r w:rsidRPr="006A56DF">
        <w:rPr>
          <w:rFonts w:eastAsia="DengXian"/>
          <w:szCs w:val="22"/>
          <w:lang w:val="fr-FR"/>
        </w:rPr>
        <w:t xml:space="preserve">Objet, </w:t>
      </w:r>
      <w:r w:rsidR="00A66AB7">
        <w:rPr>
          <w:rFonts w:eastAsia="DengXian"/>
          <w:szCs w:val="22"/>
          <w:lang w:val="fr-FR"/>
        </w:rPr>
        <w:t>y compris</w:t>
      </w:r>
      <w:r w:rsidRPr="006A56DF">
        <w:rPr>
          <w:rFonts w:eastAsia="DengXian"/>
          <w:szCs w:val="22"/>
          <w:lang w:val="fr-FR"/>
        </w:rPr>
        <w:t xml:space="preserve"> définitions connexes</w:t>
      </w:r>
      <w:r w:rsidRPr="00CD3406">
        <w:rPr>
          <w:rFonts w:eastAsia="DengXian"/>
          <w:color w:val="000000"/>
          <w:szCs w:val="22"/>
          <w:lang w:val="fr-FR"/>
        </w:rPr>
        <w:t>.</w:t>
      </w:r>
    </w:p>
    <w:p w:rsidR="006A56DF" w:rsidRDefault="006A56DF" w:rsidP="00A66AB7">
      <w:pPr>
        <w:ind w:left="1134" w:hanging="567"/>
        <w:contextualSpacing/>
        <w:rPr>
          <w:rFonts w:eastAsia="DengXian"/>
          <w:szCs w:val="22"/>
          <w:lang w:val="fr-FR"/>
        </w:rPr>
      </w:pPr>
    </w:p>
    <w:p w:rsidR="006A56DF" w:rsidRDefault="00CD3406" w:rsidP="00A66AB7">
      <w:pPr>
        <w:numPr>
          <w:ilvl w:val="0"/>
          <w:numId w:val="15"/>
        </w:numPr>
        <w:ind w:left="1134" w:hanging="567"/>
        <w:contextualSpacing/>
        <w:rPr>
          <w:rFonts w:eastAsia="DengXian"/>
          <w:szCs w:val="22"/>
          <w:lang w:val="fr-FR"/>
        </w:rPr>
      </w:pPr>
      <w:r w:rsidRPr="00CD3406">
        <w:rPr>
          <w:rFonts w:eastAsia="DengXian"/>
          <w:color w:val="000000"/>
          <w:szCs w:val="22"/>
          <w:lang w:val="fr-FR"/>
        </w:rPr>
        <w:t>É</w:t>
      </w:r>
      <w:r w:rsidRPr="006A56DF">
        <w:rPr>
          <w:rFonts w:eastAsia="DengXian"/>
          <w:szCs w:val="22"/>
          <w:lang w:val="fr-FR"/>
        </w:rPr>
        <w:t>tendue de la protection</w:t>
      </w:r>
    </w:p>
    <w:p w:rsidR="006A56DF" w:rsidRDefault="00CD3406" w:rsidP="00A66AB7">
      <w:pPr>
        <w:numPr>
          <w:ilvl w:val="1"/>
          <w:numId w:val="15"/>
        </w:numPr>
        <w:ind w:left="1701" w:hanging="567"/>
        <w:contextualSpacing/>
        <w:rPr>
          <w:rFonts w:eastAsia="DengXian"/>
          <w:szCs w:val="22"/>
          <w:lang w:val="fr-FR"/>
        </w:rPr>
      </w:pPr>
      <w:proofErr w:type="gramStart"/>
      <w:r w:rsidRPr="00CD3406">
        <w:rPr>
          <w:rFonts w:eastAsia="DengXian"/>
          <w:color w:val="000000"/>
          <w:szCs w:val="22"/>
          <w:lang w:val="fr-FR"/>
        </w:rPr>
        <w:t>p</w:t>
      </w:r>
      <w:r w:rsidRPr="006A56DF">
        <w:rPr>
          <w:rFonts w:eastAsia="DengXian"/>
          <w:szCs w:val="22"/>
          <w:lang w:val="fr-FR"/>
        </w:rPr>
        <w:t>oursuite</w:t>
      </w:r>
      <w:proofErr w:type="gramEnd"/>
      <w:r w:rsidRPr="006A56DF">
        <w:rPr>
          <w:rFonts w:eastAsia="DengXian"/>
          <w:szCs w:val="22"/>
          <w:lang w:val="fr-FR"/>
        </w:rPr>
        <w:t xml:space="preserve"> de l</w:t>
      </w:r>
      <w:r w:rsidR="00A66AB7">
        <w:rPr>
          <w:rFonts w:eastAsia="DengXian"/>
          <w:szCs w:val="22"/>
          <w:lang w:val="fr-FR"/>
        </w:rPr>
        <w:t>’</w:t>
      </w:r>
      <w:r w:rsidRPr="006A56DF">
        <w:rPr>
          <w:rFonts w:eastAsia="DengXian"/>
          <w:szCs w:val="22"/>
          <w:lang w:val="fr-FR"/>
        </w:rPr>
        <w:t>examen d</w:t>
      </w:r>
      <w:r w:rsidR="00A66AB7">
        <w:rPr>
          <w:rFonts w:eastAsia="DengXian"/>
          <w:szCs w:val="22"/>
          <w:lang w:val="fr-FR"/>
        </w:rPr>
        <w:t>’</w:t>
      </w:r>
      <w:r w:rsidRPr="006A56DF">
        <w:rPr>
          <w:rFonts w:eastAsia="DengXian"/>
          <w:szCs w:val="22"/>
          <w:lang w:val="fr-FR"/>
        </w:rPr>
        <w:t xml:space="preserve">une éventuelle </w:t>
      </w:r>
      <w:r w:rsidR="00E70D34">
        <w:rPr>
          <w:rFonts w:eastAsia="DengXian"/>
          <w:szCs w:val="22"/>
          <w:lang w:val="fr-FR"/>
        </w:rPr>
        <w:t>“</w:t>
      </w:r>
      <w:r w:rsidRPr="006A56DF">
        <w:rPr>
          <w:rFonts w:eastAsia="DengXian"/>
          <w:szCs w:val="22"/>
          <w:lang w:val="fr-FR"/>
        </w:rPr>
        <w:t>approche progressive</w:t>
      </w:r>
      <w:r w:rsidR="00E70D34">
        <w:rPr>
          <w:rFonts w:eastAsia="DengXian"/>
          <w:szCs w:val="22"/>
          <w:lang w:val="fr-FR"/>
        </w:rPr>
        <w:t>”</w:t>
      </w:r>
      <w:r w:rsidRPr="006A56DF">
        <w:rPr>
          <w:rFonts w:eastAsia="DengXian"/>
          <w:szCs w:val="22"/>
          <w:lang w:val="fr-FR"/>
        </w:rPr>
        <w:t xml:space="preserve"> (protection différenciée)</w:t>
      </w:r>
    </w:p>
    <w:p w:rsidR="006A56DF" w:rsidRDefault="00F12F5B" w:rsidP="00A66AB7">
      <w:pPr>
        <w:numPr>
          <w:ilvl w:val="1"/>
          <w:numId w:val="15"/>
        </w:numPr>
        <w:ind w:left="1701" w:hanging="567"/>
        <w:contextualSpacing/>
        <w:rPr>
          <w:rFonts w:eastAsia="DengXian"/>
          <w:szCs w:val="22"/>
          <w:lang w:val="fr-FR"/>
        </w:rPr>
      </w:pPr>
      <w:proofErr w:type="gramStart"/>
      <w:r>
        <w:rPr>
          <w:rFonts w:eastAsia="DengXian"/>
          <w:color w:val="000000"/>
          <w:szCs w:val="22"/>
          <w:lang w:val="fr-FR"/>
        </w:rPr>
        <w:t>critères</w:t>
      </w:r>
      <w:proofErr w:type="gramEnd"/>
      <w:r w:rsidR="00CD3406" w:rsidRPr="006A56DF">
        <w:rPr>
          <w:rFonts w:eastAsia="DengXian"/>
          <w:szCs w:val="22"/>
          <w:lang w:val="fr-FR"/>
        </w:rPr>
        <w:t xml:space="preserve"> </w:t>
      </w:r>
      <w:r w:rsidR="00CD3406" w:rsidRPr="00CD3406">
        <w:rPr>
          <w:rFonts w:eastAsia="DengXian"/>
          <w:color w:val="000000"/>
          <w:szCs w:val="22"/>
          <w:lang w:val="fr-FR"/>
        </w:rPr>
        <w:t xml:space="preserve">à remplir pour bénéficier de </w:t>
      </w:r>
      <w:r w:rsidR="00CD3406" w:rsidRPr="006A56DF">
        <w:rPr>
          <w:rFonts w:eastAsia="DengXian"/>
          <w:szCs w:val="22"/>
          <w:lang w:val="fr-FR"/>
        </w:rPr>
        <w:t>la protection</w:t>
      </w:r>
    </w:p>
    <w:p w:rsidR="00A66AB7" w:rsidRDefault="00CD3406" w:rsidP="00A66AB7">
      <w:pPr>
        <w:numPr>
          <w:ilvl w:val="1"/>
          <w:numId w:val="15"/>
        </w:numPr>
        <w:ind w:left="1701" w:hanging="567"/>
        <w:contextualSpacing/>
        <w:rPr>
          <w:rFonts w:eastAsia="DengXian"/>
          <w:szCs w:val="22"/>
          <w:lang w:val="fr-FR"/>
        </w:rPr>
      </w:pPr>
      <w:proofErr w:type="gramStart"/>
      <w:r w:rsidRPr="00CD3406">
        <w:rPr>
          <w:rFonts w:eastAsia="DengXian"/>
          <w:color w:val="000000"/>
          <w:szCs w:val="22"/>
          <w:lang w:val="fr-FR"/>
        </w:rPr>
        <w:t>d</w:t>
      </w:r>
      <w:r w:rsidRPr="006A56DF">
        <w:rPr>
          <w:rFonts w:eastAsia="DengXian"/>
          <w:szCs w:val="22"/>
          <w:lang w:val="fr-FR"/>
        </w:rPr>
        <w:t>éfinitions</w:t>
      </w:r>
      <w:proofErr w:type="gramEnd"/>
      <w:r w:rsidRPr="006A56DF">
        <w:rPr>
          <w:rFonts w:eastAsia="DengXian"/>
          <w:szCs w:val="22"/>
          <w:lang w:val="fr-FR"/>
        </w:rPr>
        <w:t xml:space="preserve"> connexe</w:t>
      </w:r>
      <w:r w:rsidR="00E70D34">
        <w:rPr>
          <w:rFonts w:eastAsia="DengXian"/>
          <w:color w:val="000000"/>
          <w:szCs w:val="22"/>
          <w:lang w:val="fr-FR"/>
        </w:rPr>
        <w:t>s.</w:t>
      </w:r>
    </w:p>
    <w:p w:rsidR="006A56DF" w:rsidRDefault="006A56DF" w:rsidP="00A66AB7">
      <w:pPr>
        <w:rPr>
          <w:lang w:val="fr-FR"/>
        </w:rPr>
      </w:pPr>
    </w:p>
    <w:p w:rsidR="00A66AB7" w:rsidRDefault="00CD3406" w:rsidP="00A66AB7">
      <w:pPr>
        <w:pStyle w:val="ONUMFS"/>
        <w:rPr>
          <w:lang w:val="fr-FR"/>
        </w:rPr>
      </w:pPr>
      <w:r w:rsidRPr="006A56DF">
        <w:rPr>
          <w:lang w:val="fr-FR"/>
        </w:rPr>
        <w:t>D</w:t>
      </w:r>
      <w:r w:rsidR="00A66AB7">
        <w:rPr>
          <w:lang w:val="fr-FR"/>
        </w:rPr>
        <w:t>’</w:t>
      </w:r>
      <w:r w:rsidRPr="006A56DF">
        <w:rPr>
          <w:lang w:val="fr-FR"/>
        </w:rPr>
        <w:t>une manière générale, ainsi qu</w:t>
      </w:r>
      <w:r w:rsidR="00A66AB7">
        <w:rPr>
          <w:lang w:val="fr-FR"/>
        </w:rPr>
        <w:t>’</w:t>
      </w:r>
      <w:r w:rsidRPr="006A56DF">
        <w:rPr>
          <w:lang w:val="fr-FR"/>
        </w:rPr>
        <w:t>il ressort des décisions prises à la trente</w:t>
      </w:r>
      <w:r w:rsidR="00132AB7">
        <w:rPr>
          <w:lang w:val="fr-FR"/>
        </w:rPr>
        <w:noBreakHyphen/>
      </w:r>
      <w:r w:rsidRPr="006A56DF">
        <w:rPr>
          <w:lang w:val="fr-FR"/>
        </w:rPr>
        <w:t>sept</w:t>
      </w:r>
      <w:r w:rsidR="00A66AB7">
        <w:rPr>
          <w:lang w:val="fr-FR"/>
        </w:rPr>
        <w:t>ième session</w:t>
      </w:r>
      <w:r w:rsidRPr="006A56DF">
        <w:rPr>
          <w:lang w:val="fr-FR"/>
        </w:rPr>
        <w:t xml:space="preserve"> de l</w:t>
      </w:r>
      <w:r w:rsidR="00A66AB7">
        <w:rPr>
          <w:lang w:val="fr-FR"/>
        </w:rPr>
        <w:t>’</w:t>
      </w:r>
      <w:proofErr w:type="spellStart"/>
      <w:r w:rsidRPr="006A56DF">
        <w:rPr>
          <w:lang w:val="fr-FR"/>
        </w:rPr>
        <w:t>IGC</w:t>
      </w:r>
      <w:proofErr w:type="spellEnd"/>
      <w:r w:rsidRPr="006A56DF">
        <w:rPr>
          <w:lang w:val="fr-FR"/>
        </w:rPr>
        <w:t>, le groupe spécial d</w:t>
      </w:r>
      <w:r w:rsidR="00A66AB7">
        <w:rPr>
          <w:lang w:val="fr-FR"/>
        </w:rPr>
        <w:t>’</w:t>
      </w:r>
      <w:r w:rsidRPr="006A56DF">
        <w:rPr>
          <w:lang w:val="fr-FR"/>
        </w:rPr>
        <w:t>experts agira de manière transparente et sans exclusive.</w:t>
      </w:r>
    </w:p>
    <w:p w:rsidR="006A56DF" w:rsidRPr="00A66AB7" w:rsidRDefault="00CD3406" w:rsidP="00A66AB7">
      <w:pPr>
        <w:pStyle w:val="Heading1"/>
      </w:pPr>
      <w:r w:rsidRPr="00A66AB7">
        <w:t>Mandat</w:t>
      </w:r>
    </w:p>
    <w:p w:rsidR="006A56DF" w:rsidRDefault="006A56DF" w:rsidP="000D4BD5">
      <w:pPr>
        <w:rPr>
          <w:lang w:val="fr-FR"/>
        </w:rPr>
      </w:pPr>
    </w:p>
    <w:p w:rsidR="00A66AB7" w:rsidRDefault="00CD3406" w:rsidP="00CD3406">
      <w:pPr>
        <w:pStyle w:val="ONUMFS"/>
        <w:rPr>
          <w:lang w:val="fr-FR"/>
        </w:rPr>
      </w:pPr>
      <w:r w:rsidRPr="006A56DF">
        <w:rPr>
          <w:lang w:val="fr-FR"/>
        </w:rPr>
        <w:t>Ainsi qu</w:t>
      </w:r>
      <w:r w:rsidR="00A66AB7">
        <w:rPr>
          <w:lang w:val="fr-FR"/>
        </w:rPr>
        <w:t>’</w:t>
      </w:r>
      <w:r w:rsidRPr="006A56DF">
        <w:rPr>
          <w:lang w:val="fr-FR"/>
        </w:rPr>
        <w:t>il ressort des décisions prises à la trente</w:t>
      </w:r>
      <w:r w:rsidR="00132AB7">
        <w:rPr>
          <w:lang w:val="fr-FR"/>
        </w:rPr>
        <w:noBreakHyphen/>
      </w:r>
      <w:r w:rsidRPr="006A56DF">
        <w:rPr>
          <w:lang w:val="fr-FR"/>
        </w:rPr>
        <w:t>sept</w:t>
      </w:r>
      <w:r w:rsidR="00A66AB7">
        <w:rPr>
          <w:lang w:val="fr-FR"/>
        </w:rPr>
        <w:t>ième session</w:t>
      </w:r>
      <w:r w:rsidRPr="006A56DF">
        <w:rPr>
          <w:lang w:val="fr-FR"/>
        </w:rPr>
        <w:t xml:space="preserve"> de l</w:t>
      </w:r>
      <w:r w:rsidR="00A66AB7">
        <w:rPr>
          <w:lang w:val="fr-FR"/>
        </w:rPr>
        <w:t>’</w:t>
      </w:r>
      <w:proofErr w:type="spellStart"/>
      <w:r w:rsidRPr="006A56DF">
        <w:rPr>
          <w:lang w:val="fr-FR"/>
        </w:rPr>
        <w:t>IGC</w:t>
      </w:r>
      <w:proofErr w:type="spellEnd"/>
      <w:r w:rsidRPr="006A56DF">
        <w:rPr>
          <w:lang w:val="fr-FR"/>
        </w:rPr>
        <w:t>, la session plénière de l</w:t>
      </w:r>
      <w:r w:rsidR="00A66AB7">
        <w:rPr>
          <w:lang w:val="fr-FR"/>
        </w:rPr>
        <w:t>’</w:t>
      </w:r>
      <w:proofErr w:type="spellStart"/>
      <w:r w:rsidRPr="006A56DF">
        <w:rPr>
          <w:lang w:val="fr-FR"/>
        </w:rPr>
        <w:t>IGC</w:t>
      </w:r>
      <w:proofErr w:type="spellEnd"/>
      <w:r w:rsidRPr="006A56DF">
        <w:rPr>
          <w:lang w:val="fr-FR"/>
        </w:rPr>
        <w:t xml:space="preserve"> est l</w:t>
      </w:r>
      <w:r w:rsidR="00A66AB7">
        <w:rPr>
          <w:lang w:val="fr-FR"/>
        </w:rPr>
        <w:t>’</w:t>
      </w:r>
      <w:r w:rsidRPr="006A56DF">
        <w:rPr>
          <w:lang w:val="fr-FR"/>
        </w:rPr>
        <w:t>organe de négociation et de décisi</w:t>
      </w:r>
      <w:r w:rsidR="00132AB7" w:rsidRPr="006A56DF">
        <w:rPr>
          <w:lang w:val="fr-FR"/>
        </w:rPr>
        <w:t>on</w:t>
      </w:r>
      <w:r w:rsidR="00132AB7">
        <w:rPr>
          <w:lang w:val="fr-FR"/>
        </w:rPr>
        <w:t xml:space="preserve">.  </w:t>
      </w:r>
      <w:r w:rsidR="00132AB7" w:rsidRPr="006A56DF">
        <w:rPr>
          <w:lang w:val="fr-FR"/>
        </w:rPr>
        <w:t>Le</w:t>
      </w:r>
      <w:r w:rsidRPr="006A56DF">
        <w:rPr>
          <w:lang w:val="fr-FR"/>
        </w:rPr>
        <w:t xml:space="preserve"> groupe spécial d</w:t>
      </w:r>
      <w:r w:rsidR="00A66AB7">
        <w:rPr>
          <w:lang w:val="fr-FR"/>
        </w:rPr>
        <w:t>’</w:t>
      </w:r>
      <w:r w:rsidRPr="006A56DF">
        <w:rPr>
          <w:lang w:val="fr-FR"/>
        </w:rPr>
        <w:t>experts est chargé d</w:t>
      </w:r>
      <w:r w:rsidR="00A66AB7">
        <w:rPr>
          <w:lang w:val="fr-FR"/>
        </w:rPr>
        <w:t>’</w:t>
      </w:r>
      <w:r w:rsidRPr="006A56DF">
        <w:rPr>
          <w:lang w:val="fr-FR"/>
        </w:rPr>
        <w:t>appuyer et de faciliter les négociations dans le cadre de l</w:t>
      </w:r>
      <w:r w:rsidR="00A66AB7">
        <w:rPr>
          <w:lang w:val="fr-FR"/>
        </w:rPr>
        <w:t>’</w:t>
      </w:r>
      <w:proofErr w:type="spellStart"/>
      <w:r w:rsidRPr="006A56DF">
        <w:rPr>
          <w:lang w:val="fr-FR"/>
        </w:rPr>
        <w:t>IGC</w:t>
      </w:r>
      <w:proofErr w:type="spellEnd"/>
      <w:r w:rsidRPr="006A56DF">
        <w:rPr>
          <w:lang w:val="fr-FR"/>
        </w:rPr>
        <w:t xml:space="preserve"> en fournissant des conseils et des analyses sur les questions à traiter.</w:t>
      </w:r>
    </w:p>
    <w:p w:rsidR="006A56DF" w:rsidRDefault="00CD3406" w:rsidP="00A66AB7">
      <w:pPr>
        <w:pStyle w:val="Heading1"/>
        <w:rPr>
          <w:lang w:val="fr-FR"/>
        </w:rPr>
      </w:pPr>
      <w:r w:rsidRPr="006A56DF">
        <w:rPr>
          <w:lang w:val="fr-FR"/>
        </w:rPr>
        <w:t>Experts</w:t>
      </w:r>
    </w:p>
    <w:p w:rsidR="006A56DF" w:rsidRDefault="006A56DF" w:rsidP="000D4BD5">
      <w:pPr>
        <w:rPr>
          <w:lang w:val="fr-FR"/>
        </w:rPr>
      </w:pPr>
    </w:p>
    <w:p w:rsidR="00A66AB7" w:rsidRDefault="00CD3406" w:rsidP="00A66AB7">
      <w:pPr>
        <w:pStyle w:val="ONUMFS"/>
        <w:rPr>
          <w:lang w:val="fr-FR"/>
        </w:rPr>
      </w:pPr>
      <w:r w:rsidRPr="006A56DF">
        <w:rPr>
          <w:lang w:val="fr-FR"/>
        </w:rPr>
        <w:t>Tous les experts participeront à titre personn</w:t>
      </w:r>
      <w:r w:rsidR="00132AB7" w:rsidRPr="006A56DF">
        <w:rPr>
          <w:lang w:val="fr-FR"/>
        </w:rPr>
        <w:t>el</w:t>
      </w:r>
      <w:r w:rsidR="00132AB7">
        <w:rPr>
          <w:lang w:val="fr-FR"/>
        </w:rPr>
        <w:t xml:space="preserve">.  </w:t>
      </w:r>
      <w:r w:rsidR="00132AB7" w:rsidRPr="006A56DF">
        <w:rPr>
          <w:lang w:val="fr-FR"/>
        </w:rPr>
        <w:t>Co</w:t>
      </w:r>
      <w:r w:rsidRPr="006A56DF">
        <w:rPr>
          <w:lang w:val="fr-FR"/>
        </w:rPr>
        <w:t xml:space="preserve">nformément aux décisions prises </w:t>
      </w:r>
      <w:r w:rsidRPr="00CD3406">
        <w:rPr>
          <w:color w:val="000000"/>
          <w:lang w:val="fr-FR"/>
        </w:rPr>
        <w:t>aux</w:t>
      </w:r>
      <w:r w:rsidRPr="006A56DF">
        <w:rPr>
          <w:lang w:val="fr-FR"/>
        </w:rPr>
        <w:t xml:space="preserve"> trente</w:t>
      </w:r>
      <w:r w:rsidR="00132AB7">
        <w:rPr>
          <w:lang w:val="fr-FR"/>
        </w:rPr>
        <w:noBreakHyphen/>
      </w:r>
      <w:r w:rsidRPr="006A56DF">
        <w:rPr>
          <w:lang w:val="fr-FR"/>
        </w:rPr>
        <w:t>septième</w:t>
      </w:r>
      <w:r w:rsidRPr="00CD3406">
        <w:rPr>
          <w:color w:val="000000"/>
          <w:lang w:val="fr-FR"/>
        </w:rPr>
        <w:t xml:space="preserve"> et trente</w:t>
      </w:r>
      <w:r w:rsidR="00132AB7">
        <w:rPr>
          <w:color w:val="000000"/>
          <w:lang w:val="fr-FR"/>
        </w:rPr>
        <w:noBreakHyphen/>
      </w:r>
      <w:r w:rsidRPr="00CD3406">
        <w:rPr>
          <w:color w:val="000000"/>
          <w:lang w:val="fr-FR"/>
        </w:rPr>
        <w:t>huit</w:t>
      </w:r>
      <w:r w:rsidR="00A66AB7">
        <w:rPr>
          <w:color w:val="000000"/>
          <w:lang w:val="fr-FR"/>
        </w:rPr>
        <w:t>ième session</w:t>
      </w:r>
      <w:r w:rsidRPr="00CD3406">
        <w:rPr>
          <w:color w:val="000000"/>
          <w:lang w:val="fr-FR"/>
        </w:rPr>
        <w:t>s</w:t>
      </w:r>
      <w:r w:rsidRPr="006A56DF">
        <w:rPr>
          <w:lang w:val="fr-FR"/>
        </w:rPr>
        <w:t xml:space="preserve"> de l</w:t>
      </w:r>
      <w:r w:rsidR="00A66AB7">
        <w:rPr>
          <w:lang w:val="fr-FR"/>
        </w:rPr>
        <w:t>’</w:t>
      </w:r>
      <w:proofErr w:type="spellStart"/>
      <w:r w:rsidRPr="006A56DF">
        <w:rPr>
          <w:lang w:val="fr-FR"/>
        </w:rPr>
        <w:t>IGC</w:t>
      </w:r>
      <w:proofErr w:type="spellEnd"/>
      <w:r w:rsidRPr="006A56DF">
        <w:rPr>
          <w:lang w:val="fr-FR"/>
        </w:rPr>
        <w:t xml:space="preserve">, les experts invités à participer à la réunion figurent sur la liste des participants de la réunion (document </w:t>
      </w:r>
      <w:proofErr w:type="spellStart"/>
      <w:r w:rsidRPr="006A56DF">
        <w:rPr>
          <w:lang w:val="fr-FR"/>
        </w:rPr>
        <w:t>WIPO</w:t>
      </w:r>
      <w:proofErr w:type="spellEnd"/>
      <w:r w:rsidRPr="006A56DF">
        <w:rPr>
          <w:lang w:val="fr-FR"/>
        </w:rPr>
        <w:t>/</w:t>
      </w:r>
      <w:proofErr w:type="spellStart"/>
      <w:r w:rsidRPr="006A56DF">
        <w:rPr>
          <w:lang w:val="fr-FR"/>
        </w:rPr>
        <w:t>EXP</w:t>
      </w:r>
      <w:proofErr w:type="spellEnd"/>
      <w:r w:rsidRPr="006A56DF">
        <w:rPr>
          <w:lang w:val="fr-FR"/>
        </w:rPr>
        <w:t>/</w:t>
      </w:r>
      <w:proofErr w:type="spellStart"/>
      <w:r w:rsidRPr="006A56DF">
        <w:rPr>
          <w:lang w:val="fr-FR"/>
        </w:rPr>
        <w:t>IPTK</w:t>
      </w:r>
      <w:proofErr w:type="spellEnd"/>
      <w:r w:rsidRPr="006A56DF">
        <w:rPr>
          <w:lang w:val="fr-FR"/>
        </w:rPr>
        <w:t>/GE/19/</w:t>
      </w:r>
      <w:proofErr w:type="spellStart"/>
      <w:r w:rsidRPr="006A56DF">
        <w:rPr>
          <w:lang w:val="fr-FR"/>
        </w:rPr>
        <w:t>INF</w:t>
      </w:r>
      <w:proofErr w:type="spellEnd"/>
      <w:r w:rsidRPr="006A56DF">
        <w:rPr>
          <w:lang w:val="fr-FR"/>
        </w:rPr>
        <w:t>/1).</w:t>
      </w:r>
    </w:p>
    <w:p w:rsidR="00A66AB7" w:rsidRDefault="00CD3406" w:rsidP="00A66AB7">
      <w:pPr>
        <w:pStyle w:val="ONUMFS"/>
        <w:rPr>
          <w:lang w:val="fr-FR"/>
        </w:rPr>
      </w:pPr>
      <w:r w:rsidRPr="006A56DF">
        <w:rPr>
          <w:lang w:val="fr-FR"/>
        </w:rPr>
        <w:t>Il est proposé d</w:t>
      </w:r>
      <w:r w:rsidR="00A66AB7">
        <w:rPr>
          <w:lang w:val="fr-FR"/>
        </w:rPr>
        <w:t>’</w:t>
      </w:r>
      <w:r w:rsidRPr="006A56DF">
        <w:rPr>
          <w:lang w:val="fr-FR"/>
        </w:rPr>
        <w:t>appliquer pour la réunion la règle de Chatham House, selon laquelle “les participants sont libres d</w:t>
      </w:r>
      <w:r w:rsidR="00A66AB7">
        <w:rPr>
          <w:lang w:val="fr-FR"/>
        </w:rPr>
        <w:t>’</w:t>
      </w:r>
      <w:r w:rsidRPr="006A56DF">
        <w:rPr>
          <w:lang w:val="fr-FR"/>
        </w:rPr>
        <w:t>utiliser les informations reçues, mais ils ne doivent révéler ni l</w:t>
      </w:r>
      <w:r w:rsidR="00A66AB7">
        <w:rPr>
          <w:lang w:val="fr-FR"/>
        </w:rPr>
        <w:t>’</w:t>
      </w:r>
      <w:r w:rsidRPr="006A56DF">
        <w:rPr>
          <w:lang w:val="fr-FR"/>
        </w:rPr>
        <w:t>identité ni l</w:t>
      </w:r>
      <w:r w:rsidR="00A66AB7">
        <w:rPr>
          <w:lang w:val="fr-FR"/>
        </w:rPr>
        <w:t>’</w:t>
      </w:r>
      <w:r w:rsidRPr="006A56DF">
        <w:rPr>
          <w:lang w:val="fr-FR"/>
        </w:rPr>
        <w:t>affiliation des conférenciers, de même qu</w:t>
      </w:r>
      <w:r w:rsidR="00A66AB7">
        <w:rPr>
          <w:lang w:val="fr-FR"/>
        </w:rPr>
        <w:t>’</w:t>
      </w:r>
      <w:r w:rsidRPr="006A56DF">
        <w:rPr>
          <w:lang w:val="fr-FR"/>
        </w:rPr>
        <w:t>ils ne doivent pas révéler l</w:t>
      </w:r>
      <w:r w:rsidR="00A66AB7">
        <w:rPr>
          <w:lang w:val="fr-FR"/>
        </w:rPr>
        <w:t>’</w:t>
      </w:r>
      <w:r w:rsidRPr="006A56DF">
        <w:rPr>
          <w:lang w:val="fr-FR"/>
        </w:rPr>
        <w:t>identité des autres participants”.</w:t>
      </w:r>
    </w:p>
    <w:p w:rsidR="00A66AB7" w:rsidRDefault="00CD3406" w:rsidP="00A66AB7">
      <w:pPr>
        <w:pStyle w:val="ONUMFS"/>
        <w:rPr>
          <w:lang w:val="fr-FR"/>
        </w:rPr>
      </w:pPr>
      <w:r w:rsidRPr="006A56DF">
        <w:rPr>
          <w:lang w:val="fr-FR"/>
        </w:rPr>
        <w:t>Tous les participants sont priés de respecter le caractère officieux des travaux du groupe et de s</w:t>
      </w:r>
      <w:r w:rsidR="00A66AB7">
        <w:rPr>
          <w:lang w:val="fr-FR"/>
        </w:rPr>
        <w:t>’</w:t>
      </w:r>
      <w:r w:rsidRPr="006A56DF">
        <w:rPr>
          <w:lang w:val="fr-FR"/>
        </w:rPr>
        <w:t>abstenir de divulguer au public, que ce soit “en direct” ou à tout moment ultérieur, le contenu ou la nature des discussions qui ont lieu durant les travaux du groupe, ni en termes généraux ni en citant les propos d</w:t>
      </w:r>
      <w:r w:rsidR="00A66AB7">
        <w:rPr>
          <w:lang w:val="fr-FR"/>
        </w:rPr>
        <w:t>’</w:t>
      </w:r>
      <w:r w:rsidRPr="006A56DF">
        <w:rPr>
          <w:lang w:val="fr-FR"/>
        </w:rPr>
        <w:t>un expert en particulier.</w:t>
      </w:r>
    </w:p>
    <w:p w:rsidR="006A56DF" w:rsidRDefault="00CD3406" w:rsidP="00A66AB7">
      <w:pPr>
        <w:pStyle w:val="ONUMFS"/>
        <w:rPr>
          <w:lang w:val="fr-FR"/>
        </w:rPr>
      </w:pPr>
      <w:r w:rsidRPr="006A56DF">
        <w:rPr>
          <w:lang w:val="fr-FR"/>
        </w:rPr>
        <w:lastRenderedPageBreak/>
        <w:t xml:space="preserve">Conformément aux décisions prises </w:t>
      </w:r>
      <w:r w:rsidRPr="00CD3406">
        <w:rPr>
          <w:color w:val="000000"/>
          <w:lang w:val="fr-FR"/>
        </w:rPr>
        <w:t>aux</w:t>
      </w:r>
      <w:r w:rsidRPr="006A56DF">
        <w:rPr>
          <w:lang w:val="fr-FR"/>
        </w:rPr>
        <w:t xml:space="preserve"> trente</w:t>
      </w:r>
      <w:r w:rsidR="00132AB7">
        <w:rPr>
          <w:lang w:val="fr-FR"/>
        </w:rPr>
        <w:noBreakHyphen/>
      </w:r>
      <w:r w:rsidRPr="006A56DF">
        <w:rPr>
          <w:lang w:val="fr-FR"/>
        </w:rPr>
        <w:t xml:space="preserve">septième </w:t>
      </w:r>
      <w:r w:rsidRPr="00CD3406">
        <w:rPr>
          <w:color w:val="000000"/>
          <w:lang w:val="fr-FR"/>
        </w:rPr>
        <w:t>et trente</w:t>
      </w:r>
      <w:r w:rsidR="00132AB7">
        <w:rPr>
          <w:color w:val="000000"/>
          <w:lang w:val="fr-FR"/>
        </w:rPr>
        <w:noBreakHyphen/>
      </w:r>
      <w:r w:rsidRPr="00CD3406">
        <w:rPr>
          <w:color w:val="000000"/>
          <w:lang w:val="fr-FR"/>
        </w:rPr>
        <w:t>huit</w:t>
      </w:r>
      <w:r w:rsidR="00A66AB7">
        <w:rPr>
          <w:color w:val="000000"/>
          <w:lang w:val="fr-FR"/>
        </w:rPr>
        <w:t>ième session</w:t>
      </w:r>
      <w:r w:rsidRPr="00CD3406">
        <w:rPr>
          <w:color w:val="000000"/>
          <w:lang w:val="fr-FR"/>
        </w:rPr>
        <w:t>s</w:t>
      </w:r>
      <w:r w:rsidRPr="006A56DF">
        <w:rPr>
          <w:lang w:val="fr-FR"/>
        </w:rPr>
        <w:t xml:space="preserve"> de l</w:t>
      </w:r>
      <w:r w:rsidR="00A66AB7">
        <w:rPr>
          <w:lang w:val="fr-FR"/>
        </w:rPr>
        <w:t>’</w:t>
      </w:r>
      <w:proofErr w:type="spellStart"/>
      <w:r w:rsidRPr="006A56DF">
        <w:rPr>
          <w:lang w:val="fr-FR"/>
        </w:rPr>
        <w:t>IGC</w:t>
      </w:r>
      <w:proofErr w:type="spellEnd"/>
      <w:r w:rsidRPr="006A56DF">
        <w:rPr>
          <w:lang w:val="fr-FR"/>
        </w:rPr>
        <w:t>, le Secrétariat de l</w:t>
      </w:r>
      <w:r w:rsidR="00A66AB7">
        <w:rPr>
          <w:lang w:val="fr-FR"/>
        </w:rPr>
        <w:t>’</w:t>
      </w:r>
      <w:r w:rsidRPr="006A56DF">
        <w:rPr>
          <w:lang w:val="fr-FR"/>
        </w:rPr>
        <w:t>OMPI a invité trois</w:t>
      </w:r>
      <w:r w:rsidR="00DC721A">
        <w:rPr>
          <w:lang w:val="fr-FR"/>
        </w:rPr>
        <w:t> </w:t>
      </w:r>
      <w:r w:rsidRPr="006A56DF">
        <w:rPr>
          <w:lang w:val="fr-FR"/>
        </w:rPr>
        <w:t>experts à participer, à titre personnel, à la réunion</w:t>
      </w:r>
      <w:r w:rsidR="00A66AB7">
        <w:rPr>
          <w:lang w:val="fr-FR"/>
        </w:rPr>
        <w:t> :</w:t>
      </w:r>
    </w:p>
    <w:p w:rsidR="006A56DF" w:rsidRDefault="00CD3406" w:rsidP="00A66AB7">
      <w:pPr>
        <w:pStyle w:val="ListParagraph"/>
        <w:numPr>
          <w:ilvl w:val="0"/>
          <w:numId w:val="12"/>
        </w:numPr>
        <w:ind w:left="1134" w:hanging="567"/>
        <w:rPr>
          <w:szCs w:val="22"/>
          <w:lang w:val="fr-FR"/>
        </w:rPr>
      </w:pPr>
      <w:r w:rsidRPr="006A56DF">
        <w:rPr>
          <w:szCs w:val="22"/>
          <w:lang w:val="fr-FR"/>
        </w:rPr>
        <w:t>Mme</w:t>
      </w:r>
      <w:r w:rsidR="00E70D34">
        <w:rPr>
          <w:szCs w:val="22"/>
          <w:lang w:val="fr-FR"/>
        </w:rPr>
        <w:t> </w:t>
      </w:r>
      <w:r w:rsidRPr="006A56DF">
        <w:rPr>
          <w:szCs w:val="22"/>
          <w:lang w:val="fr-FR"/>
        </w:rPr>
        <w:t>Sharon Le Gall, maître de conférences, faculté de droit, Université des Antilles, St</w:t>
      </w:r>
      <w:r w:rsidR="00A66AB7">
        <w:rPr>
          <w:szCs w:val="22"/>
          <w:lang w:val="fr-FR"/>
        </w:rPr>
        <w:t> </w:t>
      </w:r>
      <w:r w:rsidRPr="006A56DF">
        <w:rPr>
          <w:szCs w:val="22"/>
          <w:lang w:val="fr-FR"/>
        </w:rPr>
        <w:t>Augustine (Trinité</w:t>
      </w:r>
      <w:r w:rsidR="00132AB7">
        <w:rPr>
          <w:szCs w:val="22"/>
          <w:lang w:val="fr-FR"/>
        </w:rPr>
        <w:noBreakHyphen/>
      </w:r>
      <w:r w:rsidRPr="006A56DF">
        <w:rPr>
          <w:szCs w:val="22"/>
          <w:lang w:val="fr-FR"/>
        </w:rPr>
        <w:t>et</w:t>
      </w:r>
      <w:r w:rsidR="00132AB7">
        <w:rPr>
          <w:szCs w:val="22"/>
          <w:lang w:val="fr-FR"/>
        </w:rPr>
        <w:noBreakHyphen/>
      </w:r>
      <w:r w:rsidRPr="006A56DF">
        <w:rPr>
          <w:szCs w:val="22"/>
          <w:lang w:val="fr-FR"/>
        </w:rPr>
        <w:t>Tobago);</w:t>
      </w:r>
    </w:p>
    <w:p w:rsidR="006A56DF" w:rsidRDefault="00CD3406" w:rsidP="00A66AB7">
      <w:pPr>
        <w:pStyle w:val="ListParagraph"/>
        <w:numPr>
          <w:ilvl w:val="0"/>
          <w:numId w:val="12"/>
        </w:numPr>
        <w:ind w:left="1134" w:hanging="567"/>
        <w:rPr>
          <w:szCs w:val="22"/>
          <w:lang w:val="fr-FR"/>
        </w:rPr>
      </w:pPr>
      <w:r w:rsidRPr="006A56DF">
        <w:rPr>
          <w:szCs w:val="22"/>
          <w:lang w:val="fr-FR"/>
        </w:rPr>
        <w:t>Mme</w:t>
      </w:r>
      <w:r w:rsidR="00E70D34">
        <w:rPr>
          <w:szCs w:val="22"/>
          <w:lang w:val="fr-FR"/>
        </w:rPr>
        <w:t> </w:t>
      </w:r>
      <w:r w:rsidRPr="006A56DF">
        <w:rPr>
          <w:szCs w:val="22"/>
          <w:lang w:val="fr-FR"/>
        </w:rPr>
        <w:t>Harriet Deacon, chargée de recherche invité</w:t>
      </w:r>
      <w:r w:rsidRPr="00CD3406">
        <w:rPr>
          <w:color w:val="000000"/>
          <w:szCs w:val="22"/>
          <w:lang w:val="fr-FR"/>
        </w:rPr>
        <w:t>e</w:t>
      </w:r>
      <w:r w:rsidRPr="006A56DF">
        <w:rPr>
          <w:szCs w:val="22"/>
          <w:lang w:val="fr-FR"/>
        </w:rPr>
        <w:t xml:space="preserve">, </w:t>
      </w:r>
      <w:proofErr w:type="spellStart"/>
      <w:r w:rsidRPr="006A56DF">
        <w:rPr>
          <w:szCs w:val="22"/>
          <w:lang w:val="fr-FR"/>
        </w:rPr>
        <w:t>Universit</w:t>
      </w:r>
      <w:r w:rsidRPr="00CD3406">
        <w:rPr>
          <w:color w:val="000000"/>
          <w:szCs w:val="22"/>
          <w:lang w:val="fr-FR"/>
        </w:rPr>
        <w:t>y</w:t>
      </w:r>
      <w:proofErr w:type="spellEnd"/>
      <w:r w:rsidRPr="00CD3406">
        <w:rPr>
          <w:color w:val="000000"/>
          <w:szCs w:val="22"/>
          <w:lang w:val="fr-FR"/>
        </w:rPr>
        <w:t xml:space="preserve"> of</w:t>
      </w:r>
      <w:r w:rsidRPr="006A56DF">
        <w:rPr>
          <w:szCs w:val="22"/>
          <w:lang w:val="fr-FR"/>
        </w:rPr>
        <w:t xml:space="preserve"> Coventry (Royaume</w:t>
      </w:r>
      <w:r w:rsidR="00132AB7">
        <w:rPr>
          <w:szCs w:val="22"/>
          <w:lang w:val="fr-FR"/>
        </w:rPr>
        <w:noBreakHyphen/>
      </w:r>
      <w:r w:rsidRPr="006A56DF">
        <w:rPr>
          <w:szCs w:val="22"/>
          <w:lang w:val="fr-FR"/>
        </w:rPr>
        <w:t>Uni</w:t>
      </w:r>
      <w:proofErr w:type="gramStart"/>
      <w:r w:rsidRPr="006A56DF">
        <w:rPr>
          <w:szCs w:val="22"/>
          <w:lang w:val="fr-FR"/>
        </w:rPr>
        <w:t>);</w:t>
      </w:r>
      <w:r w:rsidRPr="00132AB7">
        <w:rPr>
          <w:lang w:val="fr-FR"/>
        </w:rPr>
        <w:t xml:space="preserve"> </w:t>
      </w:r>
      <w:r w:rsidRPr="006A56DF">
        <w:rPr>
          <w:szCs w:val="22"/>
          <w:lang w:val="fr-FR"/>
        </w:rPr>
        <w:t xml:space="preserve"> et</w:t>
      </w:r>
      <w:proofErr w:type="gramEnd"/>
    </w:p>
    <w:p w:rsidR="006A56DF" w:rsidRDefault="00CD3406" w:rsidP="00A66AB7">
      <w:pPr>
        <w:pStyle w:val="ListParagraph"/>
        <w:numPr>
          <w:ilvl w:val="0"/>
          <w:numId w:val="12"/>
        </w:numPr>
        <w:ind w:left="1134" w:hanging="567"/>
        <w:rPr>
          <w:szCs w:val="22"/>
          <w:lang w:val="fr-FR"/>
        </w:rPr>
      </w:pPr>
      <w:r w:rsidRPr="006A56DF">
        <w:rPr>
          <w:szCs w:val="22"/>
          <w:lang w:val="fr-FR"/>
        </w:rPr>
        <w:t>M.</w:t>
      </w:r>
      <w:r w:rsidR="00E70D34">
        <w:rPr>
          <w:szCs w:val="22"/>
          <w:lang w:val="fr-FR"/>
        </w:rPr>
        <w:t> </w:t>
      </w:r>
      <w:proofErr w:type="spellStart"/>
      <w:r w:rsidRPr="006A56DF">
        <w:rPr>
          <w:szCs w:val="22"/>
          <w:lang w:val="fr-FR"/>
        </w:rPr>
        <w:t>Dominic</w:t>
      </w:r>
      <w:proofErr w:type="spellEnd"/>
      <w:r w:rsidR="00E70D34">
        <w:rPr>
          <w:szCs w:val="22"/>
          <w:lang w:val="fr-FR"/>
        </w:rPr>
        <w:t> </w:t>
      </w:r>
      <w:proofErr w:type="spellStart"/>
      <w:r w:rsidRPr="006A56DF">
        <w:rPr>
          <w:szCs w:val="22"/>
          <w:lang w:val="fr-FR"/>
        </w:rPr>
        <w:t>Muyldermans</w:t>
      </w:r>
      <w:proofErr w:type="spellEnd"/>
      <w:r w:rsidRPr="006A56DF">
        <w:rPr>
          <w:szCs w:val="22"/>
          <w:lang w:val="fr-FR"/>
        </w:rPr>
        <w:t xml:space="preserve">, conseiller juridique principal, </w:t>
      </w:r>
      <w:proofErr w:type="spellStart"/>
      <w:r w:rsidRPr="006A56DF">
        <w:rPr>
          <w:szCs w:val="22"/>
          <w:lang w:val="fr-FR"/>
        </w:rPr>
        <w:t>CropLife</w:t>
      </w:r>
      <w:proofErr w:type="spellEnd"/>
      <w:r w:rsidRPr="006A56DF">
        <w:rPr>
          <w:szCs w:val="22"/>
          <w:lang w:val="fr-FR"/>
        </w:rPr>
        <w:t xml:space="preserve"> International</w:t>
      </w:r>
      <w:r w:rsidR="003E67CC">
        <w:rPr>
          <w:szCs w:val="22"/>
          <w:lang w:val="fr-FR"/>
        </w:rPr>
        <w:t>.</w:t>
      </w:r>
    </w:p>
    <w:p w:rsidR="006A56DF" w:rsidRDefault="00CD3406" w:rsidP="00A66AB7">
      <w:pPr>
        <w:pStyle w:val="Heading1"/>
        <w:rPr>
          <w:lang w:val="fr-FR"/>
        </w:rPr>
      </w:pPr>
      <w:r w:rsidRPr="006A56DF">
        <w:rPr>
          <w:lang w:val="fr-FR"/>
        </w:rPr>
        <w:t>Coprésidents</w:t>
      </w:r>
    </w:p>
    <w:p w:rsidR="006A56DF" w:rsidRDefault="006A56DF" w:rsidP="000D4BD5">
      <w:pPr>
        <w:rPr>
          <w:lang w:val="fr-FR"/>
        </w:rPr>
      </w:pPr>
    </w:p>
    <w:p w:rsidR="00A66AB7" w:rsidRDefault="006A56DF" w:rsidP="00A66AB7">
      <w:pPr>
        <w:pStyle w:val="ONUMFS"/>
        <w:rPr>
          <w:lang w:val="fr-FR"/>
        </w:rPr>
      </w:pPr>
      <w:r w:rsidRPr="006A56DF">
        <w:rPr>
          <w:lang w:val="fr-FR"/>
        </w:rPr>
        <w:t xml:space="preserve">Conformément aux décisions </w:t>
      </w:r>
      <w:r w:rsidRPr="006A56DF">
        <w:rPr>
          <w:color w:val="000000"/>
          <w:lang w:val="fr-FR"/>
        </w:rPr>
        <w:t xml:space="preserve">prises aux </w:t>
      </w:r>
      <w:r w:rsidRPr="006A56DF">
        <w:rPr>
          <w:lang w:val="fr-FR"/>
        </w:rPr>
        <w:t>trente</w:t>
      </w:r>
      <w:r w:rsidR="00132AB7">
        <w:rPr>
          <w:lang w:val="fr-FR"/>
        </w:rPr>
        <w:noBreakHyphen/>
      </w:r>
      <w:r w:rsidRPr="006A56DF">
        <w:rPr>
          <w:lang w:val="fr-FR"/>
        </w:rPr>
        <w:t>septième et trente</w:t>
      </w:r>
      <w:r w:rsidR="00132AB7">
        <w:rPr>
          <w:lang w:val="fr-FR"/>
        </w:rPr>
        <w:noBreakHyphen/>
      </w:r>
      <w:r w:rsidRPr="006A56DF">
        <w:rPr>
          <w:lang w:val="fr-FR"/>
        </w:rPr>
        <w:t>huit</w:t>
      </w:r>
      <w:r w:rsidR="00A66AB7">
        <w:rPr>
          <w:lang w:val="fr-FR"/>
        </w:rPr>
        <w:t>ième session</w:t>
      </w:r>
      <w:r w:rsidRPr="006A56DF">
        <w:rPr>
          <w:lang w:val="fr-FR"/>
        </w:rPr>
        <w:t>s de l</w:t>
      </w:r>
      <w:r w:rsidR="00A66AB7">
        <w:rPr>
          <w:lang w:val="fr-FR"/>
        </w:rPr>
        <w:t>’</w:t>
      </w:r>
      <w:proofErr w:type="spellStart"/>
      <w:r w:rsidRPr="006A56DF">
        <w:rPr>
          <w:lang w:val="fr-FR"/>
        </w:rPr>
        <w:t>IGC</w:t>
      </w:r>
      <w:proofErr w:type="spellEnd"/>
      <w:r w:rsidRPr="006A56DF">
        <w:rPr>
          <w:lang w:val="fr-FR"/>
        </w:rPr>
        <w:t xml:space="preserve">, </w:t>
      </w:r>
      <w:r w:rsidRPr="006A56DF">
        <w:rPr>
          <w:color w:val="000000"/>
          <w:lang w:val="fr-FR"/>
        </w:rPr>
        <w:t>l</w:t>
      </w:r>
      <w:r w:rsidRPr="006A56DF">
        <w:rPr>
          <w:lang w:val="fr-FR"/>
        </w:rPr>
        <w:t>e président de l</w:t>
      </w:r>
      <w:r w:rsidR="00A66AB7">
        <w:rPr>
          <w:lang w:val="fr-FR"/>
        </w:rPr>
        <w:t>’</w:t>
      </w:r>
      <w:proofErr w:type="spellStart"/>
      <w:r w:rsidRPr="006A56DF">
        <w:rPr>
          <w:lang w:val="fr-FR"/>
        </w:rPr>
        <w:t>IGC</w:t>
      </w:r>
      <w:proofErr w:type="spellEnd"/>
      <w:r w:rsidRPr="006A56DF">
        <w:rPr>
          <w:lang w:val="fr-FR"/>
        </w:rPr>
        <w:t>, M</w:t>
      </w:r>
      <w:r w:rsidRPr="00132AB7">
        <w:rPr>
          <w:lang w:val="fr-FR"/>
        </w:rPr>
        <w:t>.</w:t>
      </w:r>
      <w:r w:rsidR="00E70D34">
        <w:rPr>
          <w:lang w:val="fr-FR"/>
        </w:rPr>
        <w:t> </w:t>
      </w:r>
      <w:r w:rsidRPr="006A56DF">
        <w:rPr>
          <w:lang w:val="fr-FR"/>
        </w:rPr>
        <w:t>Ian</w:t>
      </w:r>
      <w:r w:rsidR="00E70D34">
        <w:rPr>
          <w:lang w:val="fr-FR"/>
        </w:rPr>
        <w:t> </w:t>
      </w:r>
      <w:proofErr w:type="spellStart"/>
      <w:r w:rsidRPr="006A56DF">
        <w:rPr>
          <w:lang w:val="fr-FR"/>
        </w:rPr>
        <w:t>Goss</w:t>
      </w:r>
      <w:proofErr w:type="spellEnd"/>
      <w:r w:rsidRPr="006A56DF">
        <w:rPr>
          <w:lang w:val="fr-FR"/>
        </w:rPr>
        <w:t xml:space="preserve"> (Australie)</w:t>
      </w:r>
      <w:r w:rsidRPr="006A56DF">
        <w:rPr>
          <w:color w:val="000000"/>
          <w:lang w:val="fr-FR"/>
        </w:rPr>
        <w:t>,</w:t>
      </w:r>
      <w:r w:rsidRPr="006A56DF">
        <w:rPr>
          <w:lang w:val="fr-FR"/>
        </w:rPr>
        <w:t xml:space="preserve"> a </w:t>
      </w:r>
      <w:r w:rsidRPr="006A56DF">
        <w:rPr>
          <w:color w:val="000000"/>
          <w:lang w:val="fr-FR"/>
        </w:rPr>
        <w:t xml:space="preserve">nommé </w:t>
      </w:r>
      <w:r w:rsidRPr="006A56DF">
        <w:rPr>
          <w:lang w:val="fr-FR"/>
        </w:rPr>
        <w:t xml:space="preserve">coprésidents du </w:t>
      </w:r>
      <w:r w:rsidRPr="006A56DF">
        <w:rPr>
          <w:color w:val="000000"/>
          <w:lang w:val="fr-FR"/>
        </w:rPr>
        <w:t>g</w:t>
      </w:r>
      <w:r w:rsidRPr="006A56DF">
        <w:rPr>
          <w:lang w:val="fr-FR"/>
        </w:rPr>
        <w:t>roupe spécial d</w:t>
      </w:r>
      <w:r w:rsidR="00A66AB7">
        <w:rPr>
          <w:lang w:val="fr-FR"/>
        </w:rPr>
        <w:t>’</w:t>
      </w:r>
      <w:r w:rsidRPr="006A56DF">
        <w:rPr>
          <w:lang w:val="fr-FR"/>
        </w:rPr>
        <w:t>experts</w:t>
      </w:r>
      <w:r w:rsidRPr="006A56DF">
        <w:rPr>
          <w:color w:val="000000"/>
          <w:lang w:val="fr-FR"/>
        </w:rPr>
        <w:t xml:space="preserve"> </w:t>
      </w:r>
      <w:r w:rsidRPr="006A56DF">
        <w:rPr>
          <w:lang w:val="fr-FR"/>
        </w:rPr>
        <w:t>Mme</w:t>
      </w:r>
      <w:r w:rsidR="00E70D34">
        <w:rPr>
          <w:lang w:val="fr-FR"/>
        </w:rPr>
        <w:t> </w:t>
      </w:r>
      <w:r w:rsidRPr="006A56DF">
        <w:rPr>
          <w:lang w:val="fr-FR"/>
        </w:rPr>
        <w:t>Sharon Le Gall et M</w:t>
      </w:r>
      <w:r w:rsidRPr="00132AB7">
        <w:rPr>
          <w:lang w:val="fr-FR"/>
        </w:rPr>
        <w:t>.</w:t>
      </w:r>
      <w:r w:rsidR="00E70D34">
        <w:rPr>
          <w:lang w:val="fr-FR"/>
        </w:rPr>
        <w:t> </w:t>
      </w:r>
      <w:proofErr w:type="spellStart"/>
      <w:r w:rsidRPr="006A56DF">
        <w:rPr>
          <w:lang w:val="fr-FR"/>
        </w:rPr>
        <w:t>Chidi</w:t>
      </w:r>
      <w:proofErr w:type="spellEnd"/>
      <w:r w:rsidRPr="006A56DF">
        <w:rPr>
          <w:lang w:val="fr-FR"/>
        </w:rPr>
        <w:t xml:space="preserve"> </w:t>
      </w:r>
      <w:proofErr w:type="spellStart"/>
      <w:r w:rsidRPr="006A56DF">
        <w:rPr>
          <w:lang w:val="fr-FR"/>
        </w:rPr>
        <w:t>Oguamanam</w:t>
      </w:r>
      <w:proofErr w:type="spellEnd"/>
      <w:r w:rsidRPr="006A56DF">
        <w:rPr>
          <w:lang w:val="fr-FR"/>
        </w:rPr>
        <w:t xml:space="preserve"> (professeur de droit, Université d</w:t>
      </w:r>
      <w:r w:rsidR="00A66AB7">
        <w:rPr>
          <w:lang w:val="fr-FR"/>
        </w:rPr>
        <w:t>’</w:t>
      </w:r>
      <w:r w:rsidRPr="006A56DF">
        <w:rPr>
          <w:lang w:val="fr-FR"/>
        </w:rPr>
        <w:t>Ottawa (Canada)</w:t>
      </w:r>
      <w:r w:rsidR="00E70D34">
        <w:rPr>
          <w:lang w:val="fr-FR"/>
        </w:rPr>
        <w:t>).</w:t>
      </w:r>
      <w:r w:rsidR="000D4BD5" w:rsidRPr="003273FE">
        <w:rPr>
          <w:lang w:val="fr-FR"/>
        </w:rPr>
        <w:t xml:space="preserve">  </w:t>
      </w:r>
      <w:r w:rsidRPr="006A56DF">
        <w:rPr>
          <w:lang w:val="fr-FR"/>
        </w:rPr>
        <w:t>Mme</w:t>
      </w:r>
      <w:r w:rsidR="00DC721A">
        <w:rPr>
          <w:lang w:val="fr-FR"/>
        </w:rPr>
        <w:t> </w:t>
      </w:r>
      <w:r w:rsidR="00E70D34">
        <w:rPr>
          <w:lang w:val="fr-FR"/>
        </w:rPr>
        <w:t>Le G</w:t>
      </w:r>
      <w:r w:rsidRPr="006A56DF">
        <w:rPr>
          <w:lang w:val="fr-FR"/>
        </w:rPr>
        <w:t>all</w:t>
      </w:r>
      <w:r w:rsidRPr="006A56DF">
        <w:rPr>
          <w:color w:val="000000"/>
          <w:lang w:val="fr-FR"/>
        </w:rPr>
        <w:t xml:space="preserve"> fait partie </w:t>
      </w:r>
      <w:r w:rsidRPr="006A56DF">
        <w:rPr>
          <w:lang w:val="fr-FR"/>
        </w:rPr>
        <w:t xml:space="preserve">des experts désignés par </w:t>
      </w:r>
      <w:r w:rsidRPr="006A56DF">
        <w:rPr>
          <w:color w:val="000000"/>
          <w:lang w:val="fr-FR"/>
        </w:rPr>
        <w:t>l</w:t>
      </w:r>
      <w:r w:rsidRPr="006A56DF">
        <w:rPr>
          <w:lang w:val="fr-FR"/>
        </w:rPr>
        <w:t>e Secrétariat de l</w:t>
      </w:r>
      <w:r w:rsidR="00A66AB7">
        <w:rPr>
          <w:lang w:val="fr-FR"/>
        </w:rPr>
        <w:t>’</w:t>
      </w:r>
      <w:r w:rsidRPr="006A56DF">
        <w:rPr>
          <w:lang w:val="fr-FR"/>
        </w:rPr>
        <w:t>OMPI et M</w:t>
      </w:r>
      <w:r w:rsidRPr="00132AB7">
        <w:rPr>
          <w:lang w:val="fr-FR"/>
        </w:rPr>
        <w:t>.</w:t>
      </w:r>
      <w:r w:rsidR="00E70D34">
        <w:rPr>
          <w:lang w:val="fr-FR"/>
        </w:rPr>
        <w:t> </w:t>
      </w:r>
      <w:proofErr w:type="spellStart"/>
      <w:r w:rsidRPr="006A56DF">
        <w:rPr>
          <w:lang w:val="fr-FR"/>
        </w:rPr>
        <w:t>Oguamanam</w:t>
      </w:r>
      <w:proofErr w:type="spellEnd"/>
      <w:r w:rsidRPr="006A56DF">
        <w:rPr>
          <w:color w:val="000000"/>
          <w:lang w:val="fr-FR"/>
        </w:rPr>
        <w:t xml:space="preserve"> </w:t>
      </w:r>
      <w:r w:rsidRPr="006A56DF">
        <w:rPr>
          <w:lang w:val="fr-FR"/>
        </w:rPr>
        <w:t xml:space="preserve">des experts désignés par </w:t>
      </w:r>
      <w:r w:rsidRPr="006A56DF">
        <w:rPr>
          <w:color w:val="000000"/>
          <w:lang w:val="fr-FR"/>
        </w:rPr>
        <w:t>l</w:t>
      </w:r>
      <w:r w:rsidRPr="006A56DF">
        <w:rPr>
          <w:lang w:val="fr-FR"/>
        </w:rPr>
        <w:t>e groupe des pays africains.</w:t>
      </w:r>
    </w:p>
    <w:p w:rsidR="00A66AB7" w:rsidRDefault="006A56DF" w:rsidP="00A66AB7">
      <w:pPr>
        <w:pStyle w:val="ONUMFS"/>
        <w:rPr>
          <w:lang w:val="fr-FR"/>
        </w:rPr>
      </w:pPr>
      <w:r w:rsidRPr="006A56DF">
        <w:rPr>
          <w:lang w:val="fr-FR"/>
        </w:rPr>
        <w:t>Mme</w:t>
      </w:r>
      <w:r w:rsidR="00DC721A">
        <w:rPr>
          <w:lang w:val="fr-FR"/>
        </w:rPr>
        <w:t> </w:t>
      </w:r>
      <w:r w:rsidRPr="006A56DF">
        <w:rPr>
          <w:color w:val="000000"/>
          <w:lang w:val="fr-FR"/>
        </w:rPr>
        <w:t>Le Gall et M.</w:t>
      </w:r>
      <w:r w:rsidR="00E70D34">
        <w:rPr>
          <w:color w:val="000000"/>
          <w:lang w:val="fr-FR"/>
        </w:rPr>
        <w:t> </w:t>
      </w:r>
      <w:proofErr w:type="spellStart"/>
      <w:r w:rsidRPr="006A56DF">
        <w:rPr>
          <w:lang w:val="fr-FR"/>
        </w:rPr>
        <w:t>O</w:t>
      </w:r>
      <w:r w:rsidRPr="006A56DF">
        <w:rPr>
          <w:color w:val="000000"/>
          <w:lang w:val="fr-FR"/>
        </w:rPr>
        <w:t>guamanam</w:t>
      </w:r>
      <w:proofErr w:type="spellEnd"/>
      <w:r w:rsidRPr="006A56DF">
        <w:rPr>
          <w:lang w:val="fr-FR"/>
        </w:rPr>
        <w:t xml:space="preserve"> coprésideront le groupe spécial d</w:t>
      </w:r>
      <w:r w:rsidR="00A66AB7">
        <w:rPr>
          <w:lang w:val="fr-FR"/>
        </w:rPr>
        <w:t>’</w:t>
      </w:r>
      <w:r w:rsidRPr="006A56DF">
        <w:rPr>
          <w:lang w:val="fr-FR"/>
        </w:rPr>
        <w:t>experts, présenteront les questions et animeront les débats.</w:t>
      </w:r>
    </w:p>
    <w:p w:rsidR="006A56DF" w:rsidRDefault="006A56DF" w:rsidP="00A66AB7">
      <w:pPr>
        <w:pStyle w:val="Heading1"/>
        <w:rPr>
          <w:lang w:val="fr-FR"/>
        </w:rPr>
      </w:pPr>
      <w:r w:rsidRPr="006A56DF">
        <w:rPr>
          <w:lang w:val="fr-FR"/>
        </w:rPr>
        <w:t>Compte rendu à l</w:t>
      </w:r>
      <w:r w:rsidR="00A66AB7">
        <w:rPr>
          <w:lang w:val="fr-FR"/>
        </w:rPr>
        <w:t>’</w:t>
      </w:r>
      <w:proofErr w:type="spellStart"/>
      <w:r w:rsidRPr="006A56DF">
        <w:rPr>
          <w:lang w:val="fr-FR"/>
        </w:rPr>
        <w:t>IGC</w:t>
      </w:r>
      <w:proofErr w:type="spellEnd"/>
    </w:p>
    <w:p w:rsidR="006A56DF" w:rsidRDefault="006A56DF" w:rsidP="000D4BD5">
      <w:pPr>
        <w:rPr>
          <w:lang w:val="fr-FR"/>
        </w:rPr>
      </w:pPr>
    </w:p>
    <w:p w:rsidR="006A56DF" w:rsidRDefault="006A56DF" w:rsidP="00A66AB7">
      <w:pPr>
        <w:pStyle w:val="ONUMFS"/>
        <w:rPr>
          <w:lang w:val="fr-FR"/>
        </w:rPr>
      </w:pPr>
      <w:r w:rsidRPr="006A56DF">
        <w:rPr>
          <w:lang w:val="fr-FR"/>
        </w:rPr>
        <w:t>Lors de la trente</w:t>
      </w:r>
      <w:r w:rsidR="00132AB7">
        <w:rPr>
          <w:lang w:val="fr-FR"/>
        </w:rPr>
        <w:noBreakHyphen/>
      </w:r>
      <w:r w:rsidRPr="006A56DF">
        <w:rPr>
          <w:lang w:val="fr-FR"/>
        </w:rPr>
        <w:t>neuv</w:t>
      </w:r>
      <w:r w:rsidR="00A66AB7">
        <w:rPr>
          <w:lang w:val="fr-FR"/>
        </w:rPr>
        <w:t>ième session</w:t>
      </w:r>
      <w:r w:rsidRPr="006A56DF">
        <w:rPr>
          <w:lang w:val="fr-FR"/>
        </w:rPr>
        <w:t xml:space="preserve"> de l</w:t>
      </w:r>
      <w:r w:rsidR="00A66AB7">
        <w:rPr>
          <w:lang w:val="fr-FR"/>
        </w:rPr>
        <w:t>’</w:t>
      </w:r>
      <w:proofErr w:type="spellStart"/>
      <w:r w:rsidRPr="006A56DF">
        <w:rPr>
          <w:lang w:val="fr-FR"/>
        </w:rPr>
        <w:t>IGC</w:t>
      </w:r>
      <w:proofErr w:type="spellEnd"/>
      <w:r w:rsidRPr="006A56DF">
        <w:rPr>
          <w:lang w:val="fr-FR"/>
        </w:rPr>
        <w:t>, Mme</w:t>
      </w:r>
      <w:r w:rsidR="00DC721A">
        <w:rPr>
          <w:lang w:val="fr-FR"/>
        </w:rPr>
        <w:t> </w:t>
      </w:r>
      <w:r w:rsidRPr="006A56DF">
        <w:rPr>
          <w:lang w:val="fr-FR"/>
        </w:rPr>
        <w:t>Le Gall et M.</w:t>
      </w:r>
      <w:r w:rsidR="00E70D34">
        <w:rPr>
          <w:lang w:val="fr-FR"/>
        </w:rPr>
        <w:t> </w:t>
      </w:r>
      <w:proofErr w:type="spellStart"/>
      <w:r w:rsidRPr="006A56DF">
        <w:rPr>
          <w:lang w:val="fr-FR"/>
        </w:rPr>
        <w:t>Oguamanam</w:t>
      </w:r>
      <w:proofErr w:type="spellEnd"/>
      <w:r w:rsidRPr="006A56DF">
        <w:rPr>
          <w:lang w:val="fr-FR"/>
        </w:rPr>
        <w:t>, en leur qualité de coprésidents du groupe spécial d</w:t>
      </w:r>
      <w:r w:rsidR="00A66AB7">
        <w:rPr>
          <w:lang w:val="fr-FR"/>
        </w:rPr>
        <w:t>’</w:t>
      </w:r>
      <w:r w:rsidRPr="006A56DF">
        <w:rPr>
          <w:lang w:val="fr-FR"/>
        </w:rPr>
        <w:t>experts, présenteront à la session plénière du lundi 18</w:t>
      </w:r>
      <w:r w:rsidR="00E70D34">
        <w:rPr>
          <w:lang w:val="fr-FR"/>
        </w:rPr>
        <w:t> </w:t>
      </w:r>
      <w:r w:rsidRPr="006A56DF">
        <w:rPr>
          <w:lang w:val="fr-FR"/>
        </w:rPr>
        <w:t>mars</w:t>
      </w:r>
      <w:r w:rsidR="00E70D34">
        <w:rPr>
          <w:lang w:val="fr-FR"/>
        </w:rPr>
        <w:t> </w:t>
      </w:r>
      <w:r w:rsidRPr="006A56DF">
        <w:rPr>
          <w:lang w:val="fr-FR"/>
        </w:rPr>
        <w:t>2019 un rapport sur les résultats des travaux du groupe spécial d</w:t>
      </w:r>
      <w:r w:rsidR="00A66AB7">
        <w:rPr>
          <w:lang w:val="fr-FR"/>
        </w:rPr>
        <w:t>’</w:t>
      </w:r>
      <w:r w:rsidRPr="006A56DF">
        <w:rPr>
          <w:lang w:val="fr-FR"/>
        </w:rPr>
        <w:t>experts qui sera inclus dans le rapport sur la trente</w:t>
      </w:r>
      <w:r w:rsidR="00132AB7">
        <w:rPr>
          <w:lang w:val="fr-FR"/>
        </w:rPr>
        <w:noBreakHyphen/>
      </w:r>
      <w:r w:rsidRPr="006A56DF">
        <w:rPr>
          <w:lang w:val="fr-FR"/>
        </w:rPr>
        <w:t>neuv</w:t>
      </w:r>
      <w:r w:rsidR="00A66AB7">
        <w:rPr>
          <w:lang w:val="fr-FR"/>
        </w:rPr>
        <w:t>ième session</w:t>
      </w:r>
      <w:r w:rsidRPr="006A56DF">
        <w:rPr>
          <w:lang w:val="fr-FR"/>
        </w:rPr>
        <w:t xml:space="preserve"> de l</w:t>
      </w:r>
      <w:r w:rsidR="00A66AB7">
        <w:rPr>
          <w:lang w:val="fr-FR"/>
        </w:rPr>
        <w:t>’</w:t>
      </w:r>
      <w:proofErr w:type="spellStart"/>
      <w:r w:rsidR="00132AB7" w:rsidRPr="006A56DF">
        <w:rPr>
          <w:lang w:val="fr-FR"/>
        </w:rPr>
        <w:t>IGC</w:t>
      </w:r>
      <w:proofErr w:type="spellEnd"/>
      <w:r w:rsidR="00132AB7">
        <w:rPr>
          <w:lang w:val="fr-FR"/>
        </w:rPr>
        <w:t xml:space="preserve">.  </w:t>
      </w:r>
      <w:r w:rsidR="00132AB7" w:rsidRPr="006A56DF">
        <w:rPr>
          <w:lang w:val="fr-FR"/>
        </w:rPr>
        <w:t>Le</w:t>
      </w:r>
      <w:r w:rsidRPr="006A56DF">
        <w:rPr>
          <w:lang w:val="fr-FR"/>
        </w:rPr>
        <w:t xml:space="preserve"> rapport des coprésidents sera établi et présenté sous leur propre responsabilité et autorité.</w:t>
      </w:r>
    </w:p>
    <w:p w:rsidR="006A56DF" w:rsidRDefault="000D4BD5" w:rsidP="00A66AB7">
      <w:pPr>
        <w:pStyle w:val="Heading1"/>
        <w:rPr>
          <w:lang w:val="fr-FR"/>
        </w:rPr>
      </w:pPr>
      <w:r w:rsidRPr="003273FE">
        <w:rPr>
          <w:lang w:val="fr-FR"/>
        </w:rPr>
        <w:t>Documents</w:t>
      </w:r>
    </w:p>
    <w:p w:rsidR="006A56DF" w:rsidRDefault="006A56DF" w:rsidP="000D4BD5">
      <w:pPr>
        <w:rPr>
          <w:lang w:val="fr-FR"/>
        </w:rPr>
      </w:pPr>
    </w:p>
    <w:p w:rsidR="00A66AB7" w:rsidRDefault="006A56DF" w:rsidP="006A56DF">
      <w:pPr>
        <w:pStyle w:val="ONUMFS"/>
        <w:rPr>
          <w:lang w:val="fr-FR"/>
        </w:rPr>
      </w:pPr>
      <w:r w:rsidRPr="006A56DF">
        <w:rPr>
          <w:lang w:val="fr-FR"/>
        </w:rPr>
        <w:t>Le groupe spécial d</w:t>
      </w:r>
      <w:r w:rsidR="00A66AB7">
        <w:rPr>
          <w:lang w:val="fr-FR"/>
        </w:rPr>
        <w:t>’</w:t>
      </w:r>
      <w:r w:rsidRPr="006A56DF">
        <w:rPr>
          <w:lang w:val="fr-FR"/>
        </w:rPr>
        <w:t>experts peut s</w:t>
      </w:r>
      <w:r w:rsidR="00A66AB7">
        <w:rPr>
          <w:lang w:val="fr-FR"/>
        </w:rPr>
        <w:t>’</w:t>
      </w:r>
      <w:r w:rsidRPr="006A56DF">
        <w:rPr>
          <w:lang w:val="fr-FR"/>
        </w:rPr>
        <w:t>appuyer sur tous les documents de travail de l</w:t>
      </w:r>
      <w:r w:rsidR="00A66AB7">
        <w:rPr>
          <w:lang w:val="fr-FR"/>
        </w:rPr>
        <w:t>’</w:t>
      </w:r>
      <w:r w:rsidRPr="006A56DF">
        <w:rPr>
          <w:lang w:val="fr-FR"/>
        </w:rPr>
        <w:t xml:space="preserve">OMPI, </w:t>
      </w:r>
      <w:r w:rsidR="00A66AB7">
        <w:rPr>
          <w:lang w:val="fr-FR"/>
        </w:rPr>
        <w:t>y compris</w:t>
      </w:r>
      <w:r w:rsidRPr="006A56DF">
        <w:rPr>
          <w:lang w:val="fr-FR"/>
        </w:rPr>
        <w:t xml:space="preserve"> les </w:t>
      </w:r>
      <w:r w:rsidR="00A66AB7" w:rsidRPr="006A56DF">
        <w:rPr>
          <w:lang w:val="fr-FR"/>
        </w:rPr>
        <w:t>documents</w:t>
      </w:r>
      <w:r w:rsidR="00A66AB7">
        <w:rPr>
          <w:lang w:val="fr-FR"/>
        </w:rPr>
        <w:t xml:space="preserve"> </w:t>
      </w:r>
      <w:proofErr w:type="spellStart"/>
      <w:r w:rsidR="00A66AB7" w:rsidRPr="006A56DF">
        <w:rPr>
          <w:lang w:val="fr-FR"/>
        </w:rPr>
        <w:t>WI</w:t>
      </w:r>
      <w:r w:rsidRPr="006A56DF">
        <w:rPr>
          <w:lang w:val="fr-FR"/>
        </w:rPr>
        <w:t>PO</w:t>
      </w:r>
      <w:proofErr w:type="spellEnd"/>
      <w:r w:rsidRPr="006A56DF">
        <w:rPr>
          <w:lang w:val="fr-FR"/>
        </w:rPr>
        <w:t>/</w:t>
      </w:r>
      <w:proofErr w:type="spellStart"/>
      <w:r w:rsidRPr="006A56DF">
        <w:rPr>
          <w:lang w:val="fr-FR"/>
        </w:rPr>
        <w:t>GRTKF</w:t>
      </w:r>
      <w:proofErr w:type="spellEnd"/>
      <w:r w:rsidRPr="006A56DF">
        <w:rPr>
          <w:lang w:val="fr-FR"/>
        </w:rPr>
        <w:t xml:space="preserve">/IC/39/4 et </w:t>
      </w:r>
      <w:proofErr w:type="spellStart"/>
      <w:r w:rsidRPr="006A56DF">
        <w:rPr>
          <w:lang w:val="fr-FR"/>
        </w:rPr>
        <w:t>WIPO</w:t>
      </w:r>
      <w:proofErr w:type="spellEnd"/>
      <w:r w:rsidRPr="006A56DF">
        <w:rPr>
          <w:lang w:val="fr-FR"/>
        </w:rPr>
        <w:t>/</w:t>
      </w:r>
      <w:proofErr w:type="spellStart"/>
      <w:r w:rsidRPr="006A56DF">
        <w:rPr>
          <w:lang w:val="fr-FR"/>
        </w:rPr>
        <w:t>GRTKF</w:t>
      </w:r>
      <w:proofErr w:type="spellEnd"/>
      <w:r w:rsidRPr="006A56DF">
        <w:rPr>
          <w:lang w:val="fr-FR"/>
        </w:rPr>
        <w:t>/IC/39/5, ainsi que sur toute autre contribution des États membres et tout document produit par le Secrétariat de l</w:t>
      </w:r>
      <w:r w:rsidR="00A66AB7">
        <w:rPr>
          <w:lang w:val="fr-FR"/>
        </w:rPr>
        <w:t>’</w:t>
      </w:r>
      <w:r w:rsidRPr="006A56DF">
        <w:rPr>
          <w:lang w:val="fr-FR"/>
        </w:rPr>
        <w:t>OMPI.</w:t>
      </w:r>
    </w:p>
    <w:p w:rsidR="006A56DF" w:rsidRDefault="006A56DF" w:rsidP="00A66AB7">
      <w:pPr>
        <w:pStyle w:val="Heading1"/>
        <w:rPr>
          <w:lang w:val="fr-FR"/>
        </w:rPr>
      </w:pPr>
      <w:r w:rsidRPr="006A56DF">
        <w:rPr>
          <w:color w:val="000000"/>
          <w:lang w:val="fr-FR"/>
        </w:rPr>
        <w:t>P</w:t>
      </w:r>
      <w:r w:rsidRPr="006A56DF">
        <w:rPr>
          <w:lang w:val="fr-FR"/>
        </w:rPr>
        <w:t>rogramme</w:t>
      </w:r>
    </w:p>
    <w:p w:rsidR="006A56DF" w:rsidRDefault="006A56DF" w:rsidP="000D4BD5">
      <w:pPr>
        <w:rPr>
          <w:lang w:val="fr-FR"/>
        </w:rPr>
      </w:pPr>
    </w:p>
    <w:p w:rsidR="00A66AB7" w:rsidRDefault="006A56DF" w:rsidP="006A56DF">
      <w:pPr>
        <w:pStyle w:val="ONUMFS"/>
        <w:rPr>
          <w:lang w:val="fr-FR"/>
        </w:rPr>
      </w:pPr>
      <w:r w:rsidRPr="006A56DF">
        <w:rPr>
          <w:lang w:val="fr-FR"/>
        </w:rPr>
        <w:t>Le tableau ci</w:t>
      </w:r>
      <w:r w:rsidR="00132AB7">
        <w:rPr>
          <w:lang w:val="fr-FR"/>
        </w:rPr>
        <w:noBreakHyphen/>
      </w:r>
      <w:r w:rsidRPr="006A56DF">
        <w:rPr>
          <w:lang w:val="fr-FR"/>
        </w:rPr>
        <w:t>après contient le programme proposé pour le groupe spécial d</w:t>
      </w:r>
      <w:r w:rsidR="00A66AB7">
        <w:rPr>
          <w:lang w:val="fr-FR"/>
        </w:rPr>
        <w:t>’</w:t>
      </w:r>
      <w:r w:rsidRPr="006A56DF">
        <w:rPr>
          <w:lang w:val="fr-FR"/>
        </w:rPr>
        <w:t>experts, étant entendu qu</w:t>
      </w:r>
      <w:r w:rsidR="00A66AB7">
        <w:rPr>
          <w:lang w:val="fr-FR"/>
        </w:rPr>
        <w:t>’</w:t>
      </w:r>
      <w:r w:rsidRPr="006A56DF">
        <w:rPr>
          <w:lang w:val="fr-FR"/>
        </w:rPr>
        <w:t>il y aura une certaine souples</w:t>
      </w:r>
      <w:r w:rsidR="00132AB7" w:rsidRPr="006A56DF">
        <w:rPr>
          <w:lang w:val="fr-FR"/>
        </w:rPr>
        <w:t>se</w:t>
      </w:r>
      <w:r w:rsidR="00132AB7">
        <w:rPr>
          <w:lang w:val="fr-FR"/>
        </w:rPr>
        <w:t xml:space="preserve">.  </w:t>
      </w:r>
      <w:r w:rsidR="00132AB7" w:rsidRPr="006A56DF">
        <w:rPr>
          <w:lang w:val="fr-FR"/>
        </w:rPr>
        <w:t>Le</w:t>
      </w:r>
      <w:r w:rsidRPr="006A56DF">
        <w:rPr>
          <w:lang w:val="fr-FR"/>
        </w:rPr>
        <w:t>s coprésidents modifieront le programme comme ils le jugeront approprié.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65"/>
        <w:gridCol w:w="7380"/>
      </w:tblGrid>
      <w:tr w:rsidR="000D4BD5" w:rsidRPr="003273FE" w:rsidTr="00132AB7">
        <w:tc>
          <w:tcPr>
            <w:tcW w:w="1965" w:type="dxa"/>
          </w:tcPr>
          <w:p w:rsidR="000D4BD5" w:rsidRPr="003273FE" w:rsidRDefault="006A56DF" w:rsidP="00132AB7">
            <w:pPr>
              <w:jc w:val="center"/>
              <w:rPr>
                <w:b/>
                <w:lang w:val="fr-FR"/>
              </w:rPr>
            </w:pPr>
            <w:r w:rsidRPr="006A56DF">
              <w:rPr>
                <w:b/>
                <w:lang w:val="fr-FR"/>
              </w:rPr>
              <w:t>Heure</w:t>
            </w:r>
          </w:p>
        </w:tc>
        <w:tc>
          <w:tcPr>
            <w:tcW w:w="7380" w:type="dxa"/>
          </w:tcPr>
          <w:p w:rsidR="001F084E" w:rsidRPr="003273FE" w:rsidRDefault="006A56DF" w:rsidP="00132AB7">
            <w:pPr>
              <w:jc w:val="center"/>
              <w:rPr>
                <w:b/>
                <w:lang w:val="fr-FR"/>
              </w:rPr>
            </w:pPr>
            <w:r w:rsidRPr="006A56DF">
              <w:rPr>
                <w:b/>
                <w:lang w:val="fr-FR"/>
              </w:rPr>
              <w:t>Activité</w:t>
            </w:r>
          </w:p>
        </w:tc>
      </w:tr>
      <w:tr w:rsidR="000D4BD5" w:rsidRPr="003273FE" w:rsidTr="00132AB7">
        <w:tc>
          <w:tcPr>
            <w:tcW w:w="1965" w:type="dxa"/>
          </w:tcPr>
          <w:p w:rsidR="000D4BD5" w:rsidRPr="003273FE" w:rsidRDefault="006A56DF" w:rsidP="00132AB7">
            <w:pPr>
              <w:rPr>
                <w:lang w:val="fr-FR"/>
              </w:rPr>
            </w:pPr>
            <w:r>
              <w:rPr>
                <w:lang w:val="fr-FR"/>
              </w:rPr>
              <w:t>9 h </w:t>
            </w:r>
            <w:r w:rsidR="000D4BD5" w:rsidRPr="003273FE">
              <w:rPr>
                <w:lang w:val="fr-FR"/>
              </w:rPr>
              <w:t>00 – 12</w:t>
            </w:r>
            <w:r>
              <w:rPr>
                <w:lang w:val="fr-FR"/>
              </w:rPr>
              <w:t> h </w:t>
            </w:r>
            <w:r w:rsidR="000D4BD5" w:rsidRPr="003273FE">
              <w:rPr>
                <w:lang w:val="fr-FR"/>
              </w:rPr>
              <w:t>00</w:t>
            </w:r>
          </w:p>
        </w:tc>
        <w:tc>
          <w:tcPr>
            <w:tcW w:w="7380" w:type="dxa"/>
          </w:tcPr>
          <w:p w:rsidR="006A56DF" w:rsidRDefault="006A56DF" w:rsidP="00132AB7">
            <w:pPr>
              <w:pStyle w:val="ListParagraph"/>
              <w:numPr>
                <w:ilvl w:val="0"/>
                <w:numId w:val="19"/>
              </w:numPr>
              <w:ind w:left="567" w:hanging="567"/>
              <w:rPr>
                <w:lang w:val="fr-FR"/>
              </w:rPr>
            </w:pPr>
            <w:r w:rsidRPr="006A56DF">
              <w:rPr>
                <w:lang w:val="fr-FR"/>
              </w:rPr>
              <w:t>Ouverture de la réunion par les coprésidents</w:t>
            </w:r>
          </w:p>
          <w:p w:rsidR="00A66AB7" w:rsidRDefault="006A56DF" w:rsidP="00132AB7">
            <w:pPr>
              <w:pStyle w:val="ListParagraph"/>
              <w:numPr>
                <w:ilvl w:val="0"/>
                <w:numId w:val="19"/>
              </w:numPr>
              <w:ind w:left="567" w:hanging="567"/>
              <w:rPr>
                <w:lang w:val="fr-FR"/>
              </w:rPr>
            </w:pPr>
            <w:r w:rsidRPr="006A56DF">
              <w:rPr>
                <w:color w:val="000000"/>
                <w:lang w:val="fr-FR"/>
              </w:rPr>
              <w:t>Déclarations liminaires</w:t>
            </w:r>
          </w:p>
          <w:p w:rsidR="006A56DF" w:rsidRDefault="006A56DF" w:rsidP="00132AB7">
            <w:pPr>
              <w:pStyle w:val="ListParagraph"/>
              <w:numPr>
                <w:ilvl w:val="0"/>
                <w:numId w:val="19"/>
              </w:numPr>
              <w:ind w:left="567" w:hanging="567"/>
              <w:rPr>
                <w:lang w:val="fr-FR"/>
              </w:rPr>
            </w:pPr>
            <w:r w:rsidRPr="006A56DF">
              <w:rPr>
                <w:color w:val="000000"/>
                <w:lang w:val="fr-FR"/>
              </w:rPr>
              <w:t>O</w:t>
            </w:r>
            <w:r w:rsidRPr="006A56DF">
              <w:rPr>
                <w:lang w:val="fr-FR"/>
              </w:rPr>
              <w:t>bjet</w:t>
            </w:r>
          </w:p>
          <w:p w:rsidR="001F084E" w:rsidRPr="003273FE" w:rsidRDefault="006A56DF" w:rsidP="00132AB7">
            <w:pPr>
              <w:pStyle w:val="ListParagraph"/>
              <w:numPr>
                <w:ilvl w:val="0"/>
                <w:numId w:val="19"/>
              </w:numPr>
              <w:ind w:left="567" w:hanging="567"/>
              <w:rPr>
                <w:lang w:val="fr-FR"/>
              </w:rPr>
            </w:pPr>
            <w:r w:rsidRPr="006A56DF">
              <w:rPr>
                <w:color w:val="000000"/>
                <w:lang w:val="fr-FR"/>
              </w:rPr>
              <w:t>É</w:t>
            </w:r>
            <w:r w:rsidRPr="006A56DF">
              <w:rPr>
                <w:lang w:val="fr-FR"/>
              </w:rPr>
              <w:t>tendue de la protection</w:t>
            </w:r>
          </w:p>
        </w:tc>
      </w:tr>
      <w:tr w:rsidR="000D4BD5" w:rsidRPr="003273FE" w:rsidTr="00132AB7">
        <w:tc>
          <w:tcPr>
            <w:tcW w:w="1965" w:type="dxa"/>
          </w:tcPr>
          <w:p w:rsidR="000D4BD5" w:rsidRPr="003273FE" w:rsidRDefault="006A56DF" w:rsidP="00132AB7">
            <w:pPr>
              <w:rPr>
                <w:lang w:val="fr-FR"/>
              </w:rPr>
            </w:pPr>
            <w:r>
              <w:rPr>
                <w:lang w:val="fr-FR"/>
              </w:rPr>
              <w:t>12 h </w:t>
            </w:r>
            <w:r w:rsidR="000D4BD5" w:rsidRPr="003273FE">
              <w:rPr>
                <w:lang w:val="fr-FR"/>
              </w:rPr>
              <w:t>00 – 13</w:t>
            </w:r>
            <w:r>
              <w:rPr>
                <w:lang w:val="fr-FR"/>
              </w:rPr>
              <w:t> h </w:t>
            </w:r>
            <w:r w:rsidR="000D4BD5" w:rsidRPr="003273FE">
              <w:rPr>
                <w:lang w:val="fr-FR"/>
              </w:rPr>
              <w:t>30</w:t>
            </w:r>
          </w:p>
        </w:tc>
        <w:tc>
          <w:tcPr>
            <w:tcW w:w="7380" w:type="dxa"/>
          </w:tcPr>
          <w:p w:rsidR="001F084E" w:rsidRPr="003273FE" w:rsidRDefault="006A56DF" w:rsidP="00132AB7">
            <w:pPr>
              <w:rPr>
                <w:lang w:val="fr-FR"/>
              </w:rPr>
            </w:pPr>
            <w:r w:rsidRPr="006A56DF">
              <w:rPr>
                <w:lang w:val="fr-FR"/>
              </w:rPr>
              <w:t>Pause déjeuner</w:t>
            </w:r>
          </w:p>
        </w:tc>
      </w:tr>
      <w:tr w:rsidR="000D4BD5" w:rsidRPr="003273FE" w:rsidTr="00132AB7">
        <w:tc>
          <w:tcPr>
            <w:tcW w:w="1965" w:type="dxa"/>
          </w:tcPr>
          <w:p w:rsidR="000D4BD5" w:rsidRPr="003273FE" w:rsidRDefault="000D4BD5" w:rsidP="00132AB7">
            <w:pPr>
              <w:rPr>
                <w:lang w:val="fr-FR"/>
              </w:rPr>
            </w:pPr>
            <w:r w:rsidRPr="003273FE">
              <w:rPr>
                <w:lang w:val="fr-FR"/>
              </w:rPr>
              <w:t>13</w:t>
            </w:r>
            <w:r w:rsidR="006A56DF">
              <w:rPr>
                <w:lang w:val="fr-FR"/>
              </w:rPr>
              <w:t> h 30 – 16 h </w:t>
            </w:r>
            <w:r w:rsidRPr="003273FE">
              <w:rPr>
                <w:lang w:val="fr-FR"/>
              </w:rPr>
              <w:t>30</w:t>
            </w:r>
          </w:p>
        </w:tc>
        <w:tc>
          <w:tcPr>
            <w:tcW w:w="7380" w:type="dxa"/>
          </w:tcPr>
          <w:p w:rsidR="006A56DF" w:rsidRPr="00A66AB7" w:rsidRDefault="006A56DF" w:rsidP="00132AB7">
            <w:pPr>
              <w:pStyle w:val="ListParagraph"/>
              <w:numPr>
                <w:ilvl w:val="0"/>
                <w:numId w:val="20"/>
              </w:numPr>
              <w:ind w:left="567" w:hanging="567"/>
              <w:rPr>
                <w:lang w:val="fr-FR"/>
              </w:rPr>
            </w:pPr>
            <w:r w:rsidRPr="00A66AB7">
              <w:rPr>
                <w:lang w:val="fr-FR"/>
              </w:rPr>
              <w:t>Étendue de la protection (suite)</w:t>
            </w:r>
          </w:p>
          <w:p w:rsidR="000D4BD5" w:rsidRPr="00A66AB7" w:rsidRDefault="006A56DF" w:rsidP="00132AB7">
            <w:pPr>
              <w:pStyle w:val="ListParagraph"/>
              <w:numPr>
                <w:ilvl w:val="0"/>
                <w:numId w:val="20"/>
              </w:numPr>
              <w:ind w:left="567" w:hanging="567"/>
              <w:rPr>
                <w:lang w:val="fr-FR"/>
              </w:rPr>
            </w:pPr>
            <w:r w:rsidRPr="00A66AB7">
              <w:rPr>
                <w:lang w:val="fr-FR"/>
              </w:rPr>
              <w:t>Conclusion par les coprésidents</w:t>
            </w:r>
          </w:p>
        </w:tc>
      </w:tr>
    </w:tbl>
    <w:p w:rsidR="006A56DF" w:rsidRDefault="006A56DF" w:rsidP="008C10CF">
      <w:pPr>
        <w:rPr>
          <w:lang w:val="fr-FR"/>
        </w:rPr>
      </w:pPr>
    </w:p>
    <w:p w:rsidR="006A56DF" w:rsidRDefault="000D4BD5" w:rsidP="00D4154A">
      <w:pPr>
        <w:pStyle w:val="Endofdocument-Annex"/>
        <w:rPr>
          <w:lang w:val="fr-FR"/>
        </w:rPr>
      </w:pPr>
      <w:bookmarkStart w:id="4" w:name="_GoBack"/>
      <w:bookmarkEnd w:id="4"/>
      <w:r w:rsidRPr="003273FE">
        <w:rPr>
          <w:lang w:val="fr-FR"/>
        </w:rPr>
        <w:t>[</w:t>
      </w:r>
      <w:r w:rsidR="00E17B68">
        <w:rPr>
          <w:lang w:val="fr-FR"/>
        </w:rPr>
        <w:t>Fin du</w:t>
      </w:r>
      <w:r w:rsidRPr="003273FE">
        <w:rPr>
          <w:lang w:val="fr-FR"/>
        </w:rPr>
        <w:t xml:space="preserve"> document]</w:t>
      </w:r>
    </w:p>
    <w:sectPr w:rsidR="006A56DF" w:rsidSect="000D4BD5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4D" w:rsidRDefault="00D31F4D">
      <w:r>
        <w:separator/>
      </w:r>
    </w:p>
  </w:endnote>
  <w:endnote w:type="continuationSeparator" w:id="0">
    <w:p w:rsidR="00D31F4D" w:rsidRDefault="00D31F4D" w:rsidP="003B38C1">
      <w:r>
        <w:separator/>
      </w:r>
    </w:p>
    <w:p w:rsidR="00D31F4D" w:rsidRPr="003B38C1" w:rsidRDefault="00D31F4D" w:rsidP="003B38C1">
      <w:pPr>
        <w:spacing w:after="60"/>
        <w:rPr>
          <w:sz w:val="17"/>
        </w:rPr>
      </w:pPr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</w:endnote>
  <w:endnote w:type="continuationNotice" w:id="1">
    <w:p w:rsidR="00D31F4D" w:rsidRPr="003B38C1" w:rsidRDefault="00D31F4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</w:t>
      </w:r>
      <w:proofErr w:type="spellStart"/>
      <w:r w:rsidRPr="003B38C1">
        <w:rPr>
          <w:sz w:val="17"/>
          <w:szCs w:val="17"/>
        </w:rPr>
        <w:t>Endnote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continued</w:t>
      </w:r>
      <w:proofErr w:type="spellEnd"/>
      <w:r w:rsidRPr="003B38C1">
        <w:rPr>
          <w:sz w:val="17"/>
          <w:szCs w:val="17"/>
        </w:rPr>
        <w:t xml:space="preserve"> on </w:t>
      </w:r>
      <w:proofErr w:type="spellStart"/>
      <w:r w:rsidRPr="003B38C1">
        <w:rPr>
          <w:sz w:val="17"/>
          <w:szCs w:val="17"/>
        </w:rPr>
        <w:t>next</w:t>
      </w:r>
      <w:proofErr w:type="spellEnd"/>
      <w:r w:rsidRPr="003B38C1"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4D" w:rsidRDefault="00D31F4D">
      <w:r>
        <w:separator/>
      </w:r>
    </w:p>
  </w:footnote>
  <w:footnote w:type="continuationSeparator" w:id="0">
    <w:p w:rsidR="00D31F4D" w:rsidRDefault="00D31F4D" w:rsidP="008B60B2">
      <w:r>
        <w:separator/>
      </w:r>
    </w:p>
    <w:p w:rsidR="00D31F4D" w:rsidRPr="00ED77FB" w:rsidRDefault="00D31F4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from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previous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type="continuationNotice" w:id="1">
    <w:p w:rsidR="00D31F4D" w:rsidRPr="00ED77FB" w:rsidRDefault="00D31F4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on </w:t>
      </w:r>
      <w:proofErr w:type="spellStart"/>
      <w:r w:rsidRPr="00ED77FB">
        <w:rPr>
          <w:sz w:val="17"/>
          <w:szCs w:val="17"/>
        </w:rPr>
        <w:t>next</w:t>
      </w:r>
      <w:proofErr w:type="spellEnd"/>
      <w:r w:rsidRPr="00ED77FB">
        <w:rPr>
          <w:sz w:val="17"/>
          <w:szCs w:val="17"/>
        </w:rPr>
        <w:t xml:space="preserve">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6614A3" w:rsidRDefault="000D4BD5" w:rsidP="00477D6B">
    <w:pPr>
      <w:jc w:val="right"/>
    </w:pPr>
    <w:bookmarkStart w:id="5" w:name="Code2"/>
    <w:bookmarkEnd w:id="5"/>
    <w:proofErr w:type="spellStart"/>
    <w:r w:rsidRPr="006614A3">
      <w:t>W</w:t>
    </w:r>
    <w:r w:rsidR="00F01F7D" w:rsidRPr="006614A3">
      <w:t>IPO</w:t>
    </w:r>
    <w:proofErr w:type="spellEnd"/>
    <w:r w:rsidR="00F01F7D" w:rsidRPr="006614A3">
      <w:t>/</w:t>
    </w:r>
    <w:proofErr w:type="spellStart"/>
    <w:r w:rsidR="00F01F7D" w:rsidRPr="006614A3">
      <w:t>EXP</w:t>
    </w:r>
    <w:proofErr w:type="spellEnd"/>
    <w:r w:rsidR="00F01F7D" w:rsidRPr="006614A3">
      <w:t>/</w:t>
    </w:r>
    <w:proofErr w:type="spellStart"/>
    <w:r w:rsidR="00F01F7D" w:rsidRPr="006614A3">
      <w:t>IPTK</w:t>
    </w:r>
    <w:proofErr w:type="spellEnd"/>
    <w:r w:rsidR="00F01F7D" w:rsidRPr="006614A3">
      <w:t>/GE/19</w:t>
    </w:r>
    <w:r w:rsidRPr="006614A3">
      <w:t>/1</w:t>
    </w:r>
  </w:p>
  <w:p w:rsidR="00EC4E49" w:rsidRPr="006614A3" w:rsidRDefault="00EC4E49" w:rsidP="00477D6B">
    <w:pPr>
      <w:jc w:val="right"/>
    </w:pPr>
    <w:r w:rsidRPr="006614A3">
      <w:t>page</w:t>
    </w:r>
    <w:r w:rsidR="00E70D34">
      <w:t> </w:t>
    </w:r>
    <w:r>
      <w:fldChar w:fldCharType="begin"/>
    </w:r>
    <w:r w:rsidRPr="006614A3">
      <w:instrText xml:space="preserve"> PAGE  \* MERGEFORMAT </w:instrText>
    </w:r>
    <w:r>
      <w:fldChar w:fldCharType="separate"/>
    </w:r>
    <w:r w:rsidR="00132AB7">
      <w:rPr>
        <w:noProof/>
      </w:rPr>
      <w:t>2</w:t>
    </w:r>
    <w:r>
      <w:fldChar w:fldCharType="end"/>
    </w:r>
  </w:p>
  <w:p w:rsidR="00EC4E49" w:rsidRPr="006614A3" w:rsidRDefault="00EC4E49" w:rsidP="00477D6B">
    <w:pPr>
      <w:jc w:val="right"/>
    </w:pPr>
  </w:p>
  <w:p w:rsidR="008A134B" w:rsidRPr="006614A3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43B2655"/>
    <w:multiLevelType w:val="hybridMultilevel"/>
    <w:tmpl w:val="A1E8CEA0"/>
    <w:lvl w:ilvl="0" w:tplc="9BCC64E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E743B8"/>
    <w:multiLevelType w:val="hybridMultilevel"/>
    <w:tmpl w:val="696CF064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65187"/>
    <w:multiLevelType w:val="hybridMultilevel"/>
    <w:tmpl w:val="C8668644"/>
    <w:lvl w:ilvl="0" w:tplc="9BE8828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317F8"/>
    <w:multiLevelType w:val="hybridMultilevel"/>
    <w:tmpl w:val="97C04836"/>
    <w:lvl w:ilvl="0" w:tplc="94FE7FF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D048F"/>
    <w:multiLevelType w:val="hybridMultilevel"/>
    <w:tmpl w:val="06568D42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328111E"/>
    <w:multiLevelType w:val="hybridMultilevel"/>
    <w:tmpl w:val="CB6ECA54"/>
    <w:lvl w:ilvl="0" w:tplc="9BE8828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512A0F"/>
    <w:multiLevelType w:val="hybridMultilevel"/>
    <w:tmpl w:val="5E70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91F7C"/>
    <w:multiLevelType w:val="hybridMultilevel"/>
    <w:tmpl w:val="02CC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235D38"/>
    <w:multiLevelType w:val="hybridMultilevel"/>
    <w:tmpl w:val="E26E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3404D"/>
    <w:multiLevelType w:val="hybridMultilevel"/>
    <w:tmpl w:val="F738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32C52"/>
    <w:multiLevelType w:val="hybridMultilevel"/>
    <w:tmpl w:val="23C8386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3"/>
  </w:num>
  <w:num w:numId="5">
    <w:abstractNumId w:val="1"/>
  </w:num>
  <w:num w:numId="6">
    <w:abstractNumId w:val="3"/>
  </w:num>
  <w:num w:numId="7">
    <w:abstractNumId w:val="11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12"/>
  </w:num>
  <w:num w:numId="13">
    <w:abstractNumId w:val="14"/>
  </w:num>
  <w:num w:numId="14">
    <w:abstractNumId w:val="15"/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1"/>
  </w:num>
  <w:num w:numId="18">
    <w:abstractNumId w:val="3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FTS_Glossary|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0D4BD5"/>
    <w:rsid w:val="00021833"/>
    <w:rsid w:val="00043CAA"/>
    <w:rsid w:val="00075432"/>
    <w:rsid w:val="000968ED"/>
    <w:rsid w:val="000A6591"/>
    <w:rsid w:val="000C333C"/>
    <w:rsid w:val="000D4BD5"/>
    <w:rsid w:val="000F5E56"/>
    <w:rsid w:val="00114F29"/>
    <w:rsid w:val="00132AB7"/>
    <w:rsid w:val="001362EE"/>
    <w:rsid w:val="001647D5"/>
    <w:rsid w:val="001832A6"/>
    <w:rsid w:val="00187F6C"/>
    <w:rsid w:val="001C0BFB"/>
    <w:rsid w:val="001F084E"/>
    <w:rsid w:val="0021217E"/>
    <w:rsid w:val="002634C4"/>
    <w:rsid w:val="00280AEF"/>
    <w:rsid w:val="002928D3"/>
    <w:rsid w:val="002A73F8"/>
    <w:rsid w:val="002D2718"/>
    <w:rsid w:val="002F1FE6"/>
    <w:rsid w:val="002F4E68"/>
    <w:rsid w:val="002F661D"/>
    <w:rsid w:val="00312F7F"/>
    <w:rsid w:val="003273FE"/>
    <w:rsid w:val="00361450"/>
    <w:rsid w:val="003673CF"/>
    <w:rsid w:val="003845C1"/>
    <w:rsid w:val="003A6F89"/>
    <w:rsid w:val="003B38C1"/>
    <w:rsid w:val="003E67CC"/>
    <w:rsid w:val="00423E3E"/>
    <w:rsid w:val="00427AF4"/>
    <w:rsid w:val="004647DA"/>
    <w:rsid w:val="00474062"/>
    <w:rsid w:val="00477D6B"/>
    <w:rsid w:val="004E5911"/>
    <w:rsid w:val="004F074A"/>
    <w:rsid w:val="005019FF"/>
    <w:rsid w:val="0053057A"/>
    <w:rsid w:val="0056087E"/>
    <w:rsid w:val="00560A29"/>
    <w:rsid w:val="005A0D41"/>
    <w:rsid w:val="005A3CD3"/>
    <w:rsid w:val="005C6649"/>
    <w:rsid w:val="00605827"/>
    <w:rsid w:val="00646050"/>
    <w:rsid w:val="006614A3"/>
    <w:rsid w:val="006713CA"/>
    <w:rsid w:val="00676C5C"/>
    <w:rsid w:val="006A56DF"/>
    <w:rsid w:val="00706130"/>
    <w:rsid w:val="00734920"/>
    <w:rsid w:val="00791B92"/>
    <w:rsid w:val="0079576A"/>
    <w:rsid w:val="007D1613"/>
    <w:rsid w:val="007D5524"/>
    <w:rsid w:val="007E4C0E"/>
    <w:rsid w:val="00801842"/>
    <w:rsid w:val="008112D2"/>
    <w:rsid w:val="00841252"/>
    <w:rsid w:val="008557C2"/>
    <w:rsid w:val="008616CD"/>
    <w:rsid w:val="00861E30"/>
    <w:rsid w:val="008A0E1C"/>
    <w:rsid w:val="008A134B"/>
    <w:rsid w:val="008B2CC1"/>
    <w:rsid w:val="008B60B2"/>
    <w:rsid w:val="008C10CF"/>
    <w:rsid w:val="0090731E"/>
    <w:rsid w:val="00916EE2"/>
    <w:rsid w:val="00957591"/>
    <w:rsid w:val="00966A22"/>
    <w:rsid w:val="0096722F"/>
    <w:rsid w:val="00976DA8"/>
    <w:rsid w:val="00980843"/>
    <w:rsid w:val="009B491C"/>
    <w:rsid w:val="009E2791"/>
    <w:rsid w:val="009E3F6F"/>
    <w:rsid w:val="009F499F"/>
    <w:rsid w:val="00A01896"/>
    <w:rsid w:val="00A20474"/>
    <w:rsid w:val="00A36BF0"/>
    <w:rsid w:val="00A37342"/>
    <w:rsid w:val="00A42DAF"/>
    <w:rsid w:val="00A45BD8"/>
    <w:rsid w:val="00A528B8"/>
    <w:rsid w:val="00A66AB7"/>
    <w:rsid w:val="00A869B7"/>
    <w:rsid w:val="00AC205C"/>
    <w:rsid w:val="00AF0A6B"/>
    <w:rsid w:val="00B05A69"/>
    <w:rsid w:val="00B9734B"/>
    <w:rsid w:val="00BA30E2"/>
    <w:rsid w:val="00C11BFE"/>
    <w:rsid w:val="00C5068F"/>
    <w:rsid w:val="00C86D74"/>
    <w:rsid w:val="00CD04F1"/>
    <w:rsid w:val="00CD3406"/>
    <w:rsid w:val="00CE434E"/>
    <w:rsid w:val="00D05554"/>
    <w:rsid w:val="00D31F4D"/>
    <w:rsid w:val="00D4154A"/>
    <w:rsid w:val="00D41641"/>
    <w:rsid w:val="00D45252"/>
    <w:rsid w:val="00D71B4D"/>
    <w:rsid w:val="00D93D55"/>
    <w:rsid w:val="00D97277"/>
    <w:rsid w:val="00DC721A"/>
    <w:rsid w:val="00E15015"/>
    <w:rsid w:val="00E17B68"/>
    <w:rsid w:val="00E335FE"/>
    <w:rsid w:val="00E70D34"/>
    <w:rsid w:val="00E94608"/>
    <w:rsid w:val="00EA7D6E"/>
    <w:rsid w:val="00EC1E74"/>
    <w:rsid w:val="00EC4E49"/>
    <w:rsid w:val="00ED77FB"/>
    <w:rsid w:val="00EE1E1D"/>
    <w:rsid w:val="00EE45FA"/>
    <w:rsid w:val="00EF51E7"/>
    <w:rsid w:val="00F01F7D"/>
    <w:rsid w:val="00F12F5B"/>
    <w:rsid w:val="00F30521"/>
    <w:rsid w:val="00F54D37"/>
    <w:rsid w:val="00F66152"/>
    <w:rsid w:val="00F936D2"/>
    <w:rsid w:val="00FA0A0E"/>
    <w:rsid w:val="00FD3EC3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39ECFA0-C4B9-4BA0-AB3C-786D6E3C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B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66AB7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66A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66A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66A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A66AB7"/>
    <w:pPr>
      <w:ind w:left="5534"/>
    </w:pPr>
    <w:rPr>
      <w:lang w:val="en-US"/>
    </w:rPr>
  </w:style>
  <w:style w:type="paragraph" w:styleId="BodyText">
    <w:name w:val="Body Text"/>
    <w:basedOn w:val="Normal"/>
    <w:rsid w:val="00A66AB7"/>
    <w:pPr>
      <w:spacing w:after="220"/>
    </w:pPr>
  </w:style>
  <w:style w:type="paragraph" w:styleId="Caption">
    <w:name w:val="caption"/>
    <w:basedOn w:val="Normal"/>
    <w:next w:val="Normal"/>
    <w:qFormat/>
    <w:rsid w:val="00A66AB7"/>
    <w:rPr>
      <w:b/>
      <w:bCs/>
      <w:sz w:val="18"/>
    </w:rPr>
  </w:style>
  <w:style w:type="paragraph" w:styleId="CommentText">
    <w:name w:val="annotation text"/>
    <w:basedOn w:val="Normal"/>
    <w:semiHidden/>
    <w:rsid w:val="00A66AB7"/>
    <w:rPr>
      <w:sz w:val="18"/>
    </w:rPr>
  </w:style>
  <w:style w:type="paragraph" w:styleId="EndnoteText">
    <w:name w:val="endnote text"/>
    <w:basedOn w:val="Normal"/>
    <w:semiHidden/>
    <w:rsid w:val="00A66AB7"/>
    <w:rPr>
      <w:sz w:val="18"/>
    </w:rPr>
  </w:style>
  <w:style w:type="paragraph" w:styleId="Footer">
    <w:name w:val="footer"/>
    <w:basedOn w:val="Normal"/>
    <w:semiHidden/>
    <w:rsid w:val="00A66AB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66AB7"/>
    <w:rPr>
      <w:sz w:val="18"/>
    </w:rPr>
  </w:style>
  <w:style w:type="paragraph" w:styleId="Header">
    <w:name w:val="header"/>
    <w:basedOn w:val="Normal"/>
    <w:semiHidden/>
    <w:rsid w:val="00A66AB7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66AB7"/>
    <w:pPr>
      <w:numPr>
        <w:numId w:val="16"/>
      </w:numPr>
    </w:pPr>
  </w:style>
  <w:style w:type="paragraph" w:customStyle="1" w:styleId="ONUME">
    <w:name w:val="ONUM E"/>
    <w:basedOn w:val="BodyText"/>
    <w:rsid w:val="00A66AB7"/>
    <w:pPr>
      <w:numPr>
        <w:numId w:val="17"/>
      </w:numPr>
    </w:pPr>
  </w:style>
  <w:style w:type="paragraph" w:customStyle="1" w:styleId="ONUMFS">
    <w:name w:val="ONUM FS"/>
    <w:basedOn w:val="BodyText"/>
    <w:rsid w:val="00A66AB7"/>
    <w:pPr>
      <w:numPr>
        <w:numId w:val="18"/>
      </w:numPr>
    </w:pPr>
  </w:style>
  <w:style w:type="paragraph" w:styleId="Salutation">
    <w:name w:val="Salutation"/>
    <w:basedOn w:val="Normal"/>
    <w:next w:val="Normal"/>
    <w:semiHidden/>
    <w:rsid w:val="00A66AB7"/>
  </w:style>
  <w:style w:type="paragraph" w:styleId="Signature">
    <w:name w:val="Signature"/>
    <w:basedOn w:val="Normal"/>
    <w:semiHidden/>
    <w:rsid w:val="00A66AB7"/>
    <w:pPr>
      <w:ind w:left="5250"/>
    </w:pPr>
  </w:style>
  <w:style w:type="paragraph" w:styleId="ListParagraph">
    <w:name w:val="List Paragraph"/>
    <w:basedOn w:val="Normal"/>
    <w:uiPriority w:val="34"/>
    <w:qFormat/>
    <w:rsid w:val="00A66AB7"/>
    <w:pPr>
      <w:ind w:left="720"/>
      <w:contextualSpacing/>
    </w:pPr>
  </w:style>
  <w:style w:type="table" w:styleId="TableGrid">
    <w:name w:val="Table Grid"/>
    <w:basedOn w:val="TableNormal"/>
    <w:rsid w:val="000D4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A0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A0A0E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Meetingplacedate">
    <w:name w:val="Meeting place &amp; date"/>
    <w:basedOn w:val="Normal"/>
    <w:next w:val="Normal"/>
    <w:rsid w:val="00A66AB7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A66AB7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semiHidden/>
    <w:unhideWhenUsed/>
    <w:rsid w:val="00132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795</Words>
  <Characters>4551</Characters>
  <Application>Microsoft Office Word</Application>
  <DocSecurity>0</DocSecurity>
  <Lines>116</Lines>
  <Paragraphs>109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lastModifiedBy>COUTURE Sébastien</cp:lastModifiedBy>
  <cp:revision>13</cp:revision>
  <cp:lastPrinted>2019-03-13T13:21:00Z</cp:lastPrinted>
  <dcterms:created xsi:type="dcterms:W3CDTF">2019-03-13T08:35:00Z</dcterms:created>
  <dcterms:modified xsi:type="dcterms:W3CDTF">2019-03-14T15:15:00Z</dcterms:modified>
</cp:coreProperties>
</file>