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482A5" w14:textId="77777777" w:rsidR="008B2CC1" w:rsidRPr="00BD74C5" w:rsidRDefault="00DB0349" w:rsidP="002C5E24">
      <w:pPr>
        <w:spacing w:after="120"/>
        <w:jc w:val="right"/>
        <w:rPr>
          <w:lang w:val="fr-FR"/>
        </w:rPr>
      </w:pPr>
      <w:r w:rsidRPr="00BD74C5">
        <w:rPr>
          <w:noProof/>
          <w:lang w:val="fr-FR" w:eastAsia="en-US"/>
        </w:rPr>
        <w:drawing>
          <wp:inline distT="0" distB="0" distL="0" distR="0" wp14:anchorId="5BC734AE" wp14:editId="043CEA7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BD74C5">
        <w:rPr>
          <w:rFonts w:ascii="Arial Black" w:hAnsi="Arial Black"/>
          <w:caps/>
          <w:noProof/>
          <w:sz w:val="15"/>
          <w:szCs w:val="15"/>
          <w:lang w:val="fr-FR" w:eastAsia="en-US"/>
        </w:rPr>
        <mc:AlternateContent>
          <mc:Choice Requires="wps">
            <w:drawing>
              <wp:inline distT="0" distB="0" distL="0" distR="0" wp14:anchorId="2FFB258E" wp14:editId="50DC820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3B346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014E503" w14:textId="74D5F06A" w:rsidR="008B2CC1" w:rsidRPr="00BD74C5" w:rsidRDefault="007C1928" w:rsidP="002C5E24">
      <w:pPr>
        <w:jc w:val="right"/>
        <w:rPr>
          <w:rFonts w:ascii="Arial Black" w:hAnsi="Arial Black"/>
          <w:caps/>
          <w:sz w:val="15"/>
          <w:szCs w:val="15"/>
          <w:lang w:val="fr-FR"/>
        </w:rPr>
      </w:pPr>
      <w:r w:rsidRPr="00BD74C5">
        <w:rPr>
          <w:rFonts w:ascii="Arial Black" w:hAnsi="Arial Black"/>
          <w:caps/>
          <w:sz w:val="15"/>
          <w:lang w:val="fr-FR"/>
        </w:rPr>
        <w:t>GRATK/</w:t>
      </w:r>
      <w:r w:rsidR="00D37B53" w:rsidRPr="00BD74C5">
        <w:rPr>
          <w:rFonts w:ascii="Arial Black" w:hAnsi="Arial Black"/>
          <w:caps/>
          <w:sz w:val="15"/>
          <w:lang w:val="fr-FR"/>
        </w:rPr>
        <w:t>DC</w:t>
      </w:r>
      <w:r w:rsidRPr="00BD74C5">
        <w:rPr>
          <w:rFonts w:ascii="Arial Black" w:hAnsi="Arial Black"/>
          <w:caps/>
          <w:sz w:val="15"/>
          <w:lang w:val="fr-FR"/>
        </w:rPr>
        <w:t>/</w:t>
      </w:r>
      <w:bookmarkStart w:id="0" w:name="Code"/>
      <w:r w:rsidR="00802D2E" w:rsidRPr="00BD74C5">
        <w:rPr>
          <w:rFonts w:ascii="Arial Black" w:hAnsi="Arial Black"/>
          <w:caps/>
          <w:sz w:val="15"/>
          <w:lang w:val="fr-FR"/>
        </w:rPr>
        <w:t>7</w:t>
      </w:r>
    </w:p>
    <w:bookmarkEnd w:id="0"/>
    <w:p w14:paraId="0CA25B3E" w14:textId="3759B144" w:rsidR="008B2CC1" w:rsidRPr="00BD74C5" w:rsidRDefault="00DB0349" w:rsidP="002C5E24">
      <w:pPr>
        <w:jc w:val="right"/>
        <w:rPr>
          <w:rFonts w:ascii="Arial Black" w:hAnsi="Arial Black"/>
          <w:caps/>
          <w:sz w:val="15"/>
          <w:szCs w:val="15"/>
          <w:lang w:val="fr-FR"/>
        </w:rPr>
      </w:pPr>
      <w:r w:rsidRPr="00BD74C5">
        <w:rPr>
          <w:rFonts w:ascii="Arial Black" w:hAnsi="Arial Black"/>
          <w:caps/>
          <w:sz w:val="15"/>
          <w:szCs w:val="15"/>
          <w:lang w:val="fr-FR"/>
        </w:rPr>
        <w:t>Original</w:t>
      </w:r>
      <w:r w:rsidR="00402837" w:rsidRPr="00BD74C5">
        <w:rPr>
          <w:rFonts w:ascii="Arial Black" w:hAnsi="Arial Black"/>
          <w:caps/>
          <w:sz w:val="15"/>
          <w:szCs w:val="15"/>
          <w:lang w:val="fr-FR"/>
        </w:rPr>
        <w:t> :</w:t>
      </w:r>
      <w:r w:rsidRPr="00BD74C5">
        <w:rPr>
          <w:rFonts w:ascii="Arial Black" w:hAnsi="Arial Black"/>
          <w:caps/>
          <w:sz w:val="15"/>
          <w:szCs w:val="15"/>
          <w:lang w:val="fr-FR"/>
        </w:rPr>
        <w:t xml:space="preserve"> </w:t>
      </w:r>
      <w:bookmarkStart w:id="1" w:name="Original"/>
      <w:r w:rsidR="00802D2E" w:rsidRPr="00BD74C5">
        <w:rPr>
          <w:rFonts w:ascii="Arial Black" w:hAnsi="Arial Black"/>
          <w:caps/>
          <w:sz w:val="15"/>
          <w:szCs w:val="15"/>
          <w:lang w:val="fr-FR"/>
        </w:rPr>
        <w:t>anglais</w:t>
      </w:r>
    </w:p>
    <w:bookmarkEnd w:id="1"/>
    <w:p w14:paraId="4B930103" w14:textId="679BE6F9" w:rsidR="008B2CC1" w:rsidRPr="00BD74C5" w:rsidRDefault="00967B86" w:rsidP="002C5E24">
      <w:pPr>
        <w:spacing w:after="1200"/>
        <w:jc w:val="right"/>
        <w:rPr>
          <w:rFonts w:ascii="Arial Black" w:hAnsi="Arial Black"/>
          <w:caps/>
          <w:sz w:val="15"/>
          <w:szCs w:val="15"/>
          <w:lang w:val="fr-FR"/>
        </w:rPr>
      </w:pPr>
      <w:r>
        <w:rPr>
          <w:rFonts w:ascii="Arial Black" w:hAnsi="Arial Black"/>
          <w:caps/>
          <w:sz w:val="15"/>
          <w:szCs w:val="15"/>
          <w:lang w:val="fr-FR"/>
        </w:rPr>
        <w:t>D</w:t>
      </w:r>
      <w:r w:rsidR="00DB0349" w:rsidRPr="00BD74C5">
        <w:rPr>
          <w:rFonts w:ascii="Arial Black" w:hAnsi="Arial Black"/>
          <w:caps/>
          <w:sz w:val="15"/>
          <w:szCs w:val="15"/>
          <w:lang w:val="fr-FR"/>
        </w:rPr>
        <w:t>ate</w:t>
      </w:r>
      <w:r w:rsidR="00402837" w:rsidRPr="00BD74C5">
        <w:rPr>
          <w:rFonts w:ascii="Arial Black" w:hAnsi="Arial Black"/>
          <w:caps/>
          <w:sz w:val="15"/>
          <w:szCs w:val="15"/>
          <w:lang w:val="fr-FR"/>
        </w:rPr>
        <w:t> :</w:t>
      </w:r>
      <w:r w:rsidR="00DB0349" w:rsidRPr="00BD74C5">
        <w:rPr>
          <w:rFonts w:ascii="Arial Black" w:hAnsi="Arial Black"/>
          <w:caps/>
          <w:sz w:val="15"/>
          <w:szCs w:val="15"/>
          <w:lang w:val="fr-FR"/>
        </w:rPr>
        <w:t xml:space="preserve"> </w:t>
      </w:r>
      <w:bookmarkStart w:id="2" w:name="Date"/>
      <w:r w:rsidR="00802D2E" w:rsidRPr="00BD74C5">
        <w:rPr>
          <w:rFonts w:ascii="Arial Black" w:hAnsi="Arial Black"/>
          <w:caps/>
          <w:sz w:val="15"/>
          <w:szCs w:val="15"/>
          <w:lang w:val="fr-FR"/>
        </w:rPr>
        <w:t>2</w:t>
      </w:r>
      <w:r w:rsidR="00402837" w:rsidRPr="00BD74C5">
        <w:rPr>
          <w:rFonts w:ascii="Arial Black" w:hAnsi="Arial Black"/>
          <w:caps/>
          <w:sz w:val="15"/>
          <w:szCs w:val="15"/>
          <w:lang w:val="fr-FR"/>
        </w:rPr>
        <w:t>4 mai 20</w:t>
      </w:r>
      <w:r w:rsidR="00802D2E" w:rsidRPr="00BD74C5">
        <w:rPr>
          <w:rFonts w:ascii="Arial Black" w:hAnsi="Arial Black"/>
          <w:caps/>
          <w:sz w:val="15"/>
          <w:szCs w:val="15"/>
          <w:lang w:val="fr-FR"/>
        </w:rPr>
        <w:t>24</w:t>
      </w:r>
    </w:p>
    <w:bookmarkEnd w:id="2"/>
    <w:p w14:paraId="619A9F5D" w14:textId="5C24E66E" w:rsidR="00D37B53" w:rsidRPr="00BD74C5" w:rsidRDefault="00D37B53" w:rsidP="002C5E24">
      <w:pPr>
        <w:spacing w:after="600"/>
        <w:rPr>
          <w:b/>
          <w:sz w:val="28"/>
          <w:szCs w:val="28"/>
          <w:lang w:val="fr-FR"/>
        </w:rPr>
      </w:pPr>
      <w:r w:rsidRPr="00BD74C5">
        <w:rPr>
          <w:b/>
          <w:sz w:val="28"/>
          <w:szCs w:val="28"/>
          <w:lang w:val="fr-FR"/>
        </w:rPr>
        <w:t>Conférence diplomatique pour la conclusion d</w:t>
      </w:r>
      <w:r w:rsidR="00402837" w:rsidRPr="00BD74C5">
        <w:rPr>
          <w:b/>
          <w:sz w:val="28"/>
          <w:szCs w:val="28"/>
          <w:lang w:val="fr-FR"/>
        </w:rPr>
        <w:t>’</w:t>
      </w:r>
      <w:r w:rsidRPr="00BD74C5">
        <w:rPr>
          <w:b/>
          <w:sz w:val="28"/>
          <w:szCs w:val="28"/>
          <w:lang w:val="fr-FR"/>
        </w:rPr>
        <w:t>un instrument juridique international sur la propriété intellectuelle relative aux ressources génétiques et aux savoirs traditionnels associés aux ressources génétiques</w:t>
      </w:r>
    </w:p>
    <w:p w14:paraId="03E0935F" w14:textId="3481A049" w:rsidR="008B2CC1" w:rsidRPr="00BD74C5" w:rsidRDefault="007C1928" w:rsidP="002C5E24">
      <w:pPr>
        <w:spacing w:after="720"/>
        <w:rPr>
          <w:b/>
          <w:sz w:val="24"/>
          <w:szCs w:val="24"/>
          <w:lang w:val="fr-FR"/>
        </w:rPr>
      </w:pPr>
      <w:r w:rsidRPr="00BD74C5">
        <w:rPr>
          <w:b/>
          <w:sz w:val="24"/>
          <w:szCs w:val="24"/>
          <w:lang w:val="fr-FR"/>
        </w:rPr>
        <w:t xml:space="preserve">Genève, </w:t>
      </w:r>
      <w:r w:rsidR="00D37B53" w:rsidRPr="00BD74C5">
        <w:rPr>
          <w:b/>
          <w:sz w:val="24"/>
          <w:szCs w:val="24"/>
          <w:lang w:val="fr-FR"/>
        </w:rPr>
        <w:t>13 – 2</w:t>
      </w:r>
      <w:r w:rsidR="00402837" w:rsidRPr="00BD74C5">
        <w:rPr>
          <w:b/>
          <w:sz w:val="24"/>
          <w:szCs w:val="24"/>
          <w:lang w:val="fr-FR"/>
        </w:rPr>
        <w:t>4 mai 20</w:t>
      </w:r>
      <w:r w:rsidR="00D37B53" w:rsidRPr="00BD74C5">
        <w:rPr>
          <w:b/>
          <w:sz w:val="24"/>
          <w:szCs w:val="24"/>
          <w:lang w:val="fr-FR"/>
        </w:rPr>
        <w:t>24</w:t>
      </w:r>
    </w:p>
    <w:p w14:paraId="5D98A5E5" w14:textId="31B0227F" w:rsidR="00402837" w:rsidRPr="00BD74C5" w:rsidRDefault="009A2DFF" w:rsidP="002C5E24">
      <w:pPr>
        <w:spacing w:after="360"/>
        <w:rPr>
          <w:caps/>
          <w:sz w:val="24"/>
          <w:lang w:val="fr-FR"/>
        </w:rPr>
      </w:pPr>
      <w:bookmarkStart w:id="3" w:name="TitleOfDoc"/>
      <w:r w:rsidRPr="009A2DFF">
        <w:rPr>
          <w:caps/>
          <w:sz w:val="24"/>
          <w:lang w:val="fr-FR"/>
        </w:rPr>
        <w:t>Traité de l’OMPI sur la propriété intellectuelle, les ressources génétiques et les savoirs traditionnels associés</w:t>
      </w:r>
    </w:p>
    <w:p w14:paraId="1E27919F" w14:textId="0C43E818" w:rsidR="00802D2E" w:rsidRPr="00BD74C5" w:rsidRDefault="00D85C40" w:rsidP="002C5E24">
      <w:pPr>
        <w:spacing w:after="1040"/>
        <w:rPr>
          <w:i/>
          <w:lang w:val="fr-FR"/>
        </w:rPr>
      </w:pPr>
      <w:bookmarkStart w:id="4" w:name="Prepared"/>
      <w:bookmarkEnd w:id="3"/>
      <w:proofErr w:type="gramStart"/>
      <w:r>
        <w:rPr>
          <w:i/>
          <w:lang w:val="fr-FR"/>
        </w:rPr>
        <w:t>ad</w:t>
      </w:r>
      <w:r w:rsidR="00802D2E" w:rsidRPr="00BD74C5">
        <w:rPr>
          <w:i/>
          <w:lang w:val="fr-FR"/>
        </w:rPr>
        <w:t>op</w:t>
      </w:r>
      <w:r>
        <w:rPr>
          <w:i/>
          <w:lang w:val="fr-FR"/>
        </w:rPr>
        <w:t>t</w:t>
      </w:r>
      <w:r w:rsidR="00802D2E" w:rsidRPr="00BD74C5">
        <w:rPr>
          <w:i/>
          <w:lang w:val="fr-FR"/>
        </w:rPr>
        <w:t>é</w:t>
      </w:r>
      <w:proofErr w:type="gramEnd"/>
      <w:r w:rsidR="00802D2E" w:rsidRPr="00BD74C5">
        <w:rPr>
          <w:i/>
          <w:lang w:val="fr-FR"/>
        </w:rPr>
        <w:t xml:space="preserve"> par la </w:t>
      </w:r>
      <w:r w:rsidR="00802D2E" w:rsidRPr="006A283D">
        <w:rPr>
          <w:i/>
          <w:lang w:val="fr-FR"/>
        </w:rPr>
        <w:t>conférence</w:t>
      </w:r>
      <w:r w:rsidR="00802D2E" w:rsidRPr="00BD74C5">
        <w:rPr>
          <w:i/>
          <w:lang w:val="fr-FR"/>
        </w:rPr>
        <w:t xml:space="preserve"> diplomatique</w:t>
      </w:r>
    </w:p>
    <w:p w14:paraId="223F1871" w14:textId="77777777" w:rsidR="00802D2E" w:rsidRPr="00BD74C5" w:rsidRDefault="00802D2E" w:rsidP="002C5E24">
      <w:pPr>
        <w:rPr>
          <w:lang w:val="fr-FR"/>
        </w:rPr>
      </w:pPr>
      <w:r w:rsidRPr="00BD74C5">
        <w:rPr>
          <w:lang w:val="fr-FR"/>
        </w:rPr>
        <w:br w:type="page"/>
      </w:r>
    </w:p>
    <w:p w14:paraId="232A1B08" w14:textId="77777777" w:rsidR="00802D2E" w:rsidRPr="00BD74C5" w:rsidRDefault="00802D2E" w:rsidP="002C5E24">
      <w:pPr>
        <w:pStyle w:val="NormalWeb"/>
        <w:spacing w:before="0" w:beforeAutospacing="0" w:after="220" w:afterAutospacing="0"/>
        <w:rPr>
          <w:rFonts w:ascii="Arial" w:hAnsi="Arial"/>
          <w:sz w:val="20"/>
        </w:rPr>
      </w:pPr>
      <w:r w:rsidRPr="00BD74C5">
        <w:rPr>
          <w:rFonts w:ascii="Arial" w:hAnsi="Arial"/>
          <w:sz w:val="22"/>
        </w:rPr>
        <w:t>Les parties au présent traité</w:t>
      </w:r>
      <w:r w:rsidRPr="00BD74C5">
        <w:rPr>
          <w:rFonts w:ascii="Arial" w:hAnsi="Arial"/>
          <w:sz w:val="20"/>
        </w:rPr>
        <w:t>,</w:t>
      </w:r>
    </w:p>
    <w:p w14:paraId="215BD228" w14:textId="75360670" w:rsidR="00802D2E" w:rsidRPr="00BD74C5" w:rsidRDefault="00802D2E" w:rsidP="002C5E24">
      <w:pPr>
        <w:spacing w:after="220"/>
        <w:rPr>
          <w:lang w:val="fr-FR"/>
        </w:rPr>
      </w:pPr>
      <w:r w:rsidRPr="00BD74C5">
        <w:rPr>
          <w:i/>
          <w:iCs/>
          <w:lang w:val="fr-FR"/>
        </w:rPr>
        <w:t>Désireuses</w:t>
      </w:r>
      <w:r w:rsidRPr="00BD74C5">
        <w:rPr>
          <w:lang w:val="fr-FR"/>
        </w:rPr>
        <w:t xml:space="preserve"> de promouvoir</w:t>
      </w:r>
      <w:r w:rsidRPr="00BD74C5">
        <w:rPr>
          <w:i/>
          <w:lang w:val="fr-FR"/>
        </w:rPr>
        <w:t xml:space="preserve"> </w:t>
      </w:r>
      <w:r w:rsidRPr="00BD74C5">
        <w:rPr>
          <w:lang w:val="fr-FR"/>
        </w:rPr>
        <w:t>l</w:t>
      </w:r>
      <w:r w:rsidR="00402837" w:rsidRPr="00BD74C5">
        <w:rPr>
          <w:lang w:val="fr-FR"/>
        </w:rPr>
        <w:t>’</w:t>
      </w:r>
      <w:r w:rsidRPr="00BD74C5">
        <w:rPr>
          <w:lang w:val="fr-FR"/>
        </w:rPr>
        <w:t>efficacité, la transparence et la qualité du système des brevets en ce qui concerne les ressources génétiques et les savoirs traditionnels associés aux ressources génétiques,</w:t>
      </w:r>
    </w:p>
    <w:p w14:paraId="5A9A109C" w14:textId="3E1732C6" w:rsidR="00802D2E" w:rsidRPr="00BD74C5" w:rsidRDefault="00802D2E" w:rsidP="002C5E24">
      <w:pPr>
        <w:spacing w:after="220"/>
        <w:rPr>
          <w:lang w:val="fr-FR"/>
        </w:rPr>
      </w:pPr>
      <w:r w:rsidRPr="00BD74C5">
        <w:rPr>
          <w:i/>
          <w:iCs/>
          <w:lang w:val="fr-FR"/>
        </w:rPr>
        <w:t>Soulignant</w:t>
      </w:r>
      <w:r w:rsidRPr="00BD74C5">
        <w:rPr>
          <w:lang w:val="fr-FR"/>
        </w:rPr>
        <w:t xml:space="preserve"> l</w:t>
      </w:r>
      <w:r w:rsidR="00402837" w:rsidRPr="00BD74C5">
        <w:rPr>
          <w:lang w:val="fr-FR"/>
        </w:rPr>
        <w:t>’</w:t>
      </w:r>
      <w:r w:rsidRPr="00BD74C5">
        <w:rPr>
          <w:lang w:val="fr-FR"/>
        </w:rPr>
        <w:t>importance de l</w:t>
      </w:r>
      <w:r w:rsidR="00402837" w:rsidRPr="00BD74C5">
        <w:rPr>
          <w:lang w:val="fr-FR"/>
        </w:rPr>
        <w:t>’</w:t>
      </w:r>
      <w:r w:rsidRPr="00BD74C5">
        <w:rPr>
          <w:lang w:val="fr-FR"/>
        </w:rPr>
        <w:t>accès des offices des brevets à des informations appropriées sur les ressources génétiques et les savoirs traditionnels associés aux ressources génétiques afin de prévenir la délivrance de brevets indus pour des inventions qui ne sont pas nouvelles ou n</w:t>
      </w:r>
      <w:r w:rsidR="00402837" w:rsidRPr="00BD74C5">
        <w:rPr>
          <w:lang w:val="fr-FR"/>
        </w:rPr>
        <w:t>’</w:t>
      </w:r>
      <w:r w:rsidRPr="00BD74C5">
        <w:rPr>
          <w:lang w:val="fr-FR"/>
        </w:rPr>
        <w:t>impliquent pas d</w:t>
      </w:r>
      <w:r w:rsidR="00402837" w:rsidRPr="00BD74C5">
        <w:rPr>
          <w:lang w:val="fr-FR"/>
        </w:rPr>
        <w:t>’</w:t>
      </w:r>
      <w:r w:rsidRPr="00BD74C5">
        <w:rPr>
          <w:lang w:val="fr-FR"/>
        </w:rPr>
        <w:t xml:space="preserve">activité inventive </w:t>
      </w:r>
      <w:r w:rsidR="006A283D">
        <w:rPr>
          <w:lang w:val="fr-FR"/>
        </w:rPr>
        <w:t>au reg</w:t>
      </w:r>
      <w:r w:rsidRPr="00BD74C5">
        <w:rPr>
          <w:lang w:val="fr-FR"/>
        </w:rPr>
        <w:t xml:space="preserve">ard </w:t>
      </w:r>
      <w:r w:rsidR="006A283D">
        <w:rPr>
          <w:lang w:val="fr-FR"/>
        </w:rPr>
        <w:t>des</w:t>
      </w:r>
      <w:r w:rsidRPr="00BD74C5">
        <w:rPr>
          <w:lang w:val="fr-FR"/>
        </w:rPr>
        <w:t xml:space="preserve"> ressources génétiques et </w:t>
      </w:r>
      <w:r w:rsidR="006A283D">
        <w:rPr>
          <w:lang w:val="fr-FR"/>
        </w:rPr>
        <w:t>des</w:t>
      </w:r>
      <w:r w:rsidRPr="00BD74C5">
        <w:rPr>
          <w:lang w:val="fr-FR"/>
        </w:rPr>
        <w:t xml:space="preserve"> savoirs traditionnels associés aux ressources génétiques,</w:t>
      </w:r>
    </w:p>
    <w:p w14:paraId="637C26D5" w14:textId="799E9DBF" w:rsidR="00802D2E" w:rsidRPr="00BD74C5" w:rsidRDefault="006A283D" w:rsidP="002C5E24">
      <w:pPr>
        <w:spacing w:after="220"/>
        <w:rPr>
          <w:szCs w:val="22"/>
          <w:lang w:val="fr-FR"/>
        </w:rPr>
      </w:pPr>
      <w:r>
        <w:rPr>
          <w:i/>
          <w:iCs/>
          <w:lang w:val="fr-FR"/>
        </w:rPr>
        <w:t>Reconnaissant</w:t>
      </w:r>
      <w:r w:rsidR="00802D2E" w:rsidRPr="00BD74C5">
        <w:rPr>
          <w:lang w:val="fr-FR"/>
        </w:rPr>
        <w:t xml:space="preserve"> la contribution potentielle du système des brevets à la protection des ressources génétiques et des savoirs traditionnels associés aux ressources génétiques,</w:t>
      </w:r>
    </w:p>
    <w:p w14:paraId="2CEAA461" w14:textId="4BF6AC10" w:rsidR="00802D2E" w:rsidRPr="00BD74C5" w:rsidRDefault="00802D2E" w:rsidP="002C5E24">
      <w:pPr>
        <w:spacing w:after="220"/>
        <w:rPr>
          <w:szCs w:val="22"/>
          <w:lang w:val="fr-FR"/>
        </w:rPr>
      </w:pPr>
      <w:r w:rsidRPr="00BD74C5">
        <w:rPr>
          <w:i/>
          <w:iCs/>
          <w:lang w:val="fr-FR"/>
        </w:rPr>
        <w:t>Reconnaissant</w:t>
      </w:r>
      <w:r w:rsidRPr="00BD74C5">
        <w:rPr>
          <w:lang w:val="fr-FR"/>
        </w:rPr>
        <w:t xml:space="preserve"> qu</w:t>
      </w:r>
      <w:r w:rsidR="00402837" w:rsidRPr="00BD74C5">
        <w:rPr>
          <w:lang w:val="fr-FR"/>
        </w:rPr>
        <w:t>’</w:t>
      </w:r>
      <w:r w:rsidRPr="00BD74C5">
        <w:rPr>
          <w:lang w:val="fr-FR"/>
        </w:rPr>
        <w:t>une exigence de divulgation internationale relative aux ressources génétiques et aux savoirs traditionnels associés aux ressources génétiques dans les demandes de brevet contribue à la sécurité et à la cohérence juridiques et présente de ce fait des avantages pour le système des brevets et pour les fournisseurs et les utilisateurs de ces ressources et de ces savoirs,</w:t>
      </w:r>
    </w:p>
    <w:p w14:paraId="40B0DF66" w14:textId="747A12DF" w:rsidR="00802D2E" w:rsidRPr="00BD74C5" w:rsidRDefault="006A283D" w:rsidP="002C5E24">
      <w:pPr>
        <w:spacing w:after="220"/>
        <w:rPr>
          <w:szCs w:val="22"/>
          <w:lang w:val="fr-FR"/>
        </w:rPr>
      </w:pPr>
      <w:r>
        <w:rPr>
          <w:i/>
          <w:iCs/>
          <w:lang w:val="fr-FR"/>
        </w:rPr>
        <w:t xml:space="preserve">Reconnaissant </w:t>
      </w:r>
      <w:r w:rsidR="00802D2E" w:rsidRPr="00BD74C5">
        <w:rPr>
          <w:lang w:val="fr-FR"/>
        </w:rPr>
        <w:t>que ce traité et d</w:t>
      </w:r>
      <w:r w:rsidR="00402837" w:rsidRPr="00BD74C5">
        <w:rPr>
          <w:lang w:val="fr-FR"/>
        </w:rPr>
        <w:t>’</w:t>
      </w:r>
      <w:r w:rsidR="00802D2E" w:rsidRPr="00BD74C5">
        <w:rPr>
          <w:lang w:val="fr-FR"/>
        </w:rPr>
        <w:t xml:space="preserve">autres instruments internationaux relatifs aux ressources génétiques et aux savoirs traditionnels associés aux ressources génétiques </w:t>
      </w:r>
      <w:r>
        <w:rPr>
          <w:lang w:val="fr-FR"/>
        </w:rPr>
        <w:t>devraient</w:t>
      </w:r>
      <w:r w:rsidRPr="00BD74C5">
        <w:rPr>
          <w:lang w:val="fr-FR"/>
        </w:rPr>
        <w:t xml:space="preserve"> </w:t>
      </w:r>
      <w:r w:rsidR="00802D2E" w:rsidRPr="00BD74C5">
        <w:rPr>
          <w:lang w:val="fr-FR"/>
        </w:rPr>
        <w:t>être complémentaires,</w:t>
      </w:r>
    </w:p>
    <w:p w14:paraId="5C7734CE" w14:textId="2076495E" w:rsidR="00802D2E" w:rsidRPr="00BD74C5" w:rsidRDefault="00802D2E" w:rsidP="002C5E24">
      <w:pPr>
        <w:spacing w:after="220"/>
        <w:rPr>
          <w:szCs w:val="22"/>
          <w:lang w:val="fr-FR"/>
        </w:rPr>
      </w:pPr>
      <w:r w:rsidRPr="00BD74C5">
        <w:rPr>
          <w:i/>
          <w:iCs/>
          <w:lang w:val="fr-FR"/>
        </w:rPr>
        <w:t>Reconnaissant et réaffirmant</w:t>
      </w:r>
      <w:r w:rsidRPr="00BD74C5">
        <w:rPr>
          <w:lang w:val="fr-FR"/>
        </w:rPr>
        <w:t xml:space="preserve"> le rôle du système de propriété intellectuelle dans la promotion de l</w:t>
      </w:r>
      <w:r w:rsidR="00402837" w:rsidRPr="00BD74C5">
        <w:rPr>
          <w:lang w:val="fr-FR"/>
        </w:rPr>
        <w:t>’</w:t>
      </w:r>
      <w:r w:rsidRPr="00BD74C5">
        <w:rPr>
          <w:lang w:val="fr-FR"/>
        </w:rPr>
        <w:t>innovation, le transfert et la diffusion des connaissances et le développement économique, dans l</w:t>
      </w:r>
      <w:r w:rsidR="00402837" w:rsidRPr="00BD74C5">
        <w:rPr>
          <w:lang w:val="fr-FR"/>
        </w:rPr>
        <w:t>’</w:t>
      </w:r>
      <w:r w:rsidRPr="00BD74C5">
        <w:rPr>
          <w:lang w:val="fr-FR"/>
        </w:rPr>
        <w:t>intérêt mutuel des fournisseurs et des utilisateurs des ressources génétiques et des savoirs traditionnels associés aux ressources génétiques,</w:t>
      </w:r>
    </w:p>
    <w:p w14:paraId="64319A20" w14:textId="3987D31C" w:rsidR="00802D2E" w:rsidRPr="00BD74C5" w:rsidRDefault="00802D2E" w:rsidP="002C5E24">
      <w:pPr>
        <w:spacing w:after="220"/>
        <w:rPr>
          <w:lang w:val="fr-FR"/>
        </w:rPr>
      </w:pPr>
      <w:r w:rsidRPr="00BD74C5">
        <w:rPr>
          <w:i/>
          <w:iCs/>
          <w:lang w:val="fr-FR"/>
        </w:rPr>
        <w:t xml:space="preserve">Reconnaissant </w:t>
      </w:r>
      <w:r w:rsidRPr="00BD74C5">
        <w:rPr>
          <w:lang w:val="fr-FR"/>
        </w:rPr>
        <w:t xml:space="preserve">la Déclaration des </w:t>
      </w:r>
      <w:r w:rsidR="00402837" w:rsidRPr="00BD74C5">
        <w:rPr>
          <w:lang w:val="fr-FR"/>
        </w:rPr>
        <w:t>Nations Unies</w:t>
      </w:r>
      <w:r w:rsidRPr="00BD74C5">
        <w:rPr>
          <w:lang w:val="fr-FR"/>
        </w:rPr>
        <w:t xml:space="preserve"> sur les droits des peuples autochtones et l</w:t>
      </w:r>
      <w:r w:rsidR="00402837" w:rsidRPr="00BD74C5">
        <w:rPr>
          <w:lang w:val="fr-FR"/>
        </w:rPr>
        <w:t>’</w:t>
      </w:r>
      <w:r w:rsidRPr="00BD74C5">
        <w:rPr>
          <w:lang w:val="fr-FR"/>
        </w:rPr>
        <w:t>engagement à atteindre les objectifs qui y sont énoncés, et</w:t>
      </w:r>
    </w:p>
    <w:p w14:paraId="5DF2AEEA" w14:textId="4B0087B9" w:rsidR="00802D2E" w:rsidRPr="00BD74C5" w:rsidRDefault="00802D2E" w:rsidP="002C5E24">
      <w:pPr>
        <w:spacing w:after="220"/>
        <w:rPr>
          <w:szCs w:val="22"/>
          <w:lang w:val="fr-FR"/>
        </w:rPr>
      </w:pPr>
      <w:r w:rsidRPr="00BD74C5">
        <w:rPr>
          <w:i/>
          <w:iCs/>
          <w:szCs w:val="22"/>
          <w:lang w:val="fr-FR"/>
        </w:rPr>
        <w:t xml:space="preserve">Affirmant </w:t>
      </w:r>
      <w:r w:rsidRPr="00BD74C5">
        <w:rPr>
          <w:szCs w:val="22"/>
          <w:lang w:val="fr-FR"/>
        </w:rPr>
        <w:t>que tout doit être mis en œuvre pour associer les peuples autochtones et les communautés locales, le cas</w:t>
      </w:r>
      <w:r w:rsidR="006A283D">
        <w:rPr>
          <w:szCs w:val="22"/>
          <w:lang w:val="fr-FR"/>
        </w:rPr>
        <w:t xml:space="preserve"> échéant</w:t>
      </w:r>
      <w:r w:rsidRPr="00BD74C5">
        <w:rPr>
          <w:szCs w:val="22"/>
          <w:lang w:val="fr-FR"/>
        </w:rPr>
        <w:t>, à la mise en œuvre du présent traité,</w:t>
      </w:r>
    </w:p>
    <w:p w14:paraId="422D396C" w14:textId="6334005F" w:rsidR="00802D2E" w:rsidRPr="00BD74C5" w:rsidRDefault="00802D2E" w:rsidP="002C5E24">
      <w:pPr>
        <w:spacing w:after="220"/>
        <w:rPr>
          <w:szCs w:val="22"/>
          <w:lang w:val="fr-FR"/>
        </w:rPr>
      </w:pPr>
      <w:r w:rsidRPr="00BD74C5">
        <w:rPr>
          <w:lang w:val="fr-FR"/>
        </w:rPr>
        <w:t>Sont convenues de ce qui suit</w:t>
      </w:r>
      <w:r w:rsidR="00402837" w:rsidRPr="00BD74C5">
        <w:rPr>
          <w:lang w:val="fr-FR"/>
        </w:rPr>
        <w:t> :</w:t>
      </w:r>
    </w:p>
    <w:p w14:paraId="5C00CC15" w14:textId="77777777" w:rsidR="00802D2E" w:rsidRPr="00BD74C5" w:rsidRDefault="00802D2E" w:rsidP="002C5E24">
      <w:pPr>
        <w:spacing w:before="840"/>
        <w:jc w:val="center"/>
        <w:rPr>
          <w:b/>
          <w:szCs w:val="22"/>
          <w:lang w:val="fr-FR"/>
        </w:rPr>
      </w:pPr>
      <w:r w:rsidRPr="00BD74C5">
        <w:rPr>
          <w:b/>
          <w:lang w:val="fr-FR"/>
        </w:rPr>
        <w:t>ARTICLE PREMIER</w:t>
      </w:r>
    </w:p>
    <w:p w14:paraId="25A23864" w14:textId="77777777" w:rsidR="00802D2E" w:rsidRPr="00BD74C5" w:rsidRDefault="00802D2E" w:rsidP="002C5E24">
      <w:pPr>
        <w:spacing w:after="240"/>
        <w:jc w:val="center"/>
        <w:rPr>
          <w:b/>
          <w:szCs w:val="22"/>
          <w:lang w:val="fr-FR"/>
        </w:rPr>
      </w:pPr>
      <w:r w:rsidRPr="00BD74C5">
        <w:rPr>
          <w:b/>
          <w:lang w:val="fr-FR"/>
        </w:rPr>
        <w:t>OBJECTIFS</w:t>
      </w:r>
    </w:p>
    <w:p w14:paraId="2D175FE4" w14:textId="56B6333E" w:rsidR="00802D2E" w:rsidRPr="00BD74C5" w:rsidRDefault="00802D2E" w:rsidP="002C5E24">
      <w:pPr>
        <w:pStyle w:val="NormalWeb"/>
        <w:spacing w:before="0" w:beforeAutospacing="0" w:after="220" w:afterAutospacing="0"/>
        <w:rPr>
          <w:rFonts w:ascii="Arial" w:hAnsi="Arial" w:cs="Arial"/>
          <w:sz w:val="22"/>
          <w:szCs w:val="22"/>
        </w:rPr>
      </w:pPr>
      <w:r w:rsidRPr="00BD74C5">
        <w:rPr>
          <w:rFonts w:ascii="Arial" w:hAnsi="Arial"/>
          <w:sz w:val="22"/>
        </w:rPr>
        <w:t>Le présent traité a pour objectifs</w:t>
      </w:r>
      <w:r w:rsidR="00402837" w:rsidRPr="00BD74C5">
        <w:rPr>
          <w:rFonts w:ascii="Arial" w:hAnsi="Arial"/>
          <w:sz w:val="22"/>
        </w:rPr>
        <w:t> :</w:t>
      </w:r>
    </w:p>
    <w:p w14:paraId="7C3EC018" w14:textId="71AF94E6" w:rsidR="00802D2E" w:rsidRPr="00BD74C5" w:rsidRDefault="006A283D" w:rsidP="002C5E24">
      <w:pPr>
        <w:pStyle w:val="NormalWeb"/>
        <w:numPr>
          <w:ilvl w:val="0"/>
          <w:numId w:val="8"/>
        </w:numPr>
        <w:spacing w:before="0" w:beforeAutospacing="0" w:after="220" w:afterAutospacing="0"/>
        <w:ind w:left="1134" w:hanging="567"/>
        <w:rPr>
          <w:rFonts w:ascii="Arial" w:hAnsi="Arial"/>
          <w:sz w:val="22"/>
        </w:rPr>
      </w:pPr>
      <w:proofErr w:type="gramStart"/>
      <w:r>
        <w:rPr>
          <w:rFonts w:ascii="Arial" w:hAnsi="Arial"/>
          <w:sz w:val="22"/>
        </w:rPr>
        <w:t>de</w:t>
      </w:r>
      <w:proofErr w:type="gramEnd"/>
      <w:r>
        <w:rPr>
          <w:rFonts w:ascii="Arial" w:hAnsi="Arial"/>
          <w:sz w:val="22"/>
        </w:rPr>
        <w:t xml:space="preserve"> </w:t>
      </w:r>
      <w:r w:rsidR="00802D2E" w:rsidRPr="00BD74C5">
        <w:rPr>
          <w:rFonts w:ascii="Arial" w:hAnsi="Arial"/>
          <w:sz w:val="22"/>
        </w:rPr>
        <w:t>favoriser l</w:t>
      </w:r>
      <w:r w:rsidR="00402837" w:rsidRPr="00BD74C5">
        <w:rPr>
          <w:rFonts w:ascii="Arial" w:hAnsi="Arial"/>
          <w:sz w:val="22"/>
        </w:rPr>
        <w:t>’</w:t>
      </w:r>
      <w:r w:rsidR="00802D2E" w:rsidRPr="00BD74C5">
        <w:rPr>
          <w:rFonts w:ascii="Arial" w:hAnsi="Arial"/>
          <w:sz w:val="22"/>
        </w:rPr>
        <w:t xml:space="preserve">efficacité, la transparence et la qualité du système des brevets en ce qui concerne les ressources génétiques et les savoirs traditionnels associés aux ressources génétiques;  et </w:t>
      </w:r>
    </w:p>
    <w:p w14:paraId="099DD289" w14:textId="48A425F1" w:rsidR="00802D2E" w:rsidRPr="00BD74C5" w:rsidRDefault="006A283D" w:rsidP="002C5E24">
      <w:pPr>
        <w:pStyle w:val="NormalWeb"/>
        <w:numPr>
          <w:ilvl w:val="0"/>
          <w:numId w:val="8"/>
        </w:numPr>
        <w:spacing w:before="0" w:beforeAutospacing="0" w:after="0" w:afterAutospacing="0"/>
        <w:ind w:left="1134" w:hanging="567"/>
        <w:rPr>
          <w:rFonts w:ascii="Arial" w:hAnsi="Arial" w:cs="Arial"/>
          <w:sz w:val="22"/>
          <w:szCs w:val="22"/>
        </w:rPr>
      </w:pPr>
      <w:proofErr w:type="gramStart"/>
      <w:r w:rsidRPr="00BD74C5">
        <w:rPr>
          <w:rFonts w:ascii="Arial" w:hAnsi="Arial"/>
          <w:sz w:val="22"/>
        </w:rPr>
        <w:t>de</w:t>
      </w:r>
      <w:proofErr w:type="gramEnd"/>
      <w:r w:rsidRPr="00BD74C5">
        <w:rPr>
          <w:rFonts w:ascii="Arial" w:hAnsi="Arial"/>
          <w:sz w:val="22"/>
        </w:rPr>
        <w:t xml:space="preserve"> </w:t>
      </w:r>
      <w:r w:rsidR="00802D2E" w:rsidRPr="00BD74C5">
        <w:rPr>
          <w:rFonts w:ascii="Arial" w:hAnsi="Arial"/>
          <w:sz w:val="22"/>
        </w:rPr>
        <w:t xml:space="preserve">prévenir la délivrance de brevets indus pour des inventions qui ne sont pas </w:t>
      </w:r>
      <w:r w:rsidR="00802D2E" w:rsidRPr="000404CE">
        <w:rPr>
          <w:rFonts w:ascii="Arial" w:hAnsi="Arial"/>
          <w:sz w:val="22"/>
        </w:rPr>
        <w:t>nouvelles ou n</w:t>
      </w:r>
      <w:r w:rsidR="00402837" w:rsidRPr="000404CE">
        <w:rPr>
          <w:rFonts w:ascii="Arial" w:hAnsi="Arial"/>
          <w:sz w:val="22"/>
        </w:rPr>
        <w:t>’</w:t>
      </w:r>
      <w:r w:rsidR="00802D2E" w:rsidRPr="000404CE">
        <w:rPr>
          <w:rFonts w:ascii="Arial" w:hAnsi="Arial"/>
          <w:sz w:val="22"/>
        </w:rPr>
        <w:t>impliquent pas d</w:t>
      </w:r>
      <w:r w:rsidR="00402837" w:rsidRPr="000404CE">
        <w:rPr>
          <w:rFonts w:ascii="Arial" w:hAnsi="Arial"/>
          <w:sz w:val="22"/>
        </w:rPr>
        <w:t>’</w:t>
      </w:r>
      <w:r w:rsidR="00802D2E" w:rsidRPr="000404CE">
        <w:rPr>
          <w:rFonts w:ascii="Arial" w:hAnsi="Arial"/>
          <w:sz w:val="22"/>
        </w:rPr>
        <w:t xml:space="preserve">activité inventive </w:t>
      </w:r>
      <w:r w:rsidRPr="000404CE">
        <w:rPr>
          <w:rFonts w:ascii="Arial" w:hAnsi="Arial"/>
          <w:sz w:val="22"/>
        </w:rPr>
        <w:t>au re</w:t>
      </w:r>
      <w:r w:rsidR="00802D2E" w:rsidRPr="000404CE">
        <w:rPr>
          <w:rFonts w:ascii="Arial" w:hAnsi="Arial"/>
          <w:sz w:val="22"/>
        </w:rPr>
        <w:t xml:space="preserve">gard </w:t>
      </w:r>
      <w:r w:rsidRPr="000404CE">
        <w:rPr>
          <w:rFonts w:ascii="Arial" w:hAnsi="Arial"/>
          <w:sz w:val="22"/>
        </w:rPr>
        <w:t xml:space="preserve">des </w:t>
      </w:r>
      <w:r w:rsidR="00802D2E" w:rsidRPr="000404CE">
        <w:rPr>
          <w:rFonts w:ascii="Arial" w:hAnsi="Arial"/>
          <w:sz w:val="22"/>
        </w:rPr>
        <w:t>ressources</w:t>
      </w:r>
      <w:r w:rsidR="00802D2E" w:rsidRPr="00BD74C5">
        <w:rPr>
          <w:rFonts w:ascii="Arial" w:hAnsi="Arial"/>
          <w:sz w:val="22"/>
        </w:rPr>
        <w:t xml:space="preserve"> </w:t>
      </w:r>
      <w:r w:rsidR="00802D2E" w:rsidRPr="00BD74C5">
        <w:rPr>
          <w:rFonts w:ascii="Arial" w:hAnsi="Arial" w:cs="Arial"/>
          <w:sz w:val="22"/>
          <w:szCs w:val="22"/>
        </w:rPr>
        <w:t xml:space="preserve">génétiques et </w:t>
      </w:r>
      <w:r>
        <w:rPr>
          <w:rFonts w:ascii="Arial" w:hAnsi="Arial" w:cs="Arial"/>
          <w:sz w:val="22"/>
          <w:szCs w:val="22"/>
        </w:rPr>
        <w:t>des</w:t>
      </w:r>
      <w:r w:rsidRPr="00BD74C5">
        <w:rPr>
          <w:rFonts w:ascii="Arial" w:hAnsi="Arial" w:cs="Arial"/>
          <w:sz w:val="22"/>
          <w:szCs w:val="22"/>
        </w:rPr>
        <w:t xml:space="preserve"> </w:t>
      </w:r>
      <w:r w:rsidR="00802D2E" w:rsidRPr="00BD74C5">
        <w:rPr>
          <w:rFonts w:ascii="Arial" w:hAnsi="Arial" w:cs="Arial"/>
          <w:sz w:val="22"/>
          <w:szCs w:val="22"/>
        </w:rPr>
        <w:t>savoirs traditionnels associés aux ressources génétiques</w:t>
      </w:r>
      <w:r w:rsidR="000147EF">
        <w:rPr>
          <w:rFonts w:ascii="Arial" w:hAnsi="Arial" w:cs="Arial"/>
          <w:sz w:val="22"/>
          <w:szCs w:val="22"/>
        </w:rPr>
        <w:t>.</w:t>
      </w:r>
    </w:p>
    <w:p w14:paraId="06A27C55" w14:textId="77777777" w:rsidR="00802D2E" w:rsidRPr="00BD74C5" w:rsidRDefault="00802D2E" w:rsidP="002C5E24">
      <w:pPr>
        <w:rPr>
          <w:szCs w:val="22"/>
          <w:u w:val="single"/>
          <w:lang w:val="fr-FR"/>
        </w:rPr>
      </w:pPr>
      <w:r w:rsidRPr="00BD74C5">
        <w:rPr>
          <w:lang w:val="fr-FR"/>
        </w:rPr>
        <w:br w:type="page"/>
      </w:r>
    </w:p>
    <w:p w14:paraId="228882F3" w14:textId="77777777" w:rsidR="00802D2E" w:rsidRPr="00BD74C5" w:rsidRDefault="00802D2E" w:rsidP="002C5E24">
      <w:pPr>
        <w:spacing w:before="840"/>
        <w:jc w:val="center"/>
        <w:rPr>
          <w:b/>
          <w:szCs w:val="22"/>
          <w:lang w:val="fr-FR"/>
        </w:rPr>
      </w:pPr>
      <w:r w:rsidRPr="00BD74C5">
        <w:rPr>
          <w:b/>
          <w:lang w:val="fr-FR"/>
        </w:rPr>
        <w:t>ARTICLE 2</w:t>
      </w:r>
    </w:p>
    <w:p w14:paraId="6A147559" w14:textId="77777777" w:rsidR="00802D2E" w:rsidRPr="00BD74C5" w:rsidRDefault="00802D2E" w:rsidP="002C5E24">
      <w:pPr>
        <w:spacing w:after="240"/>
        <w:jc w:val="center"/>
        <w:rPr>
          <w:b/>
          <w:szCs w:val="22"/>
          <w:lang w:val="fr-FR"/>
        </w:rPr>
      </w:pPr>
      <w:r w:rsidRPr="00BD74C5">
        <w:rPr>
          <w:b/>
          <w:lang w:val="fr-FR"/>
        </w:rPr>
        <w:t>LISTE DE TERMES</w:t>
      </w:r>
    </w:p>
    <w:p w14:paraId="093B5339" w14:textId="77777777" w:rsidR="00802D2E" w:rsidRPr="00BD74C5" w:rsidRDefault="00802D2E" w:rsidP="002C5E24">
      <w:pPr>
        <w:pStyle w:val="NormalWeb"/>
        <w:spacing w:before="0" w:beforeAutospacing="0" w:after="220" w:afterAutospacing="0"/>
        <w:rPr>
          <w:rFonts w:ascii="Arial" w:hAnsi="Arial"/>
          <w:sz w:val="22"/>
        </w:rPr>
      </w:pPr>
      <w:r w:rsidRPr="00BD74C5">
        <w:rPr>
          <w:rFonts w:ascii="Arial" w:hAnsi="Arial"/>
          <w:sz w:val="22"/>
        </w:rPr>
        <w:t>Aux fins du présent traité,</w:t>
      </w:r>
    </w:p>
    <w:p w14:paraId="150AE905" w14:textId="281F40C9" w:rsidR="00802D2E" w:rsidRPr="00BD74C5" w:rsidRDefault="00802D2E" w:rsidP="002C5E24">
      <w:pPr>
        <w:pStyle w:val="NormalWeb"/>
        <w:spacing w:before="0" w:beforeAutospacing="0" w:after="220" w:afterAutospacing="0"/>
        <w:rPr>
          <w:rFonts w:ascii="Arial" w:hAnsi="Arial"/>
          <w:sz w:val="22"/>
        </w:rPr>
      </w:pPr>
      <w:proofErr w:type="gramStart"/>
      <w:r w:rsidRPr="00BD74C5">
        <w:rPr>
          <w:rFonts w:ascii="Arial" w:hAnsi="Arial"/>
          <w:sz w:val="22"/>
        </w:rPr>
        <w:t>on</w:t>
      </w:r>
      <w:proofErr w:type="gramEnd"/>
      <w:r w:rsidRPr="00BD74C5">
        <w:rPr>
          <w:rFonts w:ascii="Arial" w:hAnsi="Arial"/>
          <w:sz w:val="22"/>
        </w:rPr>
        <w:t xml:space="preserve"> entend par </w:t>
      </w:r>
      <w:r w:rsidRPr="00BD74C5">
        <w:rPr>
          <w:rFonts w:ascii="Arial" w:hAnsi="Arial"/>
          <w:b/>
          <w:bCs/>
          <w:i/>
          <w:iCs/>
          <w:sz w:val="22"/>
        </w:rPr>
        <w:t>“déposant”</w:t>
      </w:r>
      <w:r w:rsidRPr="00BD74C5">
        <w:rPr>
          <w:rFonts w:ascii="Arial" w:hAnsi="Arial"/>
          <w:sz w:val="22"/>
        </w:rPr>
        <w:t xml:space="preserve"> la personne inscrite dans le registre tenu par l</w:t>
      </w:r>
      <w:r w:rsidR="00402837" w:rsidRPr="00BD74C5">
        <w:rPr>
          <w:rFonts w:ascii="Arial" w:hAnsi="Arial"/>
          <w:sz w:val="22"/>
        </w:rPr>
        <w:t>’</w:t>
      </w:r>
      <w:r w:rsidRPr="00BD74C5">
        <w:rPr>
          <w:rFonts w:ascii="Arial" w:hAnsi="Arial"/>
          <w:sz w:val="22"/>
        </w:rPr>
        <w:t>office comme étant, selon la législation applicable, la personne qui demande la délivrance d</w:t>
      </w:r>
      <w:r w:rsidR="00402837" w:rsidRPr="00BD74C5">
        <w:rPr>
          <w:rFonts w:ascii="Arial" w:hAnsi="Arial"/>
          <w:sz w:val="22"/>
        </w:rPr>
        <w:t>’</w:t>
      </w:r>
      <w:r w:rsidRPr="00BD74C5">
        <w:rPr>
          <w:rFonts w:ascii="Arial" w:hAnsi="Arial"/>
          <w:sz w:val="22"/>
        </w:rPr>
        <w:t>un brevet ou une autre personne qui dépose la demande ou poursuit la procédure y relative;</w:t>
      </w:r>
    </w:p>
    <w:p w14:paraId="5B65E71A" w14:textId="77777777" w:rsidR="00802D2E" w:rsidRPr="00FB0644" w:rsidRDefault="00802D2E" w:rsidP="002C5E24">
      <w:pPr>
        <w:pStyle w:val="NormalWeb"/>
        <w:spacing w:before="0" w:beforeAutospacing="0" w:after="220" w:afterAutospacing="0"/>
        <w:rPr>
          <w:rFonts w:ascii="Arial" w:hAnsi="Arial"/>
          <w:iCs/>
          <w:sz w:val="22"/>
        </w:rPr>
      </w:pPr>
      <w:proofErr w:type="gramStart"/>
      <w:r w:rsidRPr="00BD74C5">
        <w:rPr>
          <w:rFonts w:ascii="Arial" w:hAnsi="Arial"/>
          <w:sz w:val="22"/>
        </w:rPr>
        <w:t>on</w:t>
      </w:r>
      <w:proofErr w:type="gramEnd"/>
      <w:r w:rsidRPr="00BD74C5">
        <w:rPr>
          <w:rFonts w:ascii="Arial" w:hAnsi="Arial"/>
          <w:sz w:val="22"/>
        </w:rPr>
        <w:t xml:space="preserve"> entend par </w:t>
      </w:r>
      <w:r w:rsidRPr="00BD74C5">
        <w:rPr>
          <w:rFonts w:ascii="Arial" w:hAnsi="Arial"/>
          <w:b/>
          <w:bCs/>
          <w:i/>
          <w:iCs/>
          <w:sz w:val="22"/>
        </w:rPr>
        <w:t>“demande”</w:t>
      </w:r>
      <w:r w:rsidRPr="00BD74C5">
        <w:rPr>
          <w:rFonts w:ascii="Arial" w:hAnsi="Arial"/>
          <w:sz w:val="22"/>
        </w:rPr>
        <w:t xml:space="preserve"> une demande de délivrance de brevet;</w:t>
      </w:r>
    </w:p>
    <w:p w14:paraId="47505EF2" w14:textId="77777777" w:rsidR="00802D2E" w:rsidRPr="00BD74C5" w:rsidRDefault="00802D2E" w:rsidP="002C5E24">
      <w:pPr>
        <w:pStyle w:val="NormalWeb"/>
        <w:spacing w:before="0" w:beforeAutospacing="0" w:after="220" w:afterAutospacing="0"/>
        <w:rPr>
          <w:rFonts w:ascii="Arial" w:hAnsi="Arial"/>
          <w:sz w:val="22"/>
        </w:rPr>
      </w:pPr>
      <w:proofErr w:type="gramStart"/>
      <w:r w:rsidRPr="00BD74C5">
        <w:rPr>
          <w:rFonts w:ascii="Arial" w:hAnsi="Arial"/>
          <w:sz w:val="22"/>
        </w:rPr>
        <w:t>on</w:t>
      </w:r>
      <w:proofErr w:type="gramEnd"/>
      <w:r w:rsidRPr="00BD74C5">
        <w:rPr>
          <w:rFonts w:ascii="Arial" w:hAnsi="Arial"/>
          <w:sz w:val="22"/>
        </w:rPr>
        <w:t xml:space="preserve"> entend par </w:t>
      </w:r>
      <w:r w:rsidRPr="00BD74C5">
        <w:rPr>
          <w:rFonts w:ascii="Arial" w:hAnsi="Arial"/>
          <w:b/>
          <w:bCs/>
          <w:i/>
          <w:iCs/>
          <w:sz w:val="22"/>
        </w:rPr>
        <w:t>“Partie contractante”</w:t>
      </w:r>
      <w:r w:rsidRPr="00BD74C5">
        <w:rPr>
          <w:rFonts w:ascii="Arial" w:hAnsi="Arial"/>
          <w:sz w:val="22"/>
        </w:rPr>
        <w:t xml:space="preserve"> tout État ou toute organisation intergouvernementale partie au présent traité;</w:t>
      </w:r>
    </w:p>
    <w:p w14:paraId="3C1F912A" w14:textId="28A3384D" w:rsidR="00802D2E" w:rsidRPr="00BD74C5" w:rsidRDefault="00802D2E" w:rsidP="002C5E24">
      <w:pPr>
        <w:spacing w:after="220"/>
        <w:rPr>
          <w:szCs w:val="22"/>
          <w:lang w:val="fr-FR"/>
        </w:rPr>
      </w:pPr>
      <w:proofErr w:type="gramStart"/>
      <w:r w:rsidRPr="00BD74C5">
        <w:rPr>
          <w:lang w:val="fr-FR"/>
        </w:rPr>
        <w:t>on</w:t>
      </w:r>
      <w:proofErr w:type="gramEnd"/>
      <w:r w:rsidRPr="00BD74C5">
        <w:rPr>
          <w:lang w:val="fr-FR"/>
        </w:rPr>
        <w:t xml:space="preserve"> entend par </w:t>
      </w:r>
      <w:r w:rsidRPr="00BD74C5">
        <w:rPr>
          <w:b/>
          <w:bCs/>
          <w:i/>
          <w:iCs/>
          <w:lang w:val="fr-FR"/>
        </w:rPr>
        <w:t>“pays d</w:t>
      </w:r>
      <w:r w:rsidR="00402837" w:rsidRPr="00BD74C5">
        <w:rPr>
          <w:b/>
          <w:bCs/>
          <w:i/>
          <w:iCs/>
          <w:lang w:val="fr-FR"/>
        </w:rPr>
        <w:t>’</w:t>
      </w:r>
      <w:r w:rsidRPr="00BD74C5">
        <w:rPr>
          <w:b/>
          <w:bCs/>
          <w:i/>
          <w:iCs/>
          <w:lang w:val="fr-FR"/>
        </w:rPr>
        <w:t>origine des ressources génétiques”</w:t>
      </w:r>
      <w:r w:rsidRPr="00BD74C5">
        <w:rPr>
          <w:lang w:val="fr-FR"/>
        </w:rPr>
        <w:t xml:space="preserve"> le pays qui possède ces ressources génétiques dans des conditions </w:t>
      </w:r>
      <w:r w:rsidRPr="00BD74C5">
        <w:rPr>
          <w:i/>
          <w:iCs/>
          <w:lang w:val="fr-FR"/>
        </w:rPr>
        <w:t>in situ</w:t>
      </w:r>
      <w:r w:rsidRPr="00BD74C5">
        <w:rPr>
          <w:lang w:val="fr-FR"/>
        </w:rPr>
        <w:t>;</w:t>
      </w:r>
    </w:p>
    <w:p w14:paraId="7A41DBC9" w14:textId="34562CD8" w:rsidR="00802D2E" w:rsidRPr="00BD74C5" w:rsidRDefault="00802D2E" w:rsidP="002C5E24">
      <w:pPr>
        <w:keepLines/>
        <w:spacing w:after="220"/>
        <w:rPr>
          <w:lang w:val="fr-FR"/>
        </w:rPr>
      </w:pPr>
      <w:proofErr w:type="gramStart"/>
      <w:r w:rsidRPr="00BD74C5">
        <w:rPr>
          <w:lang w:val="fr-FR"/>
        </w:rPr>
        <w:t>on</w:t>
      </w:r>
      <w:proofErr w:type="gramEnd"/>
      <w:r w:rsidRPr="00BD74C5">
        <w:rPr>
          <w:lang w:val="fr-FR"/>
        </w:rPr>
        <w:t xml:space="preserve"> entend par </w:t>
      </w:r>
      <w:r w:rsidRPr="00BD74C5">
        <w:rPr>
          <w:b/>
          <w:i/>
          <w:lang w:val="fr-FR"/>
        </w:rPr>
        <w:t>“fondé sur”</w:t>
      </w:r>
      <w:r w:rsidRPr="00BD74C5">
        <w:rPr>
          <w:lang w:val="fr-FR"/>
        </w:rPr>
        <w:t xml:space="preserve"> </w:t>
      </w:r>
      <w:r w:rsidR="002944AD" w:rsidRPr="000404CE">
        <w:rPr>
          <w:lang w:val="fr-FR"/>
        </w:rPr>
        <w:t xml:space="preserve">que </w:t>
      </w:r>
      <w:r w:rsidR="002944AD">
        <w:rPr>
          <w:lang w:val="fr-FR"/>
        </w:rPr>
        <w:t>l</w:t>
      </w:r>
      <w:r w:rsidRPr="00BD74C5">
        <w:rPr>
          <w:lang w:val="fr-FR"/>
        </w:rPr>
        <w:t xml:space="preserve">es ressources génétiques </w:t>
      </w:r>
      <w:r w:rsidR="006A283D">
        <w:rPr>
          <w:lang w:val="fr-FR"/>
        </w:rPr>
        <w:t>et/</w:t>
      </w:r>
      <w:r w:rsidRPr="00BD74C5">
        <w:rPr>
          <w:lang w:val="fr-FR"/>
        </w:rPr>
        <w:t>ou savoirs traditionnels associés aux ressources génétiques doivent s</w:t>
      </w:r>
      <w:r w:rsidR="00402837" w:rsidRPr="00BD74C5">
        <w:rPr>
          <w:lang w:val="fr-FR"/>
        </w:rPr>
        <w:t>’</w:t>
      </w:r>
      <w:r w:rsidRPr="00BD74C5">
        <w:rPr>
          <w:lang w:val="fr-FR"/>
        </w:rPr>
        <w:t>être avérés nécessaires pour l</w:t>
      </w:r>
      <w:r w:rsidR="00402837" w:rsidRPr="00BD74C5">
        <w:rPr>
          <w:lang w:val="fr-FR"/>
        </w:rPr>
        <w:t>’</w:t>
      </w:r>
      <w:r w:rsidRPr="00BD74C5">
        <w:rPr>
          <w:lang w:val="fr-FR"/>
        </w:rPr>
        <w:t>invention revendiquée, et que l</w:t>
      </w:r>
      <w:r w:rsidR="00402837" w:rsidRPr="00BD74C5">
        <w:rPr>
          <w:lang w:val="fr-FR"/>
        </w:rPr>
        <w:t>’</w:t>
      </w:r>
      <w:r w:rsidRPr="00BD74C5">
        <w:rPr>
          <w:lang w:val="fr-FR"/>
        </w:rPr>
        <w:t xml:space="preserve">invention revendiquée doit dépendre des propriétés spécifiques des ressources génétiques </w:t>
      </w:r>
      <w:r w:rsidR="006A283D">
        <w:rPr>
          <w:lang w:val="fr-FR"/>
        </w:rPr>
        <w:t>et/</w:t>
      </w:r>
      <w:r w:rsidRPr="00BD74C5">
        <w:rPr>
          <w:lang w:val="fr-FR"/>
        </w:rPr>
        <w:t xml:space="preserve">ou </w:t>
      </w:r>
      <w:r w:rsidRPr="00BD74C5">
        <w:rPr>
          <w:i/>
          <w:iCs/>
          <w:lang w:val="fr-FR"/>
        </w:rPr>
        <w:t xml:space="preserve">des savoirs traditionnels </w:t>
      </w:r>
      <w:r w:rsidRPr="00BD74C5">
        <w:rPr>
          <w:i/>
          <w:lang w:val="fr-FR"/>
        </w:rPr>
        <w:t>associés aux ressources génétiques</w:t>
      </w:r>
      <w:r w:rsidRPr="00BD74C5">
        <w:rPr>
          <w:lang w:val="fr-FR"/>
        </w:rPr>
        <w:t>;</w:t>
      </w:r>
    </w:p>
    <w:p w14:paraId="60DD5C8A" w14:textId="16DF18CA" w:rsidR="00802D2E" w:rsidRPr="00BD74C5" w:rsidRDefault="00802D2E" w:rsidP="002C5E24">
      <w:pPr>
        <w:pStyle w:val="NormalWeb"/>
        <w:spacing w:before="0" w:beforeAutospacing="0" w:after="220" w:afterAutospacing="0"/>
        <w:rPr>
          <w:rFonts w:ascii="Arial" w:hAnsi="Arial"/>
          <w:sz w:val="22"/>
        </w:rPr>
      </w:pPr>
      <w:proofErr w:type="gramStart"/>
      <w:r w:rsidRPr="00BD74C5">
        <w:rPr>
          <w:rFonts w:ascii="Arial" w:hAnsi="Arial"/>
          <w:sz w:val="22"/>
        </w:rPr>
        <w:t>on</w:t>
      </w:r>
      <w:proofErr w:type="gramEnd"/>
      <w:r w:rsidRPr="00BD74C5">
        <w:rPr>
          <w:rFonts w:ascii="Arial" w:hAnsi="Arial"/>
          <w:sz w:val="22"/>
        </w:rPr>
        <w:t xml:space="preserve"> entend par </w:t>
      </w:r>
      <w:r w:rsidRPr="00BD74C5">
        <w:rPr>
          <w:rFonts w:ascii="Arial" w:hAnsi="Arial"/>
          <w:b/>
          <w:bCs/>
          <w:i/>
          <w:iCs/>
          <w:sz w:val="22"/>
        </w:rPr>
        <w:t>“matériel génétique”</w:t>
      </w:r>
      <w:r w:rsidRPr="00BD74C5">
        <w:rPr>
          <w:rFonts w:ascii="Arial" w:hAnsi="Arial"/>
          <w:sz w:val="22"/>
        </w:rPr>
        <w:t xml:space="preserve"> </w:t>
      </w:r>
      <w:r w:rsidR="006A283D">
        <w:rPr>
          <w:rFonts w:ascii="Arial" w:hAnsi="Arial"/>
          <w:sz w:val="22"/>
        </w:rPr>
        <w:t>le</w:t>
      </w:r>
      <w:r w:rsidR="006A283D" w:rsidRPr="00BD74C5">
        <w:rPr>
          <w:rFonts w:ascii="Arial" w:hAnsi="Arial"/>
          <w:sz w:val="22"/>
        </w:rPr>
        <w:t xml:space="preserve"> </w:t>
      </w:r>
      <w:r w:rsidRPr="00BD74C5">
        <w:rPr>
          <w:rFonts w:ascii="Arial" w:hAnsi="Arial"/>
          <w:sz w:val="22"/>
        </w:rPr>
        <w:t>matériel d</w:t>
      </w:r>
      <w:r w:rsidR="00402837" w:rsidRPr="00BD74C5">
        <w:rPr>
          <w:rFonts w:ascii="Arial" w:hAnsi="Arial"/>
          <w:sz w:val="22"/>
        </w:rPr>
        <w:t>’</w:t>
      </w:r>
      <w:r w:rsidRPr="00BD74C5">
        <w:rPr>
          <w:rFonts w:ascii="Arial" w:hAnsi="Arial"/>
          <w:sz w:val="22"/>
        </w:rPr>
        <w:t>origine végétale, animale, microbienne ou autre contenant des unités fonctionnelles de l</w:t>
      </w:r>
      <w:r w:rsidR="00402837" w:rsidRPr="00BD74C5">
        <w:rPr>
          <w:rFonts w:ascii="Arial" w:hAnsi="Arial"/>
          <w:sz w:val="22"/>
        </w:rPr>
        <w:t>’</w:t>
      </w:r>
      <w:r w:rsidRPr="00BD74C5">
        <w:rPr>
          <w:rFonts w:ascii="Arial" w:hAnsi="Arial"/>
          <w:sz w:val="22"/>
        </w:rPr>
        <w:t>hérédité;</w:t>
      </w:r>
    </w:p>
    <w:p w14:paraId="124B24CB" w14:textId="5A0A0FBF" w:rsidR="00802D2E" w:rsidRPr="00BD74C5" w:rsidRDefault="00802D2E" w:rsidP="002C5E24">
      <w:pPr>
        <w:keepLines/>
        <w:spacing w:after="220"/>
        <w:rPr>
          <w:lang w:val="fr-FR"/>
        </w:rPr>
      </w:pPr>
      <w:proofErr w:type="gramStart"/>
      <w:r w:rsidRPr="00BD74C5">
        <w:rPr>
          <w:lang w:val="fr-FR"/>
        </w:rPr>
        <w:t>les</w:t>
      </w:r>
      <w:proofErr w:type="gramEnd"/>
      <w:r w:rsidRPr="00BD74C5">
        <w:rPr>
          <w:lang w:val="fr-FR"/>
        </w:rPr>
        <w:t xml:space="preserve"> </w:t>
      </w:r>
      <w:r w:rsidRPr="00BD74C5">
        <w:rPr>
          <w:b/>
          <w:bCs/>
          <w:i/>
          <w:iCs/>
          <w:lang w:val="fr-FR"/>
        </w:rPr>
        <w:t>“ressources génétiques</w:t>
      </w:r>
      <w:r w:rsidRPr="00BD74C5">
        <w:rPr>
          <w:rStyle w:val="FootnoteReference"/>
          <w:b/>
          <w:i/>
          <w:szCs w:val="22"/>
          <w:lang w:val="fr-FR"/>
        </w:rPr>
        <w:footnoteReference w:id="2"/>
      </w:r>
      <w:r w:rsidRPr="00BD74C5">
        <w:rPr>
          <w:b/>
          <w:bCs/>
          <w:i/>
          <w:iCs/>
          <w:lang w:val="fr-FR"/>
        </w:rPr>
        <w:t>”</w:t>
      </w:r>
      <w:r w:rsidRPr="00BD74C5">
        <w:rPr>
          <w:lang w:val="fr-FR"/>
        </w:rPr>
        <w:t xml:space="preserve"> sont </w:t>
      </w:r>
      <w:r w:rsidR="006A283D">
        <w:rPr>
          <w:lang w:val="fr-FR"/>
        </w:rPr>
        <w:t>le</w:t>
      </w:r>
      <w:r w:rsidR="006A283D" w:rsidRPr="00BD74C5">
        <w:rPr>
          <w:lang w:val="fr-FR"/>
        </w:rPr>
        <w:t xml:space="preserve"> </w:t>
      </w:r>
      <w:r w:rsidRPr="00BD74C5">
        <w:rPr>
          <w:lang w:val="fr-FR"/>
        </w:rPr>
        <w:t>matériel génétique ayant une valeur effective ou potentielle;</w:t>
      </w:r>
    </w:p>
    <w:p w14:paraId="11CA9072" w14:textId="287A6636" w:rsidR="00802D2E" w:rsidRPr="00BD74C5" w:rsidRDefault="00802D2E" w:rsidP="002C5E24">
      <w:pPr>
        <w:keepLines/>
        <w:spacing w:after="220"/>
        <w:rPr>
          <w:szCs w:val="22"/>
          <w:lang w:val="fr-FR"/>
        </w:rPr>
      </w:pPr>
      <w:proofErr w:type="gramStart"/>
      <w:r w:rsidRPr="00BD74C5">
        <w:rPr>
          <w:lang w:val="fr-FR"/>
        </w:rPr>
        <w:t>on</w:t>
      </w:r>
      <w:proofErr w:type="gramEnd"/>
      <w:r w:rsidRPr="00BD74C5">
        <w:rPr>
          <w:lang w:val="fr-FR"/>
        </w:rPr>
        <w:t xml:space="preserve"> entend par </w:t>
      </w:r>
      <w:r w:rsidRPr="00BD74C5">
        <w:rPr>
          <w:b/>
          <w:bCs/>
          <w:i/>
          <w:iCs/>
          <w:lang w:val="fr-FR"/>
        </w:rPr>
        <w:t>“conditions in situ”</w:t>
      </w:r>
      <w:r w:rsidRPr="00BD74C5">
        <w:rPr>
          <w:lang w:val="fr-FR"/>
        </w:rPr>
        <w:t xml:space="preserve"> </w:t>
      </w:r>
      <w:r w:rsidR="00A82A6E">
        <w:rPr>
          <w:lang w:val="fr-FR"/>
        </w:rPr>
        <w:t>l</w:t>
      </w:r>
      <w:r w:rsidR="00A82A6E" w:rsidRPr="00BD74C5">
        <w:rPr>
          <w:lang w:val="fr-FR"/>
        </w:rPr>
        <w:t xml:space="preserve">es </w:t>
      </w:r>
      <w:r w:rsidRPr="00BD74C5">
        <w:rPr>
          <w:lang w:val="fr-FR"/>
        </w:rPr>
        <w:t>conditions caractérisées par l</w:t>
      </w:r>
      <w:r w:rsidR="00402837" w:rsidRPr="00BD74C5">
        <w:rPr>
          <w:lang w:val="fr-FR"/>
        </w:rPr>
        <w:t>’</w:t>
      </w:r>
      <w:r w:rsidRPr="00BD74C5">
        <w:rPr>
          <w:lang w:val="fr-FR"/>
        </w:rPr>
        <w:t>existence de ressources génétiques au sein d</w:t>
      </w:r>
      <w:r w:rsidR="00402837" w:rsidRPr="00BD74C5">
        <w:rPr>
          <w:lang w:val="fr-FR"/>
        </w:rPr>
        <w:t>’</w:t>
      </w:r>
      <w:r w:rsidRPr="00BD74C5">
        <w:rPr>
          <w:lang w:val="fr-FR"/>
        </w:rPr>
        <w:t>écosystèmes et d</w:t>
      </w:r>
      <w:r w:rsidR="00402837" w:rsidRPr="00BD74C5">
        <w:rPr>
          <w:lang w:val="fr-FR"/>
        </w:rPr>
        <w:t>’</w:t>
      </w:r>
      <w:r w:rsidRPr="00BD74C5">
        <w:rPr>
          <w:lang w:val="fr-FR"/>
        </w:rPr>
        <w:t>habitats naturels et, dans le cas des espèces domestiquées ou cultivées, dans le milieu où se sont développés leurs caractères distinctifs;</w:t>
      </w:r>
    </w:p>
    <w:p w14:paraId="541D1F3C" w14:textId="22FEFACE" w:rsidR="00802D2E" w:rsidRPr="00BD74C5" w:rsidRDefault="00802D2E" w:rsidP="002C5E24">
      <w:pPr>
        <w:pStyle w:val="NormalWeb"/>
        <w:spacing w:before="0" w:beforeAutospacing="0" w:after="220" w:afterAutospacing="0"/>
        <w:rPr>
          <w:rFonts w:ascii="Arial" w:hAnsi="Arial"/>
          <w:sz w:val="22"/>
        </w:rPr>
      </w:pPr>
      <w:proofErr w:type="gramStart"/>
      <w:r w:rsidRPr="00BD74C5">
        <w:rPr>
          <w:rFonts w:ascii="Arial" w:hAnsi="Arial"/>
          <w:sz w:val="22"/>
        </w:rPr>
        <w:t>on</w:t>
      </w:r>
      <w:proofErr w:type="gramEnd"/>
      <w:r w:rsidRPr="00BD74C5">
        <w:rPr>
          <w:rFonts w:ascii="Arial" w:hAnsi="Arial"/>
          <w:sz w:val="22"/>
        </w:rPr>
        <w:t xml:space="preserve"> entend par </w:t>
      </w:r>
      <w:r w:rsidRPr="00BD74C5">
        <w:rPr>
          <w:rFonts w:ascii="Arial" w:hAnsi="Arial"/>
          <w:b/>
          <w:bCs/>
          <w:i/>
          <w:iCs/>
          <w:sz w:val="22"/>
        </w:rPr>
        <w:t>“office”</w:t>
      </w:r>
      <w:r w:rsidRPr="00BD74C5">
        <w:rPr>
          <w:rFonts w:ascii="Arial" w:hAnsi="Arial"/>
          <w:sz w:val="22"/>
        </w:rPr>
        <w:t xml:space="preserve"> l</w:t>
      </w:r>
      <w:r w:rsidR="00402837" w:rsidRPr="00BD74C5">
        <w:rPr>
          <w:rFonts w:ascii="Arial" w:hAnsi="Arial"/>
          <w:sz w:val="22"/>
        </w:rPr>
        <w:t>’</w:t>
      </w:r>
      <w:r w:rsidRPr="00BD74C5">
        <w:rPr>
          <w:rFonts w:ascii="Arial" w:hAnsi="Arial"/>
          <w:sz w:val="22"/>
        </w:rPr>
        <w:t>organisme d</w:t>
      </w:r>
      <w:r w:rsidR="00402837" w:rsidRPr="00BD74C5">
        <w:rPr>
          <w:rFonts w:ascii="Arial" w:hAnsi="Arial"/>
          <w:sz w:val="22"/>
        </w:rPr>
        <w:t>’</w:t>
      </w:r>
      <w:r w:rsidRPr="00BD74C5">
        <w:rPr>
          <w:rFonts w:ascii="Arial" w:hAnsi="Arial"/>
          <w:sz w:val="22"/>
        </w:rPr>
        <w:t>une Partie contractante chargé de la délivrance des brevets;</w:t>
      </w:r>
    </w:p>
    <w:p w14:paraId="5B31D739" w14:textId="6C0592EA" w:rsidR="00802D2E" w:rsidRPr="00BD74C5" w:rsidRDefault="00802D2E" w:rsidP="002C5E24">
      <w:pPr>
        <w:pStyle w:val="NormalWeb"/>
        <w:spacing w:before="0" w:beforeAutospacing="0" w:after="220" w:afterAutospacing="0"/>
        <w:rPr>
          <w:rFonts w:ascii="Arial" w:hAnsi="Arial" w:cs="Arial"/>
          <w:iCs/>
          <w:sz w:val="22"/>
          <w:szCs w:val="22"/>
        </w:rPr>
      </w:pPr>
      <w:proofErr w:type="gramStart"/>
      <w:r w:rsidRPr="00BD74C5">
        <w:rPr>
          <w:rFonts w:ascii="Arial" w:hAnsi="Arial" w:cs="Arial"/>
          <w:bCs/>
          <w:i/>
          <w:iCs/>
          <w:sz w:val="22"/>
          <w:szCs w:val="22"/>
        </w:rPr>
        <w:t>le</w:t>
      </w:r>
      <w:proofErr w:type="gramEnd"/>
      <w:r w:rsidRPr="00BD74C5">
        <w:rPr>
          <w:rFonts w:ascii="Arial" w:hAnsi="Arial" w:cs="Arial"/>
          <w:bCs/>
          <w:i/>
          <w:iCs/>
          <w:sz w:val="22"/>
          <w:szCs w:val="22"/>
        </w:rPr>
        <w:t xml:space="preserve"> sigle</w:t>
      </w:r>
      <w:r w:rsidRPr="00BD74C5">
        <w:rPr>
          <w:rFonts w:ascii="Arial" w:hAnsi="Arial" w:cs="Arial"/>
          <w:b/>
          <w:i/>
          <w:iCs/>
          <w:sz w:val="22"/>
          <w:szCs w:val="22"/>
        </w:rPr>
        <w:t xml:space="preserve"> “PCT”</w:t>
      </w:r>
      <w:r w:rsidRPr="00BD74C5">
        <w:rPr>
          <w:rFonts w:ascii="Arial" w:hAnsi="Arial" w:cs="Arial"/>
          <w:iCs/>
          <w:sz w:val="22"/>
          <w:szCs w:val="22"/>
        </w:rPr>
        <w:t xml:space="preserve"> désigne le Traité de coopération en matière de brevets de 1970</w:t>
      </w:r>
      <w:r w:rsidR="00FB0644">
        <w:rPr>
          <w:rFonts w:ascii="Arial" w:hAnsi="Arial" w:cs="Arial"/>
          <w:iCs/>
          <w:sz w:val="22"/>
          <w:szCs w:val="22"/>
        </w:rPr>
        <w:t>;</w:t>
      </w:r>
    </w:p>
    <w:p w14:paraId="6F119EB7" w14:textId="7CE2F920" w:rsidR="00802D2E" w:rsidRPr="00BD74C5" w:rsidRDefault="00802D2E" w:rsidP="002C5E24">
      <w:pPr>
        <w:spacing w:after="220"/>
        <w:rPr>
          <w:szCs w:val="22"/>
          <w:lang w:val="fr-FR"/>
        </w:rPr>
      </w:pPr>
      <w:r w:rsidRPr="00BD74C5">
        <w:rPr>
          <w:b/>
          <w:i/>
          <w:lang w:val="fr-FR"/>
        </w:rPr>
        <w:t>“source des ressources génétiques”</w:t>
      </w:r>
      <w:r w:rsidRPr="00BD74C5">
        <w:rPr>
          <w:lang w:val="fr-FR"/>
        </w:rPr>
        <w:t xml:space="preserve"> </w:t>
      </w:r>
      <w:r w:rsidR="00A82A6E">
        <w:rPr>
          <w:lang w:val="fr-FR"/>
        </w:rPr>
        <w:t>désigne</w:t>
      </w:r>
      <w:r w:rsidRPr="00BD74C5">
        <w:rPr>
          <w:lang w:val="fr-FR"/>
        </w:rPr>
        <w:t xml:space="preserve"> toute source auprès de laquelle le déposant a obtenu les ressources génétiques, par exemple un centre de recherche, une banque de gènes, des peuples autochtones ou des communautés locales, le Système multilatéral du Traité international sur les ressources </w:t>
      </w:r>
      <w:proofErr w:type="spellStart"/>
      <w:r w:rsidRPr="00BD74C5">
        <w:rPr>
          <w:lang w:val="fr-FR"/>
        </w:rPr>
        <w:t>phytogénétiques</w:t>
      </w:r>
      <w:proofErr w:type="spellEnd"/>
      <w:r w:rsidRPr="00BD74C5">
        <w:rPr>
          <w:lang w:val="fr-FR"/>
        </w:rPr>
        <w:t xml:space="preserve"> pour l</w:t>
      </w:r>
      <w:r w:rsidR="00402837" w:rsidRPr="00BD74C5">
        <w:rPr>
          <w:lang w:val="fr-FR"/>
        </w:rPr>
        <w:t>’</w:t>
      </w:r>
      <w:r w:rsidRPr="00BD74C5">
        <w:rPr>
          <w:lang w:val="fr-FR"/>
        </w:rPr>
        <w:t>alimentation et l</w:t>
      </w:r>
      <w:r w:rsidR="00402837" w:rsidRPr="00BD74C5">
        <w:rPr>
          <w:lang w:val="fr-FR"/>
        </w:rPr>
        <w:t>’</w:t>
      </w:r>
      <w:r w:rsidRPr="00BD74C5">
        <w:rPr>
          <w:lang w:val="fr-FR"/>
        </w:rPr>
        <w:t xml:space="preserve">agriculture ou toute autre collection ou tout autre dépôt de ressources génétiques </w:t>
      </w:r>
      <w:r w:rsidRPr="00BD74C5">
        <w:rPr>
          <w:i/>
          <w:lang w:val="fr-FR"/>
        </w:rPr>
        <w:t>ex </w:t>
      </w:r>
      <w:proofErr w:type="gramStart"/>
      <w:r w:rsidRPr="00BD74C5">
        <w:rPr>
          <w:i/>
          <w:lang w:val="fr-FR"/>
        </w:rPr>
        <w:t>situ</w:t>
      </w:r>
      <w:r w:rsidRPr="00BD74C5">
        <w:rPr>
          <w:lang w:val="fr-FR"/>
        </w:rPr>
        <w:t>;</w:t>
      </w:r>
      <w:proofErr w:type="gramEnd"/>
    </w:p>
    <w:p w14:paraId="117BD3C6" w14:textId="77777777" w:rsidR="00802D2E" w:rsidRPr="00BD74C5" w:rsidRDefault="00802D2E" w:rsidP="002C5E24">
      <w:pPr>
        <w:spacing w:after="220"/>
        <w:rPr>
          <w:rStyle w:val="FootnoteReference"/>
          <w:lang w:val="fr-FR"/>
        </w:rPr>
      </w:pPr>
      <w:proofErr w:type="gramStart"/>
      <w:r w:rsidRPr="00BD74C5">
        <w:rPr>
          <w:lang w:val="fr-FR"/>
        </w:rPr>
        <w:t>on</w:t>
      </w:r>
      <w:proofErr w:type="gramEnd"/>
      <w:r w:rsidRPr="00BD74C5">
        <w:rPr>
          <w:lang w:val="fr-FR"/>
        </w:rPr>
        <w:t xml:space="preserve"> entend par </w:t>
      </w:r>
      <w:r w:rsidRPr="00BD74C5">
        <w:rPr>
          <w:b/>
          <w:bCs/>
          <w:i/>
          <w:iCs/>
          <w:lang w:val="fr-FR"/>
        </w:rPr>
        <w:t>“source de savoirs traditionnels associés aux ressources génétiques”</w:t>
      </w:r>
      <w:r w:rsidRPr="00BD74C5">
        <w:rPr>
          <w:lang w:val="fr-FR"/>
        </w:rPr>
        <w:t xml:space="preserve"> toute source à partir de laquelle le déposant a obtenu les savoirs traditionnels associés aux ressources génétiques, comme la littérature scientifique, les bases de données accessibles au public ou encore les demandes de brevet et documents de brevet.</w:t>
      </w:r>
    </w:p>
    <w:p w14:paraId="567801D5" w14:textId="77777777" w:rsidR="00802D2E" w:rsidRPr="00BD74C5" w:rsidRDefault="00802D2E" w:rsidP="002C5E24">
      <w:pPr>
        <w:rPr>
          <w:u w:val="single"/>
          <w:lang w:val="fr-FR"/>
        </w:rPr>
      </w:pPr>
      <w:r w:rsidRPr="00BD74C5">
        <w:rPr>
          <w:u w:val="single"/>
          <w:lang w:val="fr-FR"/>
        </w:rPr>
        <w:br w:type="page"/>
      </w:r>
    </w:p>
    <w:p w14:paraId="54EB3D57" w14:textId="77777777" w:rsidR="00802D2E" w:rsidRPr="00BD74C5" w:rsidRDefault="00802D2E" w:rsidP="002C5E24">
      <w:pPr>
        <w:jc w:val="center"/>
        <w:rPr>
          <w:b/>
          <w:szCs w:val="22"/>
          <w:lang w:val="fr-FR"/>
        </w:rPr>
      </w:pPr>
      <w:r w:rsidRPr="00BD74C5">
        <w:rPr>
          <w:b/>
          <w:lang w:val="fr-FR"/>
        </w:rPr>
        <w:t>ARTICLE 3</w:t>
      </w:r>
    </w:p>
    <w:p w14:paraId="5F9D2133" w14:textId="77777777" w:rsidR="00802D2E" w:rsidRPr="00BD74C5" w:rsidRDefault="00802D2E" w:rsidP="002C5E24">
      <w:pPr>
        <w:keepLines/>
        <w:spacing w:after="240"/>
        <w:jc w:val="center"/>
        <w:rPr>
          <w:b/>
          <w:lang w:val="fr-FR"/>
        </w:rPr>
      </w:pPr>
      <w:r w:rsidRPr="00BD74C5">
        <w:rPr>
          <w:b/>
          <w:lang w:val="fr-FR"/>
        </w:rPr>
        <w:t>EXIGENCE DE DIVULGATION</w:t>
      </w:r>
    </w:p>
    <w:p w14:paraId="2F921019" w14:textId="354E8BAC" w:rsidR="00802D2E" w:rsidRPr="00BD74C5" w:rsidRDefault="00802D2E" w:rsidP="002C5E24">
      <w:pPr>
        <w:keepLines/>
        <w:spacing w:after="220"/>
        <w:rPr>
          <w:szCs w:val="22"/>
          <w:lang w:val="fr-FR"/>
        </w:rPr>
      </w:pPr>
      <w:r w:rsidRPr="00BD74C5">
        <w:rPr>
          <w:lang w:val="fr-FR"/>
        </w:rPr>
        <w:t>3.1</w:t>
      </w:r>
      <w:r w:rsidRPr="00BD74C5">
        <w:rPr>
          <w:lang w:val="fr-FR"/>
        </w:rPr>
        <w:tab/>
        <w:t>Lorsque l</w:t>
      </w:r>
      <w:r w:rsidR="00402837" w:rsidRPr="00BD74C5">
        <w:rPr>
          <w:lang w:val="fr-FR"/>
        </w:rPr>
        <w:t>’</w:t>
      </w:r>
      <w:r w:rsidRPr="00BD74C5">
        <w:rPr>
          <w:lang w:val="fr-FR"/>
        </w:rPr>
        <w:t>invention revendiquée dans une demande de brevet est fondée sur des ressources génétiques, chaque Partie contractante exige du déposant qu</w:t>
      </w:r>
      <w:r w:rsidR="00402837" w:rsidRPr="00BD74C5">
        <w:rPr>
          <w:lang w:val="fr-FR"/>
        </w:rPr>
        <w:t>’</w:t>
      </w:r>
      <w:r w:rsidRPr="00BD74C5">
        <w:rPr>
          <w:lang w:val="fr-FR"/>
        </w:rPr>
        <w:t>il divulgue</w:t>
      </w:r>
      <w:r w:rsidR="00402837" w:rsidRPr="00BD74C5">
        <w:rPr>
          <w:lang w:val="fr-FR"/>
        </w:rPr>
        <w:t> :</w:t>
      </w:r>
    </w:p>
    <w:p w14:paraId="02D65EFC" w14:textId="3BE735F8" w:rsidR="00802D2E" w:rsidRPr="00BD74C5" w:rsidRDefault="00802D2E" w:rsidP="002C5E24">
      <w:pPr>
        <w:pStyle w:val="NormalWeb"/>
        <w:numPr>
          <w:ilvl w:val="0"/>
          <w:numId w:val="7"/>
        </w:numPr>
        <w:spacing w:before="0" w:beforeAutospacing="0" w:after="220" w:afterAutospacing="0"/>
        <w:ind w:hanging="573"/>
        <w:rPr>
          <w:rFonts w:ascii="Arial" w:hAnsi="Arial" w:cs="Arial"/>
          <w:sz w:val="22"/>
          <w:szCs w:val="22"/>
        </w:rPr>
      </w:pPr>
      <w:proofErr w:type="gramStart"/>
      <w:r w:rsidRPr="00BD74C5">
        <w:rPr>
          <w:rFonts w:ascii="Arial" w:hAnsi="Arial"/>
          <w:sz w:val="22"/>
        </w:rPr>
        <w:t>le</w:t>
      </w:r>
      <w:proofErr w:type="gramEnd"/>
      <w:r w:rsidRPr="00BD74C5">
        <w:rPr>
          <w:rFonts w:ascii="Arial" w:hAnsi="Arial"/>
          <w:sz w:val="22"/>
        </w:rPr>
        <w:t xml:space="preserve"> pays d</w:t>
      </w:r>
      <w:r w:rsidR="00402837" w:rsidRPr="00BD74C5">
        <w:rPr>
          <w:rFonts w:ascii="Arial" w:hAnsi="Arial"/>
          <w:sz w:val="22"/>
        </w:rPr>
        <w:t>’</w:t>
      </w:r>
      <w:r w:rsidRPr="00BD74C5">
        <w:rPr>
          <w:rFonts w:ascii="Arial" w:hAnsi="Arial"/>
          <w:sz w:val="22"/>
        </w:rPr>
        <w:t>origine des ressources génétiques</w:t>
      </w:r>
      <w:r w:rsidRPr="00FB0644">
        <w:rPr>
          <w:rStyle w:val="FootnoteReference"/>
          <w:rFonts w:ascii="Arial" w:eastAsia="SimSun" w:hAnsi="Arial" w:cs="Arial"/>
          <w:sz w:val="22"/>
        </w:rPr>
        <w:footnoteReference w:id="3"/>
      </w:r>
      <w:r w:rsidRPr="00BD74C5">
        <w:rPr>
          <w:rFonts w:ascii="Arial" w:hAnsi="Arial"/>
          <w:sz w:val="22"/>
        </w:rPr>
        <w:t>;  ou</w:t>
      </w:r>
    </w:p>
    <w:p w14:paraId="18F3CA2B" w14:textId="55312499" w:rsidR="00802D2E" w:rsidRPr="00BD74C5" w:rsidRDefault="00802D2E" w:rsidP="002C5E24">
      <w:pPr>
        <w:pStyle w:val="NormalWeb"/>
        <w:spacing w:before="0" w:beforeAutospacing="0" w:after="220" w:afterAutospacing="0"/>
        <w:ind w:left="1134" w:hanging="567"/>
        <w:rPr>
          <w:rFonts w:ascii="Arial" w:hAnsi="Arial" w:cs="Arial"/>
          <w:sz w:val="22"/>
          <w:szCs w:val="22"/>
        </w:rPr>
      </w:pPr>
      <w:r w:rsidRPr="00BD74C5">
        <w:rPr>
          <w:rFonts w:ascii="Arial" w:hAnsi="Arial"/>
          <w:sz w:val="22"/>
        </w:rPr>
        <w:t>b)</w:t>
      </w:r>
      <w:r w:rsidRPr="00BD74C5">
        <w:rPr>
          <w:rFonts w:ascii="Arial" w:hAnsi="Arial"/>
          <w:sz w:val="22"/>
        </w:rPr>
        <w:tab/>
        <w:t>dans les cas où l</w:t>
      </w:r>
      <w:r w:rsidR="00402837" w:rsidRPr="00BD74C5">
        <w:rPr>
          <w:rFonts w:ascii="Arial" w:hAnsi="Arial"/>
          <w:sz w:val="22"/>
        </w:rPr>
        <w:t>’</w:t>
      </w:r>
      <w:r w:rsidRPr="00BD74C5">
        <w:rPr>
          <w:rFonts w:ascii="Arial" w:hAnsi="Arial"/>
          <w:sz w:val="22"/>
        </w:rPr>
        <w:t>information visée à l</w:t>
      </w:r>
      <w:r w:rsidR="00402837" w:rsidRPr="00BD74C5">
        <w:rPr>
          <w:rFonts w:ascii="Arial" w:hAnsi="Arial"/>
          <w:sz w:val="22"/>
        </w:rPr>
        <w:t>’</w:t>
      </w:r>
      <w:r w:rsidRPr="00BD74C5">
        <w:rPr>
          <w:rFonts w:ascii="Arial" w:hAnsi="Arial"/>
          <w:sz w:val="22"/>
        </w:rPr>
        <w:t>article 3.1.a) n</w:t>
      </w:r>
      <w:r w:rsidR="00402837" w:rsidRPr="00BD74C5">
        <w:rPr>
          <w:rFonts w:ascii="Arial" w:hAnsi="Arial"/>
          <w:sz w:val="22"/>
        </w:rPr>
        <w:t>’</w:t>
      </w:r>
      <w:r w:rsidRPr="00BD74C5">
        <w:rPr>
          <w:rFonts w:ascii="Arial" w:hAnsi="Arial"/>
          <w:sz w:val="22"/>
        </w:rPr>
        <w:t>est pas connue du déposant, ou lorsque l</w:t>
      </w:r>
      <w:r w:rsidR="00402837" w:rsidRPr="00BD74C5">
        <w:rPr>
          <w:rFonts w:ascii="Arial" w:hAnsi="Arial"/>
          <w:sz w:val="22"/>
        </w:rPr>
        <w:t>’</w:t>
      </w:r>
      <w:r w:rsidRPr="00BD74C5">
        <w:rPr>
          <w:rFonts w:ascii="Arial" w:hAnsi="Arial"/>
          <w:sz w:val="22"/>
        </w:rPr>
        <w:t>article 3.1.a) ne s</w:t>
      </w:r>
      <w:r w:rsidR="00402837" w:rsidRPr="00BD74C5">
        <w:rPr>
          <w:rFonts w:ascii="Arial" w:hAnsi="Arial"/>
          <w:sz w:val="22"/>
        </w:rPr>
        <w:t>’</w:t>
      </w:r>
      <w:r w:rsidRPr="00BD74C5">
        <w:rPr>
          <w:rFonts w:ascii="Arial" w:hAnsi="Arial"/>
          <w:sz w:val="22"/>
        </w:rPr>
        <w:t>applique pas, la source des ressources génétiques.</w:t>
      </w:r>
    </w:p>
    <w:p w14:paraId="13EBC64A" w14:textId="7267D0E1" w:rsidR="00802D2E" w:rsidRPr="00BD74C5" w:rsidRDefault="00802D2E" w:rsidP="002C5E24">
      <w:pPr>
        <w:spacing w:after="220"/>
        <w:rPr>
          <w:szCs w:val="22"/>
          <w:lang w:val="fr-FR"/>
        </w:rPr>
      </w:pPr>
      <w:r w:rsidRPr="00BD74C5">
        <w:rPr>
          <w:lang w:val="fr-FR"/>
        </w:rPr>
        <w:t>3.2</w:t>
      </w:r>
      <w:r w:rsidRPr="00BD74C5">
        <w:rPr>
          <w:lang w:val="fr-FR"/>
        </w:rPr>
        <w:tab/>
        <w:t>Lorsque l</w:t>
      </w:r>
      <w:r w:rsidR="00402837" w:rsidRPr="00BD74C5">
        <w:rPr>
          <w:lang w:val="fr-FR"/>
        </w:rPr>
        <w:t>’</w:t>
      </w:r>
      <w:r w:rsidRPr="00BD74C5">
        <w:rPr>
          <w:lang w:val="fr-FR"/>
        </w:rPr>
        <w:t>invention revendiquée dans une demande de brevet est fondée sur des savoirs traditionnels associés à des ressources génétiques, chaque Partie contractante exige du déposant qu</w:t>
      </w:r>
      <w:r w:rsidR="00402837" w:rsidRPr="00BD74C5">
        <w:rPr>
          <w:lang w:val="fr-FR"/>
        </w:rPr>
        <w:t>’</w:t>
      </w:r>
      <w:r w:rsidRPr="00BD74C5">
        <w:rPr>
          <w:lang w:val="fr-FR"/>
        </w:rPr>
        <w:t>il divulgue</w:t>
      </w:r>
      <w:r w:rsidR="00402837" w:rsidRPr="00BD74C5">
        <w:rPr>
          <w:lang w:val="fr-FR"/>
        </w:rPr>
        <w:t> :</w:t>
      </w:r>
    </w:p>
    <w:p w14:paraId="6AED68BF" w14:textId="7A76CA50" w:rsidR="00802D2E" w:rsidRPr="00BD74C5" w:rsidRDefault="00802D2E" w:rsidP="002C5E24">
      <w:pPr>
        <w:spacing w:after="220"/>
        <w:ind w:left="1134" w:hanging="567"/>
        <w:rPr>
          <w:szCs w:val="22"/>
          <w:lang w:val="fr-FR"/>
        </w:rPr>
      </w:pPr>
      <w:r w:rsidRPr="00BD74C5">
        <w:rPr>
          <w:lang w:val="fr-FR"/>
        </w:rPr>
        <w:t>a)</w:t>
      </w:r>
      <w:r w:rsidRPr="00BD74C5">
        <w:rPr>
          <w:lang w:val="fr-FR"/>
        </w:rPr>
        <w:tab/>
        <w:t xml:space="preserve">le peuple autochtone ou la communauté locale, </w:t>
      </w:r>
      <w:r w:rsidRPr="00BD74C5">
        <w:rPr>
          <w:szCs w:val="22"/>
          <w:lang w:val="fr-FR"/>
        </w:rPr>
        <w:t>le cas</w:t>
      </w:r>
      <w:r w:rsidR="00A82A6E">
        <w:rPr>
          <w:szCs w:val="22"/>
          <w:lang w:val="fr-FR"/>
        </w:rPr>
        <w:t xml:space="preserve"> échéant</w:t>
      </w:r>
      <w:r w:rsidRPr="00BD74C5">
        <w:rPr>
          <w:szCs w:val="22"/>
          <w:vertAlign w:val="superscript"/>
          <w:lang w:val="fr-FR"/>
        </w:rPr>
        <w:footnoteReference w:id="4"/>
      </w:r>
      <w:r w:rsidRPr="00BD74C5">
        <w:rPr>
          <w:szCs w:val="22"/>
          <w:lang w:val="fr-FR"/>
        </w:rPr>
        <w:t>,</w:t>
      </w:r>
      <w:r w:rsidR="002C5E24">
        <w:rPr>
          <w:szCs w:val="22"/>
          <w:lang w:val="fr-FR"/>
        </w:rPr>
        <w:t xml:space="preserve"> </w:t>
      </w:r>
      <w:r w:rsidRPr="00BD74C5">
        <w:rPr>
          <w:lang w:val="fr-FR"/>
        </w:rPr>
        <w:t xml:space="preserve">qui a fourni les savoirs traditionnels associés à des ressources </w:t>
      </w:r>
      <w:proofErr w:type="gramStart"/>
      <w:r w:rsidRPr="00BD74C5">
        <w:rPr>
          <w:lang w:val="fr-FR"/>
        </w:rPr>
        <w:t>génétiques;  ou</w:t>
      </w:r>
      <w:proofErr w:type="gramEnd"/>
    </w:p>
    <w:p w14:paraId="758FC5B1" w14:textId="49972FE5" w:rsidR="00802D2E" w:rsidRPr="00BD74C5" w:rsidRDefault="00802D2E" w:rsidP="002C5E24">
      <w:pPr>
        <w:spacing w:after="220"/>
        <w:ind w:left="1134" w:hanging="567"/>
        <w:rPr>
          <w:szCs w:val="22"/>
          <w:lang w:val="fr-FR"/>
        </w:rPr>
      </w:pPr>
      <w:r w:rsidRPr="00BD74C5">
        <w:rPr>
          <w:lang w:val="fr-FR"/>
        </w:rPr>
        <w:t>b)</w:t>
      </w:r>
      <w:r w:rsidRPr="00BD74C5">
        <w:rPr>
          <w:lang w:val="fr-FR"/>
        </w:rPr>
        <w:tab/>
        <w:t>dans les cas où l</w:t>
      </w:r>
      <w:r w:rsidR="00402837" w:rsidRPr="00BD74C5">
        <w:rPr>
          <w:lang w:val="fr-FR"/>
        </w:rPr>
        <w:t>’</w:t>
      </w:r>
      <w:r w:rsidRPr="00BD74C5">
        <w:rPr>
          <w:lang w:val="fr-FR"/>
        </w:rPr>
        <w:t>information visée à l</w:t>
      </w:r>
      <w:r w:rsidR="00402837" w:rsidRPr="00BD74C5">
        <w:rPr>
          <w:lang w:val="fr-FR"/>
        </w:rPr>
        <w:t>’</w:t>
      </w:r>
      <w:r w:rsidRPr="00BD74C5">
        <w:rPr>
          <w:lang w:val="fr-FR"/>
        </w:rPr>
        <w:t>article 3.2.a) n</w:t>
      </w:r>
      <w:r w:rsidR="00402837" w:rsidRPr="00BD74C5">
        <w:rPr>
          <w:lang w:val="fr-FR"/>
        </w:rPr>
        <w:t>’</w:t>
      </w:r>
      <w:r w:rsidRPr="00BD74C5">
        <w:rPr>
          <w:lang w:val="fr-FR"/>
        </w:rPr>
        <w:t>est pas connue du déposant, ou lorsque l</w:t>
      </w:r>
      <w:r w:rsidR="00402837" w:rsidRPr="00BD74C5">
        <w:rPr>
          <w:lang w:val="fr-FR"/>
        </w:rPr>
        <w:t>’</w:t>
      </w:r>
      <w:r w:rsidRPr="00BD74C5">
        <w:rPr>
          <w:lang w:val="fr-FR"/>
        </w:rPr>
        <w:t>article 3.2.a) ne s</w:t>
      </w:r>
      <w:r w:rsidR="00402837" w:rsidRPr="00BD74C5">
        <w:rPr>
          <w:lang w:val="fr-FR"/>
        </w:rPr>
        <w:t>’</w:t>
      </w:r>
      <w:r w:rsidRPr="00BD74C5">
        <w:rPr>
          <w:lang w:val="fr-FR"/>
        </w:rPr>
        <w:t>applique pas, la source des savoirs traditionnels associés à des ressources génétiques.</w:t>
      </w:r>
    </w:p>
    <w:p w14:paraId="40A78495" w14:textId="36672925" w:rsidR="00802D2E" w:rsidRPr="00BD74C5" w:rsidRDefault="00802D2E" w:rsidP="002C5E24">
      <w:pPr>
        <w:spacing w:after="220"/>
        <w:rPr>
          <w:szCs w:val="22"/>
          <w:lang w:val="fr-FR"/>
        </w:rPr>
      </w:pPr>
      <w:r w:rsidRPr="00BD74C5">
        <w:rPr>
          <w:lang w:val="fr-FR"/>
        </w:rPr>
        <w:t>3.3</w:t>
      </w:r>
      <w:r w:rsidRPr="00BD74C5">
        <w:rPr>
          <w:lang w:val="fr-FR"/>
        </w:rPr>
        <w:tab/>
        <w:t>Dans les cas où aucune des informations visées aux articles 3.1 ou 3.2 n</w:t>
      </w:r>
      <w:r w:rsidR="00402837" w:rsidRPr="00BD74C5">
        <w:rPr>
          <w:lang w:val="fr-FR"/>
        </w:rPr>
        <w:t>’</w:t>
      </w:r>
      <w:r w:rsidRPr="00BD74C5">
        <w:rPr>
          <w:lang w:val="fr-FR"/>
        </w:rPr>
        <w:t>est connue du déposant, chaque Partie contractante exige de celui</w:t>
      </w:r>
      <w:r w:rsidR="00EB0BA1">
        <w:rPr>
          <w:lang w:val="fr-FR"/>
        </w:rPr>
        <w:noBreakHyphen/>
      </w:r>
      <w:r w:rsidRPr="00BD74C5">
        <w:rPr>
          <w:lang w:val="fr-FR"/>
        </w:rPr>
        <w:t>ci qu</w:t>
      </w:r>
      <w:r w:rsidR="00402837" w:rsidRPr="00BD74C5">
        <w:rPr>
          <w:lang w:val="fr-FR"/>
        </w:rPr>
        <w:t>’</w:t>
      </w:r>
      <w:r w:rsidRPr="00BD74C5">
        <w:rPr>
          <w:lang w:val="fr-FR"/>
        </w:rPr>
        <w:t xml:space="preserve">il fasse une déclaration à cet effet, affirmant que le contenu de la déclaration est vrai et correct à la connaissance du </w:t>
      </w:r>
      <w:r w:rsidR="00A82A6E">
        <w:rPr>
          <w:lang w:val="fr-FR"/>
        </w:rPr>
        <w:t>déposant</w:t>
      </w:r>
      <w:r w:rsidRPr="00BD74C5">
        <w:rPr>
          <w:lang w:val="fr-FR"/>
        </w:rPr>
        <w:t>.</w:t>
      </w:r>
    </w:p>
    <w:p w14:paraId="1C34922C" w14:textId="71E28CE5" w:rsidR="00802D2E" w:rsidRPr="00BD74C5" w:rsidRDefault="00802D2E" w:rsidP="002C5E24">
      <w:pPr>
        <w:spacing w:after="220"/>
        <w:rPr>
          <w:szCs w:val="22"/>
          <w:lang w:val="fr-FR"/>
        </w:rPr>
      </w:pPr>
      <w:r w:rsidRPr="00BD74C5">
        <w:rPr>
          <w:lang w:val="fr-FR"/>
        </w:rPr>
        <w:t>3.4</w:t>
      </w:r>
      <w:r w:rsidRPr="00BD74C5">
        <w:rPr>
          <w:lang w:val="fr-FR"/>
        </w:rPr>
        <w:tab/>
        <w:t>Les Parties contractantes</w:t>
      </w:r>
      <w:r w:rsidRPr="00BD74C5">
        <w:rPr>
          <w:i/>
          <w:lang w:val="fr-FR"/>
        </w:rPr>
        <w:t xml:space="preserve"> </w:t>
      </w:r>
      <w:r w:rsidRPr="00BD74C5">
        <w:rPr>
          <w:lang w:val="fr-FR"/>
        </w:rPr>
        <w:t>fournissent des précisions aux déposants de demandes de brevet sur la façon de satisfaire à l</w:t>
      </w:r>
      <w:r w:rsidR="00402837" w:rsidRPr="00BD74C5">
        <w:rPr>
          <w:lang w:val="fr-FR"/>
        </w:rPr>
        <w:t>’</w:t>
      </w:r>
      <w:r w:rsidRPr="00BD74C5">
        <w:rPr>
          <w:lang w:val="fr-FR"/>
        </w:rPr>
        <w:t>exigence de divulgation, et leur donnent la possibilité de remédier à tout</w:t>
      </w:r>
      <w:r w:rsidR="0053211B">
        <w:rPr>
          <w:lang w:val="fr-FR"/>
        </w:rPr>
        <w:t xml:space="preserve"> défaut de </w:t>
      </w:r>
      <w:r w:rsidRPr="00BD74C5">
        <w:rPr>
          <w:lang w:val="fr-FR"/>
        </w:rPr>
        <w:t>communication des informations minimales visées aux articles 3.1 et</w:t>
      </w:r>
      <w:r w:rsidR="00FB0644">
        <w:rPr>
          <w:lang w:val="fr-FR"/>
        </w:rPr>
        <w:t> </w:t>
      </w:r>
      <w:r w:rsidRPr="00BD74C5">
        <w:rPr>
          <w:lang w:val="fr-FR"/>
        </w:rPr>
        <w:t>3.2 ou de corriger toute divulgation erronée ou incorrecte.</w:t>
      </w:r>
    </w:p>
    <w:p w14:paraId="34447FA8" w14:textId="135482DA" w:rsidR="00802D2E" w:rsidRPr="00BD74C5" w:rsidRDefault="00802D2E" w:rsidP="002C5E24">
      <w:pPr>
        <w:spacing w:after="220"/>
        <w:rPr>
          <w:szCs w:val="22"/>
          <w:lang w:val="fr-FR"/>
        </w:rPr>
      </w:pPr>
      <w:r w:rsidRPr="00BD74C5">
        <w:rPr>
          <w:lang w:val="fr-FR"/>
        </w:rPr>
        <w:t>3.5</w:t>
      </w:r>
      <w:r w:rsidRPr="00BD74C5">
        <w:rPr>
          <w:lang w:val="fr-FR"/>
        </w:rPr>
        <w:tab/>
        <w:t>Les Parties contractantes n</w:t>
      </w:r>
      <w:r w:rsidR="00402837" w:rsidRPr="00BD74C5">
        <w:rPr>
          <w:lang w:val="fr-FR"/>
        </w:rPr>
        <w:t>’</w:t>
      </w:r>
      <w:r w:rsidRPr="00BD74C5">
        <w:rPr>
          <w:lang w:val="fr-FR"/>
        </w:rPr>
        <w:t>obligent pas les offices à vérifier l</w:t>
      </w:r>
      <w:r w:rsidR="00402837" w:rsidRPr="00BD74C5">
        <w:rPr>
          <w:lang w:val="fr-FR"/>
        </w:rPr>
        <w:t>’</w:t>
      </w:r>
      <w:r w:rsidRPr="00BD74C5">
        <w:rPr>
          <w:lang w:val="fr-FR"/>
        </w:rPr>
        <w:t>authenticité de la divulgation.</w:t>
      </w:r>
    </w:p>
    <w:p w14:paraId="78872C07" w14:textId="4685092C" w:rsidR="00802D2E" w:rsidRPr="00BD74C5" w:rsidRDefault="00802D2E" w:rsidP="002C5E24">
      <w:pPr>
        <w:spacing w:after="220"/>
        <w:rPr>
          <w:lang w:val="fr-FR"/>
        </w:rPr>
      </w:pPr>
      <w:r w:rsidRPr="00BD74C5">
        <w:rPr>
          <w:lang w:val="fr-FR"/>
        </w:rPr>
        <w:t>3.6</w:t>
      </w:r>
      <w:r w:rsidRPr="00BD74C5">
        <w:rPr>
          <w:lang w:val="fr-FR"/>
        </w:rPr>
        <w:tab/>
        <w:t>Chaque Partie contractante rend l</w:t>
      </w:r>
      <w:r w:rsidR="00402837" w:rsidRPr="00BD74C5">
        <w:rPr>
          <w:lang w:val="fr-FR"/>
        </w:rPr>
        <w:t>’</w:t>
      </w:r>
      <w:r w:rsidRPr="00BD74C5">
        <w:rPr>
          <w:lang w:val="fr-FR"/>
        </w:rPr>
        <w:t>information divulguée disponible conformément aux procédures en matière de brevets, sans préjudice de la protection des informations confidentielles.</w:t>
      </w:r>
    </w:p>
    <w:p w14:paraId="5CF08B6C" w14:textId="77777777" w:rsidR="00802D2E" w:rsidRPr="00BD74C5" w:rsidRDefault="00802D2E" w:rsidP="002C5E24">
      <w:pPr>
        <w:keepNext/>
        <w:spacing w:before="840"/>
        <w:jc w:val="center"/>
        <w:rPr>
          <w:b/>
          <w:szCs w:val="22"/>
          <w:lang w:val="fr-FR"/>
        </w:rPr>
      </w:pPr>
      <w:r w:rsidRPr="00BD74C5">
        <w:rPr>
          <w:b/>
          <w:lang w:val="fr-FR"/>
        </w:rPr>
        <w:t>ARTICLE 4</w:t>
      </w:r>
    </w:p>
    <w:p w14:paraId="13218C1F" w14:textId="5BCD14F6" w:rsidR="00802D2E" w:rsidRPr="00BD74C5" w:rsidRDefault="00802D2E" w:rsidP="002C5E24">
      <w:pPr>
        <w:keepNext/>
        <w:keepLines/>
        <w:spacing w:after="240"/>
        <w:jc w:val="center"/>
        <w:rPr>
          <w:b/>
          <w:szCs w:val="22"/>
          <w:lang w:val="fr-FR"/>
        </w:rPr>
      </w:pPr>
      <w:r w:rsidRPr="00BD74C5">
        <w:rPr>
          <w:b/>
          <w:lang w:val="fr-FR"/>
        </w:rPr>
        <w:t>NON</w:t>
      </w:r>
      <w:r w:rsidR="00EB0BA1">
        <w:rPr>
          <w:b/>
          <w:lang w:val="fr-FR"/>
        </w:rPr>
        <w:noBreakHyphen/>
      </w:r>
      <w:r w:rsidRPr="00BD74C5">
        <w:rPr>
          <w:b/>
          <w:lang w:val="fr-FR"/>
        </w:rPr>
        <w:t>RÉTROACTIVITÉ</w:t>
      </w:r>
    </w:p>
    <w:p w14:paraId="44A5C0E3" w14:textId="5462FF37" w:rsidR="00802D2E" w:rsidRPr="00BD74C5" w:rsidRDefault="00802D2E" w:rsidP="002C5E24">
      <w:pPr>
        <w:keepLines/>
        <w:rPr>
          <w:lang w:val="fr-FR"/>
        </w:rPr>
      </w:pPr>
      <w:r w:rsidRPr="00BD74C5">
        <w:rPr>
          <w:lang w:val="fr-FR"/>
        </w:rPr>
        <w:t>Une Partie contractante n</w:t>
      </w:r>
      <w:r w:rsidR="00402837" w:rsidRPr="00BD74C5">
        <w:rPr>
          <w:lang w:val="fr-FR"/>
        </w:rPr>
        <w:t>’</w:t>
      </w:r>
      <w:r w:rsidRPr="00BD74C5">
        <w:rPr>
          <w:lang w:val="fr-FR"/>
        </w:rPr>
        <w:t>impose pas les obligations du présent traité en ce qui concerne les demandes de brevet déposées avant l</w:t>
      </w:r>
      <w:r w:rsidR="00402837" w:rsidRPr="00BD74C5">
        <w:rPr>
          <w:lang w:val="fr-FR"/>
        </w:rPr>
        <w:t>’</w:t>
      </w:r>
      <w:r w:rsidRPr="00BD74C5">
        <w:rPr>
          <w:lang w:val="fr-FR"/>
        </w:rPr>
        <w:t xml:space="preserve">entrée en vigueur du présent traité </w:t>
      </w:r>
      <w:r w:rsidR="00402837" w:rsidRPr="00BD74C5">
        <w:rPr>
          <w:lang w:val="fr-FR"/>
        </w:rPr>
        <w:t>à l’égard</w:t>
      </w:r>
      <w:r w:rsidRPr="00BD74C5">
        <w:rPr>
          <w:lang w:val="fr-FR"/>
        </w:rPr>
        <w:t xml:space="preserve"> de </w:t>
      </w:r>
      <w:r w:rsidR="00A82A6E">
        <w:rPr>
          <w:lang w:val="fr-FR"/>
        </w:rPr>
        <w:t>cette</w:t>
      </w:r>
      <w:r w:rsidR="00A82A6E" w:rsidRPr="00BD74C5">
        <w:rPr>
          <w:lang w:val="fr-FR"/>
        </w:rPr>
        <w:t xml:space="preserve"> </w:t>
      </w:r>
      <w:r w:rsidRPr="00BD74C5">
        <w:rPr>
          <w:lang w:val="fr-FR"/>
        </w:rPr>
        <w:t>Partie contractante, sans préjudice des dispositions des législations nationales existantes en matière de divulgation qui s</w:t>
      </w:r>
      <w:r w:rsidR="00402837" w:rsidRPr="00BD74C5">
        <w:rPr>
          <w:lang w:val="fr-FR"/>
        </w:rPr>
        <w:t>’</w:t>
      </w:r>
      <w:r w:rsidRPr="00BD74C5">
        <w:rPr>
          <w:lang w:val="fr-FR"/>
        </w:rPr>
        <w:t>appliquent à ces demandes de brevet.</w:t>
      </w:r>
    </w:p>
    <w:p w14:paraId="14E84A72" w14:textId="77777777" w:rsidR="00802D2E" w:rsidRPr="00BD74C5" w:rsidRDefault="00802D2E" w:rsidP="002C5E24">
      <w:pPr>
        <w:spacing w:before="840"/>
        <w:jc w:val="center"/>
        <w:rPr>
          <w:b/>
          <w:szCs w:val="22"/>
          <w:lang w:val="fr-FR"/>
        </w:rPr>
      </w:pPr>
      <w:r w:rsidRPr="00BD74C5">
        <w:rPr>
          <w:b/>
          <w:lang w:val="fr-FR"/>
        </w:rPr>
        <w:t>ARTICLE 5</w:t>
      </w:r>
    </w:p>
    <w:p w14:paraId="2E7CADD0" w14:textId="77777777" w:rsidR="00802D2E" w:rsidRPr="00BD74C5" w:rsidRDefault="00802D2E" w:rsidP="002C5E24">
      <w:pPr>
        <w:spacing w:after="240"/>
        <w:jc w:val="center"/>
        <w:rPr>
          <w:b/>
          <w:szCs w:val="22"/>
          <w:lang w:val="fr-FR"/>
        </w:rPr>
      </w:pPr>
      <w:r w:rsidRPr="00BD74C5">
        <w:rPr>
          <w:b/>
          <w:lang w:val="fr-FR"/>
        </w:rPr>
        <w:t>SANCTIONS ET MESURES CORRECTIVES</w:t>
      </w:r>
    </w:p>
    <w:p w14:paraId="20B72FA1" w14:textId="5EC04126" w:rsidR="00802D2E" w:rsidRPr="00BD74C5" w:rsidRDefault="00802D2E" w:rsidP="002C5E24">
      <w:pPr>
        <w:keepLines/>
        <w:spacing w:after="220"/>
        <w:rPr>
          <w:szCs w:val="22"/>
          <w:lang w:val="fr-FR"/>
        </w:rPr>
      </w:pPr>
      <w:r w:rsidRPr="00BD74C5">
        <w:rPr>
          <w:lang w:val="fr-FR"/>
        </w:rPr>
        <w:t>5.1</w:t>
      </w:r>
      <w:r w:rsidRPr="00BD74C5">
        <w:rPr>
          <w:lang w:val="fr-FR"/>
        </w:rPr>
        <w:tab/>
        <w:t>Chaque Partie contractante met en place des mesures juridiques, administratives ou de politique appropriées, efficaces et proportionnées pour traiter d</w:t>
      </w:r>
      <w:r w:rsidR="00402837" w:rsidRPr="00BD74C5">
        <w:rPr>
          <w:lang w:val="fr-FR"/>
        </w:rPr>
        <w:t>’</w:t>
      </w:r>
      <w:r w:rsidRPr="00BD74C5">
        <w:rPr>
          <w:lang w:val="fr-FR"/>
        </w:rPr>
        <w:t>un</w:t>
      </w:r>
      <w:r w:rsidR="00A82A6E">
        <w:rPr>
          <w:lang w:val="fr-FR"/>
        </w:rPr>
        <w:t xml:space="preserve"> défaut d</w:t>
      </w:r>
      <w:r w:rsidRPr="00BD74C5">
        <w:rPr>
          <w:lang w:val="fr-FR"/>
        </w:rPr>
        <w:t>e communication des informations exigées à l</w:t>
      </w:r>
      <w:r w:rsidR="00402837" w:rsidRPr="00BD74C5">
        <w:rPr>
          <w:lang w:val="fr-FR"/>
        </w:rPr>
        <w:t>’</w:t>
      </w:r>
      <w:r w:rsidRPr="00BD74C5">
        <w:rPr>
          <w:lang w:val="fr-FR"/>
        </w:rPr>
        <w:t>article 3 du présent traité.</w:t>
      </w:r>
    </w:p>
    <w:p w14:paraId="6DDE6C9D" w14:textId="7DD490DE" w:rsidR="00802D2E" w:rsidRPr="00BD74C5" w:rsidRDefault="00802D2E" w:rsidP="002C5E24">
      <w:pPr>
        <w:pStyle w:val="CommentText"/>
        <w:spacing w:after="220"/>
        <w:rPr>
          <w:sz w:val="22"/>
          <w:lang w:val="fr-FR"/>
        </w:rPr>
      </w:pPr>
      <w:r w:rsidRPr="00BD74C5">
        <w:rPr>
          <w:sz w:val="22"/>
          <w:lang w:val="fr-FR"/>
        </w:rPr>
        <w:t>5.2</w:t>
      </w:r>
      <w:r w:rsidRPr="00BD74C5">
        <w:rPr>
          <w:sz w:val="22"/>
          <w:lang w:val="fr-FR"/>
        </w:rPr>
        <w:tab/>
      </w:r>
      <w:r w:rsidRPr="00BD74C5">
        <w:rPr>
          <w:sz w:val="22"/>
          <w:szCs w:val="22"/>
          <w:lang w:val="fr-FR"/>
        </w:rPr>
        <w:t>Sous réserve de l</w:t>
      </w:r>
      <w:r w:rsidR="00402837" w:rsidRPr="00BD74C5">
        <w:rPr>
          <w:sz w:val="22"/>
          <w:szCs w:val="22"/>
          <w:lang w:val="fr-FR"/>
        </w:rPr>
        <w:t>’article 5</w:t>
      </w:r>
      <w:r w:rsidRPr="00BD74C5">
        <w:rPr>
          <w:sz w:val="22"/>
          <w:szCs w:val="22"/>
          <w:lang w:val="fr-FR"/>
        </w:rPr>
        <w:t>.2</w:t>
      </w:r>
      <w:r w:rsidRPr="00BD74C5">
        <w:rPr>
          <w:i/>
          <w:iCs/>
          <w:sz w:val="22"/>
          <w:szCs w:val="22"/>
          <w:lang w:val="fr-FR"/>
        </w:rPr>
        <w:t>bis</w:t>
      </w:r>
      <w:r w:rsidRPr="00BD74C5">
        <w:rPr>
          <w:sz w:val="22"/>
          <w:szCs w:val="22"/>
          <w:lang w:val="fr-FR"/>
        </w:rPr>
        <w:t>,</w:t>
      </w:r>
      <w:r w:rsidRPr="00BD74C5">
        <w:rPr>
          <w:sz w:val="22"/>
          <w:lang w:val="fr-FR"/>
        </w:rPr>
        <w:t xml:space="preserve"> chaque Partie contractante donne la possibilité de rectifier tout défaut de divulgation des informations requises à l</w:t>
      </w:r>
      <w:r w:rsidR="00402837" w:rsidRPr="00BD74C5">
        <w:rPr>
          <w:sz w:val="22"/>
          <w:lang w:val="fr-FR"/>
        </w:rPr>
        <w:t>’</w:t>
      </w:r>
      <w:r w:rsidRPr="00BD74C5">
        <w:rPr>
          <w:sz w:val="22"/>
          <w:lang w:val="fr-FR"/>
        </w:rPr>
        <w:t>article 3 avant d</w:t>
      </w:r>
      <w:r w:rsidR="00402837" w:rsidRPr="00BD74C5">
        <w:rPr>
          <w:sz w:val="22"/>
          <w:lang w:val="fr-FR"/>
        </w:rPr>
        <w:t>’</w:t>
      </w:r>
      <w:r w:rsidRPr="00BD74C5">
        <w:rPr>
          <w:sz w:val="22"/>
          <w:lang w:val="fr-FR"/>
        </w:rPr>
        <w:t>imposer des sanctions ou de prescrire des mesures correctives.</w:t>
      </w:r>
    </w:p>
    <w:p w14:paraId="6E45A99D" w14:textId="09C678C8" w:rsidR="00802D2E" w:rsidRPr="00BD74C5" w:rsidRDefault="00802D2E" w:rsidP="002C5E24">
      <w:pPr>
        <w:keepLines/>
        <w:spacing w:after="220"/>
        <w:rPr>
          <w:szCs w:val="22"/>
          <w:lang w:val="fr-FR"/>
        </w:rPr>
      </w:pPr>
      <w:r w:rsidRPr="00BD74C5">
        <w:rPr>
          <w:szCs w:val="22"/>
          <w:lang w:val="fr-FR"/>
        </w:rPr>
        <w:t>5.2</w:t>
      </w:r>
      <w:r w:rsidRPr="00BD74C5">
        <w:rPr>
          <w:i/>
          <w:iCs/>
          <w:szCs w:val="22"/>
          <w:lang w:val="fr-FR"/>
        </w:rPr>
        <w:t>bis)</w:t>
      </w:r>
      <w:r w:rsidRPr="00BD74C5">
        <w:rPr>
          <w:szCs w:val="22"/>
          <w:lang w:val="fr-FR"/>
        </w:rPr>
        <w:tab/>
        <w:t>Une Partie contractante peut exclure de la possibilité de rectification prévue à l</w:t>
      </w:r>
      <w:r w:rsidR="00402837" w:rsidRPr="00BD74C5">
        <w:rPr>
          <w:szCs w:val="22"/>
          <w:lang w:val="fr-FR"/>
        </w:rPr>
        <w:t>’article 5</w:t>
      </w:r>
      <w:r w:rsidRPr="00BD74C5">
        <w:rPr>
          <w:szCs w:val="22"/>
          <w:lang w:val="fr-FR"/>
        </w:rPr>
        <w:t>.2 les cas de comportement ou d</w:t>
      </w:r>
      <w:r w:rsidR="00402837" w:rsidRPr="00BD74C5">
        <w:rPr>
          <w:szCs w:val="22"/>
          <w:lang w:val="fr-FR"/>
        </w:rPr>
        <w:t>’</w:t>
      </w:r>
      <w:r w:rsidRPr="00BD74C5">
        <w:rPr>
          <w:szCs w:val="22"/>
          <w:lang w:val="fr-FR"/>
        </w:rPr>
        <w:t>intention frauduleuse prévus par la législation nationale.</w:t>
      </w:r>
    </w:p>
    <w:p w14:paraId="7CF590AA" w14:textId="4A7C02D0" w:rsidR="00802D2E" w:rsidRPr="00BD74C5" w:rsidRDefault="00802D2E" w:rsidP="002C5E24">
      <w:pPr>
        <w:spacing w:after="220"/>
        <w:rPr>
          <w:szCs w:val="22"/>
          <w:lang w:val="fr-FR"/>
        </w:rPr>
      </w:pPr>
      <w:r w:rsidRPr="00BD74C5">
        <w:rPr>
          <w:lang w:val="fr-FR"/>
        </w:rPr>
        <w:t>5.3</w:t>
      </w:r>
      <w:r w:rsidRPr="00BD74C5">
        <w:rPr>
          <w:lang w:val="fr-FR"/>
        </w:rPr>
        <w:tab/>
        <w:t>Sous réserve de l</w:t>
      </w:r>
      <w:r w:rsidR="00402837" w:rsidRPr="00BD74C5">
        <w:rPr>
          <w:lang w:val="fr-FR"/>
        </w:rPr>
        <w:t>’</w:t>
      </w:r>
      <w:r w:rsidRPr="00BD74C5">
        <w:rPr>
          <w:lang w:val="fr-FR"/>
        </w:rPr>
        <w:t>article 5.4, les Parties contractantes ne révoquent, n</w:t>
      </w:r>
      <w:r w:rsidR="00402837" w:rsidRPr="00BD74C5">
        <w:rPr>
          <w:lang w:val="fr-FR"/>
        </w:rPr>
        <w:t>’</w:t>
      </w:r>
      <w:r w:rsidRPr="00BD74C5">
        <w:rPr>
          <w:lang w:val="fr-FR"/>
        </w:rPr>
        <w:t>invalident ni ne rendent inopposables les droits de brevet conférés au seul motif que le déposant n</w:t>
      </w:r>
      <w:r w:rsidR="00402837" w:rsidRPr="00BD74C5">
        <w:rPr>
          <w:lang w:val="fr-FR"/>
        </w:rPr>
        <w:t>’</w:t>
      </w:r>
      <w:r w:rsidRPr="00BD74C5">
        <w:rPr>
          <w:lang w:val="fr-FR"/>
        </w:rPr>
        <w:t>a pas communiqué les informations visées à l</w:t>
      </w:r>
      <w:r w:rsidR="00402837" w:rsidRPr="00BD74C5">
        <w:rPr>
          <w:lang w:val="fr-FR"/>
        </w:rPr>
        <w:t>’</w:t>
      </w:r>
      <w:r w:rsidRPr="00BD74C5">
        <w:rPr>
          <w:lang w:val="fr-FR"/>
        </w:rPr>
        <w:t>article 3 du présent traité.</w:t>
      </w:r>
    </w:p>
    <w:p w14:paraId="065F5E29" w14:textId="7814508C" w:rsidR="00802D2E" w:rsidRPr="00BD74C5" w:rsidRDefault="00802D2E" w:rsidP="002C5E24">
      <w:pPr>
        <w:keepLines/>
        <w:spacing w:after="220"/>
        <w:rPr>
          <w:szCs w:val="22"/>
          <w:lang w:val="fr-FR"/>
        </w:rPr>
      </w:pPr>
      <w:r w:rsidRPr="00BD74C5">
        <w:rPr>
          <w:lang w:val="fr-FR"/>
        </w:rPr>
        <w:t>5.4</w:t>
      </w:r>
      <w:r w:rsidRPr="00BD74C5">
        <w:rPr>
          <w:lang w:val="fr-FR"/>
        </w:rPr>
        <w:tab/>
        <w:t>Chaque Partie contractante peut prévoir, conformément à sa législation nationale, des sanctions ou mesures correctives après la délivrance du brevet en cas d</w:t>
      </w:r>
      <w:r w:rsidR="00402837" w:rsidRPr="00BD74C5">
        <w:rPr>
          <w:lang w:val="fr-FR"/>
        </w:rPr>
        <w:t>’</w:t>
      </w:r>
      <w:r w:rsidRPr="00BD74C5">
        <w:rPr>
          <w:lang w:val="fr-FR"/>
        </w:rPr>
        <w:t>intention frauduleuse au regard de l</w:t>
      </w:r>
      <w:r w:rsidR="00402837" w:rsidRPr="00BD74C5">
        <w:rPr>
          <w:lang w:val="fr-FR"/>
        </w:rPr>
        <w:t>’</w:t>
      </w:r>
      <w:r w:rsidRPr="00BD74C5">
        <w:rPr>
          <w:lang w:val="fr-FR"/>
        </w:rPr>
        <w:t>exigence de divulgation visée à l</w:t>
      </w:r>
      <w:r w:rsidR="00402837" w:rsidRPr="00BD74C5">
        <w:rPr>
          <w:lang w:val="fr-FR"/>
        </w:rPr>
        <w:t>’</w:t>
      </w:r>
      <w:r w:rsidRPr="00BD74C5">
        <w:rPr>
          <w:lang w:val="fr-FR"/>
        </w:rPr>
        <w:t>article 3 du présent traité.</w:t>
      </w:r>
    </w:p>
    <w:p w14:paraId="3938F16F" w14:textId="77777777" w:rsidR="00802D2E" w:rsidRPr="00BD74C5" w:rsidRDefault="00802D2E" w:rsidP="002C5E24">
      <w:pPr>
        <w:spacing w:before="840"/>
        <w:jc w:val="center"/>
        <w:rPr>
          <w:b/>
          <w:szCs w:val="22"/>
          <w:lang w:val="fr-FR"/>
        </w:rPr>
      </w:pPr>
      <w:r w:rsidRPr="00BD74C5">
        <w:rPr>
          <w:b/>
          <w:lang w:val="fr-FR"/>
        </w:rPr>
        <w:t>ARTICLE 6</w:t>
      </w:r>
    </w:p>
    <w:p w14:paraId="5892FE39" w14:textId="74F4C14A" w:rsidR="00802D2E" w:rsidRPr="00BD74C5" w:rsidRDefault="00802D2E" w:rsidP="002C5E24">
      <w:pPr>
        <w:keepLines/>
        <w:spacing w:after="240"/>
        <w:jc w:val="center"/>
        <w:rPr>
          <w:b/>
          <w:szCs w:val="22"/>
          <w:lang w:val="fr-FR"/>
        </w:rPr>
      </w:pPr>
      <w:r w:rsidRPr="00BD74C5">
        <w:rPr>
          <w:b/>
          <w:lang w:val="fr-FR"/>
        </w:rPr>
        <w:t>SYSTÈMES D</w:t>
      </w:r>
      <w:r w:rsidR="00402837" w:rsidRPr="00BD74C5">
        <w:rPr>
          <w:b/>
          <w:lang w:val="fr-FR"/>
        </w:rPr>
        <w:t>’</w:t>
      </w:r>
      <w:r w:rsidRPr="00BD74C5">
        <w:rPr>
          <w:b/>
          <w:lang w:val="fr-FR"/>
        </w:rPr>
        <w:t>INFORMATION</w:t>
      </w:r>
    </w:p>
    <w:p w14:paraId="33385CD1" w14:textId="09453FF3" w:rsidR="00802D2E" w:rsidRPr="00BD74C5" w:rsidRDefault="00802D2E" w:rsidP="002C5E24">
      <w:pPr>
        <w:keepLines/>
        <w:spacing w:after="220"/>
        <w:rPr>
          <w:lang w:val="fr-FR"/>
        </w:rPr>
      </w:pPr>
      <w:r w:rsidRPr="00BD74C5">
        <w:rPr>
          <w:lang w:val="fr-FR"/>
        </w:rPr>
        <w:t>6.1</w:t>
      </w:r>
      <w:r w:rsidRPr="00BD74C5">
        <w:rPr>
          <w:lang w:val="fr-FR"/>
        </w:rPr>
        <w:tab/>
        <w:t>Les Parties contractantes peuvent établir des systèmes d</w:t>
      </w:r>
      <w:r w:rsidR="00402837" w:rsidRPr="00BD74C5">
        <w:rPr>
          <w:lang w:val="fr-FR"/>
        </w:rPr>
        <w:t>’</w:t>
      </w:r>
      <w:r w:rsidRPr="00BD74C5">
        <w:rPr>
          <w:lang w:val="fr-FR"/>
        </w:rPr>
        <w:t>information (tels que des bases de données) en matière de ressources génétiques et de savoirs traditionnels associés à des ressources génétiques, en consultation, le cas échéant, avec les peuples autochtones et les communautés locales et autres parties prenantes et en tenant compte des circonstances nationales.</w:t>
      </w:r>
    </w:p>
    <w:p w14:paraId="7B93DC1C" w14:textId="65225784" w:rsidR="00802D2E" w:rsidRPr="00BD74C5" w:rsidRDefault="00802D2E" w:rsidP="002C5E24">
      <w:pPr>
        <w:keepLines/>
        <w:spacing w:after="220"/>
        <w:rPr>
          <w:lang w:val="fr-FR"/>
        </w:rPr>
      </w:pPr>
      <w:r w:rsidRPr="00BD74C5">
        <w:rPr>
          <w:lang w:val="fr-FR"/>
        </w:rPr>
        <w:t>6.2</w:t>
      </w:r>
      <w:r w:rsidRPr="00BD74C5">
        <w:rPr>
          <w:lang w:val="fr-FR"/>
        </w:rPr>
        <w:tab/>
        <w:t xml:space="preserve">Les Parties contractantes </w:t>
      </w:r>
      <w:r w:rsidR="00100C8B">
        <w:rPr>
          <w:lang w:val="fr-FR"/>
        </w:rPr>
        <w:t>devraient</w:t>
      </w:r>
      <w:r w:rsidRPr="00BD74C5">
        <w:rPr>
          <w:lang w:val="fr-FR"/>
        </w:rPr>
        <w:t>, tout en élaborant les sauvegardes appropriées en consultation, le cas échéant, avec les peuples autochtones et les communautés locales et autres parties prenantes, rendre ces systèmes d</w:t>
      </w:r>
      <w:r w:rsidR="00402837" w:rsidRPr="00BD74C5">
        <w:rPr>
          <w:lang w:val="fr-FR"/>
        </w:rPr>
        <w:t>’</w:t>
      </w:r>
      <w:r w:rsidRPr="00BD74C5">
        <w:rPr>
          <w:lang w:val="fr-FR"/>
        </w:rPr>
        <w:t>information accessibles aux offices à des fins de recherche et d</w:t>
      </w:r>
      <w:r w:rsidR="00402837" w:rsidRPr="00BD74C5">
        <w:rPr>
          <w:lang w:val="fr-FR"/>
        </w:rPr>
        <w:t>’</w:t>
      </w:r>
      <w:r w:rsidRPr="00BD74C5">
        <w:rPr>
          <w:lang w:val="fr-FR"/>
        </w:rPr>
        <w:t>examen de demandes de brev</w:t>
      </w:r>
      <w:r w:rsidR="00BD74C5" w:rsidRPr="00BD74C5">
        <w:rPr>
          <w:lang w:val="fr-FR"/>
        </w:rPr>
        <w:t>et.  L’a</w:t>
      </w:r>
      <w:r w:rsidRPr="00BD74C5">
        <w:rPr>
          <w:lang w:val="fr-FR"/>
        </w:rPr>
        <w:t>ccès aux systèmes d</w:t>
      </w:r>
      <w:r w:rsidR="00402837" w:rsidRPr="00BD74C5">
        <w:rPr>
          <w:lang w:val="fr-FR"/>
        </w:rPr>
        <w:t>’</w:t>
      </w:r>
      <w:r w:rsidRPr="00BD74C5">
        <w:rPr>
          <w:lang w:val="fr-FR"/>
        </w:rPr>
        <w:t>information peut être soumis à autorisation, le cas échéant, par les Parties contractantes ayant établi les systèmes d</w:t>
      </w:r>
      <w:r w:rsidR="00402837" w:rsidRPr="00BD74C5">
        <w:rPr>
          <w:lang w:val="fr-FR"/>
        </w:rPr>
        <w:t>’</w:t>
      </w:r>
      <w:r w:rsidRPr="00BD74C5">
        <w:rPr>
          <w:lang w:val="fr-FR"/>
        </w:rPr>
        <w:t>information.</w:t>
      </w:r>
    </w:p>
    <w:p w14:paraId="529D76CC" w14:textId="67E83B09" w:rsidR="00802D2E" w:rsidRPr="00BD74C5" w:rsidRDefault="00802D2E" w:rsidP="002C5E24">
      <w:pPr>
        <w:keepLines/>
        <w:spacing w:after="220"/>
        <w:rPr>
          <w:szCs w:val="22"/>
          <w:lang w:val="fr-FR"/>
        </w:rPr>
      </w:pPr>
      <w:r w:rsidRPr="00BD74C5">
        <w:rPr>
          <w:szCs w:val="22"/>
          <w:lang w:val="fr-FR"/>
        </w:rPr>
        <w:t>6.3</w:t>
      </w:r>
      <w:r w:rsidRPr="00BD74C5">
        <w:rPr>
          <w:szCs w:val="22"/>
          <w:lang w:val="fr-FR"/>
        </w:rPr>
        <w:tab/>
        <w:t>S</w:t>
      </w:r>
      <w:r w:rsidR="00402837" w:rsidRPr="00BD74C5">
        <w:rPr>
          <w:szCs w:val="22"/>
          <w:lang w:val="fr-FR"/>
        </w:rPr>
        <w:t>’</w:t>
      </w:r>
      <w:r w:rsidRPr="00BD74C5">
        <w:rPr>
          <w:szCs w:val="22"/>
          <w:lang w:val="fr-FR"/>
        </w:rPr>
        <w:t>agissant de ces systèmes d</w:t>
      </w:r>
      <w:r w:rsidR="00402837" w:rsidRPr="00BD74C5">
        <w:rPr>
          <w:szCs w:val="22"/>
          <w:lang w:val="fr-FR"/>
        </w:rPr>
        <w:t>’</w:t>
      </w:r>
      <w:r w:rsidRPr="00BD74C5">
        <w:rPr>
          <w:szCs w:val="22"/>
          <w:lang w:val="fr-FR"/>
        </w:rPr>
        <w:t>information, l</w:t>
      </w:r>
      <w:r w:rsidR="00402837" w:rsidRPr="00BD74C5">
        <w:rPr>
          <w:szCs w:val="22"/>
          <w:lang w:val="fr-FR"/>
        </w:rPr>
        <w:t>’</w:t>
      </w:r>
      <w:r w:rsidRPr="00BD74C5">
        <w:rPr>
          <w:szCs w:val="22"/>
          <w:lang w:val="fr-FR"/>
        </w:rPr>
        <w:t xml:space="preserve">Assemblée des Parties contractantes peut créer un ou plusieurs groupes de travail techniques en vue de traiter toute question relative aux </w:t>
      </w:r>
      <w:r w:rsidRPr="00BD74C5">
        <w:rPr>
          <w:lang w:val="fr-FR"/>
        </w:rPr>
        <w:t>systèmes d</w:t>
      </w:r>
      <w:r w:rsidR="00402837" w:rsidRPr="00BD74C5">
        <w:rPr>
          <w:lang w:val="fr-FR"/>
        </w:rPr>
        <w:t>’</w:t>
      </w:r>
      <w:r w:rsidRPr="00BD74C5">
        <w:rPr>
          <w:lang w:val="fr-FR"/>
        </w:rPr>
        <w:t>information, comme l</w:t>
      </w:r>
      <w:r w:rsidR="00402837" w:rsidRPr="00BD74C5">
        <w:rPr>
          <w:lang w:val="fr-FR"/>
        </w:rPr>
        <w:t>’</w:t>
      </w:r>
      <w:r w:rsidRPr="00BD74C5">
        <w:rPr>
          <w:lang w:val="fr-FR"/>
        </w:rPr>
        <w:t xml:space="preserve">accessibilité </w:t>
      </w:r>
      <w:r w:rsidR="00872ED3">
        <w:rPr>
          <w:lang w:val="fr-FR"/>
        </w:rPr>
        <w:t>des</w:t>
      </w:r>
      <w:r w:rsidRPr="00BD74C5">
        <w:rPr>
          <w:lang w:val="fr-FR"/>
        </w:rPr>
        <w:t xml:space="preserve"> offices avec des sauvegardes appropriées.</w:t>
      </w:r>
    </w:p>
    <w:p w14:paraId="0DDB6F41" w14:textId="77777777" w:rsidR="00802D2E" w:rsidRPr="00BD74C5" w:rsidRDefault="00802D2E" w:rsidP="002C5E24">
      <w:pPr>
        <w:keepNext/>
        <w:keepLines/>
        <w:spacing w:before="840"/>
        <w:jc w:val="center"/>
        <w:rPr>
          <w:b/>
          <w:szCs w:val="22"/>
          <w:lang w:val="fr-FR"/>
        </w:rPr>
      </w:pPr>
      <w:r w:rsidRPr="00BD74C5">
        <w:rPr>
          <w:b/>
          <w:lang w:val="fr-FR"/>
        </w:rPr>
        <w:t>ARTICLE 7</w:t>
      </w:r>
    </w:p>
    <w:p w14:paraId="3647C55D" w14:textId="7D3B02BB" w:rsidR="00802D2E" w:rsidRPr="00BD74C5" w:rsidRDefault="00802D2E" w:rsidP="002C5E24">
      <w:pPr>
        <w:keepNext/>
        <w:spacing w:after="240"/>
        <w:jc w:val="center"/>
        <w:rPr>
          <w:b/>
          <w:szCs w:val="22"/>
          <w:lang w:val="fr-FR"/>
        </w:rPr>
      </w:pPr>
      <w:r w:rsidRPr="00BD74C5">
        <w:rPr>
          <w:b/>
          <w:lang w:val="fr-FR"/>
        </w:rPr>
        <w:t>RELATION AVEC D</w:t>
      </w:r>
      <w:r w:rsidR="00402837" w:rsidRPr="00BD74C5">
        <w:rPr>
          <w:b/>
          <w:lang w:val="fr-FR"/>
        </w:rPr>
        <w:t>’</w:t>
      </w:r>
      <w:r w:rsidRPr="00BD74C5">
        <w:rPr>
          <w:b/>
          <w:lang w:val="fr-FR"/>
        </w:rPr>
        <w:t>AUTRES ACCORDS INTERNATIONAUX</w:t>
      </w:r>
    </w:p>
    <w:p w14:paraId="02C88614" w14:textId="413E1698" w:rsidR="00802D2E" w:rsidRPr="00BD74C5" w:rsidRDefault="00802D2E" w:rsidP="002C5E24">
      <w:pPr>
        <w:keepLines/>
        <w:spacing w:after="220"/>
        <w:rPr>
          <w:szCs w:val="22"/>
          <w:lang w:val="fr-FR"/>
        </w:rPr>
      </w:pPr>
      <w:r w:rsidRPr="00BD74C5">
        <w:rPr>
          <w:lang w:val="fr-FR"/>
        </w:rPr>
        <w:t>Le présent traité doit être mis en œuvre d</w:t>
      </w:r>
      <w:r w:rsidR="00402837" w:rsidRPr="00BD74C5">
        <w:rPr>
          <w:lang w:val="fr-FR"/>
        </w:rPr>
        <w:t>’</w:t>
      </w:r>
      <w:r w:rsidRPr="00BD74C5">
        <w:rPr>
          <w:lang w:val="fr-FR"/>
        </w:rPr>
        <w:t>une manière complémentaire par rapport aux autres accords internationaux pertinents à son égard</w:t>
      </w:r>
      <w:r w:rsidRPr="00BD74C5">
        <w:rPr>
          <w:rStyle w:val="FootnoteReference"/>
          <w:lang w:val="fr-FR"/>
        </w:rPr>
        <w:footnoteReference w:id="5"/>
      </w:r>
      <w:r w:rsidR="00BB1952" w:rsidRPr="002944AD">
        <w:rPr>
          <w:vertAlign w:val="superscript"/>
          <w:lang w:val="fr-FR"/>
        </w:rPr>
        <w:t>,</w:t>
      </w:r>
      <w:r w:rsidRPr="00BD74C5">
        <w:rPr>
          <w:rStyle w:val="FootnoteReference"/>
          <w:lang w:val="fr-FR"/>
        </w:rPr>
        <w:footnoteReference w:id="6"/>
      </w:r>
      <w:r w:rsidRPr="00BD74C5">
        <w:rPr>
          <w:lang w:val="fr-FR"/>
        </w:rPr>
        <w:t>.</w:t>
      </w:r>
    </w:p>
    <w:p w14:paraId="3286B9D2" w14:textId="77777777" w:rsidR="00802D2E" w:rsidRPr="00BD74C5" w:rsidRDefault="00802D2E" w:rsidP="002C5E24">
      <w:pPr>
        <w:keepNext/>
        <w:keepLines/>
        <w:spacing w:before="840"/>
        <w:jc w:val="center"/>
        <w:rPr>
          <w:b/>
          <w:szCs w:val="22"/>
          <w:lang w:val="fr-FR"/>
        </w:rPr>
      </w:pPr>
      <w:r w:rsidRPr="00BD74C5">
        <w:rPr>
          <w:b/>
          <w:lang w:val="fr-FR"/>
        </w:rPr>
        <w:t>ARTICLE 8</w:t>
      </w:r>
    </w:p>
    <w:p w14:paraId="75938327" w14:textId="77777777" w:rsidR="00802D2E" w:rsidRPr="00BD74C5" w:rsidRDefault="00802D2E" w:rsidP="002C5E24">
      <w:pPr>
        <w:keepNext/>
        <w:keepLines/>
        <w:spacing w:after="240"/>
        <w:jc w:val="center"/>
        <w:rPr>
          <w:b/>
          <w:lang w:val="fr-FR"/>
        </w:rPr>
      </w:pPr>
      <w:r w:rsidRPr="00BD74C5">
        <w:rPr>
          <w:b/>
          <w:lang w:val="fr-FR"/>
        </w:rPr>
        <w:t>EXAMEN</w:t>
      </w:r>
    </w:p>
    <w:p w14:paraId="337816A8" w14:textId="07B4D96D" w:rsidR="00802D2E" w:rsidRPr="00BD74C5" w:rsidRDefault="00802D2E" w:rsidP="002C5E24">
      <w:pPr>
        <w:keepLines/>
        <w:spacing w:after="220"/>
        <w:rPr>
          <w:lang w:val="fr-FR"/>
        </w:rPr>
      </w:pPr>
      <w:r w:rsidRPr="00BD74C5">
        <w:rPr>
          <w:lang w:val="fr-FR"/>
        </w:rPr>
        <w:t>Les Parties contractantes s</w:t>
      </w:r>
      <w:r w:rsidR="00402837" w:rsidRPr="00BD74C5">
        <w:rPr>
          <w:lang w:val="fr-FR"/>
        </w:rPr>
        <w:t>’</w:t>
      </w:r>
      <w:r w:rsidRPr="00BD74C5">
        <w:rPr>
          <w:lang w:val="fr-FR"/>
        </w:rPr>
        <w:t>engagent à examiner la portée et le contenu du présent traité, abordant ce faisant des questions telles que l</w:t>
      </w:r>
      <w:r w:rsidR="00402837" w:rsidRPr="00BD74C5">
        <w:rPr>
          <w:lang w:val="fr-FR"/>
        </w:rPr>
        <w:t>’</w:t>
      </w:r>
      <w:r w:rsidRPr="00BD74C5">
        <w:rPr>
          <w:lang w:val="fr-FR"/>
        </w:rPr>
        <w:t>éventuel élargissement de l</w:t>
      </w:r>
      <w:r w:rsidR="00402837" w:rsidRPr="00BD74C5">
        <w:rPr>
          <w:lang w:val="fr-FR"/>
        </w:rPr>
        <w:t>’</w:t>
      </w:r>
      <w:r w:rsidRPr="00BD74C5">
        <w:rPr>
          <w:lang w:val="fr-FR"/>
        </w:rPr>
        <w:t>exigence de divulgation visée à l</w:t>
      </w:r>
      <w:r w:rsidR="00402837" w:rsidRPr="00BD74C5">
        <w:rPr>
          <w:lang w:val="fr-FR"/>
        </w:rPr>
        <w:t>’</w:t>
      </w:r>
      <w:r w:rsidRPr="00BD74C5">
        <w:rPr>
          <w:lang w:val="fr-FR"/>
        </w:rPr>
        <w:t>article 3 à d</w:t>
      </w:r>
      <w:r w:rsidR="00402837" w:rsidRPr="00BD74C5">
        <w:rPr>
          <w:lang w:val="fr-FR"/>
        </w:rPr>
        <w:t>’</w:t>
      </w:r>
      <w:r w:rsidRPr="00BD74C5">
        <w:rPr>
          <w:lang w:val="fr-FR"/>
        </w:rPr>
        <w:t>autres domaines relevant de la propriété intellectuelle et aux dérivés, ainsi que d</w:t>
      </w:r>
      <w:r w:rsidR="00402837" w:rsidRPr="00BD74C5">
        <w:rPr>
          <w:lang w:val="fr-FR"/>
        </w:rPr>
        <w:t>’</w:t>
      </w:r>
      <w:r w:rsidRPr="00BD74C5">
        <w:rPr>
          <w:lang w:val="fr-FR"/>
        </w:rPr>
        <w:t xml:space="preserve">autres questions découlant de technologies nouvelles et émergentes pertinentes </w:t>
      </w:r>
      <w:r w:rsidR="00402837" w:rsidRPr="00BD74C5">
        <w:rPr>
          <w:lang w:val="fr-FR"/>
        </w:rPr>
        <w:t>à l’égard</w:t>
      </w:r>
      <w:r w:rsidRPr="00BD74C5">
        <w:rPr>
          <w:lang w:val="fr-FR"/>
        </w:rPr>
        <w:t xml:space="preserve"> de l</w:t>
      </w:r>
      <w:r w:rsidR="00402837" w:rsidRPr="00BD74C5">
        <w:rPr>
          <w:lang w:val="fr-FR"/>
        </w:rPr>
        <w:t>’</w:t>
      </w:r>
      <w:r w:rsidRPr="00BD74C5">
        <w:rPr>
          <w:lang w:val="fr-FR"/>
        </w:rPr>
        <w:t>application du présent traité quatre ans après l</w:t>
      </w:r>
      <w:r w:rsidR="00402837" w:rsidRPr="00BD74C5">
        <w:rPr>
          <w:lang w:val="fr-FR"/>
        </w:rPr>
        <w:t>’</w:t>
      </w:r>
      <w:r w:rsidRPr="00BD74C5">
        <w:rPr>
          <w:lang w:val="fr-FR"/>
        </w:rPr>
        <w:t>entrée en vigueur de celui</w:t>
      </w:r>
      <w:r w:rsidR="00EB0BA1">
        <w:rPr>
          <w:lang w:val="fr-FR"/>
        </w:rPr>
        <w:noBreakHyphen/>
      </w:r>
      <w:r w:rsidRPr="00BD74C5">
        <w:rPr>
          <w:lang w:val="fr-FR"/>
        </w:rPr>
        <w:t>ci.</w:t>
      </w:r>
    </w:p>
    <w:p w14:paraId="4DBAC0B7" w14:textId="77777777" w:rsidR="00802D2E" w:rsidRPr="00BD74C5" w:rsidRDefault="00802D2E" w:rsidP="002C5E24">
      <w:pPr>
        <w:keepNext/>
        <w:spacing w:before="840"/>
        <w:jc w:val="center"/>
        <w:textAlignment w:val="baseline"/>
        <w:rPr>
          <w:rFonts w:eastAsia="Times New Roman"/>
          <w:b/>
          <w:bCs/>
          <w:lang w:val="fr-FR"/>
        </w:rPr>
      </w:pPr>
      <w:r w:rsidRPr="00BD74C5">
        <w:rPr>
          <w:b/>
          <w:lang w:val="fr-FR"/>
        </w:rPr>
        <w:t>ARTICLE 9</w:t>
      </w:r>
    </w:p>
    <w:p w14:paraId="108019A7" w14:textId="77777777" w:rsidR="00802D2E" w:rsidRPr="00BD74C5" w:rsidRDefault="00802D2E" w:rsidP="002C5E24">
      <w:pPr>
        <w:keepNext/>
        <w:spacing w:after="240"/>
        <w:jc w:val="center"/>
        <w:textAlignment w:val="baseline"/>
        <w:rPr>
          <w:rFonts w:eastAsia="Times New Roman"/>
          <w:b/>
          <w:bCs/>
          <w:lang w:val="fr-FR"/>
        </w:rPr>
      </w:pPr>
      <w:r w:rsidRPr="00BD74C5">
        <w:rPr>
          <w:b/>
          <w:lang w:val="fr-FR"/>
        </w:rPr>
        <w:t>PRINCIPES GÉNÉRAUX DE MISE EN ŒUVRE</w:t>
      </w:r>
    </w:p>
    <w:p w14:paraId="1D64E819" w14:textId="67385E19" w:rsidR="00802D2E" w:rsidRPr="00BD74C5" w:rsidRDefault="00802D2E" w:rsidP="002C5E24">
      <w:pPr>
        <w:tabs>
          <w:tab w:val="left" w:pos="567"/>
        </w:tabs>
        <w:spacing w:after="220"/>
        <w:textAlignment w:val="baseline"/>
        <w:rPr>
          <w:rFonts w:eastAsia="Times New Roman"/>
          <w:lang w:val="fr-FR"/>
        </w:rPr>
      </w:pPr>
      <w:r w:rsidRPr="00BD74C5">
        <w:rPr>
          <w:lang w:val="fr-FR"/>
        </w:rPr>
        <w:t>9.1</w:t>
      </w:r>
      <w:r w:rsidRPr="00BD74C5">
        <w:rPr>
          <w:lang w:val="fr-FR"/>
        </w:rPr>
        <w:tab/>
        <w:t>Les Parties contractantes s</w:t>
      </w:r>
      <w:r w:rsidR="00402837" w:rsidRPr="00BD74C5">
        <w:rPr>
          <w:lang w:val="fr-FR"/>
        </w:rPr>
        <w:t>’</w:t>
      </w:r>
      <w:r w:rsidRPr="00BD74C5">
        <w:rPr>
          <w:lang w:val="fr-FR"/>
        </w:rPr>
        <w:t>engagent à adopter les mesures nécessaires pour assurer l</w:t>
      </w:r>
      <w:r w:rsidR="00402837" w:rsidRPr="00BD74C5">
        <w:rPr>
          <w:lang w:val="fr-FR"/>
        </w:rPr>
        <w:t>’</w:t>
      </w:r>
      <w:r w:rsidRPr="00BD74C5">
        <w:rPr>
          <w:lang w:val="fr-FR"/>
        </w:rPr>
        <w:t>application du présent traité.</w:t>
      </w:r>
    </w:p>
    <w:p w14:paraId="4328C50C" w14:textId="77777777" w:rsidR="00802D2E" w:rsidRPr="00BD74C5" w:rsidRDefault="00802D2E" w:rsidP="002C5E24">
      <w:pPr>
        <w:tabs>
          <w:tab w:val="left" w:pos="567"/>
        </w:tabs>
        <w:spacing w:after="220"/>
        <w:textAlignment w:val="baseline"/>
        <w:rPr>
          <w:rFonts w:eastAsia="Times New Roman"/>
          <w:lang w:val="fr-FR"/>
        </w:rPr>
      </w:pPr>
      <w:r w:rsidRPr="00BD74C5">
        <w:rPr>
          <w:lang w:val="fr-FR"/>
        </w:rPr>
        <w:t>9.2</w:t>
      </w:r>
      <w:r w:rsidRPr="00BD74C5">
        <w:rPr>
          <w:lang w:val="fr-FR"/>
        </w:rPr>
        <w:tab/>
        <w:t>Rien ne doit empêcher les Parties contractantes de déterminer la méthode appropriée pour mettre en œuvre les dispositions du présent traité dans le cadre de leurs propres systèmes et pratiques juridiques.</w:t>
      </w:r>
    </w:p>
    <w:p w14:paraId="0E1C3F85" w14:textId="77777777" w:rsidR="00802D2E" w:rsidRPr="00BD74C5" w:rsidRDefault="00802D2E" w:rsidP="002C5E24">
      <w:pPr>
        <w:tabs>
          <w:tab w:val="left" w:pos="567"/>
        </w:tabs>
        <w:spacing w:before="840"/>
        <w:jc w:val="center"/>
        <w:textAlignment w:val="baseline"/>
        <w:rPr>
          <w:rFonts w:eastAsia="Times New Roman"/>
          <w:b/>
          <w:bCs/>
          <w:lang w:val="fr-FR"/>
        </w:rPr>
      </w:pPr>
      <w:r w:rsidRPr="00BD74C5">
        <w:rPr>
          <w:b/>
          <w:lang w:val="fr-FR"/>
        </w:rPr>
        <w:t>ARTICLE 10</w:t>
      </w:r>
    </w:p>
    <w:p w14:paraId="6CBD82D7" w14:textId="77777777" w:rsidR="00802D2E" w:rsidRPr="00BD74C5" w:rsidRDefault="00802D2E" w:rsidP="002C5E24">
      <w:pPr>
        <w:tabs>
          <w:tab w:val="left" w:pos="567"/>
        </w:tabs>
        <w:spacing w:after="240"/>
        <w:jc w:val="center"/>
        <w:textAlignment w:val="baseline"/>
        <w:rPr>
          <w:rFonts w:eastAsia="Times New Roman"/>
          <w:b/>
          <w:bCs/>
          <w:lang w:val="fr-FR"/>
        </w:rPr>
      </w:pPr>
      <w:r w:rsidRPr="00BD74C5">
        <w:rPr>
          <w:b/>
          <w:lang w:val="fr-FR"/>
        </w:rPr>
        <w:t>ASSEMBLÉE</w:t>
      </w:r>
    </w:p>
    <w:p w14:paraId="3D5174C8" w14:textId="79B9496A" w:rsidR="00802D2E" w:rsidRPr="00BD74C5" w:rsidRDefault="00802D2E" w:rsidP="002C5E24">
      <w:pPr>
        <w:tabs>
          <w:tab w:val="left" w:pos="567"/>
        </w:tabs>
        <w:spacing w:after="220"/>
        <w:textAlignment w:val="baseline"/>
        <w:rPr>
          <w:rFonts w:eastAsia="Times New Roman"/>
          <w:lang w:val="fr-FR"/>
        </w:rPr>
      </w:pPr>
      <w:r w:rsidRPr="00BD74C5">
        <w:rPr>
          <w:lang w:val="fr-FR"/>
        </w:rPr>
        <w:t>10.1</w:t>
      </w:r>
      <w:r w:rsidRPr="00BD74C5">
        <w:rPr>
          <w:lang w:val="fr-FR"/>
        </w:rPr>
        <w:tab/>
        <w:t>Les Parties contractantes ont une Assemblée</w:t>
      </w:r>
      <w:r w:rsidR="00402837" w:rsidRPr="00BD74C5">
        <w:rPr>
          <w:lang w:val="fr-FR"/>
        </w:rPr>
        <w:t> :</w:t>
      </w:r>
    </w:p>
    <w:p w14:paraId="78F9EE1A" w14:textId="6BD1F8E6" w:rsidR="00802D2E" w:rsidRPr="00BD74C5" w:rsidRDefault="00802D2E" w:rsidP="002C5E24">
      <w:pPr>
        <w:pStyle w:val="ListParagraph"/>
        <w:numPr>
          <w:ilvl w:val="0"/>
          <w:numId w:val="9"/>
        </w:numPr>
        <w:tabs>
          <w:tab w:val="left" w:pos="567"/>
        </w:tabs>
        <w:spacing w:after="220" w:line="240" w:lineRule="auto"/>
        <w:textAlignment w:val="baseline"/>
        <w:rPr>
          <w:rFonts w:ascii="Arial" w:eastAsia="SimSun" w:hAnsi="Arial" w:cs="Arial"/>
          <w:szCs w:val="20"/>
          <w:lang w:eastAsia="zh-CN"/>
        </w:rPr>
      </w:pPr>
      <w:r w:rsidRPr="00BD74C5">
        <w:rPr>
          <w:rFonts w:ascii="Arial" w:eastAsia="SimSun" w:hAnsi="Arial" w:cs="Arial"/>
          <w:szCs w:val="20"/>
          <w:lang w:eastAsia="zh-CN"/>
        </w:rPr>
        <w:t>Chaque Partie contractante est représentée à l</w:t>
      </w:r>
      <w:r w:rsidR="00402837" w:rsidRPr="00BD74C5">
        <w:rPr>
          <w:rFonts w:ascii="Arial" w:eastAsia="SimSun" w:hAnsi="Arial" w:cs="Arial"/>
          <w:szCs w:val="20"/>
          <w:lang w:eastAsia="zh-CN"/>
        </w:rPr>
        <w:t>’</w:t>
      </w:r>
      <w:r w:rsidRPr="00BD74C5">
        <w:rPr>
          <w:rFonts w:ascii="Arial" w:eastAsia="SimSun" w:hAnsi="Arial" w:cs="Arial"/>
          <w:szCs w:val="20"/>
          <w:lang w:eastAsia="zh-CN"/>
        </w:rPr>
        <w:t>Assemblée par un délégué, qui peut être assisté de suppléants, de conseillers et d</w:t>
      </w:r>
      <w:r w:rsidR="00402837" w:rsidRPr="00BD74C5">
        <w:rPr>
          <w:rFonts w:ascii="Arial" w:eastAsia="SimSun" w:hAnsi="Arial" w:cs="Arial"/>
          <w:szCs w:val="20"/>
          <w:lang w:eastAsia="zh-CN"/>
        </w:rPr>
        <w:t>’</w:t>
      </w:r>
      <w:r w:rsidRPr="00BD74C5">
        <w:rPr>
          <w:rFonts w:ascii="Arial" w:eastAsia="SimSun" w:hAnsi="Arial" w:cs="Arial"/>
          <w:szCs w:val="20"/>
          <w:lang w:eastAsia="zh-CN"/>
        </w:rPr>
        <w:t>experts. </w:t>
      </w:r>
    </w:p>
    <w:p w14:paraId="2730464B" w14:textId="5137F54C" w:rsidR="00802D2E" w:rsidRPr="00BD74C5" w:rsidRDefault="00802D2E" w:rsidP="002C5E24">
      <w:pPr>
        <w:pStyle w:val="ListParagraph"/>
        <w:numPr>
          <w:ilvl w:val="0"/>
          <w:numId w:val="9"/>
        </w:numPr>
        <w:tabs>
          <w:tab w:val="left" w:pos="567"/>
        </w:tabs>
        <w:spacing w:after="220" w:line="240" w:lineRule="auto"/>
        <w:textAlignment w:val="baseline"/>
        <w:rPr>
          <w:rFonts w:ascii="Arial" w:eastAsia="SimSun" w:hAnsi="Arial" w:cs="Arial"/>
          <w:szCs w:val="20"/>
          <w:lang w:eastAsia="zh-CN"/>
        </w:rPr>
      </w:pPr>
      <w:r w:rsidRPr="00BD74C5">
        <w:rPr>
          <w:rFonts w:ascii="Arial" w:eastAsia="SimSun" w:hAnsi="Arial" w:cs="Arial"/>
          <w:szCs w:val="20"/>
          <w:lang w:eastAsia="zh-CN"/>
        </w:rPr>
        <w:t>Les dépenses de chaque délégation doivent être supportées par la Partie contractante qui l</w:t>
      </w:r>
      <w:r w:rsidR="00402837" w:rsidRPr="00BD74C5">
        <w:rPr>
          <w:rFonts w:ascii="Arial" w:eastAsia="SimSun" w:hAnsi="Arial" w:cs="Arial"/>
          <w:szCs w:val="20"/>
          <w:lang w:eastAsia="zh-CN"/>
        </w:rPr>
        <w:t>’</w:t>
      </w:r>
      <w:r w:rsidRPr="00BD74C5">
        <w:rPr>
          <w:rFonts w:ascii="Arial" w:eastAsia="SimSun" w:hAnsi="Arial" w:cs="Arial"/>
          <w:szCs w:val="20"/>
          <w:lang w:eastAsia="zh-CN"/>
        </w:rPr>
        <w:t>a désignée.  L</w:t>
      </w:r>
      <w:r w:rsidR="00402837" w:rsidRPr="00BD74C5">
        <w:rPr>
          <w:rFonts w:ascii="Arial" w:eastAsia="SimSun" w:hAnsi="Arial" w:cs="Arial"/>
          <w:szCs w:val="20"/>
          <w:lang w:eastAsia="zh-CN"/>
        </w:rPr>
        <w:t>’</w:t>
      </w:r>
      <w:r w:rsidRPr="00BD74C5">
        <w:rPr>
          <w:rFonts w:ascii="Arial" w:eastAsia="SimSun" w:hAnsi="Arial" w:cs="Arial"/>
          <w:szCs w:val="20"/>
          <w:lang w:eastAsia="zh-CN"/>
        </w:rPr>
        <w:t>Assemblée peut demander au Bureau international de l</w:t>
      </w:r>
      <w:r w:rsidR="00402837" w:rsidRPr="00BD74C5">
        <w:rPr>
          <w:rFonts w:ascii="Arial" w:eastAsia="SimSun" w:hAnsi="Arial" w:cs="Arial"/>
          <w:szCs w:val="20"/>
          <w:lang w:eastAsia="zh-CN"/>
        </w:rPr>
        <w:t>’</w:t>
      </w:r>
      <w:r w:rsidRPr="00BD74C5">
        <w:rPr>
          <w:rFonts w:ascii="Arial" w:eastAsia="SimSun" w:hAnsi="Arial" w:cs="Arial"/>
          <w:szCs w:val="20"/>
          <w:lang w:eastAsia="zh-CN"/>
        </w:rPr>
        <w:t>OMPI d</w:t>
      </w:r>
      <w:r w:rsidR="00402837" w:rsidRPr="00BD74C5">
        <w:rPr>
          <w:rFonts w:ascii="Arial" w:eastAsia="SimSun" w:hAnsi="Arial" w:cs="Arial"/>
          <w:szCs w:val="20"/>
          <w:lang w:eastAsia="zh-CN"/>
        </w:rPr>
        <w:t>’</w:t>
      </w:r>
      <w:r w:rsidRPr="00BD74C5">
        <w:rPr>
          <w:rFonts w:ascii="Arial" w:eastAsia="SimSun" w:hAnsi="Arial" w:cs="Arial"/>
          <w:szCs w:val="20"/>
          <w:lang w:eastAsia="zh-CN"/>
        </w:rPr>
        <w:t>accorder une assistance financière pour faciliter la participation de délégations des Parties contractantes qui sont considérées comme des pays en développement conformément à la pratique établie de l</w:t>
      </w:r>
      <w:r w:rsidR="00402837" w:rsidRPr="00BD74C5">
        <w:rPr>
          <w:rFonts w:ascii="Arial" w:eastAsia="SimSun" w:hAnsi="Arial" w:cs="Arial"/>
          <w:szCs w:val="20"/>
          <w:lang w:eastAsia="zh-CN"/>
        </w:rPr>
        <w:t>’</w:t>
      </w:r>
      <w:r w:rsidRPr="00BD74C5">
        <w:rPr>
          <w:rFonts w:ascii="Arial" w:eastAsia="SimSun" w:hAnsi="Arial" w:cs="Arial"/>
          <w:szCs w:val="20"/>
          <w:lang w:eastAsia="zh-CN"/>
        </w:rPr>
        <w:t xml:space="preserve">Assemblée générale des </w:t>
      </w:r>
      <w:r w:rsidR="00402837" w:rsidRPr="00BD74C5">
        <w:rPr>
          <w:rFonts w:ascii="Arial" w:eastAsia="SimSun" w:hAnsi="Arial" w:cs="Arial"/>
          <w:szCs w:val="20"/>
          <w:lang w:eastAsia="zh-CN"/>
        </w:rPr>
        <w:t>Nations Unies</w:t>
      </w:r>
      <w:r w:rsidRPr="00BD74C5">
        <w:rPr>
          <w:rFonts w:ascii="Arial" w:eastAsia="SimSun" w:hAnsi="Arial" w:cs="Arial"/>
          <w:szCs w:val="20"/>
          <w:lang w:eastAsia="zh-CN"/>
        </w:rPr>
        <w:t xml:space="preserve"> ou qui sont des pays en transition vers une économie de marché. </w:t>
      </w:r>
    </w:p>
    <w:p w14:paraId="020585FD" w14:textId="53ECB753" w:rsidR="00802D2E" w:rsidRPr="00BD74C5" w:rsidRDefault="00802D2E" w:rsidP="002C5E24">
      <w:pPr>
        <w:pStyle w:val="ListParagraph"/>
        <w:numPr>
          <w:ilvl w:val="0"/>
          <w:numId w:val="9"/>
        </w:numPr>
        <w:tabs>
          <w:tab w:val="left" w:pos="567"/>
        </w:tabs>
        <w:spacing w:after="220" w:line="240" w:lineRule="auto"/>
        <w:textAlignment w:val="baseline"/>
        <w:rPr>
          <w:rFonts w:ascii="Arial" w:eastAsia="SimSun" w:hAnsi="Arial" w:cs="Arial"/>
          <w:szCs w:val="20"/>
          <w:lang w:eastAsia="zh-CN"/>
        </w:rPr>
      </w:pPr>
      <w:r w:rsidRPr="00BD74C5">
        <w:rPr>
          <w:rFonts w:ascii="Arial" w:hAnsi="Arial" w:cs="Arial"/>
        </w:rPr>
        <w:t>L</w:t>
      </w:r>
      <w:r w:rsidR="00402837" w:rsidRPr="00BD74C5">
        <w:rPr>
          <w:rFonts w:ascii="Arial" w:hAnsi="Arial" w:cs="Arial"/>
        </w:rPr>
        <w:t>’</w:t>
      </w:r>
      <w:r w:rsidRPr="00BD74C5">
        <w:rPr>
          <w:rFonts w:ascii="Arial" w:hAnsi="Arial" w:cs="Arial"/>
        </w:rPr>
        <w:t>Assemblée encourage la participation effective</w:t>
      </w:r>
      <w:r w:rsidRPr="00BD74C5">
        <w:rPr>
          <w:rFonts w:ascii="Arial" w:eastAsia="SimSun" w:hAnsi="Arial" w:cs="Arial"/>
          <w:szCs w:val="20"/>
          <w:lang w:eastAsia="zh-CN"/>
        </w:rPr>
        <w:t xml:space="preserve"> des représentants des peuples autochtones et des communautés locales en qualité d</w:t>
      </w:r>
      <w:r w:rsidR="00402837" w:rsidRPr="00BD74C5">
        <w:rPr>
          <w:rFonts w:ascii="Arial" w:eastAsia="SimSun" w:hAnsi="Arial" w:cs="Arial"/>
          <w:szCs w:val="20"/>
          <w:lang w:eastAsia="zh-CN"/>
        </w:rPr>
        <w:t>’</w:t>
      </w:r>
      <w:r w:rsidRPr="00BD74C5">
        <w:rPr>
          <w:rFonts w:ascii="Arial" w:eastAsia="SimSun" w:hAnsi="Arial" w:cs="Arial"/>
          <w:szCs w:val="20"/>
          <w:lang w:eastAsia="zh-CN"/>
        </w:rPr>
        <w:t xml:space="preserve">observateurs accrédités.  </w:t>
      </w:r>
      <w:r w:rsidRPr="00BD74C5">
        <w:rPr>
          <w:rFonts w:ascii="Arial" w:hAnsi="Arial" w:cs="Arial"/>
        </w:rPr>
        <w:t>L</w:t>
      </w:r>
      <w:r w:rsidR="00402837" w:rsidRPr="00BD74C5">
        <w:rPr>
          <w:rFonts w:ascii="Arial" w:hAnsi="Arial" w:cs="Arial"/>
        </w:rPr>
        <w:t>’</w:t>
      </w:r>
      <w:r w:rsidRPr="00BD74C5">
        <w:rPr>
          <w:rFonts w:ascii="Arial" w:hAnsi="Arial" w:cs="Arial"/>
        </w:rPr>
        <w:t>Assemblée</w:t>
      </w:r>
      <w:r w:rsidRPr="00BD74C5">
        <w:rPr>
          <w:rFonts w:ascii="Arial" w:eastAsia="SimSun" w:hAnsi="Arial" w:cs="Arial"/>
          <w:szCs w:val="20"/>
          <w:lang w:eastAsia="zh-CN"/>
        </w:rPr>
        <w:t xml:space="preserve"> invitera les parties contractantes à </w:t>
      </w:r>
      <w:r w:rsidRPr="00BD74C5">
        <w:rPr>
          <w:rFonts w:ascii="Arial" w:hAnsi="Arial" w:cs="Arial"/>
        </w:rPr>
        <w:t>envisager des dispositions financières</w:t>
      </w:r>
      <w:r w:rsidRPr="00BD74C5">
        <w:t xml:space="preserve"> </w:t>
      </w:r>
      <w:r w:rsidRPr="00BD74C5">
        <w:rPr>
          <w:rFonts w:ascii="Arial" w:eastAsia="SimSun" w:hAnsi="Arial" w:cs="Arial"/>
          <w:szCs w:val="20"/>
          <w:lang w:eastAsia="zh-CN"/>
        </w:rPr>
        <w:t>pour assurer la participation</w:t>
      </w:r>
      <w:r w:rsidRPr="00BD74C5">
        <w:t xml:space="preserve"> </w:t>
      </w:r>
      <w:r w:rsidRPr="00BD74C5">
        <w:rPr>
          <w:rFonts w:ascii="Arial" w:hAnsi="Arial" w:cs="Arial"/>
        </w:rPr>
        <w:t>des populations autochtones et des communautés locales</w:t>
      </w:r>
      <w:r w:rsidRPr="00BD74C5">
        <w:rPr>
          <w:rFonts w:ascii="Arial" w:eastAsia="SimSun" w:hAnsi="Arial" w:cs="Arial"/>
          <w:szCs w:val="20"/>
          <w:lang w:eastAsia="zh-CN"/>
        </w:rPr>
        <w:t>.</w:t>
      </w:r>
    </w:p>
    <w:p w14:paraId="28F1ED1D" w14:textId="64577FA5" w:rsidR="00802D2E" w:rsidRPr="00BD74C5" w:rsidRDefault="00802D2E" w:rsidP="002C5E24">
      <w:pPr>
        <w:tabs>
          <w:tab w:val="left" w:pos="567"/>
        </w:tabs>
        <w:spacing w:after="220"/>
        <w:rPr>
          <w:lang w:val="fr-FR"/>
        </w:rPr>
      </w:pPr>
      <w:r w:rsidRPr="00BD74C5">
        <w:rPr>
          <w:lang w:val="fr-FR"/>
        </w:rPr>
        <w:t>10.2</w:t>
      </w:r>
      <w:r w:rsidRPr="00BD74C5">
        <w:rPr>
          <w:lang w:val="fr-FR"/>
        </w:rPr>
        <w:tab/>
        <w:t>L</w:t>
      </w:r>
      <w:r w:rsidR="00402837" w:rsidRPr="00BD74C5">
        <w:rPr>
          <w:lang w:val="fr-FR"/>
        </w:rPr>
        <w:t>’</w:t>
      </w:r>
      <w:r w:rsidRPr="00BD74C5">
        <w:rPr>
          <w:lang w:val="fr-FR"/>
        </w:rPr>
        <w:t>Assemblée</w:t>
      </w:r>
    </w:p>
    <w:p w14:paraId="64223FD6" w14:textId="77777777" w:rsidR="00802D2E" w:rsidRPr="00BD74C5" w:rsidRDefault="00802D2E" w:rsidP="002C5E24">
      <w:pPr>
        <w:pStyle w:val="ListParagraph"/>
        <w:numPr>
          <w:ilvl w:val="0"/>
          <w:numId w:val="10"/>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traite</w:t>
      </w:r>
      <w:proofErr w:type="gramEnd"/>
      <w:r w:rsidRPr="00BD74C5">
        <w:rPr>
          <w:rFonts w:ascii="Arial" w:eastAsia="SimSun" w:hAnsi="Arial" w:cs="Arial"/>
          <w:szCs w:val="20"/>
          <w:lang w:eastAsia="zh-CN"/>
        </w:rPr>
        <w:t xml:space="preserve"> de toutes les questions concernant le maintien et le développement du présent traité, ainsi que son application et son fonctionnement;</w:t>
      </w:r>
    </w:p>
    <w:p w14:paraId="10F7DE78" w14:textId="0AA7C8BA" w:rsidR="00802D2E" w:rsidRPr="00BD74C5" w:rsidRDefault="00802D2E" w:rsidP="002C5E24">
      <w:pPr>
        <w:pStyle w:val="ListParagraph"/>
        <w:numPr>
          <w:ilvl w:val="0"/>
          <w:numId w:val="10"/>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s</w:t>
      </w:r>
      <w:r w:rsidR="00402837" w:rsidRPr="00BD74C5">
        <w:rPr>
          <w:rFonts w:ascii="Arial" w:eastAsia="SimSun" w:hAnsi="Arial" w:cs="Arial"/>
          <w:szCs w:val="20"/>
          <w:lang w:eastAsia="zh-CN"/>
        </w:rPr>
        <w:t>’</w:t>
      </w:r>
      <w:r w:rsidRPr="00BD74C5">
        <w:rPr>
          <w:rFonts w:ascii="Arial" w:eastAsia="SimSun" w:hAnsi="Arial" w:cs="Arial"/>
          <w:szCs w:val="20"/>
          <w:lang w:eastAsia="zh-CN"/>
        </w:rPr>
        <w:t>acquitte</w:t>
      </w:r>
      <w:proofErr w:type="gramEnd"/>
      <w:r w:rsidRPr="00BD74C5">
        <w:rPr>
          <w:rFonts w:ascii="Arial" w:eastAsia="SimSun" w:hAnsi="Arial" w:cs="Arial"/>
          <w:szCs w:val="20"/>
          <w:lang w:eastAsia="zh-CN"/>
        </w:rPr>
        <w:t xml:space="preserve"> du rôle qui lui est attribué aux termes de l</w:t>
      </w:r>
      <w:r w:rsidR="00402837" w:rsidRPr="00BD74C5">
        <w:rPr>
          <w:rFonts w:ascii="Arial" w:eastAsia="SimSun" w:hAnsi="Arial" w:cs="Arial"/>
          <w:szCs w:val="20"/>
          <w:lang w:eastAsia="zh-CN"/>
        </w:rPr>
        <w:t>’</w:t>
      </w:r>
      <w:r w:rsidRPr="00BD74C5">
        <w:rPr>
          <w:rFonts w:ascii="Arial" w:eastAsia="SimSun" w:hAnsi="Arial" w:cs="Arial"/>
          <w:szCs w:val="20"/>
          <w:lang w:eastAsia="zh-CN"/>
        </w:rPr>
        <w:t>article </w:t>
      </w:r>
      <w:r w:rsidR="000147EF">
        <w:rPr>
          <w:rFonts w:ascii="Arial" w:eastAsia="SimSun" w:hAnsi="Arial" w:cs="Arial"/>
          <w:szCs w:val="20"/>
          <w:lang w:eastAsia="zh-CN"/>
        </w:rPr>
        <w:t>12.2</w:t>
      </w:r>
      <w:r w:rsidRPr="00BD74C5">
        <w:rPr>
          <w:rFonts w:ascii="Arial" w:eastAsia="SimSun" w:hAnsi="Arial" w:cs="Arial"/>
          <w:szCs w:val="20"/>
          <w:lang w:eastAsia="zh-CN"/>
        </w:rPr>
        <w:t xml:space="preserve"> concernant l</w:t>
      </w:r>
      <w:r w:rsidR="00402837" w:rsidRPr="00BD74C5">
        <w:rPr>
          <w:rFonts w:ascii="Arial" w:eastAsia="SimSun" w:hAnsi="Arial" w:cs="Arial"/>
          <w:szCs w:val="20"/>
          <w:lang w:eastAsia="zh-CN"/>
        </w:rPr>
        <w:t>’</w:t>
      </w:r>
      <w:r w:rsidRPr="00BD74C5">
        <w:rPr>
          <w:rFonts w:ascii="Arial" w:eastAsia="SimSun" w:hAnsi="Arial" w:cs="Arial"/>
          <w:szCs w:val="20"/>
          <w:lang w:eastAsia="zh-CN"/>
        </w:rPr>
        <w:t>adhésion de certaines organisations intergouvernementales au présent traité;</w:t>
      </w:r>
    </w:p>
    <w:p w14:paraId="101E6063" w14:textId="1563F640" w:rsidR="00802D2E" w:rsidRPr="00BD74C5" w:rsidRDefault="00802D2E" w:rsidP="002C5E24">
      <w:pPr>
        <w:pStyle w:val="ListParagraph"/>
        <w:numPr>
          <w:ilvl w:val="0"/>
          <w:numId w:val="10"/>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procède</w:t>
      </w:r>
      <w:proofErr w:type="gramEnd"/>
      <w:r w:rsidRPr="00BD74C5">
        <w:rPr>
          <w:rFonts w:ascii="Arial" w:eastAsia="SimSun" w:hAnsi="Arial" w:cs="Arial"/>
          <w:szCs w:val="20"/>
          <w:lang w:eastAsia="zh-CN"/>
        </w:rPr>
        <w:t xml:space="preserve"> à l</w:t>
      </w:r>
      <w:r w:rsidR="00402837" w:rsidRPr="00BD74C5">
        <w:rPr>
          <w:rFonts w:ascii="Arial" w:eastAsia="SimSun" w:hAnsi="Arial" w:cs="Arial"/>
          <w:szCs w:val="20"/>
          <w:lang w:eastAsia="zh-CN"/>
        </w:rPr>
        <w:t>’</w:t>
      </w:r>
      <w:r w:rsidRPr="00BD74C5">
        <w:rPr>
          <w:rFonts w:ascii="Arial" w:eastAsia="SimSun" w:hAnsi="Arial" w:cs="Arial"/>
          <w:szCs w:val="20"/>
          <w:lang w:eastAsia="zh-CN"/>
        </w:rPr>
        <w:t>examen visé à l</w:t>
      </w:r>
      <w:r w:rsidR="00402837" w:rsidRPr="00BD74C5">
        <w:rPr>
          <w:rFonts w:ascii="Arial" w:eastAsia="SimSun" w:hAnsi="Arial" w:cs="Arial"/>
          <w:szCs w:val="20"/>
          <w:lang w:eastAsia="zh-CN"/>
        </w:rPr>
        <w:t>’</w:t>
      </w:r>
      <w:r w:rsidRPr="00BD74C5">
        <w:rPr>
          <w:rFonts w:ascii="Arial" w:eastAsia="SimSun" w:hAnsi="Arial" w:cs="Arial"/>
          <w:szCs w:val="20"/>
          <w:lang w:eastAsia="zh-CN"/>
        </w:rPr>
        <w:t>article 8;</w:t>
      </w:r>
    </w:p>
    <w:p w14:paraId="786471AE" w14:textId="3E6436B6" w:rsidR="00802D2E" w:rsidRPr="00BD74C5" w:rsidRDefault="00802D2E" w:rsidP="002C5E24">
      <w:pPr>
        <w:pStyle w:val="ListParagraph"/>
        <w:numPr>
          <w:ilvl w:val="0"/>
          <w:numId w:val="10"/>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décide</w:t>
      </w:r>
      <w:proofErr w:type="gramEnd"/>
      <w:r w:rsidRPr="00BD74C5">
        <w:rPr>
          <w:rFonts w:ascii="Arial" w:eastAsia="SimSun" w:hAnsi="Arial" w:cs="Arial"/>
          <w:szCs w:val="20"/>
          <w:lang w:eastAsia="zh-CN"/>
        </w:rPr>
        <w:t xml:space="preserve"> de la convocation d</w:t>
      </w:r>
      <w:r w:rsidR="00402837" w:rsidRPr="00BD74C5">
        <w:rPr>
          <w:rFonts w:ascii="Arial" w:eastAsia="SimSun" w:hAnsi="Arial" w:cs="Arial"/>
          <w:szCs w:val="20"/>
          <w:lang w:eastAsia="zh-CN"/>
        </w:rPr>
        <w:t>’</w:t>
      </w:r>
      <w:r w:rsidRPr="00BD74C5">
        <w:rPr>
          <w:rFonts w:ascii="Arial" w:eastAsia="SimSun" w:hAnsi="Arial" w:cs="Arial"/>
          <w:szCs w:val="20"/>
          <w:lang w:eastAsia="zh-CN"/>
        </w:rPr>
        <w:t>une conférence diplomatique pour la révision du présent traité visée à l</w:t>
      </w:r>
      <w:r w:rsidR="00402837" w:rsidRPr="00BD74C5">
        <w:rPr>
          <w:rFonts w:ascii="Arial" w:eastAsia="SimSun" w:hAnsi="Arial" w:cs="Arial"/>
          <w:szCs w:val="20"/>
          <w:lang w:eastAsia="zh-CN"/>
        </w:rPr>
        <w:t>’</w:t>
      </w:r>
      <w:r w:rsidRPr="00BD74C5">
        <w:rPr>
          <w:rFonts w:ascii="Arial" w:eastAsia="SimSun" w:hAnsi="Arial" w:cs="Arial"/>
          <w:szCs w:val="20"/>
          <w:lang w:eastAsia="zh-CN"/>
        </w:rPr>
        <w:t xml:space="preserve">article 14, </w:t>
      </w:r>
      <w:r w:rsidR="00402837" w:rsidRPr="00BD74C5">
        <w:rPr>
          <w:rFonts w:ascii="Arial" w:eastAsia="SimSun" w:hAnsi="Arial" w:cs="Arial"/>
          <w:szCs w:val="20"/>
          <w:lang w:eastAsia="zh-CN"/>
        </w:rPr>
        <w:t>y compris</w:t>
      </w:r>
      <w:r w:rsidRPr="00BD74C5">
        <w:rPr>
          <w:rFonts w:ascii="Arial" w:eastAsia="SimSun" w:hAnsi="Arial" w:cs="Arial"/>
          <w:szCs w:val="20"/>
          <w:lang w:eastAsia="zh-CN"/>
        </w:rPr>
        <w:t xml:space="preserve"> à la suite de l</w:t>
      </w:r>
      <w:r w:rsidR="00402837" w:rsidRPr="00BD74C5">
        <w:rPr>
          <w:rFonts w:ascii="Arial" w:eastAsia="SimSun" w:hAnsi="Arial" w:cs="Arial"/>
          <w:szCs w:val="20"/>
          <w:lang w:eastAsia="zh-CN"/>
        </w:rPr>
        <w:t>’</w:t>
      </w:r>
      <w:r w:rsidRPr="00BD74C5">
        <w:rPr>
          <w:rFonts w:ascii="Arial" w:eastAsia="SimSun" w:hAnsi="Arial" w:cs="Arial"/>
          <w:szCs w:val="20"/>
          <w:lang w:eastAsia="zh-CN"/>
        </w:rPr>
        <w:t>examen visé à l</w:t>
      </w:r>
      <w:r w:rsidR="00402837" w:rsidRPr="00BD74C5">
        <w:rPr>
          <w:rFonts w:ascii="Arial" w:eastAsia="SimSun" w:hAnsi="Arial" w:cs="Arial"/>
          <w:szCs w:val="20"/>
          <w:lang w:eastAsia="zh-CN"/>
        </w:rPr>
        <w:t>’</w:t>
      </w:r>
      <w:r w:rsidRPr="00BD74C5">
        <w:rPr>
          <w:rFonts w:ascii="Arial" w:eastAsia="SimSun" w:hAnsi="Arial" w:cs="Arial"/>
          <w:szCs w:val="20"/>
          <w:lang w:eastAsia="zh-CN"/>
        </w:rPr>
        <w:t>article 8, et donne les instructions nécessaires au Directeur général de l</w:t>
      </w:r>
      <w:r w:rsidR="00402837" w:rsidRPr="00BD74C5">
        <w:rPr>
          <w:rFonts w:ascii="Arial" w:eastAsia="SimSun" w:hAnsi="Arial" w:cs="Arial"/>
          <w:szCs w:val="20"/>
          <w:lang w:eastAsia="zh-CN"/>
        </w:rPr>
        <w:t>’</w:t>
      </w:r>
      <w:r w:rsidRPr="00BD74C5">
        <w:rPr>
          <w:rFonts w:ascii="Arial" w:eastAsia="SimSun" w:hAnsi="Arial" w:cs="Arial"/>
          <w:szCs w:val="20"/>
          <w:lang w:eastAsia="zh-CN"/>
        </w:rPr>
        <w:t>OMPI pour la préparation de celle</w:t>
      </w:r>
      <w:r w:rsidR="00EB0BA1">
        <w:rPr>
          <w:rFonts w:ascii="Arial" w:eastAsia="SimSun" w:hAnsi="Arial" w:cs="Arial"/>
          <w:szCs w:val="20"/>
          <w:lang w:eastAsia="zh-CN"/>
        </w:rPr>
        <w:noBreakHyphen/>
      </w:r>
      <w:r w:rsidRPr="00BD74C5">
        <w:rPr>
          <w:rFonts w:ascii="Arial" w:eastAsia="SimSun" w:hAnsi="Arial" w:cs="Arial"/>
          <w:szCs w:val="20"/>
          <w:lang w:eastAsia="zh-CN"/>
        </w:rPr>
        <w:t>ci;</w:t>
      </w:r>
    </w:p>
    <w:p w14:paraId="406A177F" w14:textId="665A8407" w:rsidR="00802D2E" w:rsidRPr="00BD74C5" w:rsidRDefault="00802D2E" w:rsidP="002C5E24">
      <w:pPr>
        <w:pStyle w:val="ListParagraph"/>
        <w:numPr>
          <w:ilvl w:val="0"/>
          <w:numId w:val="10"/>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peut</w:t>
      </w:r>
      <w:proofErr w:type="gramEnd"/>
      <w:r w:rsidRPr="00BD74C5">
        <w:rPr>
          <w:rFonts w:ascii="Arial" w:eastAsia="SimSun" w:hAnsi="Arial" w:cs="Arial"/>
          <w:szCs w:val="20"/>
          <w:lang w:eastAsia="zh-CN"/>
        </w:rPr>
        <w:t xml:space="preserve"> créer les groupes de travail techniques qu</w:t>
      </w:r>
      <w:r w:rsidR="00402837" w:rsidRPr="00BD74C5">
        <w:rPr>
          <w:rFonts w:ascii="Arial" w:eastAsia="SimSun" w:hAnsi="Arial" w:cs="Arial"/>
          <w:szCs w:val="20"/>
          <w:lang w:eastAsia="zh-CN"/>
        </w:rPr>
        <w:t>’</w:t>
      </w:r>
      <w:r w:rsidRPr="00BD74C5">
        <w:rPr>
          <w:rFonts w:ascii="Arial" w:eastAsia="SimSun" w:hAnsi="Arial" w:cs="Arial"/>
          <w:szCs w:val="20"/>
          <w:lang w:eastAsia="zh-CN"/>
        </w:rPr>
        <w:t xml:space="preserve">elle juge </w:t>
      </w:r>
      <w:r w:rsidR="00100C8B">
        <w:rPr>
          <w:rFonts w:ascii="Arial" w:eastAsia="SimSun" w:hAnsi="Arial" w:cs="Arial"/>
          <w:szCs w:val="20"/>
          <w:lang w:eastAsia="zh-CN"/>
        </w:rPr>
        <w:t>approprié</w:t>
      </w:r>
      <w:r w:rsidR="00100C8B" w:rsidRPr="00BD74C5">
        <w:rPr>
          <w:rFonts w:ascii="Arial" w:eastAsia="SimSun" w:hAnsi="Arial" w:cs="Arial"/>
          <w:szCs w:val="20"/>
          <w:lang w:eastAsia="zh-CN"/>
        </w:rPr>
        <w:t>s</w:t>
      </w:r>
      <w:r w:rsidRPr="00BD74C5">
        <w:rPr>
          <w:rFonts w:ascii="Arial" w:eastAsia="SimSun" w:hAnsi="Arial" w:cs="Arial"/>
          <w:szCs w:val="20"/>
          <w:lang w:eastAsia="zh-CN"/>
        </w:rPr>
        <w:t>;</w:t>
      </w:r>
    </w:p>
    <w:p w14:paraId="41144392" w14:textId="70CBBCCA" w:rsidR="00802D2E" w:rsidRPr="00BD74C5" w:rsidRDefault="00802D2E" w:rsidP="002C5E24">
      <w:pPr>
        <w:pStyle w:val="ListParagraph"/>
        <w:numPr>
          <w:ilvl w:val="0"/>
          <w:numId w:val="10"/>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peut</w:t>
      </w:r>
      <w:proofErr w:type="gramEnd"/>
      <w:r w:rsidRPr="00BD74C5">
        <w:rPr>
          <w:rFonts w:ascii="Arial" w:eastAsia="SimSun" w:hAnsi="Arial" w:cs="Arial"/>
          <w:szCs w:val="20"/>
          <w:lang w:eastAsia="zh-CN"/>
        </w:rPr>
        <w:t xml:space="preserve"> adopter les modifications du présent article, à l</w:t>
      </w:r>
      <w:r w:rsidR="00402837" w:rsidRPr="00BD74C5">
        <w:rPr>
          <w:rFonts w:ascii="Arial" w:eastAsia="SimSun" w:hAnsi="Arial" w:cs="Arial"/>
          <w:szCs w:val="20"/>
          <w:lang w:eastAsia="zh-CN"/>
        </w:rPr>
        <w:t>’</w:t>
      </w:r>
      <w:r w:rsidRPr="00BD74C5">
        <w:rPr>
          <w:rFonts w:ascii="Arial" w:eastAsia="SimSun" w:hAnsi="Arial" w:cs="Arial"/>
          <w:szCs w:val="20"/>
          <w:lang w:eastAsia="zh-CN"/>
        </w:rPr>
        <w:t>exception de l</w:t>
      </w:r>
      <w:r w:rsidR="00402837" w:rsidRPr="00BD74C5">
        <w:rPr>
          <w:rFonts w:ascii="Arial" w:eastAsia="SimSun" w:hAnsi="Arial" w:cs="Arial"/>
          <w:szCs w:val="20"/>
          <w:lang w:eastAsia="zh-CN"/>
        </w:rPr>
        <w:t>’</w:t>
      </w:r>
      <w:r w:rsidRPr="00BD74C5">
        <w:rPr>
          <w:rFonts w:ascii="Arial" w:eastAsia="SimSun" w:hAnsi="Arial" w:cs="Arial"/>
          <w:szCs w:val="20"/>
          <w:lang w:eastAsia="zh-CN"/>
        </w:rPr>
        <w:t>article 10.1, 10.2.c), 10.2.d), 10.2.f) et 10.3, et de l</w:t>
      </w:r>
      <w:r w:rsidR="00402837" w:rsidRPr="00BD74C5">
        <w:rPr>
          <w:rFonts w:ascii="Arial" w:eastAsia="SimSun" w:hAnsi="Arial" w:cs="Arial"/>
          <w:szCs w:val="20"/>
          <w:lang w:eastAsia="zh-CN"/>
        </w:rPr>
        <w:t>’</w:t>
      </w:r>
      <w:r w:rsidRPr="00BD74C5">
        <w:rPr>
          <w:rFonts w:ascii="Arial" w:eastAsia="SimSun" w:hAnsi="Arial" w:cs="Arial"/>
          <w:szCs w:val="20"/>
          <w:lang w:eastAsia="zh-CN"/>
        </w:rPr>
        <w:t>article 11;  et</w:t>
      </w:r>
    </w:p>
    <w:p w14:paraId="4171091D" w14:textId="46790091" w:rsidR="00802D2E" w:rsidRPr="00BD74C5" w:rsidRDefault="00802D2E" w:rsidP="002C5E24">
      <w:pPr>
        <w:pStyle w:val="ListParagraph"/>
        <w:numPr>
          <w:ilvl w:val="0"/>
          <w:numId w:val="10"/>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s</w:t>
      </w:r>
      <w:r w:rsidR="00402837" w:rsidRPr="00BD74C5">
        <w:rPr>
          <w:rFonts w:ascii="Arial" w:eastAsia="SimSun" w:hAnsi="Arial" w:cs="Arial"/>
          <w:szCs w:val="20"/>
          <w:lang w:eastAsia="zh-CN"/>
        </w:rPr>
        <w:t>’</w:t>
      </w:r>
      <w:r w:rsidRPr="00BD74C5">
        <w:rPr>
          <w:rFonts w:ascii="Arial" w:eastAsia="SimSun" w:hAnsi="Arial" w:cs="Arial"/>
          <w:szCs w:val="20"/>
          <w:lang w:eastAsia="zh-CN"/>
        </w:rPr>
        <w:t>acquitte</w:t>
      </w:r>
      <w:proofErr w:type="gramEnd"/>
      <w:r w:rsidRPr="00BD74C5">
        <w:rPr>
          <w:rFonts w:ascii="Arial" w:eastAsia="SimSun" w:hAnsi="Arial" w:cs="Arial"/>
          <w:szCs w:val="20"/>
          <w:lang w:eastAsia="zh-CN"/>
        </w:rPr>
        <w:t xml:space="preserve"> de toute autre tâche qu</w:t>
      </w:r>
      <w:r w:rsidR="00402837" w:rsidRPr="00BD74C5">
        <w:rPr>
          <w:rFonts w:ascii="Arial" w:eastAsia="SimSun" w:hAnsi="Arial" w:cs="Arial"/>
          <w:szCs w:val="20"/>
          <w:lang w:eastAsia="zh-CN"/>
        </w:rPr>
        <w:t>’</w:t>
      </w:r>
      <w:r w:rsidRPr="00BD74C5">
        <w:rPr>
          <w:rFonts w:ascii="Arial" w:eastAsia="SimSun" w:hAnsi="Arial" w:cs="Arial"/>
          <w:szCs w:val="20"/>
          <w:lang w:eastAsia="zh-CN"/>
        </w:rPr>
        <w:t>implique la mise en œuvre des dispositions du présent traité, notamment promouvoir la coopération entre les Parties contractantes et demander au Bureau international d</w:t>
      </w:r>
      <w:r w:rsidR="00402837" w:rsidRPr="00BD74C5">
        <w:rPr>
          <w:rFonts w:ascii="Arial" w:eastAsia="SimSun" w:hAnsi="Arial" w:cs="Arial"/>
          <w:szCs w:val="20"/>
          <w:lang w:eastAsia="zh-CN"/>
        </w:rPr>
        <w:t>’</w:t>
      </w:r>
      <w:r w:rsidRPr="00BD74C5">
        <w:rPr>
          <w:rFonts w:ascii="Arial" w:eastAsia="SimSun" w:hAnsi="Arial" w:cs="Arial"/>
          <w:szCs w:val="20"/>
          <w:lang w:eastAsia="zh-CN"/>
        </w:rPr>
        <w:t>étendre les mécanismes existants afin d</w:t>
      </w:r>
      <w:r w:rsidR="00402837" w:rsidRPr="00BD74C5">
        <w:rPr>
          <w:rFonts w:ascii="Arial" w:eastAsia="SimSun" w:hAnsi="Arial" w:cs="Arial"/>
          <w:szCs w:val="20"/>
          <w:lang w:eastAsia="zh-CN"/>
        </w:rPr>
        <w:t>’</w:t>
      </w:r>
      <w:r w:rsidRPr="00BD74C5">
        <w:rPr>
          <w:rFonts w:ascii="Arial" w:eastAsia="SimSun" w:hAnsi="Arial" w:cs="Arial"/>
          <w:szCs w:val="20"/>
          <w:lang w:eastAsia="zh-CN"/>
        </w:rPr>
        <w:t>appuyer l</w:t>
      </w:r>
      <w:r w:rsidR="00402837" w:rsidRPr="00BD74C5">
        <w:rPr>
          <w:rFonts w:ascii="Arial" w:eastAsia="SimSun" w:hAnsi="Arial" w:cs="Arial"/>
          <w:szCs w:val="20"/>
          <w:lang w:eastAsia="zh-CN"/>
        </w:rPr>
        <w:t>’</w:t>
      </w:r>
      <w:r w:rsidRPr="00BD74C5">
        <w:rPr>
          <w:rFonts w:ascii="Arial" w:eastAsia="SimSun" w:hAnsi="Arial" w:cs="Arial"/>
          <w:szCs w:val="20"/>
          <w:lang w:eastAsia="zh-CN"/>
        </w:rPr>
        <w:t>assistance technique et le renforcement des capacités des pays en développement.</w:t>
      </w:r>
    </w:p>
    <w:p w14:paraId="2877658B" w14:textId="2BB9DACB" w:rsidR="00802D2E" w:rsidRPr="00BD74C5" w:rsidRDefault="00802D2E" w:rsidP="002C5E24">
      <w:pPr>
        <w:tabs>
          <w:tab w:val="left" w:pos="567"/>
        </w:tabs>
        <w:spacing w:after="220"/>
        <w:textAlignment w:val="baseline"/>
        <w:rPr>
          <w:lang w:val="fr-FR"/>
        </w:rPr>
      </w:pPr>
      <w:r w:rsidRPr="00BD74C5">
        <w:rPr>
          <w:lang w:val="fr-FR"/>
        </w:rPr>
        <w:t>10.3</w:t>
      </w:r>
      <w:r w:rsidRPr="00BD74C5">
        <w:rPr>
          <w:lang w:val="fr-FR"/>
        </w:rPr>
        <w:tab/>
        <w:t>L</w:t>
      </w:r>
      <w:r w:rsidR="00402837" w:rsidRPr="00BD74C5">
        <w:rPr>
          <w:lang w:val="fr-FR"/>
        </w:rPr>
        <w:t>’</w:t>
      </w:r>
      <w:r w:rsidRPr="00BD74C5">
        <w:rPr>
          <w:lang w:val="fr-FR"/>
        </w:rPr>
        <w:t>Assemblée s</w:t>
      </w:r>
      <w:r w:rsidR="00402837" w:rsidRPr="00BD74C5">
        <w:rPr>
          <w:lang w:val="fr-FR"/>
        </w:rPr>
        <w:t>’</w:t>
      </w:r>
      <w:r w:rsidRPr="00BD74C5">
        <w:rPr>
          <w:lang w:val="fr-FR"/>
        </w:rPr>
        <w:t>efforce de prendre ses décisions par consens</w:t>
      </w:r>
      <w:r w:rsidR="00BD74C5" w:rsidRPr="00BD74C5">
        <w:rPr>
          <w:lang w:val="fr-FR"/>
        </w:rPr>
        <w:t>us.  Lo</w:t>
      </w:r>
      <w:r w:rsidRPr="00BD74C5">
        <w:rPr>
          <w:lang w:val="fr-FR"/>
        </w:rPr>
        <w:t>rsqu</w:t>
      </w:r>
      <w:r w:rsidR="00402837" w:rsidRPr="00BD74C5">
        <w:rPr>
          <w:lang w:val="fr-FR"/>
        </w:rPr>
        <w:t>’</w:t>
      </w:r>
      <w:r w:rsidRPr="00BD74C5">
        <w:rPr>
          <w:lang w:val="fr-FR"/>
        </w:rPr>
        <w:t>il n</w:t>
      </w:r>
      <w:r w:rsidR="00402837" w:rsidRPr="00BD74C5">
        <w:rPr>
          <w:lang w:val="fr-FR"/>
        </w:rPr>
        <w:t>’</w:t>
      </w:r>
      <w:r w:rsidRPr="00BD74C5">
        <w:rPr>
          <w:lang w:val="fr-FR"/>
        </w:rPr>
        <w:t>est pas possible d</w:t>
      </w:r>
      <w:r w:rsidR="00402837" w:rsidRPr="00BD74C5">
        <w:rPr>
          <w:lang w:val="fr-FR"/>
        </w:rPr>
        <w:t>’</w:t>
      </w:r>
      <w:r w:rsidRPr="00BD74C5">
        <w:rPr>
          <w:lang w:val="fr-FR"/>
        </w:rPr>
        <w:t>aboutir à une décision par consensus, la décision sur la question à l</w:t>
      </w:r>
      <w:r w:rsidR="00402837" w:rsidRPr="00BD74C5">
        <w:rPr>
          <w:lang w:val="fr-FR"/>
        </w:rPr>
        <w:t>’</w:t>
      </w:r>
      <w:r w:rsidRPr="00BD74C5">
        <w:rPr>
          <w:lang w:val="fr-FR"/>
        </w:rPr>
        <w:t>examen est soumise à un vo</w:t>
      </w:r>
      <w:r w:rsidR="00BD74C5" w:rsidRPr="00BD74C5">
        <w:rPr>
          <w:lang w:val="fr-FR"/>
        </w:rPr>
        <w:t>te.  Da</w:t>
      </w:r>
      <w:r w:rsidRPr="00BD74C5">
        <w:rPr>
          <w:lang w:val="fr-FR"/>
        </w:rPr>
        <w:t>ns ce cas,</w:t>
      </w:r>
    </w:p>
    <w:p w14:paraId="077F4E55" w14:textId="6510D6A3" w:rsidR="00802D2E" w:rsidRPr="00BD74C5" w:rsidRDefault="00802D2E" w:rsidP="002C5E24">
      <w:pPr>
        <w:pStyle w:val="ListParagraph"/>
        <w:numPr>
          <w:ilvl w:val="0"/>
          <w:numId w:val="11"/>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chaque</w:t>
      </w:r>
      <w:proofErr w:type="gramEnd"/>
      <w:r w:rsidRPr="00BD74C5">
        <w:rPr>
          <w:rFonts w:ascii="Arial" w:eastAsia="SimSun" w:hAnsi="Arial" w:cs="Arial"/>
          <w:szCs w:val="20"/>
          <w:lang w:eastAsia="zh-CN"/>
        </w:rPr>
        <w:t xml:space="preserve"> Partie contractante qui est un État dispose d</w:t>
      </w:r>
      <w:r w:rsidR="00402837" w:rsidRPr="00BD74C5">
        <w:rPr>
          <w:rFonts w:ascii="Arial" w:eastAsia="SimSun" w:hAnsi="Arial" w:cs="Arial"/>
          <w:szCs w:val="20"/>
          <w:lang w:eastAsia="zh-CN"/>
        </w:rPr>
        <w:t>’</w:t>
      </w:r>
      <w:r w:rsidRPr="00BD74C5">
        <w:rPr>
          <w:rFonts w:ascii="Arial" w:eastAsia="SimSun" w:hAnsi="Arial" w:cs="Arial"/>
          <w:szCs w:val="20"/>
          <w:lang w:eastAsia="zh-CN"/>
        </w:rPr>
        <w:t>une voix et vote uniquement en son propre nom;  et</w:t>
      </w:r>
    </w:p>
    <w:p w14:paraId="39ECB546" w14:textId="7561E1BA" w:rsidR="00802D2E" w:rsidRPr="00BD74C5" w:rsidRDefault="00802D2E" w:rsidP="002C5E24">
      <w:pPr>
        <w:pStyle w:val="ListParagraph"/>
        <w:numPr>
          <w:ilvl w:val="0"/>
          <w:numId w:val="11"/>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toute</w:t>
      </w:r>
      <w:proofErr w:type="gramEnd"/>
      <w:r w:rsidRPr="00BD74C5">
        <w:rPr>
          <w:rFonts w:ascii="Arial" w:eastAsia="SimSun" w:hAnsi="Arial" w:cs="Arial"/>
          <w:szCs w:val="20"/>
          <w:lang w:eastAsia="zh-CN"/>
        </w:rPr>
        <w:t xml:space="preserve"> Partie contractante qui est une organisation intergouvernementale peut participer au vote, à la place de ses États membres, avec un nombre de voix égal au nombre de ses États membres qui sont parties au présent trai</w:t>
      </w:r>
      <w:r w:rsidR="00BD74C5" w:rsidRPr="00BD74C5">
        <w:rPr>
          <w:rFonts w:ascii="Arial" w:eastAsia="SimSun" w:hAnsi="Arial" w:cs="Arial"/>
          <w:szCs w:val="20"/>
          <w:lang w:eastAsia="zh-CN"/>
        </w:rPr>
        <w:t>té.  Au</w:t>
      </w:r>
      <w:r w:rsidRPr="00BD74C5">
        <w:rPr>
          <w:rFonts w:ascii="Arial" w:eastAsia="SimSun" w:hAnsi="Arial" w:cs="Arial"/>
          <w:szCs w:val="20"/>
          <w:lang w:eastAsia="zh-CN"/>
        </w:rPr>
        <w:t>cune organisation intergouvernementale ne participe au vote si l</w:t>
      </w:r>
      <w:r w:rsidR="00402837" w:rsidRPr="00BD74C5">
        <w:rPr>
          <w:rFonts w:ascii="Arial" w:eastAsia="SimSun" w:hAnsi="Arial" w:cs="Arial"/>
          <w:szCs w:val="20"/>
          <w:lang w:eastAsia="zh-CN"/>
        </w:rPr>
        <w:t>’</w:t>
      </w:r>
      <w:r w:rsidRPr="00BD74C5">
        <w:rPr>
          <w:rFonts w:ascii="Arial" w:eastAsia="SimSun" w:hAnsi="Arial" w:cs="Arial"/>
          <w:szCs w:val="20"/>
          <w:lang w:eastAsia="zh-CN"/>
        </w:rPr>
        <w:t>un de ses États membres exerce son droit de vote et inversement.</w:t>
      </w:r>
    </w:p>
    <w:p w14:paraId="48F30037" w14:textId="29C5601C" w:rsidR="00802D2E" w:rsidRPr="00BD74C5" w:rsidRDefault="00802D2E" w:rsidP="002C5E24">
      <w:pPr>
        <w:tabs>
          <w:tab w:val="left" w:pos="567"/>
        </w:tabs>
        <w:spacing w:after="220"/>
        <w:textAlignment w:val="baseline"/>
        <w:rPr>
          <w:rFonts w:eastAsia="Times New Roman"/>
          <w:lang w:val="fr-FR"/>
        </w:rPr>
      </w:pPr>
      <w:r w:rsidRPr="00BD74C5">
        <w:rPr>
          <w:lang w:val="fr-FR"/>
        </w:rPr>
        <w:t>10.4</w:t>
      </w:r>
      <w:r w:rsidRPr="00BD74C5">
        <w:rPr>
          <w:lang w:val="fr-FR"/>
        </w:rPr>
        <w:tab/>
        <w:t>L</w:t>
      </w:r>
      <w:r w:rsidR="00402837" w:rsidRPr="00BD74C5">
        <w:rPr>
          <w:lang w:val="fr-FR"/>
        </w:rPr>
        <w:t>’</w:t>
      </w:r>
      <w:r w:rsidRPr="00BD74C5">
        <w:rPr>
          <w:lang w:val="fr-FR"/>
        </w:rPr>
        <w:t>Assemblée se réunit sur convocation du Directeur général de l</w:t>
      </w:r>
      <w:r w:rsidR="00402837" w:rsidRPr="00BD74C5">
        <w:rPr>
          <w:lang w:val="fr-FR"/>
        </w:rPr>
        <w:t>’</w:t>
      </w:r>
      <w:r w:rsidRPr="00BD74C5">
        <w:rPr>
          <w:lang w:val="fr-FR"/>
        </w:rPr>
        <w:t>OMPI et, sauf cas exceptionnels, pendant la même période et au même lieu que l</w:t>
      </w:r>
      <w:r w:rsidR="00402837" w:rsidRPr="00BD74C5">
        <w:rPr>
          <w:lang w:val="fr-FR"/>
        </w:rPr>
        <w:t>’</w:t>
      </w:r>
      <w:r w:rsidRPr="00BD74C5">
        <w:rPr>
          <w:lang w:val="fr-FR"/>
        </w:rPr>
        <w:t>Assemblée générale de l</w:t>
      </w:r>
      <w:r w:rsidR="00402837" w:rsidRPr="00BD74C5">
        <w:rPr>
          <w:lang w:val="fr-FR"/>
        </w:rPr>
        <w:t>’</w:t>
      </w:r>
      <w:r w:rsidRPr="00BD74C5">
        <w:rPr>
          <w:lang w:val="fr-FR"/>
        </w:rPr>
        <w:t>OMPI.</w:t>
      </w:r>
    </w:p>
    <w:p w14:paraId="2D5C2A41" w14:textId="1B40E7E1" w:rsidR="00802D2E" w:rsidRPr="00BD74C5" w:rsidRDefault="00802D2E" w:rsidP="002C5E24">
      <w:pPr>
        <w:tabs>
          <w:tab w:val="left" w:pos="567"/>
        </w:tabs>
        <w:spacing w:after="220"/>
        <w:textAlignment w:val="baseline"/>
        <w:rPr>
          <w:rFonts w:eastAsia="Times New Roman"/>
          <w:szCs w:val="22"/>
          <w:lang w:val="fr-FR"/>
        </w:rPr>
      </w:pPr>
      <w:r w:rsidRPr="00BD74C5">
        <w:rPr>
          <w:lang w:val="fr-FR"/>
        </w:rPr>
        <w:t>10.5</w:t>
      </w:r>
      <w:r w:rsidRPr="00BD74C5">
        <w:rPr>
          <w:lang w:val="fr-FR"/>
        </w:rPr>
        <w:tab/>
        <w:t>L</w:t>
      </w:r>
      <w:r w:rsidR="00402837" w:rsidRPr="00BD74C5">
        <w:rPr>
          <w:lang w:val="fr-FR"/>
        </w:rPr>
        <w:t>’</w:t>
      </w:r>
      <w:r w:rsidRPr="00BD74C5">
        <w:rPr>
          <w:lang w:val="fr-FR"/>
        </w:rPr>
        <w:t xml:space="preserve">Assemblée établit son règlement intérieur, </w:t>
      </w:r>
      <w:r w:rsidR="00402837" w:rsidRPr="00BD74C5">
        <w:rPr>
          <w:lang w:val="fr-FR"/>
        </w:rPr>
        <w:t>y compris</w:t>
      </w:r>
      <w:r w:rsidRPr="00BD74C5">
        <w:rPr>
          <w:lang w:val="fr-FR"/>
        </w:rPr>
        <w:t xml:space="preserve"> en ce qui concerne sa convocation en session extraordinaire, les règles relatives au quorum et, sous réserve des dispositions du présent traité, la majorité requise pour divers types de décisions.</w:t>
      </w:r>
    </w:p>
    <w:p w14:paraId="43CDC526" w14:textId="77777777" w:rsidR="00802D2E" w:rsidRPr="00BD74C5" w:rsidRDefault="00802D2E" w:rsidP="002C5E24">
      <w:pPr>
        <w:keepNext/>
        <w:tabs>
          <w:tab w:val="left" w:pos="567"/>
        </w:tabs>
        <w:spacing w:before="840"/>
        <w:jc w:val="center"/>
        <w:rPr>
          <w:b/>
          <w:lang w:val="fr-FR"/>
        </w:rPr>
      </w:pPr>
      <w:r w:rsidRPr="00BD74C5">
        <w:rPr>
          <w:b/>
          <w:lang w:val="fr-FR"/>
        </w:rPr>
        <w:t>ARTICLE 11</w:t>
      </w:r>
    </w:p>
    <w:p w14:paraId="48110BDC" w14:textId="77777777" w:rsidR="00802D2E" w:rsidRPr="00BD74C5" w:rsidRDefault="00802D2E" w:rsidP="002C5E24">
      <w:pPr>
        <w:keepNext/>
        <w:tabs>
          <w:tab w:val="left" w:pos="567"/>
        </w:tabs>
        <w:spacing w:after="240"/>
        <w:jc w:val="center"/>
        <w:textAlignment w:val="baseline"/>
        <w:rPr>
          <w:b/>
          <w:lang w:val="fr-FR"/>
        </w:rPr>
      </w:pPr>
      <w:r w:rsidRPr="00BD74C5">
        <w:rPr>
          <w:b/>
          <w:lang w:val="fr-FR"/>
        </w:rPr>
        <w:t>BUREAU INTERNATIONAL</w:t>
      </w:r>
    </w:p>
    <w:p w14:paraId="5100D495" w14:textId="54756CB9" w:rsidR="00802D2E" w:rsidRPr="00BD74C5" w:rsidRDefault="00802D2E" w:rsidP="002C5E24">
      <w:pPr>
        <w:tabs>
          <w:tab w:val="left" w:pos="567"/>
        </w:tabs>
        <w:spacing w:after="220"/>
        <w:textAlignment w:val="baseline"/>
        <w:rPr>
          <w:lang w:val="fr-FR"/>
        </w:rPr>
      </w:pPr>
      <w:r w:rsidRPr="00BD74C5">
        <w:rPr>
          <w:lang w:val="fr-FR"/>
        </w:rPr>
        <w:t>11.1</w:t>
      </w:r>
      <w:r w:rsidRPr="00BD74C5">
        <w:rPr>
          <w:lang w:val="fr-FR"/>
        </w:rPr>
        <w:tab/>
        <w:t>Le Bureau international de l</w:t>
      </w:r>
      <w:r w:rsidR="00402837" w:rsidRPr="00BD74C5">
        <w:rPr>
          <w:lang w:val="fr-FR"/>
        </w:rPr>
        <w:t>’</w:t>
      </w:r>
      <w:r w:rsidRPr="00BD74C5">
        <w:rPr>
          <w:lang w:val="fr-FR"/>
        </w:rPr>
        <w:t>OMPI s</w:t>
      </w:r>
      <w:r w:rsidR="00402837" w:rsidRPr="00BD74C5">
        <w:rPr>
          <w:lang w:val="fr-FR"/>
        </w:rPr>
        <w:t>’</w:t>
      </w:r>
      <w:r w:rsidRPr="00BD74C5">
        <w:rPr>
          <w:lang w:val="fr-FR"/>
        </w:rPr>
        <w:t>acquitte des tâches administratives concernant le présent trai</w:t>
      </w:r>
      <w:r w:rsidR="00BD74C5" w:rsidRPr="00BD74C5">
        <w:rPr>
          <w:lang w:val="fr-FR"/>
        </w:rPr>
        <w:t>té.  En</w:t>
      </w:r>
      <w:r w:rsidRPr="00BD74C5">
        <w:rPr>
          <w:lang w:val="fr-FR"/>
        </w:rPr>
        <w:t xml:space="preserve"> particulier, le Bureau international prépare les réunions et assure le secrétariat de l</w:t>
      </w:r>
      <w:r w:rsidR="00402837" w:rsidRPr="00BD74C5">
        <w:rPr>
          <w:lang w:val="fr-FR"/>
        </w:rPr>
        <w:t>’</w:t>
      </w:r>
      <w:r w:rsidRPr="00BD74C5">
        <w:rPr>
          <w:lang w:val="fr-FR"/>
        </w:rPr>
        <w:t>Assemblée et des groupes de travail techniques qu</w:t>
      </w:r>
      <w:r w:rsidR="00402837" w:rsidRPr="00BD74C5">
        <w:rPr>
          <w:lang w:val="fr-FR"/>
        </w:rPr>
        <w:t>’</w:t>
      </w:r>
      <w:r w:rsidRPr="00BD74C5">
        <w:rPr>
          <w:lang w:val="fr-FR"/>
        </w:rPr>
        <w:t>elle peut créer.</w:t>
      </w:r>
    </w:p>
    <w:p w14:paraId="27E833EB" w14:textId="70CB4FC5" w:rsidR="00802D2E" w:rsidRPr="00BD74C5" w:rsidRDefault="00802D2E" w:rsidP="002C5E24">
      <w:pPr>
        <w:tabs>
          <w:tab w:val="left" w:pos="567"/>
        </w:tabs>
        <w:spacing w:after="220"/>
        <w:textAlignment w:val="baseline"/>
        <w:rPr>
          <w:rFonts w:eastAsia="Times New Roman"/>
          <w:lang w:val="fr-FR"/>
        </w:rPr>
      </w:pPr>
      <w:r w:rsidRPr="00BD74C5">
        <w:rPr>
          <w:lang w:val="fr-FR"/>
        </w:rPr>
        <w:t>11.2</w:t>
      </w:r>
      <w:r w:rsidRPr="00BD74C5">
        <w:rPr>
          <w:lang w:val="fr-FR"/>
        </w:rPr>
        <w:tab/>
        <w:t>Le Directeur général de l</w:t>
      </w:r>
      <w:r w:rsidR="00402837" w:rsidRPr="00BD74C5">
        <w:rPr>
          <w:lang w:val="fr-FR"/>
        </w:rPr>
        <w:t>’</w:t>
      </w:r>
      <w:r w:rsidRPr="00BD74C5">
        <w:rPr>
          <w:lang w:val="fr-FR"/>
        </w:rPr>
        <w:t>OMPI et tout fonctionnaire désigné par le Directeur général prennent part, sans droit de vote, à toutes les réunions de l</w:t>
      </w:r>
      <w:r w:rsidR="00402837" w:rsidRPr="00BD74C5">
        <w:rPr>
          <w:lang w:val="fr-FR"/>
        </w:rPr>
        <w:t>’</w:t>
      </w:r>
      <w:r w:rsidRPr="00BD74C5">
        <w:rPr>
          <w:lang w:val="fr-FR"/>
        </w:rPr>
        <w:t>Assemblée et des groupes de travail techniques créés par l</w:t>
      </w:r>
      <w:r w:rsidR="00402837" w:rsidRPr="00BD74C5">
        <w:rPr>
          <w:lang w:val="fr-FR"/>
        </w:rPr>
        <w:t>’</w:t>
      </w:r>
      <w:r w:rsidRPr="00BD74C5">
        <w:rPr>
          <w:lang w:val="fr-FR"/>
        </w:rPr>
        <w:t>Assembl</w:t>
      </w:r>
      <w:r w:rsidR="00BD74C5" w:rsidRPr="00BD74C5">
        <w:rPr>
          <w:lang w:val="fr-FR"/>
        </w:rPr>
        <w:t>ée.  Le</w:t>
      </w:r>
      <w:r w:rsidRPr="00BD74C5">
        <w:rPr>
          <w:lang w:val="fr-FR"/>
        </w:rPr>
        <w:t xml:space="preserve"> Directeur général, ou un fonctionnaire désigné par le Directeur général, est d</w:t>
      </w:r>
      <w:r w:rsidR="00402837" w:rsidRPr="00BD74C5">
        <w:rPr>
          <w:lang w:val="fr-FR"/>
        </w:rPr>
        <w:t>’</w:t>
      </w:r>
      <w:r w:rsidRPr="00BD74C5">
        <w:rPr>
          <w:lang w:val="fr-FR"/>
        </w:rPr>
        <w:t>office secrétaire de ces organes.</w:t>
      </w:r>
    </w:p>
    <w:p w14:paraId="121C8568" w14:textId="5F27D3A2" w:rsidR="00802D2E" w:rsidRPr="00BD74C5" w:rsidRDefault="00802D2E" w:rsidP="002C5E24">
      <w:pPr>
        <w:tabs>
          <w:tab w:val="left" w:pos="567"/>
        </w:tabs>
        <w:spacing w:after="220"/>
        <w:textAlignment w:val="baseline"/>
        <w:rPr>
          <w:rFonts w:eastAsia="Times New Roman"/>
          <w:lang w:val="fr-FR"/>
        </w:rPr>
      </w:pPr>
      <w:r w:rsidRPr="00BD74C5">
        <w:rPr>
          <w:lang w:val="fr-FR"/>
        </w:rPr>
        <w:t>11.3</w:t>
      </w:r>
      <w:r w:rsidRPr="00BD74C5">
        <w:rPr>
          <w:lang w:val="fr-FR"/>
        </w:rPr>
        <w:tab/>
        <w:t>Le Bureau international, selon les directives de l</w:t>
      </w:r>
      <w:r w:rsidR="00402837" w:rsidRPr="00BD74C5">
        <w:rPr>
          <w:lang w:val="fr-FR"/>
        </w:rPr>
        <w:t>’</w:t>
      </w:r>
      <w:r w:rsidRPr="00BD74C5">
        <w:rPr>
          <w:lang w:val="fr-FR"/>
        </w:rPr>
        <w:t>Assemblée, prépare les conférences diplomatiqu</w:t>
      </w:r>
      <w:r w:rsidR="00BD74C5" w:rsidRPr="00BD74C5">
        <w:rPr>
          <w:lang w:val="fr-FR"/>
        </w:rPr>
        <w:t>es.  Le</w:t>
      </w:r>
      <w:r w:rsidRPr="00BD74C5">
        <w:rPr>
          <w:lang w:val="fr-FR"/>
        </w:rPr>
        <w:t xml:space="preserve"> Directeur général de l</w:t>
      </w:r>
      <w:r w:rsidR="00402837" w:rsidRPr="00BD74C5">
        <w:rPr>
          <w:lang w:val="fr-FR"/>
        </w:rPr>
        <w:t>’</w:t>
      </w:r>
      <w:r w:rsidRPr="00BD74C5">
        <w:rPr>
          <w:lang w:val="fr-FR"/>
        </w:rPr>
        <w:t>OMPI et les personnes désignées par le Directeur général prennent part, sans droit de vote, aux délibérations de ces conférences.</w:t>
      </w:r>
    </w:p>
    <w:p w14:paraId="6B36A1BF" w14:textId="77777777" w:rsidR="00802D2E" w:rsidRPr="00BD74C5" w:rsidRDefault="00802D2E" w:rsidP="002C5E24">
      <w:pPr>
        <w:tabs>
          <w:tab w:val="left" w:pos="567"/>
        </w:tabs>
        <w:spacing w:before="840"/>
        <w:jc w:val="center"/>
        <w:textAlignment w:val="baseline"/>
        <w:rPr>
          <w:b/>
          <w:lang w:val="fr-FR"/>
        </w:rPr>
      </w:pPr>
      <w:r w:rsidRPr="00BD74C5">
        <w:rPr>
          <w:b/>
          <w:lang w:val="fr-FR"/>
        </w:rPr>
        <w:t>ARTICLE 12</w:t>
      </w:r>
    </w:p>
    <w:p w14:paraId="29E81AB8" w14:textId="77777777" w:rsidR="00802D2E" w:rsidRPr="00BD74C5" w:rsidRDefault="00802D2E" w:rsidP="002C5E24">
      <w:pPr>
        <w:tabs>
          <w:tab w:val="left" w:pos="567"/>
        </w:tabs>
        <w:spacing w:after="240"/>
        <w:jc w:val="center"/>
        <w:textAlignment w:val="baseline"/>
        <w:rPr>
          <w:b/>
          <w:lang w:val="fr-FR"/>
        </w:rPr>
      </w:pPr>
      <w:r w:rsidRPr="00BD74C5">
        <w:rPr>
          <w:b/>
          <w:lang w:val="fr-FR"/>
        </w:rPr>
        <w:t xml:space="preserve">CONDITIONS À REMPLIR POUR DEVENIR PARTIE </w:t>
      </w:r>
      <w:r w:rsidRPr="00BD74C5">
        <w:rPr>
          <w:rFonts w:ascii="arial bold" w:hAnsi="arial bold"/>
          <w:b/>
          <w:caps/>
          <w:lang w:val="fr-FR"/>
        </w:rPr>
        <w:t>au traité</w:t>
      </w:r>
    </w:p>
    <w:p w14:paraId="4855C1E9" w14:textId="1313E018" w:rsidR="00802D2E" w:rsidRPr="00BD74C5" w:rsidRDefault="00802D2E" w:rsidP="002C5E24">
      <w:pPr>
        <w:tabs>
          <w:tab w:val="left" w:pos="567"/>
        </w:tabs>
        <w:spacing w:after="220"/>
        <w:textAlignment w:val="baseline"/>
        <w:rPr>
          <w:rFonts w:eastAsia="Times New Roman"/>
          <w:lang w:val="fr-FR"/>
        </w:rPr>
      </w:pPr>
      <w:r w:rsidRPr="00BD74C5">
        <w:rPr>
          <w:lang w:val="fr-FR"/>
        </w:rPr>
        <w:t>12.1</w:t>
      </w:r>
      <w:r w:rsidRPr="00BD74C5">
        <w:rPr>
          <w:lang w:val="fr-FR"/>
        </w:rPr>
        <w:tab/>
        <w:t>Tout État membre de l</w:t>
      </w:r>
      <w:r w:rsidR="00402837" w:rsidRPr="00BD74C5">
        <w:rPr>
          <w:lang w:val="fr-FR"/>
        </w:rPr>
        <w:t>’</w:t>
      </w:r>
      <w:r w:rsidRPr="00BD74C5">
        <w:rPr>
          <w:lang w:val="fr-FR"/>
        </w:rPr>
        <w:t>OMPI peut devenir partie au présent traité.</w:t>
      </w:r>
    </w:p>
    <w:p w14:paraId="1CFCE2E9" w14:textId="5C26454F" w:rsidR="00802D2E" w:rsidRPr="00BD74C5" w:rsidRDefault="00802D2E" w:rsidP="002C5E24">
      <w:pPr>
        <w:tabs>
          <w:tab w:val="left" w:pos="567"/>
        </w:tabs>
        <w:spacing w:after="360"/>
        <w:textAlignment w:val="baseline"/>
        <w:rPr>
          <w:lang w:val="fr-FR"/>
        </w:rPr>
      </w:pPr>
      <w:r w:rsidRPr="00BD74C5">
        <w:rPr>
          <w:lang w:val="fr-FR"/>
        </w:rPr>
        <w:t>12.2</w:t>
      </w:r>
      <w:r w:rsidRPr="00BD74C5">
        <w:rPr>
          <w:lang w:val="fr-FR"/>
        </w:rPr>
        <w:tab/>
        <w:t>L</w:t>
      </w:r>
      <w:r w:rsidR="00402837" w:rsidRPr="00BD74C5">
        <w:rPr>
          <w:lang w:val="fr-FR"/>
        </w:rPr>
        <w:t>’</w:t>
      </w:r>
      <w:r w:rsidRPr="00BD74C5">
        <w:rPr>
          <w:lang w:val="fr-FR"/>
        </w:rPr>
        <w:t>Assemblée peut décider d</w:t>
      </w:r>
      <w:r w:rsidR="00402837" w:rsidRPr="00BD74C5">
        <w:rPr>
          <w:lang w:val="fr-FR"/>
        </w:rPr>
        <w:t>’</w:t>
      </w:r>
      <w:r w:rsidRPr="00BD74C5">
        <w:rPr>
          <w:lang w:val="fr-FR"/>
        </w:rPr>
        <w:t>autoriser à devenir partie au présent traité toute organisation intergouvernementale qui déclare qu</w:t>
      </w:r>
      <w:r w:rsidR="00402837" w:rsidRPr="00BD74C5">
        <w:rPr>
          <w:lang w:val="fr-FR"/>
        </w:rPr>
        <w:t>’</w:t>
      </w:r>
      <w:r w:rsidRPr="00BD74C5">
        <w:rPr>
          <w:lang w:val="fr-FR"/>
        </w:rPr>
        <w:t>elle a compétence, et dispose d</w:t>
      </w:r>
      <w:r w:rsidR="00402837" w:rsidRPr="00BD74C5">
        <w:rPr>
          <w:lang w:val="fr-FR"/>
        </w:rPr>
        <w:t>’</w:t>
      </w:r>
      <w:r w:rsidRPr="00BD74C5">
        <w:rPr>
          <w:lang w:val="fr-FR"/>
        </w:rPr>
        <w:t>une législation propre liant tous ses États membres en ce qui concerne les questions régies par le présent traité, et qu</w:t>
      </w:r>
      <w:r w:rsidR="00402837" w:rsidRPr="00BD74C5">
        <w:rPr>
          <w:lang w:val="fr-FR"/>
        </w:rPr>
        <w:t>’</w:t>
      </w:r>
      <w:r w:rsidRPr="00BD74C5">
        <w:rPr>
          <w:lang w:val="fr-FR"/>
        </w:rPr>
        <w:t>elle a été dûment autorisée, conformément à ses procédures internes, à devenir partie au présent traité.</w:t>
      </w:r>
    </w:p>
    <w:p w14:paraId="2C99C143" w14:textId="4BF32EF0" w:rsidR="00802D2E" w:rsidRPr="00BD74C5" w:rsidRDefault="00802D2E" w:rsidP="002C5E24">
      <w:pPr>
        <w:tabs>
          <w:tab w:val="left" w:pos="567"/>
        </w:tabs>
        <w:spacing w:after="220"/>
        <w:textAlignment w:val="baseline"/>
        <w:rPr>
          <w:rFonts w:eastAsia="Times New Roman"/>
          <w:lang w:val="fr-FR"/>
        </w:rPr>
      </w:pPr>
      <w:r w:rsidRPr="00BD74C5">
        <w:rPr>
          <w:rFonts w:eastAsia="Times New Roman"/>
          <w:lang w:val="fr-FR"/>
        </w:rPr>
        <w:t>12.3</w:t>
      </w:r>
      <w:r w:rsidRPr="00BD74C5">
        <w:rPr>
          <w:rFonts w:eastAsia="Times New Roman"/>
          <w:lang w:val="fr-FR"/>
        </w:rPr>
        <w:tab/>
        <w:t>Sans préjudice de l</w:t>
      </w:r>
      <w:r w:rsidR="00402837" w:rsidRPr="00BD74C5">
        <w:rPr>
          <w:rFonts w:eastAsia="Times New Roman"/>
          <w:lang w:val="fr-FR"/>
        </w:rPr>
        <w:t>’</w:t>
      </w:r>
      <w:r w:rsidRPr="00BD74C5">
        <w:rPr>
          <w:rFonts w:eastAsia="Times New Roman"/>
          <w:lang w:val="fr-FR"/>
        </w:rPr>
        <w:t>article 12.2, l</w:t>
      </w:r>
      <w:r w:rsidR="00402837" w:rsidRPr="00BD74C5">
        <w:rPr>
          <w:rFonts w:eastAsia="Times New Roman"/>
          <w:lang w:val="fr-FR"/>
        </w:rPr>
        <w:t>’</w:t>
      </w:r>
      <w:r w:rsidRPr="00BD74C5">
        <w:rPr>
          <w:rFonts w:eastAsia="Times New Roman"/>
          <w:lang w:val="fr-FR"/>
        </w:rPr>
        <w:t>Union européenne peut signer ou ratifier le présent traité ou y adhér</w:t>
      </w:r>
      <w:r w:rsidR="00BD74C5" w:rsidRPr="00BD74C5">
        <w:rPr>
          <w:rFonts w:eastAsia="Times New Roman"/>
          <w:lang w:val="fr-FR"/>
        </w:rPr>
        <w:t>er.  Da</w:t>
      </w:r>
      <w:r w:rsidRPr="00BD74C5">
        <w:rPr>
          <w:rFonts w:eastAsia="Times New Roman"/>
          <w:lang w:val="fr-FR"/>
        </w:rPr>
        <w:t>ns ce cas, l</w:t>
      </w:r>
      <w:r w:rsidR="00402837" w:rsidRPr="00BD74C5">
        <w:rPr>
          <w:rFonts w:eastAsia="Times New Roman"/>
          <w:lang w:val="fr-FR"/>
        </w:rPr>
        <w:t>’</w:t>
      </w:r>
      <w:r w:rsidRPr="00BD74C5">
        <w:rPr>
          <w:rFonts w:eastAsia="Times New Roman"/>
          <w:lang w:val="fr-FR"/>
        </w:rPr>
        <w:t>Union européenne fait, au moment de la signature, de la ratification ou de l</w:t>
      </w:r>
      <w:r w:rsidR="00402837" w:rsidRPr="00BD74C5">
        <w:rPr>
          <w:rFonts w:eastAsia="Times New Roman"/>
          <w:lang w:val="fr-FR"/>
        </w:rPr>
        <w:t>’</w:t>
      </w:r>
      <w:r w:rsidRPr="00BD74C5">
        <w:rPr>
          <w:rFonts w:eastAsia="Times New Roman"/>
          <w:lang w:val="fr-FR"/>
        </w:rPr>
        <w:t>adhésion, la déclaration visée à l</w:t>
      </w:r>
      <w:r w:rsidR="00402837" w:rsidRPr="00BD74C5">
        <w:rPr>
          <w:rFonts w:eastAsia="Times New Roman"/>
          <w:lang w:val="fr-FR"/>
        </w:rPr>
        <w:t>’</w:t>
      </w:r>
      <w:r w:rsidRPr="00BD74C5">
        <w:rPr>
          <w:rFonts w:eastAsia="Times New Roman"/>
          <w:lang w:val="fr-FR"/>
        </w:rPr>
        <w:t>article 12.2.</w:t>
      </w:r>
    </w:p>
    <w:p w14:paraId="2197FF28" w14:textId="77777777" w:rsidR="00802D2E" w:rsidRPr="00BD74C5" w:rsidRDefault="00802D2E" w:rsidP="002C5E24">
      <w:pPr>
        <w:tabs>
          <w:tab w:val="left" w:pos="567"/>
        </w:tabs>
        <w:spacing w:before="840"/>
        <w:jc w:val="center"/>
        <w:textAlignment w:val="baseline"/>
        <w:rPr>
          <w:b/>
          <w:lang w:val="fr-FR"/>
        </w:rPr>
      </w:pPr>
      <w:r w:rsidRPr="00BD74C5">
        <w:rPr>
          <w:b/>
          <w:lang w:val="fr-FR"/>
        </w:rPr>
        <w:t>ARTICLE 13</w:t>
      </w:r>
    </w:p>
    <w:p w14:paraId="5F2476DF" w14:textId="77777777" w:rsidR="00802D2E" w:rsidRPr="00BD74C5" w:rsidRDefault="00802D2E" w:rsidP="002C5E24">
      <w:pPr>
        <w:tabs>
          <w:tab w:val="left" w:pos="567"/>
        </w:tabs>
        <w:spacing w:after="240"/>
        <w:jc w:val="center"/>
        <w:textAlignment w:val="baseline"/>
        <w:rPr>
          <w:b/>
          <w:lang w:val="fr-FR"/>
        </w:rPr>
      </w:pPr>
      <w:r w:rsidRPr="00BD74C5">
        <w:rPr>
          <w:b/>
          <w:lang w:val="fr-FR"/>
        </w:rPr>
        <w:t>RATIFICATION ET ADHÉSION</w:t>
      </w:r>
    </w:p>
    <w:p w14:paraId="14F144F2" w14:textId="41906F94" w:rsidR="00802D2E" w:rsidRPr="00BD74C5" w:rsidRDefault="00802D2E" w:rsidP="002C5E24">
      <w:pPr>
        <w:tabs>
          <w:tab w:val="left" w:pos="567"/>
        </w:tabs>
        <w:spacing w:after="220"/>
        <w:textAlignment w:val="baseline"/>
        <w:rPr>
          <w:lang w:val="fr-FR"/>
        </w:rPr>
      </w:pPr>
      <w:r w:rsidRPr="00BD74C5">
        <w:rPr>
          <w:lang w:val="fr-FR"/>
        </w:rPr>
        <w:t>13.1</w:t>
      </w:r>
      <w:r w:rsidRPr="00BD74C5">
        <w:rPr>
          <w:lang w:val="fr-FR"/>
        </w:rPr>
        <w:tab/>
        <w:t>Tout État ou organisation intergouvernementale visé à l</w:t>
      </w:r>
      <w:r w:rsidR="00402837" w:rsidRPr="00BD74C5">
        <w:rPr>
          <w:lang w:val="fr-FR"/>
        </w:rPr>
        <w:t>’</w:t>
      </w:r>
      <w:r w:rsidRPr="00BD74C5">
        <w:rPr>
          <w:lang w:val="fr-FR"/>
        </w:rPr>
        <w:t>article 12 peut déposer auprès du Directeur général de l</w:t>
      </w:r>
      <w:r w:rsidR="00402837" w:rsidRPr="00BD74C5">
        <w:rPr>
          <w:lang w:val="fr-FR"/>
        </w:rPr>
        <w:t>’</w:t>
      </w:r>
      <w:r w:rsidRPr="00BD74C5">
        <w:rPr>
          <w:lang w:val="fr-FR"/>
        </w:rPr>
        <w:t>OMPI</w:t>
      </w:r>
      <w:r w:rsidR="00402837" w:rsidRPr="00BD74C5">
        <w:rPr>
          <w:lang w:val="fr-FR"/>
        </w:rPr>
        <w:t> :</w:t>
      </w:r>
    </w:p>
    <w:p w14:paraId="06EEBC07" w14:textId="15A99059" w:rsidR="00802D2E" w:rsidRPr="00BD74C5" w:rsidRDefault="00802D2E" w:rsidP="002C5E24">
      <w:pPr>
        <w:pStyle w:val="ListParagraph"/>
        <w:numPr>
          <w:ilvl w:val="0"/>
          <w:numId w:val="12"/>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un</w:t>
      </w:r>
      <w:proofErr w:type="gramEnd"/>
      <w:r w:rsidRPr="00BD74C5">
        <w:rPr>
          <w:rFonts w:ascii="Arial" w:eastAsia="SimSun" w:hAnsi="Arial" w:cs="Arial"/>
          <w:szCs w:val="20"/>
          <w:lang w:eastAsia="zh-CN"/>
        </w:rPr>
        <w:t xml:space="preserve"> instrument de ratification, s</w:t>
      </w:r>
      <w:r w:rsidR="00402837" w:rsidRPr="00BD74C5">
        <w:rPr>
          <w:rFonts w:ascii="Arial" w:eastAsia="SimSun" w:hAnsi="Arial" w:cs="Arial"/>
          <w:szCs w:val="20"/>
          <w:lang w:eastAsia="zh-CN"/>
        </w:rPr>
        <w:t>’</w:t>
      </w:r>
      <w:r w:rsidRPr="00BD74C5">
        <w:rPr>
          <w:rFonts w:ascii="Arial" w:eastAsia="SimSun" w:hAnsi="Arial" w:cs="Arial"/>
          <w:szCs w:val="20"/>
          <w:lang w:eastAsia="zh-CN"/>
        </w:rPr>
        <w:t>il a signé le présent traité;  ou</w:t>
      </w:r>
    </w:p>
    <w:p w14:paraId="0FB0104B" w14:textId="7FBAEFEE" w:rsidR="00802D2E" w:rsidRPr="00BD74C5" w:rsidRDefault="00802D2E" w:rsidP="002C5E24">
      <w:pPr>
        <w:pStyle w:val="ListParagraph"/>
        <w:numPr>
          <w:ilvl w:val="0"/>
          <w:numId w:val="12"/>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un</w:t>
      </w:r>
      <w:proofErr w:type="gramEnd"/>
      <w:r w:rsidRPr="00BD74C5">
        <w:rPr>
          <w:rFonts w:ascii="Arial" w:eastAsia="SimSun" w:hAnsi="Arial" w:cs="Arial"/>
          <w:szCs w:val="20"/>
          <w:lang w:eastAsia="zh-CN"/>
        </w:rPr>
        <w:t xml:space="preserve"> instrument d</w:t>
      </w:r>
      <w:r w:rsidR="00402837" w:rsidRPr="00BD74C5">
        <w:rPr>
          <w:rFonts w:ascii="Arial" w:eastAsia="SimSun" w:hAnsi="Arial" w:cs="Arial"/>
          <w:szCs w:val="20"/>
          <w:lang w:eastAsia="zh-CN"/>
        </w:rPr>
        <w:t>’</w:t>
      </w:r>
      <w:r w:rsidRPr="00BD74C5">
        <w:rPr>
          <w:rFonts w:ascii="Arial" w:eastAsia="SimSun" w:hAnsi="Arial" w:cs="Arial"/>
          <w:szCs w:val="20"/>
          <w:lang w:eastAsia="zh-CN"/>
        </w:rPr>
        <w:t>adhésion, s</w:t>
      </w:r>
      <w:r w:rsidR="00402837" w:rsidRPr="00BD74C5">
        <w:rPr>
          <w:rFonts w:ascii="Arial" w:eastAsia="SimSun" w:hAnsi="Arial" w:cs="Arial"/>
          <w:szCs w:val="20"/>
          <w:lang w:eastAsia="zh-CN"/>
        </w:rPr>
        <w:t>’</w:t>
      </w:r>
      <w:r w:rsidRPr="00BD74C5">
        <w:rPr>
          <w:rFonts w:ascii="Arial" w:eastAsia="SimSun" w:hAnsi="Arial" w:cs="Arial"/>
          <w:szCs w:val="20"/>
          <w:lang w:eastAsia="zh-CN"/>
        </w:rPr>
        <w:t>il n</w:t>
      </w:r>
      <w:r w:rsidR="00402837" w:rsidRPr="00BD74C5">
        <w:rPr>
          <w:rFonts w:ascii="Arial" w:eastAsia="SimSun" w:hAnsi="Arial" w:cs="Arial"/>
          <w:szCs w:val="20"/>
          <w:lang w:eastAsia="zh-CN"/>
        </w:rPr>
        <w:t>’</w:t>
      </w:r>
      <w:r w:rsidRPr="00BD74C5">
        <w:rPr>
          <w:rFonts w:ascii="Arial" w:eastAsia="SimSun" w:hAnsi="Arial" w:cs="Arial"/>
          <w:szCs w:val="20"/>
          <w:lang w:eastAsia="zh-CN"/>
        </w:rPr>
        <w:t>a pas signé le présent traité.</w:t>
      </w:r>
    </w:p>
    <w:p w14:paraId="706DC61D" w14:textId="30AACCB9" w:rsidR="00802D2E" w:rsidRPr="00BD74C5" w:rsidRDefault="00802D2E" w:rsidP="002C5E24">
      <w:pPr>
        <w:tabs>
          <w:tab w:val="left" w:pos="567"/>
        </w:tabs>
        <w:spacing w:after="220"/>
        <w:textAlignment w:val="baseline"/>
        <w:rPr>
          <w:rFonts w:eastAsia="Times New Roman"/>
          <w:lang w:val="fr-FR"/>
        </w:rPr>
      </w:pPr>
      <w:r w:rsidRPr="00BD74C5">
        <w:rPr>
          <w:lang w:val="fr-FR"/>
        </w:rPr>
        <w:t>13.2</w:t>
      </w:r>
      <w:r w:rsidRPr="00BD74C5">
        <w:rPr>
          <w:lang w:val="fr-FR"/>
        </w:rPr>
        <w:tab/>
        <w:t>La date de prise d</w:t>
      </w:r>
      <w:r w:rsidR="00402837" w:rsidRPr="00BD74C5">
        <w:rPr>
          <w:lang w:val="fr-FR"/>
        </w:rPr>
        <w:t>’</w:t>
      </w:r>
      <w:r w:rsidRPr="00BD74C5">
        <w:rPr>
          <w:lang w:val="fr-FR"/>
        </w:rPr>
        <w:t>effet du dépôt d</w:t>
      </w:r>
      <w:r w:rsidR="00402837" w:rsidRPr="00BD74C5">
        <w:rPr>
          <w:lang w:val="fr-FR"/>
        </w:rPr>
        <w:t>’</w:t>
      </w:r>
      <w:r w:rsidRPr="00BD74C5">
        <w:rPr>
          <w:lang w:val="fr-FR"/>
        </w:rPr>
        <w:t>un instrument de ratification ou d</w:t>
      </w:r>
      <w:r w:rsidR="00402837" w:rsidRPr="00BD74C5">
        <w:rPr>
          <w:lang w:val="fr-FR"/>
        </w:rPr>
        <w:t>’</w:t>
      </w:r>
      <w:r w:rsidRPr="00BD74C5">
        <w:rPr>
          <w:lang w:val="fr-FR"/>
        </w:rPr>
        <w:t>adhésion est la date à laquelle cet instrument est déposé auprès du dépositaire.</w:t>
      </w:r>
    </w:p>
    <w:p w14:paraId="3E564191" w14:textId="77777777" w:rsidR="00802D2E" w:rsidRPr="00BD74C5" w:rsidRDefault="00802D2E" w:rsidP="002C5E24">
      <w:pPr>
        <w:keepNext/>
        <w:tabs>
          <w:tab w:val="left" w:pos="567"/>
        </w:tabs>
        <w:spacing w:before="840"/>
        <w:jc w:val="center"/>
        <w:textAlignment w:val="baseline"/>
        <w:rPr>
          <w:rFonts w:eastAsia="Times New Roman"/>
          <w:b/>
          <w:lang w:val="fr-FR"/>
        </w:rPr>
      </w:pPr>
      <w:r w:rsidRPr="00BD74C5">
        <w:rPr>
          <w:b/>
          <w:lang w:val="fr-FR"/>
        </w:rPr>
        <w:t>ARTICLE 14</w:t>
      </w:r>
    </w:p>
    <w:p w14:paraId="0E1E3B69" w14:textId="77777777" w:rsidR="00802D2E" w:rsidRPr="00BD74C5" w:rsidRDefault="00802D2E" w:rsidP="002C5E24">
      <w:pPr>
        <w:keepNext/>
        <w:tabs>
          <w:tab w:val="left" w:pos="567"/>
        </w:tabs>
        <w:spacing w:after="240"/>
        <w:jc w:val="center"/>
        <w:textAlignment w:val="baseline"/>
        <w:rPr>
          <w:rFonts w:eastAsia="Times New Roman"/>
          <w:b/>
          <w:lang w:val="fr-FR"/>
        </w:rPr>
      </w:pPr>
      <w:r w:rsidRPr="00BD74C5">
        <w:rPr>
          <w:b/>
          <w:lang w:val="fr-FR"/>
        </w:rPr>
        <w:t>RÉVISION</w:t>
      </w:r>
    </w:p>
    <w:p w14:paraId="38D9D58E" w14:textId="70D24B84" w:rsidR="00802D2E" w:rsidRPr="00BD74C5" w:rsidRDefault="00802D2E" w:rsidP="002C5E24">
      <w:pPr>
        <w:tabs>
          <w:tab w:val="left" w:pos="567"/>
        </w:tabs>
        <w:spacing w:after="220"/>
        <w:textAlignment w:val="baseline"/>
        <w:rPr>
          <w:rFonts w:eastAsia="Times New Roman"/>
          <w:lang w:val="fr-FR"/>
        </w:rPr>
      </w:pPr>
      <w:r w:rsidRPr="00BD74C5">
        <w:rPr>
          <w:lang w:val="fr-FR"/>
        </w:rPr>
        <w:t>Le présent traité ne peut être révisé que par une conférence diplomatique, conformément à la Convention de Vienne sur le droit des trait</w:t>
      </w:r>
      <w:r w:rsidR="00BD74C5" w:rsidRPr="00BD74C5">
        <w:rPr>
          <w:lang w:val="fr-FR"/>
        </w:rPr>
        <w:t>és.  La</w:t>
      </w:r>
      <w:r w:rsidRPr="00BD74C5">
        <w:rPr>
          <w:lang w:val="fr-FR"/>
        </w:rPr>
        <w:t xml:space="preserve"> convocation d</w:t>
      </w:r>
      <w:r w:rsidR="00402837" w:rsidRPr="00BD74C5">
        <w:rPr>
          <w:lang w:val="fr-FR"/>
        </w:rPr>
        <w:t>’</w:t>
      </w:r>
      <w:r w:rsidRPr="00BD74C5">
        <w:rPr>
          <w:lang w:val="fr-FR"/>
        </w:rPr>
        <w:t>une telle conférence diplomatique est décidée par l</w:t>
      </w:r>
      <w:r w:rsidR="00402837" w:rsidRPr="00BD74C5">
        <w:rPr>
          <w:lang w:val="fr-FR"/>
        </w:rPr>
        <w:t>’</w:t>
      </w:r>
      <w:r w:rsidRPr="00BD74C5">
        <w:rPr>
          <w:lang w:val="fr-FR"/>
        </w:rPr>
        <w:t>Assemblée.</w:t>
      </w:r>
    </w:p>
    <w:p w14:paraId="17E27B16" w14:textId="77777777" w:rsidR="00802D2E" w:rsidRPr="00BD74C5" w:rsidRDefault="00802D2E" w:rsidP="002C5E24">
      <w:pPr>
        <w:keepNext/>
        <w:tabs>
          <w:tab w:val="left" w:pos="567"/>
        </w:tabs>
        <w:spacing w:before="840"/>
        <w:jc w:val="center"/>
        <w:textAlignment w:val="baseline"/>
        <w:rPr>
          <w:rFonts w:eastAsia="Times New Roman"/>
          <w:b/>
          <w:lang w:val="fr-FR"/>
        </w:rPr>
      </w:pPr>
      <w:r w:rsidRPr="00BD74C5">
        <w:rPr>
          <w:b/>
          <w:lang w:val="fr-FR"/>
        </w:rPr>
        <w:t>ARTICLE 15</w:t>
      </w:r>
    </w:p>
    <w:p w14:paraId="6698ADF1" w14:textId="00C8D261" w:rsidR="00802D2E" w:rsidRPr="00BD74C5" w:rsidRDefault="00802D2E" w:rsidP="002C5E24">
      <w:pPr>
        <w:keepNext/>
        <w:tabs>
          <w:tab w:val="left" w:pos="567"/>
        </w:tabs>
        <w:spacing w:after="240"/>
        <w:jc w:val="center"/>
        <w:textAlignment w:val="baseline"/>
        <w:rPr>
          <w:rFonts w:eastAsia="Times New Roman"/>
          <w:b/>
          <w:lang w:val="fr-FR"/>
        </w:rPr>
      </w:pPr>
      <w:r w:rsidRPr="00BD74C5">
        <w:rPr>
          <w:b/>
          <w:lang w:val="fr-FR"/>
        </w:rPr>
        <w:t>MODIFICATION DES ARTICLES</w:t>
      </w:r>
      <w:r w:rsidR="002C5E24">
        <w:rPr>
          <w:b/>
          <w:lang w:val="fr-FR"/>
        </w:rPr>
        <w:t> </w:t>
      </w:r>
      <w:r w:rsidRPr="00BD74C5">
        <w:rPr>
          <w:b/>
          <w:lang w:val="fr-FR"/>
        </w:rPr>
        <w:t>10 ET</w:t>
      </w:r>
      <w:r w:rsidR="00FB0644">
        <w:rPr>
          <w:b/>
          <w:lang w:val="fr-FR"/>
        </w:rPr>
        <w:t> </w:t>
      </w:r>
      <w:r w:rsidRPr="00BD74C5">
        <w:rPr>
          <w:b/>
          <w:lang w:val="fr-FR"/>
        </w:rPr>
        <w:t>11</w:t>
      </w:r>
    </w:p>
    <w:p w14:paraId="0A55E42D" w14:textId="5273AEF2" w:rsidR="00802D2E" w:rsidRPr="00BD74C5" w:rsidRDefault="00802D2E" w:rsidP="002C5E24">
      <w:pPr>
        <w:tabs>
          <w:tab w:val="left" w:pos="567"/>
        </w:tabs>
        <w:spacing w:after="220"/>
        <w:textAlignment w:val="baseline"/>
        <w:rPr>
          <w:rFonts w:eastAsia="Times New Roman"/>
          <w:lang w:val="fr-FR"/>
        </w:rPr>
      </w:pPr>
      <w:r w:rsidRPr="00BD74C5">
        <w:rPr>
          <w:lang w:val="fr-FR"/>
        </w:rPr>
        <w:t>15.1</w:t>
      </w:r>
      <w:r w:rsidRPr="00BD74C5">
        <w:rPr>
          <w:lang w:val="fr-FR"/>
        </w:rPr>
        <w:tab/>
        <w:t>Les articles 10 et 11 du présent traité peuvent être modifiés par l</w:t>
      </w:r>
      <w:r w:rsidR="00402837" w:rsidRPr="00BD74C5">
        <w:rPr>
          <w:lang w:val="fr-FR"/>
        </w:rPr>
        <w:t>’</w:t>
      </w:r>
      <w:r w:rsidRPr="00BD74C5">
        <w:rPr>
          <w:lang w:val="fr-FR"/>
        </w:rPr>
        <w:t>Assemblée, ainsi qu</w:t>
      </w:r>
      <w:r w:rsidR="00402837" w:rsidRPr="00BD74C5">
        <w:rPr>
          <w:lang w:val="fr-FR"/>
        </w:rPr>
        <w:t>’</w:t>
      </w:r>
      <w:r w:rsidRPr="00BD74C5">
        <w:rPr>
          <w:lang w:val="fr-FR"/>
        </w:rPr>
        <w:t>il est prévu à l</w:t>
      </w:r>
      <w:r w:rsidR="00402837" w:rsidRPr="00BD74C5">
        <w:rPr>
          <w:lang w:val="fr-FR"/>
        </w:rPr>
        <w:t>’article 1</w:t>
      </w:r>
      <w:r w:rsidRPr="00BD74C5">
        <w:rPr>
          <w:lang w:val="fr-FR"/>
        </w:rPr>
        <w:t>0.2.f).</w:t>
      </w:r>
    </w:p>
    <w:p w14:paraId="1C1F3BDC" w14:textId="2A58EAA9" w:rsidR="00802D2E" w:rsidRPr="00BD74C5" w:rsidRDefault="00802D2E" w:rsidP="002C5E24">
      <w:pPr>
        <w:tabs>
          <w:tab w:val="left" w:pos="567"/>
        </w:tabs>
        <w:spacing w:after="220"/>
        <w:textAlignment w:val="baseline"/>
        <w:rPr>
          <w:rFonts w:eastAsia="Times New Roman"/>
          <w:lang w:val="fr-FR"/>
        </w:rPr>
      </w:pPr>
      <w:r w:rsidRPr="00BD74C5">
        <w:rPr>
          <w:lang w:val="fr-FR"/>
        </w:rPr>
        <w:t>15.2</w:t>
      </w:r>
      <w:r w:rsidRPr="00BD74C5">
        <w:rPr>
          <w:lang w:val="fr-FR"/>
        </w:rPr>
        <w:tab/>
        <w:t>Des propositions de modification des articles visés à l</w:t>
      </w:r>
      <w:r w:rsidR="00402837" w:rsidRPr="00BD74C5">
        <w:rPr>
          <w:lang w:val="fr-FR"/>
        </w:rPr>
        <w:t>’</w:t>
      </w:r>
      <w:r w:rsidRPr="00BD74C5">
        <w:rPr>
          <w:lang w:val="fr-FR"/>
        </w:rPr>
        <w:t>article 15.1 peuvent être présentées par toute Partie contractante ou par le Directeur général de l</w:t>
      </w:r>
      <w:r w:rsidR="00402837" w:rsidRPr="00BD74C5">
        <w:rPr>
          <w:lang w:val="fr-FR"/>
        </w:rPr>
        <w:t>’</w:t>
      </w:r>
      <w:r w:rsidRPr="00BD74C5">
        <w:rPr>
          <w:lang w:val="fr-FR"/>
        </w:rPr>
        <w:t>O</w:t>
      </w:r>
      <w:r w:rsidR="00BD74C5" w:rsidRPr="00BD74C5">
        <w:rPr>
          <w:lang w:val="fr-FR"/>
        </w:rPr>
        <w:t>MPI.  Ce</w:t>
      </w:r>
      <w:r w:rsidRPr="00BD74C5">
        <w:rPr>
          <w:lang w:val="fr-FR"/>
        </w:rPr>
        <w:t>s propositions sont communiquées par ce dernier aux Parties contractantes six mois au moins avant d</w:t>
      </w:r>
      <w:r w:rsidR="00402837" w:rsidRPr="00BD74C5">
        <w:rPr>
          <w:lang w:val="fr-FR"/>
        </w:rPr>
        <w:t>’</w:t>
      </w:r>
      <w:r w:rsidRPr="00BD74C5">
        <w:rPr>
          <w:lang w:val="fr-FR"/>
        </w:rPr>
        <w:t>être soumises à l</w:t>
      </w:r>
      <w:r w:rsidR="00402837" w:rsidRPr="00BD74C5">
        <w:rPr>
          <w:lang w:val="fr-FR"/>
        </w:rPr>
        <w:t>’</w:t>
      </w:r>
      <w:r w:rsidRPr="00BD74C5">
        <w:rPr>
          <w:lang w:val="fr-FR"/>
        </w:rPr>
        <w:t>examen de l</w:t>
      </w:r>
      <w:r w:rsidR="00402837" w:rsidRPr="00BD74C5">
        <w:rPr>
          <w:lang w:val="fr-FR"/>
        </w:rPr>
        <w:t>’</w:t>
      </w:r>
      <w:r w:rsidRPr="00BD74C5">
        <w:rPr>
          <w:lang w:val="fr-FR"/>
        </w:rPr>
        <w:t>Assemblée.</w:t>
      </w:r>
    </w:p>
    <w:p w14:paraId="75483286" w14:textId="232CF78C" w:rsidR="00802D2E" w:rsidRPr="00BD74C5" w:rsidRDefault="00802D2E" w:rsidP="002C5E24">
      <w:pPr>
        <w:tabs>
          <w:tab w:val="left" w:pos="567"/>
        </w:tabs>
        <w:spacing w:after="220"/>
        <w:textAlignment w:val="baseline"/>
        <w:rPr>
          <w:lang w:val="fr-FR"/>
        </w:rPr>
      </w:pPr>
      <w:r w:rsidRPr="00BD74C5">
        <w:rPr>
          <w:lang w:val="fr-FR"/>
        </w:rPr>
        <w:t>15.3</w:t>
      </w:r>
      <w:r w:rsidRPr="00BD74C5">
        <w:rPr>
          <w:lang w:val="fr-FR"/>
        </w:rPr>
        <w:tab/>
        <w:t>L</w:t>
      </w:r>
      <w:r w:rsidR="00402837" w:rsidRPr="00BD74C5">
        <w:rPr>
          <w:lang w:val="fr-FR"/>
        </w:rPr>
        <w:t>’</w:t>
      </w:r>
      <w:r w:rsidRPr="00BD74C5">
        <w:rPr>
          <w:lang w:val="fr-FR"/>
        </w:rPr>
        <w:t>adoption de toute modification des articles visés à l</w:t>
      </w:r>
      <w:r w:rsidR="00402837" w:rsidRPr="00BD74C5">
        <w:rPr>
          <w:lang w:val="fr-FR"/>
        </w:rPr>
        <w:t>’</w:t>
      </w:r>
      <w:r w:rsidRPr="00BD74C5">
        <w:rPr>
          <w:lang w:val="fr-FR"/>
        </w:rPr>
        <w:t>article 15.1 requiert une majorité des trois quarts.</w:t>
      </w:r>
    </w:p>
    <w:p w14:paraId="6DC72315" w14:textId="69931228" w:rsidR="00802D2E" w:rsidRPr="00BD74C5" w:rsidRDefault="00802D2E" w:rsidP="002C5E24">
      <w:pPr>
        <w:tabs>
          <w:tab w:val="left" w:pos="567"/>
        </w:tabs>
        <w:spacing w:after="220"/>
        <w:textAlignment w:val="baseline"/>
        <w:rPr>
          <w:rFonts w:eastAsia="Times New Roman"/>
          <w:lang w:val="fr-FR"/>
        </w:rPr>
      </w:pPr>
      <w:r w:rsidRPr="00BD74C5">
        <w:rPr>
          <w:lang w:val="fr-FR"/>
        </w:rPr>
        <w:t>15.4</w:t>
      </w:r>
      <w:r w:rsidRPr="00BD74C5">
        <w:rPr>
          <w:lang w:val="fr-FR"/>
        </w:rPr>
        <w:tab/>
        <w:t>Toute modification entre en vigueur un mois après la réception par le Directeur général des notifications écrites d</w:t>
      </w:r>
      <w:r w:rsidR="00402837" w:rsidRPr="00BD74C5">
        <w:rPr>
          <w:lang w:val="fr-FR"/>
        </w:rPr>
        <w:t>’</w:t>
      </w:r>
      <w:r w:rsidRPr="00BD74C5">
        <w:rPr>
          <w:lang w:val="fr-FR"/>
        </w:rPr>
        <w:t>acceptation des Parties contractantes, effectuée en conformité avec leurs règles constitutionnelles respectives, de la part des trois quarts des parties qui étaient des Parties contractantes au moment où la modification a été adoptée par l</w:t>
      </w:r>
      <w:r w:rsidR="00402837" w:rsidRPr="00BD74C5">
        <w:rPr>
          <w:lang w:val="fr-FR"/>
        </w:rPr>
        <w:t>’</w:t>
      </w:r>
      <w:r w:rsidRPr="00BD74C5">
        <w:rPr>
          <w:lang w:val="fr-FR"/>
        </w:rPr>
        <w:t>Assembl</w:t>
      </w:r>
      <w:r w:rsidR="00BD74C5" w:rsidRPr="00BD74C5">
        <w:rPr>
          <w:lang w:val="fr-FR"/>
        </w:rPr>
        <w:t>ée.  To</w:t>
      </w:r>
      <w:r w:rsidRPr="00BD74C5">
        <w:rPr>
          <w:lang w:val="fr-FR"/>
        </w:rPr>
        <w:t>ute modification ainsi acceptée lie toutes les parties qui étaient des Parties contractantes au moment où la modification entre en vigueur, ou qui le deviennent à une date ultérieure.</w:t>
      </w:r>
    </w:p>
    <w:p w14:paraId="0B99C5C2" w14:textId="77777777" w:rsidR="00802D2E" w:rsidRPr="00BD74C5" w:rsidRDefault="00802D2E" w:rsidP="002C5E24">
      <w:pPr>
        <w:tabs>
          <w:tab w:val="left" w:pos="567"/>
        </w:tabs>
        <w:spacing w:before="840"/>
        <w:jc w:val="center"/>
        <w:textAlignment w:val="baseline"/>
        <w:rPr>
          <w:rFonts w:eastAsia="Times New Roman"/>
          <w:b/>
          <w:bCs/>
          <w:lang w:val="fr-FR"/>
        </w:rPr>
      </w:pPr>
      <w:r w:rsidRPr="00BD74C5">
        <w:rPr>
          <w:b/>
          <w:lang w:val="fr-FR"/>
        </w:rPr>
        <w:t>ARTICLE 16</w:t>
      </w:r>
    </w:p>
    <w:p w14:paraId="254450F6" w14:textId="77777777" w:rsidR="00802D2E" w:rsidRPr="00BD74C5" w:rsidRDefault="00802D2E" w:rsidP="002C5E24">
      <w:pPr>
        <w:tabs>
          <w:tab w:val="left" w:pos="567"/>
        </w:tabs>
        <w:spacing w:after="240"/>
        <w:jc w:val="center"/>
        <w:textAlignment w:val="baseline"/>
        <w:rPr>
          <w:rFonts w:eastAsia="Times New Roman"/>
          <w:b/>
          <w:bCs/>
          <w:lang w:val="fr-FR"/>
        </w:rPr>
      </w:pPr>
      <w:r w:rsidRPr="00BD74C5">
        <w:rPr>
          <w:b/>
          <w:lang w:val="fr-FR"/>
        </w:rPr>
        <w:t>SIGNATURE</w:t>
      </w:r>
    </w:p>
    <w:p w14:paraId="48E2AAA9" w14:textId="69D4ECD0" w:rsidR="00802D2E" w:rsidRPr="00BD74C5" w:rsidRDefault="00802D2E" w:rsidP="002C5E24">
      <w:pPr>
        <w:tabs>
          <w:tab w:val="left" w:pos="567"/>
        </w:tabs>
        <w:spacing w:after="220"/>
        <w:textAlignment w:val="baseline"/>
        <w:rPr>
          <w:rFonts w:eastAsia="Times New Roman"/>
          <w:lang w:val="fr-FR"/>
        </w:rPr>
      </w:pPr>
      <w:r w:rsidRPr="00BD74C5">
        <w:rPr>
          <w:lang w:val="fr-FR"/>
        </w:rPr>
        <w:t>Le présent traité est ouvert à la signature lors de la conférence diplomatique de Genève, puis au siège de l</w:t>
      </w:r>
      <w:r w:rsidR="00402837" w:rsidRPr="00BD74C5">
        <w:rPr>
          <w:lang w:val="fr-FR"/>
        </w:rPr>
        <w:t>’</w:t>
      </w:r>
      <w:r w:rsidRPr="00BD74C5">
        <w:rPr>
          <w:lang w:val="fr-FR"/>
        </w:rPr>
        <w:t>OMPI par toute partie remplissant les conditions requises pour devenir partie au traité pendant un an après son adoption.</w:t>
      </w:r>
    </w:p>
    <w:p w14:paraId="3AB9DF33" w14:textId="77777777" w:rsidR="00802D2E" w:rsidRPr="00BD74C5" w:rsidRDefault="00802D2E" w:rsidP="002C5E24">
      <w:pPr>
        <w:tabs>
          <w:tab w:val="left" w:pos="567"/>
        </w:tabs>
        <w:spacing w:before="840"/>
        <w:jc w:val="center"/>
        <w:textAlignment w:val="baseline"/>
        <w:rPr>
          <w:rFonts w:eastAsia="Times New Roman"/>
          <w:b/>
          <w:bCs/>
          <w:lang w:val="fr-FR"/>
        </w:rPr>
      </w:pPr>
      <w:r w:rsidRPr="00BD74C5">
        <w:rPr>
          <w:b/>
          <w:lang w:val="fr-FR"/>
        </w:rPr>
        <w:t>ARTICLE 17 </w:t>
      </w:r>
    </w:p>
    <w:p w14:paraId="07B47E26" w14:textId="77777777" w:rsidR="00802D2E" w:rsidRPr="00BD74C5" w:rsidRDefault="00802D2E" w:rsidP="002C5E24">
      <w:pPr>
        <w:tabs>
          <w:tab w:val="left" w:pos="567"/>
        </w:tabs>
        <w:spacing w:after="240"/>
        <w:jc w:val="center"/>
        <w:textAlignment w:val="baseline"/>
        <w:rPr>
          <w:rFonts w:eastAsia="Times New Roman"/>
          <w:b/>
          <w:bCs/>
          <w:lang w:val="fr-FR"/>
        </w:rPr>
      </w:pPr>
      <w:r w:rsidRPr="00BD74C5">
        <w:rPr>
          <w:b/>
          <w:lang w:val="fr-FR"/>
        </w:rPr>
        <w:t>ENTRÉE EN VIGUEUR</w:t>
      </w:r>
    </w:p>
    <w:p w14:paraId="32582A62" w14:textId="7B6957D3" w:rsidR="00802D2E" w:rsidRPr="00BD74C5" w:rsidRDefault="00802D2E" w:rsidP="002C5E24">
      <w:pPr>
        <w:tabs>
          <w:tab w:val="left" w:pos="567"/>
        </w:tabs>
        <w:spacing w:after="220"/>
        <w:textAlignment w:val="baseline"/>
        <w:rPr>
          <w:rFonts w:eastAsia="Times New Roman"/>
          <w:lang w:val="fr-FR"/>
        </w:rPr>
      </w:pPr>
      <w:r w:rsidRPr="00BD74C5">
        <w:rPr>
          <w:lang w:val="fr-FR"/>
        </w:rPr>
        <w:t>Le présent traité entrera en vigueur trois mois après que 15 parties remplissant les conditions visées à l</w:t>
      </w:r>
      <w:r w:rsidR="00402837" w:rsidRPr="00BD74C5">
        <w:rPr>
          <w:lang w:val="fr-FR"/>
        </w:rPr>
        <w:t>’</w:t>
      </w:r>
      <w:r w:rsidRPr="00BD74C5">
        <w:rPr>
          <w:lang w:val="fr-FR"/>
        </w:rPr>
        <w:t>article 12 auront déposé leur instrument de ratification ou d</w:t>
      </w:r>
      <w:r w:rsidR="00402837" w:rsidRPr="00BD74C5">
        <w:rPr>
          <w:lang w:val="fr-FR"/>
        </w:rPr>
        <w:t>’</w:t>
      </w:r>
      <w:r w:rsidRPr="00BD74C5">
        <w:rPr>
          <w:lang w:val="fr-FR"/>
        </w:rPr>
        <w:t>adhésion.</w:t>
      </w:r>
    </w:p>
    <w:p w14:paraId="7B5EBC60" w14:textId="77777777" w:rsidR="00802D2E" w:rsidRPr="00BD74C5" w:rsidRDefault="00802D2E" w:rsidP="00FB0644">
      <w:pPr>
        <w:keepNext/>
        <w:tabs>
          <w:tab w:val="left" w:pos="567"/>
        </w:tabs>
        <w:spacing w:before="840"/>
        <w:jc w:val="center"/>
        <w:textAlignment w:val="baseline"/>
        <w:rPr>
          <w:rFonts w:eastAsia="Times New Roman"/>
          <w:b/>
          <w:bCs/>
          <w:lang w:val="fr-FR"/>
        </w:rPr>
      </w:pPr>
      <w:r w:rsidRPr="00BD74C5">
        <w:rPr>
          <w:lang w:val="fr-FR"/>
        </w:rPr>
        <w:t> </w:t>
      </w:r>
      <w:r w:rsidRPr="00BD74C5">
        <w:rPr>
          <w:b/>
          <w:lang w:val="fr-FR"/>
        </w:rPr>
        <w:t>ARTICLE 18</w:t>
      </w:r>
    </w:p>
    <w:p w14:paraId="7C6DB9B7" w14:textId="2EB5EDA6" w:rsidR="00802D2E" w:rsidRPr="00BD74C5" w:rsidRDefault="00802D2E" w:rsidP="00FB0644">
      <w:pPr>
        <w:keepNext/>
        <w:tabs>
          <w:tab w:val="left" w:pos="567"/>
        </w:tabs>
        <w:spacing w:after="240"/>
        <w:jc w:val="center"/>
        <w:textAlignment w:val="baseline"/>
        <w:rPr>
          <w:rFonts w:eastAsia="Times New Roman"/>
          <w:szCs w:val="22"/>
          <w:lang w:val="fr-FR"/>
        </w:rPr>
      </w:pPr>
      <w:r w:rsidRPr="00BD74C5">
        <w:rPr>
          <w:b/>
          <w:lang w:val="fr-FR"/>
        </w:rPr>
        <w:t>DATE DE PRISE D</w:t>
      </w:r>
      <w:r w:rsidR="00402837" w:rsidRPr="00BD74C5">
        <w:rPr>
          <w:b/>
          <w:lang w:val="fr-FR"/>
        </w:rPr>
        <w:t>’</w:t>
      </w:r>
      <w:r w:rsidRPr="00BD74C5">
        <w:rPr>
          <w:b/>
          <w:lang w:val="fr-FR"/>
        </w:rPr>
        <w:t>EFFET POUR LES PARTIES</w:t>
      </w:r>
    </w:p>
    <w:p w14:paraId="187A91A7" w14:textId="69919B6D" w:rsidR="00802D2E" w:rsidRPr="00BD74C5" w:rsidRDefault="00802D2E" w:rsidP="00FB0644">
      <w:pPr>
        <w:keepNext/>
        <w:tabs>
          <w:tab w:val="left" w:pos="567"/>
        </w:tabs>
        <w:spacing w:after="220"/>
        <w:textAlignment w:val="baseline"/>
        <w:rPr>
          <w:rFonts w:eastAsia="Times New Roman"/>
          <w:lang w:val="fr-FR"/>
        </w:rPr>
      </w:pPr>
      <w:r w:rsidRPr="00BD74C5">
        <w:rPr>
          <w:lang w:val="fr-FR"/>
        </w:rPr>
        <w:t>Le présent traité lie</w:t>
      </w:r>
      <w:r w:rsidR="00402837" w:rsidRPr="00BD74C5">
        <w:rPr>
          <w:lang w:val="fr-FR"/>
        </w:rPr>
        <w:t> :</w:t>
      </w:r>
    </w:p>
    <w:p w14:paraId="313263FF" w14:textId="5DF4497D" w:rsidR="00802D2E" w:rsidRPr="00BD74C5" w:rsidRDefault="00802D2E" w:rsidP="002C5E24">
      <w:pPr>
        <w:pStyle w:val="ListParagraph"/>
        <w:numPr>
          <w:ilvl w:val="0"/>
          <w:numId w:val="13"/>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les</w:t>
      </w:r>
      <w:proofErr w:type="gramEnd"/>
      <w:r w:rsidRPr="00BD74C5">
        <w:rPr>
          <w:rFonts w:ascii="Arial" w:eastAsia="SimSun" w:hAnsi="Arial" w:cs="Arial"/>
          <w:szCs w:val="20"/>
          <w:lang w:eastAsia="zh-CN"/>
        </w:rPr>
        <w:t xml:space="preserve"> 15 parties remplissant les conditions requises visées à l</w:t>
      </w:r>
      <w:r w:rsidR="00402837" w:rsidRPr="00BD74C5">
        <w:rPr>
          <w:rFonts w:ascii="Arial" w:eastAsia="SimSun" w:hAnsi="Arial" w:cs="Arial"/>
          <w:szCs w:val="20"/>
          <w:lang w:eastAsia="zh-CN"/>
        </w:rPr>
        <w:t>’</w:t>
      </w:r>
      <w:r w:rsidRPr="00BD74C5">
        <w:rPr>
          <w:rFonts w:ascii="Arial" w:eastAsia="SimSun" w:hAnsi="Arial" w:cs="Arial"/>
          <w:szCs w:val="20"/>
          <w:lang w:eastAsia="zh-CN"/>
        </w:rPr>
        <w:t>article 17, à compter de la date à laquelle le présent traité est entré en vigueur;  et</w:t>
      </w:r>
    </w:p>
    <w:p w14:paraId="75330D8B" w14:textId="360D66EF" w:rsidR="00802D2E" w:rsidRPr="00BD74C5" w:rsidRDefault="00802D2E" w:rsidP="002C5E24">
      <w:pPr>
        <w:pStyle w:val="ListParagraph"/>
        <w:numPr>
          <w:ilvl w:val="0"/>
          <w:numId w:val="13"/>
        </w:numPr>
        <w:tabs>
          <w:tab w:val="left" w:pos="567"/>
        </w:tabs>
        <w:spacing w:after="220" w:line="240" w:lineRule="auto"/>
        <w:textAlignment w:val="baseline"/>
        <w:rPr>
          <w:rFonts w:ascii="Arial" w:eastAsia="SimSun" w:hAnsi="Arial" w:cs="Arial"/>
          <w:szCs w:val="20"/>
          <w:lang w:eastAsia="zh-CN"/>
        </w:rPr>
      </w:pPr>
      <w:proofErr w:type="gramStart"/>
      <w:r w:rsidRPr="00BD74C5">
        <w:rPr>
          <w:rFonts w:ascii="Arial" w:eastAsia="SimSun" w:hAnsi="Arial" w:cs="Arial"/>
          <w:szCs w:val="20"/>
          <w:lang w:eastAsia="zh-CN"/>
        </w:rPr>
        <w:t>toute</w:t>
      </w:r>
      <w:proofErr w:type="gramEnd"/>
      <w:r w:rsidRPr="00BD74C5">
        <w:rPr>
          <w:rFonts w:ascii="Arial" w:eastAsia="SimSun" w:hAnsi="Arial" w:cs="Arial"/>
          <w:szCs w:val="20"/>
          <w:lang w:eastAsia="zh-CN"/>
        </w:rPr>
        <w:t xml:space="preserve"> autre partie remplissant les conditions requises visée à l</w:t>
      </w:r>
      <w:r w:rsidR="00402837" w:rsidRPr="00BD74C5">
        <w:rPr>
          <w:rFonts w:ascii="Arial" w:eastAsia="SimSun" w:hAnsi="Arial" w:cs="Arial"/>
          <w:szCs w:val="20"/>
          <w:lang w:eastAsia="zh-CN"/>
        </w:rPr>
        <w:t>’</w:t>
      </w:r>
      <w:r w:rsidRPr="00BD74C5">
        <w:rPr>
          <w:rFonts w:ascii="Arial" w:eastAsia="SimSun" w:hAnsi="Arial" w:cs="Arial"/>
          <w:szCs w:val="20"/>
          <w:lang w:eastAsia="zh-CN"/>
        </w:rPr>
        <w:t>article 12, à l</w:t>
      </w:r>
      <w:r w:rsidR="00402837" w:rsidRPr="00BD74C5">
        <w:rPr>
          <w:rFonts w:ascii="Arial" w:eastAsia="SimSun" w:hAnsi="Arial" w:cs="Arial"/>
          <w:szCs w:val="20"/>
          <w:lang w:eastAsia="zh-CN"/>
        </w:rPr>
        <w:t>’</w:t>
      </w:r>
      <w:r w:rsidRPr="00BD74C5">
        <w:rPr>
          <w:rFonts w:ascii="Arial" w:eastAsia="SimSun" w:hAnsi="Arial" w:cs="Arial"/>
          <w:szCs w:val="20"/>
          <w:lang w:eastAsia="zh-CN"/>
        </w:rPr>
        <w:t>expiration d</w:t>
      </w:r>
      <w:r w:rsidR="00402837" w:rsidRPr="00BD74C5">
        <w:rPr>
          <w:rFonts w:ascii="Arial" w:eastAsia="SimSun" w:hAnsi="Arial" w:cs="Arial"/>
          <w:szCs w:val="20"/>
          <w:lang w:eastAsia="zh-CN"/>
        </w:rPr>
        <w:t>’</w:t>
      </w:r>
      <w:r w:rsidRPr="00BD74C5">
        <w:rPr>
          <w:rFonts w:ascii="Arial" w:eastAsia="SimSun" w:hAnsi="Arial" w:cs="Arial"/>
          <w:szCs w:val="20"/>
          <w:lang w:eastAsia="zh-CN"/>
        </w:rPr>
        <w:t>un délai de trois mois à compter de la date à laquelle elle a déposé son instrument de ratification ou d</w:t>
      </w:r>
      <w:r w:rsidR="00402837" w:rsidRPr="00BD74C5">
        <w:rPr>
          <w:rFonts w:ascii="Arial" w:eastAsia="SimSun" w:hAnsi="Arial" w:cs="Arial"/>
          <w:szCs w:val="20"/>
          <w:lang w:eastAsia="zh-CN"/>
        </w:rPr>
        <w:t>’</w:t>
      </w:r>
      <w:r w:rsidRPr="00BD74C5">
        <w:rPr>
          <w:rFonts w:ascii="Arial" w:eastAsia="SimSun" w:hAnsi="Arial" w:cs="Arial"/>
          <w:szCs w:val="20"/>
          <w:lang w:eastAsia="zh-CN"/>
        </w:rPr>
        <w:t>adhésion auprès du Directeur général de l</w:t>
      </w:r>
      <w:r w:rsidR="00402837" w:rsidRPr="00BD74C5">
        <w:rPr>
          <w:rFonts w:ascii="Arial" w:eastAsia="SimSun" w:hAnsi="Arial" w:cs="Arial"/>
          <w:szCs w:val="20"/>
          <w:lang w:eastAsia="zh-CN"/>
        </w:rPr>
        <w:t>’</w:t>
      </w:r>
      <w:r w:rsidRPr="00BD74C5">
        <w:rPr>
          <w:rFonts w:ascii="Arial" w:eastAsia="SimSun" w:hAnsi="Arial" w:cs="Arial"/>
          <w:szCs w:val="20"/>
          <w:lang w:eastAsia="zh-CN"/>
        </w:rPr>
        <w:t>OMPI.</w:t>
      </w:r>
    </w:p>
    <w:p w14:paraId="429B7A84" w14:textId="77777777" w:rsidR="00802D2E" w:rsidRPr="00BD74C5" w:rsidRDefault="00802D2E" w:rsidP="002C5E24">
      <w:pPr>
        <w:keepNext/>
        <w:tabs>
          <w:tab w:val="left" w:pos="567"/>
        </w:tabs>
        <w:spacing w:before="840"/>
        <w:jc w:val="center"/>
        <w:textAlignment w:val="baseline"/>
        <w:rPr>
          <w:rFonts w:eastAsia="Times New Roman"/>
          <w:b/>
          <w:lang w:val="fr-FR"/>
        </w:rPr>
      </w:pPr>
      <w:r w:rsidRPr="00BD74C5">
        <w:rPr>
          <w:b/>
          <w:lang w:val="fr-FR"/>
        </w:rPr>
        <w:t>ARTICLE 19</w:t>
      </w:r>
    </w:p>
    <w:p w14:paraId="61B7FEE1" w14:textId="77777777" w:rsidR="00802D2E" w:rsidRPr="00BD74C5" w:rsidRDefault="00802D2E" w:rsidP="002C5E24">
      <w:pPr>
        <w:keepNext/>
        <w:tabs>
          <w:tab w:val="left" w:pos="567"/>
        </w:tabs>
        <w:spacing w:after="240"/>
        <w:jc w:val="center"/>
        <w:textAlignment w:val="baseline"/>
        <w:rPr>
          <w:rFonts w:eastAsia="Times New Roman"/>
          <w:b/>
          <w:lang w:val="fr-FR"/>
        </w:rPr>
      </w:pPr>
      <w:r w:rsidRPr="00BD74C5">
        <w:rPr>
          <w:b/>
          <w:lang w:val="fr-FR"/>
        </w:rPr>
        <w:t>DÉNONCIATION </w:t>
      </w:r>
    </w:p>
    <w:p w14:paraId="6AB9F147" w14:textId="3CFD1D06" w:rsidR="00802D2E" w:rsidRPr="00BD74C5" w:rsidRDefault="00802D2E" w:rsidP="002C5E24">
      <w:pPr>
        <w:tabs>
          <w:tab w:val="left" w:pos="567"/>
        </w:tabs>
        <w:spacing w:after="220"/>
        <w:textAlignment w:val="baseline"/>
        <w:rPr>
          <w:rFonts w:eastAsia="Times New Roman"/>
          <w:lang w:val="fr-FR"/>
        </w:rPr>
      </w:pPr>
      <w:r w:rsidRPr="00BD74C5">
        <w:rPr>
          <w:lang w:val="fr-FR"/>
        </w:rPr>
        <w:t>Toute Partie contractante peut dénoncer le présent traité par une notification adressée au Directeur général de l</w:t>
      </w:r>
      <w:r w:rsidR="00402837" w:rsidRPr="00BD74C5">
        <w:rPr>
          <w:lang w:val="fr-FR"/>
        </w:rPr>
        <w:t>’</w:t>
      </w:r>
      <w:r w:rsidRPr="00BD74C5">
        <w:rPr>
          <w:lang w:val="fr-FR"/>
        </w:rPr>
        <w:t>O</w:t>
      </w:r>
      <w:r w:rsidR="00BD74C5" w:rsidRPr="00BD74C5">
        <w:rPr>
          <w:lang w:val="fr-FR"/>
        </w:rPr>
        <w:t>MPI.  La</w:t>
      </w:r>
      <w:r w:rsidRPr="00BD74C5">
        <w:rPr>
          <w:lang w:val="fr-FR"/>
        </w:rPr>
        <w:t xml:space="preserve"> dénonciation prend effet un an après la date à laquelle le Directeur général a reçu la notificati</w:t>
      </w:r>
      <w:r w:rsidR="00BD74C5" w:rsidRPr="00BD74C5">
        <w:rPr>
          <w:lang w:val="fr-FR"/>
        </w:rPr>
        <w:t xml:space="preserve">on.  </w:t>
      </w:r>
      <w:r w:rsidR="00BD74C5" w:rsidRPr="00BD74C5">
        <w:rPr>
          <w:color w:val="1A1A1A"/>
          <w:lang w:val="fr-FR"/>
        </w:rPr>
        <w:t>El</w:t>
      </w:r>
      <w:r w:rsidRPr="00BD74C5">
        <w:rPr>
          <w:color w:val="1A1A1A"/>
          <w:lang w:val="fr-FR"/>
        </w:rPr>
        <w:t>le n</w:t>
      </w:r>
      <w:r w:rsidR="00402837" w:rsidRPr="00BD74C5">
        <w:rPr>
          <w:color w:val="1A1A1A"/>
          <w:lang w:val="fr-FR"/>
        </w:rPr>
        <w:t>’</w:t>
      </w:r>
      <w:r w:rsidRPr="00BD74C5">
        <w:rPr>
          <w:color w:val="1A1A1A"/>
          <w:lang w:val="fr-FR"/>
        </w:rPr>
        <w:t>a aucune incidence sur l</w:t>
      </w:r>
      <w:r w:rsidR="00402837" w:rsidRPr="00BD74C5">
        <w:rPr>
          <w:color w:val="1A1A1A"/>
          <w:lang w:val="fr-FR"/>
        </w:rPr>
        <w:t>’</w:t>
      </w:r>
      <w:r w:rsidRPr="00BD74C5">
        <w:rPr>
          <w:color w:val="1A1A1A"/>
          <w:lang w:val="fr-FR"/>
        </w:rPr>
        <w:t>application du présent traité aux demandes de brevet qui sont en instance et aux brevets qui sont en vigueur, en ce qui concerne la Partie contractante en cause, au moment de la prise d</w:t>
      </w:r>
      <w:r w:rsidR="00402837" w:rsidRPr="00BD74C5">
        <w:rPr>
          <w:color w:val="1A1A1A"/>
          <w:lang w:val="fr-FR"/>
        </w:rPr>
        <w:t>’</w:t>
      </w:r>
      <w:r w:rsidRPr="00BD74C5">
        <w:rPr>
          <w:color w:val="1A1A1A"/>
          <w:lang w:val="fr-FR"/>
        </w:rPr>
        <w:t>effet de la dénonciation.</w:t>
      </w:r>
    </w:p>
    <w:p w14:paraId="7A6A0E13" w14:textId="77777777" w:rsidR="00802D2E" w:rsidRPr="00BD74C5" w:rsidRDefault="00802D2E" w:rsidP="002C5E24">
      <w:pPr>
        <w:tabs>
          <w:tab w:val="left" w:pos="567"/>
        </w:tabs>
        <w:spacing w:before="840"/>
        <w:jc w:val="center"/>
        <w:textAlignment w:val="baseline"/>
        <w:rPr>
          <w:rFonts w:eastAsia="Times New Roman"/>
          <w:b/>
          <w:lang w:val="fr-FR"/>
        </w:rPr>
      </w:pPr>
      <w:r w:rsidRPr="00BD74C5">
        <w:rPr>
          <w:b/>
          <w:lang w:val="fr-FR"/>
        </w:rPr>
        <w:t>ARTICLE 20</w:t>
      </w:r>
    </w:p>
    <w:p w14:paraId="51AAF493" w14:textId="77777777" w:rsidR="00802D2E" w:rsidRPr="00BD74C5" w:rsidRDefault="00802D2E" w:rsidP="002C5E24">
      <w:pPr>
        <w:tabs>
          <w:tab w:val="left" w:pos="567"/>
        </w:tabs>
        <w:spacing w:after="240"/>
        <w:jc w:val="center"/>
        <w:textAlignment w:val="baseline"/>
        <w:rPr>
          <w:rFonts w:eastAsia="Times New Roman"/>
          <w:b/>
          <w:lang w:val="fr-FR"/>
        </w:rPr>
      </w:pPr>
      <w:r w:rsidRPr="00BD74C5">
        <w:rPr>
          <w:b/>
          <w:lang w:val="fr-FR"/>
        </w:rPr>
        <w:t>RÉSERVES </w:t>
      </w:r>
    </w:p>
    <w:p w14:paraId="2675870B" w14:textId="64387594" w:rsidR="00802D2E" w:rsidRPr="00BD74C5" w:rsidRDefault="00802D2E" w:rsidP="002C5E24">
      <w:pPr>
        <w:tabs>
          <w:tab w:val="left" w:pos="567"/>
        </w:tabs>
        <w:spacing w:after="220"/>
        <w:textAlignment w:val="baseline"/>
        <w:rPr>
          <w:rFonts w:eastAsia="Times New Roman"/>
          <w:lang w:val="fr-FR"/>
        </w:rPr>
      </w:pPr>
      <w:r w:rsidRPr="00BD74C5">
        <w:rPr>
          <w:lang w:val="fr-FR"/>
        </w:rPr>
        <w:t xml:space="preserve">Aucune réserve </w:t>
      </w:r>
      <w:r w:rsidR="00100C8B">
        <w:rPr>
          <w:lang w:val="fr-FR"/>
        </w:rPr>
        <w:t>n’est admise</w:t>
      </w:r>
      <w:r w:rsidRPr="00BD74C5">
        <w:rPr>
          <w:lang w:val="fr-FR"/>
        </w:rPr>
        <w:t xml:space="preserve"> </w:t>
      </w:r>
      <w:r w:rsidR="00402837" w:rsidRPr="00BD74C5">
        <w:rPr>
          <w:lang w:val="fr-FR"/>
        </w:rPr>
        <w:t>à l’égard</w:t>
      </w:r>
      <w:r w:rsidRPr="00BD74C5">
        <w:rPr>
          <w:lang w:val="fr-FR"/>
        </w:rPr>
        <w:t xml:space="preserve"> du présent traité.</w:t>
      </w:r>
    </w:p>
    <w:p w14:paraId="05CA6A18" w14:textId="77777777" w:rsidR="00802D2E" w:rsidRPr="00BD74C5" w:rsidRDefault="00802D2E" w:rsidP="002C5E24">
      <w:pPr>
        <w:tabs>
          <w:tab w:val="left" w:pos="567"/>
        </w:tabs>
        <w:spacing w:before="840"/>
        <w:jc w:val="center"/>
        <w:textAlignment w:val="baseline"/>
        <w:rPr>
          <w:rFonts w:eastAsia="Times New Roman"/>
          <w:b/>
          <w:lang w:val="fr-FR"/>
        </w:rPr>
      </w:pPr>
      <w:r w:rsidRPr="00BD74C5">
        <w:rPr>
          <w:b/>
          <w:lang w:val="fr-FR"/>
        </w:rPr>
        <w:t>ARTICLE 21</w:t>
      </w:r>
    </w:p>
    <w:p w14:paraId="4154DDEE" w14:textId="77777777" w:rsidR="00802D2E" w:rsidRPr="00BD74C5" w:rsidRDefault="00802D2E" w:rsidP="002C5E24">
      <w:pPr>
        <w:tabs>
          <w:tab w:val="left" w:pos="567"/>
        </w:tabs>
        <w:spacing w:after="240"/>
        <w:jc w:val="center"/>
        <w:textAlignment w:val="baseline"/>
        <w:rPr>
          <w:b/>
          <w:lang w:val="fr-FR"/>
        </w:rPr>
      </w:pPr>
      <w:r w:rsidRPr="00BD74C5">
        <w:rPr>
          <w:b/>
          <w:lang w:val="fr-FR"/>
        </w:rPr>
        <w:t>LANGUES</w:t>
      </w:r>
    </w:p>
    <w:p w14:paraId="6FD2CAAD" w14:textId="77777777" w:rsidR="00802D2E" w:rsidRPr="00BD74C5" w:rsidRDefault="00802D2E" w:rsidP="002C5E24">
      <w:pPr>
        <w:tabs>
          <w:tab w:val="left" w:pos="567"/>
        </w:tabs>
        <w:spacing w:after="220"/>
        <w:textAlignment w:val="baseline"/>
        <w:rPr>
          <w:rFonts w:eastAsia="Times New Roman"/>
          <w:lang w:val="fr-FR"/>
        </w:rPr>
      </w:pPr>
      <w:r w:rsidRPr="00BD74C5">
        <w:rPr>
          <w:lang w:val="fr-FR"/>
        </w:rPr>
        <w:t>21.1</w:t>
      </w:r>
      <w:r w:rsidRPr="00BD74C5">
        <w:rPr>
          <w:lang w:val="fr-FR"/>
        </w:rPr>
        <w:tab/>
        <w:t xml:space="preserve">Le présent traité est signé en un seul exemplaire original en langues française, anglaise, arabe, chinoise, espagnole et russe, </w:t>
      </w:r>
      <w:r w:rsidRPr="00BD74C5">
        <w:rPr>
          <w:color w:val="000000" w:themeColor="text1"/>
          <w:lang w:val="fr-FR"/>
        </w:rPr>
        <w:t>tous ces textes faisant également foi</w:t>
      </w:r>
      <w:r w:rsidRPr="00BD74C5">
        <w:rPr>
          <w:lang w:val="fr-FR"/>
        </w:rPr>
        <w:t>.</w:t>
      </w:r>
    </w:p>
    <w:p w14:paraId="04B6392D" w14:textId="7BBF0003" w:rsidR="00802D2E" w:rsidRPr="00BD74C5" w:rsidRDefault="00802D2E" w:rsidP="002C5E24">
      <w:pPr>
        <w:tabs>
          <w:tab w:val="left" w:pos="567"/>
        </w:tabs>
        <w:spacing w:after="20"/>
        <w:textAlignment w:val="baseline"/>
        <w:rPr>
          <w:rFonts w:eastAsia="Times New Roman"/>
          <w:lang w:val="fr-FR"/>
        </w:rPr>
      </w:pPr>
      <w:r w:rsidRPr="00BD74C5">
        <w:rPr>
          <w:lang w:val="fr-FR"/>
        </w:rPr>
        <w:t>21.2</w:t>
      </w:r>
      <w:r w:rsidRPr="00BD74C5">
        <w:rPr>
          <w:lang w:val="fr-FR"/>
        </w:rPr>
        <w:tab/>
        <w:t>Un texte officiel dans une langue non visée à l</w:t>
      </w:r>
      <w:r w:rsidR="00402837" w:rsidRPr="00BD74C5">
        <w:rPr>
          <w:lang w:val="fr-FR"/>
        </w:rPr>
        <w:t>’</w:t>
      </w:r>
      <w:r w:rsidRPr="00BD74C5">
        <w:rPr>
          <w:lang w:val="fr-FR"/>
        </w:rPr>
        <w:t>article 21.1 est établi par le Directeur général de l</w:t>
      </w:r>
      <w:r w:rsidR="00402837" w:rsidRPr="00BD74C5">
        <w:rPr>
          <w:lang w:val="fr-FR"/>
        </w:rPr>
        <w:t>’</w:t>
      </w:r>
      <w:r w:rsidRPr="00BD74C5">
        <w:rPr>
          <w:lang w:val="fr-FR"/>
        </w:rPr>
        <w:t>OMPI, après consultation de toutes les parties intéressées, dans les autres langues que l</w:t>
      </w:r>
      <w:r w:rsidR="00402837" w:rsidRPr="00BD74C5">
        <w:rPr>
          <w:lang w:val="fr-FR"/>
        </w:rPr>
        <w:t>’</w:t>
      </w:r>
      <w:r w:rsidRPr="00BD74C5">
        <w:rPr>
          <w:lang w:val="fr-FR"/>
        </w:rPr>
        <w:t>Assemblée pourra indiqu</w:t>
      </w:r>
      <w:r w:rsidR="00BD74C5" w:rsidRPr="00BD74C5">
        <w:rPr>
          <w:lang w:val="fr-FR"/>
        </w:rPr>
        <w:t>er.  Au</w:t>
      </w:r>
      <w:r w:rsidRPr="00BD74C5">
        <w:rPr>
          <w:lang w:val="fr-FR"/>
        </w:rPr>
        <w:t>x fins du présent alinéa, on entend par “partie intéressée” toute Partie contractante dont la langue officielle ou l</w:t>
      </w:r>
      <w:r w:rsidR="00402837" w:rsidRPr="00BD74C5">
        <w:rPr>
          <w:lang w:val="fr-FR"/>
        </w:rPr>
        <w:t>’</w:t>
      </w:r>
      <w:r w:rsidRPr="00BD74C5">
        <w:rPr>
          <w:lang w:val="fr-FR"/>
        </w:rPr>
        <w:t>une des langues officielles est en cause.</w:t>
      </w:r>
    </w:p>
    <w:p w14:paraId="5DBC1D3B" w14:textId="77777777" w:rsidR="00802D2E" w:rsidRPr="00BD74C5" w:rsidRDefault="00802D2E" w:rsidP="002C5E24">
      <w:pPr>
        <w:tabs>
          <w:tab w:val="left" w:pos="567"/>
        </w:tabs>
        <w:spacing w:before="840"/>
        <w:jc w:val="center"/>
        <w:textAlignment w:val="baseline"/>
        <w:rPr>
          <w:b/>
          <w:lang w:val="fr-FR"/>
        </w:rPr>
      </w:pPr>
      <w:r w:rsidRPr="00BD74C5">
        <w:rPr>
          <w:b/>
          <w:lang w:val="fr-FR"/>
        </w:rPr>
        <w:t>ARTICLE 22  </w:t>
      </w:r>
    </w:p>
    <w:p w14:paraId="14BA4EE2" w14:textId="77777777" w:rsidR="00802D2E" w:rsidRPr="00BD74C5" w:rsidRDefault="00802D2E" w:rsidP="002C5E24">
      <w:pPr>
        <w:tabs>
          <w:tab w:val="left" w:pos="567"/>
        </w:tabs>
        <w:spacing w:after="240"/>
        <w:jc w:val="center"/>
        <w:textAlignment w:val="baseline"/>
        <w:rPr>
          <w:b/>
          <w:lang w:val="fr-FR"/>
        </w:rPr>
      </w:pPr>
      <w:r w:rsidRPr="00BD74C5">
        <w:rPr>
          <w:b/>
          <w:lang w:val="fr-FR"/>
        </w:rPr>
        <w:t>DÉPOSITAIRE </w:t>
      </w:r>
    </w:p>
    <w:p w14:paraId="4A70DD89" w14:textId="03233C87" w:rsidR="00802D2E" w:rsidRPr="00BD74C5" w:rsidRDefault="00802D2E" w:rsidP="002C5E24">
      <w:pPr>
        <w:tabs>
          <w:tab w:val="left" w:pos="567"/>
        </w:tabs>
        <w:spacing w:after="220"/>
        <w:textAlignment w:val="baseline"/>
        <w:rPr>
          <w:rFonts w:eastAsia="Times New Roman"/>
          <w:lang w:val="fr-FR"/>
        </w:rPr>
      </w:pPr>
      <w:r w:rsidRPr="00BD74C5">
        <w:rPr>
          <w:lang w:val="fr-FR"/>
        </w:rPr>
        <w:t>Le Directeur général de l</w:t>
      </w:r>
      <w:r w:rsidR="00402837" w:rsidRPr="00BD74C5">
        <w:rPr>
          <w:lang w:val="fr-FR"/>
        </w:rPr>
        <w:t>’</w:t>
      </w:r>
      <w:r w:rsidRPr="00BD74C5">
        <w:rPr>
          <w:lang w:val="fr-FR"/>
        </w:rPr>
        <w:t>OMPI est le dépositaire du présent traité.</w:t>
      </w:r>
    </w:p>
    <w:p w14:paraId="66EFBBC4" w14:textId="77777777" w:rsidR="00802D2E" w:rsidRPr="00BD74C5" w:rsidRDefault="00802D2E" w:rsidP="002C5E24">
      <w:pPr>
        <w:tabs>
          <w:tab w:val="left" w:pos="567"/>
        </w:tabs>
        <w:rPr>
          <w:lang w:val="fr-FR"/>
        </w:rPr>
      </w:pPr>
      <w:r w:rsidRPr="00BD74C5">
        <w:rPr>
          <w:lang w:val="fr-FR"/>
        </w:rPr>
        <w:t>Fait à …….  </w:t>
      </w:r>
    </w:p>
    <w:p w14:paraId="160336BB" w14:textId="77777777" w:rsidR="00802D2E" w:rsidRPr="00BD74C5" w:rsidRDefault="00802D2E" w:rsidP="00FB0644">
      <w:pPr>
        <w:pStyle w:val="Endofdocument-Annex"/>
        <w:spacing w:before="600"/>
      </w:pPr>
      <w:r w:rsidRPr="00BD74C5">
        <w:t>[Fin du document]</w:t>
      </w:r>
      <w:bookmarkEnd w:id="4"/>
    </w:p>
    <w:sectPr w:rsidR="00802D2E" w:rsidRPr="00BD74C5" w:rsidSect="002C5E2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DF5E" w14:textId="77777777" w:rsidR="00802D2E" w:rsidRDefault="00802D2E">
      <w:r>
        <w:separator/>
      </w:r>
    </w:p>
  </w:endnote>
  <w:endnote w:type="continuationSeparator" w:id="0">
    <w:p w14:paraId="345D9D23" w14:textId="77777777" w:rsidR="00802D2E" w:rsidRPr="009D30E6" w:rsidRDefault="00802D2E" w:rsidP="00D45252">
      <w:pPr>
        <w:rPr>
          <w:sz w:val="17"/>
          <w:szCs w:val="17"/>
        </w:rPr>
      </w:pPr>
      <w:r w:rsidRPr="009D30E6">
        <w:rPr>
          <w:sz w:val="17"/>
          <w:szCs w:val="17"/>
        </w:rPr>
        <w:separator/>
      </w:r>
    </w:p>
    <w:p w14:paraId="0662168B" w14:textId="77777777" w:rsidR="00802D2E" w:rsidRPr="009D30E6" w:rsidRDefault="00802D2E" w:rsidP="00D45252">
      <w:pPr>
        <w:spacing w:after="60"/>
        <w:rPr>
          <w:sz w:val="17"/>
          <w:szCs w:val="17"/>
        </w:rPr>
      </w:pPr>
      <w:r w:rsidRPr="009D30E6">
        <w:rPr>
          <w:sz w:val="17"/>
          <w:szCs w:val="17"/>
        </w:rPr>
        <w:t>[Suite de la note de la page précédente]</w:t>
      </w:r>
    </w:p>
  </w:endnote>
  <w:endnote w:type="continuationNotice" w:id="1">
    <w:p w14:paraId="4829ED70" w14:textId="77777777" w:rsidR="00802D2E" w:rsidRPr="009D30E6" w:rsidRDefault="00802D2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63B7" w14:textId="77777777" w:rsidR="00802D2E" w:rsidRDefault="00802D2E">
      <w:r>
        <w:separator/>
      </w:r>
    </w:p>
  </w:footnote>
  <w:footnote w:type="continuationSeparator" w:id="0">
    <w:p w14:paraId="575516E1" w14:textId="77777777" w:rsidR="00802D2E" w:rsidRDefault="00802D2E" w:rsidP="007461F1">
      <w:r>
        <w:separator/>
      </w:r>
    </w:p>
    <w:p w14:paraId="765BAAC6" w14:textId="77777777" w:rsidR="00802D2E" w:rsidRPr="009D30E6" w:rsidRDefault="00802D2E" w:rsidP="007461F1">
      <w:pPr>
        <w:spacing w:after="60"/>
        <w:rPr>
          <w:sz w:val="17"/>
          <w:szCs w:val="17"/>
        </w:rPr>
      </w:pPr>
      <w:r w:rsidRPr="009D30E6">
        <w:rPr>
          <w:sz w:val="17"/>
          <w:szCs w:val="17"/>
        </w:rPr>
        <w:t>[Suite de la note de la page précédente]</w:t>
      </w:r>
    </w:p>
  </w:footnote>
  <w:footnote w:type="continuationNotice" w:id="1">
    <w:p w14:paraId="3DFCB277" w14:textId="77777777" w:rsidR="00802D2E" w:rsidRPr="009D30E6" w:rsidRDefault="00802D2E" w:rsidP="007461F1">
      <w:pPr>
        <w:spacing w:before="60"/>
        <w:jc w:val="right"/>
        <w:rPr>
          <w:sz w:val="17"/>
          <w:szCs w:val="17"/>
        </w:rPr>
      </w:pPr>
      <w:r w:rsidRPr="009D30E6">
        <w:rPr>
          <w:sz w:val="17"/>
          <w:szCs w:val="17"/>
        </w:rPr>
        <w:t>[Suite de la note page suivante]</w:t>
      </w:r>
    </w:p>
  </w:footnote>
  <w:footnote w:id="2">
    <w:p w14:paraId="14576653" w14:textId="7D41AF65" w:rsidR="00802D2E" w:rsidRPr="002859FE" w:rsidRDefault="00802D2E" w:rsidP="00802D2E">
      <w:pPr>
        <w:tabs>
          <w:tab w:val="left" w:pos="567"/>
        </w:tabs>
        <w:rPr>
          <w:sz w:val="18"/>
          <w:szCs w:val="18"/>
        </w:rPr>
      </w:pPr>
      <w:r w:rsidRPr="002859FE">
        <w:rPr>
          <w:rStyle w:val="FootnoteReference"/>
          <w:szCs w:val="18"/>
        </w:rPr>
        <w:footnoteRef/>
      </w:r>
      <w:r w:rsidRPr="002859FE">
        <w:rPr>
          <w:sz w:val="18"/>
          <w:szCs w:val="18"/>
        </w:rPr>
        <w:t xml:space="preserve"> </w:t>
      </w:r>
      <w:r w:rsidRPr="002859FE">
        <w:rPr>
          <w:sz w:val="18"/>
          <w:szCs w:val="18"/>
        </w:rPr>
        <w:tab/>
        <w:t>La définition des “ressources génétiques”, conformément à l</w:t>
      </w:r>
      <w:r w:rsidR="00A96656">
        <w:rPr>
          <w:sz w:val="18"/>
          <w:szCs w:val="18"/>
        </w:rPr>
        <w:t>’</w:t>
      </w:r>
      <w:r w:rsidRPr="002859FE">
        <w:rPr>
          <w:sz w:val="18"/>
          <w:szCs w:val="18"/>
        </w:rPr>
        <w:t>interprétation du terme dans le contexte de la Convention sur la diversité biologique, n</w:t>
      </w:r>
      <w:r w:rsidR="00A96656">
        <w:rPr>
          <w:sz w:val="18"/>
          <w:szCs w:val="18"/>
        </w:rPr>
        <w:t>’</w:t>
      </w:r>
      <w:r w:rsidRPr="002859FE">
        <w:rPr>
          <w:sz w:val="18"/>
          <w:szCs w:val="18"/>
        </w:rPr>
        <w:t>englobe pas les “ressources génétiques humaines”.</w:t>
      </w:r>
    </w:p>
  </w:footnote>
  <w:footnote w:id="3">
    <w:p w14:paraId="77FD2F14" w14:textId="47C90DB8" w:rsidR="00802D2E" w:rsidRDefault="00802D2E" w:rsidP="00802D2E">
      <w:pPr>
        <w:pStyle w:val="FootnoteText"/>
      </w:pPr>
      <w:r>
        <w:rPr>
          <w:rStyle w:val="FootnoteReference"/>
        </w:rPr>
        <w:footnoteRef/>
      </w:r>
      <w:r>
        <w:t xml:space="preserve"> </w:t>
      </w:r>
      <w:r w:rsidR="00407582">
        <w:tab/>
      </w:r>
      <w:r w:rsidRPr="000E3CBE">
        <w:rPr>
          <w:szCs w:val="18"/>
        </w:rPr>
        <w:t>Déclaration commune</w:t>
      </w:r>
      <w:r w:rsidR="00A96656">
        <w:rPr>
          <w:szCs w:val="18"/>
        </w:rPr>
        <w:t> :</w:t>
      </w:r>
      <w:r w:rsidRPr="000E3CBE">
        <w:rPr>
          <w:szCs w:val="18"/>
        </w:rPr>
        <w:t xml:space="preserve"> Dans les cas où il </w:t>
      </w:r>
      <w:r>
        <w:rPr>
          <w:szCs w:val="18"/>
        </w:rPr>
        <w:t>existe</w:t>
      </w:r>
      <w:r w:rsidRPr="000E3CBE">
        <w:rPr>
          <w:szCs w:val="18"/>
        </w:rPr>
        <w:t xml:space="preserve"> plus</w:t>
      </w:r>
      <w:r>
        <w:rPr>
          <w:szCs w:val="18"/>
        </w:rPr>
        <w:t>ieurs</w:t>
      </w:r>
      <w:r w:rsidRPr="000E3CBE">
        <w:rPr>
          <w:szCs w:val="18"/>
        </w:rPr>
        <w:t xml:space="preserve"> pays d</w:t>
      </w:r>
      <w:r w:rsidR="00A96656">
        <w:rPr>
          <w:szCs w:val="18"/>
        </w:rPr>
        <w:t>’</w:t>
      </w:r>
      <w:r w:rsidRPr="000E3CBE">
        <w:rPr>
          <w:szCs w:val="18"/>
        </w:rPr>
        <w:t xml:space="preserve">origine, le </w:t>
      </w:r>
      <w:r>
        <w:rPr>
          <w:szCs w:val="18"/>
        </w:rPr>
        <w:t>déposant</w:t>
      </w:r>
      <w:r w:rsidRPr="000E3CBE">
        <w:rPr>
          <w:szCs w:val="18"/>
        </w:rPr>
        <w:t xml:space="preserve"> doit indiquer le pays d</w:t>
      </w:r>
      <w:r w:rsidR="00A96656">
        <w:rPr>
          <w:szCs w:val="18"/>
        </w:rPr>
        <w:t>’</w:t>
      </w:r>
      <w:r w:rsidRPr="000E3CBE">
        <w:rPr>
          <w:szCs w:val="18"/>
        </w:rPr>
        <w:t>origine à partir duquel les ressources génétiques ont été effectivement obtenues.</w:t>
      </w:r>
    </w:p>
  </w:footnote>
  <w:footnote w:id="4">
    <w:p w14:paraId="4704038F" w14:textId="4EC29980" w:rsidR="00802D2E" w:rsidRPr="00472939" w:rsidRDefault="00802D2E" w:rsidP="00802D2E">
      <w:pPr>
        <w:pStyle w:val="FootnoteText"/>
        <w:rPr>
          <w:szCs w:val="18"/>
        </w:rPr>
      </w:pPr>
      <w:r w:rsidRPr="00472939">
        <w:rPr>
          <w:rStyle w:val="FootnoteReference"/>
          <w:szCs w:val="18"/>
        </w:rPr>
        <w:footnoteRef/>
      </w:r>
      <w:r w:rsidRPr="00472939">
        <w:rPr>
          <w:szCs w:val="18"/>
        </w:rPr>
        <w:t xml:space="preserve"> </w:t>
      </w:r>
      <w:r w:rsidR="00407582">
        <w:rPr>
          <w:szCs w:val="18"/>
        </w:rPr>
        <w:tab/>
      </w:r>
      <w:r w:rsidRPr="00447095">
        <w:rPr>
          <w:szCs w:val="18"/>
        </w:rPr>
        <w:t>Déclaration commune</w:t>
      </w:r>
      <w:r w:rsidR="00A96656">
        <w:rPr>
          <w:szCs w:val="18"/>
        </w:rPr>
        <w:t> :</w:t>
      </w:r>
      <w:r w:rsidRPr="00447095">
        <w:rPr>
          <w:szCs w:val="18"/>
        </w:rPr>
        <w:t xml:space="preserve"> Il est entendu que l</w:t>
      </w:r>
      <w:r w:rsidR="00A96656">
        <w:rPr>
          <w:szCs w:val="18"/>
        </w:rPr>
        <w:t>’</w:t>
      </w:r>
      <w:r w:rsidRPr="00447095">
        <w:rPr>
          <w:szCs w:val="18"/>
        </w:rPr>
        <w:t xml:space="preserve">expression </w:t>
      </w:r>
      <w:r w:rsidR="00A96656">
        <w:rPr>
          <w:szCs w:val="18"/>
        </w:rPr>
        <w:t>“</w:t>
      </w:r>
      <w:r>
        <w:rPr>
          <w:szCs w:val="18"/>
        </w:rPr>
        <w:t xml:space="preserve"> </w:t>
      </w:r>
      <w:r w:rsidRPr="00447095">
        <w:rPr>
          <w:szCs w:val="18"/>
        </w:rPr>
        <w:t>le ca</w:t>
      </w:r>
      <w:r w:rsidR="00A96656" w:rsidRPr="00447095">
        <w:rPr>
          <w:szCs w:val="18"/>
        </w:rPr>
        <w:t>s</w:t>
      </w:r>
      <w:r w:rsidR="00A82A6E">
        <w:rPr>
          <w:szCs w:val="18"/>
        </w:rPr>
        <w:t xml:space="preserve"> échéant</w:t>
      </w:r>
      <w:r w:rsidR="00A96656">
        <w:rPr>
          <w:szCs w:val="18"/>
        </w:rPr>
        <w:t>”</w:t>
      </w:r>
      <w:r w:rsidRPr="00447095">
        <w:rPr>
          <w:szCs w:val="18"/>
        </w:rPr>
        <w:t xml:space="preserve"> figurant à l</w:t>
      </w:r>
      <w:r w:rsidR="00A96656">
        <w:rPr>
          <w:szCs w:val="18"/>
        </w:rPr>
        <w:t>’</w:t>
      </w:r>
      <w:r w:rsidRPr="00447095">
        <w:rPr>
          <w:szCs w:val="18"/>
        </w:rPr>
        <w:t>article</w:t>
      </w:r>
      <w:r>
        <w:rPr>
          <w:szCs w:val="18"/>
        </w:rPr>
        <w:t> </w:t>
      </w:r>
      <w:r w:rsidRPr="00447095">
        <w:rPr>
          <w:szCs w:val="18"/>
        </w:rPr>
        <w:t xml:space="preserve">3.2.a) ne doit pas être interprétée comme donnant aux </w:t>
      </w:r>
      <w:r>
        <w:rPr>
          <w:szCs w:val="18"/>
        </w:rPr>
        <w:t>P</w:t>
      </w:r>
      <w:r w:rsidRPr="00447095">
        <w:rPr>
          <w:szCs w:val="18"/>
        </w:rPr>
        <w:t>arties contractantes la possibilité de ne pas exiger des déposants qu</w:t>
      </w:r>
      <w:r w:rsidR="00A96656">
        <w:rPr>
          <w:szCs w:val="18"/>
        </w:rPr>
        <w:t>’</w:t>
      </w:r>
      <w:r w:rsidRPr="00447095">
        <w:rPr>
          <w:szCs w:val="18"/>
        </w:rPr>
        <w:t>ils communiquent les informations requises à l</w:t>
      </w:r>
      <w:r w:rsidR="00A96656">
        <w:rPr>
          <w:szCs w:val="18"/>
        </w:rPr>
        <w:t>’</w:t>
      </w:r>
      <w:r w:rsidRPr="00447095">
        <w:rPr>
          <w:szCs w:val="18"/>
        </w:rPr>
        <w:t>article</w:t>
      </w:r>
      <w:r>
        <w:rPr>
          <w:szCs w:val="18"/>
        </w:rPr>
        <w:t> </w:t>
      </w:r>
      <w:r w:rsidRPr="00447095">
        <w:rPr>
          <w:szCs w:val="18"/>
        </w:rPr>
        <w:t>3.2.a).  Il est entendu que l</w:t>
      </w:r>
      <w:r w:rsidR="00A96656">
        <w:rPr>
          <w:szCs w:val="18"/>
        </w:rPr>
        <w:t>’</w:t>
      </w:r>
      <w:r w:rsidRPr="00447095">
        <w:rPr>
          <w:szCs w:val="18"/>
        </w:rPr>
        <w:t>article</w:t>
      </w:r>
      <w:r>
        <w:rPr>
          <w:szCs w:val="18"/>
        </w:rPr>
        <w:t> </w:t>
      </w:r>
      <w:r w:rsidRPr="00447095">
        <w:rPr>
          <w:szCs w:val="18"/>
        </w:rPr>
        <w:t>3.2</w:t>
      </w:r>
      <w:r>
        <w:rPr>
          <w:szCs w:val="18"/>
        </w:rPr>
        <w:t>.a)</w:t>
      </w:r>
      <w:r w:rsidRPr="00447095">
        <w:rPr>
          <w:szCs w:val="18"/>
        </w:rPr>
        <w:t xml:space="preserve"> sera mis en œuvre sans </w:t>
      </w:r>
      <w:r>
        <w:rPr>
          <w:szCs w:val="18"/>
        </w:rPr>
        <w:t>avoir d</w:t>
      </w:r>
      <w:r w:rsidR="00A96656">
        <w:rPr>
          <w:szCs w:val="18"/>
        </w:rPr>
        <w:t>’</w:t>
      </w:r>
      <w:r>
        <w:rPr>
          <w:szCs w:val="18"/>
        </w:rPr>
        <w:t xml:space="preserve">effet sur </w:t>
      </w:r>
      <w:r w:rsidR="00A82A6E">
        <w:rPr>
          <w:szCs w:val="18"/>
        </w:rPr>
        <w:t>la portée</w:t>
      </w:r>
      <w:r w:rsidRPr="00447095">
        <w:rPr>
          <w:szCs w:val="18"/>
        </w:rPr>
        <w:t xml:space="preserve"> de l</w:t>
      </w:r>
      <w:r w:rsidR="00A96656">
        <w:rPr>
          <w:szCs w:val="18"/>
        </w:rPr>
        <w:t>’</w:t>
      </w:r>
      <w:r>
        <w:rPr>
          <w:szCs w:val="18"/>
        </w:rPr>
        <w:t>exigence</w:t>
      </w:r>
      <w:r w:rsidRPr="00447095">
        <w:rPr>
          <w:szCs w:val="18"/>
        </w:rPr>
        <w:t xml:space="preserve"> de divulgation prévue à l</w:t>
      </w:r>
      <w:r w:rsidR="00A96656">
        <w:rPr>
          <w:szCs w:val="18"/>
        </w:rPr>
        <w:t>’</w:t>
      </w:r>
      <w:r w:rsidRPr="00447095">
        <w:rPr>
          <w:szCs w:val="18"/>
        </w:rPr>
        <w:t>article</w:t>
      </w:r>
      <w:r>
        <w:rPr>
          <w:szCs w:val="18"/>
        </w:rPr>
        <w:t> </w:t>
      </w:r>
      <w:r w:rsidRPr="00447095">
        <w:rPr>
          <w:szCs w:val="18"/>
        </w:rPr>
        <w:t>3.</w:t>
      </w:r>
    </w:p>
  </w:footnote>
  <w:footnote w:id="5">
    <w:p w14:paraId="00095101" w14:textId="74C97B8B" w:rsidR="00802D2E" w:rsidRPr="00DF18B1" w:rsidRDefault="00802D2E" w:rsidP="00802D2E">
      <w:pPr>
        <w:pStyle w:val="FootnoteText"/>
        <w:rPr>
          <w:szCs w:val="18"/>
        </w:rPr>
      </w:pPr>
      <w:r w:rsidRPr="00DF18B1">
        <w:rPr>
          <w:rStyle w:val="FootnoteReference"/>
          <w:szCs w:val="18"/>
        </w:rPr>
        <w:footnoteRef/>
      </w:r>
      <w:r w:rsidRPr="00DF18B1">
        <w:rPr>
          <w:szCs w:val="18"/>
        </w:rPr>
        <w:t xml:space="preserve"> </w:t>
      </w:r>
      <w:r w:rsidRPr="00DF18B1">
        <w:rPr>
          <w:szCs w:val="18"/>
        </w:rPr>
        <w:tab/>
        <w:t>Déclaration commune</w:t>
      </w:r>
      <w:r w:rsidR="00A96656">
        <w:rPr>
          <w:szCs w:val="18"/>
        </w:rPr>
        <w:t> :</w:t>
      </w:r>
      <w:r w:rsidRPr="00DF18B1">
        <w:rPr>
          <w:szCs w:val="18"/>
        </w:rPr>
        <w:t xml:space="preserve"> </w:t>
      </w:r>
      <w:r w:rsidRPr="00DF18B1">
        <w:rPr>
          <w:color w:val="000000"/>
          <w:szCs w:val="18"/>
        </w:rPr>
        <w:t xml:space="preserve">Les </w:t>
      </w:r>
      <w:r>
        <w:rPr>
          <w:color w:val="000000"/>
          <w:szCs w:val="18"/>
        </w:rPr>
        <w:t>Parties contractantes</w:t>
      </w:r>
      <w:r w:rsidRPr="00DF18B1">
        <w:rPr>
          <w:color w:val="000000"/>
          <w:szCs w:val="18"/>
        </w:rPr>
        <w:t xml:space="preserve"> demandent à l</w:t>
      </w:r>
      <w:r w:rsidR="00A96656">
        <w:rPr>
          <w:color w:val="000000"/>
          <w:szCs w:val="18"/>
        </w:rPr>
        <w:t>’</w:t>
      </w:r>
      <w:r w:rsidRPr="00DF18B1">
        <w:rPr>
          <w:color w:val="000000"/>
          <w:szCs w:val="18"/>
        </w:rPr>
        <w:t>Assemblée de l</w:t>
      </w:r>
      <w:r w:rsidR="00A96656">
        <w:rPr>
          <w:color w:val="000000"/>
          <w:szCs w:val="18"/>
        </w:rPr>
        <w:t>’</w:t>
      </w:r>
      <w:r w:rsidRPr="00DF18B1">
        <w:rPr>
          <w:color w:val="000000"/>
          <w:szCs w:val="18"/>
        </w:rPr>
        <w:t>Union internationale de coopération en matière de brevets d</w:t>
      </w:r>
      <w:r w:rsidR="00A96656">
        <w:rPr>
          <w:color w:val="000000"/>
          <w:szCs w:val="18"/>
        </w:rPr>
        <w:t>’</w:t>
      </w:r>
      <w:r w:rsidRPr="00DF18B1">
        <w:rPr>
          <w:color w:val="000000"/>
          <w:szCs w:val="18"/>
        </w:rPr>
        <w:t>examiner la nécessité de modifier le règlement d</w:t>
      </w:r>
      <w:r w:rsidR="00A96656">
        <w:rPr>
          <w:color w:val="000000"/>
          <w:szCs w:val="18"/>
        </w:rPr>
        <w:t>’</w:t>
      </w:r>
      <w:r w:rsidRPr="00DF18B1">
        <w:rPr>
          <w:color w:val="000000"/>
          <w:szCs w:val="18"/>
        </w:rPr>
        <w:t>exécution du PCT et/ou les instructions administratives y relatives afin de permettre aux déposants qui déposent une demande internationale selon le PCT désignant un État contractant du PCT qui, en vertu de sa législation nationale applicable, exige la divulgation des ressources génétiques et des savoirs traditionnels associés</w:t>
      </w:r>
      <w:r>
        <w:rPr>
          <w:color w:val="000000"/>
          <w:szCs w:val="18"/>
        </w:rPr>
        <w:t xml:space="preserve"> aux </w:t>
      </w:r>
      <w:r w:rsidRPr="00DF18B1">
        <w:rPr>
          <w:color w:val="000000"/>
          <w:szCs w:val="18"/>
        </w:rPr>
        <w:t>ressources génétiques, de remplir toutes les formalités liées à cette exigence de divulgation soit au moment du dépôt de la demande internationale, avec effet pour tous ces États contractants, soit ultérieurement, lors de l</w:t>
      </w:r>
      <w:r w:rsidR="00A96656">
        <w:rPr>
          <w:color w:val="000000"/>
          <w:szCs w:val="18"/>
        </w:rPr>
        <w:t>’</w:t>
      </w:r>
      <w:r w:rsidRPr="00DF18B1">
        <w:rPr>
          <w:color w:val="000000"/>
          <w:szCs w:val="18"/>
        </w:rPr>
        <w:t>ouverture de la phase nationale devant un office de l</w:t>
      </w:r>
      <w:r w:rsidR="00A96656">
        <w:rPr>
          <w:color w:val="000000"/>
          <w:szCs w:val="18"/>
        </w:rPr>
        <w:t>’</w:t>
      </w:r>
      <w:r w:rsidRPr="00DF18B1">
        <w:rPr>
          <w:color w:val="000000"/>
          <w:szCs w:val="18"/>
        </w:rPr>
        <w:t>un quelconque de ces États contractants.</w:t>
      </w:r>
    </w:p>
  </w:footnote>
  <w:footnote w:id="6">
    <w:p w14:paraId="007554DB" w14:textId="6B8F8861" w:rsidR="00802D2E" w:rsidRDefault="00802D2E" w:rsidP="00802D2E">
      <w:pPr>
        <w:pStyle w:val="FootnoteText"/>
      </w:pPr>
      <w:r>
        <w:rPr>
          <w:rStyle w:val="FootnoteReference"/>
        </w:rPr>
        <w:footnoteRef/>
      </w:r>
      <w:r>
        <w:t xml:space="preserve"> </w:t>
      </w:r>
      <w:r>
        <w:tab/>
      </w:r>
      <w:r w:rsidRPr="00317E00">
        <w:rPr>
          <w:szCs w:val="18"/>
        </w:rPr>
        <w:t>Aucune disposition du présent traité n</w:t>
      </w:r>
      <w:r w:rsidR="00A96656">
        <w:rPr>
          <w:szCs w:val="18"/>
        </w:rPr>
        <w:t>’</w:t>
      </w:r>
      <w:r>
        <w:rPr>
          <w:szCs w:val="18"/>
        </w:rPr>
        <w:t>emporte</w:t>
      </w:r>
      <w:r w:rsidRPr="00317E00">
        <w:rPr>
          <w:szCs w:val="18"/>
        </w:rPr>
        <w:t xml:space="preserve"> dérog</w:t>
      </w:r>
      <w:r>
        <w:rPr>
          <w:szCs w:val="18"/>
        </w:rPr>
        <w:t>ation</w:t>
      </w:r>
      <w:r w:rsidRPr="00317E00">
        <w:rPr>
          <w:szCs w:val="18"/>
        </w:rPr>
        <w:t xml:space="preserve"> </w:t>
      </w:r>
      <w:r>
        <w:rPr>
          <w:szCs w:val="18"/>
        </w:rPr>
        <w:t>aux dispositions</w:t>
      </w:r>
      <w:r w:rsidRPr="00317E00">
        <w:rPr>
          <w:szCs w:val="18"/>
        </w:rPr>
        <w:t xml:space="preserve"> </w:t>
      </w:r>
      <w:r>
        <w:rPr>
          <w:szCs w:val="18"/>
        </w:rPr>
        <w:t>d</w:t>
      </w:r>
      <w:r w:rsidR="00A96656">
        <w:rPr>
          <w:szCs w:val="18"/>
        </w:rPr>
        <w:t>’</w:t>
      </w:r>
      <w:r w:rsidRPr="00317E00">
        <w:rPr>
          <w:szCs w:val="18"/>
        </w:rPr>
        <w:t>un autre accord international ni ne le</w:t>
      </w:r>
      <w:r>
        <w:rPr>
          <w:szCs w:val="18"/>
        </w:rPr>
        <w:t>s</w:t>
      </w:r>
      <w:r w:rsidRPr="00317E00">
        <w:rPr>
          <w:szCs w:val="18"/>
        </w:rPr>
        <w:t xml:space="preserve"> modifie.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EA20" w14:textId="6F72E535" w:rsidR="00F16975" w:rsidRDefault="00802D2E" w:rsidP="00477D6B">
    <w:pPr>
      <w:jc w:val="right"/>
    </w:pPr>
    <w:bookmarkStart w:id="5" w:name="Code2"/>
    <w:bookmarkEnd w:id="5"/>
    <w:r>
      <w:t>GRATK/DC/7</w:t>
    </w:r>
  </w:p>
  <w:p w14:paraId="20992319" w14:textId="7A4934FC" w:rsidR="004F4E31" w:rsidRDefault="00F16975" w:rsidP="004E34DA">
    <w:pPr>
      <w:spacing w:after="480"/>
      <w:jc w:val="right"/>
    </w:pPr>
    <w:proofErr w:type="gramStart"/>
    <w:r>
      <w:t>page</w:t>
    </w:r>
    <w:proofErr w:type="gramEnd"/>
    <w:r w:rsidR="004E34D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655C1E"/>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5" w15:restartNumberingAfterBreak="0">
    <w:nsid w:val="40413104"/>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6" w15:restartNumberingAfterBreak="0">
    <w:nsid w:val="42742C51"/>
    <w:multiLevelType w:val="hybridMultilevel"/>
    <w:tmpl w:val="CC7679D6"/>
    <w:lvl w:ilvl="0" w:tplc="E9AE7B06">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E01815"/>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E138D1"/>
    <w:multiLevelType w:val="hybridMultilevel"/>
    <w:tmpl w:val="F7BA3DA4"/>
    <w:lvl w:ilvl="0" w:tplc="3468E5B8">
      <w:start w:val="1"/>
      <w:numFmt w:val="lowerLetter"/>
      <w:lvlText w:val="%1)"/>
      <w:lvlJc w:val="left"/>
      <w:pPr>
        <w:ind w:left="1170" w:hanging="630"/>
      </w:pPr>
      <w:rPr>
        <w:rFonts w:ascii="Arial" w:hAnsi="Arial" w:cs="Arial" w:hint="default"/>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5E87AF4"/>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12" w15:restartNumberingAfterBreak="0">
    <w:nsid w:val="7C04012E"/>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num w:numId="1" w16cid:durableId="1257399781">
    <w:abstractNumId w:val="2"/>
  </w:num>
  <w:num w:numId="2" w16cid:durableId="1014039840">
    <w:abstractNumId w:val="7"/>
  </w:num>
  <w:num w:numId="3" w16cid:durableId="1132333862">
    <w:abstractNumId w:val="0"/>
  </w:num>
  <w:num w:numId="4" w16cid:durableId="1421565133">
    <w:abstractNumId w:val="9"/>
  </w:num>
  <w:num w:numId="5" w16cid:durableId="206455872">
    <w:abstractNumId w:val="1"/>
  </w:num>
  <w:num w:numId="6" w16cid:durableId="926306198">
    <w:abstractNumId w:val="3"/>
  </w:num>
  <w:num w:numId="7" w16cid:durableId="1512796334">
    <w:abstractNumId w:val="6"/>
  </w:num>
  <w:num w:numId="8" w16cid:durableId="434635323">
    <w:abstractNumId w:val="10"/>
  </w:num>
  <w:num w:numId="9" w16cid:durableId="1077941284">
    <w:abstractNumId w:val="5"/>
  </w:num>
  <w:num w:numId="10" w16cid:durableId="1419129611">
    <w:abstractNumId w:val="11"/>
  </w:num>
  <w:num w:numId="11" w16cid:durableId="1914851109">
    <w:abstractNumId w:val="12"/>
  </w:num>
  <w:num w:numId="12" w16cid:durableId="320086244">
    <w:abstractNumId w:val="4"/>
  </w:num>
  <w:num w:numId="13" w16cid:durableId="249895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2E"/>
    <w:rsid w:val="00011B7D"/>
    <w:rsid w:val="000147EF"/>
    <w:rsid w:val="000215A8"/>
    <w:rsid w:val="000404CE"/>
    <w:rsid w:val="00075432"/>
    <w:rsid w:val="000F5E56"/>
    <w:rsid w:val="00100C8B"/>
    <w:rsid w:val="001362EE"/>
    <w:rsid w:val="001832A6"/>
    <w:rsid w:val="00195C6E"/>
    <w:rsid w:val="001B266A"/>
    <w:rsid w:val="001D3D56"/>
    <w:rsid w:val="00240654"/>
    <w:rsid w:val="002634C4"/>
    <w:rsid w:val="002944AD"/>
    <w:rsid w:val="002C5E24"/>
    <w:rsid w:val="002D4918"/>
    <w:rsid w:val="002E4D1A"/>
    <w:rsid w:val="002F16BC"/>
    <w:rsid w:val="002F4E68"/>
    <w:rsid w:val="00315FCA"/>
    <w:rsid w:val="00370764"/>
    <w:rsid w:val="003845C1"/>
    <w:rsid w:val="003A1BCD"/>
    <w:rsid w:val="004008A2"/>
    <w:rsid w:val="004025DF"/>
    <w:rsid w:val="00402837"/>
    <w:rsid w:val="00407582"/>
    <w:rsid w:val="00423E3E"/>
    <w:rsid w:val="00427AF4"/>
    <w:rsid w:val="004647DA"/>
    <w:rsid w:val="00477D6B"/>
    <w:rsid w:val="004D6471"/>
    <w:rsid w:val="004E34DA"/>
    <w:rsid w:val="004F4E31"/>
    <w:rsid w:val="00525B63"/>
    <w:rsid w:val="0053211B"/>
    <w:rsid w:val="005323B0"/>
    <w:rsid w:val="00547476"/>
    <w:rsid w:val="00561DB8"/>
    <w:rsid w:val="00567A4C"/>
    <w:rsid w:val="005E6516"/>
    <w:rsid w:val="00605827"/>
    <w:rsid w:val="00676936"/>
    <w:rsid w:val="006A283D"/>
    <w:rsid w:val="006B0DB5"/>
    <w:rsid w:val="006E4243"/>
    <w:rsid w:val="007461F1"/>
    <w:rsid w:val="007C1928"/>
    <w:rsid w:val="007D6961"/>
    <w:rsid w:val="007F07CB"/>
    <w:rsid w:val="00802D2E"/>
    <w:rsid w:val="008052EE"/>
    <w:rsid w:val="00810CEF"/>
    <w:rsid w:val="0081208D"/>
    <w:rsid w:val="00842A13"/>
    <w:rsid w:val="00870BB7"/>
    <w:rsid w:val="00872ED3"/>
    <w:rsid w:val="008B2CC1"/>
    <w:rsid w:val="008E7930"/>
    <w:rsid w:val="0090731E"/>
    <w:rsid w:val="00966A22"/>
    <w:rsid w:val="00967B86"/>
    <w:rsid w:val="00974CD6"/>
    <w:rsid w:val="009A2DFF"/>
    <w:rsid w:val="009D30E6"/>
    <w:rsid w:val="009E3F6F"/>
    <w:rsid w:val="009F499F"/>
    <w:rsid w:val="00A02BD3"/>
    <w:rsid w:val="00A82A6E"/>
    <w:rsid w:val="00A96656"/>
    <w:rsid w:val="00AA1F20"/>
    <w:rsid w:val="00AC0AE4"/>
    <w:rsid w:val="00AD61DB"/>
    <w:rsid w:val="00B87BCF"/>
    <w:rsid w:val="00BA62D4"/>
    <w:rsid w:val="00BB1952"/>
    <w:rsid w:val="00BD74C5"/>
    <w:rsid w:val="00C40E15"/>
    <w:rsid w:val="00C664C8"/>
    <w:rsid w:val="00C76A79"/>
    <w:rsid w:val="00CA15F5"/>
    <w:rsid w:val="00CF0460"/>
    <w:rsid w:val="00D37B53"/>
    <w:rsid w:val="00D45252"/>
    <w:rsid w:val="00D71B4D"/>
    <w:rsid w:val="00D75C1E"/>
    <w:rsid w:val="00D85C40"/>
    <w:rsid w:val="00D93D55"/>
    <w:rsid w:val="00DB0349"/>
    <w:rsid w:val="00DD6A16"/>
    <w:rsid w:val="00E0091A"/>
    <w:rsid w:val="00E203AA"/>
    <w:rsid w:val="00E527A5"/>
    <w:rsid w:val="00E76456"/>
    <w:rsid w:val="00EB0BA1"/>
    <w:rsid w:val="00EE71CB"/>
    <w:rsid w:val="00F16975"/>
    <w:rsid w:val="00F66152"/>
    <w:rsid w:val="00FB0644"/>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B83D8"/>
  <w15:docId w15:val="{DA4670DE-89B2-4C95-849C-F8C3E555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407582"/>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802D2E"/>
    <w:pPr>
      <w:spacing w:after="200" w:line="276" w:lineRule="auto"/>
      <w:ind w:left="720"/>
    </w:pPr>
    <w:rPr>
      <w:rFonts w:ascii="Calibri" w:eastAsia="Times New Roman" w:hAnsi="Calibri" w:cs="Times New Roman"/>
      <w:szCs w:val="22"/>
      <w:lang w:val="fr-FR" w:eastAsia="en-US"/>
    </w:rPr>
  </w:style>
  <w:style w:type="character" w:styleId="FootnoteReference">
    <w:name w:val="footnote reference"/>
    <w:rsid w:val="00802D2E"/>
    <w:rPr>
      <w:vertAlign w:val="superscript"/>
    </w:rPr>
  </w:style>
  <w:style w:type="character" w:customStyle="1" w:styleId="FootnoteTextChar">
    <w:name w:val="Footnote Text Char"/>
    <w:link w:val="FootnoteText"/>
    <w:semiHidden/>
    <w:rsid w:val="00802D2E"/>
    <w:rPr>
      <w:rFonts w:ascii="Arial" w:eastAsia="SimSun" w:hAnsi="Arial" w:cs="Arial"/>
      <w:sz w:val="18"/>
      <w:lang w:eastAsia="zh-CN"/>
    </w:rPr>
  </w:style>
  <w:style w:type="character" w:customStyle="1" w:styleId="CommentTextChar">
    <w:name w:val="Comment Text Char"/>
    <w:basedOn w:val="DefaultParagraphFont"/>
    <w:link w:val="CommentText"/>
    <w:semiHidden/>
    <w:rsid w:val="00802D2E"/>
    <w:rPr>
      <w:rFonts w:ascii="Arial" w:eastAsia="SimSun" w:hAnsi="Arial" w:cs="Arial"/>
      <w:sz w:val="18"/>
      <w:lang w:eastAsia="zh-CN"/>
    </w:rPr>
  </w:style>
  <w:style w:type="paragraph" w:styleId="NormalWeb">
    <w:name w:val="Normal (Web)"/>
    <w:basedOn w:val="Normal"/>
    <w:uiPriority w:val="99"/>
    <w:unhideWhenUsed/>
    <w:rsid w:val="00802D2E"/>
    <w:pPr>
      <w:spacing w:before="100" w:beforeAutospacing="1" w:after="100" w:afterAutospacing="1"/>
    </w:pPr>
    <w:rPr>
      <w:rFonts w:ascii="Times New Roman" w:eastAsia="Times New Roman" w:hAnsi="Times New Roman" w:cs="Times New Roman"/>
      <w:sz w:val="24"/>
      <w:szCs w:val="24"/>
      <w:lang w:val="fr-FR" w:eastAsia="en-US"/>
    </w:rPr>
  </w:style>
  <w:style w:type="paragraph" w:styleId="Title">
    <w:name w:val="Title"/>
    <w:basedOn w:val="Heading1"/>
    <w:next w:val="Normal"/>
    <w:link w:val="TitleChar"/>
    <w:qFormat/>
    <w:rsid w:val="00802D2E"/>
    <w:pPr>
      <w:spacing w:before="0" w:after="480"/>
    </w:pPr>
    <w:rPr>
      <w:caps w:val="0"/>
      <w:sz w:val="28"/>
    </w:rPr>
  </w:style>
  <w:style w:type="character" w:customStyle="1" w:styleId="TitleChar">
    <w:name w:val="Title Char"/>
    <w:basedOn w:val="DefaultParagraphFont"/>
    <w:link w:val="Title"/>
    <w:rsid w:val="00802D2E"/>
    <w:rPr>
      <w:rFonts w:ascii="Arial" w:eastAsia="SimSun" w:hAnsi="Arial" w:cs="Arial"/>
      <w:b/>
      <w:bCs/>
      <w:kern w:val="32"/>
      <w:sz w:val="28"/>
      <w:szCs w:val="32"/>
      <w:lang w:eastAsia="zh-CN"/>
    </w:rPr>
  </w:style>
  <w:style w:type="character" w:styleId="Hyperlink">
    <w:name w:val="Hyperlink"/>
    <w:basedOn w:val="DefaultParagraphFont"/>
    <w:semiHidden/>
    <w:unhideWhenUsed/>
    <w:rsid w:val="00BD74C5"/>
    <w:rPr>
      <w:color w:val="0000FF" w:themeColor="hyperlink"/>
      <w:u w:val="single"/>
    </w:rPr>
  </w:style>
  <w:style w:type="paragraph" w:styleId="Revision">
    <w:name w:val="Revision"/>
    <w:hidden/>
    <w:uiPriority w:val="99"/>
    <w:semiHidden/>
    <w:rsid w:val="000147E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B11DA-7E88-4E99-8228-A5EFAD75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(F).dotm</Template>
  <TotalTime>10</TotalTime>
  <Pages>10</Pages>
  <Words>2996</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GRATK/DC/7 PROV.</vt:lpstr>
    </vt:vector>
  </TitlesOfParts>
  <Company>WIPO</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GRATK/DC/7</dc:title>
  <dc:creator>GARRIDO Nathalie</dc:creator>
  <cp:keywords>FOR OFFICIAL USE ONLY</cp:keywords>
  <cp:lastModifiedBy>LE GUEN Haude</cp:lastModifiedBy>
  <cp:revision>3</cp:revision>
  <cp:lastPrinted>2011-05-19T12:37:00Z</cp:lastPrinted>
  <dcterms:created xsi:type="dcterms:W3CDTF">2024-05-24T11:59:00Z</dcterms:created>
  <dcterms:modified xsi:type="dcterms:W3CDTF">2024-05-29T09:58:00Z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2023-12-07T11:20:34Z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ca71fe12-e9c5-4dfc-83ef-463ca238758b</vt:lpwstr>
  </property>
  <property fmtid="{D5CDD505-2E9C-101B-9397-08002B2CF9AE}" pid="14" name="MSIP_Label_20773ee6-353b-4fb9-a59d-0b94c8c67bea_ContentBits">
    <vt:lpwstr>0</vt:lpwstr>
  </property>
</Properties>
</file>