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F061A" w14:paraId="5E76A8CE" w14:textId="77777777" w:rsidTr="00361450">
        <w:tc>
          <w:tcPr>
            <w:tcW w:w="4513" w:type="dxa"/>
            <w:tcBorders>
              <w:bottom w:val="single" w:sz="4" w:space="0" w:color="auto"/>
            </w:tcBorders>
            <w:tcMar>
              <w:bottom w:w="170" w:type="dxa"/>
            </w:tcMar>
          </w:tcPr>
          <w:p w14:paraId="39B47CD4" w14:textId="77777777" w:rsidR="00EC4E49" w:rsidRPr="001F061A" w:rsidRDefault="00EC4E49" w:rsidP="00916EE2">
            <w:pPr>
              <w:rPr>
                <w:lang w:val="es-419"/>
              </w:rPr>
            </w:pPr>
          </w:p>
        </w:tc>
        <w:tc>
          <w:tcPr>
            <w:tcW w:w="4337" w:type="dxa"/>
            <w:tcBorders>
              <w:bottom w:val="single" w:sz="4" w:space="0" w:color="auto"/>
            </w:tcBorders>
            <w:tcMar>
              <w:left w:w="0" w:type="dxa"/>
              <w:right w:w="0" w:type="dxa"/>
            </w:tcMar>
          </w:tcPr>
          <w:p w14:paraId="5C25AA2E" w14:textId="139A0DF7" w:rsidR="00EC4E49" w:rsidRPr="001F061A" w:rsidRDefault="00524EF9" w:rsidP="00916EE2">
            <w:pPr>
              <w:rPr>
                <w:lang w:val="es-419"/>
              </w:rPr>
            </w:pPr>
            <w:r w:rsidRPr="001F061A">
              <w:rPr>
                <w:noProof/>
                <w:color w:val="808080"/>
                <w:lang w:val="es-419" w:eastAsia="es-ES"/>
              </w:rPr>
              <w:drawing>
                <wp:inline distT="0" distB="0" distL="0" distR="0" wp14:anchorId="18168663" wp14:editId="332E4CA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FE8665" w14:textId="77777777" w:rsidR="00EC4E49" w:rsidRPr="001F061A" w:rsidRDefault="00EC4E49" w:rsidP="00916EE2">
            <w:pPr>
              <w:jc w:val="right"/>
              <w:rPr>
                <w:lang w:val="es-419"/>
              </w:rPr>
            </w:pPr>
            <w:r w:rsidRPr="001F061A">
              <w:rPr>
                <w:b/>
                <w:sz w:val="40"/>
                <w:lang w:val="es-419"/>
              </w:rPr>
              <w:t>S</w:t>
            </w:r>
          </w:p>
        </w:tc>
      </w:tr>
      <w:tr w:rsidR="008B2CC1" w:rsidRPr="001F061A" w14:paraId="180B562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936D80E" w14:textId="724997FB" w:rsidR="008B2CC1" w:rsidRPr="001F061A" w:rsidRDefault="007C48E8" w:rsidP="00FD3324">
            <w:pPr>
              <w:jc w:val="right"/>
              <w:rPr>
                <w:rFonts w:ascii="Arial Black" w:hAnsi="Arial Black"/>
                <w:caps/>
                <w:sz w:val="15"/>
                <w:lang w:val="es-419"/>
              </w:rPr>
            </w:pPr>
            <w:bookmarkStart w:id="0" w:name="Code"/>
            <w:bookmarkEnd w:id="0"/>
            <w:r w:rsidRPr="001F061A">
              <w:rPr>
                <w:rFonts w:ascii="Arial Black" w:hAnsi="Arial Black"/>
                <w:caps/>
                <w:sz w:val="15"/>
                <w:lang w:val="es-419"/>
              </w:rPr>
              <w:t>WIPO/IPTK-tces/GE/</w:t>
            </w:r>
            <w:r w:rsidR="00FD3324" w:rsidRPr="001F061A">
              <w:rPr>
                <w:rFonts w:ascii="Arial Black" w:hAnsi="Arial Black"/>
                <w:caps/>
                <w:sz w:val="15"/>
                <w:lang w:val="es-419"/>
              </w:rPr>
              <w:t>23</w:t>
            </w:r>
            <w:r w:rsidRPr="001F061A">
              <w:rPr>
                <w:rFonts w:ascii="Arial Black" w:hAnsi="Arial Black"/>
                <w:caps/>
                <w:sz w:val="15"/>
                <w:lang w:val="es-419"/>
              </w:rPr>
              <w:t>/2</w:t>
            </w:r>
          </w:p>
        </w:tc>
      </w:tr>
      <w:tr w:rsidR="008B2CC1" w:rsidRPr="001F061A" w14:paraId="3A5EE63E" w14:textId="77777777" w:rsidTr="00916EE2">
        <w:trPr>
          <w:trHeight w:hRule="exact" w:val="170"/>
        </w:trPr>
        <w:tc>
          <w:tcPr>
            <w:tcW w:w="9356" w:type="dxa"/>
            <w:gridSpan w:val="3"/>
            <w:noWrap/>
            <w:tcMar>
              <w:left w:w="0" w:type="dxa"/>
              <w:right w:w="0" w:type="dxa"/>
            </w:tcMar>
            <w:vAlign w:val="bottom"/>
          </w:tcPr>
          <w:p w14:paraId="05F59B99" w14:textId="51F31F78" w:rsidR="008B2CC1" w:rsidRPr="001F061A" w:rsidRDefault="008B2CC1" w:rsidP="00CD04F1">
            <w:pPr>
              <w:jc w:val="right"/>
              <w:rPr>
                <w:rFonts w:ascii="Arial Black" w:hAnsi="Arial Black"/>
                <w:caps/>
                <w:sz w:val="15"/>
                <w:lang w:val="es-419"/>
              </w:rPr>
            </w:pPr>
            <w:r w:rsidRPr="001F061A">
              <w:rPr>
                <w:rFonts w:ascii="Arial Black" w:hAnsi="Arial Black"/>
                <w:caps/>
                <w:sz w:val="15"/>
                <w:lang w:val="es-419"/>
              </w:rPr>
              <w:t>ORIGINAL:</w:t>
            </w:r>
            <w:r w:rsidR="00D340F9" w:rsidRPr="001F061A">
              <w:rPr>
                <w:rFonts w:ascii="Arial Black" w:hAnsi="Arial Black"/>
                <w:caps/>
                <w:sz w:val="15"/>
                <w:lang w:val="es-419"/>
              </w:rPr>
              <w:t xml:space="preserve"> </w:t>
            </w:r>
            <w:bookmarkStart w:id="1" w:name="Original"/>
            <w:bookmarkEnd w:id="1"/>
            <w:r w:rsidRPr="001F061A">
              <w:rPr>
                <w:rFonts w:ascii="Arial Black" w:hAnsi="Arial Black"/>
                <w:caps/>
                <w:sz w:val="15"/>
                <w:lang w:val="es-419"/>
              </w:rPr>
              <w:t xml:space="preserve">Inglés </w:t>
            </w:r>
          </w:p>
        </w:tc>
      </w:tr>
      <w:tr w:rsidR="008B2CC1" w:rsidRPr="001F061A" w14:paraId="39C2EBFA" w14:textId="77777777" w:rsidTr="00916EE2">
        <w:trPr>
          <w:trHeight w:hRule="exact" w:val="198"/>
        </w:trPr>
        <w:tc>
          <w:tcPr>
            <w:tcW w:w="9356" w:type="dxa"/>
            <w:gridSpan w:val="3"/>
            <w:tcMar>
              <w:left w:w="0" w:type="dxa"/>
              <w:right w:w="0" w:type="dxa"/>
            </w:tcMar>
            <w:vAlign w:val="bottom"/>
          </w:tcPr>
          <w:p w14:paraId="65B3B210" w14:textId="010C51F8" w:rsidR="008B2CC1" w:rsidRPr="001F061A" w:rsidRDefault="008B2CC1" w:rsidP="00FD3324">
            <w:pPr>
              <w:jc w:val="right"/>
              <w:rPr>
                <w:rFonts w:ascii="Arial Black" w:hAnsi="Arial Black"/>
                <w:caps/>
                <w:sz w:val="15"/>
                <w:lang w:val="es-419"/>
              </w:rPr>
            </w:pPr>
            <w:r w:rsidRPr="001F061A">
              <w:rPr>
                <w:rFonts w:ascii="Arial Black" w:hAnsi="Arial Black"/>
                <w:caps/>
                <w:sz w:val="15"/>
                <w:lang w:val="es-419"/>
              </w:rPr>
              <w:t>FECHA:</w:t>
            </w:r>
            <w:r w:rsidR="00D340F9" w:rsidRPr="001F061A">
              <w:rPr>
                <w:rFonts w:ascii="Arial Black" w:hAnsi="Arial Black"/>
                <w:caps/>
                <w:sz w:val="15"/>
                <w:lang w:val="es-419"/>
              </w:rPr>
              <w:t xml:space="preserve"> </w:t>
            </w:r>
            <w:bookmarkStart w:id="2" w:name="Date"/>
            <w:bookmarkEnd w:id="2"/>
            <w:r w:rsidRPr="001F061A">
              <w:rPr>
                <w:rFonts w:ascii="Arial Black" w:hAnsi="Arial Black"/>
                <w:caps/>
                <w:sz w:val="15"/>
                <w:lang w:val="es-419"/>
              </w:rPr>
              <w:t>8 de</w:t>
            </w:r>
            <w:r w:rsidR="00FD3324" w:rsidRPr="001F061A">
              <w:rPr>
                <w:rFonts w:ascii="Arial Black" w:hAnsi="Arial Black"/>
                <w:caps/>
                <w:sz w:val="15"/>
                <w:lang w:val="es-419"/>
              </w:rPr>
              <w:t xml:space="preserve"> febrero</w:t>
            </w:r>
            <w:r w:rsidRPr="001F061A">
              <w:rPr>
                <w:rFonts w:ascii="Arial Black" w:hAnsi="Arial Black"/>
                <w:caps/>
                <w:sz w:val="15"/>
                <w:lang w:val="es-419"/>
              </w:rPr>
              <w:t xml:space="preserve"> de 202</w:t>
            </w:r>
            <w:r w:rsidR="00FD3324" w:rsidRPr="001F061A">
              <w:rPr>
                <w:rFonts w:ascii="Arial Black" w:hAnsi="Arial Black"/>
                <w:caps/>
                <w:sz w:val="15"/>
                <w:lang w:val="es-419"/>
              </w:rPr>
              <w:t>3</w:t>
            </w:r>
            <w:r w:rsidRPr="001F061A">
              <w:rPr>
                <w:rFonts w:ascii="Arial Black" w:hAnsi="Arial Black"/>
                <w:caps/>
                <w:sz w:val="15"/>
                <w:lang w:val="es-419"/>
              </w:rPr>
              <w:t xml:space="preserve"> </w:t>
            </w:r>
          </w:p>
        </w:tc>
      </w:tr>
    </w:tbl>
    <w:p w14:paraId="05E39956" w14:textId="77777777" w:rsidR="008B2CC1" w:rsidRPr="001F061A" w:rsidRDefault="008B2CC1" w:rsidP="008B2CC1">
      <w:pPr>
        <w:rPr>
          <w:lang w:val="es-419"/>
        </w:rPr>
      </w:pPr>
    </w:p>
    <w:p w14:paraId="077E1E9C" w14:textId="77777777" w:rsidR="008B2CC1" w:rsidRPr="001F061A" w:rsidRDefault="008B2CC1" w:rsidP="008B2CC1">
      <w:pPr>
        <w:rPr>
          <w:lang w:val="es-419"/>
        </w:rPr>
      </w:pPr>
    </w:p>
    <w:p w14:paraId="0C68FA27" w14:textId="77777777" w:rsidR="008B2CC1" w:rsidRPr="001F061A" w:rsidRDefault="008B2CC1" w:rsidP="008B2CC1">
      <w:pPr>
        <w:rPr>
          <w:lang w:val="es-419"/>
        </w:rPr>
      </w:pPr>
    </w:p>
    <w:p w14:paraId="3251557A" w14:textId="77777777" w:rsidR="008B2CC1" w:rsidRPr="001F061A" w:rsidRDefault="008B2CC1" w:rsidP="008B2CC1">
      <w:pPr>
        <w:rPr>
          <w:lang w:val="es-419"/>
        </w:rPr>
      </w:pPr>
    </w:p>
    <w:p w14:paraId="754902B5" w14:textId="77777777" w:rsidR="008B2CC1" w:rsidRPr="001F061A" w:rsidRDefault="008B2CC1" w:rsidP="008B2CC1">
      <w:pPr>
        <w:rPr>
          <w:lang w:val="es-419"/>
        </w:rPr>
      </w:pPr>
    </w:p>
    <w:p w14:paraId="0CF9CE59" w14:textId="35759EA4" w:rsidR="000D4BD5" w:rsidRPr="001F061A" w:rsidRDefault="000D4BD5" w:rsidP="000D4BD5">
      <w:pPr>
        <w:rPr>
          <w:b/>
          <w:sz w:val="28"/>
          <w:szCs w:val="28"/>
          <w:lang w:val="es-419"/>
        </w:rPr>
      </w:pPr>
      <w:r w:rsidRPr="001F061A">
        <w:rPr>
          <w:b/>
          <w:sz w:val="28"/>
          <w:lang w:val="es-419"/>
        </w:rPr>
        <w:t xml:space="preserve">Grupo de </w:t>
      </w:r>
      <w:r w:rsidR="0063236D" w:rsidRPr="001F061A">
        <w:rPr>
          <w:b/>
          <w:sz w:val="28"/>
          <w:lang w:val="es-419"/>
        </w:rPr>
        <w:t>expertos</w:t>
      </w:r>
      <w:r w:rsidRPr="001F061A">
        <w:rPr>
          <w:b/>
          <w:sz w:val="28"/>
          <w:lang w:val="es-419"/>
        </w:rPr>
        <w:t xml:space="preserve"> </w:t>
      </w:r>
      <w:r w:rsidRPr="001F061A">
        <w:rPr>
          <w:b/>
          <w:i/>
          <w:sz w:val="28"/>
          <w:lang w:val="es-419"/>
        </w:rPr>
        <w:t xml:space="preserve">ad hoc </w:t>
      </w:r>
      <w:r w:rsidRPr="001F061A">
        <w:rPr>
          <w:b/>
          <w:sz w:val="28"/>
          <w:lang w:val="es-419"/>
        </w:rPr>
        <w:t>en conocimientos tradicionales y expresiones culturales tradicionales</w:t>
      </w:r>
    </w:p>
    <w:p w14:paraId="666DD1B8" w14:textId="77777777" w:rsidR="000D4BD5" w:rsidRPr="001F061A" w:rsidRDefault="000D4BD5" w:rsidP="000D4BD5">
      <w:pPr>
        <w:rPr>
          <w:lang w:val="es-419"/>
        </w:rPr>
      </w:pPr>
    </w:p>
    <w:p w14:paraId="1E137230" w14:textId="77777777" w:rsidR="000D4BD5" w:rsidRPr="001F061A" w:rsidRDefault="000D4BD5" w:rsidP="000D4BD5">
      <w:pPr>
        <w:rPr>
          <w:lang w:val="es-419"/>
        </w:rPr>
      </w:pPr>
    </w:p>
    <w:p w14:paraId="6B1055F4" w14:textId="120022F3" w:rsidR="000D4BD5" w:rsidRPr="001F061A" w:rsidRDefault="000D4BD5" w:rsidP="000D4BD5">
      <w:pPr>
        <w:rPr>
          <w:b/>
          <w:sz w:val="24"/>
          <w:szCs w:val="24"/>
          <w:lang w:val="es-419"/>
        </w:rPr>
      </w:pPr>
      <w:r w:rsidRPr="001F061A">
        <w:rPr>
          <w:b/>
          <w:sz w:val="24"/>
          <w:lang w:val="es-419"/>
        </w:rPr>
        <w:t xml:space="preserve">Ginebra, </w:t>
      </w:r>
      <w:r w:rsidR="00FD3324" w:rsidRPr="001F061A">
        <w:rPr>
          <w:b/>
          <w:sz w:val="24"/>
          <w:lang w:val="es-419"/>
        </w:rPr>
        <w:t>26 de febrero</w:t>
      </w:r>
      <w:r w:rsidRPr="001F061A">
        <w:rPr>
          <w:b/>
          <w:sz w:val="24"/>
          <w:lang w:val="es-419"/>
        </w:rPr>
        <w:t xml:space="preserve"> de 202</w:t>
      </w:r>
      <w:r w:rsidR="00FD3324" w:rsidRPr="001F061A">
        <w:rPr>
          <w:b/>
          <w:sz w:val="24"/>
          <w:lang w:val="es-419"/>
        </w:rPr>
        <w:t>3</w:t>
      </w:r>
    </w:p>
    <w:p w14:paraId="6CBE6C85" w14:textId="77777777" w:rsidR="000D4BD5" w:rsidRPr="001F061A" w:rsidRDefault="000D4BD5" w:rsidP="000D4BD5">
      <w:pPr>
        <w:rPr>
          <w:lang w:val="es-419"/>
        </w:rPr>
      </w:pPr>
    </w:p>
    <w:p w14:paraId="60562652" w14:textId="77777777" w:rsidR="000D4BD5" w:rsidRPr="001F061A" w:rsidRDefault="000D4BD5" w:rsidP="000D4BD5">
      <w:pPr>
        <w:rPr>
          <w:lang w:val="es-419"/>
        </w:rPr>
      </w:pPr>
    </w:p>
    <w:p w14:paraId="6409094E" w14:textId="77777777" w:rsidR="000D4BD5" w:rsidRPr="001F061A" w:rsidRDefault="000D4BD5" w:rsidP="000D4BD5">
      <w:pPr>
        <w:rPr>
          <w:lang w:val="es-419"/>
        </w:rPr>
      </w:pPr>
    </w:p>
    <w:p w14:paraId="49B6D64B" w14:textId="77777777" w:rsidR="000D4BD5" w:rsidRPr="001F061A" w:rsidRDefault="00610789" w:rsidP="000D4BD5">
      <w:pPr>
        <w:rPr>
          <w:caps/>
          <w:sz w:val="24"/>
          <w:lang w:val="es-419"/>
        </w:rPr>
      </w:pPr>
      <w:bookmarkStart w:id="3" w:name="TitleOfDoc"/>
      <w:bookmarkEnd w:id="3"/>
      <w:r w:rsidRPr="001F061A">
        <w:rPr>
          <w:caps/>
          <w:sz w:val="24"/>
          <w:lang w:val="es-419"/>
        </w:rPr>
        <w:t>Nota de antecedentes sobre elementos sustantivos</w:t>
      </w:r>
    </w:p>
    <w:p w14:paraId="0647D6BD" w14:textId="77777777" w:rsidR="000D4BD5" w:rsidRPr="001F061A" w:rsidRDefault="000D4BD5" w:rsidP="000D4BD5">
      <w:pPr>
        <w:rPr>
          <w:lang w:val="es-419"/>
        </w:rPr>
      </w:pPr>
    </w:p>
    <w:p w14:paraId="0D05BBD3" w14:textId="77777777" w:rsidR="000D4BD5" w:rsidRPr="001F061A" w:rsidRDefault="000D4BD5" w:rsidP="000D4BD5">
      <w:pPr>
        <w:rPr>
          <w:i/>
          <w:lang w:val="es-419"/>
        </w:rPr>
      </w:pPr>
      <w:bookmarkStart w:id="4" w:name="Prepared"/>
      <w:bookmarkEnd w:id="4"/>
      <w:r w:rsidRPr="001F061A">
        <w:rPr>
          <w:i/>
          <w:lang w:val="es-419"/>
        </w:rPr>
        <w:t>preparada por la Oficina Internacional de la OMPI</w:t>
      </w:r>
    </w:p>
    <w:p w14:paraId="300332BE" w14:textId="77777777" w:rsidR="000D4BD5" w:rsidRPr="001F061A" w:rsidRDefault="000D4BD5" w:rsidP="000D4BD5">
      <w:pPr>
        <w:rPr>
          <w:lang w:val="es-419"/>
        </w:rPr>
      </w:pPr>
    </w:p>
    <w:p w14:paraId="05BE797F" w14:textId="77777777" w:rsidR="000D4BD5" w:rsidRPr="001F061A" w:rsidRDefault="000D4BD5" w:rsidP="000D4BD5">
      <w:pPr>
        <w:rPr>
          <w:lang w:val="es-419"/>
        </w:rPr>
      </w:pPr>
    </w:p>
    <w:p w14:paraId="12162251" w14:textId="77777777" w:rsidR="000F5E56" w:rsidRPr="001F061A" w:rsidRDefault="000F5E56">
      <w:pPr>
        <w:rPr>
          <w:lang w:val="es-419"/>
        </w:rPr>
      </w:pPr>
    </w:p>
    <w:p w14:paraId="762F3ACA" w14:textId="77777777" w:rsidR="000D4BD5" w:rsidRPr="001F061A" w:rsidRDefault="000D4BD5">
      <w:pPr>
        <w:rPr>
          <w:lang w:val="es-419"/>
        </w:rPr>
      </w:pPr>
      <w:r w:rsidRPr="001F061A">
        <w:rPr>
          <w:lang w:val="es-419"/>
        </w:rPr>
        <w:br w:type="page"/>
      </w:r>
    </w:p>
    <w:p w14:paraId="0CEF4E86" w14:textId="31FEA83C" w:rsidR="00610789" w:rsidRPr="001F061A" w:rsidRDefault="000D4BD5" w:rsidP="00524EF9">
      <w:pPr>
        <w:pStyle w:val="ONUMFS"/>
        <w:rPr>
          <w:szCs w:val="22"/>
          <w:lang w:val="es-419"/>
        </w:rPr>
      </w:pPr>
      <w:r w:rsidRPr="001F061A">
        <w:rPr>
          <w:lang w:val="es-419"/>
        </w:rPr>
        <w:lastRenderedPageBreak/>
        <w:t>De conformidad con el mandato del Comité Intergubernamental sobre Propiedad Intelectual y Recursos Genéticos, Conocimientos Tradicionales y Folclore (</w:t>
      </w:r>
      <w:r w:rsidR="00524EF9" w:rsidRPr="001F061A">
        <w:rPr>
          <w:lang w:val="es-419"/>
        </w:rPr>
        <w:t>“</w:t>
      </w:r>
      <w:r w:rsidRPr="001F061A">
        <w:rPr>
          <w:lang w:val="es-419"/>
        </w:rPr>
        <w:t>CIG</w:t>
      </w:r>
      <w:r w:rsidR="00524EF9" w:rsidRPr="001F061A">
        <w:rPr>
          <w:lang w:val="es-419"/>
        </w:rPr>
        <w:t>”</w:t>
      </w:r>
      <w:r w:rsidRPr="001F061A">
        <w:rPr>
          <w:lang w:val="es-419"/>
        </w:rPr>
        <w:t>) y con las decisiones de la trigésima séptima sesión del CIG (</w:t>
      </w:r>
      <w:r w:rsidR="00524EF9" w:rsidRPr="001F061A">
        <w:rPr>
          <w:lang w:val="es-419"/>
        </w:rPr>
        <w:t>“</w:t>
      </w:r>
      <w:r w:rsidRPr="001F061A">
        <w:rPr>
          <w:lang w:val="es-419"/>
        </w:rPr>
        <w:t>CIG 37</w:t>
      </w:r>
      <w:r w:rsidR="00524EF9" w:rsidRPr="001F061A">
        <w:rPr>
          <w:lang w:val="es-419"/>
        </w:rPr>
        <w:t>”</w:t>
      </w:r>
      <w:r w:rsidRPr="001F061A">
        <w:rPr>
          <w:lang w:val="es-419"/>
        </w:rPr>
        <w:t>) y de la cuadragésima</w:t>
      </w:r>
      <w:r w:rsidR="00FD3324" w:rsidRPr="001F061A">
        <w:rPr>
          <w:lang w:val="es-419"/>
        </w:rPr>
        <w:t xml:space="preserve"> quinta</w:t>
      </w:r>
      <w:r w:rsidRPr="001F061A">
        <w:rPr>
          <w:lang w:val="es-419"/>
        </w:rPr>
        <w:t xml:space="preserve"> sesión del CIG (</w:t>
      </w:r>
      <w:r w:rsidR="00524EF9" w:rsidRPr="001F061A">
        <w:rPr>
          <w:lang w:val="es-419"/>
        </w:rPr>
        <w:t>“</w:t>
      </w:r>
      <w:r w:rsidRPr="001F061A">
        <w:rPr>
          <w:lang w:val="es-419"/>
        </w:rPr>
        <w:t>CIG 4</w:t>
      </w:r>
      <w:r w:rsidR="00FD3324" w:rsidRPr="001F061A">
        <w:rPr>
          <w:lang w:val="es-419"/>
        </w:rPr>
        <w:t>5</w:t>
      </w:r>
      <w:r w:rsidR="00524EF9" w:rsidRPr="001F061A">
        <w:rPr>
          <w:lang w:val="es-419"/>
        </w:rPr>
        <w:t>”</w:t>
      </w:r>
      <w:r w:rsidRPr="001F061A">
        <w:rPr>
          <w:lang w:val="es-419"/>
        </w:rPr>
        <w:t xml:space="preserve">), el objetivo general del Grupo de </w:t>
      </w:r>
      <w:r w:rsidR="0063236D" w:rsidRPr="001F061A">
        <w:rPr>
          <w:lang w:val="es-419"/>
        </w:rPr>
        <w:t>expertos</w:t>
      </w:r>
      <w:r w:rsidRPr="001F061A">
        <w:rPr>
          <w:lang w:val="es-419"/>
        </w:rPr>
        <w:t xml:space="preserve"> </w:t>
      </w:r>
      <w:r w:rsidRPr="001F061A">
        <w:rPr>
          <w:i/>
          <w:lang w:val="es-419"/>
        </w:rPr>
        <w:t xml:space="preserve">ad hoc </w:t>
      </w:r>
      <w:r w:rsidRPr="001F061A">
        <w:rPr>
          <w:lang w:val="es-419"/>
        </w:rPr>
        <w:t>en conocimientos tradicionales y expresiones culturales tradicionales es abordar cuestiones específicas de carácter jurídico, normativo o técnico.</w:t>
      </w:r>
      <w:r w:rsidR="00D340F9" w:rsidRPr="001F061A">
        <w:rPr>
          <w:lang w:val="es-419"/>
        </w:rPr>
        <w:t xml:space="preserve"> </w:t>
      </w:r>
      <w:r w:rsidRPr="001F061A">
        <w:rPr>
          <w:lang w:val="es-419"/>
        </w:rPr>
        <w:t xml:space="preserve">Los resultados de su labor se comunican al CIG, que los examina en mayor profundidad. </w:t>
      </w:r>
    </w:p>
    <w:p w14:paraId="535B86EE" w14:textId="349D9FBC" w:rsidR="009769BC" w:rsidRPr="001F061A" w:rsidRDefault="00FD3324" w:rsidP="00524EF9">
      <w:pPr>
        <w:pStyle w:val="ONUMFS"/>
        <w:rPr>
          <w:lang w:val="es-419"/>
        </w:rPr>
      </w:pPr>
      <w:r w:rsidRPr="001F061A">
        <w:rPr>
          <w:lang w:val="es-419"/>
        </w:rPr>
        <w:t>Partiendo de las sugerencias formuladas por los Estados miembros, l</w:t>
      </w:r>
      <w:r w:rsidR="00610789" w:rsidRPr="001F061A">
        <w:rPr>
          <w:lang w:val="es-419"/>
        </w:rPr>
        <w:t>a presidencia y vicepresidencia del CIG han determinado la lista de cuestiones relacionadas con los conocimientos tradicionales (CC.TT.) y las expresiones culturales tradicionales (ECT)</w:t>
      </w:r>
      <w:r w:rsidRPr="001F061A">
        <w:rPr>
          <w:lang w:val="es-419"/>
        </w:rPr>
        <w:t xml:space="preserve"> de interés para dicho Grupo de </w:t>
      </w:r>
      <w:r w:rsidR="0063236D" w:rsidRPr="001F061A">
        <w:rPr>
          <w:lang w:val="es-419"/>
        </w:rPr>
        <w:t>expertos</w:t>
      </w:r>
      <w:r w:rsidRPr="001F061A">
        <w:rPr>
          <w:lang w:val="es-419"/>
        </w:rPr>
        <w:t xml:space="preserve"> </w:t>
      </w:r>
      <w:r w:rsidRPr="001F061A">
        <w:rPr>
          <w:i/>
          <w:lang w:val="es-419"/>
        </w:rPr>
        <w:t>ad hoc</w:t>
      </w:r>
      <w:r w:rsidRPr="001F061A">
        <w:rPr>
          <w:lang w:val="es-419"/>
        </w:rPr>
        <w:t>, a saber</w:t>
      </w:r>
      <w:r w:rsidR="00610789" w:rsidRPr="001F061A">
        <w:rPr>
          <w:lang w:val="es-419"/>
        </w:rPr>
        <w:t>:</w:t>
      </w:r>
    </w:p>
    <w:p w14:paraId="13BCA9FD" w14:textId="41D0970B" w:rsidR="009769BC" w:rsidRPr="001F061A" w:rsidRDefault="00FD3324" w:rsidP="00B7509B">
      <w:pPr>
        <w:pStyle w:val="ListParagraph"/>
        <w:numPr>
          <w:ilvl w:val="0"/>
          <w:numId w:val="5"/>
        </w:numPr>
        <w:ind w:left="567" w:firstLine="0"/>
        <w:rPr>
          <w:rFonts w:eastAsia="DengXian"/>
          <w:szCs w:val="22"/>
          <w:lang w:val="es-419"/>
        </w:rPr>
      </w:pPr>
      <w:r w:rsidRPr="001F061A">
        <w:rPr>
          <w:lang w:val="es-419"/>
        </w:rPr>
        <w:t>Derecho consuetudinario</w:t>
      </w:r>
      <w:r w:rsidR="009769BC" w:rsidRPr="001F061A">
        <w:rPr>
          <w:lang w:val="es-419"/>
        </w:rPr>
        <w:t>:</w:t>
      </w:r>
    </w:p>
    <w:p w14:paraId="4412CE6C" w14:textId="1A2DB799" w:rsidR="009769BC" w:rsidRPr="001F061A" w:rsidRDefault="00FD3324" w:rsidP="00B7509B">
      <w:pPr>
        <w:pStyle w:val="ListParagraph"/>
        <w:numPr>
          <w:ilvl w:val="0"/>
          <w:numId w:val="5"/>
        </w:numPr>
        <w:ind w:left="567" w:firstLine="0"/>
        <w:rPr>
          <w:rFonts w:eastAsia="DengXian"/>
          <w:szCs w:val="22"/>
          <w:lang w:val="es-419"/>
        </w:rPr>
      </w:pPr>
      <w:r w:rsidRPr="001F061A">
        <w:rPr>
          <w:lang w:val="es-419"/>
        </w:rPr>
        <w:t>Formalidades</w:t>
      </w:r>
      <w:r w:rsidR="009769BC" w:rsidRPr="001F061A">
        <w:rPr>
          <w:lang w:val="es-419"/>
        </w:rPr>
        <w:t>;</w:t>
      </w:r>
    </w:p>
    <w:p w14:paraId="17AFA68A" w14:textId="19C52826" w:rsidR="00FD3324" w:rsidRPr="001F061A" w:rsidRDefault="00FD3324" w:rsidP="00B7509B">
      <w:pPr>
        <w:pStyle w:val="ListParagraph"/>
        <w:numPr>
          <w:ilvl w:val="0"/>
          <w:numId w:val="5"/>
        </w:numPr>
        <w:ind w:left="567" w:firstLine="0"/>
        <w:contextualSpacing w:val="0"/>
        <w:rPr>
          <w:rFonts w:eastAsia="DengXian"/>
          <w:szCs w:val="22"/>
          <w:lang w:val="es-419"/>
        </w:rPr>
      </w:pPr>
      <w:r w:rsidRPr="001F061A">
        <w:rPr>
          <w:lang w:val="es-419"/>
        </w:rPr>
        <w:t>Trato nacional</w:t>
      </w:r>
    </w:p>
    <w:p w14:paraId="3BA1FE97" w14:textId="17BCBF5D" w:rsidR="00FD3324" w:rsidRPr="001F061A" w:rsidRDefault="00FD3324" w:rsidP="00B7509B">
      <w:pPr>
        <w:pStyle w:val="ListParagraph"/>
        <w:numPr>
          <w:ilvl w:val="0"/>
          <w:numId w:val="5"/>
        </w:numPr>
        <w:spacing w:after="240"/>
        <w:ind w:left="567" w:firstLine="0"/>
        <w:contextualSpacing w:val="0"/>
        <w:rPr>
          <w:rFonts w:eastAsia="DengXian"/>
          <w:szCs w:val="22"/>
          <w:lang w:val="es-419"/>
        </w:rPr>
      </w:pPr>
      <w:r w:rsidRPr="001F061A">
        <w:rPr>
          <w:lang w:val="es-419"/>
        </w:rPr>
        <w:t>Cooperación transfronteriza</w:t>
      </w:r>
    </w:p>
    <w:p w14:paraId="13FB0229" w14:textId="46A5DBC2" w:rsidR="000D4BD5" w:rsidRPr="001F061A" w:rsidRDefault="000E69A5" w:rsidP="009B501D">
      <w:pPr>
        <w:pStyle w:val="ONUMFS"/>
        <w:rPr>
          <w:lang w:val="es-419"/>
        </w:rPr>
      </w:pPr>
      <w:r w:rsidRPr="001F061A">
        <w:rPr>
          <w:lang w:val="es-419"/>
        </w:rPr>
        <w:t xml:space="preserve">En la presente nota sobre elementos sustantivos se aportan antecedentes sobre las cuestiones mencionadas y se proponen algunos aspectos y tareas para que el grupo de </w:t>
      </w:r>
      <w:r w:rsidR="0063236D" w:rsidRPr="001F061A">
        <w:rPr>
          <w:lang w:val="es-419"/>
        </w:rPr>
        <w:t>expertos</w:t>
      </w:r>
      <w:r w:rsidRPr="001F061A">
        <w:rPr>
          <w:lang w:val="es-419"/>
        </w:rPr>
        <w:t xml:space="preserve"> </w:t>
      </w:r>
      <w:r w:rsidRPr="001F061A">
        <w:rPr>
          <w:i/>
          <w:lang w:val="es-419"/>
        </w:rPr>
        <w:t>ad hoc</w:t>
      </w:r>
      <w:r w:rsidR="009B0F43" w:rsidRPr="001F061A">
        <w:rPr>
          <w:i/>
          <w:lang w:val="es-419"/>
        </w:rPr>
        <w:t xml:space="preserve"> </w:t>
      </w:r>
      <w:r w:rsidRPr="001F061A">
        <w:rPr>
          <w:lang w:val="es-419"/>
        </w:rPr>
        <w:t>los examine.</w:t>
      </w:r>
      <w:r w:rsidR="00D340F9" w:rsidRPr="001F061A">
        <w:rPr>
          <w:lang w:val="es-419"/>
        </w:rPr>
        <w:t xml:space="preserve"> </w:t>
      </w:r>
      <w:r w:rsidRPr="001F061A">
        <w:rPr>
          <w:lang w:val="es-419"/>
        </w:rPr>
        <w:t xml:space="preserve">Los copresidentes del grupo de </w:t>
      </w:r>
      <w:r w:rsidR="0063236D" w:rsidRPr="001F061A">
        <w:rPr>
          <w:lang w:val="es-419"/>
        </w:rPr>
        <w:t>expertos</w:t>
      </w:r>
      <w:r w:rsidRPr="001F061A">
        <w:rPr>
          <w:lang w:val="es-419"/>
        </w:rPr>
        <w:t xml:space="preserve"> </w:t>
      </w:r>
      <w:r w:rsidRPr="001F061A">
        <w:rPr>
          <w:i/>
          <w:lang w:val="es-419"/>
        </w:rPr>
        <w:t xml:space="preserve">ad hoc </w:t>
      </w:r>
      <w:r w:rsidRPr="001F061A">
        <w:rPr>
          <w:lang w:val="es-419"/>
        </w:rPr>
        <w:t>proporcionarán más orientaciones sobre cómo se abordarán estas cuestiones y preguntas durante la reunión.</w:t>
      </w:r>
      <w:r w:rsidR="00D340F9" w:rsidRPr="001F061A">
        <w:rPr>
          <w:lang w:val="es-419"/>
        </w:rPr>
        <w:t xml:space="preserve"> </w:t>
      </w:r>
    </w:p>
    <w:p w14:paraId="20A617DE" w14:textId="1D0FFAF4" w:rsidR="00CE1AD8" w:rsidRPr="001F061A" w:rsidRDefault="00FD3324" w:rsidP="00524EF9">
      <w:pPr>
        <w:spacing w:after="120"/>
        <w:rPr>
          <w:b/>
          <w:lang w:val="es-419"/>
        </w:rPr>
      </w:pPr>
      <w:r w:rsidRPr="001F061A">
        <w:rPr>
          <w:b/>
          <w:lang w:val="es-419"/>
        </w:rPr>
        <w:t>Derecho consuetudinario</w:t>
      </w:r>
    </w:p>
    <w:p w14:paraId="32AA886D" w14:textId="2DB80000" w:rsidR="00FD3324" w:rsidRPr="001F061A" w:rsidRDefault="006220F0" w:rsidP="006220F0">
      <w:pPr>
        <w:pStyle w:val="ONUMFS"/>
        <w:rPr>
          <w:szCs w:val="22"/>
          <w:lang w:val="es-419"/>
        </w:rPr>
      </w:pPr>
      <w:r w:rsidRPr="001F061A">
        <w:rPr>
          <w:szCs w:val="22"/>
          <w:lang w:val="es-419"/>
        </w:rPr>
        <w:t>E</w:t>
      </w:r>
      <w:r w:rsidR="007D4CD5" w:rsidRPr="001F061A">
        <w:rPr>
          <w:szCs w:val="22"/>
          <w:lang w:val="es-419"/>
        </w:rPr>
        <w:t>n e</w:t>
      </w:r>
      <w:r w:rsidRPr="001F061A">
        <w:rPr>
          <w:szCs w:val="22"/>
          <w:lang w:val="es-419"/>
        </w:rPr>
        <w:t xml:space="preserve">l </w:t>
      </w:r>
      <w:r w:rsidRPr="001F061A">
        <w:rPr>
          <w:i/>
          <w:szCs w:val="22"/>
          <w:lang w:val="es-419"/>
        </w:rPr>
        <w:t>Black's Law Dictionary</w:t>
      </w:r>
      <w:r w:rsidRPr="001F061A">
        <w:rPr>
          <w:szCs w:val="22"/>
          <w:lang w:val="es-419"/>
        </w:rPr>
        <w:t xml:space="preserve"> </w:t>
      </w:r>
      <w:r w:rsidR="007D4CD5" w:rsidRPr="001F061A">
        <w:rPr>
          <w:szCs w:val="22"/>
          <w:lang w:val="es-419"/>
        </w:rPr>
        <w:t xml:space="preserve">se </w:t>
      </w:r>
      <w:r w:rsidRPr="001F061A">
        <w:rPr>
          <w:szCs w:val="22"/>
          <w:lang w:val="es-419"/>
        </w:rPr>
        <w:t xml:space="preserve">define el "derecho consuetudinario" como un derecho consistente en costumbres que se aceptan como requisitos legales o normas de conducta obligatorias; prácticas y creencias que son una parte tan </w:t>
      </w:r>
      <w:r w:rsidR="007D4CD5" w:rsidRPr="001F061A">
        <w:rPr>
          <w:szCs w:val="22"/>
          <w:lang w:val="es-419"/>
        </w:rPr>
        <w:t>esencial</w:t>
      </w:r>
      <w:r w:rsidRPr="001F061A">
        <w:rPr>
          <w:szCs w:val="22"/>
          <w:lang w:val="es-419"/>
        </w:rPr>
        <w:t xml:space="preserve"> e intrínseca de un sistema social y económico que se tratan como si fueran leyes". El derecho consuetudinario también se ha definido como "</w:t>
      </w:r>
      <w:r w:rsidR="007D4CD5" w:rsidRPr="001F061A">
        <w:rPr>
          <w:lang w:val="es-419"/>
        </w:rPr>
        <w:t>conjunto de principios reconocidos a nivel local y de normas más específicas, mantenidas y transmitidas por vía oral y aplicadas por las instituciones comunitarias para regir todos los aspectos de la vida</w:t>
      </w:r>
      <w:r w:rsidR="00D476D5" w:rsidRPr="001F061A">
        <w:rPr>
          <w:szCs w:val="22"/>
          <w:vertAlign w:val="superscript"/>
          <w:lang w:val="es-419"/>
        </w:rPr>
        <w:footnoteReference w:id="2"/>
      </w:r>
      <w:r w:rsidRPr="001F061A">
        <w:rPr>
          <w:szCs w:val="22"/>
          <w:lang w:val="es-419"/>
        </w:rPr>
        <w:t>." Las formas en que se plasman las leyes consuetudinarias difieren de un caso a otro. Por ejemplo, las leyes pueden estar codificadas, ser escritas u orales, estar expresamente articuladas o aplicarse en prácticas tradicionales. Otro elemento importante es si estas leyes están realmente reconocidas "formalmente" por y/o vinculadas a los sistemas jurídicos nacionales del país en el que reside una comunidad. Un factor decisivo para determinar si ciertas costumbres tienen rango de ley es si la comunidad las ha considerado y las considera vinculantes, o si simplemente describen prácticas concretas.</w:t>
      </w:r>
      <w:r w:rsidR="00FD3324" w:rsidRPr="001F061A">
        <w:rPr>
          <w:szCs w:val="22"/>
          <w:lang w:val="es-419"/>
        </w:rPr>
        <w:t xml:space="preserve"> </w:t>
      </w:r>
    </w:p>
    <w:p w14:paraId="5340792A" w14:textId="047E0014" w:rsidR="00FD3324" w:rsidRPr="001F061A" w:rsidRDefault="006220F0" w:rsidP="00FD3324">
      <w:pPr>
        <w:pStyle w:val="FootnoteText"/>
        <w:spacing w:after="220"/>
        <w:rPr>
          <w:sz w:val="22"/>
          <w:szCs w:val="22"/>
          <w:lang w:val="es-419"/>
        </w:rPr>
      </w:pPr>
      <w:r w:rsidRPr="001F061A">
        <w:rPr>
          <w:sz w:val="22"/>
          <w:szCs w:val="22"/>
          <w:lang w:val="es-419"/>
        </w:rPr>
        <w:t>Las leyes consuetudinarias afectan a muchos aspectos de la vida de las comunidades.  Definen los derechos y responsabilidades de los miembros de la comunidad en aspectos importantes de su vid</w:t>
      </w:r>
      <w:r w:rsidR="007D4CD5" w:rsidRPr="001F061A">
        <w:rPr>
          <w:sz w:val="22"/>
          <w:szCs w:val="22"/>
          <w:lang w:val="es-419"/>
        </w:rPr>
        <w:t xml:space="preserve">a, cultura y visión del mundo. </w:t>
      </w:r>
      <w:r w:rsidRPr="001F061A">
        <w:rPr>
          <w:sz w:val="22"/>
          <w:szCs w:val="22"/>
          <w:lang w:val="es-419"/>
        </w:rPr>
        <w:t>Por ejemplo, el derecho y la distribución de beneficios dentro de una comunidad (incluido el reconocimiento de los derechos de los individuos) pueden regirse por el derecho consuetudinario y las prácticas qu</w:t>
      </w:r>
      <w:r w:rsidR="00C40D35" w:rsidRPr="001F061A">
        <w:rPr>
          <w:sz w:val="22"/>
          <w:szCs w:val="22"/>
          <w:lang w:val="es-419"/>
        </w:rPr>
        <w:t xml:space="preserve">e observe la propia comunidad. </w:t>
      </w:r>
      <w:r w:rsidRPr="001F061A">
        <w:rPr>
          <w:sz w:val="22"/>
          <w:szCs w:val="22"/>
          <w:lang w:val="es-419"/>
        </w:rPr>
        <w:t>Se trata de un ámbito clave en el que los mecanismos jurídicos externos de protección de los conocimientos tradicionales pueden tener que reconocer y respetar las leyes, protocolos o prácticas consuetudinarias.</w:t>
      </w:r>
      <w:r w:rsidR="00FD3324" w:rsidRPr="001F061A">
        <w:rPr>
          <w:sz w:val="22"/>
          <w:szCs w:val="22"/>
          <w:lang w:val="es-419"/>
        </w:rPr>
        <w:t xml:space="preserve"> </w:t>
      </w:r>
    </w:p>
    <w:p w14:paraId="564B01A1" w14:textId="6583169F" w:rsidR="0085040B" w:rsidRPr="001F061A" w:rsidRDefault="00D476D5" w:rsidP="00C40D35">
      <w:pPr>
        <w:pStyle w:val="ONUMFS"/>
        <w:numPr>
          <w:ilvl w:val="0"/>
          <w:numId w:val="0"/>
        </w:numPr>
        <w:rPr>
          <w:lang w:val="es-419"/>
        </w:rPr>
      </w:pPr>
      <w:r w:rsidRPr="001F061A">
        <w:rPr>
          <w:lang w:val="es-419"/>
        </w:rPr>
        <w:t xml:space="preserve">Existe una brecha teórica y jurídica en relación con el modo en que los sistemas de creencias, las leyes consuetudinarias y las prácticas de los pueblos indígenas interactúan con las normas y </w:t>
      </w:r>
      <w:r w:rsidR="00E508B9" w:rsidRPr="001F061A">
        <w:rPr>
          <w:lang w:val="es-419"/>
        </w:rPr>
        <w:t xml:space="preserve">leyes culturales occidentales. </w:t>
      </w:r>
      <w:r w:rsidR="007D4CD5" w:rsidRPr="001F061A">
        <w:rPr>
          <w:lang w:val="es-419"/>
        </w:rPr>
        <w:t>Hay quien opina que</w:t>
      </w:r>
      <w:r w:rsidRPr="001F061A">
        <w:rPr>
          <w:lang w:val="es-419"/>
        </w:rPr>
        <w:t xml:space="preserve"> la propia concepción de "propiedad" en el sistema convencional de propiedad intelectual (PI) es incompatible con las nociones de </w:t>
      </w:r>
      <w:r w:rsidRPr="001F061A">
        <w:rPr>
          <w:lang w:val="es-419"/>
        </w:rPr>
        <w:lastRenderedPageBreak/>
        <w:t>responsabilidad y custodia en virtud de las leyes y sistemas consuetudinarios. Esta división teórica es especialmente evidente en relación con las ECT y el derecho de autor, como se señala en el proyecto recientemente actualizado de análisis de las carencias en la protección de las expresiones culturales tradicionales (documento WIPO/GRTKF/IC/46/7), en particular</w:t>
      </w:r>
      <w:r w:rsidR="007D4CD5" w:rsidRPr="001F061A">
        <w:rPr>
          <w:lang w:val="es-419"/>
        </w:rPr>
        <w:t>,</w:t>
      </w:r>
      <w:r w:rsidRPr="001F061A">
        <w:rPr>
          <w:lang w:val="es-419"/>
        </w:rPr>
        <w:t xml:space="preserve"> en lo que respecta al requisito de originalidad y la protección de las adaptaciones o las obras derivadas.</w:t>
      </w:r>
    </w:p>
    <w:p w14:paraId="7C78283B" w14:textId="635F4AAA" w:rsidR="00C40D35" w:rsidRPr="001F061A" w:rsidRDefault="00C40D35" w:rsidP="00C40D35">
      <w:pPr>
        <w:pStyle w:val="ONUMFS"/>
        <w:rPr>
          <w:szCs w:val="22"/>
          <w:lang w:val="es-419"/>
        </w:rPr>
      </w:pPr>
      <w:r w:rsidRPr="001F061A">
        <w:rPr>
          <w:lang w:val="es-419"/>
        </w:rPr>
        <w:t xml:space="preserve">Se invita al grupo de expertos </w:t>
      </w:r>
      <w:r w:rsidRPr="001F061A">
        <w:rPr>
          <w:i/>
          <w:lang w:val="es-419"/>
        </w:rPr>
        <w:t>ad hoc</w:t>
      </w:r>
      <w:r w:rsidRPr="001F061A">
        <w:rPr>
          <w:lang w:val="es-419"/>
        </w:rPr>
        <w:t xml:space="preserve"> a examinar lo siguiente:</w:t>
      </w:r>
      <w:r w:rsidRPr="001F061A">
        <w:rPr>
          <w:szCs w:val="22"/>
          <w:lang w:val="es-419"/>
        </w:rPr>
        <w:t xml:space="preserve"> </w:t>
      </w:r>
    </w:p>
    <w:p w14:paraId="787BDAEC" w14:textId="3F5347F2" w:rsidR="00C40D35" w:rsidRPr="001F061A" w:rsidRDefault="00C40D35" w:rsidP="00B7509B">
      <w:pPr>
        <w:pStyle w:val="ListParagraph"/>
        <w:numPr>
          <w:ilvl w:val="0"/>
          <w:numId w:val="6"/>
        </w:numPr>
        <w:ind w:left="1134" w:hanging="567"/>
        <w:rPr>
          <w:szCs w:val="22"/>
          <w:lang w:val="es-419"/>
        </w:rPr>
      </w:pPr>
      <w:r w:rsidRPr="001F061A">
        <w:rPr>
          <w:szCs w:val="22"/>
          <w:lang w:val="es-419"/>
        </w:rPr>
        <w:t xml:space="preserve">¿Qué tipo de vínculos </w:t>
      </w:r>
      <w:r w:rsidR="007D4CD5" w:rsidRPr="001F061A">
        <w:rPr>
          <w:szCs w:val="22"/>
          <w:lang w:val="es-419"/>
        </w:rPr>
        <w:t>se dan en la práctica entre el d</w:t>
      </w:r>
      <w:r w:rsidRPr="001F061A">
        <w:rPr>
          <w:szCs w:val="22"/>
          <w:lang w:val="es-419"/>
        </w:rPr>
        <w:t>erecho consuetudinario y el Derecho de la PI? ¿Qué modalidades podrían explorarse?</w:t>
      </w:r>
    </w:p>
    <w:p w14:paraId="2DA1CC4E" w14:textId="688D7B25" w:rsidR="00C40D35" w:rsidRPr="001F061A" w:rsidRDefault="009B501D" w:rsidP="00B7509B">
      <w:pPr>
        <w:pStyle w:val="ListParagraph"/>
        <w:numPr>
          <w:ilvl w:val="0"/>
          <w:numId w:val="6"/>
        </w:numPr>
        <w:ind w:left="1134" w:hanging="567"/>
        <w:rPr>
          <w:lang w:val="es-419"/>
        </w:rPr>
      </w:pPr>
      <w:r w:rsidRPr="001F061A">
        <w:rPr>
          <w:szCs w:val="22"/>
          <w:lang w:val="es-419"/>
        </w:rPr>
        <w:t xml:space="preserve">¿Cómo aplican o reconocen las leyes </w:t>
      </w:r>
      <w:r w:rsidRPr="001F061A">
        <w:rPr>
          <w:i/>
          <w:szCs w:val="22"/>
          <w:lang w:val="es-419"/>
        </w:rPr>
        <w:t>sui generis</w:t>
      </w:r>
      <w:r w:rsidRPr="001F061A">
        <w:rPr>
          <w:szCs w:val="22"/>
          <w:lang w:val="es-419"/>
        </w:rPr>
        <w:t xml:space="preserve"> de protección de los conocimientos tradicionales y las ECT el </w:t>
      </w:r>
      <w:r w:rsidR="007D4CD5" w:rsidRPr="001F061A">
        <w:rPr>
          <w:szCs w:val="22"/>
          <w:lang w:val="es-419"/>
        </w:rPr>
        <w:t>d</w:t>
      </w:r>
      <w:r w:rsidRPr="001F061A">
        <w:rPr>
          <w:szCs w:val="22"/>
          <w:lang w:val="es-419"/>
        </w:rPr>
        <w:t>erecho consuetudinario?</w:t>
      </w:r>
    </w:p>
    <w:p w14:paraId="66116CC3" w14:textId="77777777" w:rsidR="00C40D35" w:rsidRPr="001F061A" w:rsidRDefault="00C40D35" w:rsidP="00E508B9">
      <w:pPr>
        <w:rPr>
          <w:b/>
          <w:lang w:val="es-419"/>
        </w:rPr>
      </w:pPr>
    </w:p>
    <w:p w14:paraId="0A25DE10" w14:textId="6344EBA8" w:rsidR="00E508B9" w:rsidRPr="001F061A" w:rsidRDefault="00E508B9" w:rsidP="00E508B9">
      <w:pPr>
        <w:rPr>
          <w:b/>
          <w:lang w:val="es-419"/>
        </w:rPr>
      </w:pPr>
      <w:r w:rsidRPr="001F061A">
        <w:rPr>
          <w:b/>
          <w:lang w:val="es-419"/>
        </w:rPr>
        <w:t>Formalidades</w:t>
      </w:r>
    </w:p>
    <w:p w14:paraId="69C4C98D" w14:textId="77777777" w:rsidR="00E508B9" w:rsidRPr="001F061A" w:rsidRDefault="00E508B9" w:rsidP="00E508B9">
      <w:pPr>
        <w:rPr>
          <w:lang w:val="es-419"/>
        </w:rPr>
      </w:pPr>
    </w:p>
    <w:p w14:paraId="3D7519D6" w14:textId="6C27A0D9" w:rsidR="00E508B9" w:rsidRPr="001F061A" w:rsidRDefault="00667675" w:rsidP="009B501D">
      <w:pPr>
        <w:pStyle w:val="ONUMFS"/>
        <w:rPr>
          <w:lang w:val="es-419"/>
        </w:rPr>
      </w:pPr>
      <w:r w:rsidRPr="001F061A">
        <w:rPr>
          <w:lang w:val="es-419"/>
        </w:rPr>
        <w:t xml:space="preserve">Existen varias formas de abordar las formalidades necesarias para la protección de los CC.TT. y las ECT en los regímenes </w:t>
      </w:r>
      <w:r w:rsidRPr="001F061A">
        <w:rPr>
          <w:i/>
          <w:lang w:val="es-419"/>
        </w:rPr>
        <w:t>sui generis</w:t>
      </w:r>
      <w:r w:rsidRPr="001F061A">
        <w:rPr>
          <w:lang w:val="es-419"/>
        </w:rPr>
        <w:t>: se puede exigir expresamente el registro de los CC.TT. y las ECT como condición para la protección; se pueden establecer registros o bases de datos voluntarios pero sin considerarlos un requisito para la adquisición de derechos; o se puede establecer que la protección no exige formalidades.</w:t>
      </w:r>
      <w:r w:rsidR="00E508B9" w:rsidRPr="001F061A">
        <w:rPr>
          <w:lang w:val="es-419"/>
        </w:rPr>
        <w:t xml:space="preserve">  </w:t>
      </w:r>
    </w:p>
    <w:p w14:paraId="506D0AFF" w14:textId="7B2A82BB" w:rsidR="00E508B9" w:rsidRPr="001F061A" w:rsidRDefault="009B501D" w:rsidP="009B501D">
      <w:pPr>
        <w:pStyle w:val="ONUMFS"/>
        <w:rPr>
          <w:lang w:val="es-419"/>
        </w:rPr>
      </w:pPr>
      <w:r w:rsidRPr="001F061A">
        <w:rPr>
          <w:lang w:val="es-419"/>
        </w:rPr>
        <w:t xml:space="preserve">Se invita al grupo de expertos </w:t>
      </w:r>
      <w:r w:rsidRPr="001F061A">
        <w:rPr>
          <w:i/>
          <w:lang w:val="es-419"/>
        </w:rPr>
        <w:t>ad hoc</w:t>
      </w:r>
      <w:r w:rsidRPr="001F061A">
        <w:rPr>
          <w:lang w:val="es-419"/>
        </w:rPr>
        <w:t xml:space="preserve"> a que considere la forma adecuada de abordar las formalidades, a nivel internacional, para la protección de los CC.TT. y las ECT.</w:t>
      </w:r>
    </w:p>
    <w:p w14:paraId="520132B2" w14:textId="2A44DD3B" w:rsidR="00E508B9" w:rsidRPr="001F061A" w:rsidRDefault="00667675" w:rsidP="00E508B9">
      <w:pPr>
        <w:pStyle w:val="ListParagraph"/>
        <w:ind w:left="0"/>
        <w:rPr>
          <w:b/>
          <w:lang w:val="es-419"/>
        </w:rPr>
      </w:pPr>
      <w:r w:rsidRPr="001F061A">
        <w:rPr>
          <w:b/>
          <w:lang w:val="es-419"/>
        </w:rPr>
        <w:t>Trato nacional</w:t>
      </w:r>
    </w:p>
    <w:p w14:paraId="1302C2A4" w14:textId="77777777" w:rsidR="00E508B9" w:rsidRPr="001F061A" w:rsidRDefault="00E508B9" w:rsidP="00E508B9">
      <w:pPr>
        <w:pStyle w:val="ListParagraph"/>
        <w:ind w:left="0"/>
        <w:rPr>
          <w:lang w:val="es-419"/>
        </w:rPr>
      </w:pPr>
    </w:p>
    <w:p w14:paraId="6BF1B73C" w14:textId="3068AA2B" w:rsidR="00E508B9" w:rsidRPr="001F061A" w:rsidRDefault="00EC14BA" w:rsidP="009B501D">
      <w:pPr>
        <w:pStyle w:val="ONUMFS"/>
        <w:rPr>
          <w:lang w:val="es-419"/>
        </w:rPr>
      </w:pPr>
      <w:r w:rsidRPr="001F061A">
        <w:rPr>
          <w:lang w:val="es-419"/>
        </w:rPr>
        <w:t xml:space="preserve">El "trato nacional" es un principio según el cual </w:t>
      </w:r>
      <w:r w:rsidR="00B54010" w:rsidRPr="001F061A">
        <w:rPr>
          <w:lang w:val="es-419"/>
        </w:rPr>
        <w:t>cada país</w:t>
      </w:r>
      <w:r w:rsidRPr="001F061A">
        <w:rPr>
          <w:lang w:val="es-419"/>
        </w:rPr>
        <w:t xml:space="preserve"> debe conceder a los poseedores extranjeros de CC.TT. y ECT un trato al menos tan favorable como el que concede a los titulares nacionales de CC.TT. en circunstancias similares. En este sentido, las normas de trato nacional pretenden garantizar cierto grado de igualdad jurídica entre poseedores extranjeros y </w:t>
      </w:r>
      <w:r w:rsidR="00B54010" w:rsidRPr="001F061A">
        <w:rPr>
          <w:lang w:val="es-419"/>
        </w:rPr>
        <w:t xml:space="preserve">poseedores </w:t>
      </w:r>
      <w:r w:rsidRPr="001F061A">
        <w:rPr>
          <w:lang w:val="es-419"/>
        </w:rPr>
        <w:t xml:space="preserve">nacionales de CC.TT. y ECT. Es importante señalar que el trato nacional es una norma relativa cuyo contenido depende </w:t>
      </w:r>
      <w:r w:rsidR="00B54010" w:rsidRPr="001F061A">
        <w:rPr>
          <w:lang w:val="es-419"/>
        </w:rPr>
        <w:t xml:space="preserve">del </w:t>
      </w:r>
      <w:r w:rsidRPr="001F061A">
        <w:rPr>
          <w:lang w:val="es-419"/>
        </w:rPr>
        <w:t>trato dispensado a los poseedores nacionales de CC.TT. y ECT.</w:t>
      </w:r>
      <w:r w:rsidR="00E508B9" w:rsidRPr="001F061A">
        <w:rPr>
          <w:lang w:val="es-419"/>
        </w:rPr>
        <w:t xml:space="preserve"> </w:t>
      </w:r>
    </w:p>
    <w:p w14:paraId="73964743" w14:textId="32DDFAD9" w:rsidR="00E508B9" w:rsidRPr="001F061A" w:rsidRDefault="006F2C52" w:rsidP="009B501D">
      <w:pPr>
        <w:pStyle w:val="ONUMFS"/>
        <w:rPr>
          <w:lang w:val="es-419"/>
        </w:rPr>
      </w:pPr>
      <w:r w:rsidRPr="001F061A">
        <w:rPr>
          <w:lang w:val="es-419"/>
        </w:rPr>
        <w:t xml:space="preserve">A la luz de los precedentes y de la experiencia adquirida en el ámbito de la PI, </w:t>
      </w:r>
      <w:r w:rsidR="00B54010" w:rsidRPr="001F061A">
        <w:rPr>
          <w:lang w:val="es-419"/>
        </w:rPr>
        <w:t>aplicar el principio de</w:t>
      </w:r>
      <w:r w:rsidRPr="001F061A">
        <w:rPr>
          <w:lang w:val="es-419"/>
        </w:rPr>
        <w:t xml:space="preserve"> trato nacional parecería ser</w:t>
      </w:r>
      <w:r w:rsidR="00B54010" w:rsidRPr="001F061A">
        <w:rPr>
          <w:lang w:val="es-419"/>
        </w:rPr>
        <w:t xml:space="preserve"> el punto de partida adecuado. </w:t>
      </w:r>
      <w:r w:rsidRPr="001F061A">
        <w:rPr>
          <w:lang w:val="es-419"/>
        </w:rPr>
        <w:t xml:space="preserve">Sin embargo, la propia naturaleza de los CC.TT. y las ECT y las formas </w:t>
      </w:r>
      <w:r w:rsidRPr="001F061A">
        <w:rPr>
          <w:i/>
          <w:lang w:val="es-419"/>
        </w:rPr>
        <w:t>sui generis</w:t>
      </w:r>
      <w:r w:rsidRPr="001F061A">
        <w:rPr>
          <w:lang w:val="es-419"/>
        </w:rPr>
        <w:t xml:space="preserve"> de protección pueden requerir que el trato nacional se complemente con determinadas excepciones y limitaciones u otros principios como el reconocimiento mutuo y la reciprocidad.</w:t>
      </w:r>
      <w:r w:rsidR="00E508B9" w:rsidRPr="001F061A">
        <w:rPr>
          <w:lang w:val="es-419"/>
        </w:rPr>
        <w:t xml:space="preserve"> </w:t>
      </w:r>
    </w:p>
    <w:p w14:paraId="0817C1D5" w14:textId="305D6013" w:rsidR="00E508B9" w:rsidRPr="001F061A" w:rsidRDefault="0060679D" w:rsidP="0060679D">
      <w:pPr>
        <w:pStyle w:val="ONUMFS"/>
        <w:rPr>
          <w:lang w:val="es-419"/>
        </w:rPr>
      </w:pPr>
      <w:r w:rsidRPr="001F061A">
        <w:rPr>
          <w:lang w:val="es-419"/>
        </w:rPr>
        <w:t xml:space="preserve">La protección de los titulares extranjeros de derechos sobre CC.TT. y ECT es una cuestión compleja. Habida cuenta de dicha complejidad, se invita al grupo de expertos </w:t>
      </w:r>
      <w:r w:rsidRPr="001F061A">
        <w:rPr>
          <w:i/>
          <w:lang w:val="es-419"/>
        </w:rPr>
        <w:t>ad hoc</w:t>
      </w:r>
      <w:r w:rsidRPr="001F061A">
        <w:rPr>
          <w:lang w:val="es-419"/>
        </w:rPr>
        <w:t xml:space="preserve"> a que proporcione al CIG orientaciones específicas sobre esa cuestión técnica.</w:t>
      </w:r>
    </w:p>
    <w:p w14:paraId="7F1F9987" w14:textId="4F7E8D6B" w:rsidR="00E508B9" w:rsidRPr="001F061A" w:rsidRDefault="0060679D" w:rsidP="00E508B9">
      <w:pPr>
        <w:pStyle w:val="ListParagraph"/>
        <w:ind w:left="0"/>
        <w:rPr>
          <w:b/>
          <w:lang w:val="es-419"/>
        </w:rPr>
      </w:pPr>
      <w:r w:rsidRPr="001F061A">
        <w:rPr>
          <w:rFonts w:eastAsia="DengXian"/>
          <w:b/>
          <w:szCs w:val="22"/>
          <w:lang w:val="es-419"/>
        </w:rPr>
        <w:t>Cooperación transfronteriza</w:t>
      </w:r>
    </w:p>
    <w:p w14:paraId="7A51BBF0" w14:textId="77777777" w:rsidR="00E508B9" w:rsidRPr="001F061A" w:rsidRDefault="00E508B9" w:rsidP="00E508B9">
      <w:pPr>
        <w:rPr>
          <w:lang w:val="es-419"/>
        </w:rPr>
      </w:pPr>
    </w:p>
    <w:p w14:paraId="2CA3D59B" w14:textId="2D42AD7D" w:rsidR="00E508B9" w:rsidRPr="001F061A" w:rsidRDefault="0060679D" w:rsidP="0060679D">
      <w:pPr>
        <w:pStyle w:val="ONUMFS"/>
        <w:rPr>
          <w:lang w:val="es-419"/>
        </w:rPr>
      </w:pPr>
      <w:r w:rsidRPr="001F061A">
        <w:rPr>
          <w:lang w:val="es-419"/>
        </w:rPr>
        <w:t xml:space="preserve">La cooperación transfronteriza plantea la importantísima cuestión de los CC.TT. y las ECT comunes a ambos lados de </w:t>
      </w:r>
      <w:r w:rsidR="00B54010" w:rsidRPr="001F061A">
        <w:rPr>
          <w:lang w:val="es-419"/>
        </w:rPr>
        <w:t>una</w:t>
      </w:r>
      <w:r w:rsidRPr="001F061A">
        <w:rPr>
          <w:lang w:val="es-419"/>
        </w:rPr>
        <w:t xml:space="preserve"> frontera. Parece existir un acuerdo en el CIG en el sentido de que los países interesados deben cooperar para tratar las cuestiones relacionadas con los CC.TT. y las ECT compartidos.</w:t>
      </w:r>
      <w:r w:rsidR="00E508B9" w:rsidRPr="001F061A">
        <w:rPr>
          <w:lang w:val="es-419"/>
        </w:rPr>
        <w:t xml:space="preserve"> </w:t>
      </w:r>
    </w:p>
    <w:p w14:paraId="333FF82B" w14:textId="6F224F6F" w:rsidR="00D62E7C" w:rsidRPr="001F061A" w:rsidRDefault="0060679D" w:rsidP="0060679D">
      <w:pPr>
        <w:pStyle w:val="ONUMFS"/>
        <w:rPr>
          <w:lang w:val="es-419"/>
        </w:rPr>
      </w:pPr>
      <w:r w:rsidRPr="001F061A">
        <w:rPr>
          <w:lang w:val="es-419"/>
        </w:rPr>
        <w:t xml:space="preserve">Se invita al grupo de expertos </w:t>
      </w:r>
      <w:r w:rsidRPr="001F061A">
        <w:rPr>
          <w:i/>
          <w:lang w:val="es-419"/>
        </w:rPr>
        <w:t>ad hoc</w:t>
      </w:r>
      <w:r w:rsidRPr="001F061A">
        <w:rPr>
          <w:lang w:val="es-419"/>
        </w:rPr>
        <w:t xml:space="preserve"> a sugerir la forma más adecuada de redactar los textos relativos a los CC.TT. y las ECT para su examen por el CIG</w:t>
      </w:r>
      <w:r w:rsidR="00E508B9" w:rsidRPr="001F061A">
        <w:rPr>
          <w:lang w:val="es-419"/>
        </w:rPr>
        <w:t xml:space="preserve">.  </w:t>
      </w:r>
    </w:p>
    <w:p w14:paraId="02378276" w14:textId="1CFA346F" w:rsidR="00E77050" w:rsidRPr="001F061A" w:rsidRDefault="00524EF9" w:rsidP="00B7509B">
      <w:pPr>
        <w:keepNext/>
        <w:spacing w:after="120"/>
        <w:outlineLvl w:val="0"/>
        <w:rPr>
          <w:b/>
          <w:lang w:val="es-419"/>
        </w:rPr>
      </w:pPr>
      <w:r w:rsidRPr="001F061A">
        <w:rPr>
          <w:b/>
          <w:lang w:val="es-419"/>
        </w:rPr>
        <w:lastRenderedPageBreak/>
        <w:t>Recursos de utilidad</w:t>
      </w:r>
    </w:p>
    <w:p w14:paraId="2EEE05C1" w14:textId="15B77600" w:rsidR="00E77050" w:rsidRPr="001F061A" w:rsidRDefault="00E77050" w:rsidP="00B7509B">
      <w:pPr>
        <w:pStyle w:val="ONUMFS"/>
        <w:keepNext/>
        <w:rPr>
          <w:lang w:val="es-419"/>
        </w:rPr>
      </w:pPr>
      <w:r w:rsidRPr="001F061A">
        <w:rPr>
          <w:lang w:val="es-419"/>
        </w:rPr>
        <w:t xml:space="preserve">En el sitio web de la OMPI hay recursos provechosos que el grupo de </w:t>
      </w:r>
      <w:r w:rsidR="003623EC" w:rsidRPr="001F061A">
        <w:rPr>
          <w:lang w:val="es-419"/>
        </w:rPr>
        <w:t>expertos</w:t>
      </w:r>
      <w:r w:rsidRPr="001F061A">
        <w:rPr>
          <w:lang w:val="es-419"/>
        </w:rPr>
        <w:t xml:space="preserve"> </w:t>
      </w:r>
      <w:r w:rsidRPr="001F061A">
        <w:rPr>
          <w:i/>
          <w:lang w:val="es-419"/>
        </w:rPr>
        <w:t xml:space="preserve">ad hoc </w:t>
      </w:r>
      <w:r w:rsidRPr="001F061A">
        <w:rPr>
          <w:lang w:val="es-419"/>
        </w:rPr>
        <w:t>puede utilizar como material de referencia, por ejemplo:</w:t>
      </w:r>
    </w:p>
    <w:p w14:paraId="3BCCFD8C" w14:textId="185EE6A1" w:rsidR="00DC20FA" w:rsidRPr="001F061A" w:rsidRDefault="00DC20FA" w:rsidP="00CD5625">
      <w:pPr>
        <w:pStyle w:val="ListParagraph"/>
        <w:numPr>
          <w:ilvl w:val="0"/>
          <w:numId w:val="4"/>
        </w:numPr>
        <w:ind w:left="1134" w:hanging="567"/>
        <w:rPr>
          <w:lang w:val="es-419"/>
        </w:rPr>
      </w:pPr>
      <w:r w:rsidRPr="001F061A">
        <w:rPr>
          <w:lang w:val="es-419"/>
        </w:rPr>
        <w:t>WIPO/GRTKF/IC/4</w:t>
      </w:r>
      <w:r w:rsidR="00655296" w:rsidRPr="001F061A">
        <w:rPr>
          <w:lang w:val="es-419"/>
        </w:rPr>
        <w:t>6</w:t>
      </w:r>
      <w:r w:rsidRPr="001F061A">
        <w:rPr>
          <w:lang w:val="es-419"/>
        </w:rPr>
        <w:t>/4:</w:t>
      </w:r>
      <w:r w:rsidR="00CD5625" w:rsidRPr="001F061A">
        <w:rPr>
          <w:lang w:val="es-419"/>
        </w:rPr>
        <w:t xml:space="preserve"> </w:t>
      </w:r>
      <w:r w:rsidRPr="001F061A">
        <w:rPr>
          <w:lang w:val="es-419"/>
        </w:rPr>
        <w:t>La protección de los conocimientos tradicionales:</w:t>
      </w:r>
      <w:r w:rsidR="00D340F9" w:rsidRPr="001F061A">
        <w:rPr>
          <w:lang w:val="es-419"/>
        </w:rPr>
        <w:t xml:space="preserve"> </w:t>
      </w:r>
      <w:r w:rsidRPr="001F061A">
        <w:rPr>
          <w:lang w:val="es-419"/>
        </w:rPr>
        <w:t xml:space="preserve">Proyecto de artículos: </w:t>
      </w:r>
      <w:hyperlink r:id="rId9" w:history="1">
        <w:r w:rsidR="00655296" w:rsidRPr="001F061A">
          <w:rPr>
            <w:rStyle w:val="Hyperlink"/>
            <w:lang w:val="es-419"/>
          </w:rPr>
          <w:t>https://www.wipo.int/meetings/es/doc_details.jsp?doc_id=595651</w:t>
        </w:r>
      </w:hyperlink>
      <w:r w:rsidRPr="001F061A">
        <w:rPr>
          <w:lang w:val="es-419"/>
        </w:rPr>
        <w:t xml:space="preserve"> </w:t>
      </w:r>
    </w:p>
    <w:p w14:paraId="06A11501" w14:textId="77777777" w:rsidR="00DC20FA" w:rsidRPr="001F061A" w:rsidRDefault="00DC20FA" w:rsidP="00CD5625">
      <w:pPr>
        <w:pStyle w:val="ListParagraph"/>
        <w:ind w:left="1134" w:hanging="567"/>
        <w:rPr>
          <w:lang w:val="es-419"/>
        </w:rPr>
      </w:pPr>
    </w:p>
    <w:p w14:paraId="599B8A08" w14:textId="55F45E47" w:rsidR="00DC20FA" w:rsidRPr="001F061A" w:rsidRDefault="00DC20FA" w:rsidP="00CD5625">
      <w:pPr>
        <w:pStyle w:val="ListParagraph"/>
        <w:numPr>
          <w:ilvl w:val="0"/>
          <w:numId w:val="4"/>
        </w:numPr>
        <w:ind w:left="1134" w:hanging="567"/>
        <w:rPr>
          <w:lang w:val="es-419"/>
        </w:rPr>
      </w:pPr>
      <w:r w:rsidRPr="001F061A">
        <w:rPr>
          <w:lang w:val="es-419"/>
        </w:rPr>
        <w:t>WIPO/GRTKF/IC/4</w:t>
      </w:r>
      <w:r w:rsidR="00655296" w:rsidRPr="001F061A">
        <w:rPr>
          <w:lang w:val="es-419"/>
        </w:rPr>
        <w:t>6</w:t>
      </w:r>
      <w:r w:rsidRPr="001F061A">
        <w:rPr>
          <w:lang w:val="es-419"/>
        </w:rPr>
        <w:t>/5: La protección de las expresiones culturales tradicionales:</w:t>
      </w:r>
      <w:r w:rsidR="00D340F9" w:rsidRPr="001F061A">
        <w:rPr>
          <w:lang w:val="es-419"/>
        </w:rPr>
        <w:t xml:space="preserve"> </w:t>
      </w:r>
      <w:r w:rsidRPr="001F061A">
        <w:rPr>
          <w:lang w:val="es-419"/>
        </w:rPr>
        <w:t xml:space="preserve">Proyecto de artículos, </w:t>
      </w:r>
      <w:hyperlink r:id="rId10" w:history="1">
        <w:r w:rsidR="00655296" w:rsidRPr="001F061A">
          <w:rPr>
            <w:rStyle w:val="Hyperlink"/>
            <w:lang w:val="es-419"/>
          </w:rPr>
          <w:t>https://www.wipo.int/meetings/es/doc_details.jsp?doc_id=595653</w:t>
        </w:r>
      </w:hyperlink>
      <w:r w:rsidRPr="001F061A">
        <w:rPr>
          <w:lang w:val="es-419"/>
        </w:rPr>
        <w:t xml:space="preserve"> </w:t>
      </w:r>
    </w:p>
    <w:p w14:paraId="7E7D8EB3" w14:textId="77777777" w:rsidR="00DC20FA" w:rsidRPr="001F061A" w:rsidRDefault="00DC20FA" w:rsidP="00CD5625">
      <w:pPr>
        <w:pStyle w:val="ListParagraph"/>
        <w:ind w:left="1134" w:hanging="567"/>
        <w:rPr>
          <w:lang w:val="es-419"/>
        </w:rPr>
      </w:pPr>
    </w:p>
    <w:p w14:paraId="08737218" w14:textId="46A1557F" w:rsidR="00E77050" w:rsidRPr="001F061A" w:rsidRDefault="000F2E91" w:rsidP="00CD5625">
      <w:pPr>
        <w:pStyle w:val="ListParagraph"/>
        <w:numPr>
          <w:ilvl w:val="0"/>
          <w:numId w:val="4"/>
        </w:numPr>
        <w:ind w:left="1134" w:hanging="567"/>
        <w:rPr>
          <w:lang w:val="es-419"/>
        </w:rPr>
      </w:pPr>
      <w:r w:rsidRPr="001F061A">
        <w:rPr>
          <w:lang w:val="es-419"/>
        </w:rPr>
        <w:t>WIPO/GRTKF/IC/4</w:t>
      </w:r>
      <w:r w:rsidR="00655296" w:rsidRPr="001F061A">
        <w:rPr>
          <w:lang w:val="es-419"/>
        </w:rPr>
        <w:t>6</w:t>
      </w:r>
      <w:r w:rsidRPr="001F061A">
        <w:rPr>
          <w:lang w:val="es-419"/>
        </w:rPr>
        <w:t>/6: La protección de los conocimientos tradicionales:</w:t>
      </w:r>
      <w:r w:rsidR="00D340F9" w:rsidRPr="001F061A">
        <w:rPr>
          <w:lang w:val="es-419"/>
        </w:rPr>
        <w:t xml:space="preserve"> </w:t>
      </w:r>
      <w:r w:rsidRPr="001F061A">
        <w:rPr>
          <w:lang w:val="es-419"/>
        </w:rPr>
        <w:t xml:space="preserve">Proyecto actualizado de análisis de las carencias, </w:t>
      </w:r>
      <w:hyperlink r:id="rId11" w:history="1">
        <w:r w:rsidR="00A32E92" w:rsidRPr="001F061A">
          <w:rPr>
            <w:rStyle w:val="Hyperlink"/>
            <w:lang w:val="es-419"/>
          </w:rPr>
          <w:t>https://www.wipo.int/meetings/es/doc_details.jsp?doc_id=595573</w:t>
        </w:r>
      </w:hyperlink>
      <w:r w:rsidRPr="001F061A">
        <w:rPr>
          <w:lang w:val="es-419"/>
        </w:rPr>
        <w:t xml:space="preserve"> </w:t>
      </w:r>
    </w:p>
    <w:p w14:paraId="4FECBC6A" w14:textId="77777777" w:rsidR="00E77050" w:rsidRPr="001F061A" w:rsidRDefault="00E77050" w:rsidP="00CD5625">
      <w:pPr>
        <w:pStyle w:val="ListParagraph"/>
        <w:ind w:left="1134" w:hanging="567"/>
        <w:rPr>
          <w:lang w:val="es-419"/>
        </w:rPr>
      </w:pPr>
    </w:p>
    <w:p w14:paraId="4805031A" w14:textId="67C0A997" w:rsidR="00E77050" w:rsidRPr="001F061A" w:rsidRDefault="00DC20FA" w:rsidP="00CD5625">
      <w:pPr>
        <w:pStyle w:val="ListParagraph"/>
        <w:numPr>
          <w:ilvl w:val="0"/>
          <w:numId w:val="4"/>
        </w:numPr>
        <w:ind w:left="1134" w:hanging="567"/>
        <w:rPr>
          <w:lang w:val="es-419"/>
        </w:rPr>
      </w:pPr>
      <w:r w:rsidRPr="001F061A">
        <w:rPr>
          <w:lang w:val="es-419"/>
        </w:rPr>
        <w:t>WIPO/GRTKF/IC/4</w:t>
      </w:r>
      <w:r w:rsidR="00A32E92" w:rsidRPr="001F061A">
        <w:rPr>
          <w:lang w:val="es-419"/>
        </w:rPr>
        <w:t>6</w:t>
      </w:r>
      <w:r w:rsidRPr="001F061A">
        <w:rPr>
          <w:lang w:val="es-419"/>
        </w:rPr>
        <w:t>/7: La protección de los conocimientos tradicionales:</w:t>
      </w:r>
      <w:r w:rsidR="00D340F9" w:rsidRPr="001F061A">
        <w:rPr>
          <w:lang w:val="es-419"/>
        </w:rPr>
        <w:t xml:space="preserve"> </w:t>
      </w:r>
      <w:r w:rsidRPr="001F061A">
        <w:rPr>
          <w:lang w:val="es-419"/>
        </w:rPr>
        <w:t>Proyecto actualizado de análisis de las carencias</w:t>
      </w:r>
      <w:r w:rsidR="00A32E92" w:rsidRPr="001F061A">
        <w:rPr>
          <w:lang w:val="es-419"/>
        </w:rPr>
        <w:t xml:space="preserve">, </w:t>
      </w:r>
      <w:hyperlink r:id="rId12" w:history="1">
        <w:r w:rsidR="00A32E92" w:rsidRPr="001F061A">
          <w:rPr>
            <w:rStyle w:val="Hyperlink"/>
            <w:lang w:val="es-419"/>
          </w:rPr>
          <w:t>https://www.wipo.int/meetings/es/doc_details.jsp?doc_id=595591</w:t>
        </w:r>
      </w:hyperlink>
      <w:r w:rsidR="00D340F9" w:rsidRPr="001F061A">
        <w:rPr>
          <w:lang w:val="es-419"/>
        </w:rPr>
        <w:t xml:space="preserve"> </w:t>
      </w:r>
    </w:p>
    <w:p w14:paraId="0354D910" w14:textId="77777777" w:rsidR="00E77050" w:rsidRPr="001F061A" w:rsidRDefault="00E77050" w:rsidP="00CD5625">
      <w:pPr>
        <w:pStyle w:val="ListParagraph"/>
        <w:ind w:left="1134" w:hanging="567"/>
        <w:rPr>
          <w:lang w:val="es-419"/>
        </w:rPr>
      </w:pPr>
    </w:p>
    <w:p w14:paraId="6917DB67" w14:textId="540C13DB" w:rsidR="00E77050" w:rsidRPr="001F061A" w:rsidRDefault="00E77050" w:rsidP="00CD5625">
      <w:pPr>
        <w:pStyle w:val="ListParagraph"/>
        <w:numPr>
          <w:ilvl w:val="0"/>
          <w:numId w:val="4"/>
        </w:numPr>
        <w:ind w:left="1134" w:hanging="567"/>
        <w:rPr>
          <w:lang w:val="es-419"/>
        </w:rPr>
      </w:pPr>
      <w:r w:rsidRPr="001F061A">
        <w:rPr>
          <w:lang w:val="es-419"/>
        </w:rPr>
        <w:t xml:space="preserve">WIPO/GRTKF/IC/17/INF/8: Nota sobre los significados de la expresión </w:t>
      </w:r>
      <w:r w:rsidR="00524EF9" w:rsidRPr="001F061A">
        <w:rPr>
          <w:lang w:val="es-419"/>
        </w:rPr>
        <w:t>“</w:t>
      </w:r>
      <w:r w:rsidRPr="001F061A">
        <w:rPr>
          <w:lang w:val="es-419"/>
        </w:rPr>
        <w:t>dominio público</w:t>
      </w:r>
      <w:r w:rsidR="00524EF9" w:rsidRPr="001F061A">
        <w:rPr>
          <w:lang w:val="es-419"/>
        </w:rPr>
        <w:t>”</w:t>
      </w:r>
      <w:r w:rsidRPr="001F061A">
        <w:rPr>
          <w:lang w:val="es-419"/>
        </w:rPr>
        <w:t xml:space="preserve"> en el si</w:t>
      </w:r>
      <w:bookmarkStart w:id="5" w:name="_GoBack"/>
      <w:bookmarkEnd w:id="5"/>
      <w:r w:rsidRPr="001F061A">
        <w:rPr>
          <w:lang w:val="es-419"/>
        </w:rPr>
        <w:t xml:space="preserve">stema de propiedad intelectual, con referencia especial a la protección de los conocimientos tradicionales y las expresiones culturales tradicionales/expresiones del folclore, </w:t>
      </w:r>
      <w:hyperlink r:id="rId13" w:history="1">
        <w:r w:rsidRPr="001F061A">
          <w:rPr>
            <w:rStyle w:val="Hyperlink"/>
            <w:color w:val="0000FF"/>
            <w:lang w:val="es-419"/>
          </w:rPr>
          <w:t>https://www.wipo.int/meetings/en/doc_details.jsp?doc_id=149213</w:t>
        </w:r>
      </w:hyperlink>
      <w:r w:rsidRPr="001F061A">
        <w:rPr>
          <w:lang w:val="es-419"/>
        </w:rPr>
        <w:t xml:space="preserve"> </w:t>
      </w:r>
    </w:p>
    <w:p w14:paraId="5348FF25" w14:textId="77777777" w:rsidR="00E77050" w:rsidRPr="001F061A" w:rsidRDefault="00E77050" w:rsidP="00CD5625">
      <w:pPr>
        <w:pStyle w:val="ListParagraph"/>
        <w:ind w:left="1134" w:hanging="567"/>
        <w:rPr>
          <w:lang w:val="es-419"/>
        </w:rPr>
      </w:pPr>
    </w:p>
    <w:p w14:paraId="32712188" w14:textId="17DDDFED" w:rsidR="00E77050" w:rsidRPr="001F061A" w:rsidRDefault="00E77050" w:rsidP="00CD5625">
      <w:pPr>
        <w:pStyle w:val="ListParagraph"/>
        <w:numPr>
          <w:ilvl w:val="0"/>
          <w:numId w:val="4"/>
        </w:numPr>
        <w:ind w:left="1134" w:hanging="567"/>
        <w:rPr>
          <w:lang w:val="es-419"/>
        </w:rPr>
      </w:pPr>
      <w:r w:rsidRPr="001F061A">
        <w:rPr>
          <w:lang w:val="es-419"/>
        </w:rPr>
        <w:t xml:space="preserve">WIPO/GRTKF/IC/17/INF/9: Lista y breve descripción técnica de las diversas formas que pueden presentar los conocimientos tradicionales, </w:t>
      </w:r>
      <w:hyperlink r:id="rId14" w:history="1">
        <w:r w:rsidRPr="001F061A">
          <w:rPr>
            <w:rStyle w:val="Hyperlink"/>
            <w:color w:val="0000FF"/>
            <w:lang w:val="es-419"/>
          </w:rPr>
          <w:t>https://www.wipo.int/meetings/es/doc_details.jsp?doc_id=147152</w:t>
        </w:r>
      </w:hyperlink>
      <w:r w:rsidRPr="001F061A">
        <w:rPr>
          <w:lang w:val="es-419"/>
        </w:rPr>
        <w:t xml:space="preserve">; </w:t>
      </w:r>
    </w:p>
    <w:p w14:paraId="1438822A" w14:textId="77777777" w:rsidR="00A32E92" w:rsidRPr="001F061A" w:rsidRDefault="00A32E92" w:rsidP="00CD5625">
      <w:pPr>
        <w:pStyle w:val="ListParagraph"/>
        <w:ind w:left="1134" w:hanging="567"/>
        <w:rPr>
          <w:lang w:val="es-419"/>
        </w:rPr>
      </w:pPr>
    </w:p>
    <w:p w14:paraId="16037FEA" w14:textId="77777777" w:rsidR="00A32E92" w:rsidRPr="001F061A" w:rsidRDefault="00A32E92" w:rsidP="00CD5625">
      <w:pPr>
        <w:pStyle w:val="ListParagraph"/>
        <w:numPr>
          <w:ilvl w:val="0"/>
          <w:numId w:val="4"/>
        </w:numPr>
        <w:ind w:left="1134" w:hanging="567"/>
        <w:rPr>
          <w:lang w:val="es-419"/>
        </w:rPr>
      </w:pPr>
      <w:r w:rsidRPr="001F061A">
        <w:rPr>
          <w:lang w:val="es-419"/>
        </w:rPr>
        <w:t>Customary Law, Traditional Knowledge and Intellectual Property: An Outline of the Issues</w:t>
      </w:r>
    </w:p>
    <w:p w14:paraId="1F4F00F6" w14:textId="77777777" w:rsidR="00A32E92" w:rsidRPr="001F061A" w:rsidRDefault="001F061A" w:rsidP="00CD5625">
      <w:pPr>
        <w:pStyle w:val="ListParagraph"/>
        <w:ind w:left="1134"/>
        <w:rPr>
          <w:lang w:val="es-419"/>
        </w:rPr>
      </w:pPr>
      <w:hyperlink r:id="rId15" w:history="1">
        <w:r w:rsidR="00A32E92" w:rsidRPr="001F061A">
          <w:rPr>
            <w:rStyle w:val="Hyperlink"/>
            <w:lang w:val="es-419"/>
          </w:rPr>
          <w:t>https://www.wipo.int/export/sites/www/tk/en/resources/pdf/overview_customary_law.pdf</w:t>
        </w:r>
      </w:hyperlink>
    </w:p>
    <w:p w14:paraId="3920383F" w14:textId="77777777" w:rsidR="00E77050" w:rsidRPr="001F061A" w:rsidRDefault="00E77050" w:rsidP="00CD5625">
      <w:pPr>
        <w:pStyle w:val="ListParagraph"/>
        <w:ind w:left="1134" w:hanging="567"/>
        <w:rPr>
          <w:lang w:val="es-419"/>
        </w:rPr>
      </w:pPr>
    </w:p>
    <w:p w14:paraId="241A9A90" w14:textId="790175DD" w:rsidR="00E77050" w:rsidRPr="001F061A" w:rsidRDefault="00E77050" w:rsidP="00CD5625">
      <w:pPr>
        <w:pStyle w:val="ListParagraph"/>
        <w:numPr>
          <w:ilvl w:val="0"/>
          <w:numId w:val="4"/>
        </w:numPr>
        <w:ind w:left="1134" w:hanging="567"/>
        <w:rPr>
          <w:lang w:val="es-419"/>
        </w:rPr>
      </w:pPr>
      <w:r w:rsidRPr="001F061A">
        <w:rPr>
          <w:lang w:val="es-419"/>
        </w:rPr>
        <w:t xml:space="preserve">Experiencias regionales, nacionales, locales y comunitarias: </w:t>
      </w:r>
      <w:hyperlink r:id="rId16" w:history="1">
        <w:r w:rsidRPr="001F061A">
          <w:rPr>
            <w:rStyle w:val="Hyperlink"/>
            <w:color w:val="0000FF"/>
            <w:lang w:val="es-419"/>
          </w:rPr>
          <w:t>https://www.wipo.int/tk/es/resources/tk_experiences.html</w:t>
        </w:r>
      </w:hyperlink>
      <w:r w:rsidRPr="001F061A">
        <w:rPr>
          <w:lang w:val="es-419"/>
        </w:rPr>
        <w:t xml:space="preserve"> </w:t>
      </w:r>
    </w:p>
    <w:p w14:paraId="2BA83957" w14:textId="77777777" w:rsidR="00E77050" w:rsidRPr="001F061A" w:rsidRDefault="00E77050" w:rsidP="00CD5625">
      <w:pPr>
        <w:ind w:left="1134" w:hanging="567"/>
        <w:rPr>
          <w:lang w:val="es-419"/>
        </w:rPr>
      </w:pPr>
    </w:p>
    <w:p w14:paraId="6FAC8CD4" w14:textId="05CC3C03" w:rsidR="00E77050" w:rsidRPr="001F061A" w:rsidRDefault="00E77050" w:rsidP="00CD5625">
      <w:pPr>
        <w:pStyle w:val="ListParagraph"/>
        <w:numPr>
          <w:ilvl w:val="0"/>
          <w:numId w:val="4"/>
        </w:numPr>
        <w:spacing w:after="600"/>
        <w:ind w:left="1134" w:hanging="567"/>
        <w:contextualSpacing w:val="0"/>
        <w:rPr>
          <w:lang w:val="es-419"/>
        </w:rPr>
      </w:pPr>
      <w:r w:rsidRPr="001F061A">
        <w:rPr>
          <w:lang w:val="es-419"/>
        </w:rPr>
        <w:t xml:space="preserve">Conferencias y ponencias sobre temas escogidos: </w:t>
      </w:r>
      <w:hyperlink r:id="rId17" w:anchor="4" w:history="1">
        <w:r w:rsidRPr="001F061A">
          <w:rPr>
            <w:rStyle w:val="Hyperlink"/>
            <w:color w:val="0000FF"/>
            <w:lang w:val="es-419"/>
          </w:rPr>
          <w:t>https://www.wipo.int/tk/es/resources/tk_experiences.html#4</w:t>
        </w:r>
      </w:hyperlink>
      <w:r w:rsidRPr="001F061A">
        <w:rPr>
          <w:lang w:val="es-419"/>
        </w:rPr>
        <w:t xml:space="preserve"> </w:t>
      </w:r>
    </w:p>
    <w:p w14:paraId="5A699644" w14:textId="77777777" w:rsidR="000D4BD5" w:rsidRPr="001F061A" w:rsidRDefault="000D4BD5" w:rsidP="00524EF9">
      <w:pPr>
        <w:pStyle w:val="Endofdocument-Annex"/>
        <w:rPr>
          <w:lang w:val="es-419"/>
        </w:rPr>
      </w:pPr>
      <w:r w:rsidRPr="001F061A">
        <w:rPr>
          <w:lang w:val="es-419"/>
        </w:rPr>
        <w:t>[Fin del documento]</w:t>
      </w:r>
    </w:p>
    <w:sectPr w:rsidR="000D4BD5" w:rsidRPr="001F061A" w:rsidSect="00267117">
      <w:headerReference w:type="even" r:id="rId18"/>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8042" w14:textId="77777777" w:rsidR="001A1782" w:rsidRDefault="001A1782">
      <w:r>
        <w:separator/>
      </w:r>
    </w:p>
  </w:endnote>
  <w:endnote w:type="continuationSeparator" w:id="0">
    <w:p w14:paraId="75777932" w14:textId="77777777" w:rsidR="001A1782" w:rsidRDefault="001A1782" w:rsidP="003B38C1">
      <w:r>
        <w:separator/>
      </w:r>
    </w:p>
    <w:p w14:paraId="03716E93" w14:textId="77777777" w:rsidR="001A1782" w:rsidRPr="00D340F9" w:rsidRDefault="001A1782" w:rsidP="003B38C1">
      <w:pPr>
        <w:spacing w:after="60"/>
        <w:rPr>
          <w:sz w:val="17"/>
          <w:lang w:val="en-US"/>
        </w:rPr>
      </w:pPr>
      <w:r w:rsidRPr="00D340F9">
        <w:rPr>
          <w:sz w:val="17"/>
          <w:lang w:val="en-US"/>
        </w:rPr>
        <w:t>[Endnote continued from previous page]</w:t>
      </w:r>
    </w:p>
  </w:endnote>
  <w:endnote w:type="continuationNotice" w:id="1">
    <w:p w14:paraId="239EEE8C" w14:textId="77777777" w:rsidR="001A1782" w:rsidRPr="00D340F9" w:rsidRDefault="001A1782" w:rsidP="003B38C1">
      <w:pPr>
        <w:spacing w:before="60"/>
        <w:jc w:val="right"/>
        <w:rPr>
          <w:sz w:val="17"/>
          <w:szCs w:val="17"/>
          <w:lang w:val="en-US"/>
        </w:rPr>
      </w:pPr>
      <w:r w:rsidRPr="00D340F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FDC2" w14:textId="77777777" w:rsidR="001A1782" w:rsidRDefault="001A1782">
      <w:r>
        <w:separator/>
      </w:r>
    </w:p>
  </w:footnote>
  <w:footnote w:type="continuationSeparator" w:id="0">
    <w:p w14:paraId="3AAD9B79" w14:textId="77777777" w:rsidR="001A1782" w:rsidRDefault="001A1782" w:rsidP="008B60B2">
      <w:r>
        <w:separator/>
      </w:r>
    </w:p>
    <w:p w14:paraId="31324C12" w14:textId="77777777" w:rsidR="001A1782" w:rsidRPr="00D340F9" w:rsidRDefault="001A1782" w:rsidP="008B60B2">
      <w:pPr>
        <w:spacing w:after="60"/>
        <w:rPr>
          <w:sz w:val="17"/>
          <w:szCs w:val="17"/>
          <w:lang w:val="en-US"/>
        </w:rPr>
      </w:pPr>
      <w:r w:rsidRPr="00D340F9">
        <w:rPr>
          <w:sz w:val="17"/>
          <w:szCs w:val="17"/>
          <w:lang w:val="en-US"/>
        </w:rPr>
        <w:t>[Footnote continued from previous page]</w:t>
      </w:r>
    </w:p>
  </w:footnote>
  <w:footnote w:type="continuationNotice" w:id="1">
    <w:p w14:paraId="346AEB30" w14:textId="77777777" w:rsidR="001A1782" w:rsidRPr="00D340F9" w:rsidRDefault="001A1782" w:rsidP="008B60B2">
      <w:pPr>
        <w:spacing w:before="60"/>
        <w:jc w:val="right"/>
        <w:rPr>
          <w:sz w:val="17"/>
          <w:szCs w:val="17"/>
          <w:lang w:val="en-US"/>
        </w:rPr>
      </w:pPr>
      <w:r w:rsidRPr="00D340F9">
        <w:rPr>
          <w:sz w:val="17"/>
          <w:szCs w:val="17"/>
          <w:lang w:val="en-US"/>
        </w:rPr>
        <w:t>[Footnote continued on next page]</w:t>
      </w:r>
    </w:p>
  </w:footnote>
  <w:footnote w:id="2">
    <w:p w14:paraId="42DFC864" w14:textId="634EA0FB" w:rsidR="00D476D5" w:rsidRPr="00D476D5" w:rsidRDefault="00D476D5" w:rsidP="00D476D5">
      <w:pPr>
        <w:pStyle w:val="FootnoteText"/>
        <w:ind w:left="499" w:hanging="499"/>
        <w:rPr>
          <w:szCs w:val="18"/>
        </w:rPr>
      </w:pPr>
      <w:r w:rsidRPr="00C925E2">
        <w:rPr>
          <w:rStyle w:val="FootnoteReference"/>
          <w:szCs w:val="18"/>
        </w:rPr>
        <w:footnoteRef/>
      </w:r>
      <w:r w:rsidRPr="00D476D5">
        <w:rPr>
          <w:szCs w:val="18"/>
        </w:rPr>
        <w:t xml:space="preserve"> </w:t>
      </w:r>
      <w:r w:rsidRPr="00D476D5">
        <w:rPr>
          <w:szCs w:val="18"/>
        </w:rPr>
        <w:tab/>
        <w:t>Proteger los derechos de la comunidad sobre los conocimientos tradicionales: repercusiones de las leyes y prácticas consuetudinarias. Seminario de planificación de la investigación, Cuzco (Perú), 20 a 25 de mayo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3EA8" w14:textId="5BA508A7" w:rsidR="00267117" w:rsidRPr="00750AD4" w:rsidRDefault="00655296" w:rsidP="00267117">
    <w:pPr>
      <w:jc w:val="right"/>
    </w:pPr>
    <w:r>
      <w:t>WIPO/IPTK-TCES/GE/23</w:t>
    </w:r>
    <w:r w:rsidR="00267117">
      <w:t>/2</w:t>
    </w:r>
  </w:p>
  <w:p w14:paraId="7F1C86CC" w14:textId="0B234945" w:rsidR="00267117" w:rsidRPr="00750AD4" w:rsidRDefault="00267117" w:rsidP="00267117">
    <w:pPr>
      <w:jc w:val="right"/>
    </w:pPr>
    <w:r>
      <w:t xml:space="preserve">página </w:t>
    </w:r>
    <w:r>
      <w:fldChar w:fldCharType="begin"/>
    </w:r>
    <w:r w:rsidRPr="00750AD4">
      <w:instrText xml:space="preserve"> PAGE  \* MERGEFORMAT </w:instrText>
    </w:r>
    <w:r>
      <w:fldChar w:fldCharType="separate"/>
    </w:r>
    <w:r w:rsidR="001F061A">
      <w:rPr>
        <w:noProof/>
      </w:rPr>
      <w:t>2</w:t>
    </w:r>
    <w:r>
      <w:fldChar w:fldCharType="end"/>
    </w:r>
  </w:p>
  <w:p w14:paraId="046C432A" w14:textId="77777777" w:rsidR="00267117" w:rsidRPr="00D340F9" w:rsidRDefault="00267117" w:rsidP="00267117">
    <w:pPr>
      <w:jc w:val="right"/>
    </w:pPr>
  </w:p>
  <w:p w14:paraId="485949E5" w14:textId="77777777" w:rsidR="00267117" w:rsidRPr="00D340F9" w:rsidRDefault="00267117" w:rsidP="0026711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F830799" w:rsidR="00EC4E49" w:rsidRPr="00750AD4" w:rsidRDefault="000D4BD5" w:rsidP="00477D6B">
    <w:pPr>
      <w:jc w:val="right"/>
    </w:pPr>
    <w:r>
      <w:t>WIPO/IPTK-TCES/GE/22/2</w:t>
    </w:r>
  </w:p>
  <w:p w14:paraId="301BE683" w14:textId="54766265" w:rsidR="00EC4E49" w:rsidRPr="00750AD4" w:rsidRDefault="00EC4E49" w:rsidP="00477D6B">
    <w:pPr>
      <w:jc w:val="right"/>
    </w:pPr>
    <w:r>
      <w:t xml:space="preserve">página </w:t>
    </w:r>
    <w:r>
      <w:fldChar w:fldCharType="begin"/>
    </w:r>
    <w:r w:rsidRPr="00750AD4">
      <w:instrText xml:space="preserve"> PAGE  \* MERGEFORMAT </w:instrText>
    </w:r>
    <w:r>
      <w:fldChar w:fldCharType="separate"/>
    </w:r>
    <w:r w:rsidR="001F061A">
      <w:rPr>
        <w:noProof/>
      </w:rPr>
      <w:t>3</w:t>
    </w:r>
    <w:r>
      <w:fldChar w:fldCharType="end"/>
    </w:r>
  </w:p>
  <w:p w14:paraId="3966F845" w14:textId="77777777" w:rsidR="00EC4E49" w:rsidRPr="00D340F9" w:rsidRDefault="00EC4E49" w:rsidP="00477D6B">
    <w:pPr>
      <w:jc w:val="right"/>
    </w:pPr>
  </w:p>
  <w:p w14:paraId="3E4F5040" w14:textId="77777777" w:rsidR="008A134B" w:rsidRPr="00D340F9"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E052BCA"/>
    <w:multiLevelType w:val="hybridMultilevel"/>
    <w:tmpl w:val="542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A3491C"/>
    <w:multiLevelType w:val="hybridMultilevel"/>
    <w:tmpl w:val="D21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5"/>
    <w:rsid w:val="00003BD6"/>
    <w:rsid w:val="00012180"/>
    <w:rsid w:val="0001278A"/>
    <w:rsid w:val="00024041"/>
    <w:rsid w:val="00031920"/>
    <w:rsid w:val="00033185"/>
    <w:rsid w:val="00036321"/>
    <w:rsid w:val="000411A6"/>
    <w:rsid w:val="00043CAA"/>
    <w:rsid w:val="000443E8"/>
    <w:rsid w:val="000611EE"/>
    <w:rsid w:val="0007215C"/>
    <w:rsid w:val="00075432"/>
    <w:rsid w:val="000807DB"/>
    <w:rsid w:val="000831C9"/>
    <w:rsid w:val="00084F25"/>
    <w:rsid w:val="00092261"/>
    <w:rsid w:val="000968ED"/>
    <w:rsid w:val="000A3302"/>
    <w:rsid w:val="000A6A46"/>
    <w:rsid w:val="000B290B"/>
    <w:rsid w:val="000D4BD5"/>
    <w:rsid w:val="000E2B93"/>
    <w:rsid w:val="000E69A5"/>
    <w:rsid w:val="000F2E91"/>
    <w:rsid w:val="000F33DB"/>
    <w:rsid w:val="000F5E56"/>
    <w:rsid w:val="001362EE"/>
    <w:rsid w:val="00150D56"/>
    <w:rsid w:val="001647D5"/>
    <w:rsid w:val="00165B76"/>
    <w:rsid w:val="00166A92"/>
    <w:rsid w:val="0017042D"/>
    <w:rsid w:val="00181199"/>
    <w:rsid w:val="0018292F"/>
    <w:rsid w:val="001832A6"/>
    <w:rsid w:val="00187B07"/>
    <w:rsid w:val="00187F6C"/>
    <w:rsid w:val="00191D11"/>
    <w:rsid w:val="001A1782"/>
    <w:rsid w:val="001A233E"/>
    <w:rsid w:val="001D088E"/>
    <w:rsid w:val="001F061A"/>
    <w:rsid w:val="001F084E"/>
    <w:rsid w:val="0021217E"/>
    <w:rsid w:val="00215CD5"/>
    <w:rsid w:val="00227C6C"/>
    <w:rsid w:val="00233C45"/>
    <w:rsid w:val="00256D87"/>
    <w:rsid w:val="002623D6"/>
    <w:rsid w:val="002634C4"/>
    <w:rsid w:val="00267117"/>
    <w:rsid w:val="00275B90"/>
    <w:rsid w:val="00276A9A"/>
    <w:rsid w:val="002921B8"/>
    <w:rsid w:val="002928D3"/>
    <w:rsid w:val="0029357E"/>
    <w:rsid w:val="002965AA"/>
    <w:rsid w:val="002B6D96"/>
    <w:rsid w:val="002C20A7"/>
    <w:rsid w:val="002C6856"/>
    <w:rsid w:val="002D4CCC"/>
    <w:rsid w:val="002D5CE0"/>
    <w:rsid w:val="002E0D90"/>
    <w:rsid w:val="002E3707"/>
    <w:rsid w:val="002F1FE6"/>
    <w:rsid w:val="002F4E68"/>
    <w:rsid w:val="002F7062"/>
    <w:rsid w:val="003010B3"/>
    <w:rsid w:val="00303705"/>
    <w:rsid w:val="00312F7F"/>
    <w:rsid w:val="00313FBF"/>
    <w:rsid w:val="00321AA5"/>
    <w:rsid w:val="00321FF0"/>
    <w:rsid w:val="003321D2"/>
    <w:rsid w:val="00332D35"/>
    <w:rsid w:val="00340AE9"/>
    <w:rsid w:val="00351AC7"/>
    <w:rsid w:val="00361450"/>
    <w:rsid w:val="003623EC"/>
    <w:rsid w:val="003673CF"/>
    <w:rsid w:val="0037092D"/>
    <w:rsid w:val="0037653F"/>
    <w:rsid w:val="003845C1"/>
    <w:rsid w:val="003A1EF3"/>
    <w:rsid w:val="003A6F89"/>
    <w:rsid w:val="003B1152"/>
    <w:rsid w:val="003B27D2"/>
    <w:rsid w:val="003B38C1"/>
    <w:rsid w:val="003C397C"/>
    <w:rsid w:val="003C63B9"/>
    <w:rsid w:val="003D12FC"/>
    <w:rsid w:val="003E1F8F"/>
    <w:rsid w:val="003E3795"/>
    <w:rsid w:val="003E5350"/>
    <w:rsid w:val="003F5634"/>
    <w:rsid w:val="004018A1"/>
    <w:rsid w:val="0040282C"/>
    <w:rsid w:val="00403511"/>
    <w:rsid w:val="00412E3A"/>
    <w:rsid w:val="00415138"/>
    <w:rsid w:val="004151EA"/>
    <w:rsid w:val="00415F38"/>
    <w:rsid w:val="00423E3E"/>
    <w:rsid w:val="00427AF4"/>
    <w:rsid w:val="0043177A"/>
    <w:rsid w:val="0043778A"/>
    <w:rsid w:val="00441DB4"/>
    <w:rsid w:val="004426F1"/>
    <w:rsid w:val="00442FEE"/>
    <w:rsid w:val="004563B8"/>
    <w:rsid w:val="0046251E"/>
    <w:rsid w:val="004647DA"/>
    <w:rsid w:val="00466271"/>
    <w:rsid w:val="004663FC"/>
    <w:rsid w:val="00474062"/>
    <w:rsid w:val="00477D6B"/>
    <w:rsid w:val="004B350D"/>
    <w:rsid w:val="004B3998"/>
    <w:rsid w:val="004C073A"/>
    <w:rsid w:val="004C79D5"/>
    <w:rsid w:val="004D2A4A"/>
    <w:rsid w:val="004F668B"/>
    <w:rsid w:val="005019FF"/>
    <w:rsid w:val="00516C2D"/>
    <w:rsid w:val="00517798"/>
    <w:rsid w:val="00520061"/>
    <w:rsid w:val="00521E04"/>
    <w:rsid w:val="00524EF9"/>
    <w:rsid w:val="00527CDC"/>
    <w:rsid w:val="00530376"/>
    <w:rsid w:val="0053057A"/>
    <w:rsid w:val="005428E7"/>
    <w:rsid w:val="00554401"/>
    <w:rsid w:val="00560A29"/>
    <w:rsid w:val="00562D1E"/>
    <w:rsid w:val="0056607C"/>
    <w:rsid w:val="00572A09"/>
    <w:rsid w:val="005859B5"/>
    <w:rsid w:val="005C0A74"/>
    <w:rsid w:val="005C4023"/>
    <w:rsid w:val="005C6649"/>
    <w:rsid w:val="005C7230"/>
    <w:rsid w:val="005D01E5"/>
    <w:rsid w:val="005E07C0"/>
    <w:rsid w:val="005E2472"/>
    <w:rsid w:val="005E4EC6"/>
    <w:rsid w:val="00601A98"/>
    <w:rsid w:val="0060323A"/>
    <w:rsid w:val="00604D1B"/>
    <w:rsid w:val="00605827"/>
    <w:rsid w:val="0060679D"/>
    <w:rsid w:val="006068B5"/>
    <w:rsid w:val="00610789"/>
    <w:rsid w:val="00616520"/>
    <w:rsid w:val="0062027D"/>
    <w:rsid w:val="006220F0"/>
    <w:rsid w:val="00623AE8"/>
    <w:rsid w:val="0063236D"/>
    <w:rsid w:val="00646050"/>
    <w:rsid w:val="00654696"/>
    <w:rsid w:val="00655296"/>
    <w:rsid w:val="00667675"/>
    <w:rsid w:val="006713CA"/>
    <w:rsid w:val="00676C5C"/>
    <w:rsid w:val="00680D49"/>
    <w:rsid w:val="0068164E"/>
    <w:rsid w:val="00683816"/>
    <w:rsid w:val="00685F65"/>
    <w:rsid w:val="006B7FC1"/>
    <w:rsid w:val="006D3C9F"/>
    <w:rsid w:val="006E279F"/>
    <w:rsid w:val="006F2C52"/>
    <w:rsid w:val="006F4E56"/>
    <w:rsid w:val="00704117"/>
    <w:rsid w:val="007043EE"/>
    <w:rsid w:val="007111E2"/>
    <w:rsid w:val="007301FA"/>
    <w:rsid w:val="007322A0"/>
    <w:rsid w:val="007435C7"/>
    <w:rsid w:val="00750AD4"/>
    <w:rsid w:val="00774DAD"/>
    <w:rsid w:val="007767BE"/>
    <w:rsid w:val="0079184B"/>
    <w:rsid w:val="007A1575"/>
    <w:rsid w:val="007B2BB5"/>
    <w:rsid w:val="007B44F7"/>
    <w:rsid w:val="007C17CA"/>
    <w:rsid w:val="007C4728"/>
    <w:rsid w:val="007C48E8"/>
    <w:rsid w:val="007D1613"/>
    <w:rsid w:val="007D4CD5"/>
    <w:rsid w:val="007E0693"/>
    <w:rsid w:val="007E46A9"/>
    <w:rsid w:val="007E4C0E"/>
    <w:rsid w:val="007E71EB"/>
    <w:rsid w:val="00816717"/>
    <w:rsid w:val="00816953"/>
    <w:rsid w:val="00830727"/>
    <w:rsid w:val="00834069"/>
    <w:rsid w:val="00844C5C"/>
    <w:rsid w:val="00846707"/>
    <w:rsid w:val="008467DB"/>
    <w:rsid w:val="00847939"/>
    <w:rsid w:val="0085040B"/>
    <w:rsid w:val="00853630"/>
    <w:rsid w:val="00856425"/>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50A4C"/>
    <w:rsid w:val="00951AC5"/>
    <w:rsid w:val="00966A22"/>
    <w:rsid w:val="0096722F"/>
    <w:rsid w:val="00967756"/>
    <w:rsid w:val="009769BC"/>
    <w:rsid w:val="00980286"/>
    <w:rsid w:val="00980803"/>
    <w:rsid w:val="00980843"/>
    <w:rsid w:val="009879B3"/>
    <w:rsid w:val="0099414F"/>
    <w:rsid w:val="009A0B04"/>
    <w:rsid w:val="009B07AD"/>
    <w:rsid w:val="009B0F43"/>
    <w:rsid w:val="009B501D"/>
    <w:rsid w:val="009C2752"/>
    <w:rsid w:val="009C3880"/>
    <w:rsid w:val="009C3F61"/>
    <w:rsid w:val="009E2791"/>
    <w:rsid w:val="009E3F6F"/>
    <w:rsid w:val="009F499F"/>
    <w:rsid w:val="009F7789"/>
    <w:rsid w:val="00A05DB8"/>
    <w:rsid w:val="00A07739"/>
    <w:rsid w:val="00A22486"/>
    <w:rsid w:val="00A2390D"/>
    <w:rsid w:val="00A25932"/>
    <w:rsid w:val="00A32E92"/>
    <w:rsid w:val="00A361CE"/>
    <w:rsid w:val="00A37342"/>
    <w:rsid w:val="00A42DAF"/>
    <w:rsid w:val="00A45BD8"/>
    <w:rsid w:val="00A67FE6"/>
    <w:rsid w:val="00A73D7E"/>
    <w:rsid w:val="00A74AE9"/>
    <w:rsid w:val="00A869B7"/>
    <w:rsid w:val="00AC205C"/>
    <w:rsid w:val="00AC22EB"/>
    <w:rsid w:val="00AC7B78"/>
    <w:rsid w:val="00AD0DB2"/>
    <w:rsid w:val="00AE5D78"/>
    <w:rsid w:val="00AF0A6B"/>
    <w:rsid w:val="00AF1ED6"/>
    <w:rsid w:val="00B05A69"/>
    <w:rsid w:val="00B112D7"/>
    <w:rsid w:val="00B314B5"/>
    <w:rsid w:val="00B54010"/>
    <w:rsid w:val="00B727F0"/>
    <w:rsid w:val="00B7509B"/>
    <w:rsid w:val="00B77005"/>
    <w:rsid w:val="00B77DA3"/>
    <w:rsid w:val="00B9734B"/>
    <w:rsid w:val="00BA16E1"/>
    <w:rsid w:val="00BA30E2"/>
    <w:rsid w:val="00BB11BB"/>
    <w:rsid w:val="00BC1B79"/>
    <w:rsid w:val="00BC4A9E"/>
    <w:rsid w:val="00BC5E16"/>
    <w:rsid w:val="00BD16F8"/>
    <w:rsid w:val="00BD6FAC"/>
    <w:rsid w:val="00BE1072"/>
    <w:rsid w:val="00BE6183"/>
    <w:rsid w:val="00BF6A83"/>
    <w:rsid w:val="00C11090"/>
    <w:rsid w:val="00C11BFE"/>
    <w:rsid w:val="00C20B1E"/>
    <w:rsid w:val="00C23E36"/>
    <w:rsid w:val="00C278C5"/>
    <w:rsid w:val="00C40D3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D49DE"/>
    <w:rsid w:val="00CD5625"/>
    <w:rsid w:val="00CE1AD8"/>
    <w:rsid w:val="00CE66EF"/>
    <w:rsid w:val="00CF1E16"/>
    <w:rsid w:val="00D00F50"/>
    <w:rsid w:val="00D05554"/>
    <w:rsid w:val="00D1181D"/>
    <w:rsid w:val="00D32AD3"/>
    <w:rsid w:val="00D33CEC"/>
    <w:rsid w:val="00D340F9"/>
    <w:rsid w:val="00D34743"/>
    <w:rsid w:val="00D4330B"/>
    <w:rsid w:val="00D45252"/>
    <w:rsid w:val="00D476D5"/>
    <w:rsid w:val="00D53171"/>
    <w:rsid w:val="00D61185"/>
    <w:rsid w:val="00D62E7C"/>
    <w:rsid w:val="00D66B9B"/>
    <w:rsid w:val="00D715AE"/>
    <w:rsid w:val="00D71B4D"/>
    <w:rsid w:val="00D80FF7"/>
    <w:rsid w:val="00D93D55"/>
    <w:rsid w:val="00DA7396"/>
    <w:rsid w:val="00DC20FA"/>
    <w:rsid w:val="00DC5D23"/>
    <w:rsid w:val="00DE079F"/>
    <w:rsid w:val="00DE1A0A"/>
    <w:rsid w:val="00DE45DC"/>
    <w:rsid w:val="00DE4DCB"/>
    <w:rsid w:val="00DF7C36"/>
    <w:rsid w:val="00E02CE2"/>
    <w:rsid w:val="00E1184A"/>
    <w:rsid w:val="00E15015"/>
    <w:rsid w:val="00E163E8"/>
    <w:rsid w:val="00E16C10"/>
    <w:rsid w:val="00E21EA7"/>
    <w:rsid w:val="00E31B7A"/>
    <w:rsid w:val="00E335FE"/>
    <w:rsid w:val="00E408B2"/>
    <w:rsid w:val="00E508B9"/>
    <w:rsid w:val="00E50C3E"/>
    <w:rsid w:val="00E53211"/>
    <w:rsid w:val="00E57D3D"/>
    <w:rsid w:val="00E6507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14BA"/>
    <w:rsid w:val="00EC4815"/>
    <w:rsid w:val="00EC4E49"/>
    <w:rsid w:val="00EC7882"/>
    <w:rsid w:val="00ED77FB"/>
    <w:rsid w:val="00EE45FA"/>
    <w:rsid w:val="00EE4A26"/>
    <w:rsid w:val="00EF1964"/>
    <w:rsid w:val="00EF3A7A"/>
    <w:rsid w:val="00EF442A"/>
    <w:rsid w:val="00F0685A"/>
    <w:rsid w:val="00F15FAA"/>
    <w:rsid w:val="00F23CBA"/>
    <w:rsid w:val="00F35FD5"/>
    <w:rsid w:val="00F54D37"/>
    <w:rsid w:val="00F66152"/>
    <w:rsid w:val="00F83C2E"/>
    <w:rsid w:val="00FA6B85"/>
    <w:rsid w:val="00FC01F4"/>
    <w:rsid w:val="00FC4540"/>
    <w:rsid w:val="00FD3324"/>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s-ES" w:eastAsia="zh-CN"/>
    </w:rPr>
  </w:style>
  <w:style w:type="character" w:styleId="Hyperlink">
    <w:name w:val="Hyperlink"/>
    <w:basedOn w:val="DefaultParagraphFont"/>
    <w:unhideWhenUsed/>
    <w:rsid w:val="00E77050"/>
    <w:rPr>
      <w:color w:val="0000FF" w:themeColor="hyperlink"/>
      <w:u w:val="single"/>
    </w:rPr>
  </w:style>
  <w:style w:type="character" w:customStyle="1" w:styleId="CommentTextChar">
    <w:name w:val="Comment Text Char"/>
    <w:basedOn w:val="DefaultParagraphFont"/>
    <w:link w:val="CommentText"/>
    <w:uiPriority w:val="99"/>
    <w:semiHidden/>
    <w:rsid w:val="0001278A"/>
    <w:rPr>
      <w:rFonts w:ascii="Arial" w:eastAsia="SimSun" w:hAnsi="Arial" w:cs="Arial"/>
      <w:sz w:val="18"/>
      <w:lang w:val="es-ES" w:eastAsia="zh-CN"/>
    </w:rPr>
  </w:style>
  <w:style w:type="character" w:styleId="CommentReference">
    <w:name w:val="annotation reference"/>
    <w:basedOn w:val="DefaultParagraphFont"/>
    <w:semiHidden/>
    <w:unhideWhenUsed/>
    <w:rsid w:val="007111E2"/>
    <w:rPr>
      <w:sz w:val="16"/>
      <w:szCs w:val="16"/>
    </w:rPr>
  </w:style>
  <w:style w:type="paragraph" w:styleId="CommentSubject">
    <w:name w:val="annotation subject"/>
    <w:basedOn w:val="CommentText"/>
    <w:next w:val="CommentText"/>
    <w:link w:val="CommentSubjectChar"/>
    <w:semiHidden/>
    <w:unhideWhenUsed/>
    <w:rsid w:val="007111E2"/>
    <w:rPr>
      <w:b/>
      <w:bCs/>
      <w:sz w:val="20"/>
    </w:rPr>
  </w:style>
  <w:style w:type="character" w:customStyle="1" w:styleId="CommentSubjectChar">
    <w:name w:val="Comment Subject Char"/>
    <w:basedOn w:val="CommentTextChar"/>
    <w:link w:val="CommentSubject"/>
    <w:semiHidden/>
    <w:rsid w:val="007111E2"/>
    <w:rPr>
      <w:rFonts w:ascii="Arial" w:eastAsia="SimSun" w:hAnsi="Arial" w:cs="Arial"/>
      <w:b/>
      <w:bCs/>
      <w:sz w:val="18"/>
      <w:lang w:val="es-ES" w:eastAsia="zh-CN"/>
    </w:rPr>
  </w:style>
  <w:style w:type="paragraph" w:styleId="Revision">
    <w:name w:val="Revision"/>
    <w:hidden/>
    <w:uiPriority w:val="99"/>
    <w:semiHidden/>
    <w:rsid w:val="0062027D"/>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685F65"/>
    <w:rPr>
      <w:vertAlign w:val="superscript"/>
    </w:rPr>
  </w:style>
  <w:style w:type="character" w:customStyle="1" w:styleId="FootnoteTextChar">
    <w:name w:val="Footnote Text Char"/>
    <w:aliases w:val="Footnote ak Char"/>
    <w:basedOn w:val="DefaultParagraphFont"/>
    <w:link w:val="FootnoteText"/>
    <w:rsid w:val="00227C6C"/>
    <w:rPr>
      <w:rFonts w:ascii="Arial" w:eastAsia="SimSun" w:hAnsi="Arial" w:cs="Arial"/>
      <w:sz w:val="18"/>
      <w:lang w:val="es-ES" w:eastAsia="zh-CN"/>
    </w:rPr>
  </w:style>
  <w:style w:type="character" w:styleId="FollowedHyperlink">
    <w:name w:val="FollowedHyperlink"/>
    <w:basedOn w:val="DefaultParagraphFont"/>
    <w:semiHidden/>
    <w:unhideWhenUsed/>
    <w:rsid w:val="00655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s/doc_details.jsp?doc_id=1492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es/doc_details.jsp?doc_id=595591" TargetMode="External"/><Relationship Id="rId17" Type="http://schemas.openxmlformats.org/officeDocument/2006/relationships/hyperlink" Target="https://www.wipo.int/tk/es/resources/tk_experiences.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wipo.int/tk/es/resources/tk_experien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oc_details.jsp?doc_id=595573" TargetMode="External"/><Relationship Id="rId5" Type="http://schemas.openxmlformats.org/officeDocument/2006/relationships/webSettings" Target="webSettings.xml"/><Relationship Id="rId15" Type="http://schemas.openxmlformats.org/officeDocument/2006/relationships/hyperlink" Target="https://www.wipo.int/export/sites/www/tk/en/resources/pdf/overview_customary_law.pdf" TargetMode="External"/><Relationship Id="rId10" Type="http://schemas.openxmlformats.org/officeDocument/2006/relationships/hyperlink" Target="https://www.wipo.int/meetings/es/doc_details.jsp?doc_id=5956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es/doc_details.jsp?doc_id=595651" TargetMode="External"/><Relationship Id="rId14" Type="http://schemas.openxmlformats.org/officeDocument/2006/relationships/hyperlink" Target="https://www.wipo.int/meetings/es/doc_details.jsp?doc_id=147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70C9-F0E1-4FC4-9ECC-E81D1B2D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1257</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Goss</dc:creator>
  <cp:keywords>FOR OFFICIAL USE ONLY</cp:keywords>
  <cp:lastModifiedBy>CEVALLOS DUQUE Nilo</cp:lastModifiedBy>
  <cp:revision>5</cp:revision>
  <cp:lastPrinted>2019-02-19T08:47:00Z</cp:lastPrinted>
  <dcterms:created xsi:type="dcterms:W3CDTF">2023-02-20T10:53:00Z</dcterms:created>
  <dcterms:modified xsi:type="dcterms:W3CDTF">2023-02-20T10:57:00Z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1646d2e9-0941-4cd4-8f3c-8debb1cefb65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