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14:paraId="5E76A8CE" w14:textId="77777777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39B47CD4" w14:textId="77777777"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5C25AA2E" w14:textId="139A0DF7" w:rsidR="00EC4E49" w:rsidRPr="008B2CC1" w:rsidRDefault="00524EF9" w:rsidP="00916EE2">
            <w:r w:rsidRPr="00D65F7E">
              <w:rPr>
                <w:noProof/>
                <w:color w:val="808080"/>
                <w:lang w:eastAsia="en-US"/>
              </w:rPr>
              <w:drawing>
                <wp:inline distT="0" distB="0" distL="0" distR="0" wp14:anchorId="18168663" wp14:editId="332E4CA5">
                  <wp:extent cx="1857375" cy="1323975"/>
                  <wp:effectExtent l="0" t="0" r="9525" b="9525"/>
                  <wp:docPr id="1" name="Picture 1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2BFE8665" w14:textId="77777777" w:rsidR="00EC4E49" w:rsidRPr="008B2CC1" w:rsidRDefault="00EC4E49" w:rsidP="00916EE2">
            <w:pPr>
              <w:jc w:val="right"/>
            </w:pPr>
            <w:r>
              <w:rPr>
                <w:b/>
                <w:sz w:val="40"/>
              </w:rPr>
              <w:t>S</w:t>
            </w:r>
          </w:p>
        </w:tc>
      </w:tr>
      <w:tr w:rsidR="008B2CC1" w:rsidRPr="001832A6" w14:paraId="180B562C" w14:textId="77777777" w:rsidTr="00C5068F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14:paraId="0936D80E" w14:textId="0A526DBC" w:rsidR="008B2CC1" w:rsidRPr="0090731E" w:rsidRDefault="007C48E8" w:rsidP="00CD49DE">
            <w:pPr>
              <w:jc w:val="right"/>
              <w:rPr>
                <w:rFonts w:ascii="Arial Black" w:hAnsi="Arial Black"/>
                <w:caps/>
                <w:sz w:val="15"/>
              </w:rPr>
            </w:pPr>
            <w:bookmarkStart w:id="0" w:name="Code"/>
            <w:bookmarkEnd w:id="0"/>
            <w:r>
              <w:rPr>
                <w:rFonts w:ascii="Arial Black" w:hAnsi="Arial Black"/>
                <w:caps/>
                <w:sz w:val="15"/>
              </w:rPr>
              <w:t>WIPO/IPTK-tces/GE/22/2</w:t>
            </w:r>
          </w:p>
        </w:tc>
      </w:tr>
      <w:tr w:rsidR="008B2CC1" w:rsidRPr="001832A6" w14:paraId="3A5EE63E" w14:textId="77777777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14:paraId="05F59B99" w14:textId="51F31F78" w:rsidR="008B2CC1" w:rsidRPr="0090731E" w:rsidRDefault="008B2CC1" w:rsidP="00CD04F1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ORIGINAL:</w:t>
            </w:r>
            <w:r w:rsidR="00D340F9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Original"/>
            <w:bookmarkEnd w:id="1"/>
            <w:r>
              <w:rPr>
                <w:rFonts w:ascii="Arial Black" w:hAnsi="Arial Black"/>
                <w:caps/>
                <w:sz w:val="15"/>
              </w:rPr>
              <w:t xml:space="preserve">Inglés </w:t>
            </w:r>
          </w:p>
        </w:tc>
      </w:tr>
      <w:tr w:rsidR="008B2CC1" w:rsidRPr="001832A6" w14:paraId="39C2EBFA" w14:textId="77777777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14:paraId="65B3B210" w14:textId="7FC94B16" w:rsidR="008B2CC1" w:rsidRPr="0090731E" w:rsidRDefault="008B2CC1" w:rsidP="009769BC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FECHA:</w:t>
            </w:r>
            <w:r w:rsidR="00D340F9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Date"/>
            <w:bookmarkEnd w:id="2"/>
            <w:r>
              <w:rPr>
                <w:rFonts w:ascii="Arial Black" w:hAnsi="Arial Black"/>
                <w:caps/>
                <w:sz w:val="15"/>
              </w:rPr>
              <w:t xml:space="preserve">8 de noviembre de 2022 </w:t>
            </w:r>
          </w:p>
        </w:tc>
      </w:tr>
    </w:tbl>
    <w:p w14:paraId="05E39956" w14:textId="77777777" w:rsidR="008B2CC1" w:rsidRPr="008B2CC1" w:rsidRDefault="008B2CC1" w:rsidP="008B2CC1"/>
    <w:p w14:paraId="077E1E9C" w14:textId="77777777" w:rsidR="008B2CC1" w:rsidRPr="008B2CC1" w:rsidRDefault="008B2CC1" w:rsidP="008B2CC1"/>
    <w:p w14:paraId="0C68FA27" w14:textId="77777777" w:rsidR="008B2CC1" w:rsidRPr="008B2CC1" w:rsidRDefault="008B2CC1" w:rsidP="008B2CC1"/>
    <w:p w14:paraId="3251557A" w14:textId="77777777" w:rsidR="008B2CC1" w:rsidRPr="008B2CC1" w:rsidRDefault="008B2CC1" w:rsidP="008B2CC1"/>
    <w:p w14:paraId="754902B5" w14:textId="77777777" w:rsidR="008B2CC1" w:rsidRPr="008B2CC1" w:rsidRDefault="008B2CC1" w:rsidP="008B2CC1"/>
    <w:p w14:paraId="0CF9CE59" w14:textId="77777777" w:rsidR="000D4BD5" w:rsidRPr="003845C1" w:rsidRDefault="000D4BD5" w:rsidP="000D4BD5">
      <w:pPr>
        <w:rPr>
          <w:b/>
          <w:sz w:val="28"/>
          <w:szCs w:val="28"/>
        </w:rPr>
      </w:pPr>
      <w:r>
        <w:rPr>
          <w:b/>
          <w:sz w:val="28"/>
        </w:rPr>
        <w:t xml:space="preserve">Grupo de especialistas </w:t>
      </w:r>
      <w:r>
        <w:rPr>
          <w:b/>
          <w:i/>
          <w:sz w:val="28"/>
        </w:rPr>
        <w:t xml:space="preserve">ad hoc </w:t>
      </w:r>
      <w:r>
        <w:rPr>
          <w:b/>
          <w:sz w:val="28"/>
        </w:rPr>
        <w:t>en conocimientos tradicionales y expresiones culturales tradicionales</w:t>
      </w:r>
    </w:p>
    <w:p w14:paraId="666DD1B8" w14:textId="77777777" w:rsidR="000D4BD5" w:rsidRDefault="000D4BD5" w:rsidP="000D4BD5"/>
    <w:p w14:paraId="1E137230" w14:textId="77777777" w:rsidR="000D4BD5" w:rsidRDefault="000D4BD5" w:rsidP="000D4BD5"/>
    <w:p w14:paraId="6B1055F4" w14:textId="152DAED6" w:rsidR="000D4BD5" w:rsidRPr="003845C1" w:rsidRDefault="000D4BD5" w:rsidP="000D4BD5">
      <w:pPr>
        <w:rPr>
          <w:b/>
          <w:sz w:val="24"/>
          <w:szCs w:val="24"/>
        </w:rPr>
      </w:pPr>
      <w:r>
        <w:rPr>
          <w:b/>
          <w:sz w:val="24"/>
        </w:rPr>
        <w:t>Ginebra, 4 de diciembre de 2022</w:t>
      </w:r>
    </w:p>
    <w:p w14:paraId="6CBE6C85" w14:textId="77777777" w:rsidR="000D4BD5" w:rsidRPr="008B2CC1" w:rsidRDefault="000D4BD5" w:rsidP="000D4BD5"/>
    <w:p w14:paraId="60562652" w14:textId="77777777" w:rsidR="000D4BD5" w:rsidRPr="008B2CC1" w:rsidRDefault="000D4BD5" w:rsidP="000D4BD5"/>
    <w:p w14:paraId="6409094E" w14:textId="77777777" w:rsidR="000D4BD5" w:rsidRPr="008B2CC1" w:rsidRDefault="000D4BD5" w:rsidP="000D4BD5"/>
    <w:p w14:paraId="49B6D64B" w14:textId="77777777" w:rsidR="000D4BD5" w:rsidRPr="003845C1" w:rsidRDefault="00610789" w:rsidP="000D4BD5">
      <w:pPr>
        <w:rPr>
          <w:caps/>
          <w:sz w:val="24"/>
        </w:rPr>
      </w:pPr>
      <w:bookmarkStart w:id="3" w:name="TitleOfDoc"/>
      <w:bookmarkEnd w:id="3"/>
      <w:r>
        <w:rPr>
          <w:caps/>
          <w:sz w:val="24"/>
        </w:rPr>
        <w:t>Nota de antecedentes sobre elementos sustantivos</w:t>
      </w:r>
    </w:p>
    <w:p w14:paraId="0647D6BD" w14:textId="77777777" w:rsidR="000D4BD5" w:rsidRPr="008B2CC1" w:rsidRDefault="000D4BD5" w:rsidP="000D4BD5"/>
    <w:p w14:paraId="0D05BBD3" w14:textId="77777777" w:rsidR="000D4BD5" w:rsidRPr="008B2CC1" w:rsidRDefault="000D4BD5" w:rsidP="000D4BD5">
      <w:pPr>
        <w:rPr>
          <w:i/>
        </w:rPr>
      </w:pPr>
      <w:bookmarkStart w:id="4" w:name="Prepared"/>
      <w:bookmarkEnd w:id="4"/>
      <w:r>
        <w:rPr>
          <w:i/>
        </w:rPr>
        <w:t>preparada por la Oficina Internacional de la OMPI</w:t>
      </w:r>
    </w:p>
    <w:p w14:paraId="300332BE" w14:textId="77777777" w:rsidR="000D4BD5" w:rsidRDefault="000D4BD5" w:rsidP="000D4BD5"/>
    <w:p w14:paraId="05BE797F" w14:textId="77777777" w:rsidR="000D4BD5" w:rsidRDefault="000D4BD5" w:rsidP="000D4BD5"/>
    <w:p w14:paraId="12162251" w14:textId="77777777" w:rsidR="000F5E56" w:rsidRDefault="000F5E56"/>
    <w:p w14:paraId="762F3ACA" w14:textId="77777777" w:rsidR="000D4BD5" w:rsidRDefault="000D4BD5">
      <w:r>
        <w:br w:type="page"/>
      </w:r>
    </w:p>
    <w:p w14:paraId="0CEF4E86" w14:textId="306E5976" w:rsidR="00610789" w:rsidRPr="00524EF9" w:rsidRDefault="000D4BD5" w:rsidP="00524EF9">
      <w:pPr>
        <w:pStyle w:val="ONUMFS"/>
        <w:rPr>
          <w:szCs w:val="22"/>
        </w:rPr>
      </w:pPr>
      <w:r>
        <w:lastRenderedPageBreak/>
        <w:t>De conformidad con el mandato del Comité Intergubernamental sobre Propiedad Intelectual y Recursos Genéticos, Conocimientos Tradicionales y Folclore (</w:t>
      </w:r>
      <w:r w:rsidR="00524EF9">
        <w:t>“</w:t>
      </w:r>
      <w:r>
        <w:t>CIG</w:t>
      </w:r>
      <w:r w:rsidR="00524EF9">
        <w:t>”</w:t>
      </w:r>
      <w:r>
        <w:t>) y con las decisiones de la trigésima séptima sesión del CIG (</w:t>
      </w:r>
      <w:r w:rsidR="00524EF9">
        <w:t>“</w:t>
      </w:r>
      <w:r>
        <w:t>CIG 37</w:t>
      </w:r>
      <w:r w:rsidR="00524EF9">
        <w:t>”</w:t>
      </w:r>
      <w:r>
        <w:t>) y de la cuadragésima cuarta sesión del CIG (</w:t>
      </w:r>
      <w:r w:rsidR="00524EF9">
        <w:t>“</w:t>
      </w:r>
      <w:r>
        <w:t>CIG 44</w:t>
      </w:r>
      <w:r w:rsidR="00524EF9">
        <w:t>”</w:t>
      </w:r>
      <w:r>
        <w:t xml:space="preserve">), el objetivo general del Grupo de especialistas </w:t>
      </w:r>
      <w:r w:rsidRPr="00524EF9">
        <w:rPr>
          <w:i/>
        </w:rPr>
        <w:t xml:space="preserve">ad hoc </w:t>
      </w:r>
      <w:r>
        <w:t>en conocimientos tradicionales y expresiones culturales tradicionales es abordar cuestiones específicas de carácter jurídico, normativo o técnico.</w:t>
      </w:r>
      <w:r w:rsidR="00D340F9">
        <w:t xml:space="preserve"> </w:t>
      </w:r>
      <w:r>
        <w:t xml:space="preserve">Los resultados de su labor se comunican al CIG, que los examina en mayor profundidad. </w:t>
      </w:r>
    </w:p>
    <w:p w14:paraId="535B86EE" w14:textId="4125EDDA" w:rsidR="009769BC" w:rsidRDefault="00610789" w:rsidP="00524EF9">
      <w:pPr>
        <w:pStyle w:val="ONUMFS"/>
      </w:pPr>
      <w:r>
        <w:t>La presidencia y vicepresidencia del CIG han determinado la lista de cuestiones, teniendo en cuenta las sugerencias de los Estados miembros.</w:t>
      </w:r>
      <w:r w:rsidR="00D340F9">
        <w:t xml:space="preserve"> </w:t>
      </w:r>
      <w:r>
        <w:t xml:space="preserve">Por lo tanto, el Grupo de especialistas </w:t>
      </w:r>
      <w:r>
        <w:rPr>
          <w:i/>
        </w:rPr>
        <w:t>ad hoc</w:t>
      </w:r>
      <w:r>
        <w:t xml:space="preserve"> abordará las siguientes cuestiones relacionadas con los conocimientos tradicionales (CC.TT.) y las expresiones culturales tradicionales (ECT):</w:t>
      </w:r>
    </w:p>
    <w:p w14:paraId="13BCA9FD" w14:textId="18AAC1D2" w:rsidR="009769BC" w:rsidRPr="009769BC" w:rsidRDefault="009769BC" w:rsidP="009769BC">
      <w:pPr>
        <w:pStyle w:val="ListParagraph"/>
        <w:numPr>
          <w:ilvl w:val="0"/>
          <w:numId w:val="34"/>
        </w:numPr>
        <w:rPr>
          <w:rFonts w:eastAsia="DengXian"/>
          <w:szCs w:val="22"/>
        </w:rPr>
      </w:pPr>
      <w:r>
        <w:t>Alcance de la protección:</w:t>
      </w:r>
    </w:p>
    <w:p w14:paraId="4412CE6C" w14:textId="77777777" w:rsidR="009769BC" w:rsidRPr="009769BC" w:rsidRDefault="009769BC" w:rsidP="009769BC">
      <w:pPr>
        <w:pStyle w:val="ListParagraph"/>
        <w:numPr>
          <w:ilvl w:val="0"/>
          <w:numId w:val="34"/>
        </w:numPr>
        <w:rPr>
          <w:rFonts w:eastAsia="DengXian"/>
          <w:szCs w:val="22"/>
        </w:rPr>
      </w:pPr>
      <w:r>
        <w:t>Excepciones y limitaciones; y</w:t>
      </w:r>
    </w:p>
    <w:p w14:paraId="5911C29E" w14:textId="154DD1D2" w:rsidR="009769BC" w:rsidRPr="009769BC" w:rsidRDefault="009769BC" w:rsidP="00524EF9">
      <w:pPr>
        <w:pStyle w:val="ListParagraph"/>
        <w:numPr>
          <w:ilvl w:val="0"/>
          <w:numId w:val="34"/>
        </w:numPr>
        <w:spacing w:after="240"/>
        <w:ind w:left="714" w:hanging="357"/>
        <w:contextualSpacing w:val="0"/>
        <w:rPr>
          <w:rFonts w:eastAsia="DengXian"/>
          <w:szCs w:val="22"/>
        </w:rPr>
      </w:pPr>
      <w:r>
        <w:t>Sanciones y recursos</w:t>
      </w:r>
    </w:p>
    <w:p w14:paraId="13FB0229" w14:textId="7A7D1C79" w:rsidR="000D4BD5" w:rsidRDefault="000E69A5" w:rsidP="00524EF9">
      <w:pPr>
        <w:pStyle w:val="ONUMFS"/>
        <w:spacing w:after="360"/>
      </w:pPr>
      <w:r>
        <w:t xml:space="preserve">En la presente nota de antecedentes sobre elementos sustantivos se aportan antecedentes sobre las cuestiones mencionadas y se proponen algunos aspectos y tareas para que el grupo de especialistas </w:t>
      </w:r>
      <w:r>
        <w:rPr>
          <w:i/>
        </w:rPr>
        <w:t>ad hoc</w:t>
      </w:r>
      <w:r w:rsidR="009B0F43">
        <w:rPr>
          <w:i/>
        </w:rPr>
        <w:t xml:space="preserve"> </w:t>
      </w:r>
      <w:bookmarkStart w:id="5" w:name="_GoBack"/>
      <w:bookmarkEnd w:id="5"/>
      <w:r>
        <w:t>los examine.</w:t>
      </w:r>
      <w:r w:rsidR="00D340F9">
        <w:t xml:space="preserve"> </w:t>
      </w:r>
      <w:r>
        <w:t xml:space="preserve">Los copresidentes del grupo de especialistas </w:t>
      </w:r>
      <w:r>
        <w:rPr>
          <w:i/>
        </w:rPr>
        <w:t xml:space="preserve">ad hoc </w:t>
      </w:r>
      <w:r>
        <w:t>proporcionarán más orientaciones sobre cómo se abordarán estas cuestiones y preguntas durante la reunión.</w:t>
      </w:r>
      <w:r w:rsidR="00D340F9">
        <w:t xml:space="preserve"> </w:t>
      </w:r>
    </w:p>
    <w:p w14:paraId="20A617DE" w14:textId="77777777" w:rsidR="00CE1AD8" w:rsidRPr="00816953" w:rsidRDefault="00E778A2" w:rsidP="00524EF9">
      <w:pPr>
        <w:spacing w:after="120"/>
        <w:rPr>
          <w:b/>
        </w:rPr>
      </w:pPr>
      <w:r>
        <w:rPr>
          <w:b/>
        </w:rPr>
        <w:t>Alcance de la protección</w:t>
      </w:r>
    </w:p>
    <w:p w14:paraId="564B01A1" w14:textId="4D0C383A" w:rsidR="0085040B" w:rsidRDefault="00CC0A33" w:rsidP="00524EF9">
      <w:pPr>
        <w:pStyle w:val="ONUMFS"/>
      </w:pPr>
      <w:r>
        <w:t>El alcance de la protección trata de determinar qué actos específicos con respecto a los CC.TT. y/o las ECT deberían prohibirse o impedirse y/o qué actos que perjudican a los CC.TT. y/o las ECT tratarían de contemplarse en los instrumentos de PI sobre los CC.TT. y las ECT.</w:t>
      </w:r>
    </w:p>
    <w:p w14:paraId="104F3746" w14:textId="77777777" w:rsidR="00524EF9" w:rsidRPr="00524EF9" w:rsidRDefault="009B07AD" w:rsidP="00524EF9">
      <w:pPr>
        <w:pStyle w:val="ONUMFS"/>
        <w:rPr>
          <w:szCs w:val="22"/>
        </w:rPr>
      </w:pPr>
      <w:r>
        <w:t xml:space="preserve">Se invita al Grupo de especialistas </w:t>
      </w:r>
      <w:r>
        <w:rPr>
          <w:i/>
        </w:rPr>
        <w:t>ad hoc</w:t>
      </w:r>
      <w:r>
        <w:t xml:space="preserve"> a que aclare lo siguiente:</w:t>
      </w:r>
    </w:p>
    <w:p w14:paraId="389CE0A3" w14:textId="3F5BFD80" w:rsidR="00CC0A33" w:rsidRDefault="00466271" w:rsidP="00CC0A33">
      <w:pPr>
        <w:pStyle w:val="ListParagraph"/>
        <w:numPr>
          <w:ilvl w:val="0"/>
          <w:numId w:val="22"/>
        </w:numPr>
        <w:rPr>
          <w:szCs w:val="22"/>
        </w:rPr>
      </w:pPr>
      <w:r>
        <w:t>enfoque apropiado:</w:t>
      </w:r>
      <w:r w:rsidR="00D340F9">
        <w:t xml:space="preserve"> </w:t>
      </w:r>
      <w:r>
        <w:t>¿Un enfoque basado en derechos, uno basado en medidas o uno combinación de ambos?</w:t>
      </w:r>
      <w:r w:rsidR="00D340F9">
        <w:t xml:space="preserve"> </w:t>
      </w:r>
      <w:r>
        <w:t xml:space="preserve">En un enfoque </w:t>
      </w:r>
      <w:r>
        <w:rPr>
          <w:i/>
        </w:rPr>
        <w:t>basado en los derechos</w:t>
      </w:r>
      <w:r>
        <w:t xml:space="preserve">, se conceden a los beneficiarios derechos que pueden administrar y hacer valer directamente, y en un enfoque </w:t>
      </w:r>
      <w:r>
        <w:rPr>
          <w:i/>
        </w:rPr>
        <w:t>basado en las medidas</w:t>
      </w:r>
      <w:r>
        <w:t>, se exige a los Estados que proporcionen medidas para la protección de los CC.TT. y las ECT.</w:t>
      </w:r>
      <w:r w:rsidR="00D340F9">
        <w:t xml:space="preserve"> </w:t>
      </w:r>
      <w:r>
        <w:t>Ambos enfoques están recogidos en los instrumentos internacionales vigentes en materia de PI; y,</w:t>
      </w:r>
      <w:r>
        <w:br/>
      </w:r>
    </w:p>
    <w:p w14:paraId="7562973E" w14:textId="1F237AC6" w:rsidR="00CC0A33" w:rsidRPr="00A05DB8" w:rsidRDefault="00165B76" w:rsidP="00524EF9">
      <w:pPr>
        <w:pStyle w:val="ListParagraph"/>
        <w:numPr>
          <w:ilvl w:val="0"/>
          <w:numId w:val="22"/>
        </w:numPr>
        <w:spacing w:after="240"/>
        <w:ind w:left="714" w:hanging="357"/>
        <w:contextualSpacing w:val="0"/>
        <w:rPr>
          <w:szCs w:val="22"/>
        </w:rPr>
      </w:pPr>
      <w:r>
        <w:t>nivel de detalle en el que debería profundizar el instrumento internacional y en qué punto tomaría el relevo la legislación nacional.</w:t>
      </w:r>
    </w:p>
    <w:p w14:paraId="47B08528" w14:textId="194F0A4E" w:rsidR="00FC4540" w:rsidRDefault="00CC0A33" w:rsidP="00524EF9">
      <w:pPr>
        <w:pStyle w:val="ONUMFS"/>
      </w:pPr>
      <w:r>
        <w:t xml:space="preserve">El CIG lleva varios años debatiendo el llamado </w:t>
      </w:r>
      <w:r w:rsidR="00524EF9">
        <w:t>“</w:t>
      </w:r>
      <w:r>
        <w:t>enfoque estratificado</w:t>
      </w:r>
      <w:r w:rsidR="00524EF9">
        <w:t>”</w:t>
      </w:r>
      <w:r>
        <w:t>, según el cual, los poseedores de derechos podrían hacer valer distintos tipos o niveles de derechos o de medidas en función de la naturaleza y las características de la materia protegida, el grado de control que poseyeran los beneficiarios y el grado de difusión de la misma.</w:t>
      </w:r>
      <w:r w:rsidR="00D340F9">
        <w:t xml:space="preserve"> </w:t>
      </w:r>
    </w:p>
    <w:p w14:paraId="1A7928EA" w14:textId="1AD64559" w:rsidR="00A361CE" w:rsidRDefault="00FC4540" w:rsidP="00524EF9">
      <w:pPr>
        <w:pStyle w:val="ONUMFS"/>
        <w:spacing w:after="360"/>
      </w:pPr>
      <w:r>
        <w:t xml:space="preserve">A este respecto, se invita al Grupo de especialistas </w:t>
      </w:r>
      <w:r>
        <w:rPr>
          <w:i/>
        </w:rPr>
        <w:t>ad hoc</w:t>
      </w:r>
      <w:r>
        <w:t xml:space="preserve"> a formular un proyecto de marco(s) que refleje un enfoque estratificado de los conocimientos tradicionales y las ECT.</w:t>
      </w:r>
      <w:r w:rsidR="00D340F9">
        <w:t xml:space="preserve"> </w:t>
      </w:r>
      <w:r>
        <w:t>El marco o los marcos podrían, por ejemplo, reflejar los derechos patrimoniales, morales y/o los derechos de remuneración/compensación, y diferenciar entre las distintas formas en que se encuentran los CC.TT. y las ECT.</w:t>
      </w:r>
      <w:r w:rsidR="00D340F9">
        <w:t xml:space="preserve"> </w:t>
      </w:r>
      <w:r>
        <w:t xml:space="preserve">En particular, se invita al Grupo de especialistas </w:t>
      </w:r>
      <w:r>
        <w:rPr>
          <w:i/>
        </w:rPr>
        <w:t>ad hoc</w:t>
      </w:r>
      <w:r w:rsidR="00D340F9">
        <w:rPr>
          <w:i/>
        </w:rPr>
        <w:t xml:space="preserve"> </w:t>
      </w:r>
      <w:r>
        <w:t>a considerar qué criterios son apropiados y deben utilizarse en los contextos de los CC.TT. y las ECT, a fin de determinar los niveles.</w:t>
      </w:r>
    </w:p>
    <w:p w14:paraId="00AFD7B4" w14:textId="3C720355" w:rsidR="004C79D5" w:rsidRPr="004C79D5" w:rsidRDefault="00524EF9" w:rsidP="00524EF9">
      <w:pPr>
        <w:keepNext/>
        <w:keepLines/>
        <w:spacing w:after="120"/>
        <w:rPr>
          <w:b/>
        </w:rPr>
      </w:pPr>
      <w:r>
        <w:rPr>
          <w:b/>
        </w:rPr>
        <w:lastRenderedPageBreak/>
        <w:t>Excepciones y limitaciones</w:t>
      </w:r>
    </w:p>
    <w:p w14:paraId="728D783C" w14:textId="5FBC517D" w:rsidR="004C79D5" w:rsidRDefault="004C79D5" w:rsidP="00524EF9">
      <w:pPr>
        <w:pStyle w:val="ONUMFS"/>
      </w:pPr>
      <w:r>
        <w:t xml:space="preserve">Se invita al Grupo de especialistas </w:t>
      </w:r>
      <w:r>
        <w:rPr>
          <w:i/>
        </w:rPr>
        <w:t>ad hoc</w:t>
      </w:r>
      <w:r>
        <w:t xml:space="preserve"> a que consideren lo siguiente:</w:t>
      </w:r>
    </w:p>
    <w:p w14:paraId="26434529" w14:textId="2C40204B" w:rsidR="004C79D5" w:rsidRDefault="004C79D5" w:rsidP="004C79D5">
      <w:pPr>
        <w:pStyle w:val="ListParagraph"/>
        <w:numPr>
          <w:ilvl w:val="0"/>
          <w:numId w:val="35"/>
        </w:numPr>
      </w:pPr>
      <w:r>
        <w:t>si debe dejarse flexibilidad a nivel nacional para regular plenamente las excepciones y limitaciones; o</w:t>
      </w:r>
    </w:p>
    <w:p w14:paraId="54C08FAA" w14:textId="18EDFC4B" w:rsidR="004C79D5" w:rsidRDefault="004C79D5" w:rsidP="00524EF9">
      <w:pPr>
        <w:pStyle w:val="ListParagraph"/>
        <w:numPr>
          <w:ilvl w:val="0"/>
          <w:numId w:val="35"/>
        </w:numPr>
        <w:spacing w:after="240"/>
        <w:ind w:left="714" w:hanging="357"/>
        <w:contextualSpacing w:val="0"/>
      </w:pPr>
      <w:r>
        <w:t>si debe brindarse un marco que incluya listas de excepciones generales y específicas, orientado a que los Estados miembros puedan regular esas excepciones en el plano nacional.</w:t>
      </w:r>
      <w:r w:rsidR="00D340F9">
        <w:t xml:space="preserve"> </w:t>
      </w:r>
      <w:r>
        <w:t>Si es así, ¿qué excepciones generales debería haber a nivel internacional?</w:t>
      </w:r>
    </w:p>
    <w:p w14:paraId="0CEFB909" w14:textId="652F1063" w:rsidR="004C79D5" w:rsidRDefault="004C79D5" w:rsidP="00524EF9">
      <w:pPr>
        <w:pStyle w:val="ONUMFS"/>
        <w:spacing w:after="360"/>
      </w:pPr>
      <w:r>
        <w:t xml:space="preserve">Sobre la base de la posibilidad de introducir un enfoque estratificado para definir el alcance de la protección, se invita también al Grupo de especialistas </w:t>
      </w:r>
      <w:r>
        <w:rPr>
          <w:i/>
        </w:rPr>
        <w:t>ad hoc</w:t>
      </w:r>
      <w:r w:rsidR="00D340F9">
        <w:rPr>
          <w:i/>
        </w:rPr>
        <w:t xml:space="preserve"> </w:t>
      </w:r>
      <w:r>
        <w:t xml:space="preserve">a considerar si no debería aplicarse también ese enfoque a las disposiciones sobre excepciones y limitaciones, es decir, que diferentes niveles de actos que pueden acogerse a excepciones reflejen los distintos tipos de materia protegida y los derechos que se aplican a cada nivel. </w:t>
      </w:r>
    </w:p>
    <w:p w14:paraId="242C6767" w14:textId="1C2B8F73" w:rsidR="005D01E5" w:rsidRPr="005D01E5" w:rsidRDefault="00524EF9" w:rsidP="00524EF9">
      <w:pPr>
        <w:pStyle w:val="ListParagraph"/>
        <w:spacing w:after="120"/>
        <w:ind w:left="0"/>
        <w:contextualSpacing w:val="0"/>
        <w:rPr>
          <w:b/>
        </w:rPr>
      </w:pPr>
      <w:r>
        <w:rPr>
          <w:b/>
        </w:rPr>
        <w:t>Sanciones y recursos</w:t>
      </w:r>
    </w:p>
    <w:p w14:paraId="608FCCA6" w14:textId="53F37802" w:rsidR="00D62E7C" w:rsidRDefault="004C79D5" w:rsidP="00524EF9">
      <w:pPr>
        <w:pStyle w:val="ONUMFS"/>
      </w:pPr>
      <w:r>
        <w:t xml:space="preserve">La mayoría de las leyes </w:t>
      </w:r>
      <w:r>
        <w:rPr>
          <w:i/>
        </w:rPr>
        <w:t>sui generis</w:t>
      </w:r>
      <w:r>
        <w:t xml:space="preserve"> existentes establecen que los actos que contravengan la ley serán penalizados con sanciones y recursos.</w:t>
      </w:r>
      <w:r w:rsidR="00D340F9">
        <w:t xml:space="preserve"> </w:t>
      </w:r>
      <w:r>
        <w:t xml:space="preserve">Se invita al Grupo de especialistas </w:t>
      </w:r>
      <w:r>
        <w:rPr>
          <w:i/>
        </w:rPr>
        <w:t>ad hoc</w:t>
      </w:r>
      <w:r>
        <w:t xml:space="preserve"> a que estudie la conveniencia de establecer un marco general en materia de sanciones y recursos a nivel internacional, y dejar los detalles a la legislación nacional.</w:t>
      </w:r>
    </w:p>
    <w:p w14:paraId="333FF82B" w14:textId="334FD1AD" w:rsidR="00D62E7C" w:rsidRDefault="005859B5" w:rsidP="00524EF9">
      <w:pPr>
        <w:pStyle w:val="ONUMFS"/>
        <w:spacing w:after="360"/>
      </w:pPr>
      <w:r>
        <w:t xml:space="preserve">Si el grupo de expertos </w:t>
      </w:r>
      <w:r>
        <w:rPr>
          <w:i/>
        </w:rPr>
        <w:t>ad hoc</w:t>
      </w:r>
      <w:r>
        <w:t xml:space="preserve"> considera que debe establecerse un marco detallado de sanciones y recursos a nivel internacional, ¿cuáles deberían ser esas sanciones y recursos?</w:t>
      </w:r>
      <w:r w:rsidR="00D340F9">
        <w:t xml:space="preserve"> </w:t>
      </w:r>
    </w:p>
    <w:p w14:paraId="02378276" w14:textId="1CFA346F" w:rsidR="00E77050" w:rsidRPr="000411A6" w:rsidRDefault="00524EF9" w:rsidP="00524EF9">
      <w:pPr>
        <w:spacing w:after="120"/>
        <w:outlineLvl w:val="0"/>
        <w:rPr>
          <w:b/>
        </w:rPr>
      </w:pPr>
      <w:r>
        <w:rPr>
          <w:b/>
        </w:rPr>
        <w:t>Recursos de utilidad</w:t>
      </w:r>
    </w:p>
    <w:p w14:paraId="2EEE05C1" w14:textId="345C2274" w:rsidR="00E77050" w:rsidRDefault="00E77050" w:rsidP="00524EF9">
      <w:pPr>
        <w:pStyle w:val="ONUMFS"/>
      </w:pPr>
      <w:r>
        <w:t xml:space="preserve">En el sitio web de la OMPI hay recursos provechosos que el grupo de especialistas </w:t>
      </w:r>
      <w:r>
        <w:rPr>
          <w:i/>
        </w:rPr>
        <w:t xml:space="preserve">ad hoc </w:t>
      </w:r>
      <w:r>
        <w:t>puede utilizar como material de referencia, por ejemplo:</w:t>
      </w:r>
    </w:p>
    <w:p w14:paraId="3BCCFD8C" w14:textId="370782F2" w:rsidR="00DC20FA" w:rsidRDefault="00DC20FA" w:rsidP="00DC20FA">
      <w:pPr>
        <w:pStyle w:val="ListParagraph"/>
        <w:numPr>
          <w:ilvl w:val="0"/>
          <w:numId w:val="19"/>
        </w:numPr>
      </w:pPr>
      <w:r>
        <w:t>WIPO/GRTKF/IC/45/4,:La protección de los conocimientos tradicionales:</w:t>
      </w:r>
      <w:r w:rsidR="00D340F9">
        <w:t xml:space="preserve"> </w:t>
      </w:r>
      <w:r>
        <w:t xml:space="preserve">Proyecto de artículos: </w:t>
      </w:r>
      <w:hyperlink r:id="rId9" w:history="1">
        <w:r>
          <w:rPr>
            <w:rStyle w:val="Hyperlink"/>
          </w:rPr>
          <w:t>https://www.wipo.int/meetings/es/doc_details.jsp?doc_id=585931</w:t>
        </w:r>
      </w:hyperlink>
      <w:r>
        <w:t xml:space="preserve"> </w:t>
      </w:r>
    </w:p>
    <w:p w14:paraId="06A11501" w14:textId="77777777" w:rsidR="00DC20FA" w:rsidRDefault="00DC20FA" w:rsidP="00DC20FA">
      <w:pPr>
        <w:pStyle w:val="ListParagraph"/>
      </w:pPr>
    </w:p>
    <w:p w14:paraId="599B8A08" w14:textId="015FB91F" w:rsidR="00DC20FA" w:rsidRDefault="00DC20FA" w:rsidP="00DC20FA">
      <w:pPr>
        <w:pStyle w:val="ListParagraph"/>
        <w:numPr>
          <w:ilvl w:val="0"/>
          <w:numId w:val="19"/>
        </w:numPr>
      </w:pPr>
      <w:r>
        <w:t>WIPO/GRTKF/IC/45/5: La protección de las expresiones culturales tradicionales:</w:t>
      </w:r>
      <w:r w:rsidR="00D340F9">
        <w:t xml:space="preserve"> </w:t>
      </w:r>
      <w:r>
        <w:t xml:space="preserve">Proyecto de artículos, </w:t>
      </w:r>
      <w:hyperlink r:id="rId10" w:history="1">
        <w:r>
          <w:rPr>
            <w:rStyle w:val="Hyperlink"/>
          </w:rPr>
          <w:t>ttps://www.wipo.int/meetings/es/doc_details.jsp?doc_id=585921</w:t>
        </w:r>
      </w:hyperlink>
      <w:r>
        <w:t xml:space="preserve"> </w:t>
      </w:r>
    </w:p>
    <w:p w14:paraId="7E7D8EB3" w14:textId="77777777" w:rsidR="00DC20FA" w:rsidRDefault="00DC20FA" w:rsidP="00DC20FA">
      <w:pPr>
        <w:pStyle w:val="ListParagraph"/>
      </w:pPr>
    </w:p>
    <w:p w14:paraId="08737218" w14:textId="495D67AE" w:rsidR="00E77050" w:rsidRPr="00BD16F8" w:rsidRDefault="000F2E91" w:rsidP="00DC20FA">
      <w:pPr>
        <w:pStyle w:val="ListParagraph"/>
        <w:numPr>
          <w:ilvl w:val="0"/>
          <w:numId w:val="19"/>
        </w:numPr>
      </w:pPr>
      <w:r>
        <w:t>WIPO/GRTKF/IC/45/6: La protección de los conocimientos tradicionales:</w:t>
      </w:r>
      <w:r w:rsidR="00D340F9">
        <w:t xml:space="preserve"> </w:t>
      </w:r>
      <w:r>
        <w:t xml:space="preserve">Proyecto actualizado de análisis de las carencias, </w:t>
      </w:r>
      <w:hyperlink r:id="rId11" w:history="1">
        <w:r>
          <w:rPr>
            <w:rStyle w:val="Hyperlink"/>
          </w:rPr>
          <w:t>https://www.wipo.int/meetings/es/doc_details.jsp?doc_id=585974</w:t>
        </w:r>
      </w:hyperlink>
      <w:r>
        <w:t xml:space="preserve"> </w:t>
      </w:r>
    </w:p>
    <w:p w14:paraId="4FECBC6A" w14:textId="77777777" w:rsidR="00E77050" w:rsidRPr="00BD16F8" w:rsidRDefault="00E77050" w:rsidP="00E77050">
      <w:pPr>
        <w:pStyle w:val="ListParagraph"/>
      </w:pPr>
    </w:p>
    <w:p w14:paraId="4805031A" w14:textId="555BFF7C" w:rsidR="00E77050" w:rsidRPr="00BD16F8" w:rsidRDefault="00DC20FA" w:rsidP="00DC20FA">
      <w:pPr>
        <w:pStyle w:val="ListParagraph"/>
        <w:numPr>
          <w:ilvl w:val="0"/>
          <w:numId w:val="19"/>
        </w:numPr>
      </w:pPr>
      <w:r>
        <w:t>WIPO/GRTKF/IC/45/7: La protección de los conocimientos tradicionales:</w:t>
      </w:r>
      <w:r w:rsidR="00D340F9">
        <w:t xml:space="preserve"> </w:t>
      </w:r>
      <w:r>
        <w:t>Proyecto actualizado de análisis de las carencias</w:t>
      </w:r>
      <w:hyperlink r:id="rId12" w:history="1">
        <w:r>
          <w:rPr>
            <w:rStyle w:val="Hyperlink"/>
          </w:rPr>
          <w:t>https://www.wipo.int/meetings/es/doc_details.jsp?doc_id=585975</w:t>
        </w:r>
      </w:hyperlink>
      <w:r w:rsidR="00D340F9">
        <w:t xml:space="preserve"> </w:t>
      </w:r>
    </w:p>
    <w:p w14:paraId="0354D910" w14:textId="77777777" w:rsidR="00E77050" w:rsidRPr="00BD16F8" w:rsidRDefault="00E77050" w:rsidP="00E77050">
      <w:pPr>
        <w:pStyle w:val="ListParagraph"/>
      </w:pPr>
    </w:p>
    <w:p w14:paraId="6917DB67" w14:textId="540C13DB" w:rsidR="00E77050" w:rsidRPr="00BD16F8" w:rsidRDefault="00E77050" w:rsidP="00E77050">
      <w:pPr>
        <w:pStyle w:val="ListParagraph"/>
        <w:numPr>
          <w:ilvl w:val="0"/>
          <w:numId w:val="19"/>
        </w:numPr>
      </w:pPr>
      <w:r>
        <w:t xml:space="preserve">WIPO/GRTKF/IC/17/INF/8: Nota sobre los significados de la expresión </w:t>
      </w:r>
      <w:r w:rsidR="00524EF9">
        <w:t>“</w:t>
      </w:r>
      <w:r>
        <w:t>dominio público</w:t>
      </w:r>
      <w:r w:rsidR="00524EF9">
        <w:t>”</w:t>
      </w:r>
      <w:r>
        <w:t xml:space="preserve"> en el sistema de propiedad intelectual, con referencia especial a la protección de los conocimientos tradicionales y las expresiones culturales tradicionales/expresiones del folclore, </w:t>
      </w:r>
      <w:hyperlink r:id="rId13" w:history="1">
        <w:r>
          <w:rPr>
            <w:rStyle w:val="Hyperlink"/>
            <w:color w:val="0000FF"/>
          </w:rPr>
          <w:t>https://www.wipo.int/meetings/en/doc_details.jsp?doc_id=149213</w:t>
        </w:r>
      </w:hyperlink>
      <w:r>
        <w:t xml:space="preserve"> </w:t>
      </w:r>
    </w:p>
    <w:p w14:paraId="5348FF25" w14:textId="77777777" w:rsidR="00E77050" w:rsidRDefault="00E77050" w:rsidP="00E77050">
      <w:pPr>
        <w:pStyle w:val="ListParagraph"/>
      </w:pPr>
    </w:p>
    <w:p w14:paraId="32712188" w14:textId="50BCE82E" w:rsidR="00E77050" w:rsidRPr="00BD16F8" w:rsidRDefault="00E77050" w:rsidP="00E77050">
      <w:pPr>
        <w:pStyle w:val="ListParagraph"/>
        <w:numPr>
          <w:ilvl w:val="0"/>
          <w:numId w:val="19"/>
        </w:numPr>
      </w:pPr>
      <w:r>
        <w:t xml:space="preserve">WIPO/GRTKF/IC/17/INF/9: Lista y breve descripción técnica de las diversas formas que pueden presentar los conocimientos tradicionales, </w:t>
      </w:r>
      <w:hyperlink r:id="rId14" w:history="1">
        <w:r>
          <w:rPr>
            <w:rStyle w:val="Hyperlink"/>
            <w:color w:val="0000FF"/>
          </w:rPr>
          <w:t>https://www.wipo.int/meetings/es/doc_details.jsp?doc_id=147152</w:t>
        </w:r>
      </w:hyperlink>
      <w:r>
        <w:t xml:space="preserve">; </w:t>
      </w:r>
    </w:p>
    <w:p w14:paraId="3920383F" w14:textId="77777777" w:rsidR="00E77050" w:rsidRPr="00BD16F8" w:rsidRDefault="00E77050" w:rsidP="00E77050">
      <w:pPr>
        <w:pStyle w:val="ListParagraph"/>
      </w:pPr>
    </w:p>
    <w:p w14:paraId="241A9A90" w14:textId="790175DD" w:rsidR="00E77050" w:rsidRPr="00BD16F8" w:rsidRDefault="00E77050" w:rsidP="00E77050">
      <w:pPr>
        <w:pStyle w:val="ListParagraph"/>
        <w:numPr>
          <w:ilvl w:val="0"/>
          <w:numId w:val="19"/>
        </w:numPr>
      </w:pPr>
      <w:r>
        <w:lastRenderedPageBreak/>
        <w:t xml:space="preserve">Experiencias regionales, nacionales, locales y comunitarias: </w:t>
      </w:r>
      <w:hyperlink r:id="rId15" w:history="1">
        <w:r>
          <w:rPr>
            <w:rStyle w:val="Hyperlink"/>
            <w:color w:val="0000FF"/>
          </w:rPr>
          <w:t>https://www.wipo.int/tk/es/resources/tk_experiences.html</w:t>
        </w:r>
      </w:hyperlink>
      <w:r>
        <w:t xml:space="preserve"> </w:t>
      </w:r>
    </w:p>
    <w:p w14:paraId="2BA83957" w14:textId="77777777" w:rsidR="00E77050" w:rsidRPr="00BD16F8" w:rsidRDefault="00E77050" w:rsidP="00E77050"/>
    <w:p w14:paraId="6FAC8CD4" w14:textId="05CC3C03" w:rsidR="00E77050" w:rsidRPr="00BD16F8" w:rsidRDefault="00E77050" w:rsidP="00524EF9">
      <w:pPr>
        <w:pStyle w:val="ListParagraph"/>
        <w:numPr>
          <w:ilvl w:val="0"/>
          <w:numId w:val="19"/>
        </w:numPr>
        <w:spacing w:after="600"/>
        <w:ind w:left="714" w:hanging="357"/>
        <w:contextualSpacing w:val="0"/>
      </w:pPr>
      <w:r>
        <w:t xml:space="preserve">Conferencias y ponencias sobre temas escogidos: </w:t>
      </w:r>
      <w:hyperlink r:id="rId16" w:anchor="4" w:history="1">
        <w:r>
          <w:rPr>
            <w:rStyle w:val="Hyperlink"/>
            <w:color w:val="0000FF"/>
          </w:rPr>
          <w:t>https://www.wipo.int/tk/es/resources/tk_experiences.html#4</w:t>
        </w:r>
      </w:hyperlink>
      <w:r>
        <w:t xml:space="preserve"> </w:t>
      </w:r>
    </w:p>
    <w:p w14:paraId="5A699644" w14:textId="77777777" w:rsidR="000D4BD5" w:rsidRDefault="000D4BD5" w:rsidP="00524EF9">
      <w:pPr>
        <w:pStyle w:val="Endofdocument-Annex"/>
      </w:pPr>
      <w:r>
        <w:t>[Fin del documento]</w:t>
      </w:r>
    </w:p>
    <w:sectPr w:rsidR="000D4BD5" w:rsidSect="00267117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E31791A" w16cid:durableId="2019030B"/>
  <w16cid:commentId w16cid:paraId="7690DF21" w16cid:durableId="201901A7"/>
  <w16cid:commentId w16cid:paraId="41603091" w16cid:durableId="2019034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AF8042" w14:textId="77777777" w:rsidR="001A1782" w:rsidRDefault="001A1782">
      <w:r>
        <w:separator/>
      </w:r>
    </w:p>
  </w:endnote>
  <w:endnote w:type="continuationSeparator" w:id="0">
    <w:p w14:paraId="75777932" w14:textId="77777777" w:rsidR="001A1782" w:rsidRDefault="001A1782" w:rsidP="003B38C1">
      <w:r>
        <w:separator/>
      </w:r>
    </w:p>
    <w:p w14:paraId="03716E93" w14:textId="77777777" w:rsidR="001A1782" w:rsidRPr="00D340F9" w:rsidRDefault="001A1782" w:rsidP="003B38C1">
      <w:pPr>
        <w:spacing w:after="60"/>
        <w:rPr>
          <w:sz w:val="17"/>
          <w:lang w:val="en-US"/>
        </w:rPr>
      </w:pPr>
      <w:r w:rsidRPr="00D340F9">
        <w:rPr>
          <w:sz w:val="17"/>
          <w:lang w:val="en-US"/>
        </w:rPr>
        <w:t>[Endnote continued from previous page]</w:t>
      </w:r>
    </w:p>
  </w:endnote>
  <w:endnote w:type="continuationNotice" w:id="1">
    <w:p w14:paraId="239EEE8C" w14:textId="77777777" w:rsidR="001A1782" w:rsidRPr="00D340F9" w:rsidRDefault="001A1782" w:rsidP="003B38C1">
      <w:pPr>
        <w:spacing w:before="60"/>
        <w:jc w:val="right"/>
        <w:rPr>
          <w:sz w:val="17"/>
          <w:szCs w:val="17"/>
          <w:lang w:val="en-US"/>
        </w:rPr>
      </w:pPr>
      <w:r w:rsidRPr="00D340F9">
        <w:rPr>
          <w:sz w:val="17"/>
          <w:szCs w:val="17"/>
          <w:lang w:val="en-US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650A6D" w14:textId="77777777" w:rsidR="00466271" w:rsidRDefault="004662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38831B" w14:textId="77777777" w:rsidR="00466271" w:rsidRDefault="0046627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39575B" w14:textId="77777777" w:rsidR="00466271" w:rsidRDefault="004662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79FDC2" w14:textId="77777777" w:rsidR="001A1782" w:rsidRDefault="001A1782">
      <w:r>
        <w:separator/>
      </w:r>
    </w:p>
  </w:footnote>
  <w:footnote w:type="continuationSeparator" w:id="0">
    <w:p w14:paraId="3AAD9B79" w14:textId="77777777" w:rsidR="001A1782" w:rsidRDefault="001A1782" w:rsidP="008B60B2">
      <w:r>
        <w:separator/>
      </w:r>
    </w:p>
    <w:p w14:paraId="31324C12" w14:textId="77777777" w:rsidR="001A1782" w:rsidRPr="00D340F9" w:rsidRDefault="001A1782" w:rsidP="008B60B2">
      <w:pPr>
        <w:spacing w:after="60"/>
        <w:rPr>
          <w:sz w:val="17"/>
          <w:szCs w:val="17"/>
          <w:lang w:val="en-US"/>
        </w:rPr>
      </w:pPr>
      <w:r w:rsidRPr="00D340F9">
        <w:rPr>
          <w:sz w:val="17"/>
          <w:szCs w:val="17"/>
          <w:lang w:val="en-US"/>
        </w:rPr>
        <w:t>[Footnote continued from previous page]</w:t>
      </w:r>
    </w:p>
  </w:footnote>
  <w:footnote w:type="continuationNotice" w:id="1">
    <w:p w14:paraId="346AEB30" w14:textId="77777777" w:rsidR="001A1782" w:rsidRPr="00D340F9" w:rsidRDefault="001A1782" w:rsidP="008B60B2">
      <w:pPr>
        <w:spacing w:before="60"/>
        <w:jc w:val="right"/>
        <w:rPr>
          <w:sz w:val="17"/>
          <w:szCs w:val="17"/>
          <w:lang w:val="en-US"/>
        </w:rPr>
      </w:pPr>
      <w:r w:rsidRPr="00D340F9">
        <w:rPr>
          <w:sz w:val="17"/>
          <w:szCs w:val="17"/>
          <w:lang w:val="en-US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9C3EA8" w14:textId="49C8193B" w:rsidR="00267117" w:rsidRPr="00750AD4" w:rsidRDefault="00267117" w:rsidP="00267117">
    <w:pPr>
      <w:jc w:val="right"/>
    </w:pPr>
    <w:r>
      <w:t>WIPO/IPTK-TCES/GE/22/2</w:t>
    </w:r>
  </w:p>
  <w:p w14:paraId="7F1C86CC" w14:textId="05E353F5" w:rsidR="00267117" w:rsidRPr="00750AD4" w:rsidRDefault="00267117" w:rsidP="00267117">
    <w:pPr>
      <w:jc w:val="right"/>
    </w:pPr>
    <w:r>
      <w:t xml:space="preserve">página </w:t>
    </w:r>
    <w:r>
      <w:fldChar w:fldCharType="begin"/>
    </w:r>
    <w:r w:rsidRPr="00750AD4">
      <w:instrText xml:space="preserve"> PAGE  \* MERGEFORMAT </w:instrText>
    </w:r>
    <w:r>
      <w:fldChar w:fldCharType="separate"/>
    </w:r>
    <w:r w:rsidR="009B0F43">
      <w:rPr>
        <w:noProof/>
      </w:rPr>
      <w:t>4</w:t>
    </w:r>
    <w:r>
      <w:fldChar w:fldCharType="end"/>
    </w:r>
  </w:p>
  <w:p w14:paraId="046C432A" w14:textId="77777777" w:rsidR="00267117" w:rsidRPr="00D340F9" w:rsidRDefault="00267117" w:rsidP="00267117">
    <w:pPr>
      <w:jc w:val="right"/>
    </w:pPr>
  </w:p>
  <w:p w14:paraId="485949E5" w14:textId="77777777" w:rsidR="00267117" w:rsidRPr="00D340F9" w:rsidRDefault="00267117" w:rsidP="00267117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DAAC97" w14:textId="7F830799" w:rsidR="00EC4E49" w:rsidRPr="00750AD4" w:rsidRDefault="000D4BD5" w:rsidP="00477D6B">
    <w:pPr>
      <w:jc w:val="right"/>
    </w:pPr>
    <w:r>
      <w:t>WIPO/IPTK-TCES/GE/22/2</w:t>
    </w:r>
  </w:p>
  <w:p w14:paraId="301BE683" w14:textId="794FEA9D" w:rsidR="00EC4E49" w:rsidRPr="00750AD4" w:rsidRDefault="00EC4E49" w:rsidP="00477D6B">
    <w:pPr>
      <w:jc w:val="right"/>
    </w:pPr>
    <w:r>
      <w:t xml:space="preserve">página </w:t>
    </w:r>
    <w:r>
      <w:fldChar w:fldCharType="begin"/>
    </w:r>
    <w:r w:rsidRPr="00750AD4">
      <w:instrText xml:space="preserve"> PAGE  \* MERGEFORMAT </w:instrText>
    </w:r>
    <w:r>
      <w:fldChar w:fldCharType="separate"/>
    </w:r>
    <w:r w:rsidR="00321AA5">
      <w:rPr>
        <w:noProof/>
      </w:rPr>
      <w:t>3</w:t>
    </w:r>
    <w:r>
      <w:fldChar w:fldCharType="end"/>
    </w:r>
  </w:p>
  <w:p w14:paraId="3966F845" w14:textId="77777777" w:rsidR="00EC4E49" w:rsidRPr="00D340F9" w:rsidRDefault="00EC4E49" w:rsidP="00477D6B">
    <w:pPr>
      <w:jc w:val="right"/>
    </w:pPr>
  </w:p>
  <w:p w14:paraId="3E4F5040" w14:textId="77777777" w:rsidR="008A134B" w:rsidRPr="00D340F9" w:rsidRDefault="008A134B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E92C1E" w14:textId="77777777" w:rsidR="00466271" w:rsidRDefault="004662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30F0E9C"/>
    <w:multiLevelType w:val="hybridMultilevel"/>
    <w:tmpl w:val="34F4E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 w15:restartNumberingAfterBreak="0">
    <w:nsid w:val="09430170"/>
    <w:multiLevelType w:val="hybridMultilevel"/>
    <w:tmpl w:val="CB680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B044BF"/>
    <w:multiLevelType w:val="hybridMultilevel"/>
    <w:tmpl w:val="B59A5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B55D78"/>
    <w:multiLevelType w:val="hybridMultilevel"/>
    <w:tmpl w:val="1BEEE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A06F67"/>
    <w:multiLevelType w:val="hybridMultilevel"/>
    <w:tmpl w:val="273C9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9" w15:restartNumberingAfterBreak="0">
    <w:nsid w:val="2357071B"/>
    <w:multiLevelType w:val="hybridMultilevel"/>
    <w:tmpl w:val="B2FCE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5404D3"/>
    <w:multiLevelType w:val="hybridMultilevel"/>
    <w:tmpl w:val="79BE0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C47C86"/>
    <w:multiLevelType w:val="hybridMultilevel"/>
    <w:tmpl w:val="E46C7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465187"/>
    <w:multiLevelType w:val="hybridMultilevel"/>
    <w:tmpl w:val="C8668644"/>
    <w:lvl w:ilvl="0" w:tplc="9BE88280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A730247"/>
    <w:multiLevelType w:val="hybridMultilevel"/>
    <w:tmpl w:val="10AE60BE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4" w15:restartNumberingAfterBreak="0">
    <w:nsid w:val="3D8317F8"/>
    <w:multiLevelType w:val="hybridMultilevel"/>
    <w:tmpl w:val="97C04836"/>
    <w:lvl w:ilvl="0" w:tplc="94FE7FF0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84410B"/>
    <w:multiLevelType w:val="hybridMultilevel"/>
    <w:tmpl w:val="1840C94C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6" w15:restartNumberingAfterBreak="0">
    <w:nsid w:val="430D048F"/>
    <w:multiLevelType w:val="hybridMultilevel"/>
    <w:tmpl w:val="06568D42"/>
    <w:lvl w:ilvl="0" w:tplc="040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7" w15:restartNumberingAfterBreak="0">
    <w:nsid w:val="4328111E"/>
    <w:multiLevelType w:val="hybridMultilevel"/>
    <w:tmpl w:val="CB6ECA54"/>
    <w:lvl w:ilvl="0" w:tplc="9BE88280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40E0D81"/>
    <w:multiLevelType w:val="hybridMultilevel"/>
    <w:tmpl w:val="6B4E0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44512A0F"/>
    <w:multiLevelType w:val="hybridMultilevel"/>
    <w:tmpl w:val="5E705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7A39B1"/>
    <w:multiLevelType w:val="hybridMultilevel"/>
    <w:tmpl w:val="E32CB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591F7C"/>
    <w:multiLevelType w:val="hybridMultilevel"/>
    <w:tmpl w:val="02CCA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904638"/>
    <w:multiLevelType w:val="hybridMultilevel"/>
    <w:tmpl w:val="2CF07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E235D38"/>
    <w:multiLevelType w:val="hybridMultilevel"/>
    <w:tmpl w:val="E26E4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A3491C"/>
    <w:multiLevelType w:val="hybridMultilevel"/>
    <w:tmpl w:val="D2103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13404D"/>
    <w:multiLevelType w:val="hybridMultilevel"/>
    <w:tmpl w:val="F738D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C127EF"/>
    <w:multiLevelType w:val="hybridMultilevel"/>
    <w:tmpl w:val="8280F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F32C52"/>
    <w:multiLevelType w:val="hybridMultilevel"/>
    <w:tmpl w:val="23C8386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69652BE"/>
    <w:multiLevelType w:val="hybridMultilevel"/>
    <w:tmpl w:val="187A80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EC25B6"/>
    <w:multiLevelType w:val="hybridMultilevel"/>
    <w:tmpl w:val="D7463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7A5D86"/>
    <w:multiLevelType w:val="hybridMultilevel"/>
    <w:tmpl w:val="1E389E36"/>
    <w:lvl w:ilvl="0" w:tplc="DFD6BAF6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4B187D"/>
    <w:multiLevelType w:val="hybridMultilevel"/>
    <w:tmpl w:val="5CF20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A71512"/>
    <w:multiLevelType w:val="hybridMultilevel"/>
    <w:tmpl w:val="295AB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9666A3"/>
    <w:multiLevelType w:val="hybridMultilevel"/>
    <w:tmpl w:val="BE9048EA"/>
    <w:lvl w:ilvl="0" w:tplc="DFD6BAF6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E04EAA"/>
    <w:multiLevelType w:val="hybridMultilevel"/>
    <w:tmpl w:val="F49A5E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9"/>
  </w:num>
  <w:num w:numId="3">
    <w:abstractNumId w:val="0"/>
  </w:num>
  <w:num w:numId="4">
    <w:abstractNumId w:val="24"/>
  </w:num>
  <w:num w:numId="5">
    <w:abstractNumId w:val="2"/>
  </w:num>
  <w:num w:numId="6">
    <w:abstractNumId w:val="8"/>
  </w:num>
  <w:num w:numId="7">
    <w:abstractNumId w:val="20"/>
  </w:num>
  <w:num w:numId="8">
    <w:abstractNumId w:val="14"/>
  </w:num>
  <w:num w:numId="9">
    <w:abstractNumId w:val="16"/>
  </w:num>
  <w:num w:numId="10">
    <w:abstractNumId w:val="17"/>
  </w:num>
  <w:num w:numId="11">
    <w:abstractNumId w:val="12"/>
  </w:num>
  <w:num w:numId="12">
    <w:abstractNumId w:val="22"/>
  </w:num>
  <w:num w:numId="13">
    <w:abstractNumId w:val="25"/>
  </w:num>
  <w:num w:numId="14">
    <w:abstractNumId w:val="27"/>
  </w:num>
  <w:num w:numId="15">
    <w:abstractNumId w:val="33"/>
  </w:num>
  <w:num w:numId="16">
    <w:abstractNumId w:val="11"/>
  </w:num>
  <w:num w:numId="17">
    <w:abstractNumId w:val="28"/>
  </w:num>
  <w:num w:numId="18">
    <w:abstractNumId w:val="15"/>
  </w:num>
  <w:num w:numId="19">
    <w:abstractNumId w:val="5"/>
  </w:num>
  <w:num w:numId="20">
    <w:abstractNumId w:val="10"/>
  </w:num>
  <w:num w:numId="21">
    <w:abstractNumId w:val="3"/>
  </w:num>
  <w:num w:numId="22">
    <w:abstractNumId w:val="9"/>
  </w:num>
  <w:num w:numId="23">
    <w:abstractNumId w:val="31"/>
  </w:num>
  <w:num w:numId="24">
    <w:abstractNumId w:val="18"/>
  </w:num>
  <w:num w:numId="25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1"/>
  </w:num>
  <w:num w:numId="27">
    <w:abstractNumId w:val="23"/>
  </w:num>
  <w:num w:numId="28">
    <w:abstractNumId w:val="4"/>
  </w:num>
  <w:num w:numId="29">
    <w:abstractNumId w:val="21"/>
  </w:num>
  <w:num w:numId="30">
    <w:abstractNumId w:val="32"/>
  </w:num>
  <w:num w:numId="31">
    <w:abstractNumId w:val="13"/>
  </w:num>
  <w:num w:numId="32">
    <w:abstractNumId w:val="35"/>
  </w:num>
  <w:num w:numId="33">
    <w:abstractNumId w:val="36"/>
  </w:num>
  <w:num w:numId="34">
    <w:abstractNumId w:val="26"/>
  </w:num>
  <w:num w:numId="35">
    <w:abstractNumId w:val="6"/>
  </w:num>
  <w:num w:numId="36">
    <w:abstractNumId w:val="34"/>
  </w:num>
  <w:num w:numId="3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BD5"/>
    <w:rsid w:val="00003BD6"/>
    <w:rsid w:val="00012180"/>
    <w:rsid w:val="0001278A"/>
    <w:rsid w:val="00024041"/>
    <w:rsid w:val="00031920"/>
    <w:rsid w:val="00033185"/>
    <w:rsid w:val="00036321"/>
    <w:rsid w:val="000411A6"/>
    <w:rsid w:val="00043CAA"/>
    <w:rsid w:val="000443E8"/>
    <w:rsid w:val="000611EE"/>
    <w:rsid w:val="0007215C"/>
    <w:rsid w:val="00075432"/>
    <w:rsid w:val="000807DB"/>
    <w:rsid w:val="000831C9"/>
    <w:rsid w:val="00084F25"/>
    <w:rsid w:val="00092261"/>
    <w:rsid w:val="000968ED"/>
    <w:rsid w:val="000A3302"/>
    <w:rsid w:val="000A6A46"/>
    <w:rsid w:val="000B290B"/>
    <w:rsid w:val="000D4BD5"/>
    <w:rsid w:val="000E2B93"/>
    <w:rsid w:val="000E69A5"/>
    <w:rsid w:val="000F2E91"/>
    <w:rsid w:val="000F33DB"/>
    <w:rsid w:val="000F5E56"/>
    <w:rsid w:val="001362EE"/>
    <w:rsid w:val="00150D56"/>
    <w:rsid w:val="001647D5"/>
    <w:rsid w:val="00165B76"/>
    <w:rsid w:val="00166A92"/>
    <w:rsid w:val="0017042D"/>
    <w:rsid w:val="00181199"/>
    <w:rsid w:val="0018292F"/>
    <w:rsid w:val="001832A6"/>
    <w:rsid w:val="00187B07"/>
    <w:rsid w:val="00187F6C"/>
    <w:rsid w:val="00191D11"/>
    <w:rsid w:val="001A1782"/>
    <w:rsid w:val="001A233E"/>
    <w:rsid w:val="001D088E"/>
    <w:rsid w:val="001F084E"/>
    <w:rsid w:val="0021217E"/>
    <w:rsid w:val="00215CD5"/>
    <w:rsid w:val="00227C6C"/>
    <w:rsid w:val="00233C45"/>
    <w:rsid w:val="00256D87"/>
    <w:rsid w:val="002623D6"/>
    <w:rsid w:val="002634C4"/>
    <w:rsid w:val="00267117"/>
    <w:rsid w:val="00275B90"/>
    <w:rsid w:val="00276A9A"/>
    <w:rsid w:val="002921B8"/>
    <w:rsid w:val="002928D3"/>
    <w:rsid w:val="0029357E"/>
    <w:rsid w:val="002965AA"/>
    <w:rsid w:val="002B6D96"/>
    <w:rsid w:val="002C20A7"/>
    <w:rsid w:val="002C6856"/>
    <w:rsid w:val="002D4CCC"/>
    <w:rsid w:val="002E0D90"/>
    <w:rsid w:val="002E3707"/>
    <w:rsid w:val="002F1FE6"/>
    <w:rsid w:val="002F4E68"/>
    <w:rsid w:val="002F7062"/>
    <w:rsid w:val="003010B3"/>
    <w:rsid w:val="00303705"/>
    <w:rsid w:val="00312F7F"/>
    <w:rsid w:val="00313FBF"/>
    <w:rsid w:val="00321AA5"/>
    <w:rsid w:val="00321FF0"/>
    <w:rsid w:val="003321D2"/>
    <w:rsid w:val="00332D35"/>
    <w:rsid w:val="00340AE9"/>
    <w:rsid w:val="00351AC7"/>
    <w:rsid w:val="00361450"/>
    <w:rsid w:val="003673CF"/>
    <w:rsid w:val="0037092D"/>
    <w:rsid w:val="0037653F"/>
    <w:rsid w:val="003845C1"/>
    <w:rsid w:val="003A1EF3"/>
    <w:rsid w:val="003A6F89"/>
    <w:rsid w:val="003B1152"/>
    <w:rsid w:val="003B27D2"/>
    <w:rsid w:val="003B38C1"/>
    <w:rsid w:val="003C397C"/>
    <w:rsid w:val="003C63B9"/>
    <w:rsid w:val="003D12FC"/>
    <w:rsid w:val="003E1F8F"/>
    <w:rsid w:val="003E3795"/>
    <w:rsid w:val="003E5350"/>
    <w:rsid w:val="003F5634"/>
    <w:rsid w:val="004018A1"/>
    <w:rsid w:val="0040282C"/>
    <w:rsid w:val="00403511"/>
    <w:rsid w:val="00412E3A"/>
    <w:rsid w:val="00415138"/>
    <w:rsid w:val="004151EA"/>
    <w:rsid w:val="00415F38"/>
    <w:rsid w:val="00423E3E"/>
    <w:rsid w:val="00427AF4"/>
    <w:rsid w:val="0043177A"/>
    <w:rsid w:val="0043778A"/>
    <w:rsid w:val="00441DB4"/>
    <w:rsid w:val="004426F1"/>
    <w:rsid w:val="00442FEE"/>
    <w:rsid w:val="004563B8"/>
    <w:rsid w:val="0046251E"/>
    <w:rsid w:val="004647DA"/>
    <w:rsid w:val="00466271"/>
    <w:rsid w:val="004663FC"/>
    <w:rsid w:val="00474062"/>
    <w:rsid w:val="00477D6B"/>
    <w:rsid w:val="004B350D"/>
    <w:rsid w:val="004B3998"/>
    <w:rsid w:val="004C073A"/>
    <w:rsid w:val="004C79D5"/>
    <w:rsid w:val="004D2A4A"/>
    <w:rsid w:val="004F668B"/>
    <w:rsid w:val="005019FF"/>
    <w:rsid w:val="00516C2D"/>
    <w:rsid w:val="00517798"/>
    <w:rsid w:val="00520061"/>
    <w:rsid w:val="00521E04"/>
    <w:rsid w:val="00524EF9"/>
    <w:rsid w:val="00527CDC"/>
    <w:rsid w:val="00530376"/>
    <w:rsid w:val="0053057A"/>
    <w:rsid w:val="005428E7"/>
    <w:rsid w:val="00554401"/>
    <w:rsid w:val="00560A29"/>
    <w:rsid w:val="00562D1E"/>
    <w:rsid w:val="0056607C"/>
    <w:rsid w:val="00572A09"/>
    <w:rsid w:val="005859B5"/>
    <w:rsid w:val="005C0A74"/>
    <w:rsid w:val="005C4023"/>
    <w:rsid w:val="005C6649"/>
    <w:rsid w:val="005C7230"/>
    <w:rsid w:val="005D01E5"/>
    <w:rsid w:val="005E07C0"/>
    <w:rsid w:val="005E2472"/>
    <w:rsid w:val="005E4EC6"/>
    <w:rsid w:val="00601A98"/>
    <w:rsid w:val="0060323A"/>
    <w:rsid w:val="00604D1B"/>
    <w:rsid w:val="00605827"/>
    <w:rsid w:val="006068B5"/>
    <w:rsid w:val="00610789"/>
    <w:rsid w:val="00616520"/>
    <w:rsid w:val="0062027D"/>
    <w:rsid w:val="00623AE8"/>
    <w:rsid w:val="00646050"/>
    <w:rsid w:val="00654696"/>
    <w:rsid w:val="006713CA"/>
    <w:rsid w:val="00676C5C"/>
    <w:rsid w:val="00680D49"/>
    <w:rsid w:val="0068164E"/>
    <w:rsid w:val="00683816"/>
    <w:rsid w:val="00685F65"/>
    <w:rsid w:val="006D3C9F"/>
    <w:rsid w:val="006E279F"/>
    <w:rsid w:val="006F4E56"/>
    <w:rsid w:val="00704117"/>
    <w:rsid w:val="007043EE"/>
    <w:rsid w:val="007111E2"/>
    <w:rsid w:val="007301FA"/>
    <w:rsid w:val="007322A0"/>
    <w:rsid w:val="007435C7"/>
    <w:rsid w:val="00750AD4"/>
    <w:rsid w:val="00774DAD"/>
    <w:rsid w:val="007767BE"/>
    <w:rsid w:val="0079184B"/>
    <w:rsid w:val="007A1575"/>
    <w:rsid w:val="007B2BB5"/>
    <w:rsid w:val="007B44F7"/>
    <w:rsid w:val="007C17CA"/>
    <w:rsid w:val="007C4728"/>
    <w:rsid w:val="007C48E8"/>
    <w:rsid w:val="007D1613"/>
    <w:rsid w:val="007E0693"/>
    <w:rsid w:val="007E46A9"/>
    <w:rsid w:val="007E4C0E"/>
    <w:rsid w:val="007E71EB"/>
    <w:rsid w:val="00816717"/>
    <w:rsid w:val="00816953"/>
    <w:rsid w:val="00830727"/>
    <w:rsid w:val="00834069"/>
    <w:rsid w:val="00844C5C"/>
    <w:rsid w:val="00846707"/>
    <w:rsid w:val="008467DB"/>
    <w:rsid w:val="00847939"/>
    <w:rsid w:val="0085040B"/>
    <w:rsid w:val="00853630"/>
    <w:rsid w:val="00856425"/>
    <w:rsid w:val="00870735"/>
    <w:rsid w:val="00881144"/>
    <w:rsid w:val="008864E4"/>
    <w:rsid w:val="00891976"/>
    <w:rsid w:val="008A134B"/>
    <w:rsid w:val="008A58D1"/>
    <w:rsid w:val="008B2CC1"/>
    <w:rsid w:val="008B4576"/>
    <w:rsid w:val="008B60B2"/>
    <w:rsid w:val="008B7F57"/>
    <w:rsid w:val="008C10CF"/>
    <w:rsid w:val="008D0D4B"/>
    <w:rsid w:val="008D4377"/>
    <w:rsid w:val="008F0024"/>
    <w:rsid w:val="008F6A04"/>
    <w:rsid w:val="0090731E"/>
    <w:rsid w:val="009153FF"/>
    <w:rsid w:val="00916EE2"/>
    <w:rsid w:val="0092213D"/>
    <w:rsid w:val="00950A4C"/>
    <w:rsid w:val="00951AC5"/>
    <w:rsid w:val="00966A22"/>
    <w:rsid w:val="0096722F"/>
    <w:rsid w:val="00967756"/>
    <w:rsid w:val="009769BC"/>
    <w:rsid w:val="00980286"/>
    <w:rsid w:val="00980803"/>
    <w:rsid w:val="00980843"/>
    <w:rsid w:val="0099414F"/>
    <w:rsid w:val="009A0B04"/>
    <w:rsid w:val="009B07AD"/>
    <w:rsid w:val="009B0F43"/>
    <w:rsid w:val="009C2752"/>
    <w:rsid w:val="009C3880"/>
    <w:rsid w:val="009C3F61"/>
    <w:rsid w:val="009E2791"/>
    <w:rsid w:val="009E3F6F"/>
    <w:rsid w:val="009F499F"/>
    <w:rsid w:val="009F7789"/>
    <w:rsid w:val="00A05DB8"/>
    <w:rsid w:val="00A07739"/>
    <w:rsid w:val="00A22486"/>
    <w:rsid w:val="00A2390D"/>
    <w:rsid w:val="00A25932"/>
    <w:rsid w:val="00A361CE"/>
    <w:rsid w:val="00A37342"/>
    <w:rsid w:val="00A42DAF"/>
    <w:rsid w:val="00A45BD8"/>
    <w:rsid w:val="00A67FE6"/>
    <w:rsid w:val="00A73D7E"/>
    <w:rsid w:val="00A74AE9"/>
    <w:rsid w:val="00A869B7"/>
    <w:rsid w:val="00AC205C"/>
    <w:rsid w:val="00AC22EB"/>
    <w:rsid w:val="00AC7B78"/>
    <w:rsid w:val="00AD0DB2"/>
    <w:rsid w:val="00AE5D78"/>
    <w:rsid w:val="00AF0A6B"/>
    <w:rsid w:val="00AF1ED6"/>
    <w:rsid w:val="00B05A69"/>
    <w:rsid w:val="00B112D7"/>
    <w:rsid w:val="00B314B5"/>
    <w:rsid w:val="00B727F0"/>
    <w:rsid w:val="00B77005"/>
    <w:rsid w:val="00B77DA3"/>
    <w:rsid w:val="00B9734B"/>
    <w:rsid w:val="00BA16E1"/>
    <w:rsid w:val="00BA30E2"/>
    <w:rsid w:val="00BB11BB"/>
    <w:rsid w:val="00BC1B79"/>
    <w:rsid w:val="00BC4A9E"/>
    <w:rsid w:val="00BC5E16"/>
    <w:rsid w:val="00BD16F8"/>
    <w:rsid w:val="00BD6FAC"/>
    <w:rsid w:val="00BE1072"/>
    <w:rsid w:val="00BE6183"/>
    <w:rsid w:val="00BF6A83"/>
    <w:rsid w:val="00C11090"/>
    <w:rsid w:val="00C11BFE"/>
    <w:rsid w:val="00C20B1E"/>
    <w:rsid w:val="00C23E36"/>
    <w:rsid w:val="00C278C5"/>
    <w:rsid w:val="00C40E7F"/>
    <w:rsid w:val="00C42861"/>
    <w:rsid w:val="00C5068F"/>
    <w:rsid w:val="00C57CEF"/>
    <w:rsid w:val="00C605A3"/>
    <w:rsid w:val="00C7190A"/>
    <w:rsid w:val="00C7365D"/>
    <w:rsid w:val="00C81E70"/>
    <w:rsid w:val="00C83170"/>
    <w:rsid w:val="00C838AA"/>
    <w:rsid w:val="00C86D74"/>
    <w:rsid w:val="00C94728"/>
    <w:rsid w:val="00C9666C"/>
    <w:rsid w:val="00CC0A33"/>
    <w:rsid w:val="00CC0C14"/>
    <w:rsid w:val="00CC5FF5"/>
    <w:rsid w:val="00CD04F1"/>
    <w:rsid w:val="00CD49DE"/>
    <w:rsid w:val="00CE1AD8"/>
    <w:rsid w:val="00CE66EF"/>
    <w:rsid w:val="00CF1E16"/>
    <w:rsid w:val="00D00F50"/>
    <w:rsid w:val="00D05554"/>
    <w:rsid w:val="00D1181D"/>
    <w:rsid w:val="00D32AD3"/>
    <w:rsid w:val="00D33CEC"/>
    <w:rsid w:val="00D340F9"/>
    <w:rsid w:val="00D34743"/>
    <w:rsid w:val="00D4330B"/>
    <w:rsid w:val="00D45252"/>
    <w:rsid w:val="00D53171"/>
    <w:rsid w:val="00D61185"/>
    <w:rsid w:val="00D62E7C"/>
    <w:rsid w:val="00D66B9B"/>
    <w:rsid w:val="00D715AE"/>
    <w:rsid w:val="00D71B4D"/>
    <w:rsid w:val="00D80FF7"/>
    <w:rsid w:val="00D93D55"/>
    <w:rsid w:val="00DA7396"/>
    <w:rsid w:val="00DC20FA"/>
    <w:rsid w:val="00DC5D23"/>
    <w:rsid w:val="00DE079F"/>
    <w:rsid w:val="00DE1A0A"/>
    <w:rsid w:val="00DE45DC"/>
    <w:rsid w:val="00DE4DCB"/>
    <w:rsid w:val="00DF7C36"/>
    <w:rsid w:val="00E02CE2"/>
    <w:rsid w:val="00E1184A"/>
    <w:rsid w:val="00E15015"/>
    <w:rsid w:val="00E163E8"/>
    <w:rsid w:val="00E16C10"/>
    <w:rsid w:val="00E21EA7"/>
    <w:rsid w:val="00E31B7A"/>
    <w:rsid w:val="00E335FE"/>
    <w:rsid w:val="00E408B2"/>
    <w:rsid w:val="00E50C3E"/>
    <w:rsid w:val="00E53211"/>
    <w:rsid w:val="00E57D3D"/>
    <w:rsid w:val="00E65079"/>
    <w:rsid w:val="00E723B6"/>
    <w:rsid w:val="00E759FB"/>
    <w:rsid w:val="00E75D08"/>
    <w:rsid w:val="00E77050"/>
    <w:rsid w:val="00E778A2"/>
    <w:rsid w:val="00E80817"/>
    <w:rsid w:val="00E82D9F"/>
    <w:rsid w:val="00E82F37"/>
    <w:rsid w:val="00E84D66"/>
    <w:rsid w:val="00E94608"/>
    <w:rsid w:val="00EA1198"/>
    <w:rsid w:val="00EA1441"/>
    <w:rsid w:val="00EA751D"/>
    <w:rsid w:val="00EA7D6E"/>
    <w:rsid w:val="00EC4815"/>
    <w:rsid w:val="00EC4E49"/>
    <w:rsid w:val="00EC7882"/>
    <w:rsid w:val="00ED77FB"/>
    <w:rsid w:val="00EE45FA"/>
    <w:rsid w:val="00EE4A26"/>
    <w:rsid w:val="00EF1964"/>
    <w:rsid w:val="00EF3A7A"/>
    <w:rsid w:val="00EF442A"/>
    <w:rsid w:val="00F0685A"/>
    <w:rsid w:val="00F15FAA"/>
    <w:rsid w:val="00F23CBA"/>
    <w:rsid w:val="00F35FD5"/>
    <w:rsid w:val="00F54D37"/>
    <w:rsid w:val="00F66152"/>
    <w:rsid w:val="00F83C2E"/>
    <w:rsid w:val="00FA6B85"/>
    <w:rsid w:val="00FC01F4"/>
    <w:rsid w:val="00FC4540"/>
    <w:rsid w:val="00FE22FF"/>
    <w:rsid w:val="00FE60B6"/>
    <w:rsid w:val="00FF38A8"/>
    <w:rsid w:val="00FF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,"/>
  <w14:docId w14:val="3FF69E6A"/>
  <w15:docId w15:val="{4F2F2A6B-A54B-417B-B708-119D663DF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uiPriority w:val="99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ListParagraph">
    <w:name w:val="List Paragraph"/>
    <w:basedOn w:val="Normal"/>
    <w:uiPriority w:val="34"/>
    <w:qFormat/>
    <w:rsid w:val="000D4BD5"/>
    <w:pPr>
      <w:ind w:left="720"/>
      <w:contextualSpacing/>
    </w:pPr>
  </w:style>
  <w:style w:type="table" w:styleId="TableGrid">
    <w:name w:val="Table Grid"/>
    <w:basedOn w:val="TableNormal"/>
    <w:rsid w:val="000D4B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84793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47939"/>
    <w:rPr>
      <w:rFonts w:ascii="Segoe UI" w:eastAsia="SimSun" w:hAnsi="Segoe UI" w:cs="Segoe UI"/>
      <w:sz w:val="18"/>
      <w:szCs w:val="18"/>
      <w:lang w:val="es-ES" w:eastAsia="zh-CN"/>
    </w:rPr>
  </w:style>
  <w:style w:type="character" w:styleId="Hyperlink">
    <w:name w:val="Hyperlink"/>
    <w:basedOn w:val="DefaultParagraphFont"/>
    <w:unhideWhenUsed/>
    <w:rsid w:val="00E77050"/>
    <w:rPr>
      <w:color w:val="0000FF" w:themeColor="hyperlink"/>
      <w:u w:val="singl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278A"/>
    <w:rPr>
      <w:rFonts w:ascii="Arial" w:eastAsia="SimSun" w:hAnsi="Arial" w:cs="Arial"/>
      <w:sz w:val="18"/>
      <w:lang w:val="es-ES" w:eastAsia="zh-CN"/>
    </w:rPr>
  </w:style>
  <w:style w:type="character" w:styleId="CommentReference">
    <w:name w:val="annotation reference"/>
    <w:basedOn w:val="DefaultParagraphFont"/>
    <w:semiHidden/>
    <w:unhideWhenUsed/>
    <w:rsid w:val="007111E2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111E2"/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7111E2"/>
    <w:rPr>
      <w:rFonts w:ascii="Arial" w:eastAsia="SimSun" w:hAnsi="Arial" w:cs="Arial"/>
      <w:b/>
      <w:bCs/>
      <w:sz w:val="18"/>
      <w:lang w:val="es-ES" w:eastAsia="zh-CN"/>
    </w:rPr>
  </w:style>
  <w:style w:type="paragraph" w:styleId="Revision">
    <w:name w:val="Revision"/>
    <w:hidden/>
    <w:uiPriority w:val="99"/>
    <w:semiHidden/>
    <w:rsid w:val="0062027D"/>
    <w:rPr>
      <w:rFonts w:ascii="Arial" w:eastAsia="SimSun" w:hAnsi="Arial" w:cs="Arial"/>
      <w:sz w:val="22"/>
      <w:lang w:eastAsia="zh-CN"/>
    </w:rPr>
  </w:style>
  <w:style w:type="character" w:styleId="FootnoteReference">
    <w:name w:val="footnote reference"/>
    <w:aliases w:val="4_G,Footnotes refss,Footnote Ref,16 Point,Superscript 6 Point,Appel note de bas de p.,Footnote Refernece,Footnote number,ftref,a Footnote Reference,FZ,Appel note de bas de page,Texto de nota al pie,referencia nota al pie,BVI fnr,Ref"/>
    <w:basedOn w:val="DefaultParagraphFont"/>
    <w:unhideWhenUsed/>
    <w:qFormat/>
    <w:rsid w:val="00685F65"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rsid w:val="00227C6C"/>
    <w:rPr>
      <w:rFonts w:ascii="Arial" w:eastAsia="SimSun" w:hAnsi="Arial" w:cs="Arial"/>
      <w:sz w:val="18"/>
      <w:lang w:val="es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wipo.int/meetings/es/doc_details.jsp?doc_id=149213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s://www.wipo.int/meetings/es/doc_details.jsp?doc_id=585975" TargetMode="External"/><Relationship Id="rId17" Type="http://schemas.openxmlformats.org/officeDocument/2006/relationships/header" Target="header1.xml"/><Relationship Id="rId25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openxmlformats.org/officeDocument/2006/relationships/hyperlink" Target="https://www.wipo.int/tk/es/resources/tk_experiences.html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wipo.int/meetings/es/doc_details.jsp?doc_id=585974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wipo.int/tk/es/resources/tk_experiences.htm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wipo.int/meetings/es/doc_details.jsp?doc_id=585921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wipo.int/meetings/es/doc_details.jsp?doc_id=585931" TargetMode="External"/><Relationship Id="rId14" Type="http://schemas.openxmlformats.org/officeDocument/2006/relationships/hyperlink" Target="https://www.wipo.int/meetings/es/doc_details.jsp?doc_id=147152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8686D5-E9B7-4B80-A857-A1767112B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938</Words>
  <Characters>5753</Characters>
  <Application>Microsoft Office Word</Application>
  <DocSecurity>0</DocSecurity>
  <Lines>121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6682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Ian Goss</dc:creator>
  <cp:keywords>FOR OFFICIAL USE ONLY</cp:keywords>
  <cp:lastModifiedBy>BOU LLORET Amparo</cp:lastModifiedBy>
  <cp:revision>3</cp:revision>
  <cp:lastPrinted>2019-02-19T08:47:00Z</cp:lastPrinted>
  <dcterms:created xsi:type="dcterms:W3CDTF">2022-11-21T12:50:00Z</dcterms:created>
  <dcterms:modified xsi:type="dcterms:W3CDTF">2022-11-21T12:50:00Z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1646d2e9-0941-4cd4-8f3c-8debb1cefb65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None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</Properties>
</file>