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442701" w:rsidTr="00361450">
        <w:tc>
          <w:tcPr>
            <w:tcW w:w="4513" w:type="dxa"/>
            <w:tcBorders>
              <w:bottom w:val="single" w:sz="4" w:space="0" w:color="auto"/>
            </w:tcBorders>
            <w:tcMar>
              <w:bottom w:w="170" w:type="dxa"/>
            </w:tcMar>
          </w:tcPr>
          <w:p w:rsidR="00EC4E49" w:rsidRPr="00442701" w:rsidRDefault="00EC4E49" w:rsidP="00916EE2">
            <w:pPr>
              <w:rPr>
                <w:lang w:val="es-419"/>
              </w:rPr>
            </w:pPr>
          </w:p>
        </w:tc>
        <w:tc>
          <w:tcPr>
            <w:tcW w:w="4337" w:type="dxa"/>
            <w:tcBorders>
              <w:bottom w:val="single" w:sz="4" w:space="0" w:color="auto"/>
            </w:tcBorders>
            <w:tcMar>
              <w:left w:w="0" w:type="dxa"/>
              <w:right w:w="0" w:type="dxa"/>
            </w:tcMar>
          </w:tcPr>
          <w:p w:rsidR="00EC4E49" w:rsidRPr="00442701" w:rsidRDefault="00CC00B9" w:rsidP="00916EE2">
            <w:pPr>
              <w:rPr>
                <w:lang w:val="es-419"/>
              </w:rPr>
            </w:pPr>
            <w:r w:rsidRPr="00442701">
              <w:rPr>
                <w:noProof/>
                <w:color w:val="808080"/>
                <w:lang w:val="es-419" w:eastAsia="es-ES"/>
              </w:rPr>
              <w:drawing>
                <wp:inline distT="0" distB="0" distL="0" distR="0" wp14:anchorId="3FC07B79" wp14:editId="564DAA0C">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442701" w:rsidRDefault="00CC00B9" w:rsidP="00916EE2">
            <w:pPr>
              <w:jc w:val="right"/>
              <w:rPr>
                <w:lang w:val="es-419"/>
              </w:rPr>
            </w:pPr>
            <w:r w:rsidRPr="00442701">
              <w:rPr>
                <w:b/>
                <w:sz w:val="40"/>
                <w:szCs w:val="40"/>
                <w:lang w:val="es-419"/>
              </w:rPr>
              <w:t>S</w:t>
            </w:r>
          </w:p>
        </w:tc>
      </w:tr>
      <w:tr w:rsidR="008B2CC1" w:rsidRPr="00442701"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442701" w:rsidRDefault="00A3042F" w:rsidP="00916EE2">
            <w:pPr>
              <w:jc w:val="right"/>
              <w:rPr>
                <w:rFonts w:ascii="Arial Black" w:hAnsi="Arial Black"/>
                <w:caps/>
                <w:sz w:val="15"/>
                <w:highlight w:val="yellow"/>
                <w:lang w:val="es-419"/>
              </w:rPr>
            </w:pPr>
            <w:bookmarkStart w:id="0" w:name="Code"/>
            <w:bookmarkEnd w:id="0"/>
            <w:r w:rsidRPr="00442701">
              <w:rPr>
                <w:rFonts w:ascii="Arial Black" w:hAnsi="Arial Black"/>
                <w:caps/>
                <w:sz w:val="15"/>
                <w:lang w:val="es-419"/>
              </w:rPr>
              <w:t>WIPO/iptk</w:t>
            </w:r>
            <w:r w:rsidR="00620B8D" w:rsidRPr="00442701">
              <w:rPr>
                <w:rFonts w:ascii="Arial Black" w:hAnsi="Arial Black"/>
                <w:caps/>
                <w:sz w:val="15"/>
                <w:lang w:val="es-419"/>
              </w:rPr>
              <w:t>/GE/22</w:t>
            </w:r>
            <w:r w:rsidR="00973CA7" w:rsidRPr="00442701">
              <w:rPr>
                <w:rFonts w:ascii="Arial Black" w:hAnsi="Arial Black"/>
                <w:caps/>
                <w:sz w:val="15"/>
                <w:lang w:val="es-419"/>
              </w:rPr>
              <w:t>/2</w:t>
            </w:r>
            <w:r w:rsidR="008B2CC1" w:rsidRPr="00442701">
              <w:rPr>
                <w:rFonts w:ascii="Arial Black" w:hAnsi="Arial Black"/>
                <w:caps/>
                <w:sz w:val="15"/>
                <w:highlight w:val="yellow"/>
                <w:lang w:val="es-419"/>
              </w:rPr>
              <w:t xml:space="preserve">  </w:t>
            </w:r>
          </w:p>
        </w:tc>
      </w:tr>
      <w:tr w:rsidR="008B2CC1" w:rsidRPr="00442701" w:rsidTr="00916EE2">
        <w:trPr>
          <w:trHeight w:hRule="exact" w:val="170"/>
        </w:trPr>
        <w:tc>
          <w:tcPr>
            <w:tcW w:w="9356" w:type="dxa"/>
            <w:gridSpan w:val="3"/>
            <w:noWrap/>
            <w:tcMar>
              <w:left w:w="0" w:type="dxa"/>
              <w:right w:w="0" w:type="dxa"/>
            </w:tcMar>
            <w:vAlign w:val="bottom"/>
          </w:tcPr>
          <w:p w:rsidR="008B2CC1" w:rsidRPr="00442701" w:rsidRDefault="008B2CC1" w:rsidP="00CC00B9">
            <w:pPr>
              <w:jc w:val="right"/>
              <w:rPr>
                <w:rFonts w:ascii="Arial Black" w:hAnsi="Arial Black"/>
                <w:caps/>
                <w:sz w:val="15"/>
                <w:lang w:val="es-419"/>
              </w:rPr>
            </w:pPr>
            <w:r w:rsidRPr="00442701">
              <w:rPr>
                <w:rFonts w:ascii="Arial Black" w:hAnsi="Arial Black"/>
                <w:caps/>
                <w:sz w:val="15"/>
                <w:lang w:val="es-419"/>
              </w:rPr>
              <w:t>ORIGINAL:</w:t>
            </w:r>
            <w:r w:rsidR="001647D5" w:rsidRPr="00442701">
              <w:rPr>
                <w:rFonts w:ascii="Arial Black" w:hAnsi="Arial Black"/>
                <w:caps/>
                <w:sz w:val="15"/>
                <w:lang w:val="es-419"/>
              </w:rPr>
              <w:t xml:space="preserve"> </w:t>
            </w:r>
            <w:bookmarkStart w:id="1" w:name="Original"/>
            <w:bookmarkEnd w:id="1"/>
            <w:r w:rsidR="00CC00B9" w:rsidRPr="00442701">
              <w:rPr>
                <w:rFonts w:ascii="Arial Black" w:hAnsi="Arial Black"/>
                <w:caps/>
                <w:sz w:val="15"/>
                <w:lang w:val="es-419"/>
              </w:rPr>
              <w:t>INGLÉS</w:t>
            </w:r>
            <w:r w:rsidRPr="00442701">
              <w:rPr>
                <w:rFonts w:ascii="Arial Black" w:hAnsi="Arial Black"/>
                <w:caps/>
                <w:sz w:val="15"/>
                <w:lang w:val="es-419"/>
              </w:rPr>
              <w:t xml:space="preserve"> </w:t>
            </w:r>
          </w:p>
        </w:tc>
      </w:tr>
      <w:tr w:rsidR="008B2CC1" w:rsidRPr="00442701" w:rsidTr="00916EE2">
        <w:trPr>
          <w:trHeight w:hRule="exact" w:val="198"/>
        </w:trPr>
        <w:tc>
          <w:tcPr>
            <w:tcW w:w="9356" w:type="dxa"/>
            <w:gridSpan w:val="3"/>
            <w:tcMar>
              <w:left w:w="0" w:type="dxa"/>
              <w:right w:w="0" w:type="dxa"/>
            </w:tcMar>
            <w:vAlign w:val="bottom"/>
          </w:tcPr>
          <w:p w:rsidR="008B2CC1" w:rsidRPr="00442701" w:rsidRDefault="00CC00B9" w:rsidP="00CC00B9">
            <w:pPr>
              <w:jc w:val="right"/>
              <w:rPr>
                <w:rFonts w:ascii="Arial Black" w:hAnsi="Arial Black"/>
                <w:caps/>
                <w:sz w:val="15"/>
                <w:lang w:val="es-419"/>
              </w:rPr>
            </w:pPr>
            <w:r w:rsidRPr="00442701">
              <w:rPr>
                <w:rFonts w:ascii="Arial Black" w:hAnsi="Arial Black"/>
                <w:caps/>
                <w:sz w:val="15"/>
                <w:lang w:val="es-419"/>
              </w:rPr>
              <w:t>FECHA</w:t>
            </w:r>
            <w:r w:rsidR="008B2CC1" w:rsidRPr="00442701">
              <w:rPr>
                <w:rFonts w:ascii="Arial Black" w:hAnsi="Arial Black"/>
                <w:caps/>
                <w:sz w:val="15"/>
                <w:lang w:val="es-419"/>
              </w:rPr>
              <w:t>:</w:t>
            </w:r>
            <w:r w:rsidR="001647D5" w:rsidRPr="00442701">
              <w:rPr>
                <w:rFonts w:ascii="Arial Black" w:hAnsi="Arial Black"/>
                <w:caps/>
                <w:sz w:val="15"/>
                <w:lang w:val="es-419"/>
              </w:rPr>
              <w:t xml:space="preserve"> </w:t>
            </w:r>
            <w:bookmarkStart w:id="2" w:name="Date"/>
            <w:bookmarkEnd w:id="2"/>
            <w:r w:rsidRPr="00442701">
              <w:rPr>
                <w:rFonts w:ascii="Arial Black" w:hAnsi="Arial Black"/>
                <w:caps/>
                <w:sz w:val="15"/>
                <w:lang w:val="es-419"/>
              </w:rPr>
              <w:t>19 DE MAYO DE</w:t>
            </w:r>
            <w:r w:rsidR="00620B8D" w:rsidRPr="00442701">
              <w:rPr>
                <w:rFonts w:ascii="Arial Black" w:hAnsi="Arial Black"/>
                <w:caps/>
                <w:sz w:val="15"/>
                <w:lang w:val="es-419"/>
              </w:rPr>
              <w:t xml:space="preserve"> 2022</w:t>
            </w:r>
            <w:r w:rsidR="008B2CC1" w:rsidRPr="00442701">
              <w:rPr>
                <w:rFonts w:ascii="Arial Black" w:hAnsi="Arial Black"/>
                <w:caps/>
                <w:sz w:val="15"/>
                <w:lang w:val="es-419"/>
              </w:rPr>
              <w:t xml:space="preserve"> </w:t>
            </w:r>
          </w:p>
        </w:tc>
      </w:tr>
    </w:tbl>
    <w:p w:rsidR="008B2CC1" w:rsidRPr="00442701" w:rsidRDefault="008B2CC1" w:rsidP="008B2CC1">
      <w:pPr>
        <w:rPr>
          <w:lang w:val="es-419"/>
        </w:rPr>
      </w:pPr>
    </w:p>
    <w:p w:rsidR="008B2CC1" w:rsidRPr="00442701" w:rsidRDefault="008B2CC1" w:rsidP="008B2CC1">
      <w:pPr>
        <w:rPr>
          <w:lang w:val="es-419"/>
        </w:rPr>
      </w:pPr>
    </w:p>
    <w:p w:rsidR="008B2CC1" w:rsidRPr="00442701" w:rsidRDefault="008B2CC1" w:rsidP="008B2CC1">
      <w:pPr>
        <w:rPr>
          <w:lang w:val="es-419"/>
        </w:rPr>
      </w:pPr>
    </w:p>
    <w:p w:rsidR="008B2CC1" w:rsidRPr="00442701" w:rsidRDefault="008B2CC1" w:rsidP="008B2CC1">
      <w:pPr>
        <w:rPr>
          <w:lang w:val="es-419"/>
        </w:rPr>
      </w:pPr>
    </w:p>
    <w:p w:rsidR="008B2CC1" w:rsidRPr="00442701" w:rsidRDefault="008B2CC1" w:rsidP="008B2CC1">
      <w:pPr>
        <w:rPr>
          <w:lang w:val="es-419"/>
        </w:rPr>
      </w:pPr>
    </w:p>
    <w:p w:rsidR="00CC00B9" w:rsidRPr="00442701" w:rsidRDefault="00CC00B9" w:rsidP="00CC00B9">
      <w:pPr>
        <w:rPr>
          <w:b/>
          <w:i/>
          <w:sz w:val="28"/>
          <w:szCs w:val="28"/>
          <w:lang w:val="es-419"/>
        </w:rPr>
      </w:pPr>
      <w:r w:rsidRPr="00442701">
        <w:rPr>
          <w:b/>
          <w:sz w:val="28"/>
          <w:szCs w:val="28"/>
          <w:lang w:val="es-419"/>
        </w:rPr>
        <w:t>Grupo de expertos</w:t>
      </w:r>
      <w:r w:rsidRPr="00442701">
        <w:rPr>
          <w:b/>
          <w:i/>
          <w:sz w:val="28"/>
          <w:szCs w:val="28"/>
          <w:lang w:val="es-419"/>
        </w:rPr>
        <w:t xml:space="preserve"> ad hoc </w:t>
      </w:r>
      <w:r w:rsidRPr="00442701">
        <w:rPr>
          <w:b/>
          <w:sz w:val="28"/>
          <w:szCs w:val="28"/>
          <w:lang w:val="es-419"/>
        </w:rPr>
        <w:t>sobre recursos genéticos</w:t>
      </w:r>
    </w:p>
    <w:p w:rsidR="00CC00B9" w:rsidRPr="00442701" w:rsidRDefault="00CC00B9" w:rsidP="00CC00B9">
      <w:pPr>
        <w:rPr>
          <w:lang w:val="es-419"/>
        </w:rPr>
      </w:pPr>
    </w:p>
    <w:p w:rsidR="00CC00B9" w:rsidRPr="00442701" w:rsidRDefault="00CC00B9" w:rsidP="00CC00B9">
      <w:pPr>
        <w:rPr>
          <w:lang w:val="es-419"/>
        </w:rPr>
      </w:pPr>
    </w:p>
    <w:p w:rsidR="00CC00B9" w:rsidRPr="00442701" w:rsidRDefault="00CC00B9" w:rsidP="00CC00B9">
      <w:pPr>
        <w:rPr>
          <w:b/>
          <w:sz w:val="24"/>
          <w:szCs w:val="24"/>
          <w:lang w:val="es-419"/>
        </w:rPr>
      </w:pPr>
      <w:r w:rsidRPr="00442701">
        <w:rPr>
          <w:b/>
          <w:sz w:val="24"/>
          <w:szCs w:val="24"/>
          <w:lang w:val="es-419"/>
        </w:rPr>
        <w:t xml:space="preserve">Ginebra, </w:t>
      </w:r>
      <w:r w:rsidR="00E40E6A" w:rsidRPr="00442701">
        <w:rPr>
          <w:b/>
          <w:sz w:val="24"/>
          <w:szCs w:val="24"/>
          <w:lang w:val="es-419"/>
        </w:rPr>
        <w:t>29 de mayo de 2022</w:t>
      </w:r>
    </w:p>
    <w:p w:rsidR="00CC00B9" w:rsidRPr="00442701" w:rsidRDefault="00CC00B9" w:rsidP="00CC00B9">
      <w:pPr>
        <w:rPr>
          <w:lang w:val="es-419"/>
        </w:rPr>
      </w:pPr>
    </w:p>
    <w:p w:rsidR="00CC00B9" w:rsidRPr="00442701" w:rsidRDefault="00CC00B9" w:rsidP="00CC00B9">
      <w:pPr>
        <w:rPr>
          <w:lang w:val="es-419"/>
        </w:rPr>
      </w:pPr>
    </w:p>
    <w:p w:rsidR="00CC00B9" w:rsidRPr="00442701" w:rsidRDefault="00CC00B9" w:rsidP="00CC00B9">
      <w:pPr>
        <w:rPr>
          <w:lang w:val="es-419"/>
        </w:rPr>
      </w:pPr>
    </w:p>
    <w:p w:rsidR="00CC00B9" w:rsidRPr="00442701" w:rsidRDefault="00CC00B9" w:rsidP="00CC00B9">
      <w:pPr>
        <w:rPr>
          <w:sz w:val="24"/>
          <w:szCs w:val="24"/>
          <w:lang w:val="es-419"/>
        </w:rPr>
      </w:pPr>
      <w:bookmarkStart w:id="3" w:name="TitleOfDoc"/>
      <w:bookmarkEnd w:id="3"/>
      <w:r w:rsidRPr="00442701">
        <w:rPr>
          <w:sz w:val="24"/>
          <w:szCs w:val="24"/>
          <w:lang w:val="es-419"/>
        </w:rPr>
        <w:t>NOTA DE ANTECEDENTES SOBRE ELEMENTOS SUSTANTIVOS</w:t>
      </w:r>
    </w:p>
    <w:p w:rsidR="008B2CC1" w:rsidRPr="00442701" w:rsidRDefault="008B2CC1" w:rsidP="008B2CC1">
      <w:pPr>
        <w:rPr>
          <w:caps/>
          <w:sz w:val="24"/>
          <w:lang w:val="es-419"/>
        </w:rPr>
      </w:pPr>
    </w:p>
    <w:p w:rsidR="008B2CC1" w:rsidRPr="00442701" w:rsidRDefault="008B2CC1" w:rsidP="008B2CC1">
      <w:pPr>
        <w:rPr>
          <w:lang w:val="es-419"/>
        </w:rPr>
      </w:pPr>
    </w:p>
    <w:p w:rsidR="008B2CC1" w:rsidRPr="00442701" w:rsidRDefault="00CC00B9" w:rsidP="008B2CC1">
      <w:pPr>
        <w:rPr>
          <w:i/>
          <w:lang w:val="es-419"/>
        </w:rPr>
      </w:pPr>
      <w:bookmarkStart w:id="4" w:name="Prepared"/>
      <w:bookmarkEnd w:id="4"/>
      <w:r w:rsidRPr="00442701">
        <w:rPr>
          <w:i/>
          <w:lang w:val="es-419"/>
        </w:rPr>
        <w:t>preparada por la Oficina Internacional de la OMPI</w:t>
      </w:r>
    </w:p>
    <w:p w:rsidR="00AC205C" w:rsidRPr="00442701" w:rsidRDefault="00AC205C">
      <w:pPr>
        <w:rPr>
          <w:lang w:val="es-419"/>
        </w:rPr>
      </w:pPr>
    </w:p>
    <w:p w:rsidR="000F5E56" w:rsidRPr="00442701" w:rsidRDefault="000F5E56">
      <w:pPr>
        <w:rPr>
          <w:lang w:val="es-419"/>
        </w:rPr>
      </w:pPr>
    </w:p>
    <w:p w:rsidR="002928D3" w:rsidRPr="00442701" w:rsidRDefault="002928D3">
      <w:pPr>
        <w:rPr>
          <w:lang w:val="es-419"/>
        </w:rPr>
      </w:pPr>
    </w:p>
    <w:p w:rsidR="002928D3" w:rsidRPr="00442701" w:rsidRDefault="002928D3" w:rsidP="0053057A">
      <w:pPr>
        <w:rPr>
          <w:lang w:val="es-419"/>
        </w:rPr>
      </w:pPr>
    </w:p>
    <w:p w:rsidR="00EA2B1E" w:rsidRPr="00442701" w:rsidRDefault="00EA2B1E">
      <w:pPr>
        <w:rPr>
          <w:lang w:val="es-419"/>
        </w:rPr>
      </w:pPr>
      <w:r w:rsidRPr="00442701">
        <w:rPr>
          <w:lang w:val="es-419"/>
        </w:rPr>
        <w:br w:type="page"/>
      </w:r>
    </w:p>
    <w:p w:rsidR="002928D3" w:rsidRPr="00442701" w:rsidRDefault="00EA2B1E" w:rsidP="000728DF">
      <w:pPr>
        <w:rPr>
          <w:szCs w:val="22"/>
          <w:lang w:val="es-419"/>
        </w:rPr>
      </w:pPr>
      <w:r w:rsidRPr="00442701">
        <w:rPr>
          <w:lang w:val="es-419"/>
        </w:rPr>
        <w:lastRenderedPageBreak/>
        <w:fldChar w:fldCharType="begin"/>
      </w:r>
      <w:r w:rsidRPr="00442701">
        <w:rPr>
          <w:lang w:val="es-419"/>
        </w:rPr>
        <w:instrText xml:space="preserve"> AUTONUM  </w:instrText>
      </w:r>
      <w:r w:rsidRPr="00442701">
        <w:rPr>
          <w:lang w:val="es-419"/>
        </w:rPr>
        <w:fldChar w:fldCharType="end"/>
      </w:r>
      <w:r w:rsidR="00596D83" w:rsidRPr="00442701">
        <w:rPr>
          <w:lang w:val="es-419"/>
        </w:rPr>
        <w:tab/>
      </w:r>
      <w:r w:rsidR="00CC00B9" w:rsidRPr="00442701">
        <w:rPr>
          <w:lang w:val="es-419"/>
        </w:rPr>
        <w:t xml:space="preserve">El objetivo general del grupo de expertos </w:t>
      </w:r>
      <w:r w:rsidR="00CC00B9" w:rsidRPr="00442701">
        <w:rPr>
          <w:i/>
          <w:lang w:val="es-419"/>
        </w:rPr>
        <w:t>ad hoc</w:t>
      </w:r>
      <w:r w:rsidR="00CC00B9" w:rsidRPr="00442701">
        <w:rPr>
          <w:lang w:val="es-419"/>
        </w:rPr>
        <w:t xml:space="preserve"> sobre recursos genéticos es, como se indica en el mandato del Comité Intergubernamental sobre Propiedad Intelectual y Recursos Genéticos, Conocimientos Tradicionales y Folclore (“CIG”) y en las decisiones de la cuadragésima tercera sesión del CIG, dar respuesta a cuestiones específicas de carácter jurídico, normativo o técnico. Los resultados de su labor se comunicarán al CIG, que los examinará en mayor profundidad</w:t>
      </w:r>
      <w:r w:rsidR="00E40E6A" w:rsidRPr="00442701">
        <w:rPr>
          <w:lang w:val="es-419"/>
        </w:rPr>
        <w:t>.</w:t>
      </w:r>
    </w:p>
    <w:p w:rsidR="00D33D96" w:rsidRPr="00442701" w:rsidRDefault="00D33D96">
      <w:pPr>
        <w:rPr>
          <w:szCs w:val="22"/>
          <w:lang w:val="es-419"/>
        </w:rPr>
      </w:pPr>
    </w:p>
    <w:p w:rsidR="00973CA7" w:rsidRPr="00442701" w:rsidRDefault="00D33D96">
      <w:pPr>
        <w:rPr>
          <w:lang w:val="es-419"/>
        </w:rPr>
      </w:pPr>
      <w:r w:rsidRPr="00442701">
        <w:rPr>
          <w:lang w:val="es-419"/>
        </w:rPr>
        <w:fldChar w:fldCharType="begin"/>
      </w:r>
      <w:r w:rsidRPr="00442701">
        <w:rPr>
          <w:lang w:val="es-419"/>
        </w:rPr>
        <w:instrText xml:space="preserve"> AUTONUM  </w:instrText>
      </w:r>
      <w:r w:rsidRPr="00442701">
        <w:rPr>
          <w:lang w:val="es-419"/>
        </w:rPr>
        <w:fldChar w:fldCharType="end"/>
      </w:r>
      <w:r w:rsidRPr="00442701">
        <w:rPr>
          <w:lang w:val="es-419"/>
        </w:rPr>
        <w:tab/>
      </w:r>
      <w:r w:rsidR="0034719C" w:rsidRPr="00442701">
        <w:rPr>
          <w:lang w:val="es-419"/>
        </w:rPr>
        <w:t xml:space="preserve">La </w:t>
      </w:r>
      <w:r w:rsidR="00E40E6A" w:rsidRPr="00442701">
        <w:rPr>
          <w:lang w:val="es-419"/>
        </w:rPr>
        <w:t>presidencia y vicepresidencia</w:t>
      </w:r>
      <w:r w:rsidR="0034719C" w:rsidRPr="00442701">
        <w:rPr>
          <w:lang w:val="es-419"/>
        </w:rPr>
        <w:t xml:space="preserve"> del CIG identificaron la lista de cuestiones, teniendo en cuenta las sugere</w:t>
      </w:r>
      <w:r w:rsidR="00E40E6A" w:rsidRPr="00442701">
        <w:rPr>
          <w:lang w:val="es-419"/>
        </w:rPr>
        <w:t xml:space="preserve">ncias de los Estados miembros. </w:t>
      </w:r>
      <w:r w:rsidR="0034719C" w:rsidRPr="00442701">
        <w:rPr>
          <w:lang w:val="es-419"/>
        </w:rPr>
        <w:t xml:space="preserve">Así pues, el grupo de expertos </w:t>
      </w:r>
      <w:r w:rsidR="0034719C" w:rsidRPr="00442701">
        <w:rPr>
          <w:i/>
          <w:lang w:val="es-419"/>
        </w:rPr>
        <w:t>ad hoc</w:t>
      </w:r>
      <w:r w:rsidR="0034719C" w:rsidRPr="00442701">
        <w:rPr>
          <w:lang w:val="es-419"/>
        </w:rPr>
        <w:t xml:space="preserve"> abordará las siguientes cuestiones</w:t>
      </w:r>
      <w:r w:rsidR="00973CA7" w:rsidRPr="00442701">
        <w:rPr>
          <w:lang w:val="es-419"/>
        </w:rPr>
        <w:t>:</w:t>
      </w:r>
    </w:p>
    <w:p w:rsidR="0066523F" w:rsidRPr="00442701" w:rsidRDefault="0066523F" w:rsidP="0066523F">
      <w:pPr>
        <w:rPr>
          <w:lang w:val="es-419"/>
        </w:rPr>
      </w:pPr>
    </w:p>
    <w:p w:rsidR="0034719C" w:rsidRPr="00442701" w:rsidRDefault="0034719C" w:rsidP="0034719C">
      <w:pPr>
        <w:numPr>
          <w:ilvl w:val="0"/>
          <w:numId w:val="8"/>
        </w:numPr>
        <w:rPr>
          <w:lang w:val="es-419"/>
        </w:rPr>
      </w:pPr>
      <w:r w:rsidRPr="00442701">
        <w:rPr>
          <w:lang w:val="es-419"/>
        </w:rPr>
        <w:t>Sistemas de información;</w:t>
      </w:r>
    </w:p>
    <w:p w:rsidR="0034719C" w:rsidRPr="00442701" w:rsidRDefault="0034719C" w:rsidP="0034719C">
      <w:pPr>
        <w:numPr>
          <w:ilvl w:val="0"/>
          <w:numId w:val="8"/>
        </w:numPr>
        <w:rPr>
          <w:lang w:val="es-419"/>
        </w:rPr>
      </w:pPr>
      <w:r w:rsidRPr="00442701">
        <w:rPr>
          <w:lang w:val="es-419"/>
        </w:rPr>
        <w:t>Requisitos de divulgación:</w:t>
      </w:r>
    </w:p>
    <w:p w:rsidR="0034719C" w:rsidRPr="00442701" w:rsidRDefault="0034719C" w:rsidP="0034719C">
      <w:pPr>
        <w:pStyle w:val="ListParagraph"/>
        <w:numPr>
          <w:ilvl w:val="0"/>
          <w:numId w:val="9"/>
        </w:numPr>
        <w:rPr>
          <w:lang w:val="es-419"/>
        </w:rPr>
      </w:pPr>
      <w:r w:rsidRPr="00442701">
        <w:rPr>
          <w:lang w:val="es-419"/>
        </w:rPr>
        <w:t xml:space="preserve">Materia </w:t>
      </w:r>
    </w:p>
    <w:p w:rsidR="0034719C" w:rsidRPr="00442701" w:rsidRDefault="0034719C" w:rsidP="0034719C">
      <w:pPr>
        <w:pStyle w:val="ListParagraph"/>
        <w:numPr>
          <w:ilvl w:val="0"/>
          <w:numId w:val="9"/>
        </w:numPr>
        <w:rPr>
          <w:lang w:val="es-419"/>
        </w:rPr>
      </w:pPr>
      <w:r w:rsidRPr="00442701">
        <w:rPr>
          <w:lang w:val="es-419"/>
        </w:rPr>
        <w:t xml:space="preserve">Motivo </w:t>
      </w:r>
    </w:p>
    <w:p w:rsidR="0034719C" w:rsidRPr="00442701" w:rsidRDefault="0034719C" w:rsidP="0034719C">
      <w:pPr>
        <w:pStyle w:val="ListParagraph"/>
        <w:numPr>
          <w:ilvl w:val="0"/>
          <w:numId w:val="9"/>
        </w:numPr>
        <w:rPr>
          <w:lang w:val="es-419"/>
        </w:rPr>
      </w:pPr>
      <w:r w:rsidRPr="00442701">
        <w:rPr>
          <w:lang w:val="es-419"/>
        </w:rPr>
        <w:t>Contenido</w:t>
      </w:r>
    </w:p>
    <w:p w:rsidR="0034719C" w:rsidRPr="00442701" w:rsidRDefault="0034719C" w:rsidP="0034719C">
      <w:pPr>
        <w:pStyle w:val="ListParagraph"/>
        <w:numPr>
          <w:ilvl w:val="0"/>
          <w:numId w:val="9"/>
        </w:numPr>
        <w:rPr>
          <w:lang w:val="es-419"/>
        </w:rPr>
      </w:pPr>
      <w:r w:rsidRPr="00442701">
        <w:rPr>
          <w:lang w:val="es-419"/>
        </w:rPr>
        <w:t>Sanciones/recursos;</w:t>
      </w:r>
    </w:p>
    <w:p w:rsidR="0066523F" w:rsidRPr="00442701" w:rsidRDefault="0034719C" w:rsidP="0034719C">
      <w:pPr>
        <w:numPr>
          <w:ilvl w:val="0"/>
          <w:numId w:val="7"/>
        </w:numPr>
        <w:rPr>
          <w:lang w:val="es-419"/>
        </w:rPr>
      </w:pPr>
      <w:r w:rsidRPr="00442701">
        <w:rPr>
          <w:lang w:val="es-419"/>
        </w:rPr>
        <w:t>Interrelación de los sistemas de información con los requisitos de divulgación</w:t>
      </w:r>
      <w:r w:rsidR="0066523F" w:rsidRPr="00442701">
        <w:rPr>
          <w:lang w:val="es-419"/>
        </w:rPr>
        <w:t>.</w:t>
      </w:r>
    </w:p>
    <w:p w:rsidR="00B50079" w:rsidRPr="00442701" w:rsidRDefault="00B50079">
      <w:pPr>
        <w:rPr>
          <w:lang w:val="es-419"/>
        </w:rPr>
      </w:pPr>
    </w:p>
    <w:p w:rsidR="00D33D96" w:rsidRPr="00442701" w:rsidRDefault="00B50079" w:rsidP="00973CA7">
      <w:pPr>
        <w:rPr>
          <w:lang w:val="es-419"/>
        </w:rPr>
      </w:pPr>
      <w:r w:rsidRPr="00442701">
        <w:rPr>
          <w:lang w:val="es-419"/>
        </w:rPr>
        <w:fldChar w:fldCharType="begin"/>
      </w:r>
      <w:r w:rsidRPr="00442701">
        <w:rPr>
          <w:lang w:val="es-419"/>
        </w:rPr>
        <w:instrText xml:space="preserve"> AUTONUM  </w:instrText>
      </w:r>
      <w:r w:rsidRPr="00442701">
        <w:rPr>
          <w:lang w:val="es-419"/>
        </w:rPr>
        <w:fldChar w:fldCharType="end"/>
      </w:r>
      <w:r w:rsidRPr="00442701">
        <w:rPr>
          <w:lang w:val="es-419"/>
        </w:rPr>
        <w:tab/>
      </w:r>
      <w:r w:rsidR="00A16F11" w:rsidRPr="00442701">
        <w:rPr>
          <w:lang w:val="es-419"/>
        </w:rPr>
        <w:t xml:space="preserve">En la presente nota de antecedentes sobre elementos sustantivos se aportan antecedentes sobre la lista de cuestiones y se proponen algunos aspectos para que el grupo de expertos </w:t>
      </w:r>
      <w:r w:rsidR="00A16F11" w:rsidRPr="00442701">
        <w:rPr>
          <w:i/>
          <w:lang w:val="es-419"/>
        </w:rPr>
        <w:t xml:space="preserve">ad hoc </w:t>
      </w:r>
      <w:r w:rsidR="00A16F11" w:rsidRPr="00442701">
        <w:rPr>
          <w:lang w:val="es-419"/>
        </w:rPr>
        <w:t>los examine</w:t>
      </w:r>
      <w:r w:rsidR="00973CA7" w:rsidRPr="00442701">
        <w:rPr>
          <w:lang w:val="es-419"/>
        </w:rPr>
        <w:t xml:space="preserve">.  </w:t>
      </w:r>
    </w:p>
    <w:p w:rsidR="003B3E63" w:rsidRPr="00442701" w:rsidRDefault="003B3E63" w:rsidP="003B3E63">
      <w:pPr>
        <w:rPr>
          <w:lang w:val="es-419"/>
        </w:rPr>
      </w:pPr>
    </w:p>
    <w:p w:rsidR="003B3E63" w:rsidRPr="00442701" w:rsidRDefault="00A16F11" w:rsidP="003B3E63">
      <w:pPr>
        <w:rPr>
          <w:b/>
          <w:lang w:val="es-419"/>
        </w:rPr>
      </w:pPr>
      <w:r w:rsidRPr="00442701">
        <w:rPr>
          <w:b/>
          <w:lang w:val="es-419"/>
        </w:rPr>
        <w:t>Sistemas de información</w:t>
      </w:r>
    </w:p>
    <w:p w:rsidR="003B3E63" w:rsidRPr="00442701" w:rsidRDefault="003B3E63" w:rsidP="003B3E63">
      <w:pPr>
        <w:rPr>
          <w:lang w:val="es-419"/>
        </w:rPr>
      </w:pPr>
    </w:p>
    <w:p w:rsidR="00B838B5" w:rsidRPr="00442701" w:rsidRDefault="003B3E63" w:rsidP="00B838B5">
      <w:pPr>
        <w:rPr>
          <w:lang w:val="es-419"/>
        </w:rPr>
      </w:pPr>
      <w:r w:rsidRPr="00442701">
        <w:rPr>
          <w:lang w:val="es-419"/>
        </w:rPr>
        <w:fldChar w:fldCharType="begin"/>
      </w:r>
      <w:r w:rsidRPr="00442701">
        <w:rPr>
          <w:lang w:val="es-419"/>
        </w:rPr>
        <w:instrText xml:space="preserve"> AUTONUM  </w:instrText>
      </w:r>
      <w:r w:rsidRPr="00442701">
        <w:rPr>
          <w:lang w:val="es-419"/>
        </w:rPr>
        <w:fldChar w:fldCharType="end"/>
      </w:r>
      <w:r w:rsidRPr="00442701">
        <w:rPr>
          <w:lang w:val="es-419"/>
        </w:rPr>
        <w:tab/>
      </w:r>
      <w:r w:rsidR="00B838B5" w:rsidRPr="00442701">
        <w:rPr>
          <w:lang w:val="es-419"/>
        </w:rPr>
        <w:t>Muchos consideran que los sistemas de información relacionados con los recursos genéticos (R</w:t>
      </w:r>
      <w:r w:rsidR="000E66F4" w:rsidRPr="00442701">
        <w:rPr>
          <w:lang w:val="es-419"/>
        </w:rPr>
        <w:t>R.</w:t>
      </w:r>
      <w:r w:rsidR="00B838B5" w:rsidRPr="00442701">
        <w:rPr>
          <w:lang w:val="es-419"/>
        </w:rPr>
        <w:t>G</w:t>
      </w:r>
      <w:r w:rsidR="000E66F4" w:rsidRPr="00442701">
        <w:rPr>
          <w:lang w:val="es-419"/>
        </w:rPr>
        <w:t>G.</w:t>
      </w:r>
      <w:r w:rsidR="00B838B5" w:rsidRPr="00442701">
        <w:rPr>
          <w:lang w:val="es-419"/>
        </w:rPr>
        <w:t xml:space="preserve">) son fundamentales para ayudar a los examinadores de patentes a encontrar el estado de la técnica pertinente y evitar la concesión errónea de patentes. </w:t>
      </w:r>
    </w:p>
    <w:p w:rsidR="00B838B5" w:rsidRPr="00442701" w:rsidRDefault="00B838B5" w:rsidP="00B838B5">
      <w:pPr>
        <w:rPr>
          <w:lang w:val="es-419"/>
        </w:rPr>
      </w:pPr>
    </w:p>
    <w:p w:rsidR="001F0EEA" w:rsidRPr="00442701" w:rsidRDefault="00B838B5" w:rsidP="00B838B5">
      <w:pPr>
        <w:rPr>
          <w:lang w:val="es-419"/>
        </w:rPr>
      </w:pPr>
      <w:r w:rsidRPr="00442701">
        <w:rPr>
          <w:lang w:val="es-419"/>
        </w:rPr>
        <w:t>5.</w:t>
      </w:r>
      <w:r w:rsidRPr="00442701">
        <w:rPr>
          <w:lang w:val="es-419"/>
        </w:rPr>
        <w:tab/>
        <w:t xml:space="preserve">Se invita al grupo de expertos </w:t>
      </w:r>
      <w:r w:rsidRPr="00442701">
        <w:rPr>
          <w:i/>
          <w:lang w:val="es-419"/>
        </w:rPr>
        <w:t>ad hoc</w:t>
      </w:r>
      <w:r w:rsidRPr="00442701">
        <w:rPr>
          <w:lang w:val="es-419"/>
        </w:rPr>
        <w:t xml:space="preserve"> a proporcionar asesoramiento y análisis sobre las siguientes cuestiones normativas relacionadas con el establecimiento y el funcionamiento de un sistema de información</w:t>
      </w:r>
      <w:r w:rsidR="001F0EEA" w:rsidRPr="00442701">
        <w:rPr>
          <w:lang w:val="es-419"/>
        </w:rPr>
        <w:t>:</w:t>
      </w:r>
    </w:p>
    <w:p w:rsidR="001F0EEA" w:rsidRPr="00442701" w:rsidRDefault="001F0EEA" w:rsidP="001F0EEA">
      <w:pPr>
        <w:rPr>
          <w:lang w:val="es-419"/>
        </w:rPr>
      </w:pPr>
    </w:p>
    <w:p w:rsidR="001F0EEA" w:rsidRPr="00442701" w:rsidRDefault="00B838B5" w:rsidP="00B838B5">
      <w:pPr>
        <w:pStyle w:val="ListParagraph"/>
        <w:numPr>
          <w:ilvl w:val="0"/>
          <w:numId w:val="19"/>
        </w:numPr>
        <w:rPr>
          <w:lang w:val="es-419"/>
        </w:rPr>
      </w:pPr>
      <w:r w:rsidRPr="00442701">
        <w:rPr>
          <w:lang w:val="es-419"/>
        </w:rPr>
        <w:t>normas y estructuras mínimas de interoperabilidad del contenido de los sistemas de información</w:t>
      </w:r>
      <w:r w:rsidR="001F0EEA" w:rsidRPr="00442701">
        <w:rPr>
          <w:lang w:val="es-419"/>
        </w:rPr>
        <w:t xml:space="preserve">, </w:t>
      </w:r>
      <w:r w:rsidRPr="00442701">
        <w:rPr>
          <w:lang w:val="es-419"/>
        </w:rPr>
        <w:t>como por ejemplo, publicaciones periódicas, bibliotecas digitales, bases de datos, repositorios y registros descentralizados de información relacionados con los RR.GG y los conocimientos tradicionales (CC.TT.) conexos</w:t>
      </w:r>
      <w:r w:rsidR="001F0EEA" w:rsidRPr="00442701">
        <w:rPr>
          <w:lang w:val="es-419"/>
        </w:rPr>
        <w:t xml:space="preserve">;  </w:t>
      </w:r>
    </w:p>
    <w:p w:rsidR="001E6380" w:rsidRPr="00442701" w:rsidRDefault="00B838B5" w:rsidP="00B838B5">
      <w:pPr>
        <w:pStyle w:val="ListParagraph"/>
        <w:numPr>
          <w:ilvl w:val="0"/>
          <w:numId w:val="19"/>
        </w:numPr>
        <w:rPr>
          <w:lang w:val="es-419"/>
        </w:rPr>
      </w:pPr>
      <w:r w:rsidRPr="00442701">
        <w:rPr>
          <w:lang w:val="es-419"/>
        </w:rPr>
        <w:t>tipos de sistemas de información que ya existen o son tecnológicamente factibles para garantizar la seguridad jurídica de la propiedad intelectual y de los RR.GG.</w:t>
      </w:r>
      <w:r w:rsidR="00905240" w:rsidRPr="00442701">
        <w:rPr>
          <w:lang w:val="es-419"/>
        </w:rPr>
        <w:t xml:space="preserve">; </w:t>
      </w:r>
      <w:r w:rsidR="00FD60F4" w:rsidRPr="00442701">
        <w:rPr>
          <w:lang w:val="es-419"/>
        </w:rPr>
        <w:t xml:space="preserve"> </w:t>
      </w:r>
    </w:p>
    <w:p w:rsidR="00820C9E" w:rsidRPr="00442701" w:rsidRDefault="00820C9E" w:rsidP="00820C9E">
      <w:pPr>
        <w:pStyle w:val="ListParagraph"/>
        <w:numPr>
          <w:ilvl w:val="0"/>
          <w:numId w:val="19"/>
        </w:numPr>
        <w:rPr>
          <w:lang w:val="es-419"/>
        </w:rPr>
      </w:pPr>
      <w:r w:rsidRPr="00442701">
        <w:rPr>
          <w:lang w:val="es-419"/>
        </w:rPr>
        <w:t>principios y modalidades relacionados con el intercambio de información pertinente relacionada con los RR.GG. y los CC.TT. conexos, como la determinación de la categoría de personas autorizadas a acceder a diversas categorías de contenido</w:t>
      </w:r>
      <w:r w:rsidR="000E66F4" w:rsidRPr="00442701">
        <w:rPr>
          <w:lang w:val="es-419"/>
        </w:rPr>
        <w:t xml:space="preserve"> de los sistemas de información;</w:t>
      </w:r>
    </w:p>
    <w:p w:rsidR="00820C9E" w:rsidRPr="00442701" w:rsidRDefault="00820C9E" w:rsidP="00820C9E">
      <w:pPr>
        <w:pStyle w:val="ListParagraph"/>
        <w:numPr>
          <w:ilvl w:val="0"/>
          <w:numId w:val="19"/>
        </w:numPr>
        <w:rPr>
          <w:lang w:val="es-419"/>
        </w:rPr>
      </w:pPr>
      <w:r w:rsidRPr="00442701">
        <w:rPr>
          <w:lang w:val="es-419"/>
        </w:rPr>
        <w:t>relación entre esos sistemas de información y la Documentación Mínima del PCT o los marcos internacionales vigentes de colaboración en materia de bases de datos; y</w:t>
      </w:r>
    </w:p>
    <w:p w:rsidR="001F0EEA" w:rsidRPr="00442701" w:rsidRDefault="00820C9E" w:rsidP="00820C9E">
      <w:pPr>
        <w:pStyle w:val="ListParagraph"/>
        <w:numPr>
          <w:ilvl w:val="0"/>
          <w:numId w:val="19"/>
        </w:numPr>
        <w:rPr>
          <w:lang w:val="es-419"/>
        </w:rPr>
      </w:pPr>
      <w:r w:rsidRPr="00442701">
        <w:rPr>
          <w:lang w:val="es-419"/>
        </w:rPr>
        <w:t xml:space="preserve">tipo de protección jurídica o técnica, </w:t>
      </w:r>
      <w:r w:rsidR="000E66F4" w:rsidRPr="00442701">
        <w:rPr>
          <w:lang w:val="es-419"/>
        </w:rPr>
        <w:t>si procede</w:t>
      </w:r>
      <w:r w:rsidRPr="00442701">
        <w:rPr>
          <w:lang w:val="es-419"/>
        </w:rPr>
        <w:t>, otorgada a la información incluida en el sistema</w:t>
      </w:r>
      <w:r w:rsidR="001F0EEA" w:rsidRPr="00442701">
        <w:rPr>
          <w:lang w:val="es-419"/>
        </w:rPr>
        <w:t xml:space="preserve">.  </w:t>
      </w:r>
    </w:p>
    <w:p w:rsidR="001F0EEA" w:rsidRPr="00442701" w:rsidRDefault="001F0EEA" w:rsidP="001F0EEA">
      <w:pPr>
        <w:rPr>
          <w:szCs w:val="22"/>
          <w:lang w:val="es-419"/>
        </w:rPr>
      </w:pPr>
    </w:p>
    <w:p w:rsidR="001F0EEA" w:rsidRPr="00442701" w:rsidRDefault="001F0EEA" w:rsidP="001F0EEA">
      <w:pPr>
        <w:rPr>
          <w:bCs/>
          <w:szCs w:val="22"/>
          <w:lang w:val="es-419"/>
        </w:rPr>
      </w:pPr>
      <w:r w:rsidRPr="00442701">
        <w:rPr>
          <w:szCs w:val="22"/>
          <w:lang w:val="es-419"/>
        </w:rPr>
        <w:t>6.</w:t>
      </w:r>
      <w:r w:rsidRPr="00442701">
        <w:rPr>
          <w:szCs w:val="22"/>
          <w:lang w:val="es-419"/>
        </w:rPr>
        <w:tab/>
      </w:r>
      <w:r w:rsidR="00820C9E" w:rsidRPr="00442701">
        <w:rPr>
          <w:lang w:val="es-419"/>
        </w:rPr>
        <w:t xml:space="preserve">También se invita al grupo de expertos </w:t>
      </w:r>
      <w:r w:rsidR="00820C9E" w:rsidRPr="00442701">
        <w:rPr>
          <w:i/>
          <w:lang w:val="es-419"/>
        </w:rPr>
        <w:t>ad hoc</w:t>
      </w:r>
      <w:r w:rsidR="00820C9E" w:rsidRPr="00442701">
        <w:rPr>
          <w:lang w:val="es-419"/>
        </w:rPr>
        <w:t xml:space="preserve"> a que estudie cuestiones prácticas que habría que abordar cuando se plantee la creación y el funcionamiento de dichos sistemas de información, por ejemplo</w:t>
      </w:r>
      <w:r w:rsidRPr="00442701">
        <w:rPr>
          <w:bCs/>
          <w:szCs w:val="22"/>
          <w:lang w:val="es-419"/>
        </w:rPr>
        <w:t xml:space="preserve">: </w:t>
      </w:r>
    </w:p>
    <w:p w:rsidR="001F0EEA" w:rsidRPr="00442701" w:rsidRDefault="001F0EEA" w:rsidP="001F0EEA">
      <w:pPr>
        <w:rPr>
          <w:lang w:val="es-419"/>
        </w:rPr>
      </w:pPr>
    </w:p>
    <w:p w:rsidR="00820C9E" w:rsidRPr="00442701" w:rsidRDefault="00820C9E" w:rsidP="00820C9E">
      <w:pPr>
        <w:pStyle w:val="ListParagraph"/>
        <w:widowControl w:val="0"/>
        <w:numPr>
          <w:ilvl w:val="0"/>
          <w:numId w:val="17"/>
        </w:numPr>
        <w:tabs>
          <w:tab w:val="left" w:pos="851"/>
        </w:tabs>
        <w:overflowPunct w:val="0"/>
        <w:rPr>
          <w:szCs w:val="22"/>
          <w:lang w:val="es-419"/>
        </w:rPr>
      </w:pPr>
      <w:r w:rsidRPr="00442701">
        <w:rPr>
          <w:szCs w:val="22"/>
          <w:lang w:val="es-419"/>
        </w:rPr>
        <w:t>la responsabilidad de establecer y mantener dichos sistemas de información</w:t>
      </w:r>
    </w:p>
    <w:p w:rsidR="00820C9E" w:rsidRPr="00442701" w:rsidRDefault="00820C9E" w:rsidP="00820C9E">
      <w:pPr>
        <w:pStyle w:val="ListParagraph"/>
        <w:widowControl w:val="0"/>
        <w:numPr>
          <w:ilvl w:val="0"/>
          <w:numId w:val="17"/>
        </w:numPr>
        <w:tabs>
          <w:tab w:val="left" w:pos="851"/>
        </w:tabs>
        <w:overflowPunct w:val="0"/>
        <w:rPr>
          <w:szCs w:val="22"/>
          <w:lang w:val="es-419"/>
        </w:rPr>
      </w:pPr>
      <w:r w:rsidRPr="00442701">
        <w:rPr>
          <w:szCs w:val="22"/>
          <w:lang w:val="es-419"/>
        </w:rPr>
        <w:lastRenderedPageBreak/>
        <w:t>la participación de las distintas partes interesadas en el establecimiento y mantenimiento de los sistemas de información sobre los RR.GG., como por ejemplo:</w:t>
      </w:r>
    </w:p>
    <w:p w:rsidR="00820C9E" w:rsidRPr="00442701" w:rsidRDefault="00820C9E" w:rsidP="000E66F4">
      <w:pPr>
        <w:pStyle w:val="ListParagraph"/>
        <w:widowControl w:val="0"/>
        <w:numPr>
          <w:ilvl w:val="0"/>
          <w:numId w:val="17"/>
        </w:numPr>
        <w:tabs>
          <w:tab w:val="left" w:pos="851"/>
        </w:tabs>
        <w:overflowPunct w:val="0"/>
        <w:ind w:left="1931"/>
        <w:rPr>
          <w:szCs w:val="22"/>
          <w:lang w:val="es-419"/>
        </w:rPr>
      </w:pPr>
      <w:r w:rsidRPr="00442701">
        <w:rPr>
          <w:szCs w:val="22"/>
          <w:lang w:val="es-419"/>
        </w:rPr>
        <w:t>¿sistemas centralizados o descentralizados?</w:t>
      </w:r>
    </w:p>
    <w:p w:rsidR="00820C9E" w:rsidRPr="00442701" w:rsidRDefault="00820C9E" w:rsidP="000E66F4">
      <w:pPr>
        <w:pStyle w:val="ListParagraph"/>
        <w:widowControl w:val="0"/>
        <w:numPr>
          <w:ilvl w:val="0"/>
          <w:numId w:val="17"/>
        </w:numPr>
        <w:tabs>
          <w:tab w:val="left" w:pos="851"/>
        </w:tabs>
        <w:overflowPunct w:val="0"/>
        <w:ind w:left="1931"/>
        <w:rPr>
          <w:szCs w:val="22"/>
          <w:lang w:val="es-419"/>
        </w:rPr>
      </w:pPr>
      <w:r w:rsidRPr="00442701">
        <w:rPr>
          <w:szCs w:val="22"/>
          <w:lang w:val="es-419"/>
        </w:rPr>
        <w:t>¿quién dirige el proceso?</w:t>
      </w:r>
    </w:p>
    <w:p w:rsidR="00820C9E" w:rsidRPr="00442701" w:rsidRDefault="00820C9E" w:rsidP="000E66F4">
      <w:pPr>
        <w:pStyle w:val="ListParagraph"/>
        <w:widowControl w:val="0"/>
        <w:numPr>
          <w:ilvl w:val="0"/>
          <w:numId w:val="17"/>
        </w:numPr>
        <w:tabs>
          <w:tab w:val="left" w:pos="851"/>
        </w:tabs>
        <w:overflowPunct w:val="0"/>
        <w:ind w:left="1931"/>
        <w:rPr>
          <w:szCs w:val="22"/>
          <w:lang w:val="es-419"/>
        </w:rPr>
      </w:pPr>
      <w:r w:rsidRPr="00442701">
        <w:rPr>
          <w:szCs w:val="22"/>
          <w:lang w:val="es-419"/>
        </w:rPr>
        <w:t>¿</w:t>
      </w:r>
      <w:r w:rsidR="000E66F4" w:rsidRPr="00442701">
        <w:rPr>
          <w:szCs w:val="22"/>
          <w:lang w:val="es-419"/>
        </w:rPr>
        <w:t xml:space="preserve">a </w:t>
      </w:r>
      <w:r w:rsidRPr="00442701">
        <w:rPr>
          <w:szCs w:val="22"/>
          <w:lang w:val="es-419"/>
        </w:rPr>
        <w:t xml:space="preserve">quién </w:t>
      </w:r>
      <w:r w:rsidR="000E66F4" w:rsidRPr="00442701">
        <w:rPr>
          <w:szCs w:val="22"/>
          <w:lang w:val="es-419"/>
        </w:rPr>
        <w:t xml:space="preserve">incumbe </w:t>
      </w:r>
      <w:r w:rsidRPr="00442701">
        <w:rPr>
          <w:szCs w:val="22"/>
          <w:lang w:val="es-419"/>
        </w:rPr>
        <w:t>documentar los RR.GG.?</w:t>
      </w:r>
    </w:p>
    <w:p w:rsidR="00820C9E" w:rsidRPr="00442701" w:rsidRDefault="00820C9E" w:rsidP="000E66F4">
      <w:pPr>
        <w:pStyle w:val="ListParagraph"/>
        <w:widowControl w:val="0"/>
        <w:numPr>
          <w:ilvl w:val="0"/>
          <w:numId w:val="17"/>
        </w:numPr>
        <w:tabs>
          <w:tab w:val="left" w:pos="851"/>
        </w:tabs>
        <w:overflowPunct w:val="0"/>
        <w:ind w:left="1931"/>
        <w:rPr>
          <w:szCs w:val="22"/>
          <w:lang w:val="es-419"/>
        </w:rPr>
      </w:pPr>
      <w:r w:rsidRPr="00442701">
        <w:rPr>
          <w:szCs w:val="22"/>
          <w:lang w:val="es-419"/>
        </w:rPr>
        <w:t xml:space="preserve">¿a quién pertenecerán los derechos de PI que puedan originarse? </w:t>
      </w:r>
    </w:p>
    <w:p w:rsidR="00820C9E" w:rsidRPr="00442701" w:rsidRDefault="00820C9E" w:rsidP="000E66F4">
      <w:pPr>
        <w:pStyle w:val="ListParagraph"/>
        <w:widowControl w:val="0"/>
        <w:numPr>
          <w:ilvl w:val="0"/>
          <w:numId w:val="17"/>
        </w:numPr>
        <w:tabs>
          <w:tab w:val="left" w:pos="851"/>
        </w:tabs>
        <w:overflowPunct w:val="0"/>
        <w:ind w:left="1931"/>
        <w:rPr>
          <w:szCs w:val="22"/>
          <w:lang w:val="es-419"/>
        </w:rPr>
      </w:pPr>
      <w:r w:rsidRPr="00442701">
        <w:rPr>
          <w:szCs w:val="22"/>
          <w:lang w:val="es-419"/>
        </w:rPr>
        <w:t>¿se debe consultar a los pueblos indígenas y a las comunidades locales?</w:t>
      </w:r>
    </w:p>
    <w:p w:rsidR="00820C9E" w:rsidRPr="00442701" w:rsidRDefault="00820C9E" w:rsidP="00820C9E">
      <w:pPr>
        <w:pStyle w:val="ListParagraph"/>
        <w:widowControl w:val="0"/>
        <w:numPr>
          <w:ilvl w:val="0"/>
          <w:numId w:val="17"/>
        </w:numPr>
        <w:tabs>
          <w:tab w:val="left" w:pos="851"/>
        </w:tabs>
        <w:overflowPunct w:val="0"/>
        <w:rPr>
          <w:szCs w:val="22"/>
          <w:lang w:val="es-419"/>
        </w:rPr>
      </w:pPr>
      <w:r w:rsidRPr="00442701">
        <w:rPr>
          <w:szCs w:val="22"/>
          <w:lang w:val="es-419"/>
        </w:rPr>
        <w:t>la estructura y el contenido de los sistemas de información</w:t>
      </w:r>
      <w:r w:rsidR="000E66F4" w:rsidRPr="00442701">
        <w:rPr>
          <w:szCs w:val="22"/>
          <w:lang w:val="es-419"/>
        </w:rPr>
        <w:t>;</w:t>
      </w:r>
    </w:p>
    <w:p w:rsidR="00820C9E" w:rsidRPr="00442701" w:rsidRDefault="00820C9E" w:rsidP="00820C9E">
      <w:pPr>
        <w:pStyle w:val="ListParagraph"/>
        <w:widowControl w:val="0"/>
        <w:numPr>
          <w:ilvl w:val="0"/>
          <w:numId w:val="17"/>
        </w:numPr>
        <w:tabs>
          <w:tab w:val="left" w:pos="851"/>
        </w:tabs>
        <w:overflowPunct w:val="0"/>
        <w:rPr>
          <w:szCs w:val="22"/>
          <w:lang w:val="es-419"/>
        </w:rPr>
      </w:pPr>
      <w:r w:rsidRPr="00442701">
        <w:rPr>
          <w:szCs w:val="22"/>
          <w:lang w:val="es-419"/>
        </w:rPr>
        <w:t>la forma y los formatos en los que se expresará, almacenará e intercambiará ese contenido</w:t>
      </w:r>
      <w:r w:rsidR="000E66F4" w:rsidRPr="00442701">
        <w:rPr>
          <w:szCs w:val="22"/>
          <w:lang w:val="es-419"/>
        </w:rPr>
        <w:t>;</w:t>
      </w:r>
    </w:p>
    <w:p w:rsidR="00820C9E" w:rsidRPr="00442701" w:rsidRDefault="00820C9E" w:rsidP="00820C9E">
      <w:pPr>
        <w:pStyle w:val="ListParagraph"/>
        <w:widowControl w:val="0"/>
        <w:numPr>
          <w:ilvl w:val="0"/>
          <w:numId w:val="17"/>
        </w:numPr>
        <w:tabs>
          <w:tab w:val="left" w:pos="851"/>
        </w:tabs>
        <w:overflowPunct w:val="0"/>
        <w:rPr>
          <w:szCs w:val="22"/>
          <w:lang w:val="es-419"/>
        </w:rPr>
      </w:pPr>
      <w:r w:rsidRPr="00442701">
        <w:rPr>
          <w:szCs w:val="22"/>
          <w:lang w:val="es-419"/>
        </w:rPr>
        <w:t>su interoperabilidad con otros sistemas de información tanto a nivel nacional como internacional; y</w:t>
      </w:r>
    </w:p>
    <w:p w:rsidR="001F0EEA" w:rsidRPr="00442701" w:rsidRDefault="00820C9E" w:rsidP="00820C9E">
      <w:pPr>
        <w:pStyle w:val="ListParagraph"/>
        <w:widowControl w:val="0"/>
        <w:numPr>
          <w:ilvl w:val="0"/>
          <w:numId w:val="17"/>
        </w:numPr>
        <w:tabs>
          <w:tab w:val="left" w:pos="851"/>
        </w:tabs>
        <w:overflowPunct w:val="0"/>
        <w:rPr>
          <w:szCs w:val="22"/>
          <w:lang w:val="es-419"/>
        </w:rPr>
      </w:pPr>
      <w:r w:rsidRPr="00442701">
        <w:rPr>
          <w:szCs w:val="22"/>
          <w:lang w:val="es-419"/>
        </w:rPr>
        <w:t>la gestión de los derechos relativos a los sistemas de información</w:t>
      </w:r>
      <w:r w:rsidR="001F0EEA" w:rsidRPr="00442701">
        <w:rPr>
          <w:szCs w:val="22"/>
          <w:lang w:val="es-419"/>
        </w:rPr>
        <w:t>.</w:t>
      </w:r>
    </w:p>
    <w:p w:rsidR="007F1806" w:rsidRPr="00442701" w:rsidRDefault="007F1806" w:rsidP="007F1806">
      <w:pPr>
        <w:rPr>
          <w:lang w:val="es-419"/>
        </w:rPr>
      </w:pPr>
    </w:p>
    <w:p w:rsidR="000728DF" w:rsidRPr="00442701" w:rsidRDefault="00D5766C" w:rsidP="000728DF">
      <w:pPr>
        <w:rPr>
          <w:b/>
          <w:lang w:val="es-419"/>
        </w:rPr>
      </w:pPr>
      <w:r w:rsidRPr="00442701">
        <w:rPr>
          <w:b/>
          <w:lang w:val="es-419"/>
        </w:rPr>
        <w:t>Requisitos de divulgación</w:t>
      </w:r>
    </w:p>
    <w:p w:rsidR="000728DF" w:rsidRPr="00442701" w:rsidRDefault="000728DF" w:rsidP="000728DF">
      <w:pPr>
        <w:rPr>
          <w:lang w:val="es-419"/>
        </w:rPr>
      </w:pPr>
    </w:p>
    <w:p w:rsidR="0094779F" w:rsidRPr="00442701" w:rsidRDefault="000728DF" w:rsidP="00973CA7">
      <w:pPr>
        <w:rPr>
          <w:bCs/>
          <w:szCs w:val="22"/>
          <w:lang w:val="es-419"/>
        </w:rPr>
      </w:pPr>
      <w:r w:rsidRPr="00442701">
        <w:rPr>
          <w:lang w:val="es-419"/>
        </w:rPr>
        <w:fldChar w:fldCharType="begin"/>
      </w:r>
      <w:r w:rsidRPr="00442701">
        <w:rPr>
          <w:lang w:val="es-419"/>
        </w:rPr>
        <w:instrText xml:space="preserve"> AUTONUM  </w:instrText>
      </w:r>
      <w:r w:rsidRPr="00442701">
        <w:rPr>
          <w:lang w:val="es-419"/>
        </w:rPr>
        <w:fldChar w:fldCharType="end"/>
      </w:r>
      <w:r w:rsidRPr="00442701">
        <w:rPr>
          <w:lang w:val="es-419"/>
        </w:rPr>
        <w:tab/>
      </w:r>
      <w:r w:rsidR="00D5766C" w:rsidRPr="00442701">
        <w:rPr>
          <w:lang w:val="es-419"/>
        </w:rPr>
        <w:t xml:space="preserve">Los requisitos de divulgación son disposiciones que exigen a los solicitantes de derechos de propiedad intelectual (PI)/patentes que incluyan en la solicitud varias categorías adicionales de información, como la fuente u origen de los RR.GG., así como pruebas del consentimiento fundamentado previo y un acuerdo de </w:t>
      </w:r>
      <w:r w:rsidR="002C3953" w:rsidRPr="00442701">
        <w:rPr>
          <w:lang w:val="es-419"/>
        </w:rPr>
        <w:t>participación en los</w:t>
      </w:r>
      <w:r w:rsidR="00D5766C" w:rsidRPr="00442701">
        <w:rPr>
          <w:lang w:val="es-419"/>
        </w:rPr>
        <w:t xml:space="preserve"> beneficios. Mientras que al CIG se le ha encomendado la tarea de determinar, como cuestión normativa, si es necesario o no un requisito de divulgación a nivel internacional, el grupo de expertos </w:t>
      </w:r>
      <w:r w:rsidR="00D5766C" w:rsidRPr="00442701">
        <w:rPr>
          <w:i/>
          <w:lang w:val="es-419"/>
        </w:rPr>
        <w:t>ad hoc</w:t>
      </w:r>
      <w:r w:rsidR="00D5766C" w:rsidRPr="00442701">
        <w:rPr>
          <w:lang w:val="es-419"/>
        </w:rPr>
        <w:t xml:space="preserve"> ha sido invitado a debatir ciertas cuestiones secundarias relacionadas con los requisitos de divulgación</w:t>
      </w:r>
      <w:r w:rsidR="00C9716D" w:rsidRPr="00442701">
        <w:rPr>
          <w:bCs/>
          <w:szCs w:val="22"/>
          <w:lang w:val="es-419"/>
        </w:rPr>
        <w:t xml:space="preserve">. </w:t>
      </w:r>
    </w:p>
    <w:p w:rsidR="00C9716D" w:rsidRPr="00442701" w:rsidRDefault="00C9716D" w:rsidP="00973CA7">
      <w:pPr>
        <w:rPr>
          <w:bCs/>
          <w:szCs w:val="22"/>
          <w:lang w:val="es-419"/>
        </w:rPr>
      </w:pPr>
    </w:p>
    <w:p w:rsidR="0097472B" w:rsidRPr="00442701" w:rsidRDefault="00D5766C" w:rsidP="0097472B">
      <w:pPr>
        <w:ind w:left="567"/>
        <w:rPr>
          <w:bCs/>
          <w:i/>
          <w:szCs w:val="22"/>
          <w:u w:val="single"/>
          <w:lang w:val="es-419"/>
        </w:rPr>
      </w:pPr>
      <w:r w:rsidRPr="00442701">
        <w:rPr>
          <w:bCs/>
          <w:i/>
          <w:szCs w:val="22"/>
          <w:u w:val="single"/>
          <w:lang w:val="es-419"/>
        </w:rPr>
        <w:t>Materia</w:t>
      </w:r>
    </w:p>
    <w:p w:rsidR="0097472B" w:rsidRPr="00442701" w:rsidRDefault="0097472B" w:rsidP="0097472B">
      <w:pPr>
        <w:rPr>
          <w:lang w:val="es-419"/>
        </w:rPr>
      </w:pPr>
    </w:p>
    <w:p w:rsidR="00D5766C" w:rsidRPr="00442701" w:rsidRDefault="0097472B" w:rsidP="00D5766C">
      <w:pPr>
        <w:rPr>
          <w:lang w:val="es-419"/>
        </w:rPr>
      </w:pPr>
      <w:r w:rsidRPr="00442701">
        <w:rPr>
          <w:lang w:val="es-419"/>
        </w:rPr>
        <w:fldChar w:fldCharType="begin"/>
      </w:r>
      <w:r w:rsidRPr="00442701">
        <w:rPr>
          <w:lang w:val="es-419"/>
        </w:rPr>
        <w:instrText xml:space="preserve"> AUTONUM  </w:instrText>
      </w:r>
      <w:r w:rsidRPr="00442701">
        <w:rPr>
          <w:lang w:val="es-419"/>
        </w:rPr>
        <w:fldChar w:fldCharType="end"/>
      </w:r>
      <w:r w:rsidRPr="00442701">
        <w:rPr>
          <w:lang w:val="es-419"/>
        </w:rPr>
        <w:tab/>
      </w:r>
      <w:r w:rsidR="00D5766C" w:rsidRPr="00442701">
        <w:rPr>
          <w:lang w:val="es-419"/>
        </w:rPr>
        <w:t xml:space="preserve">La determinación del alcance de la materia que es objeto del instrumento que negociará el CIG es un asunto importante. Dos de las cuestiones que se proponen para examen por parte del grupo de expertos </w:t>
      </w:r>
      <w:r w:rsidR="00D5766C" w:rsidRPr="00442701">
        <w:rPr>
          <w:i/>
          <w:lang w:val="es-419"/>
        </w:rPr>
        <w:t>ad hoc</w:t>
      </w:r>
      <w:r w:rsidR="00D5766C" w:rsidRPr="00442701">
        <w:rPr>
          <w:lang w:val="es-419"/>
        </w:rPr>
        <w:t xml:space="preserve"> son las siguientes:</w:t>
      </w:r>
    </w:p>
    <w:p w:rsidR="00D5766C" w:rsidRPr="00442701" w:rsidRDefault="00D5766C" w:rsidP="00D5766C">
      <w:pPr>
        <w:rPr>
          <w:lang w:val="es-419"/>
        </w:rPr>
      </w:pPr>
    </w:p>
    <w:p w:rsidR="00D5766C" w:rsidRPr="00442701" w:rsidRDefault="00D5766C" w:rsidP="00D5766C">
      <w:pPr>
        <w:pStyle w:val="ListParagraph"/>
        <w:numPr>
          <w:ilvl w:val="0"/>
          <w:numId w:val="13"/>
        </w:numPr>
        <w:rPr>
          <w:lang w:val="es-419"/>
        </w:rPr>
      </w:pPr>
      <w:r w:rsidRPr="00442701">
        <w:rPr>
          <w:bCs/>
          <w:lang w:val="es-419"/>
        </w:rPr>
        <w:t>Si bien existe consenso sobre el hecho de que el instrumento debe aplicarse a los RR.GG., cabe estudiar si debe aplicarse también a los CC.TT. asociados a los RR.GG., teniendo en cuenta que los CC.TT. no siempre están asociados a un recurs</w:t>
      </w:r>
      <w:bookmarkStart w:id="5" w:name="_GoBack"/>
      <w:bookmarkEnd w:id="5"/>
      <w:r w:rsidRPr="00442701">
        <w:rPr>
          <w:bCs/>
          <w:lang w:val="es-419"/>
        </w:rPr>
        <w:t>o genético. Los CC.TT. se estudian en otro proyecto de documento del CIG que contiene, entre otros aspectos, una propuesta de requisito de divulgación.</w:t>
      </w:r>
    </w:p>
    <w:p w:rsidR="0097472B" w:rsidRPr="00442701" w:rsidRDefault="00D5766C" w:rsidP="00D5766C">
      <w:pPr>
        <w:rPr>
          <w:lang w:val="es-419"/>
        </w:rPr>
      </w:pPr>
      <w:r w:rsidRPr="00442701">
        <w:rPr>
          <w:bCs/>
          <w:lang w:val="es-419"/>
        </w:rPr>
        <w:t>¿Debe aplicarse el instrumento</w:t>
      </w:r>
      <w:r w:rsidR="000E66F4" w:rsidRPr="00442701">
        <w:rPr>
          <w:bCs/>
          <w:lang w:val="es-419"/>
        </w:rPr>
        <w:t xml:space="preserve"> a todo</w:t>
      </w:r>
      <w:r w:rsidRPr="00442701">
        <w:rPr>
          <w:bCs/>
          <w:lang w:val="es-419"/>
        </w:rPr>
        <w:t xml:space="preserve"> derecho de PI o solamente a los derechos de patente?</w:t>
      </w:r>
    </w:p>
    <w:p w:rsidR="0097472B" w:rsidRPr="00442701" w:rsidRDefault="0097472B" w:rsidP="0097472B">
      <w:pPr>
        <w:rPr>
          <w:lang w:val="es-419"/>
        </w:rPr>
      </w:pPr>
    </w:p>
    <w:p w:rsidR="0097472B" w:rsidRPr="00442701" w:rsidRDefault="0097472B" w:rsidP="0097472B">
      <w:pPr>
        <w:rPr>
          <w:lang w:val="es-419"/>
        </w:rPr>
      </w:pPr>
      <w:r w:rsidRPr="00442701">
        <w:rPr>
          <w:lang w:val="es-419"/>
        </w:rPr>
        <w:fldChar w:fldCharType="begin"/>
      </w:r>
      <w:r w:rsidRPr="00442701">
        <w:rPr>
          <w:lang w:val="es-419"/>
        </w:rPr>
        <w:instrText xml:space="preserve"> AUTONUM  </w:instrText>
      </w:r>
      <w:r w:rsidRPr="00442701">
        <w:rPr>
          <w:lang w:val="es-419"/>
        </w:rPr>
        <w:fldChar w:fldCharType="end"/>
      </w:r>
      <w:r w:rsidRPr="00442701">
        <w:rPr>
          <w:lang w:val="es-419"/>
        </w:rPr>
        <w:tab/>
      </w:r>
      <w:r w:rsidR="00D5766C" w:rsidRPr="00442701">
        <w:rPr>
          <w:lang w:val="es-419"/>
        </w:rPr>
        <w:t xml:space="preserve">En relación con esta cuestión, el grupo de expertos </w:t>
      </w:r>
      <w:r w:rsidR="00D5766C" w:rsidRPr="00442701">
        <w:rPr>
          <w:i/>
          <w:lang w:val="es-419"/>
        </w:rPr>
        <w:t>ad hoc</w:t>
      </w:r>
      <w:r w:rsidR="00D5766C" w:rsidRPr="00442701">
        <w:rPr>
          <w:lang w:val="es-419"/>
        </w:rPr>
        <w:t xml:space="preserve"> debe examinar la utilización de términos</w:t>
      </w:r>
      <w:r w:rsidR="000E66F4" w:rsidRPr="00442701">
        <w:rPr>
          <w:lang w:val="es-419"/>
        </w:rPr>
        <w:t xml:space="preserve"> como </w:t>
      </w:r>
      <w:r w:rsidR="00D5766C" w:rsidRPr="00442701">
        <w:rPr>
          <w:lang w:val="es-419"/>
        </w:rPr>
        <w:t>“recursos genéticos” (en particular, si los “derivados” deben incluirse en la definición de RR.GG)</w:t>
      </w:r>
      <w:r w:rsidRPr="00442701">
        <w:rPr>
          <w:szCs w:val="22"/>
          <w:lang w:val="es-419"/>
        </w:rPr>
        <w:t>.</w:t>
      </w:r>
    </w:p>
    <w:p w:rsidR="0097472B" w:rsidRPr="00442701" w:rsidRDefault="0097472B" w:rsidP="00973CA7">
      <w:pPr>
        <w:rPr>
          <w:bCs/>
          <w:szCs w:val="22"/>
          <w:lang w:val="es-419"/>
        </w:rPr>
      </w:pPr>
    </w:p>
    <w:p w:rsidR="00C9716D" w:rsidRPr="00442701" w:rsidRDefault="00D26B82" w:rsidP="00C9716D">
      <w:pPr>
        <w:ind w:left="567"/>
        <w:rPr>
          <w:bCs/>
          <w:i/>
          <w:szCs w:val="22"/>
          <w:u w:val="single"/>
          <w:lang w:val="es-419"/>
        </w:rPr>
      </w:pPr>
      <w:r w:rsidRPr="00442701">
        <w:rPr>
          <w:bCs/>
          <w:i/>
          <w:szCs w:val="22"/>
          <w:u w:val="single"/>
          <w:lang w:val="es-419"/>
        </w:rPr>
        <w:t>Motivo</w:t>
      </w:r>
    </w:p>
    <w:p w:rsidR="00C9716D" w:rsidRPr="00442701" w:rsidRDefault="00C9716D" w:rsidP="00973CA7">
      <w:pPr>
        <w:rPr>
          <w:bCs/>
          <w:szCs w:val="22"/>
          <w:lang w:val="es-419"/>
        </w:rPr>
      </w:pPr>
    </w:p>
    <w:p w:rsidR="00D26B82" w:rsidRPr="00442701" w:rsidRDefault="00C9716D" w:rsidP="00D26B82">
      <w:pPr>
        <w:rPr>
          <w:lang w:val="es-419"/>
        </w:rPr>
      </w:pPr>
      <w:r w:rsidRPr="00442701">
        <w:rPr>
          <w:lang w:val="es-419"/>
        </w:rPr>
        <w:fldChar w:fldCharType="begin"/>
      </w:r>
      <w:r w:rsidRPr="00442701">
        <w:rPr>
          <w:lang w:val="es-419"/>
        </w:rPr>
        <w:instrText xml:space="preserve"> AUTONUM  </w:instrText>
      </w:r>
      <w:r w:rsidRPr="00442701">
        <w:rPr>
          <w:lang w:val="es-419"/>
        </w:rPr>
        <w:fldChar w:fldCharType="end"/>
      </w:r>
      <w:r w:rsidRPr="00442701">
        <w:rPr>
          <w:lang w:val="es-419"/>
        </w:rPr>
        <w:tab/>
      </w:r>
      <w:r w:rsidR="00D26B82" w:rsidRPr="00442701">
        <w:rPr>
          <w:lang w:val="es-419"/>
        </w:rPr>
        <w:t xml:space="preserve">Se invita al grupo de expertos </w:t>
      </w:r>
      <w:r w:rsidR="00D26B82" w:rsidRPr="00442701">
        <w:rPr>
          <w:i/>
          <w:lang w:val="es-419"/>
        </w:rPr>
        <w:t>ad hoc</w:t>
      </w:r>
      <w:r w:rsidR="00D26B82" w:rsidRPr="00442701">
        <w:rPr>
          <w:lang w:val="es-419"/>
        </w:rPr>
        <w:t xml:space="preserve"> a que estudie cuál debe ser la relación o “vínculo” entre la materia de la divulgación (por ejemplo, los RR.GG</w:t>
      </w:r>
      <w:r w:rsidR="000E66F4" w:rsidRPr="00442701">
        <w:rPr>
          <w:lang w:val="es-419"/>
        </w:rPr>
        <w:t>.</w:t>
      </w:r>
      <w:r w:rsidR="00D26B82" w:rsidRPr="00442701">
        <w:rPr>
          <w:lang w:val="es-419"/>
        </w:rPr>
        <w:t>) y la invención reivindicada, con la finalidad de motivar la aplicación de un requisito de divulgación respecto de los derechos de PI o la patente. Esa relación puede definirse con expresiones como “la utilización de” o “basada directamente en”, entre otras.</w:t>
      </w:r>
    </w:p>
    <w:p w:rsidR="00D26B82" w:rsidRPr="00442701" w:rsidRDefault="00D26B82" w:rsidP="00D26B82">
      <w:pPr>
        <w:rPr>
          <w:bCs/>
          <w:szCs w:val="22"/>
          <w:lang w:val="es-419"/>
        </w:rPr>
      </w:pPr>
    </w:p>
    <w:p w:rsidR="00C9716D" w:rsidRPr="00442701" w:rsidRDefault="00D26B82" w:rsidP="00D26B82">
      <w:pPr>
        <w:rPr>
          <w:szCs w:val="22"/>
          <w:lang w:val="es-419"/>
        </w:rPr>
      </w:pPr>
      <w:r w:rsidRPr="00442701">
        <w:rPr>
          <w:lang w:val="es-419"/>
        </w:rPr>
        <w:fldChar w:fldCharType="begin"/>
      </w:r>
      <w:r w:rsidRPr="00442701">
        <w:rPr>
          <w:lang w:val="es-419"/>
        </w:rPr>
        <w:instrText xml:space="preserve"> AUTONUM  </w:instrText>
      </w:r>
      <w:r w:rsidRPr="00442701">
        <w:rPr>
          <w:lang w:val="es-419"/>
        </w:rPr>
        <w:fldChar w:fldCharType="end"/>
      </w:r>
      <w:r w:rsidRPr="00442701">
        <w:rPr>
          <w:lang w:val="es-419"/>
        </w:rPr>
        <w:tab/>
        <w:t>La definición de expresiones empleadas para definir el motivo, como “utilización de”, “basada directamente en” o cualquier otra expresión son otros elementos que deben examinarse</w:t>
      </w:r>
      <w:r w:rsidR="00C9716D" w:rsidRPr="00442701">
        <w:rPr>
          <w:szCs w:val="22"/>
          <w:lang w:val="es-419"/>
        </w:rPr>
        <w:t>.</w:t>
      </w:r>
    </w:p>
    <w:p w:rsidR="00C9716D" w:rsidRPr="00442701" w:rsidRDefault="00C9716D" w:rsidP="00973CA7">
      <w:pPr>
        <w:rPr>
          <w:szCs w:val="22"/>
          <w:lang w:val="es-419"/>
        </w:rPr>
      </w:pPr>
    </w:p>
    <w:p w:rsidR="00C9716D" w:rsidRPr="00442701" w:rsidRDefault="00C9716D" w:rsidP="00C9716D">
      <w:pPr>
        <w:ind w:left="567"/>
        <w:rPr>
          <w:i/>
          <w:szCs w:val="22"/>
          <w:u w:val="single"/>
          <w:lang w:val="es-419"/>
        </w:rPr>
      </w:pPr>
      <w:r w:rsidRPr="00442701">
        <w:rPr>
          <w:i/>
          <w:szCs w:val="22"/>
          <w:u w:val="single"/>
          <w:lang w:val="es-419"/>
        </w:rPr>
        <w:lastRenderedPageBreak/>
        <w:t>Conten</w:t>
      </w:r>
      <w:r w:rsidR="00D26B82" w:rsidRPr="00442701">
        <w:rPr>
          <w:i/>
          <w:szCs w:val="22"/>
          <w:u w:val="single"/>
          <w:lang w:val="es-419"/>
        </w:rPr>
        <w:t>ido</w:t>
      </w:r>
    </w:p>
    <w:p w:rsidR="00C9716D" w:rsidRPr="00442701" w:rsidRDefault="00C9716D" w:rsidP="00973CA7">
      <w:pPr>
        <w:rPr>
          <w:szCs w:val="22"/>
          <w:lang w:val="es-419"/>
        </w:rPr>
      </w:pPr>
    </w:p>
    <w:p w:rsidR="00D26B82" w:rsidRPr="00442701" w:rsidRDefault="00C9716D" w:rsidP="00D26B82">
      <w:pPr>
        <w:rPr>
          <w:lang w:val="es-419"/>
        </w:rPr>
      </w:pPr>
      <w:r w:rsidRPr="00442701">
        <w:rPr>
          <w:lang w:val="es-419"/>
        </w:rPr>
        <w:fldChar w:fldCharType="begin"/>
      </w:r>
      <w:r w:rsidRPr="00442701">
        <w:rPr>
          <w:lang w:val="es-419"/>
        </w:rPr>
        <w:instrText xml:space="preserve"> AUTONUM  </w:instrText>
      </w:r>
      <w:r w:rsidRPr="00442701">
        <w:rPr>
          <w:lang w:val="es-419"/>
        </w:rPr>
        <w:fldChar w:fldCharType="end"/>
      </w:r>
      <w:r w:rsidRPr="00442701">
        <w:rPr>
          <w:lang w:val="es-419"/>
        </w:rPr>
        <w:tab/>
      </w:r>
      <w:r w:rsidR="00D26B82" w:rsidRPr="00442701">
        <w:rPr>
          <w:lang w:val="es-419"/>
        </w:rPr>
        <w:t xml:space="preserve">En lo que respecta al contenido, se invita al grupo de expertos </w:t>
      </w:r>
      <w:r w:rsidR="00D26B82" w:rsidRPr="00442701">
        <w:rPr>
          <w:i/>
          <w:lang w:val="es-419"/>
        </w:rPr>
        <w:t>ad hoc</w:t>
      </w:r>
      <w:r w:rsidR="00D26B82" w:rsidRPr="00442701">
        <w:rPr>
          <w:lang w:val="es-419"/>
        </w:rPr>
        <w:t xml:space="preserve"> a determinar qué sería necesario divulgar en la solicitud de derechos de PI o de patente. ¿Debe ser, por ejemplo, la fuente de los RR.GG., el país proveedor, la prueba de que se ha obtenido el consentimiento fundamentado previo o la prueba de que la participación en los beneficios se rige por condiciones mutualmente convenidas?</w:t>
      </w:r>
    </w:p>
    <w:p w:rsidR="00D26B82" w:rsidRPr="00442701" w:rsidRDefault="00D26B82" w:rsidP="00D26B82">
      <w:pPr>
        <w:rPr>
          <w:bCs/>
          <w:szCs w:val="22"/>
          <w:lang w:val="es-419"/>
        </w:rPr>
      </w:pPr>
    </w:p>
    <w:p w:rsidR="00686125" w:rsidRPr="00442701" w:rsidRDefault="00D26B82" w:rsidP="00D26B82">
      <w:pPr>
        <w:rPr>
          <w:szCs w:val="22"/>
          <w:lang w:val="es-419"/>
        </w:rPr>
      </w:pPr>
      <w:r w:rsidRPr="00442701">
        <w:rPr>
          <w:lang w:val="es-419"/>
        </w:rPr>
        <w:fldChar w:fldCharType="begin"/>
      </w:r>
      <w:r w:rsidRPr="00442701">
        <w:rPr>
          <w:lang w:val="es-419"/>
        </w:rPr>
        <w:instrText xml:space="preserve"> AUTONUM  </w:instrText>
      </w:r>
      <w:r w:rsidRPr="00442701">
        <w:rPr>
          <w:lang w:val="es-419"/>
        </w:rPr>
        <w:fldChar w:fldCharType="end"/>
      </w:r>
      <w:r w:rsidRPr="00442701">
        <w:rPr>
          <w:lang w:val="es-419"/>
        </w:rPr>
        <w:tab/>
        <w:t xml:space="preserve">En relación con esta cuestión, se invita al grupo de expertos </w:t>
      </w:r>
      <w:r w:rsidRPr="00442701">
        <w:rPr>
          <w:i/>
          <w:lang w:val="es-419"/>
        </w:rPr>
        <w:t>ad hoc</w:t>
      </w:r>
      <w:r w:rsidRPr="00442701">
        <w:rPr>
          <w:lang w:val="es-419"/>
        </w:rPr>
        <w:t xml:space="preserve"> a proporcionar asesoramiento y realizar análisis sobre la utilización de términos como “fuente”, “país proveedor” o “país de origen”</w:t>
      </w:r>
      <w:r w:rsidR="00686125" w:rsidRPr="00442701">
        <w:rPr>
          <w:szCs w:val="22"/>
          <w:lang w:val="es-419"/>
        </w:rPr>
        <w:t>.</w:t>
      </w:r>
    </w:p>
    <w:p w:rsidR="00686125" w:rsidRPr="00442701" w:rsidRDefault="00686125" w:rsidP="00973CA7">
      <w:pPr>
        <w:rPr>
          <w:szCs w:val="22"/>
          <w:lang w:val="es-419"/>
        </w:rPr>
      </w:pPr>
    </w:p>
    <w:p w:rsidR="00686125" w:rsidRPr="00442701" w:rsidRDefault="00E65059" w:rsidP="00686125">
      <w:pPr>
        <w:ind w:left="567"/>
        <w:rPr>
          <w:i/>
          <w:szCs w:val="22"/>
          <w:u w:val="single"/>
          <w:lang w:val="es-419"/>
        </w:rPr>
      </w:pPr>
      <w:r w:rsidRPr="00442701">
        <w:rPr>
          <w:i/>
          <w:szCs w:val="22"/>
          <w:u w:val="single"/>
          <w:lang w:val="es-419"/>
        </w:rPr>
        <w:t>Sanc</w:t>
      </w:r>
      <w:r w:rsidR="00DD76D8" w:rsidRPr="00442701">
        <w:rPr>
          <w:i/>
          <w:szCs w:val="22"/>
          <w:u w:val="single"/>
          <w:lang w:val="es-419"/>
        </w:rPr>
        <w:t>iones y recursos</w:t>
      </w:r>
    </w:p>
    <w:p w:rsidR="00686125" w:rsidRPr="00442701" w:rsidRDefault="00686125" w:rsidP="00973CA7">
      <w:pPr>
        <w:rPr>
          <w:szCs w:val="22"/>
          <w:lang w:val="es-419"/>
        </w:rPr>
      </w:pPr>
    </w:p>
    <w:p w:rsidR="00DD76D8" w:rsidRPr="00442701" w:rsidRDefault="00686125" w:rsidP="00DD76D8">
      <w:pPr>
        <w:rPr>
          <w:lang w:val="es-419"/>
        </w:rPr>
      </w:pPr>
      <w:r w:rsidRPr="00442701">
        <w:rPr>
          <w:lang w:val="es-419"/>
        </w:rPr>
        <w:fldChar w:fldCharType="begin"/>
      </w:r>
      <w:r w:rsidRPr="00442701">
        <w:rPr>
          <w:lang w:val="es-419"/>
        </w:rPr>
        <w:instrText xml:space="preserve"> AUTONUM  </w:instrText>
      </w:r>
      <w:r w:rsidRPr="00442701">
        <w:rPr>
          <w:lang w:val="es-419"/>
        </w:rPr>
        <w:fldChar w:fldCharType="end"/>
      </w:r>
      <w:r w:rsidRPr="00442701">
        <w:rPr>
          <w:lang w:val="es-419"/>
        </w:rPr>
        <w:tab/>
      </w:r>
      <w:r w:rsidR="0026399C" w:rsidRPr="00442701">
        <w:rPr>
          <w:lang w:val="es-419"/>
        </w:rPr>
        <w:t>En lo que respecta a los requisitos de divulgación, u</w:t>
      </w:r>
      <w:r w:rsidR="00DD76D8" w:rsidRPr="00442701">
        <w:rPr>
          <w:lang w:val="es-419"/>
        </w:rPr>
        <w:t xml:space="preserve">na cuestión legal y administrativa </w:t>
      </w:r>
      <w:r w:rsidR="0026399C" w:rsidRPr="00442701">
        <w:rPr>
          <w:lang w:val="es-419"/>
        </w:rPr>
        <w:t>que se plantea</w:t>
      </w:r>
      <w:r w:rsidR="00DD76D8" w:rsidRPr="00442701">
        <w:rPr>
          <w:lang w:val="es-419"/>
        </w:rPr>
        <w:t xml:space="preserve"> es determinar el tratamiento de las situaciones de incumplimiento. Se invita al grupo de expertos </w:t>
      </w:r>
      <w:r w:rsidR="00DD76D8" w:rsidRPr="00442701">
        <w:rPr>
          <w:i/>
          <w:lang w:val="es-419"/>
        </w:rPr>
        <w:t>ad hoc</w:t>
      </w:r>
      <w:r w:rsidR="00DD76D8" w:rsidRPr="00442701">
        <w:rPr>
          <w:lang w:val="es-419"/>
        </w:rPr>
        <w:t xml:space="preserve"> a que examine las dos siguientes cuestiones:</w:t>
      </w:r>
    </w:p>
    <w:p w:rsidR="00DD76D8" w:rsidRPr="00442701" w:rsidRDefault="00DD76D8" w:rsidP="00DD76D8">
      <w:pPr>
        <w:rPr>
          <w:lang w:val="es-419"/>
        </w:rPr>
      </w:pPr>
    </w:p>
    <w:p w:rsidR="00DD76D8" w:rsidRPr="00442701" w:rsidRDefault="00DD76D8" w:rsidP="00DD76D8">
      <w:pPr>
        <w:pStyle w:val="ListParagraph"/>
        <w:numPr>
          <w:ilvl w:val="0"/>
          <w:numId w:val="14"/>
        </w:numPr>
        <w:rPr>
          <w:lang w:val="es-419"/>
        </w:rPr>
      </w:pPr>
      <w:r w:rsidRPr="00442701">
        <w:rPr>
          <w:lang w:val="es-419"/>
        </w:rPr>
        <w:t>¿Qué medidas jurídicas y administrativas deben adoptarse para dar respuesta a las situaciones de incumplimiento?</w:t>
      </w:r>
    </w:p>
    <w:p w:rsidR="00686125" w:rsidRPr="00442701" w:rsidRDefault="00DD76D8" w:rsidP="00DD76D8">
      <w:pPr>
        <w:pStyle w:val="ListParagraph"/>
        <w:numPr>
          <w:ilvl w:val="0"/>
          <w:numId w:val="14"/>
        </w:numPr>
        <w:rPr>
          <w:lang w:val="es-419"/>
        </w:rPr>
      </w:pPr>
      <w:r w:rsidRPr="00442701">
        <w:rPr>
          <w:lang w:val="es-419"/>
        </w:rPr>
        <w:t>¿Deberían esas medidas poder afectar a la validez de una patente concedida? En caso afirmativo, ¿cuáles serían las condiciones admisibles para la revocación? Aparte de la revocación, ¿qué otras opciones son posibles?</w:t>
      </w:r>
    </w:p>
    <w:p w:rsidR="00047DAC" w:rsidRPr="00442701" w:rsidRDefault="00047DAC">
      <w:pPr>
        <w:rPr>
          <w:b/>
          <w:lang w:val="es-419"/>
        </w:rPr>
      </w:pPr>
    </w:p>
    <w:p w:rsidR="007F1806" w:rsidRPr="00442701" w:rsidRDefault="0026399C">
      <w:pPr>
        <w:rPr>
          <w:b/>
          <w:lang w:val="es-419"/>
        </w:rPr>
      </w:pPr>
      <w:r w:rsidRPr="00442701">
        <w:rPr>
          <w:b/>
          <w:lang w:val="es-419"/>
        </w:rPr>
        <w:t xml:space="preserve">Interrelación de los sistemas de información </w:t>
      </w:r>
      <w:r w:rsidR="002C3953" w:rsidRPr="00442701">
        <w:rPr>
          <w:b/>
          <w:lang w:val="es-419"/>
        </w:rPr>
        <w:t>y</w:t>
      </w:r>
      <w:r w:rsidRPr="00442701">
        <w:rPr>
          <w:b/>
          <w:lang w:val="es-419"/>
        </w:rPr>
        <w:t xml:space="preserve"> los requisitos de divulgación</w:t>
      </w:r>
    </w:p>
    <w:p w:rsidR="00580A9D" w:rsidRPr="00442701" w:rsidRDefault="00580A9D">
      <w:pPr>
        <w:rPr>
          <w:lang w:val="es-419"/>
        </w:rPr>
      </w:pPr>
    </w:p>
    <w:p w:rsidR="00973CA7" w:rsidRPr="00442701" w:rsidRDefault="00973CA7">
      <w:pPr>
        <w:rPr>
          <w:szCs w:val="22"/>
          <w:lang w:val="es-419"/>
        </w:rPr>
      </w:pPr>
      <w:r w:rsidRPr="00442701">
        <w:rPr>
          <w:lang w:val="es-419"/>
        </w:rPr>
        <w:fldChar w:fldCharType="begin"/>
      </w:r>
      <w:r w:rsidRPr="00442701">
        <w:rPr>
          <w:lang w:val="es-419"/>
        </w:rPr>
        <w:instrText xml:space="preserve"> AUTONUM  </w:instrText>
      </w:r>
      <w:r w:rsidRPr="00442701">
        <w:rPr>
          <w:lang w:val="es-419"/>
        </w:rPr>
        <w:fldChar w:fldCharType="end"/>
      </w:r>
      <w:r w:rsidRPr="00442701">
        <w:rPr>
          <w:lang w:val="es-419"/>
        </w:rPr>
        <w:tab/>
      </w:r>
      <w:r w:rsidR="0026399C" w:rsidRPr="00442701">
        <w:rPr>
          <w:lang w:val="es-419"/>
        </w:rPr>
        <w:t>Hay participantes en el CIG que opinan que la mejor manera de lograr los objetivos deseados sería contar únicamente con sistemas de información, sin ningún requisito adicional de divulgación, mientras que hay otros que opinan que los sistemas de información solo complementarían los requisitos de divulgaci</w:t>
      </w:r>
      <w:r w:rsidR="002C3953" w:rsidRPr="00442701">
        <w:rPr>
          <w:lang w:val="es-419"/>
        </w:rPr>
        <w:t xml:space="preserve">ón. </w:t>
      </w:r>
      <w:r w:rsidR="0026399C" w:rsidRPr="00442701">
        <w:rPr>
          <w:lang w:val="es-419"/>
        </w:rPr>
        <w:t>También hay quienes opinan que los sistemas de información y los requisitos de divulgación podrían funcionar conjuntamente y ser mecanismos complementarios para proporcionar seguridad jurídica en materia de PI y RR.GG.</w:t>
      </w:r>
      <w:r w:rsidR="006C6E4C" w:rsidRPr="00442701">
        <w:rPr>
          <w:lang w:val="es-419"/>
        </w:rPr>
        <w:t xml:space="preserve"> </w:t>
      </w:r>
    </w:p>
    <w:p w:rsidR="00032D27" w:rsidRPr="00442701" w:rsidRDefault="00032D27">
      <w:pPr>
        <w:rPr>
          <w:szCs w:val="22"/>
          <w:lang w:val="es-419"/>
        </w:rPr>
      </w:pPr>
    </w:p>
    <w:p w:rsidR="003A4209" w:rsidRPr="00442701" w:rsidRDefault="00032D27" w:rsidP="003A4209">
      <w:pPr>
        <w:rPr>
          <w:lang w:val="es-419"/>
        </w:rPr>
      </w:pPr>
      <w:r w:rsidRPr="00442701">
        <w:rPr>
          <w:lang w:val="es-419"/>
        </w:rPr>
        <w:fldChar w:fldCharType="begin"/>
      </w:r>
      <w:r w:rsidRPr="00442701">
        <w:rPr>
          <w:lang w:val="es-419"/>
        </w:rPr>
        <w:instrText xml:space="preserve"> AUTONUM  </w:instrText>
      </w:r>
      <w:r w:rsidRPr="00442701">
        <w:rPr>
          <w:lang w:val="es-419"/>
        </w:rPr>
        <w:fldChar w:fldCharType="end"/>
      </w:r>
      <w:r w:rsidRPr="00442701">
        <w:rPr>
          <w:lang w:val="es-419"/>
        </w:rPr>
        <w:tab/>
      </w:r>
      <w:r w:rsidR="0026399C" w:rsidRPr="00442701">
        <w:rPr>
          <w:lang w:val="es-419"/>
        </w:rPr>
        <w:t xml:space="preserve">Se invita al grupo de expertos </w:t>
      </w:r>
      <w:r w:rsidR="0026399C" w:rsidRPr="00442701">
        <w:rPr>
          <w:i/>
          <w:lang w:val="es-419"/>
        </w:rPr>
        <w:t>ad hoc</w:t>
      </w:r>
      <w:r w:rsidR="0026399C" w:rsidRPr="00442701">
        <w:rPr>
          <w:lang w:val="es-419"/>
        </w:rPr>
        <w:t xml:space="preserve"> a debatir la interrelación de los sistemas de información y los requisitos de divulgación</w:t>
      </w:r>
      <w:r w:rsidR="00C52C67" w:rsidRPr="00442701">
        <w:rPr>
          <w:lang w:val="es-419"/>
        </w:rPr>
        <w:t xml:space="preserve">. </w:t>
      </w:r>
    </w:p>
    <w:p w:rsidR="00047DAC" w:rsidRPr="00442701" w:rsidRDefault="00047DAC" w:rsidP="003A4209">
      <w:pPr>
        <w:rPr>
          <w:b/>
          <w:lang w:val="es-419"/>
        </w:rPr>
      </w:pPr>
    </w:p>
    <w:p w:rsidR="00EA0D5F" w:rsidRPr="00442701" w:rsidRDefault="00EA0D5F">
      <w:pPr>
        <w:rPr>
          <w:b/>
          <w:lang w:val="es-419"/>
        </w:rPr>
      </w:pPr>
      <w:r w:rsidRPr="00442701">
        <w:rPr>
          <w:b/>
          <w:lang w:val="es-419"/>
        </w:rPr>
        <w:t>Ot</w:t>
      </w:r>
      <w:r w:rsidR="0026399C" w:rsidRPr="00442701">
        <w:rPr>
          <w:b/>
          <w:lang w:val="es-419"/>
        </w:rPr>
        <w:t xml:space="preserve">ras cuestiones </w:t>
      </w:r>
      <w:r w:rsidRPr="00442701">
        <w:rPr>
          <w:b/>
          <w:lang w:val="es-419"/>
        </w:rPr>
        <w:br/>
      </w:r>
    </w:p>
    <w:p w:rsidR="00EA0D5F" w:rsidRPr="00442701" w:rsidRDefault="00EA0D5F">
      <w:pPr>
        <w:rPr>
          <w:lang w:val="es-419"/>
        </w:rPr>
      </w:pPr>
      <w:r w:rsidRPr="00442701">
        <w:rPr>
          <w:lang w:val="es-419"/>
        </w:rPr>
        <w:fldChar w:fldCharType="begin"/>
      </w:r>
      <w:r w:rsidRPr="00442701">
        <w:rPr>
          <w:lang w:val="es-419"/>
        </w:rPr>
        <w:instrText xml:space="preserve"> AUTONUM  </w:instrText>
      </w:r>
      <w:r w:rsidRPr="00442701">
        <w:rPr>
          <w:lang w:val="es-419"/>
        </w:rPr>
        <w:fldChar w:fldCharType="end"/>
      </w:r>
      <w:r w:rsidRPr="00442701">
        <w:rPr>
          <w:lang w:val="es-419"/>
        </w:rPr>
        <w:tab/>
      </w:r>
      <w:r w:rsidR="0026399C" w:rsidRPr="00442701">
        <w:rPr>
          <w:lang w:val="es-419"/>
        </w:rPr>
        <w:t xml:space="preserve">Se invita al grupo de expertos </w:t>
      </w:r>
      <w:r w:rsidR="0026399C" w:rsidRPr="00442701">
        <w:rPr>
          <w:i/>
          <w:lang w:val="es-419"/>
        </w:rPr>
        <w:t>ad hoc</w:t>
      </w:r>
      <w:r w:rsidR="0026399C" w:rsidRPr="00442701">
        <w:rPr>
          <w:lang w:val="es-419"/>
        </w:rPr>
        <w:t xml:space="preserve"> a señalar cualquier otra cuestión de carácter jurídico, normativo o técnico que el CIG deba estudiar, así como a ofrecer al CIG análisis, asesoramiento o recomendaciones sobre cualquier otro aspecto que considere oportuno</w:t>
      </w:r>
      <w:r w:rsidRPr="00442701">
        <w:rPr>
          <w:szCs w:val="22"/>
          <w:lang w:val="es-419"/>
        </w:rPr>
        <w:t xml:space="preserve">. </w:t>
      </w:r>
    </w:p>
    <w:p w:rsidR="00032D27" w:rsidRPr="00442701" w:rsidRDefault="00032D27">
      <w:pPr>
        <w:rPr>
          <w:lang w:val="es-419"/>
        </w:rPr>
      </w:pPr>
    </w:p>
    <w:p w:rsidR="004944BF" w:rsidRPr="00442701" w:rsidRDefault="004944BF">
      <w:pPr>
        <w:rPr>
          <w:lang w:val="es-419"/>
        </w:rPr>
      </w:pPr>
    </w:p>
    <w:p w:rsidR="004944BF" w:rsidRPr="00442701" w:rsidRDefault="001203CF" w:rsidP="001E64F6">
      <w:pPr>
        <w:ind w:left="5670"/>
        <w:rPr>
          <w:lang w:val="es-419"/>
        </w:rPr>
      </w:pPr>
      <w:r w:rsidRPr="00442701">
        <w:rPr>
          <w:lang w:val="es-419"/>
        </w:rPr>
        <w:t>[</w:t>
      </w:r>
      <w:r w:rsidR="0026399C" w:rsidRPr="00442701">
        <w:rPr>
          <w:lang w:val="es-419"/>
        </w:rPr>
        <w:t>Fin del</w:t>
      </w:r>
      <w:r w:rsidRPr="00442701">
        <w:rPr>
          <w:lang w:val="es-419"/>
        </w:rPr>
        <w:t xml:space="preserve"> document</w:t>
      </w:r>
      <w:r w:rsidR="0026399C" w:rsidRPr="00442701">
        <w:rPr>
          <w:lang w:val="es-419"/>
        </w:rPr>
        <w:t>o</w:t>
      </w:r>
      <w:r w:rsidRPr="00442701">
        <w:rPr>
          <w:lang w:val="es-419"/>
        </w:rPr>
        <w:t>]</w:t>
      </w:r>
    </w:p>
    <w:sectPr w:rsidR="004944BF" w:rsidRPr="00442701" w:rsidSect="0066523F">
      <w:headerReference w:type="even" r:id="rId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ABF" w:rsidRDefault="000D6ABF">
      <w:r>
        <w:separator/>
      </w:r>
    </w:p>
  </w:endnote>
  <w:endnote w:type="continuationSeparator" w:id="0">
    <w:p w:rsidR="000D6ABF" w:rsidRDefault="000D6ABF" w:rsidP="003B38C1">
      <w:r>
        <w:separator/>
      </w:r>
    </w:p>
    <w:p w:rsidR="000D6ABF" w:rsidRPr="003B38C1" w:rsidRDefault="000D6ABF" w:rsidP="003B38C1">
      <w:pPr>
        <w:spacing w:after="60"/>
        <w:rPr>
          <w:sz w:val="17"/>
        </w:rPr>
      </w:pPr>
      <w:r>
        <w:rPr>
          <w:sz w:val="17"/>
        </w:rPr>
        <w:t>[Endnote continued from previous page]</w:t>
      </w:r>
    </w:p>
  </w:endnote>
  <w:endnote w:type="continuationNotice" w:id="1">
    <w:p w:rsidR="000D6ABF" w:rsidRPr="003B38C1" w:rsidRDefault="000D6AB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ABF" w:rsidRDefault="000D6ABF">
      <w:r>
        <w:separator/>
      </w:r>
    </w:p>
  </w:footnote>
  <w:footnote w:type="continuationSeparator" w:id="0">
    <w:p w:rsidR="000D6ABF" w:rsidRDefault="000D6ABF" w:rsidP="008B60B2">
      <w:r>
        <w:separator/>
      </w:r>
    </w:p>
    <w:p w:rsidR="000D6ABF" w:rsidRPr="00ED77FB" w:rsidRDefault="000D6ABF" w:rsidP="008B60B2">
      <w:pPr>
        <w:spacing w:after="60"/>
        <w:rPr>
          <w:sz w:val="17"/>
          <w:szCs w:val="17"/>
        </w:rPr>
      </w:pPr>
      <w:r w:rsidRPr="00ED77FB">
        <w:rPr>
          <w:sz w:val="17"/>
          <w:szCs w:val="17"/>
        </w:rPr>
        <w:t>[Footnote continued from previous page]</w:t>
      </w:r>
    </w:p>
  </w:footnote>
  <w:footnote w:type="continuationNotice" w:id="1">
    <w:p w:rsidR="000D6ABF" w:rsidRPr="00ED77FB" w:rsidRDefault="000D6AB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23F" w:rsidRPr="00CC261B" w:rsidRDefault="0066523F" w:rsidP="0066523F">
    <w:pPr>
      <w:jc w:val="right"/>
      <w:rPr>
        <w:lang w:val="es-ES_tradnl"/>
      </w:rPr>
    </w:pPr>
    <w:r>
      <w:rPr>
        <w:lang w:val="es-ES_tradnl"/>
      </w:rPr>
      <w:t>WIPO/</w:t>
    </w:r>
    <w:r w:rsidR="00A3042F">
      <w:rPr>
        <w:lang w:val="es-ES_tradnl"/>
      </w:rPr>
      <w:t>IPTK</w:t>
    </w:r>
    <w:r>
      <w:rPr>
        <w:lang w:val="es-ES_tradnl"/>
      </w:rPr>
      <w:t>/GE/22/2</w:t>
    </w:r>
  </w:p>
  <w:p w:rsidR="0066523F" w:rsidRPr="00CC261B" w:rsidRDefault="00CC00B9" w:rsidP="0066523F">
    <w:pPr>
      <w:jc w:val="right"/>
      <w:rPr>
        <w:lang w:val="es-ES_tradnl"/>
      </w:rPr>
    </w:pPr>
    <w:r>
      <w:rPr>
        <w:lang w:val="es-ES_tradnl"/>
      </w:rPr>
      <w:t>página</w:t>
    </w:r>
    <w:r w:rsidR="0066523F" w:rsidRPr="00CC261B">
      <w:rPr>
        <w:lang w:val="es-ES_tradnl"/>
      </w:rPr>
      <w:t xml:space="preserve"> </w:t>
    </w:r>
    <w:r w:rsidR="0066523F">
      <w:fldChar w:fldCharType="begin"/>
    </w:r>
    <w:r w:rsidR="0066523F" w:rsidRPr="00CC261B">
      <w:rPr>
        <w:lang w:val="es-ES_tradnl"/>
      </w:rPr>
      <w:instrText xml:space="preserve"> PAGE  \* MERGEFORMAT </w:instrText>
    </w:r>
    <w:r w:rsidR="0066523F">
      <w:fldChar w:fldCharType="separate"/>
    </w:r>
    <w:r w:rsidR="00442701">
      <w:rPr>
        <w:noProof/>
        <w:lang w:val="es-ES_tradnl"/>
      </w:rPr>
      <w:t>2</w:t>
    </w:r>
    <w:r w:rsidR="0066523F">
      <w:fldChar w:fldCharType="end"/>
    </w:r>
  </w:p>
  <w:p w:rsidR="0066523F" w:rsidRPr="00CC261B" w:rsidRDefault="0066523F" w:rsidP="0066523F">
    <w:pPr>
      <w:jc w:val="right"/>
      <w:rPr>
        <w:lang w:val="es-ES_tradnl"/>
      </w:rPr>
    </w:pPr>
  </w:p>
  <w:p w:rsidR="0066523F" w:rsidRPr="00CC261B" w:rsidRDefault="0066523F" w:rsidP="0066523F">
    <w:pPr>
      <w:jc w:val="right"/>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CC261B" w:rsidRDefault="00620B8D" w:rsidP="00477D6B">
    <w:pPr>
      <w:jc w:val="right"/>
      <w:rPr>
        <w:lang w:val="es-ES_tradnl"/>
      </w:rPr>
    </w:pPr>
    <w:r>
      <w:rPr>
        <w:lang w:val="es-ES_tradnl"/>
      </w:rPr>
      <w:t>WIPO/EXP/GR/GE/22</w:t>
    </w:r>
    <w:r w:rsidR="00973CA7">
      <w:rPr>
        <w:lang w:val="es-ES_tradnl"/>
      </w:rPr>
      <w:t>/2</w:t>
    </w:r>
  </w:p>
  <w:p w:rsidR="00EC4E49" w:rsidRPr="00CC261B" w:rsidRDefault="00D26B82" w:rsidP="00477D6B">
    <w:pPr>
      <w:jc w:val="right"/>
      <w:rPr>
        <w:lang w:val="es-ES_tradnl"/>
      </w:rPr>
    </w:pPr>
    <w:r>
      <w:rPr>
        <w:lang w:val="es-ES_tradnl"/>
      </w:rPr>
      <w:t>página</w:t>
    </w:r>
    <w:r w:rsidR="00EC4E49" w:rsidRPr="00CC261B">
      <w:rPr>
        <w:lang w:val="es-ES_tradnl"/>
      </w:rPr>
      <w:t xml:space="preserve"> </w:t>
    </w:r>
    <w:r w:rsidR="00EC4E49">
      <w:fldChar w:fldCharType="begin"/>
    </w:r>
    <w:r w:rsidR="00EC4E49" w:rsidRPr="00CC261B">
      <w:rPr>
        <w:lang w:val="es-ES_tradnl"/>
      </w:rPr>
      <w:instrText xml:space="preserve"> PAGE  \* MERGEFORMAT </w:instrText>
    </w:r>
    <w:r w:rsidR="00EC4E49">
      <w:fldChar w:fldCharType="separate"/>
    </w:r>
    <w:r w:rsidR="00442701">
      <w:rPr>
        <w:noProof/>
        <w:lang w:val="es-ES_tradnl"/>
      </w:rPr>
      <w:t>3</w:t>
    </w:r>
    <w:r w:rsidR="00EC4E49">
      <w:fldChar w:fldCharType="end"/>
    </w:r>
  </w:p>
  <w:p w:rsidR="00EC4E49" w:rsidRPr="00CC261B" w:rsidRDefault="00EC4E49" w:rsidP="00477D6B">
    <w:pPr>
      <w:jc w:val="right"/>
      <w:rPr>
        <w:lang w:val="es-ES_tradnl"/>
      </w:rPr>
    </w:pPr>
  </w:p>
  <w:p w:rsidR="008A134B" w:rsidRPr="00CC261B" w:rsidRDefault="008A134B" w:rsidP="00477D6B">
    <w:pPr>
      <w:jc w:val="right"/>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BC1EEE"/>
    <w:multiLevelType w:val="hybridMultilevel"/>
    <w:tmpl w:val="A5D2D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0681EF0"/>
    <w:multiLevelType w:val="hybridMultilevel"/>
    <w:tmpl w:val="279E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DB07F8F"/>
    <w:multiLevelType w:val="hybridMultilevel"/>
    <w:tmpl w:val="CCA44496"/>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 w15:restartNumberingAfterBreak="0">
    <w:nsid w:val="3A465187"/>
    <w:multiLevelType w:val="hybridMultilevel"/>
    <w:tmpl w:val="C8668644"/>
    <w:lvl w:ilvl="0" w:tplc="9BE8828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D8317F8"/>
    <w:multiLevelType w:val="hybridMultilevel"/>
    <w:tmpl w:val="97C04836"/>
    <w:lvl w:ilvl="0" w:tplc="94FE7FF0">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0D048F"/>
    <w:multiLevelType w:val="hybridMultilevel"/>
    <w:tmpl w:val="06568D42"/>
    <w:lvl w:ilvl="0" w:tplc="04090003">
      <w:start w:val="1"/>
      <w:numFmt w:val="bullet"/>
      <w:lvlText w:val="o"/>
      <w:lvlJc w:val="left"/>
      <w:pPr>
        <w:ind w:left="1494" w:hanging="360"/>
      </w:pPr>
      <w:rPr>
        <w:rFonts w:ascii="Courier New" w:hAnsi="Courier New" w:cs="Courier New"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0" w15:restartNumberingAfterBreak="0">
    <w:nsid w:val="4328111E"/>
    <w:multiLevelType w:val="hybridMultilevel"/>
    <w:tmpl w:val="CB6ECA54"/>
    <w:lvl w:ilvl="0" w:tplc="9BE8828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4512A0F"/>
    <w:multiLevelType w:val="hybridMultilevel"/>
    <w:tmpl w:val="5E705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591F7C"/>
    <w:multiLevelType w:val="hybridMultilevel"/>
    <w:tmpl w:val="02CCA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EB323D"/>
    <w:multiLevelType w:val="hybridMultilevel"/>
    <w:tmpl w:val="1362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A92A06"/>
    <w:multiLevelType w:val="hybridMultilevel"/>
    <w:tmpl w:val="D7C07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0C6D29"/>
    <w:multiLevelType w:val="hybridMultilevel"/>
    <w:tmpl w:val="FC84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BA5447"/>
    <w:multiLevelType w:val="hybridMultilevel"/>
    <w:tmpl w:val="C44E73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1"/>
  </w:num>
  <w:num w:numId="3">
    <w:abstractNumId w:val="0"/>
  </w:num>
  <w:num w:numId="4">
    <w:abstractNumId w:val="14"/>
  </w:num>
  <w:num w:numId="5">
    <w:abstractNumId w:val="2"/>
  </w:num>
  <w:num w:numId="6">
    <w:abstractNumId w:val="5"/>
  </w:num>
  <w:num w:numId="7">
    <w:abstractNumId w:val="12"/>
  </w:num>
  <w:num w:numId="8">
    <w:abstractNumId w:val="8"/>
  </w:num>
  <w:num w:numId="9">
    <w:abstractNumId w:val="9"/>
  </w:num>
  <w:num w:numId="10">
    <w:abstractNumId w:val="10"/>
  </w:num>
  <w:num w:numId="11">
    <w:abstractNumId w:val="7"/>
  </w:num>
  <w:num w:numId="12">
    <w:abstractNumId w:val="13"/>
  </w:num>
  <w:num w:numId="13">
    <w:abstractNumId w:val="15"/>
  </w:num>
  <w:num w:numId="14">
    <w:abstractNumId w:val="16"/>
  </w:num>
  <w:num w:numId="15">
    <w:abstractNumId w:val="1"/>
  </w:num>
  <w:num w:numId="16">
    <w:abstractNumId w:val="3"/>
  </w:num>
  <w:num w:numId="17">
    <w:abstractNumId w:val="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s-ES_tradnl"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es-ES_tradnl" w:vendorID="64" w:dllVersion="131078" w:nlCheck="1" w:checkStyle="0"/>
  <w:activeWritingStyle w:appName="MSWord" w:lang="en-AU" w:vendorID="64" w:dllVersion="131078" w:nlCheck="1" w:checkStyle="1"/>
  <w:activeWritingStyle w:appName="MSWord" w:lang="en-GB" w:vendorID="64" w:dllVersion="131078" w:nlCheck="1" w:checkStyle="1"/>
  <w:activeWritingStyle w:appName="MSWord" w:lang="es-ES" w:vendorID="64" w:dllVersion="131078" w:nlCheck="1" w:checkStyle="0"/>
  <w:activeWritingStyle w:appName="MSWord" w:lang="es-419" w:vendorID="64" w:dllVersion="131078"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6C8"/>
    <w:rsid w:val="00001225"/>
    <w:rsid w:val="00001F27"/>
    <w:rsid w:val="0001564D"/>
    <w:rsid w:val="00032D27"/>
    <w:rsid w:val="00043CAA"/>
    <w:rsid w:val="000455C7"/>
    <w:rsid w:val="00047DAC"/>
    <w:rsid w:val="00064EE6"/>
    <w:rsid w:val="000728DF"/>
    <w:rsid w:val="00075432"/>
    <w:rsid w:val="000916CE"/>
    <w:rsid w:val="00096371"/>
    <w:rsid w:val="000968ED"/>
    <w:rsid w:val="000A4458"/>
    <w:rsid w:val="000A6F1D"/>
    <w:rsid w:val="000C57B7"/>
    <w:rsid w:val="000D6ABF"/>
    <w:rsid w:val="000E66F4"/>
    <w:rsid w:val="000F1EE2"/>
    <w:rsid w:val="000F467F"/>
    <w:rsid w:val="000F5E56"/>
    <w:rsid w:val="00106B2E"/>
    <w:rsid w:val="001203CF"/>
    <w:rsid w:val="001362EE"/>
    <w:rsid w:val="001425CF"/>
    <w:rsid w:val="00153FC0"/>
    <w:rsid w:val="001647D5"/>
    <w:rsid w:val="00164C87"/>
    <w:rsid w:val="001832A6"/>
    <w:rsid w:val="00187B85"/>
    <w:rsid w:val="00187BA8"/>
    <w:rsid w:val="001B1D8B"/>
    <w:rsid w:val="001E6380"/>
    <w:rsid w:val="001E64F6"/>
    <w:rsid w:val="001F0EEA"/>
    <w:rsid w:val="001F2ED3"/>
    <w:rsid w:val="0021217E"/>
    <w:rsid w:val="002366C8"/>
    <w:rsid w:val="002401EA"/>
    <w:rsid w:val="002634C4"/>
    <w:rsid w:val="0026399C"/>
    <w:rsid w:val="00271EB2"/>
    <w:rsid w:val="00285849"/>
    <w:rsid w:val="002928D3"/>
    <w:rsid w:val="002B3598"/>
    <w:rsid w:val="002C3953"/>
    <w:rsid w:val="002F1FE6"/>
    <w:rsid w:val="002F28BB"/>
    <w:rsid w:val="002F4E68"/>
    <w:rsid w:val="00312F7F"/>
    <w:rsid w:val="00346ACD"/>
    <w:rsid w:val="0034719C"/>
    <w:rsid w:val="00361450"/>
    <w:rsid w:val="0036238B"/>
    <w:rsid w:val="003673CF"/>
    <w:rsid w:val="003845C1"/>
    <w:rsid w:val="003A4209"/>
    <w:rsid w:val="003A6F89"/>
    <w:rsid w:val="003B38C1"/>
    <w:rsid w:val="003B3E63"/>
    <w:rsid w:val="003C606F"/>
    <w:rsid w:val="003D41D5"/>
    <w:rsid w:val="003E267E"/>
    <w:rsid w:val="003E7073"/>
    <w:rsid w:val="003F17A3"/>
    <w:rsid w:val="0041630A"/>
    <w:rsid w:val="00417FA1"/>
    <w:rsid w:val="00423E3E"/>
    <w:rsid w:val="00427AF4"/>
    <w:rsid w:val="00442701"/>
    <w:rsid w:val="004531A3"/>
    <w:rsid w:val="00462776"/>
    <w:rsid w:val="004647DA"/>
    <w:rsid w:val="00474062"/>
    <w:rsid w:val="00476FE1"/>
    <w:rsid w:val="00477D6B"/>
    <w:rsid w:val="004944BF"/>
    <w:rsid w:val="004C48BB"/>
    <w:rsid w:val="004C7E2F"/>
    <w:rsid w:val="004D35A7"/>
    <w:rsid w:val="005019FF"/>
    <w:rsid w:val="0053057A"/>
    <w:rsid w:val="00534C71"/>
    <w:rsid w:val="005369CE"/>
    <w:rsid w:val="00540CC9"/>
    <w:rsid w:val="00560A29"/>
    <w:rsid w:val="00562265"/>
    <w:rsid w:val="005749CA"/>
    <w:rsid w:val="00576D54"/>
    <w:rsid w:val="00580A9D"/>
    <w:rsid w:val="005901EA"/>
    <w:rsid w:val="00596D83"/>
    <w:rsid w:val="005C6649"/>
    <w:rsid w:val="005C7E40"/>
    <w:rsid w:val="00605827"/>
    <w:rsid w:val="00607FF1"/>
    <w:rsid w:val="00620B8D"/>
    <w:rsid w:val="00645DCE"/>
    <w:rsid w:val="00646050"/>
    <w:rsid w:val="00656524"/>
    <w:rsid w:val="0066523F"/>
    <w:rsid w:val="006713CA"/>
    <w:rsid w:val="00676C5C"/>
    <w:rsid w:val="00686125"/>
    <w:rsid w:val="00695AB4"/>
    <w:rsid w:val="006C0B93"/>
    <w:rsid w:val="006C6E4C"/>
    <w:rsid w:val="006C7753"/>
    <w:rsid w:val="00704D6F"/>
    <w:rsid w:val="007112E8"/>
    <w:rsid w:val="00734718"/>
    <w:rsid w:val="0074282E"/>
    <w:rsid w:val="00763E8B"/>
    <w:rsid w:val="0076547F"/>
    <w:rsid w:val="00790762"/>
    <w:rsid w:val="007A2A06"/>
    <w:rsid w:val="007D1613"/>
    <w:rsid w:val="007E0D7B"/>
    <w:rsid w:val="007E4C0E"/>
    <w:rsid w:val="007E6A37"/>
    <w:rsid w:val="007F1806"/>
    <w:rsid w:val="007F731E"/>
    <w:rsid w:val="0081083F"/>
    <w:rsid w:val="00820C9E"/>
    <w:rsid w:val="00823A38"/>
    <w:rsid w:val="008552F3"/>
    <w:rsid w:val="00885E30"/>
    <w:rsid w:val="008A134B"/>
    <w:rsid w:val="008B2CC1"/>
    <w:rsid w:val="008B60B2"/>
    <w:rsid w:val="008C46C2"/>
    <w:rsid w:val="00905240"/>
    <w:rsid w:val="0090731E"/>
    <w:rsid w:val="00916EE2"/>
    <w:rsid w:val="00924F46"/>
    <w:rsid w:val="0093186E"/>
    <w:rsid w:val="0093271A"/>
    <w:rsid w:val="00934356"/>
    <w:rsid w:val="0094105A"/>
    <w:rsid w:val="0094779F"/>
    <w:rsid w:val="009623C9"/>
    <w:rsid w:val="009658ED"/>
    <w:rsid w:val="00966A22"/>
    <w:rsid w:val="0096722F"/>
    <w:rsid w:val="00973CA7"/>
    <w:rsid w:val="0097472B"/>
    <w:rsid w:val="00980843"/>
    <w:rsid w:val="009D6D01"/>
    <w:rsid w:val="009E2791"/>
    <w:rsid w:val="009E3F6F"/>
    <w:rsid w:val="009F499F"/>
    <w:rsid w:val="00A16F11"/>
    <w:rsid w:val="00A23C65"/>
    <w:rsid w:val="00A3042F"/>
    <w:rsid w:val="00A35BC8"/>
    <w:rsid w:val="00A37342"/>
    <w:rsid w:val="00A41344"/>
    <w:rsid w:val="00A42DAF"/>
    <w:rsid w:val="00A45BD8"/>
    <w:rsid w:val="00A470AE"/>
    <w:rsid w:val="00A6248C"/>
    <w:rsid w:val="00A869B7"/>
    <w:rsid w:val="00A94AF4"/>
    <w:rsid w:val="00AA1E72"/>
    <w:rsid w:val="00AC205C"/>
    <w:rsid w:val="00AD3CB6"/>
    <w:rsid w:val="00AE1C35"/>
    <w:rsid w:val="00AF0A6B"/>
    <w:rsid w:val="00AF254D"/>
    <w:rsid w:val="00B04684"/>
    <w:rsid w:val="00B05A69"/>
    <w:rsid w:val="00B218B1"/>
    <w:rsid w:val="00B257FE"/>
    <w:rsid w:val="00B31BA5"/>
    <w:rsid w:val="00B50079"/>
    <w:rsid w:val="00B73C3F"/>
    <w:rsid w:val="00B838B5"/>
    <w:rsid w:val="00B9734B"/>
    <w:rsid w:val="00BA29C4"/>
    <w:rsid w:val="00BA30E2"/>
    <w:rsid w:val="00BA482C"/>
    <w:rsid w:val="00BA4EBE"/>
    <w:rsid w:val="00BB49F0"/>
    <w:rsid w:val="00BC7B93"/>
    <w:rsid w:val="00BE0B0E"/>
    <w:rsid w:val="00BE1719"/>
    <w:rsid w:val="00BF4858"/>
    <w:rsid w:val="00C11BFE"/>
    <w:rsid w:val="00C12B10"/>
    <w:rsid w:val="00C12CE9"/>
    <w:rsid w:val="00C5068F"/>
    <w:rsid w:val="00C52C67"/>
    <w:rsid w:val="00C562F3"/>
    <w:rsid w:val="00C77DF9"/>
    <w:rsid w:val="00C81FEB"/>
    <w:rsid w:val="00C86D74"/>
    <w:rsid w:val="00C9716D"/>
    <w:rsid w:val="00CB1329"/>
    <w:rsid w:val="00CB63A8"/>
    <w:rsid w:val="00CB6BCB"/>
    <w:rsid w:val="00CC00B9"/>
    <w:rsid w:val="00CC261B"/>
    <w:rsid w:val="00CD04F1"/>
    <w:rsid w:val="00D26B82"/>
    <w:rsid w:val="00D33090"/>
    <w:rsid w:val="00D33D96"/>
    <w:rsid w:val="00D45252"/>
    <w:rsid w:val="00D5766C"/>
    <w:rsid w:val="00D71B4D"/>
    <w:rsid w:val="00D93D55"/>
    <w:rsid w:val="00D94448"/>
    <w:rsid w:val="00DD76D8"/>
    <w:rsid w:val="00E15015"/>
    <w:rsid w:val="00E335FE"/>
    <w:rsid w:val="00E40E6A"/>
    <w:rsid w:val="00E50840"/>
    <w:rsid w:val="00E64710"/>
    <w:rsid w:val="00E65059"/>
    <w:rsid w:val="00E71C6B"/>
    <w:rsid w:val="00E840BC"/>
    <w:rsid w:val="00EA0D5F"/>
    <w:rsid w:val="00EA2B1E"/>
    <w:rsid w:val="00EA7D6E"/>
    <w:rsid w:val="00EB0626"/>
    <w:rsid w:val="00EC4E49"/>
    <w:rsid w:val="00ED77FB"/>
    <w:rsid w:val="00EE45FA"/>
    <w:rsid w:val="00EE7EEB"/>
    <w:rsid w:val="00F43329"/>
    <w:rsid w:val="00F66152"/>
    <w:rsid w:val="00F67CF9"/>
    <w:rsid w:val="00F7509D"/>
    <w:rsid w:val="00F93974"/>
    <w:rsid w:val="00FD00D0"/>
    <w:rsid w:val="00FD60F4"/>
    <w:rsid w:val="00FE313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06C6436C-C133-4A3F-83C5-134C8DFBE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366C8"/>
    <w:rPr>
      <w:rFonts w:ascii="Tahoma" w:hAnsi="Tahoma" w:cs="Tahoma"/>
      <w:sz w:val="16"/>
      <w:szCs w:val="16"/>
    </w:rPr>
  </w:style>
  <w:style w:type="character" w:customStyle="1" w:styleId="BalloonTextChar">
    <w:name w:val="Balloon Text Char"/>
    <w:basedOn w:val="DefaultParagraphFont"/>
    <w:link w:val="BalloonText"/>
    <w:rsid w:val="002366C8"/>
    <w:rPr>
      <w:rFonts w:ascii="Tahoma" w:eastAsia="SimSun" w:hAnsi="Tahoma" w:cs="Tahoma"/>
      <w:sz w:val="16"/>
      <w:szCs w:val="16"/>
      <w:lang w:val="en-US" w:eastAsia="zh-CN"/>
    </w:rPr>
  </w:style>
  <w:style w:type="paragraph" w:styleId="ListParagraph">
    <w:name w:val="List Paragraph"/>
    <w:basedOn w:val="Normal"/>
    <w:uiPriority w:val="34"/>
    <w:qFormat/>
    <w:rsid w:val="00AD3CB6"/>
    <w:pPr>
      <w:ind w:left="720"/>
      <w:contextualSpacing/>
    </w:pPr>
  </w:style>
  <w:style w:type="table" w:styleId="TableGrid">
    <w:name w:val="Table Grid"/>
    <w:basedOn w:val="TableNormal"/>
    <w:rsid w:val="00763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0728DF"/>
    <w:rPr>
      <w:sz w:val="16"/>
      <w:szCs w:val="16"/>
    </w:rPr>
  </w:style>
  <w:style w:type="paragraph" w:styleId="CommentSubject">
    <w:name w:val="annotation subject"/>
    <w:basedOn w:val="CommentText"/>
    <w:next w:val="CommentText"/>
    <w:link w:val="CommentSubjectChar"/>
    <w:semiHidden/>
    <w:unhideWhenUsed/>
    <w:rsid w:val="000728DF"/>
    <w:rPr>
      <w:b/>
      <w:bCs/>
      <w:sz w:val="20"/>
    </w:rPr>
  </w:style>
  <w:style w:type="character" w:customStyle="1" w:styleId="CommentTextChar">
    <w:name w:val="Comment Text Char"/>
    <w:basedOn w:val="DefaultParagraphFont"/>
    <w:link w:val="CommentText"/>
    <w:semiHidden/>
    <w:rsid w:val="000728D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728DF"/>
    <w:rPr>
      <w:rFonts w:ascii="Arial" w:eastAsia="SimSun" w:hAnsi="Arial" w:cs="Arial"/>
      <w:b/>
      <w:bCs/>
      <w:sz w:val="18"/>
      <w:lang w:val="en-US" w:eastAsia="zh-CN"/>
    </w:rPr>
  </w:style>
  <w:style w:type="character" w:customStyle="1" w:styleId="FootnoteTextChar">
    <w:name w:val="Footnote Text Char"/>
    <w:basedOn w:val="DefaultParagraphFont"/>
    <w:link w:val="FootnoteText"/>
    <w:uiPriority w:val="99"/>
    <w:semiHidden/>
    <w:rsid w:val="001F0EEA"/>
    <w:rPr>
      <w:rFonts w:ascii="Arial" w:eastAsia="SimSun" w:hAnsi="Arial" w:cs="Arial"/>
      <w:sz w:val="18"/>
      <w:lang w:val="en-US" w:eastAsia="zh-CN"/>
    </w:rPr>
  </w:style>
  <w:style w:type="character" w:styleId="FootnoteReference">
    <w:name w:val="footnote reference"/>
    <w:uiPriority w:val="99"/>
    <w:rsid w:val="001F0E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1279</Words>
  <Characters>7234</Characters>
  <Application>Microsoft Office Word</Application>
  <DocSecurity>0</DocSecurity>
  <Lines>160</Lines>
  <Paragraphs>68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JIAO Fei</dc:creator>
  <cp:keywords>FOR OFFICIAL USE ONLY</cp:keywords>
  <cp:lastModifiedBy>CEVALLOS DUQUE Nilo</cp:lastModifiedBy>
  <cp:revision>3</cp:revision>
  <cp:lastPrinted>2018-06-15T12:07:00Z</cp:lastPrinted>
  <dcterms:created xsi:type="dcterms:W3CDTF">2022-05-25T09:30:00Z</dcterms:created>
  <dcterms:modified xsi:type="dcterms:W3CDTF">2022-05-25T09:32:00Z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c4b226d6-0497-466d-bd74-c025acdc5f21</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