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6F205" w14:textId="77777777" w:rsidR="008B2CC1" w:rsidRPr="008B2CC1" w:rsidRDefault="00472A6E" w:rsidP="00377600">
      <w:pPr>
        <w:pBdr>
          <w:bottom w:val="single" w:sz="4" w:space="10" w:color="auto"/>
        </w:pBdr>
        <w:spacing w:after="120"/>
        <w:ind w:right="-57"/>
        <w:jc w:val="right"/>
      </w:pPr>
      <w:r>
        <w:rPr>
          <w:noProof/>
          <w:lang w:val="en-US" w:eastAsia="en-US"/>
        </w:rPr>
        <w:drawing>
          <wp:inline distT="0" distB="0" distL="0" distR="0" wp14:anchorId="6F66860A" wp14:editId="4B311901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F6D2D" w14:textId="6D1E12D5" w:rsidR="00472A6E" w:rsidRDefault="00377600" w:rsidP="00472A6E">
      <w:pP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WIPO/GRTKF/IC/</w:t>
      </w:r>
      <w:r w:rsidR="0023254E">
        <w:rPr>
          <w:rFonts w:ascii="Arial Black" w:hAnsi="Arial Black"/>
          <w:caps/>
          <w:sz w:val="15"/>
        </w:rPr>
        <w:t>52</w:t>
      </w:r>
      <w:r>
        <w:rPr>
          <w:rFonts w:ascii="Arial Black" w:hAnsi="Arial Black"/>
          <w:caps/>
          <w:sz w:val="15"/>
        </w:rPr>
        <w:t>/</w:t>
      </w:r>
      <w:bookmarkStart w:id="0" w:name="Code"/>
      <w:bookmarkEnd w:id="0"/>
      <w:r w:rsidR="003B4FC3">
        <w:rPr>
          <w:rFonts w:ascii="Arial Black" w:hAnsi="Arial Black"/>
          <w:caps/>
          <w:sz w:val="15"/>
        </w:rPr>
        <w:t>INF/8</w:t>
      </w:r>
    </w:p>
    <w:p w14:paraId="516C3C80" w14:textId="35C56420" w:rsidR="008B2CC1" w:rsidRPr="008B2CC1" w:rsidRDefault="00472A6E" w:rsidP="00472A6E">
      <w:pPr>
        <w:jc w:val="right"/>
      </w:pPr>
      <w:r w:rsidRPr="0090731E">
        <w:rPr>
          <w:rFonts w:ascii="Arial Black" w:hAnsi="Arial Black"/>
          <w:caps/>
          <w:sz w:val="15"/>
        </w:rPr>
        <w:t>ORIGINAL:</w:t>
      </w:r>
      <w:r>
        <w:rPr>
          <w:rFonts w:ascii="Arial Black" w:hAnsi="Arial Black"/>
          <w:caps/>
          <w:sz w:val="15"/>
        </w:rPr>
        <w:t xml:space="preserve"> </w:t>
      </w:r>
      <w:bookmarkStart w:id="1" w:name="Original"/>
      <w:r w:rsidR="003B4FC3">
        <w:rPr>
          <w:rFonts w:ascii="Arial Black" w:hAnsi="Arial Black"/>
          <w:caps/>
          <w:sz w:val="15"/>
        </w:rPr>
        <w:t>INGLÉS</w:t>
      </w:r>
    </w:p>
    <w:bookmarkEnd w:id="1"/>
    <w:p w14:paraId="4059DCBB" w14:textId="7AD9F387" w:rsidR="008B2CC1" w:rsidRPr="008B2CC1" w:rsidRDefault="00472A6E" w:rsidP="00472A6E">
      <w:pPr>
        <w:spacing w:after="1200"/>
        <w:jc w:val="right"/>
      </w:pPr>
      <w:r>
        <w:rPr>
          <w:rFonts w:ascii="Arial Black" w:hAnsi="Arial Black"/>
          <w:caps/>
          <w:sz w:val="15"/>
        </w:rPr>
        <w:t>fecha</w:t>
      </w:r>
      <w:r w:rsidRPr="0090731E">
        <w:rPr>
          <w:rFonts w:ascii="Arial Black" w:hAnsi="Arial Black"/>
          <w:caps/>
          <w:sz w:val="15"/>
        </w:rPr>
        <w:t>:</w:t>
      </w:r>
      <w:r>
        <w:rPr>
          <w:rFonts w:ascii="Arial Black" w:hAnsi="Arial Black"/>
          <w:caps/>
          <w:sz w:val="15"/>
        </w:rPr>
        <w:t xml:space="preserve"> </w:t>
      </w:r>
      <w:bookmarkStart w:id="2" w:name="Date"/>
      <w:r w:rsidR="003B4FC3">
        <w:rPr>
          <w:rFonts w:ascii="Arial Black" w:hAnsi="Arial Black"/>
          <w:caps/>
          <w:sz w:val="15"/>
        </w:rPr>
        <w:t>8 DE ENERO DE 2026</w:t>
      </w:r>
    </w:p>
    <w:bookmarkEnd w:id="2"/>
    <w:p w14:paraId="5275D0CB" w14:textId="77777777" w:rsidR="00377600" w:rsidRDefault="00377600" w:rsidP="00377600">
      <w:pPr>
        <w:spacing w:after="480"/>
        <w:outlineLvl w:val="1"/>
        <w:rPr>
          <w:b/>
          <w:sz w:val="24"/>
          <w:szCs w:val="24"/>
        </w:rPr>
      </w:pPr>
      <w:r w:rsidRPr="006D1448">
        <w:rPr>
          <w:b/>
          <w:sz w:val="28"/>
          <w:szCs w:val="28"/>
        </w:rPr>
        <w:t>Comité Intergubernamental sobre Propiedad Intelectual y Recursos Genéticos, Conocimientos Tradicionales y Folclore</w:t>
      </w:r>
    </w:p>
    <w:p w14:paraId="0CD7D3F1" w14:textId="77777777" w:rsidR="00F03BDD" w:rsidRPr="00B67CDC" w:rsidRDefault="00377600" w:rsidP="00F03BDD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Quincuagésima </w:t>
      </w:r>
      <w:r w:rsidR="00AE6089">
        <w:rPr>
          <w:b/>
          <w:sz w:val="24"/>
          <w:szCs w:val="24"/>
        </w:rPr>
        <w:t>segunda</w:t>
      </w:r>
      <w:r>
        <w:rPr>
          <w:b/>
          <w:sz w:val="24"/>
          <w:szCs w:val="24"/>
        </w:rPr>
        <w:t xml:space="preserve"> s</w:t>
      </w:r>
      <w:r w:rsidRPr="00B67CDC">
        <w:rPr>
          <w:b/>
          <w:sz w:val="24"/>
          <w:szCs w:val="24"/>
        </w:rPr>
        <w:t>esión</w:t>
      </w:r>
      <w:r w:rsidR="00F03BDD">
        <w:rPr>
          <w:b/>
          <w:sz w:val="24"/>
          <w:szCs w:val="24"/>
        </w:rPr>
        <w:br/>
        <w:t xml:space="preserve">Ginebra, </w:t>
      </w:r>
      <w:r w:rsidR="00AE6089">
        <w:rPr>
          <w:b/>
          <w:sz w:val="24"/>
          <w:szCs w:val="24"/>
        </w:rPr>
        <w:t>4</w:t>
      </w:r>
      <w:r w:rsidR="00F03BDD">
        <w:rPr>
          <w:b/>
          <w:sz w:val="24"/>
          <w:szCs w:val="24"/>
        </w:rPr>
        <w:t xml:space="preserve"> a </w:t>
      </w:r>
      <w:r w:rsidR="00AE6089">
        <w:rPr>
          <w:b/>
          <w:sz w:val="24"/>
          <w:szCs w:val="24"/>
        </w:rPr>
        <w:t>13</w:t>
      </w:r>
      <w:r w:rsidR="00F03BDD">
        <w:rPr>
          <w:b/>
          <w:sz w:val="24"/>
          <w:szCs w:val="24"/>
        </w:rPr>
        <w:t xml:space="preserve"> de </w:t>
      </w:r>
      <w:r w:rsidR="00AE6089">
        <w:rPr>
          <w:b/>
          <w:sz w:val="24"/>
          <w:szCs w:val="24"/>
        </w:rPr>
        <w:t>marzo</w:t>
      </w:r>
      <w:r w:rsidR="00F03BDD">
        <w:rPr>
          <w:b/>
          <w:sz w:val="24"/>
          <w:szCs w:val="24"/>
        </w:rPr>
        <w:t xml:space="preserve"> de 202</w:t>
      </w:r>
      <w:r w:rsidR="00AE6089">
        <w:rPr>
          <w:b/>
          <w:sz w:val="24"/>
          <w:szCs w:val="24"/>
        </w:rPr>
        <w:t>6</w:t>
      </w:r>
    </w:p>
    <w:p w14:paraId="4EEA7002" w14:textId="34AB0DF5" w:rsidR="008B2CC1" w:rsidRPr="003845C1" w:rsidRDefault="003B4FC3" w:rsidP="00472A6E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RECURSOS DISPONIBLES EN EL SITIO WEB DE LA OMPI SOBRE CONOCIMIENTOS TRADICIONALES, EXPRESIONES CULTURALES TRADICIONALES Y RECURSOS GENÉTICOS</w:t>
      </w:r>
    </w:p>
    <w:p w14:paraId="12D7E40E" w14:textId="2AA5ABB8" w:rsidR="008B2CC1" w:rsidRPr="008B2CC1" w:rsidRDefault="003B4FC3" w:rsidP="00472A6E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Documento preparado por la Secretaría</w:t>
      </w:r>
    </w:p>
    <w:p w14:paraId="37F26726" w14:textId="64FCED26" w:rsidR="003B4FC3" w:rsidRPr="00B80B91" w:rsidRDefault="003B4FC3" w:rsidP="003B4FC3">
      <w:pPr>
        <w:pStyle w:val="ListParagraph"/>
        <w:numPr>
          <w:ilvl w:val="0"/>
          <w:numId w:val="8"/>
        </w:numPr>
        <w:ind w:left="0" w:firstLine="0"/>
        <w:contextualSpacing w:val="0"/>
        <w:rPr>
          <w:szCs w:val="22"/>
        </w:rPr>
      </w:pPr>
      <w:r>
        <w:t>En su vigésima sesión, celebrada del 14 al 22 de febrero de 2012, el Comité Intergubernamental sobre Propiedad Intelectual y Recursos Genéticos, Conocimientos Tradicionales y Folclore (CIG) invitó a la Secretaría a elaborar un documento informativo en el que se describieran brevemente los recursos disponibles en el sitio web de la OMPI sobre conocimientos tradicionales (CC. TT.), expresiones culturales tradicionales y recursos genéticos.</w:t>
      </w:r>
      <w:r w:rsidRPr="00B80B91">
        <w:rPr>
          <w:rStyle w:val="FootnoteReference"/>
          <w:szCs w:val="22"/>
        </w:rPr>
        <w:footnoteReference w:id="2"/>
      </w:r>
    </w:p>
    <w:p w14:paraId="696BF0A6" w14:textId="77777777" w:rsidR="003B4FC3" w:rsidRPr="00B80B91" w:rsidRDefault="003B4FC3" w:rsidP="003B4FC3">
      <w:pPr>
        <w:contextualSpacing/>
        <w:rPr>
          <w:szCs w:val="22"/>
          <w:lang w:eastAsia="en-US"/>
        </w:rPr>
      </w:pPr>
    </w:p>
    <w:p w14:paraId="6CFBF3F5" w14:textId="660A31D4" w:rsidR="003B4FC3" w:rsidRPr="00B80B91" w:rsidRDefault="003B4FC3" w:rsidP="003B4FC3">
      <w:pPr>
        <w:pStyle w:val="ListParagraph"/>
        <w:numPr>
          <w:ilvl w:val="0"/>
          <w:numId w:val="8"/>
        </w:numPr>
        <w:ind w:left="0" w:firstLine="0"/>
        <w:rPr>
          <w:szCs w:val="22"/>
        </w:rPr>
      </w:pPr>
      <w:r>
        <w:t>De conformidad con esta decisión, se elaboró una descripción detallada de los recursos disponibles en el sitio web de la OMPI sobre CC. TT. (https://www.wipo.int/es/web/igc) para todas las sesiones posteriores del CIG</w:t>
      </w:r>
      <w:r w:rsidR="007911C5">
        <w:t xml:space="preserve">. </w:t>
      </w:r>
      <w:r>
        <w:t>La última versión de esa descripción se incluyó en el documento OMPI/GRTKF/IC/42/INF/10</w:t>
      </w:r>
      <w:r w:rsidR="007911C5">
        <w:t xml:space="preserve">. </w:t>
      </w:r>
    </w:p>
    <w:p w14:paraId="18CAEE2D" w14:textId="77777777" w:rsidR="003B4FC3" w:rsidRPr="00B80B91" w:rsidRDefault="003B4FC3" w:rsidP="003B4FC3">
      <w:pPr>
        <w:contextualSpacing/>
        <w:rPr>
          <w:szCs w:val="22"/>
          <w:lang w:eastAsia="en-US"/>
        </w:rPr>
      </w:pPr>
    </w:p>
    <w:p w14:paraId="4E3AEB71" w14:textId="77777777" w:rsidR="003B4FC3" w:rsidRPr="003B4FC3" w:rsidRDefault="003B4FC3" w:rsidP="003B4FC3">
      <w:pPr>
        <w:pStyle w:val="ListParagraph"/>
        <w:numPr>
          <w:ilvl w:val="0"/>
          <w:numId w:val="8"/>
        </w:numPr>
        <w:ind w:left="0" w:firstLine="0"/>
        <w:rPr>
          <w:szCs w:val="22"/>
        </w:rPr>
      </w:pPr>
      <w:r>
        <w:t xml:space="preserve">Como se indica en el documento OMPI/GRTKF/IC/30/INF/8, preparado para la trigésima sesión del CIG, este documento de información solo se publicaría una vez al año o cuando se introdujeran modificaciones significativas en el sitio web. </w:t>
      </w:r>
    </w:p>
    <w:p w14:paraId="4567354D" w14:textId="77777777" w:rsidR="003B4FC3" w:rsidRDefault="003B4FC3" w:rsidP="003B4FC3">
      <w:pPr>
        <w:contextualSpacing/>
      </w:pPr>
    </w:p>
    <w:p w14:paraId="16E7F923" w14:textId="35D1D73C" w:rsidR="003B4FC3" w:rsidRPr="003B4FC3" w:rsidRDefault="003B4FC3" w:rsidP="003B4FC3">
      <w:pPr>
        <w:pStyle w:val="ListParagraph"/>
        <w:keepNext/>
        <w:keepLines/>
        <w:numPr>
          <w:ilvl w:val="0"/>
          <w:numId w:val="8"/>
        </w:numPr>
        <w:ind w:left="0" w:firstLine="0"/>
        <w:rPr>
          <w:szCs w:val="22"/>
        </w:rPr>
      </w:pPr>
      <w:r>
        <w:lastRenderedPageBreak/>
        <w:t xml:space="preserve">En el Anexo del presente documento se ofrece una lista concisa de las principales entradas del sitio web de la OMPI sobre CC. TT. y una actualización de los recursos disponibles en el sitio web desde enero de 2022, cuando se elaboró por última vez esa documentación informativa. </w:t>
      </w:r>
    </w:p>
    <w:p w14:paraId="22232177" w14:textId="77777777" w:rsidR="003B4FC3" w:rsidRPr="00B80B91" w:rsidRDefault="003B4FC3" w:rsidP="003B4FC3">
      <w:pPr>
        <w:pStyle w:val="DecisionInvitingPara"/>
        <w:keepNext/>
        <w:keepLines/>
        <w:numPr>
          <w:ilvl w:val="0"/>
          <w:numId w:val="8"/>
        </w:numPr>
        <w:tabs>
          <w:tab w:val="left" w:pos="6096"/>
        </w:tabs>
        <w:spacing w:before="240" w:after="0" w:line="240" w:lineRule="auto"/>
        <w:ind w:left="5500" w:firstLine="0"/>
        <w:contextualSpacing w:val="0"/>
        <w:rPr>
          <w:rFonts w:cs="Arial"/>
          <w:sz w:val="22"/>
          <w:szCs w:val="22"/>
        </w:rPr>
      </w:pPr>
      <w:r>
        <w:rPr>
          <w:sz w:val="22"/>
        </w:rPr>
        <w:t>Se invita al CIG a tomar nota del presente documento y de su Anexo.</w:t>
      </w:r>
    </w:p>
    <w:p w14:paraId="5A83955D" w14:textId="77777777" w:rsidR="003B4FC3" w:rsidRPr="003B4FC3" w:rsidRDefault="003B4FC3" w:rsidP="003B4FC3">
      <w:pPr>
        <w:pStyle w:val="Endofdocument-Annex"/>
        <w:spacing w:before="720"/>
        <w:rPr>
          <w:szCs w:val="22"/>
          <w:lang w:val="es-ES"/>
        </w:rPr>
      </w:pPr>
      <w:r w:rsidRPr="003B4FC3">
        <w:rPr>
          <w:lang w:val="es-ES"/>
        </w:rPr>
        <w:t>[Sigue el Anexo]</w:t>
      </w:r>
    </w:p>
    <w:p w14:paraId="0505EFF3" w14:textId="77777777" w:rsidR="003B4FC3" w:rsidRPr="00B80B91" w:rsidRDefault="003B4FC3" w:rsidP="003B4FC3">
      <w:pPr>
        <w:pStyle w:val="Endofdocument"/>
        <w:spacing w:after="0"/>
        <w:ind w:left="0"/>
        <w:sectPr w:rsidR="003B4FC3" w:rsidRPr="00B80B91" w:rsidSect="003B4FC3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14:paraId="689942BC" w14:textId="77777777" w:rsidR="003B4FC3" w:rsidRPr="00B80B91" w:rsidRDefault="003B4FC3" w:rsidP="003B4FC3">
      <w:pPr>
        <w:spacing w:line="260" w:lineRule="atLeast"/>
        <w:rPr>
          <w:szCs w:val="22"/>
        </w:rPr>
      </w:pPr>
      <w:r>
        <w:rPr>
          <w:caps/>
          <w:sz w:val="24"/>
        </w:rPr>
        <w:lastRenderedPageBreak/>
        <w:t xml:space="preserve">RECURSOS DISPONIBLES EN EL SITIO WEB DE LA OMPI SOBRE CONOCIMIENTOS TRADICIONALES, EXPRESIONES CULTURALES TRADICIONALES Y RECURSOS GENÉTICOS </w:t>
      </w:r>
    </w:p>
    <w:p w14:paraId="5AA20F1F" w14:textId="77777777" w:rsidR="003B4FC3" w:rsidRPr="00B80B91" w:rsidRDefault="003B4FC3" w:rsidP="003B4FC3">
      <w:pPr>
        <w:rPr>
          <w:szCs w:val="22"/>
        </w:rPr>
      </w:pPr>
    </w:p>
    <w:p w14:paraId="162AF686" w14:textId="77777777" w:rsidR="003B4FC3" w:rsidRPr="00B80B91" w:rsidRDefault="003B4FC3" w:rsidP="003B4FC3">
      <w:pPr>
        <w:rPr>
          <w:szCs w:val="22"/>
        </w:rPr>
      </w:pPr>
    </w:p>
    <w:p w14:paraId="0940397E" w14:textId="4EF00C1D" w:rsidR="003B4FC3" w:rsidRPr="00753DC6" w:rsidRDefault="003B4FC3" w:rsidP="003B4FC3">
      <w:pPr>
        <w:pStyle w:val="ListParagraph"/>
        <w:numPr>
          <w:ilvl w:val="0"/>
          <w:numId w:val="9"/>
        </w:numPr>
        <w:ind w:left="0" w:firstLine="0"/>
        <w:contextualSpacing w:val="0"/>
        <w:rPr>
          <w:szCs w:val="22"/>
        </w:rPr>
      </w:pPr>
      <w:r>
        <w:t>En el presente Anexo figura una lista de las principales entradas del sitio web de la OMPI sobre CC. TT. (https://www.wipo.int/es/web/traditional-knowledge) y una actualización de los nuevos recursos desde enero de 2022</w:t>
      </w:r>
      <w:r w:rsidR="007911C5">
        <w:t xml:space="preserve">. </w:t>
      </w:r>
    </w:p>
    <w:p w14:paraId="7FEA3CD5" w14:textId="77777777" w:rsidR="003B4FC3" w:rsidRPr="00753DC6" w:rsidRDefault="003B4FC3" w:rsidP="003B4FC3">
      <w:pPr>
        <w:rPr>
          <w:szCs w:val="22"/>
        </w:rPr>
      </w:pPr>
    </w:p>
    <w:p w14:paraId="582CC212" w14:textId="28AB018D" w:rsidR="003B4FC3" w:rsidRPr="00753DC6" w:rsidRDefault="003B4FC3" w:rsidP="003B4FC3">
      <w:pPr>
        <w:pStyle w:val="ListParagraph"/>
        <w:numPr>
          <w:ilvl w:val="0"/>
          <w:numId w:val="9"/>
        </w:numPr>
        <w:ind w:left="0" w:firstLine="0"/>
        <w:contextualSpacing w:val="0"/>
        <w:rPr>
          <w:szCs w:val="22"/>
        </w:rPr>
      </w:pPr>
      <w:r>
        <w:t>El sitio web de la OMPI sobre CC. TT. se ha rediseñado para reflejar mejor los servicios que presta la División de Conocimientos Tradicionales</w:t>
      </w:r>
      <w:r w:rsidR="007911C5">
        <w:t xml:space="preserve">. </w:t>
      </w:r>
      <w:r>
        <w:t>Actualmente, el sitio web cuenta con ocho entradas principales:</w:t>
      </w:r>
    </w:p>
    <w:p w14:paraId="481E0EC5" w14:textId="77777777" w:rsidR="003B4FC3" w:rsidRPr="00753DC6" w:rsidRDefault="003B4FC3" w:rsidP="003B4FC3">
      <w:pPr>
        <w:rPr>
          <w:szCs w:val="22"/>
        </w:rPr>
      </w:pPr>
    </w:p>
    <w:p w14:paraId="44297A6D" w14:textId="69A5AE50" w:rsidR="003B4FC3" w:rsidRPr="00753DC6" w:rsidRDefault="003B4FC3" w:rsidP="003B4FC3">
      <w:pPr>
        <w:numPr>
          <w:ilvl w:val="0"/>
          <w:numId w:val="7"/>
        </w:numPr>
        <w:rPr>
          <w:szCs w:val="22"/>
        </w:rPr>
      </w:pPr>
      <w:r>
        <w:t>Facilitación de negociaciones internacionales</w:t>
      </w:r>
      <w:r w:rsidR="007911C5">
        <w:t xml:space="preserve">: </w:t>
      </w:r>
      <w:hyperlink r:id="rId10" w:history="1">
        <w:r>
          <w:rPr>
            <w:rStyle w:val="Hyperlink"/>
          </w:rPr>
          <w:t>https://www.wipo.int/es/web/igc</w:t>
        </w:r>
      </w:hyperlink>
      <w:r w:rsidR="007911C5">
        <w:t xml:space="preserve">. </w:t>
      </w:r>
      <w:r>
        <w:t>Esta página web constituye la puerta de acceso más importante a información detallada para los participantes del CIG.</w:t>
      </w:r>
    </w:p>
    <w:p w14:paraId="064A7FCB" w14:textId="77777777" w:rsidR="003B4FC3" w:rsidRPr="00753DC6" w:rsidRDefault="003B4FC3" w:rsidP="003B4FC3">
      <w:pPr>
        <w:ind w:left="720"/>
        <w:rPr>
          <w:szCs w:val="22"/>
        </w:rPr>
      </w:pPr>
    </w:p>
    <w:p w14:paraId="73153A34" w14:textId="3DBABB18" w:rsidR="003B4FC3" w:rsidRPr="00753DC6" w:rsidRDefault="003B4FC3" w:rsidP="003B4FC3">
      <w:pPr>
        <w:numPr>
          <w:ilvl w:val="0"/>
          <w:numId w:val="7"/>
        </w:numPr>
        <w:rPr>
          <w:szCs w:val="22"/>
        </w:rPr>
      </w:pPr>
      <w:r>
        <w:t>Centro de Recursos de la OMPI sobre el Tratado GRATK</w:t>
      </w:r>
      <w:r w:rsidR="007911C5">
        <w:t xml:space="preserve">: </w:t>
      </w:r>
      <w:hyperlink r:id="rId11" w:history="1">
        <w:r>
          <w:rPr>
            <w:rStyle w:val="Hyperlink"/>
          </w:rPr>
          <w:t>https://www.wipo.int/es/web/traditional-knowledge/wipo-treaty-on-ip-gr-and-associated-tk</w:t>
        </w:r>
      </w:hyperlink>
      <w:r w:rsidR="007911C5">
        <w:t xml:space="preserve">. </w:t>
      </w:r>
      <w:r>
        <w:t xml:space="preserve">Esta página web sirve de centro de recursos para el Tratado de la OMPI sobre la Propiedad Intelectual, los Recursos Genéticos y los Conocimientos Tradicionales Asociados, y ofrece información sobre el histórico tratado, así como acceso a materiales de referencia, al texto del tratado y a documentos relacionados con las negociaciones y los objetivos del tratado, incluida su relevancia para los pueblos indígenas y las comunidades locales. </w:t>
      </w:r>
    </w:p>
    <w:p w14:paraId="1066C438" w14:textId="77777777" w:rsidR="003B4FC3" w:rsidRPr="00753DC6" w:rsidRDefault="003B4FC3" w:rsidP="003B4FC3">
      <w:pPr>
        <w:rPr>
          <w:szCs w:val="22"/>
        </w:rPr>
      </w:pPr>
    </w:p>
    <w:p w14:paraId="51825E67" w14:textId="38017026" w:rsidR="003B4FC3" w:rsidRPr="00753DC6" w:rsidRDefault="003B4FC3" w:rsidP="003B4FC3">
      <w:pPr>
        <w:numPr>
          <w:ilvl w:val="0"/>
          <w:numId w:val="7"/>
        </w:numPr>
        <w:rPr>
          <w:szCs w:val="22"/>
        </w:rPr>
      </w:pPr>
      <w:r>
        <w:t xml:space="preserve">Implicación con los pueblos indígenas y las comunidades locales: </w:t>
      </w:r>
      <w:hyperlink r:id="rId12" w:history="1">
        <w:r>
          <w:rPr>
            <w:rStyle w:val="Hyperlink"/>
          </w:rPr>
          <w:t>https://www.wipo.int/es/web/traditional-knowledge/engagement</w:t>
        </w:r>
      </w:hyperlink>
      <w:r w:rsidR="007911C5">
        <w:t xml:space="preserve">. </w:t>
      </w:r>
      <w:r>
        <w:t>Esta es una de las medidas que la Secretaría de la OMPI está llevando a cabo para mejorar el acceso a la información disponible para los pueblos indígenas y las comunidades locales relacionada específicamente con ellos</w:t>
      </w:r>
      <w:r w:rsidR="007911C5">
        <w:t xml:space="preserve">. </w:t>
      </w:r>
      <w:r>
        <w:t>Ofrece enlaces a talleres prácticos, recursos pertinentes de la OMPI, información sobre la acreditación y la participación en el proceso del CIG, y acceso a enlaces externos de interés para los pueblos indígenas y las comunidades locales.</w:t>
      </w:r>
    </w:p>
    <w:p w14:paraId="116C68E4" w14:textId="77777777" w:rsidR="003B4FC3" w:rsidRPr="00753DC6" w:rsidRDefault="003B4FC3" w:rsidP="003B4FC3">
      <w:pPr>
        <w:rPr>
          <w:szCs w:val="22"/>
        </w:rPr>
      </w:pPr>
    </w:p>
    <w:p w14:paraId="0700B3A5" w14:textId="4B888CC6" w:rsidR="003B4FC3" w:rsidRPr="00B80B91" w:rsidRDefault="003B4FC3" w:rsidP="003B4FC3">
      <w:pPr>
        <w:numPr>
          <w:ilvl w:val="0"/>
          <w:numId w:val="7"/>
        </w:numPr>
        <w:rPr>
          <w:szCs w:val="22"/>
        </w:rPr>
      </w:pPr>
      <w:r>
        <w:t xml:space="preserve">Iniciativa empresarial de las comunidades indígenas y locales: </w:t>
      </w:r>
      <w:hyperlink r:id="rId13" w:history="1">
        <w:r>
          <w:rPr>
            <w:rStyle w:val="Hyperlink"/>
          </w:rPr>
          <w:t>https://www.wipo.int/es/web/traditional-knowledge/entrepreneurship/index</w:t>
        </w:r>
      </w:hyperlink>
      <w:r w:rsidR="007911C5">
        <w:t xml:space="preserve">. </w:t>
      </w:r>
      <w:r>
        <w:t>Esta página web incluye información sobre los talleres prácticos y los recursos pertinentes de la OMPI, diseñados para proporcionar asistencia a los pueblos indígenas y a las comunidades locales en el uso estratégico y eficaz de las herramientas de PI en sus negocios.</w:t>
      </w:r>
    </w:p>
    <w:p w14:paraId="40F878FD" w14:textId="77777777" w:rsidR="003B4FC3" w:rsidRPr="00B80B91" w:rsidRDefault="003B4FC3" w:rsidP="003B4FC3">
      <w:pPr>
        <w:rPr>
          <w:szCs w:val="22"/>
        </w:rPr>
      </w:pPr>
    </w:p>
    <w:p w14:paraId="174656A8" w14:textId="5DC3D384" w:rsidR="003B4FC3" w:rsidRPr="00B80B91" w:rsidRDefault="003B4FC3" w:rsidP="003B4FC3">
      <w:pPr>
        <w:numPr>
          <w:ilvl w:val="0"/>
          <w:numId w:val="7"/>
        </w:numPr>
        <w:rPr>
          <w:szCs w:val="22"/>
        </w:rPr>
      </w:pPr>
      <w:r>
        <w:t>Documentación sobre conocimientos tradicionales y expresiones culturales tradicionales</w:t>
      </w:r>
      <w:r w:rsidR="007911C5">
        <w:t xml:space="preserve">: </w:t>
      </w:r>
      <w:hyperlink r:id="rId14" w:history="1">
        <w:r>
          <w:rPr>
            <w:rStyle w:val="Hyperlink"/>
          </w:rPr>
          <w:t>https://www.wipo.int/es/web/traditional-knowledge/resources/tk-and-tces</w:t>
        </w:r>
      </w:hyperlink>
      <w:r w:rsidR="007911C5">
        <w:t xml:space="preserve">. </w:t>
      </w:r>
      <w:r>
        <w:t>Esta página web incluye información, herramientas prácticas y servicios de asistencia técnica proporcionados por la División de Conocimientos Tradicionales de la OMPI en relación con la documentación de los conocimientos tradicionales y las expresiones culturales tradicionales.</w:t>
      </w:r>
    </w:p>
    <w:p w14:paraId="00772F38" w14:textId="77777777" w:rsidR="003B4FC3" w:rsidRPr="00B80B91" w:rsidRDefault="003B4FC3" w:rsidP="003B4FC3">
      <w:pPr>
        <w:rPr>
          <w:szCs w:val="22"/>
        </w:rPr>
      </w:pPr>
    </w:p>
    <w:p w14:paraId="775B360E" w14:textId="711C4FBF" w:rsidR="003B4FC3" w:rsidRPr="0096726C" w:rsidRDefault="003B4FC3" w:rsidP="003B4FC3">
      <w:pPr>
        <w:numPr>
          <w:ilvl w:val="0"/>
          <w:numId w:val="7"/>
        </w:numPr>
        <w:rPr>
          <w:szCs w:val="22"/>
        </w:rPr>
      </w:pPr>
      <w:r>
        <w:t>Gestión de los derechos de PI sobre recursos y datos genéticos</w:t>
      </w:r>
      <w:r w:rsidR="007911C5">
        <w:t xml:space="preserve">: </w:t>
      </w:r>
      <w:hyperlink r:id="rId15" w:history="1">
        <w:r>
          <w:rPr>
            <w:rStyle w:val="Hyperlink"/>
          </w:rPr>
          <w:t>https://www.wipo.int/es/web/traditional-knowledge/ip-rights-management</w:t>
        </w:r>
      </w:hyperlink>
      <w:r w:rsidR="007911C5">
        <w:t xml:space="preserve">. </w:t>
      </w:r>
      <w:r>
        <w:t xml:space="preserve">Esta página web incluye una descripción concisa de los servicios de asistencia técnica prestados por la División de Conocimientos Tradicionales de la OMPI en relación con la gestión </w:t>
      </w:r>
      <w:r>
        <w:lastRenderedPageBreak/>
        <w:t>de la propiedad intelectual de los recursos genéticos, la información y los datos</w:t>
      </w:r>
      <w:r w:rsidR="007911C5">
        <w:t xml:space="preserve">. </w:t>
      </w:r>
      <w:r>
        <w:t>Esta página web también incluye enlaces a recursos pertinentes.</w:t>
      </w:r>
    </w:p>
    <w:p w14:paraId="0135B891" w14:textId="77777777" w:rsidR="003B4FC3" w:rsidRDefault="003B4FC3" w:rsidP="003B4FC3">
      <w:pPr>
        <w:pStyle w:val="ListParagraph"/>
        <w:rPr>
          <w:szCs w:val="22"/>
        </w:rPr>
      </w:pPr>
    </w:p>
    <w:p w14:paraId="04F64CE6" w14:textId="4A0243B6" w:rsidR="003B4FC3" w:rsidRPr="00B80B91" w:rsidRDefault="003B4FC3" w:rsidP="003B4FC3">
      <w:pPr>
        <w:numPr>
          <w:ilvl w:val="0"/>
          <w:numId w:val="7"/>
        </w:numPr>
        <w:rPr>
          <w:szCs w:val="22"/>
        </w:rPr>
      </w:pPr>
      <w:r>
        <w:t xml:space="preserve">Historias sobre los pueblos indígenas y las comunidades locales: </w:t>
      </w:r>
      <w:hyperlink r:id="rId16" w:history="1">
        <w:r>
          <w:rPr>
            <w:rStyle w:val="Hyperlink"/>
          </w:rPr>
          <w:t>https://www.wipo.int/es/web/ip-advantage/indigenous-peoples-stories</w:t>
        </w:r>
      </w:hyperlink>
      <w:r w:rsidR="007911C5">
        <w:t xml:space="preserve">. </w:t>
      </w:r>
      <w:r>
        <w:t xml:space="preserve">Esta página web incluye historias de pueblos indígenas y comunidades locales que muestran las formas en que promueven y protegen sus conocimientos y expresiones culturales tradicionales, así como sus recursos genéticos. </w:t>
      </w:r>
    </w:p>
    <w:p w14:paraId="77F0CC33" w14:textId="77777777" w:rsidR="003B4FC3" w:rsidRPr="00B80B91" w:rsidRDefault="003B4FC3" w:rsidP="003B4FC3">
      <w:pPr>
        <w:rPr>
          <w:szCs w:val="22"/>
        </w:rPr>
      </w:pPr>
    </w:p>
    <w:p w14:paraId="6BD6B226" w14:textId="34B2E31D" w:rsidR="003B4FC3" w:rsidRPr="00B80B91" w:rsidRDefault="003B4FC3" w:rsidP="003B4FC3">
      <w:pPr>
        <w:numPr>
          <w:ilvl w:val="0"/>
          <w:numId w:val="7"/>
        </w:numPr>
        <w:rPr>
          <w:szCs w:val="22"/>
        </w:rPr>
      </w:pPr>
      <w:r>
        <w:t>Punto de referencia mundial sobre propiedad intelectual y recursos genéticos, conocimientos tradicionales y expresiones culturales tradicionales</w:t>
      </w:r>
      <w:r w:rsidR="007911C5">
        <w:t xml:space="preserve">: </w:t>
      </w:r>
      <w:hyperlink r:id="rId17" w:history="1">
        <w:r>
          <w:rPr>
            <w:rStyle w:val="Hyperlink"/>
          </w:rPr>
          <w:t>https://www.wipo.int/es/web/traditional-knowledge/global-reference</w:t>
        </w:r>
      </w:hyperlink>
      <w:r w:rsidR="007911C5">
        <w:t xml:space="preserve">. </w:t>
      </w:r>
      <w:r>
        <w:t>Esta página web incluye diversos recursos de información sobre propiedad intelectual y recursos genéticos, conocimientos tradicionales y expresiones culturales tradicionales</w:t>
      </w:r>
      <w:r w:rsidR="007911C5">
        <w:t xml:space="preserve">. </w:t>
      </w:r>
    </w:p>
    <w:p w14:paraId="267D52DE" w14:textId="77777777" w:rsidR="003B4FC3" w:rsidRPr="00B80B91" w:rsidRDefault="003B4FC3" w:rsidP="003B4FC3">
      <w:pPr>
        <w:rPr>
          <w:szCs w:val="22"/>
        </w:rPr>
      </w:pPr>
    </w:p>
    <w:p w14:paraId="30E0DA41" w14:textId="77777777" w:rsidR="003B4FC3" w:rsidRPr="00B80B91" w:rsidRDefault="003B4FC3" w:rsidP="003B4FC3">
      <w:pPr>
        <w:pStyle w:val="ListParagraph"/>
        <w:numPr>
          <w:ilvl w:val="0"/>
          <w:numId w:val="9"/>
        </w:numPr>
        <w:ind w:left="0" w:firstLine="0"/>
        <w:contextualSpacing w:val="0"/>
        <w:rPr>
          <w:szCs w:val="22"/>
        </w:rPr>
      </w:pPr>
      <w:r>
        <w:t>A continuación figuran las principales actualizaciones desde enero de 2022.</w:t>
      </w:r>
    </w:p>
    <w:p w14:paraId="3D21ADA8" w14:textId="77777777" w:rsidR="003B4FC3" w:rsidRPr="00B80B91" w:rsidRDefault="003B4FC3" w:rsidP="003B4FC3">
      <w:pPr>
        <w:ind w:left="720"/>
        <w:rPr>
          <w:szCs w:val="22"/>
        </w:rPr>
      </w:pPr>
    </w:p>
    <w:p w14:paraId="500FC8CB" w14:textId="77777777" w:rsidR="003B4FC3" w:rsidRPr="00B80B91" w:rsidRDefault="003B4FC3" w:rsidP="003B4FC3">
      <w:pPr>
        <w:rPr>
          <w:b/>
          <w:szCs w:val="22"/>
        </w:rPr>
      </w:pPr>
      <w:r>
        <w:rPr>
          <w:b/>
        </w:rPr>
        <w:t>CIG</w:t>
      </w:r>
    </w:p>
    <w:p w14:paraId="0896E785" w14:textId="77777777" w:rsidR="003B4FC3" w:rsidRPr="00B80B91" w:rsidRDefault="003B4FC3" w:rsidP="003B4FC3">
      <w:pPr>
        <w:rPr>
          <w:szCs w:val="22"/>
          <w:lang w:val="en-GB"/>
        </w:rPr>
      </w:pPr>
    </w:p>
    <w:p w14:paraId="203C8FA4" w14:textId="49A41E25" w:rsidR="003B4FC3" w:rsidRDefault="003B4FC3" w:rsidP="003B4FC3">
      <w:pPr>
        <w:pStyle w:val="ListParagraph"/>
        <w:numPr>
          <w:ilvl w:val="0"/>
          <w:numId w:val="9"/>
        </w:numPr>
        <w:ind w:left="0" w:firstLine="0"/>
        <w:contextualSpacing w:val="0"/>
        <w:rPr>
          <w:szCs w:val="22"/>
        </w:rPr>
      </w:pPr>
      <w:r>
        <w:t>La página web del CIG ofrece un enlace directo, entre otras cosas, al mandato renovado del CIG para el periodo de 2026 a 2027</w:t>
      </w:r>
      <w:r w:rsidR="007911C5">
        <w:t xml:space="preserve">. </w:t>
      </w:r>
      <w:hyperlink r:id="rId18" w:history="1">
        <w:r>
          <w:rPr>
            <w:rStyle w:val="Hyperlink"/>
          </w:rPr>
          <w:t>https://www.wipo.int/documents/d/igc/docs-en-igc-mandate-2026-2027.pdf</w:t>
        </w:r>
      </w:hyperlink>
      <w:r w:rsidR="007911C5">
        <w:t xml:space="preserve">. </w:t>
      </w:r>
    </w:p>
    <w:p w14:paraId="4E5F5481" w14:textId="77777777" w:rsidR="003B4FC3" w:rsidRPr="003B4FC3" w:rsidRDefault="003B4FC3" w:rsidP="003B4FC3">
      <w:pPr>
        <w:pStyle w:val="ListParagraph"/>
        <w:ind w:left="0"/>
        <w:contextualSpacing w:val="0"/>
        <w:rPr>
          <w:szCs w:val="22"/>
        </w:rPr>
      </w:pPr>
    </w:p>
    <w:p w14:paraId="3A39AF1B" w14:textId="0C01E119" w:rsidR="003B4FC3" w:rsidRPr="00A21CFA" w:rsidRDefault="003B4FC3" w:rsidP="003B4FC3">
      <w:pPr>
        <w:pStyle w:val="ListParagraph"/>
        <w:numPr>
          <w:ilvl w:val="0"/>
          <w:numId w:val="9"/>
        </w:numPr>
        <w:ind w:left="0" w:firstLine="0"/>
        <w:contextualSpacing w:val="0"/>
        <w:rPr>
          <w:szCs w:val="22"/>
        </w:rPr>
      </w:pPr>
      <w:r>
        <w:t>La lista completa de documentos disponibles relacionados con la quincuagésima segunda sesión del CIG está disponible en</w:t>
      </w:r>
      <w:r w:rsidR="007911C5">
        <w:t xml:space="preserve">: </w:t>
      </w:r>
      <w:hyperlink r:id="rId19" w:history="1">
        <w:r>
          <w:rPr>
            <w:rStyle w:val="Hyperlink"/>
          </w:rPr>
          <w:t>https://www.wipo.int/meetings/es/details.jsp?meeting_id=89810</w:t>
        </w:r>
      </w:hyperlink>
      <w:r>
        <w:t xml:space="preserve">. </w:t>
      </w:r>
    </w:p>
    <w:p w14:paraId="51FF7B45" w14:textId="77777777" w:rsidR="003B4FC3" w:rsidRPr="003B4FC3" w:rsidRDefault="003B4FC3" w:rsidP="003B4FC3">
      <w:pPr>
        <w:rPr>
          <w:b/>
          <w:szCs w:val="22"/>
        </w:rPr>
      </w:pPr>
    </w:p>
    <w:p w14:paraId="5128E573" w14:textId="77777777" w:rsidR="003B4FC3" w:rsidRDefault="003B4FC3" w:rsidP="003B4FC3">
      <w:pPr>
        <w:pStyle w:val="ListParagraph"/>
        <w:ind w:left="0"/>
        <w:contextualSpacing w:val="0"/>
        <w:rPr>
          <w:szCs w:val="22"/>
        </w:rPr>
      </w:pPr>
      <w:r>
        <w:rPr>
          <w:b/>
        </w:rPr>
        <w:t>Programa de la OMPI de formación, tutoría y emparejamiento sobre propiedad intelectual y conocimientos médicos tradicionales</w:t>
      </w:r>
    </w:p>
    <w:p w14:paraId="28F74F62" w14:textId="77777777" w:rsidR="003B4FC3" w:rsidRPr="003B4FC3" w:rsidRDefault="003B4FC3" w:rsidP="003B4FC3">
      <w:pPr>
        <w:pStyle w:val="ListParagraph"/>
        <w:ind w:left="0"/>
        <w:contextualSpacing w:val="0"/>
        <w:rPr>
          <w:szCs w:val="22"/>
        </w:rPr>
      </w:pPr>
    </w:p>
    <w:p w14:paraId="32AD3DF1" w14:textId="0E624C5C" w:rsidR="003B4FC3" w:rsidRPr="00610FB4" w:rsidRDefault="003B4FC3" w:rsidP="003B4FC3">
      <w:pPr>
        <w:pStyle w:val="ListParagraph"/>
        <w:numPr>
          <w:ilvl w:val="0"/>
          <w:numId w:val="9"/>
        </w:numPr>
        <w:ind w:left="0" w:firstLine="0"/>
        <w:contextualSpacing w:val="0"/>
        <w:rPr>
          <w:szCs w:val="22"/>
        </w:rPr>
      </w:pPr>
      <w:r>
        <w:t>En 2023, la Secretaría de la OMPI puso en marcha el Programa de la OMPI de formación, tutoría y emparejamiento sobre PI y conocimientos médicos tradicionales, con el objetivo de establecer y apoyar un sistema de innovación basado en dichos conocimientos</w:t>
      </w:r>
      <w:r w:rsidR="007911C5">
        <w:t xml:space="preserve">. </w:t>
      </w:r>
      <w:r>
        <w:t>El programa ofrece a los participantes la oportunidad de adquirir conocimientos sobre las políticas y la legislación relativas a la protección de la PI de los conocimientos médicos tradicionales; beneficiarse de tutorías y formación personalizada sobre PI y su relación con los conocimientos médicos tradicionales; participar en la búsqueda de contactos con posibles colaboradores, socios e inversores; y desarrollar capacidades para utilizar eficazmente el sistema de PI</w:t>
      </w:r>
      <w:r w:rsidR="007911C5">
        <w:t xml:space="preserve">. </w:t>
      </w:r>
      <w:r>
        <w:t>La información sobre este programa está disponible en</w:t>
      </w:r>
      <w:r w:rsidR="007911C5">
        <w:t xml:space="preserve">: </w:t>
      </w:r>
      <w:hyperlink r:id="rId20" w:history="1">
        <w:r>
          <w:rPr>
            <w:rStyle w:val="Hyperlink"/>
          </w:rPr>
          <w:t>https://www.wipo.int/es/web/traditional-knowledge/entrepreneurship/tk-medical-knowledge-program</w:t>
        </w:r>
      </w:hyperlink>
      <w:r w:rsidR="007911C5">
        <w:t xml:space="preserve">. </w:t>
      </w:r>
    </w:p>
    <w:p w14:paraId="3B2E0A23" w14:textId="77777777" w:rsidR="003B4FC3" w:rsidRPr="003B4FC3" w:rsidRDefault="003B4FC3" w:rsidP="003B4FC3">
      <w:pPr>
        <w:rPr>
          <w:szCs w:val="22"/>
        </w:rPr>
      </w:pPr>
    </w:p>
    <w:p w14:paraId="7047B468" w14:textId="77777777" w:rsidR="003B4FC3" w:rsidRDefault="003B4FC3" w:rsidP="003B4FC3">
      <w:pPr>
        <w:rPr>
          <w:b/>
          <w:szCs w:val="22"/>
        </w:rPr>
      </w:pPr>
      <w:r>
        <w:rPr>
          <w:b/>
        </w:rPr>
        <w:t>Expresiones culturales tradicionales y moda</w:t>
      </w:r>
    </w:p>
    <w:p w14:paraId="09E0F5DE" w14:textId="77777777" w:rsidR="003B4FC3" w:rsidRPr="00610FB4" w:rsidRDefault="003B4FC3" w:rsidP="003B4FC3">
      <w:pPr>
        <w:rPr>
          <w:szCs w:val="22"/>
          <w:lang w:val="en-GB"/>
        </w:rPr>
      </w:pPr>
    </w:p>
    <w:p w14:paraId="1644F156" w14:textId="7599890A" w:rsidR="003B4FC3" w:rsidRPr="00610FB4" w:rsidRDefault="003B4FC3" w:rsidP="003B4FC3">
      <w:pPr>
        <w:pStyle w:val="ListParagraph"/>
        <w:numPr>
          <w:ilvl w:val="0"/>
          <w:numId w:val="9"/>
        </w:numPr>
        <w:ind w:left="0" w:firstLine="0"/>
        <w:contextualSpacing w:val="0"/>
        <w:rPr>
          <w:szCs w:val="22"/>
        </w:rPr>
      </w:pPr>
      <w:r>
        <w:t>La Secretaría de la OMPI presta apoyo a la utilización respetuosa y equitativa de las expresiones culturales tradicionales de los pueblos indígenas en el sector de la moda</w:t>
      </w:r>
      <w:r w:rsidR="007911C5">
        <w:t xml:space="preserve">. </w:t>
      </w:r>
      <w:r>
        <w:t>La OMPI facilita el diálogo entre los pueblos indígenas y las empresas de moda, como se ejemplificó en el primer Diálogo de Alto Nivel sobre Pueblos Indígenas, Expresiones Culturales Tradicionales y Moda, celebrado en noviembre de 2023</w:t>
      </w:r>
      <w:r w:rsidR="007911C5">
        <w:t xml:space="preserve">. </w:t>
      </w:r>
      <w:r>
        <w:t xml:space="preserve">Con el fin de fomentar la implicación ética, la Secretaría de la OMPI también presentó el borrador del documento </w:t>
      </w:r>
      <w:r w:rsidRPr="00396FAA">
        <w:t>de medidas que deben tenerse en cuenta al considerar el uso de elementos de las expresiones culturales tradicionales de los pueblos indígenas en la moda, elaborado en consulta co</w:t>
      </w:r>
      <w:r>
        <w:t>n dichos pueblos, empresas de moda y expertos en PI, patrimonio cultural y moda</w:t>
      </w:r>
      <w:r w:rsidR="007911C5">
        <w:t xml:space="preserve">. </w:t>
      </w:r>
      <w:r>
        <w:t>La información está disponible en</w:t>
      </w:r>
      <w:r w:rsidR="007911C5">
        <w:t xml:space="preserve">: </w:t>
      </w:r>
      <w:hyperlink r:id="rId21" w:history="1">
        <w:r>
          <w:rPr>
            <w:rStyle w:val="Hyperlink"/>
          </w:rPr>
          <w:t>https://www.wipo.int/es/web/traditional-knowledge/fashion</w:t>
        </w:r>
      </w:hyperlink>
      <w:r>
        <w:t xml:space="preserve">. </w:t>
      </w:r>
    </w:p>
    <w:p w14:paraId="6DEB1FBF" w14:textId="77777777" w:rsidR="003B4FC3" w:rsidRPr="003B4FC3" w:rsidRDefault="003B4FC3" w:rsidP="003B4FC3">
      <w:pPr>
        <w:rPr>
          <w:b/>
          <w:szCs w:val="22"/>
        </w:rPr>
      </w:pPr>
    </w:p>
    <w:p w14:paraId="702DC25E" w14:textId="77777777" w:rsidR="003B4FC3" w:rsidRPr="00B80B91" w:rsidRDefault="003B4FC3" w:rsidP="003B4FC3">
      <w:pPr>
        <w:keepNext/>
        <w:rPr>
          <w:b/>
          <w:szCs w:val="22"/>
        </w:rPr>
      </w:pPr>
      <w:r>
        <w:rPr>
          <w:b/>
        </w:rPr>
        <w:lastRenderedPageBreak/>
        <w:t>Nuevos recursos</w:t>
      </w:r>
    </w:p>
    <w:p w14:paraId="26868437" w14:textId="77777777" w:rsidR="003B4FC3" w:rsidRPr="00B80B91" w:rsidRDefault="003B4FC3" w:rsidP="003B4FC3">
      <w:pPr>
        <w:keepNext/>
      </w:pPr>
    </w:p>
    <w:p w14:paraId="118AF365" w14:textId="7C6CDDF4" w:rsidR="003B4FC3" w:rsidRDefault="003B4FC3" w:rsidP="003B4FC3">
      <w:pPr>
        <w:pStyle w:val="ListParagraph"/>
        <w:keepNext/>
        <w:numPr>
          <w:ilvl w:val="0"/>
          <w:numId w:val="9"/>
        </w:numPr>
        <w:ind w:left="0" w:firstLine="0"/>
        <w:contextualSpacing w:val="0"/>
        <w:rPr>
          <w:szCs w:val="22"/>
        </w:rPr>
      </w:pPr>
      <w:r>
        <w:t>La Secretaría de la OMPI elaboró una guía con consejos para ayudar a los pueblos indígenas y a los empresarios de las comunidades locales a orientarse en el sistema de PI y proteger los productos y servicios basados en la tradición</w:t>
      </w:r>
      <w:r w:rsidR="007911C5">
        <w:t xml:space="preserve">. </w:t>
      </w:r>
      <w:hyperlink r:id="rId22" w:history="1">
        <w:r>
          <w:rPr>
            <w:rStyle w:val="Hyperlink"/>
          </w:rPr>
          <w:t>https://www.wipo.int/es/web/traditional-knowledge/entrepreneurship/top-tips</w:t>
        </w:r>
      </w:hyperlink>
      <w:r>
        <w:t xml:space="preserve">. </w:t>
      </w:r>
    </w:p>
    <w:p w14:paraId="1AA83320" w14:textId="77777777" w:rsidR="003B4FC3" w:rsidRPr="000939CE" w:rsidRDefault="003B4FC3" w:rsidP="003B4FC3">
      <w:pPr>
        <w:pStyle w:val="ListParagraph"/>
        <w:rPr>
          <w:szCs w:val="22"/>
        </w:rPr>
      </w:pPr>
    </w:p>
    <w:p w14:paraId="41BE0667" w14:textId="488D8388" w:rsidR="003B4FC3" w:rsidRPr="00010FBF" w:rsidRDefault="003B4FC3" w:rsidP="003B4FC3">
      <w:pPr>
        <w:pStyle w:val="ListParagraph"/>
        <w:numPr>
          <w:ilvl w:val="0"/>
          <w:numId w:val="9"/>
        </w:numPr>
        <w:ind w:left="0" w:firstLine="0"/>
        <w:contextualSpacing w:val="0"/>
        <w:rPr>
          <w:szCs w:val="22"/>
        </w:rPr>
      </w:pPr>
      <w:r>
        <w:t>La Secretaría de la OMPI ofrece orientación práctica a los pueblos indígenas y a los empresarios de las comunidades locales que deseen crear una presencia en línea para sus empresas tradicionales</w:t>
      </w:r>
      <w:r w:rsidR="007911C5">
        <w:t xml:space="preserve">. </w:t>
      </w:r>
      <w:r>
        <w:t>Este recurso ofrece consejos prácticos para poner en marcha negocios basados en la tradición y ayuda a determinar dónde pueden acceder los pueblos indígenas y los empresarios de las comunidades locales a más apoyo</w:t>
      </w:r>
      <w:r w:rsidR="007911C5">
        <w:t xml:space="preserve">: </w:t>
      </w:r>
      <w:hyperlink r:id="rId23" w:history="1">
        <w:r>
          <w:rPr>
            <w:rStyle w:val="Hyperlink"/>
          </w:rPr>
          <w:t>https://www.wipo.int/es/web/traditional-knowledge/entrepreneurship/digital-economy-tips</w:t>
        </w:r>
      </w:hyperlink>
      <w:r w:rsidR="007911C5">
        <w:t xml:space="preserve">. </w:t>
      </w:r>
    </w:p>
    <w:p w14:paraId="3208649A" w14:textId="77777777" w:rsidR="003B4FC3" w:rsidRDefault="003B4FC3" w:rsidP="003B4FC3">
      <w:pPr>
        <w:pStyle w:val="ListParagraph"/>
        <w:ind w:left="0"/>
        <w:rPr>
          <w:szCs w:val="22"/>
        </w:rPr>
      </w:pPr>
    </w:p>
    <w:p w14:paraId="070830DB" w14:textId="14167D0B" w:rsidR="003B4FC3" w:rsidRPr="00B80B91" w:rsidRDefault="003B4FC3" w:rsidP="003B4FC3">
      <w:pPr>
        <w:pStyle w:val="ListParagraph"/>
        <w:numPr>
          <w:ilvl w:val="0"/>
          <w:numId w:val="9"/>
        </w:numPr>
        <w:ind w:left="0" w:firstLine="0"/>
        <w:rPr>
          <w:szCs w:val="22"/>
        </w:rPr>
      </w:pPr>
      <w:r>
        <w:t>La OMPI y la Administración Nacional de Derechos de Autor de China (NCAC) organizaron conjuntamente un simposio internacional sobre PI y expresiones culturales tradicionales del 25 al 27 de noviembre de 2025</w:t>
      </w:r>
      <w:r w:rsidR="007911C5">
        <w:t xml:space="preserve">. </w:t>
      </w:r>
      <w:r>
        <w:t>Las presentaciones están disponibles en</w:t>
      </w:r>
      <w:r w:rsidR="007911C5">
        <w:t xml:space="preserve">: </w:t>
      </w:r>
      <w:hyperlink r:id="rId24" w:history="1">
        <w:r>
          <w:rPr>
            <w:rStyle w:val="Hyperlink"/>
          </w:rPr>
          <w:t>https://www.wipo.int/meetings/es/details.jsp?meeting_id=90468</w:t>
        </w:r>
      </w:hyperlink>
      <w:r>
        <w:t xml:space="preserve">. </w:t>
      </w:r>
    </w:p>
    <w:p w14:paraId="7F54B311" w14:textId="5A2FD063" w:rsidR="00152CEA" w:rsidRPr="003B4FC3" w:rsidRDefault="003B4FC3" w:rsidP="003B4FC3">
      <w:pPr>
        <w:pStyle w:val="Endofdocument"/>
        <w:spacing w:before="720" w:after="0" w:line="240" w:lineRule="auto"/>
        <w:contextualSpacing w:val="0"/>
        <w:rPr>
          <w:sz w:val="22"/>
          <w:szCs w:val="22"/>
        </w:rPr>
      </w:pPr>
      <w:r w:rsidRPr="003B4FC3">
        <w:rPr>
          <w:sz w:val="22"/>
          <w:szCs w:val="22"/>
        </w:rPr>
        <w:t>[Fin del Anexo y del documento]</w:t>
      </w:r>
    </w:p>
    <w:sectPr w:rsidR="00152CEA" w:rsidRPr="003B4FC3" w:rsidSect="003B4FC3">
      <w:headerReference w:type="default" r:id="rId25"/>
      <w:headerReference w:type="first" r:id="rId26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942F9" w14:textId="77777777" w:rsidR="00212225" w:rsidRDefault="00212225">
      <w:r>
        <w:separator/>
      </w:r>
    </w:p>
  </w:endnote>
  <w:endnote w:type="continuationSeparator" w:id="0">
    <w:p w14:paraId="683B5AED" w14:textId="77777777" w:rsidR="00212225" w:rsidRPr="009D30E6" w:rsidRDefault="00212225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481C1269" w14:textId="77777777" w:rsidR="00212225" w:rsidRPr="007E663E" w:rsidRDefault="00212225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76C4E6B3" w14:textId="77777777" w:rsidR="00212225" w:rsidRPr="007E663E" w:rsidRDefault="00212225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5D187" w14:textId="77777777" w:rsidR="00212225" w:rsidRDefault="00212225">
      <w:r>
        <w:separator/>
      </w:r>
    </w:p>
  </w:footnote>
  <w:footnote w:type="continuationSeparator" w:id="0">
    <w:p w14:paraId="2D3B9160" w14:textId="77777777" w:rsidR="00212225" w:rsidRPr="009D30E6" w:rsidRDefault="00212225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6144D256" w14:textId="77777777" w:rsidR="00212225" w:rsidRPr="007E663E" w:rsidRDefault="00212225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22341AAC" w14:textId="77777777" w:rsidR="00212225" w:rsidRPr="007E663E" w:rsidRDefault="00212225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14:paraId="4C2BC167" w14:textId="77777777" w:rsidR="003B4FC3" w:rsidRDefault="003B4FC3" w:rsidP="003B4FC3">
      <w:pPr>
        <w:pStyle w:val="FootnoteText"/>
      </w:pPr>
      <w:r>
        <w:rPr>
          <w:rStyle w:val="FootnoteReference"/>
        </w:rPr>
        <w:footnoteRef/>
      </w:r>
      <w:r>
        <w:t xml:space="preserve"> Véase el informe de la vigésima sesión (OMPI/GRTKF/IC/20/10), párrafo 801.f).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9BDAD" w14:textId="0E5B3D68" w:rsidR="003B4FC3" w:rsidRDefault="003B4FC3" w:rsidP="003B4FC3">
    <w:pPr>
      <w:pStyle w:val="Header"/>
      <w:jc w:val="right"/>
    </w:pPr>
    <w:r>
      <w:t>WIPO/GRTKF/IC/52/INF/8</w:t>
    </w:r>
  </w:p>
  <w:p w14:paraId="4C85D826" w14:textId="2321EC93" w:rsidR="003B4FC3" w:rsidRDefault="003B4FC3" w:rsidP="003B4FC3">
    <w:pPr>
      <w:pStyle w:val="Header"/>
      <w:spacing w:after="480"/>
      <w:jc w:val="right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EE953" w14:textId="0C15798B" w:rsidR="00AE7F20" w:rsidRPr="003B4FC3" w:rsidRDefault="003B4FC3" w:rsidP="00477D6B">
    <w:pPr>
      <w:jc w:val="right"/>
      <w:rPr>
        <w:caps/>
        <w:lang w:val="pt-BR"/>
      </w:rPr>
    </w:pPr>
    <w:bookmarkStart w:id="5" w:name="Code2"/>
    <w:bookmarkEnd w:id="5"/>
    <w:r w:rsidRPr="003B4FC3">
      <w:rPr>
        <w:caps/>
        <w:lang w:val="pt-BR"/>
      </w:rPr>
      <w:t>WIPO/GRTKF/IC/52/INF/8</w:t>
    </w:r>
  </w:p>
  <w:p w14:paraId="747F3964" w14:textId="12A59CA6" w:rsidR="00EC1AA7" w:rsidRPr="003B4FC3" w:rsidRDefault="003B4FC3" w:rsidP="003B4FC3">
    <w:pPr>
      <w:spacing w:after="480"/>
      <w:jc w:val="right"/>
      <w:rPr>
        <w:lang w:val="pt-BR"/>
      </w:rPr>
    </w:pPr>
    <w:r w:rsidRPr="003B4FC3">
      <w:rPr>
        <w:lang w:val="pt-BR"/>
      </w:rPr>
      <w:t xml:space="preserve">Anexo, </w:t>
    </w:r>
    <w:r w:rsidR="00AE7F20" w:rsidRPr="003B4FC3">
      <w:rPr>
        <w:lang w:val="pt-BR"/>
      </w:rPr>
      <w:t xml:space="preserve">página </w:t>
    </w:r>
    <w:r w:rsidR="00AE7F20">
      <w:fldChar w:fldCharType="begin"/>
    </w:r>
    <w:r w:rsidR="00AE7F20" w:rsidRPr="003B4FC3">
      <w:rPr>
        <w:lang w:val="pt-BR"/>
      </w:rPr>
      <w:instrText xml:space="preserve"> PAGE  \* MERGEFORMAT </w:instrText>
    </w:r>
    <w:r w:rsidR="00AE7F20">
      <w:fldChar w:fldCharType="separate"/>
    </w:r>
    <w:r w:rsidR="00EB0D93" w:rsidRPr="003B4FC3">
      <w:rPr>
        <w:noProof/>
        <w:lang w:val="pt-BR"/>
      </w:rPr>
      <w:t>2</w:t>
    </w:r>
    <w:r w:rsidR="00AE7F20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AE07C" w14:textId="70E481C2" w:rsidR="003B4FC3" w:rsidRDefault="003B4FC3" w:rsidP="003B4FC3">
    <w:pPr>
      <w:pStyle w:val="Header"/>
      <w:jc w:val="right"/>
    </w:pPr>
    <w:r>
      <w:t>WIPO/GRTKF/IC/52/INF/8</w:t>
    </w:r>
  </w:p>
  <w:p w14:paraId="4D20BF33" w14:textId="6F327462" w:rsidR="003B4FC3" w:rsidRDefault="003B4FC3" w:rsidP="003B4FC3">
    <w:pPr>
      <w:pStyle w:val="Header"/>
      <w:spacing w:after="480"/>
      <w:jc w:val="right"/>
    </w:pPr>
    <w:r>
      <w:t>ANEXO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E6F70C3"/>
    <w:multiLevelType w:val="hybridMultilevel"/>
    <w:tmpl w:val="8AB02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D7E1039"/>
    <w:multiLevelType w:val="hybridMultilevel"/>
    <w:tmpl w:val="011ABDCA"/>
    <w:lvl w:ilvl="0" w:tplc="040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EFE050F"/>
    <w:multiLevelType w:val="hybridMultilevel"/>
    <w:tmpl w:val="FB4E6760"/>
    <w:lvl w:ilvl="0" w:tplc="6C50979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2866648">
    <w:abstractNumId w:val="3"/>
  </w:num>
  <w:num w:numId="2" w16cid:durableId="2043094832">
    <w:abstractNumId w:val="7"/>
  </w:num>
  <w:num w:numId="3" w16cid:durableId="875390565">
    <w:abstractNumId w:val="0"/>
  </w:num>
  <w:num w:numId="4" w16cid:durableId="565652951">
    <w:abstractNumId w:val="8"/>
  </w:num>
  <w:num w:numId="5" w16cid:durableId="759570050">
    <w:abstractNumId w:val="1"/>
  </w:num>
  <w:num w:numId="6" w16cid:durableId="1047948084">
    <w:abstractNumId w:val="5"/>
  </w:num>
  <w:num w:numId="7" w16cid:durableId="125247628">
    <w:abstractNumId w:val="4"/>
  </w:num>
  <w:num w:numId="8" w16cid:durableId="58290494">
    <w:abstractNumId w:val="6"/>
  </w:num>
  <w:num w:numId="9" w16cid:durableId="815100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FC3"/>
    <w:rsid w:val="00010686"/>
    <w:rsid w:val="00052915"/>
    <w:rsid w:val="000E3BB3"/>
    <w:rsid w:val="000F5E56"/>
    <w:rsid w:val="001301DD"/>
    <w:rsid w:val="001362EE"/>
    <w:rsid w:val="00152CEA"/>
    <w:rsid w:val="001832A6"/>
    <w:rsid w:val="001C3EC3"/>
    <w:rsid w:val="00212225"/>
    <w:rsid w:val="0023254E"/>
    <w:rsid w:val="002634C4"/>
    <w:rsid w:val="002C2E2F"/>
    <w:rsid w:val="002D23B5"/>
    <w:rsid w:val="002E0F47"/>
    <w:rsid w:val="002F4E68"/>
    <w:rsid w:val="00310826"/>
    <w:rsid w:val="00354647"/>
    <w:rsid w:val="00377273"/>
    <w:rsid w:val="00377600"/>
    <w:rsid w:val="003845C1"/>
    <w:rsid w:val="00387287"/>
    <w:rsid w:val="003B4FC3"/>
    <w:rsid w:val="003C4613"/>
    <w:rsid w:val="003E48F1"/>
    <w:rsid w:val="003F347A"/>
    <w:rsid w:val="00423E3E"/>
    <w:rsid w:val="00427AF4"/>
    <w:rsid w:val="0045231F"/>
    <w:rsid w:val="004647DA"/>
    <w:rsid w:val="0046793F"/>
    <w:rsid w:val="00472A6E"/>
    <w:rsid w:val="00477808"/>
    <w:rsid w:val="00477D6B"/>
    <w:rsid w:val="004A6C37"/>
    <w:rsid w:val="004E297D"/>
    <w:rsid w:val="00514C9C"/>
    <w:rsid w:val="00531B02"/>
    <w:rsid w:val="005332F0"/>
    <w:rsid w:val="0055013B"/>
    <w:rsid w:val="00571B99"/>
    <w:rsid w:val="005B2EAE"/>
    <w:rsid w:val="00605827"/>
    <w:rsid w:val="00675021"/>
    <w:rsid w:val="006A06C6"/>
    <w:rsid w:val="007224C8"/>
    <w:rsid w:val="007911C5"/>
    <w:rsid w:val="00794BE2"/>
    <w:rsid w:val="007A5581"/>
    <w:rsid w:val="007B71FE"/>
    <w:rsid w:val="007D781E"/>
    <w:rsid w:val="007E663E"/>
    <w:rsid w:val="00815082"/>
    <w:rsid w:val="0088395E"/>
    <w:rsid w:val="008B2CC1"/>
    <w:rsid w:val="008E6BD6"/>
    <w:rsid w:val="0090731E"/>
    <w:rsid w:val="00907C8F"/>
    <w:rsid w:val="00966A22"/>
    <w:rsid w:val="00972F03"/>
    <w:rsid w:val="0098367F"/>
    <w:rsid w:val="009A0C8B"/>
    <w:rsid w:val="009A20CD"/>
    <w:rsid w:val="009B6241"/>
    <w:rsid w:val="00A16FC0"/>
    <w:rsid w:val="00A32C9E"/>
    <w:rsid w:val="00AB613D"/>
    <w:rsid w:val="00AE6089"/>
    <w:rsid w:val="00AE7F20"/>
    <w:rsid w:val="00B534D5"/>
    <w:rsid w:val="00B65A0A"/>
    <w:rsid w:val="00B67CDC"/>
    <w:rsid w:val="00B72D36"/>
    <w:rsid w:val="00BC4164"/>
    <w:rsid w:val="00BD2DCC"/>
    <w:rsid w:val="00BD66F1"/>
    <w:rsid w:val="00BF5A8E"/>
    <w:rsid w:val="00C01210"/>
    <w:rsid w:val="00C617C5"/>
    <w:rsid w:val="00C90559"/>
    <w:rsid w:val="00CA0500"/>
    <w:rsid w:val="00CA0EB4"/>
    <w:rsid w:val="00CA2251"/>
    <w:rsid w:val="00D56C7C"/>
    <w:rsid w:val="00D71B4D"/>
    <w:rsid w:val="00D90289"/>
    <w:rsid w:val="00D93D55"/>
    <w:rsid w:val="00DC4C60"/>
    <w:rsid w:val="00DD6CF4"/>
    <w:rsid w:val="00E0079A"/>
    <w:rsid w:val="00E444DA"/>
    <w:rsid w:val="00E45C84"/>
    <w:rsid w:val="00E504E5"/>
    <w:rsid w:val="00EB0D93"/>
    <w:rsid w:val="00EB7A3E"/>
    <w:rsid w:val="00EC1AA7"/>
    <w:rsid w:val="00EC401A"/>
    <w:rsid w:val="00EF530A"/>
    <w:rsid w:val="00EF6622"/>
    <w:rsid w:val="00EF78A9"/>
    <w:rsid w:val="00F03BDD"/>
    <w:rsid w:val="00F55408"/>
    <w:rsid w:val="00F66152"/>
    <w:rsid w:val="00F80845"/>
    <w:rsid w:val="00F84474"/>
    <w:rsid w:val="00FA0F0D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851973"/>
  <w15:docId w15:val="{56C5705E-F46F-4C67-83C7-21CAFBB7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 ak"/>
    <w:basedOn w:val="Normal"/>
    <w:link w:val="FootnoteTextChar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aliases w:val="Heading"/>
    <w:basedOn w:val="Normal"/>
    <w:link w:val="HeaderChar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ListParagraph">
    <w:name w:val="List Paragraph"/>
    <w:basedOn w:val="Normal"/>
    <w:uiPriority w:val="34"/>
    <w:qFormat/>
    <w:rsid w:val="003B4FC3"/>
    <w:pPr>
      <w:ind w:left="720"/>
      <w:contextualSpacing/>
    </w:pPr>
  </w:style>
  <w:style w:type="character" w:customStyle="1" w:styleId="FootnoteTextChar">
    <w:name w:val="Footnote Text Char"/>
    <w:aliases w:val="Footnote ak Char"/>
    <w:basedOn w:val="DefaultParagraphFont"/>
    <w:link w:val="FootnoteText"/>
    <w:semiHidden/>
    <w:rsid w:val="003B4FC3"/>
    <w:rPr>
      <w:rFonts w:ascii="Arial" w:eastAsia="SimSun" w:hAnsi="Arial" w:cs="Arial"/>
      <w:sz w:val="18"/>
      <w:lang w:val="es-ES" w:eastAsia="zh-CN"/>
    </w:rPr>
  </w:style>
  <w:style w:type="character" w:customStyle="1" w:styleId="HeaderChar">
    <w:name w:val="Header Char"/>
    <w:aliases w:val="Heading Char"/>
    <w:basedOn w:val="DefaultParagraphFont"/>
    <w:link w:val="Header"/>
    <w:semiHidden/>
    <w:rsid w:val="003B4FC3"/>
    <w:rPr>
      <w:rFonts w:ascii="Arial" w:eastAsia="SimSun" w:hAnsi="Arial" w:cs="Arial"/>
      <w:sz w:val="22"/>
      <w:lang w:val="es-ES" w:eastAsia="zh-CN"/>
    </w:rPr>
  </w:style>
  <w:style w:type="paragraph" w:customStyle="1" w:styleId="Endofdocument">
    <w:name w:val="End of document"/>
    <w:basedOn w:val="Normal"/>
    <w:semiHidden/>
    <w:rsid w:val="003B4FC3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character" w:styleId="FootnoteReference">
    <w:name w:val="footnote reference"/>
    <w:semiHidden/>
    <w:rsid w:val="003B4FC3"/>
    <w:rPr>
      <w:vertAlign w:val="superscript"/>
    </w:rPr>
  </w:style>
  <w:style w:type="character" w:styleId="PageNumber">
    <w:name w:val="page number"/>
    <w:basedOn w:val="DefaultParagraphFont"/>
    <w:rsid w:val="003B4FC3"/>
  </w:style>
  <w:style w:type="character" w:styleId="Hyperlink">
    <w:name w:val="Hyperlink"/>
    <w:unhideWhenUsed/>
    <w:rsid w:val="003B4FC3"/>
    <w:rPr>
      <w:color w:val="0000FF"/>
      <w:u w:val="single"/>
    </w:rPr>
  </w:style>
  <w:style w:type="paragraph" w:customStyle="1" w:styleId="DecisionInvitingPara">
    <w:name w:val="Decision Inviting Para."/>
    <w:basedOn w:val="Normal"/>
    <w:rsid w:val="003B4FC3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wipo.int/es/web/traditional-knowledge/entrepreneurship/index" TargetMode="External"/><Relationship Id="rId18" Type="http://schemas.openxmlformats.org/officeDocument/2006/relationships/hyperlink" Target="https://www.wipo.int/documents/d/igc/docs-en-igc-mandate-2026-2027.pdf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wipo.int/es/web/traditional-knowledge/fashion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wipo.int/es/web/traditional-knowledge/engagement" TargetMode="External"/><Relationship Id="rId17" Type="http://schemas.openxmlformats.org/officeDocument/2006/relationships/hyperlink" Target="https://www.wipo.int/es/web/traditional-knowledge/global-reference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wipo.int/es/web/ip-advantage/indigenous-peoples-stories" TargetMode="External"/><Relationship Id="rId20" Type="http://schemas.openxmlformats.org/officeDocument/2006/relationships/hyperlink" Target="https://www.wipo.int/es/web/traditional-knowledge/entrepreneurship/tk-medical-knowledge-progra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es/web/traditional-knowledge/wipo-treaty-on-ip-gr-and-associated-tk" TargetMode="External"/><Relationship Id="rId24" Type="http://schemas.openxmlformats.org/officeDocument/2006/relationships/hyperlink" Target="https://www.wipo.int/meetings/es/details.jsp?meeting_id=9046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es/web/traditional-knowledge/ip-rights-management" TargetMode="External"/><Relationship Id="rId23" Type="http://schemas.openxmlformats.org/officeDocument/2006/relationships/hyperlink" Target="https://www.wipo.int/es/web/traditional-knowledge/entrepreneurship/digital-economy-tip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wipo.int/es/web/igc" TargetMode="External"/><Relationship Id="rId19" Type="http://schemas.openxmlformats.org/officeDocument/2006/relationships/hyperlink" Target="https://www.wipo.int/meetings/es/details.jsp?meeting_id=89810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wipo.int/es/web/traditional-knowledge/resources/tk-and-tces" TargetMode="External"/><Relationship Id="rId22" Type="http://schemas.openxmlformats.org/officeDocument/2006/relationships/hyperlink" Target="https://www.wipo.int/es/web/traditional-knowledge/entrepreneurship/top-tips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IGC\WIPO_GRTKF_IC_52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C7D96-760B-4AE6-9290-97808C3CE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WIPO_GRTKF_IC_52 (S)</Template>
  <TotalTime>7</TotalTime>
  <Pages>5</Pages>
  <Words>1588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WIPO/GRTKF/IC/52/</vt:lpstr>
    </vt:vector>
  </TitlesOfParts>
  <Company>WIPO</Company>
  <LinksUpToDate>false</LinksUpToDate>
  <CharactersWithSpaces>10619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WIPO/GRTKF/IC/52/INF/8</dc:title>
  <dc:creator>CEVALLOS DUQUE Nilo</dc:creator>
  <cp:keywords>FOR OFFICIAL USE ONLY</cp:keywords>
  <cp:lastModifiedBy>MORENO PALESTINI Maria del Pilar</cp:lastModifiedBy>
  <cp:revision>4</cp:revision>
  <dcterms:created xsi:type="dcterms:W3CDTF">2026-01-22T15:09:00Z</dcterms:created>
  <dcterms:modified xsi:type="dcterms:W3CDTF">2026-01-26T14:34:00Z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2025-09-30T14:11:34Z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1a82091f-6ee6-4fa7-b791-f6deb0bfffe1</vt:lpwstr>
  </property>
  <property fmtid="{D5CDD505-2E9C-101B-9397-08002B2CF9AE}" pid="13" name="MSIP_Label_20773ee6-353b-4fb9-a59d-0b94c8c67bea_ContentBits">
    <vt:lpwstr>0</vt:lpwstr>
  </property>
  <property fmtid="{D5CDD505-2E9C-101B-9397-08002B2CF9AE}" pid="14" name="MSIP_Label_20773ee6-353b-4fb9-a59d-0b94c8c67bea_Tag">
    <vt:lpwstr>10, 0, 1, 1</vt:lpwstr>
  </property>
</Properties>
</file>