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2341B" w:rsidRDefault="00472A6E" w:rsidP="00753307">
      <w:pPr>
        <w:pBdr>
          <w:bottom w:val="single" w:sz="4" w:space="10" w:color="auto"/>
        </w:pBdr>
        <w:spacing w:after="120"/>
        <w:ind w:right="-57"/>
        <w:jc w:val="right"/>
        <w:rPr>
          <w:lang w:val="es-ES_tradnl"/>
        </w:rPr>
      </w:pPr>
      <w:r w:rsidRPr="0072341B">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72341B" w:rsidRDefault="00753307" w:rsidP="00472A6E">
      <w:pPr>
        <w:jc w:val="right"/>
        <w:rPr>
          <w:rFonts w:ascii="Arial Black" w:hAnsi="Arial Black"/>
          <w:caps/>
          <w:sz w:val="15"/>
          <w:lang w:val="es-ES_tradnl"/>
        </w:rPr>
      </w:pPr>
      <w:r w:rsidRPr="0072341B">
        <w:rPr>
          <w:rFonts w:ascii="Arial Black" w:hAnsi="Arial Black"/>
          <w:caps/>
          <w:sz w:val="15"/>
          <w:lang w:val="es-ES_tradnl"/>
        </w:rPr>
        <w:t>WIPO/GRTKF/IC/47/</w:t>
      </w:r>
      <w:bookmarkStart w:id="0" w:name="Code"/>
      <w:bookmarkEnd w:id="0"/>
      <w:r w:rsidR="003C2A9D" w:rsidRPr="0072341B">
        <w:rPr>
          <w:rFonts w:ascii="Arial Black" w:hAnsi="Arial Black"/>
          <w:caps/>
          <w:sz w:val="15"/>
          <w:lang w:val="es-ES_tradnl"/>
        </w:rPr>
        <w:t>17</w:t>
      </w:r>
    </w:p>
    <w:p w:rsidR="008B2CC1" w:rsidRPr="0072341B" w:rsidRDefault="00472A6E" w:rsidP="00472A6E">
      <w:pPr>
        <w:jc w:val="right"/>
        <w:rPr>
          <w:lang w:val="es-ES_tradnl"/>
        </w:rPr>
      </w:pPr>
      <w:r w:rsidRPr="0072341B">
        <w:rPr>
          <w:rFonts w:ascii="Arial Black" w:hAnsi="Arial Black"/>
          <w:caps/>
          <w:sz w:val="15"/>
          <w:lang w:val="es-ES_tradnl"/>
        </w:rPr>
        <w:t xml:space="preserve">ORIGINAL: </w:t>
      </w:r>
      <w:bookmarkStart w:id="1" w:name="Original"/>
      <w:r w:rsidR="003C2A9D" w:rsidRPr="0072341B">
        <w:rPr>
          <w:rFonts w:ascii="Arial Black" w:hAnsi="Arial Black"/>
          <w:caps/>
          <w:sz w:val="15"/>
          <w:lang w:val="es-ES_tradnl"/>
        </w:rPr>
        <w:t>Inglés</w:t>
      </w:r>
    </w:p>
    <w:bookmarkEnd w:id="1"/>
    <w:p w:rsidR="008B2CC1" w:rsidRPr="0072341B" w:rsidRDefault="00472A6E" w:rsidP="00472A6E">
      <w:pPr>
        <w:spacing w:after="1200"/>
        <w:jc w:val="right"/>
        <w:rPr>
          <w:lang w:val="es-ES_tradnl"/>
        </w:rPr>
      </w:pPr>
      <w:r w:rsidRPr="0072341B">
        <w:rPr>
          <w:rFonts w:ascii="Arial Black" w:hAnsi="Arial Black"/>
          <w:caps/>
          <w:sz w:val="15"/>
          <w:lang w:val="es-ES_tradnl"/>
        </w:rPr>
        <w:t xml:space="preserve">fecha: </w:t>
      </w:r>
      <w:bookmarkStart w:id="2" w:name="Date"/>
      <w:r w:rsidR="003C2A9D" w:rsidRPr="0072341B">
        <w:rPr>
          <w:rFonts w:ascii="Arial Black" w:hAnsi="Arial Black"/>
          <w:caps/>
          <w:sz w:val="15"/>
          <w:lang w:val="es-ES_tradnl"/>
        </w:rPr>
        <w:t>17 de mayo de 2023</w:t>
      </w:r>
    </w:p>
    <w:bookmarkEnd w:id="2"/>
    <w:p w:rsidR="00753307" w:rsidRPr="0072341B" w:rsidRDefault="00753307" w:rsidP="005B2ABD">
      <w:pPr>
        <w:spacing w:after="480"/>
        <w:outlineLvl w:val="1"/>
        <w:rPr>
          <w:b/>
          <w:sz w:val="24"/>
          <w:szCs w:val="24"/>
          <w:lang w:val="es-ES_tradnl"/>
        </w:rPr>
      </w:pPr>
      <w:r w:rsidRPr="0072341B">
        <w:rPr>
          <w:b/>
          <w:sz w:val="28"/>
          <w:szCs w:val="28"/>
          <w:lang w:val="es-ES_tradnl"/>
        </w:rPr>
        <w:t>Comité Intergubernamental sobre Propiedad Intelectual y Recursos Genéticos, Conocimientos Tradicionales y Folclore</w:t>
      </w:r>
    </w:p>
    <w:p w:rsidR="005B2EAE" w:rsidRPr="0072341B" w:rsidRDefault="00753307" w:rsidP="005B2EAE">
      <w:pPr>
        <w:outlineLvl w:val="1"/>
        <w:rPr>
          <w:b/>
          <w:sz w:val="24"/>
          <w:szCs w:val="24"/>
          <w:lang w:val="es-ES_tradnl"/>
        </w:rPr>
      </w:pPr>
      <w:r w:rsidRPr="0072341B">
        <w:rPr>
          <w:b/>
          <w:sz w:val="24"/>
          <w:szCs w:val="24"/>
          <w:lang w:val="es-ES_tradnl"/>
        </w:rPr>
        <w:t>Cuadragésima séptima sesión</w:t>
      </w:r>
    </w:p>
    <w:p w:rsidR="00B67CDC" w:rsidRPr="0072341B" w:rsidRDefault="00753307" w:rsidP="00472A6E">
      <w:pPr>
        <w:spacing w:after="720"/>
        <w:outlineLvl w:val="1"/>
        <w:rPr>
          <w:b/>
          <w:sz w:val="24"/>
          <w:szCs w:val="24"/>
          <w:lang w:val="es-ES_tradnl"/>
        </w:rPr>
      </w:pPr>
      <w:r w:rsidRPr="0072341B">
        <w:rPr>
          <w:b/>
          <w:sz w:val="24"/>
          <w:szCs w:val="24"/>
          <w:lang w:val="es-ES_tradnl"/>
        </w:rPr>
        <w:t>Ginebra, 5 a 9 de junio de 2023</w:t>
      </w:r>
    </w:p>
    <w:p w:rsidR="003C2A9D" w:rsidRPr="0072341B" w:rsidRDefault="003C2A9D" w:rsidP="00472A6E">
      <w:pPr>
        <w:spacing w:after="360"/>
        <w:rPr>
          <w:caps/>
          <w:sz w:val="24"/>
          <w:lang w:val="es-ES_tradnl"/>
        </w:rPr>
      </w:pPr>
      <w:bookmarkStart w:id="3" w:name="TitleOfDoc"/>
      <w:r w:rsidRPr="0072341B">
        <w:rPr>
          <w:caps/>
          <w:sz w:val="24"/>
          <w:lang w:val="es-ES_tradnl"/>
        </w:rPr>
        <w:t>RECOMENDACIÓN CONJUNTA SOBRE EL USO DE BASES DE DATOS PARA LA PROTECCIÓN PREVENTIVA DE LOS RECURSOS GENÉTICOS Y LOS CONOCIMIENTOS TRADICIONALES ASOCIADOS A LOS RECURSOS GENÉTICOS</w:t>
      </w:r>
    </w:p>
    <w:p w:rsidR="008B2CC1" w:rsidRPr="00BE6AD6" w:rsidRDefault="003C2A9D" w:rsidP="00472A6E">
      <w:pPr>
        <w:spacing w:after="1040"/>
        <w:rPr>
          <w:i/>
          <w:szCs w:val="22"/>
          <w:lang w:val="es-ES_tradnl"/>
        </w:rPr>
      </w:pPr>
      <w:bookmarkStart w:id="4" w:name="Prepared"/>
      <w:bookmarkStart w:id="5" w:name="_GoBack"/>
      <w:bookmarkEnd w:id="3"/>
      <w:bookmarkEnd w:id="4"/>
      <w:r w:rsidRPr="00BE6AD6">
        <w:rPr>
          <w:i/>
          <w:szCs w:val="22"/>
          <w:lang w:val="es-ES_tradnl"/>
        </w:rPr>
        <w:t>Presentada por las delegaciones de los Estados Unidos de América</w:t>
      </w:r>
      <w:r w:rsidRPr="00BE6AD6">
        <w:rPr>
          <w:i/>
          <w:caps/>
          <w:szCs w:val="22"/>
          <w:lang w:val="es-ES_tradnl"/>
        </w:rPr>
        <w:t xml:space="preserve">, </w:t>
      </w:r>
      <w:r w:rsidRPr="00BE6AD6">
        <w:rPr>
          <w:i/>
          <w:szCs w:val="22"/>
          <w:lang w:val="es-ES_tradnl"/>
        </w:rPr>
        <w:t>el Japón y la República de Corea</w:t>
      </w:r>
    </w:p>
    <w:bookmarkEnd w:id="5"/>
    <w:p w:rsidR="00D07184" w:rsidRPr="0072341B" w:rsidRDefault="003C2A9D" w:rsidP="003C2A9D">
      <w:pPr>
        <w:pStyle w:val="ONUMFS"/>
        <w:rPr>
          <w:lang w:val="es-ES_tradnl"/>
        </w:rPr>
      </w:pPr>
      <w:r w:rsidRPr="0072341B">
        <w:rPr>
          <w:lang w:val="es-ES_tradnl"/>
        </w:rPr>
        <w:t xml:space="preserve">El </w:t>
      </w:r>
      <w:r w:rsidR="00B44A4B" w:rsidRPr="0072341B">
        <w:rPr>
          <w:lang w:val="es-ES_tradnl"/>
        </w:rPr>
        <w:t>16</w:t>
      </w:r>
      <w:r w:rsidRPr="0072341B">
        <w:rPr>
          <w:lang w:val="es-ES_tradnl"/>
        </w:rPr>
        <w:t xml:space="preserve"> de </w:t>
      </w:r>
      <w:r w:rsidR="00B44A4B" w:rsidRPr="0072341B">
        <w:rPr>
          <w:lang w:val="es-ES_tradnl"/>
        </w:rPr>
        <w:t xml:space="preserve">mayo </w:t>
      </w:r>
      <w:r w:rsidRPr="0072341B">
        <w:rPr>
          <w:lang w:val="es-ES_tradnl"/>
        </w:rPr>
        <w:t>de 2023, la Oficina Internacional de la Organización Mundial de la Propiedad Intelectual (OMPI) recibió una petición de la Misión Permanente del</w:t>
      </w:r>
      <w:r w:rsidR="00B44A4B" w:rsidRPr="0072341B">
        <w:rPr>
          <w:lang w:val="es-ES_tradnl"/>
        </w:rPr>
        <w:t xml:space="preserve"> Japón </w:t>
      </w:r>
      <w:r w:rsidRPr="0072341B">
        <w:rPr>
          <w:lang w:val="es-ES_tradnl"/>
        </w:rPr>
        <w:t>ante las organizaciones internacionales con sede en Ginebra, en nombre de las delegaciones de los 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w:t>
      </w:r>
      <w:r w:rsidR="00B44A4B" w:rsidRPr="0072341B">
        <w:rPr>
          <w:lang w:val="es-ES_tradnl"/>
        </w:rPr>
        <w:t>46</w:t>
      </w:r>
      <w:r w:rsidRPr="0072341B">
        <w:rPr>
          <w:lang w:val="es-ES_tradnl"/>
        </w:rPr>
        <w:t>/1</w:t>
      </w:r>
      <w:r w:rsidR="00B44A4B" w:rsidRPr="0072341B">
        <w:rPr>
          <w:lang w:val="es-ES_tradnl"/>
        </w:rPr>
        <w:t>2, con modificaciones</w:t>
      </w:r>
      <w:r w:rsidRPr="0072341B">
        <w:rPr>
          <w:lang w:val="es-ES_tradnl"/>
        </w:rPr>
        <w:t xml:space="preserve">, vuelva a someterse a debate en el marco de la cuadragésima </w:t>
      </w:r>
      <w:r w:rsidR="00B44A4B" w:rsidRPr="0072341B">
        <w:rPr>
          <w:lang w:val="es-ES_tradnl"/>
        </w:rPr>
        <w:t>séptima</w:t>
      </w:r>
      <w:r w:rsidRPr="0072341B">
        <w:rPr>
          <w:lang w:val="es-ES_tradnl"/>
        </w:rPr>
        <w:t xml:space="preserve"> sesión del Comité Intergubernamental sobre Propiedad Intelectual y Recursos Genéticos, Conocimientos Tradicionales y Folclore (CIG).</w:t>
      </w:r>
    </w:p>
    <w:p w:rsidR="00D07184" w:rsidRPr="0072341B" w:rsidRDefault="003C2A9D" w:rsidP="003C2A9D">
      <w:pPr>
        <w:pStyle w:val="ONUMFS"/>
        <w:rPr>
          <w:lang w:val="es-ES_tradnl"/>
        </w:rPr>
      </w:pPr>
      <w:r w:rsidRPr="0072341B">
        <w:rPr>
          <w:lang w:val="es-ES_tradnl"/>
        </w:rPr>
        <w:t>Como consecuencia de la dicha petición, se reproduce en el Anexo del presente documento la propuesta mencionada.</w:t>
      </w:r>
    </w:p>
    <w:p w:rsidR="003C2A9D" w:rsidRPr="0072341B" w:rsidRDefault="003C2A9D" w:rsidP="003C2A9D">
      <w:pPr>
        <w:pStyle w:val="ListParagraph"/>
        <w:numPr>
          <w:ilvl w:val="0"/>
          <w:numId w:val="7"/>
        </w:numPr>
        <w:ind w:left="6096" w:hanging="562"/>
        <w:rPr>
          <w:i/>
          <w:lang w:val="es-ES_tradnl"/>
        </w:rPr>
      </w:pPr>
      <w:r w:rsidRPr="0072341B">
        <w:rPr>
          <w:i/>
          <w:lang w:val="es-ES_tradnl"/>
        </w:rPr>
        <w:t>Se invita al Comité a tomar nota de la propuesta contenida en el Anexo del presente documento y a considerar su contenido.</w:t>
      </w:r>
    </w:p>
    <w:p w:rsidR="003C2A9D" w:rsidRPr="0072341B" w:rsidRDefault="003C2A9D" w:rsidP="003C2A9D">
      <w:pPr>
        <w:spacing w:before="480"/>
        <w:ind w:left="5534"/>
        <w:rPr>
          <w:lang w:val="es-ES_tradnl"/>
        </w:rPr>
      </w:pPr>
      <w:r w:rsidRPr="0072341B">
        <w:rPr>
          <w:lang w:val="es-ES_tradnl"/>
        </w:rPr>
        <w:t>[Sigue el Anexo]</w:t>
      </w:r>
    </w:p>
    <w:p w:rsidR="0072341B" w:rsidRPr="0072341B" w:rsidRDefault="0072341B" w:rsidP="003C2A9D">
      <w:pPr>
        <w:spacing w:before="480"/>
        <w:ind w:left="5534"/>
        <w:rPr>
          <w:lang w:val="es-ES_tradnl"/>
        </w:rPr>
        <w:sectPr w:rsidR="0072341B" w:rsidRPr="0072341B" w:rsidSect="000F2A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3C2A9D" w:rsidRPr="0072341B" w:rsidRDefault="003C2A9D" w:rsidP="003C2A9D">
      <w:pPr>
        <w:rPr>
          <w:szCs w:val="22"/>
          <w:lang w:val="es-ES_tradnl"/>
        </w:rPr>
      </w:pPr>
      <w:r w:rsidRPr="0072341B">
        <w:rPr>
          <w:lang w:val="es-ES_tradnl"/>
        </w:rPr>
        <w:lastRenderedPageBreak/>
        <w:t>RECOMENDACIÓN CONJUNTA SOBRE EL USO DE BASES DE DATOS PARA LA PROTECCIÓN PREVENTIVA DE LOS RECURSOS GENÉTICOS Y LOS CONOCIMIENTOS TRADICIONALES ASOCIADOS A LOS RECURSOS GENÉTICOS</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p>
    <w:p w:rsidR="003C2A9D" w:rsidRPr="0072341B" w:rsidRDefault="003C2A9D" w:rsidP="003C2A9D">
      <w:pPr>
        <w:widowControl w:val="0"/>
        <w:rPr>
          <w:lang w:val="es-ES_tradnl"/>
        </w:rPr>
      </w:pPr>
      <w:r w:rsidRPr="0072341B">
        <w:rPr>
          <w:lang w:val="es-ES_tradnl"/>
        </w:rPr>
        <w:t>El Comité Intergubernamental sobre Propiedad Intelectual y Recursos Genéticos, Conocimientos Tradicionales y Folclore, y la Asamblea General de la Organización Mundial de la Propiedad Intelectual,</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r w:rsidRPr="0072341B">
        <w:rPr>
          <w:i/>
          <w:lang w:val="es-ES_tradnl"/>
        </w:rPr>
        <w:t>Reafirmando</w:t>
      </w:r>
      <w:r w:rsidRPr="0072341B">
        <w:rPr>
          <w:lang w:val="es-ES_tradnl"/>
        </w:rPr>
        <w:t xml:space="preserve"> el importante valor económico, científico y comercial de los recursos genéticos y los conocimientos tradicionales asociados a los recursos genéticos;</w:t>
      </w:r>
    </w:p>
    <w:p w:rsidR="003C2A9D" w:rsidRPr="0072341B" w:rsidRDefault="003C2A9D" w:rsidP="003C2A9D">
      <w:pPr>
        <w:widowControl w:val="0"/>
        <w:rPr>
          <w:lang w:val="es-ES_tradnl"/>
        </w:rPr>
      </w:pPr>
    </w:p>
    <w:p w:rsidR="00D07184" w:rsidRPr="0072341B" w:rsidRDefault="003C2A9D" w:rsidP="003C2A9D">
      <w:pPr>
        <w:widowControl w:val="0"/>
        <w:rPr>
          <w:lang w:val="es-ES_tradnl"/>
        </w:rPr>
      </w:pPr>
      <w:r w:rsidRPr="0072341B">
        <w:rPr>
          <w:i/>
          <w:lang w:val="es-ES_tradnl"/>
        </w:rPr>
        <w:t>Reconociendo</w:t>
      </w:r>
      <w:r w:rsidRPr="0072341B">
        <w:rPr>
          <w:lang w:val="es-ES_tradnl"/>
        </w:rPr>
        <w:t xml:space="preserve"> la importante contribución del sistema de patentes a la investigación y el desarrollo científico, la innovación y el desarrollo económico;</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r w:rsidRPr="0072341B">
        <w:rPr>
          <w:i/>
          <w:lang w:val="es-ES_tradnl"/>
        </w:rPr>
        <w:t>Reconociendo</w:t>
      </w:r>
      <w:r w:rsidRPr="0072341B">
        <w:rPr>
          <w:lang w:val="es-ES_tradnl"/>
        </w:rPr>
        <w:t xml:space="preserve"> la complementariedad entre el sistema de patentes y el Convenio sobre la Diversidad Biológica;</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r w:rsidRPr="0072341B">
        <w:rPr>
          <w:i/>
          <w:lang w:val="es-ES_tradnl"/>
        </w:rPr>
        <w:t>Subrayando</w:t>
      </w:r>
      <w:r w:rsidRPr="0072341B">
        <w:rPr>
          <w:lang w:val="es-ES_tradnl"/>
        </w:rPr>
        <w:t xml:space="preserve"> la necesidad de impedir que se concedan por error patentes sobre invenciones relacionadas con los recursos genéticos y los conocimientos tradicionales asociados a los recursos genéticos;</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r w:rsidRPr="0072341B">
        <w:rPr>
          <w:i/>
          <w:lang w:val="es-ES_tradnl"/>
        </w:rPr>
        <w:t>Recomiendan</w:t>
      </w:r>
      <w:r w:rsidRPr="0072341B">
        <w:rPr>
          <w:lang w:val="es-ES_tradnl"/>
        </w:rPr>
        <w:t xml:space="preserve"> que cada Estado miembro y la Oficina Internacional de la OMPI consideren la utilización de la presente Recomendación, previamente aprobada por el 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3C2A9D" w:rsidRPr="0072341B" w:rsidRDefault="003C2A9D" w:rsidP="003C2A9D">
      <w:pPr>
        <w:widowControl w:val="0"/>
        <w:rPr>
          <w:lang w:val="es-ES_tradnl"/>
        </w:rPr>
      </w:pPr>
    </w:p>
    <w:p w:rsidR="003C2A9D" w:rsidRPr="0072341B" w:rsidRDefault="003C2A9D" w:rsidP="003C2A9D">
      <w:pPr>
        <w:widowControl w:val="0"/>
        <w:rPr>
          <w:lang w:val="es-ES_tradnl"/>
        </w:rPr>
      </w:pPr>
    </w:p>
    <w:p w:rsidR="003C2A9D" w:rsidRPr="0072341B" w:rsidRDefault="003C2A9D" w:rsidP="003C2A9D">
      <w:pPr>
        <w:widowControl w:val="0"/>
        <w:numPr>
          <w:ilvl w:val="0"/>
          <w:numId w:val="8"/>
        </w:numPr>
        <w:tabs>
          <w:tab w:val="clear" w:pos="720"/>
          <w:tab w:val="num" w:pos="440"/>
        </w:tabs>
        <w:rPr>
          <w:lang w:val="es-ES_tradnl"/>
        </w:rPr>
      </w:pPr>
      <w:r w:rsidRPr="0072341B">
        <w:rPr>
          <w:lang w:val="es-ES_tradnl"/>
        </w:rPr>
        <w:t>INTRODUCCIÓN</w:t>
      </w:r>
    </w:p>
    <w:p w:rsidR="003C2A9D" w:rsidRPr="0072341B" w:rsidRDefault="003C2A9D" w:rsidP="003C2A9D">
      <w:pPr>
        <w:rPr>
          <w:lang w:val="es-ES_tradnl"/>
        </w:rPr>
      </w:pPr>
    </w:p>
    <w:p w:rsidR="003C2A9D" w:rsidRPr="0072341B" w:rsidRDefault="003C2A9D" w:rsidP="003C2A9D">
      <w:pPr>
        <w:widowControl w:val="0"/>
        <w:numPr>
          <w:ilvl w:val="0"/>
          <w:numId w:val="9"/>
        </w:numPr>
        <w:tabs>
          <w:tab w:val="clear" w:pos="450"/>
          <w:tab w:val="left" w:pos="567"/>
        </w:tabs>
        <w:ind w:left="0" w:firstLine="0"/>
        <w:rPr>
          <w:rFonts w:cs="Courier New"/>
          <w:szCs w:val="26"/>
          <w:lang w:val="es-ES_tradnl"/>
        </w:rPr>
      </w:pPr>
      <w:r w:rsidRPr="0072341B">
        <w:rPr>
          <w:lang w:val="es-ES_tradnl"/>
        </w:rPr>
        <w:t>La concesión de patentes por error ha sido señalada como una cuestión importante en los debates celebrados en la OMPI y en la OMC.</w:t>
      </w:r>
    </w:p>
    <w:p w:rsidR="003C2A9D" w:rsidRPr="0072341B" w:rsidRDefault="003C2A9D" w:rsidP="003C2A9D">
      <w:pPr>
        <w:widowControl w:val="0"/>
        <w:tabs>
          <w:tab w:val="left" w:pos="567"/>
        </w:tabs>
        <w:rPr>
          <w:rFonts w:cs="Courier New"/>
          <w:szCs w:val="26"/>
          <w:lang w:val="es-ES_tradnl"/>
        </w:rPr>
      </w:pPr>
    </w:p>
    <w:p w:rsidR="003C2A9D" w:rsidRPr="0072341B" w:rsidRDefault="003C2A9D" w:rsidP="003C2A9D">
      <w:pPr>
        <w:widowControl w:val="0"/>
        <w:numPr>
          <w:ilvl w:val="0"/>
          <w:numId w:val="9"/>
        </w:numPr>
        <w:tabs>
          <w:tab w:val="clear" w:pos="450"/>
          <w:tab w:val="left" w:pos="567"/>
        </w:tabs>
        <w:ind w:left="0" w:firstLine="0"/>
        <w:rPr>
          <w:rFonts w:cs="Courier New"/>
          <w:szCs w:val="26"/>
          <w:lang w:val="es-ES_tradnl"/>
        </w:rPr>
      </w:pPr>
      <w:r w:rsidRPr="0072341B">
        <w:rPr>
          <w:lang w:val="es-ES_tradnl"/>
        </w:rPr>
        <w:t>La concesión de patentes por error puede ser abordada eficazmente mejorando las bases de datos</w:t>
      </w:r>
      <w:r w:rsidR="00B44A4B" w:rsidRPr="0072341B">
        <w:rPr>
          <w:rStyle w:val="FootnoteReference"/>
          <w:lang w:val="es-ES_tradnl"/>
        </w:rPr>
        <w:footnoteReference w:id="2"/>
      </w:r>
      <w:r w:rsidRPr="0072341B">
        <w:rPr>
          <w:lang w:val="es-ES_tradnl"/>
        </w:rPr>
        <w:t xml:space="preserve"> que se utilizan en las búsquedas del estado de la técnica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3C2A9D" w:rsidRPr="0072341B" w:rsidRDefault="003C2A9D" w:rsidP="003C2A9D">
      <w:pPr>
        <w:widowControl w:val="0"/>
        <w:tabs>
          <w:tab w:val="left" w:pos="567"/>
        </w:tabs>
        <w:rPr>
          <w:rFonts w:cs="Courier New"/>
          <w:szCs w:val="26"/>
          <w:lang w:val="es-ES_tradnl"/>
        </w:rPr>
      </w:pPr>
    </w:p>
    <w:p w:rsidR="003C2A9D" w:rsidRPr="0072341B" w:rsidRDefault="003C2A9D" w:rsidP="003C2A9D">
      <w:pPr>
        <w:widowControl w:val="0"/>
        <w:numPr>
          <w:ilvl w:val="0"/>
          <w:numId w:val="9"/>
        </w:numPr>
        <w:tabs>
          <w:tab w:val="clear" w:pos="450"/>
          <w:tab w:val="left" w:pos="567"/>
        </w:tabs>
        <w:ind w:left="0" w:firstLine="0"/>
        <w:rPr>
          <w:rFonts w:cs="Courier New"/>
          <w:szCs w:val="26"/>
          <w:lang w:val="es-ES_tradnl"/>
        </w:rPr>
      </w:pPr>
      <w:r w:rsidRPr="0072341B">
        <w:rPr>
          <w:lang w:val="es-ES_tradnl"/>
        </w:rPr>
        <w:t xml:space="preserve">Un sistema de búsqueda centralizada en las bases de datos ayudará a los examinadores a realizar </w:t>
      </w:r>
      <w:r w:rsidR="00E416C8" w:rsidRPr="0072341B">
        <w:rPr>
          <w:lang w:val="es-ES_tradnl"/>
        </w:rPr>
        <w:t xml:space="preserve">con </w:t>
      </w:r>
      <w:r w:rsidRPr="0072341B">
        <w:rPr>
          <w:lang w:val="es-ES_tradnl"/>
        </w:rPr>
        <w:t>más efic</w:t>
      </w:r>
      <w:r w:rsidR="00E416C8" w:rsidRPr="0072341B">
        <w:rPr>
          <w:lang w:val="es-ES_tradnl"/>
        </w:rPr>
        <w:t>iencia</w:t>
      </w:r>
      <w:r w:rsidRPr="0072341B">
        <w:rPr>
          <w:lang w:val="es-ES_tradnl"/>
        </w:rPr>
        <w:t xml:space="preserve"> las búsquedas del estado de la técnica relacionadas con los recursos genéticos y los conocimientos tradicionales no secretos asociados a los recursos genéticos, además de impedir el acceso </w:t>
      </w:r>
      <w:r w:rsidR="00E416C8" w:rsidRPr="0072341B">
        <w:rPr>
          <w:lang w:val="es-ES_tradnl"/>
        </w:rPr>
        <w:t xml:space="preserve">inapropiado </w:t>
      </w:r>
      <w:r w:rsidRPr="0072341B">
        <w:rPr>
          <w:lang w:val="es-ES_tradnl"/>
        </w:rPr>
        <w:t>de terceros al contenido de las bases de datos del sistema de búsqueda centralizada</w:t>
      </w:r>
      <w:r w:rsidR="00E416C8" w:rsidRPr="0072341B">
        <w:rPr>
          <w:lang w:val="es-ES_tradnl"/>
        </w:rPr>
        <w:t xml:space="preserve"> o su utilización</w:t>
      </w:r>
      <w:r w:rsidRPr="0072341B">
        <w:rPr>
          <w:lang w:val="es-ES_tradnl"/>
        </w:rPr>
        <w:t>.</w:t>
      </w:r>
    </w:p>
    <w:p w:rsidR="003C2A9D" w:rsidRPr="0072341B" w:rsidRDefault="003C2A9D" w:rsidP="003C2A9D">
      <w:pPr>
        <w:tabs>
          <w:tab w:val="left" w:pos="567"/>
        </w:tabs>
        <w:rPr>
          <w:rFonts w:cs="Courier New"/>
          <w:szCs w:val="26"/>
          <w:lang w:val="es-ES_tradnl"/>
        </w:rPr>
      </w:pPr>
    </w:p>
    <w:p w:rsidR="003C2A9D" w:rsidRPr="0072341B" w:rsidRDefault="003C2A9D" w:rsidP="003C2A9D">
      <w:pPr>
        <w:tabs>
          <w:tab w:val="left" w:pos="567"/>
        </w:tabs>
        <w:rPr>
          <w:rFonts w:cs="Courier New"/>
          <w:szCs w:val="26"/>
          <w:lang w:val="es-ES_tradnl"/>
        </w:rPr>
      </w:pPr>
    </w:p>
    <w:p w:rsidR="003C2A9D" w:rsidRPr="0072341B" w:rsidRDefault="003C2A9D" w:rsidP="003C2A9D">
      <w:pPr>
        <w:keepNext/>
        <w:keepLines/>
        <w:widowControl w:val="0"/>
        <w:numPr>
          <w:ilvl w:val="0"/>
          <w:numId w:val="8"/>
        </w:numPr>
        <w:tabs>
          <w:tab w:val="clear" w:pos="720"/>
          <w:tab w:val="left" w:pos="567"/>
        </w:tabs>
        <w:ind w:left="567" w:hanging="567"/>
        <w:rPr>
          <w:rFonts w:cs="Courier New"/>
          <w:szCs w:val="26"/>
          <w:lang w:val="es-ES_tradnl"/>
        </w:rPr>
      </w:pPr>
      <w:r w:rsidRPr="0072341B">
        <w:rPr>
          <w:lang w:val="es-ES_tradnl"/>
        </w:rPr>
        <w:lastRenderedPageBreak/>
        <w:t>ESTRUCTURA DEL SISTEMA DE BÚSQUEDA CENTRALIZADA EN LAS BASES DE DATOS</w:t>
      </w:r>
    </w:p>
    <w:p w:rsidR="003C2A9D" w:rsidRPr="0072341B" w:rsidRDefault="003C2A9D" w:rsidP="003C2A9D">
      <w:pPr>
        <w:keepNext/>
        <w:keepLines/>
        <w:tabs>
          <w:tab w:val="left" w:pos="567"/>
        </w:tabs>
        <w:rPr>
          <w:rFonts w:cs="Courier New"/>
          <w:szCs w:val="26"/>
          <w:lang w:val="es-ES_tradnl"/>
        </w:rPr>
      </w:pPr>
    </w:p>
    <w:p w:rsidR="003C2A9D" w:rsidRPr="0072341B" w:rsidRDefault="003C2A9D" w:rsidP="003C2A9D">
      <w:pPr>
        <w:keepNext/>
        <w:keepLines/>
        <w:widowControl w:val="0"/>
        <w:numPr>
          <w:ilvl w:val="0"/>
          <w:numId w:val="9"/>
        </w:numPr>
        <w:tabs>
          <w:tab w:val="clear" w:pos="450"/>
          <w:tab w:val="left" w:pos="567"/>
        </w:tabs>
        <w:ind w:left="0" w:firstLine="0"/>
        <w:rPr>
          <w:lang w:val="es-ES_tradnl"/>
        </w:rPr>
      </w:pPr>
      <w:r w:rsidRPr="0072341B">
        <w:rPr>
          <w:lang w:val="es-ES_tradnl"/>
        </w:rPr>
        <w:t xml:space="preserve">Tal como se ilustra en el gráfico 1, las bases de datos </w:t>
      </w:r>
      <w:r w:rsidR="0029771D" w:rsidRPr="0072341B">
        <w:rPr>
          <w:lang w:val="es-ES_tradnl"/>
        </w:rPr>
        <w:t xml:space="preserve">susceptibles de búsqueda en el marco </w:t>
      </w:r>
      <w:r w:rsidRPr="0072341B">
        <w:rPr>
          <w:lang w:val="es-ES_tradnl"/>
        </w:rPr>
        <w:t xml:space="preserve">del sistema </w:t>
      </w:r>
      <w:r w:rsidR="0029771D" w:rsidRPr="0072341B">
        <w:rPr>
          <w:lang w:val="es-ES_tradnl"/>
        </w:rPr>
        <w:t>propuesto</w:t>
      </w:r>
      <w:r w:rsidRPr="0072341B">
        <w:rPr>
          <w:lang w:val="es-ES_tradnl"/>
        </w:rPr>
        <w:t xml:space="preserve"> deben estar en posesión de </w:t>
      </w:r>
      <w:r w:rsidR="0029771D" w:rsidRPr="0072341B">
        <w:rPr>
          <w:lang w:val="es-ES_tradnl"/>
        </w:rPr>
        <w:t xml:space="preserve">cada uno de </w:t>
      </w:r>
      <w:r w:rsidRPr="0072341B">
        <w:rPr>
          <w:lang w:val="es-ES_tradnl"/>
        </w:rPr>
        <w:t>los Estados miembros que participen en el sistema, y su mantenimiento debe ser responsabilidad de esos Estados. El sistema estará conformado por el portal de la OMPI y las bases de datos de cada Estado miembro, que estarán conectadas a ese portal.</w:t>
      </w:r>
      <w:r w:rsidR="0029771D" w:rsidRPr="0072341B">
        <w:rPr>
          <w:lang w:val="es-ES_tradnl"/>
        </w:rPr>
        <w:t xml:space="preserve"> La OMPI podrá prestar asistencia técnica a los Estados miembros que no pueden desarrollar esas bases de datos susceptibles de búsqueda.</w:t>
      </w:r>
      <w:r w:rsidR="0029771D" w:rsidRPr="0072341B">
        <w:rPr>
          <w:rStyle w:val="FootnoteReference"/>
          <w:lang w:val="es-ES_tradnl"/>
        </w:rPr>
        <w:footnoteReference w:id="3"/>
      </w:r>
    </w:p>
    <w:p w:rsidR="003C2A9D" w:rsidRPr="0072341B" w:rsidRDefault="003C2A9D" w:rsidP="003C2A9D">
      <w:pPr>
        <w:widowControl w:val="0"/>
        <w:tabs>
          <w:tab w:val="left" w:pos="567"/>
        </w:tabs>
        <w:rPr>
          <w:lang w:val="es-ES_tradnl"/>
        </w:rPr>
      </w:pPr>
    </w:p>
    <w:p w:rsidR="007B5EE5" w:rsidRPr="0072341B" w:rsidRDefault="003C2A9D" w:rsidP="007B5EE5">
      <w:pPr>
        <w:keepNext/>
        <w:keepLines/>
        <w:widowControl w:val="0"/>
        <w:numPr>
          <w:ilvl w:val="0"/>
          <w:numId w:val="9"/>
        </w:numPr>
        <w:tabs>
          <w:tab w:val="clear" w:pos="450"/>
          <w:tab w:val="left" w:pos="567"/>
        </w:tabs>
        <w:ind w:left="0" w:firstLine="0"/>
        <w:rPr>
          <w:lang w:val="es-ES_tradnl"/>
        </w:rPr>
      </w:pPr>
      <w:r w:rsidRPr="0072341B">
        <w:rPr>
          <w:lang w:val="es-ES_tradnl"/>
        </w:rPr>
        <w:t xml:space="preserve">Los Estados </w:t>
      </w:r>
      <w:r w:rsidR="00285E43" w:rsidRPr="0072341B">
        <w:rPr>
          <w:lang w:val="es-ES_tradnl"/>
        </w:rPr>
        <w:t xml:space="preserve">miembros </w:t>
      </w:r>
      <w:r w:rsidRPr="0072341B">
        <w:rPr>
          <w:lang w:val="es-ES_tradnl"/>
        </w:rPr>
        <w:t xml:space="preserve">participantes compilarán, </w:t>
      </w:r>
      <w:r w:rsidR="00285E43" w:rsidRPr="0072341B">
        <w:rPr>
          <w:lang w:val="es-ES_tradnl"/>
        </w:rPr>
        <w:t>según lo</w:t>
      </w:r>
      <w:r w:rsidRPr="0072341B">
        <w:rPr>
          <w:lang w:val="es-ES_tradnl"/>
        </w:rPr>
        <w:t xml:space="preserve"> estimen necesario, información sobre los recursos genéticos y los conocimientos tradicionales no secretos asociados a los recursos genéticos</w:t>
      </w:r>
      <w:r w:rsidR="00285E43" w:rsidRPr="0072341B">
        <w:rPr>
          <w:lang w:val="es-ES_tradnl"/>
        </w:rPr>
        <w:t xml:space="preserve"> presentes en sus respectivos territorios</w:t>
      </w:r>
      <w:r w:rsidRPr="0072341B">
        <w:rPr>
          <w:lang w:val="es-ES_tradnl"/>
        </w:rPr>
        <w:t xml:space="preserve">, almacenando esa información en </w:t>
      </w:r>
      <w:r w:rsidR="00285E43" w:rsidRPr="0072341B">
        <w:rPr>
          <w:lang w:val="es-ES_tradnl"/>
        </w:rPr>
        <w:t>su base o bases de datos</w:t>
      </w:r>
      <w:r w:rsidRPr="0072341B">
        <w:rPr>
          <w:lang w:val="es-ES_tradnl"/>
        </w:rPr>
        <w:t xml:space="preserve"> (</w:t>
      </w:r>
      <w:r w:rsidR="00285E43" w:rsidRPr="0072341B">
        <w:rPr>
          <w:lang w:val="es-ES_tradnl"/>
        </w:rPr>
        <w:t xml:space="preserve">adaptadas </w:t>
      </w:r>
      <w:r w:rsidRPr="0072341B">
        <w:rPr>
          <w:lang w:val="es-ES_tradnl"/>
        </w:rPr>
        <w:t>de una base de datos existente o nueva</w:t>
      </w:r>
      <w:r w:rsidR="00285E43" w:rsidRPr="0072341B">
        <w:rPr>
          <w:lang w:val="es-ES_tradnl"/>
        </w:rPr>
        <w:t>s</w:t>
      </w:r>
      <w:r w:rsidRPr="0072341B">
        <w:rPr>
          <w:lang w:val="es-ES_tradnl"/>
        </w:rPr>
        <w:t xml:space="preserve">). El hecho de asignar la responsabilidad de elaborar y poner en marcha las bases de datos </w:t>
      </w:r>
      <w:r w:rsidR="008133DF" w:rsidRPr="0072341B">
        <w:rPr>
          <w:lang w:val="es-ES_tradnl"/>
        </w:rPr>
        <w:t>nacional</w:t>
      </w:r>
      <w:r w:rsidR="00645B61" w:rsidRPr="0072341B">
        <w:rPr>
          <w:lang w:val="es-ES_tradnl"/>
        </w:rPr>
        <w:t>es</w:t>
      </w:r>
      <w:r w:rsidR="008133DF" w:rsidRPr="0072341B">
        <w:rPr>
          <w:lang w:val="es-ES_tradnl"/>
        </w:rPr>
        <w:t xml:space="preserve"> </w:t>
      </w:r>
      <w:r w:rsidRPr="0072341B">
        <w:rPr>
          <w:lang w:val="es-ES_tradnl"/>
        </w:rPr>
        <w:t>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8133DF" w:rsidRPr="0072341B">
        <w:rPr>
          <w:lang w:val="es-ES_tradnl"/>
        </w:rPr>
        <w:t xml:space="preserve"> o conocimientos tradicionales no secretos asociados a recursos genéticos.</w:t>
      </w:r>
      <w:r w:rsidRPr="0072341B">
        <w:rPr>
          <w:lang w:val="es-ES_tradnl"/>
        </w:rPr>
        <w:t xml:space="preserve"> Al elaborar las bases de datos nacionales, los Estados miembros deberán consultar con los correspondientes sectores indígenas interesados</w:t>
      </w:r>
      <w:r w:rsidR="00B72BD4" w:rsidRPr="0072341B">
        <w:rPr>
          <w:lang w:val="es-ES_tradnl"/>
        </w:rPr>
        <w:t>, por ejemplo, los pueblos indígenas y las comunidades locales</w:t>
      </w:r>
      <w:r w:rsidRPr="0072341B">
        <w:rPr>
          <w:lang w:val="es-ES_tradnl"/>
        </w:rPr>
        <w:t xml:space="preserve"> </w:t>
      </w:r>
      <w:r w:rsidR="00B72BD4" w:rsidRPr="0072341B">
        <w:rPr>
          <w:lang w:val="es-ES_tradnl"/>
        </w:rPr>
        <w:t>d</w:t>
      </w:r>
      <w:r w:rsidRPr="0072341B">
        <w:rPr>
          <w:lang w:val="es-ES_tradnl"/>
        </w:rPr>
        <w:t>el territorio</w:t>
      </w:r>
      <w:r w:rsidR="00B72BD4" w:rsidRPr="0072341B">
        <w:rPr>
          <w:lang w:val="es-ES_tradnl"/>
        </w:rPr>
        <w:t>,</w:t>
      </w:r>
      <w:r w:rsidRPr="0072341B">
        <w:rPr>
          <w:lang w:val="es-ES_tradnl"/>
        </w:rPr>
        <w:t xml:space="preserve"> antes de poner en las bases de datos los conocimientos tradicionales y los recursos gen</w:t>
      </w:r>
      <w:r w:rsidR="007B5EE5" w:rsidRPr="0072341B">
        <w:rPr>
          <w:lang w:val="es-ES_tradnl"/>
        </w:rPr>
        <w:t>éticos de las tierras tribales.</w:t>
      </w:r>
    </w:p>
    <w:p w:rsidR="007B5EE5" w:rsidRPr="0072341B" w:rsidRDefault="007B5EE5" w:rsidP="007B5EE5">
      <w:pPr>
        <w:keepNext/>
        <w:keepLines/>
        <w:widowControl w:val="0"/>
        <w:tabs>
          <w:tab w:val="left" w:pos="567"/>
        </w:tabs>
        <w:rPr>
          <w:lang w:val="es-ES_tradnl"/>
        </w:rPr>
      </w:pPr>
    </w:p>
    <w:p w:rsidR="003C2A9D" w:rsidRPr="0072341B" w:rsidRDefault="003C2A9D" w:rsidP="007B5EE5">
      <w:pPr>
        <w:keepNext/>
        <w:keepLines/>
        <w:widowControl w:val="0"/>
        <w:numPr>
          <w:ilvl w:val="0"/>
          <w:numId w:val="9"/>
        </w:numPr>
        <w:tabs>
          <w:tab w:val="clear" w:pos="450"/>
          <w:tab w:val="left" w:pos="567"/>
        </w:tabs>
        <w:ind w:left="0" w:firstLine="0"/>
        <w:rPr>
          <w:lang w:val="es-ES_tradnl"/>
        </w:rPr>
      </w:pPr>
      <w:r w:rsidRPr="0072341B">
        <w:rPr>
          <w:lang w:val="es-ES_tradnl"/>
        </w:rPr>
        <w:t xml:space="preserve">En lo que atañe a la estructura de las bases de datos, la OMPI debería proporcionar un tipo de formato básico para inscribir datos en las bases, teniendo en cuenta que la modalidad admisible de estado de la técnica (por ejemplo, la forma escrita/oral) podrá variar con arreglo a la legislación y la práctica de patentes de cada país. Por ejemplo, en las entradas de las bases de datos debería figurar el nombre </w:t>
      </w:r>
      <w:r w:rsidR="00607AD8" w:rsidRPr="0072341B">
        <w:rPr>
          <w:lang w:val="es-ES_tradnl"/>
        </w:rPr>
        <w:t xml:space="preserve">y una breve descripción </w:t>
      </w:r>
      <w:r w:rsidRPr="0072341B">
        <w:rPr>
          <w:lang w:val="es-ES_tradnl"/>
        </w:rPr>
        <w:t>del recurso genético</w:t>
      </w:r>
      <w:r w:rsidR="00607AD8" w:rsidRPr="0072341B">
        <w:rPr>
          <w:lang w:val="es-ES_tradnl"/>
        </w:rPr>
        <w:t xml:space="preserve"> o los conocimientos tradicionales no secretos asociados a recursos genéticos</w:t>
      </w:r>
      <w:r w:rsidRPr="0072341B">
        <w:rPr>
          <w:lang w:val="es-ES_tradnl"/>
        </w:rPr>
        <w:t xml:space="preserve">, así como un código </w:t>
      </w:r>
      <w:r w:rsidR="00607AD8" w:rsidRPr="0072341B">
        <w:rPr>
          <w:lang w:val="es-ES_tradnl"/>
        </w:rPr>
        <w:t>numérico</w:t>
      </w:r>
      <w:r w:rsidRPr="0072341B">
        <w:rPr>
          <w:lang w:val="es-ES_tradnl"/>
        </w:rPr>
        <w:t xml:space="preserve"> que </w:t>
      </w:r>
      <w:r w:rsidR="00607AD8" w:rsidRPr="0072341B">
        <w:rPr>
          <w:lang w:val="es-ES_tradnl"/>
        </w:rPr>
        <w:t xml:space="preserve">los </w:t>
      </w:r>
      <w:r w:rsidRPr="0072341B">
        <w:rPr>
          <w:lang w:val="es-ES_tradnl"/>
        </w:rPr>
        <w:t>identifique. También deberían incluirse los datos bibliográficos de la publicación, libro o revista, en la que se haya referenciado un recurso genético</w:t>
      </w:r>
      <w:r w:rsidR="00607AD8" w:rsidRPr="0072341B">
        <w:rPr>
          <w:lang w:val="es-ES_tradnl"/>
        </w:rPr>
        <w:t xml:space="preserve"> o conocimientos tradicionales no secretos asociados a recursos genéticos</w:t>
      </w:r>
      <w:r w:rsidRPr="0072341B">
        <w:rPr>
          <w:lang w:val="es-ES_tradnl"/>
        </w:rPr>
        <w:t xml:space="preserve">. En la labor ulterior del CIG se podrá incluir la elaboración de un formato uniforme </w:t>
      </w:r>
      <w:r w:rsidR="00F32588" w:rsidRPr="0072341B">
        <w:rPr>
          <w:lang w:val="es-ES_tradnl"/>
        </w:rPr>
        <w:t>y compatible,</w:t>
      </w:r>
      <w:r w:rsidRPr="0072341B">
        <w:rPr>
          <w:lang w:val="es-ES_tradnl"/>
        </w:rPr>
        <w:t xml:space="preserve"> para la información contenida en la base de datos.</w:t>
      </w:r>
    </w:p>
    <w:p w:rsidR="003C2A9D" w:rsidRPr="0072341B" w:rsidRDefault="003C2A9D" w:rsidP="003C2A9D">
      <w:pPr>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Las bases de datos de los Estados miembros</w:t>
      </w:r>
      <w:r w:rsidR="009A2644" w:rsidRPr="0072341B">
        <w:rPr>
          <w:lang w:val="es-ES_tradnl"/>
        </w:rPr>
        <w:t xml:space="preserve"> participantes</w:t>
      </w:r>
      <w:r w:rsidRPr="0072341B">
        <w:rPr>
          <w:lang w:val="es-ES_tradnl"/>
        </w:rPr>
        <w:t xml:space="preserve">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3C2A9D" w:rsidRPr="0072341B" w:rsidRDefault="003C2A9D" w:rsidP="003C2A9D">
      <w:pPr>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 xml:space="preserve">El portal de la OMPI dispondrá de dos funciones básicas: i) una función que permita al examinador acceder directamente a las bases de datos de los Estados </w:t>
      </w:r>
      <w:r w:rsidR="00607AD8" w:rsidRPr="0072341B">
        <w:rPr>
          <w:lang w:val="es-ES_tradnl"/>
        </w:rPr>
        <w:t xml:space="preserve">miembros </w:t>
      </w:r>
      <w:r w:rsidRPr="0072341B">
        <w:rPr>
          <w:lang w:val="es-ES_tradnl"/>
        </w:rPr>
        <w:t>participantes, y ii) una función que permita al examinador recuperar datos de las bases de d</w:t>
      </w:r>
      <w:r w:rsidR="00E10D87" w:rsidRPr="0072341B">
        <w:rPr>
          <w:lang w:val="es-ES_tradnl"/>
        </w:rPr>
        <w:t>atos a las que ha accedido.</w:t>
      </w:r>
    </w:p>
    <w:p w:rsidR="003C2A9D" w:rsidRPr="0072341B" w:rsidRDefault="003C2A9D" w:rsidP="003C2A9D">
      <w:pPr>
        <w:widowControl w:val="0"/>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 xml:space="preserve">Accediendo al portal de la OMPI y escribiendo en el campo adecuado el término o </w:t>
      </w:r>
      <w:r w:rsidR="0029771D" w:rsidRPr="0072341B">
        <w:rPr>
          <w:lang w:val="es-ES_tradnl"/>
        </w:rPr>
        <w:t xml:space="preserve">los </w:t>
      </w:r>
      <w:r w:rsidRPr="0072341B">
        <w:rPr>
          <w:lang w:val="es-ES_tradnl"/>
        </w:rPr>
        <w:t xml:space="preserve">términos buscados, el examinador obtiene instantáneamente un número de resultados extraídos de las bases de datos de los Estados </w:t>
      </w:r>
      <w:r w:rsidR="00607AD8" w:rsidRPr="0072341B">
        <w:rPr>
          <w:lang w:val="es-ES_tradnl"/>
        </w:rPr>
        <w:t xml:space="preserve">miembros </w:t>
      </w:r>
      <w:r w:rsidRPr="0072341B">
        <w:rPr>
          <w:lang w:val="es-ES_tradnl"/>
        </w:rPr>
        <w:t>participantes (véase el gráfico 2). El resultado de la búsqueda puede ser utilizado como confirmación del estado de la técnica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3C2A9D" w:rsidRPr="0072341B" w:rsidRDefault="003C2A9D" w:rsidP="003C2A9D">
      <w:pPr>
        <w:tabs>
          <w:tab w:val="left" w:pos="567"/>
        </w:tabs>
        <w:rPr>
          <w:lang w:val="es-ES_tradnl"/>
        </w:rPr>
      </w:pPr>
    </w:p>
    <w:p w:rsidR="003C2A9D" w:rsidRPr="0072341B" w:rsidRDefault="003C2A9D" w:rsidP="00E10D87">
      <w:pPr>
        <w:widowControl w:val="0"/>
        <w:numPr>
          <w:ilvl w:val="0"/>
          <w:numId w:val="9"/>
        </w:numPr>
        <w:tabs>
          <w:tab w:val="clear" w:pos="450"/>
          <w:tab w:val="left" w:pos="567"/>
        </w:tabs>
        <w:ind w:left="0" w:firstLine="0"/>
        <w:rPr>
          <w:lang w:val="es-ES_tradnl"/>
        </w:rPr>
      </w:pPr>
      <w:r w:rsidRPr="0072341B">
        <w:rPr>
          <w:lang w:val="es-ES_tradnl"/>
        </w:rPr>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w:t>
      </w:r>
      <w:r w:rsidR="00607AD8" w:rsidRPr="0072341B">
        <w:rPr>
          <w:lang w:val="es-ES_tradnl"/>
        </w:rPr>
        <w:t xml:space="preserve">miembros </w:t>
      </w:r>
      <w:r w:rsidRPr="0072341B">
        <w:rPr>
          <w:lang w:val="es-ES_tradnl"/>
        </w:rPr>
        <w:t>participantes con sólo pulsar un botón.</w:t>
      </w:r>
      <w:r w:rsidR="00607AD8" w:rsidRPr="0072341B">
        <w:rPr>
          <w:lang w:val="es-ES_tradnl"/>
        </w:rPr>
        <w:t xml:space="preserve"> </w:t>
      </w:r>
      <w:r w:rsidR="00E10D87" w:rsidRPr="0072341B">
        <w:rPr>
          <w:lang w:val="es-ES_tradnl"/>
        </w:rPr>
        <w:t>La tecnología de traducción automática, por ejemplo, WIPO Translate, que se especializa en la traducción de documentos de patente, también puede utilizarse para derribar la barrera del idioma. Para utilizar de la mejor manera posible la tecnología de traducción automática, debería almacenarse en las bases de dato la información sobre el idioma del contenido original.</w:t>
      </w:r>
    </w:p>
    <w:p w:rsidR="003C2A9D" w:rsidRPr="0072341B" w:rsidRDefault="003C2A9D" w:rsidP="003C2A9D">
      <w:pPr>
        <w:tabs>
          <w:tab w:val="left" w:pos="567"/>
        </w:tabs>
        <w:rPr>
          <w:lang w:val="es-ES_tradnl"/>
        </w:rPr>
      </w:pPr>
    </w:p>
    <w:p w:rsidR="003C2A9D" w:rsidRPr="0072341B" w:rsidRDefault="003C2A9D" w:rsidP="003C2A9D">
      <w:pPr>
        <w:tabs>
          <w:tab w:val="left" w:pos="567"/>
        </w:tabs>
        <w:rPr>
          <w:lang w:val="es-ES_tradnl"/>
        </w:rPr>
      </w:pPr>
    </w:p>
    <w:p w:rsidR="003C2A9D" w:rsidRPr="0072341B" w:rsidRDefault="003C2A9D" w:rsidP="003C2A9D">
      <w:pPr>
        <w:tabs>
          <w:tab w:val="left" w:pos="567"/>
        </w:tabs>
        <w:rPr>
          <w:lang w:val="es-ES_tradnl"/>
        </w:rPr>
      </w:pPr>
      <w:r w:rsidRPr="0072341B">
        <w:rPr>
          <w:lang w:val="es-ES_tradnl"/>
        </w:rPr>
        <w:t>III.</w:t>
      </w:r>
      <w:r w:rsidRPr="0072341B">
        <w:rPr>
          <w:lang w:val="es-ES_tradnl"/>
        </w:rPr>
        <w:tab/>
      </w:r>
      <w:r w:rsidR="00E10D87" w:rsidRPr="0072341B">
        <w:rPr>
          <w:lang w:val="es-ES_tradnl"/>
        </w:rPr>
        <w:t>SALVAGUARDAR</w:t>
      </w:r>
      <w:r w:rsidRPr="0072341B">
        <w:rPr>
          <w:lang w:val="es-ES_tradnl"/>
        </w:rPr>
        <w:t xml:space="preserve"> EL ACCESO </w:t>
      </w:r>
      <w:r w:rsidR="00E10D87" w:rsidRPr="0072341B">
        <w:rPr>
          <w:lang w:val="es-ES_tradnl"/>
        </w:rPr>
        <w:t>A LOS DATOS</w:t>
      </w:r>
    </w:p>
    <w:p w:rsidR="003C2A9D" w:rsidRPr="0072341B" w:rsidRDefault="003C2A9D" w:rsidP="003C2A9D">
      <w:pPr>
        <w:tabs>
          <w:tab w:val="left" w:pos="567"/>
        </w:tabs>
        <w:rPr>
          <w:lang w:val="es-ES_tradnl"/>
        </w:rPr>
      </w:pPr>
    </w:p>
    <w:p w:rsidR="003C2A9D" w:rsidRPr="0072341B" w:rsidRDefault="00E10D87" w:rsidP="00E10D87">
      <w:pPr>
        <w:widowControl w:val="0"/>
        <w:numPr>
          <w:ilvl w:val="0"/>
          <w:numId w:val="9"/>
        </w:numPr>
        <w:tabs>
          <w:tab w:val="clear" w:pos="450"/>
          <w:tab w:val="left" w:pos="567"/>
        </w:tabs>
        <w:ind w:left="0" w:firstLine="0"/>
        <w:rPr>
          <w:lang w:val="es-ES_tradnl"/>
        </w:rPr>
      </w:pPr>
      <w:r w:rsidRPr="0072341B">
        <w:rPr>
          <w:lang w:val="es-ES_tradnl"/>
        </w:rPr>
        <w:t>Con el fin de impedir el acceso inapropiado/no autorizado a los datos por medio del portal de la OMPI, este debería contar con varios mecanismos destinados a salvaguardar el acceso a los datos. Para</w:t>
      </w:r>
      <w:r w:rsidR="003C2A9D" w:rsidRPr="0072341B">
        <w:rPr>
          <w:lang w:val="es-ES_tradnl"/>
        </w:rPr>
        <w:t xml:space="preserve"> impedir el acceso de terceros, al portal de la OMPI sólo se podrá acceder desde direcciones IP (siglas en inglés de Internet Protocol) previamente registradas. Más específicamente, se incorporará al portal de la OMPI un sistema de autenticación de direcciones IP (IPAAS, por sus siglas en inglés). De esta forma, sólo tendrán acceso las direcciones IP previamente registradas. (Véase el gráfico 1.)</w:t>
      </w:r>
    </w:p>
    <w:p w:rsidR="003C2A9D" w:rsidRPr="0072341B" w:rsidRDefault="003C2A9D" w:rsidP="003C2A9D">
      <w:pPr>
        <w:tabs>
          <w:tab w:val="left" w:pos="567"/>
        </w:tabs>
        <w:rPr>
          <w:lang w:val="es-ES_tradnl"/>
        </w:rPr>
      </w:pPr>
    </w:p>
    <w:p w:rsidR="00D07184"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w:t>
      </w:r>
    </w:p>
    <w:p w:rsidR="003C2A9D" w:rsidRPr="0072341B" w:rsidRDefault="003C2A9D" w:rsidP="003C2A9D">
      <w:pPr>
        <w:widowControl w:val="0"/>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Por otra parte, hay algo de verdad en que los sectores interesados pueden contribuir a que no se concedan patentes por error, realizando una búsqueda del estado de la técnica respecto de sus solicitudes de patentes o de otras solicitudes. Dado lo cual, no debería excluirse del todo la posibilidad de autorizar el acceso limitado del público al portal de la OMPI antes de examin</w:t>
      </w:r>
      <w:r w:rsidR="00E10D87" w:rsidRPr="0072341B">
        <w:rPr>
          <w:lang w:val="es-ES_tradnl"/>
        </w:rPr>
        <w:t>ar detenidamente esta cuestión.</w:t>
      </w:r>
    </w:p>
    <w:p w:rsidR="00CB17D3" w:rsidRPr="0072341B" w:rsidRDefault="00CB17D3" w:rsidP="00CB17D3">
      <w:pPr>
        <w:rPr>
          <w:lang w:val="es-ES_tradnl"/>
        </w:rPr>
      </w:pPr>
    </w:p>
    <w:p w:rsidR="00E10D87" w:rsidRPr="0072341B" w:rsidRDefault="00E10D87" w:rsidP="00E10D87">
      <w:pPr>
        <w:widowControl w:val="0"/>
        <w:numPr>
          <w:ilvl w:val="0"/>
          <w:numId w:val="9"/>
        </w:numPr>
        <w:tabs>
          <w:tab w:val="clear" w:pos="450"/>
          <w:tab w:val="left" w:pos="567"/>
        </w:tabs>
        <w:ind w:left="0" w:firstLine="0"/>
        <w:rPr>
          <w:lang w:val="es-ES_tradnl"/>
        </w:rPr>
      </w:pPr>
      <w:r w:rsidRPr="0072341B">
        <w:rPr>
          <w:lang w:val="es-ES_tradnl"/>
        </w:rPr>
        <w:t>En lo que respecta a impedir la fuga de información, también puede utilizarse el siguiente enfoque (enfoque de 2 niveles) para determinados datos: 1) solo pueden recuperarse datos bibliográficos cuando se realizan búsquedas en el portal de la OMPI, 2) los datos restantes pueden recuperarse de la base de datos tras haber obtenido autorización, por ejemplo, por correo electrónico, según corresponda. Este enfoque puede ser útil para impedir que los datos se recojan mecánicamente, por ejemplo, mediante IA.</w:t>
      </w:r>
    </w:p>
    <w:p w:rsidR="00CB17D3" w:rsidRPr="0072341B" w:rsidRDefault="00CB17D3" w:rsidP="00CB17D3">
      <w:pPr>
        <w:rPr>
          <w:lang w:val="es-ES_tradnl"/>
        </w:rPr>
      </w:pPr>
    </w:p>
    <w:p w:rsidR="003C2A9D" w:rsidRPr="0072341B" w:rsidRDefault="00E10D87" w:rsidP="00E10D87">
      <w:pPr>
        <w:widowControl w:val="0"/>
        <w:numPr>
          <w:ilvl w:val="0"/>
          <w:numId w:val="9"/>
        </w:numPr>
        <w:tabs>
          <w:tab w:val="clear" w:pos="450"/>
          <w:tab w:val="left" w:pos="567"/>
        </w:tabs>
        <w:ind w:left="0" w:firstLine="0"/>
        <w:rPr>
          <w:lang w:val="es-ES_tradnl"/>
        </w:rPr>
      </w:pPr>
      <w:r w:rsidRPr="0072341B">
        <w:rPr>
          <w:lang w:val="es-ES_tradnl"/>
        </w:rPr>
        <w:t>También cabe señalar que el uso de la información contenida en la base de datos se limita al procedimiento de examen de solicitudes de patente. Para evitar el uso no autorizado del contenido, sería útil añadir una advertencia para indicar que la información de la base de datos no es necesariamente de uso público.</w:t>
      </w:r>
    </w:p>
    <w:p w:rsidR="00E10D87" w:rsidRPr="0072341B" w:rsidRDefault="00E10D87" w:rsidP="003C2A9D">
      <w:pPr>
        <w:tabs>
          <w:tab w:val="left" w:pos="567"/>
        </w:tabs>
        <w:rPr>
          <w:lang w:val="es-ES_tradnl"/>
        </w:rPr>
      </w:pPr>
    </w:p>
    <w:p w:rsidR="00E10D87" w:rsidRPr="0072341B" w:rsidRDefault="00E10D87" w:rsidP="003C2A9D">
      <w:pPr>
        <w:tabs>
          <w:tab w:val="left" w:pos="567"/>
        </w:tabs>
        <w:rPr>
          <w:lang w:val="es-ES_tradnl"/>
        </w:rPr>
      </w:pPr>
    </w:p>
    <w:p w:rsidR="003C2A9D" w:rsidRPr="0072341B" w:rsidRDefault="003C2A9D" w:rsidP="003C2A9D">
      <w:pPr>
        <w:tabs>
          <w:tab w:val="left" w:pos="567"/>
        </w:tabs>
        <w:rPr>
          <w:lang w:val="es-ES_tradnl"/>
        </w:rPr>
      </w:pPr>
      <w:r w:rsidRPr="0072341B">
        <w:rPr>
          <w:lang w:val="es-ES_tradnl"/>
        </w:rPr>
        <w:t>IV.</w:t>
      </w:r>
      <w:r w:rsidRPr="0072341B">
        <w:rPr>
          <w:lang w:val="es-ES_tradnl"/>
        </w:rPr>
        <w:tab/>
        <w:t>REGISTRO DE INFORMACIÓN CITADA O QUE SE USA COMO REFERENCIA</w:t>
      </w:r>
    </w:p>
    <w:p w:rsidR="003C2A9D" w:rsidRPr="0072341B" w:rsidRDefault="003C2A9D" w:rsidP="003C2A9D">
      <w:pPr>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3C2A9D" w:rsidRPr="0072341B" w:rsidRDefault="003C2A9D" w:rsidP="003C2A9D">
      <w:pPr>
        <w:tabs>
          <w:tab w:val="left" w:pos="567"/>
        </w:tabs>
        <w:rPr>
          <w:lang w:val="es-ES_tradnl"/>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Cabe señalar, sin embargo, que los datos que figuran en una solicitud de patente que es objeto de una referencia cruzada con y/o conocimientos tradicionales no secretos asociados a los recursos genéticos anotados en una base de datos no guardan relación con el hecho de que la invención reivindicada en la solicitud haya sido o no hecha de conformidad con lo dispuesto en el CDB.</w:t>
      </w:r>
    </w:p>
    <w:p w:rsidR="003C2A9D" w:rsidRPr="0072341B" w:rsidRDefault="003C2A9D" w:rsidP="003C2A9D">
      <w:pPr>
        <w:widowControl w:val="0"/>
        <w:tabs>
          <w:tab w:val="left" w:pos="567"/>
        </w:tabs>
        <w:rPr>
          <w:rFonts w:eastAsia="MS Mincho" w:cs="Courier New"/>
          <w:szCs w:val="26"/>
          <w:lang w:val="es-ES_tradnl" w:eastAsia="ja-JP"/>
        </w:rPr>
      </w:pPr>
    </w:p>
    <w:p w:rsidR="003C2A9D" w:rsidRPr="0072341B" w:rsidRDefault="003C2A9D" w:rsidP="003C2A9D">
      <w:pPr>
        <w:widowControl w:val="0"/>
        <w:tabs>
          <w:tab w:val="left" w:pos="567"/>
        </w:tabs>
        <w:rPr>
          <w:rFonts w:eastAsia="MS Mincho" w:cs="Courier New"/>
          <w:szCs w:val="26"/>
          <w:lang w:val="es-ES_tradnl" w:eastAsia="ja-JP"/>
        </w:rPr>
      </w:pPr>
    </w:p>
    <w:p w:rsidR="003C2A9D" w:rsidRPr="0072341B" w:rsidRDefault="003C2A9D" w:rsidP="003C2A9D">
      <w:pPr>
        <w:widowControl w:val="0"/>
        <w:tabs>
          <w:tab w:val="left" w:pos="567"/>
        </w:tabs>
        <w:rPr>
          <w:rFonts w:eastAsia="MS Mincho" w:cs="Courier New"/>
          <w:szCs w:val="26"/>
          <w:lang w:val="es-ES_tradnl"/>
        </w:rPr>
      </w:pPr>
      <w:r w:rsidRPr="0072341B">
        <w:rPr>
          <w:lang w:val="es-ES_tradnl"/>
        </w:rPr>
        <w:t>V.</w:t>
      </w:r>
      <w:r w:rsidRPr="0072341B">
        <w:rPr>
          <w:lang w:val="es-ES_tradnl"/>
        </w:rPr>
        <w:tab/>
        <w:t>APLICACIÓN</w:t>
      </w:r>
    </w:p>
    <w:p w:rsidR="003C2A9D" w:rsidRPr="0072341B" w:rsidRDefault="003C2A9D" w:rsidP="003C2A9D">
      <w:pPr>
        <w:widowControl w:val="0"/>
        <w:tabs>
          <w:tab w:val="left" w:pos="567"/>
        </w:tabs>
        <w:rPr>
          <w:rFonts w:eastAsia="MS Mincho"/>
          <w:lang w:val="es-ES_tradnl" w:eastAsia="ja-JP"/>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El establecimiento, mejora y utilización de las bases de datos estará sujeto a la disponibilidad de los recursos.</w:t>
      </w:r>
    </w:p>
    <w:p w:rsidR="003C2A9D" w:rsidRPr="0072341B" w:rsidRDefault="003C2A9D" w:rsidP="003C2A9D">
      <w:pPr>
        <w:widowControl w:val="0"/>
        <w:tabs>
          <w:tab w:val="left" w:pos="567"/>
        </w:tabs>
        <w:rPr>
          <w:lang w:val="es-ES_tradnl"/>
        </w:rPr>
      </w:pPr>
    </w:p>
    <w:p w:rsidR="00D07184"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3C2A9D" w:rsidRPr="0072341B" w:rsidRDefault="003C2A9D" w:rsidP="003C2A9D">
      <w:pPr>
        <w:widowControl w:val="0"/>
        <w:tabs>
          <w:tab w:val="left" w:pos="567"/>
        </w:tabs>
        <w:rPr>
          <w:lang w:val="es-ES_tradnl"/>
        </w:rPr>
      </w:pPr>
    </w:p>
    <w:p w:rsidR="003C2A9D" w:rsidRPr="0072341B" w:rsidRDefault="003C2A9D" w:rsidP="003C2A9D">
      <w:pPr>
        <w:widowControl w:val="0"/>
        <w:tabs>
          <w:tab w:val="left" w:pos="567"/>
        </w:tabs>
        <w:rPr>
          <w:lang w:val="es-ES_tradnl"/>
        </w:rPr>
      </w:pPr>
    </w:p>
    <w:p w:rsidR="003C2A9D" w:rsidRPr="0072341B" w:rsidRDefault="00F32588" w:rsidP="003C2A9D">
      <w:pPr>
        <w:widowControl w:val="0"/>
        <w:tabs>
          <w:tab w:val="left" w:pos="567"/>
        </w:tabs>
        <w:rPr>
          <w:rFonts w:eastAsia="MS Mincho"/>
          <w:lang w:val="es-ES_tradnl"/>
        </w:rPr>
      </w:pPr>
      <w:r w:rsidRPr="0072341B">
        <w:rPr>
          <w:lang w:val="es-ES_tradnl"/>
        </w:rPr>
        <w:t>VI.</w:t>
      </w:r>
      <w:r w:rsidRPr="0072341B">
        <w:rPr>
          <w:lang w:val="es-ES_tradnl"/>
        </w:rPr>
        <w:tab/>
        <w:t>LABOR FUTURA</w:t>
      </w:r>
    </w:p>
    <w:p w:rsidR="003C2A9D" w:rsidRPr="0072341B" w:rsidRDefault="003C2A9D" w:rsidP="003C2A9D">
      <w:pPr>
        <w:widowControl w:val="0"/>
        <w:tabs>
          <w:tab w:val="left" w:pos="567"/>
        </w:tabs>
        <w:rPr>
          <w:rFonts w:eastAsia="MS Mincho"/>
          <w:lang w:val="es-ES_tradnl" w:eastAsia="ja-JP"/>
        </w:rPr>
      </w:pPr>
    </w:p>
    <w:p w:rsidR="003C2A9D" w:rsidRPr="0072341B" w:rsidRDefault="003C2A9D" w:rsidP="003C2A9D">
      <w:pPr>
        <w:widowControl w:val="0"/>
        <w:numPr>
          <w:ilvl w:val="0"/>
          <w:numId w:val="9"/>
        </w:numPr>
        <w:tabs>
          <w:tab w:val="clear" w:pos="450"/>
          <w:tab w:val="left" w:pos="567"/>
        </w:tabs>
        <w:ind w:left="0" w:firstLine="0"/>
        <w:rPr>
          <w:lang w:val="es-ES_tradnl"/>
        </w:rPr>
      </w:pPr>
      <w:r w:rsidRPr="0072341B">
        <w:rPr>
          <w:lang w:val="es-ES_tradnl"/>
        </w:rPr>
        <w:t>Se invita a los Estados miembros a considerar las siguientes cuestiones esenciales y compartir sus opiniones y experiencias al respecto:</w:t>
      </w:r>
    </w:p>
    <w:p w:rsidR="003C2A9D" w:rsidRPr="0072341B" w:rsidRDefault="003C2A9D" w:rsidP="003C2A9D">
      <w:pPr>
        <w:widowControl w:val="0"/>
        <w:tabs>
          <w:tab w:val="left" w:pos="567"/>
        </w:tabs>
        <w:rPr>
          <w:lang w:val="es-ES_tradnl"/>
        </w:rPr>
      </w:pPr>
    </w:p>
    <w:p w:rsidR="003C2A9D" w:rsidRPr="0072341B" w:rsidRDefault="003C2A9D" w:rsidP="00F32588">
      <w:pPr>
        <w:pStyle w:val="ListParagraph"/>
        <w:widowControl w:val="0"/>
        <w:numPr>
          <w:ilvl w:val="0"/>
          <w:numId w:val="12"/>
        </w:numPr>
        <w:tabs>
          <w:tab w:val="left" w:pos="450"/>
        </w:tabs>
        <w:ind w:left="450" w:hanging="450"/>
        <w:rPr>
          <w:lang w:val="es-ES_tradnl"/>
        </w:rPr>
      </w:pPr>
      <w:r w:rsidRPr="0072341B">
        <w:rPr>
          <w:lang w:val="es-ES_tradnl"/>
        </w:rPr>
        <w:t>datos estructurados que han de almacenarse en las bases de datos (por ejemplo, recursos genéticos y conocimientos tradicionales no secretos asociados a los recursos genéticos), a fin de realizar una búsqueda eficaz del estado de la técnica;</w:t>
      </w:r>
    </w:p>
    <w:p w:rsidR="00F32588" w:rsidRPr="0072341B" w:rsidRDefault="00F32588" w:rsidP="00D04FD7">
      <w:pPr>
        <w:pStyle w:val="ListParagraph"/>
        <w:keepNext/>
        <w:widowControl w:val="0"/>
        <w:numPr>
          <w:ilvl w:val="0"/>
          <w:numId w:val="12"/>
        </w:numPr>
        <w:tabs>
          <w:tab w:val="left" w:pos="450"/>
        </w:tabs>
        <w:ind w:left="450" w:hanging="450"/>
        <w:rPr>
          <w:lang w:val="es-ES_tradnl"/>
        </w:rPr>
      </w:pPr>
      <w:r w:rsidRPr="0072341B">
        <w:rPr>
          <w:lang w:val="es-ES_tradnl"/>
        </w:rPr>
        <w:t xml:space="preserve">Normas de compatibilidad entre los sistemas de información de los Estados Miembros, </w:t>
      </w:r>
      <w:r w:rsidR="00E506D1" w:rsidRPr="0072341B">
        <w:rPr>
          <w:lang w:val="es-ES_tradnl"/>
        </w:rPr>
        <w:t>a saber,</w:t>
      </w:r>
      <w:r w:rsidRPr="0072341B">
        <w:rPr>
          <w:lang w:val="es-ES_tradnl"/>
        </w:rPr>
        <w:t xml:space="preserve"> normas respecto de i) formatos de los datos (por ejemplo, XML, campos de datos, etcétera), ii) datos de contenido (por ejemplo, caracterización, función, clasificación, taxonomía o nombre científico de los recursos genéticos, información sobre el idioma, etcétera), iii) metadatos sobre los derechos (por ejemplo, titular de los derechos, materia, fecha de la catalogación, fecha de puesta en conocimiento del público, etcétera) o iv) estructuras de los sistemas y servicios de información y servicios (por ejemplo, API, etcétera);</w:t>
      </w:r>
    </w:p>
    <w:p w:rsidR="003C2A9D" w:rsidRPr="0072341B" w:rsidRDefault="003C2A9D" w:rsidP="00F32588">
      <w:pPr>
        <w:pStyle w:val="ListParagraph"/>
        <w:widowControl w:val="0"/>
        <w:numPr>
          <w:ilvl w:val="0"/>
          <w:numId w:val="12"/>
        </w:numPr>
        <w:tabs>
          <w:tab w:val="left" w:pos="450"/>
        </w:tabs>
        <w:ind w:left="450" w:hanging="450"/>
        <w:rPr>
          <w:lang w:val="es-ES_tradnl"/>
        </w:rPr>
      </w:pPr>
      <w:r w:rsidRPr="0072341B">
        <w:rPr>
          <w:lang w:val="es-ES_tradnl"/>
        </w:rPr>
        <w:t>la modalidad admisible de estado de la técnica (por ejemplo, forma escrita y forma oral) de conformidad con la legislación y práctica de cada país;</w:t>
      </w:r>
    </w:p>
    <w:p w:rsidR="003C2A9D" w:rsidRPr="0072341B" w:rsidRDefault="003C2A9D" w:rsidP="00F32588">
      <w:pPr>
        <w:pStyle w:val="ListParagraph"/>
        <w:widowControl w:val="0"/>
        <w:numPr>
          <w:ilvl w:val="0"/>
          <w:numId w:val="12"/>
        </w:numPr>
        <w:tabs>
          <w:tab w:val="left" w:pos="450"/>
        </w:tabs>
        <w:ind w:left="450" w:hanging="450"/>
        <w:rPr>
          <w:lang w:val="es-ES_tradnl"/>
        </w:rPr>
      </w:pPr>
      <w:r w:rsidRPr="0072341B">
        <w:rPr>
          <w:lang w:val="es-ES_tradnl"/>
        </w:rPr>
        <w:t>la accesibilidad del portal de la OMPI (por ejemplo, Oficinas de PI y sectores interesados</w:t>
      </w:r>
      <w:r w:rsidR="00D3069F" w:rsidRPr="0072341B">
        <w:rPr>
          <w:lang w:val="es-ES_tradnl"/>
        </w:rPr>
        <w:t xml:space="preserve"> autorizados</w:t>
      </w:r>
      <w:r w:rsidRPr="0072341B">
        <w:rPr>
          <w:lang w:val="es-ES_tradnl"/>
        </w:rPr>
        <w:t>);</w:t>
      </w:r>
    </w:p>
    <w:p w:rsidR="003C2A9D" w:rsidRPr="0072341B" w:rsidRDefault="003C2A9D" w:rsidP="00F32588">
      <w:pPr>
        <w:pStyle w:val="ListParagraph"/>
        <w:widowControl w:val="0"/>
        <w:numPr>
          <w:ilvl w:val="0"/>
          <w:numId w:val="12"/>
        </w:numPr>
        <w:tabs>
          <w:tab w:val="left" w:pos="450"/>
        </w:tabs>
        <w:ind w:left="450" w:hanging="450"/>
        <w:rPr>
          <w:lang w:val="es-ES_tradnl"/>
        </w:rPr>
      </w:pPr>
      <w:r w:rsidRPr="0072341B">
        <w:rPr>
          <w:lang w:val="es-ES_tradnl"/>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3C2A9D" w:rsidRPr="0072341B" w:rsidRDefault="003C2A9D" w:rsidP="00F32588">
      <w:pPr>
        <w:pStyle w:val="ListParagraph"/>
        <w:widowControl w:val="0"/>
        <w:numPr>
          <w:ilvl w:val="0"/>
          <w:numId w:val="12"/>
        </w:numPr>
        <w:tabs>
          <w:tab w:val="left" w:pos="450"/>
        </w:tabs>
        <w:ind w:left="450" w:hanging="450"/>
        <w:rPr>
          <w:lang w:val="es-ES_tradnl"/>
        </w:rPr>
      </w:pPr>
      <w:r w:rsidRPr="0072341B">
        <w:rPr>
          <w:lang w:val="es-ES_tradnl"/>
        </w:rPr>
        <w:t>el procedimiento utilizado para alimentar las bases de datos nacionales (por ejemplo, las consultas con los s</w:t>
      </w:r>
      <w:r w:rsidR="00D3069F" w:rsidRPr="0072341B">
        <w:rPr>
          <w:lang w:val="es-ES_tradnl"/>
        </w:rPr>
        <w:t>ectores indígenas interesados).</w:t>
      </w:r>
    </w:p>
    <w:p w:rsidR="003C2A9D" w:rsidRPr="0072341B" w:rsidRDefault="003C2A9D" w:rsidP="003C2A9D">
      <w:pPr>
        <w:widowControl w:val="0"/>
        <w:tabs>
          <w:tab w:val="left" w:pos="567"/>
        </w:tabs>
        <w:rPr>
          <w:lang w:val="es-ES_tradnl"/>
        </w:rPr>
      </w:pPr>
    </w:p>
    <w:p w:rsidR="003C2A9D" w:rsidRPr="0072341B" w:rsidRDefault="003C2A9D" w:rsidP="002F30BA">
      <w:pPr>
        <w:widowControl w:val="0"/>
        <w:numPr>
          <w:ilvl w:val="0"/>
          <w:numId w:val="9"/>
        </w:numPr>
        <w:tabs>
          <w:tab w:val="clear" w:pos="450"/>
          <w:tab w:val="left" w:pos="567"/>
        </w:tabs>
        <w:ind w:left="0" w:firstLine="0"/>
        <w:rPr>
          <w:lang w:val="es-ES_tradnl"/>
        </w:rPr>
      </w:pPr>
      <w:r w:rsidRPr="0072341B">
        <w:rPr>
          <w:lang w:val="es-ES_tradnl"/>
        </w:rPr>
        <w:t xml:space="preserve">La Oficina Internacional de la OMPI debe estudiar la posibilidad de </w:t>
      </w:r>
      <w:r w:rsidR="00D3069F" w:rsidRPr="0072341B">
        <w:rPr>
          <w:lang w:val="es-ES_tradnl"/>
        </w:rPr>
        <w:t xml:space="preserve">desarrollar el portal de la OMPI </w:t>
      </w:r>
      <w:r w:rsidRPr="0072341B">
        <w:rPr>
          <w:lang w:val="es-ES_tradnl"/>
        </w:rPr>
        <w:t>sin perjuicio de</w:t>
      </w:r>
      <w:r w:rsidR="00D3069F" w:rsidRPr="0072341B">
        <w:rPr>
          <w:lang w:val="es-ES_tradnl"/>
        </w:rPr>
        <w:t xml:space="preserve"> sus facultades</w:t>
      </w:r>
      <w:r w:rsidRPr="0072341B">
        <w:rPr>
          <w:lang w:val="es-ES_tradnl"/>
        </w:rPr>
        <w:t xml:space="preserve">. </w:t>
      </w:r>
      <w:r w:rsidR="00E64169" w:rsidRPr="0072341B">
        <w:rPr>
          <w:lang w:val="es-ES_tradnl"/>
        </w:rPr>
        <w:t>Habida cuenta de la complejidad de las cuestiones técnicas, jurídicas y operativas relacionadas con la creación y el mantenimiento de bases de datos sobre recursos genéticos y conocimientos tradicionales no secretos, el CIG debería crear un Equipo Técnico. E</w:t>
      </w:r>
      <w:r w:rsidR="00E506D1" w:rsidRPr="0072341B">
        <w:rPr>
          <w:lang w:val="es-ES_tradnl"/>
        </w:rPr>
        <w:t>ste</w:t>
      </w:r>
      <w:r w:rsidR="00E64169" w:rsidRPr="0072341B">
        <w:rPr>
          <w:lang w:val="es-ES_tradnl"/>
        </w:rPr>
        <w:t>, en cooperación con la Oficina Internacional de la OMPI, debería llevar a cabo los estudios de viabilidad, que podrán incluir, entre otras cosas</w:t>
      </w:r>
      <w:r w:rsidRPr="0072341B">
        <w:rPr>
          <w:lang w:val="es-ES_tradnl"/>
        </w:rPr>
        <w:t>:</w:t>
      </w:r>
    </w:p>
    <w:p w:rsidR="003C2A9D" w:rsidRPr="0072341B" w:rsidRDefault="003C2A9D" w:rsidP="003C2A9D">
      <w:pPr>
        <w:widowControl w:val="0"/>
        <w:tabs>
          <w:tab w:val="left" w:pos="567"/>
        </w:tabs>
        <w:rPr>
          <w:lang w:val="es-ES_tradnl"/>
        </w:rPr>
      </w:pPr>
    </w:p>
    <w:p w:rsidR="003C2A9D" w:rsidRPr="0072341B" w:rsidRDefault="00033E67" w:rsidP="00E64169">
      <w:pPr>
        <w:pStyle w:val="ListParagraph"/>
        <w:widowControl w:val="0"/>
        <w:numPr>
          <w:ilvl w:val="0"/>
          <w:numId w:val="13"/>
        </w:numPr>
        <w:tabs>
          <w:tab w:val="left" w:pos="450"/>
        </w:tabs>
        <w:ind w:left="450" w:hanging="450"/>
        <w:rPr>
          <w:lang w:val="es-ES_tradnl"/>
        </w:rPr>
      </w:pPr>
      <w:r w:rsidRPr="0072341B">
        <w:rPr>
          <w:lang w:val="es-ES_tradnl"/>
        </w:rPr>
        <w:t>estudiar</w:t>
      </w:r>
      <w:r w:rsidR="003C2A9D" w:rsidRPr="0072341B">
        <w:rPr>
          <w:lang w:val="es-ES_tradnl"/>
        </w:rPr>
        <w:t xml:space="preserve"> los requisitos técnicos necesarios para establecer la conexión entre el portal de la OMPI y las bases de</w:t>
      </w:r>
      <w:r w:rsidR="00E64169" w:rsidRPr="0072341B">
        <w:rPr>
          <w:lang w:val="es-ES_tradnl"/>
        </w:rPr>
        <w:t xml:space="preserve"> datos de los Estados miembros, teniendo en cuenta las cuestiones clave indicadas en el párrafo 21;</w:t>
      </w:r>
    </w:p>
    <w:p w:rsidR="00E64169" w:rsidRPr="0072341B" w:rsidRDefault="00033E67" w:rsidP="004057D1">
      <w:pPr>
        <w:pStyle w:val="ListParagraph"/>
        <w:widowControl w:val="0"/>
        <w:numPr>
          <w:ilvl w:val="0"/>
          <w:numId w:val="13"/>
        </w:numPr>
        <w:tabs>
          <w:tab w:val="left" w:pos="450"/>
        </w:tabs>
        <w:ind w:left="450" w:hanging="450"/>
        <w:rPr>
          <w:lang w:val="es-ES_tradnl"/>
        </w:rPr>
      </w:pPr>
      <w:r w:rsidRPr="0072341B">
        <w:rPr>
          <w:lang w:val="es-ES_tradnl"/>
        </w:rPr>
        <w:t xml:space="preserve">estudiar la </w:t>
      </w:r>
      <w:r w:rsidR="004057D1" w:rsidRPr="0072341B">
        <w:rPr>
          <w:lang w:val="es-ES_tradnl"/>
        </w:rPr>
        <w:t>viabilidad (incluyendo la costoeficacia y la sostenibilidad) de crear bases de datos en la OMPI a partir de datos suministrados de forma voluntaria por los Estados miembros y vincular esas bases de datos al portal de la OMPI,</w:t>
      </w:r>
    </w:p>
    <w:p w:rsidR="004057D1" w:rsidRPr="0072341B" w:rsidRDefault="00033E67" w:rsidP="004057D1">
      <w:pPr>
        <w:pStyle w:val="ListParagraph"/>
        <w:widowControl w:val="0"/>
        <w:numPr>
          <w:ilvl w:val="0"/>
          <w:numId w:val="13"/>
        </w:numPr>
        <w:tabs>
          <w:tab w:val="left" w:pos="450"/>
        </w:tabs>
        <w:ind w:left="450" w:hanging="450"/>
        <w:rPr>
          <w:lang w:val="es-ES_tradnl"/>
        </w:rPr>
      </w:pPr>
      <w:r w:rsidRPr="0072341B">
        <w:rPr>
          <w:lang w:val="es-ES_tradnl"/>
        </w:rPr>
        <w:t xml:space="preserve">hallar métodos </w:t>
      </w:r>
      <w:r w:rsidR="004057D1" w:rsidRPr="0072341B">
        <w:rPr>
          <w:lang w:val="es-ES_tradnl"/>
        </w:rPr>
        <w:t>eficientes y eficaces de búsqueda en bases de datos sobre recursos genéticos y conocimientos tradicionales no secretos asociados a los recursos genéticos, teniendo en cuenta la utilización de tecnologías de vanguardia como la IA,</w:t>
      </w:r>
    </w:p>
    <w:p w:rsidR="00033E67" w:rsidRPr="0072341B" w:rsidRDefault="00033E67" w:rsidP="00033E67">
      <w:pPr>
        <w:pStyle w:val="ListParagraph"/>
        <w:widowControl w:val="0"/>
        <w:numPr>
          <w:ilvl w:val="0"/>
          <w:numId w:val="13"/>
        </w:numPr>
        <w:tabs>
          <w:tab w:val="left" w:pos="450"/>
        </w:tabs>
        <w:ind w:left="450" w:hanging="450"/>
        <w:rPr>
          <w:lang w:val="es-ES_tradnl"/>
        </w:rPr>
      </w:pPr>
      <w:r w:rsidRPr="0072341B">
        <w:rPr>
          <w:lang w:val="es-ES_tradnl"/>
        </w:rPr>
        <w:t>considerar la elaboración de directrices relativas a las salvaguardias,</w:t>
      </w:r>
    </w:p>
    <w:p w:rsidR="003C2A9D" w:rsidRPr="0072341B" w:rsidRDefault="00033E67" w:rsidP="00E64169">
      <w:pPr>
        <w:pStyle w:val="ListParagraph"/>
        <w:widowControl w:val="0"/>
        <w:numPr>
          <w:ilvl w:val="0"/>
          <w:numId w:val="13"/>
        </w:numPr>
        <w:tabs>
          <w:tab w:val="left" w:pos="450"/>
        </w:tabs>
        <w:ind w:left="450" w:hanging="450"/>
        <w:rPr>
          <w:lang w:val="es-ES_tradnl"/>
        </w:rPr>
      </w:pPr>
      <w:r w:rsidRPr="0072341B">
        <w:rPr>
          <w:lang w:val="es-ES_tradnl"/>
        </w:rPr>
        <w:t xml:space="preserve">a partir de los estudios indicados en los puntos 1) a 4) del presente párrafo, </w:t>
      </w:r>
      <w:r w:rsidR="003C2A9D" w:rsidRPr="0072341B">
        <w:rPr>
          <w:lang w:val="es-ES_tradnl"/>
        </w:rPr>
        <w:t>crea</w:t>
      </w:r>
      <w:r w:rsidRPr="0072341B">
        <w:rPr>
          <w:lang w:val="es-ES_tradnl"/>
        </w:rPr>
        <w:t>r</w:t>
      </w:r>
      <w:r w:rsidR="003C2A9D" w:rsidRPr="0072341B">
        <w:rPr>
          <w:lang w:val="es-ES_tradnl"/>
        </w:rPr>
        <w:t xml:space="preserve"> un prototipo de portal de la OMPI y un proyecto de directrices para el uso y las funciones de la base de datos;</w:t>
      </w:r>
    </w:p>
    <w:p w:rsidR="003C2A9D" w:rsidRPr="0072341B" w:rsidRDefault="00033E67" w:rsidP="00033E67">
      <w:pPr>
        <w:pStyle w:val="ListParagraph"/>
        <w:widowControl w:val="0"/>
        <w:numPr>
          <w:ilvl w:val="0"/>
          <w:numId w:val="13"/>
        </w:numPr>
        <w:tabs>
          <w:tab w:val="left" w:pos="450"/>
        </w:tabs>
        <w:ind w:left="450" w:hanging="450"/>
        <w:rPr>
          <w:lang w:val="es-ES_tradnl"/>
        </w:rPr>
      </w:pPr>
      <w:r w:rsidRPr="0072341B">
        <w:rPr>
          <w:lang w:val="es-ES_tradnl"/>
        </w:rPr>
        <w:t>considerar la eventualidad de ofrecer asistencia técnica a los Estados miembros para la elaboración de la base de datos nacional.</w:t>
      </w:r>
    </w:p>
    <w:p w:rsidR="002F30BA" w:rsidRPr="0072341B" w:rsidRDefault="002F30BA" w:rsidP="002F30BA">
      <w:pPr>
        <w:widowControl w:val="0"/>
        <w:tabs>
          <w:tab w:val="left" w:pos="450"/>
        </w:tabs>
        <w:rPr>
          <w:lang w:val="es-ES_tradnl"/>
        </w:rPr>
      </w:pPr>
    </w:p>
    <w:p w:rsidR="0072341B" w:rsidRPr="0072341B" w:rsidRDefault="002F30BA" w:rsidP="004A6C2F">
      <w:pPr>
        <w:widowControl w:val="0"/>
        <w:numPr>
          <w:ilvl w:val="0"/>
          <w:numId w:val="9"/>
        </w:numPr>
        <w:tabs>
          <w:tab w:val="clear" w:pos="450"/>
          <w:tab w:val="left" w:pos="567"/>
        </w:tabs>
        <w:ind w:left="0" w:firstLine="0"/>
        <w:rPr>
          <w:lang w:val="es-ES_tradnl"/>
        </w:rPr>
      </w:pPr>
      <w:r w:rsidRPr="0072341B">
        <w:rPr>
          <w:lang w:val="es-ES_tradnl"/>
        </w:rPr>
        <w:t>Se invita también a los Estados miembros a considerar el desarrollo de sistemas de información relacionados con los conocimientos tradicionales y las expresiones culturales tradicionales, con la participación de los pueblos indígenas y las comunidades locales, y a abordar las cuestiones técnicas, jurídicas y operativas relacionadas con dichos sistemas de información, remitiéndose, según corresponda, a la información contenida en el presente documento.</w:t>
      </w:r>
    </w:p>
    <w:p w:rsidR="00D04FD7" w:rsidRPr="0072341B" w:rsidRDefault="00D04FD7" w:rsidP="004A6C2F">
      <w:pPr>
        <w:widowControl w:val="0"/>
        <w:numPr>
          <w:ilvl w:val="0"/>
          <w:numId w:val="9"/>
        </w:numPr>
        <w:tabs>
          <w:tab w:val="clear" w:pos="450"/>
          <w:tab w:val="left" w:pos="567"/>
        </w:tabs>
        <w:ind w:left="0" w:firstLine="0"/>
        <w:rPr>
          <w:lang w:val="es-ES_tradnl"/>
        </w:rPr>
      </w:pPr>
      <w:r w:rsidRPr="0072341B">
        <w:rPr>
          <w:lang w:val="es-ES_tradnl"/>
        </w:rPr>
        <w:br w:type="page"/>
      </w:r>
    </w:p>
    <w:p w:rsidR="002F30BA" w:rsidRPr="0072341B" w:rsidRDefault="002F30BA" w:rsidP="003C2A9D">
      <w:pPr>
        <w:tabs>
          <w:tab w:val="left" w:pos="567"/>
        </w:tabs>
        <w:rPr>
          <w:szCs w:val="22"/>
          <w:lang w:val="es-ES_tradnl"/>
        </w:rPr>
      </w:pPr>
      <w:r w:rsidRPr="0072341B">
        <w:rPr>
          <w:rFonts w:ascii="Times New Roman" w:eastAsia="Times New Roman" w:hAnsi="Times New Roman" w:cs="Times New Roman"/>
          <w:noProof/>
          <w:sz w:val="24"/>
          <w:szCs w:val="24"/>
          <w:lang w:val="en-US" w:eastAsia="en-US"/>
        </w:rPr>
        <w:drawing>
          <wp:anchor distT="0" distB="0" distL="114300" distR="114300" simplePos="0" relativeHeight="251659264" behindDoc="1" locked="0" layoutInCell="1" allowOverlap="1" wp14:anchorId="2B9B9A87" wp14:editId="0B840636">
            <wp:simplePos x="0" y="0"/>
            <wp:positionH relativeFrom="margin">
              <wp:posOffset>71180</wp:posOffset>
            </wp:positionH>
            <wp:positionV relativeFrom="paragraph">
              <wp:posOffset>79186</wp:posOffset>
            </wp:positionV>
            <wp:extent cx="5934075" cy="3971925"/>
            <wp:effectExtent l="0" t="0" r="9525" b="9525"/>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3971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2F30BA" w:rsidP="003C2A9D">
      <w:pPr>
        <w:tabs>
          <w:tab w:val="left" w:pos="567"/>
        </w:tabs>
        <w:rPr>
          <w:szCs w:val="22"/>
          <w:lang w:val="es-ES_tradnl"/>
        </w:rPr>
      </w:pPr>
    </w:p>
    <w:p w:rsidR="002F30BA" w:rsidRPr="0072341B" w:rsidRDefault="00D04FD7" w:rsidP="003C2A9D">
      <w:pPr>
        <w:tabs>
          <w:tab w:val="left" w:pos="567"/>
        </w:tabs>
        <w:rPr>
          <w:szCs w:val="22"/>
          <w:lang w:val="es-ES_tradnl"/>
        </w:rPr>
      </w:pPr>
      <w:r w:rsidRPr="0072341B">
        <w:rPr>
          <w:rFonts w:ascii="Times New Roman" w:eastAsia="Times New Roman" w:hAnsi="Times New Roman" w:cs="Times New Roman"/>
          <w:noProof/>
          <w:sz w:val="24"/>
          <w:szCs w:val="24"/>
          <w:lang w:val="en-US" w:eastAsia="en-US"/>
        </w:rPr>
        <w:drawing>
          <wp:anchor distT="0" distB="0" distL="114300" distR="114300" simplePos="0" relativeHeight="251661312" behindDoc="1" locked="0" layoutInCell="1" allowOverlap="1" wp14:anchorId="095767A4" wp14:editId="792FB460">
            <wp:simplePos x="0" y="0"/>
            <wp:positionH relativeFrom="margin">
              <wp:posOffset>63026</wp:posOffset>
            </wp:positionH>
            <wp:positionV relativeFrom="paragraph">
              <wp:posOffset>4414</wp:posOffset>
            </wp:positionV>
            <wp:extent cx="5934075" cy="2914650"/>
            <wp:effectExtent l="0" t="0" r="9525"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4075" cy="291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D04FD7" w:rsidRPr="0072341B" w:rsidRDefault="00D04FD7" w:rsidP="00D04FD7">
      <w:pPr>
        <w:tabs>
          <w:tab w:val="left" w:pos="567"/>
        </w:tabs>
        <w:rPr>
          <w:szCs w:val="22"/>
          <w:lang w:val="es-ES_tradnl"/>
        </w:rPr>
      </w:pPr>
    </w:p>
    <w:p w:rsidR="003C2A9D" w:rsidRPr="0072341B" w:rsidRDefault="00D04FD7" w:rsidP="00D04FD7">
      <w:pPr>
        <w:tabs>
          <w:tab w:val="left" w:pos="567"/>
        </w:tabs>
        <w:ind w:left="5490"/>
        <w:rPr>
          <w:szCs w:val="22"/>
          <w:lang w:val="es-ES_tradnl"/>
        </w:rPr>
      </w:pPr>
      <w:r w:rsidRPr="0072341B">
        <w:rPr>
          <w:lang w:val="es-ES_tradnl"/>
        </w:rPr>
        <w:t>[Fin del Anexo y del documento]</w:t>
      </w:r>
    </w:p>
    <w:sectPr w:rsidR="003C2A9D" w:rsidRPr="0072341B" w:rsidSect="0072341B">
      <w:headerReference w:type="default" r:id="rId17"/>
      <w:head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A9D" w:rsidRDefault="003C2A9D">
      <w:r>
        <w:separator/>
      </w:r>
    </w:p>
  </w:endnote>
  <w:endnote w:type="continuationSeparator" w:id="0">
    <w:p w:rsidR="003C2A9D" w:rsidRPr="009D30E6" w:rsidRDefault="003C2A9D" w:rsidP="007E663E">
      <w:pPr>
        <w:rPr>
          <w:sz w:val="17"/>
          <w:szCs w:val="17"/>
        </w:rPr>
      </w:pPr>
      <w:r w:rsidRPr="009D30E6">
        <w:rPr>
          <w:sz w:val="17"/>
          <w:szCs w:val="17"/>
        </w:rPr>
        <w:separator/>
      </w:r>
    </w:p>
    <w:p w:rsidR="003C2A9D" w:rsidRPr="007E663E" w:rsidRDefault="003C2A9D" w:rsidP="007E663E">
      <w:pPr>
        <w:spacing w:after="60"/>
        <w:rPr>
          <w:sz w:val="17"/>
          <w:szCs w:val="17"/>
        </w:rPr>
      </w:pPr>
      <w:r>
        <w:rPr>
          <w:sz w:val="17"/>
        </w:rPr>
        <w:t>[Continuación de la nota de la página anterior]</w:t>
      </w:r>
    </w:p>
  </w:endnote>
  <w:endnote w:type="continuationNotice" w:id="1">
    <w:p w:rsidR="003C2A9D" w:rsidRPr="007E663E" w:rsidRDefault="003C2A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E" w:rsidRDefault="007C2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41B" w:rsidRDefault="0072341B">
    <w:pPr>
      <w:pStyle w:val="Footer"/>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d5eb41658cd58458a191a16f"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341B" w:rsidRPr="0072341B" w:rsidRDefault="0072341B" w:rsidP="0072341B">
                          <w:pPr>
                            <w:jc w:val="center"/>
                            <w:rPr>
                              <w:rFonts w:ascii="Calibri" w:hAnsi="Calibri" w:cs="Calibri"/>
                              <w:color w:val="000000"/>
                              <w:sz w:val="20"/>
                            </w:rPr>
                          </w:pPr>
                          <w:r w:rsidRPr="0072341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5eb41658cd58458a191a16f"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HJUjwGgMAAD0GAAAOAAAAAAAAAAAA&#10;AAAAAC4CAABkcnMvZTJvRG9jLnhtbFBLAQItABQABgAIAAAAIQARcqd+3wAAAAsBAAAPAAAAAAAA&#10;AAAAAAAAAHQFAABkcnMvZG93bnJldi54bWxQSwUGAAAAAAQABADzAAAAgAYAAAAA&#10;" o:allowincell="f" filled="f" stroked="f" strokeweight=".5pt">
              <v:fill o:detectmouseclick="t"/>
              <v:textbox inset=",0,,0">
                <w:txbxContent>
                  <w:p w:rsidR="0072341B" w:rsidRPr="0072341B" w:rsidRDefault="0072341B" w:rsidP="0072341B">
                    <w:pPr>
                      <w:jc w:val="center"/>
                      <w:rPr>
                        <w:rFonts w:ascii="Calibri" w:hAnsi="Calibri" w:cs="Calibri"/>
                        <w:color w:val="000000"/>
                        <w:sz w:val="20"/>
                      </w:rPr>
                    </w:pPr>
                    <w:r w:rsidRPr="0072341B">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41B" w:rsidRDefault="0072341B">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6" name="MSIPCM06db4043a0fd6b634a7c5a72"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2341B" w:rsidRPr="0072341B" w:rsidRDefault="0072341B" w:rsidP="0072341B">
                          <w:pPr>
                            <w:jc w:val="center"/>
                            <w:rPr>
                              <w:rFonts w:ascii="Calibri" w:hAnsi="Calibri" w:cs="Calibri"/>
                              <w:color w:val="000000"/>
                              <w:sz w:val="20"/>
                            </w:rPr>
                          </w:pPr>
                          <w:r w:rsidRPr="0072341B">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6db4043a0fd6b634a7c5a72"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fBkFfxgDAAA4BgAADgAAAAAAAAAAAAAA&#10;AAAuAgAAZHJzL2Uyb0RvYy54bWxQSwECLQAUAAYACAAAACEAEXKnft8AAAALAQAADwAAAAAAAAAA&#10;AAAAAAByBQAAZHJzL2Rvd25yZXYueG1sUEsFBgAAAAAEAAQA8wAAAH4GAAAAAA==&#10;" o:allowincell="f" filled="f" stroked="f" strokeweight=".5pt">
              <v:fill o:detectmouseclick="t"/>
              <v:textbox inset=",0,,0">
                <w:txbxContent>
                  <w:p w:rsidR="0072341B" w:rsidRPr="0072341B" w:rsidRDefault="0072341B" w:rsidP="0072341B">
                    <w:pPr>
                      <w:jc w:val="center"/>
                      <w:rPr>
                        <w:rFonts w:ascii="Calibri" w:hAnsi="Calibri" w:cs="Calibri"/>
                        <w:color w:val="000000"/>
                        <w:sz w:val="20"/>
                      </w:rPr>
                    </w:pPr>
                    <w:r w:rsidRPr="0072341B">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A9D" w:rsidRDefault="003C2A9D">
      <w:r>
        <w:separator/>
      </w:r>
    </w:p>
  </w:footnote>
  <w:footnote w:type="continuationSeparator" w:id="0">
    <w:p w:rsidR="003C2A9D" w:rsidRPr="009D30E6" w:rsidRDefault="003C2A9D" w:rsidP="007E663E">
      <w:pPr>
        <w:rPr>
          <w:sz w:val="17"/>
          <w:szCs w:val="17"/>
        </w:rPr>
      </w:pPr>
      <w:r w:rsidRPr="009D30E6">
        <w:rPr>
          <w:sz w:val="17"/>
          <w:szCs w:val="17"/>
        </w:rPr>
        <w:separator/>
      </w:r>
    </w:p>
    <w:p w:rsidR="003C2A9D" w:rsidRPr="007E663E" w:rsidRDefault="003C2A9D" w:rsidP="007E663E">
      <w:pPr>
        <w:spacing w:after="60"/>
        <w:rPr>
          <w:sz w:val="17"/>
          <w:szCs w:val="17"/>
        </w:rPr>
      </w:pPr>
      <w:r>
        <w:rPr>
          <w:sz w:val="17"/>
        </w:rPr>
        <w:t>[Continuación de la nota de la página anterior]</w:t>
      </w:r>
    </w:p>
  </w:footnote>
  <w:footnote w:type="continuationNotice" w:id="1">
    <w:p w:rsidR="003C2A9D" w:rsidRPr="007E663E" w:rsidRDefault="003C2A9D" w:rsidP="007E663E">
      <w:pPr>
        <w:spacing w:before="60"/>
        <w:jc w:val="right"/>
        <w:rPr>
          <w:sz w:val="17"/>
          <w:szCs w:val="17"/>
        </w:rPr>
      </w:pPr>
      <w:r w:rsidRPr="007E663E">
        <w:rPr>
          <w:sz w:val="17"/>
          <w:szCs w:val="17"/>
        </w:rPr>
        <w:t>[Sigue la nota en la página siguiente]</w:t>
      </w:r>
    </w:p>
  </w:footnote>
  <w:footnote w:id="2">
    <w:p w:rsidR="00B44A4B" w:rsidRPr="00B44A4B" w:rsidRDefault="00B44A4B" w:rsidP="00B44A4B">
      <w:pPr>
        <w:pStyle w:val="FootnoteText"/>
        <w:rPr>
          <w:lang w:val="es-ES_tradnl"/>
        </w:rPr>
      </w:pPr>
      <w:r>
        <w:rPr>
          <w:rStyle w:val="FootnoteReference"/>
        </w:rPr>
        <w:footnoteRef/>
      </w:r>
      <w:r w:rsidRPr="00B44A4B">
        <w:rPr>
          <w:lang w:val="es-ES_tradnl"/>
        </w:rPr>
        <w:t xml:space="preserve"> Por ejemplo, la Biblioteca Digital de Conocimientos Tradicionales (TKDL), en la India, ha sido utilizada por distintas oficinas de patentes como ayuda para evitar la concesi</w:t>
      </w:r>
      <w:r>
        <w:rPr>
          <w:lang w:val="es-ES_tradnl"/>
        </w:rPr>
        <w:t xml:space="preserve">ón errónea de </w:t>
      </w:r>
      <w:r w:rsidRPr="00B44A4B">
        <w:rPr>
          <w:lang w:val="es-ES_tradnl"/>
        </w:rPr>
        <w:t>patent</w:t>
      </w:r>
      <w:r>
        <w:rPr>
          <w:lang w:val="es-ES_tradnl"/>
        </w:rPr>
        <w:t>e</w:t>
      </w:r>
      <w:r w:rsidRPr="00B44A4B">
        <w:rPr>
          <w:lang w:val="es-ES_tradnl"/>
        </w:rPr>
        <w:t>s.</w:t>
      </w:r>
    </w:p>
    <w:p w:rsidR="00B44A4B" w:rsidRDefault="007C28BE" w:rsidP="00B44A4B">
      <w:pPr>
        <w:pStyle w:val="FootnoteText"/>
      </w:pPr>
      <w:hyperlink r:id="rId1" w:history="1">
        <w:r w:rsidR="00B44A4B" w:rsidRPr="00B44A4B">
          <w:rPr>
            <w:rStyle w:val="Hyperlink"/>
          </w:rPr>
          <w:t>https://www.wipo.int/wipo_magazine/es/2011/03/article_0002.html</w:t>
        </w:r>
      </w:hyperlink>
    </w:p>
  </w:footnote>
  <w:footnote w:id="3">
    <w:p w:rsidR="0029771D" w:rsidRPr="0029771D" w:rsidRDefault="0029771D">
      <w:pPr>
        <w:pStyle w:val="FootnoteText"/>
      </w:pPr>
      <w:r>
        <w:rPr>
          <w:rStyle w:val="FootnoteReference"/>
        </w:rPr>
        <w:footnoteRef/>
      </w:r>
      <w:r w:rsidRPr="0029771D">
        <w:t xml:space="preserve"> La creación de bases de datos en la OMPI a partir de datos suministrados de forma voluntaria por los Estados miembros</w:t>
      </w:r>
      <w:r w:rsidR="00E64169">
        <w:t xml:space="preserve"> y </w:t>
      </w:r>
      <w:r w:rsidR="00D07184">
        <w:t>su vinculación</w:t>
      </w:r>
      <w:r>
        <w:t xml:space="preserve"> al portal de la OMPI, también es una opción posible, </w:t>
      </w:r>
      <w:r w:rsidR="00DE7494">
        <w:t xml:space="preserve">siempre y cuando haya </w:t>
      </w:r>
      <w:r>
        <w:t>recursos disponibles con ese fin</w:t>
      </w:r>
      <w:r w:rsidRPr="0029771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9D" w:rsidRDefault="003C2A9D" w:rsidP="000F2AD2">
    <w:pPr>
      <w:jc w:val="right"/>
    </w:pPr>
  </w:p>
  <w:p w:rsidR="003C2A9D" w:rsidRDefault="003C2A9D" w:rsidP="000F2AD2">
    <w:pPr>
      <w:jc w:val="right"/>
    </w:pPr>
    <w:r>
      <w:t xml:space="preserve">página </w:t>
    </w:r>
    <w:r>
      <w:fldChar w:fldCharType="begin"/>
    </w:r>
    <w:r>
      <w:instrText xml:space="preserve"> PAGE  \* MERGEFORMAT </w:instrText>
    </w:r>
    <w:r>
      <w:fldChar w:fldCharType="separate"/>
    </w:r>
    <w:r>
      <w:t>4</w:t>
    </w:r>
    <w:r>
      <w:fldChar w:fldCharType="end"/>
    </w:r>
  </w:p>
  <w:p w:rsidR="003C2A9D" w:rsidRDefault="003C2A9D" w:rsidP="000F2AD2">
    <w:pPr>
      <w:jc w:val="right"/>
    </w:pPr>
  </w:p>
  <w:p w:rsidR="003C2A9D" w:rsidRDefault="003C2A9D"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9D" w:rsidRPr="00EF70A5" w:rsidRDefault="003C2A9D" w:rsidP="0079563D">
    <w:pPr>
      <w:pStyle w:val="Header"/>
      <w:jc w:val="right"/>
      <w:rPr>
        <w:lang w:val="pt-BR"/>
      </w:rPr>
    </w:pPr>
    <w:r w:rsidRPr="00EF70A5">
      <w:rPr>
        <w:lang w:val="pt-BR"/>
      </w:rPr>
      <w:t>WIPO/GRTKF/IC/41/10</w:t>
    </w:r>
  </w:p>
  <w:p w:rsidR="003C2A9D" w:rsidRPr="00EF70A5" w:rsidRDefault="003C2A9D" w:rsidP="0079563D">
    <w:pPr>
      <w:pStyle w:val="Header"/>
      <w:tabs>
        <w:tab w:val="clear" w:pos="9072"/>
        <w:tab w:val="right" w:pos="9355"/>
      </w:tabs>
      <w:jc w:val="right"/>
      <w:rPr>
        <w:lang w:val="pt-BR"/>
      </w:rPr>
    </w:pPr>
    <w:r w:rsidRPr="00EF70A5">
      <w:rPr>
        <w:lang w:val="pt-BR"/>
      </w:rPr>
      <w:t>Anexo, página 2</w:t>
    </w:r>
  </w:p>
  <w:p w:rsidR="003C2A9D" w:rsidRPr="00EF70A5" w:rsidRDefault="003C2A9D" w:rsidP="0079563D">
    <w:pPr>
      <w:pStyle w:val="Header"/>
      <w:tabs>
        <w:tab w:val="clear" w:pos="9072"/>
        <w:tab w:val="right" w:pos="9355"/>
      </w:tabs>
      <w:jc w:val="right"/>
      <w:rPr>
        <w:lang w:val="pt-BR"/>
      </w:rPr>
    </w:pPr>
  </w:p>
  <w:p w:rsidR="003C2A9D" w:rsidRPr="00EF70A5" w:rsidRDefault="003C2A9D" w:rsidP="00472B34">
    <w:pPr>
      <w:pStyle w:val="Heade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E" w:rsidRDefault="007C28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3C2A9D" w:rsidP="00477D6B">
    <w:pPr>
      <w:jc w:val="right"/>
      <w:rPr>
        <w:caps/>
      </w:rPr>
    </w:pPr>
    <w:bookmarkStart w:id="6" w:name="Code2"/>
    <w:bookmarkEnd w:id="6"/>
    <w:r>
      <w:rPr>
        <w:caps/>
      </w:rPr>
      <w:t>WIPO/GRTKF/IC/47/17</w:t>
    </w:r>
  </w:p>
  <w:p w:rsidR="00AE7F20" w:rsidRDefault="0072341B"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7C28BE">
      <w:rPr>
        <w:noProof/>
      </w:rPr>
      <w:t>6</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41B" w:rsidRDefault="0072341B" w:rsidP="007234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E057F2"/>
    <w:multiLevelType w:val="hybridMultilevel"/>
    <w:tmpl w:val="367A5EC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FB799D"/>
    <w:multiLevelType w:val="hybridMultilevel"/>
    <w:tmpl w:val="B73E7C4A"/>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8"/>
  </w:num>
  <w:num w:numId="8">
    <w:abstractNumId w:val="12"/>
  </w:num>
  <w:num w:numId="9">
    <w:abstractNumId w:val="6"/>
  </w:num>
  <w:num w:numId="10">
    <w:abstractNumId w:val="11"/>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9D"/>
    <w:rsid w:val="00010686"/>
    <w:rsid w:val="00033E67"/>
    <w:rsid w:val="00052915"/>
    <w:rsid w:val="000E3BB3"/>
    <w:rsid w:val="000F5E56"/>
    <w:rsid w:val="001362EE"/>
    <w:rsid w:val="00152CEA"/>
    <w:rsid w:val="001832A6"/>
    <w:rsid w:val="0023552A"/>
    <w:rsid w:val="002634C4"/>
    <w:rsid w:val="00285E43"/>
    <w:rsid w:val="0029771D"/>
    <w:rsid w:val="002C2E2F"/>
    <w:rsid w:val="002D23B5"/>
    <w:rsid w:val="002E0F47"/>
    <w:rsid w:val="002F30BA"/>
    <w:rsid w:val="002F4E68"/>
    <w:rsid w:val="00310826"/>
    <w:rsid w:val="00354647"/>
    <w:rsid w:val="00377273"/>
    <w:rsid w:val="003845C1"/>
    <w:rsid w:val="00387287"/>
    <w:rsid w:val="003C2A9D"/>
    <w:rsid w:val="003E48F1"/>
    <w:rsid w:val="003F347A"/>
    <w:rsid w:val="004057D1"/>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ABD"/>
    <w:rsid w:val="005B2EAE"/>
    <w:rsid w:val="00605827"/>
    <w:rsid w:val="00607AD8"/>
    <w:rsid w:val="00645B61"/>
    <w:rsid w:val="00675021"/>
    <w:rsid w:val="006A06C6"/>
    <w:rsid w:val="006B4392"/>
    <w:rsid w:val="007224C8"/>
    <w:rsid w:val="0072341B"/>
    <w:rsid w:val="00753307"/>
    <w:rsid w:val="00794BE2"/>
    <w:rsid w:val="007A5581"/>
    <w:rsid w:val="007B5EE5"/>
    <w:rsid w:val="007B71FE"/>
    <w:rsid w:val="007C28BE"/>
    <w:rsid w:val="007D781E"/>
    <w:rsid w:val="007E663E"/>
    <w:rsid w:val="008133DF"/>
    <w:rsid w:val="00815082"/>
    <w:rsid w:val="0088395E"/>
    <w:rsid w:val="008B2CC1"/>
    <w:rsid w:val="008E6BD6"/>
    <w:rsid w:val="008F24A4"/>
    <w:rsid w:val="0090731E"/>
    <w:rsid w:val="00966A22"/>
    <w:rsid w:val="00972F03"/>
    <w:rsid w:val="0098367F"/>
    <w:rsid w:val="009A0C8B"/>
    <w:rsid w:val="009A20CD"/>
    <w:rsid w:val="009A2644"/>
    <w:rsid w:val="009B6241"/>
    <w:rsid w:val="00A16FC0"/>
    <w:rsid w:val="00A32C9E"/>
    <w:rsid w:val="00AB613D"/>
    <w:rsid w:val="00AE7F20"/>
    <w:rsid w:val="00B44A4B"/>
    <w:rsid w:val="00B534D5"/>
    <w:rsid w:val="00B65A0A"/>
    <w:rsid w:val="00B67CDC"/>
    <w:rsid w:val="00B72BD4"/>
    <w:rsid w:val="00B72D36"/>
    <w:rsid w:val="00BC4164"/>
    <w:rsid w:val="00BD2DCC"/>
    <w:rsid w:val="00BE6AD6"/>
    <w:rsid w:val="00BF5A8E"/>
    <w:rsid w:val="00C90559"/>
    <w:rsid w:val="00C92AA9"/>
    <w:rsid w:val="00CA0500"/>
    <w:rsid w:val="00CA2251"/>
    <w:rsid w:val="00CB17D3"/>
    <w:rsid w:val="00D04FD7"/>
    <w:rsid w:val="00D07184"/>
    <w:rsid w:val="00D3069F"/>
    <w:rsid w:val="00D56C7C"/>
    <w:rsid w:val="00D71B4D"/>
    <w:rsid w:val="00D90289"/>
    <w:rsid w:val="00D93D55"/>
    <w:rsid w:val="00DC4C60"/>
    <w:rsid w:val="00DD6CF4"/>
    <w:rsid w:val="00DE7494"/>
    <w:rsid w:val="00E0079A"/>
    <w:rsid w:val="00E10D87"/>
    <w:rsid w:val="00E416C8"/>
    <w:rsid w:val="00E444DA"/>
    <w:rsid w:val="00E45C84"/>
    <w:rsid w:val="00E504E5"/>
    <w:rsid w:val="00E506D1"/>
    <w:rsid w:val="00E64169"/>
    <w:rsid w:val="00EB0D93"/>
    <w:rsid w:val="00EB7A3E"/>
    <w:rsid w:val="00EC1AA7"/>
    <w:rsid w:val="00EC401A"/>
    <w:rsid w:val="00EF530A"/>
    <w:rsid w:val="00EF6622"/>
    <w:rsid w:val="00EF78A9"/>
    <w:rsid w:val="00F32588"/>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785A1F8-955A-4BC4-B5D6-526D5481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3C2A9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3C2A9D"/>
    <w:rPr>
      <w:rFonts w:ascii="Arial" w:eastAsia="SimSun" w:hAnsi="Arial" w:cs="Arial"/>
      <w:sz w:val="18"/>
      <w:lang w:val="es-ES" w:eastAsia="zh-CN"/>
    </w:rPr>
  </w:style>
  <w:style w:type="character" w:customStyle="1" w:styleId="HeaderChar">
    <w:name w:val="Header Char"/>
    <w:basedOn w:val="DefaultParagraphFont"/>
    <w:link w:val="Header"/>
    <w:uiPriority w:val="99"/>
    <w:rsid w:val="003C2A9D"/>
    <w:rPr>
      <w:rFonts w:ascii="Arial" w:eastAsia="SimSun" w:hAnsi="Arial" w:cs="Arial"/>
      <w:sz w:val="22"/>
      <w:lang w:val="es-ES" w:eastAsia="zh-CN"/>
    </w:rPr>
  </w:style>
  <w:style w:type="paragraph" w:styleId="ListParagraph">
    <w:name w:val="List Paragraph"/>
    <w:basedOn w:val="Normal"/>
    <w:uiPriority w:val="34"/>
    <w:qFormat/>
    <w:rsid w:val="003C2A9D"/>
    <w:pPr>
      <w:ind w:left="720"/>
      <w:contextualSpacing/>
    </w:pPr>
  </w:style>
  <w:style w:type="character" w:styleId="FootnoteReference">
    <w:name w:val="footnote reference"/>
    <w:rsid w:val="003C2A9D"/>
    <w:rPr>
      <w:rFonts w:cs="Times New Roman"/>
      <w:vertAlign w:val="superscript"/>
    </w:rPr>
  </w:style>
  <w:style w:type="character" w:styleId="Hyperlink">
    <w:name w:val="Hyperlink"/>
    <w:basedOn w:val="DefaultParagraphFont"/>
    <w:unhideWhenUsed/>
    <w:rsid w:val="00B44A4B"/>
    <w:rPr>
      <w:color w:val="0000FF" w:themeColor="hyperlink"/>
      <w:u w:val="single"/>
    </w:rPr>
  </w:style>
  <w:style w:type="character" w:styleId="FollowedHyperlink">
    <w:name w:val="FollowedHyperlink"/>
    <w:basedOn w:val="DefaultParagraphFont"/>
    <w:semiHidden/>
    <w:unhideWhenUsed/>
    <w:rsid w:val="00B44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wipo_magazine/es/2011/03/article_00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2F62-984D-4FC8-8F07-54900FDD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Template>
  <TotalTime>1</TotalTime>
  <Pages>7</Pages>
  <Words>2817</Words>
  <Characters>15257</Characters>
  <Application>Microsoft Office Word</Application>
  <DocSecurity>0</DocSecurity>
  <Lines>234</Lines>
  <Paragraphs>69</Paragraphs>
  <ScaleCrop>false</ScaleCrop>
  <HeadingPairs>
    <vt:vector size="2" baseType="variant">
      <vt:variant>
        <vt:lpstr>Title</vt:lpstr>
      </vt:variant>
      <vt:variant>
        <vt:i4>1</vt:i4>
      </vt:variant>
    </vt:vector>
  </HeadingPairs>
  <TitlesOfParts>
    <vt:vector size="1" baseType="lpstr">
      <vt:lpstr>WIPO/GRTKF/IC/47/</vt:lpstr>
    </vt:vector>
  </TitlesOfParts>
  <Company>WIPO</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WIPO/GRTKF/IC/47/17</dc:title>
  <dc:creator>MIGLIORE Liliana</dc:creator>
  <cp:keywords>FOR OFFICIAL USE ONLY</cp:keywords>
  <cp:lastModifiedBy>MORENO PALESTINI Maria del Pilar</cp:lastModifiedBy>
  <cp:revision>4</cp:revision>
  <dcterms:created xsi:type="dcterms:W3CDTF">2023-05-25T06:37:00Z</dcterms:created>
  <dcterms:modified xsi:type="dcterms:W3CDTF">2023-05-28T09:45:00Z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2023-05-28T09:45:54Z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118df11e-5fe6-491d-807f-00c8550469e8</vt:lpwstr>
  </property>
  <property fmtid="{D5CDD505-2E9C-101B-9397-08002B2CF9AE}" pid="14" name="MSIP_Label_bfc084f7-b690-4c43-8ee6-d475b6d3461d_ContentBits">
    <vt:lpwstr>2</vt:lpwstr>
  </property>
</Properties>
</file>