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8186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8186B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916EE2">
            <w:pPr>
              <w:rPr>
                <w:lang w:val="es-419"/>
              </w:rPr>
            </w:pPr>
            <w:r w:rsidRPr="0038186B">
              <w:rPr>
                <w:noProof/>
                <w:lang w:eastAsia="en-US"/>
              </w:rPr>
              <w:drawing>
                <wp:inline distT="0" distB="0" distL="0" distR="0" wp14:anchorId="08C194EA" wp14:editId="057A94D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344979">
            <w:pPr>
              <w:jc w:val="right"/>
              <w:rPr>
                <w:lang w:val="es-419"/>
              </w:rPr>
            </w:pPr>
            <w:r w:rsidRPr="0038186B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344979" w:rsidRPr="0038186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186B" w:rsidRDefault="00344979" w:rsidP="00447B2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38186B">
              <w:rPr>
                <w:rFonts w:ascii="Arial Black" w:hAnsi="Arial Black"/>
                <w:caps/>
                <w:sz w:val="15"/>
                <w:lang w:val="es-419"/>
              </w:rPr>
              <w:t>WIPO/</w:t>
            </w:r>
            <w:r w:rsidR="000B6E41" w:rsidRPr="0038186B">
              <w:rPr>
                <w:rFonts w:ascii="Arial Black" w:hAnsi="Arial Black"/>
                <w:caps/>
                <w:sz w:val="15"/>
                <w:lang w:val="es-419"/>
              </w:rPr>
              <w:t>GRTK</w:t>
            </w:r>
            <w:r w:rsidR="00F5119A" w:rsidRPr="0038186B">
              <w:rPr>
                <w:rFonts w:ascii="Arial Black" w:hAnsi="Arial Black"/>
                <w:caps/>
                <w:sz w:val="15"/>
                <w:lang w:val="es-419"/>
              </w:rPr>
              <w:t>F/IC/</w:t>
            </w:r>
            <w:r w:rsidR="008A577B" w:rsidRPr="000D1DD6">
              <w:rPr>
                <w:rFonts w:ascii="Arial Black" w:hAnsi="Arial Black"/>
                <w:caps/>
                <w:sz w:val="15"/>
              </w:rPr>
              <w:t>4</w:t>
            </w:r>
            <w:r w:rsidR="00955BAE">
              <w:rPr>
                <w:rFonts w:ascii="Arial Black" w:hAnsi="Arial Black"/>
                <w:caps/>
                <w:sz w:val="15"/>
              </w:rPr>
              <w:t>6</w:t>
            </w:r>
            <w:r w:rsidR="008A577B">
              <w:rPr>
                <w:rFonts w:ascii="Arial Black" w:hAnsi="Arial Black"/>
                <w:caps/>
                <w:sz w:val="15"/>
              </w:rPr>
              <w:t>/</w:t>
            </w:r>
            <w:r w:rsidR="008A577B" w:rsidRPr="00BF632C">
              <w:rPr>
                <w:rFonts w:ascii="Arial Black" w:hAnsi="Arial Black"/>
                <w:caps/>
                <w:sz w:val="15"/>
                <w:szCs w:val="15"/>
              </w:rPr>
              <w:t>6</w:t>
            </w:r>
          </w:p>
        </w:tc>
      </w:tr>
      <w:tr w:rsidR="00344979" w:rsidRPr="0038186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344979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344979" w:rsidRPr="0038186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8A577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955BAE">
              <w:rPr>
                <w:rFonts w:ascii="Arial Black" w:hAnsi="Arial Black"/>
                <w:caps/>
                <w:sz w:val="15"/>
                <w:lang w:val="es-419"/>
              </w:rPr>
              <w:t>15 de diciembre</w:t>
            </w:r>
            <w:r w:rsidR="00955BAE" w:rsidRPr="00B10E65">
              <w:rPr>
                <w:rFonts w:ascii="Arial Black" w:hAnsi="Arial Black"/>
                <w:caps/>
                <w:sz w:val="15"/>
                <w:lang w:val="es-419"/>
              </w:rPr>
              <w:t xml:space="preserve"> DE 2022</w:t>
            </w:r>
          </w:p>
        </w:tc>
      </w:tr>
    </w:tbl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b/>
          <w:sz w:val="28"/>
          <w:szCs w:val="28"/>
          <w:lang w:val="es-419"/>
        </w:rPr>
      </w:pPr>
      <w:r w:rsidRPr="0038186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5119A" w:rsidP="00344979">
      <w:pPr>
        <w:rPr>
          <w:b/>
          <w:sz w:val="24"/>
          <w:szCs w:val="24"/>
          <w:lang w:val="es-419"/>
        </w:rPr>
      </w:pPr>
      <w:r w:rsidRPr="0038186B">
        <w:rPr>
          <w:b/>
          <w:sz w:val="24"/>
          <w:szCs w:val="24"/>
          <w:lang w:val="es-419"/>
        </w:rPr>
        <w:t>Cuadragésima</w:t>
      </w:r>
      <w:r w:rsidR="00E618BB" w:rsidRPr="0038186B">
        <w:rPr>
          <w:b/>
          <w:sz w:val="24"/>
          <w:szCs w:val="24"/>
          <w:lang w:val="es-419"/>
        </w:rPr>
        <w:t xml:space="preserve"> </w:t>
      </w:r>
      <w:r w:rsidR="00955BAE">
        <w:rPr>
          <w:b/>
          <w:sz w:val="24"/>
          <w:szCs w:val="24"/>
          <w:lang w:val="es-419"/>
        </w:rPr>
        <w:t>sexta</w:t>
      </w:r>
      <w:r w:rsidR="00955BAE" w:rsidRPr="00B10E65">
        <w:rPr>
          <w:b/>
          <w:sz w:val="24"/>
          <w:szCs w:val="24"/>
          <w:lang w:val="es-419"/>
        </w:rPr>
        <w:t xml:space="preserve"> </w:t>
      </w:r>
      <w:r w:rsidR="00344979" w:rsidRPr="0038186B">
        <w:rPr>
          <w:b/>
          <w:sz w:val="24"/>
          <w:szCs w:val="24"/>
          <w:lang w:val="es-419"/>
        </w:rPr>
        <w:t>sesión</w:t>
      </w:r>
    </w:p>
    <w:p w:rsidR="00955BAE" w:rsidRPr="00B10E65" w:rsidRDefault="00955BAE" w:rsidP="00955BAE">
      <w:pPr>
        <w:rPr>
          <w:b/>
          <w:sz w:val="24"/>
          <w:szCs w:val="24"/>
          <w:lang w:val="es-419"/>
        </w:rPr>
      </w:pPr>
      <w:r w:rsidRPr="00B10E65">
        <w:rPr>
          <w:b/>
          <w:sz w:val="24"/>
          <w:szCs w:val="24"/>
          <w:lang w:val="es-419"/>
        </w:rPr>
        <w:t xml:space="preserve">Ginebra, </w:t>
      </w:r>
      <w:r w:rsidRPr="00763706">
        <w:rPr>
          <w:b/>
          <w:sz w:val="24"/>
          <w:szCs w:val="24"/>
          <w:lang w:val="es-419"/>
        </w:rPr>
        <w:t>27 de febrero a 3 de marzo de 2023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caps/>
          <w:sz w:val="24"/>
          <w:lang w:val="es-419"/>
        </w:rPr>
      </w:pPr>
      <w:bookmarkStart w:id="1" w:name="TitleOfDoc"/>
      <w:bookmarkEnd w:id="1"/>
    </w:p>
    <w:p w:rsidR="00DF5574" w:rsidRPr="0038186B" w:rsidRDefault="00344979" w:rsidP="00344979">
      <w:pPr>
        <w:rPr>
          <w:caps/>
          <w:sz w:val="24"/>
          <w:lang w:val="es-419"/>
        </w:rPr>
      </w:pPr>
      <w:r w:rsidRPr="0038186B">
        <w:rPr>
          <w:caps/>
          <w:sz w:val="24"/>
          <w:lang w:val="es-419"/>
        </w:rPr>
        <w:t xml:space="preserve">La protección de los conocimientos tradicionales: </w:t>
      </w:r>
      <w:r w:rsidR="00293D1E" w:rsidRPr="0038186B">
        <w:rPr>
          <w:caps/>
          <w:sz w:val="24"/>
          <w:lang w:val="es-419"/>
        </w:rPr>
        <w:t xml:space="preserve">Proyecto actualizado de </w:t>
      </w:r>
      <w:r w:rsidRPr="0038186B">
        <w:rPr>
          <w:caps/>
          <w:sz w:val="24"/>
          <w:lang w:val="es-419"/>
        </w:rPr>
        <w:t xml:space="preserve">Análisis de </w:t>
      </w:r>
      <w:r w:rsidR="004C1537" w:rsidRPr="0038186B">
        <w:rPr>
          <w:caps/>
          <w:sz w:val="24"/>
          <w:lang w:val="es-419"/>
        </w:rPr>
        <w:t xml:space="preserve">LAS </w:t>
      </w:r>
      <w:r w:rsidRPr="0038186B">
        <w:rPr>
          <w:caps/>
          <w:sz w:val="24"/>
          <w:lang w:val="es-419"/>
        </w:rPr>
        <w:t>carencias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bookmarkStart w:id="2" w:name="Prepared"/>
      <w:bookmarkStart w:id="3" w:name="_GoBack"/>
      <w:bookmarkEnd w:id="2"/>
      <w:r w:rsidRPr="0038186B">
        <w:rPr>
          <w:i/>
          <w:lang w:val="es-419"/>
        </w:rPr>
        <w:t>Documento preparado por la Secretaría</w:t>
      </w:r>
    </w:p>
    <w:bookmarkEnd w:id="3"/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 w:rsidP="0053057A">
      <w:pPr>
        <w:rPr>
          <w:lang w:val="es-419"/>
        </w:rPr>
      </w:pPr>
    </w:p>
    <w:p w:rsidR="00DF5574" w:rsidRPr="0038186B" w:rsidRDefault="00B824BD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su duodécima sesión, celebrada en Ginebra del 25 al 29 de febrero de 200</w:t>
      </w:r>
      <w:r w:rsidR="008C24FA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Pr="0038186B">
        <w:rPr>
          <w:rFonts w:ascii="Arial" w:hAnsi="Arial" w:cs="Arial"/>
          <w:sz w:val="22"/>
          <w:szCs w:val="22"/>
          <w:lang w:val="es-419"/>
        </w:rPr>
        <w:t>el Comité Intergubernamental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sobre Propiedad Intelectual y Recursos Genéticos, Conocimientos Tradicionales y Folclore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Pr="0038186B">
        <w:rPr>
          <w:rFonts w:ascii="Arial" w:hAnsi="Arial" w:cs="Arial"/>
          <w:sz w:val="22"/>
          <w:szCs w:val="22"/>
          <w:lang w:val="es-419"/>
        </w:rPr>
        <w:t>en adelante, el CIG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decidió que la Secretaría, teniendo en cuenta la labor </w:t>
      </w:r>
      <w:r w:rsidR="006B6CF6" w:rsidRPr="0038186B">
        <w:rPr>
          <w:rFonts w:ascii="Arial" w:hAnsi="Arial" w:cs="Arial"/>
          <w:sz w:val="22"/>
          <w:szCs w:val="22"/>
          <w:lang w:val="es-419"/>
        </w:rPr>
        <w:t xml:space="preserve">realizada hasta entonces </w:t>
      </w:r>
      <w:r w:rsidRPr="0038186B">
        <w:rPr>
          <w:rFonts w:ascii="Arial" w:hAnsi="Arial" w:cs="Arial"/>
          <w:sz w:val="22"/>
          <w:szCs w:val="22"/>
          <w:lang w:val="es-419"/>
        </w:rPr>
        <w:t>por el CIG, prepararía, en tanto que documento de trabajo para su decimotercera sesión, un documento que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obligaciones, disposiciones y posibilidades que ya existen a nivel internacional en relación con la protección de los conocimientos tradicionales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B96EC1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definiera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Pr="0038186B">
        <w:rPr>
          <w:rFonts w:ascii="Arial" w:hAnsi="Arial" w:cs="Arial"/>
          <w:sz w:val="22"/>
          <w:szCs w:val="22"/>
          <w:lang w:val="es-419"/>
        </w:rPr>
        <w:t>carencias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internacional,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ilustrándolas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, en la medida de lo posible, con ejemplos específicos;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exp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usiera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las consideraciones para determinar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necesario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esas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carencias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 las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opciones </w:t>
      </w:r>
      <w:r w:rsidR="005D19A4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subsanar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las carencias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definidas</w:t>
      </w:r>
      <w:r w:rsidRPr="0038186B">
        <w:rPr>
          <w:rFonts w:ascii="Arial" w:hAnsi="Arial" w:cs="Arial"/>
          <w:sz w:val="22"/>
          <w:szCs w:val="22"/>
          <w:lang w:val="es-419"/>
        </w:rPr>
        <w:t>, incluidas las opciones jurídicas o de otra índole, sea a nivel internacional, regional o nacional;</w:t>
      </w:r>
    </w:p>
    <w:p w:rsidR="00DF5574" w:rsidRPr="0038186B" w:rsidRDefault="00775C33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incluyera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un anexo con una matriz </w:t>
      </w:r>
      <w:r w:rsidRPr="0038186B">
        <w:rPr>
          <w:rFonts w:ascii="Arial" w:hAnsi="Arial" w:cs="Arial"/>
          <w:sz w:val="22"/>
          <w:szCs w:val="22"/>
          <w:lang w:val="es-419"/>
        </w:rPr>
        <w:t>que englobara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los temas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mencionados 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los apartados a) a d) </w:t>
      </w:r>
      <w:r w:rsidR="00293D1E" w:rsidRPr="0038186B">
        <w:rPr>
          <w:rFonts w:ascii="Arial" w:hAnsi="Arial" w:cs="Arial"/>
          <w:sz w:val="22"/>
          <w:szCs w:val="22"/>
          <w:lang w:val="es-419"/>
        </w:rPr>
        <w:t>anteriores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 pidió a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Secretaría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que hiciera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“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explícitas las definiciones de trabajo y demás bases sobre las cuales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[reali</w:t>
      </w:r>
      <w:r w:rsidR="00BE58EC" w:rsidRPr="0038186B">
        <w:rPr>
          <w:rFonts w:ascii="Arial" w:hAnsi="Arial" w:cs="Arial"/>
          <w:sz w:val="22"/>
          <w:szCs w:val="22"/>
          <w:lang w:val="es-419"/>
        </w:rPr>
        <w:t>zar</w:t>
      </w:r>
      <w:r w:rsidR="006A0310" w:rsidRPr="0038186B">
        <w:rPr>
          <w:rFonts w:ascii="Arial" w:hAnsi="Arial" w:cs="Arial"/>
          <w:sz w:val="22"/>
          <w:szCs w:val="22"/>
          <w:lang w:val="es-419"/>
        </w:rPr>
        <w:t>a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]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su análisis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”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lastRenderedPageBreak/>
        <w:t>La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Secretaría preparó </w:t>
      </w:r>
      <w:r w:rsidRPr="0038186B">
        <w:rPr>
          <w:rFonts w:ascii="Arial" w:hAnsi="Arial" w:cs="Arial"/>
          <w:sz w:val="22"/>
          <w:szCs w:val="22"/>
          <w:lang w:val="es-419"/>
        </w:rPr>
        <w:t>un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primer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 análisis de carencias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materia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protección de </w:t>
      </w:r>
      <w:r w:rsidRPr="0038186B">
        <w:rPr>
          <w:rFonts w:ascii="Arial" w:hAnsi="Arial" w:cs="Arial"/>
          <w:sz w:val="22"/>
          <w:szCs w:val="22"/>
          <w:lang w:val="es-419"/>
        </w:rPr>
        <w:t>los CC.TT.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,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que se dist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ribuyó entre los participantes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del CIG con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objeto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que pudieran formular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comentarios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Sobre la base de l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os comentarios recibido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s,</w:t>
      </w:r>
      <w:r w:rsidR="004B505C"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2"/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 elaboró un nuevo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análisis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carencias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que se distribuyó co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mo documento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CF06E0" w:rsidRPr="0038186B">
        <w:rPr>
          <w:rFonts w:ascii="Arial" w:hAnsi="Arial" w:cs="Arial"/>
          <w:sz w:val="22"/>
          <w:szCs w:val="22"/>
          <w:lang w:val="es-419"/>
        </w:rPr>
        <w:t>F/IC/13/5(b) Rev.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en la decimotercera sesión del CIG</w:t>
      </w:r>
      <w:r w:rsidR="002A66FD" w:rsidRPr="0038186B">
        <w:rPr>
          <w:rFonts w:ascii="Arial" w:hAnsi="Arial" w:cs="Arial"/>
          <w:sz w:val="22"/>
          <w:szCs w:val="22"/>
          <w:lang w:val="es-419"/>
        </w:rPr>
        <w:t>,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que tuvo lugar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del 13 al 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17 de octubre de 2008.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830902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En la </w:t>
      </w:r>
      <w:r w:rsidR="00775C33" w:rsidRPr="0038186B">
        <w:rPr>
          <w:rFonts w:ascii="Arial" w:hAnsi="Arial" w:cs="Arial"/>
          <w:sz w:val="22"/>
          <w:szCs w:val="22"/>
          <w:lang w:val="es-419"/>
        </w:rPr>
        <w:t>duodécima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 se había adoptado la misma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decisión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relación </w:t>
      </w:r>
      <w:r w:rsidRPr="0038186B">
        <w:rPr>
          <w:rFonts w:ascii="Arial" w:hAnsi="Arial" w:cs="Arial"/>
          <w:sz w:val="22"/>
          <w:szCs w:val="22"/>
          <w:lang w:val="es-419"/>
        </w:rPr>
        <w:t>con las expresiones culturales tradicionales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 (ECT)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por lo que en la decimotercera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 presentaron dos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 análisis de carencias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,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 que figuran en los documentos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F/IC/13/4(b)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ECT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y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F/IC/13/5(b)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).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146214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Para entonces, el CIG había examinado </w:t>
      </w:r>
      <w:r w:rsidR="000D178D" w:rsidRPr="0038186B">
        <w:rPr>
          <w:rFonts w:ascii="Arial" w:hAnsi="Arial" w:cs="Arial"/>
          <w:sz w:val="22"/>
          <w:szCs w:val="22"/>
          <w:lang w:val="es-419"/>
        </w:rPr>
        <w:t>exhaustivamente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diversas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opciones jurídicas y de política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para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Ese examen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comprendía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análisis muy amplio</w:t>
      </w:r>
      <w:r w:rsidR="008A577B">
        <w:rPr>
          <w:rFonts w:ascii="Arial" w:hAnsi="Arial" w:cs="Arial"/>
          <w:sz w:val="22"/>
          <w:szCs w:val="22"/>
          <w:lang w:val="es-419"/>
        </w:rPr>
        <w:t>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mecanismos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jurídicos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nacionales y regionales existentes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exposiciones sobre las distintas experiencias nacionales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,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el estudio de los elementos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>comunes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la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protección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estudios de caso, estudios en c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urso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sobre el marco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normativo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internacional y el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entorno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jurídico, así como los principios y objetivos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fundamentales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de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CC.TT. que habían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recabado el apoyo del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Comité en sesiones anteriores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.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Tal como lo había solicitado el Comité,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ese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historial de la labor del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Comité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se resumió en el documento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F/IC/13/5(a),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que acompañaba el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>proyecto de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análisis de carencias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 xml:space="preserve">expuesto en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el documento 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F/IC/13/5(b) Rev.</w:t>
      </w:r>
    </w:p>
    <w:p w:rsidR="00DF5574" w:rsidRPr="0038186B" w:rsidRDefault="00DF5574" w:rsidP="008C3018">
      <w:pPr>
        <w:pStyle w:val="BodyTextIndent3"/>
        <w:ind w:left="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5157D1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la decimotercera sesión del CIG, celebrada en octubre de 2008, no se examinó en profundidad el documento WIPO/GRTKF/IC/13/5 (b) Rev.,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3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y en las decisiones adoptadas en esa sesión solo se señala que el Comité “tomó nota” del documento.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4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El CIG no decidió  examinar el documento en sus sesiones futuras.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C1492A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n 2017, </w:t>
      </w:r>
      <w:r w:rsidRPr="0038186B">
        <w:rPr>
          <w:rFonts w:ascii="Arial" w:hAnsi="Arial" w:cs="Arial"/>
          <w:sz w:val="22"/>
          <w:szCs w:val="22"/>
          <w:lang w:val="es-419"/>
        </w:rPr>
        <w:t>la Asamblea General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pidió a la Secretaría que “actuali[zara]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el análisis realizado en 2008 sobre las carencias de los regímenes de protección existentes en relación con los CC.TT. y las ECT.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6501EE" w:rsidP="00955BAE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Con arreglo a esa decisión, </w:t>
      </w:r>
      <w:r w:rsidR="005157D1" w:rsidRPr="0038186B">
        <w:rPr>
          <w:rFonts w:ascii="Arial" w:hAnsi="Arial" w:cs="Arial"/>
          <w:sz w:val="22"/>
          <w:szCs w:val="22"/>
          <w:lang w:val="es-419"/>
        </w:rPr>
        <w:t>se presentó</w:t>
      </w:r>
      <w:r w:rsidR="00721A8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>en el anexo I de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documento</w:t>
      </w:r>
      <w:r w:rsidR="00791554" w:rsidRPr="0038186B">
        <w:rPr>
          <w:rFonts w:ascii="Arial" w:hAnsi="Arial" w:cs="Arial"/>
          <w:sz w:val="22"/>
          <w:szCs w:val="22"/>
          <w:lang w:val="es-419"/>
        </w:rPr>
        <w:t xml:space="preserve"> WIPO/GRTKF/IC/37/6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actualizado del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análisis de carencias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materia de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protección de los CC.TT.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 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2008. </w:t>
      </w:r>
      <w:r w:rsidRPr="0038186B">
        <w:rPr>
          <w:rFonts w:ascii="Arial" w:hAnsi="Arial" w:cs="Arial"/>
          <w:sz w:val="22"/>
          <w:szCs w:val="22"/>
          <w:lang w:val="es-419"/>
        </w:rPr>
        <w:t>Se mant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uvo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general la estructura, el formato y contenido del análisis de carencias anterior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aunque se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incorpora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instrume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ntos in</w:t>
      </w:r>
      <w:r w:rsidRPr="0038186B">
        <w:rPr>
          <w:rFonts w:ascii="Arial" w:hAnsi="Arial" w:cs="Arial"/>
          <w:sz w:val="22"/>
          <w:szCs w:val="22"/>
          <w:lang w:val="es-419"/>
        </w:rPr>
        <w:t>ter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na</w:t>
      </w:r>
      <w:r w:rsidRPr="0038186B">
        <w:rPr>
          <w:rFonts w:ascii="Arial" w:hAnsi="Arial" w:cs="Arial"/>
          <w:sz w:val="22"/>
          <w:szCs w:val="22"/>
          <w:lang w:val="es-419"/>
        </w:rPr>
        <w:t>ci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onales más recientes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y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nuevas disposiciones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en materia legislativa o de política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a presente versión 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ra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, como lo solicit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ara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el C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IG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 xml:space="preserve">esencialmente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una “actualización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del texto anterior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>concreto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se modifica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los párrafos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3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6, 12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13,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15,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16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17</w:t>
      </w:r>
      <w:r w:rsidR="00C1594C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21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24, 33, 35, 39, 54, 59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61, 66, 71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73, 75,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81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84,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94,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9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01, 1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08,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3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117,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122,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125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126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4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136, 138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,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 14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0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,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 142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y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147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En el anexo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II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se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present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ó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una matriz actualizada que recoge los elementos a los que se hace referencia en los apartados a) a d)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 xml:space="preserve">expuestos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antes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.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Dicho documento volvió a publicarse para </w:t>
      </w:r>
      <w:r w:rsidR="00955BAE" w:rsidRPr="00955BAE">
        <w:rPr>
          <w:rFonts w:ascii="Arial" w:hAnsi="Arial" w:cs="Arial"/>
          <w:sz w:val="22"/>
          <w:szCs w:val="22"/>
          <w:lang w:val="es-419"/>
        </w:rPr>
        <w:t>las sesiones 38.ª, 39.ª, 40.ª, 44.ª y 45.ª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del CIG y se publica nuevamente para la presente sesión.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DF5574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color w:val="000000"/>
          <w:sz w:val="22"/>
          <w:szCs w:val="22"/>
          <w:lang w:val="es-419"/>
        </w:rPr>
        <w:t>Las versiones actualizadas del análisis de carencias y la matriz figuran como anexos del presente documento.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C66F74" w:rsidP="00CB7B70">
      <w:pPr>
        <w:pStyle w:val="ListParagraph"/>
        <w:keepLines/>
        <w:numPr>
          <w:ilvl w:val="0"/>
          <w:numId w:val="49"/>
        </w:numPr>
        <w:tabs>
          <w:tab w:val="left" w:pos="6096"/>
        </w:tabs>
        <w:ind w:left="6096" w:hanging="567"/>
        <w:rPr>
          <w:rFonts w:ascii="Arial" w:hAnsi="Arial" w:cs="Arial"/>
          <w:i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lastRenderedPageBreak/>
        <w:t xml:space="preserve">Se invita al Comité a examinar el proyecto </w:t>
      </w:r>
      <w:r w:rsidR="00DA1047" w:rsidRPr="0038186B">
        <w:rPr>
          <w:rFonts w:ascii="Arial" w:hAnsi="Arial" w:cs="Arial"/>
          <w:i/>
          <w:sz w:val="22"/>
          <w:szCs w:val="22"/>
          <w:lang w:val="es-419"/>
        </w:rPr>
        <w:t xml:space="preserve">actualizado 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de análisis de carencias 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 xml:space="preserve">y la matriz </w:t>
      </w:r>
      <w:r w:rsidRPr="0038186B">
        <w:rPr>
          <w:rFonts w:ascii="Arial" w:hAnsi="Arial" w:cs="Arial"/>
          <w:i/>
          <w:sz w:val="22"/>
          <w:szCs w:val="22"/>
          <w:lang w:val="es-419"/>
        </w:rPr>
        <w:t>que figura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>n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 en los anexos 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I </w:t>
      </w:r>
      <w:r w:rsidRPr="0038186B">
        <w:rPr>
          <w:rFonts w:ascii="Arial" w:hAnsi="Arial" w:cs="Arial"/>
          <w:i/>
          <w:sz w:val="22"/>
          <w:szCs w:val="22"/>
          <w:lang w:val="es-419"/>
        </w:rPr>
        <w:t>y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 II.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64ECF">
      <w:pPr>
        <w:ind w:left="5529"/>
        <w:rPr>
          <w:lang w:val="es-419"/>
        </w:rPr>
      </w:pPr>
      <w:r w:rsidRPr="0038186B">
        <w:rPr>
          <w:lang w:val="es-419"/>
        </w:rPr>
        <w:t>[Sigue</w:t>
      </w:r>
      <w:r w:rsidR="00293D1E" w:rsidRPr="0038186B">
        <w:rPr>
          <w:lang w:val="es-419"/>
        </w:rPr>
        <w:t xml:space="preserve">n los </w:t>
      </w:r>
      <w:r w:rsidRPr="0038186B">
        <w:rPr>
          <w:lang w:val="es-419"/>
        </w:rPr>
        <w:t>Anexo</w:t>
      </w:r>
      <w:r w:rsidR="00293D1E" w:rsidRPr="0038186B">
        <w:rPr>
          <w:lang w:val="es-419"/>
        </w:rPr>
        <w:t>s</w:t>
      </w:r>
      <w:r w:rsidRPr="0038186B">
        <w:rPr>
          <w:lang w:val="es-419"/>
        </w:rPr>
        <w:t>]</w:t>
      </w:r>
    </w:p>
    <w:p w:rsidR="00FD6EEF" w:rsidRPr="0038186B" w:rsidRDefault="00FD6EEF" w:rsidP="00FD6EEF">
      <w:pPr>
        <w:rPr>
          <w:lang w:val="es-419"/>
        </w:rPr>
        <w:sectPr w:rsidR="00FD6EEF" w:rsidRPr="0038186B" w:rsidSect="00955B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567" w:right="1418" w:bottom="1440" w:left="1418" w:header="720" w:footer="720" w:gutter="0"/>
          <w:cols w:space="720"/>
          <w:titlePg/>
          <w:docGrid w:linePitch="360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93D1E" w:rsidP="00344979">
      <w:pPr>
        <w:jc w:val="center"/>
        <w:rPr>
          <w:lang w:val="es-419"/>
        </w:rPr>
      </w:pPr>
      <w:r w:rsidRPr="0038186B">
        <w:rPr>
          <w:lang w:val="es-419"/>
        </w:rPr>
        <w:t xml:space="preserve">PROYECTO ACTUALIZADO DE </w:t>
      </w:r>
      <w:r w:rsidR="00344979" w:rsidRPr="0038186B">
        <w:rPr>
          <w:lang w:val="es-419"/>
        </w:rPr>
        <w:t xml:space="preserve">ANÁLISIS DE CARENCIAS </w:t>
      </w:r>
      <w:r w:rsidRPr="0038186B">
        <w:rPr>
          <w:lang w:val="es-419"/>
        </w:rPr>
        <w:br/>
      </w:r>
      <w:r w:rsidR="00344979" w:rsidRPr="0038186B">
        <w:rPr>
          <w:lang w:val="es-419"/>
        </w:rPr>
        <w:t>EN MATERIA DE PROTECCIÓN DE LOS CONOCIMIENTOS TRADICIONALES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val="es-419" w:eastAsia="zh-CN"/>
        </w:rPr>
        <w:id w:val="2234977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F5574" w:rsidRPr="00130037" w:rsidRDefault="003A0D01">
          <w:pPr>
            <w:pStyle w:val="TOCHeading"/>
            <w:rPr>
              <w:rFonts w:ascii="Arial" w:hAnsi="Arial" w:cs="Arial"/>
              <w:color w:val="auto"/>
              <w:lang w:val="es-419"/>
            </w:rPr>
          </w:pPr>
          <w:r w:rsidRPr="00130037">
            <w:rPr>
              <w:rFonts w:ascii="Arial" w:hAnsi="Arial" w:cs="Arial"/>
              <w:b w:val="0"/>
              <w:color w:val="auto"/>
              <w:sz w:val="22"/>
              <w:szCs w:val="22"/>
              <w:lang w:val="es-419"/>
            </w:rPr>
            <w:t>ÍNDICE</w:t>
          </w:r>
        </w:p>
        <w:p w:rsidR="00130037" w:rsidRPr="00130037" w:rsidRDefault="003C1EBE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r w:rsidRPr="00130037">
            <w:rPr>
              <w:lang w:val="es-419"/>
            </w:rPr>
            <w:fldChar w:fldCharType="begin"/>
          </w:r>
          <w:r w:rsidRPr="00130037">
            <w:rPr>
              <w:lang w:val="es-419"/>
            </w:rPr>
            <w:instrText xml:space="preserve"> TOC \o "1-3" \h \z \u \t "Heading 4;4" </w:instrText>
          </w:r>
          <w:r w:rsidRPr="00130037">
            <w:rPr>
              <w:lang w:val="es-419"/>
            </w:rPr>
            <w:fldChar w:fldCharType="separate"/>
          </w:r>
          <w:hyperlink w:anchor="_Toc116898989" w:history="1">
            <w:r w:rsidR="00130037" w:rsidRPr="00130037">
              <w:rPr>
                <w:rStyle w:val="Hyperlink"/>
                <w:lang w:val="es-419"/>
              </w:rPr>
              <w:t>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INTRODUCCIÓN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_Toc116898989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8990" w:history="1">
            <w:r w:rsidR="00130037" w:rsidRPr="00130037">
              <w:rPr>
                <w:rStyle w:val="Hyperlink"/>
                <w:lang w:val="es-419"/>
              </w:rPr>
              <w:t>II.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DEFINICIONES DE TRABAJO Y DEMÁS FUNDAMENTOS DEL ANÁLISIS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_Toc116898990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1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Definiciones de trabajo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fundamentos en los que se basa el análisis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El concepto de “protección”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Relación con el análisis de carencias en el ámbito de las ECT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Diversidad de características de los conocimientos tradicionales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Naturaleza de las “carencias” que deben identificarse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8997" w:history="1">
            <w:r w:rsidR="00130037" w:rsidRPr="00130037">
              <w:rPr>
                <w:rStyle w:val="Hyperlink"/>
                <w:lang w:val="es-419"/>
              </w:rPr>
              <w:t>III.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OBLIGACIONES, DISPOSICIONES Y POSIBILIDADES QUE YA EXISTEN EN MATERIA DE PROTECCIÓN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_Toc116898997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10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8998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los instrumentos internacionales vigentes en el ámbito de la propiedad intelectual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899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Protección positiva de los conocimientos tradicionales mediante patentes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_Toc116898999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Protección preventiva de los conocimientos tradicionales en el sistema de patentes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Requisitos de divulgación específicos para los conocimientos tradicionales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14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CC.TT. no divulgados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Competencia desleal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Signos distintivos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Legislación sobre diseños industriales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Derecho de autor y legislación conexa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07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otras esferas del Derecho internacional público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19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Convenio sobre la Diversidad Biológica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0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Protocolo de Nagoya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_Toc116899009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TIRFAA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Convención de las Naciones Unidas de Lucha contra la Desertificación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textos internacionales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Directrices de Bonn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21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Declaración de las Naciones Unidas sobre los Derechos de los Pueblos Indígenas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1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Declaración de Interlaken sobre los Recursos Zoogenéticos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16" w:history="1">
            <w:r w:rsidR="00130037" w:rsidRPr="00130037">
              <w:rPr>
                <w:rStyle w:val="Hyperlink"/>
                <w:lang w:val="es-419"/>
              </w:rPr>
              <w:t>IV.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CARENCIAS EXISTENTES A NIVEL INTERNACIONAL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_Toc116899016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22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7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la definición o determinación de los conocimientos tradicionales que deben protegerse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8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objetivos o fundamentos normativos de la protección: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24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19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mecanismos jurídicos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_Toc116899019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Materia no prevista en la legislación vigente sobre propiedad intelectual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Beneficiarios o titulares de derechos no reconocidos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Aclaración o confirmación de la aplicación de los actuales principios a los CC.TT.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3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Modalidades de protección no previstas en las normas internacionales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29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4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Inexistencia del derecho a obtener una remuneración u otros beneficios.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25" w:history="1">
            <w:r w:rsidR="00130037" w:rsidRPr="00130037">
              <w:rPr>
                <w:rStyle w:val="Hyperlink"/>
                <w:lang w:val="es-419"/>
              </w:rPr>
              <w:t>V.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CONSIDERACIONES PARA DETERMINAR SI ES NECESARIO PALIAR ESAS CARENCIAS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_Toc116899025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33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26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de carácter sustantivo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7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Derecho internacional y políticas internacionales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33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de carácter social, cultural, político y económico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2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Importancia de la protección de los CC.TT. en los contextos más generales de la formulación de políticas y la reglamentación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_Toc116899029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30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relativas a los procesos o formales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específicas relativas a los procesos o formales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2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Consideraciones que abogan en contra de la solución de las carencias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36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1"/>
            <w:rPr>
              <w:rFonts w:eastAsiaTheme="minorEastAsia"/>
              <w:b w:val="0"/>
              <w:bCs w:val="0"/>
              <w:caps w:val="0"/>
              <w:sz w:val="22"/>
              <w:szCs w:val="22"/>
              <w:lang w:val="es-ES" w:eastAsia="es-ES"/>
            </w:rPr>
          </w:pPr>
          <w:hyperlink w:anchor="_Toc116899033" w:history="1">
            <w:r w:rsidR="00130037" w:rsidRPr="00130037">
              <w:rPr>
                <w:rStyle w:val="Hyperlink"/>
                <w:lang w:val="es-419"/>
              </w:rPr>
              <w:t>VI.</w:t>
            </w:r>
            <w:r w:rsidR="00130037" w:rsidRPr="00130037">
              <w:rPr>
                <w:rFonts w:eastAsiaTheme="minorEastAsia"/>
                <w:b w:val="0"/>
                <w:bCs w:val="0"/>
                <w:caps w:val="0"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lang w:val="es-419"/>
              </w:rPr>
              <w:t>OPCIONES EXISTENTES Y POTENCIALES PARA SUBSANAR LAS CARENCIAS DEFINIDAS</w:t>
            </w:r>
            <w:r w:rsidR="00130037" w:rsidRPr="00130037">
              <w:rPr>
                <w:webHidden/>
              </w:rPr>
              <w:tab/>
            </w:r>
            <w:r w:rsidR="00130037" w:rsidRPr="00130037">
              <w:rPr>
                <w:webHidden/>
              </w:rPr>
              <w:fldChar w:fldCharType="begin"/>
            </w:r>
            <w:r w:rsidR="00130037" w:rsidRPr="00130037">
              <w:rPr>
                <w:webHidden/>
              </w:rPr>
              <w:instrText xml:space="preserve"> PAGEREF _Toc116899033 \h </w:instrText>
            </w:r>
            <w:r w:rsidR="00130037" w:rsidRPr="00130037">
              <w:rPr>
                <w:webHidden/>
              </w:rPr>
            </w:r>
            <w:r w:rsidR="00130037" w:rsidRPr="00130037">
              <w:rPr>
                <w:webHidden/>
              </w:rPr>
              <w:fldChar w:fldCharType="separate"/>
            </w:r>
            <w:r w:rsidR="009B19E7">
              <w:rPr>
                <w:webHidden/>
              </w:rPr>
              <w:t>37</w:t>
            </w:r>
            <w:r w:rsidR="00130037" w:rsidRPr="00130037">
              <w:rPr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34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internacional: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_Toc116899034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5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Un instrumento o instrumentos internacionales vinculantes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_Toc116899035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37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6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Interpretaciones o explicaciones de los instrumentos jurídicos vigentes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_Toc116899036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38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7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Un instrumento normativo internacional no vinculante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_Toc116899037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39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8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Resolución, declaración o decisión política de alto nivel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_Toc116899038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39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Fortalecer la coordinación mediante directrices o leyes tipo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_Toc116899039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40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40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Coordinación de los avances en materia legislativa a nivel nacional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_Toc116899040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16899041" w:history="1"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130037" w:rsidRPr="00130037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noProof/>
                <w:lang w:val="es-419"/>
              </w:rPr>
              <w:t>Coordinación y cooperación en materia de creación de capacidad e iniciativas prácticas.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_Toc116899041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42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42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regional: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_Toc116899042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30037" w:rsidRPr="00130037" w:rsidRDefault="002F7B55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ES" w:eastAsia="es-ES"/>
            </w:rPr>
          </w:pPr>
          <w:hyperlink w:anchor="_Toc116899043" w:history="1"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130037" w:rsidRPr="00130037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ES" w:eastAsia="es-ES"/>
              </w:rPr>
              <w:tab/>
            </w:r>
            <w:r w:rsidR="00130037" w:rsidRPr="00130037">
              <w:rPr>
                <w:rStyle w:val="Hyperlink"/>
                <w:rFonts w:ascii="Arial" w:hAnsi="Arial" w:cs="Arial"/>
                <w:i/>
                <w:noProof/>
                <w:lang w:val="es-419"/>
              </w:rPr>
              <w:t>Medidas jurídicas o de otra índole a nivel nacional:</w:t>
            </w:r>
            <w:r w:rsidR="00130037" w:rsidRPr="00130037">
              <w:rPr>
                <w:rFonts w:ascii="Arial" w:hAnsi="Arial" w:cs="Arial"/>
                <w:noProof/>
                <w:webHidden/>
              </w:rPr>
              <w:tab/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begin"/>
            </w:r>
            <w:r w:rsidR="00130037" w:rsidRPr="00130037">
              <w:rPr>
                <w:rFonts w:ascii="Arial" w:hAnsi="Arial" w:cs="Arial"/>
                <w:noProof/>
                <w:webHidden/>
              </w:rPr>
              <w:instrText xml:space="preserve"> PAGEREF _Toc116899043 \h </w:instrText>
            </w:r>
            <w:r w:rsidR="00130037" w:rsidRPr="00130037">
              <w:rPr>
                <w:rFonts w:ascii="Arial" w:hAnsi="Arial" w:cs="Arial"/>
                <w:noProof/>
                <w:webHidden/>
              </w:rPr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B19E7">
              <w:rPr>
                <w:rFonts w:ascii="Arial" w:hAnsi="Arial" w:cs="Arial"/>
                <w:noProof/>
                <w:webHidden/>
              </w:rPr>
              <w:t>45</w:t>
            </w:r>
            <w:r w:rsidR="00130037" w:rsidRPr="0013003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F5574" w:rsidRPr="0038186B" w:rsidRDefault="003C1EBE">
          <w:pPr>
            <w:rPr>
              <w:lang w:val="es-419"/>
            </w:rPr>
          </w:pPr>
          <w:r w:rsidRPr="00130037">
            <w:rPr>
              <w:rFonts w:eastAsia="Times New Roman"/>
              <w:b/>
              <w:bCs/>
              <w:caps/>
              <w:sz w:val="20"/>
              <w:lang w:val="es-419" w:eastAsia="en-US"/>
            </w:rPr>
            <w:fldChar w:fldCharType="end"/>
          </w:r>
        </w:p>
      </w:sdtContent>
    </w:sdt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p w:rsidR="00DF5574" w:rsidRPr="0038186B" w:rsidRDefault="000549B9" w:rsidP="00880F45">
      <w:pPr>
        <w:pStyle w:val="Heading1"/>
        <w:keepNext w:val="0"/>
        <w:tabs>
          <w:tab w:val="left" w:pos="567"/>
        </w:tabs>
        <w:spacing w:before="360" w:after="200"/>
        <w:ind w:left="539" w:hanging="539"/>
        <w:rPr>
          <w:b w:val="0"/>
          <w:lang w:val="es-419"/>
        </w:rPr>
      </w:pPr>
      <w:bookmarkStart w:id="4" w:name="_Toc116898989"/>
      <w:r w:rsidRPr="0038186B">
        <w:rPr>
          <w:b w:val="0"/>
          <w:lang w:val="es-419"/>
        </w:rPr>
        <w:lastRenderedPageBreak/>
        <w:t>i.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INTRODUCCIÓN</w:t>
      </w:r>
      <w:bookmarkEnd w:id="4"/>
    </w:p>
    <w:p w:rsidR="00DF5574" w:rsidRPr="0038186B" w:rsidRDefault="002C6C28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\* Arabic </w:instrText>
      </w:r>
      <w:r w:rsidRPr="0038186B">
        <w:rPr>
          <w:lang w:val="es-419"/>
        </w:rPr>
        <w:fldChar w:fldCharType="end"/>
      </w:r>
      <w:r w:rsidR="00FD6EEF" w:rsidRPr="0038186B">
        <w:rPr>
          <w:lang w:val="es-419"/>
        </w:rPr>
        <w:tab/>
      </w:r>
      <w:r w:rsidR="00344979" w:rsidRPr="0038186B">
        <w:rPr>
          <w:lang w:val="es-419"/>
        </w:rPr>
        <w:t>El documento que</w:t>
      </w:r>
      <w:r w:rsidR="00DA1047" w:rsidRPr="0038186B">
        <w:rPr>
          <w:lang w:val="es-419"/>
        </w:rPr>
        <w:t xml:space="preserve"> figura</w:t>
      </w:r>
      <w:r w:rsidR="006B6CF6" w:rsidRPr="0038186B">
        <w:rPr>
          <w:lang w:val="es-419"/>
        </w:rPr>
        <w:t xml:space="preserve"> a continuación contiene </w:t>
      </w:r>
      <w:r w:rsidR="00042C2A" w:rsidRPr="0038186B">
        <w:rPr>
          <w:lang w:val="es-419"/>
        </w:rPr>
        <w:t>esta</w:t>
      </w:r>
      <w:r w:rsidR="006B6CF6" w:rsidRPr="0038186B">
        <w:rPr>
          <w:lang w:val="es-419"/>
        </w:rPr>
        <w:t xml:space="preserve"> breve </w:t>
      </w:r>
      <w:r w:rsidR="00344979" w:rsidRPr="0038186B">
        <w:rPr>
          <w:lang w:val="es-419"/>
        </w:rPr>
        <w:t xml:space="preserve">introducción </w:t>
      </w:r>
      <w:r w:rsidR="00042C2A" w:rsidRPr="0038186B">
        <w:rPr>
          <w:lang w:val="es-419"/>
        </w:rPr>
        <w:t xml:space="preserve">y </w:t>
      </w:r>
      <w:r w:rsidR="00313FCC" w:rsidRPr="0038186B">
        <w:rPr>
          <w:lang w:val="es-419"/>
        </w:rPr>
        <w:t>cinco</w:t>
      </w:r>
      <w:r w:rsidR="00042C2A" w:rsidRPr="0038186B">
        <w:rPr>
          <w:lang w:val="es-419"/>
        </w:rPr>
        <w:t xml:space="preserve"> secciones</w:t>
      </w:r>
      <w:r w:rsidR="00344979" w:rsidRPr="0038186B">
        <w:rPr>
          <w:lang w:val="es-419"/>
        </w:rPr>
        <w:t xml:space="preserve"> que corresponden a los elementos </w:t>
      </w:r>
      <w:r w:rsidR="00042C2A" w:rsidRPr="0038186B">
        <w:rPr>
          <w:lang w:val="es-419"/>
        </w:rPr>
        <w:t>citados</w:t>
      </w:r>
      <w:r w:rsidR="00344979" w:rsidRPr="0038186B">
        <w:rPr>
          <w:lang w:val="es-419"/>
        </w:rPr>
        <w:t xml:space="preserve"> en la decisión </w:t>
      </w:r>
      <w:r w:rsidR="00BD4608" w:rsidRPr="0038186B">
        <w:rPr>
          <w:lang w:val="es-419"/>
        </w:rPr>
        <w:t xml:space="preserve">adoptada por </w:t>
      </w:r>
      <w:r w:rsidR="00344979" w:rsidRPr="0038186B">
        <w:rPr>
          <w:lang w:val="es-419"/>
        </w:rPr>
        <w:t>el Comité en su duodécima sesión,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d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efiniciones de trabajo y demás fundamentos del análisis;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bligaciones, disposiciones y posibilidades que ya existen a nivel internacional en materia de protección de los conocimientos tradicionales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(apartado a)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V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arencias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 ilustradas, en la medida de lo posible,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con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ejemplos específicos (apartado b)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0C7D07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BD4608" w:rsidRPr="0038186B">
        <w:rPr>
          <w:rFonts w:ascii="Arial" w:hAnsi="Arial" w:cs="Arial"/>
          <w:sz w:val="22"/>
          <w:szCs w:val="22"/>
          <w:lang w:val="es-419"/>
        </w:rPr>
        <w:t xml:space="preserve">V: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onsideraciones para determinar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es necesario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esas carencias (apartado c)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V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pciones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subsanar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carencia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1DC" w:rsidRPr="0038186B">
        <w:rPr>
          <w:rFonts w:ascii="Arial" w:hAnsi="Arial" w:cs="Arial"/>
          <w:sz w:val="22"/>
          <w:szCs w:val="22"/>
          <w:lang w:val="es-419"/>
        </w:rPr>
        <w:t>definidas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, incluidas las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jurídicas o de otra índole,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a nivel internacional, regional o nacional (apartado d) de la decisión).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C33C3" w:rsidRPr="0038186B">
        <w:rPr>
          <w:lang w:val="es-419"/>
        </w:rPr>
        <w:t xml:space="preserve">En el anexo </w:t>
      </w:r>
      <w:r w:rsidRPr="0038186B">
        <w:rPr>
          <w:lang w:val="es-419"/>
        </w:rPr>
        <w:t xml:space="preserve">II </w:t>
      </w:r>
      <w:r w:rsidR="00BC33C3" w:rsidRPr="0038186B">
        <w:rPr>
          <w:lang w:val="es-419"/>
        </w:rPr>
        <w:t>se presenta una matriz que recoge los elementos que figuran en estas secciones</w:t>
      </w:r>
      <w:r w:rsidRPr="0038186B">
        <w:rPr>
          <w:lang w:val="es-419"/>
        </w:rPr>
        <w:t xml:space="preserve"> (</w:t>
      </w:r>
      <w:r w:rsidR="00BC33C3" w:rsidRPr="0038186B">
        <w:rPr>
          <w:lang w:val="es-419"/>
        </w:rPr>
        <w:t xml:space="preserve">apartados </w:t>
      </w:r>
      <w:r w:rsidRPr="0038186B">
        <w:rPr>
          <w:lang w:val="es-419"/>
        </w:rPr>
        <w:t>a)</w:t>
      </w:r>
      <w:r w:rsidR="00BC33C3" w:rsidRPr="0038186B">
        <w:rPr>
          <w:lang w:val="es-419"/>
        </w:rPr>
        <w:t xml:space="preserve"> a</w:t>
      </w:r>
      <w:r w:rsidRPr="0038186B">
        <w:rPr>
          <w:lang w:val="es-419"/>
        </w:rPr>
        <w:t xml:space="preserve"> d) </w:t>
      </w:r>
      <w:r w:rsidR="00BC33C3" w:rsidRPr="0038186B">
        <w:rPr>
          <w:lang w:val="es-419"/>
        </w:rPr>
        <w:t>de la decisión del Com</w:t>
      </w:r>
      <w:r w:rsidRPr="0038186B">
        <w:rPr>
          <w:lang w:val="es-419"/>
        </w:rPr>
        <w:t>i</w:t>
      </w:r>
      <w:r w:rsidR="00BC33C3" w:rsidRPr="0038186B">
        <w:rPr>
          <w:lang w:val="es-419"/>
        </w:rPr>
        <w:t>té</w:t>
      </w:r>
      <w:r w:rsidRPr="0038186B">
        <w:rPr>
          <w:lang w:val="es-419"/>
        </w:rPr>
        <w:t>).</w:t>
      </w:r>
    </w:p>
    <w:p w:rsidR="00DF5574" w:rsidRPr="0038186B" w:rsidRDefault="007F73DA" w:rsidP="00880F45">
      <w:pPr>
        <w:pStyle w:val="Heading1"/>
        <w:spacing w:before="360"/>
        <w:ind w:left="539" w:hanging="539"/>
        <w:rPr>
          <w:b w:val="0"/>
          <w:lang w:val="es-419"/>
        </w:rPr>
      </w:pPr>
      <w:bookmarkStart w:id="5" w:name="_Toc116898990"/>
      <w:r w:rsidRPr="0038186B">
        <w:rPr>
          <w:b w:val="0"/>
          <w:lang w:val="es-419"/>
        </w:rPr>
        <w:t>I</w:t>
      </w:r>
      <w:r w:rsidR="000549B9" w:rsidRPr="0038186B">
        <w:rPr>
          <w:b w:val="0"/>
          <w:lang w:val="es-419"/>
        </w:rPr>
        <w:t>I</w:t>
      </w:r>
      <w:r w:rsidR="00BD4608" w:rsidRPr="0038186B">
        <w:rPr>
          <w:b w:val="0"/>
          <w:lang w:val="es-419"/>
        </w:rPr>
        <w:t>.</w:t>
      </w:r>
      <w:r w:rsidR="00BD460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DEFINICIONES DE TRABAJO Y DEMÁS FUNDAMENTOS DEL ANÁLISIS</w:t>
      </w:r>
      <w:bookmarkEnd w:id="5"/>
    </w:p>
    <w:p w:rsidR="00DF5574" w:rsidRPr="0038186B" w:rsidRDefault="000549B9" w:rsidP="000549B9">
      <w:pPr>
        <w:pStyle w:val="Heading2"/>
        <w:rPr>
          <w:i/>
          <w:u w:val="single"/>
          <w:lang w:val="es-419"/>
        </w:rPr>
      </w:pPr>
      <w:bookmarkStart w:id="6" w:name="_Toc116898991"/>
      <w:r w:rsidRPr="0038186B">
        <w:rPr>
          <w:i/>
          <w:caps w:val="0"/>
          <w:u w:val="single"/>
          <w:lang w:val="es-419"/>
        </w:rPr>
        <w:t>a)</w:t>
      </w:r>
      <w:r w:rsidR="00BD460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Definiciones de trabajo</w:t>
      </w:r>
      <w:bookmarkEnd w:id="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No existe una definición internacionalmente aceptada de</w:t>
      </w:r>
      <w:r w:rsidR="00340F4F" w:rsidRPr="0038186B">
        <w:rPr>
          <w:lang w:val="es-419"/>
        </w:rPr>
        <w:t xml:space="preserve"> la expresión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“conocimientos tradicionales” como tal.</w:t>
      </w:r>
      <w:r w:rsidR="001A60B0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Otros</w:t>
      </w:r>
      <w:r w:rsidR="00344979" w:rsidRPr="0038186B">
        <w:rPr>
          <w:lang w:val="es-419"/>
        </w:rPr>
        <w:t xml:space="preserve"> instrumentos internacionales se </w:t>
      </w:r>
      <w:r w:rsidR="00340F4F" w:rsidRPr="0038186B">
        <w:rPr>
          <w:lang w:val="es-419"/>
        </w:rPr>
        <w:t>refieren a</w:t>
      </w:r>
      <w:r w:rsidR="00344979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conceptos</w:t>
      </w:r>
      <w:r w:rsidR="00344979" w:rsidRPr="0038186B">
        <w:rPr>
          <w:lang w:val="es-419"/>
        </w:rPr>
        <w:t xml:space="preserve"> conex</w:t>
      </w:r>
      <w:r w:rsidR="00340F4F" w:rsidRPr="0038186B">
        <w:rPr>
          <w:lang w:val="es-419"/>
        </w:rPr>
        <w:t xml:space="preserve">os, </w:t>
      </w:r>
      <w:r w:rsidR="00344979" w:rsidRPr="0038186B">
        <w:rPr>
          <w:lang w:val="es-419"/>
        </w:rPr>
        <w:t>como</w:t>
      </w:r>
      <w:r w:rsidR="00340F4F" w:rsidRPr="0038186B">
        <w:rPr>
          <w:lang w:val="es-419"/>
        </w:rPr>
        <w:t xml:space="preserve"> por ejemplo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conocimientos, </w:t>
      </w:r>
      <w:r w:rsidR="00340F4F" w:rsidRPr="0038186B">
        <w:rPr>
          <w:lang w:val="es-419"/>
        </w:rPr>
        <w:t xml:space="preserve">las </w:t>
      </w:r>
      <w:r w:rsidRPr="0038186B">
        <w:rPr>
          <w:lang w:val="es-419"/>
        </w:rPr>
        <w:t>innovaciones y prácticas de las comunidades indígenas y locales incorporados en estilos de vida tradicionales pertinentes para la conservación y el uso sostenible de la diversidad biológica.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5"/>
      </w:r>
    </w:p>
    <w:p w:rsidR="00DF5574" w:rsidRPr="0038186B" w:rsidRDefault="00DF5574" w:rsidP="00964AF1">
      <w:pPr>
        <w:rPr>
          <w:lang w:val="es-419"/>
        </w:rPr>
      </w:pPr>
    </w:p>
    <w:p w:rsidR="00DF5574" w:rsidRPr="0038186B" w:rsidRDefault="00BD4608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asociado</w:t>
      </w:r>
      <w:r w:rsidR="00344979" w:rsidRPr="0038186B">
        <w:rPr>
          <w:lang w:val="es-419"/>
        </w:rPr>
        <w:t>s a recursos genéticos.</w:t>
      </w:r>
      <w:r w:rsidRPr="0038186B">
        <w:rPr>
          <w:vertAlign w:val="superscript"/>
          <w:lang w:val="es-419"/>
        </w:rPr>
        <w:t xml:space="preserve"> </w:t>
      </w:r>
      <w:r w:rsidRPr="0038186B">
        <w:rPr>
          <w:vertAlign w:val="superscript"/>
          <w:lang w:val="es-419"/>
        </w:rPr>
        <w:footnoteReference w:id="6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Pr="0038186B">
        <w:rPr>
          <w:lang w:val="es-419"/>
        </w:rPr>
        <w:t xml:space="preserve"> de interés para los recursos fitogenéticos para la alimentación y la agricultura.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7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>El patrimonio cultural, los conocimientos tradicionales, las expresiones culturales tradicionales y las manifestaciones de [las]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8"/>
      </w:r>
    </w:p>
    <w:p w:rsidR="00DF5574" w:rsidRPr="0038186B" w:rsidRDefault="00A26131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lastRenderedPageBreak/>
        <w:t>El conocimiento tradicional relativo a la cría y la producción de animales</w:t>
      </w:r>
      <w:r w:rsidR="00623E66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9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73C9D" w:rsidRPr="0038186B">
        <w:rPr>
          <w:lang w:val="es-419"/>
        </w:rPr>
        <w:t>Tal como se solicitó, e</w:t>
      </w:r>
      <w:r w:rsidR="00344979" w:rsidRPr="0038186B">
        <w:rPr>
          <w:lang w:val="es-419"/>
        </w:rPr>
        <w:t xml:space="preserve">l presente proyecto de análisis de carencias se </w:t>
      </w:r>
      <w:r w:rsidR="00073C9D" w:rsidRPr="0038186B">
        <w:rPr>
          <w:lang w:val="es-419"/>
        </w:rPr>
        <w:t xml:space="preserve">centra en </w:t>
      </w:r>
      <w:r w:rsidR="00344979" w:rsidRPr="0038186B">
        <w:rPr>
          <w:lang w:val="es-419"/>
        </w:rPr>
        <w:t xml:space="preserve">los “conocimientos tradicionales” como tales, y no </w:t>
      </w:r>
      <w:r w:rsidR="00073C9D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conceptos más específicos, como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biodiversidad,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los recursos fitogenéticos o los </w:t>
      </w:r>
      <w:r w:rsidR="00073C9D" w:rsidRPr="0038186B">
        <w:rPr>
          <w:lang w:val="es-419"/>
        </w:rPr>
        <w:t>CC.TT. que poseen</w:t>
      </w:r>
      <w:r w:rsidR="00344979" w:rsidRPr="0038186B">
        <w:rPr>
          <w:lang w:val="es-419"/>
        </w:rPr>
        <w:t xml:space="preserve"> los pueblos indígenas (también conocidos </w:t>
      </w:r>
      <w:r w:rsidR="00073C9D" w:rsidRPr="0038186B">
        <w:rPr>
          <w:lang w:val="es-419"/>
        </w:rPr>
        <w:t xml:space="preserve">como “conocimientos indígenas”), ya que se considera que </w:t>
      </w:r>
      <w:r w:rsidR="00344979" w:rsidRPr="0038186B">
        <w:rPr>
          <w:lang w:val="es-419"/>
        </w:rPr>
        <w:t xml:space="preserve">esos conceptos más precisos </w:t>
      </w:r>
      <w:r w:rsidR="00BE58EC" w:rsidRPr="0038186B">
        <w:rPr>
          <w:lang w:val="es-419"/>
        </w:rPr>
        <w:t>están abarcados en</w:t>
      </w:r>
      <w:r w:rsidR="00344979" w:rsidRPr="0038186B">
        <w:rPr>
          <w:lang w:val="es-419"/>
        </w:rPr>
        <w:t xml:space="preserve"> </w:t>
      </w:r>
      <w:r w:rsidR="00073C9D" w:rsidRPr="0038186B">
        <w:rPr>
          <w:lang w:val="es-419"/>
        </w:rPr>
        <w:t xml:space="preserve">la noción </w:t>
      </w:r>
      <w:r w:rsidR="00344979" w:rsidRPr="0038186B">
        <w:rPr>
          <w:lang w:val="es-419"/>
        </w:rPr>
        <w:t>más ampli</w:t>
      </w:r>
      <w:r w:rsidR="00073C9D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de “conocimientos tradicionales” </w:t>
      </w:r>
      <w:r w:rsidR="00073C9D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073C9D" w:rsidRPr="0038186B">
        <w:rPr>
          <w:lang w:val="es-419"/>
        </w:rPr>
        <w:t xml:space="preserve">como se solicitó también </w:t>
      </w:r>
      <w:r w:rsidR="00344979" w:rsidRPr="0038186B">
        <w:rPr>
          <w:lang w:val="es-419"/>
        </w:rPr>
        <w:t xml:space="preserve">un análisis de carencias </w:t>
      </w:r>
      <w:r w:rsidR="006D38DD" w:rsidRPr="0038186B">
        <w:rPr>
          <w:lang w:val="es-419"/>
        </w:rPr>
        <w:t>independiente</w:t>
      </w:r>
      <w:r w:rsidR="00073C9D" w:rsidRPr="0038186B">
        <w:rPr>
          <w:lang w:val="es-419"/>
        </w:rPr>
        <w:t xml:space="preserve"> en relación con</w:t>
      </w:r>
      <w:r w:rsidR="00344979" w:rsidRPr="0038186B">
        <w:rPr>
          <w:lang w:val="es-419"/>
        </w:rPr>
        <w:t xml:space="preserve"> las “expresiones culturales tradicionales”, el </w:t>
      </w:r>
      <w:r w:rsidR="00073C9D" w:rsidRPr="0038186B">
        <w:rPr>
          <w:lang w:val="es-419"/>
        </w:rPr>
        <w:t>present</w:t>
      </w:r>
      <w:r w:rsidR="006D38DD" w:rsidRPr="0038186B">
        <w:rPr>
          <w:lang w:val="es-419"/>
        </w:rPr>
        <w:t>e</w:t>
      </w:r>
      <w:r w:rsidR="00073C9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análisis </w:t>
      </w:r>
      <w:r w:rsidR="001D7AF7" w:rsidRPr="0038186B">
        <w:rPr>
          <w:lang w:val="es-419"/>
        </w:rPr>
        <w:t xml:space="preserve">se centrará </w:t>
      </w:r>
      <w:r w:rsidR="00344979" w:rsidRPr="0038186B">
        <w:rPr>
          <w:lang w:val="es-419"/>
        </w:rPr>
        <w:t xml:space="preserve">en los conocimientos tradicionales en sentido estricto, </w:t>
      </w:r>
      <w:r w:rsidR="006D38DD" w:rsidRPr="0038186B">
        <w:rPr>
          <w:lang w:val="es-419"/>
        </w:rPr>
        <w:t xml:space="preserve">y no </w:t>
      </w:r>
      <w:r w:rsidR="001623F3" w:rsidRPr="0038186B">
        <w:rPr>
          <w:lang w:val="es-419"/>
        </w:rPr>
        <w:t>en</w:t>
      </w:r>
      <w:r w:rsidR="001D7AF7" w:rsidRPr="0038186B">
        <w:rPr>
          <w:lang w:val="es-419"/>
        </w:rPr>
        <w:t xml:space="preserve"> su</w:t>
      </w:r>
      <w:r w:rsidR="006D38DD" w:rsidRPr="0038186B">
        <w:rPr>
          <w:lang w:val="es-419"/>
        </w:rPr>
        <w:t xml:space="preserve"> acepción más amplia</w:t>
      </w:r>
      <w:r w:rsidR="00EE410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</w:t>
      </w:r>
      <w:r w:rsidR="001D7AF7" w:rsidRPr="0038186B">
        <w:rPr>
          <w:lang w:val="es-419"/>
        </w:rPr>
        <w:t>es la que a</w:t>
      </w:r>
      <w:r w:rsidR="00344979" w:rsidRPr="0038186B">
        <w:rPr>
          <w:lang w:val="es-419"/>
        </w:rPr>
        <w:t xml:space="preserve"> veces se ha utilizado </w:t>
      </w:r>
      <w:r w:rsidR="001D7AF7" w:rsidRPr="0038186B">
        <w:rPr>
          <w:lang w:val="es-419"/>
        </w:rPr>
        <w:t xml:space="preserve">para referirse a ese </w:t>
      </w:r>
      <w:r w:rsidR="006D38DD" w:rsidRPr="0038186B">
        <w:rPr>
          <w:lang w:val="es-419"/>
        </w:rPr>
        <w:t>concepto.</w:t>
      </w:r>
      <w:r w:rsidR="001A60B0" w:rsidRPr="0038186B">
        <w:rPr>
          <w:lang w:val="es-419"/>
        </w:rPr>
        <w:t xml:space="preserve"> </w:t>
      </w:r>
      <w:r w:rsidR="00EE4109" w:rsidRPr="0038186B">
        <w:rPr>
          <w:lang w:val="es-419"/>
        </w:rPr>
        <w:t>Por consiguiente</w:t>
      </w:r>
      <w:r w:rsidR="00422DCC" w:rsidRPr="0038186B">
        <w:rPr>
          <w:lang w:val="es-419"/>
        </w:rPr>
        <w:t xml:space="preserve">, </w:t>
      </w:r>
      <w:r w:rsidR="00EE4109" w:rsidRPr="0038186B">
        <w:rPr>
          <w:lang w:val="es-419"/>
        </w:rPr>
        <w:t xml:space="preserve">y </w:t>
      </w:r>
      <w:r w:rsidR="00422DCC" w:rsidRPr="0038186B">
        <w:rPr>
          <w:lang w:val="es-419"/>
        </w:rPr>
        <w:t xml:space="preserve">solo </w:t>
      </w:r>
      <w:r w:rsidR="00EE4109" w:rsidRPr="0038186B">
        <w:rPr>
          <w:lang w:val="es-419"/>
        </w:rPr>
        <w:t xml:space="preserve">a </w:t>
      </w:r>
      <w:r w:rsidR="001C09D1" w:rsidRPr="0038186B">
        <w:rPr>
          <w:lang w:val="es-419"/>
        </w:rPr>
        <w:t xml:space="preserve">los </w:t>
      </w:r>
      <w:r w:rsidR="002620F7" w:rsidRPr="0038186B">
        <w:rPr>
          <w:lang w:val="es-419"/>
        </w:rPr>
        <w:t>fines</w:t>
      </w:r>
      <w:r w:rsidR="00EE4109" w:rsidRPr="0038186B">
        <w:rPr>
          <w:lang w:val="es-419"/>
        </w:rPr>
        <w:t xml:space="preserve"> del presente análisis</w:t>
      </w:r>
      <w:r w:rsidR="00422DCC" w:rsidRPr="0038186B">
        <w:rPr>
          <w:lang w:val="es-419"/>
        </w:rPr>
        <w:t>,</w:t>
      </w:r>
      <w:r w:rsidR="00EE4109" w:rsidRPr="0038186B">
        <w:rPr>
          <w:lang w:val="es-419"/>
        </w:rPr>
        <w:t xml:space="preserve"> </w:t>
      </w:r>
      <w:r w:rsidR="00422DCC" w:rsidRPr="0038186B">
        <w:rPr>
          <w:lang w:val="es-419"/>
        </w:rPr>
        <w:t xml:space="preserve">se entiende que </w:t>
      </w:r>
      <w:r w:rsidR="00EE4109" w:rsidRPr="0038186B">
        <w:rPr>
          <w:lang w:val="es-419"/>
        </w:rPr>
        <w:t xml:space="preserve">la </w:t>
      </w:r>
      <w:r w:rsidR="00422DCC" w:rsidRPr="0038186B">
        <w:rPr>
          <w:lang w:val="es-419"/>
        </w:rPr>
        <w:t>expresión</w:t>
      </w:r>
      <w:r w:rsidR="00EE4109" w:rsidRPr="0038186B">
        <w:rPr>
          <w:lang w:val="es-419"/>
        </w:rPr>
        <w:t xml:space="preserve"> “conocimi</w:t>
      </w:r>
      <w:r w:rsidR="00422DCC" w:rsidRPr="0038186B">
        <w:rPr>
          <w:lang w:val="es-419"/>
        </w:rPr>
        <w:t xml:space="preserve">entos </w:t>
      </w:r>
      <w:r w:rsidR="00EE4109" w:rsidRPr="0038186B">
        <w:rPr>
          <w:lang w:val="es-419"/>
        </w:rPr>
        <w:t>tradicional</w:t>
      </w:r>
      <w:r w:rsidR="00422DCC" w:rsidRPr="0038186B">
        <w:rPr>
          <w:lang w:val="es-419"/>
        </w:rPr>
        <w:t>es</w:t>
      </w:r>
      <w:r w:rsidRPr="0038186B">
        <w:rPr>
          <w:lang w:val="es-419"/>
        </w:rPr>
        <w:t xml:space="preserve">” </w:t>
      </w:r>
      <w:r w:rsidR="00EE4109" w:rsidRPr="0038186B">
        <w:rPr>
          <w:lang w:val="es-419"/>
        </w:rPr>
        <w:t xml:space="preserve">se </w:t>
      </w:r>
      <w:r w:rsidR="00422DCC" w:rsidRPr="0038186B">
        <w:rPr>
          <w:lang w:val="es-419"/>
        </w:rPr>
        <w:t xml:space="preserve">refiere en </w:t>
      </w:r>
      <w:r w:rsidR="00EE4109" w:rsidRPr="0038186B">
        <w:rPr>
          <w:lang w:val="es-419"/>
        </w:rPr>
        <w:t>general a</w:t>
      </w:r>
      <w:r w:rsidR="001C09D1" w:rsidRPr="0038186B">
        <w:rPr>
          <w:lang w:val="es-419"/>
        </w:rPr>
        <w:t>l conocimiento en cuanto tal</w:t>
      </w:r>
      <w:r w:rsidR="00EE4109" w:rsidRPr="0038186B">
        <w:rPr>
          <w:lang w:val="es-419"/>
        </w:rPr>
        <w:t xml:space="preserve">, en especial </w:t>
      </w:r>
      <w:r w:rsidR="001C09D1" w:rsidRPr="0038186B">
        <w:rPr>
          <w:lang w:val="es-419"/>
        </w:rPr>
        <w:t xml:space="preserve">al </w:t>
      </w:r>
      <w:r w:rsidR="00422DCC" w:rsidRPr="0038186B">
        <w:rPr>
          <w:lang w:val="es-419"/>
        </w:rPr>
        <w:t xml:space="preserve">resultante de la actividad </w:t>
      </w:r>
      <w:r w:rsidR="00BE58EC" w:rsidRPr="0038186B">
        <w:rPr>
          <w:lang w:val="es-419"/>
        </w:rPr>
        <w:t>intelectual</w:t>
      </w:r>
      <w:r w:rsidR="00422DCC" w:rsidRPr="0038186B">
        <w:rPr>
          <w:lang w:val="es-419"/>
        </w:rPr>
        <w:t xml:space="preserve"> en un contexto tradicional e incluye </w:t>
      </w:r>
      <w:r w:rsidR="001C09D1" w:rsidRPr="0038186B">
        <w:rPr>
          <w:lang w:val="es-419"/>
        </w:rPr>
        <w:t xml:space="preserve">los </w:t>
      </w:r>
      <w:r w:rsidR="00422DCC" w:rsidRPr="0038186B">
        <w:rPr>
          <w:lang w:val="es-419"/>
        </w:rPr>
        <w:t xml:space="preserve">conocimientos especializados,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 xml:space="preserve">prácticas,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>capacidades e innovaciones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22DCC" w:rsidRPr="0038186B">
        <w:rPr>
          <w:lang w:val="es-419"/>
        </w:rPr>
        <w:t>Esta descripción general de los conocimientos tradicionales se fundamenta en los trabajos realizados por el propio Comité</w:t>
      </w:r>
      <w:r w:rsidR="001623F3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0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1C09D1" w:rsidRPr="0038186B">
        <w:rPr>
          <w:lang w:val="es-419"/>
        </w:rPr>
        <w:tab/>
        <w:t xml:space="preserve">El </w:t>
      </w:r>
      <w:r w:rsidR="001868A8" w:rsidRPr="0038186B">
        <w:rPr>
          <w:lang w:val="es-419"/>
        </w:rPr>
        <w:t>análisis</w:t>
      </w:r>
      <w:r w:rsidR="001C09D1" w:rsidRPr="0038186B">
        <w:rPr>
          <w:lang w:val="es-419"/>
        </w:rPr>
        <w:t xml:space="preserve"> de carencias se basa </w:t>
      </w:r>
      <w:r w:rsidR="001868A8" w:rsidRPr="0038186B">
        <w:rPr>
          <w:lang w:val="es-419"/>
        </w:rPr>
        <w:t>asimismo</w:t>
      </w:r>
      <w:r w:rsidR="001C09D1" w:rsidRPr="0038186B">
        <w:rPr>
          <w:lang w:val="es-419"/>
        </w:rPr>
        <w:t xml:space="preserve"> en el supuesto de que, para </w:t>
      </w:r>
      <w:r w:rsidR="001868A8" w:rsidRPr="0038186B">
        <w:rPr>
          <w:lang w:val="es-419"/>
        </w:rPr>
        <w:t xml:space="preserve">subsanar las carencias </w:t>
      </w:r>
      <w:r w:rsidR="001623F3" w:rsidRPr="0038186B">
        <w:rPr>
          <w:lang w:val="es-419"/>
        </w:rPr>
        <w:t xml:space="preserve">observadas </w:t>
      </w:r>
      <w:r w:rsidR="001868A8" w:rsidRPr="0038186B">
        <w:rPr>
          <w:lang w:val="es-419"/>
        </w:rPr>
        <w:t xml:space="preserve">en materia de protección jurídica, convendría </w:t>
      </w:r>
      <w:r w:rsidR="004F4D8C" w:rsidRPr="0038186B">
        <w:rPr>
          <w:lang w:val="es-419"/>
        </w:rPr>
        <w:t>adoptar</w:t>
      </w:r>
      <w:r w:rsidR="001868A8" w:rsidRPr="0038186B">
        <w:rPr>
          <w:lang w:val="es-419"/>
        </w:rPr>
        <w:t xml:space="preserve"> una definición </w:t>
      </w:r>
      <w:r w:rsidR="004F4D8C" w:rsidRPr="0038186B">
        <w:rPr>
          <w:lang w:val="es-419"/>
        </w:rPr>
        <w:t>más precisa del conocimiento tradicional</w:t>
      </w:r>
      <w:r w:rsidRPr="0038186B">
        <w:rPr>
          <w:lang w:val="es-419"/>
        </w:rPr>
        <w:t xml:space="preserve">, </w:t>
      </w:r>
      <w:r w:rsidR="001868A8" w:rsidRPr="0038186B">
        <w:rPr>
          <w:lang w:val="es-419"/>
        </w:rPr>
        <w:t>ya que una de</w:t>
      </w:r>
      <w:r w:rsidR="00415480" w:rsidRPr="0038186B">
        <w:rPr>
          <w:lang w:val="es-419"/>
        </w:rPr>
        <w:t>finición</w:t>
      </w:r>
      <w:r w:rsidR="001868A8" w:rsidRPr="0038186B">
        <w:rPr>
          <w:lang w:val="es-419"/>
        </w:rPr>
        <w:t xml:space="preserve"> muy gen</w:t>
      </w:r>
      <w:r w:rsidR="004F4D8C" w:rsidRPr="0038186B">
        <w:rPr>
          <w:lang w:val="es-419"/>
        </w:rPr>
        <w:t>érica</w:t>
      </w:r>
      <w:r w:rsidR="001868A8" w:rsidRPr="0038186B">
        <w:rPr>
          <w:lang w:val="es-419"/>
        </w:rPr>
        <w:t xml:space="preserve"> podría no ofrecer </w:t>
      </w:r>
      <w:r w:rsidR="001623F3" w:rsidRPr="0038186B">
        <w:rPr>
          <w:lang w:val="es-419"/>
        </w:rPr>
        <w:t>una</w:t>
      </w:r>
      <w:r w:rsidR="001868A8" w:rsidRPr="0038186B">
        <w:rPr>
          <w:lang w:val="es-419"/>
        </w:rPr>
        <w:t xml:space="preserve"> claridad </w:t>
      </w:r>
      <w:r w:rsidR="004F4D8C" w:rsidRPr="0038186B">
        <w:rPr>
          <w:lang w:val="es-419"/>
        </w:rPr>
        <w:t xml:space="preserve">suficiente </w:t>
      </w:r>
      <w:r w:rsidR="001868A8" w:rsidRPr="0038186B">
        <w:rPr>
          <w:lang w:val="es-419"/>
        </w:rPr>
        <w:t xml:space="preserve">para </w:t>
      </w:r>
      <w:r w:rsidR="001623F3" w:rsidRPr="0038186B">
        <w:rPr>
          <w:lang w:val="es-419"/>
        </w:rPr>
        <w:t xml:space="preserve">poder utilizar </w:t>
      </w:r>
      <w:r w:rsidR="00415480" w:rsidRPr="0038186B">
        <w:rPr>
          <w:lang w:val="es-419"/>
        </w:rPr>
        <w:t xml:space="preserve">el </w:t>
      </w:r>
      <w:r w:rsidR="001868A8" w:rsidRPr="0038186B">
        <w:rPr>
          <w:lang w:val="es-419"/>
        </w:rPr>
        <w:t>análisis de carencias</w:t>
      </w:r>
      <w:r w:rsidR="001623F3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El Comité ha examinado </w:t>
      </w:r>
      <w:r w:rsidR="001623F3" w:rsidRPr="0038186B">
        <w:rPr>
          <w:lang w:val="es-419"/>
        </w:rPr>
        <w:t>distintos</w:t>
      </w:r>
      <w:r w:rsidR="004F4D8C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criterios de admisibilidad </w:t>
      </w:r>
      <w:r w:rsidR="001623F3" w:rsidRPr="0038186B">
        <w:rPr>
          <w:lang w:val="es-419"/>
        </w:rPr>
        <w:t>que se han presentado a</w:t>
      </w:r>
      <w:r w:rsidR="001868A8" w:rsidRPr="0038186B">
        <w:rPr>
          <w:lang w:val="es-419"/>
        </w:rPr>
        <w:t xml:space="preserve"> lo largo de los años</w:t>
      </w:r>
      <w:r w:rsidR="00707C84" w:rsidRPr="0038186B">
        <w:rPr>
          <w:lang w:val="es-419"/>
        </w:rPr>
        <w:t>.</w:t>
      </w:r>
      <w:r w:rsidR="001868A8" w:rsidRPr="0038186B">
        <w:rPr>
          <w:lang w:val="es-419"/>
        </w:rPr>
        <w:t xml:space="preserve"> </w:t>
      </w:r>
      <w:r w:rsidR="004F4D8C" w:rsidRPr="0038186B">
        <w:rPr>
          <w:lang w:val="es-419"/>
        </w:rPr>
        <w:t xml:space="preserve">Los criterios que se </w:t>
      </w:r>
      <w:r w:rsidR="001623F3" w:rsidRPr="0038186B">
        <w:rPr>
          <w:lang w:val="es-419"/>
        </w:rPr>
        <w:t>exponen</w:t>
      </w:r>
      <w:r w:rsidR="004F4D8C" w:rsidRPr="0038186B">
        <w:rPr>
          <w:lang w:val="es-419"/>
        </w:rPr>
        <w:t xml:space="preserve"> a continuación</w:t>
      </w:r>
      <w:r w:rsidR="001623F3" w:rsidRPr="0038186B">
        <w:rPr>
          <w:lang w:val="es-419"/>
        </w:rPr>
        <w:t xml:space="preserve">, </w:t>
      </w:r>
      <w:r w:rsidR="00081D3C" w:rsidRPr="0038186B">
        <w:rPr>
          <w:lang w:val="es-419"/>
        </w:rPr>
        <w:t>que se basan</w:t>
      </w:r>
      <w:r w:rsidR="004F4D8C" w:rsidRPr="0038186B">
        <w:rPr>
          <w:lang w:val="es-419"/>
        </w:rPr>
        <w:t xml:space="preserve"> en los trabajos </w:t>
      </w:r>
      <w:r w:rsidR="00664D36" w:rsidRPr="0038186B">
        <w:rPr>
          <w:lang w:val="es-419"/>
        </w:rPr>
        <w:t>realizados por</w:t>
      </w:r>
      <w:r w:rsidR="004F4D8C" w:rsidRPr="0038186B">
        <w:rPr>
          <w:lang w:val="es-419"/>
        </w:rPr>
        <w:t xml:space="preserve"> el Comité</w:t>
      </w:r>
      <w:r w:rsidR="002163AB" w:rsidRPr="0038186B">
        <w:rPr>
          <w:lang w:val="es-419"/>
        </w:rPr>
        <w:t xml:space="preserve"> y</w:t>
      </w:r>
      <w:r w:rsidR="00081D3C" w:rsidRPr="0038186B">
        <w:rPr>
          <w:lang w:val="es-419"/>
        </w:rPr>
        <w:t xml:space="preserve"> </w:t>
      </w:r>
      <w:r w:rsidR="002163AB" w:rsidRPr="0038186B">
        <w:rPr>
          <w:lang w:val="es-419"/>
        </w:rPr>
        <w:t>caracterizan</w:t>
      </w:r>
      <w:r w:rsidR="00081D3C" w:rsidRPr="0038186B">
        <w:rPr>
          <w:lang w:val="es-419"/>
        </w:rPr>
        <w:t xml:space="preserve"> los</w:t>
      </w:r>
      <w:r w:rsidR="004F4D8C" w:rsidRPr="0038186B">
        <w:rPr>
          <w:lang w:val="es-419"/>
        </w:rPr>
        <w:t xml:space="preserve"> CC.TT.</w:t>
      </w:r>
      <w:r w:rsidR="002163AB" w:rsidRPr="0038186B">
        <w:rPr>
          <w:lang w:val="es-419"/>
        </w:rPr>
        <w:t>,</w:t>
      </w:r>
      <w:r w:rsidR="001623F3" w:rsidRPr="0038186B">
        <w:rPr>
          <w:lang w:val="es-419"/>
        </w:rPr>
        <w:t xml:space="preserve"> podrían </w:t>
      </w:r>
      <w:r w:rsidR="002163AB" w:rsidRPr="0038186B">
        <w:rPr>
          <w:lang w:val="es-419"/>
        </w:rPr>
        <w:t xml:space="preserve">facilitar su eventual </w:t>
      </w:r>
      <w:r w:rsidR="00081D3C" w:rsidRPr="0038186B">
        <w:rPr>
          <w:lang w:val="es-419"/>
        </w:rPr>
        <w:t>pr</w:t>
      </w:r>
      <w:r w:rsidR="004F4D8C" w:rsidRPr="0038186B">
        <w:rPr>
          <w:lang w:val="es-419"/>
        </w:rPr>
        <w:t>otección jurídica</w:t>
      </w:r>
      <w:r w:rsidR="00151633" w:rsidRPr="0038186B">
        <w:rPr>
          <w:rStyle w:val="FootnoteReference"/>
          <w:lang w:val="es-419"/>
        </w:rPr>
        <w:footnoteReference w:id="11"/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haberse creado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 y preservado </w:t>
      </w:r>
      <w:r w:rsidRPr="0038186B">
        <w:rPr>
          <w:rFonts w:ascii="Arial" w:hAnsi="Arial" w:cs="Arial"/>
          <w:sz w:val="22"/>
          <w:szCs w:val="22"/>
          <w:lang w:val="es-419"/>
        </w:rPr>
        <w:t>en un contexto tradicional y transmiti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do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 una generación a otra;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estar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claramente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Esta relación podría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>ponerse de manifiesto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formal o informalmente </w:t>
      </w:r>
      <w:r w:rsidRPr="0038186B">
        <w:rPr>
          <w:rFonts w:ascii="Arial" w:hAnsi="Arial" w:cs="Arial"/>
          <w:sz w:val="22"/>
          <w:szCs w:val="22"/>
          <w:lang w:val="es-419"/>
        </w:rPr>
        <w:t>en la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s prácticas, protocolos o </w:t>
      </w:r>
      <w:r w:rsidR="00052F9A" w:rsidRPr="0038186B">
        <w:rPr>
          <w:rFonts w:ascii="Arial" w:hAnsi="Arial" w:cs="Arial"/>
          <w:sz w:val="22"/>
          <w:szCs w:val="22"/>
          <w:lang w:val="es-419"/>
        </w:rPr>
        <w:t>normas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consuetudinarios o tradicionales.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 xml:space="preserve">Cabría considerar asimismo </w:t>
      </w:r>
      <w:r w:rsidR="00664D36" w:rsidRPr="0038186B">
        <w:rPr>
          <w:rFonts w:ascii="Arial" w:hAnsi="Arial" w:cs="Arial"/>
          <w:sz w:val="22"/>
          <w:szCs w:val="22"/>
          <w:lang w:val="es-419"/>
        </w:rPr>
        <w:t xml:space="preserve">el carácter innovador de </w:t>
      </w:r>
      <w:r w:rsidR="00E219E8" w:rsidRPr="0038186B">
        <w:rPr>
          <w:rFonts w:ascii="Arial" w:hAnsi="Arial" w:cs="Arial"/>
          <w:sz w:val="22"/>
          <w:szCs w:val="22"/>
          <w:lang w:val="es-419"/>
        </w:rPr>
        <w:t>los conocimientos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5EE6" w:rsidRPr="0038186B">
        <w:rPr>
          <w:lang w:val="es-419"/>
        </w:rPr>
        <w:t xml:space="preserve">A los fines del presente análisis, </w:t>
      </w:r>
      <w:r w:rsidR="00344979" w:rsidRPr="0038186B">
        <w:rPr>
          <w:lang w:val="es-419"/>
        </w:rPr>
        <w:t xml:space="preserve">para </w:t>
      </w:r>
      <w:r w:rsidR="00A540B1" w:rsidRPr="0038186B">
        <w:rPr>
          <w:lang w:val="es-419"/>
        </w:rPr>
        <w:t xml:space="preserve">que los CC.TT. </w:t>
      </w:r>
      <w:r w:rsidR="00344979" w:rsidRPr="0038186B">
        <w:rPr>
          <w:lang w:val="es-419"/>
        </w:rPr>
        <w:t>se</w:t>
      </w:r>
      <w:r w:rsidR="00A540B1" w:rsidRPr="0038186B">
        <w:rPr>
          <w:lang w:val="es-419"/>
        </w:rPr>
        <w:t>an</w:t>
      </w:r>
      <w:r w:rsidR="00344979" w:rsidRPr="0038186B">
        <w:rPr>
          <w:lang w:val="es-419"/>
        </w:rPr>
        <w:t xml:space="preserve"> susceptibles de protección, </w:t>
      </w:r>
      <w:r w:rsidR="0033694C" w:rsidRPr="0038186B">
        <w:rPr>
          <w:lang w:val="es-419"/>
        </w:rPr>
        <w:t xml:space="preserve">podría ser necesario evitar </w:t>
      </w:r>
      <w:r w:rsidR="006F0132" w:rsidRPr="0038186B">
        <w:rPr>
          <w:lang w:val="es-419"/>
        </w:rPr>
        <w:t xml:space="preserve">una descripción general de </w:t>
      </w:r>
      <w:r w:rsidR="0033694C" w:rsidRPr="0038186B">
        <w:rPr>
          <w:lang w:val="es-419"/>
        </w:rPr>
        <w:t xml:space="preserve">esos conocimientos </w:t>
      </w:r>
      <w:r w:rsidR="006F0132" w:rsidRPr="0038186B">
        <w:rPr>
          <w:lang w:val="es-419"/>
        </w:rPr>
        <w:t xml:space="preserve">y </w:t>
      </w:r>
      <w:r w:rsidR="0033694C" w:rsidRPr="0038186B">
        <w:rPr>
          <w:lang w:val="es-419"/>
        </w:rPr>
        <w:t xml:space="preserve">referirse </w:t>
      </w:r>
      <w:r w:rsidR="006F0132" w:rsidRPr="0038186B">
        <w:rPr>
          <w:lang w:val="es-419"/>
        </w:rPr>
        <w:t xml:space="preserve">más bien </w:t>
      </w:r>
      <w:r w:rsidR="0033694C" w:rsidRPr="0038186B">
        <w:rPr>
          <w:lang w:val="es-419"/>
        </w:rPr>
        <w:t>a su carácter intergeneracional, a su lazo objetivo con la comunidad de origen y la asociación subjetiva dentro de dicha comunidad que hace que formen parte de la propia identidad de ésta. Los conocimientos forman parte del desarrollo social de una comunidad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F0132" w:rsidRPr="0038186B">
        <w:rPr>
          <w:lang w:val="es-419"/>
        </w:rPr>
        <w:t xml:space="preserve">Como ejemplos de </w:t>
      </w:r>
      <w:r w:rsidR="00344979" w:rsidRPr="0038186B">
        <w:rPr>
          <w:lang w:val="es-419"/>
        </w:rPr>
        <w:t xml:space="preserve">conocimientos tradicionales </w:t>
      </w:r>
      <w:r w:rsidR="006F0132" w:rsidRPr="0038186B">
        <w:rPr>
          <w:lang w:val="es-419"/>
        </w:rPr>
        <w:t>cabe citar los siguientes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8"/>
        </w:numPr>
        <w:ind w:left="900" w:hanging="360"/>
        <w:rPr>
          <w:lang w:val="es-419"/>
        </w:rPr>
      </w:pPr>
      <w:r w:rsidRPr="0038186B">
        <w:rPr>
          <w:lang w:val="es-419"/>
        </w:rPr>
        <w:t xml:space="preserve">Conocimientos médicos tradicionales – conocimientos sobre el uso medicinal de determinados recursos genéticos, </w:t>
      </w:r>
      <w:r w:rsidR="00BE58EC" w:rsidRPr="0038186B">
        <w:rPr>
          <w:lang w:val="es-419"/>
        </w:rPr>
        <w:t>así como</w:t>
      </w:r>
      <w:r w:rsidRPr="0038186B">
        <w:rPr>
          <w:lang w:val="es-419"/>
        </w:rPr>
        <w:t xml:space="preserve"> los conocimientos sobre tratamientos médicos que no conllevan el uso de recursos genéticos (como el masaje tradicional).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9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relativos a la biodiversidad</w:t>
      </w:r>
      <w:r w:rsidR="00A738F4" w:rsidRPr="0038186B">
        <w:rPr>
          <w:lang w:val="es-419"/>
        </w:rPr>
        <w:t xml:space="preserve"> o </w:t>
      </w:r>
      <w:r w:rsidRPr="0038186B">
        <w:rPr>
          <w:lang w:val="es-419"/>
        </w:rPr>
        <w:t>“pertinentes para la conservación y la utilización sostenible de la diversidad biológica”.</w:t>
      </w:r>
      <w:r w:rsidR="002A66FD" w:rsidRPr="0038186B">
        <w:rPr>
          <w:rStyle w:val="FootnoteReference"/>
          <w:lang w:val="es-419"/>
        </w:rPr>
        <w:footnoteReference w:id="12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Los conocimientos tradicionales de interés para los recursos fitogenéticos para la alimentación y la agricultura.</w:t>
      </w:r>
      <w:r w:rsidR="007B5118" w:rsidRPr="0038186B">
        <w:rPr>
          <w:rStyle w:val="FootnoteReference"/>
          <w:lang w:val="es-419"/>
        </w:rPr>
        <w:footnoteReference w:id="13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A054D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tradicionales relativos a la cría y la producción de animales.</w:t>
      </w:r>
      <w:r w:rsidR="00FD6EEF" w:rsidRPr="0038186B">
        <w:rPr>
          <w:vertAlign w:val="superscript"/>
          <w:lang w:val="es-419"/>
        </w:rPr>
        <w:footnoteReference w:id="14"/>
      </w:r>
    </w:p>
    <w:p w:rsidR="00DF5574" w:rsidRPr="0038186B" w:rsidRDefault="003A0D01" w:rsidP="003A0D01">
      <w:pPr>
        <w:pStyle w:val="Heading2"/>
        <w:rPr>
          <w:i/>
          <w:u w:val="single"/>
          <w:lang w:val="es-419"/>
        </w:rPr>
      </w:pPr>
      <w:bookmarkStart w:id="7" w:name="_Toc116898992"/>
      <w:r w:rsidRPr="0038186B">
        <w:rPr>
          <w:i/>
          <w:caps w:val="0"/>
          <w:u w:val="single"/>
          <w:lang w:val="es-419"/>
        </w:rPr>
        <w:t>b</w:t>
      </w:r>
      <w:r w:rsidR="00344979" w:rsidRPr="0038186B">
        <w:rPr>
          <w:i/>
          <w:u w:val="single"/>
          <w:lang w:val="es-419"/>
        </w:rPr>
        <w:t>)</w:t>
      </w:r>
      <w:r w:rsidR="007B6E4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Otros fundamentos en los que se basa el análisis</w:t>
      </w:r>
      <w:bookmarkEnd w:id="7"/>
    </w:p>
    <w:p w:rsidR="00DF5574" w:rsidRPr="0038186B" w:rsidRDefault="00344979" w:rsidP="003A0D01">
      <w:pPr>
        <w:pStyle w:val="Heading3"/>
        <w:rPr>
          <w:i/>
          <w:u w:val="none"/>
          <w:lang w:val="es-419"/>
        </w:rPr>
      </w:pPr>
      <w:bookmarkStart w:id="8" w:name="_Toc116898993"/>
      <w:r w:rsidRPr="0038186B">
        <w:rPr>
          <w:i/>
          <w:u w:val="none"/>
          <w:lang w:val="es-419"/>
        </w:rPr>
        <w:t>i)</w:t>
      </w:r>
      <w:r w:rsidR="003A0D01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El concepto de “protección”</w:t>
      </w:r>
      <w:bookmarkEnd w:id="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054D9" w:rsidRPr="0038186B">
        <w:rPr>
          <w:lang w:val="es-419"/>
        </w:rPr>
        <w:t>Para ab</w:t>
      </w:r>
      <w:r w:rsidR="00A738F4" w:rsidRPr="0038186B">
        <w:rPr>
          <w:lang w:val="es-419"/>
        </w:rPr>
        <w:t xml:space="preserve">ordar la cuestión de la </w:t>
      </w:r>
      <w:r w:rsidR="00A054D9" w:rsidRPr="0038186B">
        <w:rPr>
          <w:lang w:val="es-419"/>
        </w:rPr>
        <w:t xml:space="preserve">“protección” de los </w:t>
      </w:r>
      <w:r w:rsidR="00A738F4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 es necesario proceder a un </w:t>
      </w:r>
      <w:r w:rsidR="00344979" w:rsidRPr="0038186B">
        <w:rPr>
          <w:lang w:val="es-419"/>
        </w:rPr>
        <w:t xml:space="preserve">análisis de </w:t>
      </w:r>
      <w:r w:rsidR="00DE3E6F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carencias.</w:t>
      </w:r>
      <w:r w:rsidR="001A60B0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</w:t>
      </w:r>
      <w:r w:rsidR="00A054D9" w:rsidRPr="0038186B">
        <w:rPr>
          <w:lang w:val="es-419"/>
        </w:rPr>
        <w:t xml:space="preserve">stá claro que para poder analizar las </w:t>
      </w:r>
      <w:r w:rsidR="00344979" w:rsidRPr="0038186B">
        <w:rPr>
          <w:lang w:val="es-419"/>
        </w:rPr>
        <w:t xml:space="preserve">carencias en </w:t>
      </w:r>
      <w:r w:rsidR="00A738F4" w:rsidRPr="0038186B">
        <w:rPr>
          <w:lang w:val="es-419"/>
        </w:rPr>
        <w:t xml:space="preserve">el ámbito de la </w:t>
      </w:r>
      <w:r w:rsidR="00344979" w:rsidRPr="0038186B">
        <w:rPr>
          <w:lang w:val="es-419"/>
        </w:rPr>
        <w:t xml:space="preserve">protección </w:t>
      </w:r>
      <w:r w:rsidR="00A054D9" w:rsidRPr="0038186B">
        <w:rPr>
          <w:lang w:val="es-419"/>
        </w:rPr>
        <w:t>es preciso determinar lo que se entiende por “</w:t>
      </w:r>
      <w:r w:rsidR="00344979" w:rsidRPr="0038186B">
        <w:rPr>
          <w:lang w:val="es-419"/>
        </w:rPr>
        <w:t>protección”</w:t>
      </w:r>
      <w:r w:rsidR="00A054D9" w:rsidRPr="0038186B">
        <w:rPr>
          <w:lang w:val="es-419"/>
        </w:rPr>
        <w:t>.</w:t>
      </w:r>
      <w:r w:rsidR="00DE3E6F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En los trabajos del Comité, l</w:t>
      </w:r>
      <w:r w:rsidR="006C4B03" w:rsidRPr="0038186B">
        <w:rPr>
          <w:lang w:val="es-419"/>
        </w:rPr>
        <w:t xml:space="preserve">a noción de </w:t>
      </w:r>
      <w:r w:rsidR="00A054D9" w:rsidRPr="0038186B">
        <w:rPr>
          <w:lang w:val="es-419"/>
        </w:rPr>
        <w:t xml:space="preserve">protección </w:t>
      </w:r>
      <w:r w:rsidR="00A738F4" w:rsidRPr="0038186B">
        <w:rPr>
          <w:lang w:val="es-419"/>
        </w:rPr>
        <w:t>se ha utilizado</w:t>
      </w:r>
      <w:r w:rsidR="00DE3E6F" w:rsidRPr="0038186B">
        <w:rPr>
          <w:lang w:val="es-419"/>
        </w:rPr>
        <w:t xml:space="preserve"> </w:t>
      </w:r>
      <w:r w:rsidR="007A38A2" w:rsidRPr="0038186B">
        <w:rPr>
          <w:lang w:val="es-419"/>
        </w:rPr>
        <w:t xml:space="preserve">de formas muy </w:t>
      </w:r>
      <w:r w:rsidR="00A738F4" w:rsidRPr="0038186B">
        <w:rPr>
          <w:lang w:val="es-419"/>
        </w:rPr>
        <w:t>divers</w:t>
      </w:r>
      <w:r w:rsidR="007A38A2" w:rsidRPr="0038186B">
        <w:rPr>
          <w:lang w:val="es-419"/>
        </w:rPr>
        <w:t>a</w:t>
      </w:r>
      <w:r w:rsidR="00A738F4" w:rsidRPr="0038186B">
        <w:rPr>
          <w:lang w:val="es-419"/>
        </w:rPr>
        <w:t>s</w:t>
      </w:r>
      <w:r w:rsidR="007A38A2" w:rsidRPr="0038186B">
        <w:rPr>
          <w:lang w:val="es-419"/>
        </w:rPr>
        <w:t>, abarcando desde la</w:t>
      </w:r>
      <w:r w:rsidR="00A738F4" w:rsidRPr="0038186B">
        <w:rPr>
          <w:lang w:val="es-419"/>
        </w:rPr>
        <w:t xml:space="preserve"> </w:t>
      </w:r>
      <w:r w:rsidR="00A054D9" w:rsidRPr="0038186B">
        <w:rPr>
          <w:lang w:val="es-419"/>
        </w:rPr>
        <w:t xml:space="preserve">protección jurídica </w:t>
      </w:r>
      <w:r w:rsidR="004475AD" w:rsidRPr="0038186B">
        <w:rPr>
          <w:lang w:val="es-419"/>
        </w:rPr>
        <w:t>frente a</w:t>
      </w:r>
      <w:r w:rsidR="00A054D9" w:rsidRPr="0038186B">
        <w:rPr>
          <w:lang w:val="es-419"/>
        </w:rPr>
        <w:t xml:space="preserve"> usos no autorizados y la apropiación indebida de los CC.TT. (</w:t>
      </w:r>
      <w:r w:rsidR="00DE3E6F" w:rsidRPr="0038186B">
        <w:rPr>
          <w:lang w:val="es-419"/>
        </w:rPr>
        <w:t>modalidad de</w:t>
      </w:r>
      <w:r w:rsidR="00A054D9" w:rsidRPr="0038186B">
        <w:rPr>
          <w:lang w:val="es-419"/>
        </w:rPr>
        <w:t xml:space="preserve"> protección que</w:t>
      </w:r>
      <w:r w:rsidR="006C4B03" w:rsidRPr="0038186B">
        <w:rPr>
          <w:lang w:val="es-419"/>
        </w:rPr>
        <w:t>, por lo general, está contemplada en</w:t>
      </w:r>
      <w:r w:rsidR="00A054D9" w:rsidRPr="0038186B">
        <w:rPr>
          <w:lang w:val="es-419"/>
        </w:rPr>
        <w:t xml:space="preserve"> la legislación y</w:t>
      </w:r>
      <w:r w:rsidR="00DE3E6F" w:rsidRPr="0038186B">
        <w:rPr>
          <w:lang w:val="es-419"/>
        </w:rPr>
        <w:t xml:space="preserve"> en</w:t>
      </w:r>
      <w:r w:rsidR="00A054D9" w:rsidRPr="0038186B">
        <w:rPr>
          <w:lang w:val="es-419"/>
        </w:rPr>
        <w:t xml:space="preserve"> la</w:t>
      </w:r>
      <w:r w:rsidR="00DE3E6F" w:rsidRPr="0038186B">
        <w:rPr>
          <w:lang w:val="es-419"/>
        </w:rPr>
        <w:t>s</w:t>
      </w:r>
      <w:r w:rsidR="00A054D9" w:rsidRPr="0038186B">
        <w:rPr>
          <w:lang w:val="es-419"/>
        </w:rPr>
        <w:t xml:space="preserve"> política</w:t>
      </w:r>
      <w:r w:rsidR="00DE3E6F" w:rsidRPr="0038186B">
        <w:rPr>
          <w:lang w:val="es-419"/>
        </w:rPr>
        <w:t xml:space="preserve">s </w:t>
      </w:r>
      <w:r w:rsidR="00A738F4" w:rsidRPr="0038186B">
        <w:rPr>
          <w:lang w:val="es-419"/>
        </w:rPr>
        <w:t xml:space="preserve">en materia de </w:t>
      </w:r>
      <w:r w:rsidR="0030450C" w:rsidRPr="0038186B">
        <w:rPr>
          <w:lang w:val="es-419"/>
        </w:rPr>
        <w:t>PI</w:t>
      </w:r>
      <w:r w:rsidR="00A054D9" w:rsidRPr="0038186B">
        <w:rPr>
          <w:lang w:val="es-419"/>
        </w:rPr>
        <w:t>)</w:t>
      </w:r>
      <w:r w:rsidR="00BE58EC" w:rsidRPr="0038186B">
        <w:rPr>
          <w:lang w:val="es-419"/>
        </w:rPr>
        <w:t xml:space="preserve">, </w:t>
      </w:r>
      <w:r w:rsidR="007A38A2" w:rsidRPr="0038186B">
        <w:rPr>
          <w:lang w:val="es-419"/>
        </w:rPr>
        <w:t>hasta</w:t>
      </w:r>
      <w:r w:rsidR="00DE3E6F" w:rsidRPr="0038186B">
        <w:rPr>
          <w:lang w:val="es-419"/>
        </w:rPr>
        <w:t xml:space="preserve"> las medidas </w:t>
      </w:r>
      <w:r w:rsidR="00944727" w:rsidRPr="0038186B">
        <w:rPr>
          <w:lang w:val="es-419"/>
        </w:rPr>
        <w:t xml:space="preserve">prácticas para </w:t>
      </w:r>
      <w:r w:rsidR="007A38A2" w:rsidRPr="0038186B">
        <w:rPr>
          <w:lang w:val="es-419"/>
        </w:rPr>
        <w:t xml:space="preserve">preservar los CC.TT. de </w:t>
      </w:r>
      <w:r w:rsidR="00944727" w:rsidRPr="0038186B">
        <w:rPr>
          <w:lang w:val="es-419"/>
        </w:rPr>
        <w:t xml:space="preserve">la </w:t>
      </w:r>
      <w:r w:rsidR="00A054D9" w:rsidRPr="0038186B">
        <w:rPr>
          <w:lang w:val="es-419"/>
        </w:rPr>
        <w:t>pérdida o desaparición (</w:t>
      </w:r>
      <w:r w:rsidR="00944727" w:rsidRPr="0038186B">
        <w:rPr>
          <w:lang w:val="es-419"/>
        </w:rPr>
        <w:t>como las</w:t>
      </w:r>
      <w:r w:rsidR="00A054D9" w:rsidRPr="0038186B">
        <w:rPr>
          <w:lang w:val="es-419"/>
        </w:rPr>
        <w:t xml:space="preserve"> iniciativas prácticas para </w:t>
      </w:r>
      <w:r w:rsidR="007A38A2" w:rsidRPr="0038186B">
        <w:rPr>
          <w:lang w:val="es-419"/>
        </w:rPr>
        <w:t>catalogar</w:t>
      </w:r>
      <w:r w:rsidR="00A054D9" w:rsidRPr="0038186B">
        <w:rPr>
          <w:lang w:val="es-419"/>
        </w:rPr>
        <w:t xml:space="preserve"> y registrar los sistemas de </w:t>
      </w:r>
      <w:r w:rsidR="00BE58EC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, o </w:t>
      </w:r>
      <w:r w:rsidR="00944727" w:rsidRPr="0038186B">
        <w:rPr>
          <w:lang w:val="es-419"/>
        </w:rPr>
        <w:t xml:space="preserve">las </w:t>
      </w:r>
      <w:r w:rsidR="00703AFD" w:rsidRPr="0038186B">
        <w:rPr>
          <w:lang w:val="es-419"/>
        </w:rPr>
        <w:t xml:space="preserve">prescripciones jurídicas para impedir la pérdida de </w:t>
      </w:r>
      <w:r w:rsidR="00A054D9" w:rsidRPr="0038186B">
        <w:rPr>
          <w:lang w:val="es-419"/>
        </w:rPr>
        <w:t>los CC.TT.</w:t>
      </w:r>
      <w:r w:rsidR="00980E49" w:rsidRPr="0038186B">
        <w:rPr>
          <w:lang w:val="es-419"/>
        </w:rPr>
        <w:t xml:space="preserve">, que </w:t>
      </w:r>
      <w:r w:rsidR="00703AFD" w:rsidRPr="0038186B">
        <w:rPr>
          <w:lang w:val="es-419"/>
        </w:rPr>
        <w:t>establecen</w:t>
      </w:r>
      <w:r w:rsidR="00980E49" w:rsidRPr="0038186B">
        <w:rPr>
          <w:lang w:val="es-419"/>
        </w:rPr>
        <w:t>, de hecho, la</w:t>
      </w:r>
      <w:r w:rsidR="00A054D9" w:rsidRPr="0038186B">
        <w:rPr>
          <w:lang w:val="es-419"/>
        </w:rPr>
        <w:t xml:space="preserve"> obligación de salvaguardar y </w:t>
      </w:r>
      <w:r w:rsidR="00980E49" w:rsidRPr="0038186B">
        <w:rPr>
          <w:lang w:val="es-419"/>
        </w:rPr>
        <w:t xml:space="preserve">conservar los CC.TT., </w:t>
      </w:r>
      <w:r w:rsidR="001D18BC" w:rsidRPr="0038186B">
        <w:rPr>
          <w:lang w:val="es-419"/>
        </w:rPr>
        <w:t>así</w:t>
      </w:r>
      <w:r w:rsidR="00980E49" w:rsidRPr="0038186B">
        <w:rPr>
          <w:lang w:val="es-419"/>
        </w:rPr>
        <w:t xml:space="preserve"> como</w:t>
      </w:r>
      <w:r w:rsidR="00A054D9" w:rsidRPr="0038186B">
        <w:rPr>
          <w:lang w:val="es-419"/>
        </w:rPr>
        <w:t xml:space="preserve"> los </w:t>
      </w:r>
      <w:r w:rsidR="00980E49" w:rsidRPr="0038186B">
        <w:rPr>
          <w:lang w:val="es-419"/>
        </w:rPr>
        <w:t>entornos</w:t>
      </w:r>
      <w:r w:rsidR="00A054D9" w:rsidRPr="0038186B">
        <w:rPr>
          <w:lang w:val="es-419"/>
        </w:rPr>
        <w:t xml:space="preserve"> sociales, intelectuales y culturales en que se sustentan los sistemas de CC.TT.).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B13E5" w:rsidRPr="0038186B">
        <w:rPr>
          <w:lang w:val="es-419"/>
        </w:rPr>
        <w:t xml:space="preserve">La </w:t>
      </w:r>
      <w:r w:rsidR="00703AFD" w:rsidRPr="0038186B">
        <w:rPr>
          <w:lang w:val="es-419"/>
        </w:rPr>
        <w:t>aclaración del concepto</w:t>
      </w:r>
      <w:r w:rsidR="00DB13E5" w:rsidRPr="0038186B">
        <w:rPr>
          <w:lang w:val="es-419"/>
        </w:rPr>
        <w:t xml:space="preserve"> de “protección” permite determinar cuestiones como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lang w:val="es-419"/>
        </w:rPr>
        <w:t>el alcance de la protección</w:t>
      </w:r>
      <w:r w:rsidR="00BB6F2F" w:rsidRPr="0038186B">
        <w:rPr>
          <w:lang w:val="es-419"/>
        </w:rPr>
        <w:t>, a saber</w:t>
      </w:r>
      <w:r w:rsidRPr="0038186B">
        <w:rPr>
          <w:lang w:val="es-419"/>
        </w:rPr>
        <w:t>:</w:t>
      </w:r>
    </w:p>
    <w:p w:rsidR="00DF5574" w:rsidRPr="0038186B" w:rsidRDefault="00DF5574" w:rsidP="00517C56">
      <w:pPr>
        <w:ind w:left="1080"/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qué materia </w:t>
      </w:r>
      <w:r w:rsidR="00703AFD" w:rsidRPr="0038186B">
        <w:rPr>
          <w:rFonts w:ascii="Arial" w:hAnsi="Arial" w:cs="Arial"/>
          <w:sz w:val="22"/>
          <w:szCs w:val="22"/>
          <w:lang w:val="es-419"/>
        </w:rPr>
        <w:t xml:space="preserve">está protegida </w:t>
      </w:r>
      <w:r w:rsidRPr="0038186B">
        <w:rPr>
          <w:rFonts w:ascii="Arial" w:hAnsi="Arial" w:cs="Arial"/>
          <w:sz w:val="22"/>
          <w:szCs w:val="22"/>
          <w:lang w:val="es-419"/>
        </w:rPr>
        <w:t>actualmente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invención patentable),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frente a qué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 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determinados usos por parte de terceros),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frente a qué </w:t>
      </w:r>
      <w:r w:rsidRPr="0038186B">
        <w:rPr>
          <w:rFonts w:ascii="Arial" w:hAnsi="Arial" w:cs="Arial"/>
          <w:i/>
          <w:sz w:val="22"/>
          <w:szCs w:val="22"/>
          <w:lang w:val="es-419"/>
        </w:rPr>
        <w:t>no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ejemplo, en muchos países, las invenciones patentables no están protegidas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 investigación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para fines no </w:t>
      </w:r>
      <w:r w:rsidRPr="0038186B">
        <w:rPr>
          <w:rFonts w:ascii="Arial" w:hAnsi="Arial" w:cs="Arial"/>
          <w:sz w:val="22"/>
          <w:szCs w:val="22"/>
          <w:lang w:val="es-419"/>
        </w:rPr>
        <w:t>comerciales),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y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t>cómo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se protege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.,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determinar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>la protección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limitada en el tiempo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 sujeta a formalidades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otras condiciones, como </w:t>
      </w:r>
      <w:r w:rsidR="002769A9" w:rsidRPr="0038186B">
        <w:rPr>
          <w:rFonts w:ascii="Arial" w:hAnsi="Arial" w:cs="Arial"/>
          <w:sz w:val="22"/>
          <w:szCs w:val="22"/>
          <w:lang w:val="es-419"/>
        </w:rPr>
        <w:t xml:space="preserve">la de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BE58EC" w:rsidRPr="0038186B">
        <w:rPr>
          <w:rFonts w:ascii="Arial" w:hAnsi="Arial" w:cs="Arial"/>
          <w:sz w:val="22"/>
          <w:szCs w:val="22"/>
          <w:lang w:val="es-419"/>
        </w:rPr>
        <w:t xml:space="preserve">protección de la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información no divulgada </w:t>
      </w:r>
      <w:r w:rsidR="00837170" w:rsidRPr="0038186B">
        <w:rPr>
          <w:rFonts w:ascii="Arial" w:hAnsi="Arial" w:cs="Arial"/>
          <w:sz w:val="22"/>
          <w:szCs w:val="22"/>
          <w:lang w:val="es-419"/>
        </w:rPr>
        <w:t xml:space="preserve">se otorgue en función de su eventual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valor comercial,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más que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cultural o espiritual);</w:t>
      </w:r>
    </w:p>
    <w:p w:rsidR="00DF5574" w:rsidRPr="0038186B" w:rsidRDefault="00DF5574" w:rsidP="00A401BD">
      <w:pPr>
        <w:rPr>
          <w:szCs w:val="22"/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szCs w:val="22"/>
          <w:lang w:val="es-419"/>
        </w:rPr>
        <w:t>y, por otr</w:t>
      </w:r>
      <w:r w:rsidRPr="0038186B">
        <w:rPr>
          <w:lang w:val="es-419"/>
        </w:rPr>
        <w:t xml:space="preserve">o lado, qué materia </w:t>
      </w:r>
      <w:r w:rsidRPr="0038186B">
        <w:rPr>
          <w:i/>
          <w:lang w:val="es-419"/>
        </w:rPr>
        <w:t>no</w:t>
      </w:r>
      <w:r w:rsidRPr="0038186B">
        <w:rPr>
          <w:lang w:val="es-419"/>
        </w:rPr>
        <w:t xml:space="preserve"> está protegida (</w:t>
      </w:r>
      <w:r w:rsidR="002769A9" w:rsidRPr="0038186B">
        <w:rPr>
          <w:lang w:val="es-419"/>
        </w:rPr>
        <w:t xml:space="preserve">por ej., </w:t>
      </w:r>
      <w:r w:rsidRPr="0038186B">
        <w:rPr>
          <w:lang w:val="es-419"/>
        </w:rPr>
        <w:t xml:space="preserve">en muchos países, los simples descubrimientos o los conocimientos </w:t>
      </w:r>
      <w:r w:rsidR="00837170" w:rsidRPr="0038186B">
        <w:rPr>
          <w:lang w:val="es-419"/>
        </w:rPr>
        <w:t>especializados</w:t>
      </w:r>
      <w:r w:rsidRPr="0038186B">
        <w:rPr>
          <w:lang w:val="es-419"/>
        </w:rPr>
        <w:t xml:space="preserve"> divulgados públicamente no están protegidos).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69A9" w:rsidRPr="0038186B">
        <w:rPr>
          <w:lang w:val="es-419"/>
        </w:rPr>
        <w:t>L</w:t>
      </w:r>
      <w:r w:rsidR="00003366" w:rsidRPr="0038186B">
        <w:rPr>
          <w:lang w:val="es-419"/>
        </w:rPr>
        <w:t>a</w:t>
      </w:r>
      <w:r w:rsidR="00DB13E5" w:rsidRPr="0038186B">
        <w:rPr>
          <w:lang w:val="es-419"/>
        </w:rPr>
        <w:t xml:space="preserve"> naturaleza de </w:t>
      </w:r>
      <w:r w:rsidR="002B3F97" w:rsidRPr="0038186B">
        <w:rPr>
          <w:lang w:val="es-419"/>
        </w:rPr>
        <w:t xml:space="preserve">la innovación </w:t>
      </w:r>
      <w:r w:rsidR="00017F3B" w:rsidRPr="0038186B">
        <w:rPr>
          <w:lang w:val="es-419"/>
        </w:rPr>
        <w:t>autóctona</w:t>
      </w:r>
      <w:r w:rsidR="002B3F97" w:rsidRPr="0038186B">
        <w:rPr>
          <w:lang w:val="es-419"/>
        </w:rPr>
        <w:t xml:space="preserve"> y el carácter innovador de los sistemas de conocimientos tradicionales </w:t>
      </w:r>
      <w:r w:rsidR="002769A9" w:rsidRPr="0038186B">
        <w:rPr>
          <w:lang w:val="es-419"/>
        </w:rPr>
        <w:t xml:space="preserve">pueden también </w:t>
      </w:r>
      <w:r w:rsidR="00003366" w:rsidRPr="0038186B">
        <w:rPr>
          <w:lang w:val="es-419"/>
        </w:rPr>
        <w:t>pone</w:t>
      </w:r>
      <w:r w:rsidR="002769A9" w:rsidRPr="0038186B">
        <w:rPr>
          <w:lang w:val="es-419"/>
        </w:rPr>
        <w:t>r</w:t>
      </w:r>
      <w:r w:rsidR="00003366" w:rsidRPr="0038186B">
        <w:rPr>
          <w:lang w:val="es-419"/>
        </w:rPr>
        <w:t xml:space="preserve"> de manifiesto</w:t>
      </w:r>
      <w:r w:rsidR="002B3F97" w:rsidRPr="0038186B">
        <w:rPr>
          <w:lang w:val="es-419"/>
        </w:rPr>
        <w:t xml:space="preserve"> </w:t>
      </w:r>
      <w:r w:rsidR="00003366" w:rsidRPr="0038186B">
        <w:rPr>
          <w:lang w:val="es-419"/>
        </w:rPr>
        <w:t xml:space="preserve">las </w:t>
      </w:r>
      <w:r w:rsidR="002B3F97" w:rsidRPr="0038186B">
        <w:rPr>
          <w:lang w:val="es-419"/>
        </w:rPr>
        <w:t xml:space="preserve">carencias en </w:t>
      </w:r>
      <w:r w:rsidR="002769A9" w:rsidRPr="0038186B">
        <w:rPr>
          <w:lang w:val="es-419"/>
        </w:rPr>
        <w:t xml:space="preserve">el ámbito de </w:t>
      </w:r>
      <w:r w:rsidR="002B3F97" w:rsidRPr="0038186B">
        <w:rPr>
          <w:lang w:val="es-419"/>
        </w:rPr>
        <w:t>la protección jurídica</w:t>
      </w:r>
      <w:r w:rsidRPr="0038186B">
        <w:rPr>
          <w:lang w:val="es-419"/>
        </w:rPr>
        <w:t xml:space="preserve">, </w:t>
      </w:r>
      <w:r w:rsidR="002769A9" w:rsidRPr="0038186B">
        <w:rPr>
          <w:lang w:val="es-419"/>
        </w:rPr>
        <w:t>ya</w:t>
      </w:r>
      <w:r w:rsidR="002B3F97" w:rsidRPr="0038186B">
        <w:rPr>
          <w:lang w:val="es-419"/>
        </w:rPr>
        <w:t xml:space="preserve"> que </w:t>
      </w:r>
      <w:r w:rsidR="00003366" w:rsidRPr="0038186B">
        <w:rPr>
          <w:lang w:val="es-419"/>
        </w:rPr>
        <w:t xml:space="preserve">las </w:t>
      </w:r>
      <w:r w:rsidR="002769A9" w:rsidRPr="0038186B">
        <w:rPr>
          <w:lang w:val="es-419"/>
        </w:rPr>
        <w:t xml:space="preserve">modalidades </w:t>
      </w:r>
      <w:r w:rsidR="00003366" w:rsidRPr="0038186B">
        <w:rPr>
          <w:lang w:val="es-419"/>
        </w:rPr>
        <w:t xml:space="preserve">y </w:t>
      </w:r>
      <w:r w:rsidR="002769A9" w:rsidRPr="0038186B">
        <w:rPr>
          <w:lang w:val="es-419"/>
        </w:rPr>
        <w:t xml:space="preserve">los criterios de la </w:t>
      </w:r>
      <w:r w:rsidR="002B3F97" w:rsidRPr="0038186B">
        <w:rPr>
          <w:lang w:val="es-419"/>
        </w:rPr>
        <w:t xml:space="preserve">protección jurídica </w:t>
      </w:r>
      <w:r w:rsidR="002769A9" w:rsidRPr="0038186B">
        <w:rPr>
          <w:lang w:val="es-419"/>
        </w:rPr>
        <w:t>existentes</w:t>
      </w:r>
      <w:r w:rsidR="00CE7133" w:rsidRPr="0038186B">
        <w:rPr>
          <w:lang w:val="es-419"/>
        </w:rPr>
        <w:t xml:space="preserve"> son susceptibles de dejar de lado el </w:t>
      </w:r>
      <w:r w:rsidR="00003366" w:rsidRPr="0038186B">
        <w:rPr>
          <w:lang w:val="es-419"/>
        </w:rPr>
        <w:t xml:space="preserve">aspecto de la </w:t>
      </w:r>
      <w:r w:rsidR="002B3F97" w:rsidRPr="0038186B">
        <w:rPr>
          <w:lang w:val="es-419"/>
        </w:rPr>
        <w:t>innovación</w:t>
      </w:r>
      <w:r w:rsidR="00CE7133" w:rsidRPr="0038186B">
        <w:rPr>
          <w:lang w:val="es-419"/>
        </w:rPr>
        <w:t xml:space="preserve"> en esos contextos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94469" w:rsidRPr="0038186B">
        <w:rPr>
          <w:lang w:val="es-419"/>
        </w:rPr>
        <w:t>El término</w:t>
      </w:r>
      <w:r w:rsidR="002B3F97" w:rsidRPr="0038186B">
        <w:rPr>
          <w:lang w:val="es-419"/>
        </w:rPr>
        <w:t xml:space="preserve"> “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” puede </w:t>
      </w:r>
      <w:r w:rsidR="00D94469" w:rsidRPr="0038186B">
        <w:rPr>
          <w:lang w:val="es-419"/>
        </w:rPr>
        <w:t xml:space="preserve">adoptar </w:t>
      </w:r>
      <w:r w:rsidR="002B3F97" w:rsidRPr="0038186B">
        <w:rPr>
          <w:lang w:val="es-419"/>
        </w:rPr>
        <w:t xml:space="preserve">significados </w:t>
      </w:r>
      <w:r w:rsidR="00003366" w:rsidRPr="0038186B">
        <w:rPr>
          <w:lang w:val="es-419"/>
        </w:rPr>
        <w:t xml:space="preserve">distintos </w:t>
      </w:r>
      <w:r w:rsidR="002B3F97" w:rsidRPr="0038186B">
        <w:rPr>
          <w:lang w:val="es-419"/>
        </w:rPr>
        <w:t xml:space="preserve">en el </w:t>
      </w:r>
      <w:r w:rsidR="00861E60" w:rsidRPr="0038186B">
        <w:rPr>
          <w:lang w:val="es-419"/>
        </w:rPr>
        <w:t>ámbito</w:t>
      </w:r>
      <w:r w:rsidR="002B3F97" w:rsidRPr="0038186B">
        <w:rPr>
          <w:lang w:val="es-419"/>
        </w:rPr>
        <w:t xml:space="preserve"> de los CC.TT.</w:t>
      </w:r>
      <w:r w:rsidR="001A60B0" w:rsidRPr="0038186B">
        <w:rPr>
          <w:lang w:val="es-419"/>
        </w:rPr>
        <w:t xml:space="preserve"> </w:t>
      </w:r>
      <w:r w:rsidR="00D94469" w:rsidRPr="0038186B">
        <w:rPr>
          <w:lang w:val="es-419"/>
        </w:rPr>
        <w:t>E</w:t>
      </w:r>
      <w:r w:rsidR="002B3F97" w:rsidRPr="0038186B">
        <w:rPr>
          <w:lang w:val="es-419"/>
        </w:rPr>
        <w:t xml:space="preserve">n principio, </w:t>
      </w:r>
      <w:r w:rsidR="00861E60" w:rsidRPr="0038186B">
        <w:rPr>
          <w:lang w:val="es-419"/>
        </w:rPr>
        <w:t>podría</w:t>
      </w:r>
      <w:r w:rsidR="002B3F97" w:rsidRPr="0038186B">
        <w:rPr>
          <w:lang w:val="es-419"/>
        </w:rPr>
        <w:t xml:space="preserve"> incluir la 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 </w:t>
      </w:r>
      <w:r w:rsidR="00861E60" w:rsidRPr="0038186B">
        <w:rPr>
          <w:lang w:val="es-419"/>
        </w:rPr>
        <w:t>física</w:t>
      </w:r>
      <w:r w:rsidR="002B3F97" w:rsidRPr="0038186B">
        <w:rPr>
          <w:lang w:val="es-419"/>
        </w:rPr>
        <w:t xml:space="preserve"> de los registros </w:t>
      </w:r>
      <w:r w:rsidR="00D94469" w:rsidRPr="0038186B">
        <w:rPr>
          <w:lang w:val="es-419"/>
        </w:rPr>
        <w:t>frente a su d</w:t>
      </w:r>
      <w:r w:rsidR="00861E60" w:rsidRPr="0038186B">
        <w:rPr>
          <w:lang w:val="es-419"/>
        </w:rPr>
        <w:t>egradación</w:t>
      </w:r>
      <w:r w:rsidR="00D94469" w:rsidRPr="0038186B">
        <w:rPr>
          <w:lang w:val="es-419"/>
        </w:rPr>
        <w:t xml:space="preserve"> o pé</w:t>
      </w:r>
      <w:r w:rsidR="002B3F97" w:rsidRPr="0038186B">
        <w:rPr>
          <w:lang w:val="es-419"/>
        </w:rPr>
        <w:t>rdida</w:t>
      </w:r>
      <w:r w:rsidRPr="0038186B">
        <w:rPr>
          <w:lang w:val="es-419"/>
        </w:rPr>
        <w:t xml:space="preserve"> (</w:t>
      </w:r>
      <w:r w:rsidR="002B3F97" w:rsidRPr="0038186B">
        <w:rPr>
          <w:lang w:val="es-419"/>
        </w:rPr>
        <w:t xml:space="preserve">por ejemplo, la </w:t>
      </w:r>
      <w:r w:rsidR="00861E60" w:rsidRPr="0038186B">
        <w:rPr>
          <w:lang w:val="es-419"/>
        </w:rPr>
        <w:t>restauración</w:t>
      </w:r>
      <w:r w:rsidR="002B3F97" w:rsidRPr="0038186B">
        <w:rPr>
          <w:lang w:val="es-419"/>
        </w:rPr>
        <w:t xml:space="preserve"> de textos antiguos que contienen </w:t>
      </w:r>
      <w:r w:rsidR="00D94469" w:rsidRPr="0038186B">
        <w:rPr>
          <w:lang w:val="es-419"/>
        </w:rPr>
        <w:t>conocimientos tradicionales</w:t>
      </w:r>
      <w:r w:rsidR="002B3F97" w:rsidRPr="0038186B">
        <w:rPr>
          <w:lang w:val="es-419"/>
        </w:rPr>
        <w:t xml:space="preserve">) y leyes que exigen o </w:t>
      </w:r>
      <w:r w:rsidR="00861E60" w:rsidRPr="0038186B">
        <w:rPr>
          <w:lang w:val="es-419"/>
        </w:rPr>
        <w:t>promueven</w:t>
      </w:r>
      <w:r w:rsidR="002B3F97" w:rsidRPr="0038186B">
        <w:rPr>
          <w:lang w:val="es-419"/>
        </w:rPr>
        <w:t xml:space="preserve"> programas destinados a conservar los </w:t>
      </w:r>
      <w:r w:rsidR="00861E60" w:rsidRPr="0038186B">
        <w:rPr>
          <w:lang w:val="es-419"/>
        </w:rPr>
        <w:t>conocimientos</w:t>
      </w:r>
      <w:r w:rsidR="002B3F97" w:rsidRPr="0038186B">
        <w:rPr>
          <w:lang w:val="es-419"/>
        </w:rPr>
        <w:t xml:space="preserve"> tradicionales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B3F97" w:rsidRPr="0038186B">
        <w:rPr>
          <w:lang w:val="es-419"/>
        </w:rPr>
        <w:t xml:space="preserve">A los </w:t>
      </w:r>
      <w:r w:rsidR="002620F7" w:rsidRPr="0038186B">
        <w:rPr>
          <w:lang w:val="es-419"/>
        </w:rPr>
        <w:t>fines</w:t>
      </w:r>
      <w:r w:rsidR="002B3F97" w:rsidRPr="0038186B">
        <w:rPr>
          <w:lang w:val="es-419"/>
        </w:rPr>
        <w:t xml:space="preserve"> del presente </w:t>
      </w:r>
      <w:r w:rsidR="00861E60" w:rsidRPr="0038186B">
        <w:rPr>
          <w:lang w:val="es-419"/>
        </w:rPr>
        <w:t>proyecto</w:t>
      </w:r>
      <w:r w:rsidR="002B3F97" w:rsidRPr="0038186B">
        <w:rPr>
          <w:lang w:val="es-419"/>
        </w:rPr>
        <w:t xml:space="preserve"> de </w:t>
      </w:r>
      <w:r w:rsidR="00861E60" w:rsidRPr="0038186B">
        <w:rPr>
          <w:lang w:val="es-419"/>
        </w:rPr>
        <w:t>análisis</w:t>
      </w:r>
      <w:r w:rsidR="002B3F97" w:rsidRPr="0038186B">
        <w:rPr>
          <w:lang w:val="es-419"/>
        </w:rPr>
        <w:t xml:space="preserve"> de carencias</w:t>
      </w:r>
      <w:r w:rsidRPr="0038186B">
        <w:rPr>
          <w:lang w:val="es-419"/>
        </w:rPr>
        <w:t xml:space="preserve">, </w:t>
      </w:r>
      <w:r w:rsidR="00380EBC" w:rsidRPr="0038186B">
        <w:rPr>
          <w:lang w:val="es-419"/>
        </w:rPr>
        <w:t>la</w:t>
      </w:r>
      <w:r w:rsidR="00861E60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“</w:t>
      </w:r>
      <w:r w:rsidRPr="0038186B">
        <w:rPr>
          <w:lang w:val="es-419"/>
        </w:rPr>
        <w:t>protec</w:t>
      </w:r>
      <w:r w:rsidR="00861E60" w:rsidRPr="0038186B">
        <w:rPr>
          <w:lang w:val="es-419"/>
        </w:rPr>
        <w:t>ción</w:t>
      </w:r>
      <w:r w:rsidR="00380EBC" w:rsidRPr="0038186B">
        <w:rPr>
          <w:lang w:val="es-419"/>
        </w:rPr>
        <w:t>”</w:t>
      </w:r>
      <w:r w:rsidRPr="0038186B">
        <w:rPr>
          <w:lang w:val="es-419"/>
        </w:rPr>
        <w:t xml:space="preserve"> </w:t>
      </w:r>
      <w:r w:rsidR="00D94469" w:rsidRPr="0038186B">
        <w:rPr>
          <w:lang w:val="es-419"/>
        </w:rPr>
        <w:t xml:space="preserve">se </w:t>
      </w:r>
      <w:r w:rsidR="00380EBC" w:rsidRPr="0038186B">
        <w:rPr>
          <w:lang w:val="es-419"/>
        </w:rPr>
        <w:t>define como la</w:t>
      </w:r>
      <w:r w:rsidR="00861E60" w:rsidRPr="0038186B">
        <w:rPr>
          <w:lang w:val="es-419"/>
        </w:rPr>
        <w:t xml:space="preserve"> que se utiliza </w:t>
      </w:r>
      <w:r w:rsidR="00D94469" w:rsidRPr="0038186B">
        <w:rPr>
          <w:lang w:val="es-419"/>
        </w:rPr>
        <w:t>con mayor frecuencia e</w:t>
      </w:r>
      <w:r w:rsidR="00861E60" w:rsidRPr="0038186B">
        <w:rPr>
          <w:lang w:val="es-419"/>
        </w:rPr>
        <w:t xml:space="preserve">n </w:t>
      </w:r>
      <w:r w:rsidR="00D94469" w:rsidRPr="0038186B">
        <w:rPr>
          <w:lang w:val="es-419"/>
        </w:rPr>
        <w:t>el contexto de</w:t>
      </w:r>
      <w:r w:rsidR="00861E60" w:rsidRPr="0038186B">
        <w:rPr>
          <w:lang w:val="es-419"/>
        </w:rPr>
        <w:t xml:space="preserve"> la propiedad intelectual, </w:t>
      </w:r>
      <w:r w:rsidR="00380EBC" w:rsidRPr="0038186B">
        <w:rPr>
          <w:lang w:val="es-419"/>
        </w:rPr>
        <w:t xml:space="preserve">es decir, </w:t>
      </w:r>
      <w:r w:rsidR="00861E60" w:rsidRPr="0038186B">
        <w:rPr>
          <w:lang w:val="es-419"/>
        </w:rPr>
        <w:t xml:space="preserve">las medidas </w:t>
      </w:r>
      <w:r w:rsidR="00D94469" w:rsidRPr="0038186B">
        <w:rPr>
          <w:lang w:val="es-419"/>
        </w:rPr>
        <w:t xml:space="preserve">jurídicas que limitan </w:t>
      </w:r>
      <w:r w:rsidR="00861E60" w:rsidRPr="0038186B">
        <w:rPr>
          <w:lang w:val="es-419"/>
        </w:rPr>
        <w:t xml:space="preserve">el uso </w:t>
      </w:r>
      <w:r w:rsidR="00837170" w:rsidRPr="0038186B">
        <w:rPr>
          <w:lang w:val="es-419"/>
        </w:rPr>
        <w:t xml:space="preserve">eventual </w:t>
      </w:r>
      <w:r w:rsidR="00861E60" w:rsidRPr="0038186B">
        <w:rPr>
          <w:lang w:val="es-419"/>
        </w:rPr>
        <w:t>por terceros de</w:t>
      </w:r>
      <w:r w:rsidR="00D94469" w:rsidRPr="0038186B">
        <w:rPr>
          <w:lang w:val="es-419"/>
        </w:rPr>
        <w:t>l</w:t>
      </w:r>
      <w:r w:rsidR="00861E60" w:rsidRPr="0038186B">
        <w:rPr>
          <w:lang w:val="es-419"/>
        </w:rPr>
        <w:t xml:space="preserve"> material prote</w:t>
      </w:r>
      <w:r w:rsidR="00D94469" w:rsidRPr="0038186B">
        <w:rPr>
          <w:lang w:val="es-419"/>
        </w:rPr>
        <w:t>gido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 xml:space="preserve">sea </w:t>
      </w:r>
      <w:r w:rsidR="00D94469" w:rsidRPr="0038186B">
        <w:rPr>
          <w:lang w:val="es-419"/>
        </w:rPr>
        <w:t xml:space="preserve">estableciendo </w:t>
      </w:r>
      <w:r w:rsidR="00861E60" w:rsidRPr="0038186B">
        <w:rPr>
          <w:lang w:val="es-419"/>
        </w:rPr>
        <w:t xml:space="preserve">el derecho a impedir totalmente su uso </w:t>
      </w:r>
      <w:r w:rsidRPr="0038186B">
        <w:rPr>
          <w:lang w:val="es-419"/>
        </w:rPr>
        <w:t>(</w:t>
      </w:r>
      <w:r w:rsidR="00861E60" w:rsidRPr="0038186B">
        <w:rPr>
          <w:lang w:val="es-419"/>
        </w:rPr>
        <w:t>derechos exclusivos) o mediante la creación de condiciones para su uso autorizado</w:t>
      </w:r>
      <w:r w:rsidRPr="0038186B">
        <w:rPr>
          <w:lang w:val="es-419"/>
        </w:rPr>
        <w:t xml:space="preserve"> (</w:t>
      </w:r>
      <w:r w:rsidR="00861E60" w:rsidRPr="0038186B">
        <w:rPr>
          <w:lang w:val="es-419"/>
        </w:rPr>
        <w:t xml:space="preserve">por ejemplo, las condiciones </w:t>
      </w:r>
      <w:r w:rsidR="00380EBC" w:rsidRPr="0038186B">
        <w:rPr>
          <w:lang w:val="es-419"/>
        </w:rPr>
        <w:t xml:space="preserve">previstas en las </w:t>
      </w:r>
      <w:r w:rsidR="00861E60" w:rsidRPr="0038186B">
        <w:rPr>
          <w:lang w:val="es-419"/>
        </w:rPr>
        <w:t>licencia</w:t>
      </w:r>
      <w:r w:rsidR="00380EBC" w:rsidRPr="0038186B">
        <w:rPr>
          <w:lang w:val="es-419"/>
        </w:rPr>
        <w:t>s</w:t>
      </w:r>
      <w:r w:rsidR="00EE6D69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de</w:t>
      </w:r>
      <w:r w:rsidR="00861E60" w:rsidRPr="0038186B">
        <w:rPr>
          <w:lang w:val="es-419"/>
        </w:rPr>
        <w:t xml:space="preserve"> patente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secreto</w:t>
      </w:r>
      <w:r w:rsidR="00EE6D69" w:rsidRPr="0038186B">
        <w:rPr>
          <w:lang w:val="es-419"/>
        </w:rPr>
        <w:t>s</w:t>
      </w:r>
      <w:r w:rsidR="00861E60" w:rsidRPr="0038186B">
        <w:rPr>
          <w:lang w:val="es-419"/>
        </w:rPr>
        <w:t xml:space="preserve"> comercial</w:t>
      </w:r>
      <w:r w:rsidR="00EE6D69" w:rsidRPr="0038186B">
        <w:rPr>
          <w:lang w:val="es-419"/>
        </w:rPr>
        <w:t>es</w:t>
      </w:r>
      <w:r w:rsidR="00861E60" w:rsidRPr="0038186B">
        <w:rPr>
          <w:lang w:val="es-419"/>
        </w:rPr>
        <w:t xml:space="preserve"> o marca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o l</w:t>
      </w:r>
      <w:r w:rsidR="008C3209" w:rsidRPr="0038186B">
        <w:rPr>
          <w:lang w:val="es-419"/>
        </w:rPr>
        <w:t>a</w:t>
      </w:r>
      <w:r w:rsidR="00861E60" w:rsidRPr="0038186B">
        <w:rPr>
          <w:lang w:val="es-419"/>
        </w:rPr>
        <w:t xml:space="preserve">s </w:t>
      </w:r>
      <w:r w:rsidR="008C3209" w:rsidRPr="0038186B">
        <w:rPr>
          <w:lang w:val="es-419"/>
        </w:rPr>
        <w:t xml:space="preserve">exigencias </w:t>
      </w:r>
      <w:r w:rsidR="00861E60" w:rsidRPr="0038186B">
        <w:rPr>
          <w:lang w:val="es-419"/>
        </w:rPr>
        <w:t xml:space="preserve">más generales </w:t>
      </w:r>
      <w:r w:rsidR="00D94469" w:rsidRPr="0038186B">
        <w:rPr>
          <w:lang w:val="es-419"/>
        </w:rPr>
        <w:t>en relación con l</w:t>
      </w:r>
      <w:r w:rsidR="00861E60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retribución </w:t>
      </w:r>
      <w:r w:rsidR="00861E60" w:rsidRPr="0038186B">
        <w:rPr>
          <w:lang w:val="es-419"/>
        </w:rPr>
        <w:t>equitativa o el derecho al reconocimiento)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E6D69" w:rsidRPr="0038186B">
        <w:rPr>
          <w:lang w:val="es-419"/>
        </w:rPr>
        <w:t xml:space="preserve">Se </w:t>
      </w:r>
      <w:r w:rsidR="00861E60" w:rsidRPr="0038186B">
        <w:rPr>
          <w:lang w:val="es-419"/>
        </w:rPr>
        <w:t xml:space="preserve">ha señalado </w:t>
      </w:r>
      <w:r w:rsidR="00EE6D69" w:rsidRPr="0038186B">
        <w:rPr>
          <w:lang w:val="es-419"/>
        </w:rPr>
        <w:t xml:space="preserve">asimismo en el </w:t>
      </w:r>
      <w:r w:rsidR="00861E60" w:rsidRPr="0038186B">
        <w:rPr>
          <w:lang w:val="es-419"/>
        </w:rPr>
        <w:t xml:space="preserve">Comité que los CC.TT. pueden protegerse por medio físicos y, </w:t>
      </w:r>
      <w:r w:rsidR="004A7526" w:rsidRPr="0038186B">
        <w:rPr>
          <w:lang w:val="es-419"/>
        </w:rPr>
        <w:t xml:space="preserve">según </w:t>
      </w:r>
      <w:r w:rsidR="00EE6D69" w:rsidRPr="0038186B">
        <w:rPr>
          <w:lang w:val="es-419"/>
        </w:rPr>
        <w:t>ciertas modalidades de protección</w:t>
      </w:r>
      <w:r w:rsidR="00861E60" w:rsidRPr="0038186B">
        <w:rPr>
          <w:lang w:val="es-419"/>
        </w:rPr>
        <w:t xml:space="preserve">, </w:t>
      </w:r>
      <w:r w:rsidR="004A7526" w:rsidRPr="0038186B">
        <w:rPr>
          <w:lang w:val="es-419"/>
        </w:rPr>
        <w:t xml:space="preserve">los CC.TT. </w:t>
      </w:r>
      <w:r w:rsidR="00861E60" w:rsidRPr="0038186B">
        <w:rPr>
          <w:lang w:val="es-419"/>
        </w:rPr>
        <w:t xml:space="preserve">pueden </w:t>
      </w:r>
      <w:r w:rsidR="004A7526" w:rsidRPr="0038186B">
        <w:rPr>
          <w:lang w:val="es-419"/>
        </w:rPr>
        <w:t>protegerse contra la desaparición</w:t>
      </w:r>
      <w:r w:rsidR="00EE6D69" w:rsidRPr="0038186B">
        <w:rPr>
          <w:lang w:val="es-419"/>
        </w:rPr>
        <w:t>, fomentando</w:t>
      </w:r>
      <w:r w:rsidR="004A7526" w:rsidRPr="0038186B">
        <w:rPr>
          <w:lang w:val="es-419"/>
        </w:rPr>
        <w:t xml:space="preserve"> su uso generalizado</w:t>
      </w:r>
      <w:r w:rsidR="00003366" w:rsidRPr="0038186B">
        <w:rPr>
          <w:lang w:val="es-419"/>
        </w:rPr>
        <w:t xml:space="preserve">, siendo ésta en algunos casos, según el tipo </w:t>
      </w:r>
      <w:r w:rsidR="00EE6D69" w:rsidRPr="0038186B">
        <w:rPr>
          <w:lang w:val="es-419"/>
        </w:rPr>
        <w:t xml:space="preserve">de </w:t>
      </w:r>
      <w:r w:rsidR="004A7526" w:rsidRPr="0038186B">
        <w:rPr>
          <w:lang w:val="es-419"/>
        </w:rPr>
        <w:t>protección necesari</w:t>
      </w:r>
      <w:r w:rsidR="00003366" w:rsidRPr="0038186B">
        <w:rPr>
          <w:lang w:val="es-419"/>
        </w:rPr>
        <w:t>o</w:t>
      </w:r>
      <w:r w:rsidR="004A7526" w:rsidRPr="0038186B">
        <w:rPr>
          <w:lang w:val="es-419"/>
        </w:rPr>
        <w:t xml:space="preserve">, </w:t>
      </w:r>
      <w:r w:rsidR="00003366" w:rsidRPr="0038186B">
        <w:rPr>
          <w:lang w:val="es-419"/>
        </w:rPr>
        <w:t xml:space="preserve">la forma de </w:t>
      </w:r>
      <w:r w:rsidR="004A7526" w:rsidRPr="0038186B">
        <w:rPr>
          <w:lang w:val="es-419"/>
        </w:rPr>
        <w:t>protección más duradera</w:t>
      </w:r>
      <w:r w:rsidR="00003366" w:rsidRPr="0038186B">
        <w:rPr>
          <w:lang w:val="es-419"/>
        </w:rPr>
        <w:t xml:space="preserve"> y eficaz</w:t>
      </w:r>
      <w:r w:rsidR="004A7526" w:rsidRPr="0038186B">
        <w:rPr>
          <w:lang w:val="es-419"/>
        </w:rPr>
        <w:t xml:space="preserve"> desde una perspectiva de costos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209" w:rsidRPr="0038186B">
        <w:rPr>
          <w:lang w:val="es-419"/>
        </w:rPr>
        <w:t xml:space="preserve">Desde esa perspectiva de la </w:t>
      </w:r>
      <w:r w:rsidR="00003366" w:rsidRPr="0038186B">
        <w:rPr>
          <w:lang w:val="es-419"/>
        </w:rPr>
        <w:t xml:space="preserve">protección, </w:t>
      </w:r>
      <w:r w:rsidR="004A7526" w:rsidRPr="0038186B">
        <w:rPr>
          <w:lang w:val="es-419"/>
        </w:rPr>
        <w:t>una innovación tradicional</w:t>
      </w:r>
      <w:r w:rsidR="00837170" w:rsidRPr="0038186B">
        <w:rPr>
          <w:lang w:val="es-419"/>
        </w:rPr>
        <w:t>,</w:t>
      </w:r>
      <w:r w:rsidR="004A7526" w:rsidRPr="0038186B">
        <w:rPr>
          <w:lang w:val="es-419"/>
        </w:rPr>
        <w:t xml:space="preserve"> como la medicina tradicional se “proteg</w:t>
      </w:r>
      <w:r w:rsidR="00003366" w:rsidRPr="0038186B">
        <w:rPr>
          <w:lang w:val="es-419"/>
        </w:rPr>
        <w:t>ería</w:t>
      </w:r>
      <w:r w:rsidR="004A7526" w:rsidRPr="0038186B">
        <w:rPr>
          <w:lang w:val="es-419"/>
        </w:rPr>
        <w:t xml:space="preserve">” </w:t>
      </w:r>
      <w:r w:rsidR="00003366" w:rsidRPr="0038186B">
        <w:rPr>
          <w:lang w:val="es-419"/>
        </w:rPr>
        <w:t>alentando su práctica</w:t>
      </w:r>
      <w:r w:rsidRPr="0038186B">
        <w:rPr>
          <w:lang w:val="es-419"/>
        </w:rPr>
        <w:t xml:space="preserve">, </w:t>
      </w:r>
      <w:r w:rsidR="00837170" w:rsidRPr="0038186B">
        <w:rPr>
          <w:lang w:val="es-419"/>
        </w:rPr>
        <w:t xml:space="preserve">si bien </w:t>
      </w:r>
      <w:r w:rsidR="004A7526" w:rsidRPr="0038186B">
        <w:rPr>
          <w:lang w:val="es-419"/>
        </w:rPr>
        <w:t xml:space="preserve">esta no </w:t>
      </w:r>
      <w:r w:rsidR="00837170" w:rsidRPr="0038186B">
        <w:rPr>
          <w:lang w:val="es-419"/>
        </w:rPr>
        <w:t>es</w:t>
      </w:r>
      <w:r w:rsidR="004A7526" w:rsidRPr="0038186B">
        <w:rPr>
          <w:lang w:val="es-419"/>
        </w:rPr>
        <w:t xml:space="preserve"> la acepción más </w:t>
      </w:r>
      <w:r w:rsidR="00837170" w:rsidRPr="0038186B">
        <w:rPr>
          <w:lang w:val="es-419"/>
        </w:rPr>
        <w:t xml:space="preserve">utilizada </w:t>
      </w:r>
      <w:r w:rsidR="004A7526" w:rsidRPr="0038186B">
        <w:rPr>
          <w:lang w:val="es-419"/>
        </w:rPr>
        <w:t xml:space="preserve">del término “protección” en </w:t>
      </w:r>
      <w:r w:rsidR="00837170" w:rsidRPr="0038186B">
        <w:rPr>
          <w:lang w:val="es-419"/>
        </w:rPr>
        <w:t xml:space="preserve">el contexto de </w:t>
      </w:r>
      <w:r w:rsidR="004A7526" w:rsidRPr="0038186B">
        <w:rPr>
          <w:lang w:val="es-419"/>
        </w:rPr>
        <w:t xml:space="preserve">la formulación de políticas relativas a la </w:t>
      </w:r>
      <w:r w:rsidR="0030450C" w:rsidRPr="0038186B">
        <w:rPr>
          <w:lang w:val="es-419"/>
        </w:rPr>
        <w:t>PI</w:t>
      </w:r>
      <w:r w:rsidR="00003366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37170" w:rsidRPr="0038186B">
        <w:rPr>
          <w:lang w:val="es-419"/>
        </w:rPr>
        <w:t>Teniendo en cuenta</w:t>
      </w:r>
      <w:r w:rsidR="004475AD" w:rsidRPr="0038186B">
        <w:rPr>
          <w:lang w:val="es-419"/>
        </w:rPr>
        <w:t xml:space="preserve"> l</w:t>
      </w:r>
      <w:r w:rsidR="004A7526" w:rsidRPr="0038186B">
        <w:rPr>
          <w:lang w:val="es-419"/>
        </w:rPr>
        <w:t xml:space="preserve">a dificultad </w:t>
      </w:r>
      <w:r w:rsidR="00CF2447" w:rsidRPr="0038186B">
        <w:rPr>
          <w:lang w:val="es-419"/>
        </w:rPr>
        <w:t>de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 xml:space="preserve">evaluar </w:t>
      </w:r>
      <w:r w:rsidR="004A7526" w:rsidRPr="0038186B">
        <w:rPr>
          <w:lang w:val="es-419"/>
        </w:rPr>
        <w:t xml:space="preserve">las </w:t>
      </w:r>
      <w:r w:rsidR="008C3209" w:rsidRPr="0038186B">
        <w:rPr>
          <w:lang w:val="es-419"/>
        </w:rPr>
        <w:t>deficiencias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de las distintas</w:t>
      </w:r>
      <w:r w:rsidR="004A7526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iniciativas</w:t>
      </w:r>
      <w:r w:rsidR="004A7526" w:rsidRPr="0038186B">
        <w:rPr>
          <w:lang w:val="es-419"/>
        </w:rPr>
        <w:t xml:space="preserve"> pr</w:t>
      </w:r>
      <w:r w:rsidR="008E4549" w:rsidRPr="0038186B">
        <w:rPr>
          <w:lang w:val="es-419"/>
        </w:rPr>
        <w:t>ác</w:t>
      </w:r>
      <w:r w:rsidR="004A7526" w:rsidRPr="0038186B">
        <w:rPr>
          <w:lang w:val="es-419"/>
        </w:rPr>
        <w:t xml:space="preserve">ticas </w:t>
      </w:r>
      <w:r w:rsidR="00CF2447" w:rsidRPr="0038186B">
        <w:rPr>
          <w:lang w:val="es-419"/>
        </w:rPr>
        <w:t xml:space="preserve">a nivel internacional </w:t>
      </w:r>
      <w:r w:rsidR="004A7526" w:rsidRPr="0038186B">
        <w:rPr>
          <w:lang w:val="es-419"/>
        </w:rPr>
        <w:t xml:space="preserve">y </w:t>
      </w:r>
      <w:r w:rsidR="004417EC" w:rsidRPr="0038186B">
        <w:rPr>
          <w:lang w:val="es-419"/>
        </w:rPr>
        <w:t xml:space="preserve">el hecho de </w:t>
      </w:r>
      <w:r w:rsidR="00CF2447" w:rsidRPr="0038186B">
        <w:rPr>
          <w:lang w:val="es-419"/>
        </w:rPr>
        <w:t>que</w:t>
      </w:r>
      <w:r w:rsidR="004E6702" w:rsidRPr="0038186B">
        <w:rPr>
          <w:lang w:val="es-419"/>
        </w:rPr>
        <w:t xml:space="preserve"> la p</w:t>
      </w:r>
      <w:r w:rsidR="00EE6D69" w:rsidRPr="0038186B">
        <w:rPr>
          <w:lang w:val="es-419"/>
        </w:rPr>
        <w:t>ropiedad</w:t>
      </w:r>
      <w:r w:rsidR="00D94469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intelectual</w:t>
      </w:r>
      <w:r w:rsidR="00D94469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es el eje central de </w:t>
      </w:r>
      <w:r w:rsidR="00D94469" w:rsidRPr="0038186B">
        <w:rPr>
          <w:lang w:val="es-419"/>
        </w:rPr>
        <w:t xml:space="preserve">la labor del Comité, </w:t>
      </w:r>
      <w:r w:rsidR="00CF2447" w:rsidRPr="0038186B">
        <w:rPr>
          <w:lang w:val="es-419"/>
        </w:rPr>
        <w:t xml:space="preserve">la </w:t>
      </w:r>
      <w:r w:rsidR="008E4549" w:rsidRPr="0038186B">
        <w:rPr>
          <w:lang w:val="es-419"/>
        </w:rPr>
        <w:t>“protección”</w:t>
      </w:r>
      <w:r w:rsidR="00CF2447" w:rsidRPr="0038186B">
        <w:rPr>
          <w:lang w:val="es-419"/>
        </w:rPr>
        <w:t xml:space="preserve"> se entenderá</w:t>
      </w:r>
      <w:r w:rsidR="008E4549" w:rsidRPr="0038186B">
        <w:rPr>
          <w:lang w:val="es-419"/>
        </w:rPr>
        <w:t xml:space="preserve">, </w:t>
      </w:r>
      <w:r w:rsidR="00D94469" w:rsidRPr="0038186B">
        <w:rPr>
          <w:lang w:val="es-419"/>
        </w:rPr>
        <w:t xml:space="preserve">a </w:t>
      </w:r>
      <w:r w:rsidR="004475AD" w:rsidRPr="0038186B">
        <w:rPr>
          <w:lang w:val="es-419"/>
        </w:rPr>
        <w:t>efectos</w:t>
      </w:r>
      <w:r w:rsidR="00D94469" w:rsidRPr="0038186B">
        <w:rPr>
          <w:lang w:val="es-419"/>
        </w:rPr>
        <w:t xml:space="preserve"> de</w:t>
      </w:r>
      <w:r w:rsidR="002620F7" w:rsidRPr="0038186B">
        <w:rPr>
          <w:lang w:val="es-419"/>
        </w:rPr>
        <w:t xml:space="preserve">l </w:t>
      </w:r>
      <w:r w:rsidR="00D94469" w:rsidRPr="0038186B">
        <w:rPr>
          <w:lang w:val="es-419"/>
        </w:rPr>
        <w:t xml:space="preserve">presente documento, </w:t>
      </w:r>
      <w:r w:rsidR="00CF2447" w:rsidRPr="0038186B">
        <w:rPr>
          <w:lang w:val="es-419"/>
        </w:rPr>
        <w:t xml:space="preserve">como la protección conferida </w:t>
      </w:r>
      <w:r w:rsidR="00EE6D69" w:rsidRPr="0038186B">
        <w:rPr>
          <w:lang w:val="es-419"/>
        </w:rPr>
        <w:t>frente al</w:t>
      </w:r>
      <w:r w:rsidR="00D94469" w:rsidRPr="0038186B">
        <w:rPr>
          <w:lang w:val="es-419"/>
        </w:rPr>
        <w:t xml:space="preserve"> uso no autorizado o </w:t>
      </w:r>
      <w:r w:rsidR="00EE6D69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la explotación </w:t>
      </w:r>
      <w:r w:rsidR="00EE6D69" w:rsidRPr="0038186B">
        <w:rPr>
          <w:lang w:val="es-419"/>
        </w:rPr>
        <w:t>no equitativa de la materia protegida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La</w:t>
      </w:r>
      <w:r w:rsidR="00374DFA" w:rsidRPr="0038186B">
        <w:rPr>
          <w:lang w:val="es-419"/>
        </w:rPr>
        <w:t xml:space="preserve"> protección </w:t>
      </w:r>
      <w:r w:rsidR="00EA564C" w:rsidRPr="0038186B">
        <w:rPr>
          <w:lang w:val="es-419"/>
        </w:rPr>
        <w:t>en es</w:t>
      </w:r>
      <w:r w:rsidR="008E4549" w:rsidRPr="0038186B">
        <w:rPr>
          <w:lang w:val="es-419"/>
        </w:rPr>
        <w:t>e sentido entraña un grado de</w:t>
      </w:r>
      <w:r w:rsidR="00374DFA" w:rsidRPr="0038186B">
        <w:rPr>
          <w:lang w:val="es-419"/>
        </w:rPr>
        <w:t xml:space="preserve"> control o autoridad </w:t>
      </w:r>
      <w:r w:rsidR="008E4549" w:rsidRPr="0038186B">
        <w:rPr>
          <w:lang w:val="es-419"/>
        </w:rPr>
        <w:t>permanente</w:t>
      </w:r>
      <w:r w:rsidR="00374DFA" w:rsidRPr="0038186B">
        <w:rPr>
          <w:lang w:val="es-419"/>
        </w:rPr>
        <w:t xml:space="preserve"> sobre </w:t>
      </w:r>
      <w:r w:rsidR="008E4549" w:rsidRPr="0038186B">
        <w:rPr>
          <w:lang w:val="es-419"/>
        </w:rPr>
        <w:t xml:space="preserve">los CC.TT. </w:t>
      </w:r>
      <w:r w:rsidR="00374DFA" w:rsidRPr="0038186B">
        <w:rPr>
          <w:lang w:val="es-419"/>
        </w:rPr>
        <w:t xml:space="preserve">en cuestión, </w:t>
      </w:r>
      <w:r w:rsidR="00EA564C" w:rsidRPr="0038186B">
        <w:rPr>
          <w:lang w:val="es-419"/>
        </w:rPr>
        <w:t>que podría incluso incluir</w:t>
      </w:r>
      <w:r w:rsidR="00374DFA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un</w:t>
      </w:r>
      <w:r w:rsidR="00374DFA" w:rsidRPr="0038186B">
        <w:rPr>
          <w:lang w:val="es-419"/>
        </w:rPr>
        <w:t xml:space="preserve"> derecho </w:t>
      </w:r>
      <w:r w:rsidR="00EA564C" w:rsidRPr="0038186B">
        <w:rPr>
          <w:lang w:val="es-419"/>
        </w:rPr>
        <w:t>exclusivo</w:t>
      </w:r>
      <w:r w:rsidR="008E4549" w:rsidRPr="0038186B">
        <w:rPr>
          <w:lang w:val="es-419"/>
        </w:rPr>
        <w:t xml:space="preserve">, o bien otros tipos de </w:t>
      </w:r>
      <w:r w:rsidR="00374DFA" w:rsidRPr="0038186B">
        <w:rPr>
          <w:lang w:val="es-419"/>
        </w:rPr>
        <w:t xml:space="preserve">derechos </w:t>
      </w:r>
      <w:r w:rsidR="008E4549" w:rsidRPr="0038186B">
        <w:rPr>
          <w:lang w:val="es-419"/>
        </w:rPr>
        <w:t xml:space="preserve">permanentes vinculados a los </w:t>
      </w:r>
      <w:r w:rsidR="00374DFA" w:rsidRPr="0038186B">
        <w:rPr>
          <w:lang w:val="es-419"/>
        </w:rPr>
        <w:t>conocimiento</w:t>
      </w:r>
      <w:r w:rsidR="008E4549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374DFA" w:rsidRPr="0038186B">
        <w:rPr>
          <w:lang w:val="es-419"/>
        </w:rPr>
        <w:t>E</w:t>
      </w:r>
      <w:r w:rsidR="00EA564C" w:rsidRPr="0038186B">
        <w:rPr>
          <w:lang w:val="es-419"/>
        </w:rPr>
        <w:t>l ejercicio de ese</w:t>
      </w:r>
      <w:r w:rsidR="00374DFA" w:rsidRPr="0038186B">
        <w:rPr>
          <w:lang w:val="es-419"/>
        </w:rPr>
        <w:t xml:space="preserve"> control </w:t>
      </w:r>
      <w:r w:rsidR="00EA564C" w:rsidRPr="0038186B">
        <w:rPr>
          <w:lang w:val="es-419"/>
        </w:rPr>
        <w:t xml:space="preserve">incumbe a </w:t>
      </w:r>
      <w:r w:rsidR="00374DFA" w:rsidRPr="0038186B">
        <w:rPr>
          <w:lang w:val="es-419"/>
        </w:rPr>
        <w:t xml:space="preserve">la comunidad o </w:t>
      </w:r>
      <w:r w:rsidR="00EA564C" w:rsidRPr="0038186B">
        <w:rPr>
          <w:lang w:val="es-419"/>
        </w:rPr>
        <w:t xml:space="preserve">a </w:t>
      </w:r>
      <w:r w:rsidR="00374DFA" w:rsidRPr="0038186B">
        <w:rPr>
          <w:lang w:val="es-419"/>
        </w:rPr>
        <w:t>su representante</w:t>
      </w:r>
      <w:r w:rsidR="00EA564C" w:rsidRPr="0038186B">
        <w:rPr>
          <w:lang w:val="es-419"/>
        </w:rPr>
        <w:t xml:space="preserve"> o representantes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E</w:t>
      </w:r>
      <w:r w:rsidR="00DB50AD" w:rsidRPr="0038186B">
        <w:rPr>
          <w:lang w:val="es-419"/>
        </w:rPr>
        <w:t xml:space="preserve">sta situación </w:t>
      </w:r>
      <w:r w:rsidR="00EA564C" w:rsidRPr="0038186B">
        <w:rPr>
          <w:lang w:val="es-419"/>
        </w:rPr>
        <w:t xml:space="preserve">contrasta </w:t>
      </w:r>
      <w:r w:rsidR="00DB50AD" w:rsidRPr="0038186B">
        <w:rPr>
          <w:lang w:val="es-419"/>
        </w:rPr>
        <w:t xml:space="preserve">con la que se plantea cuando la materia pertenece al dominio público y que </w:t>
      </w:r>
      <w:r w:rsidR="00DC0725" w:rsidRPr="0038186B">
        <w:rPr>
          <w:lang w:val="es-419"/>
        </w:rPr>
        <w:t xml:space="preserve">el </w:t>
      </w:r>
      <w:r w:rsidR="00374DFA" w:rsidRPr="0038186B">
        <w:rPr>
          <w:lang w:val="es-419"/>
        </w:rPr>
        <w:t xml:space="preserve">usuario no tiene ninguna responsabilidad u obligación </w:t>
      </w:r>
      <w:r w:rsidR="00DC0725" w:rsidRPr="0038186B">
        <w:rPr>
          <w:lang w:val="es-419"/>
        </w:rPr>
        <w:t>para con el</w:t>
      </w:r>
      <w:r w:rsidR="00374DFA" w:rsidRPr="0038186B">
        <w:rPr>
          <w:lang w:val="es-419"/>
        </w:rPr>
        <w:t xml:space="preserve"> proveedor de conocimiento.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F9C" w:rsidRPr="0038186B">
        <w:rPr>
          <w:lang w:val="es-419"/>
        </w:rPr>
        <w:t>E</w:t>
      </w:r>
      <w:r w:rsidR="00DC0725" w:rsidRPr="0038186B">
        <w:rPr>
          <w:lang w:val="es-419"/>
        </w:rPr>
        <w:t xml:space="preserve">so no quiere decir </w:t>
      </w:r>
      <w:r w:rsidR="004E6702" w:rsidRPr="0038186B">
        <w:rPr>
          <w:lang w:val="es-419"/>
        </w:rPr>
        <w:t xml:space="preserve">que esa </w:t>
      </w:r>
      <w:r w:rsidR="00DC0725" w:rsidRPr="0038186B">
        <w:rPr>
          <w:lang w:val="es-419"/>
        </w:rPr>
        <w:t>es</w:t>
      </w:r>
      <w:r w:rsidR="004E6702" w:rsidRPr="0038186B">
        <w:rPr>
          <w:lang w:val="es-419"/>
        </w:rPr>
        <w:t xml:space="preserve"> la </w:t>
      </w:r>
      <w:r w:rsidR="00DB50AD" w:rsidRPr="0038186B">
        <w:rPr>
          <w:lang w:val="es-419"/>
        </w:rPr>
        <w:t xml:space="preserve">única </w:t>
      </w:r>
      <w:r w:rsidR="004E6702" w:rsidRPr="0038186B">
        <w:rPr>
          <w:lang w:val="es-419"/>
        </w:rPr>
        <w:t>modalidad de protección</w:t>
      </w:r>
      <w:r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legítima o </w:t>
      </w:r>
      <w:r w:rsidR="00A62B6A" w:rsidRPr="0038186B">
        <w:rPr>
          <w:lang w:val="es-419"/>
        </w:rPr>
        <w:t>significativa</w:t>
      </w:r>
      <w:r w:rsidR="004E6702" w:rsidRPr="0038186B">
        <w:rPr>
          <w:lang w:val="es-419"/>
        </w:rPr>
        <w:t xml:space="preserve">, ni la </w:t>
      </w:r>
      <w:r w:rsidR="00A62B6A" w:rsidRPr="0038186B">
        <w:rPr>
          <w:lang w:val="es-419"/>
        </w:rPr>
        <w:t>más</w:t>
      </w:r>
      <w:r w:rsidR="004E6702" w:rsidRPr="0038186B">
        <w:rPr>
          <w:lang w:val="es-419"/>
        </w:rPr>
        <w:t xml:space="preserve"> urge</w:t>
      </w:r>
      <w:r w:rsidR="00DC0725" w:rsidRPr="0038186B">
        <w:rPr>
          <w:lang w:val="es-419"/>
        </w:rPr>
        <w:t>nte</w:t>
      </w:r>
      <w:r w:rsidR="004417EC" w:rsidRPr="0038186B">
        <w:rPr>
          <w:lang w:val="es-419"/>
        </w:rPr>
        <w:t>, sino que refleja las distintas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>perspectivas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 xml:space="preserve">examinadas en los trabajos del </w:t>
      </w:r>
      <w:r w:rsidR="004E670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66F9C" w:rsidRPr="0038186B">
        <w:rPr>
          <w:lang w:val="es-419"/>
        </w:rPr>
        <w:t xml:space="preserve">Así pues, </w:t>
      </w:r>
      <w:r w:rsidR="004E6702" w:rsidRPr="0038186B">
        <w:rPr>
          <w:lang w:val="es-419"/>
        </w:rPr>
        <w:t xml:space="preserve">el </w:t>
      </w:r>
      <w:r w:rsidR="004417EC" w:rsidRPr="0038186B">
        <w:rPr>
          <w:lang w:val="es-419"/>
        </w:rPr>
        <w:t xml:space="preserve">presente </w:t>
      </w:r>
      <w:r w:rsidR="00A62B6A" w:rsidRPr="0038186B">
        <w:rPr>
          <w:lang w:val="es-419"/>
        </w:rPr>
        <w:t>análisis</w:t>
      </w:r>
      <w:r w:rsidR="004E6702" w:rsidRPr="0038186B">
        <w:rPr>
          <w:lang w:val="es-419"/>
        </w:rPr>
        <w:t xml:space="preserve"> de </w:t>
      </w:r>
      <w:r w:rsidR="00A62B6A" w:rsidRPr="0038186B">
        <w:rPr>
          <w:lang w:val="es-419"/>
        </w:rPr>
        <w:t>carencias</w:t>
      </w:r>
      <w:r w:rsidR="004E6702" w:rsidRPr="0038186B">
        <w:rPr>
          <w:lang w:val="es-419"/>
        </w:rPr>
        <w:t xml:space="preserve"> </w:t>
      </w:r>
      <w:r w:rsidR="00DA02AD" w:rsidRPr="0038186B">
        <w:rPr>
          <w:lang w:val="es-419"/>
        </w:rPr>
        <w:t xml:space="preserve">se refiere a materias que </w:t>
      </w:r>
      <w:r w:rsidR="004417EC" w:rsidRPr="0038186B">
        <w:rPr>
          <w:lang w:val="es-419"/>
        </w:rPr>
        <w:t xml:space="preserve">ocupan un lugar </w:t>
      </w:r>
      <w:r w:rsidR="00FE293C" w:rsidRPr="0038186B">
        <w:rPr>
          <w:lang w:val="es-419"/>
        </w:rPr>
        <w:t>central</w:t>
      </w:r>
      <w:r w:rsidR="004417EC" w:rsidRPr="0038186B">
        <w:rPr>
          <w:lang w:val="es-419"/>
        </w:rPr>
        <w:t xml:space="preserve"> en</w:t>
      </w:r>
      <w:r w:rsidR="00DA02AD" w:rsidRPr="0038186B">
        <w:rPr>
          <w:lang w:val="es-419"/>
        </w:rPr>
        <w:t xml:space="preserve"> la</w:t>
      </w:r>
      <w:r w:rsidR="004417EC" w:rsidRPr="0038186B">
        <w:rPr>
          <w:lang w:val="es-419"/>
        </w:rPr>
        <w:t xml:space="preserve">s normas y </w:t>
      </w:r>
      <w:r w:rsidR="004E6702" w:rsidRPr="0038186B">
        <w:rPr>
          <w:lang w:val="es-419"/>
        </w:rPr>
        <w:t xml:space="preserve">políticas </w:t>
      </w:r>
      <w:r w:rsidR="004417EC" w:rsidRPr="0038186B">
        <w:rPr>
          <w:lang w:val="es-419"/>
        </w:rPr>
        <w:t xml:space="preserve">en materia </w:t>
      </w:r>
      <w:r w:rsidR="004E6702" w:rsidRPr="0038186B">
        <w:rPr>
          <w:lang w:val="es-419"/>
        </w:rPr>
        <w:t xml:space="preserve">de </w:t>
      </w:r>
      <w:r w:rsidR="004417EC" w:rsidRPr="0038186B">
        <w:rPr>
          <w:lang w:val="es-419"/>
        </w:rPr>
        <w:t>PI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Otros </w:t>
      </w:r>
      <w:r w:rsidR="001572C4" w:rsidRPr="0038186B">
        <w:rPr>
          <w:lang w:val="es-419"/>
        </w:rPr>
        <w:t>regímenes jurídicos i</w:t>
      </w:r>
      <w:r w:rsidR="004E6702" w:rsidRPr="0038186B">
        <w:rPr>
          <w:lang w:val="es-419"/>
        </w:rPr>
        <w:t xml:space="preserve">nternacionales, como </w:t>
      </w:r>
      <w:r w:rsidR="00A62B6A" w:rsidRPr="0038186B">
        <w:rPr>
          <w:lang w:val="es-419"/>
        </w:rPr>
        <w:t xml:space="preserve">el Convenio sobre la Diversidad Biológica </w:t>
      </w:r>
      <w:r w:rsidR="00D84D64" w:rsidRPr="0038186B">
        <w:rPr>
          <w:lang w:val="es-419"/>
        </w:rPr>
        <w:t>(</w:t>
      </w:r>
      <w:r w:rsidR="00A62B6A" w:rsidRPr="0038186B">
        <w:rPr>
          <w:lang w:val="es-419"/>
        </w:rPr>
        <w:t>CDB</w:t>
      </w:r>
      <w:r w:rsidR="00D84D64" w:rsidRPr="0038186B">
        <w:rPr>
          <w:lang w:val="es-419"/>
        </w:rPr>
        <w:t xml:space="preserve">) </w:t>
      </w:r>
      <w:r w:rsidR="00A62B6A" w:rsidRPr="0038186B">
        <w:rPr>
          <w:lang w:val="es-419"/>
        </w:rPr>
        <w:t>y los convenios de la UNESC</w:t>
      </w:r>
      <w:r w:rsidR="001572C4" w:rsidRPr="0038186B">
        <w:rPr>
          <w:lang w:val="es-419"/>
        </w:rPr>
        <w:t>O abordan aspectos relativos a la conservación, preservación</w:t>
      </w:r>
      <w:r w:rsidR="00A62B6A" w:rsidRPr="0038186B">
        <w:rPr>
          <w:lang w:val="es-419"/>
        </w:rPr>
        <w:t xml:space="preserve"> y salvaguardia del conocimiento tradicional </w:t>
      </w:r>
      <w:r w:rsidR="001572C4" w:rsidRPr="0038186B">
        <w:rPr>
          <w:lang w:val="es-419"/>
        </w:rPr>
        <w:t xml:space="preserve">en el </w:t>
      </w:r>
      <w:r w:rsidR="00A62B6A" w:rsidRPr="0038186B">
        <w:rPr>
          <w:lang w:val="es-419"/>
        </w:rPr>
        <w:t>contexto</w:t>
      </w:r>
      <w:r w:rsidR="001572C4" w:rsidRPr="0038186B">
        <w:rPr>
          <w:lang w:val="es-419"/>
        </w:rPr>
        <w:t xml:space="preserve"> de sus respectivas </w:t>
      </w:r>
      <w:r w:rsidR="00A62B6A" w:rsidRPr="0038186B">
        <w:rPr>
          <w:lang w:val="es-419"/>
        </w:rPr>
        <w:t>política</w:t>
      </w:r>
      <w:r w:rsidR="001572C4" w:rsidRPr="0038186B">
        <w:rPr>
          <w:lang w:val="es-419"/>
        </w:rPr>
        <w:t>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A02AD" w:rsidP="0020270C">
      <w:pPr>
        <w:numPr>
          <w:ilvl w:val="0"/>
          <w:numId w:val="4"/>
        </w:numPr>
        <w:ind w:hanging="518"/>
        <w:rPr>
          <w:lang w:val="es-419"/>
        </w:rPr>
      </w:pPr>
      <w:r w:rsidRPr="0038186B">
        <w:rPr>
          <w:lang w:val="es-419"/>
        </w:rPr>
        <w:t xml:space="preserve">Por ejemplo, </w:t>
      </w:r>
      <w:r w:rsidR="006E661B" w:rsidRPr="0038186B">
        <w:rPr>
          <w:lang w:val="es-419"/>
        </w:rPr>
        <w:t xml:space="preserve">el </w:t>
      </w:r>
      <w:r w:rsidR="00344979" w:rsidRPr="0038186B">
        <w:rPr>
          <w:lang w:val="es-419"/>
        </w:rPr>
        <w:t>artículo 8.j) de</w:t>
      </w:r>
      <w:r w:rsidR="00A62B6A" w:rsidRPr="0038186B">
        <w:rPr>
          <w:lang w:val="es-419"/>
        </w:rPr>
        <w:t xml:space="preserve">l </w:t>
      </w:r>
      <w:r w:rsidR="00344979" w:rsidRPr="0038186B">
        <w:rPr>
          <w:lang w:val="es-419"/>
        </w:rPr>
        <w:t>CDB</w:t>
      </w:r>
      <w:r w:rsidR="006E661B" w:rsidRPr="0038186B">
        <w:rPr>
          <w:lang w:val="es-419"/>
        </w:rPr>
        <w:t xml:space="preserve">, que </w:t>
      </w:r>
      <w:r w:rsidR="005E0986" w:rsidRPr="0038186B">
        <w:rPr>
          <w:lang w:val="es-419"/>
        </w:rPr>
        <w:t>lleva por título “Conser</w:t>
      </w:r>
      <w:r w:rsidR="006F1D0C" w:rsidRPr="0038186B">
        <w:rPr>
          <w:lang w:val="es-419"/>
        </w:rPr>
        <w:t xml:space="preserve">vación </w:t>
      </w:r>
      <w:r w:rsidR="006F1D0C" w:rsidRPr="0038186B">
        <w:rPr>
          <w:i/>
          <w:lang w:val="es-419"/>
        </w:rPr>
        <w:t>in situ</w:t>
      </w:r>
      <w:r w:rsidR="005E0986" w:rsidRPr="0038186B">
        <w:rPr>
          <w:i/>
          <w:lang w:val="es-419"/>
        </w:rPr>
        <w:t>”</w:t>
      </w:r>
      <w:r w:rsidR="00D20251" w:rsidRPr="0038186B">
        <w:rPr>
          <w:i/>
          <w:lang w:val="es-419"/>
        </w:rPr>
        <w:t>,</w:t>
      </w:r>
      <w:r w:rsidR="004A6952" w:rsidRPr="0038186B">
        <w:rPr>
          <w:i/>
          <w:lang w:val="es-419"/>
        </w:rPr>
        <w:t xml:space="preserve"> </w:t>
      </w:r>
      <w:r w:rsidR="006E661B" w:rsidRPr="0038186B">
        <w:rPr>
          <w:lang w:val="es-419"/>
        </w:rPr>
        <w:t>prevé que c</w:t>
      </w:r>
      <w:r w:rsidR="00344979" w:rsidRPr="0038186B">
        <w:rPr>
          <w:lang w:val="es-419"/>
        </w:rPr>
        <w:t xml:space="preserve">ada Parte Contratante, </w:t>
      </w:r>
      <w:r w:rsidR="00A62B6A" w:rsidRPr="0038186B">
        <w:rPr>
          <w:lang w:val="es-419"/>
        </w:rPr>
        <w:t xml:space="preserve">con arreglo a </w:t>
      </w:r>
      <w:r w:rsidR="00C06F91" w:rsidRPr="0038186B">
        <w:rPr>
          <w:lang w:val="es-419"/>
        </w:rPr>
        <w:t>su</w:t>
      </w:r>
      <w:r w:rsidR="00A62B6A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legislación nacional, re</w:t>
      </w:r>
      <w:r w:rsidR="00A62B6A" w:rsidRPr="0038186B">
        <w:rPr>
          <w:lang w:val="es-419"/>
        </w:rPr>
        <w:t>spetará, preservará y mantendrá</w:t>
      </w:r>
      <w:r w:rsidR="00344979" w:rsidRPr="0038186B">
        <w:rPr>
          <w:lang w:val="es-419"/>
        </w:rPr>
        <w:t xml:space="preserve"> los conocimientos, las innovaciones y las prácticas de las comunidades indígenas y locales que entrañen estilos tradicionales de vida pertinentes para la conservación y la utilización sostenible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equitativamente.</w:t>
      </w:r>
      <w:r w:rsidR="001A60B0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El </w:t>
      </w:r>
      <w:r w:rsidR="00A62B6A" w:rsidRPr="0038186B">
        <w:rPr>
          <w:lang w:val="es-419"/>
        </w:rPr>
        <w:t xml:space="preserve">CDB </w:t>
      </w:r>
      <w:r w:rsidR="00931723" w:rsidRPr="0038186B">
        <w:rPr>
          <w:lang w:val="es-419"/>
        </w:rPr>
        <w:t xml:space="preserve">contiene otras </w:t>
      </w:r>
      <w:r w:rsidR="00BE40D8" w:rsidRPr="0038186B">
        <w:rPr>
          <w:lang w:val="es-419"/>
        </w:rPr>
        <w:t>disposiciones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relacionadas</w:t>
      </w:r>
      <w:r w:rsidR="00931723" w:rsidRPr="0038186B">
        <w:rPr>
          <w:lang w:val="es-419"/>
        </w:rPr>
        <w:t xml:space="preserve"> con la </w:t>
      </w:r>
      <w:r w:rsidR="00BE40D8" w:rsidRPr="0038186B">
        <w:rPr>
          <w:lang w:val="es-419"/>
        </w:rPr>
        <w:t>divulgación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promoción</w:t>
      </w:r>
      <w:r w:rsidR="00931723" w:rsidRPr="0038186B">
        <w:rPr>
          <w:lang w:val="es-419"/>
        </w:rPr>
        <w:t xml:space="preserve"> de los conocimientos tradicionales</w:t>
      </w:r>
      <w:r w:rsidR="00730A22" w:rsidRPr="0038186B">
        <w:rPr>
          <w:lang w:val="es-419"/>
        </w:rPr>
        <w:t xml:space="preserve"> que se refieren a la protección y la promoción de </w:t>
      </w:r>
      <w:r w:rsidR="00931723" w:rsidRPr="0038186B">
        <w:rPr>
          <w:lang w:val="es-419"/>
        </w:rPr>
        <w:t xml:space="preserve">“la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consuetudinaria de los </w:t>
      </w:r>
      <w:r w:rsidR="00BE40D8" w:rsidRPr="0038186B">
        <w:rPr>
          <w:lang w:val="es-419"/>
        </w:rPr>
        <w:t>recursos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biológicos</w:t>
      </w:r>
      <w:r w:rsidR="00931723" w:rsidRPr="0038186B">
        <w:rPr>
          <w:lang w:val="es-419"/>
        </w:rPr>
        <w:t xml:space="preserve">, de conformidad con las </w:t>
      </w:r>
      <w:r w:rsidR="00BE40D8" w:rsidRPr="0038186B">
        <w:rPr>
          <w:lang w:val="es-419"/>
        </w:rPr>
        <w:t>prácticas</w:t>
      </w:r>
      <w:r w:rsidR="00931723" w:rsidRPr="0038186B">
        <w:rPr>
          <w:lang w:val="es-419"/>
        </w:rPr>
        <w:t xml:space="preserve"> culturales </w:t>
      </w:r>
      <w:r w:rsidR="00BE40D8" w:rsidRPr="0038186B">
        <w:rPr>
          <w:lang w:val="es-419"/>
        </w:rPr>
        <w:t>tradicionales</w:t>
      </w:r>
      <w:r w:rsidR="00730A22" w:rsidRPr="0038186B">
        <w:rPr>
          <w:lang w:val="es-419"/>
        </w:rPr>
        <w:t xml:space="preserve"> que </w:t>
      </w:r>
      <w:r w:rsidR="00730A22" w:rsidRPr="0038186B">
        <w:rPr>
          <w:lang w:val="es-419"/>
        </w:rPr>
        <w:lastRenderedPageBreak/>
        <w:t xml:space="preserve">sean compatibles con </w:t>
      </w:r>
      <w:r w:rsidR="00931723" w:rsidRPr="0038186B">
        <w:rPr>
          <w:lang w:val="es-419"/>
        </w:rPr>
        <w:t xml:space="preserve">las </w:t>
      </w:r>
      <w:r w:rsidR="002620F7" w:rsidRPr="0038186B">
        <w:rPr>
          <w:lang w:val="es-419"/>
        </w:rPr>
        <w:t>exigencias</w:t>
      </w:r>
      <w:r w:rsidR="00931723" w:rsidRPr="0038186B">
        <w:rPr>
          <w:lang w:val="es-419"/>
        </w:rPr>
        <w:t xml:space="preserve"> de la </w:t>
      </w:r>
      <w:r w:rsidR="00BE40D8" w:rsidRPr="0038186B">
        <w:rPr>
          <w:lang w:val="es-419"/>
        </w:rPr>
        <w:t>conservación</w:t>
      </w:r>
      <w:r w:rsidR="00931723" w:rsidRPr="0038186B">
        <w:rPr>
          <w:lang w:val="es-419"/>
        </w:rPr>
        <w:t xml:space="preserve"> o de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so</w:t>
      </w:r>
      <w:r w:rsidR="00BE40D8" w:rsidRPr="0038186B">
        <w:rPr>
          <w:lang w:val="es-419"/>
        </w:rPr>
        <w:t>s</w:t>
      </w:r>
      <w:r w:rsidR="00931723" w:rsidRPr="0038186B">
        <w:rPr>
          <w:lang w:val="es-419"/>
        </w:rPr>
        <w:t>tenible</w:t>
      </w:r>
      <w:r w:rsidR="00FD6EEF" w:rsidRPr="0038186B">
        <w:rPr>
          <w:lang w:val="es-419"/>
        </w:rPr>
        <w:t>”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31723" w:rsidRPr="0038186B">
        <w:rPr>
          <w:lang w:val="es-419"/>
        </w:rPr>
        <w:t>artículo</w:t>
      </w:r>
      <w:r w:rsidR="00FD6EEF" w:rsidRPr="0038186B">
        <w:rPr>
          <w:lang w:val="es-419"/>
        </w:rPr>
        <w:t xml:space="preserve"> 10), “</w:t>
      </w:r>
      <w:r w:rsidR="002620F7" w:rsidRPr="0038186B">
        <w:rPr>
          <w:lang w:val="es-419"/>
        </w:rPr>
        <w:t>e</w:t>
      </w:r>
      <w:r w:rsidR="00931723" w:rsidRPr="0038186B">
        <w:rPr>
          <w:lang w:val="es-419"/>
        </w:rPr>
        <w:t xml:space="preserve">l intercambio de los </w:t>
      </w:r>
      <w:r w:rsidR="002620F7" w:rsidRPr="0038186B">
        <w:rPr>
          <w:lang w:val="es-419"/>
        </w:rPr>
        <w:t>resultados</w:t>
      </w:r>
      <w:r w:rsidR="00931723" w:rsidRPr="0038186B">
        <w:rPr>
          <w:lang w:val="es-419"/>
        </w:rPr>
        <w:t xml:space="preserve"> de las </w:t>
      </w:r>
      <w:r w:rsidR="00BE40D8" w:rsidRPr="0038186B">
        <w:rPr>
          <w:lang w:val="es-419"/>
        </w:rPr>
        <w:t>investigaciones</w:t>
      </w:r>
      <w:r w:rsidR="00931723" w:rsidRPr="0038186B">
        <w:rPr>
          <w:lang w:val="es-419"/>
        </w:rPr>
        <w:t xml:space="preserve"> técnicas, científicas y socioeconómicas, </w:t>
      </w:r>
      <w:r w:rsidR="002620F7" w:rsidRPr="0038186B">
        <w:rPr>
          <w:lang w:val="es-419"/>
        </w:rPr>
        <w:t>así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como información sobre </w:t>
      </w:r>
      <w:r w:rsidR="00BE40D8" w:rsidRPr="0038186B">
        <w:rPr>
          <w:lang w:val="es-419"/>
        </w:rPr>
        <w:t>programas</w:t>
      </w:r>
      <w:r w:rsidR="00931723" w:rsidRPr="0038186B">
        <w:rPr>
          <w:lang w:val="es-419"/>
        </w:rPr>
        <w:t xml:space="preserve"> de capacitación y de estudio, </w:t>
      </w:r>
      <w:r w:rsidR="00BE40D8" w:rsidRPr="0038186B">
        <w:rPr>
          <w:lang w:val="es-419"/>
        </w:rPr>
        <w:t>conocimientos</w:t>
      </w:r>
      <w:r w:rsidR="00931723" w:rsidRPr="0038186B">
        <w:rPr>
          <w:lang w:val="es-419"/>
        </w:rPr>
        <w:t xml:space="preserve"> especializados, conocimientos </w:t>
      </w:r>
      <w:r w:rsidR="00BE40D8" w:rsidRPr="0038186B">
        <w:rPr>
          <w:lang w:val="es-419"/>
        </w:rPr>
        <w:t>autóctonos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tradicionales</w:t>
      </w:r>
      <w:r w:rsidR="00931723" w:rsidRPr="0038186B">
        <w:rPr>
          <w:lang w:val="es-419"/>
        </w:rPr>
        <w:t xml:space="preserve">, por sí solos y en combinación con las tecnologías mencionadas en el párrafo 1 del </w:t>
      </w:r>
      <w:r w:rsidR="00BE40D8" w:rsidRPr="0038186B">
        <w:rPr>
          <w:lang w:val="es-419"/>
        </w:rPr>
        <w:t>artículo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16 [incluida] cuando sea viable, la repatriación de la información</w:t>
      </w:r>
      <w:r w:rsidR="00FD6EEF" w:rsidRPr="0038186B">
        <w:rPr>
          <w:lang w:val="es-419"/>
        </w:rPr>
        <w:t>” (</w:t>
      </w:r>
      <w:r w:rsidR="00BE40D8" w:rsidRPr="0038186B">
        <w:rPr>
          <w:lang w:val="es-419"/>
        </w:rPr>
        <w:t>artículo 17) y la cooperación para el desarrollo y la utilización de tecnologías, incluidas las tecnologías autóctonas y tradicionales</w:t>
      </w:r>
      <w:r w:rsidR="00FD6EEF" w:rsidRPr="0038186B">
        <w:rPr>
          <w:lang w:val="es-419"/>
        </w:rPr>
        <w:t xml:space="preserve"> (art</w:t>
      </w:r>
      <w:r w:rsidR="00BE40D8" w:rsidRPr="0038186B">
        <w:rPr>
          <w:lang w:val="es-419"/>
        </w:rPr>
        <w:t>ículo</w:t>
      </w:r>
      <w:r w:rsidR="00FD6EEF" w:rsidRPr="0038186B">
        <w:rPr>
          <w:lang w:val="es-419"/>
        </w:rPr>
        <w:t xml:space="preserve"> 18).</w:t>
      </w:r>
    </w:p>
    <w:p w:rsidR="00DF5574" w:rsidRPr="0038186B" w:rsidRDefault="00DF5574" w:rsidP="00FC5718">
      <w:pPr>
        <w:ind w:left="1080"/>
        <w:rPr>
          <w:lang w:val="es-419"/>
        </w:rPr>
      </w:pPr>
    </w:p>
    <w:p w:rsidR="00DF5574" w:rsidRPr="0038186B" w:rsidRDefault="00BE40D8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El objetivo del Protocolo de Nagoya</w:t>
      </w:r>
      <w:r w:rsidR="001A24B6" w:rsidRPr="0038186B">
        <w:rPr>
          <w:lang w:val="es-419"/>
        </w:rPr>
        <w:t xml:space="preserve"> </w:t>
      </w:r>
      <w:r w:rsidRPr="0038186B">
        <w:rPr>
          <w:lang w:val="es-419"/>
        </w:rPr>
        <w:t>es la participación justa y equitativa en los beneficios que se deriven de la utilización de los recursos genéticos</w:t>
      </w:r>
      <w:r w:rsidR="001A24B6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>contribuyendo así a la conservación de la diversidad biológica y la utilización sostenible de sus componentes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1).</w:t>
      </w:r>
      <w:r w:rsidR="008A4A20" w:rsidRPr="0038186B">
        <w:rPr>
          <w:lang w:val="es-419"/>
        </w:rPr>
        <w:t xml:space="preserve"> El Protocolo se aplica</w:t>
      </w:r>
      <w:r w:rsidR="001A60B0" w:rsidRPr="0038186B">
        <w:rPr>
          <w:lang w:val="es-419"/>
        </w:rPr>
        <w:t xml:space="preserve"> </w:t>
      </w:r>
      <w:r w:rsidR="008A4A20" w:rsidRPr="0038186B">
        <w:rPr>
          <w:lang w:val="es-419"/>
        </w:rPr>
        <w:t>también a los conocimientos tradicionales asociados a los recursos genéticos y a los beneficios que se deriven de la utilización de dichos conocimientos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3).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233BC9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La</w:t>
      </w:r>
      <w:r w:rsidR="008A4A20" w:rsidRPr="0038186B">
        <w:rPr>
          <w:lang w:val="es-419"/>
        </w:rPr>
        <w:t xml:space="preserve"> Convención de la UNESCO para la Salvaguardia del Patrimo</w:t>
      </w:r>
      <w:r w:rsidRPr="0038186B">
        <w:rPr>
          <w:lang w:val="es-419"/>
        </w:rPr>
        <w:t xml:space="preserve">nio Cultural Inmaterial de 2003, en la que </w:t>
      </w:r>
      <w:r w:rsidR="008A4A20" w:rsidRPr="0038186B">
        <w:rPr>
          <w:lang w:val="es-419"/>
        </w:rPr>
        <w:t xml:space="preserve">se </w:t>
      </w:r>
      <w:r w:rsidR="003970D4" w:rsidRPr="0038186B">
        <w:rPr>
          <w:lang w:val="es-419"/>
        </w:rPr>
        <w:t xml:space="preserve">indica </w:t>
      </w:r>
      <w:r w:rsidR="008A4A20" w:rsidRPr="0038186B">
        <w:rPr>
          <w:lang w:val="es-419"/>
        </w:rPr>
        <w:t>que “</w:t>
      </w:r>
      <w:r w:rsidR="004A5A5D" w:rsidRPr="0038186B">
        <w:rPr>
          <w:lang w:val="es-419"/>
        </w:rPr>
        <w:t xml:space="preserve">todavía </w:t>
      </w:r>
      <w:r w:rsidR="008A4A20" w:rsidRPr="0038186B">
        <w:rPr>
          <w:lang w:val="es-419"/>
        </w:rPr>
        <w:t xml:space="preserve">no se dispone de un instrumento multilateral de carácter vinculante destinado a salvaguardar el </w:t>
      </w:r>
      <w:r w:rsidRPr="0038186B">
        <w:rPr>
          <w:lang w:val="es-419"/>
        </w:rPr>
        <w:t xml:space="preserve">patrimonio cultural inmaterial”, </w:t>
      </w:r>
      <w:r w:rsidR="008A4A20" w:rsidRPr="0038186B">
        <w:rPr>
          <w:lang w:val="es-419"/>
        </w:rPr>
        <w:t>fue concluid</w:t>
      </w:r>
      <w:r w:rsidRPr="0038186B">
        <w:rPr>
          <w:lang w:val="es-419"/>
        </w:rPr>
        <w:t>a</w:t>
      </w:r>
      <w:r w:rsidR="008A4A20" w:rsidRPr="0038186B">
        <w:rPr>
          <w:lang w:val="es-419"/>
        </w:rPr>
        <w:t xml:space="preserve"> con </w:t>
      </w:r>
      <w:r w:rsidRPr="0038186B">
        <w:rPr>
          <w:lang w:val="es-419"/>
        </w:rPr>
        <w:t>objeto de</w:t>
      </w:r>
      <w:r w:rsidR="008A4A20" w:rsidRPr="0038186B">
        <w:rPr>
          <w:lang w:val="es-419"/>
        </w:rPr>
        <w:t xml:space="preserve"> “salvaguardar el patrimonio cultural inmaterial”</w:t>
      </w:r>
      <w:r w:rsidR="00FD6EEF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 xml:space="preserve">que </w:t>
      </w:r>
      <w:r w:rsidR="00456A7F" w:rsidRPr="0038186B">
        <w:rPr>
          <w:lang w:val="es-419"/>
        </w:rPr>
        <w:t xml:space="preserve">se </w:t>
      </w:r>
      <w:r w:rsidR="004A5A5D" w:rsidRPr="0038186B">
        <w:rPr>
          <w:lang w:val="es-419"/>
        </w:rPr>
        <w:t>define</w:t>
      </w:r>
      <w:r w:rsidR="00456A7F" w:rsidRPr="0038186B">
        <w:rPr>
          <w:lang w:val="es-419"/>
        </w:rPr>
        <w:t xml:space="preserve"> como </w:t>
      </w:r>
      <w:r w:rsidR="00FD6EEF" w:rsidRPr="0038186B">
        <w:rPr>
          <w:lang w:val="es-419"/>
        </w:rPr>
        <w:t>“</w:t>
      </w:r>
      <w:r w:rsidR="004A5A5D" w:rsidRPr="0038186B">
        <w:rPr>
          <w:lang w:val="es-419"/>
        </w:rPr>
        <w:t xml:space="preserve">los usos, […] </w:t>
      </w:r>
      <w:r w:rsidR="00456A7F" w:rsidRPr="0038186B">
        <w:rPr>
          <w:lang w:val="es-419"/>
        </w:rPr>
        <w:t>conocimientos y técnicas</w:t>
      </w:r>
      <w:r w:rsidR="004A5A5D" w:rsidRPr="0038186B">
        <w:rPr>
          <w:lang w:val="es-419"/>
        </w:rPr>
        <w:t xml:space="preserve">[…] </w:t>
      </w:r>
      <w:r w:rsidR="00456A7F" w:rsidRPr="0038186B">
        <w:rPr>
          <w:lang w:val="es-419"/>
        </w:rPr>
        <w:t>que las comunidades, los grupos y en algunos casos los individuos reconozcan como parte integrante de su patrimonio cultural</w:t>
      </w:r>
      <w:r w:rsidR="00FD6EEF" w:rsidRPr="0038186B">
        <w:rPr>
          <w:lang w:val="es-419"/>
        </w:rPr>
        <w:t>.”</w:t>
      </w:r>
      <w:r w:rsidR="001A60B0" w:rsidRPr="0038186B">
        <w:rPr>
          <w:lang w:val="es-419"/>
        </w:rPr>
        <w:t xml:space="preserve"> </w:t>
      </w:r>
      <w:r w:rsidR="004A5A5D" w:rsidRPr="0038186B">
        <w:rPr>
          <w:lang w:val="es-419"/>
        </w:rPr>
        <w:t>Por “salvaguardia” se entienden “las medidas encaminadas a garantizar la viabilidad del patrimonio cultural inmaterial, comprendidas la identificación, documentación, investigación, preservación, protección, valorización, transmisión – básicamente a través de la enseñanza formal y no formal – y revitalización de este patrimonio en sus distintos aspectos”.</w:t>
      </w:r>
      <w:r w:rsidR="009B55F6" w:rsidRPr="0038186B">
        <w:rPr>
          <w:lang w:val="es-419"/>
        </w:rPr>
        <w:t xml:space="preserve"> </w:t>
      </w:r>
      <w:r w:rsidR="000076E3" w:rsidRPr="0038186B">
        <w:rPr>
          <w:lang w:val="es-419"/>
        </w:rPr>
        <w:t xml:space="preserve">La definición del </w:t>
      </w:r>
      <w:r w:rsidR="004A5A5D" w:rsidRPr="0038186B">
        <w:rPr>
          <w:lang w:val="es-419"/>
        </w:rPr>
        <w:t xml:space="preserve">patrimonio cultural </w:t>
      </w:r>
      <w:r w:rsidR="000076E3" w:rsidRPr="0038186B">
        <w:rPr>
          <w:lang w:val="es-419"/>
        </w:rPr>
        <w:t xml:space="preserve">inmaterial </w:t>
      </w:r>
      <w:r w:rsidR="004A5A5D" w:rsidRPr="0038186B">
        <w:rPr>
          <w:lang w:val="es-419"/>
        </w:rPr>
        <w:t>comprende “los conocimientos, las técnicas materiales, las competencias, las prácticas y las representaciones desarrolladas y perpetuadas por las comunidades en la interacción con su entorno natural […] [e]ste ámbito se extiende a numerosas áreas, tales como la sabiduría ecológica tradicional, los conocimientos indígenas, la etnobiología, la etnobotánica, la etnozoología, los sistemas de curación tradicionales y su farmacopea […]”.</w:t>
      </w:r>
      <w:r w:rsidR="000076E3" w:rsidRPr="0038186B">
        <w:rPr>
          <w:vertAlign w:val="superscript"/>
          <w:lang w:val="es-419"/>
        </w:rPr>
        <w:footnoteReference w:id="15"/>
      </w:r>
      <w:r w:rsidR="009B55F6" w:rsidRPr="0038186B">
        <w:rPr>
          <w:lang w:val="es-419"/>
        </w:rPr>
        <w:t xml:space="preserve"> </w:t>
      </w:r>
      <w:r w:rsidR="004A5A5D" w:rsidRPr="0038186B">
        <w:rPr>
          <w:lang w:val="es-419"/>
        </w:rPr>
        <w:t xml:space="preserve"> Entre los ejemplos citados figuran la cosmovisión andina de los kallawayas de Bolivia, que engloba una farmacopea y un sistema de medicina tradicional</w:t>
      </w:r>
      <w:r w:rsidR="000076E3" w:rsidRPr="0038186B">
        <w:rPr>
          <w:lang w:val="es-419"/>
        </w:rPr>
        <w:t>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C35F56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También en el ámbito de los instrumentos de política cultural, la Convención de la UNESCO sobre la Protección y la Promoción de la Diversidad de las Expresiones Culturales de 2005 define la protección como la “adopción de medidas encaminadas a la preservación, salvaguardia y enriquecimiento de la diversidad de las expresiones culturales”.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Ésta ilustra la relación entre la difusión de los conocimientos tradicionales y la protección de las expresiones culturales tradicionales en el sentido de que reconoce “que la diversidad de expresiones culturales, comprendidas las expresiones culturales tradicionales, es un factor importante que permite a los pueblos y las personas expresar y compartir con otros sus ideas y valores</w:t>
      </w:r>
      <w:r w:rsidR="000F4909" w:rsidRPr="0038186B">
        <w:rPr>
          <w:lang w:val="es-419"/>
        </w:rPr>
        <w:t>.</w:t>
      </w:r>
      <w:r w:rsidR="00FE0F57" w:rsidRPr="0038186B">
        <w:rPr>
          <w:lang w:val="es-419"/>
        </w:rPr>
        <w:t>”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0C2" w:rsidRPr="0038186B">
        <w:rPr>
          <w:lang w:val="es-419"/>
        </w:rPr>
        <w:t>E</w:t>
      </w:r>
      <w:r w:rsidR="00160329" w:rsidRPr="0038186B">
        <w:rPr>
          <w:lang w:val="es-419"/>
        </w:rPr>
        <w:t>n e</w:t>
      </w:r>
      <w:r w:rsidR="001970C2" w:rsidRPr="0038186B">
        <w:rPr>
          <w:lang w:val="es-419"/>
        </w:rPr>
        <w:t>l presente análisis de carencias, en el que se reconoce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el r</w:t>
      </w:r>
      <w:r w:rsidR="00C15C7F" w:rsidRPr="0038186B">
        <w:rPr>
          <w:lang w:val="es-419"/>
        </w:rPr>
        <w:t xml:space="preserve">ango y la </w:t>
      </w:r>
      <w:r w:rsidR="001970C2" w:rsidRPr="0038186B">
        <w:rPr>
          <w:lang w:val="es-419"/>
        </w:rPr>
        <w:t>importancia</w:t>
      </w:r>
      <w:r w:rsidR="00C15C7F" w:rsidRPr="0038186B">
        <w:rPr>
          <w:lang w:val="es-419"/>
        </w:rPr>
        <w:t xml:space="preserve"> de esos instrumentos internacionales vigentes y la envergadura de </w:t>
      </w:r>
      <w:r w:rsidR="001970C2" w:rsidRPr="0038186B">
        <w:rPr>
          <w:lang w:val="es-419"/>
        </w:rPr>
        <w:t>sus</w:t>
      </w:r>
      <w:r w:rsidR="00C15C7F" w:rsidRPr="0038186B">
        <w:rPr>
          <w:lang w:val="es-419"/>
        </w:rPr>
        <w:t xml:space="preserve"> objetivos en lo tocante a la </w:t>
      </w:r>
      <w:r w:rsidR="001970C2" w:rsidRPr="0038186B">
        <w:rPr>
          <w:lang w:val="es-419"/>
        </w:rPr>
        <w:t>conservación</w:t>
      </w:r>
      <w:r w:rsidR="00C15C7F" w:rsidRPr="0038186B">
        <w:rPr>
          <w:lang w:val="es-419"/>
        </w:rPr>
        <w:t xml:space="preserve"> y salvaguardia</w:t>
      </w:r>
      <w:r w:rsidRPr="0038186B">
        <w:rPr>
          <w:lang w:val="es-419"/>
        </w:rPr>
        <w:t xml:space="preserve">, </w:t>
      </w:r>
      <w:r w:rsidR="00C15C7F" w:rsidRPr="0038186B">
        <w:rPr>
          <w:lang w:val="es-419"/>
        </w:rPr>
        <w:t xml:space="preserve">no </w:t>
      </w:r>
      <w:r w:rsidR="00160329" w:rsidRPr="0038186B">
        <w:rPr>
          <w:lang w:val="es-419"/>
        </w:rPr>
        <w:t xml:space="preserve">se </w:t>
      </w:r>
      <w:r w:rsidR="00C15C7F" w:rsidRPr="0038186B">
        <w:rPr>
          <w:lang w:val="es-419"/>
        </w:rPr>
        <w:t xml:space="preserve">pretende evaluar las posibles </w:t>
      </w:r>
      <w:r w:rsidR="001970C2" w:rsidRPr="0038186B">
        <w:rPr>
          <w:lang w:val="es-419"/>
        </w:rPr>
        <w:t>deficiencias</w:t>
      </w:r>
      <w:r w:rsidR="00C15C7F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 xml:space="preserve">dichos instrumentos, </w:t>
      </w:r>
      <w:r w:rsidR="00C15C7F" w:rsidRPr="0038186B">
        <w:rPr>
          <w:lang w:val="es-419"/>
        </w:rPr>
        <w:t xml:space="preserve">administrados en virtud de mandatos </w:t>
      </w:r>
      <w:r w:rsidR="001970C2" w:rsidRPr="0038186B">
        <w:rPr>
          <w:lang w:val="es-419"/>
        </w:rPr>
        <w:t>distintos</w:t>
      </w:r>
      <w:r w:rsidR="00C15C7F" w:rsidRPr="0038186B">
        <w:rPr>
          <w:lang w:val="es-419"/>
        </w:rPr>
        <w:t xml:space="preserve">, sino </w:t>
      </w:r>
      <w:r w:rsidR="001970C2" w:rsidRPr="0038186B">
        <w:rPr>
          <w:lang w:val="es-419"/>
        </w:rPr>
        <w:t xml:space="preserve">que </w:t>
      </w:r>
      <w:r w:rsidR="00C15C7F" w:rsidRPr="0038186B">
        <w:rPr>
          <w:lang w:val="es-419"/>
        </w:rPr>
        <w:t xml:space="preserve">más bien, como se ha indicado antes, </w:t>
      </w:r>
      <w:r w:rsidR="00160329" w:rsidRPr="0038186B">
        <w:rPr>
          <w:lang w:val="es-419"/>
        </w:rPr>
        <w:t xml:space="preserve">abordar específicamente </w:t>
      </w:r>
      <w:r w:rsidR="00C15C7F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aspecto</w:t>
      </w:r>
      <w:r w:rsidR="00C15C7F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jurídica</w:t>
      </w:r>
      <w:r w:rsidR="00C15C7F" w:rsidRPr="0038186B">
        <w:rPr>
          <w:lang w:val="es-419"/>
        </w:rPr>
        <w:t xml:space="preserve"> que se suele tener en cuenta </w:t>
      </w:r>
      <w:r w:rsidR="001970C2" w:rsidRPr="0038186B">
        <w:rPr>
          <w:lang w:val="es-419"/>
        </w:rPr>
        <w:t>más</w:t>
      </w:r>
      <w:r w:rsidR="00C15C7F" w:rsidRPr="0038186B">
        <w:rPr>
          <w:lang w:val="es-419"/>
        </w:rPr>
        <w:t xml:space="preserve"> a menudo en el marco de la formulación de políticas y la legislación en materia de </w:t>
      </w:r>
      <w:r w:rsidR="00160329" w:rsidRPr="0038186B">
        <w:rPr>
          <w:lang w:val="es-419"/>
        </w:rPr>
        <w:t>PI.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60329" w:rsidRPr="0038186B">
        <w:rPr>
          <w:lang w:val="es-419"/>
        </w:rPr>
        <w:t>En los comentarios sobre</w:t>
      </w:r>
      <w:r w:rsidR="001970C2" w:rsidRPr="0038186B">
        <w:rPr>
          <w:lang w:val="es-419"/>
        </w:rPr>
        <w:t xml:space="preserve"> </w:t>
      </w:r>
      <w:r w:rsidR="00C15C7F" w:rsidRPr="0038186B">
        <w:rPr>
          <w:lang w:val="es-419"/>
        </w:rPr>
        <w:t xml:space="preserve">el primer </w:t>
      </w:r>
      <w:r w:rsidR="001970C2" w:rsidRPr="0038186B">
        <w:rPr>
          <w:lang w:val="es-419"/>
        </w:rPr>
        <w:t>proyecto</w:t>
      </w:r>
      <w:r w:rsidR="00C15C7F" w:rsidRPr="0038186B">
        <w:rPr>
          <w:lang w:val="es-419"/>
        </w:rPr>
        <w:t xml:space="preserve"> de</w:t>
      </w:r>
      <w:r w:rsidR="001970C2" w:rsidRPr="0038186B">
        <w:rPr>
          <w:lang w:val="es-419"/>
        </w:rPr>
        <w:t xml:space="preserve"> análisis</w:t>
      </w:r>
      <w:r w:rsidR="00C15C7F" w:rsidRPr="0038186B">
        <w:rPr>
          <w:lang w:val="es-419"/>
        </w:rPr>
        <w:t xml:space="preserve"> de carencias </w:t>
      </w:r>
      <w:r w:rsidR="00330781" w:rsidRPr="0038186B">
        <w:rPr>
          <w:lang w:val="es-419"/>
        </w:rPr>
        <w:t>se destacó</w:t>
      </w:r>
      <w:r w:rsidR="001970C2" w:rsidRPr="0038186B">
        <w:rPr>
          <w:lang w:val="es-419"/>
        </w:rPr>
        <w:t xml:space="preserve"> que </w:t>
      </w:r>
      <w:r w:rsidR="006939C0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enfoque adoptado en el análisis no deb</w:t>
      </w:r>
      <w:r w:rsidR="00330781" w:rsidRPr="0038186B">
        <w:rPr>
          <w:lang w:val="es-419"/>
        </w:rPr>
        <w:t>ía</w:t>
      </w:r>
      <w:r w:rsidR="001970C2" w:rsidRPr="0038186B">
        <w:rPr>
          <w:lang w:val="es-419"/>
        </w:rPr>
        <w:t xml:space="preserve"> </w:t>
      </w:r>
      <w:r w:rsidR="00330781" w:rsidRPr="0038186B">
        <w:rPr>
          <w:lang w:val="es-419"/>
        </w:rPr>
        <w:t xml:space="preserve">prejuzgar la posibilidad de proteger los </w:t>
      </w:r>
      <w:r w:rsidR="006939C0" w:rsidRPr="0038186B">
        <w:rPr>
          <w:lang w:val="es-419"/>
        </w:rPr>
        <w:t>conocimientos</w:t>
      </w:r>
      <w:r w:rsidR="001970C2" w:rsidRPr="0038186B">
        <w:rPr>
          <w:lang w:val="es-419"/>
        </w:rPr>
        <w:t xml:space="preserve"> tradicionales </w:t>
      </w:r>
      <w:r w:rsidR="00330781" w:rsidRPr="0038186B">
        <w:rPr>
          <w:lang w:val="es-419"/>
        </w:rPr>
        <w:t xml:space="preserve">en virtud de </w:t>
      </w:r>
      <w:r w:rsidR="00914E0C" w:rsidRPr="0038186B">
        <w:rPr>
          <w:lang w:val="es-419"/>
        </w:rPr>
        <w:t>un</w:t>
      </w:r>
      <w:r w:rsidR="00330781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sistema de </w:t>
      </w:r>
      <w:r w:rsidR="00330781" w:rsidRPr="0038186B">
        <w:rPr>
          <w:lang w:val="es-419"/>
        </w:rPr>
        <w:t>PI</w:t>
      </w:r>
      <w:r w:rsidR="006939C0" w:rsidRPr="0038186B">
        <w:rPr>
          <w:lang w:val="es-419"/>
        </w:rPr>
        <w:t xml:space="preserve">, señalando que existen diversas opiniones y preocupaciones </w:t>
      </w:r>
      <w:r w:rsidR="00330781" w:rsidRPr="0038186B">
        <w:rPr>
          <w:lang w:val="es-419"/>
        </w:rPr>
        <w:t>respecto del</w:t>
      </w:r>
      <w:r w:rsidR="006939C0" w:rsidRPr="0038186B">
        <w:rPr>
          <w:lang w:val="es-419"/>
        </w:rPr>
        <w:t xml:space="preserve"> concepto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939C0" w:rsidRPr="0038186B">
        <w:rPr>
          <w:lang w:val="es-419"/>
        </w:rPr>
        <w:t>que corresponde en cada caso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Por consiguiente, el análisis de carencias </w:t>
      </w:r>
      <w:r w:rsidR="00717547" w:rsidRPr="0038186B">
        <w:rPr>
          <w:lang w:val="es-419"/>
        </w:rPr>
        <w:t>tiene un carácter</w:t>
      </w:r>
      <w:r w:rsidR="006939C0" w:rsidRPr="0038186B">
        <w:rPr>
          <w:lang w:val="es-419"/>
        </w:rPr>
        <w:t xml:space="preserve"> descriptiv</w:t>
      </w:r>
      <w:r w:rsidR="00717547" w:rsidRPr="0038186B">
        <w:rPr>
          <w:lang w:val="es-419"/>
        </w:rPr>
        <w:t>o</w:t>
      </w:r>
      <w:r w:rsidR="006939C0" w:rsidRPr="0038186B">
        <w:rPr>
          <w:lang w:val="es-419"/>
        </w:rPr>
        <w:t>: la determinación de la existencia de una carencia en la “</w:t>
      </w:r>
      <w:r w:rsidR="001970C2" w:rsidRPr="0038186B">
        <w:rPr>
          <w:lang w:val="es-419"/>
        </w:rPr>
        <w:t>protección</w:t>
      </w:r>
      <w:r w:rsidR="006939C0" w:rsidRPr="0038186B">
        <w:rPr>
          <w:lang w:val="es-419"/>
        </w:rPr>
        <w:t xml:space="preserve">” en </w:t>
      </w:r>
      <w:r w:rsidR="00717547" w:rsidRPr="0038186B">
        <w:rPr>
          <w:lang w:val="es-419"/>
        </w:rPr>
        <w:t xml:space="preserve">ese sentido específico de la 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no </w:t>
      </w:r>
      <w:r w:rsidR="00914E0C" w:rsidRPr="0038186B">
        <w:rPr>
          <w:lang w:val="es-419"/>
        </w:rPr>
        <w:t>implica necesariamente</w:t>
      </w:r>
      <w:r w:rsidR="00717547" w:rsidRPr="0038186B">
        <w:rPr>
          <w:lang w:val="es-419"/>
        </w:rPr>
        <w:t xml:space="preserve"> que</w:t>
      </w:r>
      <w:r w:rsidR="006939C0" w:rsidRPr="0038186B">
        <w:rPr>
          <w:lang w:val="es-419"/>
        </w:rPr>
        <w:t xml:space="preserve"> esa carencia pueda o deba subsanarse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Tampoco se pretende dar a entender que las “carencias” en el sentido técnico deban subsanarse con </w:t>
      </w:r>
      <w:r w:rsidR="00914E0C" w:rsidRPr="0038186B">
        <w:rPr>
          <w:lang w:val="es-419"/>
        </w:rPr>
        <w:t xml:space="preserve">carácter </w:t>
      </w:r>
      <w:r w:rsidR="00717547" w:rsidRPr="0038186B">
        <w:rPr>
          <w:lang w:val="es-419"/>
        </w:rPr>
        <w:t>priori</w:t>
      </w:r>
      <w:r w:rsidR="00914E0C" w:rsidRPr="0038186B">
        <w:rPr>
          <w:lang w:val="es-419"/>
        </w:rPr>
        <w:t>tario</w:t>
      </w:r>
      <w:r w:rsidR="00717547" w:rsidRPr="0038186B">
        <w:rPr>
          <w:lang w:val="es-419"/>
        </w:rPr>
        <w:t xml:space="preserve"> respecto de </w:t>
      </w:r>
      <w:r w:rsidR="00914E0C" w:rsidRPr="0038186B">
        <w:rPr>
          <w:lang w:val="es-419"/>
        </w:rPr>
        <w:t>otras</w:t>
      </w:r>
      <w:r w:rsidR="00717547" w:rsidRPr="0038186B">
        <w:rPr>
          <w:lang w:val="es-419"/>
        </w:rPr>
        <w:t xml:space="preserve"> carencias (entre ellas, las que afectan a otras formas de protección ajenas a la esfera de la legislación y las políticas de PI).</w:t>
      </w:r>
      <w:r w:rsidR="009B55F6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Por ello, en la sección IV se </w:t>
      </w:r>
      <w:r w:rsidR="009C106C" w:rsidRPr="0038186B">
        <w:rPr>
          <w:lang w:val="es-419"/>
        </w:rPr>
        <w:t>intenta d</w:t>
      </w:r>
      <w:r w:rsidR="00297A04" w:rsidRPr="0038186B">
        <w:rPr>
          <w:lang w:val="es-419"/>
        </w:rPr>
        <w:t>e</w:t>
      </w:r>
      <w:r w:rsidR="009C106C" w:rsidRPr="0038186B">
        <w:rPr>
          <w:lang w:val="es-419"/>
        </w:rPr>
        <w:t>terminar</w:t>
      </w:r>
      <w:r w:rsidR="00717547" w:rsidRPr="0038186B">
        <w:rPr>
          <w:lang w:val="es-419"/>
        </w:rPr>
        <w:t xml:space="preserve"> las carencias mediante una observación fáctica, y en la sección V se exponen las consideraciones que pueden ser </w:t>
      </w:r>
      <w:r w:rsidR="00297A04" w:rsidRPr="0038186B">
        <w:rPr>
          <w:lang w:val="es-419"/>
        </w:rPr>
        <w:t>de utilidad</w:t>
      </w:r>
      <w:r w:rsidR="00717547" w:rsidRPr="0038186B">
        <w:rPr>
          <w:lang w:val="es-419"/>
        </w:rPr>
        <w:t xml:space="preserve"> </w:t>
      </w:r>
      <w:r w:rsidR="00297A04" w:rsidRPr="0038186B">
        <w:rPr>
          <w:lang w:val="es-419"/>
        </w:rPr>
        <w:t>para los</w:t>
      </w:r>
      <w:r w:rsidR="00717547" w:rsidRPr="0038186B">
        <w:rPr>
          <w:lang w:val="es-419"/>
        </w:rPr>
        <w:t xml:space="preserve"> Estados miembros </w:t>
      </w:r>
      <w:r w:rsidR="00297A04" w:rsidRPr="0038186B">
        <w:rPr>
          <w:lang w:val="es-419"/>
        </w:rPr>
        <w:t xml:space="preserve">que decidan determinar por separado </w:t>
      </w:r>
      <w:r w:rsidR="00717547" w:rsidRPr="0038186B">
        <w:rPr>
          <w:lang w:val="es-419"/>
        </w:rPr>
        <w:t xml:space="preserve">si </w:t>
      </w:r>
      <w:r w:rsidR="00297A04" w:rsidRPr="0038186B">
        <w:rPr>
          <w:lang w:val="es-419"/>
        </w:rPr>
        <w:t>cabe</w:t>
      </w:r>
      <w:r w:rsidR="00717547" w:rsidRPr="0038186B">
        <w:rPr>
          <w:lang w:val="es-419"/>
        </w:rPr>
        <w:t xml:space="preserve"> o no </w:t>
      </w:r>
      <w:r w:rsidR="00297A04" w:rsidRPr="0038186B">
        <w:rPr>
          <w:lang w:val="es-419"/>
        </w:rPr>
        <w:t xml:space="preserve">paliar </w:t>
      </w:r>
      <w:r w:rsidR="00717547" w:rsidRPr="0038186B">
        <w:rPr>
          <w:lang w:val="es-419"/>
        </w:rPr>
        <w:t>las carencias identificadas y, en su caso, cómo hacerlo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9" w:name="_Toc116898994"/>
      <w:r w:rsidRPr="0038186B">
        <w:rPr>
          <w:i/>
          <w:u w:val="none"/>
          <w:lang w:val="es-419"/>
        </w:rPr>
        <w:t>ii)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Relación con el análisis de carencias en </w:t>
      </w:r>
      <w:r w:rsidR="001F0E8C" w:rsidRPr="0038186B">
        <w:rPr>
          <w:i/>
          <w:u w:val="none"/>
          <w:lang w:val="es-419"/>
        </w:rPr>
        <w:t>el ámbito de las ECT</w:t>
      </w:r>
      <w:bookmarkEnd w:id="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0E8C" w:rsidRPr="0038186B">
        <w:rPr>
          <w:lang w:val="es-419"/>
        </w:rPr>
        <w:t xml:space="preserve">En aras de la claridad </w:t>
      </w:r>
      <w:r w:rsidR="00835719" w:rsidRPr="0038186B">
        <w:rPr>
          <w:lang w:val="es-419"/>
        </w:rPr>
        <w:t>del presente análisis de carencias</w:t>
      </w:r>
      <w:r w:rsidR="00344979" w:rsidRPr="0038186B">
        <w:rPr>
          <w:lang w:val="es-419"/>
        </w:rPr>
        <w:t xml:space="preserve"> y </w:t>
      </w:r>
      <w:r w:rsidR="00835719" w:rsidRPr="0038186B">
        <w:rPr>
          <w:lang w:val="es-419"/>
        </w:rPr>
        <w:t>siguiendo</w:t>
      </w:r>
      <w:r w:rsidR="00344979" w:rsidRPr="0038186B">
        <w:rPr>
          <w:lang w:val="es-419"/>
        </w:rPr>
        <w:t xml:space="preserve"> el </w:t>
      </w:r>
      <w:r w:rsidR="004C5FD0" w:rsidRPr="0038186B">
        <w:rPr>
          <w:lang w:val="es-419"/>
        </w:rPr>
        <w:t>método</w:t>
      </w:r>
      <w:r w:rsidR="00344979" w:rsidRPr="0038186B">
        <w:rPr>
          <w:lang w:val="es-419"/>
        </w:rPr>
        <w:t xml:space="preserve"> de trabajo </w:t>
      </w:r>
      <w:r w:rsidR="004C5FD0" w:rsidRPr="0038186B">
        <w:rPr>
          <w:lang w:val="es-419"/>
        </w:rPr>
        <w:t xml:space="preserve">que suele adoptar </w:t>
      </w:r>
      <w:r w:rsidR="00344979" w:rsidRPr="0038186B">
        <w:rPr>
          <w:lang w:val="es-419"/>
        </w:rPr>
        <w:t xml:space="preserve">el Comité, se ha establecido una distinción entre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las expresiones culturales tradicionales</w:t>
      </w:r>
      <w:r w:rsidR="00835719" w:rsidRPr="0038186B">
        <w:rPr>
          <w:lang w:val="es-419"/>
        </w:rPr>
        <w:t xml:space="preserve"> (ECT)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Algunas formas de protección de las </w:t>
      </w:r>
      <w:r w:rsidR="00835719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</w:t>
      </w:r>
      <w:r w:rsidR="00E61B32" w:rsidRPr="0038186B">
        <w:rPr>
          <w:lang w:val="es-419"/>
        </w:rPr>
        <w:t xml:space="preserve">también </w:t>
      </w:r>
      <w:r w:rsidR="004C5FD0" w:rsidRPr="0038186B">
        <w:rPr>
          <w:lang w:val="es-419"/>
        </w:rPr>
        <w:t xml:space="preserve">repercutirán indirectamente en la protección de </w:t>
      </w:r>
      <w:r w:rsidR="00344979" w:rsidRPr="0038186B">
        <w:rPr>
          <w:lang w:val="es-419"/>
        </w:rPr>
        <w:t>lo</w:t>
      </w:r>
      <w:r w:rsidR="00835719" w:rsidRPr="0038186B">
        <w:rPr>
          <w:lang w:val="es-419"/>
        </w:rPr>
        <w:t>s CC.TT.</w:t>
      </w:r>
      <w:r w:rsidR="007B6E4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por ejemplo, </w:t>
      </w:r>
      <w:r w:rsidR="004C5FD0" w:rsidRPr="0038186B">
        <w:rPr>
          <w:lang w:val="es-419"/>
        </w:rPr>
        <w:t xml:space="preserve">en el caso de </w:t>
      </w:r>
      <w:r w:rsidR="00344979" w:rsidRPr="0038186B">
        <w:rPr>
          <w:lang w:val="es-419"/>
        </w:rPr>
        <w:t xml:space="preserve">la protección de grabaciones de canciones y narrativas tradicionales que se utilizan para mantener y transmitir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una comunidad, o las artesanías que incorporan métodos o conocimientos técnicos basados en conocimientos tradicionales característicos.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>La cosmovisión andina de l</w:t>
      </w:r>
      <w:r w:rsidR="000C5624" w:rsidRPr="0038186B">
        <w:rPr>
          <w:lang w:val="es-419"/>
        </w:rPr>
        <w:t>os</w:t>
      </w:r>
      <w:r w:rsidR="000B6E41" w:rsidRPr="0038186B">
        <w:rPr>
          <w:lang w:val="es-419"/>
        </w:rPr>
        <w:t xml:space="preserve"> kallawaya</w:t>
      </w:r>
      <w:r w:rsidR="000C5624" w:rsidRPr="0038186B">
        <w:rPr>
          <w:lang w:val="es-419"/>
        </w:rPr>
        <w:t>s</w:t>
      </w:r>
      <w:r w:rsidR="000B6E41" w:rsidRPr="0038186B">
        <w:rPr>
          <w:lang w:val="es-419"/>
        </w:rPr>
        <w:t>, mencionada antes, es un sistema que integra c</w:t>
      </w:r>
      <w:r w:rsidR="001970C2" w:rsidRPr="0038186B">
        <w:rPr>
          <w:lang w:val="es-419"/>
        </w:rPr>
        <w:t>onocimientos</w:t>
      </w:r>
      <w:r w:rsidR="000B6E41" w:rsidRPr="0038186B">
        <w:rPr>
          <w:lang w:val="es-419"/>
        </w:rPr>
        <w:t xml:space="preserve"> médicos </w:t>
      </w:r>
      <w:r w:rsidR="000C5624" w:rsidRPr="0038186B">
        <w:rPr>
          <w:lang w:val="es-419"/>
        </w:rPr>
        <w:t xml:space="preserve">y </w:t>
      </w:r>
      <w:r w:rsidR="000B6E41" w:rsidRPr="0038186B">
        <w:rPr>
          <w:lang w:val="es-419"/>
        </w:rPr>
        <w:t xml:space="preserve">que también </w:t>
      </w:r>
      <w:r w:rsidR="000C5624" w:rsidRPr="0038186B">
        <w:rPr>
          <w:lang w:val="es-419"/>
        </w:rPr>
        <w:t xml:space="preserve">se expresa en los motivos decorativos de los tejidos confeccionados por las </w:t>
      </w:r>
      <w:r w:rsidR="000B6E41" w:rsidRPr="0038186B">
        <w:rPr>
          <w:lang w:val="es-419"/>
        </w:rPr>
        <w:t>mujeres k</w:t>
      </w:r>
      <w:r w:rsidRPr="0038186B">
        <w:rPr>
          <w:lang w:val="es-419"/>
        </w:rPr>
        <w:t>allawaya</w:t>
      </w:r>
      <w:r w:rsidR="000B6E41" w:rsidRPr="0038186B">
        <w:rPr>
          <w:lang w:val="es-419"/>
        </w:rPr>
        <w:t xml:space="preserve">s. </w:t>
      </w:r>
      <w:r w:rsidR="000C5624" w:rsidRPr="0038186B">
        <w:rPr>
          <w:lang w:val="es-419"/>
        </w:rPr>
        <w:t>Evidentemente, ambos</w:t>
      </w:r>
      <w:r w:rsidR="000B6E41" w:rsidRPr="0038186B">
        <w:rPr>
          <w:lang w:val="es-419"/>
        </w:rPr>
        <w:t xml:space="preserve"> aspectos de las culturas </w:t>
      </w:r>
      <w:r w:rsidR="000C5624" w:rsidRPr="0038186B">
        <w:rPr>
          <w:lang w:val="es-419"/>
        </w:rPr>
        <w:t>tradicionales y</w:t>
      </w:r>
      <w:r w:rsidR="000B6E41" w:rsidRPr="0038186B">
        <w:rPr>
          <w:lang w:val="es-419"/>
        </w:rPr>
        <w:t xml:space="preserve"> los sistemas de </w:t>
      </w:r>
      <w:r w:rsidR="001970C2" w:rsidRPr="0038186B">
        <w:rPr>
          <w:lang w:val="es-419"/>
        </w:rPr>
        <w:t>conocimientos</w:t>
      </w:r>
      <w:r w:rsidR="000B6E41" w:rsidRPr="0038186B">
        <w:rPr>
          <w:lang w:val="es-419"/>
        </w:rPr>
        <w:t xml:space="preserve"> tradicionales requieren </w:t>
      </w:r>
      <w:r w:rsidR="00017F3B" w:rsidRPr="0038186B">
        <w:rPr>
          <w:lang w:val="es-419"/>
        </w:rPr>
        <w:t>atención</w:t>
      </w:r>
      <w:r w:rsidR="000C5624" w:rsidRPr="0038186B">
        <w:rPr>
          <w:lang w:val="es-419"/>
        </w:rPr>
        <w:t xml:space="preserve">: la sustancia o </w:t>
      </w:r>
      <w:r w:rsidR="000B6E41" w:rsidRPr="0038186B">
        <w:rPr>
          <w:lang w:val="es-419"/>
        </w:rPr>
        <w:t xml:space="preserve">contenido de </w:t>
      </w:r>
      <w:r w:rsidR="000C5624" w:rsidRPr="0038186B">
        <w:rPr>
          <w:lang w:val="es-419"/>
        </w:rPr>
        <w:t xml:space="preserve">los conocimientos </w:t>
      </w:r>
      <w:r w:rsidR="00AF1894" w:rsidRPr="0038186B">
        <w:rPr>
          <w:lang w:val="es-419"/>
        </w:rPr>
        <w:t>especializados</w:t>
      </w:r>
      <w:r w:rsidR="000C5624" w:rsidRPr="0038186B">
        <w:rPr>
          <w:lang w:val="es-419"/>
        </w:rPr>
        <w:t xml:space="preserve"> </w:t>
      </w:r>
      <w:r w:rsidR="00AF1894" w:rsidRPr="0038186B">
        <w:rPr>
          <w:lang w:val="es-419"/>
        </w:rPr>
        <w:t>que poseen es</w:t>
      </w:r>
      <w:r w:rsidR="000B6E41" w:rsidRPr="0038186B">
        <w:rPr>
          <w:lang w:val="es-419"/>
        </w:rPr>
        <w:t xml:space="preserve">as comunidades </w:t>
      </w:r>
      <w:r w:rsidR="00AF1894" w:rsidRPr="0038186B">
        <w:rPr>
          <w:lang w:val="es-419"/>
        </w:rPr>
        <w:t>y la</w:t>
      </w:r>
      <w:r w:rsidR="000B6E41" w:rsidRPr="0038186B">
        <w:rPr>
          <w:lang w:val="es-419"/>
        </w:rPr>
        <w:t xml:space="preserve">s formas de expresión que </w:t>
      </w:r>
      <w:r w:rsidR="00AF1894" w:rsidRPr="0038186B">
        <w:rPr>
          <w:lang w:val="es-419"/>
        </w:rPr>
        <w:t>emplean en relación con ellos</w:t>
      </w:r>
      <w:r w:rsidR="000B6E41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Las modalidades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de las formas de </w:t>
      </w:r>
      <w:r w:rsidR="00017F3B" w:rsidRPr="0038186B">
        <w:rPr>
          <w:lang w:val="es-419"/>
        </w:rPr>
        <w:t>expresión</w:t>
      </w:r>
      <w:r w:rsidR="000B6E41" w:rsidRPr="0038186B">
        <w:rPr>
          <w:lang w:val="es-419"/>
        </w:rPr>
        <w:t xml:space="preserve"> de las culturas y </w:t>
      </w:r>
      <w:r w:rsidR="00161EA7" w:rsidRPr="0038186B">
        <w:rPr>
          <w:lang w:val="es-419"/>
        </w:rPr>
        <w:t xml:space="preserve">el </w:t>
      </w:r>
      <w:r w:rsidR="00017F3B" w:rsidRPr="0038186B">
        <w:rPr>
          <w:lang w:val="es-419"/>
        </w:rPr>
        <w:t>patrimonio</w:t>
      </w:r>
      <w:r w:rsidR="000B6E41" w:rsidRPr="0038186B">
        <w:rPr>
          <w:lang w:val="es-419"/>
        </w:rPr>
        <w:t xml:space="preserve"> cultural </w:t>
      </w:r>
      <w:r w:rsidR="00AF1894" w:rsidRPr="0038186B">
        <w:rPr>
          <w:lang w:val="es-419"/>
        </w:rPr>
        <w:t xml:space="preserve">tradicionales </w:t>
      </w:r>
      <w:r w:rsidR="000B6E41" w:rsidRPr="0038186B">
        <w:rPr>
          <w:lang w:val="es-419"/>
        </w:rPr>
        <w:t xml:space="preserve">se </w:t>
      </w:r>
      <w:r w:rsidR="00AF1894" w:rsidRPr="0038186B">
        <w:rPr>
          <w:lang w:val="es-419"/>
        </w:rPr>
        <w:t>tratan adecuadamente</w:t>
      </w:r>
      <w:r w:rsidR="000B6E41" w:rsidRPr="0038186B">
        <w:rPr>
          <w:lang w:val="es-419"/>
        </w:rPr>
        <w:t xml:space="preserve"> en el proyecto actualizado de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AF1894" w:rsidRPr="0038186B">
        <w:rPr>
          <w:lang w:val="es-419"/>
        </w:rPr>
        <w:t xml:space="preserve">en relación con las </w:t>
      </w:r>
      <w:r w:rsidR="000B6E41" w:rsidRPr="0038186B">
        <w:rPr>
          <w:lang w:val="es-419"/>
        </w:rPr>
        <w:t xml:space="preserve">ECT </w:t>
      </w:r>
      <w:r w:rsidRPr="0038186B">
        <w:rPr>
          <w:lang w:val="es-419"/>
        </w:rPr>
        <w:t>(WIPO/</w:t>
      </w:r>
      <w:r w:rsidR="000B6E41" w:rsidRPr="0038186B">
        <w:rPr>
          <w:lang w:val="es-419"/>
        </w:rPr>
        <w:t>GRTK</w:t>
      </w:r>
      <w:r w:rsidRPr="0038186B">
        <w:rPr>
          <w:lang w:val="es-419"/>
        </w:rPr>
        <w:t>F/IC/</w:t>
      </w:r>
      <w:r w:rsidR="00B96D36" w:rsidRPr="0038186B">
        <w:rPr>
          <w:lang w:val="es-419"/>
        </w:rPr>
        <w:t>37</w:t>
      </w:r>
      <w:r w:rsidRPr="0038186B">
        <w:rPr>
          <w:lang w:val="es-419"/>
        </w:rPr>
        <w:t>/</w:t>
      </w:r>
      <w:r w:rsidR="00B96D36" w:rsidRPr="0038186B">
        <w:rPr>
          <w:lang w:val="es-419"/>
        </w:rPr>
        <w:t>7</w:t>
      </w:r>
      <w:r w:rsidRPr="0038186B">
        <w:rPr>
          <w:lang w:val="es-419"/>
        </w:rPr>
        <w:t xml:space="preserve">), </w:t>
      </w:r>
      <w:r w:rsidR="00161EA7" w:rsidRPr="0038186B">
        <w:rPr>
          <w:lang w:val="es-419"/>
        </w:rPr>
        <w:t xml:space="preserve">y solo se </w:t>
      </w:r>
      <w:r w:rsidR="00017F3B" w:rsidRPr="0038186B">
        <w:rPr>
          <w:lang w:val="es-419"/>
        </w:rPr>
        <w:t>mencionan</w:t>
      </w:r>
      <w:r w:rsidR="00161EA7" w:rsidRPr="0038186B">
        <w:rPr>
          <w:lang w:val="es-419"/>
        </w:rPr>
        <w:t xml:space="preserve"> bre</w:t>
      </w:r>
      <w:r w:rsidR="00017F3B" w:rsidRPr="0038186B">
        <w:rPr>
          <w:lang w:val="es-419"/>
        </w:rPr>
        <w:t>vemente</w:t>
      </w:r>
      <w:r w:rsidR="00161EA7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61EA7" w:rsidRPr="0038186B">
        <w:rPr>
          <w:lang w:val="es-419"/>
        </w:rPr>
        <w:t xml:space="preserve">sobre los </w:t>
      </w:r>
      <w:r w:rsidR="001970C2" w:rsidRPr="0038186B">
        <w:rPr>
          <w:lang w:val="es-419"/>
        </w:rPr>
        <w:t>CC.TT.</w:t>
      </w:r>
      <w:r w:rsidR="00161EA7" w:rsidRPr="0038186B">
        <w:rPr>
          <w:lang w:val="es-419"/>
        </w:rPr>
        <w:t xml:space="preserve">, </w:t>
      </w:r>
      <w:r w:rsidR="00AF1894" w:rsidRPr="0038186B">
        <w:rPr>
          <w:lang w:val="es-419"/>
        </w:rPr>
        <w:t xml:space="preserve">aunque se reconoce </w:t>
      </w:r>
      <w:r w:rsidR="00161EA7" w:rsidRPr="0038186B">
        <w:rPr>
          <w:lang w:val="es-419"/>
        </w:rPr>
        <w:t xml:space="preserve">la complementariedad de esas dos </w:t>
      </w:r>
      <w:r w:rsidR="00AF1894" w:rsidRPr="0038186B">
        <w:rPr>
          <w:lang w:val="es-419"/>
        </w:rPr>
        <w:t xml:space="preserve">facetas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10" w:name="_Toc116898995"/>
      <w:r w:rsidRPr="0038186B">
        <w:rPr>
          <w:i/>
          <w:u w:val="none"/>
          <w:lang w:val="es-419"/>
        </w:rPr>
        <w:t>iii)</w:t>
      </w:r>
      <w:r w:rsidR="00A401BD" w:rsidRPr="0038186B">
        <w:rPr>
          <w:i/>
          <w:u w:val="none"/>
          <w:lang w:val="es-419"/>
        </w:rPr>
        <w:tab/>
      </w:r>
      <w:r w:rsidR="000462BD" w:rsidRPr="0038186B">
        <w:rPr>
          <w:i/>
          <w:u w:val="none"/>
          <w:lang w:val="es-419"/>
        </w:rPr>
        <w:t>Diversidad de c</w:t>
      </w:r>
      <w:r w:rsidR="006077AD" w:rsidRPr="0038186B">
        <w:rPr>
          <w:i/>
          <w:u w:val="none"/>
          <w:lang w:val="es-419"/>
        </w:rPr>
        <w:t xml:space="preserve">aracterísticas de </w:t>
      </w:r>
      <w:r w:rsidRPr="0038186B">
        <w:rPr>
          <w:i/>
          <w:u w:val="none"/>
          <w:lang w:val="es-419"/>
        </w:rPr>
        <w:t>los conocimientos tradicionales</w:t>
      </w:r>
      <w:bookmarkEnd w:id="1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Se han </w:t>
      </w:r>
      <w:r w:rsidR="000462BD" w:rsidRPr="0038186B">
        <w:rPr>
          <w:lang w:val="es-419"/>
        </w:rPr>
        <w:t>formulado</w:t>
      </w:r>
      <w:r w:rsidR="00344979" w:rsidRPr="0038186B">
        <w:rPr>
          <w:lang w:val="es-419"/>
        </w:rPr>
        <w:t xml:space="preserve"> los supuestos siguientes respecto de las características generales de los conocimientos tradicionales, a saber:</w:t>
      </w:r>
      <w:r w:rsidR="007B5118" w:rsidRPr="0038186B">
        <w:rPr>
          <w:rStyle w:val="FootnoteReference"/>
          <w:lang w:val="es-419"/>
        </w:rPr>
        <w:footnoteReference w:id="1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conocimientos tradicionales pueden </w:t>
      </w:r>
      <w:r w:rsidR="00E61B32" w:rsidRPr="0038186B">
        <w:rPr>
          <w:lang w:val="es-419"/>
        </w:rPr>
        <w:t>englobar</w:t>
      </w:r>
      <w:r w:rsidRPr="0038186B">
        <w:rPr>
          <w:lang w:val="es-419"/>
        </w:rPr>
        <w:t xml:space="preserve"> elementos específicos de cono</w:t>
      </w:r>
      <w:r w:rsidR="00B576B4" w:rsidRPr="0038186B">
        <w:rPr>
          <w:lang w:val="es-419"/>
        </w:rPr>
        <w:t xml:space="preserve">cimiento, como las innovaciones </w:t>
      </w:r>
      <w:r w:rsidRPr="0038186B">
        <w:rPr>
          <w:lang w:val="es-419"/>
        </w:rPr>
        <w:t xml:space="preserve">realizadas por un miembro de una comunidad tradicional, o </w:t>
      </w:r>
      <w:r w:rsidR="00E61B32" w:rsidRPr="0038186B">
        <w:rPr>
          <w:lang w:val="es-419"/>
        </w:rPr>
        <w:t>incluir</w:t>
      </w:r>
      <w:r w:rsidRPr="0038186B">
        <w:rPr>
          <w:lang w:val="es-419"/>
        </w:rPr>
        <w:t xml:space="preserve"> un </w:t>
      </w:r>
      <w:r w:rsidR="00E61B32" w:rsidRPr="0038186B">
        <w:rPr>
          <w:lang w:val="es-419"/>
        </w:rPr>
        <w:t xml:space="preserve">acervo general </w:t>
      </w:r>
      <w:r w:rsidRPr="0038186B">
        <w:rPr>
          <w:lang w:val="es-419"/>
        </w:rPr>
        <w:t xml:space="preserve">de conocimientos </w:t>
      </w:r>
      <w:r w:rsidR="00E61B32" w:rsidRPr="0038186B">
        <w:rPr>
          <w:lang w:val="es-419"/>
        </w:rPr>
        <w:t>sistemáticos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 se parte de ningún supuesto respecto de si los “conocimientos tradicionales” deben limitarse a elementos específicos de conocimiento o a un sistema de conocimientos.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>No se parte de ningún supuesto respecto de si determinados conocimientos tradicionales son necesariamente patentables o no;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los elementos de los conocimientos tradicionales bien pueden ser patentables o no patentables.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El simple hecho de que </w:t>
      </w:r>
      <w:r w:rsidR="00E61B32" w:rsidRPr="0038186B">
        <w:rPr>
          <w:lang w:val="es-419"/>
        </w:rPr>
        <w:t xml:space="preserve">una innovación </w:t>
      </w:r>
      <w:r w:rsidRPr="0038186B">
        <w:rPr>
          <w:lang w:val="es-419"/>
        </w:rPr>
        <w:t xml:space="preserve">se haya producido en un contexto tradicional no </w:t>
      </w:r>
      <w:r w:rsidR="00E61B32" w:rsidRPr="0038186B">
        <w:rPr>
          <w:lang w:val="es-419"/>
        </w:rPr>
        <w:t>es en sí un impedimento para qu</w:t>
      </w:r>
      <w:r w:rsidRPr="0038186B">
        <w:rPr>
          <w:lang w:val="es-419"/>
        </w:rPr>
        <w:t xml:space="preserve">e pueda patentarse (siempre y cuando la patente se otorgue al verdadero inventor, al innovador o innovadores tradicionales o a sus </w:t>
      </w:r>
      <w:r w:rsidRPr="0038186B">
        <w:rPr>
          <w:lang w:val="es-419"/>
        </w:rPr>
        <w:lastRenderedPageBreak/>
        <w:t>verdaderos derechohabientes).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Es decir, el mero hecho de que determinados conocimientos sean “tradicionales” no los excluye de la patentabilidad.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Ahora bien, podría haber </w:t>
      </w:r>
      <w:r w:rsidRPr="0038186B">
        <w:rPr>
          <w:lang w:val="es-419"/>
        </w:rPr>
        <w:t xml:space="preserve">incertidumbre jurídica respecto de cómo habrán de aplicarse los criterios de novedad, actividad inventiva y utilidad a la reivindicación de invenciones que constituyen </w:t>
      </w:r>
      <w:r w:rsidR="00F77420" w:rsidRPr="0038186B">
        <w:rPr>
          <w:lang w:val="es-419"/>
        </w:rPr>
        <w:t>CC.TT.</w:t>
      </w:r>
      <w:r w:rsidRPr="0038186B">
        <w:rPr>
          <w:lang w:val="es-419"/>
        </w:rPr>
        <w:t xml:space="preserve"> como tales, que se derivan de conocimientos tradicionales o que se crean en un sistema de conocimientos tradicionales.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A</w:t>
      </w:r>
      <w:r w:rsidR="00F77420" w:rsidRPr="0038186B">
        <w:rPr>
          <w:lang w:val="es-419"/>
        </w:rPr>
        <w:t>simismo</w:t>
      </w:r>
      <w:r w:rsidRPr="0038186B">
        <w:rPr>
          <w:lang w:val="es-419"/>
        </w:rPr>
        <w:t xml:space="preserve">, puede </w:t>
      </w:r>
      <w:r w:rsidR="004733DC" w:rsidRPr="0038186B">
        <w:rPr>
          <w:lang w:val="es-419"/>
        </w:rPr>
        <w:t>haber</w:t>
      </w:r>
      <w:r w:rsidRPr="0038186B">
        <w:rPr>
          <w:lang w:val="es-419"/>
        </w:rPr>
        <w:t xml:space="preserve"> incertidumbre </w:t>
      </w:r>
      <w:r w:rsidR="00F77420" w:rsidRPr="0038186B">
        <w:rPr>
          <w:lang w:val="es-419"/>
        </w:rPr>
        <w:t>en cuanto a</w:t>
      </w:r>
      <w:r w:rsidRPr="0038186B">
        <w:rPr>
          <w:lang w:val="es-419"/>
        </w:rPr>
        <w:t xml:space="preserve"> cómo </w:t>
      </w:r>
      <w:r w:rsidR="00F77420" w:rsidRPr="0038186B">
        <w:rPr>
          <w:lang w:val="es-419"/>
        </w:rPr>
        <w:t xml:space="preserve">se </w:t>
      </w:r>
      <w:r w:rsidRPr="0038186B">
        <w:rPr>
          <w:lang w:val="es-419"/>
        </w:rPr>
        <w:t>determina</w:t>
      </w:r>
      <w:r w:rsidR="00F77420" w:rsidRPr="0038186B">
        <w:rPr>
          <w:lang w:val="es-419"/>
        </w:rPr>
        <w:t xml:space="preserve"> cuál</w:t>
      </w:r>
      <w:r w:rsidRPr="0038186B">
        <w:rPr>
          <w:lang w:val="es-419"/>
        </w:rPr>
        <w:t xml:space="preserve"> </w:t>
      </w:r>
      <w:r w:rsidR="004733DC" w:rsidRPr="0038186B">
        <w:rPr>
          <w:lang w:val="es-419"/>
        </w:rPr>
        <w:t>es</w:t>
      </w:r>
      <w:r w:rsidR="00F77420" w:rsidRPr="0038186B">
        <w:rPr>
          <w:lang w:val="es-419"/>
        </w:rPr>
        <w:t xml:space="preserve"> el solicitante correcto</w:t>
      </w:r>
      <w:r w:rsidRPr="0038186B">
        <w:rPr>
          <w:lang w:val="es-419"/>
        </w:rPr>
        <w:t xml:space="preserve">, por ejemplo, cuando el conocimiento tradicional patentable se desarrolla </w:t>
      </w:r>
      <w:r w:rsidR="00F77420" w:rsidRPr="0038186B">
        <w:rPr>
          <w:lang w:val="es-419"/>
        </w:rPr>
        <w:t>dentro</w:t>
      </w:r>
      <w:r w:rsidRPr="0038186B">
        <w:rPr>
          <w:lang w:val="es-419"/>
        </w:rPr>
        <w:t xml:space="preserve"> de una comunidad tradicional u otro tipo de colectivo.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F77420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</w:t>
      </w:r>
      <w:r w:rsidRPr="0038186B">
        <w:rPr>
          <w:lang w:val="es-419"/>
        </w:rPr>
        <w:t xml:space="preserve">no se consideran </w:t>
      </w:r>
      <w:r w:rsidR="004733DC" w:rsidRPr="0038186B">
        <w:rPr>
          <w:lang w:val="es-419"/>
        </w:rPr>
        <w:t>divulgados públicamente o no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se pueden dar las </w:t>
      </w:r>
      <w:r w:rsidR="00344979" w:rsidRPr="0038186B">
        <w:rPr>
          <w:lang w:val="es-419"/>
        </w:rPr>
        <w:t xml:space="preserve">ambas </w:t>
      </w:r>
      <w:r w:rsidRPr="0038186B">
        <w:rPr>
          <w:lang w:val="es-419"/>
        </w:rPr>
        <w:t>situaciones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733DC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uede existir </w:t>
      </w:r>
      <w:r w:rsidR="004733DC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 xml:space="preserve">incertidumbre jurídica respecto de si los conocimientos tradicionales divulgados en el seno de una comunidad local o indígena pueden considerarse “no divulgados” o </w:t>
      </w:r>
      <w:r w:rsidR="004733DC" w:rsidRPr="0038186B">
        <w:rPr>
          <w:lang w:val="es-419"/>
        </w:rPr>
        <w:t>no pertenecientes al</w:t>
      </w:r>
      <w:r w:rsidR="00344979" w:rsidRPr="0038186B">
        <w:rPr>
          <w:lang w:val="es-419"/>
        </w:rPr>
        <w:t xml:space="preserve"> dominio público.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074B2F" w:rsidRPr="0038186B">
        <w:rPr>
          <w:lang w:val="es-419"/>
        </w:rPr>
        <w:t xml:space="preserve">CC.TT. </w:t>
      </w:r>
      <w:r w:rsidRPr="0038186B">
        <w:rPr>
          <w:lang w:val="es-419"/>
        </w:rPr>
        <w:t xml:space="preserve">pueden ser objeto de diversas formas de titularidad, custodia, </w:t>
      </w:r>
      <w:r w:rsidR="00074B2F" w:rsidRPr="0038186B">
        <w:rPr>
          <w:lang w:val="es-419"/>
        </w:rPr>
        <w:t>derechos</w:t>
      </w:r>
      <w:r w:rsidR="00DB15DA" w:rsidRPr="0038186B">
        <w:rPr>
          <w:lang w:val="es-419"/>
        </w:rPr>
        <w:t xml:space="preserve"> e</w:t>
      </w:r>
      <w:r w:rsidRPr="0038186B">
        <w:rPr>
          <w:lang w:val="es-419"/>
        </w:rPr>
        <w:t xml:space="preserve"> intereses equitativos.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>Es</w:t>
      </w:r>
      <w:r w:rsidRPr="0038186B">
        <w:rPr>
          <w:lang w:val="es-419"/>
        </w:rPr>
        <w:t>os intereses pueden conferirse a un miembro de una comunidad, a una comunidad colectivamente (ya esté reconocida juríd</w:t>
      </w:r>
      <w:r w:rsidR="00DB15DA" w:rsidRPr="0038186B">
        <w:rPr>
          <w:lang w:val="es-419"/>
        </w:rPr>
        <w:t>icamente como tal o no) o a un E</w:t>
      </w:r>
      <w:r w:rsidRPr="0038186B">
        <w:rPr>
          <w:lang w:val="es-419"/>
        </w:rPr>
        <w:t xml:space="preserve">stado (ya sea </w:t>
      </w:r>
      <w:r w:rsidR="00DB15DA" w:rsidRPr="0038186B">
        <w:rPr>
          <w:lang w:val="es-419"/>
        </w:rPr>
        <w:t>por</w:t>
      </w:r>
      <w:r w:rsidRPr="0038186B">
        <w:rPr>
          <w:lang w:val="es-419"/>
        </w:rPr>
        <w:t xml:space="preserve"> derecho propio o en fideicomiso de personas o comunidades).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Existen determinados aspectos de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que pueden adscribirse a una persona determinada dentro de una comunidad, incluso cuando el </w:t>
      </w:r>
      <w:r w:rsidR="00F77420" w:rsidRPr="0038186B">
        <w:rPr>
          <w:lang w:val="es-419"/>
        </w:rPr>
        <w:t>acervo</w:t>
      </w:r>
      <w:r w:rsidRPr="0038186B">
        <w:rPr>
          <w:lang w:val="es-419"/>
        </w:rPr>
        <w:t xml:space="preserve"> general de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lo ostenta y mantiene la comunidad como tal.</w:t>
      </w:r>
      <w:r w:rsidR="001A60B0" w:rsidRPr="0038186B">
        <w:rPr>
          <w:lang w:val="es-419"/>
        </w:rPr>
        <w:t xml:space="preserve"> </w:t>
      </w:r>
      <w:r w:rsidR="00161EA7" w:rsidRPr="0038186B">
        <w:rPr>
          <w:lang w:val="es-419"/>
        </w:rPr>
        <w:t>Algunos C</w:t>
      </w:r>
      <w:r w:rsidR="001970C2" w:rsidRPr="0038186B">
        <w:rPr>
          <w:lang w:val="es-419"/>
        </w:rPr>
        <w:t>C.TT.</w:t>
      </w:r>
      <w:r w:rsidR="00FD6EEF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también </w:t>
      </w:r>
      <w:r w:rsidR="00161EA7" w:rsidRPr="0038186B">
        <w:rPr>
          <w:lang w:val="es-419"/>
        </w:rPr>
        <w:t xml:space="preserve">pueden formar parte del </w:t>
      </w:r>
      <w:r w:rsidR="00F1506D" w:rsidRPr="0038186B">
        <w:rPr>
          <w:lang w:val="es-419"/>
        </w:rPr>
        <w:t>patrimonio</w:t>
      </w:r>
      <w:r w:rsidR="00161EA7" w:rsidRPr="0038186B">
        <w:rPr>
          <w:lang w:val="es-419"/>
        </w:rPr>
        <w:t xml:space="preserve"> </w:t>
      </w:r>
      <w:r w:rsidR="00F1506D" w:rsidRPr="0038186B">
        <w:rPr>
          <w:lang w:val="es-419"/>
        </w:rPr>
        <w:t>común</w:t>
      </w:r>
      <w:r w:rsidR="00161EA7" w:rsidRPr="0038186B">
        <w:rPr>
          <w:lang w:val="es-419"/>
        </w:rPr>
        <w:t xml:space="preserve"> de la </w:t>
      </w:r>
      <w:r w:rsidR="00F1506D" w:rsidRPr="0038186B">
        <w:rPr>
          <w:lang w:val="es-419"/>
        </w:rPr>
        <w:t>humanidad</w:t>
      </w:r>
      <w:r w:rsidR="00161EA7" w:rsidRPr="0038186B">
        <w:rPr>
          <w:lang w:val="es-419"/>
        </w:rPr>
        <w:t xml:space="preserve"> y no ser patrimonio exclusivo de una comunidad o </w:t>
      </w:r>
      <w:r w:rsidR="00F1506D" w:rsidRPr="0038186B">
        <w:rPr>
          <w:lang w:val="es-419"/>
        </w:rPr>
        <w:t>Estado</w:t>
      </w:r>
      <w:r w:rsidR="00161EA7" w:rsidRPr="0038186B">
        <w:rPr>
          <w:lang w:val="es-419"/>
        </w:rPr>
        <w:t xml:space="preserve"> </w:t>
      </w:r>
      <w:r w:rsidR="00DB15DA" w:rsidRPr="0038186B">
        <w:rPr>
          <w:lang w:val="es-419"/>
        </w:rPr>
        <w:t>en particular</w:t>
      </w:r>
      <w:r w:rsidR="00FD6EEF" w:rsidRPr="0038186B">
        <w:rPr>
          <w:lang w:val="es-419"/>
        </w:rPr>
        <w:t>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Pr="0038186B">
        <w:rPr>
          <w:i/>
          <w:lang w:val="es-419"/>
        </w:rPr>
        <w:t>conocimientos indígenas</w:t>
      </w:r>
      <w:r w:rsidRPr="0038186B">
        <w:rPr>
          <w:lang w:val="es-419"/>
        </w:rPr>
        <w:t xml:space="preserve"> se consideran un c</w:t>
      </w:r>
      <w:r w:rsidR="00DB15DA" w:rsidRPr="0038186B">
        <w:rPr>
          <w:lang w:val="es-419"/>
        </w:rPr>
        <w:t>onjunto</w:t>
      </w:r>
      <w:r w:rsidRPr="0038186B">
        <w:rPr>
          <w:lang w:val="es-419"/>
        </w:rPr>
        <w:t xml:space="preserve"> de conocimientos más preciso que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>, que elaboran, mantienen y difunden los pueblos indígenas reconocidos como tales.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pueden pertenecer a otras comunidades locales y culturales que no están reconocidas como tales.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Convendría que, en </w:t>
      </w:r>
      <w:r w:rsidR="000E25E9" w:rsidRPr="0038186B">
        <w:rPr>
          <w:lang w:val="es-419"/>
        </w:rPr>
        <w:t>el</w:t>
      </w:r>
      <w:r w:rsidR="00F77420" w:rsidRPr="0038186B">
        <w:rPr>
          <w:lang w:val="es-419"/>
        </w:rPr>
        <w:t xml:space="preserve"> marco del </w:t>
      </w:r>
      <w:r w:rsidRPr="0038186B">
        <w:rPr>
          <w:lang w:val="es-419"/>
        </w:rPr>
        <w:t>análisis de carencias</w:t>
      </w:r>
      <w:r w:rsidR="00F77420" w:rsidRPr="0038186B">
        <w:rPr>
          <w:lang w:val="es-419"/>
        </w:rPr>
        <w:t xml:space="preserve">, se abordaran </w:t>
      </w:r>
      <w:r w:rsidRPr="0038186B">
        <w:rPr>
          <w:lang w:val="es-419"/>
        </w:rPr>
        <w:t>las posibles diferencias de trat</w:t>
      </w:r>
      <w:r w:rsidR="00E3659B" w:rsidRPr="0038186B">
        <w:rPr>
          <w:lang w:val="es-419"/>
        </w:rPr>
        <w:t>o</w:t>
      </w:r>
      <w:r w:rsidRPr="0038186B">
        <w:rPr>
          <w:lang w:val="es-419"/>
        </w:rPr>
        <w:t xml:space="preserve"> entre los conocimientos indígenas y el concepto más amplio de conocimientos tradicionales</w:t>
      </w:r>
      <w:r w:rsidR="00E3659B" w:rsidRPr="0038186B">
        <w:rPr>
          <w:lang w:val="es-419"/>
        </w:rPr>
        <w:t>, teniendo en cuenta</w:t>
      </w:r>
      <w:r w:rsidRPr="0038186B">
        <w:rPr>
          <w:lang w:val="es-419"/>
        </w:rPr>
        <w:t>, por ejemplo, que los derechos de los pueblos indígenas relativos a los conocimientos tradicionales se han definido en una declaración internacional (</w:t>
      </w:r>
      <w:r w:rsidR="00F77420" w:rsidRPr="0038186B">
        <w:rPr>
          <w:lang w:val="es-419"/>
        </w:rPr>
        <w:t xml:space="preserve">que se </w:t>
      </w:r>
      <w:r w:rsidRPr="0038186B">
        <w:rPr>
          <w:lang w:val="es-419"/>
        </w:rPr>
        <w:t>examina</w:t>
      </w:r>
      <w:r w:rsidR="00F77420" w:rsidRPr="0038186B">
        <w:rPr>
          <w:lang w:val="es-419"/>
        </w:rPr>
        <w:t>n</w:t>
      </w:r>
      <w:r w:rsidRPr="0038186B">
        <w:rPr>
          <w:lang w:val="es-419"/>
        </w:rPr>
        <w:t xml:space="preserve"> más adelante).</w:t>
      </w:r>
    </w:p>
    <w:p w:rsidR="00DF5574" w:rsidRPr="0038186B" w:rsidRDefault="00A401BD" w:rsidP="00A401BD">
      <w:pPr>
        <w:pStyle w:val="Heading3"/>
        <w:rPr>
          <w:i/>
          <w:u w:val="none"/>
          <w:lang w:val="es-419"/>
        </w:rPr>
      </w:pPr>
      <w:bookmarkStart w:id="11" w:name="_Toc116898996"/>
      <w:r w:rsidRPr="0038186B">
        <w:rPr>
          <w:i/>
          <w:u w:val="none"/>
          <w:lang w:val="es-419"/>
        </w:rPr>
        <w:t>iv)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Na</w:t>
      </w:r>
      <w:r w:rsidR="006B6CF6" w:rsidRPr="0038186B">
        <w:rPr>
          <w:i/>
          <w:u w:val="none"/>
          <w:lang w:val="es-419"/>
        </w:rPr>
        <w:t>turaleza de las “carencias” que deben identificarse</w:t>
      </w:r>
      <w:bookmarkEnd w:id="1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3143F" w:rsidRPr="0038186B">
        <w:rPr>
          <w:lang w:val="es-419"/>
        </w:rPr>
        <w:t>Es probable que l</w:t>
      </w:r>
      <w:r w:rsidR="00A718F8" w:rsidRPr="0038186B">
        <w:rPr>
          <w:lang w:val="es-419"/>
        </w:rPr>
        <w:t xml:space="preserve">os </w:t>
      </w:r>
      <w:r w:rsidR="00344979" w:rsidRPr="0038186B">
        <w:rPr>
          <w:lang w:val="es-419"/>
        </w:rPr>
        <w:t xml:space="preserve">puntos de vista </w:t>
      </w:r>
      <w:r w:rsidR="0011494D" w:rsidRPr="0038186B">
        <w:rPr>
          <w:lang w:val="es-419"/>
        </w:rPr>
        <w:t xml:space="preserve">en cuanto a </w:t>
      </w:r>
      <w:r w:rsidR="00344979" w:rsidRPr="0038186B">
        <w:rPr>
          <w:lang w:val="es-419"/>
        </w:rPr>
        <w:t xml:space="preserve">lo que </w:t>
      </w:r>
      <w:r w:rsidR="00A718F8" w:rsidRPr="0038186B">
        <w:rPr>
          <w:lang w:val="es-419"/>
        </w:rPr>
        <w:t>es u</w:t>
      </w:r>
      <w:r w:rsidR="00344979" w:rsidRPr="0038186B">
        <w:rPr>
          <w:lang w:val="es-419"/>
        </w:rPr>
        <w:t xml:space="preserve">na verdadera “carencia” </w:t>
      </w:r>
      <w:r w:rsidR="00A718F8" w:rsidRPr="0038186B">
        <w:rPr>
          <w:lang w:val="es-419"/>
        </w:rPr>
        <w:t xml:space="preserve">en el ámbito de la </w:t>
      </w:r>
      <w:r w:rsidR="00344979" w:rsidRPr="0038186B">
        <w:rPr>
          <w:lang w:val="es-419"/>
        </w:rPr>
        <w:t>protección</w:t>
      </w:r>
      <w:r w:rsidR="00A718F8" w:rsidRPr="0038186B">
        <w:rPr>
          <w:lang w:val="es-419"/>
        </w:rPr>
        <w:t xml:space="preserve"> s</w:t>
      </w:r>
      <w:r w:rsidR="0073143F" w:rsidRPr="0038186B">
        <w:rPr>
          <w:lang w:val="es-419"/>
        </w:rPr>
        <w:t xml:space="preserve">ean </w:t>
      </w:r>
      <w:r w:rsidR="00A718F8" w:rsidRPr="0038186B">
        <w:rPr>
          <w:lang w:val="es-419"/>
        </w:rPr>
        <w:t>muy diversos</w:t>
      </w:r>
      <w:r w:rsidR="00344979" w:rsidRPr="0038186B">
        <w:rPr>
          <w:lang w:val="es-419"/>
        </w:rPr>
        <w:t>, debido en parte a que el término “protección” puede tener connotaciones muy generales o aplicaciones jurídicas muy precisas.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se analizan estas diferentes perspectivas y se </w:t>
      </w:r>
      <w:r w:rsidR="0073143F" w:rsidRPr="0038186B">
        <w:rPr>
          <w:lang w:val="es-419"/>
        </w:rPr>
        <w:t xml:space="preserve">examina </w:t>
      </w:r>
      <w:r w:rsidR="007028EC" w:rsidRPr="0038186B">
        <w:rPr>
          <w:lang w:val="es-419"/>
        </w:rPr>
        <w:t xml:space="preserve">una amplia gama de posibilidades </w:t>
      </w:r>
      <w:r w:rsidR="0073143F" w:rsidRPr="0038186B">
        <w:rPr>
          <w:lang w:val="es-419"/>
        </w:rPr>
        <w:t>para</w:t>
      </w:r>
      <w:r w:rsidR="007028EC" w:rsidRPr="0038186B">
        <w:rPr>
          <w:lang w:val="es-419"/>
        </w:rPr>
        <w:t xml:space="preserve"> determinar lo que </w:t>
      </w:r>
      <w:r w:rsidR="0073143F" w:rsidRPr="0038186B">
        <w:rPr>
          <w:lang w:val="es-419"/>
        </w:rPr>
        <w:t>es u</w:t>
      </w:r>
      <w:r w:rsidR="007028EC" w:rsidRPr="0038186B">
        <w:rPr>
          <w:lang w:val="es-419"/>
        </w:rPr>
        <w:t>na “carencia”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estos diferentes supuestos se exponen en la p</w:t>
      </w:r>
      <w:r w:rsidR="00AD50B0" w:rsidRPr="0038186B">
        <w:rPr>
          <w:lang w:val="es-419"/>
        </w:rPr>
        <w:t>art</w:t>
      </w:r>
      <w:r w:rsidR="007028EC" w:rsidRPr="0038186B">
        <w:rPr>
          <w:lang w:val="es-419"/>
        </w:rPr>
        <w:t>e</w:t>
      </w:r>
      <w:r w:rsidR="00AD50B0" w:rsidRPr="0038186B">
        <w:rPr>
          <w:lang w:val="es-419"/>
        </w:rPr>
        <w:t> </w:t>
      </w:r>
      <w:r w:rsidRPr="0038186B">
        <w:rPr>
          <w:lang w:val="es-419"/>
        </w:rPr>
        <w:t>IV.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En la parte</w:t>
      </w:r>
      <w:r w:rsidRPr="0038186B">
        <w:rPr>
          <w:lang w:val="es-419"/>
        </w:rPr>
        <w:t xml:space="preserve"> IV</w:t>
      </w:r>
      <w:r w:rsidR="007028EC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c) </w:t>
      </w:r>
      <w:r w:rsidR="007028EC" w:rsidRPr="0038186B">
        <w:rPr>
          <w:lang w:val="es-419"/>
        </w:rPr>
        <w:t>del aná</w:t>
      </w:r>
      <w:r w:rsidRPr="0038186B">
        <w:rPr>
          <w:lang w:val="es-419"/>
        </w:rPr>
        <w:t>l</w:t>
      </w:r>
      <w:r w:rsidR="007028EC" w:rsidRPr="0038186B">
        <w:rPr>
          <w:lang w:val="es-419"/>
        </w:rPr>
        <w:t>i</w:t>
      </w:r>
      <w:r w:rsidRPr="0038186B">
        <w:rPr>
          <w:lang w:val="es-419"/>
        </w:rPr>
        <w:t xml:space="preserve">sis, </w:t>
      </w:r>
      <w:r w:rsidR="007028EC" w:rsidRPr="0038186B">
        <w:rPr>
          <w:lang w:val="es-419"/>
        </w:rPr>
        <w:t xml:space="preserve">se enumeran las </w:t>
      </w:r>
      <w:r w:rsidR="009A1951" w:rsidRPr="0038186B">
        <w:rPr>
          <w:lang w:val="es-419"/>
        </w:rPr>
        <w:t>posibles carencias</w:t>
      </w:r>
      <w:r w:rsidR="007028EC" w:rsidRPr="0038186B">
        <w:rPr>
          <w:lang w:val="es-419"/>
        </w:rPr>
        <w:t xml:space="preserve"> con ejemplos, aunque cabe señalar que lo que</w:t>
      </w:r>
      <w:r w:rsidR="004622A9" w:rsidRPr="0038186B">
        <w:rPr>
          <w:lang w:val="es-419"/>
        </w:rPr>
        <w:t xml:space="preserve"> a juicio de</w:t>
      </w:r>
      <w:r w:rsidR="007028EC" w:rsidRPr="0038186B">
        <w:rPr>
          <w:lang w:val="es-419"/>
        </w:rPr>
        <w:t xml:space="preserve"> algunos usuarios del </w:t>
      </w:r>
      <w:r w:rsidR="00F1506D" w:rsidRPr="0038186B">
        <w:rPr>
          <w:lang w:val="es-419"/>
        </w:rPr>
        <w:t>análisis</w:t>
      </w:r>
      <w:r w:rsidR="007028EC" w:rsidRPr="0038186B">
        <w:rPr>
          <w:lang w:val="es-419"/>
        </w:rPr>
        <w:t xml:space="preserve"> de carencias </w:t>
      </w:r>
      <w:r w:rsidR="004622A9" w:rsidRPr="0038186B">
        <w:rPr>
          <w:lang w:val="es-419"/>
        </w:rPr>
        <w:t>será</w:t>
      </w:r>
      <w:r w:rsidR="007028EC" w:rsidRPr="0038186B">
        <w:rPr>
          <w:lang w:val="es-419"/>
        </w:rPr>
        <w:t xml:space="preserve"> una “</w:t>
      </w:r>
      <w:r w:rsidR="009A1951" w:rsidRPr="0038186B">
        <w:rPr>
          <w:lang w:val="es-419"/>
        </w:rPr>
        <w:t>carencia</w:t>
      </w:r>
      <w:r w:rsidR="007028EC" w:rsidRPr="0038186B">
        <w:rPr>
          <w:lang w:val="es-419"/>
        </w:rPr>
        <w:t xml:space="preserve">” significativa no lo será </w:t>
      </w:r>
      <w:r w:rsidR="009A1951" w:rsidRPr="0038186B">
        <w:rPr>
          <w:lang w:val="es-419"/>
        </w:rPr>
        <w:t xml:space="preserve">o no será del todo significativa </w:t>
      </w:r>
      <w:r w:rsidR="002703A3" w:rsidRPr="0038186B">
        <w:rPr>
          <w:lang w:val="es-419"/>
        </w:rPr>
        <w:t>en opinión de</w:t>
      </w:r>
      <w:r w:rsidR="009A1951" w:rsidRPr="0038186B">
        <w:rPr>
          <w:lang w:val="es-419"/>
        </w:rPr>
        <w:t xml:space="preserve"> otros usuarios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Por lo tanto, </w:t>
      </w:r>
      <w:r w:rsidR="00170D97" w:rsidRPr="0038186B">
        <w:rPr>
          <w:lang w:val="es-419"/>
        </w:rPr>
        <w:t>el objeto del</w:t>
      </w:r>
      <w:r w:rsidR="009A1951" w:rsidRPr="0038186B">
        <w:rPr>
          <w:lang w:val="es-419"/>
        </w:rPr>
        <w:t xml:space="preserve">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70D97" w:rsidRPr="0038186B">
        <w:rPr>
          <w:lang w:val="es-419"/>
        </w:rPr>
        <w:t>es destacar</w:t>
      </w:r>
      <w:r w:rsidR="009A1951" w:rsidRPr="0038186B">
        <w:rPr>
          <w:lang w:val="es-419"/>
        </w:rPr>
        <w:t xml:space="preserve"> las posibles “carencias” con </w:t>
      </w:r>
      <w:r w:rsidR="004622A9" w:rsidRPr="0038186B">
        <w:rPr>
          <w:lang w:val="es-419"/>
        </w:rPr>
        <w:t>el fin de</w:t>
      </w:r>
      <w:r w:rsidR="009A1951" w:rsidRPr="0038186B">
        <w:rPr>
          <w:lang w:val="es-419"/>
        </w:rPr>
        <w:t xml:space="preserve"> estimular el debate </w:t>
      </w:r>
      <w:r w:rsidR="00B1068F" w:rsidRPr="0038186B">
        <w:rPr>
          <w:lang w:val="es-419"/>
        </w:rPr>
        <w:t>político</w:t>
      </w:r>
      <w:r w:rsidRPr="0038186B">
        <w:rPr>
          <w:lang w:val="es-419"/>
        </w:rPr>
        <w:t xml:space="preserve"> </w:t>
      </w:r>
      <w:r w:rsidR="004622A9" w:rsidRPr="0038186B">
        <w:rPr>
          <w:lang w:val="es-419"/>
        </w:rPr>
        <w:t xml:space="preserve">y no </w:t>
      </w:r>
      <w:r w:rsidR="00170D97" w:rsidRPr="0038186B">
        <w:rPr>
          <w:lang w:val="es-419"/>
        </w:rPr>
        <w:t xml:space="preserve">emitir </w:t>
      </w:r>
      <w:r w:rsidR="009A1951" w:rsidRPr="0038186B">
        <w:rPr>
          <w:lang w:val="es-419"/>
        </w:rPr>
        <w:t>un</w:t>
      </w:r>
      <w:r w:rsidR="00170D97" w:rsidRPr="0038186B">
        <w:rPr>
          <w:lang w:val="es-419"/>
        </w:rPr>
        <w:t xml:space="preserve"> dictamen</w:t>
      </w:r>
      <w:r w:rsidR="009A1951" w:rsidRPr="0038186B">
        <w:rPr>
          <w:lang w:val="es-419"/>
        </w:rPr>
        <w:t xml:space="preserve"> definitiv</w:t>
      </w:r>
      <w:r w:rsidR="00170D97" w:rsidRPr="0038186B">
        <w:rPr>
          <w:lang w:val="es-419"/>
        </w:rPr>
        <w:t>o acerca de</w:t>
      </w:r>
      <w:r w:rsidR="009A1951" w:rsidRPr="0038186B">
        <w:rPr>
          <w:lang w:val="es-419"/>
        </w:rPr>
        <w:t xml:space="preserve"> cuestiones que son </w:t>
      </w:r>
      <w:r w:rsidR="00170D97" w:rsidRPr="0038186B">
        <w:rPr>
          <w:lang w:val="es-419"/>
        </w:rPr>
        <w:t xml:space="preserve">aún </w:t>
      </w:r>
      <w:r w:rsidR="009A1951" w:rsidRPr="0038186B">
        <w:rPr>
          <w:lang w:val="es-419"/>
        </w:rPr>
        <w:t>objeto de debate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A1951" w:rsidRPr="0038186B">
        <w:rPr>
          <w:lang w:val="es-419"/>
        </w:rPr>
        <w:t>E</w:t>
      </w:r>
      <w:r w:rsidRPr="0038186B">
        <w:rPr>
          <w:lang w:val="es-419"/>
        </w:rPr>
        <w:t xml:space="preserve">n particular, </w:t>
      </w:r>
      <w:r w:rsidR="009A1951" w:rsidRPr="0038186B">
        <w:rPr>
          <w:lang w:val="es-419"/>
        </w:rPr>
        <w:t>una carencia respecto de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jurídica podría percibirse como una situación </w:t>
      </w:r>
      <w:r w:rsidR="00FC21E4" w:rsidRPr="0038186B">
        <w:rPr>
          <w:lang w:val="es-419"/>
        </w:rPr>
        <w:t>positiva y no como una deficiencia que haya que subsanar</w:t>
      </w:r>
      <w:r w:rsidR="009A1951" w:rsidRPr="0038186B">
        <w:rPr>
          <w:lang w:val="es-419"/>
        </w:rPr>
        <w:t>: un dominio público s</w:t>
      </w:r>
      <w:r w:rsidR="00FC21E4" w:rsidRPr="0038186B">
        <w:rPr>
          <w:lang w:val="es-419"/>
        </w:rPr>
        <w:t xml:space="preserve">ólido se construye en general sobre la base de </w:t>
      </w:r>
      <w:r w:rsidR="009A1951" w:rsidRPr="0038186B">
        <w:rPr>
          <w:lang w:val="es-419"/>
        </w:rPr>
        <w:t xml:space="preserve">determinadas “carencias” en la </w:t>
      </w:r>
      <w:r w:rsidR="001970C2" w:rsidRPr="0038186B">
        <w:rPr>
          <w:lang w:val="es-419"/>
        </w:rPr>
        <w:t>protección</w:t>
      </w:r>
      <w:r w:rsidR="009A1951" w:rsidRPr="0038186B">
        <w:rPr>
          <w:lang w:val="es-419"/>
        </w:rPr>
        <w:t xml:space="preserve"> jurídica</w:t>
      </w:r>
      <w:r w:rsidR="00FC21E4" w:rsidRPr="0038186B">
        <w:rPr>
          <w:lang w:val="es-419"/>
        </w:rPr>
        <w:t xml:space="preserve"> o puede estructurarse en torno a ellas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1068F" w:rsidRPr="0038186B">
        <w:rPr>
          <w:lang w:val="es-419"/>
        </w:rPr>
        <w:t xml:space="preserve">A nivel más general, una “carencia” es la falta de un mecanismo jurídico que permita proteger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>como tales.</w:t>
      </w:r>
      <w:r w:rsidR="001A60B0"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Los mecanismos jurídicos </w:t>
      </w:r>
      <w:r w:rsidR="00FC21E4" w:rsidRPr="0038186B">
        <w:rPr>
          <w:lang w:val="es-419"/>
        </w:rPr>
        <w:t>existentes</w:t>
      </w:r>
      <w:r w:rsidR="00AA437A" w:rsidRPr="0038186B">
        <w:rPr>
          <w:lang w:val="es-419"/>
        </w:rPr>
        <w:t xml:space="preserve"> se refieren a</w:t>
      </w:r>
      <w:r w:rsidR="00B1068F" w:rsidRPr="0038186B">
        <w:rPr>
          <w:lang w:val="es-419"/>
        </w:rPr>
        <w:t xml:space="preserve"> determinados </w:t>
      </w:r>
      <w:r w:rsidRPr="0038186B">
        <w:rPr>
          <w:lang w:val="es-419"/>
        </w:rPr>
        <w:t>aspect</w:t>
      </w:r>
      <w:r w:rsidR="00B1068F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B1068F" w:rsidRPr="0038186B">
        <w:rPr>
          <w:lang w:val="es-419"/>
        </w:rPr>
        <w:t xml:space="preserve">o formas de los </w:t>
      </w:r>
      <w:r w:rsidR="001970C2" w:rsidRPr="0038186B">
        <w:rPr>
          <w:lang w:val="es-419"/>
        </w:rPr>
        <w:t>conocimientos</w:t>
      </w:r>
      <w:r w:rsidR="00B1068F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y </w:t>
      </w:r>
      <w:r w:rsidR="00AA437A" w:rsidRPr="0038186B">
        <w:rPr>
          <w:lang w:val="es-419"/>
        </w:rPr>
        <w:t xml:space="preserve">solo </w:t>
      </w:r>
      <w:r w:rsidR="00B1068F" w:rsidRPr="0038186B">
        <w:rPr>
          <w:lang w:val="es-419"/>
        </w:rPr>
        <w:t>de forma limitada</w:t>
      </w:r>
      <w:r w:rsidRPr="0038186B">
        <w:rPr>
          <w:lang w:val="es-419"/>
        </w:rPr>
        <w:t xml:space="preserve">, </w:t>
      </w:r>
      <w:r w:rsidR="00B1068F" w:rsidRPr="0038186B">
        <w:rPr>
          <w:lang w:val="es-419"/>
        </w:rPr>
        <w:t>como en el caso de la información no divulgada</w:t>
      </w:r>
      <w:r w:rsidR="002703A3" w:rsidRPr="0038186B">
        <w:rPr>
          <w:lang w:val="es-419"/>
        </w:rPr>
        <w:t>,</w:t>
      </w:r>
      <w:r w:rsidR="00B1068F" w:rsidRPr="0038186B">
        <w:rPr>
          <w:lang w:val="es-419"/>
        </w:rPr>
        <w:t xml:space="preserve"> que tiene que reunir determinadas condiciones para poder </w:t>
      </w:r>
      <w:r w:rsidR="00AA437A" w:rsidRPr="0038186B">
        <w:rPr>
          <w:lang w:val="es-419"/>
        </w:rPr>
        <w:t>ser protegida</w:t>
      </w:r>
      <w:r w:rsidR="00B1068F" w:rsidRPr="0038186B">
        <w:rPr>
          <w:lang w:val="es-419"/>
        </w:rPr>
        <w:t xml:space="preserve"> como secreto comercial o</w:t>
      </w:r>
      <w:r w:rsidR="009B55F6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como información </w:t>
      </w:r>
      <w:r w:rsidR="00B1068F" w:rsidRPr="0038186B">
        <w:rPr>
          <w:lang w:val="es-419"/>
        </w:rPr>
        <w:t xml:space="preserve">confidencial, y </w:t>
      </w:r>
      <w:r w:rsidR="009E2615" w:rsidRPr="0038186B">
        <w:rPr>
          <w:lang w:val="es-419"/>
        </w:rPr>
        <w:t>aun</w:t>
      </w:r>
      <w:r w:rsidR="00B1068F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cuando se la protege, </w:t>
      </w:r>
      <w:r w:rsidR="00B1068F" w:rsidRPr="0038186B">
        <w:rPr>
          <w:lang w:val="es-419"/>
        </w:rPr>
        <w:t xml:space="preserve">la protección es limitada, </w:t>
      </w:r>
      <w:r w:rsidR="009E2615" w:rsidRPr="0038186B">
        <w:rPr>
          <w:lang w:val="es-419"/>
        </w:rPr>
        <w:t xml:space="preserve">ya que, </w:t>
      </w:r>
      <w:r w:rsidR="00B1068F" w:rsidRPr="0038186B">
        <w:rPr>
          <w:lang w:val="es-419"/>
        </w:rPr>
        <w:t xml:space="preserve">por ejemplo, no se </w:t>
      </w:r>
      <w:r w:rsidR="009E2615" w:rsidRPr="0038186B">
        <w:rPr>
          <w:lang w:val="es-419"/>
        </w:rPr>
        <w:t>hace extensiva a</w:t>
      </w:r>
      <w:r w:rsidR="00B1068F" w:rsidRPr="0038186B">
        <w:rPr>
          <w:lang w:val="es-419"/>
        </w:rPr>
        <w:t xml:space="preserve"> los terceros que </w:t>
      </w:r>
      <w:r w:rsidR="00F1506D" w:rsidRPr="0038186B">
        <w:rPr>
          <w:lang w:val="es-419"/>
        </w:rPr>
        <w:t>obtiene</w:t>
      </w:r>
      <w:r w:rsidR="00B1068F" w:rsidRPr="0038186B">
        <w:rPr>
          <w:lang w:val="es-419"/>
        </w:rPr>
        <w:t xml:space="preserve">n los </w:t>
      </w:r>
      <w:r w:rsidR="001970C2" w:rsidRPr="0038186B">
        <w:rPr>
          <w:lang w:val="es-419"/>
        </w:rPr>
        <w:t>conocimientos</w:t>
      </w:r>
      <w:r w:rsidR="009E2615" w:rsidRPr="0038186B">
        <w:rPr>
          <w:lang w:val="es-419"/>
        </w:rPr>
        <w:t xml:space="preserve"> de forma independiente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Por </w:t>
      </w:r>
      <w:r w:rsidR="009E2615" w:rsidRPr="0038186B">
        <w:rPr>
          <w:lang w:val="es-419"/>
        </w:rPr>
        <w:t>consiguiente</w:t>
      </w:r>
      <w:r w:rsidR="00F1506D" w:rsidRPr="0038186B">
        <w:rPr>
          <w:lang w:val="es-419"/>
        </w:rPr>
        <w:t xml:space="preserve">, </w:t>
      </w:r>
      <w:r w:rsidR="009E2615" w:rsidRPr="0038186B">
        <w:rPr>
          <w:lang w:val="es-419"/>
        </w:rPr>
        <w:t>la determinación de una</w:t>
      </w:r>
      <w:r w:rsidR="009B55F6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“carencia” </w:t>
      </w:r>
      <w:r w:rsidR="009E2615" w:rsidRPr="0038186B">
        <w:rPr>
          <w:lang w:val="es-419"/>
        </w:rPr>
        <w:t xml:space="preserve">de la </w:t>
      </w:r>
      <w:r w:rsidR="00F1506D" w:rsidRPr="0038186B">
        <w:rPr>
          <w:lang w:val="es-419"/>
        </w:rPr>
        <w:t>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F1506D" w:rsidRPr="0038186B">
        <w:rPr>
          <w:lang w:val="es-419"/>
        </w:rPr>
        <w:t>p</w:t>
      </w:r>
      <w:r w:rsidR="009E2615" w:rsidRPr="0038186B">
        <w:rPr>
          <w:lang w:val="es-419"/>
        </w:rPr>
        <w:t xml:space="preserve">uede contribuir a delimitar con más claridad </w:t>
      </w:r>
      <w:r w:rsidR="00F1506D" w:rsidRPr="0038186B">
        <w:rPr>
          <w:lang w:val="es-419"/>
        </w:rPr>
        <w:t xml:space="preserve">el alcance de la materia que se ha de proteger y </w:t>
      </w:r>
      <w:r w:rsidR="00D35FCA" w:rsidRPr="0038186B">
        <w:rPr>
          <w:lang w:val="es-419"/>
        </w:rPr>
        <w:t xml:space="preserve">a </w:t>
      </w:r>
      <w:r w:rsidR="00F1506D" w:rsidRPr="0038186B">
        <w:rPr>
          <w:lang w:val="es-419"/>
        </w:rPr>
        <w:t xml:space="preserve">definir </w:t>
      </w:r>
      <w:r w:rsidR="00D35FCA" w:rsidRPr="0038186B">
        <w:rPr>
          <w:lang w:val="es-419"/>
        </w:rPr>
        <w:t>cuáles son los actos</w:t>
      </w:r>
      <w:r w:rsidR="00F1506D" w:rsidRPr="0038186B">
        <w:rPr>
          <w:lang w:val="es-419"/>
        </w:rPr>
        <w:t xml:space="preserve"> de terceros </w:t>
      </w:r>
      <w:r w:rsidR="00D35FCA" w:rsidRPr="0038186B">
        <w:rPr>
          <w:lang w:val="es-419"/>
        </w:rPr>
        <w:t xml:space="preserve">que están prohibidas en el marco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, </w:t>
      </w:r>
      <w:r w:rsidR="00F1506D" w:rsidRPr="0038186B">
        <w:rPr>
          <w:lang w:val="es-419"/>
        </w:rPr>
        <w:t xml:space="preserve">de tal forma que </w:t>
      </w:r>
      <w:r w:rsidR="00D35FCA" w:rsidRPr="0038186B">
        <w:rPr>
          <w:lang w:val="es-419"/>
        </w:rPr>
        <w:t>estos</w:t>
      </w:r>
      <w:r w:rsidR="00F1506D" w:rsidRPr="0038186B">
        <w:rPr>
          <w:lang w:val="es-419"/>
        </w:rPr>
        <w:t xml:space="preserve"> sepan lo que no pueden hacer</w:t>
      </w:r>
      <w:r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2B43A6" w:rsidP="00274E08">
      <w:pPr>
        <w:rPr>
          <w:lang w:val="es-419"/>
        </w:rPr>
      </w:pPr>
      <w:r w:rsidRPr="0038186B">
        <w:rPr>
          <w:lang w:val="es-419"/>
        </w:rPr>
        <w:t xml:space="preserve">Carencias en el marco del enfoque estratificado del ámbito de la </w:t>
      </w:r>
      <w:r w:rsidR="001970C2" w:rsidRPr="0038186B">
        <w:rPr>
          <w:lang w:val="es-419"/>
        </w:rPr>
        <w:t>protección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03A3" w:rsidRPr="0038186B">
        <w:rPr>
          <w:lang w:val="es-419"/>
        </w:rPr>
        <w:t>En su 27ª sesión, e</w:t>
      </w:r>
      <w:r w:rsidR="00344979" w:rsidRPr="0038186B">
        <w:rPr>
          <w:lang w:val="es-419"/>
        </w:rPr>
        <w:t>l CIG presentó</w:t>
      </w:r>
      <w:r w:rsidR="002703A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como </w:t>
      </w:r>
      <w:r w:rsidR="002703A3" w:rsidRPr="0038186B">
        <w:rPr>
          <w:lang w:val="es-419"/>
        </w:rPr>
        <w:t>tema</w:t>
      </w:r>
      <w:r w:rsidR="00344979" w:rsidRPr="0038186B">
        <w:rPr>
          <w:lang w:val="es-419"/>
        </w:rPr>
        <w:t xml:space="preserve"> de debate, un enfoque estratificado del ámbito de la protección según el cual los poseedores de derechos podrían hacer valer distintos tipos o niveles de derechos o de medidas en función de la naturaleza y las características de la materia protegida, el grado de control que poseyeran los beneficiaros y el grado de difusión de la misma.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enfoque estratificado se propone una protección diferenciada conforme a distintos tipos de CC.TT. dentro de un espectro que oscilaría entre unos CC.TT. disponibles al público en general y unos CC.TT. secretos o desconocidos fuera de la comunidad y cuyo control está en manos de los beneficiarios.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enfoque apunta a que los derechos patrimoniales exclusivos podrían ser apropiados para algunas formas de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las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secret</w:t>
      </w:r>
      <w:r w:rsidR="002703A3" w:rsidRPr="0038186B">
        <w:rPr>
          <w:lang w:val="es-419"/>
        </w:rPr>
        <w:t>o</w:t>
      </w:r>
      <w:r w:rsidR="002B43A6" w:rsidRPr="0038186B">
        <w:rPr>
          <w:lang w:val="es-419"/>
        </w:rPr>
        <w:t>s</w:t>
      </w:r>
      <w:r w:rsidR="002703A3" w:rsidRPr="0038186B">
        <w:rPr>
          <w:lang w:val="es-419"/>
        </w:rPr>
        <w:t xml:space="preserve"> y sagrado</w:t>
      </w:r>
      <w:r w:rsidR="00344979" w:rsidRPr="0038186B">
        <w:rPr>
          <w:lang w:val="es-419"/>
        </w:rPr>
        <w:t xml:space="preserve">s), mientras que un modelo basado en derechos morales podría adecuarse, por ejemplo, a </w:t>
      </w:r>
      <w:r w:rsidR="002703A3" w:rsidRPr="0038186B">
        <w:rPr>
          <w:lang w:val="es-419"/>
        </w:rPr>
        <w:t>los CC.TT.</w:t>
      </w:r>
      <w:r w:rsidR="00344979" w:rsidRPr="0038186B">
        <w:rPr>
          <w:lang w:val="es-419"/>
        </w:rPr>
        <w:t xml:space="preserve"> que ya estén a disposición del público o hayan sido divulgadas pero que de todas formas puedan ser atribuidas a </w:t>
      </w:r>
      <w:r w:rsidR="002703A3" w:rsidRPr="0038186B">
        <w:rPr>
          <w:lang w:val="es-419"/>
        </w:rPr>
        <w:t xml:space="preserve">determinados </w:t>
      </w:r>
      <w:r w:rsidR="00344979" w:rsidRPr="0038186B">
        <w:rPr>
          <w:lang w:val="es-419"/>
        </w:rPr>
        <w:t xml:space="preserve">pueblos </w:t>
      </w:r>
      <w:r w:rsidR="002703A3" w:rsidRPr="0038186B">
        <w:rPr>
          <w:lang w:val="es-419"/>
        </w:rPr>
        <w:t>indígenas o comunidades locales</w:t>
      </w:r>
      <w:r w:rsidR="00344979"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274E08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7DEF" w:rsidRPr="0038186B">
        <w:rPr>
          <w:lang w:val="es-419"/>
        </w:rPr>
        <w:t xml:space="preserve">Conviene señalar que, en el contexto de un enfoque estratificado del ámbito de la protección, es probable que las carencias que se detecten a nivel internacional sean distintas en función de la estratificación que se establezca, teniendo en cuenta elementos como la naturaleza y las características </w:t>
      </w:r>
      <w:r w:rsidR="00266F85" w:rsidRPr="0038186B">
        <w:rPr>
          <w:lang w:val="es-419"/>
        </w:rPr>
        <w:t>de los CC.TT.,</w:t>
      </w:r>
      <w:r w:rsidR="00FD7DEF" w:rsidRPr="0038186B">
        <w:rPr>
          <w:lang w:val="es-419"/>
        </w:rPr>
        <w:t xml:space="preserve"> el grado de control que posean los beneficiaros y el grado de difusión de l</w:t>
      </w:r>
      <w:r w:rsidR="002703A3" w:rsidRPr="0038186B">
        <w:rPr>
          <w:lang w:val="es-419"/>
        </w:rPr>
        <w:t>os mismos</w:t>
      </w:r>
      <w:r w:rsidR="00FD7DEF" w:rsidRPr="0038186B">
        <w:rPr>
          <w:lang w:val="es-419"/>
        </w:rPr>
        <w:t xml:space="preserve">. </w:t>
      </w:r>
      <w:r w:rsidR="00B011E4" w:rsidRPr="0038186B">
        <w:rPr>
          <w:rStyle w:val="FootnoteReference"/>
          <w:lang w:val="es-419"/>
        </w:rPr>
        <w:footnoteReference w:id="17"/>
      </w:r>
    </w:p>
    <w:p w:rsidR="00DF5574" w:rsidRPr="0038186B" w:rsidRDefault="007F73DA" w:rsidP="00880F45">
      <w:pPr>
        <w:pStyle w:val="Heading1"/>
        <w:spacing w:before="360" w:after="200"/>
        <w:ind w:left="539" w:hanging="539"/>
        <w:rPr>
          <w:b w:val="0"/>
          <w:lang w:val="es-419"/>
        </w:rPr>
      </w:pPr>
      <w:bookmarkStart w:id="12" w:name="_Toc116898997"/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.</w:t>
      </w:r>
      <w:r w:rsidR="00A401BD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OBLIGACIONES, DISPOSICIONES Y POSIBILIDADES QUE YA EXISTEN EN MATERIA DE PROTECCIÓN</w:t>
      </w:r>
      <w:bookmarkEnd w:id="12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presente sección trata </w:t>
      </w:r>
      <w:r w:rsidR="002B43A6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las “obligaciones, disposiciones y posibilidades que ya existen a nivel internacional en relación con la protección”.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análisis se examinan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con detenimiento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las formas de protección disponibles </w:t>
      </w:r>
      <w:r w:rsidR="002B43A6" w:rsidRPr="0038186B">
        <w:rPr>
          <w:lang w:val="es-419"/>
        </w:rPr>
        <w:t>en virtud de</w:t>
      </w:r>
      <w:r w:rsidR="00344979" w:rsidRPr="0038186B">
        <w:rPr>
          <w:lang w:val="es-419"/>
        </w:rPr>
        <w:t xml:space="preserve"> los principales instrumentos internacionales en el ámbito general de la protección de la propiedad intelectual, y con menos detalle los instrumentos internacionales existentes en otros ámbitos del </w:t>
      </w:r>
      <w:r w:rsidR="004F30C5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>público que hacen referencia directa a los conocimientos tradicionales y su protección.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razones de brevedad y claridad, no se analizan o examinan directamente los instrumentos jurídicos concretos (éstos se han examinado exhaustivamente en la documentación previa del Comité).</w:t>
      </w:r>
      <w:r w:rsidR="001A60B0" w:rsidRPr="0038186B">
        <w:rPr>
          <w:lang w:val="es-419"/>
        </w:rPr>
        <w:t xml:space="preserve"> </w:t>
      </w:r>
      <w:r w:rsidR="0062406D" w:rsidRPr="0038186B">
        <w:rPr>
          <w:lang w:val="es-419"/>
        </w:rPr>
        <w:t>Se</w:t>
      </w:r>
      <w:r w:rsidR="002B43A6" w:rsidRPr="0038186B">
        <w:rPr>
          <w:lang w:val="es-419"/>
        </w:rPr>
        <w:t xml:space="preserve"> hace referencia </w:t>
      </w:r>
      <w:r w:rsidR="0062406D" w:rsidRPr="0038186B">
        <w:rPr>
          <w:lang w:val="es-419"/>
        </w:rPr>
        <w:t xml:space="preserve">asimismo </w:t>
      </w:r>
      <w:r w:rsidR="002B43A6" w:rsidRPr="0038186B">
        <w:rPr>
          <w:lang w:val="es-419"/>
        </w:rPr>
        <w:t xml:space="preserve">a diversos </w:t>
      </w:r>
      <w:r w:rsidR="001970C2" w:rsidRPr="0038186B">
        <w:rPr>
          <w:lang w:val="es-419"/>
        </w:rPr>
        <w:t xml:space="preserve">instrumentos jurídicos internacionales </w:t>
      </w:r>
      <w:r w:rsidR="00E86028" w:rsidRPr="0038186B">
        <w:rPr>
          <w:lang w:val="es-419"/>
        </w:rPr>
        <w:t>y acontecimientos recientes</w:t>
      </w:r>
      <w:r w:rsidR="002703A3" w:rsidRPr="0038186B">
        <w:rPr>
          <w:lang w:val="es-419"/>
        </w:rPr>
        <w:t>,</w:t>
      </w:r>
      <w:r w:rsidR="00E86028" w:rsidRPr="0038186B">
        <w:rPr>
          <w:lang w:val="es-419"/>
        </w:rPr>
        <w:t xml:space="preserve"> como la Declaración de las Naciones Uni</w:t>
      </w:r>
      <w:r w:rsidR="006219C4" w:rsidRPr="0038186B">
        <w:rPr>
          <w:lang w:val="es-419"/>
        </w:rPr>
        <w:t>das sobre los Derechos de los Pueblos I</w:t>
      </w:r>
      <w:r w:rsidR="00E86028" w:rsidRPr="0038186B">
        <w:rPr>
          <w:lang w:val="es-419"/>
        </w:rPr>
        <w:t>ndígenas</w:t>
      </w:r>
      <w:r w:rsidR="00AC6F4E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E86028" w:rsidRPr="0038186B">
        <w:rPr>
          <w:lang w:val="es-419"/>
        </w:rPr>
        <w:t xml:space="preserve">la Declaración de Interlaken sobre los Recursos Zoogenéticos y el Protocolo de </w:t>
      </w:r>
      <w:r w:rsidR="00AC6F4E" w:rsidRPr="0038186B">
        <w:rPr>
          <w:lang w:val="es-419"/>
        </w:rPr>
        <w:t>Nagoya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F7685" w:rsidRPr="0038186B">
        <w:rPr>
          <w:lang w:val="es-419"/>
        </w:rPr>
        <w:t xml:space="preserve">Estos instrumentos se citan únicamente para ilustrar las esferas de interés actuales </w:t>
      </w:r>
      <w:r w:rsidR="0062406D" w:rsidRPr="0038186B">
        <w:rPr>
          <w:lang w:val="es-419"/>
        </w:rPr>
        <w:t xml:space="preserve">de las </w:t>
      </w:r>
      <w:r w:rsidR="001F7685" w:rsidRPr="0038186B">
        <w:rPr>
          <w:lang w:val="es-419"/>
        </w:rPr>
        <w:t>política</w:t>
      </w:r>
      <w:r w:rsidR="0062406D" w:rsidRPr="0038186B">
        <w:rPr>
          <w:lang w:val="es-419"/>
        </w:rPr>
        <w:t xml:space="preserve">s en el ámbito </w:t>
      </w:r>
      <w:r w:rsidR="001F7685" w:rsidRPr="0038186B">
        <w:rPr>
          <w:lang w:val="es-419"/>
        </w:rPr>
        <w:t xml:space="preserve">internacional. </w:t>
      </w:r>
      <w:r w:rsidR="00AE682B" w:rsidRPr="0038186B">
        <w:rPr>
          <w:lang w:val="es-419"/>
        </w:rPr>
        <w:t>No se pretende</w:t>
      </w:r>
      <w:r w:rsidR="001F7685" w:rsidRPr="0038186B">
        <w:rPr>
          <w:lang w:val="es-419"/>
        </w:rPr>
        <w:t xml:space="preserve"> analizar esos textos jurídicos ni </w:t>
      </w:r>
      <w:r w:rsidR="0062406D" w:rsidRPr="0038186B">
        <w:rPr>
          <w:lang w:val="es-419"/>
        </w:rPr>
        <w:t>atribuir carácter normativo</w:t>
      </w:r>
      <w:r w:rsidR="001F7685" w:rsidRPr="0038186B">
        <w:rPr>
          <w:lang w:val="es-419"/>
        </w:rPr>
        <w:t xml:space="preserve"> a ninguno de ellos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401BD" w:rsidP="00A401BD">
      <w:pPr>
        <w:pStyle w:val="Heading2"/>
        <w:rPr>
          <w:i/>
          <w:u w:val="single"/>
          <w:lang w:val="es-419"/>
        </w:rPr>
      </w:pPr>
      <w:bookmarkStart w:id="13" w:name="_Toc116898998"/>
      <w:r w:rsidRPr="0038186B">
        <w:rPr>
          <w:i/>
          <w:caps w:val="0"/>
          <w:u w:val="single"/>
          <w:lang w:val="es-419"/>
        </w:rPr>
        <w:lastRenderedPageBreak/>
        <w:t>a)</w:t>
      </w:r>
      <w:r w:rsidRPr="0038186B">
        <w:rPr>
          <w:i/>
          <w:caps w:val="0"/>
          <w:u w:val="single"/>
          <w:lang w:val="es-419"/>
        </w:rPr>
        <w:tab/>
        <w:t>Protección en virtud de los instrumentos internacionales vigentes en el ámbito de la propiedad intelectual</w:t>
      </w:r>
      <w:bookmarkEnd w:id="13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1F7685" w:rsidP="00FD6EEF">
      <w:pPr>
        <w:rPr>
          <w:bCs/>
          <w:i/>
          <w:iCs/>
          <w:lang w:val="es-419"/>
        </w:rPr>
      </w:pPr>
      <w:r w:rsidRPr="0038186B">
        <w:rPr>
          <w:bCs/>
          <w:i/>
          <w:iCs/>
          <w:lang w:val="es-419"/>
        </w:rPr>
        <w:t>Observaciones g</w:t>
      </w:r>
      <w:r w:rsidR="00FD6EEF" w:rsidRPr="0038186B">
        <w:rPr>
          <w:bCs/>
          <w:i/>
          <w:iCs/>
          <w:lang w:val="es-419"/>
        </w:rPr>
        <w:t>eneral</w:t>
      </w:r>
      <w:r w:rsidRPr="0038186B">
        <w:rPr>
          <w:bCs/>
          <w:i/>
          <w:iCs/>
          <w:lang w:val="es-419"/>
        </w:rPr>
        <w:t>es</w:t>
      </w:r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bCs/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A7D8F" w:rsidRPr="0038186B">
        <w:rPr>
          <w:lang w:val="es-419"/>
        </w:rPr>
        <w:t>Por lo que se refiere a l</w:t>
      </w:r>
      <w:r w:rsidR="0030450C" w:rsidRPr="0038186B">
        <w:rPr>
          <w:lang w:val="es-419"/>
        </w:rPr>
        <w:t xml:space="preserve">a aplicabilidad </w:t>
      </w:r>
      <w:r w:rsidR="0030450C" w:rsidRPr="0038186B">
        <w:rPr>
          <w:bCs/>
          <w:lang w:val="es-419"/>
        </w:rPr>
        <w:t>general de</w:t>
      </w:r>
      <w:r w:rsidR="00AE682B" w:rsidRPr="0038186B">
        <w:rPr>
          <w:bCs/>
          <w:lang w:val="es-419"/>
        </w:rPr>
        <w:t>l sistema convencional de la</w:t>
      </w:r>
      <w:r w:rsidR="0030450C" w:rsidRPr="0038186B">
        <w:rPr>
          <w:bCs/>
          <w:lang w:val="es-419"/>
        </w:rPr>
        <w:t xml:space="preserve"> PI a la materia abarcada por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AE682B" w:rsidRPr="0038186B">
        <w:rPr>
          <w:bCs/>
          <w:lang w:val="es-419"/>
        </w:rPr>
        <w:t>cualquier</w:t>
      </w:r>
      <w:r w:rsidR="00DA7D8F" w:rsidRPr="0038186B">
        <w:rPr>
          <w:bCs/>
          <w:lang w:val="es-419"/>
        </w:rPr>
        <w:t xml:space="preserve"> e</w:t>
      </w:r>
      <w:r w:rsidR="008E1C03" w:rsidRPr="0038186B">
        <w:rPr>
          <w:bCs/>
          <w:lang w:val="es-419"/>
        </w:rPr>
        <w:t>nfoque</w:t>
      </w:r>
      <w:r w:rsidR="00DA7D8F" w:rsidRPr="0038186B">
        <w:rPr>
          <w:bCs/>
          <w:lang w:val="es-419"/>
        </w:rPr>
        <w:t xml:space="preserve"> general de la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 xml:space="preserve">de la PI </w:t>
      </w:r>
      <w:r w:rsidR="00AE682B" w:rsidRPr="0038186B">
        <w:rPr>
          <w:bCs/>
          <w:lang w:val="es-419"/>
        </w:rPr>
        <w:t>de es</w:t>
      </w:r>
      <w:r w:rsidR="0030450C" w:rsidRPr="0038186B">
        <w:rPr>
          <w:bCs/>
          <w:lang w:val="es-419"/>
        </w:rPr>
        <w:t>a materia</w:t>
      </w:r>
      <w:r w:rsidR="00AE682B" w:rsidRPr="0038186B">
        <w:rPr>
          <w:bCs/>
          <w:lang w:val="es-419"/>
        </w:rPr>
        <w:t xml:space="preserve"> que englobe su</w:t>
      </w:r>
      <w:r w:rsidR="008E1C03" w:rsidRPr="0038186B">
        <w:rPr>
          <w:bCs/>
          <w:lang w:val="es-419"/>
        </w:rPr>
        <w:t xml:space="preserve"> dimensió</w:t>
      </w:r>
      <w:r w:rsidR="0030450C" w:rsidRPr="0038186B">
        <w:rPr>
          <w:bCs/>
          <w:lang w:val="es-419"/>
        </w:rPr>
        <w:t>n inter</w:t>
      </w:r>
      <w:r w:rsidR="008E1C03" w:rsidRPr="0038186B">
        <w:rPr>
          <w:bCs/>
          <w:lang w:val="es-419"/>
        </w:rPr>
        <w:t>na</w:t>
      </w:r>
      <w:r w:rsidR="00AE682B" w:rsidRPr="0038186B">
        <w:rPr>
          <w:bCs/>
          <w:lang w:val="es-419"/>
        </w:rPr>
        <w:t>cional</w:t>
      </w:r>
      <w:r w:rsidR="0030450C" w:rsidRPr="0038186B">
        <w:rPr>
          <w:bCs/>
          <w:lang w:val="es-419"/>
        </w:rPr>
        <w:t xml:space="preserve"> </w:t>
      </w:r>
      <w:r w:rsidR="00784421" w:rsidRPr="0038186B">
        <w:rPr>
          <w:bCs/>
          <w:lang w:val="es-419"/>
        </w:rPr>
        <w:t>conlleva el examen de los instrumentos</w:t>
      </w:r>
      <w:r w:rsidR="008E1C03" w:rsidRPr="0038186B">
        <w:rPr>
          <w:bCs/>
          <w:lang w:val="es-419"/>
        </w:rPr>
        <w:t xml:space="preserve"> y </w:t>
      </w:r>
      <w:r w:rsidR="008B6809" w:rsidRPr="0038186B">
        <w:rPr>
          <w:bCs/>
          <w:lang w:val="es-419"/>
        </w:rPr>
        <w:t>mecanismos</w:t>
      </w:r>
      <w:r w:rsidR="008E1C03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>jurídicos</w:t>
      </w:r>
      <w:r w:rsidR="00784421" w:rsidRPr="0038186B">
        <w:rPr>
          <w:bCs/>
          <w:lang w:val="es-419"/>
        </w:rPr>
        <w:t xml:space="preserve"> </w:t>
      </w:r>
      <w:r w:rsidR="008E1C03" w:rsidRPr="0038186B">
        <w:rPr>
          <w:bCs/>
          <w:lang w:val="es-419"/>
        </w:rPr>
        <w:t>necesarios a nivel nacional</w:t>
      </w:r>
      <w:r w:rsidRPr="0038186B">
        <w:rPr>
          <w:bCs/>
          <w:lang w:val="es-419"/>
        </w:rPr>
        <w:t xml:space="preserve">, </w:t>
      </w:r>
      <w:r w:rsidR="008E1C03" w:rsidRPr="0038186B">
        <w:rPr>
          <w:bCs/>
          <w:lang w:val="es-419"/>
        </w:rPr>
        <w:t xml:space="preserve">de la manera en que deben </w:t>
      </w:r>
      <w:r w:rsidR="008B6809" w:rsidRPr="0038186B">
        <w:rPr>
          <w:bCs/>
          <w:lang w:val="es-419"/>
        </w:rPr>
        <w:t>funcionar</w:t>
      </w:r>
      <w:r w:rsidR="008E1C03" w:rsidRPr="0038186B">
        <w:rPr>
          <w:bCs/>
          <w:lang w:val="es-419"/>
        </w:rPr>
        <w:t xml:space="preserve"> y la </w:t>
      </w:r>
      <w:r w:rsidR="008B6809" w:rsidRPr="0038186B">
        <w:rPr>
          <w:bCs/>
          <w:lang w:val="es-419"/>
        </w:rPr>
        <w:t>contribución</w:t>
      </w:r>
      <w:r w:rsidR="008E1C03" w:rsidRPr="0038186B">
        <w:rPr>
          <w:bCs/>
          <w:lang w:val="es-419"/>
        </w:rPr>
        <w:t xml:space="preserve"> que puede aportar la dimensión internacional </w:t>
      </w:r>
      <w:r w:rsidR="008B6809" w:rsidRPr="0038186B">
        <w:rPr>
          <w:bCs/>
          <w:lang w:val="es-419"/>
        </w:rPr>
        <w:t>a nivel jurídico y operativo a</w:t>
      </w:r>
      <w:r w:rsidR="008E1C03" w:rsidRPr="0038186B">
        <w:rPr>
          <w:bCs/>
          <w:lang w:val="es-419"/>
        </w:rPr>
        <w:t xml:space="preserve"> la</w:t>
      </w:r>
      <w:r w:rsidR="009B55F6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que se brinde </w:t>
      </w:r>
      <w:r w:rsidR="008E1C03" w:rsidRPr="0038186B">
        <w:rPr>
          <w:bCs/>
          <w:lang w:val="es-419"/>
        </w:rPr>
        <w:t xml:space="preserve">a nivel nacional, teniendo en cuenta que los sistemas de derechos de PI no son suficientes para </w:t>
      </w:r>
      <w:r w:rsidR="008B6809" w:rsidRPr="0038186B">
        <w:rPr>
          <w:bCs/>
          <w:lang w:val="es-419"/>
        </w:rPr>
        <w:t>abarcar</w:t>
      </w:r>
      <w:r w:rsidR="008E1C03" w:rsidRPr="0038186B">
        <w:rPr>
          <w:bCs/>
          <w:lang w:val="es-419"/>
        </w:rPr>
        <w:t xml:space="preserve"> </w:t>
      </w:r>
      <w:r w:rsidR="002703A3" w:rsidRPr="0038186B">
        <w:rPr>
          <w:bCs/>
          <w:lang w:val="es-419"/>
        </w:rPr>
        <w:t xml:space="preserve">la dimensión holística </w:t>
      </w:r>
      <w:r w:rsidR="00784421" w:rsidRPr="0038186B">
        <w:rPr>
          <w:bCs/>
          <w:lang w:val="es-419"/>
        </w:rPr>
        <w:t>y singular</w:t>
      </w:r>
      <w:r w:rsidR="008E1C03" w:rsidRPr="0038186B">
        <w:rPr>
          <w:bCs/>
          <w:lang w:val="es-419"/>
        </w:rPr>
        <w:t xml:space="preserve"> de </w:t>
      </w:r>
      <w:r w:rsidR="00784421" w:rsidRPr="0038186B">
        <w:rPr>
          <w:bCs/>
          <w:lang w:val="es-419"/>
        </w:rPr>
        <w:t xml:space="preserve">la </w:t>
      </w:r>
      <w:r w:rsidR="008E1C03" w:rsidRPr="0038186B">
        <w:rPr>
          <w:bCs/>
          <w:lang w:val="es-419"/>
        </w:rPr>
        <w:t xml:space="preserve">materia </w:t>
      </w:r>
      <w:r w:rsidR="00784421" w:rsidRPr="0038186B">
        <w:rPr>
          <w:bCs/>
          <w:lang w:val="es-419"/>
        </w:rPr>
        <w:t>abarcada por</w:t>
      </w:r>
      <w:r w:rsidR="008E1C03" w:rsidRPr="0038186B">
        <w:rPr>
          <w:bCs/>
          <w:lang w:val="es-419"/>
        </w:rPr>
        <w:t xml:space="preserve"> los</w:t>
      </w:r>
      <w:r w:rsidR="00AD50B0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CC.TT.</w:t>
      </w:r>
      <w:r w:rsidR="00AD50B0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En diversas medidas y en </w:t>
      </w:r>
      <w:r w:rsidR="00DA4AAF" w:rsidRPr="0038186B">
        <w:rPr>
          <w:bCs/>
          <w:lang w:val="es-419"/>
        </w:rPr>
        <w:t>el D</w:t>
      </w:r>
      <w:r w:rsidR="00695132" w:rsidRPr="0038186B">
        <w:rPr>
          <w:bCs/>
          <w:lang w:val="es-419"/>
        </w:rPr>
        <w:t xml:space="preserve">erecho convencional de </w:t>
      </w:r>
      <w:r w:rsidR="008B6809" w:rsidRPr="0038186B">
        <w:rPr>
          <w:bCs/>
          <w:lang w:val="es-419"/>
        </w:rPr>
        <w:t>PI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se han </w:t>
      </w:r>
      <w:r w:rsidR="009D357A" w:rsidRPr="0038186B">
        <w:rPr>
          <w:bCs/>
          <w:lang w:val="es-419"/>
        </w:rPr>
        <w:t xml:space="preserve">reconocido </w:t>
      </w:r>
      <w:r w:rsidR="001B0428" w:rsidRPr="0038186B">
        <w:rPr>
          <w:bCs/>
          <w:lang w:val="es-419"/>
        </w:rPr>
        <w:t>elementos</w:t>
      </w:r>
      <w:r w:rsidR="009D357A" w:rsidRPr="0038186B">
        <w:rPr>
          <w:bCs/>
          <w:lang w:val="es-419"/>
        </w:rPr>
        <w:t xml:space="preserve"> </w:t>
      </w:r>
      <w:r w:rsidR="00695132" w:rsidRPr="0038186B">
        <w:rPr>
          <w:bCs/>
          <w:lang w:val="es-419"/>
        </w:rPr>
        <w:t xml:space="preserve">de ese </w:t>
      </w:r>
      <w:r w:rsidR="001B0428" w:rsidRPr="0038186B">
        <w:rPr>
          <w:bCs/>
          <w:lang w:val="es-419"/>
        </w:rPr>
        <w:t xml:space="preserve">derecho consuetudinario </w:t>
      </w:r>
      <w:r w:rsidR="00695132" w:rsidRPr="0038186B">
        <w:rPr>
          <w:bCs/>
          <w:lang w:val="es-419"/>
        </w:rPr>
        <w:t>dentro de un</w:t>
      </w:r>
      <w:r w:rsidR="001B0428" w:rsidRPr="0038186B">
        <w:rPr>
          <w:bCs/>
          <w:lang w:val="es-419"/>
        </w:rPr>
        <w:t xml:space="preserve"> marco de p</w:t>
      </w:r>
      <w:r w:rsidR="001970C2" w:rsidRPr="0038186B">
        <w:rPr>
          <w:bCs/>
          <w:lang w:val="es-419"/>
        </w:rPr>
        <w:t>rotección</w:t>
      </w:r>
      <w:r w:rsidR="00695132" w:rsidRPr="0038186B">
        <w:rPr>
          <w:bCs/>
          <w:lang w:val="es-419"/>
        </w:rPr>
        <w:t xml:space="preserve"> más amplio</w:t>
      </w:r>
      <w:r w:rsidRPr="0038186B">
        <w:rPr>
          <w:bCs/>
          <w:lang w:val="es-419"/>
        </w:rPr>
        <w:t xml:space="preserve">. </w:t>
      </w:r>
      <w:r w:rsidR="001B0428" w:rsidRPr="0038186B">
        <w:rPr>
          <w:bCs/>
          <w:lang w:val="es-419"/>
        </w:rPr>
        <w:t xml:space="preserve">Es preciso también abordar los aspectos económicos del desarrollo y garantizar la participación efectiva de los titulares de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695132" w:rsidRPr="0038186B">
        <w:rPr>
          <w:bCs/>
          <w:lang w:val="es-419"/>
        </w:rPr>
        <w:t>conforme al</w:t>
      </w:r>
      <w:r w:rsidR="001B0428" w:rsidRPr="0038186B">
        <w:rPr>
          <w:bCs/>
          <w:lang w:val="es-419"/>
        </w:rPr>
        <w:t xml:space="preserve"> principio del consentimiento fundamentado previo</w:t>
      </w:r>
      <w:r w:rsidRPr="0038186B">
        <w:rPr>
          <w:bCs/>
          <w:lang w:val="es-419"/>
        </w:rPr>
        <w:t xml:space="preserve">. </w:t>
      </w:r>
      <w:r w:rsidR="00695132" w:rsidRPr="0038186B">
        <w:rPr>
          <w:bCs/>
          <w:lang w:val="es-419"/>
        </w:rPr>
        <w:t xml:space="preserve">Ahora bien, se ha utilizado </w:t>
      </w:r>
      <w:r w:rsidR="002703A3" w:rsidRPr="0038186B">
        <w:rPr>
          <w:bCs/>
          <w:lang w:val="es-419"/>
        </w:rPr>
        <w:t>con éxito el Derecho de</w:t>
      </w:r>
      <w:r w:rsidR="00344979"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>PI</w:t>
      </w:r>
      <w:r w:rsidR="002703A3" w:rsidRPr="0038186B">
        <w:rPr>
          <w:bCs/>
          <w:lang w:val="es-419"/>
        </w:rPr>
        <w:t xml:space="preserve"> vigente</w:t>
      </w:r>
      <w:r w:rsidR="009B55F6" w:rsidRPr="0038186B">
        <w:rPr>
          <w:bCs/>
          <w:lang w:val="es-419"/>
        </w:rPr>
        <w:t xml:space="preserve"> </w:t>
      </w:r>
      <w:r w:rsidR="00BF6C6A" w:rsidRPr="0038186B">
        <w:rPr>
          <w:bCs/>
          <w:lang w:val="es-419"/>
        </w:rPr>
        <w:t xml:space="preserve">(es decir, la legislación sobre patentes, marcas, indicaciones geográficas, diseños industriales y secretos comerciales) </w:t>
      </w:r>
      <w:r w:rsidR="00695132" w:rsidRPr="0038186B">
        <w:rPr>
          <w:bCs/>
          <w:lang w:val="es-419"/>
        </w:rPr>
        <w:t xml:space="preserve">para ofrecer protección </w:t>
      </w:r>
      <w:r w:rsidR="00344979" w:rsidRPr="0038186B">
        <w:rPr>
          <w:bCs/>
          <w:lang w:val="es-419"/>
        </w:rPr>
        <w:t xml:space="preserve">frente a </w:t>
      </w:r>
      <w:r w:rsidR="00BF6C6A" w:rsidRPr="0038186B">
        <w:rPr>
          <w:bCs/>
          <w:lang w:val="es-419"/>
        </w:rPr>
        <w:t xml:space="preserve">algunos tipos de utilización </w:t>
      </w:r>
      <w:r w:rsidR="00344979" w:rsidRPr="0038186B">
        <w:rPr>
          <w:bCs/>
          <w:lang w:val="es-419"/>
        </w:rPr>
        <w:t>y apropiación indebida</w:t>
      </w:r>
      <w:r w:rsidR="00BF6C6A" w:rsidRPr="0038186B">
        <w:rPr>
          <w:bCs/>
          <w:lang w:val="es-419"/>
        </w:rPr>
        <w:t>s</w:t>
      </w:r>
      <w:r w:rsidR="00344979" w:rsidRPr="0038186B">
        <w:rPr>
          <w:bCs/>
          <w:lang w:val="es-419"/>
        </w:rPr>
        <w:t xml:space="preserve"> de </w:t>
      </w:r>
      <w:r w:rsidR="00BF6C6A" w:rsidRPr="0038186B">
        <w:rPr>
          <w:bCs/>
          <w:lang w:val="es-419"/>
        </w:rPr>
        <w:t>los CC.TT.</w:t>
      </w:r>
      <w:r w:rsidR="00794328" w:rsidRPr="0038186B">
        <w:rPr>
          <w:rStyle w:val="FootnoteReference"/>
          <w:bCs/>
          <w:lang w:val="es-419"/>
        </w:rPr>
        <w:footnoteReference w:id="18"/>
      </w:r>
    </w:p>
    <w:p w:rsidR="00FD6EEF" w:rsidRPr="0038186B" w:rsidRDefault="00344979" w:rsidP="00A401BD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4" w:name="_Toc116898999"/>
      <w:r w:rsidRPr="0038186B">
        <w:rPr>
          <w:i/>
          <w:u w:val="none"/>
          <w:lang w:val="es-419"/>
        </w:rPr>
        <w:t>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Protección positiva de los conocimientos tradicionales </w:t>
      </w:r>
      <w:r w:rsidR="00794328" w:rsidRPr="0038186B">
        <w:rPr>
          <w:i/>
          <w:u w:val="none"/>
          <w:lang w:val="es-419"/>
        </w:rPr>
        <w:t>mediante</w:t>
      </w:r>
      <w:r w:rsidRPr="0038186B">
        <w:rPr>
          <w:i/>
          <w:u w:val="none"/>
          <w:lang w:val="es-419"/>
        </w:rPr>
        <w:t xml:space="preserve"> patentes</w:t>
      </w:r>
      <w:bookmarkEnd w:id="14"/>
    </w:p>
    <w:tbl>
      <w:tblPr>
        <w:tblpPr w:leftFromText="180" w:rightFromText="180" w:vertAnchor="text" w:tblpX="12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D50B0" w:rsidRPr="002F7B55" w:rsidTr="00AD50B0">
        <w:trPr>
          <w:trHeight w:val="677"/>
        </w:trPr>
        <w:tc>
          <w:tcPr>
            <w:tcW w:w="9429" w:type="dxa"/>
          </w:tcPr>
          <w:p w:rsidR="00DF5574" w:rsidRPr="0038186B" w:rsidRDefault="00DF5574" w:rsidP="00AD50B0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de la Organización Mundial del Comercio sobre los Aspectos de los Derechos de Propiedad Intelectual relacionados con el Comercio (Acuerdo sobre los AD</w:t>
            </w:r>
            <w:r w:rsidR="00327608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C), Tratado de Cooperación en materia de Patentes (PCT).</w:t>
            </w:r>
          </w:p>
          <w:p w:rsidR="00AD50B0" w:rsidRPr="0038186B" w:rsidRDefault="00AD50B0" w:rsidP="00AD50B0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27608" w:rsidRPr="0038186B">
        <w:rPr>
          <w:lang w:val="es-419"/>
        </w:rPr>
        <w:t xml:space="preserve">A pesar de la </w:t>
      </w:r>
      <w:r w:rsidR="00E4213C" w:rsidRPr="0038186B">
        <w:rPr>
          <w:lang w:val="es-419"/>
        </w:rPr>
        <w:t>importante</w:t>
      </w:r>
      <w:r w:rsidR="0032760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flexibilidad </w:t>
      </w:r>
      <w:r w:rsidR="00327608" w:rsidRPr="0038186B">
        <w:rPr>
          <w:lang w:val="es-419"/>
        </w:rPr>
        <w:t xml:space="preserve">y </w:t>
      </w:r>
      <w:r w:rsidR="002703A3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diferencias en su interpretación y aplicación a nivel nacional,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de patentes permiten en general </w:t>
      </w:r>
      <w:r w:rsidR="002703A3" w:rsidRPr="0038186B">
        <w:rPr>
          <w:lang w:val="es-419"/>
        </w:rPr>
        <w:t>hacer extensiva</w:t>
      </w:r>
      <w:r w:rsidR="00344979" w:rsidRPr="0038186B">
        <w:rPr>
          <w:lang w:val="es-419"/>
        </w:rPr>
        <w:t xml:space="preserve"> la protección mediante patente a innovaciones concretas desarrolladas en un contexto tradicional, siempre y cuando las invenciones en el á</w:t>
      </w:r>
      <w:r w:rsidR="00E4213C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de los conocimientos tradicionales sean: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novedosas o nuevas;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resultado de la actividad inventiva o no evidentes;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útiles o susceptibles de aplicación industrial;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y que en general se ajusten a la definición de “invención”.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Ninguno de estos criterios </w:t>
      </w:r>
      <w:r w:rsidR="00E4213C" w:rsidRPr="0038186B">
        <w:rPr>
          <w:lang w:val="es-419"/>
        </w:rPr>
        <w:t>se define</w:t>
      </w:r>
      <w:r w:rsidR="00344979" w:rsidRPr="0038186B">
        <w:rPr>
          <w:lang w:val="es-419"/>
        </w:rPr>
        <w:t xml:space="preserve"> </w:t>
      </w:r>
      <w:r w:rsidR="00E4213C" w:rsidRPr="0038186B">
        <w:rPr>
          <w:lang w:val="es-419"/>
        </w:rPr>
        <w:t>formal</w:t>
      </w:r>
      <w:r w:rsidR="009448CE" w:rsidRPr="0038186B">
        <w:rPr>
          <w:lang w:val="es-419"/>
        </w:rPr>
        <w:t>mente como</w:t>
      </w:r>
      <w:r w:rsidR="00E4213C" w:rsidRPr="0038186B">
        <w:rPr>
          <w:lang w:val="es-419"/>
        </w:rPr>
        <w:t xml:space="preserve"> jurídicamente </w:t>
      </w:r>
      <w:r w:rsidR="00344979" w:rsidRPr="0038186B">
        <w:rPr>
          <w:lang w:val="es-419"/>
        </w:rPr>
        <w:t>vinculante en los instrumentos internacionales.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consiguiente, su aplicación a los conocimientos tradicionales </w:t>
      </w:r>
      <w:r w:rsidR="00D607C9" w:rsidRPr="0038186B">
        <w:rPr>
          <w:lang w:val="es-419"/>
        </w:rPr>
        <w:t>dependerá</w:t>
      </w:r>
      <w:r w:rsidR="009448CE" w:rsidRPr="0038186B">
        <w:rPr>
          <w:lang w:val="es-419"/>
        </w:rPr>
        <w:t xml:space="preserve"> de la</w:t>
      </w:r>
      <w:r w:rsidR="00344979" w:rsidRPr="0038186B">
        <w:rPr>
          <w:lang w:val="es-419"/>
        </w:rPr>
        <w:t xml:space="preserve"> flexibilidad </w:t>
      </w:r>
      <w:r w:rsidR="00D607C9" w:rsidRPr="0038186B">
        <w:rPr>
          <w:lang w:val="es-419"/>
        </w:rPr>
        <w:t>prevista en l</w:t>
      </w:r>
      <w:r w:rsidR="00344979" w:rsidRPr="0038186B">
        <w:rPr>
          <w:lang w:val="es-419"/>
        </w:rPr>
        <w:t xml:space="preserve">a </w:t>
      </w:r>
      <w:r w:rsidR="009448CE" w:rsidRPr="0038186B">
        <w:rPr>
          <w:lang w:val="es-419"/>
        </w:rPr>
        <w:t>legislación</w:t>
      </w:r>
      <w:r w:rsidR="00344979" w:rsidRPr="0038186B">
        <w:rPr>
          <w:lang w:val="es-419"/>
        </w:rPr>
        <w:t xml:space="preserve"> nacional.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2703A3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2703A3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definición de “invención” frente a</w:t>
      </w:r>
      <w:r w:rsidR="00834E24" w:rsidRPr="0038186B">
        <w:rPr>
          <w:lang w:val="es-419"/>
        </w:rPr>
        <w:t xml:space="preserve"> la noción </w:t>
      </w:r>
      <w:r w:rsidR="0038186B" w:rsidRPr="0038186B">
        <w:rPr>
          <w:lang w:val="es-419"/>
        </w:rPr>
        <w:t>de descubrimiento</w:t>
      </w:r>
      <w:r w:rsidR="00344979" w:rsidRPr="0038186B">
        <w:rPr>
          <w:lang w:val="es-419"/>
        </w:rPr>
        <w:t xml:space="preserve">, que puede resultar pertinente, por ejemplo, para los conocimientos </w:t>
      </w:r>
      <w:r w:rsidR="00344979" w:rsidRPr="0038186B">
        <w:rPr>
          <w:lang w:val="es-419"/>
        </w:rPr>
        <w:lastRenderedPageBreak/>
        <w:t xml:space="preserve">tradicionales que se consideran descubrimientos de principios de la naturaleza, </w:t>
      </w:r>
      <w:r w:rsidR="00AD5893" w:rsidRPr="0038186B">
        <w:rPr>
          <w:lang w:val="es-419"/>
        </w:rPr>
        <w:t xml:space="preserve">más que </w:t>
      </w:r>
      <w:r w:rsidR="00344979" w:rsidRPr="0038186B">
        <w:rPr>
          <w:lang w:val="es-419"/>
        </w:rPr>
        <w:t>invenciones como tales.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991BB0" w:rsidRPr="0038186B">
        <w:rPr>
          <w:lang w:val="es-419"/>
        </w:rPr>
        <w:t xml:space="preserve">respecto de </w:t>
      </w:r>
      <w:r w:rsidR="00344979" w:rsidRPr="0038186B">
        <w:rPr>
          <w:lang w:val="es-419"/>
        </w:rPr>
        <w:t>si los conocimientos tradicionales deben considerarse materia intrínsecamente patentable en el caso de que los conocimientos tradicionales constituyan: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 xml:space="preserve">una invención cuya explotación comercial deba impedirse necesariamente para proteger el </w:t>
      </w:r>
      <w:r w:rsidRPr="0038186B">
        <w:rPr>
          <w:i/>
          <w:lang w:val="es-419"/>
        </w:rPr>
        <w:t>orden público</w:t>
      </w:r>
      <w:r w:rsidRPr="0038186B">
        <w:rPr>
          <w:lang w:val="es-419"/>
        </w:rPr>
        <w:t xml:space="preserve"> o la moralidad, </w:t>
      </w:r>
      <w:r w:rsidR="00991BB0" w:rsidRPr="0038186B">
        <w:rPr>
          <w:lang w:val="es-419"/>
        </w:rPr>
        <w:t>en particular</w:t>
      </w:r>
      <w:r w:rsidRPr="0038186B">
        <w:rPr>
          <w:lang w:val="es-419"/>
        </w:rPr>
        <w:t xml:space="preserve"> para proteger la salud o la vida de las personas o de los animales o para preservar los vegetales, o para evitar daños graves al medio ambiente, siempre que esa exclusión no se establezca </w:t>
      </w:r>
      <w:r w:rsidR="00991BB0" w:rsidRPr="0038186B">
        <w:rPr>
          <w:lang w:val="es-419"/>
        </w:rPr>
        <w:t xml:space="preserve">simplemente porque </w:t>
      </w:r>
      <w:r w:rsidRPr="0038186B">
        <w:rPr>
          <w:lang w:val="es-419"/>
        </w:rPr>
        <w:t>la explotación de la invención esté prohibida por la legislación;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 método de diagnóstico, terapéutico y quirúrgico para el tratamiento de personas o animales;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33001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una planta o animal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que no sean </w:t>
      </w:r>
      <w:r w:rsidR="00344979" w:rsidRPr="0038186B">
        <w:rPr>
          <w:lang w:val="es-419"/>
        </w:rPr>
        <w:t xml:space="preserve">microorganismos, y procedimientos esencialmente biológicos para la producción de plantas o animales, </w:t>
      </w:r>
      <w:r w:rsidRPr="0038186B">
        <w:rPr>
          <w:lang w:val="es-419"/>
        </w:rPr>
        <w:t xml:space="preserve">distintos de los </w:t>
      </w:r>
      <w:r w:rsidR="00344979" w:rsidRPr="0038186B">
        <w:rPr>
          <w:lang w:val="es-419"/>
        </w:rPr>
        <w:t>procedimientos no biológicos o microbiológicos.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También existe flexibilidad con re</w:t>
      </w:r>
      <w:r w:rsidR="00834E24" w:rsidRPr="0038186B">
        <w:rPr>
          <w:lang w:val="es-419"/>
        </w:rPr>
        <w:t>specto a</w:t>
      </w:r>
      <w:r w:rsidR="00344979" w:rsidRPr="0038186B">
        <w:rPr>
          <w:lang w:val="es-419"/>
        </w:rPr>
        <w:t xml:space="preserve"> la forma en que se interpretan los criterios convencionales de patentabilidad en lo tocante a </w:t>
      </w:r>
      <w:r w:rsidR="00FF545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– en particular, la novedad (si las tradiciones orales transmitidas de forma relativamente privada dentro de una comunidad indígena o local se consideran estado de la técnica divulgado aplicable a la determinación de la novedad patentable) y el carácter no evidente (por ejemplo, si un especialista de un sistema de conocimientos tradicionales podría considerarse una persona experta en la materia </w:t>
      </w:r>
      <w:r w:rsidR="00FF5455" w:rsidRPr="0038186B">
        <w:rPr>
          <w:lang w:val="es-419"/>
        </w:rPr>
        <w:t>con capacidad para</w:t>
      </w:r>
      <w:r w:rsidR="00344979" w:rsidRPr="0038186B">
        <w:rPr>
          <w:lang w:val="es-419"/>
        </w:rPr>
        <w:t xml:space="preserve"> evaluar si el conocimiento es evidente o no).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F5455" w:rsidRPr="0038186B">
        <w:rPr>
          <w:lang w:val="es-419"/>
        </w:rPr>
        <w:t xml:space="preserve">Por otra parte, </w:t>
      </w:r>
      <w:r w:rsidR="00834E24" w:rsidRPr="0038186B">
        <w:rPr>
          <w:lang w:val="es-419"/>
        </w:rPr>
        <w:t xml:space="preserve">el hecho de </w:t>
      </w:r>
      <w:r w:rsidR="00344979" w:rsidRPr="0038186B">
        <w:rPr>
          <w:lang w:val="es-419"/>
        </w:rPr>
        <w:t>que un especialista en conocimientos tradicionales ha</w:t>
      </w:r>
      <w:r w:rsidR="00834E24" w:rsidRPr="0038186B">
        <w:rPr>
          <w:lang w:val="es-419"/>
        </w:rPr>
        <w:t>ya</w:t>
      </w:r>
      <w:r w:rsidR="00344979" w:rsidRPr="0038186B">
        <w:rPr>
          <w:lang w:val="es-419"/>
        </w:rPr>
        <w:t xml:space="preserve"> desarrollado una innovación </w:t>
      </w:r>
      <w:r w:rsidR="00333001" w:rsidRPr="0038186B">
        <w:rPr>
          <w:lang w:val="es-419"/>
        </w:rPr>
        <w:t>considerada</w:t>
      </w:r>
      <w:r w:rsidR="00344979" w:rsidRPr="0038186B">
        <w:rPr>
          <w:lang w:val="es-419"/>
        </w:rPr>
        <w:t xml:space="preserve"> patentable no implica </w:t>
      </w:r>
      <w:r w:rsidR="00FF5455" w:rsidRPr="0038186B">
        <w:rPr>
          <w:lang w:val="es-419"/>
        </w:rPr>
        <w:t>evidentemente</w:t>
      </w:r>
      <w:r w:rsidR="00344979" w:rsidRPr="0038186B">
        <w:rPr>
          <w:lang w:val="es-419"/>
        </w:rPr>
        <w:t xml:space="preserve"> que e</w:t>
      </w:r>
      <w:r w:rsidR="00834E24" w:rsidRPr="0038186B">
        <w:rPr>
          <w:lang w:val="es-419"/>
        </w:rPr>
        <w:t>se</w:t>
      </w:r>
      <w:r w:rsidR="00344979" w:rsidRPr="0038186B">
        <w:rPr>
          <w:lang w:val="es-419"/>
        </w:rPr>
        <w:t xml:space="preserve"> especialista desee necesariamente patentarla, o que disponga de los recursos necesarios para seguir el procedimiento de patentamiento;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dicho de otro modo, el hecho de ser patentable no significa en principio que un conocimiento tradicional esté </w:t>
      </w:r>
      <w:r w:rsidR="00344979" w:rsidRPr="0038186B">
        <w:rPr>
          <w:i/>
          <w:lang w:val="es-419"/>
        </w:rPr>
        <w:t>patentado</w:t>
      </w:r>
      <w:r w:rsidR="00344979" w:rsidRPr="0038186B">
        <w:rPr>
          <w:lang w:val="es-419"/>
        </w:rPr>
        <w:t xml:space="preserve"> de hecho.</w:t>
      </w:r>
      <w:r w:rsidR="001A60B0" w:rsidRPr="0038186B">
        <w:rPr>
          <w:lang w:val="es-419"/>
        </w:rPr>
        <w:t xml:space="preserve"> </w:t>
      </w:r>
      <w:r w:rsidR="00F057A1" w:rsidRPr="0038186B">
        <w:rPr>
          <w:lang w:val="es-419"/>
        </w:rPr>
        <w:t xml:space="preserve">El hecho de no hacer uso del </w:t>
      </w:r>
      <w:r w:rsidR="00344979" w:rsidRPr="0038186B">
        <w:rPr>
          <w:lang w:val="es-419"/>
        </w:rPr>
        <w:t xml:space="preserve">sistema de patentes </w:t>
      </w:r>
      <w:r w:rsidR="00F057A1" w:rsidRPr="0038186B">
        <w:rPr>
          <w:lang w:val="es-419"/>
        </w:rPr>
        <w:t xml:space="preserve">en la práctica </w:t>
      </w:r>
      <w:r w:rsidR="00344979" w:rsidRPr="0038186B">
        <w:rPr>
          <w:lang w:val="es-419"/>
        </w:rPr>
        <w:t xml:space="preserve">o </w:t>
      </w:r>
      <w:r w:rsidR="00F057A1" w:rsidRPr="0038186B">
        <w:rPr>
          <w:lang w:val="es-419"/>
        </w:rPr>
        <w:t>de decidir</w:t>
      </w:r>
      <w:r w:rsidR="00344979" w:rsidRPr="0038186B">
        <w:rPr>
          <w:lang w:val="es-419"/>
        </w:rPr>
        <w:t xml:space="preserve"> no utilizarlo debido a que la forma de protección no </w:t>
      </w:r>
      <w:r w:rsidR="00F057A1" w:rsidRPr="0038186B">
        <w:rPr>
          <w:lang w:val="es-419"/>
        </w:rPr>
        <w:t xml:space="preserve">se ajusta a las necesidades de </w:t>
      </w:r>
      <w:r w:rsidR="00344979" w:rsidRPr="0038186B">
        <w:rPr>
          <w:lang w:val="es-419"/>
        </w:rPr>
        <w:t xml:space="preserve">los titulares de los </w:t>
      </w:r>
      <w:r w:rsidR="00F057A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también p</w:t>
      </w:r>
      <w:r w:rsidR="00DD184F" w:rsidRPr="0038186B">
        <w:rPr>
          <w:lang w:val="es-419"/>
        </w:rPr>
        <w:t>odrían</w:t>
      </w:r>
      <w:r w:rsidR="00344979" w:rsidRPr="0038186B">
        <w:rPr>
          <w:lang w:val="es-419"/>
        </w:rPr>
        <w:t xml:space="preserve"> </w:t>
      </w:r>
      <w:r w:rsidR="00F057A1" w:rsidRPr="0038186B">
        <w:rPr>
          <w:lang w:val="es-419"/>
        </w:rPr>
        <w:t>considerarse</w:t>
      </w:r>
      <w:r w:rsidR="00344979" w:rsidRPr="0038186B">
        <w:rPr>
          <w:lang w:val="es-419"/>
        </w:rPr>
        <w:t xml:space="preserve"> una carencia, incluso </w:t>
      </w:r>
      <w:r w:rsidR="00FF2E8E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algunos elementos de los conocimientos tradicionales sean técnicamente patentables.</w:t>
      </w:r>
      <w:r w:rsidRPr="0038186B">
        <w:rPr>
          <w:lang w:val="es-419"/>
        </w:rPr>
        <w:t xml:space="preserve"> </w:t>
      </w:r>
      <w:r w:rsidR="00C24F7B" w:rsidRPr="0038186B">
        <w:rPr>
          <w:lang w:val="es-419"/>
        </w:rPr>
        <w:t>Ahora bien,</w:t>
      </w:r>
      <w:r w:rsidR="00B74C73" w:rsidRPr="0038186B">
        <w:rPr>
          <w:lang w:val="es-419"/>
        </w:rPr>
        <w:t xml:space="preserve"> </w:t>
      </w:r>
      <w:r w:rsidR="00FF2E8E" w:rsidRPr="0038186B">
        <w:rPr>
          <w:lang w:val="es-419"/>
        </w:rPr>
        <w:t xml:space="preserve">al </w:t>
      </w:r>
      <w:r w:rsidR="00A17E10" w:rsidRPr="0038186B">
        <w:rPr>
          <w:lang w:val="es-419"/>
        </w:rPr>
        <w:t>realizar</w:t>
      </w:r>
      <w:r w:rsidR="00FF2E8E" w:rsidRPr="0038186B">
        <w:rPr>
          <w:lang w:val="es-419"/>
        </w:rPr>
        <w:t xml:space="preserve"> un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, </w:t>
      </w:r>
      <w:r w:rsidR="00A17E10" w:rsidRPr="0038186B">
        <w:rPr>
          <w:lang w:val="es-419"/>
        </w:rPr>
        <w:t>puede ser necesario</w:t>
      </w:r>
      <w:r w:rsidR="00FF2E8E" w:rsidRPr="0038186B">
        <w:rPr>
          <w:lang w:val="es-419"/>
        </w:rPr>
        <w:t xml:space="preserve"> distinguir</w:t>
      </w:r>
      <w:r w:rsidR="00B74C73" w:rsidRPr="0038186B">
        <w:rPr>
          <w:lang w:val="es-419"/>
        </w:rPr>
        <w:t xml:space="preserve"> entre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formal</w:t>
      </w:r>
      <w:r w:rsidR="00A17E10" w:rsidRPr="0038186B">
        <w:rPr>
          <w:lang w:val="es-419"/>
        </w:rPr>
        <w:t xml:space="preserve"> en</w:t>
      </w:r>
      <w:r w:rsidR="00C24F7B" w:rsidRPr="0038186B">
        <w:rPr>
          <w:lang w:val="es-419"/>
        </w:rPr>
        <w:t xml:space="preserve"> el </w:t>
      </w:r>
      <w:r w:rsidR="00B74C73" w:rsidRPr="0038186B">
        <w:rPr>
          <w:lang w:val="es-419"/>
        </w:rPr>
        <w:t xml:space="preserve">alcance </w:t>
      </w:r>
      <w:r w:rsidR="00132CEA" w:rsidRPr="0038186B">
        <w:rPr>
          <w:lang w:val="es-419"/>
        </w:rPr>
        <w:t>jurídico</w:t>
      </w:r>
      <w:r w:rsidR="00B74C73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A17E10" w:rsidRPr="0038186B">
        <w:rPr>
          <w:lang w:val="es-419"/>
        </w:rPr>
        <w:t>que en principio podría ofrecerse</w:t>
      </w:r>
      <w:r w:rsidR="00B74C73" w:rsidRPr="0038186B">
        <w:rPr>
          <w:lang w:val="es-419"/>
        </w:rPr>
        <w:t xml:space="preserve"> y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</w:t>
      </w:r>
      <w:r w:rsidR="00DD184F" w:rsidRPr="0038186B">
        <w:rPr>
          <w:lang w:val="es-419"/>
        </w:rPr>
        <w:t xml:space="preserve">práctica, </w:t>
      </w:r>
      <w:r w:rsidR="004D64BE" w:rsidRPr="0038186B">
        <w:rPr>
          <w:lang w:val="es-419"/>
        </w:rPr>
        <w:t>es decir el hecho de no haber obtenido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B74C73" w:rsidRPr="0038186B">
        <w:rPr>
          <w:lang w:val="es-419"/>
        </w:rPr>
        <w:t xml:space="preserve">para determinados elementos de los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, en otros términos, </w:t>
      </w:r>
      <w:r w:rsidR="00B752E1" w:rsidRPr="0038186B">
        <w:rPr>
          <w:lang w:val="es-419"/>
        </w:rPr>
        <w:t xml:space="preserve">en qué </w:t>
      </w:r>
      <w:r w:rsidR="004D64BE" w:rsidRPr="0038186B">
        <w:rPr>
          <w:lang w:val="es-419"/>
        </w:rPr>
        <w:t xml:space="preserve">medida </w:t>
      </w:r>
      <w:r w:rsidR="00B74C73" w:rsidRPr="0038186B">
        <w:rPr>
          <w:lang w:val="es-419"/>
        </w:rPr>
        <w:t>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 que </w:t>
      </w:r>
      <w:r w:rsidR="00B74C73" w:rsidRPr="0038186B">
        <w:rPr>
          <w:i/>
          <w:lang w:val="es-419"/>
        </w:rPr>
        <w:t>pueden</w:t>
      </w:r>
      <w:r w:rsidR="004D64BE" w:rsidRPr="0038186B">
        <w:rPr>
          <w:lang w:val="es-419"/>
        </w:rPr>
        <w:t xml:space="preserve"> ser protegidos</w:t>
      </w:r>
      <w:r w:rsidRPr="0038186B">
        <w:rPr>
          <w:lang w:val="es-419"/>
        </w:rPr>
        <w:t xml:space="preserve"> </w:t>
      </w:r>
      <w:r w:rsidR="00B752E1" w:rsidRPr="0038186B">
        <w:rPr>
          <w:lang w:val="es-419"/>
        </w:rPr>
        <w:t xml:space="preserve">lo son </w:t>
      </w:r>
      <w:r w:rsidR="00B752E1" w:rsidRPr="0038186B">
        <w:rPr>
          <w:i/>
          <w:lang w:val="es-419"/>
        </w:rPr>
        <w:t>de hecho</w:t>
      </w:r>
      <w:r w:rsidR="00B752E1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752E1" w:rsidRPr="0038186B">
        <w:rPr>
          <w:lang w:val="es-419"/>
        </w:rPr>
        <w:t>Dado que</w:t>
      </w:r>
      <w:r w:rsidR="00B74C73" w:rsidRPr="0038186B">
        <w:rPr>
          <w:lang w:val="es-419"/>
        </w:rPr>
        <w:t xml:space="preserve"> est</w:t>
      </w:r>
      <w:r w:rsidR="00B752E1" w:rsidRPr="0038186B">
        <w:rPr>
          <w:lang w:val="es-419"/>
        </w:rPr>
        <w:t>e último tipo de</w:t>
      </w:r>
      <w:r w:rsidR="00B74C73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B74C73" w:rsidRPr="0038186B">
        <w:rPr>
          <w:lang w:val="es-419"/>
        </w:rPr>
        <w:t xml:space="preserve"> requiere </w:t>
      </w:r>
      <w:r w:rsidR="00ED1B76" w:rsidRPr="0038186B">
        <w:rPr>
          <w:lang w:val="es-419"/>
        </w:rPr>
        <w:t xml:space="preserve">importantes </w:t>
      </w:r>
      <w:r w:rsidR="005C38EC" w:rsidRPr="0038186B">
        <w:rPr>
          <w:lang w:val="es-419"/>
        </w:rPr>
        <w:t>trabajos</w:t>
      </w:r>
      <w:r w:rsidR="00B74C73" w:rsidRPr="0038186B">
        <w:rPr>
          <w:lang w:val="es-419"/>
        </w:rPr>
        <w:t xml:space="preserve"> </w:t>
      </w:r>
      <w:r w:rsidR="005C38EC" w:rsidRPr="0038186B">
        <w:rPr>
          <w:lang w:val="es-419"/>
        </w:rPr>
        <w:t xml:space="preserve">de campo </w:t>
      </w:r>
      <w:r w:rsidR="00B752E1" w:rsidRPr="0038186B">
        <w:rPr>
          <w:lang w:val="es-419"/>
        </w:rPr>
        <w:t>empíric</w:t>
      </w:r>
      <w:r w:rsidR="005C38EC" w:rsidRPr="0038186B">
        <w:rPr>
          <w:lang w:val="es-419"/>
        </w:rPr>
        <w:t>os</w:t>
      </w:r>
      <w:r w:rsidR="00132CEA" w:rsidRPr="0038186B">
        <w:rPr>
          <w:lang w:val="es-419"/>
        </w:rPr>
        <w:t>, no se aborda</w:t>
      </w:r>
      <w:r w:rsidR="005C38EC" w:rsidRPr="0038186B">
        <w:rPr>
          <w:lang w:val="es-419"/>
        </w:rPr>
        <w:t xml:space="preserve"> en el presente documento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</w:t>
      </w:r>
      <w:r w:rsidR="00132CEA" w:rsidRPr="0038186B">
        <w:rPr>
          <w:lang w:val="es-419"/>
        </w:rPr>
        <w:t xml:space="preserve"> obstante, el</w:t>
      </w:r>
      <w:r w:rsidR="001970C2" w:rsidRPr="0038186B">
        <w:rPr>
          <w:lang w:val="es-419"/>
        </w:rPr>
        <w:t xml:space="preserve"> Comité </w:t>
      </w:r>
      <w:r w:rsidR="00132CEA" w:rsidRPr="0038186B">
        <w:rPr>
          <w:lang w:val="es-419"/>
        </w:rPr>
        <w:t>ha realizado extensos</w:t>
      </w:r>
      <w:r w:rsidRPr="0038186B">
        <w:rPr>
          <w:lang w:val="es-419"/>
        </w:rPr>
        <w:t xml:space="preserve"> e</w:t>
      </w:r>
      <w:r w:rsidR="00132CEA" w:rsidRPr="0038186B">
        <w:rPr>
          <w:lang w:val="es-419"/>
        </w:rPr>
        <w:t>studios a</w:t>
      </w:r>
      <w:r w:rsidR="005C38EC" w:rsidRPr="0038186B">
        <w:rPr>
          <w:lang w:val="es-419"/>
        </w:rPr>
        <w:t xml:space="preserve"> ese</w:t>
      </w:r>
      <w:r w:rsidR="00132CEA" w:rsidRPr="0038186B">
        <w:rPr>
          <w:lang w:val="es-419"/>
        </w:rPr>
        <w:t xml:space="preserve"> respecto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9"/>
      </w:r>
      <w:r w:rsidR="00623E66" w:rsidRPr="0038186B">
        <w:rPr>
          <w:lang w:val="es-419"/>
        </w:rPr>
        <w:t xml:space="preserve"> </w:t>
      </w:r>
      <w:r w:rsidR="00794328" w:rsidRPr="0038186B">
        <w:rPr>
          <w:rStyle w:val="FootnoteReference"/>
          <w:lang w:val="es-419"/>
        </w:rPr>
        <w:footnoteReference w:id="20"/>
      </w:r>
    </w:p>
    <w:p w:rsidR="00DF5574" w:rsidRPr="0038186B" w:rsidRDefault="00344979" w:rsidP="00130037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5" w:name="_Toc116899000"/>
      <w:r w:rsidRPr="0038186B">
        <w:rPr>
          <w:i/>
          <w:u w:val="none"/>
          <w:lang w:val="es-419"/>
        </w:rPr>
        <w:lastRenderedPageBreak/>
        <w:t>ii)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Protección preventiva de los conocimientos tradicionales en el sistema de patentes</w:t>
      </w:r>
      <w:bookmarkEnd w:id="15"/>
    </w:p>
    <w:p w:rsidR="00FD6EEF" w:rsidRPr="0038186B" w:rsidRDefault="00FD6EEF" w:rsidP="00130037">
      <w:pPr>
        <w:keepNext/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B20836" w:rsidRPr="0038186B" w:rsidRDefault="00344979" w:rsidP="00130037">
            <w:pPr>
              <w:keepNext/>
              <w:spacing w:after="120"/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B74C73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PCT, Clasificación Internacional de Patentes.</w:t>
            </w: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atañe a las medidas destinadas a prevenir o reparar la concesión ilegítima de patentes sobre elementos de los </w:t>
      </w:r>
      <w:r w:rsidR="00ED67B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sistema de patentes, la protección de los </w:t>
      </w:r>
      <w:r w:rsidR="00ED67B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 ha planteado </w:t>
      </w:r>
      <w:r w:rsidR="00ED67BB" w:rsidRPr="0038186B">
        <w:rPr>
          <w:lang w:val="es-419"/>
        </w:rPr>
        <w:t>muy a menudo desde una perspectiva</w:t>
      </w:r>
      <w:r w:rsidR="00344979" w:rsidRPr="0038186B">
        <w:rPr>
          <w:lang w:val="es-419"/>
        </w:rPr>
        <w:t xml:space="preserve"> preventiv</w:t>
      </w:r>
      <w:r w:rsidR="00ED67BB" w:rsidRPr="0038186B">
        <w:rPr>
          <w:lang w:val="es-419"/>
        </w:rPr>
        <w:t xml:space="preserve">a, más que con objeto de </w:t>
      </w:r>
      <w:r w:rsidR="00344979" w:rsidRPr="0038186B">
        <w:rPr>
          <w:lang w:val="es-419"/>
        </w:rPr>
        <w:t xml:space="preserve">obtener </w:t>
      </w:r>
      <w:r w:rsidR="00AE6BEF" w:rsidRPr="0038186B">
        <w:rPr>
          <w:lang w:val="es-419"/>
        </w:rPr>
        <w:t>realmente una patente</w:t>
      </w:r>
      <w:r w:rsidR="00344979" w:rsidRPr="0038186B">
        <w:rPr>
          <w:lang w:val="es-419"/>
        </w:rPr>
        <w:t xml:space="preserve"> sobre </w:t>
      </w:r>
      <w:r w:rsidR="00AE6BEF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obligaciones, disposiciones y posibilidades que ya existen a nivel internacional tienen una pert</w:t>
      </w:r>
      <w:r w:rsidR="00AE6BEF" w:rsidRPr="0038186B">
        <w:rPr>
          <w:lang w:val="es-419"/>
        </w:rPr>
        <w:t>i</w:t>
      </w:r>
      <w:r w:rsidR="00344979" w:rsidRPr="0038186B">
        <w:rPr>
          <w:lang w:val="es-419"/>
        </w:rPr>
        <w:t>nencia directa para la protección preventiva.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éstas figuran las medidas preventivas jurídicas y prácticas existentes en </w:t>
      </w:r>
      <w:r w:rsidR="00834E24" w:rsidRPr="0038186B">
        <w:rPr>
          <w:lang w:val="es-419"/>
        </w:rPr>
        <w:t xml:space="preserve">el Derecho </w:t>
      </w:r>
      <w:r w:rsidR="00344979" w:rsidRPr="0038186B">
        <w:rPr>
          <w:lang w:val="es-419"/>
        </w:rPr>
        <w:t xml:space="preserve">convencional </w:t>
      </w:r>
      <w:r w:rsidR="00834E24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patentes, así como las propuestas d</w:t>
      </w:r>
      <w:r w:rsidR="00AE6BEF" w:rsidRPr="0038186B">
        <w:rPr>
          <w:lang w:val="es-419"/>
        </w:rPr>
        <w:t xml:space="preserve">estinadas </w:t>
      </w:r>
      <w:r w:rsidR="00344979" w:rsidRPr="0038186B">
        <w:rPr>
          <w:lang w:val="es-419"/>
        </w:rPr>
        <w:t>a revisar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con vistas a crear medidas específicas de divulgación relativas a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(conjuntamente con los recursos genéticos).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de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el contexto de las normas vigentes </w:t>
      </w:r>
      <w:r w:rsidR="00F1635F" w:rsidRPr="0038186B">
        <w:rPr>
          <w:lang w:val="es-419"/>
        </w:rPr>
        <w:t>del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comprende las medidas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derecho del inventor de ser mencionado como tal en la patente, tal como establece el Convenio de París.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ampliación de </w:t>
      </w:r>
      <w:r w:rsidR="00232D2B" w:rsidRPr="0038186B">
        <w:rPr>
          <w:lang w:val="es-419"/>
        </w:rPr>
        <w:t>la documentación mínima del PCT</w:t>
      </w:r>
      <w:r w:rsidRPr="0038186B">
        <w:rPr>
          <w:lang w:val="es-419"/>
        </w:rPr>
        <w:t xml:space="preserve"> </w:t>
      </w:r>
      <w:r w:rsidR="00232D2B" w:rsidRPr="0038186B">
        <w:rPr>
          <w:lang w:val="es-419"/>
        </w:rPr>
        <w:t xml:space="preserve">de tal forma que </w:t>
      </w:r>
      <w:r w:rsidRPr="0038186B">
        <w:rPr>
          <w:lang w:val="es-419"/>
        </w:rPr>
        <w:t>inclu</w:t>
      </w:r>
      <w:r w:rsidR="00232D2B" w:rsidRPr="0038186B">
        <w:rPr>
          <w:lang w:val="es-419"/>
        </w:rPr>
        <w:t>ya pub</w:t>
      </w:r>
      <w:r w:rsidRPr="0038186B">
        <w:rPr>
          <w:lang w:val="es-419"/>
        </w:rPr>
        <w:t xml:space="preserve">licaciones sobre </w:t>
      </w:r>
      <w:r w:rsidR="00232D2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</w:t>
      </w:r>
      <w:r w:rsidR="00232D2B" w:rsidRPr="0038186B">
        <w:rPr>
          <w:lang w:val="es-419"/>
        </w:rPr>
        <w:t xml:space="preserve">sto permitirá </w:t>
      </w:r>
      <w:r w:rsidRPr="0038186B">
        <w:rPr>
          <w:lang w:val="es-419"/>
        </w:rPr>
        <w:t>asegurar que importantes cantidades de conocimientos tradicionales ya publicados se tengan en cuenta de forma sistemática en las primeras fases de</w:t>
      </w:r>
      <w:r w:rsidR="00232D2B" w:rsidRPr="0038186B">
        <w:rPr>
          <w:lang w:val="es-419"/>
        </w:rPr>
        <w:t>l ciclo de</w:t>
      </w:r>
      <w:r w:rsidRPr="0038186B">
        <w:rPr>
          <w:lang w:val="es-419"/>
        </w:rPr>
        <w:t xml:space="preserve"> vida de muchas patentes, y se incluyan en los informes internacionales de búsqueda publicados, incluso antes de que una solicitud de patente pase a la fase nacional.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662D70" w:rsidP="0020270C">
      <w:pPr>
        <w:numPr>
          <w:ilvl w:val="0"/>
          <w:numId w:val="17"/>
        </w:numPr>
        <w:tabs>
          <w:tab w:val="clear" w:pos="1080"/>
          <w:tab w:val="num" w:pos="990"/>
        </w:tabs>
        <w:ind w:left="990" w:hanging="630"/>
        <w:rPr>
          <w:lang w:val="es-419"/>
        </w:rPr>
      </w:pPr>
      <w:r w:rsidRPr="0038186B">
        <w:rPr>
          <w:lang w:val="es-419"/>
        </w:rPr>
        <w:t>La revisió</w:t>
      </w:r>
      <w:r w:rsidR="00FD6EEF" w:rsidRPr="0038186B">
        <w:rPr>
          <w:lang w:val="es-419"/>
        </w:rPr>
        <w:t xml:space="preserve">n </w:t>
      </w:r>
      <w:r w:rsidRPr="0038186B">
        <w:rPr>
          <w:lang w:val="es-419"/>
        </w:rPr>
        <w:t>de la Clasificación Internacional de Patentes e</w:t>
      </w:r>
      <w:r w:rsidR="00FD6EEF" w:rsidRPr="0038186B">
        <w:rPr>
          <w:lang w:val="es-419"/>
        </w:rPr>
        <w:t xml:space="preserve">n 2006 </w:t>
      </w:r>
      <w:r w:rsidRPr="0038186B">
        <w:rPr>
          <w:lang w:val="es-419"/>
        </w:rPr>
        <w:t xml:space="preserve">con el fin de ampliar </w:t>
      </w:r>
      <w:r w:rsidR="0074364F" w:rsidRPr="0038186B">
        <w:rPr>
          <w:lang w:val="es-419"/>
        </w:rPr>
        <w:t xml:space="preserve">su alcance </w:t>
      </w:r>
      <w:r w:rsidRPr="0038186B">
        <w:rPr>
          <w:lang w:val="es-419"/>
        </w:rPr>
        <w:t xml:space="preserve">y </w:t>
      </w:r>
      <w:r w:rsidR="0074364F" w:rsidRPr="0038186B">
        <w:rPr>
          <w:lang w:val="es-419"/>
        </w:rPr>
        <w:t>abarcar</w:t>
      </w:r>
      <w:r w:rsidRPr="0038186B">
        <w:rPr>
          <w:lang w:val="es-419"/>
        </w:rPr>
        <w:t xml:space="preserve"> un tipo concreto de material relacionado con los </w:t>
      </w:r>
      <w:r w:rsidR="001970C2" w:rsidRPr="0038186B">
        <w:rPr>
          <w:lang w:val="es-419"/>
        </w:rPr>
        <w:t>conocimientos tradicionales</w:t>
      </w:r>
      <w:r w:rsidR="00FD6EEF" w:rsidRPr="0038186B">
        <w:rPr>
          <w:lang w:val="es-419"/>
        </w:rPr>
        <w:t xml:space="preserve">, </w:t>
      </w:r>
      <w:r w:rsidRPr="0038186B">
        <w:rPr>
          <w:lang w:val="es-419"/>
        </w:rPr>
        <w:t xml:space="preserve">a saber, las </w:t>
      </w:r>
      <w:r w:rsidR="00FD6EEF" w:rsidRPr="0038186B">
        <w:rPr>
          <w:lang w:val="es-419"/>
        </w:rPr>
        <w:t>“</w:t>
      </w:r>
      <w:r w:rsidR="002B2AF4" w:rsidRPr="0038186B">
        <w:rPr>
          <w:lang w:val="es-419"/>
        </w:rPr>
        <w:t>preparaciones medicinales de constitución indeterminada que contienen sustancias procedentes de algas, líquenes, hongos o plantas o sus derivados, p. ej. medicinas tradicionales basadas en plantas</w:t>
      </w:r>
      <w:r w:rsidR="00FD6EEF" w:rsidRPr="0038186B">
        <w:rPr>
          <w:lang w:val="es-419"/>
        </w:rPr>
        <w:t>” (A61K 36/00).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 revisión reconoce la importancia intelectual y tecnológica de los sistemas de conocimientos tradicionales.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Aumenta la probabilidad de que se </w:t>
      </w:r>
      <w:r w:rsidR="00834E24" w:rsidRPr="0038186B">
        <w:rPr>
          <w:lang w:val="es-419"/>
        </w:rPr>
        <w:t>encuentren</w:t>
      </w:r>
      <w:r w:rsidR="00344979" w:rsidRPr="0038186B">
        <w:rPr>
          <w:lang w:val="es-419"/>
        </w:rPr>
        <w:t xml:space="preserve"> los documentos pertinentes relacionados con conocimientos tradicionales durante el proceso de </w:t>
      </w:r>
      <w:r w:rsidR="0074364F" w:rsidRPr="0038186B">
        <w:rPr>
          <w:lang w:val="es-419"/>
        </w:rPr>
        <w:t>búsqueda de patentes</w:t>
      </w:r>
      <w:r w:rsidR="00344979" w:rsidRPr="0038186B">
        <w:rPr>
          <w:lang w:val="es-419"/>
        </w:rPr>
        <w:t>, lo que aumentará la base práctica de la protección preventiva de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94328" w:rsidRPr="0038186B">
        <w:rPr>
          <w:lang w:val="es-419"/>
        </w:rPr>
        <w:t xml:space="preserve">El Comité ha elaborado las siguientes normas y directrices que no figuran formalmente en las </w:t>
      </w:r>
      <w:r w:rsidR="00B140C1" w:rsidRPr="0038186B">
        <w:rPr>
          <w:lang w:val="es-419"/>
        </w:rPr>
        <w:t xml:space="preserve">actuales </w:t>
      </w:r>
      <w:r w:rsidR="00794328" w:rsidRPr="0038186B">
        <w:rPr>
          <w:lang w:val="es-419"/>
        </w:rPr>
        <w:t>normas internacionales en materia de</w:t>
      </w:r>
      <w:r w:rsidR="008D65C1" w:rsidRPr="0038186B">
        <w:rPr>
          <w:lang w:val="es-419"/>
        </w:rPr>
        <w:t xml:space="preserve"> patentes</w:t>
      </w:r>
      <w:r w:rsidR="00794328" w:rsidRPr="0038186B">
        <w:rPr>
          <w:lang w:val="es-419"/>
        </w:rPr>
        <w:t xml:space="preserve">, pero que son de importancia para la </w:t>
      </w:r>
      <w:r w:rsidR="001970C2" w:rsidRPr="0038186B">
        <w:rPr>
          <w:lang w:val="es-419"/>
        </w:rPr>
        <w:t>protección</w:t>
      </w:r>
      <w:r w:rsidR="008D65C1" w:rsidRPr="0038186B">
        <w:rPr>
          <w:lang w:val="es-419"/>
        </w:rPr>
        <w:t xml:space="preserve"> preventiva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 xml:space="preserve">La adopción por parte del Comité de normas para la </w:t>
      </w:r>
      <w:r w:rsidR="00B140C1" w:rsidRPr="0038186B">
        <w:rPr>
          <w:lang w:val="es-419"/>
        </w:rPr>
        <w:t xml:space="preserve">catalogación </w:t>
      </w:r>
      <w:r w:rsidRPr="0038186B">
        <w:rPr>
          <w:lang w:val="es-419"/>
        </w:rPr>
        <w:t>de</w:t>
      </w:r>
      <w:r w:rsidR="00B140C1" w:rsidRPr="0038186B">
        <w:rPr>
          <w:lang w:val="es-419"/>
        </w:rPr>
        <w:t xml:space="preserve"> los</w:t>
      </w:r>
      <w:r w:rsidRPr="0038186B">
        <w:rPr>
          <w:lang w:val="es-419"/>
        </w:rPr>
        <w:t xml:space="preserve"> conocimientos tradicionales</w:t>
      </w:r>
      <w:r w:rsidR="00B140C1" w:rsidRPr="0038186B">
        <w:rPr>
          <w:lang w:val="es-419"/>
        </w:rPr>
        <w:t xml:space="preserve"> y de</w:t>
      </w:r>
      <w:r w:rsidRPr="0038186B">
        <w:rPr>
          <w:lang w:val="es-419"/>
        </w:rPr>
        <w:t xml:space="preserve"> normas </w:t>
      </w:r>
      <w:r w:rsidR="00B140C1" w:rsidRPr="0038186B">
        <w:rPr>
          <w:lang w:val="es-419"/>
        </w:rPr>
        <w:t xml:space="preserve">en las </w:t>
      </w:r>
      <w:r w:rsidRPr="0038186B">
        <w:rPr>
          <w:lang w:val="es-419"/>
        </w:rPr>
        <w:t xml:space="preserve">que </w:t>
      </w:r>
      <w:r w:rsidR="00B140C1" w:rsidRPr="0038186B">
        <w:rPr>
          <w:lang w:val="es-419"/>
        </w:rPr>
        <w:t xml:space="preserve">se </w:t>
      </w:r>
      <w:r w:rsidRPr="0038186B">
        <w:rPr>
          <w:lang w:val="es-419"/>
        </w:rPr>
        <w:t>recono</w:t>
      </w:r>
      <w:r w:rsidR="00B140C1" w:rsidRPr="0038186B">
        <w:rPr>
          <w:lang w:val="es-419"/>
        </w:rPr>
        <w:t>zca</w:t>
      </w:r>
      <w:r w:rsidRPr="0038186B">
        <w:rPr>
          <w:lang w:val="es-419"/>
        </w:rPr>
        <w:t xml:space="preserve"> la necesidad de </w:t>
      </w:r>
      <w:r w:rsidR="00B140C1" w:rsidRPr="0038186B">
        <w:rPr>
          <w:lang w:val="es-419"/>
        </w:rPr>
        <w:t>registrar</w:t>
      </w:r>
      <w:r w:rsidRPr="0038186B">
        <w:rPr>
          <w:lang w:val="es-419"/>
        </w:rPr>
        <w:t xml:space="preserve"> y respetar las condiciones de acceso y uso de los conocimientos tradicionales </w:t>
      </w:r>
      <w:r w:rsidR="00B140C1" w:rsidRPr="0038186B">
        <w:rPr>
          <w:lang w:val="es-419"/>
        </w:rPr>
        <w:t>catalogados</w:t>
      </w:r>
      <w:r w:rsidRPr="0038186B">
        <w:rPr>
          <w:lang w:val="es-419"/>
        </w:rPr>
        <w:t>.</w:t>
      </w:r>
      <w:r w:rsidR="000815D2" w:rsidRPr="0038186B">
        <w:rPr>
          <w:rStyle w:val="FootnoteReference"/>
          <w:lang w:val="es-419"/>
        </w:rPr>
        <w:footnoteReference w:id="21"/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834E24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>La elaboración</w:t>
      </w:r>
      <w:r w:rsidR="00344979" w:rsidRPr="0038186B">
        <w:rPr>
          <w:lang w:val="es-419"/>
        </w:rPr>
        <w:t xml:space="preserve"> en el Comité de directrices para el examen de patentes relacionadas con </w:t>
      </w:r>
      <w:r w:rsidRPr="0038186B">
        <w:rPr>
          <w:lang w:val="es-419"/>
        </w:rPr>
        <w:t xml:space="preserve">los </w:t>
      </w:r>
      <w:r w:rsidR="00B140C1" w:rsidRPr="0038186B">
        <w:rPr>
          <w:lang w:val="es-419"/>
        </w:rPr>
        <w:t>CC.TT.</w:t>
      </w:r>
      <w:r w:rsidR="00344979" w:rsidRPr="0038186B">
        <w:rPr>
          <w:lang w:val="es-419"/>
        </w:rPr>
        <w:t>, cuya aplicación aumentar</w:t>
      </w:r>
      <w:r w:rsidR="00B140C1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considerablemente la probabilidad de </w:t>
      </w:r>
      <w:r w:rsidRPr="0038186B">
        <w:rPr>
          <w:lang w:val="es-419"/>
        </w:rPr>
        <w:t xml:space="preserve">evitar que se </w:t>
      </w:r>
      <w:r w:rsidR="00344979" w:rsidRPr="0038186B">
        <w:rPr>
          <w:lang w:val="es-419"/>
        </w:rPr>
        <w:t>concedan patentes ilegítima</w:t>
      </w:r>
      <w:r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</w:t>
      </w:r>
      <w:r w:rsidR="00C73627" w:rsidRPr="0038186B">
        <w:rPr>
          <w:lang w:val="es-419"/>
        </w:rPr>
        <w:t>CC.TT.</w:t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D65C1" w:rsidRPr="0038186B">
        <w:rPr>
          <w:lang w:val="es-419"/>
        </w:rPr>
        <w:t>Otra medida que se recoge en algunas leyes 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</w:t>
      </w:r>
      <w:r w:rsidR="00C73627" w:rsidRPr="0038186B">
        <w:rPr>
          <w:lang w:val="es-419"/>
        </w:rPr>
        <w:t xml:space="preserve">aunque </w:t>
      </w:r>
      <w:r w:rsidR="008D65C1" w:rsidRPr="0038186B">
        <w:rPr>
          <w:lang w:val="es-419"/>
        </w:rPr>
        <w:t>no en las normas internacionales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consiste en exigir al solicitante de patente que divulgue la información </w:t>
      </w:r>
      <w:r w:rsidR="00AC0BD1" w:rsidRPr="0038186B">
        <w:rPr>
          <w:lang w:val="es-419"/>
        </w:rPr>
        <w:t xml:space="preserve">que sea pertinente a efectos de </w:t>
      </w:r>
      <w:r w:rsidR="008D65C1" w:rsidRPr="0038186B">
        <w:rPr>
          <w:lang w:val="es-419"/>
        </w:rPr>
        <w:t>patentabilidad de la invención</w:t>
      </w:r>
      <w:r w:rsidR="00C73627" w:rsidRPr="0038186B">
        <w:rPr>
          <w:lang w:val="es-419"/>
        </w:rPr>
        <w:t>, incluida su fuente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141FD" w:rsidRPr="0038186B">
        <w:rPr>
          <w:lang w:val="es-419"/>
        </w:rPr>
        <w:t>Existen o</w:t>
      </w:r>
      <w:r w:rsidR="008D65C1" w:rsidRPr="0038186B">
        <w:rPr>
          <w:lang w:val="es-419"/>
        </w:rPr>
        <w:t xml:space="preserve">tras iniciativas </w:t>
      </w:r>
      <w:r w:rsidR="007141FD" w:rsidRPr="0038186B">
        <w:rPr>
          <w:lang w:val="es-419"/>
        </w:rPr>
        <w:t xml:space="preserve">cuya finalidad es </w:t>
      </w:r>
      <w:r w:rsidR="00F23F3E" w:rsidRPr="0038186B">
        <w:rPr>
          <w:lang w:val="es-419"/>
        </w:rPr>
        <w:t>garantizar</w:t>
      </w:r>
      <w:r w:rsidR="00AC0BD1" w:rsidRPr="0038186B">
        <w:rPr>
          <w:lang w:val="es-419"/>
        </w:rPr>
        <w:t>, en el marco de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>los procedimientos de búsqueda y examen de patentes</w:t>
      </w:r>
      <w:r w:rsidR="00AC0BD1" w:rsidRPr="0038186B">
        <w:rPr>
          <w:lang w:val="es-419"/>
        </w:rPr>
        <w:t xml:space="preserve">, </w:t>
      </w:r>
      <w:r w:rsidR="00F23F3E" w:rsidRPr="0038186B">
        <w:rPr>
          <w:lang w:val="es-419"/>
        </w:rPr>
        <w:t>el</w:t>
      </w:r>
      <w:r w:rsidR="008D65C1" w:rsidRPr="0038186B">
        <w:rPr>
          <w:lang w:val="es-419"/>
        </w:rPr>
        <w:t xml:space="preserve"> </w:t>
      </w:r>
      <w:r w:rsidR="00AC0BD1" w:rsidRPr="0038186B">
        <w:rPr>
          <w:lang w:val="es-419"/>
        </w:rPr>
        <w:t xml:space="preserve">pleno </w:t>
      </w:r>
      <w:r w:rsidR="008D65C1" w:rsidRPr="0038186B">
        <w:rPr>
          <w:lang w:val="es-419"/>
        </w:rPr>
        <w:t>acceso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 xml:space="preserve">a los </w:t>
      </w:r>
      <w:r w:rsidR="001970C2" w:rsidRPr="0038186B">
        <w:rPr>
          <w:lang w:val="es-419"/>
        </w:rPr>
        <w:t>CC.TT.</w:t>
      </w:r>
      <w:r w:rsidR="008D65C1" w:rsidRPr="0038186B">
        <w:rPr>
          <w:lang w:val="es-419"/>
        </w:rPr>
        <w:t xml:space="preserve"> exi</w:t>
      </w:r>
      <w:r w:rsidR="007141FD" w:rsidRPr="0038186B">
        <w:rPr>
          <w:lang w:val="es-419"/>
        </w:rPr>
        <w:t>s</w:t>
      </w:r>
      <w:r w:rsidR="008D65C1" w:rsidRPr="0038186B">
        <w:rPr>
          <w:lang w:val="es-419"/>
        </w:rPr>
        <w:t>tentes</w:t>
      </w:r>
      <w:r w:rsidR="000815D2" w:rsidRPr="0038186B">
        <w:rPr>
          <w:lang w:val="es-419"/>
        </w:rPr>
        <w:t>, con el</w:t>
      </w:r>
      <w:r w:rsidR="007141FD" w:rsidRPr="0038186B">
        <w:rPr>
          <w:lang w:val="es-419"/>
        </w:rPr>
        <w:t xml:space="preserve"> fin de </w:t>
      </w:r>
      <w:r w:rsidR="00AC0BD1" w:rsidRPr="0038186B">
        <w:rPr>
          <w:lang w:val="es-419"/>
        </w:rPr>
        <w:t xml:space="preserve">ofrecer una base más amplia para evaluar la </w:t>
      </w:r>
      <w:r w:rsidR="007141FD" w:rsidRPr="0038186B">
        <w:rPr>
          <w:lang w:val="es-419"/>
        </w:rPr>
        <w:t xml:space="preserve">patentabilidad, </w:t>
      </w:r>
      <w:r w:rsidR="00F23F3E" w:rsidRPr="0038186B">
        <w:rPr>
          <w:lang w:val="es-419"/>
        </w:rPr>
        <w:t xml:space="preserve">asegurando que ese acceso no </w:t>
      </w:r>
      <w:r w:rsidR="00FD10BF" w:rsidRPr="0038186B">
        <w:rPr>
          <w:lang w:val="es-419"/>
        </w:rPr>
        <w:t xml:space="preserve">dé lugar a </w:t>
      </w:r>
      <w:r w:rsidR="007141FD" w:rsidRPr="0038186B">
        <w:rPr>
          <w:lang w:val="es-419"/>
        </w:rPr>
        <w:t xml:space="preserve">una divulgación o difusión </w:t>
      </w:r>
      <w:r w:rsidR="00903665" w:rsidRPr="0038186B">
        <w:rPr>
          <w:lang w:val="es-419"/>
        </w:rPr>
        <w:t xml:space="preserve">no autorizada </w:t>
      </w:r>
      <w:r w:rsidR="007141FD" w:rsidRPr="0038186B">
        <w:rPr>
          <w:lang w:val="es-419"/>
        </w:rPr>
        <w:t>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que sea </w:t>
      </w:r>
      <w:r w:rsidR="007141FD" w:rsidRPr="0038186B">
        <w:rPr>
          <w:lang w:val="es-419"/>
        </w:rPr>
        <w:t xml:space="preserve">contraria a los deseos de los </w:t>
      </w:r>
      <w:r w:rsidR="00903665" w:rsidRPr="0038186B">
        <w:rPr>
          <w:lang w:val="es-419"/>
        </w:rPr>
        <w:t>que los comunicaron originalmente.</w:t>
      </w:r>
      <w:r w:rsidRPr="0038186B">
        <w:rPr>
          <w:lang w:val="es-419"/>
        </w:rPr>
        <w:br/>
      </w:r>
    </w:p>
    <w:p w:rsidR="00DF5574" w:rsidRPr="0038186B" w:rsidRDefault="00EA2804" w:rsidP="00EA2804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6" w:name="_Toc116899001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Requisitos de divulgación específicos para los conocimientos tradicionales</w:t>
      </w:r>
      <w:bookmarkEnd w:id="1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10BF" w:rsidRPr="0038186B">
        <w:rPr>
          <w:lang w:val="es-419"/>
        </w:rPr>
        <w:t xml:space="preserve">Para </w:t>
      </w:r>
      <w:r w:rsidR="007141FD" w:rsidRPr="0038186B">
        <w:rPr>
          <w:lang w:val="es-419"/>
        </w:rPr>
        <w:t xml:space="preserve">reforzar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7141FD" w:rsidRPr="0038186B">
        <w:rPr>
          <w:lang w:val="es-419"/>
        </w:rPr>
        <w:t xml:space="preserve">preventiva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7141FD" w:rsidRPr="0038186B">
        <w:rPr>
          <w:lang w:val="es-419"/>
        </w:rPr>
        <w:t xml:space="preserve">en el sentido de evitar que </w:t>
      </w:r>
      <w:r w:rsidR="00903665" w:rsidRPr="0038186B">
        <w:rPr>
          <w:lang w:val="es-419"/>
        </w:rPr>
        <w:t xml:space="preserve">se patenten </w:t>
      </w:r>
      <w:r w:rsidR="00FD10BF" w:rsidRPr="0038186B">
        <w:rPr>
          <w:lang w:val="es-419"/>
        </w:rPr>
        <w:t xml:space="preserve">invenciones </w:t>
      </w:r>
      <w:r w:rsidR="00903665" w:rsidRPr="0038186B">
        <w:rPr>
          <w:lang w:val="es-419"/>
        </w:rPr>
        <w:t xml:space="preserve">en las que se </w:t>
      </w:r>
      <w:r w:rsidR="00FD10BF" w:rsidRPr="0038186B">
        <w:rPr>
          <w:lang w:val="es-419"/>
        </w:rPr>
        <w:t xml:space="preserve">utilicen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que no </w:t>
      </w:r>
      <w:r w:rsidR="00903665" w:rsidRPr="0038186B">
        <w:rPr>
          <w:lang w:val="es-419"/>
        </w:rPr>
        <w:t>satisfagan el requisito de novedad o para las que no se haya</w:t>
      </w:r>
      <w:r w:rsidR="000815D2" w:rsidRPr="0038186B">
        <w:rPr>
          <w:lang w:val="es-419"/>
        </w:rPr>
        <w:t xml:space="preserve"> obtenido </w:t>
      </w:r>
      <w:r w:rsidR="00903665" w:rsidRPr="0038186B">
        <w:rPr>
          <w:lang w:val="es-419"/>
        </w:rPr>
        <w:t>el</w:t>
      </w:r>
      <w:r w:rsidR="007141FD" w:rsidRPr="0038186B">
        <w:rPr>
          <w:lang w:val="es-419"/>
        </w:rPr>
        <w:t xml:space="preserve"> consentimiento fundamentado previo</w:t>
      </w:r>
      <w:r w:rsidR="000815D2" w:rsidRPr="0038186B">
        <w:rPr>
          <w:lang w:val="es-419"/>
        </w:rPr>
        <w:t xml:space="preserve"> ni </w:t>
      </w:r>
      <w:r w:rsidR="00FD10BF" w:rsidRPr="0038186B">
        <w:rPr>
          <w:lang w:val="es-419"/>
        </w:rPr>
        <w:t xml:space="preserve">se </w:t>
      </w:r>
      <w:r w:rsidR="00903665" w:rsidRPr="0038186B">
        <w:rPr>
          <w:lang w:val="es-419"/>
        </w:rPr>
        <w:t>haya previsto</w:t>
      </w:r>
      <w:r w:rsidR="00FD10BF" w:rsidRPr="0038186B">
        <w:rPr>
          <w:lang w:val="es-419"/>
        </w:rPr>
        <w:t xml:space="preserve"> una </w:t>
      </w:r>
      <w:r w:rsidR="007141FD" w:rsidRPr="0038186B">
        <w:rPr>
          <w:lang w:val="es-419"/>
        </w:rPr>
        <w:t>participación equitativa en los beneficios que se deriven de la utilización de los CC.TT.</w:t>
      </w:r>
      <w:r w:rsidR="00FD10BF" w:rsidRPr="0038186B">
        <w:rPr>
          <w:lang w:val="es-419"/>
        </w:rPr>
        <w:t xml:space="preserve">, varios países han adoptado medidas en su legislación nacional que exigen </w:t>
      </w:r>
      <w:r w:rsidR="009C2FDA" w:rsidRPr="0038186B">
        <w:rPr>
          <w:lang w:val="es-419"/>
        </w:rPr>
        <w:t>formas</w:t>
      </w:r>
      <w:r w:rsidR="00FD10BF" w:rsidRPr="0038186B">
        <w:rPr>
          <w:lang w:val="es-419"/>
        </w:rPr>
        <w:t xml:space="preserve"> de divulga</w:t>
      </w:r>
      <w:r w:rsidR="009C2FDA" w:rsidRPr="0038186B">
        <w:rPr>
          <w:lang w:val="es-419"/>
        </w:rPr>
        <w:t>ción específica</w:t>
      </w:r>
      <w:r w:rsidR="00FD10BF" w:rsidRPr="0038186B">
        <w:rPr>
          <w:lang w:val="es-419"/>
        </w:rPr>
        <w:t>s para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y los recursos genéticos </w:t>
      </w:r>
      <w:r w:rsidR="009C2FDA" w:rsidRPr="0038186B">
        <w:rPr>
          <w:lang w:val="es-419"/>
        </w:rPr>
        <w:t>o</w:t>
      </w:r>
      <w:r w:rsidR="00FD10BF" w:rsidRPr="0038186B">
        <w:rPr>
          <w:lang w:val="es-419"/>
        </w:rPr>
        <w:t xml:space="preserve"> biológicos utilizados en la invención reivindicada.</w:t>
      </w:r>
      <w:r w:rsidR="006C7B9D" w:rsidRPr="0038186B">
        <w:rPr>
          <w:rStyle w:val="FootnoteReference"/>
          <w:lang w:val="es-419"/>
        </w:rPr>
        <w:footnoteReference w:id="22"/>
      </w:r>
      <w:r w:rsidR="001A60B0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Se han presentado </w:t>
      </w:r>
      <w:r w:rsidR="009C2FDA" w:rsidRPr="0038186B">
        <w:rPr>
          <w:lang w:val="es-419"/>
        </w:rPr>
        <w:t>diversas</w:t>
      </w:r>
      <w:r w:rsidR="00FD10BF" w:rsidRPr="0038186B">
        <w:rPr>
          <w:lang w:val="es-419"/>
        </w:rPr>
        <w:t xml:space="preserve"> propuestas </w:t>
      </w:r>
      <w:r w:rsidR="009C2FDA" w:rsidRPr="0038186B">
        <w:rPr>
          <w:lang w:val="es-419"/>
        </w:rPr>
        <w:t>en</w:t>
      </w:r>
      <w:r w:rsidR="00FD10BF" w:rsidRPr="0038186B">
        <w:rPr>
          <w:lang w:val="es-419"/>
        </w:rPr>
        <w:t xml:space="preserve"> la OMC y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9C2FDA" w:rsidRPr="0038186B">
        <w:rPr>
          <w:lang w:val="es-419"/>
        </w:rPr>
        <w:t xml:space="preserve">para </w:t>
      </w:r>
      <w:r w:rsidR="00FD10BF" w:rsidRPr="0038186B">
        <w:rPr>
          <w:lang w:val="es-419"/>
        </w:rPr>
        <w:t>reforzar las normas internacionales en materia</w:t>
      </w:r>
      <w:r w:rsidR="009C2FDA" w:rsidRPr="0038186B">
        <w:rPr>
          <w:lang w:val="es-419"/>
        </w:rPr>
        <w:t xml:space="preserve"> de patentes mediante la incorporación de </w:t>
      </w:r>
      <w:r w:rsidR="00FD10BF" w:rsidRPr="0038186B">
        <w:rPr>
          <w:lang w:val="es-419"/>
        </w:rPr>
        <w:t>esos requisitos de divulgación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Esas propuestas representan formas importantes de protección preventiva de los </w:t>
      </w:r>
      <w:r w:rsidR="00F23F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por tanto resultan pertinentes para el presente análisis.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el momento, ninguna de ellas ha sido adoptada internacionalmente en forma de ley vinculante.</w:t>
      </w:r>
      <w:r w:rsidR="00966858" w:rsidRPr="0038186B">
        <w:rPr>
          <w:rStyle w:val="FootnoteReference"/>
          <w:lang w:val="es-419"/>
        </w:rPr>
        <w:footnoteReference w:id="23"/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obstante, las Directrices de Bonn, que no son vinculantes pero pueden considerarse “disposiciones” o “posibilidades” en el contexto del mandato del presente análisis, alientan a las Partes Contratantes en el CDB a examinar: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52266" w:rsidP="0020270C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medidas para fomentar la divulgación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del país de origen de los recursos genéticos y del origen de los conocimientos, innovaciones y prácticas tradicionales de las comunidades indígenas y locales en las solicitudes de derechos de propiedad intelectual.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858" w:rsidRPr="0038186B">
        <w:rPr>
          <w:lang w:val="es-419"/>
        </w:rPr>
        <w:t xml:space="preserve">Se han examinado en cierto detalle </w:t>
      </w:r>
      <w:r w:rsidR="00344979" w:rsidRPr="0038186B">
        <w:rPr>
          <w:lang w:val="es-419"/>
        </w:rPr>
        <w:t>distintas “disposiciones” o “posibilidades” en dos estudios elaborados por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 invitación del CDB.</w:t>
      </w:r>
      <w:r w:rsidR="00966858" w:rsidRPr="0038186B">
        <w:rPr>
          <w:rStyle w:val="FootnoteReference"/>
          <w:lang w:val="es-419"/>
        </w:rPr>
        <w:footnoteReference w:id="2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8947D3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8947D3" w:rsidRPr="0038186B">
        <w:rPr>
          <w:lang w:val="es-419"/>
        </w:rPr>
        <w:tab/>
        <w:t xml:space="preserve">Se ha indicado </w:t>
      </w:r>
      <w:r w:rsidR="009209EA" w:rsidRPr="0038186B">
        <w:rPr>
          <w:lang w:val="es-419"/>
        </w:rPr>
        <w:t>asimismo</w:t>
      </w:r>
      <w:r w:rsidR="008947D3" w:rsidRPr="0038186B">
        <w:rPr>
          <w:lang w:val="es-419"/>
        </w:rPr>
        <w:t xml:space="preserve"> que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 xml:space="preserve">al </w:t>
      </w:r>
      <w:r w:rsidR="009209EA" w:rsidRPr="0038186B">
        <w:rPr>
          <w:lang w:val="es-419"/>
        </w:rPr>
        <w:t>definir</w:t>
      </w:r>
      <w:r w:rsidR="008947D3" w:rsidRPr="0038186B">
        <w:rPr>
          <w:lang w:val="es-419"/>
        </w:rPr>
        <w:t xml:space="preserve"> esa medida</w:t>
      </w:r>
      <w:r w:rsidRPr="0038186B">
        <w:rPr>
          <w:lang w:val="es-419"/>
        </w:rPr>
        <w:t xml:space="preserve">, </w:t>
      </w:r>
      <w:r w:rsidR="00357D39" w:rsidRPr="0038186B">
        <w:rPr>
          <w:lang w:val="es-419"/>
        </w:rPr>
        <w:t xml:space="preserve">las Directrices de Bonn </w:t>
      </w:r>
      <w:r w:rsidR="008947D3" w:rsidRPr="0038186B">
        <w:rPr>
          <w:lang w:val="es-419"/>
        </w:rPr>
        <w:t>la sitúa</w:t>
      </w:r>
      <w:r w:rsidR="00357D39" w:rsidRPr="0038186B">
        <w:rPr>
          <w:lang w:val="es-419"/>
        </w:rPr>
        <w:t>n</w:t>
      </w:r>
      <w:r w:rsidR="008947D3" w:rsidRPr="0038186B">
        <w:rPr>
          <w:lang w:val="es-419"/>
        </w:rPr>
        <w:t xml:space="preserve"> en el marco de una serie de otras medidas </w:t>
      </w:r>
      <w:r w:rsidR="009209EA" w:rsidRPr="0038186B">
        <w:rPr>
          <w:lang w:val="es-419"/>
        </w:rPr>
        <w:t>jurídicas</w:t>
      </w:r>
      <w:r w:rsidR="008947D3" w:rsidRPr="0038186B">
        <w:rPr>
          <w:lang w:val="es-419"/>
        </w:rPr>
        <w:t xml:space="preserve">, administrativas o de </w:t>
      </w:r>
      <w:r w:rsidR="009209EA" w:rsidRPr="0038186B">
        <w:rPr>
          <w:lang w:val="es-419"/>
        </w:rPr>
        <w:t>política</w:t>
      </w:r>
      <w:r w:rsidR="008947D3" w:rsidRPr="0038186B">
        <w:rPr>
          <w:lang w:val="es-419"/>
        </w:rPr>
        <w:t xml:space="preserve"> relativas a los usuarios de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>e</w:t>
      </w:r>
      <w:r w:rsidRPr="0038186B">
        <w:rPr>
          <w:lang w:val="es-419"/>
        </w:rPr>
        <w:t xml:space="preserve">n particular </w:t>
      </w:r>
      <w:r w:rsidR="00357D39" w:rsidRPr="0038186B">
        <w:rPr>
          <w:lang w:val="es-419"/>
        </w:rPr>
        <w:t xml:space="preserve">de </w:t>
      </w:r>
      <w:r w:rsidRPr="0038186B">
        <w:rPr>
          <w:lang w:val="es-419"/>
        </w:rPr>
        <w:t>mec</w:t>
      </w:r>
      <w:r w:rsidR="008947D3" w:rsidRPr="0038186B">
        <w:rPr>
          <w:lang w:val="es-419"/>
        </w:rPr>
        <w:t xml:space="preserve">anismos para proporcionar </w:t>
      </w:r>
      <w:r w:rsidR="009209EA" w:rsidRPr="0038186B">
        <w:rPr>
          <w:lang w:val="es-419"/>
        </w:rPr>
        <w:t>información</w:t>
      </w:r>
      <w:r w:rsidR="008947D3" w:rsidRPr="0038186B">
        <w:rPr>
          <w:lang w:val="es-419"/>
        </w:rPr>
        <w:t xml:space="preserve"> a usuarios </w:t>
      </w:r>
      <w:r w:rsidR="009209EA" w:rsidRPr="0038186B">
        <w:rPr>
          <w:lang w:val="es-419"/>
        </w:rPr>
        <w:t>potenciales</w:t>
      </w:r>
      <w:r w:rsidR="008947D3" w:rsidRPr="0038186B">
        <w:rPr>
          <w:lang w:val="es-419"/>
        </w:rPr>
        <w:t xml:space="preserve"> s</w:t>
      </w:r>
      <w:r w:rsidR="00357D39" w:rsidRPr="0038186B">
        <w:rPr>
          <w:lang w:val="es-419"/>
        </w:rPr>
        <w:t>obre sus obligaciones en relación con e</w:t>
      </w:r>
      <w:r w:rsidR="008947D3" w:rsidRPr="0038186B">
        <w:rPr>
          <w:lang w:val="es-419"/>
        </w:rPr>
        <w:t xml:space="preserve">l acceso a los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medidas destinadas a evitar la utilización de recursos genéticos obtenidos sin el consentimiento fundamentado previo de la Parte Contratante que proporciona dichos recursos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cooperación entre las Partes Contratantes para tratar las supuestas infracciones de acuerdos de acceso y participación en los beneficios</w:t>
      </w:r>
      <w:r w:rsidRPr="0038186B">
        <w:rPr>
          <w:lang w:val="es-419"/>
        </w:rPr>
        <w:t xml:space="preserve">; </w:t>
      </w:r>
      <w:r w:rsidR="008947D3" w:rsidRPr="0038186B">
        <w:rPr>
          <w:lang w:val="es-419"/>
        </w:rPr>
        <w:t xml:space="preserve">sistemas de certificación </w:t>
      </w:r>
      <w:r w:rsidR="00357D39" w:rsidRPr="0038186B">
        <w:rPr>
          <w:lang w:val="es-419"/>
        </w:rPr>
        <w:t xml:space="preserve">voluntaria </w:t>
      </w:r>
      <w:r w:rsidR="008947D3" w:rsidRPr="0038186B">
        <w:rPr>
          <w:lang w:val="es-419"/>
        </w:rPr>
        <w:t xml:space="preserve">para instituciones que cumplen las reglas sobre acceso y </w:t>
      </w:r>
      <w:r w:rsidR="00357D39" w:rsidRPr="0038186B">
        <w:rPr>
          <w:lang w:val="es-419"/>
        </w:rPr>
        <w:t xml:space="preserve">la </w:t>
      </w:r>
      <w:r w:rsidR="008947D3" w:rsidRPr="0038186B">
        <w:rPr>
          <w:lang w:val="es-419"/>
        </w:rPr>
        <w:t>participación en los beneficios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209EA" w:rsidRPr="0038186B">
        <w:rPr>
          <w:lang w:val="es-419"/>
        </w:rPr>
        <w:t xml:space="preserve">y medidas para disuadir </w:t>
      </w:r>
      <w:r w:rsidR="00357D39" w:rsidRPr="0038186B">
        <w:rPr>
          <w:lang w:val="es-419"/>
        </w:rPr>
        <w:t>las</w:t>
      </w:r>
      <w:r w:rsidR="009209EA" w:rsidRPr="0038186B">
        <w:rPr>
          <w:lang w:val="es-419"/>
        </w:rPr>
        <w:t xml:space="preserve"> prácticas comerciales injustas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25"/>
      </w:r>
      <w:r w:rsidR="001A60B0" w:rsidRPr="0038186B">
        <w:rPr>
          <w:lang w:val="es-419"/>
        </w:rPr>
        <w:t xml:space="preserve"> </w:t>
      </w:r>
      <w:r w:rsidR="007E606F" w:rsidRPr="0038186B">
        <w:rPr>
          <w:lang w:val="es-419"/>
        </w:rPr>
        <w:t>Aunque en general</w:t>
      </w:r>
      <w:r w:rsidR="009209EA" w:rsidRPr="0038186B">
        <w:rPr>
          <w:lang w:val="es-419"/>
        </w:rPr>
        <w:t xml:space="preserve"> estas directrices no guardan una relación directa con la</w:t>
      </w:r>
      <w:r w:rsidR="00F23F3E" w:rsidRPr="0038186B">
        <w:rPr>
          <w:lang w:val="es-419"/>
        </w:rPr>
        <w:t xml:space="preserve">s normas y la práctica </w:t>
      </w:r>
      <w:r w:rsidR="009209EA" w:rsidRPr="0038186B">
        <w:rPr>
          <w:lang w:val="es-419"/>
        </w:rPr>
        <w:t>en materia de propiedad intelectual</w:t>
      </w:r>
      <w:r w:rsidRPr="0038186B">
        <w:rPr>
          <w:lang w:val="es-419"/>
        </w:rPr>
        <w:t xml:space="preserve">, </w:t>
      </w:r>
      <w:r w:rsidR="007E606F" w:rsidRPr="0038186B">
        <w:rPr>
          <w:lang w:val="es-419"/>
        </w:rPr>
        <w:t>l</w:t>
      </w:r>
      <w:r w:rsidR="009209EA" w:rsidRPr="0038186B">
        <w:rPr>
          <w:lang w:val="es-419"/>
        </w:rPr>
        <w:t xml:space="preserve">as prácticas de comercio desleal </w:t>
      </w:r>
      <w:r w:rsidR="007E606F" w:rsidRPr="0038186B">
        <w:rPr>
          <w:lang w:val="es-419"/>
        </w:rPr>
        <w:t xml:space="preserve">tienden a desaparecer con la aplicación de las </w:t>
      </w:r>
      <w:r w:rsidR="009209EA" w:rsidRPr="0038186B">
        <w:rPr>
          <w:lang w:val="es-419"/>
        </w:rPr>
        <w:t xml:space="preserve">disposiciones legislativas en materia de </w:t>
      </w:r>
      <w:r w:rsidR="001970C2" w:rsidRPr="0038186B">
        <w:rPr>
          <w:lang w:val="es-419"/>
        </w:rPr>
        <w:t>competencia desleal</w:t>
      </w:r>
      <w:r w:rsidRPr="0038186B">
        <w:rPr>
          <w:lang w:val="es-419"/>
        </w:rPr>
        <w:t xml:space="preserve"> (</w:t>
      </w:r>
      <w:r w:rsidR="009209EA" w:rsidRPr="0038186B">
        <w:rPr>
          <w:lang w:val="es-419"/>
        </w:rPr>
        <w:t>que se examinan por separado en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>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D0228" w:rsidRPr="0038186B">
        <w:rPr>
          <w:lang w:val="es-419"/>
        </w:rPr>
        <w:t xml:space="preserve">Se han manifestado opiniones muy divergentes, </w:t>
      </w:r>
      <w:r w:rsidR="00D44218" w:rsidRPr="0038186B">
        <w:rPr>
          <w:lang w:val="es-419"/>
        </w:rPr>
        <w:t xml:space="preserve">en particular en </w:t>
      </w:r>
      <w:r w:rsidR="00DD0228" w:rsidRPr="0038186B">
        <w:rPr>
          <w:lang w:val="es-419"/>
        </w:rPr>
        <w:t xml:space="preserve">comentarios sobre un proyecto anterior del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acerca de la necesidad y utilidad de </w:t>
      </w:r>
      <w:r w:rsidR="008B13BB" w:rsidRPr="0038186B">
        <w:rPr>
          <w:lang w:val="es-419"/>
        </w:rPr>
        <w:t>establecer</w:t>
      </w:r>
      <w:r w:rsidR="00DD0228" w:rsidRPr="0038186B">
        <w:rPr>
          <w:lang w:val="es-419"/>
        </w:rPr>
        <w:t xml:space="preserve"> requisitos de divulgación </w:t>
      </w:r>
      <w:r w:rsidR="002F3951" w:rsidRPr="0038186B">
        <w:rPr>
          <w:lang w:val="es-419"/>
        </w:rPr>
        <w:t xml:space="preserve">específicos para </w:t>
      </w:r>
      <w:r w:rsidR="00DD0228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DD0228" w:rsidRPr="0038186B">
        <w:rPr>
          <w:lang w:val="es-419"/>
        </w:rPr>
        <w:t xml:space="preserve">y sobre si el hecho de citar ese tipo de disposición constituye en sí un juicio </w:t>
      </w:r>
      <w:r w:rsidR="002F3951" w:rsidRPr="0038186B">
        <w:rPr>
          <w:lang w:val="es-419"/>
        </w:rPr>
        <w:t>acerca de su</w:t>
      </w:r>
      <w:r w:rsidR="00DD0228" w:rsidRPr="0038186B">
        <w:rPr>
          <w:lang w:val="es-419"/>
        </w:rPr>
        <w:t xml:space="preserve"> valor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44218" w:rsidRPr="0038186B">
        <w:rPr>
          <w:lang w:val="es-419"/>
        </w:rPr>
        <w:t>Aunque n</w:t>
      </w:r>
      <w:r w:rsidR="00DD0228" w:rsidRPr="0038186B">
        <w:rPr>
          <w:lang w:val="es-419"/>
        </w:rPr>
        <w:t xml:space="preserve">o se pretende evaluar esos requisitos desde una perspectiva </w:t>
      </w:r>
      <w:r w:rsidR="00D44218" w:rsidRPr="0038186B">
        <w:rPr>
          <w:lang w:val="es-419"/>
        </w:rPr>
        <w:t>normativa</w:t>
      </w:r>
      <w:r w:rsidR="00DD0228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en los párrafos subsiguientes </w:t>
      </w:r>
      <w:r w:rsidR="00D44218" w:rsidRPr="0038186B">
        <w:rPr>
          <w:lang w:val="es-419"/>
        </w:rPr>
        <w:t xml:space="preserve">sí </w:t>
      </w:r>
      <w:r w:rsidR="00DD0228" w:rsidRPr="0038186B">
        <w:rPr>
          <w:lang w:val="es-419"/>
        </w:rPr>
        <w:t>se define el objetivo</w:t>
      </w:r>
      <w:r w:rsidR="00D44218" w:rsidRPr="0038186B">
        <w:rPr>
          <w:lang w:val="es-419"/>
        </w:rPr>
        <w:t xml:space="preserve"> y</w:t>
      </w:r>
      <w:r w:rsidR="00DD0228" w:rsidRPr="0038186B">
        <w:rPr>
          <w:lang w:val="es-419"/>
        </w:rPr>
        <w:t xml:space="preserve"> se determina que la ausencia </w:t>
      </w:r>
      <w:r w:rsidR="002F3951" w:rsidRPr="0038186B">
        <w:rPr>
          <w:lang w:val="es-419"/>
        </w:rPr>
        <w:t xml:space="preserve">objetiva y fáctica </w:t>
      </w:r>
      <w:r w:rsidR="00DD0228" w:rsidRPr="0038186B">
        <w:rPr>
          <w:lang w:val="es-419"/>
        </w:rPr>
        <w:t xml:space="preserve">de una norma internacional </w:t>
      </w:r>
      <w:r w:rsidR="00966858" w:rsidRPr="0038186B">
        <w:rPr>
          <w:lang w:val="es-419"/>
        </w:rPr>
        <w:t>const</w:t>
      </w:r>
      <w:r w:rsidR="008B13BB" w:rsidRPr="0038186B">
        <w:rPr>
          <w:lang w:val="es-419"/>
        </w:rPr>
        <w:t>itu</w:t>
      </w:r>
      <w:r w:rsidR="00966858" w:rsidRPr="0038186B">
        <w:rPr>
          <w:lang w:val="es-419"/>
        </w:rPr>
        <w:t>ye</w:t>
      </w:r>
      <w:r w:rsidR="00DD0228" w:rsidRPr="0038186B">
        <w:rPr>
          <w:lang w:val="es-419"/>
        </w:rPr>
        <w:t xml:space="preserve"> una “carencia” en sentido formal, ya que es una forma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DD0228" w:rsidRPr="0038186B">
        <w:rPr>
          <w:lang w:val="es-419"/>
        </w:rPr>
        <w:t xml:space="preserve"> que ha sido </w:t>
      </w:r>
      <w:r w:rsidR="00966858" w:rsidRPr="0038186B">
        <w:rPr>
          <w:lang w:val="es-419"/>
        </w:rPr>
        <w:t>introducida</w:t>
      </w:r>
      <w:r w:rsidR="00DD0228" w:rsidRPr="0038186B">
        <w:rPr>
          <w:lang w:val="es-419"/>
        </w:rPr>
        <w:t xml:space="preserve"> en </w:t>
      </w:r>
      <w:r w:rsidR="00966858" w:rsidRPr="0038186B">
        <w:rPr>
          <w:lang w:val="es-419"/>
        </w:rPr>
        <w:t>algunos</w:t>
      </w:r>
      <w:r w:rsidR="00DD0228" w:rsidRPr="0038186B">
        <w:rPr>
          <w:lang w:val="es-419"/>
        </w:rPr>
        <w:t xml:space="preserve"> países y que </w:t>
      </w:r>
      <w:r w:rsidR="00966858" w:rsidRPr="0038186B">
        <w:rPr>
          <w:lang w:val="es-419"/>
        </w:rPr>
        <w:t>no se recoge en ninguna norma internacional</w:t>
      </w:r>
      <w:r w:rsidRPr="0038186B">
        <w:rPr>
          <w:lang w:val="es-419"/>
        </w:rPr>
        <w:t>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7" w:name="_Toc116899002"/>
      <w:r w:rsidRPr="0038186B">
        <w:rPr>
          <w:i/>
          <w:u w:val="none"/>
          <w:lang w:val="es-419"/>
        </w:rPr>
        <w:t>iv)</w:t>
      </w:r>
      <w:r w:rsidR="000815D2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CC.TT.</w:t>
      </w:r>
      <w:r w:rsidR="000815D2" w:rsidRPr="0038186B">
        <w:rPr>
          <w:i/>
          <w:u w:val="none"/>
          <w:lang w:val="es-419"/>
        </w:rPr>
        <w:t xml:space="preserve"> no divulgados</w:t>
      </w:r>
      <w:bookmarkEnd w:id="17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 para la Protección de la Propiedad Industrial (Convenio de París), Acuerdo sobre los AD</w:t>
            </w:r>
            <w:r w:rsidR="002F395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Cuando no hayan sido objeto de divulgación pública, los conocimientos tradicionales pueden estar protegidos por las normas internacionales vigentes que rigen la protección de la información no divulgada o de la información confidencial.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</w:t>
      </w:r>
      <w:r w:rsidR="00BE40F6" w:rsidRPr="0038186B">
        <w:rPr>
          <w:lang w:val="es-419"/>
        </w:rPr>
        <w:t xml:space="preserve">mínimas </w:t>
      </w:r>
      <w:r w:rsidR="00344979" w:rsidRPr="0038186B">
        <w:rPr>
          <w:lang w:val="es-419"/>
        </w:rPr>
        <w:t xml:space="preserve">generales establecidas </w:t>
      </w:r>
      <w:r w:rsidR="00AD52CA" w:rsidRPr="0038186B">
        <w:rPr>
          <w:lang w:val="es-419"/>
        </w:rPr>
        <w:t xml:space="preserve">a nivel internacional </w:t>
      </w:r>
      <w:r w:rsidR="00344979" w:rsidRPr="0038186B">
        <w:rPr>
          <w:lang w:val="es-419"/>
        </w:rPr>
        <w:t>en el Acuerdo sobre los AD</w:t>
      </w:r>
      <w:r w:rsidR="00BE40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 de la OMC, </w:t>
      </w:r>
      <w:r w:rsidR="00BE40F6" w:rsidRPr="0038186B">
        <w:rPr>
          <w:lang w:val="es-419"/>
        </w:rPr>
        <w:t xml:space="preserve">prevén </w:t>
      </w:r>
      <w:r w:rsidR="00344979" w:rsidRPr="0038186B">
        <w:rPr>
          <w:lang w:val="es-419"/>
        </w:rPr>
        <w:t xml:space="preserve">que, para </w:t>
      </w:r>
      <w:r w:rsidR="00AD52CA" w:rsidRPr="0038186B">
        <w:rPr>
          <w:lang w:val="es-419"/>
        </w:rPr>
        <w:t>gozar de protección,</w:t>
      </w:r>
      <w:r w:rsidR="00344979" w:rsidRPr="0038186B">
        <w:rPr>
          <w:lang w:val="es-419"/>
        </w:rPr>
        <w:t xml:space="preserve"> la información debe: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23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secreta en el sentido de que</w:t>
      </w:r>
      <w:r w:rsidR="00DD2E10" w:rsidRPr="0038186B">
        <w:rPr>
          <w:rFonts w:ascii="Arial" w:eastAsia="SimSun" w:hAnsi="Arial" w:cs="Arial"/>
          <w:sz w:val="22"/>
          <w:szCs w:val="22"/>
          <w:lang w:val="es-419" w:eastAsia="zh-CN"/>
        </w:rPr>
        <w:t xml:space="preserve">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no sea, considerada</w:t>
      </w:r>
      <w:r w:rsidR="00AD52CA" w:rsidRPr="0038186B">
        <w:rPr>
          <w:rFonts w:ascii="Arial" w:hAnsi="Arial" w:cs="Arial"/>
          <w:sz w:val="22"/>
          <w:szCs w:val="22"/>
          <w:lang w:val="es-419"/>
        </w:rPr>
        <w:t xml:space="preserve"> globalmente o en la configuración y ensamblaje preciso de sus elementos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de dominio público o fácilmente accesible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personas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que forman parte de </w:t>
      </w:r>
      <w:r w:rsidRPr="0038186B">
        <w:rPr>
          <w:rFonts w:ascii="Arial" w:hAnsi="Arial" w:cs="Arial"/>
          <w:sz w:val="22"/>
          <w:szCs w:val="22"/>
          <w:lang w:val="es-419"/>
        </w:rPr>
        <w:t>los círculos en que normalmente se utiliza e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se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tipo de información;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8945FA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tener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valor comercial por ser secreta;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si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do objeto de medidas razonables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>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función de las </w:t>
      </w:r>
      <w:r w:rsidRPr="0038186B">
        <w:rPr>
          <w:rFonts w:ascii="Arial" w:hAnsi="Arial" w:cs="Arial"/>
          <w:sz w:val="22"/>
          <w:szCs w:val="22"/>
          <w:lang w:val="es-419"/>
        </w:rPr>
        <w:t>circunstancias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 del caso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adoptadas por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la persona que legítimamente controla la información </w:t>
      </w:r>
      <w:r w:rsidRPr="0038186B">
        <w:rPr>
          <w:rFonts w:ascii="Arial" w:hAnsi="Arial" w:cs="Arial"/>
          <w:sz w:val="22"/>
          <w:szCs w:val="22"/>
          <w:lang w:val="es-419"/>
        </w:rPr>
        <w:t>para mantenerla secreta.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szCs w:val="22"/>
          <w:lang w:val="es-419"/>
        </w:rPr>
        <w:fldChar w:fldCharType="begin"/>
      </w:r>
      <w:r w:rsidRPr="0038186B">
        <w:rPr>
          <w:szCs w:val="22"/>
          <w:lang w:val="es-419"/>
        </w:rPr>
        <w:instrText xml:space="preserve"> AUTONUM  </w:instrText>
      </w:r>
      <w:r w:rsidRPr="0038186B">
        <w:rPr>
          <w:szCs w:val="22"/>
          <w:lang w:val="es-419"/>
        </w:rPr>
        <w:fldChar w:fldCharType="end"/>
      </w:r>
      <w:r w:rsidRPr="0038186B">
        <w:rPr>
          <w:szCs w:val="22"/>
          <w:lang w:val="es-419"/>
        </w:rPr>
        <w:tab/>
      </w:r>
      <w:r w:rsidR="00344979" w:rsidRPr="0038186B">
        <w:rPr>
          <w:szCs w:val="22"/>
          <w:lang w:val="es-419"/>
        </w:rPr>
        <w:t>La protección se extiende a la información que “se divulgue</w:t>
      </w:r>
      <w:r w:rsidR="00344979" w:rsidRPr="0038186B">
        <w:rPr>
          <w:lang w:val="es-419"/>
        </w:rPr>
        <w:t xml:space="preserve"> a terceros o sea adquirida o utilizada por terceros sin su consentimiento de manera contraria a los usos comerciales honestos”,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lo que se entiende “por lo menos las prácticas tales como el incumplimiento de contratos, el abuso de confianza, la instigación a la infracción, e incluye la adquisición de información no divulgada por terceros que supieran, o que no supieran por negligencia grave, que la adquisición implicaba tales prácticas”.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</w:t>
      </w:r>
      <w:r w:rsidR="000E6C44" w:rsidRPr="0038186B">
        <w:rPr>
          <w:lang w:val="es-419"/>
        </w:rPr>
        <w:t xml:space="preserve">puede ser pertinente para una buena </w:t>
      </w:r>
      <w:r w:rsidR="00344979" w:rsidRPr="0038186B">
        <w:rPr>
          <w:lang w:val="es-419"/>
        </w:rPr>
        <w:t xml:space="preserve">parte de los </w:t>
      </w:r>
      <w:r w:rsidR="000E6C44" w:rsidRPr="0038186B">
        <w:rPr>
          <w:lang w:val="es-419"/>
        </w:rPr>
        <w:t xml:space="preserve">CC.TT. </w:t>
      </w:r>
      <w:r w:rsidR="00507CC5" w:rsidRPr="0038186B">
        <w:rPr>
          <w:lang w:val="es-419"/>
        </w:rPr>
        <w:t>ya que</w:t>
      </w:r>
      <w:r w:rsidR="00344979" w:rsidRPr="0038186B">
        <w:rPr>
          <w:lang w:val="es-419"/>
        </w:rPr>
        <w:t xml:space="preserve"> la persona </w:t>
      </w:r>
      <w:r w:rsidR="0028543D" w:rsidRPr="0038186B">
        <w:rPr>
          <w:lang w:val="es-419"/>
        </w:rPr>
        <w:t xml:space="preserve">que </w:t>
      </w:r>
      <w:r w:rsidR="00F23F3E" w:rsidRPr="0038186B">
        <w:rPr>
          <w:lang w:val="es-419"/>
        </w:rPr>
        <w:t xml:space="preserve">comercializa los conocimientos tradicionales </w:t>
      </w:r>
      <w:r w:rsidR="00507CC5" w:rsidRPr="0038186B">
        <w:rPr>
          <w:lang w:val="es-419"/>
        </w:rPr>
        <w:t>no es necesariamente la que</w:t>
      </w:r>
      <w:r w:rsidR="00344979" w:rsidRPr="0038186B">
        <w:rPr>
          <w:lang w:val="es-419"/>
        </w:rPr>
        <w:t xml:space="preserve"> ha accedido </w:t>
      </w:r>
      <w:r w:rsidR="00F23F3E" w:rsidRPr="0038186B">
        <w:rPr>
          <w:lang w:val="es-419"/>
        </w:rPr>
        <w:t xml:space="preserve">originalmente </w:t>
      </w:r>
      <w:r w:rsidR="00344979" w:rsidRPr="0038186B">
        <w:rPr>
          <w:lang w:val="es-419"/>
        </w:rPr>
        <w:t xml:space="preserve">a la información, sino </w:t>
      </w:r>
      <w:r w:rsidR="00507CC5" w:rsidRPr="0038186B">
        <w:rPr>
          <w:lang w:val="es-419"/>
        </w:rPr>
        <w:t xml:space="preserve">alguien que representa </w:t>
      </w:r>
      <w:r w:rsidR="00344979" w:rsidRPr="0038186B">
        <w:rPr>
          <w:lang w:val="es-419"/>
        </w:rPr>
        <w:t>una cadena de intereses comerciales o industriales.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Esta norma internacional se describe como un medio para “garantizar una protección eficaz contra la competencia desleal, de conformidad con lo establecido en el artículo 10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 del Convenio de París (1967)”.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duración de la protección es efectivamente ilimitada, siempre </w:t>
      </w:r>
      <w:r w:rsidR="00254CB1" w:rsidRPr="0038186B">
        <w:rPr>
          <w:lang w:val="es-419"/>
        </w:rPr>
        <w:t>que</w:t>
      </w:r>
      <w:r w:rsidR="00344979" w:rsidRPr="0038186B">
        <w:rPr>
          <w:lang w:val="es-419"/>
        </w:rPr>
        <w:t xml:space="preserve"> se mantengan las condiciones (por ejemplo, no podría otorgarse la protección </w:t>
      </w:r>
      <w:r w:rsidR="00254CB1" w:rsidRPr="0038186B">
        <w:rPr>
          <w:lang w:val="es-419"/>
        </w:rPr>
        <w:t>después de que el</w:t>
      </w:r>
      <w:r w:rsidR="00344979" w:rsidRPr="0038186B">
        <w:rPr>
          <w:lang w:val="es-419"/>
        </w:rPr>
        <w:t xml:space="preserve"> titular de los conocimientos los divulg</w:t>
      </w:r>
      <w:r w:rsidR="00254CB1" w:rsidRPr="0038186B">
        <w:rPr>
          <w:lang w:val="es-419"/>
        </w:rPr>
        <w:t>ara</w:t>
      </w:r>
      <w:r w:rsidR="00344979" w:rsidRPr="0038186B">
        <w:rPr>
          <w:lang w:val="es-419"/>
        </w:rPr>
        <w:t xml:space="preserve"> públicamente).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norma internacional se aplicaría claramente a cantidades considerables de conocimientos tradicionales, pero del mismo modo quedarían claramente sin protección </w:t>
      </w:r>
      <w:r w:rsidR="00254CB1" w:rsidRPr="0038186B">
        <w:rPr>
          <w:lang w:val="es-419"/>
        </w:rPr>
        <w:t>amplios segmentos de</w:t>
      </w:r>
      <w:r w:rsidR="00344979" w:rsidRPr="0038186B">
        <w:rPr>
          <w:lang w:val="es-419"/>
        </w:rPr>
        <w:t xml:space="preserve">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Algunas de las consideraciones que podrían plantearse en la aplicación de esta norma son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¿Cuándo</w:t>
      </w:r>
      <w:r w:rsidR="00344979" w:rsidRPr="0038186B">
        <w:rPr>
          <w:lang w:val="es-419"/>
        </w:rPr>
        <w:t xml:space="preserve"> seguiría considerándose “secreto” un conocimiento tradicional divulgado en el seno de una comunidad tradicional definida</w:t>
      </w:r>
      <w:r w:rsidRPr="0038186B">
        <w:rPr>
          <w:lang w:val="es-419"/>
        </w:rPr>
        <w:t>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left" w:pos="990"/>
        </w:tabs>
        <w:ind w:left="990" w:hanging="423"/>
        <w:rPr>
          <w:lang w:val="es-419"/>
        </w:rPr>
      </w:pPr>
      <w:r w:rsidRPr="0038186B">
        <w:rPr>
          <w:lang w:val="es-419"/>
        </w:rPr>
        <w:t>¿</w:t>
      </w:r>
      <w:r w:rsidR="00DD7F19" w:rsidRPr="0038186B">
        <w:rPr>
          <w:lang w:val="es-419"/>
        </w:rPr>
        <w:t xml:space="preserve">Qué </w:t>
      </w:r>
      <w:r w:rsidRPr="0038186B">
        <w:rPr>
          <w:lang w:val="es-419"/>
        </w:rPr>
        <w:t xml:space="preserve">función podrían desempeñar las </w:t>
      </w:r>
      <w:r w:rsidR="0028543D" w:rsidRPr="0038186B">
        <w:rPr>
          <w:lang w:val="es-419"/>
        </w:rPr>
        <w:t>normas</w:t>
      </w:r>
      <w:r w:rsidRPr="0038186B">
        <w:rPr>
          <w:lang w:val="es-419"/>
        </w:rPr>
        <w:t xml:space="preserve"> y </w:t>
      </w:r>
      <w:r w:rsidR="00964527" w:rsidRPr="0038186B">
        <w:rPr>
          <w:lang w:val="es-419"/>
        </w:rPr>
        <w:t xml:space="preserve">prácticas consuetudinarias de una comunidad a la hora de determinar si se </w:t>
      </w:r>
      <w:r w:rsidRPr="0038186B">
        <w:rPr>
          <w:lang w:val="es-419"/>
        </w:rPr>
        <w:t xml:space="preserve">cumplen </w:t>
      </w:r>
      <w:r w:rsidR="00964527" w:rsidRPr="0038186B">
        <w:rPr>
          <w:lang w:val="es-419"/>
        </w:rPr>
        <w:t>las condiciones para la protección</w:t>
      </w:r>
      <w:r w:rsidR="00FD6EEF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64527" w:rsidRPr="0038186B">
        <w:rPr>
          <w:lang w:val="es-419"/>
        </w:rPr>
        <w:t xml:space="preserve">por ejemplo, en el </w:t>
      </w:r>
      <w:r w:rsidRPr="0038186B">
        <w:rPr>
          <w:lang w:val="es-419"/>
        </w:rPr>
        <w:t>asunto</w:t>
      </w:r>
      <w:r w:rsidR="00FD6EEF" w:rsidRPr="0038186B">
        <w:rPr>
          <w:lang w:val="es-419"/>
        </w:rPr>
        <w:t xml:space="preserve"> </w:t>
      </w:r>
      <w:r w:rsidR="00FD6EEF" w:rsidRPr="0038186B">
        <w:rPr>
          <w:i/>
          <w:lang w:val="es-419"/>
        </w:rPr>
        <w:t xml:space="preserve">Foster </w:t>
      </w:r>
      <w:r w:rsidR="00964527" w:rsidRPr="0038186B">
        <w:rPr>
          <w:i/>
          <w:lang w:val="es-419"/>
        </w:rPr>
        <w:t>c</w:t>
      </w:r>
      <w:r w:rsidRPr="0038186B">
        <w:rPr>
          <w:i/>
          <w:lang w:val="es-419"/>
        </w:rPr>
        <w:t>.</w:t>
      </w:r>
      <w:r w:rsidR="00FD6EEF" w:rsidRPr="0038186B">
        <w:rPr>
          <w:i/>
          <w:lang w:val="es-419"/>
        </w:rPr>
        <w:t xml:space="preserve"> </w:t>
      </w:r>
      <w:r w:rsidR="0038186B" w:rsidRPr="0038186B">
        <w:rPr>
          <w:i/>
          <w:lang w:val="es-419"/>
        </w:rPr>
        <w:t>Montufar</w:t>
      </w:r>
      <w:r w:rsidR="00FD6EEF" w:rsidRPr="0038186B">
        <w:rPr>
          <w:lang w:val="es-419"/>
        </w:rPr>
        <w:t>,</w:t>
      </w:r>
      <w:r w:rsidR="00FD6EEF" w:rsidRPr="0038186B">
        <w:rPr>
          <w:vertAlign w:val="superscript"/>
          <w:lang w:val="es-419"/>
        </w:rPr>
        <w:footnoteReference w:id="26"/>
      </w:r>
      <w:r w:rsidR="00FD6EEF" w:rsidRPr="0038186B">
        <w:rPr>
          <w:lang w:val="es-419"/>
        </w:rPr>
        <w:t xml:space="preserve"> </w:t>
      </w:r>
      <w:r w:rsidR="00ED51CA" w:rsidRPr="0038186B">
        <w:rPr>
          <w:lang w:val="es-419"/>
        </w:rPr>
        <w:t xml:space="preserve">citado con frecuencia en el Comité, </w:t>
      </w:r>
      <w:r w:rsidR="00964527" w:rsidRPr="0038186B">
        <w:rPr>
          <w:lang w:val="es-419"/>
        </w:rPr>
        <w:t xml:space="preserve">el derecho consuetudinario de una comunidad indígena </w:t>
      </w:r>
      <w:r w:rsidR="00ED51CA" w:rsidRPr="0038186B">
        <w:rPr>
          <w:lang w:val="es-419"/>
        </w:rPr>
        <w:t xml:space="preserve">se consideró suficiente </w:t>
      </w:r>
      <w:r w:rsidR="00964527" w:rsidRPr="0038186B">
        <w:rPr>
          <w:lang w:val="es-419"/>
        </w:rPr>
        <w:t>para establecer la obligación de confidencialidad</w:t>
      </w:r>
      <w:r w:rsidR="00FD6EEF" w:rsidRPr="0038186B">
        <w:rPr>
          <w:lang w:val="es-419"/>
        </w:rPr>
        <w:t>)</w:t>
      </w:r>
    </w:p>
    <w:p w:rsidR="00D36164" w:rsidRPr="0038186B" w:rsidRDefault="00D36164" w:rsidP="00D36164">
      <w:pPr>
        <w:tabs>
          <w:tab w:val="left" w:pos="990"/>
        </w:tabs>
        <w:ind w:left="990"/>
        <w:rPr>
          <w:lang w:val="es-419"/>
        </w:rPr>
      </w:pPr>
    </w:p>
    <w:p w:rsidR="00DF5574" w:rsidRPr="0038186B" w:rsidRDefault="00ED51CA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</w:t>
      </w:r>
      <w:r w:rsidR="00344979" w:rsidRPr="0038186B">
        <w:rPr>
          <w:lang w:val="es-419"/>
        </w:rPr>
        <w:t xml:space="preserve">Podrían protegerse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con un valor espiritual y cultural para la comunidad, aunque sin valor comercial para ésta, cuando un tercero obtiene beneficios comerciales de ellos</w:t>
      </w:r>
      <w:r w:rsidR="00854A26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En otr</w:t>
      </w:r>
      <w:r w:rsidRPr="0038186B">
        <w:rPr>
          <w:lang w:val="es-419"/>
        </w:rPr>
        <w:t>as palabras</w:t>
      </w:r>
      <w:r w:rsidR="00964527" w:rsidRPr="0038186B">
        <w:rPr>
          <w:lang w:val="es-419"/>
        </w:rPr>
        <w:t xml:space="preserve">, si una comunidad mantiene secretos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por motivos espirituales y no comerciales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y</w:t>
      </w:r>
      <w:r w:rsidRPr="0038186B">
        <w:rPr>
          <w:lang w:val="es-419"/>
        </w:rPr>
        <w:t>, de hecho,</w:t>
      </w:r>
      <w:r w:rsidR="00964527" w:rsidRPr="0038186B">
        <w:rPr>
          <w:lang w:val="es-419"/>
        </w:rPr>
        <w:t xml:space="preserve"> rechaza </w:t>
      </w:r>
      <w:r w:rsidRPr="0038186B">
        <w:rPr>
          <w:lang w:val="es-419"/>
        </w:rPr>
        <w:t>frontalmente</w:t>
      </w:r>
      <w:r w:rsidR="00964527" w:rsidRPr="0038186B">
        <w:rPr>
          <w:lang w:val="es-419"/>
        </w:rPr>
        <w:t xml:space="preserve"> la idea de </w:t>
      </w:r>
      <w:r w:rsidRPr="0038186B">
        <w:rPr>
          <w:lang w:val="es-419"/>
        </w:rPr>
        <w:t>atribuirl</w:t>
      </w:r>
      <w:r w:rsidR="00854A26" w:rsidRPr="0038186B">
        <w:rPr>
          <w:lang w:val="es-419"/>
        </w:rPr>
        <w:t>es un valor comercial, ¿</w:t>
      </w:r>
      <w:r w:rsidR="00E47F51" w:rsidRPr="0038186B">
        <w:rPr>
          <w:lang w:val="es-419"/>
        </w:rPr>
        <w:t>se seguirían protegiendo esos conocimientos como</w:t>
      </w:r>
      <w:r w:rsidR="00964527" w:rsidRPr="0038186B">
        <w:rPr>
          <w:lang w:val="es-419"/>
        </w:rPr>
        <w:t xml:space="preserve"> información no divulgada</w:t>
      </w:r>
      <w:r w:rsidR="00FD6EEF" w:rsidRPr="0038186B">
        <w:rPr>
          <w:lang w:val="es-419"/>
        </w:rPr>
        <w:t>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47F51" w:rsidRPr="0038186B">
        <w:rPr>
          <w:lang w:val="es-419"/>
        </w:rPr>
        <w:t>Como</w:t>
      </w:r>
      <w:r w:rsidR="00344979" w:rsidRPr="0038186B">
        <w:rPr>
          <w:lang w:val="es-419"/>
        </w:rPr>
        <w:t xml:space="preserve"> se trata de una norma mínima, </w:t>
      </w:r>
      <w:r w:rsidR="0028543D" w:rsidRPr="0038186B">
        <w:rPr>
          <w:lang w:val="es-419"/>
        </w:rPr>
        <w:t xml:space="preserve">se podrían </w:t>
      </w:r>
      <w:r w:rsidR="00E47F51" w:rsidRPr="0038186B">
        <w:rPr>
          <w:lang w:val="es-419"/>
        </w:rPr>
        <w:t xml:space="preserve">prever modalidades </w:t>
      </w:r>
      <w:r w:rsidR="00344979" w:rsidRPr="0038186B">
        <w:rPr>
          <w:lang w:val="es-419"/>
        </w:rPr>
        <w:t>más amplias de protección en virtud de las legislaciones nacionales, que garanti</w:t>
      </w:r>
      <w:r w:rsidR="00EE6517" w:rsidRPr="0038186B">
        <w:rPr>
          <w:lang w:val="es-419"/>
        </w:rPr>
        <w:t>cen</w:t>
      </w:r>
      <w:r w:rsidR="00344979" w:rsidRPr="0038186B">
        <w:rPr>
          <w:lang w:val="es-419"/>
        </w:rPr>
        <w:t xml:space="preserve">, por ejemplo, que los </w:t>
      </w:r>
      <w:r w:rsidR="00E47F5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solamente se </w:t>
      </w:r>
      <w:r w:rsidR="00EE6517" w:rsidRPr="0038186B">
        <w:rPr>
          <w:lang w:val="es-419"/>
        </w:rPr>
        <w:t>hayan</w:t>
      </w:r>
      <w:r w:rsidR="00E406A9" w:rsidRPr="0038186B">
        <w:rPr>
          <w:lang w:val="es-419"/>
        </w:rPr>
        <w:t xml:space="preserve"> difundido</w:t>
      </w:r>
      <w:r w:rsidR="00344979" w:rsidRPr="0038186B">
        <w:rPr>
          <w:lang w:val="es-419"/>
        </w:rPr>
        <w:t xml:space="preserve"> dentro de una comunidad concreta </w:t>
      </w:r>
      <w:r w:rsidR="00E47F51" w:rsidRPr="0038186B">
        <w:rPr>
          <w:lang w:val="es-419"/>
        </w:rPr>
        <w:t xml:space="preserve">se </w:t>
      </w:r>
      <w:r w:rsidR="001F40FE" w:rsidRPr="0038186B">
        <w:rPr>
          <w:lang w:val="es-419"/>
        </w:rPr>
        <w:t>recono</w:t>
      </w:r>
      <w:r w:rsidR="00EE6517" w:rsidRPr="0038186B">
        <w:rPr>
          <w:lang w:val="es-419"/>
        </w:rPr>
        <w:t>zcan</w:t>
      </w:r>
      <w:r w:rsidR="001F40FE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como no divulgados y, por tanto, </w:t>
      </w:r>
      <w:r w:rsidR="00EE6517" w:rsidRPr="0038186B">
        <w:rPr>
          <w:lang w:val="es-419"/>
        </w:rPr>
        <w:t>sean</w:t>
      </w:r>
      <w:r w:rsidR="00E406A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susceptibles de protección.</w:t>
      </w:r>
      <w:r w:rsidR="001A60B0" w:rsidRPr="0038186B">
        <w:rPr>
          <w:lang w:val="es-419"/>
        </w:rPr>
        <w:t xml:space="preserve"> </w:t>
      </w:r>
      <w:r w:rsidR="001F40FE" w:rsidRPr="0038186B">
        <w:rPr>
          <w:lang w:val="es-419"/>
        </w:rPr>
        <w:t xml:space="preserve">Otro factor relevante </w:t>
      </w:r>
      <w:r w:rsidR="00344979" w:rsidRPr="0038186B">
        <w:rPr>
          <w:lang w:val="es-419"/>
        </w:rPr>
        <w:t xml:space="preserve">podría </w:t>
      </w:r>
      <w:r w:rsidR="001F40FE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el valor espiritual y cultural de los conocimientos (de </w:t>
      </w:r>
      <w:r w:rsidR="0028543D" w:rsidRPr="0038186B">
        <w:rPr>
          <w:lang w:val="es-419"/>
        </w:rPr>
        <w:t xml:space="preserve">tal forma que </w:t>
      </w:r>
      <w:r w:rsidR="00EE6517" w:rsidRPr="0038186B">
        <w:rPr>
          <w:lang w:val="es-419"/>
        </w:rPr>
        <w:t xml:space="preserve">el valor comercial </w:t>
      </w:r>
      <w:r w:rsidR="0028543D" w:rsidRPr="0038186B">
        <w:rPr>
          <w:lang w:val="es-419"/>
        </w:rPr>
        <w:t xml:space="preserve">ya no fuera el único criterio </w:t>
      </w:r>
      <w:r w:rsidR="00EE6517" w:rsidRPr="0038186B">
        <w:rPr>
          <w:lang w:val="es-419"/>
        </w:rPr>
        <w:t>necesario para la protección)</w:t>
      </w:r>
      <w:r w:rsidR="00344979" w:rsidRPr="0038186B">
        <w:rPr>
          <w:lang w:val="es-419"/>
        </w:rPr>
        <w:t>, y podría reconocerse la función de</w:t>
      </w:r>
      <w:r w:rsidR="004F21A3" w:rsidRPr="0038186B">
        <w:rPr>
          <w:lang w:val="es-419"/>
        </w:rPr>
        <w:t>l derecho consuetudinario</w:t>
      </w:r>
      <w:r w:rsidR="00344979" w:rsidRPr="0038186B">
        <w:rPr>
          <w:lang w:val="es-419"/>
        </w:rPr>
        <w:t xml:space="preserve"> (por ejemplo, a la hora de determinar las “medidas razonables para </w:t>
      </w:r>
      <w:r w:rsidR="004F21A3" w:rsidRPr="0038186B">
        <w:rPr>
          <w:lang w:val="es-419"/>
        </w:rPr>
        <w:t>la protección</w:t>
      </w:r>
      <w:r w:rsidR="00344979" w:rsidRPr="0038186B">
        <w:rPr>
          <w:lang w:val="es-419"/>
        </w:rPr>
        <w:t>”).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8" w:name="_Toc116899003"/>
      <w:r w:rsidRPr="0038186B">
        <w:rPr>
          <w:i/>
          <w:u w:val="none"/>
          <w:lang w:val="es-419"/>
        </w:rPr>
        <w:t>v)</w:t>
      </w:r>
      <w:r w:rsidR="009F43B4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Competencia desleal</w:t>
      </w:r>
      <w:bookmarkEnd w:id="18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París, Acuerdo sobre los AD</w:t>
            </w:r>
            <w:r w:rsidR="004F21A3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El Convenio de París requiere la “protección eficaz contra la competencia desleal” al estipular que “constituye acto de competencia desleal todo acto de competencia contrario a los usos honestos en materia industrial o comercial”.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concepto de competencia desleal se expresa por consiguiente en términos generales, si bien se centra específicamente en lo siguiente: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cualquier acto capaz de crear una confusión respecto del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aseveraciones falsas, en el ejercicio del comercio, capaces de desacreditar 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indicaciones o aseveraciones cuyo empleo pudieren inducir al público a error sobre la naturaleza, el modo de fabricación, las características, la aptitud en el empleo o la cantidad de los productos.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caracterización más precisa de la competencia desleal se aplicaría, por ejemplo, a la comercialización de productos relacionados con los </w:t>
      </w:r>
      <w:r w:rsidR="00BF72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</w:t>
      </w:r>
      <w:r w:rsidR="00BF723E" w:rsidRPr="0038186B">
        <w:rPr>
          <w:lang w:val="es-419"/>
        </w:rPr>
        <w:t>afirman</w:t>
      </w:r>
      <w:r w:rsidR="00344979" w:rsidRPr="0038186B">
        <w:rPr>
          <w:lang w:val="es-419"/>
        </w:rPr>
        <w:t xml:space="preserve"> falsa o engañosamente que se trata de productos genuinos </w:t>
      </w:r>
      <w:r w:rsidR="00BF723E" w:rsidRPr="0038186B">
        <w:rPr>
          <w:lang w:val="es-419"/>
        </w:rPr>
        <w:t xml:space="preserve">que proceden </w:t>
      </w:r>
      <w:r w:rsidR="00344979" w:rsidRPr="0038186B">
        <w:rPr>
          <w:lang w:val="es-419"/>
        </w:rPr>
        <w:t xml:space="preserve">de una comunidad indígena </w:t>
      </w:r>
      <w:r w:rsidR="00344979" w:rsidRPr="0038186B">
        <w:rPr>
          <w:lang w:val="es-419"/>
        </w:rPr>
        <w:lastRenderedPageBreak/>
        <w:t xml:space="preserve">o local cuando </w:t>
      </w:r>
      <w:r w:rsidR="00BF723E" w:rsidRPr="0038186B">
        <w:rPr>
          <w:lang w:val="es-419"/>
        </w:rPr>
        <w:t xml:space="preserve">en realidad </w:t>
      </w:r>
      <w:r w:rsidR="00344979" w:rsidRPr="0038186B">
        <w:rPr>
          <w:lang w:val="es-419"/>
        </w:rPr>
        <w:t xml:space="preserve">no lo son, o </w:t>
      </w:r>
      <w:r w:rsidR="00BF723E" w:rsidRPr="0038186B">
        <w:rPr>
          <w:lang w:val="es-419"/>
        </w:rPr>
        <w:t>alegan</w:t>
      </w:r>
      <w:r w:rsidR="00344979" w:rsidRPr="0038186B">
        <w:rPr>
          <w:lang w:val="es-419"/>
        </w:rPr>
        <w:t xml:space="preserve"> de forma falsa o engañosa que </w:t>
      </w:r>
      <w:r w:rsidR="00BF723E" w:rsidRPr="0038186B">
        <w:rPr>
          <w:lang w:val="es-419"/>
        </w:rPr>
        <w:t xml:space="preserve">esa comunidad </w:t>
      </w:r>
      <w:r w:rsidR="00344979" w:rsidRPr="0038186B">
        <w:rPr>
          <w:lang w:val="es-419"/>
        </w:rPr>
        <w:t>los aprueba o los autoriza.</w:t>
      </w:r>
      <w:r w:rsidR="00014BA7" w:rsidRPr="0038186B">
        <w:rPr>
          <w:rStyle w:val="FootnoteReference"/>
          <w:lang w:val="es-419"/>
        </w:rPr>
        <w:footnoteReference w:id="27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Una lectura posible de estas normas internacionales (que también tienen efecto a través del Acuerdo sobre los AD</w:t>
      </w:r>
      <w:r w:rsidR="00014BA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C) es que podrían englobar formas más generales de protección, más allá de los actos concretos de representación </w:t>
      </w:r>
      <w:r w:rsidR="00BF723E" w:rsidRPr="0038186B">
        <w:rPr>
          <w:lang w:val="es-419"/>
        </w:rPr>
        <w:t xml:space="preserve">confusa, </w:t>
      </w:r>
      <w:r w:rsidR="00344979" w:rsidRPr="0038186B">
        <w:rPr>
          <w:lang w:val="es-419"/>
        </w:rPr>
        <w:t>falsa o engañosa citados en particular.</w:t>
      </w:r>
      <w:r w:rsidR="001A60B0" w:rsidRPr="0038186B">
        <w:rPr>
          <w:lang w:val="es-419"/>
        </w:rPr>
        <w:t xml:space="preserve"> </w:t>
      </w:r>
      <w:r w:rsidR="00BF723E" w:rsidRPr="0038186B">
        <w:rPr>
          <w:lang w:val="es-419"/>
        </w:rPr>
        <w:t xml:space="preserve">Según </w:t>
      </w:r>
      <w:r w:rsidR="00344979" w:rsidRPr="0038186B">
        <w:rPr>
          <w:lang w:val="es-419"/>
        </w:rPr>
        <w:t>una observación formulada acerca de esta disposición:</w:t>
      </w:r>
    </w:p>
    <w:p w:rsidR="00DF5574" w:rsidRPr="0038186B" w:rsidRDefault="00DF5574" w:rsidP="00344979">
      <w:pPr>
        <w:ind w:left="562"/>
        <w:rPr>
          <w:lang w:val="es-419"/>
        </w:rPr>
      </w:pPr>
    </w:p>
    <w:p w:rsidR="00DF5574" w:rsidRPr="0038186B" w:rsidRDefault="00BF723E" w:rsidP="00344979">
      <w:pPr>
        <w:ind w:left="562"/>
        <w:rPr>
          <w:lang w:val="es-419"/>
        </w:rPr>
      </w:pPr>
      <w:r w:rsidRPr="0038186B">
        <w:rPr>
          <w:lang w:val="es-419"/>
        </w:rPr>
        <w:t>En cada país, l</w:t>
      </w:r>
      <w:r w:rsidR="00344979" w:rsidRPr="0038186B">
        <w:rPr>
          <w:lang w:val="es-419"/>
        </w:rPr>
        <w:t xml:space="preserve">o que </w:t>
      </w:r>
      <w:r w:rsidRPr="0038186B">
        <w:rPr>
          <w:lang w:val="es-419"/>
        </w:rPr>
        <w:t>se entiende</w:t>
      </w:r>
      <w:r w:rsidR="00344979" w:rsidRPr="0038186B">
        <w:rPr>
          <w:lang w:val="es-419"/>
        </w:rPr>
        <w:t xml:space="preserve"> por “competencia” </w:t>
      </w:r>
      <w:r w:rsidR="0088228F" w:rsidRPr="0038186B">
        <w:rPr>
          <w:lang w:val="es-419"/>
        </w:rPr>
        <w:t xml:space="preserve">varía en función de su </w:t>
      </w:r>
      <w:r w:rsidR="00344979" w:rsidRPr="0038186B">
        <w:rPr>
          <w:lang w:val="es-419"/>
        </w:rPr>
        <w:t>propi</w:t>
      </w:r>
      <w:r w:rsidR="00A96ADB" w:rsidRPr="0038186B">
        <w:rPr>
          <w:lang w:val="es-419"/>
        </w:rPr>
        <w:t>a utilización de ese término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96ADB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países</w:t>
      </w:r>
      <w:r w:rsidR="00A96ADB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ampliar el concepto de competencia desleal </w:t>
      </w:r>
      <w:r w:rsidR="00A96ADB" w:rsidRPr="0038186B">
        <w:rPr>
          <w:lang w:val="es-419"/>
        </w:rPr>
        <w:t>para incluir</w:t>
      </w:r>
      <w:r w:rsidR="00344979" w:rsidRPr="0038186B">
        <w:rPr>
          <w:lang w:val="es-419"/>
        </w:rPr>
        <w:t xml:space="preserve"> actos que no tienen un carácter competitivo en sentido </w:t>
      </w:r>
      <w:r w:rsidRPr="0038186B">
        <w:rPr>
          <w:lang w:val="es-419"/>
        </w:rPr>
        <w:t>estricto</w:t>
      </w:r>
      <w:r w:rsidR="00014BA7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…</w:t>
      </w:r>
      <w:r w:rsidR="00014BA7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Constituirá un acto de competencia desleal todo acto de competencia contrario a los usos honestos en materia industrial o comercial.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criterio no se limita a las prácticas honestas que existen en el país donde se solicita la protección frente a la competencia desleal.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autoridades judiciales y administrativas del país tendrán por consiguiente que tener también en cuenta las prácticas honestas establecidas en el comercio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 una autoridad judicial o administrativa del país donde se solicita la protección encuentra que un acto </w:t>
      </w:r>
      <w:r w:rsidR="00A96ADB" w:rsidRPr="0038186B">
        <w:rPr>
          <w:lang w:val="es-419"/>
        </w:rPr>
        <w:t>sujeto a reclamación e</w:t>
      </w:r>
      <w:r w:rsidR="00344979" w:rsidRPr="0038186B">
        <w:rPr>
          <w:lang w:val="es-419"/>
        </w:rPr>
        <w:t>s contrario a las prácticas honestas en materia industrial o comercial, estará obligada a considerar ese acto un acto de competencia desleal y a aplicar las sanciones y recursos previstos en la legislación 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Hay gran variedad de actos que pueden corresponder al criterio antes indicado.</w:t>
      </w:r>
      <w:r w:rsidR="00582C76" w:rsidRPr="0038186B">
        <w:rPr>
          <w:rStyle w:val="FootnoteReference"/>
          <w:lang w:val="es-419"/>
        </w:rPr>
        <w:footnoteReference w:id="28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consecuencia, </w:t>
      </w:r>
      <w:r w:rsidR="0040441C" w:rsidRPr="0038186B">
        <w:rPr>
          <w:lang w:val="es-419"/>
        </w:rPr>
        <w:t xml:space="preserve">esta disposición </w:t>
      </w:r>
      <w:r w:rsidR="00582C76" w:rsidRPr="0038186B">
        <w:rPr>
          <w:lang w:val="es-419"/>
        </w:rPr>
        <w:t>se puede</w:t>
      </w:r>
      <w:r w:rsidR="00344979" w:rsidRPr="0038186B">
        <w:rPr>
          <w:lang w:val="es-419"/>
        </w:rPr>
        <w:t xml:space="preserve"> interpretar </w:t>
      </w:r>
      <w:r w:rsidR="00582C76" w:rsidRPr="0038186B">
        <w:rPr>
          <w:lang w:val="es-419"/>
        </w:rPr>
        <w:t>en el sentido</w:t>
      </w:r>
      <w:r w:rsidR="0040441C" w:rsidRPr="0038186B">
        <w:rPr>
          <w:lang w:val="es-419"/>
        </w:rPr>
        <w:t xml:space="preserve"> de que </w:t>
      </w:r>
      <w:r w:rsidR="00582C76" w:rsidRPr="0038186B">
        <w:rPr>
          <w:lang w:val="es-419"/>
        </w:rPr>
        <w:t xml:space="preserve">ofrece </w:t>
      </w:r>
      <w:r w:rsidR="00344979" w:rsidRPr="0038186B">
        <w:rPr>
          <w:lang w:val="es-419"/>
        </w:rPr>
        <w:t>protección frente a otras formas de uso de los conocimientos tradicionales que se consideren contrarios a las prácticas honestas.</w:t>
      </w:r>
      <w:r w:rsidR="001A60B0" w:rsidRPr="0038186B">
        <w:rPr>
          <w:lang w:val="es-419"/>
        </w:rPr>
        <w:t xml:space="preserve"> </w:t>
      </w:r>
      <w:r w:rsidR="0040441C" w:rsidRPr="0038186B">
        <w:rPr>
          <w:lang w:val="es-419"/>
        </w:rPr>
        <w:t xml:space="preserve">Se podría </w:t>
      </w:r>
      <w:r w:rsidR="00A96ADB" w:rsidRPr="0038186B">
        <w:rPr>
          <w:lang w:val="es-419"/>
        </w:rPr>
        <w:t>determinar</w:t>
      </w:r>
      <w:r w:rsidR="0040441C" w:rsidRPr="0038186B">
        <w:rPr>
          <w:lang w:val="es-419"/>
        </w:rPr>
        <w:t xml:space="preserve"> a </w:t>
      </w:r>
      <w:r w:rsidR="00344979" w:rsidRPr="0038186B">
        <w:rPr>
          <w:lang w:val="es-419"/>
        </w:rPr>
        <w:t xml:space="preserve">nivel nacional que los actos de competencia desleal pueden </w:t>
      </w:r>
      <w:r w:rsidR="0040441C" w:rsidRPr="0038186B">
        <w:rPr>
          <w:lang w:val="es-419"/>
        </w:rPr>
        <w:t>incluir</w:t>
      </w:r>
      <w:r w:rsidR="00344979" w:rsidRPr="0038186B">
        <w:rPr>
          <w:lang w:val="es-419"/>
        </w:rPr>
        <w:t xml:space="preserve"> el enriquecimiento </w:t>
      </w:r>
      <w:r w:rsidR="00017F3B" w:rsidRPr="0038186B">
        <w:rPr>
          <w:lang w:val="es-419"/>
        </w:rPr>
        <w:t xml:space="preserve">indebido </w:t>
      </w:r>
      <w:r w:rsidR="0040441C" w:rsidRPr="0038186B">
        <w:rPr>
          <w:lang w:val="es-419"/>
        </w:rPr>
        <w:t xml:space="preserve">derivado del </w:t>
      </w:r>
      <w:r w:rsidR="00344979" w:rsidRPr="0038186B">
        <w:rPr>
          <w:lang w:val="es-419"/>
        </w:rPr>
        <w:t xml:space="preserve">uso de conocimientos tradicionales y la obtención de beneficios comerciales a partir de </w:t>
      </w:r>
      <w:r w:rsidR="0040441C" w:rsidRPr="0038186B">
        <w:rPr>
          <w:lang w:val="es-419"/>
        </w:rPr>
        <w:t>CC.TT. o</w:t>
      </w:r>
      <w:r w:rsidR="00344979" w:rsidRPr="0038186B">
        <w:rPr>
          <w:lang w:val="es-419"/>
        </w:rPr>
        <w:t>btenidos de forma ilícita.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441C" w:rsidRPr="0038186B">
        <w:rPr>
          <w:lang w:val="es-419"/>
        </w:rPr>
        <w:t>En n</w:t>
      </w:r>
      <w:r w:rsidR="00EC19B8" w:rsidRPr="0038186B">
        <w:rPr>
          <w:lang w:val="es-419"/>
        </w:rPr>
        <w:t>umerosas leyes nacionales sobre co</w:t>
      </w:r>
      <w:r w:rsidR="001970C2" w:rsidRPr="0038186B">
        <w:rPr>
          <w:lang w:val="es-419"/>
        </w:rPr>
        <w:t>mpetencia desleal</w:t>
      </w:r>
      <w:r w:rsidR="00EC19B8"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se prohíben </w:t>
      </w:r>
      <w:r w:rsidR="00EC19B8" w:rsidRPr="0038186B">
        <w:rPr>
          <w:lang w:val="es-419"/>
        </w:rPr>
        <w:t>otros tipos de co</w:t>
      </w:r>
      <w:r w:rsidR="00876EBA" w:rsidRPr="0038186B">
        <w:rPr>
          <w:lang w:val="es-419"/>
        </w:rPr>
        <w:t>mportamientos</w:t>
      </w:r>
      <w:r w:rsidR="00EC19B8" w:rsidRPr="0038186B">
        <w:rPr>
          <w:lang w:val="es-419"/>
        </w:rPr>
        <w:t xml:space="preserve"> comerciales,</w:t>
      </w:r>
      <w:r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además de </w:t>
      </w:r>
      <w:r w:rsidR="00EC19B8" w:rsidRPr="0038186B">
        <w:rPr>
          <w:lang w:val="es-419"/>
        </w:rPr>
        <w:t xml:space="preserve">los actos que </w:t>
      </w:r>
      <w:r w:rsidR="00876EBA" w:rsidRPr="0038186B">
        <w:rPr>
          <w:lang w:val="es-419"/>
        </w:rPr>
        <w:t xml:space="preserve">se prestan a </w:t>
      </w:r>
      <w:r w:rsidR="00EC19B8" w:rsidRPr="0038186B">
        <w:rPr>
          <w:lang w:val="es-419"/>
        </w:rPr>
        <w:t xml:space="preserve">confusión </w:t>
      </w:r>
      <w:r w:rsidR="00876EBA" w:rsidRPr="0038186B">
        <w:rPr>
          <w:lang w:val="es-419"/>
        </w:rPr>
        <w:t>o</w:t>
      </w:r>
      <w:r w:rsidR="00EC19B8" w:rsidRPr="0038186B">
        <w:rPr>
          <w:lang w:val="es-419"/>
        </w:rPr>
        <w:t xml:space="preserve"> las a</w:t>
      </w:r>
      <w:r w:rsidR="00876EBA" w:rsidRPr="0038186B">
        <w:rPr>
          <w:lang w:val="es-419"/>
        </w:rPr>
        <w:t>firma</w:t>
      </w:r>
      <w:r w:rsidR="00EC19B8" w:rsidRPr="0038186B">
        <w:rPr>
          <w:lang w:val="es-419"/>
        </w:rPr>
        <w:t>ciones falsas o engañosas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C19B8" w:rsidRPr="0038186B">
        <w:rPr>
          <w:lang w:val="es-419"/>
        </w:rPr>
        <w:t xml:space="preserve">También </w:t>
      </w:r>
      <w:r w:rsidR="00876EBA" w:rsidRPr="0038186B">
        <w:rPr>
          <w:lang w:val="es-419"/>
        </w:rPr>
        <w:t xml:space="preserve">se </w:t>
      </w:r>
      <w:r w:rsidR="00EC19B8" w:rsidRPr="0038186B">
        <w:rPr>
          <w:lang w:val="es-419"/>
        </w:rPr>
        <w:t xml:space="preserve">abordan las prácticas </w:t>
      </w:r>
      <w:r w:rsidR="00876EBA" w:rsidRPr="0038186B">
        <w:rPr>
          <w:lang w:val="es-419"/>
        </w:rPr>
        <w:t>empresariales</w:t>
      </w:r>
      <w:r w:rsidR="00EC19B8" w:rsidRPr="0038186B">
        <w:rPr>
          <w:lang w:val="es-419"/>
        </w:rPr>
        <w:t xml:space="preserve"> desleales como la formación de monopolios y otras formas de utilización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EC19B8" w:rsidRPr="0038186B">
        <w:rPr>
          <w:lang w:val="es-419"/>
        </w:rPr>
        <w:t>que pued</w:t>
      </w:r>
      <w:r w:rsidR="00876EBA" w:rsidRPr="0038186B">
        <w:rPr>
          <w:lang w:val="es-419"/>
        </w:rPr>
        <w:t>e</w:t>
      </w:r>
      <w:r w:rsidR="00EC19B8" w:rsidRPr="0038186B">
        <w:rPr>
          <w:lang w:val="es-419"/>
        </w:rPr>
        <w:t xml:space="preserve">n considerarse </w:t>
      </w:r>
      <w:r w:rsidR="00876EBA" w:rsidRPr="0038186B">
        <w:rPr>
          <w:lang w:val="es-419"/>
        </w:rPr>
        <w:t>prácticas de competencia legítima</w:t>
      </w:r>
      <w:r w:rsidRPr="0038186B">
        <w:rPr>
          <w:lang w:val="es-419"/>
        </w:rPr>
        <w:t xml:space="preserve">, </w:t>
      </w:r>
      <w:r w:rsidR="00EC19B8" w:rsidRPr="0038186B">
        <w:rPr>
          <w:lang w:val="es-419"/>
        </w:rPr>
        <w:t xml:space="preserve">pero </w:t>
      </w:r>
      <w:r w:rsidR="00876EBA" w:rsidRPr="0038186B">
        <w:rPr>
          <w:lang w:val="es-419"/>
        </w:rPr>
        <w:t>no leal</w:t>
      </w:r>
      <w:r w:rsidR="00EC19B8" w:rsidRPr="0038186B">
        <w:rPr>
          <w:lang w:val="es-419"/>
        </w:rPr>
        <w:t>, como la fijación de precios predatorios</w:t>
      </w:r>
      <w:r w:rsidRPr="0038186B">
        <w:rPr>
          <w:lang w:val="es-419"/>
        </w:rPr>
        <w:t>.</w:t>
      </w:r>
    </w:p>
    <w:p w:rsidR="00DF5574" w:rsidRPr="0038186B" w:rsidRDefault="007B6E48" w:rsidP="00E6158E">
      <w:pPr>
        <w:pStyle w:val="Heading3"/>
        <w:rPr>
          <w:i/>
          <w:u w:val="none"/>
          <w:lang w:val="es-419"/>
        </w:rPr>
      </w:pPr>
      <w:bookmarkStart w:id="19" w:name="_Toc116899004"/>
      <w:r w:rsidRPr="0038186B">
        <w:rPr>
          <w:i/>
          <w:u w:val="none"/>
          <w:lang w:val="es-419"/>
        </w:rPr>
        <w:t>vi)</w:t>
      </w:r>
      <w:r w:rsidR="00964527" w:rsidRPr="0038186B">
        <w:rPr>
          <w:i/>
          <w:u w:val="none"/>
          <w:lang w:val="es-419"/>
        </w:rPr>
        <w:tab/>
        <w:t>Signos distintivos</w:t>
      </w:r>
      <w:bookmarkEnd w:id="19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</w:t>
            </w:r>
            <w:r w:rsidR="00A711D8" w:rsidRPr="0038186B">
              <w:rPr>
                <w:lang w:val="es-419"/>
              </w:rPr>
              <w:t xml:space="preserve"> a los que se hace referencia: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Arreglo de Madrid y Protocolo, Arreglo de Lisboa relativo a la Protección de las Denominaciones de Origen, Convenio de París.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FD6EEF" w:rsidP="003A0D01">
      <w:pPr>
        <w:spacing w:before="12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signos distintivos con arreglo a los instrumentos internacionales </w:t>
      </w:r>
      <w:r w:rsidR="006E4128" w:rsidRPr="0038186B">
        <w:rPr>
          <w:lang w:val="es-419"/>
        </w:rPr>
        <w:t>comprende, entre otras cosas: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convencionales (incluidas las marcas de servicios);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de certificación y colectivas;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lastRenderedPageBreak/>
        <w:t>indicaci</w:t>
      </w:r>
      <w:r w:rsidR="00CF226D" w:rsidRPr="0038186B">
        <w:rPr>
          <w:lang w:val="es-419"/>
        </w:rPr>
        <w:t>ones</w:t>
      </w:r>
      <w:r w:rsidRPr="0038186B">
        <w:rPr>
          <w:lang w:val="es-419"/>
        </w:rPr>
        <w:t xml:space="preserve"> geográfica</w:t>
      </w:r>
      <w:r w:rsidR="00CF226D" w:rsidRPr="0038186B">
        <w:rPr>
          <w:lang w:val="es-419"/>
        </w:rPr>
        <w:t>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Este tipo de protección no permite proteger los conocimientos </w:t>
      </w:r>
      <w:r w:rsidR="005C0D74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A96ADB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ofrecer </w:t>
      </w:r>
      <w:r w:rsidR="00CF226D" w:rsidRPr="0038186B">
        <w:rPr>
          <w:lang w:val="es-419"/>
        </w:rPr>
        <w:t>prot</w:t>
      </w:r>
      <w:r w:rsidR="00344979" w:rsidRPr="0038186B">
        <w:rPr>
          <w:lang w:val="es-419"/>
        </w:rPr>
        <w:t xml:space="preserve">ección </w:t>
      </w:r>
      <w:r w:rsidR="00CF226D" w:rsidRPr="0038186B">
        <w:rPr>
          <w:lang w:val="es-419"/>
        </w:rPr>
        <w:t>indirecta</w:t>
      </w:r>
      <w:r w:rsidR="009B55F6" w:rsidRPr="0038186B">
        <w:rPr>
          <w:lang w:val="es-419"/>
        </w:rPr>
        <w:t xml:space="preserve"> </w:t>
      </w:r>
      <w:r w:rsidR="00CF226D" w:rsidRPr="0038186B">
        <w:rPr>
          <w:lang w:val="es-419"/>
        </w:rPr>
        <w:t>a través de medidas para proteger los</w:t>
      </w:r>
      <w:r w:rsidR="00344979" w:rsidRPr="0038186B">
        <w:rPr>
          <w:lang w:val="es-419"/>
        </w:rPr>
        <w:t xml:space="preserve"> signos distintivos, los símbolos, los motivos y las indicaciones geográficas, y </w:t>
      </w:r>
      <w:r w:rsidR="003E467E" w:rsidRPr="0038186B">
        <w:rPr>
          <w:lang w:val="es-419"/>
        </w:rPr>
        <w:t>mediante la certificación de la</w:t>
      </w:r>
      <w:r w:rsidR="00344979" w:rsidRPr="0038186B">
        <w:rPr>
          <w:lang w:val="es-419"/>
        </w:rPr>
        <w:t xml:space="preserve"> autenticidad o la aprobación de la comunidad, cuando se aplica</w:t>
      </w:r>
      <w:r w:rsidR="0038235E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a los productos y servicios </w:t>
      </w:r>
      <w:r w:rsidR="0038235E" w:rsidRPr="0038186B">
        <w:rPr>
          <w:lang w:val="es-419"/>
        </w:rPr>
        <w:t>que se basan en</w:t>
      </w:r>
      <w:r w:rsidR="00344979" w:rsidRPr="0038186B">
        <w:rPr>
          <w:lang w:val="es-419"/>
        </w:rPr>
        <w:t xml:space="preserve"> conocimientos tradicionales o los utilizan.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Estos signos distintivos también pueden protegerse preventivamente a través de estos mecanismos jurídicos, en particular mediante la oposición o la interposición de recursos jurídicos ante registros que constituyen un uso falso o engañoso de signos, símbolos o palabras relacionados con </w:t>
      </w:r>
      <w:r w:rsidR="00162BB0" w:rsidRPr="0038186B">
        <w:rPr>
          <w:lang w:val="es-419"/>
        </w:rPr>
        <w:t xml:space="preserve">los </w:t>
      </w:r>
      <w:r w:rsidR="0038235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o referencias geográficas relacionadas con </w:t>
      </w:r>
      <w:r w:rsidR="0038235E" w:rsidRPr="0038186B">
        <w:rPr>
          <w:lang w:val="es-419"/>
        </w:rPr>
        <w:t>CC.TT.</w:t>
      </w:r>
      <w:r w:rsidR="00F957B6" w:rsidRPr="0038186B">
        <w:rPr>
          <w:rStyle w:val="FootnoteReference"/>
          <w:lang w:val="es-419"/>
        </w:rPr>
        <w:footnoteReference w:id="29"/>
      </w:r>
      <w:r w:rsidR="001A60B0" w:rsidRPr="0038186B">
        <w:rPr>
          <w:lang w:val="es-419"/>
        </w:rPr>
        <w:t xml:space="preserve"> </w:t>
      </w:r>
      <w:bookmarkStart w:id="20" w:name="_6QUINQUIES_B_3"/>
      <w:r w:rsidR="00344979" w:rsidRPr="0038186B">
        <w:rPr>
          <w:lang w:val="es-419"/>
        </w:rPr>
        <w:t xml:space="preserve">Las normas internacionales </w:t>
      </w:r>
      <w:r w:rsidR="0038235E" w:rsidRPr="0038186B">
        <w:rPr>
          <w:lang w:val="es-419"/>
        </w:rPr>
        <w:t>se aplican</w:t>
      </w:r>
      <w:r w:rsidR="00344979" w:rsidRPr="0038186B">
        <w:rPr>
          <w:lang w:val="es-419"/>
        </w:rPr>
        <w:t xml:space="preserve"> para el rechazo o la invalidación de las marcas contrarias a la moral o al orden público.</w:t>
      </w:r>
      <w:r w:rsidR="001A60B0" w:rsidRPr="0038186B">
        <w:rPr>
          <w:lang w:val="es-419"/>
        </w:rPr>
        <w:t xml:space="preserve"> </w:t>
      </w:r>
      <w:bookmarkEnd w:id="20"/>
      <w:r w:rsidR="00344979" w:rsidRPr="0038186B">
        <w:rPr>
          <w:lang w:val="es-419"/>
        </w:rPr>
        <w:t>En algunos casos, estas prohibiciones se han aplicado para rechazar o revocar marcas que supondrían un agravio espiritual o c</w:t>
      </w:r>
      <w:r w:rsidR="005C0D74" w:rsidRPr="0038186B">
        <w:rPr>
          <w:lang w:val="es-419"/>
        </w:rPr>
        <w:t xml:space="preserve">ultural para </w:t>
      </w:r>
      <w:r w:rsidR="0038235E" w:rsidRPr="0038186B">
        <w:rPr>
          <w:lang w:val="es-419"/>
        </w:rPr>
        <w:t>las comunidades</w:t>
      </w:r>
      <w:r w:rsidR="005C0D74" w:rsidRPr="0038186B">
        <w:rPr>
          <w:lang w:val="es-419"/>
        </w:rPr>
        <w:t xml:space="preserve"> indígena</w:t>
      </w:r>
      <w:r w:rsidR="0038235E" w:rsidRPr="0038186B">
        <w:rPr>
          <w:lang w:val="es-419"/>
        </w:rPr>
        <w:t>s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(véase </w:t>
      </w:r>
      <w:r w:rsidR="007C3789" w:rsidRPr="0038186B">
        <w:rPr>
          <w:lang w:val="es-419"/>
        </w:rPr>
        <w:t xml:space="preserve">el examen de la protección preventiva de las ECT en el sistema de marcas en el proyecto actualizado de </w:t>
      </w:r>
      <w:r w:rsidR="00344979" w:rsidRPr="0038186B">
        <w:rPr>
          <w:lang w:val="es-419"/>
        </w:rPr>
        <w:t xml:space="preserve">análisis de carencias en materia de </w:t>
      </w:r>
      <w:r w:rsidR="007C3789" w:rsidRPr="0038186B">
        <w:rPr>
          <w:lang w:val="es-419"/>
        </w:rPr>
        <w:t>ECT</w:t>
      </w:r>
      <w:r w:rsidR="009B6BE2" w:rsidRPr="0038186B">
        <w:rPr>
          <w:lang w:val="es-419"/>
        </w:rPr>
        <w:t>).</w:t>
      </w:r>
      <w:r w:rsidR="00F957B6" w:rsidRPr="0038186B">
        <w:rPr>
          <w:rStyle w:val="FootnoteReference"/>
          <w:lang w:val="es-419"/>
        </w:rPr>
        <w:footnoteReference w:id="30"/>
      </w:r>
    </w:p>
    <w:p w:rsidR="00DF5574" w:rsidRPr="0038186B" w:rsidRDefault="00344979" w:rsidP="00E6158E">
      <w:pPr>
        <w:pStyle w:val="Heading3"/>
        <w:rPr>
          <w:i/>
          <w:u w:val="none"/>
          <w:lang w:val="es-419"/>
        </w:rPr>
      </w:pPr>
      <w:bookmarkStart w:id="29" w:name="_Toc116899005"/>
      <w:r w:rsidRPr="0038186B">
        <w:rPr>
          <w:i/>
          <w:u w:val="none"/>
          <w:lang w:val="es-419"/>
        </w:rPr>
        <w:t>vi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Legislación sobre diseños industriales</w:t>
      </w:r>
      <w:bookmarkEnd w:id="29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C, Convenio de Berna, Arreglo de La Haya relativo al </w:t>
            </w:r>
            <w:r w:rsidR="007C3789" w:rsidRPr="0038186B">
              <w:rPr>
                <w:lang w:val="es-419"/>
              </w:rPr>
              <w:t>registro</w:t>
            </w:r>
            <w:r w:rsidRPr="0038186B">
              <w:rPr>
                <w:lang w:val="es-419"/>
              </w:rPr>
              <w:t xml:space="preserve"> internacional de dibujos y modelos industriales, Convenio de París.</w:t>
            </w:r>
          </w:p>
          <w:p w:rsidR="00B20836" w:rsidRPr="0038186B" w:rsidRDefault="00B20836" w:rsidP="00B20836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diseños no </w:t>
      </w:r>
      <w:r w:rsidR="00162BB0" w:rsidRPr="0038186B">
        <w:rPr>
          <w:lang w:val="es-419"/>
        </w:rPr>
        <w:t>ampara</w:t>
      </w:r>
      <w:r w:rsidR="007C3789" w:rsidRPr="0038186B">
        <w:rPr>
          <w:lang w:val="es-419"/>
        </w:rPr>
        <w:t xml:space="preserve"> el</w:t>
      </w:r>
      <w:r w:rsidR="00344979" w:rsidRPr="0038186B">
        <w:rPr>
          <w:lang w:val="es-419"/>
        </w:rPr>
        <w:t xml:space="preserve"> contenido </w:t>
      </w:r>
      <w:r w:rsidR="007C3789" w:rsidRPr="0038186B">
        <w:rPr>
          <w:lang w:val="es-419"/>
        </w:rPr>
        <w:t>de los conocimientos como tales</w:t>
      </w:r>
      <w:r w:rsidR="00344979" w:rsidRPr="0038186B">
        <w:rPr>
          <w:lang w:val="es-419"/>
        </w:rPr>
        <w:t xml:space="preserve"> y </w:t>
      </w:r>
      <w:r w:rsidR="007C3789" w:rsidRPr="0038186B">
        <w:rPr>
          <w:lang w:val="es-419"/>
        </w:rPr>
        <w:t xml:space="preserve">es más pertinente </w:t>
      </w:r>
      <w:r w:rsidR="00344979" w:rsidRPr="0038186B">
        <w:rPr>
          <w:lang w:val="es-419"/>
        </w:rPr>
        <w:t xml:space="preserve">para la protección de las expresiones culturales tradicionales que para los </w:t>
      </w:r>
      <w:r w:rsidR="007C378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(véase el </w:t>
      </w:r>
      <w:r w:rsidR="005C1663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5C1663" w:rsidRPr="0038186B">
        <w:rPr>
          <w:lang w:val="es-419"/>
        </w:rPr>
        <w:t>ECT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F85D19" w:rsidRPr="0038186B">
        <w:rPr>
          <w:lang w:val="es-419"/>
        </w:rPr>
        <w:t xml:space="preserve">en cierta medida </w:t>
      </w:r>
      <w:r w:rsidR="00344979" w:rsidRPr="0038186B">
        <w:rPr>
          <w:lang w:val="es-419"/>
        </w:rPr>
        <w:t xml:space="preserve">las normas internacionales </w:t>
      </w:r>
      <w:r w:rsidR="00F85D19" w:rsidRPr="0038186B">
        <w:rPr>
          <w:lang w:val="es-419"/>
        </w:rPr>
        <w:t>relativas a la p</w:t>
      </w:r>
      <w:r w:rsidR="00344979" w:rsidRPr="0038186B">
        <w:rPr>
          <w:lang w:val="es-419"/>
        </w:rPr>
        <w:t xml:space="preserve">rotección de </w:t>
      </w:r>
      <w:r w:rsidR="00F85D19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diseños </w:t>
      </w:r>
      <w:r w:rsidR="00F85D19" w:rsidRPr="0038186B">
        <w:rPr>
          <w:lang w:val="es-419"/>
        </w:rPr>
        <w:t>pueden ofrecer p</w:t>
      </w:r>
      <w:r w:rsidR="00344979" w:rsidRPr="0038186B">
        <w:rPr>
          <w:lang w:val="es-419"/>
        </w:rPr>
        <w:t xml:space="preserve">rotección indirecta a algunos </w:t>
      </w:r>
      <w:r w:rsidR="005C166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427FA3" w:rsidRPr="0038186B">
        <w:rPr>
          <w:lang w:val="es-419"/>
        </w:rPr>
        <w:t xml:space="preserve">como en el caso de los </w:t>
      </w:r>
      <w:r w:rsidR="00344979" w:rsidRPr="0038186B">
        <w:rPr>
          <w:lang w:val="es-419"/>
        </w:rPr>
        <w:t xml:space="preserve">diseños </w:t>
      </w:r>
      <w:r w:rsidR="001C2373" w:rsidRPr="0038186B">
        <w:rPr>
          <w:lang w:val="es-419"/>
        </w:rPr>
        <w:t>vinculados a</w:t>
      </w:r>
      <w:r w:rsidR="005C1663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sistema particular de </w:t>
      </w:r>
      <w:r w:rsidR="005C1663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</w:t>
      </w:r>
      <w:r w:rsidR="001C2373" w:rsidRPr="0038186B">
        <w:rPr>
          <w:lang w:val="es-419"/>
        </w:rPr>
        <w:t>por ejemplo,</w:t>
      </w:r>
      <w:r w:rsidR="00344979" w:rsidRPr="0038186B">
        <w:rPr>
          <w:lang w:val="es-419"/>
        </w:rPr>
        <w:t xml:space="preserve"> </w:t>
      </w:r>
      <w:r w:rsidR="005C1663" w:rsidRPr="0038186B">
        <w:rPr>
          <w:lang w:val="es-419"/>
        </w:rPr>
        <w:t>los métodos para fabricar</w:t>
      </w:r>
      <w:r w:rsidR="00344979" w:rsidRPr="0038186B">
        <w:rPr>
          <w:lang w:val="es-419"/>
        </w:rPr>
        <w:t xml:space="preserve"> herramientas</w:t>
      </w:r>
      <w:r w:rsidR="005C1663" w:rsidRPr="0038186B">
        <w:rPr>
          <w:lang w:val="es-419"/>
        </w:rPr>
        <w:t>, instrumentos musicales</w:t>
      </w:r>
      <w:r w:rsidR="00344979" w:rsidRPr="0038186B">
        <w:rPr>
          <w:lang w:val="es-419"/>
        </w:rPr>
        <w:t xml:space="preserve"> o artesanía.</w:t>
      </w:r>
      <w:r w:rsidR="001A60B0" w:rsidRPr="0038186B">
        <w:rPr>
          <w:lang w:val="es-419"/>
        </w:rPr>
        <w:t xml:space="preserve"> </w:t>
      </w:r>
      <w:r w:rsidR="005C1663" w:rsidRPr="0038186B">
        <w:rPr>
          <w:lang w:val="es-419"/>
        </w:rPr>
        <w:t xml:space="preserve">Se </w:t>
      </w:r>
      <w:r w:rsidR="00D07F79" w:rsidRPr="0038186B">
        <w:rPr>
          <w:lang w:val="es-419"/>
        </w:rPr>
        <w:t>otorga</w:t>
      </w:r>
      <w:r w:rsidR="005C1663" w:rsidRPr="0038186B">
        <w:rPr>
          <w:lang w:val="es-419"/>
        </w:rPr>
        <w:t xml:space="preserve"> p</w:t>
      </w:r>
      <w:r w:rsidR="00344979" w:rsidRPr="0038186B">
        <w:rPr>
          <w:lang w:val="es-419"/>
        </w:rPr>
        <w:t xml:space="preserve">rotección </w:t>
      </w:r>
      <w:r w:rsidR="005C1663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diseños que s</w:t>
      </w:r>
      <w:r w:rsidR="005C1663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nuevos </w:t>
      </w:r>
      <w:r w:rsidR="005C166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 originales, pero </w:t>
      </w:r>
      <w:r w:rsidR="00D07F79" w:rsidRPr="0038186B">
        <w:rPr>
          <w:lang w:val="es-419"/>
        </w:rPr>
        <w:t xml:space="preserve">es posible </w:t>
      </w:r>
      <w:r w:rsidR="00F93847" w:rsidRPr="0038186B">
        <w:rPr>
          <w:lang w:val="es-419"/>
        </w:rPr>
        <w:t xml:space="preserve">que los </w:t>
      </w:r>
      <w:r w:rsidR="00D07F79" w:rsidRPr="0038186B">
        <w:rPr>
          <w:lang w:val="es-419"/>
        </w:rPr>
        <w:t>diseños dictados esencialmente por consideraciones técnicas o funcionales</w:t>
      </w:r>
      <w:r w:rsidR="00F93847" w:rsidRPr="0038186B">
        <w:rPr>
          <w:lang w:val="es-419"/>
        </w:rPr>
        <w:t xml:space="preserve"> queden excluidos de la protección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1770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957B6" w:rsidRPr="0038186B">
        <w:rPr>
          <w:lang w:val="es-419"/>
        </w:rPr>
        <w:t>En el marco del proyecto de tratado sobre el Derecho de los diseños, a</w:t>
      </w:r>
      <w:r w:rsidR="00017F3B" w:rsidRPr="0038186B">
        <w:rPr>
          <w:lang w:val="es-419"/>
        </w:rPr>
        <w:t xml:space="preserve">lgunos Estados miembros han propuesto que </w:t>
      </w:r>
      <w:r w:rsidR="00D07F79" w:rsidRPr="0038186B">
        <w:rPr>
          <w:lang w:val="es-419"/>
        </w:rPr>
        <w:t>sea posible exigir</w:t>
      </w:r>
      <w:r w:rsidRPr="0038186B">
        <w:rPr>
          <w:lang w:val="es-419"/>
        </w:rPr>
        <w:t>,</w:t>
      </w:r>
      <w:r w:rsidR="00017F3B" w:rsidRPr="0038186B">
        <w:rPr>
          <w:lang w:val="es-419"/>
        </w:rPr>
        <w:t xml:space="preserve"> como parte de la solicitud</w:t>
      </w:r>
      <w:r w:rsidRPr="0038186B">
        <w:rPr>
          <w:lang w:val="es-419"/>
        </w:rPr>
        <w:t xml:space="preserve">, </w:t>
      </w:r>
      <w:r w:rsidR="00F957B6" w:rsidRPr="0038186B">
        <w:rPr>
          <w:lang w:val="es-419"/>
        </w:rPr>
        <w:t xml:space="preserve">que </w:t>
      </w:r>
      <w:r w:rsidR="00017F3B" w:rsidRPr="0038186B">
        <w:rPr>
          <w:lang w:val="es-419"/>
        </w:rPr>
        <w:t>se divulgue el origen o fuente de las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ECT</w:t>
      </w:r>
      <w:r w:rsidRPr="0038186B">
        <w:rPr>
          <w:lang w:val="es-419"/>
        </w:rPr>
        <w:t xml:space="preserve">,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o</w:t>
      </w:r>
      <w:r w:rsidR="001970C2" w:rsidRPr="0038186B">
        <w:rPr>
          <w:lang w:val="es-419"/>
        </w:rPr>
        <w:t xml:space="preserve">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 xml:space="preserve">recursos genéticos/biológicos </w:t>
      </w:r>
      <w:r w:rsidR="00017F3B" w:rsidRPr="0038186B">
        <w:rPr>
          <w:lang w:val="es-419"/>
        </w:rPr>
        <w:t xml:space="preserve">utilizados o incorporados en </w:t>
      </w:r>
      <w:r w:rsidR="00F957B6" w:rsidRPr="0038186B">
        <w:rPr>
          <w:lang w:val="es-419"/>
        </w:rPr>
        <w:t>un</w:t>
      </w:r>
      <w:r w:rsidR="00017F3B" w:rsidRPr="0038186B">
        <w:rPr>
          <w:lang w:val="es-419"/>
        </w:rPr>
        <w:t xml:space="preserve"> diseño </w:t>
      </w:r>
      <w:r w:rsidRPr="0038186B">
        <w:rPr>
          <w:lang w:val="es-419"/>
        </w:rPr>
        <w:t>industrial</w:t>
      </w:r>
      <w:r w:rsidR="00017F3B" w:rsidRPr="0038186B">
        <w:rPr>
          <w:lang w:val="es-419"/>
        </w:rPr>
        <w:t>.</w:t>
      </w:r>
      <w:r w:rsidRPr="0038186B">
        <w:rPr>
          <w:rStyle w:val="FootnoteReference"/>
          <w:lang w:val="es-419"/>
        </w:rPr>
        <w:footnoteReference w:id="31"/>
      </w:r>
    </w:p>
    <w:p w:rsidR="00DF5574" w:rsidRPr="0038186B" w:rsidRDefault="00E6158E" w:rsidP="00130037">
      <w:pPr>
        <w:pStyle w:val="Heading3"/>
        <w:keepLines/>
        <w:rPr>
          <w:i/>
          <w:u w:val="none"/>
          <w:lang w:val="es-419"/>
        </w:rPr>
      </w:pPr>
      <w:bookmarkStart w:id="30" w:name="_Toc116899006"/>
      <w:r w:rsidRPr="0038186B">
        <w:rPr>
          <w:i/>
          <w:u w:val="none"/>
          <w:lang w:val="es-419"/>
        </w:rPr>
        <w:t>vii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Derecho de autor y legislación conexa</w:t>
      </w:r>
      <w:bookmarkEnd w:id="30"/>
    </w:p>
    <w:p w:rsidR="00B20836" w:rsidRPr="0038186B" w:rsidRDefault="00B20836" w:rsidP="00130037">
      <w:pPr>
        <w:keepNext/>
        <w:rPr>
          <w:bCs/>
          <w:iCs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2F7B55" w:rsidTr="00B20836">
        <w:tc>
          <w:tcPr>
            <w:tcW w:w="962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Convenio de Berna,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 (WPPT).</w:t>
            </w:r>
          </w:p>
          <w:p w:rsidR="00B20836" w:rsidRPr="0038186B" w:rsidRDefault="00B20836" w:rsidP="00130037">
            <w:pPr>
              <w:keepNext/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del derecho de autor se </w:t>
      </w:r>
      <w:r w:rsidR="00AC7F6F" w:rsidRPr="0038186B">
        <w:rPr>
          <w:lang w:val="es-419"/>
        </w:rPr>
        <w:t>refiere a</w:t>
      </w:r>
      <w:r w:rsidR="00344979" w:rsidRPr="0038186B">
        <w:rPr>
          <w:lang w:val="es-419"/>
        </w:rPr>
        <w:t xml:space="preserve"> la forma de expresión y no aborda el contenido de los conocimientos como tales, </w:t>
      </w:r>
      <w:r w:rsidR="00AC7F6F" w:rsidRPr="0038186B">
        <w:rPr>
          <w:lang w:val="es-419"/>
        </w:rPr>
        <w:t xml:space="preserve">por lo que guarda más </w:t>
      </w:r>
      <w:r w:rsidR="00344979" w:rsidRPr="0038186B">
        <w:rPr>
          <w:lang w:val="es-419"/>
        </w:rPr>
        <w:t xml:space="preserve">pertinencia para la protección de las expresiones culturales tradicionales que para los </w:t>
      </w:r>
      <w:r w:rsidR="00AC7F6F" w:rsidRPr="0038186B">
        <w:rPr>
          <w:lang w:val="es-419"/>
        </w:rPr>
        <w:t>CC.TT. (</w:t>
      </w:r>
      <w:r w:rsidR="00344979" w:rsidRPr="0038186B">
        <w:rPr>
          <w:lang w:val="es-419"/>
        </w:rPr>
        <w:t xml:space="preserve">véase el </w:t>
      </w:r>
      <w:r w:rsidR="00AC7F6F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AC7F6F" w:rsidRPr="0038186B">
        <w:rPr>
          <w:lang w:val="es-419"/>
        </w:rPr>
        <w:t>ECT, documento WIPO/GRTKF/IC/37/7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las normas internacionales sobre derecho de autor y derechos conexos pueden verse como una forma de proporcionar protección indirecta a los </w:t>
      </w:r>
      <w:r w:rsidR="004677E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particular, el derecho de autor puede aplicarse a las descripciones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4677EA" w:rsidRPr="0038186B">
        <w:rPr>
          <w:lang w:val="es-419"/>
        </w:rPr>
        <w:t>que figuren</w:t>
      </w:r>
      <w:r w:rsidR="00344979" w:rsidRPr="0038186B">
        <w:rPr>
          <w:lang w:val="es-419"/>
        </w:rPr>
        <w:t xml:space="preserve"> en una base de datos, así como a las compilaciones de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están protegidas como compilaciones </w:t>
      </w:r>
      <w:r w:rsidR="004677EA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“por la selección o disposición de las materias, constituyan creaciones intelectuales”.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este tipo de protección indirecta de los </w:t>
      </w:r>
      <w:r w:rsidR="004677EA" w:rsidRPr="0038186B">
        <w:rPr>
          <w:lang w:val="es-419"/>
        </w:rPr>
        <w:t>CC.TT. mediante e</w:t>
      </w:r>
      <w:r w:rsidR="00344979" w:rsidRPr="0038186B">
        <w:rPr>
          <w:lang w:val="es-419"/>
        </w:rPr>
        <w:t xml:space="preserve">l derecho de autor no se extiende a los contenidos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como tales;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tanto, los conocimientos técnicos y el contenido sustantivo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podrían ser </w:t>
      </w:r>
      <w:r w:rsidR="004677EA" w:rsidRPr="0038186B">
        <w:rPr>
          <w:lang w:val="es-419"/>
        </w:rPr>
        <w:t>extraídos</w:t>
      </w:r>
      <w:r w:rsidR="00344979" w:rsidRPr="0038186B">
        <w:rPr>
          <w:lang w:val="es-419"/>
        </w:rPr>
        <w:t xml:space="preserve"> y utilizados por terceros incluso </w:t>
      </w:r>
      <w:r w:rsidR="004677EA" w:rsidRPr="0038186B">
        <w:rPr>
          <w:lang w:val="es-419"/>
        </w:rPr>
        <w:t>si</w:t>
      </w:r>
      <w:r w:rsidR="00392E94" w:rsidRPr="0038186B">
        <w:rPr>
          <w:lang w:val="es-419"/>
        </w:rPr>
        <w:t xml:space="preserve"> figuraran</w:t>
      </w:r>
      <w:r w:rsidR="00344979" w:rsidRPr="0038186B">
        <w:rPr>
          <w:lang w:val="es-419"/>
        </w:rPr>
        <w:t xml:space="preserve"> en una base de datos protegida por el derecho de autor.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general, cuando los </w:t>
      </w:r>
      <w:r w:rsidR="00392E94" w:rsidRPr="0038186B">
        <w:rPr>
          <w:lang w:val="es-419"/>
        </w:rPr>
        <w:t xml:space="preserve">conocimientos tradicionales </w:t>
      </w:r>
      <w:r w:rsidR="00344979" w:rsidRPr="0038186B">
        <w:rPr>
          <w:lang w:val="es-419"/>
        </w:rPr>
        <w:t xml:space="preserve">se comunican a través de </w:t>
      </w:r>
      <w:r w:rsidR="00392E94" w:rsidRPr="0038186B">
        <w:rPr>
          <w:lang w:val="es-419"/>
        </w:rPr>
        <w:t>las expresiones culturales tradicionales</w:t>
      </w:r>
      <w:r w:rsidR="00344979" w:rsidRPr="0038186B">
        <w:rPr>
          <w:lang w:val="es-419"/>
        </w:rPr>
        <w:t xml:space="preserve">, la protección de las </w:t>
      </w:r>
      <w:r w:rsidR="00392E94" w:rsidRPr="0038186B">
        <w:rPr>
          <w:lang w:val="es-419"/>
        </w:rPr>
        <w:t>ECT puede considerarse</w:t>
      </w:r>
      <w:r w:rsidR="00344979" w:rsidRPr="0038186B">
        <w:rPr>
          <w:lang w:val="es-419"/>
        </w:rPr>
        <w:t xml:space="preserve"> protección indirecta de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una grabación fonográfica de una interpretación o ejecución tradicional utilizada para transmitir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dentro de una comunidad puede protegerse como una grabación de una </w:t>
      </w:r>
      <w:r w:rsidR="00392E94" w:rsidRPr="0038186B">
        <w:rPr>
          <w:lang w:val="es-419"/>
        </w:rPr>
        <w:t>ECT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permitiría limitar la distribución de la grabación y el acceso a la misma, lo que limitaría indirectamente el acceso a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comunicados a través de la </w:t>
      </w:r>
      <w:r w:rsidR="00392E94" w:rsidRPr="0038186B">
        <w:rPr>
          <w:lang w:val="es-419"/>
        </w:rPr>
        <w:t xml:space="preserve">ECT </w:t>
      </w:r>
      <w:r w:rsidR="00344979" w:rsidRPr="0038186B">
        <w:rPr>
          <w:lang w:val="es-419"/>
        </w:rPr>
        <w:t>y su difusión);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verse los pormenores en el análisis complementario de carencias en materia de </w:t>
      </w:r>
      <w:r w:rsidR="00362F4B" w:rsidRPr="0038186B">
        <w:rPr>
          <w:lang w:val="es-419"/>
        </w:rPr>
        <w:t>ECT</w:t>
      </w:r>
      <w:r w:rsidR="00344979" w:rsidRPr="0038186B">
        <w:rPr>
          <w:lang w:val="es-419"/>
        </w:rPr>
        <w:t>.</w:t>
      </w:r>
    </w:p>
    <w:p w:rsidR="00DF5574" w:rsidRPr="0038186B" w:rsidRDefault="00E6158E" w:rsidP="00E6158E">
      <w:pPr>
        <w:pStyle w:val="Heading2"/>
        <w:tabs>
          <w:tab w:val="left" w:pos="540"/>
        </w:tabs>
        <w:rPr>
          <w:i/>
          <w:u w:val="single"/>
          <w:lang w:val="es-419"/>
        </w:rPr>
      </w:pPr>
      <w:bookmarkStart w:id="31" w:name="_Toc116899007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Protección en virtud de otras esferas del Derecho internacional público</w:t>
      </w:r>
      <w:bookmarkEnd w:id="3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El presente análisis de carencias se centra en </w:t>
      </w:r>
      <w:r w:rsidR="00362F4B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 xml:space="preserve">normas internacionales que atañen específicamente a la legislación sobre propiedad intelectual y su relación con los </w:t>
      </w:r>
      <w:r w:rsidR="00BB1FB6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Sin embargo, existen normas más generale</w:t>
      </w:r>
      <w:r w:rsidR="00493055" w:rsidRPr="0038186B">
        <w:rPr>
          <w:lang w:val="es-419"/>
        </w:rPr>
        <w:t>s del 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>internacional público</w:t>
      </w:r>
      <w:r w:rsidR="00344979" w:rsidRPr="0038186B">
        <w:rPr>
          <w:lang w:val="es-419"/>
        </w:rPr>
        <w:t>, como la</w:t>
      </w:r>
      <w:r w:rsidR="00493055" w:rsidRPr="0038186B">
        <w:rPr>
          <w:lang w:val="es-419"/>
        </w:rPr>
        <w:t>s relativas a la</w:t>
      </w:r>
      <w:r w:rsidR="00344979" w:rsidRPr="0038186B">
        <w:rPr>
          <w:lang w:val="es-419"/>
        </w:rPr>
        <w:t xml:space="preserve"> protección medioambiental, los recursos fitogenéticos y los derechos de los pueblos indígenas</w:t>
      </w:r>
      <w:r w:rsidR="00BB1FB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que podrían considerarse pertinentes para el marco jurídico y </w:t>
      </w:r>
      <w:r w:rsidR="00BB1FB6" w:rsidRPr="0038186B">
        <w:rPr>
          <w:lang w:val="es-419"/>
        </w:rPr>
        <w:t>normativo</w:t>
      </w:r>
      <w:r w:rsidR="00344979" w:rsidRPr="0038186B">
        <w:rPr>
          <w:lang w:val="es-419"/>
        </w:rPr>
        <w:t xml:space="preserve"> internacional general.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normas se examinan brevemente a continuación.</w:t>
      </w:r>
    </w:p>
    <w:p w:rsidR="00491FB2" w:rsidRPr="0038186B" w:rsidRDefault="00491FB2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2F7B55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344979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Convenio sobre la Diversidad Biológica (CDB), </w:t>
            </w:r>
            <w:r w:rsidR="00BB1FB6" w:rsidRPr="0038186B">
              <w:rPr>
                <w:lang w:val="es-419"/>
              </w:rPr>
              <w:t>Tratado I</w:t>
            </w:r>
            <w:r w:rsidR="00FC35E3" w:rsidRPr="0038186B">
              <w:rPr>
                <w:lang w:val="es-419"/>
              </w:rPr>
              <w:t xml:space="preserve">nternacional </w:t>
            </w:r>
            <w:r w:rsidR="00BB1FB6" w:rsidRPr="0038186B">
              <w:rPr>
                <w:lang w:val="es-419"/>
              </w:rPr>
              <w:t>sobre los R</w:t>
            </w:r>
            <w:r w:rsidR="00FC35E3" w:rsidRPr="0038186B">
              <w:rPr>
                <w:lang w:val="es-419"/>
              </w:rPr>
              <w:t xml:space="preserve">ecursos </w:t>
            </w:r>
            <w:r w:rsidR="00BB1FB6" w:rsidRPr="0038186B">
              <w:rPr>
                <w:lang w:val="es-419"/>
              </w:rPr>
              <w:t>F</w:t>
            </w:r>
            <w:r w:rsidR="00FC35E3" w:rsidRPr="0038186B">
              <w:rPr>
                <w:lang w:val="es-419"/>
              </w:rPr>
              <w:t xml:space="preserve">itogenéticos </w:t>
            </w:r>
            <w:r w:rsidR="00BB1FB6" w:rsidRPr="0038186B">
              <w:rPr>
                <w:lang w:val="es-419"/>
              </w:rPr>
              <w:t>para la A</w:t>
            </w:r>
            <w:r w:rsidR="00FC35E3" w:rsidRPr="0038186B">
              <w:rPr>
                <w:lang w:val="es-419"/>
              </w:rPr>
              <w:t>limentación</w:t>
            </w:r>
          </w:p>
          <w:p w:rsidR="00DF5574" w:rsidRPr="0038186B" w:rsidRDefault="00BB1FB6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y la A</w:t>
            </w:r>
            <w:r w:rsidR="00FC35E3" w:rsidRPr="0038186B">
              <w:rPr>
                <w:lang w:val="es-419"/>
              </w:rPr>
              <w:t>gricultura</w:t>
            </w:r>
            <w:r w:rsidR="00344979" w:rsidRPr="0038186B">
              <w:rPr>
                <w:lang w:val="es-419"/>
              </w:rPr>
              <w:t xml:space="preserve"> de la FAO</w:t>
            </w:r>
            <w:r w:rsidR="00B72E90" w:rsidRPr="0038186B">
              <w:rPr>
                <w:lang w:val="es-419"/>
              </w:rPr>
              <w:t xml:space="preserve"> (TIRFAA)</w:t>
            </w:r>
            <w:r w:rsidR="00344979" w:rsidRPr="0038186B">
              <w:rPr>
                <w:lang w:val="es-419"/>
              </w:rPr>
              <w:t>, Declaración de las Naciones Unida</w:t>
            </w:r>
            <w:r w:rsidRPr="0038186B">
              <w:rPr>
                <w:lang w:val="es-419"/>
              </w:rPr>
              <w:t>s sobre los Derechos de los Pueblos I</w:t>
            </w:r>
            <w:r w:rsidR="00344979" w:rsidRPr="0038186B">
              <w:rPr>
                <w:lang w:val="es-419"/>
              </w:rPr>
              <w:t>ndígenas, Directrices de Bonn, Convención de las Naciones Unidas de Lucha contra la Desertificación (CNULD)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130037">
      <w:pPr>
        <w:pStyle w:val="Heading3"/>
        <w:rPr>
          <w:i/>
          <w:u w:val="none"/>
          <w:lang w:val="es-419"/>
        </w:rPr>
      </w:pPr>
      <w:bookmarkStart w:id="32" w:name="_Toc116899008"/>
      <w:r w:rsidRPr="0038186B">
        <w:rPr>
          <w:i/>
          <w:u w:val="none"/>
          <w:lang w:val="es-419"/>
        </w:rPr>
        <w:t>i)</w:t>
      </w:r>
      <w:r w:rsidR="009D541F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Convenio sobre la Diversidad Biológica</w:t>
      </w:r>
      <w:bookmarkEnd w:id="32"/>
    </w:p>
    <w:p w:rsidR="00DF5574" w:rsidRPr="0038186B" w:rsidRDefault="00DF5574" w:rsidP="00130037">
      <w:pPr>
        <w:keepNext/>
        <w:rPr>
          <w:lang w:val="es-419"/>
        </w:rPr>
      </w:pPr>
    </w:p>
    <w:p w:rsidR="00DF5574" w:rsidRPr="0038186B" w:rsidRDefault="00FD6EEF" w:rsidP="00130037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35E3" w:rsidRPr="0038186B">
        <w:rPr>
          <w:lang w:val="es-419"/>
        </w:rPr>
        <w:t xml:space="preserve">Hay un </w:t>
      </w:r>
      <w:r w:rsidR="00C63397" w:rsidRPr="0038186B">
        <w:rPr>
          <w:lang w:val="es-419"/>
        </w:rPr>
        <w:t xml:space="preserve">ámbito </w:t>
      </w:r>
      <w:r w:rsidR="00FC35E3" w:rsidRPr="0038186B">
        <w:rPr>
          <w:lang w:val="es-419"/>
        </w:rPr>
        <w:t xml:space="preserve">específico de </w:t>
      </w:r>
      <w:r w:rsidR="00C63397" w:rsidRPr="0038186B">
        <w:rPr>
          <w:lang w:val="es-419"/>
        </w:rPr>
        <w:t xml:space="preserve">los </w:t>
      </w:r>
      <w:r w:rsidR="00362F4B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a saber,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FC35E3" w:rsidRPr="0038186B">
        <w:rPr>
          <w:lang w:val="es-419"/>
        </w:rPr>
        <w:t xml:space="preserve">pertinentes para la conservación y utilización sostenible de la </w:t>
      </w:r>
      <w:r w:rsidR="001970C2" w:rsidRPr="0038186B">
        <w:rPr>
          <w:lang w:val="es-419"/>
        </w:rPr>
        <w:t>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que se rige por el </w:t>
      </w:r>
      <w:r w:rsidR="001970C2" w:rsidRPr="0038186B">
        <w:rPr>
          <w:lang w:val="es-419"/>
        </w:rPr>
        <w:t>Convenio sobre la 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>que establece que cada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Parte Contratante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30"/>
        <w:rPr>
          <w:lang w:val="es-419"/>
        </w:rPr>
      </w:pPr>
      <w:r w:rsidRPr="0038186B">
        <w:rPr>
          <w:lang w:val="es-419"/>
        </w:rPr>
        <w:t>con arreglo a su legislación nacional, respetará, preservará y mantendrá los conocimientos, las innovaciones y las prácticas de las comunidades indígenas y locales que entrañen estilos tradicionales de vida pertinentes para la conservación y la utilización sostenible 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equitativamente;</w:t>
      </w:r>
    </w:p>
    <w:p w:rsidR="00DF5574" w:rsidRPr="0038186B" w:rsidRDefault="00DF5574" w:rsidP="00880F45">
      <w:pPr>
        <w:rPr>
          <w:lang w:val="es-419"/>
        </w:rPr>
      </w:pPr>
    </w:p>
    <w:p w:rsidR="00DF5574" w:rsidRPr="0038186B" w:rsidRDefault="00491FB2" w:rsidP="00CD3946">
      <w:pPr>
        <w:pStyle w:val="Heading3"/>
        <w:rPr>
          <w:i/>
          <w:u w:val="none"/>
          <w:lang w:val="es-419"/>
        </w:rPr>
      </w:pPr>
      <w:bookmarkStart w:id="33" w:name="_Toc116899009"/>
      <w:r w:rsidRPr="0038186B">
        <w:rPr>
          <w:i/>
          <w:u w:val="none"/>
          <w:lang w:val="es-419"/>
        </w:rPr>
        <w:t>ii)</w:t>
      </w:r>
      <w:r w:rsidR="00FD6EEF" w:rsidRPr="0038186B">
        <w:rPr>
          <w:i/>
          <w:u w:val="none"/>
          <w:lang w:val="es-419"/>
        </w:rPr>
        <w:tab/>
      </w:r>
      <w:r w:rsidR="00FC35E3" w:rsidRPr="0038186B">
        <w:rPr>
          <w:i/>
          <w:u w:val="none"/>
          <w:lang w:val="es-419"/>
        </w:rPr>
        <w:t xml:space="preserve">Protocolo de </w:t>
      </w:r>
      <w:r w:rsidR="004C5A37" w:rsidRPr="0038186B">
        <w:rPr>
          <w:i/>
          <w:u w:val="none"/>
          <w:lang w:val="es-419"/>
        </w:rPr>
        <w:t>Nagoya</w:t>
      </w:r>
      <w:bookmarkEnd w:id="33"/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71371F" w:rsidP="00880F45">
      <w:pPr>
        <w:keepNext/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7 </w:t>
      </w:r>
      <w:r w:rsidR="00FC35E3" w:rsidRPr="0038186B">
        <w:rPr>
          <w:bCs/>
          <w:iCs/>
          <w:lang w:val="es-419"/>
        </w:rPr>
        <w:t>del Protocolo de Nagoya estipula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De conformidad con las leyes nacionales, cada Parte adoptará medidas, según proceda,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locales, y que se hayan establecido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4C5A37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También 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5.5 </w:t>
      </w:r>
      <w:r w:rsidR="00FC35E3" w:rsidRPr="0038186B">
        <w:rPr>
          <w:bCs/>
          <w:iCs/>
          <w:lang w:val="es-419"/>
        </w:rPr>
        <w:t>es pertinente en este contexto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>Cada Parte adoptará medidas legislativas, administrativas o de política, según proceda, para asegurar que los beneficios que se deriven de la utilización de conocimientos tradicionales asociados a recursos genéticos se compartan de manera justa y equitativa con las comunidades indígenas y locales poseedoras de dichos conocimientos.</w:t>
      </w:r>
      <w:r w:rsidR="005840A5" w:rsidRPr="0038186B">
        <w:rPr>
          <w:bCs/>
          <w:iCs/>
          <w:lang w:val="es-419"/>
        </w:rPr>
        <w:t xml:space="preserve"> </w:t>
      </w:r>
      <w:r w:rsidR="00344979" w:rsidRPr="0038186B">
        <w:rPr>
          <w:bCs/>
          <w:iCs/>
          <w:lang w:val="es-419"/>
        </w:rPr>
        <w:t xml:space="preserve">Esa participación se llevará a </w:t>
      </w:r>
      <w:r w:rsidR="00ED1B76" w:rsidRPr="0038186B">
        <w:rPr>
          <w:bCs/>
          <w:iCs/>
          <w:lang w:val="es-419"/>
        </w:rPr>
        <w:t xml:space="preserve">cabo en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5840A5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 xml:space="preserve">Además, el </w:t>
      </w:r>
      <w:r w:rsidR="001970C2" w:rsidRPr="0038186B">
        <w:rPr>
          <w:bCs/>
          <w:iCs/>
          <w:lang w:val="es-419"/>
        </w:rPr>
        <w:t>artículo</w:t>
      </w:r>
      <w:r w:rsidR="00FC35E3" w:rsidRPr="0038186B">
        <w:rPr>
          <w:bCs/>
          <w:iCs/>
          <w:lang w:val="es-419"/>
        </w:rPr>
        <w:t xml:space="preserve"> 16 dispone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5840A5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1. Cada Parte adoptará medidas legislativas, administrativas o de política apropiadas, eficaces y proporcionales, según proceda,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</w:t>
      </w:r>
      <w:r w:rsidR="00FE17C4"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 xml:space="preserve"> como se especifica en la legislación o los requisitos reglamentarios nacionales de acceso y participación en los beneficios de la otra Parte donde se encuentran dichas comunidades indígenas y locales.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2. Cada Parte adoptará medidas apropiadas, eficaces y proporcionales para abordar situaciones de incumplimiento de las medidas adoptadas de conformidad con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3. Las Partes, en la medida posible y según proceda, cooperarán en casos de presuntas infracciones de la legislación o los requisitos reglamentarios nacionales de acceso y participación en los beneficios a los que se hace referencia en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  <w:r w:rsidR="00FE17C4"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F73DA" w:rsidP="00CD3946">
      <w:pPr>
        <w:pStyle w:val="Heading3"/>
        <w:rPr>
          <w:i/>
          <w:u w:val="none"/>
          <w:lang w:val="es-419"/>
        </w:rPr>
      </w:pPr>
      <w:bookmarkStart w:id="34" w:name="_Toc116899010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</w:r>
      <w:r w:rsidR="00B72E90" w:rsidRPr="0038186B">
        <w:rPr>
          <w:i/>
          <w:u w:val="none"/>
          <w:lang w:val="es-419"/>
        </w:rPr>
        <w:t>T</w:t>
      </w:r>
      <w:r w:rsidR="00FE17C4" w:rsidRPr="0038186B">
        <w:rPr>
          <w:i/>
          <w:u w:val="none"/>
          <w:lang w:val="es-419"/>
        </w:rPr>
        <w:t>IRFAA</w:t>
      </w:r>
      <w:bookmarkEnd w:id="3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E17C4" w:rsidRPr="0038186B">
        <w:rPr>
          <w:lang w:val="es-419"/>
        </w:rPr>
        <w:t>Asimismo</w:t>
      </w:r>
      <w:r w:rsidR="00344979" w:rsidRPr="0038186B">
        <w:rPr>
          <w:lang w:val="es-419"/>
        </w:rPr>
        <w:t xml:space="preserve">, </w:t>
      </w:r>
      <w:r w:rsidR="00FE17C4" w:rsidRPr="0038186B">
        <w:rPr>
          <w:lang w:val="es-419"/>
        </w:rPr>
        <w:t>al abordar otro</w:t>
      </w:r>
      <w:r w:rsidR="00344979" w:rsidRPr="0038186B">
        <w:rPr>
          <w:lang w:val="es-419"/>
        </w:rPr>
        <w:t xml:space="preserve"> ámbito específico de los </w:t>
      </w:r>
      <w:r w:rsidR="00FE17C4" w:rsidRPr="0038186B">
        <w:rPr>
          <w:lang w:val="es-419"/>
        </w:rPr>
        <w:t>CC.TT., a saber, los conocimientos pertinentes para</w:t>
      </w:r>
      <w:r w:rsidR="002A2961" w:rsidRPr="0038186B">
        <w:rPr>
          <w:lang w:val="es-419"/>
        </w:rPr>
        <w:t xml:space="preserve"> </w:t>
      </w:r>
      <w:r w:rsidR="00FE17C4" w:rsidRPr="0038186B">
        <w:rPr>
          <w:lang w:val="es-419"/>
        </w:rPr>
        <w:t xml:space="preserve">los </w:t>
      </w:r>
      <w:r w:rsidR="002A2961" w:rsidRPr="0038186B">
        <w:rPr>
          <w:lang w:val="es-419"/>
        </w:rPr>
        <w:t>recursos</w:t>
      </w:r>
      <w:r w:rsidR="00FE17C4" w:rsidRPr="0038186B">
        <w:rPr>
          <w:lang w:val="es-419"/>
        </w:rPr>
        <w:t xml:space="preserve"> </w:t>
      </w:r>
      <w:r w:rsidR="002A2961" w:rsidRPr="0038186B">
        <w:rPr>
          <w:lang w:val="es-419"/>
        </w:rPr>
        <w:t>fitogenéticos para la alimentación y la agricultura,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Internacional de la FAO sobre los Recursos Fitogenéticos para la Alimentación y la Agricultura </w:t>
      </w:r>
      <w:r w:rsidR="00ED364C" w:rsidRPr="0038186B">
        <w:rPr>
          <w:lang w:val="es-419"/>
        </w:rPr>
        <w:t xml:space="preserve">(TIRFAA) </w:t>
      </w:r>
      <w:r w:rsidR="00344979" w:rsidRPr="0038186B">
        <w:rPr>
          <w:lang w:val="es-419"/>
        </w:rPr>
        <w:t xml:space="preserve">establece que “cada Parte Contratante deberá, según proceda y con sujeción a su legislación nacional, adoptar las medidas pertinentes para proteger y promover </w:t>
      </w:r>
      <w:r w:rsidR="002A2961" w:rsidRPr="0038186B">
        <w:rPr>
          <w:lang w:val="es-419"/>
        </w:rPr>
        <w:t>los D</w:t>
      </w:r>
      <w:r w:rsidR="00344979" w:rsidRPr="0038186B">
        <w:rPr>
          <w:lang w:val="es-419"/>
        </w:rPr>
        <w:t>erechos del agricultor</w:t>
      </w:r>
      <w:r w:rsidR="002A2961" w:rsidRPr="0038186B">
        <w:rPr>
          <w:lang w:val="es-419"/>
        </w:rPr>
        <w:t xml:space="preserve"> […]</w:t>
      </w:r>
      <w:r w:rsidR="00344979" w:rsidRPr="0038186B">
        <w:rPr>
          <w:lang w:val="es-419"/>
        </w:rPr>
        <w:t>, en particular: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a) la protección de los conocimientos tradicionales de interés para los recursos fitogenéticos para la alimentación y la agricultura</w:t>
      </w:r>
      <w:r w:rsidR="002A2961" w:rsidRPr="0038186B">
        <w:rPr>
          <w:lang w:val="es-419"/>
        </w:rPr>
        <w:t>;</w:t>
      </w:r>
      <w:r w:rsidR="000128B7" w:rsidRPr="0038186B">
        <w:rPr>
          <w:lang w:val="es-419"/>
        </w:rPr>
        <w:t>[…]</w:t>
      </w:r>
      <w:r w:rsidR="00344979" w:rsidRPr="0038186B">
        <w:rPr>
          <w:lang w:val="es-419"/>
        </w:rPr>
        <w:t>”.</w:t>
      </w:r>
      <w:r w:rsidR="002A2961" w:rsidRPr="0038186B">
        <w:rPr>
          <w:rStyle w:val="FootnoteReference"/>
          <w:lang w:val="es-419"/>
        </w:rPr>
        <w:footnoteReference w:id="32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C85AB4">
      <w:pPr>
        <w:pStyle w:val="Heading3"/>
        <w:rPr>
          <w:i/>
          <w:u w:val="none"/>
          <w:lang w:val="es-419"/>
        </w:rPr>
      </w:pPr>
      <w:bookmarkStart w:id="35" w:name="_Toc116899011"/>
      <w:r w:rsidRPr="0038186B">
        <w:rPr>
          <w:i/>
          <w:u w:val="none"/>
          <w:lang w:val="es-419"/>
        </w:rPr>
        <w:t>iv)</w:t>
      </w:r>
      <w:r w:rsidR="007F73DA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Convención de las Naciones Unidas de Lucha contra la Desertificación</w:t>
      </w:r>
      <w:bookmarkEnd w:id="35"/>
    </w:p>
    <w:p w:rsidR="00DF5574" w:rsidRPr="0038186B" w:rsidRDefault="00DF5574" w:rsidP="00C85AB4">
      <w:pPr>
        <w:keepNext/>
        <w:rPr>
          <w:lang w:val="es-419"/>
        </w:rPr>
      </w:pPr>
    </w:p>
    <w:p w:rsidR="00DF5574" w:rsidRPr="0038186B" w:rsidRDefault="00FD6EEF" w:rsidP="00C85AB4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La Convención de las Naciones Unidas de Lucha contra la Desertificación (CNULD) prevé que las Partes protegerán, promoverán y utilizarán en particular las tecnologías, los conocimientos, la experiencia y las prácticas tradicionales y locales pertinentes</w:t>
      </w:r>
      <w:r w:rsidR="000128B7" w:rsidRPr="0038186B">
        <w:rPr>
          <w:lang w:val="es-419"/>
        </w:rPr>
        <w:t xml:space="preserve"> y que, con es</w:t>
      </w:r>
      <w:r w:rsidR="00344979" w:rsidRPr="0038186B">
        <w:rPr>
          <w:lang w:val="es-419"/>
        </w:rPr>
        <w:t>e fin, se comprometerán a “hacer inventarios de dichas tecnologías, conocimientos, experiencia y prácticas y de sus posibles aplicaciones con la participación de las poblaciones locales, así como difundir información sobre el particular en cooperación, cuando sea oportuno, con organizaciones intergubernamentales y no gubernamenta</w:t>
      </w:r>
      <w:r w:rsidR="001970C2" w:rsidRPr="0038186B">
        <w:rPr>
          <w:lang w:val="es-419"/>
        </w:rPr>
        <w:t>les competentes</w:t>
      </w:r>
      <w:r w:rsidR="000128B7" w:rsidRPr="0038186B">
        <w:rPr>
          <w:lang w:val="es-419"/>
        </w:rPr>
        <w:t>;</w:t>
      </w:r>
      <w:r w:rsidR="001970C2" w:rsidRPr="0038186B">
        <w:rPr>
          <w:lang w:val="es-419"/>
        </w:rPr>
        <w:t>” (artículo 18.2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a)).</w:t>
      </w:r>
      <w:r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Asimismo prevé que las actividades regionales podrán incluir “la elaboración de inventarios de tecnologías, conocimientos, experiencia y prácticas, así como de tecnologías y experiencia tradicionales y locales, y el fomento de su divulga</w:t>
      </w:r>
      <w:r w:rsidR="001970C2" w:rsidRPr="0038186B">
        <w:rPr>
          <w:lang w:val="es-419"/>
        </w:rPr>
        <w:t>ción y utilización” (Anexo II, artículo 6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b)).</w:t>
      </w:r>
    </w:p>
    <w:p w:rsidR="00DF5574" w:rsidRPr="0038186B" w:rsidRDefault="00E10198" w:rsidP="00E10198">
      <w:pPr>
        <w:pStyle w:val="Heading2"/>
        <w:tabs>
          <w:tab w:val="left" w:pos="567"/>
        </w:tabs>
        <w:rPr>
          <w:i/>
          <w:u w:val="single"/>
          <w:lang w:val="es-419"/>
        </w:rPr>
      </w:pPr>
      <w:bookmarkStart w:id="36" w:name="_Toc116899012"/>
      <w:r w:rsidRPr="0038186B">
        <w:rPr>
          <w:i/>
          <w:caps w:val="0"/>
          <w:u w:val="single"/>
          <w:lang w:val="es-419"/>
        </w:rPr>
        <w:t>c)</w:t>
      </w:r>
      <w:r w:rsidRPr="0038186B">
        <w:rPr>
          <w:i/>
          <w:caps w:val="0"/>
          <w:u w:val="single"/>
          <w:lang w:val="es-419"/>
        </w:rPr>
        <w:tab/>
        <w:t>Otros textos internacionales</w:t>
      </w:r>
      <w:bookmarkEnd w:id="36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2F7B55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610E0B" w:rsidP="00491FB2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</w:t>
            </w:r>
            <w:r w:rsidR="00491FB2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Directrices de Bonn del CDB</w:t>
            </w:r>
            <w:r w:rsidR="00491FB2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Declaración de</w:t>
            </w:r>
            <w:r w:rsidR="000B5422" w:rsidRPr="0038186B">
              <w:rPr>
                <w:lang w:val="es-419"/>
              </w:rPr>
              <w:t xml:space="preserve"> las Naciones Unidas sobre los Derechos de los Pueblos I</w:t>
            </w:r>
            <w:r w:rsidRPr="0038186B">
              <w:rPr>
                <w:lang w:val="es-419"/>
              </w:rPr>
              <w:t>ndígenas</w:t>
            </w:r>
            <w:r w:rsidR="00491FB2" w:rsidRPr="0038186B">
              <w:rPr>
                <w:bCs/>
                <w:lang w:val="es-419"/>
              </w:rPr>
              <w:t xml:space="preserve">, </w:t>
            </w:r>
            <w:r w:rsidR="00E86028" w:rsidRPr="0038186B">
              <w:rPr>
                <w:bCs/>
                <w:lang w:val="es-419"/>
              </w:rPr>
              <w:t>Declaración de Interlaken sobre los Recursos Zoogenéticos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7" w:name="_Toc116899013"/>
      <w:r w:rsidRPr="0038186B">
        <w:rPr>
          <w:i/>
          <w:u w:val="none"/>
          <w:lang w:val="es-419"/>
        </w:rPr>
        <w:t>i)</w:t>
      </w:r>
      <w:r w:rsidR="00FD6EEF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Directrices de Bonn</w:t>
      </w:r>
      <w:bookmarkEnd w:id="3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iCs/>
          <w:lang w:val="es-419"/>
        </w:rPr>
        <w:fldChar w:fldCharType="begin"/>
      </w:r>
      <w:r w:rsidRPr="0038186B">
        <w:rPr>
          <w:iCs/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i/>
          <w:lang w:val="es-419"/>
        </w:rPr>
        <w:tab/>
      </w:r>
      <w:r w:rsidR="00344979" w:rsidRPr="0038186B">
        <w:rPr>
          <w:i/>
          <w:lang w:val="es-419"/>
        </w:rPr>
        <w:t xml:space="preserve">Las </w:t>
      </w:r>
      <w:r w:rsidR="000B5422" w:rsidRPr="0038186B">
        <w:rPr>
          <w:i/>
          <w:lang w:val="es-419"/>
        </w:rPr>
        <w:t>Directrices de Bonn sobre acceso a los recursos genéticos y participación justa y equitativa en los beneficios provenientes de su utilización</w:t>
      </w:r>
      <w:r w:rsidR="000B5422" w:rsidRPr="0038186B">
        <w:rPr>
          <w:lang w:val="es-419"/>
        </w:rPr>
        <w:t xml:space="preserve"> – </w:t>
      </w:r>
      <w:r w:rsidR="008B1845" w:rsidRPr="0038186B">
        <w:rPr>
          <w:lang w:val="es-419"/>
        </w:rPr>
        <w:t xml:space="preserve">descritas </w:t>
      </w:r>
      <w:r w:rsidR="000B5422" w:rsidRPr="0038186B">
        <w:rPr>
          <w:lang w:val="es-419"/>
        </w:rPr>
        <w:t xml:space="preserve">en la Introducción del Secretario Ejecutivo como directrices que </w:t>
      </w:r>
      <w:r w:rsidR="008B1845" w:rsidRPr="0038186B">
        <w:rPr>
          <w:lang w:val="es-419"/>
        </w:rPr>
        <w:t>“</w:t>
      </w:r>
      <w:r w:rsidR="004149A4" w:rsidRPr="0038186B">
        <w:rPr>
          <w:lang w:val="es-419"/>
        </w:rPr>
        <w:t>[aunque</w:t>
      </w:r>
      <w:r w:rsidR="000A451A" w:rsidRPr="0038186B">
        <w:rPr>
          <w:lang w:val="es-419"/>
        </w:rPr>
        <w:t>…</w:t>
      </w:r>
      <w:r w:rsidR="004149A4" w:rsidRPr="0038186B">
        <w:rPr>
          <w:lang w:val="es-419"/>
        </w:rPr>
        <w:t xml:space="preserve">] </w:t>
      </w:r>
      <w:r w:rsidR="000B5422" w:rsidRPr="0038186B">
        <w:rPr>
          <w:lang w:val="es-419"/>
        </w:rPr>
        <w:t xml:space="preserve">no vinculan jurídicamente, el hecho de que </w:t>
      </w:r>
      <w:r w:rsidR="008B1845" w:rsidRPr="0038186B">
        <w:rPr>
          <w:lang w:val="es-419"/>
        </w:rPr>
        <w:t>[…]</w:t>
      </w:r>
      <w:r w:rsidR="000B5422" w:rsidRPr="0038186B">
        <w:rPr>
          <w:lang w:val="es-419"/>
        </w:rPr>
        <w:t>fueran adoptadas unánimemente por alrededor de 180 países les da una autoridad clara e indiscutible” –, prevén un cierto grado de protección de los conocimientos tradicionales al establecer que “[l]os proveedores deberían: […] [s]uministrar solamente recursos genéticos y/o proporcionar los conocimientos tradicionales, siempre y cuando tengan derecho a hacerlo así” y que “[l]as Partes Contratantes, con usuarios de recursos genéticos bajo su jurisdicción, […] podrían examinar, entre otras cosas, […] medidas para promover la revelación […] del origen de los conocimientos, innovaciones y prácticas tradicionales de las comunidades indígenas y locales en las solicitudes de derechos de propiedad intelectual”.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97085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97085" w:rsidRPr="0038186B">
        <w:rPr>
          <w:lang w:val="es-419"/>
        </w:rPr>
        <w:t>El objetivo de las Directrices es el de “[c]ontribuir a que las Partes desarrollen mecanismos y regímenes de acceso y participación en los beneficios en los que se reconozcan y protejan los conocimientos” (párrafo 11.j)) y las Directrices instan a la “[c]ooperación entre las Partes Contratantes para tratar las supuestas infracciones de acuerdos de acceso y participación en los beneficios” que puedan ser pertinentes para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8" w:name="_Toc116899014"/>
      <w:r w:rsidRPr="0038186B">
        <w:rPr>
          <w:i/>
          <w:u w:val="none"/>
          <w:lang w:val="es-419"/>
        </w:rPr>
        <w:t>ii)</w:t>
      </w:r>
      <w:r w:rsidR="007F73DA"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Declaración de</w:t>
      </w:r>
      <w:r w:rsidR="006219C4" w:rsidRPr="0038186B">
        <w:rPr>
          <w:i/>
          <w:u w:val="none"/>
          <w:lang w:val="es-419"/>
        </w:rPr>
        <w:t xml:space="preserve"> las Naciones Unidas sobre los Derechos de los Pueblos I</w:t>
      </w:r>
      <w:r w:rsidR="00344979" w:rsidRPr="0038186B">
        <w:rPr>
          <w:i/>
          <w:u w:val="none"/>
          <w:lang w:val="es-419"/>
        </w:rPr>
        <w:t>ndígenas</w:t>
      </w:r>
      <w:bookmarkEnd w:id="3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76DF2" w:rsidRPr="0038186B">
        <w:rPr>
          <w:lang w:val="es-419"/>
        </w:rPr>
        <w:t>Los c</w:t>
      </w:r>
      <w:r w:rsidR="001970C2" w:rsidRPr="0038186B">
        <w:rPr>
          <w:lang w:val="es-419"/>
        </w:rPr>
        <w:t>onocimientos tradicionales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 xml:space="preserve">que poseen los pueblos indígenas </w:t>
      </w:r>
      <w:r w:rsidR="000E4D4E" w:rsidRPr="0038186B">
        <w:rPr>
          <w:lang w:val="es-419"/>
        </w:rPr>
        <w:t>se abordan como tales en</w:t>
      </w:r>
      <w:r w:rsidR="00676DF2" w:rsidRPr="0038186B">
        <w:rPr>
          <w:lang w:val="es-419"/>
        </w:rPr>
        <w:t xml:space="preserve"> la </w:t>
      </w:r>
      <w:r w:rsidR="006939C0" w:rsidRPr="0038186B">
        <w:rPr>
          <w:lang w:val="es-419"/>
        </w:rPr>
        <w:t>Declaración de</w:t>
      </w:r>
      <w:r w:rsidR="006219C4" w:rsidRPr="0038186B">
        <w:rPr>
          <w:lang w:val="es-419"/>
        </w:rPr>
        <w:t xml:space="preserve"> las Naciones Unidas sobre los D</w:t>
      </w:r>
      <w:r w:rsidR="006939C0" w:rsidRPr="0038186B">
        <w:rPr>
          <w:lang w:val="es-419"/>
        </w:rPr>
        <w:t xml:space="preserve">erechos de los </w:t>
      </w:r>
      <w:r w:rsidR="006219C4" w:rsidRPr="0038186B">
        <w:rPr>
          <w:lang w:val="es-419"/>
        </w:rPr>
        <w:t>Pueblos I</w:t>
      </w:r>
      <w:r w:rsidR="006939C0" w:rsidRPr="0038186B">
        <w:rPr>
          <w:lang w:val="es-419"/>
        </w:rPr>
        <w:t>ndígenas</w:t>
      </w:r>
      <w:r w:rsidR="00676DF2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33"/>
      </w:r>
      <w:r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Aunque </w:t>
      </w:r>
      <w:r w:rsidR="00B03CF0" w:rsidRPr="0038186B">
        <w:rPr>
          <w:lang w:val="es-419"/>
        </w:rPr>
        <w:t>l</w:t>
      </w:r>
      <w:r w:rsidR="00676DF2" w:rsidRPr="0038186B">
        <w:rPr>
          <w:lang w:val="es-419"/>
        </w:rPr>
        <w:t xml:space="preserve">a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>puede considerarse una “disposición” o “posibilidad”</w:t>
      </w:r>
      <w:r w:rsidR="00B03CF0"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que </w:t>
      </w:r>
      <w:r w:rsidR="007E6CD5" w:rsidRPr="0038186B">
        <w:rPr>
          <w:lang w:val="es-419"/>
        </w:rPr>
        <w:t xml:space="preserve">se ofrece </w:t>
      </w:r>
      <w:r w:rsidR="00B03CF0" w:rsidRPr="0038186B">
        <w:rPr>
          <w:lang w:val="es-419"/>
        </w:rPr>
        <w:t>a nivel</w:t>
      </w:r>
      <w:r w:rsidR="00676DF2" w:rsidRPr="0038186B">
        <w:rPr>
          <w:lang w:val="es-419"/>
        </w:rPr>
        <w:t xml:space="preserve"> internacional</w:t>
      </w:r>
      <w:r w:rsidRPr="0038186B">
        <w:rPr>
          <w:lang w:val="es-419"/>
        </w:rPr>
        <w:t xml:space="preserve">, </w:t>
      </w:r>
      <w:r w:rsidR="00676DF2" w:rsidRPr="0038186B">
        <w:rPr>
          <w:lang w:val="es-419"/>
        </w:rPr>
        <w:t xml:space="preserve">algunos analistas señalan que </w:t>
      </w:r>
      <w:r w:rsidR="000E4D4E" w:rsidRPr="0038186B">
        <w:rPr>
          <w:lang w:val="es-419"/>
        </w:rPr>
        <w:t xml:space="preserve">dicho instrumento no es jurídicamente vinculante, no fue adoptado por consenso y </w:t>
      </w:r>
      <w:r w:rsidR="0010614C" w:rsidRPr="0038186B">
        <w:rPr>
          <w:lang w:val="es-419"/>
        </w:rPr>
        <w:t>constituye “una fuente que refleja las aspiraciones de los pueblos indígenas</w:t>
      </w:r>
      <w:r w:rsidR="00E13DCE" w:rsidRPr="0038186B">
        <w:rPr>
          <w:lang w:val="es-419"/>
        </w:rPr>
        <w:t>”.</w:t>
      </w:r>
      <w:r w:rsidR="009B55F6" w:rsidRPr="0038186B">
        <w:rPr>
          <w:lang w:val="es-419"/>
        </w:rPr>
        <w:t xml:space="preserve"> </w:t>
      </w:r>
      <w:r w:rsidR="0010614C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artículo</w:t>
      </w:r>
      <w:r w:rsidR="00D15AD2" w:rsidRPr="0038186B">
        <w:rPr>
          <w:lang w:val="es-419"/>
        </w:rPr>
        <w:t xml:space="preserve"> 31 </w:t>
      </w:r>
      <w:r w:rsidR="001970C2" w:rsidRPr="0038186B">
        <w:rPr>
          <w:lang w:val="es-419"/>
        </w:rPr>
        <w:t xml:space="preserve">de la </w:t>
      </w:r>
      <w:r w:rsidRPr="0038186B">
        <w:rPr>
          <w:lang w:val="es-419"/>
        </w:rPr>
        <w:t>Declara</w:t>
      </w:r>
      <w:r w:rsidR="001970C2" w:rsidRPr="0038186B">
        <w:rPr>
          <w:lang w:val="es-419"/>
        </w:rPr>
        <w:t>ción establece que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97085" w:rsidP="00344979">
      <w:pPr>
        <w:ind w:left="540"/>
        <w:rPr>
          <w:lang w:val="es-419"/>
        </w:rPr>
      </w:pPr>
      <w:r w:rsidRPr="0038186B">
        <w:rPr>
          <w:lang w:val="es-419"/>
        </w:rPr>
        <w:t>Los pueblos indígenas tienen derecho a mantener, controlar, proteger y desarrollar [...] sus conocimientos tradicionales [...] y las manifestaciones de sus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También tienen derecho a mantener, controlar, proteger y desarrollar su propiedad intelectual de [...] sus conocimientos tradicionales [...].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Asimismo</w:t>
      </w:r>
      <w:r w:rsidR="004149A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prevé que “[c]onjuntamente con los pueblos indígenas, los Estados adoptarán medidas eficaces para reconocer y proteger el ejercicio de estos derechos”.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9" w:name="_Toc116899015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E86028" w:rsidRPr="0038186B">
        <w:rPr>
          <w:i/>
          <w:u w:val="none"/>
          <w:lang w:val="es-419"/>
        </w:rPr>
        <w:t>Declaración de Interlaken sobre los Recursos Zoogenéticos</w:t>
      </w:r>
      <w:bookmarkEnd w:id="39"/>
    </w:p>
    <w:p w:rsidR="00DF5574" w:rsidRPr="0038186B" w:rsidRDefault="00DF5574" w:rsidP="00FD6EEF">
      <w:pPr>
        <w:rPr>
          <w:bCs/>
          <w:iCs/>
          <w:lang w:val="es-419"/>
        </w:rPr>
      </w:pPr>
    </w:p>
    <w:p w:rsidR="00DF5574" w:rsidRPr="0038186B" w:rsidRDefault="00FD6EEF" w:rsidP="00423FDD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23FDD" w:rsidRPr="0038186B">
        <w:rPr>
          <w:lang w:val="es-419"/>
        </w:rPr>
        <w:t>En l</w:t>
      </w:r>
      <w:r w:rsidR="00E86028" w:rsidRPr="0038186B">
        <w:rPr>
          <w:lang w:val="es-419"/>
        </w:rPr>
        <w:t>a</w:t>
      </w:r>
      <w:r w:rsidRPr="0038186B">
        <w:rPr>
          <w:bCs/>
          <w:lang w:val="es-419"/>
        </w:rPr>
        <w:t xml:space="preserve"> </w:t>
      </w:r>
      <w:r w:rsidR="00E86028" w:rsidRPr="0038186B">
        <w:rPr>
          <w:bCs/>
          <w:lang w:val="es-419"/>
        </w:rPr>
        <w:t>Declaración de Interlaken sobre los Recursos Zoogenéticos</w:t>
      </w:r>
      <w:r w:rsidRPr="0038186B">
        <w:rPr>
          <w:lang w:val="es-419"/>
        </w:rPr>
        <w:t xml:space="preserve">, </w:t>
      </w:r>
      <w:r w:rsidR="0010614C" w:rsidRPr="0038186B">
        <w:rPr>
          <w:lang w:val="es-419"/>
        </w:rPr>
        <w:t>aprobada por la Conferencia Técnica Internacional sobre los Recursos Zoogenéticos para la Alimentación y la Agricultura</w:t>
      </w:r>
      <w:r w:rsidR="004149A4" w:rsidRPr="0038186B">
        <w:rPr>
          <w:lang w:val="es-419"/>
        </w:rPr>
        <w:t>, celebrada</w:t>
      </w:r>
      <w:r w:rsidR="0010614C" w:rsidRPr="0038186B">
        <w:rPr>
          <w:lang w:val="es-419"/>
        </w:rPr>
        <w:t xml:space="preserve"> el 7 de septiembre de </w:t>
      </w:r>
      <w:r w:rsidRPr="0038186B">
        <w:rPr>
          <w:lang w:val="es-419"/>
        </w:rPr>
        <w:t>2007</w:t>
      </w:r>
      <w:r w:rsidR="00423FDD" w:rsidRPr="0038186B">
        <w:rPr>
          <w:lang w:val="es-419"/>
        </w:rPr>
        <w:t xml:space="preserve">, se </w:t>
      </w:r>
      <w:r w:rsidR="0057369B" w:rsidRPr="0038186B">
        <w:rPr>
          <w:lang w:val="es-419"/>
        </w:rPr>
        <w:t>“</w:t>
      </w:r>
      <w:r w:rsidR="00423FDD" w:rsidRPr="0038186B">
        <w:rPr>
          <w:lang w:val="es-419"/>
        </w:rPr>
        <w:t>[a</w:t>
      </w:r>
      <w:r w:rsidR="0010614C" w:rsidRPr="0038186B">
        <w:rPr>
          <w:lang w:val="es-419"/>
        </w:rPr>
        <w:t>firma</w:t>
      </w:r>
      <w:r w:rsidR="00423FDD" w:rsidRPr="0038186B">
        <w:rPr>
          <w:lang w:val="es-419"/>
        </w:rPr>
        <w:t>]</w:t>
      </w:r>
      <w:r w:rsidR="0010614C" w:rsidRPr="0038186B">
        <w:rPr>
          <w:lang w:val="es-419"/>
        </w:rPr>
        <w:t xml:space="preserve"> que es deseable, cuando proceda, de conformidad con la legislación nacional, respetar, preservar y mantener el conocimiento tradicional relativo a la cría y la producción de animales como contribución a unos medios de vida sostenibles</w:t>
      </w:r>
      <w:r w:rsidR="00423FDD" w:rsidRPr="0038186B">
        <w:rPr>
          <w:lang w:val="es-419"/>
        </w:rPr>
        <w:t xml:space="preserve"> </w:t>
      </w:r>
      <w:r w:rsidR="0057369B" w:rsidRPr="0038186B">
        <w:rPr>
          <w:lang w:val="es-419"/>
        </w:rPr>
        <w:t>[.]”</w:t>
      </w:r>
      <w:r w:rsidR="001A60B0" w:rsidRPr="0038186B">
        <w:rPr>
          <w:lang w:val="es-419"/>
        </w:rPr>
        <w:t xml:space="preserve"> </w:t>
      </w:r>
      <w:r w:rsidR="00423FDD" w:rsidRPr="0038186B">
        <w:rPr>
          <w:lang w:val="es-419"/>
        </w:rPr>
        <w:t>La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423FDD" w:rsidRPr="0038186B">
        <w:rPr>
          <w:lang w:val="es-419"/>
        </w:rPr>
        <w:t>acompaña el Plan de Acción Mundial sobre los Recursos Zoogenéticos, que tiene por finalidad, entre otras cosas</w:t>
      </w:r>
      <w:r w:rsidRPr="0038186B">
        <w:rPr>
          <w:lang w:val="es-419"/>
        </w:rPr>
        <w:t>, “</w:t>
      </w:r>
      <w:r w:rsidR="00423FDD" w:rsidRPr="0038186B">
        <w:rPr>
          <w:lang w:val="es-419"/>
        </w:rPr>
        <w:t>promover una participación justa y equitativa en los beneficios derivados de la utilización de los recursos zoogenéticos para la alimentación y la agricultura, y reconocer la función del conocimiento tradicional, las innovaciones y las prácticas pertinentes para la conservación de los recursos zoogenéticos y su utilización sostenible y, cuando proceda, instituir políticas y medidas legislativas eficaces</w:t>
      </w:r>
      <w:r w:rsidRPr="0038186B">
        <w:rPr>
          <w:lang w:val="es-419"/>
        </w:rPr>
        <w:t>.”</w:t>
      </w:r>
    </w:p>
    <w:p w:rsidR="00DF5574" w:rsidRPr="0038186B" w:rsidRDefault="007F73DA" w:rsidP="00880F45">
      <w:pPr>
        <w:pStyle w:val="Heading1"/>
        <w:keepNext w:val="0"/>
        <w:spacing w:before="360"/>
        <w:rPr>
          <w:b w:val="0"/>
          <w:lang w:val="es-419"/>
        </w:rPr>
      </w:pPr>
      <w:bookmarkStart w:id="40" w:name="_Toc116899016"/>
      <w:r w:rsidRPr="0038186B">
        <w:rPr>
          <w:b w:val="0"/>
          <w:lang w:val="es-419"/>
        </w:rPr>
        <w:t>I</w:t>
      </w:r>
      <w:r w:rsidR="00E10198" w:rsidRPr="0038186B">
        <w:rPr>
          <w:b w:val="0"/>
          <w:lang w:val="es-419"/>
        </w:rPr>
        <w:t>V</w:t>
      </w:r>
      <w:r w:rsidR="00344979" w:rsidRPr="0038186B">
        <w:rPr>
          <w:b w:val="0"/>
          <w:lang w:val="es-419"/>
        </w:rPr>
        <w:t>.</w:t>
      </w:r>
      <w:r w:rsidR="00E1019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CARENCIAS </w:t>
      </w:r>
      <w:r w:rsidR="00614714" w:rsidRPr="0038186B">
        <w:rPr>
          <w:b w:val="0"/>
          <w:lang w:val="es-419"/>
        </w:rPr>
        <w:t>EXISTENTES</w:t>
      </w:r>
      <w:r w:rsidR="00344979" w:rsidRPr="0038186B">
        <w:rPr>
          <w:b w:val="0"/>
          <w:lang w:val="es-419"/>
        </w:rPr>
        <w:t xml:space="preserve"> A NIVEL INTERNACIONAL</w:t>
      </w:r>
      <w:bookmarkEnd w:id="40"/>
    </w:p>
    <w:p w:rsidR="00DF5574" w:rsidRPr="0038186B" w:rsidRDefault="00DF5574" w:rsidP="00FD6EEF">
      <w:pPr>
        <w:rPr>
          <w:b/>
          <w:lang w:val="es-419"/>
        </w:rPr>
      </w:pPr>
    </w:p>
    <w:p w:rsidR="00DF5574" w:rsidRPr="0038186B" w:rsidRDefault="002911E5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Estas carencias </w:t>
      </w:r>
      <w:r w:rsidR="00F72EB3" w:rsidRPr="0038186B">
        <w:rPr>
          <w:i/>
          <w:lang w:val="es-419"/>
        </w:rPr>
        <w:t>se ilustran</w:t>
      </w:r>
      <w:r w:rsidR="00344979" w:rsidRPr="0038186B">
        <w:rPr>
          <w:i/>
          <w:lang w:val="es-419"/>
        </w:rPr>
        <w:t xml:space="preserve">, en lo posible, </w:t>
      </w:r>
      <w:r w:rsidR="00F72EB3" w:rsidRPr="0038186B">
        <w:rPr>
          <w:i/>
          <w:lang w:val="es-419"/>
        </w:rPr>
        <w:t>con</w:t>
      </w:r>
      <w:r w:rsidR="00344979" w:rsidRPr="0038186B">
        <w:rPr>
          <w:i/>
          <w:lang w:val="es-419"/>
        </w:rPr>
        <w:t xml:space="preserve"> ejemplos </w:t>
      </w:r>
      <w:r w:rsidR="00F72EB3" w:rsidRPr="0038186B">
        <w:rPr>
          <w:i/>
          <w:lang w:val="es-419"/>
        </w:rPr>
        <w:t>concretos</w:t>
      </w:r>
      <w:r w:rsidR="00344979" w:rsidRPr="0038186B">
        <w:rPr>
          <w:i/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 examinar la protección de los conocimientos tradicionales a nivel internacional, </w:t>
      </w:r>
      <w:r w:rsidR="00F72EB3" w:rsidRPr="0038186B">
        <w:rPr>
          <w:lang w:val="es-419"/>
        </w:rPr>
        <w:t xml:space="preserve">se observan </w:t>
      </w:r>
      <w:r w:rsidR="00344979" w:rsidRPr="0038186B">
        <w:rPr>
          <w:lang w:val="es-419"/>
        </w:rPr>
        <w:t>posibles “carencias” a dos niveles,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 los</w:t>
      </w:r>
      <w:r w:rsidRPr="0038186B">
        <w:rPr>
          <w:lang w:val="es-419"/>
        </w:rPr>
        <w:t xml:space="preserve"> </w:t>
      </w:r>
      <w:r w:rsidRPr="0038186B">
        <w:rPr>
          <w:i/>
          <w:lang w:val="es-419"/>
        </w:rPr>
        <w:t>objetivos</w:t>
      </w:r>
      <w:r w:rsidRPr="0038186B">
        <w:rPr>
          <w:lang w:val="es-419"/>
        </w:rPr>
        <w:t xml:space="preserve"> de la protección </w:t>
      </w:r>
      <w:r w:rsidR="00F72EB3" w:rsidRPr="0038186B">
        <w:rPr>
          <w:lang w:val="es-419"/>
        </w:rPr>
        <w:t>formulados</w:t>
      </w:r>
      <w:r w:rsidRPr="0038186B">
        <w:rPr>
          <w:lang w:val="es-419"/>
        </w:rPr>
        <w:t xml:space="preserve"> a nivel internacional;</w:t>
      </w:r>
    </w:p>
    <w:p w:rsidR="00DF5574" w:rsidRPr="0038186B" w:rsidRDefault="00DF5574" w:rsidP="00491FB2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</w:t>
      </w:r>
      <w:r w:rsidR="00F72EB3" w:rsidRPr="0038186B">
        <w:rPr>
          <w:lang w:val="es-419"/>
        </w:rPr>
        <w:t xml:space="preserve"> los </w:t>
      </w:r>
      <w:r w:rsidRPr="0038186B">
        <w:rPr>
          <w:i/>
          <w:lang w:val="es-419"/>
        </w:rPr>
        <w:t>mecanismos jurídicos</w:t>
      </w:r>
      <w:r w:rsidRPr="0038186B">
        <w:rPr>
          <w:lang w:val="es-419"/>
        </w:rPr>
        <w:t xml:space="preserve"> internacionales </w:t>
      </w:r>
      <w:r w:rsidR="00530367" w:rsidRPr="0038186B">
        <w:rPr>
          <w:lang w:val="es-419"/>
        </w:rPr>
        <w:t xml:space="preserve">que se han </w:t>
      </w:r>
      <w:r w:rsidRPr="0038186B">
        <w:rPr>
          <w:lang w:val="es-419"/>
        </w:rPr>
        <w:t xml:space="preserve">establecidos para </w:t>
      </w:r>
      <w:r w:rsidR="002911E5" w:rsidRPr="0038186B">
        <w:rPr>
          <w:lang w:val="es-419"/>
        </w:rPr>
        <w:t xml:space="preserve">cumplir </w:t>
      </w:r>
      <w:r w:rsidRPr="0038186B">
        <w:rPr>
          <w:lang w:val="es-419"/>
        </w:rPr>
        <w:t>dichos objetivos.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No obstante, </w:t>
      </w:r>
      <w:r w:rsidR="00530367" w:rsidRPr="0038186B">
        <w:rPr>
          <w:lang w:val="es-419"/>
        </w:rPr>
        <w:t>conviene</w:t>
      </w:r>
      <w:r w:rsidR="00FB75C8" w:rsidRPr="0038186B">
        <w:rPr>
          <w:lang w:val="es-419"/>
        </w:rPr>
        <w:t xml:space="preserve"> </w:t>
      </w:r>
      <w:r w:rsidR="002911E5" w:rsidRPr="0038186B">
        <w:rPr>
          <w:lang w:val="es-419"/>
        </w:rPr>
        <w:t xml:space="preserve">ante todo proceder al examen del alcance </w:t>
      </w:r>
      <w:r w:rsidR="00344979" w:rsidRPr="0038186B">
        <w:rPr>
          <w:lang w:val="es-419"/>
        </w:rPr>
        <w:t xml:space="preserve">del concepto de “conocimiento tradicional”, </w:t>
      </w:r>
      <w:r w:rsidR="002911E5" w:rsidRPr="0038186B">
        <w:rPr>
          <w:lang w:val="es-419"/>
        </w:rPr>
        <w:t xml:space="preserve">que es el </w:t>
      </w:r>
      <w:r w:rsidR="00344979" w:rsidRPr="0038186B">
        <w:rPr>
          <w:lang w:val="es-419"/>
        </w:rPr>
        <w:t>objeto del análisis de carencias</w:t>
      </w:r>
      <w:r w:rsidR="00D75C27" w:rsidRPr="0038186B">
        <w:rPr>
          <w:lang w:val="es-419"/>
        </w:rPr>
        <w:t>. D</w:t>
      </w:r>
      <w:r w:rsidR="00530367" w:rsidRPr="0038186B">
        <w:rPr>
          <w:lang w:val="es-419"/>
        </w:rPr>
        <w:t>icho examen</w:t>
      </w:r>
      <w:r w:rsidR="00FB75C8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se expone </w:t>
      </w:r>
      <w:r w:rsidR="00FB75C8" w:rsidRPr="0038186B">
        <w:rPr>
          <w:lang w:val="es-419"/>
        </w:rPr>
        <w:t>a continuación</w:t>
      </w:r>
      <w:r w:rsidR="00344979" w:rsidRPr="0038186B">
        <w:rPr>
          <w:lang w:val="es-419"/>
        </w:rPr>
        <w:t>.</w:t>
      </w:r>
    </w:p>
    <w:p w:rsidR="00DF5574" w:rsidRPr="0038186B" w:rsidRDefault="00E10198" w:rsidP="00E10198">
      <w:pPr>
        <w:pStyle w:val="Heading2"/>
        <w:ind w:left="567" w:hanging="567"/>
        <w:rPr>
          <w:i/>
          <w:u w:val="single"/>
          <w:lang w:val="es-419"/>
        </w:rPr>
      </w:pPr>
      <w:bookmarkStart w:id="41" w:name="_Toc116899017"/>
      <w:r w:rsidRPr="0038186B">
        <w:rPr>
          <w:i/>
          <w:caps w:val="0"/>
          <w:u w:val="single"/>
          <w:lang w:val="es-419"/>
        </w:rPr>
        <w:t>a)</w:t>
      </w:r>
      <w:r w:rsidRPr="0038186B">
        <w:rPr>
          <w:i/>
          <w:caps w:val="0"/>
          <w:u w:val="single"/>
          <w:lang w:val="es-419"/>
        </w:rPr>
        <w:tab/>
        <w:t>Carencias observadas en la definición o determinación de los conocimientos tradicionales que deben protegerse</w:t>
      </w:r>
      <w:bookmarkEnd w:id="4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los supuestos de trabajo </w:t>
      </w:r>
      <w:r w:rsidR="00425EB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que se basa el presente análisis de carencias, </w:t>
      </w:r>
      <w:r w:rsidR="00425EB0" w:rsidRPr="0038186B">
        <w:rPr>
          <w:lang w:val="es-419"/>
        </w:rPr>
        <w:t xml:space="preserve">que se fundamentan </w:t>
      </w:r>
      <w:r w:rsidR="00344979" w:rsidRPr="0038186B">
        <w:rPr>
          <w:lang w:val="es-419"/>
        </w:rPr>
        <w:t xml:space="preserve">a su vez </w:t>
      </w:r>
      <w:r w:rsidR="00425EB0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el extenso examen realizado por el Comité </w:t>
      </w:r>
      <w:r w:rsidR="00425EB0" w:rsidRPr="0038186B">
        <w:rPr>
          <w:lang w:val="es-419"/>
        </w:rPr>
        <w:t xml:space="preserve">acerca de </w:t>
      </w:r>
      <w:r w:rsidR="00344979" w:rsidRPr="0038186B">
        <w:rPr>
          <w:lang w:val="es-419"/>
        </w:rPr>
        <w:t>estas cuestiones, figuran las distinciones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i)</w:t>
      </w:r>
      <w:r w:rsidR="001A60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E10198">
      <w:pPr>
        <w:keepNext/>
        <w:rPr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“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conocimientos tradicionales”,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en tanto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que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definición general de la materia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objeto de estudio,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 saber,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el patrimonio intelectual y cultural inmaterial, las prácticas y los sistemas de conocimiento de las comunidades tradicionales,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particular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 de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comunidades indígenas y locales (conocimientos tradicionales en un sentido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amplio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general), y</w:t>
      </w:r>
    </w:p>
    <w:p w:rsidR="00DF5574" w:rsidRPr="0038186B" w:rsidRDefault="00DF5574" w:rsidP="00491FB2">
      <w:pPr>
        <w:ind w:left="900" w:hanging="360"/>
        <w:rPr>
          <w:szCs w:val="22"/>
          <w:lang w:val="es-419"/>
        </w:rPr>
      </w:pPr>
    </w:p>
    <w:p w:rsidR="00DF5574" w:rsidRPr="0038186B" w:rsidRDefault="00654EBC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“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conocimientos tradicionales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”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, como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materia sujeta a determinados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derechos y </w:t>
      </w:r>
      <w:r w:rsidR="00CA2BE8" w:rsidRPr="0038186B">
        <w:rPr>
          <w:rFonts w:ascii="Arial" w:hAnsi="Arial" w:cs="Arial"/>
          <w:sz w:val="22"/>
          <w:szCs w:val="22"/>
          <w:lang w:val="es-419"/>
        </w:rPr>
        <w:t>prerrogativas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, enfocada más precisamente en el contenido y la sustancia de los c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onocimientos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como tales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 en sentido </w:t>
      </w:r>
      <w:r w:rsidR="00E13DCE" w:rsidRPr="0038186B">
        <w:rPr>
          <w:rFonts w:ascii="Arial" w:hAnsi="Arial" w:cs="Arial"/>
          <w:sz w:val="22"/>
          <w:szCs w:val="22"/>
          <w:lang w:val="es-419"/>
        </w:rPr>
        <w:t>p</w:t>
      </w:r>
      <w:r w:rsidR="008921CB" w:rsidRPr="0038186B">
        <w:rPr>
          <w:rFonts w:ascii="Arial" w:hAnsi="Arial" w:cs="Arial"/>
          <w:sz w:val="22"/>
          <w:szCs w:val="22"/>
          <w:lang w:val="es-419"/>
        </w:rPr>
        <w:t>articular</w:t>
      </w:r>
      <w:r w:rsidR="00E13DCE"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estricto), y que no ha de confundirse, por ejemplo, con las expresiones culturales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ECT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) o las expresiones del folclore</w:t>
      </w:r>
      <w:r w:rsidR="00902A6D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ii)</w:t>
      </w:r>
      <w:r w:rsidR="00425E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 que puede caracterizarse 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general como conocimientos tradicionales, y</w:t>
      </w:r>
    </w:p>
    <w:p w:rsidR="00DF5574" w:rsidRPr="0038186B" w:rsidRDefault="00DF5574" w:rsidP="00491FB2">
      <w:pPr>
        <w:ind w:left="990" w:hanging="450"/>
        <w:rPr>
          <w:szCs w:val="22"/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los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elementos de los conocimientos tradicionales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son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 deberían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ser objeto de protección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jurídic</w:t>
      </w:r>
      <w:r w:rsidRPr="0038186B">
        <w:rPr>
          <w:rFonts w:ascii="Arial" w:hAnsi="Arial" w:cs="Arial"/>
          <w:sz w:val="22"/>
          <w:szCs w:val="22"/>
          <w:lang w:val="es-419"/>
        </w:rPr>
        <w:t>a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 específica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C74ED" w:rsidRPr="0038186B">
        <w:rPr>
          <w:lang w:val="es-419"/>
        </w:rPr>
        <w:t xml:space="preserve">Partiendo de </w:t>
      </w:r>
      <w:r w:rsidR="00344979" w:rsidRPr="0038186B">
        <w:rPr>
          <w:lang w:val="es-419"/>
        </w:rPr>
        <w:t xml:space="preserve">los supuestos de trabajo mencionados, el Comité ha </w:t>
      </w:r>
      <w:r w:rsidR="006D2AA9" w:rsidRPr="0038186B">
        <w:rPr>
          <w:lang w:val="es-419"/>
        </w:rPr>
        <w:t>adoptado es</w:t>
      </w:r>
      <w:r w:rsidR="00344979" w:rsidRPr="0038186B">
        <w:rPr>
          <w:lang w:val="es-419"/>
        </w:rPr>
        <w:t>as distinciones</w:t>
      </w:r>
      <w:r w:rsidR="006D2AA9" w:rsidRPr="0038186B">
        <w:rPr>
          <w:lang w:val="es-419"/>
        </w:rPr>
        <w:t xml:space="preserve"> en sus trabajos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A65724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A65724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primera distinción (</w:t>
      </w:r>
      <w:r w:rsidR="001B0428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 xml:space="preserve">), la expresión “conocimientos tradicionales” se emplea en sentido </w:t>
      </w:r>
      <w:r w:rsidR="005C74ED" w:rsidRPr="0038186B">
        <w:rPr>
          <w:lang w:val="es-419"/>
        </w:rPr>
        <w:t>estricto</w:t>
      </w:r>
      <w:r w:rsidR="00344979" w:rsidRPr="0038186B">
        <w:rPr>
          <w:lang w:val="es-419"/>
        </w:rPr>
        <w:t xml:space="preserve"> para referirse a</w:t>
      </w:r>
      <w:r w:rsidR="008921CB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8921CB" w:rsidP="00491FB2">
      <w:pPr>
        <w:ind w:left="540"/>
        <w:rPr>
          <w:lang w:val="es-419"/>
        </w:rPr>
      </w:pPr>
      <w:r w:rsidRPr="0038186B">
        <w:rPr>
          <w:lang w:val="es-419"/>
        </w:rPr>
        <w:t xml:space="preserve">los </w:t>
      </w:r>
      <w:r w:rsidR="005C74ED" w:rsidRPr="0038186B">
        <w:rPr>
          <w:lang w:val="es-419"/>
        </w:rPr>
        <w:t>conocimientos en sí, en particular, conocimientos originados como resultado de una actividad intelectual en un contexto tradicional, comprendiendo conocimientos técnicos, prácticas, aptitudes e innovaciones</w:t>
      </w:r>
      <w:r w:rsidR="00FD6EEF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3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71043" w:rsidRPr="0038186B">
        <w:rPr>
          <w:lang w:val="es-419"/>
        </w:rPr>
        <w:t>Entendidos así, l</w:t>
      </w:r>
      <w:r w:rsidR="00344979" w:rsidRPr="0038186B">
        <w:rPr>
          <w:lang w:val="es-419"/>
        </w:rPr>
        <w:t xml:space="preserve">os conocimientos tradicionales </w:t>
      </w:r>
      <w:r w:rsidR="00C71043" w:rsidRPr="0038186B">
        <w:rPr>
          <w:lang w:val="es-419"/>
        </w:rPr>
        <w:t xml:space="preserve">tienen un alcance </w:t>
      </w:r>
      <w:r w:rsidR="00344979" w:rsidRPr="0038186B">
        <w:rPr>
          <w:lang w:val="es-419"/>
        </w:rPr>
        <w:t xml:space="preserve">más amplio que </w:t>
      </w:r>
      <w:r w:rsidR="00C71043" w:rsidRPr="0038186B">
        <w:rPr>
          <w:lang w:val="es-419"/>
        </w:rPr>
        <w:t xml:space="preserve">las esferas </w:t>
      </w:r>
      <w:r w:rsidR="00344979" w:rsidRPr="0038186B">
        <w:rPr>
          <w:lang w:val="es-419"/>
        </w:rPr>
        <w:t>de conocimientos</w:t>
      </w:r>
      <w:r w:rsidR="00C71043" w:rsidRPr="0038186B">
        <w:rPr>
          <w:lang w:val="es-419"/>
        </w:rPr>
        <w:t xml:space="preserve"> más específicas</w:t>
      </w:r>
      <w:r w:rsidR="00344979" w:rsidRPr="0038186B">
        <w:rPr>
          <w:lang w:val="es-419"/>
        </w:rPr>
        <w:t xml:space="preserve"> (</w:t>
      </w:r>
      <w:r w:rsidR="005E2C9C" w:rsidRPr="0038186B">
        <w:rPr>
          <w:lang w:val="es-419"/>
        </w:rPr>
        <w:t>como los conocimientos med</w:t>
      </w:r>
      <w:r w:rsidR="00344979" w:rsidRPr="0038186B">
        <w:rPr>
          <w:lang w:val="es-419"/>
        </w:rPr>
        <w:t xml:space="preserve">icinales, </w:t>
      </w:r>
      <w:r w:rsidR="005E2C9C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rela</w:t>
      </w:r>
      <w:r w:rsidR="00C71043" w:rsidRPr="0038186B">
        <w:rPr>
          <w:lang w:val="es-419"/>
        </w:rPr>
        <w:t>tiv</w:t>
      </w:r>
      <w:r w:rsidR="005E2C9C" w:rsidRPr="0038186B">
        <w:rPr>
          <w:lang w:val="es-419"/>
        </w:rPr>
        <w:t>o</w:t>
      </w:r>
      <w:r w:rsidR="00C71043" w:rsidRPr="0038186B">
        <w:rPr>
          <w:lang w:val="es-419"/>
        </w:rPr>
        <w:t>s a</w:t>
      </w:r>
      <w:r w:rsidR="00344979" w:rsidRPr="0038186B">
        <w:rPr>
          <w:lang w:val="es-419"/>
        </w:rPr>
        <w:t xml:space="preserve"> la biodiversidad</w:t>
      </w:r>
      <w:r w:rsidR="003A7F9C" w:rsidRPr="0038186B">
        <w:rPr>
          <w:lang w:val="es-419"/>
        </w:rPr>
        <w:t xml:space="preserve">, </w:t>
      </w:r>
      <w:r w:rsidR="00FF3F10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recursos </w:t>
      </w:r>
      <w:r w:rsidR="003A7F9C" w:rsidRPr="0038186B">
        <w:rPr>
          <w:lang w:val="es-419"/>
        </w:rPr>
        <w:t xml:space="preserve">genéticos o </w:t>
      </w:r>
      <w:r w:rsidR="00344979" w:rsidRPr="0038186B">
        <w:rPr>
          <w:lang w:val="es-419"/>
        </w:rPr>
        <w:t xml:space="preserve">fitogenéticos) que se </w:t>
      </w:r>
      <w:r w:rsidR="009B5747" w:rsidRPr="0038186B">
        <w:rPr>
          <w:lang w:val="es-419"/>
        </w:rPr>
        <w:t>recogen</w:t>
      </w:r>
      <w:r w:rsidR="00344979" w:rsidRPr="0038186B">
        <w:rPr>
          <w:lang w:val="es-419"/>
        </w:rPr>
        <w:t xml:space="preserve"> en otr</w:t>
      </w:r>
      <w:r w:rsidR="003A7F9C" w:rsidRPr="0038186B">
        <w:rPr>
          <w:lang w:val="es-419"/>
        </w:rPr>
        <w:t>os ámbito</w:t>
      </w:r>
      <w:r w:rsidR="005E2C9C" w:rsidRPr="0038186B">
        <w:rPr>
          <w:lang w:val="es-419"/>
        </w:rPr>
        <w:t xml:space="preserve">s del </w:t>
      </w:r>
      <w:r w:rsidR="00F373CD" w:rsidRPr="0038186B">
        <w:rPr>
          <w:lang w:val="es-419"/>
        </w:rPr>
        <w:t>D</w:t>
      </w:r>
      <w:r w:rsidR="005E2C9C" w:rsidRPr="0038186B">
        <w:rPr>
          <w:lang w:val="es-419"/>
        </w:rPr>
        <w:t>erecho internacional público</w:t>
      </w:r>
      <w:r w:rsidR="00F373CD" w:rsidRPr="0038186B">
        <w:rPr>
          <w:lang w:val="es-419"/>
        </w:rPr>
        <w:t xml:space="preserve"> y políticas públicas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5747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9B5747" w:rsidRPr="0038186B">
        <w:rPr>
          <w:lang w:val="es-419"/>
        </w:rPr>
        <w:t xml:space="preserve">con </w:t>
      </w:r>
      <w:r w:rsidR="00344979" w:rsidRPr="0038186B">
        <w:rPr>
          <w:lang w:val="es-419"/>
        </w:rPr>
        <w:t>la segunda distinción (</w:t>
      </w:r>
      <w:r w:rsidR="009C0924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>), el Comité ha e</w:t>
      </w:r>
      <w:r w:rsidR="009B5747" w:rsidRPr="0038186B">
        <w:rPr>
          <w:lang w:val="es-419"/>
        </w:rPr>
        <w:t>xaminado en detalle</w:t>
      </w:r>
      <w:r w:rsidR="00344979" w:rsidRPr="0038186B">
        <w:rPr>
          <w:lang w:val="es-419"/>
        </w:rPr>
        <w:t xml:space="preserve"> el principio </w:t>
      </w:r>
      <w:r w:rsidR="009B5747" w:rsidRPr="0038186B">
        <w:rPr>
          <w:lang w:val="es-419"/>
        </w:rPr>
        <w:t xml:space="preserve">según el cual, </w:t>
      </w:r>
      <w:r w:rsidR="00344979" w:rsidRPr="0038186B">
        <w:rPr>
          <w:lang w:val="es-419"/>
        </w:rPr>
        <w:t xml:space="preserve">para </w:t>
      </w:r>
      <w:r w:rsidR="009B5747" w:rsidRPr="0038186B">
        <w:rPr>
          <w:lang w:val="es-419"/>
        </w:rPr>
        <w:t xml:space="preserve">ser </w:t>
      </w:r>
      <w:r w:rsidR="009B5747" w:rsidRPr="0038186B">
        <w:rPr>
          <w:i/>
          <w:lang w:val="es-419"/>
        </w:rPr>
        <w:t>protegidos</w:t>
      </w:r>
      <w:r w:rsidR="00344979" w:rsidRPr="0038186B">
        <w:rPr>
          <w:lang w:val="es-419"/>
        </w:rPr>
        <w:t xml:space="preserve"> mediante mecanismos jurídicos</w:t>
      </w:r>
      <w:r w:rsidR="009B5747" w:rsidRPr="0038186B">
        <w:rPr>
          <w:lang w:val="es-419"/>
        </w:rPr>
        <w:t xml:space="preserve"> específicos</w:t>
      </w:r>
      <w:r w:rsidR="00344979" w:rsidRPr="0038186B">
        <w:rPr>
          <w:lang w:val="es-419"/>
        </w:rPr>
        <w:t>, l</w:t>
      </w:r>
      <w:r w:rsidR="009B5747" w:rsidRPr="0038186B">
        <w:rPr>
          <w:lang w:val="es-419"/>
        </w:rPr>
        <w:t>os conocimientos tradicionales tendrían que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i)</w:t>
      </w:r>
      <w:r w:rsidRPr="0038186B">
        <w:rPr>
          <w:lang w:val="es-419"/>
        </w:rPr>
        <w:tab/>
      </w:r>
      <w:r w:rsidR="00133B73" w:rsidRPr="0038186B">
        <w:rPr>
          <w:lang w:val="es-419"/>
        </w:rPr>
        <w:t xml:space="preserve">crearse y preservarse </w:t>
      </w:r>
      <w:r w:rsidR="00344979" w:rsidRPr="0038186B">
        <w:rPr>
          <w:lang w:val="es-419"/>
        </w:rPr>
        <w:t>en un contexto tradicional y transmitirse de una generación a otra;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estar </w:t>
      </w:r>
      <w:r w:rsidR="00133B73" w:rsidRPr="0038186B">
        <w:rPr>
          <w:lang w:val="es-419"/>
        </w:rPr>
        <w:t>específicamente</w:t>
      </w:r>
      <w:r w:rsidR="00344979" w:rsidRPr="0038186B">
        <w:rPr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y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Esta relación podría </w:t>
      </w:r>
      <w:r w:rsidR="00F373CD" w:rsidRPr="0038186B">
        <w:rPr>
          <w:lang w:val="es-419"/>
        </w:rPr>
        <w:t>explicitarse</w:t>
      </w:r>
      <w:r w:rsidR="00133B73" w:rsidRPr="0038186B">
        <w:rPr>
          <w:lang w:val="es-419"/>
        </w:rPr>
        <w:t xml:space="preserve"> formal o informalmente e</w:t>
      </w:r>
      <w:r w:rsidR="00344979" w:rsidRPr="0038186B">
        <w:rPr>
          <w:lang w:val="es-419"/>
        </w:rPr>
        <w:t>n la</w:t>
      </w:r>
      <w:r w:rsidR="00871C0C" w:rsidRPr="0038186B">
        <w:rPr>
          <w:lang w:val="es-419"/>
        </w:rPr>
        <w:t xml:space="preserve">s prácticas, protocolos o leyes </w:t>
      </w:r>
      <w:r w:rsidR="00344979" w:rsidRPr="0038186B">
        <w:rPr>
          <w:lang w:val="es-419"/>
        </w:rPr>
        <w:t>consuetudinarios o tradicionales.</w:t>
      </w:r>
      <w:r w:rsidR="000A2CD6" w:rsidRPr="0038186B">
        <w:rPr>
          <w:rStyle w:val="FootnoteReference"/>
          <w:lang w:val="es-419"/>
        </w:rPr>
        <w:footnoteReference w:id="35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71C0C" w:rsidRPr="0038186B">
        <w:rPr>
          <w:lang w:val="es-419"/>
        </w:rPr>
        <w:t>A efectos del presente análisis, e</w:t>
      </w:r>
      <w:r w:rsidR="00344979" w:rsidRPr="0038186B">
        <w:rPr>
          <w:lang w:val="es-419"/>
        </w:rPr>
        <w:t xml:space="preserve">sto significaría que, para ser susceptibles de protección, </w:t>
      </w:r>
      <w:r w:rsidR="00871C0C" w:rsidRPr="0038186B">
        <w:rPr>
          <w:lang w:val="es-419"/>
        </w:rPr>
        <w:t>los conocimientos deberían</w:t>
      </w:r>
      <w:r w:rsidR="00383FE2" w:rsidRPr="0038186B">
        <w:rPr>
          <w:lang w:val="es-419"/>
        </w:rPr>
        <w:t>,</w:t>
      </w:r>
      <w:r w:rsidR="00871C0C" w:rsidRPr="0038186B">
        <w:rPr>
          <w:lang w:val="es-419"/>
        </w:rPr>
        <w:t xml:space="preserve"> más</w:t>
      </w:r>
      <w:r w:rsidR="00383FE2" w:rsidRPr="0038186B">
        <w:rPr>
          <w:lang w:val="es-419"/>
        </w:rPr>
        <w:t xml:space="preserve"> allá de su definición general, </w:t>
      </w:r>
      <w:r w:rsidR="00871C0C" w:rsidRPr="0038186B">
        <w:rPr>
          <w:lang w:val="es-419"/>
        </w:rPr>
        <w:t xml:space="preserve">tener </w:t>
      </w:r>
      <w:r w:rsidR="00344979" w:rsidRPr="0038186B">
        <w:rPr>
          <w:lang w:val="es-419"/>
        </w:rPr>
        <w:t xml:space="preserve">un carácter intergeneracional, </w:t>
      </w:r>
      <w:r w:rsidR="00AF3DE6" w:rsidRPr="0038186B">
        <w:rPr>
          <w:lang w:val="es-419"/>
        </w:rPr>
        <w:t>mantener un lazo objetivo con</w:t>
      </w:r>
      <w:r w:rsidR="00344979" w:rsidRPr="0038186B">
        <w:rPr>
          <w:lang w:val="es-419"/>
        </w:rPr>
        <w:t xml:space="preserve"> la comunidad de origen y </w:t>
      </w:r>
      <w:r w:rsidR="00AF3DE6" w:rsidRPr="0038186B">
        <w:rPr>
          <w:lang w:val="es-419"/>
        </w:rPr>
        <w:t xml:space="preserve">un vínculo </w:t>
      </w:r>
      <w:r w:rsidR="00344979" w:rsidRPr="0038186B">
        <w:rPr>
          <w:lang w:val="es-419"/>
        </w:rPr>
        <w:t>subjetiv</w:t>
      </w:r>
      <w:r w:rsidR="00383FE2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dentro de </w:t>
      </w:r>
      <w:r w:rsidR="00383FE2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comunidad, de </w:t>
      </w:r>
      <w:r w:rsidR="00AF3DE6" w:rsidRPr="0038186B">
        <w:rPr>
          <w:lang w:val="es-419"/>
        </w:rPr>
        <w:t xml:space="preserve">tal modo que formen </w:t>
      </w:r>
      <w:r w:rsidR="00344979" w:rsidRPr="0038186B">
        <w:rPr>
          <w:lang w:val="es-419"/>
        </w:rPr>
        <w:t>parte de la propia identidad de ésta.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2" w:name="_Toc116899018"/>
      <w:r w:rsidRPr="0038186B">
        <w:rPr>
          <w:i/>
          <w:caps w:val="0"/>
          <w:u w:val="single"/>
          <w:lang w:val="es-419"/>
        </w:rPr>
        <w:t>b)</w:t>
      </w:r>
      <w:r w:rsidR="00E10198" w:rsidRPr="0038186B">
        <w:rPr>
          <w:i/>
          <w:caps w:val="0"/>
          <w:u w:val="single"/>
          <w:lang w:val="es-419"/>
        </w:rPr>
        <w:tab/>
      </w:r>
      <w:r w:rsidR="005C74ED" w:rsidRPr="0038186B">
        <w:rPr>
          <w:i/>
          <w:caps w:val="0"/>
          <w:u w:val="single"/>
          <w:lang w:val="es-419"/>
        </w:rPr>
        <w:t xml:space="preserve">Carencias </w:t>
      </w:r>
      <w:r w:rsidR="00AF3DE6" w:rsidRPr="0038186B">
        <w:rPr>
          <w:i/>
          <w:caps w:val="0"/>
          <w:u w:val="single"/>
          <w:lang w:val="es-419"/>
        </w:rPr>
        <w:t xml:space="preserve">observadas en </w:t>
      </w:r>
      <w:r w:rsidR="005C74ED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objetivos o</w:t>
      </w:r>
      <w:r w:rsidR="005C74ED" w:rsidRPr="0038186B">
        <w:rPr>
          <w:i/>
          <w:caps w:val="0"/>
          <w:u w:val="single"/>
          <w:lang w:val="es-419"/>
        </w:rPr>
        <w:t xml:space="preserve"> </w:t>
      </w:r>
      <w:r w:rsidRPr="0038186B">
        <w:rPr>
          <w:i/>
          <w:caps w:val="0"/>
          <w:u w:val="single"/>
          <w:lang w:val="es-419"/>
        </w:rPr>
        <w:t xml:space="preserve">fundamentos </w:t>
      </w:r>
      <w:r w:rsidR="00AF3DE6" w:rsidRPr="0038186B">
        <w:rPr>
          <w:i/>
          <w:caps w:val="0"/>
          <w:u w:val="single"/>
          <w:lang w:val="es-419"/>
        </w:rPr>
        <w:t>normativos</w:t>
      </w:r>
      <w:r w:rsidRPr="0038186B">
        <w:rPr>
          <w:i/>
          <w:caps w:val="0"/>
          <w:u w:val="single"/>
          <w:lang w:val="es-419"/>
        </w:rPr>
        <w:t xml:space="preserve"> de la protección:</w:t>
      </w:r>
      <w:bookmarkEnd w:id="4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F3DE6" w:rsidRPr="0038186B">
        <w:rPr>
          <w:lang w:val="es-419"/>
        </w:rPr>
        <w:t xml:space="preserve">Como parte del </w:t>
      </w:r>
      <w:r w:rsidR="005C74ED" w:rsidRPr="0038186B">
        <w:rPr>
          <w:lang w:val="es-419"/>
        </w:rPr>
        <w:t xml:space="preserve">estudio de </w:t>
      </w:r>
      <w:r w:rsidR="00AF3DE6" w:rsidRPr="0038186B">
        <w:rPr>
          <w:lang w:val="es-419"/>
        </w:rPr>
        <w:t>los</w:t>
      </w:r>
      <w:r w:rsidR="005C74ED" w:rsidRPr="0038186B">
        <w:rPr>
          <w:lang w:val="es-419"/>
        </w:rPr>
        <w:t xml:space="preserve"> sistema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jurídico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</w:t>
      </w:r>
      <w:r w:rsidR="009C6EC0" w:rsidRPr="0038186B">
        <w:rPr>
          <w:lang w:val="es-419"/>
        </w:rPr>
        <w:t>conviene</w:t>
      </w:r>
      <w:r w:rsidR="00AF3DE6" w:rsidRPr="0038186B">
        <w:rPr>
          <w:lang w:val="es-419"/>
        </w:rPr>
        <w:t xml:space="preserve"> examinar </w:t>
      </w:r>
      <w:r w:rsidR="005C74ED" w:rsidRPr="0038186B">
        <w:rPr>
          <w:lang w:val="es-419"/>
        </w:rPr>
        <w:t>los objetivos o el fundamento de dicho</w:t>
      </w:r>
      <w:r w:rsidR="009C6EC0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sistema</w:t>
      </w:r>
      <w:r w:rsidR="009C6EC0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1C5882" w:rsidRPr="0038186B">
        <w:rPr>
          <w:lang w:val="es-419"/>
        </w:rPr>
        <w:t xml:space="preserve">Así pues, en el marco del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podría ser necesario examinar los objetivos comunes que podrían </w:t>
      </w:r>
      <w:r w:rsidR="009C6EC0" w:rsidRPr="0038186B">
        <w:rPr>
          <w:lang w:val="es-419"/>
        </w:rPr>
        <w:t>establecerse</w:t>
      </w:r>
      <w:r w:rsidR="001C5882" w:rsidRPr="0038186B">
        <w:rPr>
          <w:lang w:val="es-419"/>
        </w:rPr>
        <w:t xml:space="preserve"> a nivel internacional</w:t>
      </w:r>
      <w:r w:rsidRPr="0038186B">
        <w:rPr>
          <w:lang w:val="es-419"/>
        </w:rPr>
        <w:t xml:space="preserve">, </w:t>
      </w:r>
      <w:r w:rsidR="001C5882" w:rsidRPr="0038186B">
        <w:rPr>
          <w:lang w:val="es-419"/>
        </w:rPr>
        <w:t xml:space="preserve">pero que </w:t>
      </w:r>
      <w:r w:rsidR="009C6EC0" w:rsidRPr="0038186B">
        <w:rPr>
          <w:lang w:val="es-419"/>
        </w:rPr>
        <w:t xml:space="preserve">aún </w:t>
      </w:r>
      <w:r w:rsidR="001C5882" w:rsidRPr="0038186B">
        <w:rPr>
          <w:lang w:val="es-419"/>
        </w:rPr>
        <w:t>no se han formulado en un sentido formal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Entre los objetivos de política que no se han </w:t>
      </w:r>
      <w:r w:rsidR="009C6EC0" w:rsidRPr="0038186B">
        <w:rPr>
          <w:lang w:val="es-419"/>
        </w:rPr>
        <w:t xml:space="preserve">establecido </w:t>
      </w:r>
      <w:r w:rsidR="001C5882" w:rsidRPr="0038186B">
        <w:rPr>
          <w:lang w:val="es-419"/>
        </w:rPr>
        <w:t>o afirmado formalmente a nivel internacional en relación con la propiedad intelectual y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>cabe citar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del valor intrínseco de los sistemas de conocimientos tradicionales y su contribución a la conservación del medio ambiente, a la seguridad alimentaria y a la agricultura sostenible, así como al avance de la ciencia y la tecnología;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 que los sistemas de conocimientos tradicionales constituyen formas valiosas de innovación;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del respeto hacia los sistemas de conocimientos tradicionales y los valores intelectuales y espirituales de los titulares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respeto de los derechos de los titulares y custodios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 la conservación y la preservación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fortalecimiento de los sistemas de conocimientos tradicionales, en particular </w:t>
      </w:r>
      <w:r w:rsidR="00690757" w:rsidRPr="0038186B">
        <w:rPr>
          <w:lang w:val="es-419"/>
        </w:rPr>
        <w:t xml:space="preserve">el </w:t>
      </w:r>
      <w:r w:rsidR="009C6EC0" w:rsidRPr="0038186B">
        <w:rPr>
          <w:lang w:val="es-419"/>
        </w:rPr>
        <w:t xml:space="preserve">apoyo </w:t>
      </w:r>
      <w:r w:rsidR="00690757" w:rsidRPr="0038186B">
        <w:rPr>
          <w:lang w:val="es-419"/>
        </w:rPr>
        <w:t xml:space="preserve">al </w:t>
      </w:r>
      <w:r w:rsidRPr="0038186B">
        <w:rPr>
          <w:lang w:val="es-419"/>
        </w:rPr>
        <w:t>uso, desarrollo, intercambio y transmisión consuetudinarios continuados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apoyo a la innovación permanente dentro de los sistemas de conocimientos tradicionales y el fomento de la innovación derivada de la base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90757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apoyo a </w:t>
      </w:r>
      <w:r w:rsidR="00344979" w:rsidRPr="0038186B">
        <w:rPr>
          <w:lang w:val="es-419"/>
        </w:rPr>
        <w:t>la preservación y la salvaguardia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las medidas para combatir</w:t>
      </w:r>
      <w:r w:rsidR="00344979" w:rsidRPr="0038186B">
        <w:rPr>
          <w:lang w:val="es-419"/>
        </w:rPr>
        <w:t xml:space="preserve"> la apropiación indebida y la utilización desleal e injusta de los conocimientos tradicionales, y la promoción de la participación equitativa en los beneficios de</w:t>
      </w:r>
      <w:r w:rsidR="00690757" w:rsidRPr="0038186B">
        <w:rPr>
          <w:lang w:val="es-419"/>
        </w:rPr>
        <w:t>rivados de</w:t>
      </w:r>
      <w:r w:rsidR="00344979" w:rsidRPr="0038186B">
        <w:rPr>
          <w:lang w:val="es-419"/>
        </w:rPr>
        <w:t xml:space="preserve">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garantía de que el acceso y el uso de los conocimientos tradicionales están sujetos al consentimiento fundamentado previo;</w:t>
      </w:r>
      <w:r w:rsidR="000A2CD6" w:rsidRPr="0038186B">
        <w:rPr>
          <w:rStyle w:val="FootnoteReference"/>
          <w:lang w:val="es-419"/>
        </w:rPr>
        <w:footnoteReference w:id="3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del desarrollo sostenible de las comunidades y las actividades comerciales legítimas basadas en los sistemas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las medidas para combatir </w:t>
      </w:r>
      <w:r w:rsidR="006D521B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concesión o </w:t>
      </w:r>
      <w:r w:rsidR="006D521B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el ejercicio de derechos </w:t>
      </w:r>
      <w:r w:rsidR="006D521B" w:rsidRPr="0038186B">
        <w:rPr>
          <w:lang w:val="es-419"/>
        </w:rPr>
        <w:t xml:space="preserve">ilegítimos </w:t>
      </w:r>
      <w:r w:rsidR="00344979" w:rsidRPr="0038186B">
        <w:rPr>
          <w:lang w:val="es-419"/>
        </w:rPr>
        <w:t>de propiedad intelectual sobre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09F4" w:rsidRPr="0038186B">
        <w:rPr>
          <w:lang w:val="es-419"/>
        </w:rPr>
        <w:t xml:space="preserve">Esos son, en síntesis, los objetivos que se han puesto de relieve en los debates internacionales, en particular en el </w:t>
      </w:r>
      <w:r w:rsidR="001970C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</w:t>
      </w:r>
      <w:r w:rsidR="004A09F4" w:rsidRPr="0038186B">
        <w:rPr>
          <w:lang w:val="es-419"/>
        </w:rPr>
        <w:t xml:space="preserve"> se han adoptado formalmente y es improbable que sean objeto de consenso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 obstante, v</w:t>
      </w:r>
      <w:r w:rsidR="00344979" w:rsidRPr="0038186B">
        <w:rPr>
          <w:lang w:val="es-419"/>
        </w:rPr>
        <w:t xml:space="preserve">arios de estos objetivos generales se abordan en cierta medida </w:t>
      </w:r>
      <w:r w:rsidR="002D4646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instrumentos internacionales vigentes, </w:t>
      </w:r>
      <w:r w:rsidR="002D4646" w:rsidRPr="0038186B">
        <w:rPr>
          <w:lang w:val="es-419"/>
        </w:rPr>
        <w:t>aunque es</w:t>
      </w:r>
      <w:r w:rsidR="00344979" w:rsidRPr="0038186B">
        <w:rPr>
          <w:lang w:val="es-419"/>
        </w:rPr>
        <w:t xml:space="preserve">os instrumentos sólo abarcan un subconjunto de la totalidad de los conocimientos tradicionales – por ejemplo, el CDB promueve el respeto y </w:t>
      </w:r>
      <w:r w:rsidR="002D4646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preservación de los conocimientos tradicionales relativos a la conservación y el uso sostenible de la biodiversidad, pero no aborda expresamente otras formas de conocimientos tradicionales como los sistemas de conocimientos médicos codificados.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</w:t>
      </w:r>
      <w:r w:rsidR="00ED364C" w:rsidRPr="0038186B">
        <w:rPr>
          <w:lang w:val="es-419"/>
        </w:rPr>
        <w:t>TIRFAA</w:t>
      </w:r>
      <w:r w:rsidR="00344979" w:rsidRPr="0038186B">
        <w:rPr>
          <w:lang w:val="es-419"/>
        </w:rPr>
        <w:t xml:space="preserve"> reconoce “la enorme contribución que han aportado y siguen aportando las comunidades locales e indígenas y los agricultores</w:t>
      </w:r>
      <w:r w:rsidR="002D4646" w:rsidRPr="0038186B">
        <w:rPr>
          <w:lang w:val="es-419"/>
        </w:rPr>
        <w:t>[</w:t>
      </w:r>
      <w:r w:rsidR="00344979" w:rsidRPr="0038186B">
        <w:rPr>
          <w:lang w:val="es-419"/>
        </w:rPr>
        <w:t xml:space="preserve">… </w:t>
      </w:r>
      <w:r w:rsidR="002D4646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a la conservación y el desarrollo de los recursos fitogenéticos que constituyen la base de la producción alimentaria y agrícola en el mundo entero”.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524A4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5524A4" w:rsidRPr="0038186B">
        <w:rPr>
          <w:lang w:val="es-419"/>
        </w:rPr>
        <w:t>ndígenas, que no es jurídicamente vinculante, podría ofrecer orientaciones de política en relación con los objetivos internacionales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524A4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Declaración </w:t>
      </w:r>
      <w:r w:rsidR="005524A4" w:rsidRPr="0038186B">
        <w:rPr>
          <w:lang w:val="es-419"/>
        </w:rPr>
        <w:t xml:space="preserve">se refiere específicamente a los </w:t>
      </w:r>
      <w:r w:rsidR="00344979" w:rsidRPr="0038186B">
        <w:rPr>
          <w:lang w:val="es-419"/>
        </w:rPr>
        <w:t>derechos de los pueblos indígenas</w:t>
      </w:r>
      <w:r w:rsidR="005524A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5524A4" w:rsidRPr="0038186B">
        <w:rPr>
          <w:lang w:val="es-419"/>
        </w:rPr>
        <w:t xml:space="preserve">que se distinguen de </w:t>
      </w:r>
      <w:r w:rsidR="005F7BFB" w:rsidRPr="0038186B">
        <w:rPr>
          <w:lang w:val="es-419"/>
        </w:rPr>
        <w:t>otros</w:t>
      </w:r>
      <w:r w:rsidR="005524A4" w:rsidRPr="0038186B">
        <w:rPr>
          <w:lang w:val="es-419"/>
        </w:rPr>
        <w:t xml:space="preserve"> tit</w:t>
      </w:r>
      <w:r w:rsidR="00344979" w:rsidRPr="0038186B">
        <w:rPr>
          <w:lang w:val="es-419"/>
        </w:rPr>
        <w:t>ulares de conocimientos tradicionales) a “mantener, co</w:t>
      </w:r>
      <w:r w:rsidR="004F21A3" w:rsidRPr="0038186B">
        <w:rPr>
          <w:lang w:val="es-419"/>
        </w:rPr>
        <w:t>ntrolar, proteger y desarrollar</w:t>
      </w:r>
      <w:r w:rsidR="002C7268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...</w:t>
      </w:r>
      <w:r w:rsidR="002C7268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tradicionales” y a “mantener, controlar, proteger y desarrollar su propiedad intelectual... [</w:t>
      </w:r>
      <w:r w:rsidR="005F7BFB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dichos] ... conocimientos tradicionales”, siendo el </w:t>
      </w:r>
      <w:r w:rsidR="00961EDE" w:rsidRPr="0038186B">
        <w:rPr>
          <w:lang w:val="es-419"/>
        </w:rPr>
        <w:t>alcance</w:t>
      </w:r>
      <w:r w:rsidR="00344979" w:rsidRPr="0038186B">
        <w:rPr>
          <w:lang w:val="es-419"/>
        </w:rPr>
        <w:t xml:space="preserve"> de los conocimientos tradicionales a los que hace referencia mucho más amplio que en otros instrumentos vigentes.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3" w:name="_Toc116899019"/>
      <w:r w:rsidRPr="0038186B">
        <w:rPr>
          <w:i/>
          <w:caps w:val="0"/>
          <w:u w:val="single"/>
          <w:lang w:val="es-419"/>
        </w:rPr>
        <w:t>c)</w:t>
      </w:r>
      <w:r w:rsidR="00E10198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 xml:space="preserve">Carencias </w:t>
      </w:r>
      <w:r w:rsidR="000A2CD6" w:rsidRPr="0038186B">
        <w:rPr>
          <w:i/>
          <w:caps w:val="0"/>
          <w:u w:val="single"/>
          <w:lang w:val="es-419"/>
        </w:rPr>
        <w:t xml:space="preserve">observadas </w:t>
      </w:r>
      <w:r w:rsidRPr="0038186B">
        <w:rPr>
          <w:i/>
          <w:caps w:val="0"/>
          <w:u w:val="single"/>
          <w:lang w:val="es-419"/>
        </w:rPr>
        <w:t xml:space="preserve">en </w:t>
      </w:r>
      <w:r w:rsidR="000A2CD6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mecanismos jurídicos vigentes</w:t>
      </w:r>
      <w:bookmarkEnd w:id="4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la propiedad intelectual, en su sentido jurídico preciso, consiste en definir el derecho del titular a oponerse a la utilización del material protegido por parte de terceros, o al menos a obtener un beneficio equitativo de su uso, así como el derecho a oponerse a la </w:t>
      </w:r>
      <w:r w:rsidR="000A2CD6" w:rsidRPr="0038186B">
        <w:rPr>
          <w:lang w:val="es-419"/>
        </w:rPr>
        <w:t>falta</w:t>
      </w:r>
      <w:r w:rsidR="00344979" w:rsidRPr="0038186B">
        <w:rPr>
          <w:lang w:val="es-419"/>
        </w:rPr>
        <w:t xml:space="preserve"> de reco</w:t>
      </w:r>
      <w:r w:rsidR="000A2CD6" w:rsidRPr="0038186B">
        <w:rPr>
          <w:lang w:val="es-419"/>
        </w:rPr>
        <w:t>nocimiento o a la distorsión (pé</w:t>
      </w:r>
      <w:r w:rsidR="00344979" w:rsidRPr="0038186B">
        <w:rPr>
          <w:lang w:val="es-419"/>
        </w:rPr>
        <w:t>rdida de la integridad).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la protección consiste en otorgar al titular de los derechos la autoridad para impedir formas no deseadas de uso o distribución de los conocimientos, o el acceso ilícito a éstos, o bien el derecho a recibir una remuneración equitativa (incluido un régimen de responsabilidad pecuniaria).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tanto, la protección de la propiedad intelectual se centra en los derechos a oponerse o a impedir formas de utilización de material protegido por parte de terceros.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Por consiguiente, las carencias </w:t>
      </w:r>
      <w:r w:rsidR="005F7BFB" w:rsidRPr="0038186B">
        <w:rPr>
          <w:lang w:val="es-419"/>
        </w:rPr>
        <w:t xml:space="preserve">existentes </w:t>
      </w:r>
      <w:r w:rsidR="00344979" w:rsidRPr="0038186B">
        <w:rPr>
          <w:lang w:val="es-419"/>
        </w:rPr>
        <w:t xml:space="preserve">en </w:t>
      </w:r>
      <w:r w:rsidR="005F7BFB" w:rsidRPr="0038186B">
        <w:rPr>
          <w:lang w:val="es-419"/>
        </w:rPr>
        <w:t xml:space="preserve">materia de </w:t>
      </w:r>
      <w:r w:rsidR="00344979" w:rsidRPr="0038186B">
        <w:rPr>
          <w:lang w:val="es-419"/>
        </w:rPr>
        <w:t xml:space="preserve">protección de los conocimientos tradicionales </w:t>
      </w:r>
      <w:r w:rsidR="005F7BFB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mecanismos jurídicos específicos pueden caracterizarse en los siguientes términos: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la materia no está prevista en la legislación vigente sobre propiedad intelectual;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F7BFB" w:rsidP="0020270C">
      <w:pPr>
        <w:numPr>
          <w:ilvl w:val="1"/>
          <w:numId w:val="11"/>
        </w:numPr>
        <w:ind w:left="1080" w:hanging="360"/>
        <w:rPr>
          <w:lang w:val="es-419"/>
        </w:rPr>
      </w:pPr>
      <w:r w:rsidRPr="0038186B">
        <w:rPr>
          <w:lang w:val="es-419"/>
        </w:rPr>
        <w:t>los titulares no son reconocidos como tales y los demás beneficiarios están excluidos de l</w:t>
      </w:r>
      <w:r w:rsidR="00E35D71" w:rsidRPr="0038186B">
        <w:rPr>
          <w:lang w:val="es-419"/>
        </w:rPr>
        <w:t>os beneficios de</w:t>
      </w:r>
      <w:r w:rsidRPr="0038186B">
        <w:rPr>
          <w:lang w:val="es-419"/>
        </w:rPr>
        <w:t xml:space="preserve"> la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FD6EEF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no es posible impedir determinadas modalidades de utilización y otras acciones</w:t>
      </w:r>
      <w:r w:rsidR="00344979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 xml:space="preserve">inexistencia del </w:t>
      </w:r>
      <w:r w:rsidR="00344979" w:rsidRPr="0038186B">
        <w:rPr>
          <w:lang w:val="es-419"/>
        </w:rPr>
        <w:t>derecho a obtener una remuneración u otros beneficios.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F7BFB" w:rsidRPr="0038186B">
        <w:rPr>
          <w:lang w:val="es-419"/>
        </w:rPr>
        <w:t>Con todo,</w:t>
      </w:r>
      <w:r w:rsidR="001B0428" w:rsidRPr="0038186B">
        <w:rPr>
          <w:lang w:val="es-419"/>
        </w:rPr>
        <w:t xml:space="preserve"> para analizar esas </w:t>
      </w:r>
      <w:r w:rsidR="005F7BFB" w:rsidRPr="0038186B">
        <w:rPr>
          <w:lang w:val="es-419"/>
        </w:rPr>
        <w:t xml:space="preserve">posibles </w:t>
      </w:r>
      <w:r w:rsidR="001C5882" w:rsidRPr="0038186B">
        <w:rPr>
          <w:lang w:val="es-419"/>
        </w:rPr>
        <w:t xml:space="preserve">carencias </w:t>
      </w:r>
      <w:r w:rsidR="001B0428" w:rsidRPr="0038186B">
        <w:rPr>
          <w:lang w:val="es-419"/>
        </w:rPr>
        <w:t xml:space="preserve">es preciso </w:t>
      </w:r>
      <w:r w:rsidR="005F7BFB" w:rsidRPr="0038186B">
        <w:rPr>
          <w:lang w:val="es-419"/>
        </w:rPr>
        <w:t>exam</w:t>
      </w:r>
      <w:r w:rsidR="007A39C8" w:rsidRPr="0038186B">
        <w:rPr>
          <w:lang w:val="es-419"/>
        </w:rPr>
        <w:t xml:space="preserve">inar detenidamente </w:t>
      </w:r>
      <w:r w:rsidR="005F7BFB" w:rsidRPr="0038186B">
        <w:rPr>
          <w:lang w:val="es-419"/>
        </w:rPr>
        <w:t xml:space="preserve">las </w:t>
      </w:r>
      <w:r w:rsidR="001B0428" w:rsidRPr="0038186B">
        <w:rPr>
          <w:lang w:val="es-419"/>
        </w:rPr>
        <w:t>posibilidades</w:t>
      </w:r>
      <w:r w:rsidR="005F7BFB" w:rsidRPr="0038186B">
        <w:rPr>
          <w:lang w:val="es-419"/>
        </w:rPr>
        <w:t xml:space="preserve"> </w:t>
      </w:r>
      <w:r w:rsidR="0030450C" w:rsidRPr="0038186B">
        <w:rPr>
          <w:lang w:val="es-419"/>
        </w:rPr>
        <w:t xml:space="preserve">que </w:t>
      </w:r>
      <w:r w:rsidR="001B0428" w:rsidRPr="0038186B">
        <w:rPr>
          <w:lang w:val="es-419"/>
        </w:rPr>
        <w:t xml:space="preserve">ofrece la legislación vigente en materia de </w:t>
      </w:r>
      <w:r w:rsidR="0030450C" w:rsidRPr="0038186B">
        <w:rPr>
          <w:lang w:val="es-419"/>
        </w:rPr>
        <w:t>PI</w:t>
      </w:r>
      <w:r w:rsidR="007A39C8" w:rsidRPr="0038186B">
        <w:rPr>
          <w:lang w:val="es-419"/>
        </w:rPr>
        <w:t xml:space="preserve"> de proteger los CC.TT.</w:t>
      </w:r>
      <w:r w:rsidR="001A60B0" w:rsidRPr="0038186B">
        <w:rPr>
          <w:lang w:val="es-419"/>
        </w:rPr>
        <w:t xml:space="preserve"> </w:t>
      </w:r>
      <w:r w:rsidR="001B0428" w:rsidRPr="0038186B">
        <w:rPr>
          <w:lang w:val="es-419"/>
        </w:rPr>
        <w:t xml:space="preserve">El Comité ha analizado </w:t>
      </w:r>
      <w:r w:rsidR="0063583B" w:rsidRPr="0038186B">
        <w:rPr>
          <w:lang w:val="es-419"/>
        </w:rPr>
        <w:t>en detalle</w:t>
      </w:r>
      <w:r w:rsidR="001B0428" w:rsidRPr="0038186B">
        <w:rPr>
          <w:lang w:val="es-419"/>
        </w:rPr>
        <w:t xml:space="preserve"> esas posibilidades, en particular </w:t>
      </w:r>
      <w:r w:rsidR="007A39C8" w:rsidRPr="0038186B">
        <w:rPr>
          <w:lang w:val="es-419"/>
        </w:rPr>
        <w:t>los</w:t>
      </w:r>
      <w:r w:rsidR="001B0428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estudios</w:t>
      </w:r>
      <w:r w:rsidR="001B0428" w:rsidRPr="0038186B">
        <w:rPr>
          <w:lang w:val="es-419"/>
        </w:rPr>
        <w:t xml:space="preserve"> </w:t>
      </w:r>
      <w:r w:rsidR="0063583B" w:rsidRPr="0038186B">
        <w:rPr>
          <w:lang w:val="es-419"/>
        </w:rPr>
        <w:t>exhaustivos</w:t>
      </w:r>
      <w:r w:rsidR="007A39C8" w:rsidRPr="0038186B">
        <w:rPr>
          <w:lang w:val="es-419"/>
        </w:rPr>
        <w:t xml:space="preserve"> realizados</w:t>
      </w:r>
      <w:r w:rsidR="001B0428" w:rsidRPr="0038186B">
        <w:rPr>
          <w:lang w:val="es-419"/>
        </w:rPr>
        <w:t xml:space="preserve"> por los Estados </w:t>
      </w:r>
      <w:r w:rsidR="007A39C8" w:rsidRPr="0038186B">
        <w:rPr>
          <w:lang w:val="es-419"/>
        </w:rPr>
        <w:t>miembros</w:t>
      </w:r>
      <w:r w:rsidRPr="0038186B">
        <w:rPr>
          <w:lang w:val="es-419"/>
        </w:rPr>
        <w:t>,</w:t>
      </w:r>
      <w:r w:rsidR="001B0428" w:rsidRPr="0038186B">
        <w:rPr>
          <w:lang w:val="es-419"/>
        </w:rPr>
        <w:t xml:space="preserve"> y ha estudiado las opciones planteadas </w:t>
      </w:r>
      <w:r w:rsidR="007A39C8" w:rsidRPr="0038186B">
        <w:rPr>
          <w:lang w:val="es-419"/>
        </w:rPr>
        <w:t xml:space="preserve">en numerosos documentos sustantivos </w:t>
      </w:r>
      <w:r w:rsidRPr="0038186B">
        <w:rPr>
          <w:lang w:val="es-419"/>
        </w:rPr>
        <w:t>(</w:t>
      </w:r>
      <w:r w:rsidR="007A39C8" w:rsidRPr="0038186B">
        <w:rPr>
          <w:lang w:val="es-419"/>
        </w:rPr>
        <w:t>que se enumeran en el documento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WIPO/</w:t>
      </w:r>
      <w:r w:rsidR="000B6E41" w:rsidRPr="0038186B">
        <w:rPr>
          <w:lang w:val="es-419"/>
        </w:rPr>
        <w:t>GRTK</w:t>
      </w:r>
      <w:r w:rsidR="007A39C8" w:rsidRPr="0038186B">
        <w:rPr>
          <w:lang w:val="es-419"/>
        </w:rPr>
        <w:t>F/IC/13/5(a)). Esas opciones, que no se reproducen en el presente documento, podr</w:t>
      </w:r>
      <w:r w:rsidR="0063583B" w:rsidRPr="0038186B">
        <w:rPr>
          <w:lang w:val="es-419"/>
        </w:rPr>
        <w:t>ían</w:t>
      </w:r>
      <w:r w:rsidR="007A39C8" w:rsidRPr="0038186B">
        <w:rPr>
          <w:lang w:val="es-419"/>
        </w:rPr>
        <w:t xml:space="preserve"> ser pertinentes para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63583B" w:rsidRPr="0038186B">
        <w:rPr>
          <w:lang w:val="es-419"/>
        </w:rPr>
        <w:t>,</w:t>
      </w:r>
      <w:r w:rsidR="007A39C8" w:rsidRPr="0038186B">
        <w:rPr>
          <w:lang w:val="es-419"/>
        </w:rPr>
        <w:t xml:space="preserve"> por ejemplo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>las opciones de política y los mecanismos jurídicos expuestos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 xml:space="preserve">F/IC/7/6 </w:t>
      </w:r>
      <w:r w:rsidRPr="0038186B">
        <w:rPr>
          <w:lang w:val="es-419"/>
        </w:rPr>
        <w:t>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F/IC/9/INF/5</w:t>
      </w:r>
    </w:p>
    <w:p w:rsidR="00DF5574" w:rsidRPr="0038186B" w:rsidRDefault="00DF5574" w:rsidP="009D67E8">
      <w:pPr>
        <w:ind w:left="927" w:hanging="387"/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 xml:space="preserve">los estudios, informes y análisis comparativos de la </w:t>
      </w:r>
      <w:r w:rsidR="001C5882" w:rsidRPr="0038186B">
        <w:rPr>
          <w:lang w:val="es-419"/>
        </w:rPr>
        <w:t>protección de los 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a nivel nacional, regional e internacional que figuran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F/IC/3/9,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F/IC/4/7,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F/IC/4/8,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F/IC/5/8</w:t>
      </w:r>
      <w:r w:rsidRPr="0038186B">
        <w:rPr>
          <w:lang w:val="es-419"/>
        </w:rPr>
        <w:t xml:space="preserve"> 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F/IC/6/4.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pStyle w:val="Heading3"/>
        <w:rPr>
          <w:i/>
          <w:lang w:val="es-419"/>
        </w:rPr>
      </w:pPr>
      <w:bookmarkStart w:id="44" w:name="_Toc116899020"/>
      <w:r w:rsidRPr="0038186B">
        <w:rPr>
          <w:i/>
          <w:lang w:val="es-419"/>
        </w:rPr>
        <w:t>i)</w:t>
      </w:r>
      <w:r w:rsidR="00E10198" w:rsidRPr="0038186B">
        <w:rPr>
          <w:i/>
          <w:lang w:val="es-419"/>
        </w:rPr>
        <w:tab/>
      </w:r>
      <w:r w:rsidR="0063583B" w:rsidRPr="0038186B">
        <w:rPr>
          <w:i/>
          <w:lang w:val="es-419"/>
        </w:rPr>
        <w:t>M</w:t>
      </w:r>
      <w:r w:rsidRPr="0038186B">
        <w:rPr>
          <w:i/>
          <w:lang w:val="es-419"/>
        </w:rPr>
        <w:t>ateria no prevista en la legislación vigente sobre propiedad intelectual</w:t>
      </w:r>
      <w:bookmarkEnd w:id="44"/>
    </w:p>
    <w:p w:rsidR="00DF5574" w:rsidRPr="0038186B" w:rsidRDefault="00344979" w:rsidP="00C85AB4">
      <w:pPr>
        <w:pStyle w:val="Heading4"/>
        <w:rPr>
          <w:lang w:val="es-419"/>
        </w:rPr>
      </w:pPr>
      <w:r w:rsidRPr="0038186B">
        <w:rPr>
          <w:lang w:val="es-419"/>
        </w:rPr>
        <w:t xml:space="preserve">Conocimientos tradicionales que no </w:t>
      </w:r>
      <w:r w:rsidR="00104EA5" w:rsidRPr="0038186B">
        <w:rPr>
          <w:lang w:val="es-419"/>
        </w:rPr>
        <w:t xml:space="preserve">están </w:t>
      </w:r>
      <w:r w:rsidRPr="0038186B">
        <w:rPr>
          <w:lang w:val="es-419"/>
        </w:rPr>
        <w:t xml:space="preserve">contemplados </w:t>
      </w:r>
      <w:r w:rsidR="00104EA5" w:rsidRPr="0038186B">
        <w:rPr>
          <w:lang w:val="es-419"/>
        </w:rPr>
        <w:t xml:space="preserve">en los marcos vigentes de </w:t>
      </w:r>
      <w:r w:rsidRPr="0038186B">
        <w:rPr>
          <w:lang w:val="es-419"/>
        </w:rPr>
        <w:t xml:space="preserve">protección </w:t>
      </w:r>
      <w:r w:rsidR="00104EA5" w:rsidRPr="0038186B">
        <w:rPr>
          <w:lang w:val="es-419"/>
        </w:rPr>
        <w:t>de la PI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04EA5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 xml:space="preserve">se pueden detectar fácilmente </w:t>
      </w:r>
      <w:r w:rsidR="00104EA5" w:rsidRPr="0038186B">
        <w:rPr>
          <w:lang w:val="es-419"/>
        </w:rPr>
        <w:t xml:space="preserve">las carencias </w:t>
      </w:r>
      <w:r w:rsidR="00344979" w:rsidRPr="0038186B">
        <w:rPr>
          <w:lang w:val="es-419"/>
        </w:rPr>
        <w:t xml:space="preserve">respecto de los conocimientos tradicionales que están excluidos </w:t>
      </w:r>
      <w:r w:rsidR="00B91451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las formas convencionales de protección de la </w:t>
      </w:r>
      <w:r w:rsidR="00104EA5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descritas en el </w:t>
      </w:r>
      <w:r w:rsidR="00104EA5" w:rsidRPr="0038186B">
        <w:rPr>
          <w:lang w:val="es-419"/>
        </w:rPr>
        <w:t>apartado</w:t>
      </w:r>
      <w:r w:rsidR="00D62547" w:rsidRPr="0038186B">
        <w:rPr>
          <w:lang w:val="es-419"/>
        </w:rPr>
        <w:t> </w:t>
      </w:r>
      <w:r w:rsidR="00B91451" w:rsidRPr="0038186B">
        <w:rPr>
          <w:lang w:val="es-419"/>
        </w:rPr>
        <w:t>III.</w:t>
      </w:r>
      <w:r w:rsidR="00104EA5" w:rsidRPr="0038186B">
        <w:rPr>
          <w:lang w:val="es-419"/>
        </w:rPr>
        <w:t>a)</w:t>
      </w:r>
      <w:r w:rsidR="00344979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mencionado 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En algunos casos, es</w:t>
      </w:r>
      <w:r w:rsidR="00344979" w:rsidRPr="0038186B">
        <w:rPr>
          <w:lang w:val="es-419"/>
        </w:rPr>
        <w:t>os conocimientos tradicionales pueden estar protegidos en virtud de las le</w:t>
      </w:r>
      <w:r w:rsidR="00B91451" w:rsidRPr="0038186B">
        <w:rPr>
          <w:lang w:val="es-419"/>
        </w:rPr>
        <w:t>yes</w:t>
      </w:r>
      <w:r w:rsidR="00344979" w:rsidRPr="0038186B">
        <w:rPr>
          <w:lang w:val="es-419"/>
        </w:rPr>
        <w:t xml:space="preserve"> nacionales sobre </w:t>
      </w:r>
      <w:r w:rsidR="00B91451" w:rsidRPr="0038186B">
        <w:rPr>
          <w:lang w:val="es-419"/>
        </w:rPr>
        <w:t xml:space="preserve">PI en el marco de las </w:t>
      </w:r>
      <w:r w:rsidR="00344979" w:rsidRPr="0038186B">
        <w:rPr>
          <w:lang w:val="es-419"/>
        </w:rPr>
        <w:t>flexibilidades previstas con arreglo a</w:t>
      </w:r>
      <w:r w:rsidR="00E11373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E11373" w:rsidRPr="0038186B">
        <w:rPr>
          <w:lang w:val="es-419"/>
        </w:rPr>
        <w:t>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933C71" w:rsidRPr="0038186B">
        <w:rPr>
          <w:lang w:val="es-419"/>
        </w:rPr>
        <w:t xml:space="preserve">a </w:t>
      </w:r>
      <w:r w:rsidR="008C31C8" w:rsidRPr="0038186B">
        <w:rPr>
          <w:lang w:val="es-419"/>
        </w:rPr>
        <w:t xml:space="preserve">título </w:t>
      </w:r>
      <w:r w:rsidR="00933C71" w:rsidRPr="0038186B">
        <w:rPr>
          <w:lang w:val="es-419"/>
        </w:rPr>
        <w:t>indicativo, los co</w:t>
      </w:r>
      <w:r w:rsidR="00344979" w:rsidRPr="0038186B">
        <w:rPr>
          <w:lang w:val="es-419"/>
        </w:rPr>
        <w:t>nocimientos tradicionales no protegidos podrían incluir</w:t>
      </w:r>
      <w:r w:rsidR="00933C71" w:rsidRPr="0038186B">
        <w:rPr>
          <w:lang w:val="es-419"/>
        </w:rPr>
        <w:t xml:space="preserve"> lógicamente l</w:t>
      </w:r>
      <w:r w:rsidR="00344979" w:rsidRPr="0038186B">
        <w:rPr>
          <w:lang w:val="es-419"/>
        </w:rPr>
        <w:t>os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no se consideran nuevos, por haberse divulgado públicamente de forma oportuna;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consideran evidentes, incluidos los que resultan evidentes para los especialistas o los titulares de los conocimientos tradicionales como personas expertas en la materia en cuestión,</w:t>
      </w:r>
      <w:r w:rsidR="00362D3D" w:rsidRPr="0038186B">
        <w:rPr>
          <w:lang w:val="es-419"/>
        </w:rPr>
        <w:t xml:space="preserve"> frente a</w:t>
      </w:r>
      <w:r w:rsidRPr="0038186B">
        <w:rPr>
          <w:lang w:val="es-419"/>
        </w:rPr>
        <w:t xml:space="preserve"> otros conocimientos ya disponibles para el público </w:t>
      </w:r>
      <w:r w:rsidR="002900F4" w:rsidRPr="0038186B">
        <w:rPr>
          <w:lang w:val="es-419"/>
        </w:rPr>
        <w:t>pertinente</w:t>
      </w:r>
      <w:r w:rsidRPr="0038186B">
        <w:rPr>
          <w:lang w:val="es-419"/>
        </w:rPr>
        <w:t>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han divulgado públicamente o que no cumplen los criterios relativos a la protección de la información confidencial, los secretos comerciales o la información no divulgada.</w:t>
      </w:r>
    </w:p>
    <w:p w:rsidR="00DF5574" w:rsidRPr="0038186B" w:rsidRDefault="00344979" w:rsidP="00E10198">
      <w:pPr>
        <w:pStyle w:val="Heading4"/>
        <w:rPr>
          <w:lang w:val="es-419"/>
        </w:rPr>
      </w:pPr>
      <w:r w:rsidRPr="0038186B">
        <w:rPr>
          <w:lang w:val="es-419"/>
        </w:rPr>
        <w:t>Innovaciones colectivas y acumuladas a lo largo de generaciones dentro de una comunidad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608E0" w:rsidRPr="0038186B">
        <w:rPr>
          <w:lang w:val="es-419"/>
        </w:rPr>
        <w:t>Introduc</w:t>
      </w:r>
      <w:r w:rsidR="007A39C8" w:rsidRPr="0038186B">
        <w:rPr>
          <w:lang w:val="es-419"/>
        </w:rPr>
        <w:t>ción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una característica que define los conocimientos tradicionales a los fines del presente análisis es que se elaboran y evolucionan a lo largo de generaciones dentro de una comunidad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Algunos elementos de los conocimientos tradicionales </w:t>
      </w:r>
      <w:r w:rsidR="00897AA9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>son elaborados por individuos dentro de la comunidad pueden tener atribuidos determinados derechos en la comunidad, así como responsabilidades hacia ésta.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en </w:t>
      </w:r>
      <w:r w:rsidR="00897AA9" w:rsidRPr="0038186B">
        <w:rPr>
          <w:lang w:val="es-419"/>
        </w:rPr>
        <w:t>general</w:t>
      </w:r>
      <w:r w:rsidR="00344979" w:rsidRPr="0038186B">
        <w:rPr>
          <w:lang w:val="es-419"/>
        </w:rPr>
        <w:t>, la protección de los conocimientos tradicionales se refiere a la protección de conocimientos acumulados que se poseen a título colectivo, salvo que se consideren información confidencial o no divulgada.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Podría considerarse que este tipo de conocimientos están </w:t>
      </w:r>
      <w:r w:rsidR="007A39C8" w:rsidRPr="0038186B">
        <w:rPr>
          <w:lang w:val="es-419"/>
        </w:rPr>
        <w:t>c</w:t>
      </w:r>
      <w:r w:rsidR="00897AA9" w:rsidRPr="0038186B">
        <w:rPr>
          <w:lang w:val="es-419"/>
        </w:rPr>
        <w:t xml:space="preserve">ubiertos </w:t>
      </w:r>
      <w:r w:rsidR="00344979" w:rsidRPr="0038186B">
        <w:rPr>
          <w:lang w:val="es-419"/>
        </w:rPr>
        <w:t>en el CDB (</w:t>
      </w:r>
      <w:r w:rsidR="00897AA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la conservación y el uso sostenible de la biodiversidad)</w:t>
      </w:r>
      <w:r w:rsidR="00897AA9" w:rsidRPr="0038186B">
        <w:rPr>
          <w:lang w:val="es-419"/>
        </w:rPr>
        <w:t xml:space="preserve">, el Protocolo de Nagoya (CC.TT. asociados con recursos genéticos) </w:t>
      </w:r>
      <w:r w:rsidR="00AC12F9" w:rsidRPr="0038186B">
        <w:rPr>
          <w:lang w:val="es-419"/>
        </w:rPr>
        <w:t>y la FAO (CC.TT.</w:t>
      </w:r>
      <w:r w:rsidR="00344979" w:rsidRPr="0038186B">
        <w:rPr>
          <w:lang w:val="es-419"/>
        </w:rPr>
        <w:t xml:space="preserve"> relativos a los recursos fitogenéticos), </w:t>
      </w:r>
      <w:r w:rsidR="00485D81" w:rsidRPr="0038186B">
        <w:rPr>
          <w:lang w:val="es-419"/>
        </w:rPr>
        <w:t xml:space="preserve">previéndose </w:t>
      </w:r>
      <w:r w:rsidR="007A39C8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obligación de </w:t>
      </w:r>
      <w:r w:rsidR="00485D81" w:rsidRPr="0038186B">
        <w:rPr>
          <w:lang w:val="es-419"/>
        </w:rPr>
        <w:t>protegerlos,</w:t>
      </w:r>
      <w:r w:rsidR="00344979" w:rsidRPr="0038186B">
        <w:rPr>
          <w:lang w:val="es-419"/>
        </w:rPr>
        <w:t xml:space="preserve"> expresada en términos generales.</w:t>
      </w:r>
      <w:r w:rsidR="001A60B0" w:rsidRPr="0038186B">
        <w:rPr>
          <w:lang w:val="es-419"/>
        </w:rPr>
        <w:t xml:space="preserve"> </w:t>
      </w:r>
      <w:r w:rsidR="00485D81" w:rsidRPr="0038186B">
        <w:rPr>
          <w:lang w:val="es-419"/>
        </w:rPr>
        <w:t xml:space="preserve">Esas disposiciones no abarcan los </w:t>
      </w:r>
      <w:r w:rsidR="001970C2" w:rsidRPr="0038186B">
        <w:rPr>
          <w:lang w:val="es-419"/>
        </w:rPr>
        <w:t>CC.TT.</w:t>
      </w:r>
      <w:r w:rsidR="00485D81" w:rsidRPr="0038186B">
        <w:rPr>
          <w:lang w:val="es-419"/>
        </w:rPr>
        <w:t>,</w:t>
      </w:r>
      <w:r w:rsidR="00AC12F9" w:rsidRPr="0038186B">
        <w:rPr>
          <w:lang w:val="es-419"/>
        </w:rPr>
        <w:t xml:space="preserve"> en sentido amplio, aunque</w:t>
      </w:r>
      <w:r w:rsidR="00485D81" w:rsidRPr="0038186B">
        <w:rPr>
          <w:lang w:val="es-419"/>
        </w:rPr>
        <w:t xml:space="preserve"> los definen con respecto a determinados objetivos de política de esos instrumentos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85D81" w:rsidRPr="0038186B">
        <w:rPr>
          <w:lang w:val="es-419"/>
        </w:rPr>
        <w:t>La</w:t>
      </w:r>
      <w:r w:rsidR="00C1265A" w:rsidRPr="0038186B">
        <w:rPr>
          <w:lang w:val="es-419"/>
        </w:rPr>
        <w:t xml:space="preserve"> protección </w:t>
      </w:r>
      <w:r w:rsidR="00AC12F9" w:rsidRPr="0038186B">
        <w:rPr>
          <w:lang w:val="es-419"/>
        </w:rPr>
        <w:t xml:space="preserve">conferida en forma de </w:t>
      </w:r>
      <w:r w:rsidR="00485D81" w:rsidRPr="0038186B">
        <w:rPr>
          <w:lang w:val="es-419"/>
        </w:rPr>
        <w:t>marcas o indicaciones geográficas</w:t>
      </w:r>
      <w:r w:rsidRPr="0038186B">
        <w:rPr>
          <w:lang w:val="es-419"/>
        </w:rPr>
        <w:t xml:space="preserve"> </w:t>
      </w:r>
      <w:r w:rsidR="00C1265A" w:rsidRPr="0038186B">
        <w:rPr>
          <w:lang w:val="es-419"/>
        </w:rPr>
        <w:t xml:space="preserve">podría </w:t>
      </w:r>
      <w:r w:rsidR="00AC12F9" w:rsidRPr="0038186B">
        <w:rPr>
          <w:lang w:val="es-419"/>
        </w:rPr>
        <w:t xml:space="preserve">beneficiar a </w:t>
      </w:r>
      <w:r w:rsidR="00C1265A" w:rsidRPr="0038186B">
        <w:rPr>
          <w:lang w:val="es-419"/>
        </w:rPr>
        <w:t>un grupo de titulares</w:t>
      </w:r>
      <w:r w:rsidR="00485D81" w:rsidRPr="0038186B">
        <w:rPr>
          <w:lang w:val="es-419"/>
        </w:rPr>
        <w:t xml:space="preserve"> y </w:t>
      </w:r>
      <w:r w:rsidR="00C1265A" w:rsidRPr="0038186B">
        <w:rPr>
          <w:lang w:val="es-419"/>
        </w:rPr>
        <w:t>amparar</w:t>
      </w:r>
      <w:r w:rsidR="00485D81"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eficazmente </w:t>
      </w:r>
      <w:r w:rsidR="00485D81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trasmitidos de una </w:t>
      </w:r>
      <w:r w:rsidR="00306EB8" w:rsidRPr="0038186B">
        <w:rPr>
          <w:lang w:val="es-419"/>
        </w:rPr>
        <w:t>generación</w:t>
      </w:r>
      <w:r w:rsidR="00AC12F9" w:rsidRPr="0038186B">
        <w:rPr>
          <w:lang w:val="es-419"/>
        </w:rPr>
        <w:t xml:space="preserve"> a otra</w:t>
      </w:r>
      <w:r w:rsidRPr="0038186B">
        <w:rPr>
          <w:lang w:val="es-419"/>
        </w:rPr>
        <w:t xml:space="preserve">, </w:t>
      </w:r>
      <w:r w:rsidR="00485D81" w:rsidRPr="0038186B">
        <w:rPr>
          <w:lang w:val="es-419"/>
        </w:rPr>
        <w:t xml:space="preserve">sin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85D81" w:rsidRPr="0038186B">
        <w:rPr>
          <w:lang w:val="es-419"/>
        </w:rPr>
        <w:t>t</w:t>
      </w:r>
      <w:r w:rsidR="00306EB8" w:rsidRPr="0038186B">
        <w:rPr>
          <w:lang w:val="es-419"/>
        </w:rPr>
        <w:t>uvieran</w:t>
      </w:r>
      <w:r w:rsidR="00485D81" w:rsidRPr="0038186B">
        <w:rPr>
          <w:lang w:val="es-419"/>
        </w:rPr>
        <w:t xml:space="preserve"> que reunir criterios en relación con la información no divulgada o confidencial. </w:t>
      </w:r>
      <w:r w:rsidR="00C1265A" w:rsidRPr="0038186B">
        <w:rPr>
          <w:lang w:val="es-419"/>
        </w:rPr>
        <w:t xml:space="preserve">Asimismo, </w:t>
      </w:r>
      <w:r w:rsidR="00485D81" w:rsidRPr="0038186B">
        <w:rPr>
          <w:lang w:val="es-419"/>
        </w:rPr>
        <w:t>esos mecanismos p</w:t>
      </w:r>
      <w:r w:rsidR="00C1265A" w:rsidRPr="0038186B">
        <w:rPr>
          <w:lang w:val="es-419"/>
        </w:rPr>
        <w:t xml:space="preserve">odrían </w:t>
      </w:r>
      <w:r w:rsidR="00485D81" w:rsidRPr="0038186B">
        <w:rPr>
          <w:lang w:val="es-419"/>
        </w:rPr>
        <w:t xml:space="preserve">considerarse aptos para proteger los sistemas de </w:t>
      </w:r>
      <w:r w:rsidR="001970C2" w:rsidRPr="0038186B">
        <w:rPr>
          <w:lang w:val="es-419"/>
        </w:rPr>
        <w:t>conocimientos</w:t>
      </w:r>
      <w:r w:rsidR="00485D81" w:rsidRPr="0038186B">
        <w:rPr>
          <w:lang w:val="es-419"/>
        </w:rPr>
        <w:t xml:space="preserve"> y, en el </w:t>
      </w:r>
      <w:r w:rsidR="00C1265A" w:rsidRPr="0038186B">
        <w:rPr>
          <w:lang w:val="es-419"/>
        </w:rPr>
        <w:t>s</w:t>
      </w:r>
      <w:r w:rsidR="00485D81" w:rsidRPr="0038186B">
        <w:rPr>
          <w:lang w:val="es-419"/>
        </w:rPr>
        <w:t>istema PI actual</w:t>
      </w:r>
      <w:r w:rsidR="00C1265A" w:rsidRPr="0038186B">
        <w:rPr>
          <w:lang w:val="es-419"/>
        </w:rPr>
        <w:t>,</w:t>
      </w:r>
      <w:r w:rsidR="00485D81" w:rsidRPr="0038186B">
        <w:rPr>
          <w:lang w:val="es-419"/>
        </w:rPr>
        <w:t xml:space="preserve"> existen </w:t>
      </w:r>
      <w:r w:rsidR="00306EB8" w:rsidRPr="0038186B">
        <w:rPr>
          <w:lang w:val="es-419"/>
        </w:rPr>
        <w:t>diversos</w:t>
      </w:r>
      <w:r w:rsidR="00485D81" w:rsidRPr="0038186B">
        <w:rPr>
          <w:lang w:val="es-419"/>
        </w:rPr>
        <w:t xml:space="preserve"> mecanismos para conservar, promover y proteger los </w:t>
      </w:r>
      <w:r w:rsidR="001970C2" w:rsidRPr="0038186B">
        <w:rPr>
          <w:lang w:val="es-419"/>
        </w:rPr>
        <w:t>CC.TT.</w:t>
      </w:r>
      <w:r w:rsidR="00B95218" w:rsidRPr="0038186B">
        <w:rPr>
          <w:lang w:val="es-419"/>
        </w:rPr>
        <w:t xml:space="preserve">, </w:t>
      </w:r>
      <w:r w:rsidR="00C1265A" w:rsidRPr="0038186B">
        <w:rPr>
          <w:lang w:val="es-419"/>
        </w:rPr>
        <w:t xml:space="preserve">que engloban también muchas formas </w:t>
      </w:r>
      <w:r w:rsidRPr="0038186B">
        <w:rPr>
          <w:lang w:val="es-419"/>
        </w:rPr>
        <w:t xml:space="preserve">o </w:t>
      </w:r>
      <w:r w:rsidR="00C1265A" w:rsidRPr="0038186B">
        <w:rPr>
          <w:lang w:val="es-419"/>
        </w:rPr>
        <w:t>expresiones diferentes de esos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protección no </w:t>
      </w:r>
      <w:r w:rsidR="00C1265A" w:rsidRPr="0038186B">
        <w:rPr>
          <w:lang w:val="es-419"/>
        </w:rPr>
        <w:t>abarca</w:t>
      </w:r>
      <w:r w:rsidR="00344979" w:rsidRPr="0038186B">
        <w:rPr>
          <w:lang w:val="es-419"/>
        </w:rPr>
        <w:t xml:space="preserve"> los conocimientos tradicionales acumulados, de titularidad colectiva y de carácter intergeneracional, </w:t>
      </w:r>
      <w:r w:rsidR="00B95218" w:rsidRPr="0038186B">
        <w:rPr>
          <w:lang w:val="es-419"/>
        </w:rPr>
        <w:t xml:space="preserve">a menos </w:t>
      </w:r>
      <w:r w:rsidR="00344979" w:rsidRPr="0038186B">
        <w:rPr>
          <w:lang w:val="es-419"/>
        </w:rPr>
        <w:t>que satisfagan los criterios relativos a la información no divulgada o confidencial.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="006A07BB" w:rsidRPr="0038186B">
        <w:rPr>
          <w:lang w:val="es-419"/>
        </w:rPr>
        <w:t xml:space="preserve"> no se pueden </w:t>
      </w:r>
      <w:r w:rsidR="00306EB8" w:rsidRPr="0038186B">
        <w:rPr>
          <w:lang w:val="es-419"/>
        </w:rPr>
        <w:t xml:space="preserve">proteger </w:t>
      </w:r>
      <w:r w:rsidR="006A07BB" w:rsidRPr="0038186B">
        <w:rPr>
          <w:lang w:val="es-419"/>
        </w:rPr>
        <w:t xml:space="preserve">directamente </w:t>
      </w:r>
      <w:r w:rsidR="00B95218" w:rsidRPr="0038186B">
        <w:rPr>
          <w:lang w:val="es-419"/>
        </w:rPr>
        <w:t>como objeto</w:t>
      </w:r>
      <w:r w:rsidR="006A07BB" w:rsidRPr="0038186B">
        <w:rPr>
          <w:lang w:val="es-419"/>
        </w:rPr>
        <w:t>s</w:t>
      </w:r>
      <w:r w:rsidR="00B95218" w:rsidRPr="0038186B">
        <w:rPr>
          <w:lang w:val="es-419"/>
        </w:rPr>
        <w:t xml:space="preserve"> de </w:t>
      </w:r>
      <w:r w:rsidR="006A07BB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por sí mismos, aunque existen algunas formas de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</w:t>
      </w:r>
      <w:r w:rsidR="00AC4244" w:rsidRPr="0038186B">
        <w:rPr>
          <w:lang w:val="es-419"/>
        </w:rPr>
        <w:t>de</w:t>
      </w:r>
      <w:r w:rsidR="00306EB8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la PI que son pertinentes para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,</w:t>
      </w:r>
      <w:r w:rsidR="006A07BB" w:rsidRPr="0038186B">
        <w:rPr>
          <w:lang w:val="es-419"/>
        </w:rPr>
        <w:t xml:space="preserve"> 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de las indicaciones geográficas y las marcas y signos distintivos que se asocian tradicionalmente con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protección de la propiedad intelectual no abarca los sistemas integrados de </w:t>
      </w:r>
      <w:r w:rsidR="001970C2" w:rsidRPr="0038186B">
        <w:rPr>
          <w:lang w:val="es-419"/>
        </w:rPr>
        <w:t>conocimientos tradicionales</w:t>
      </w:r>
      <w:r w:rsidR="00225649" w:rsidRPr="0038186B">
        <w:rPr>
          <w:lang w:val="es-419"/>
        </w:rPr>
        <w:t xml:space="preserve"> como tales, en el sentido d</w:t>
      </w:r>
      <w:r w:rsidR="00306EB8" w:rsidRPr="0038186B">
        <w:rPr>
          <w:lang w:val="es-419"/>
        </w:rPr>
        <w:t>e impedir la apropiación de un s</w:t>
      </w:r>
      <w:r w:rsidR="00225649" w:rsidRPr="0038186B">
        <w:rPr>
          <w:lang w:val="es-419"/>
        </w:rPr>
        <w:t xml:space="preserve">istema </w:t>
      </w:r>
      <w:r w:rsidR="00306EB8" w:rsidRPr="0038186B">
        <w:rPr>
          <w:lang w:val="es-419"/>
        </w:rPr>
        <w:t>específico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PI puede hacerse extensiva a determ</w:t>
      </w:r>
      <w:r w:rsidR="00AC4244" w:rsidRPr="0038186B">
        <w:rPr>
          <w:lang w:val="es-419"/>
        </w:rPr>
        <w:t xml:space="preserve">inados elementos aislados de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que forman parte de un sistema </w:t>
      </w:r>
      <w:r w:rsidR="00225649" w:rsidRPr="0038186B">
        <w:rPr>
          <w:lang w:val="es-419"/>
        </w:rPr>
        <w:t xml:space="preserve">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>y puede proteger reputaciones</w:t>
      </w:r>
      <w:r w:rsidRPr="0038186B">
        <w:rPr>
          <w:lang w:val="es-419"/>
        </w:rPr>
        <w:t xml:space="preserve">, </w:t>
      </w:r>
      <w:r w:rsidR="00225649" w:rsidRPr="0038186B">
        <w:rPr>
          <w:lang w:val="es-419"/>
        </w:rPr>
        <w:t xml:space="preserve">signos y marcas distintivas </w:t>
      </w:r>
      <w:r w:rsidR="00AC4244" w:rsidRPr="0038186B">
        <w:rPr>
          <w:lang w:val="es-419"/>
        </w:rPr>
        <w:t>asociados</w:t>
      </w:r>
      <w:r w:rsidR="00225649" w:rsidRPr="0038186B">
        <w:rPr>
          <w:lang w:val="es-419"/>
        </w:rPr>
        <w:t xml:space="preserve"> a sistemas de </w:t>
      </w:r>
      <w:r w:rsidR="001970C2" w:rsidRPr="0038186B">
        <w:rPr>
          <w:lang w:val="es-419"/>
        </w:rPr>
        <w:t>conocimientos</w:t>
      </w:r>
      <w:r w:rsidR="00AC4244" w:rsidRPr="0038186B">
        <w:rPr>
          <w:lang w:val="es-419"/>
        </w:rPr>
        <w:t xml:space="preserve">, protegiendo también contra referencias engañosas a </w:t>
      </w:r>
      <w:r w:rsidR="00225649" w:rsidRPr="0038186B">
        <w:rPr>
          <w:lang w:val="es-419"/>
        </w:rPr>
        <w:t>sistema</w:t>
      </w:r>
      <w:r w:rsidR="00AC4244" w:rsidRPr="0038186B">
        <w:rPr>
          <w:lang w:val="es-419"/>
        </w:rPr>
        <w:t>s</w:t>
      </w:r>
      <w:r w:rsidR="00225649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225649" w:rsidRPr="0038186B">
        <w:rPr>
          <w:lang w:val="es-419"/>
        </w:rPr>
        <w:t xml:space="preserve">, </w:t>
      </w:r>
      <w:r w:rsidR="00AC4244" w:rsidRPr="0038186B">
        <w:rPr>
          <w:lang w:val="es-419"/>
        </w:rPr>
        <w:t xml:space="preserve">en particular </w:t>
      </w:r>
      <w:r w:rsidR="00225649" w:rsidRPr="0038186B">
        <w:rPr>
          <w:lang w:val="es-419"/>
        </w:rPr>
        <w:t xml:space="preserve">mediante la certificación 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autenticidad.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E139E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la </w:t>
      </w:r>
      <w:r w:rsidR="00FA2372" w:rsidRPr="0038186B">
        <w:rPr>
          <w:lang w:val="es-419"/>
        </w:rPr>
        <w:t>durac</w:t>
      </w:r>
      <w:r w:rsidR="00AC4244" w:rsidRPr="0038186B">
        <w:rPr>
          <w:lang w:val="es-419"/>
        </w:rPr>
        <w:t xml:space="preserve">ión de </w:t>
      </w:r>
      <w:r w:rsidR="00FA2372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FA2372" w:rsidRPr="0038186B">
        <w:rPr>
          <w:lang w:val="es-419"/>
        </w:rPr>
        <w:t xml:space="preserve">prevista en </w:t>
      </w:r>
      <w:r w:rsidR="006A07BB" w:rsidRPr="0038186B">
        <w:rPr>
          <w:lang w:val="es-419"/>
        </w:rPr>
        <w:t xml:space="preserve">la </w:t>
      </w:r>
      <w:r w:rsidR="008C3A79" w:rsidRPr="0038186B">
        <w:rPr>
          <w:lang w:val="es-419"/>
        </w:rPr>
        <w:t>mayoría</w:t>
      </w:r>
      <w:r w:rsidR="006A07BB" w:rsidRPr="0038186B">
        <w:rPr>
          <w:lang w:val="es-419"/>
        </w:rPr>
        <w:t xml:space="preserve"> de las </w:t>
      </w:r>
      <w:r w:rsidR="008C3A79" w:rsidRPr="0038186B">
        <w:rPr>
          <w:lang w:val="es-419"/>
        </w:rPr>
        <w:t>modalidad</w:t>
      </w:r>
      <w:r w:rsidR="006A07BB" w:rsidRPr="0038186B">
        <w:rPr>
          <w:lang w:val="es-419"/>
        </w:rPr>
        <w:t xml:space="preserve">es </w:t>
      </w:r>
      <w:r w:rsidR="00FA2372" w:rsidRPr="0038186B">
        <w:rPr>
          <w:lang w:val="es-419"/>
        </w:rPr>
        <w:t xml:space="preserve">de </w:t>
      </w:r>
      <w:r w:rsidR="008C3A79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de la </w:t>
      </w:r>
      <w:r w:rsidR="0030450C" w:rsidRPr="0038186B">
        <w:rPr>
          <w:lang w:val="es-419"/>
        </w:rPr>
        <w:t>PI</w:t>
      </w:r>
      <w:r w:rsidR="006A07BB" w:rsidRPr="0038186B">
        <w:rPr>
          <w:lang w:val="es-419"/>
        </w:rPr>
        <w:t xml:space="preserve"> es relativamente limitada en </w:t>
      </w:r>
      <w:r w:rsidR="008C3A79" w:rsidRPr="0038186B">
        <w:rPr>
          <w:lang w:val="es-419"/>
        </w:rPr>
        <w:t>comparación</w:t>
      </w:r>
      <w:r w:rsidR="006A07BB" w:rsidRPr="0038186B">
        <w:rPr>
          <w:lang w:val="es-419"/>
        </w:rPr>
        <w:t xml:space="preserve"> con el marco </w:t>
      </w:r>
      <w:r w:rsidR="00FA2372" w:rsidRPr="0038186B">
        <w:rPr>
          <w:lang w:val="es-419"/>
        </w:rPr>
        <w:t xml:space="preserve">temporal </w:t>
      </w:r>
      <w:r w:rsidR="006A07BB" w:rsidRPr="0038186B">
        <w:rPr>
          <w:lang w:val="es-419"/>
        </w:rPr>
        <w:t>intergeneracional en el que se desarrollan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FA2372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y podría no ser </w:t>
      </w:r>
      <w:r w:rsidR="00FA2372" w:rsidRPr="0038186B">
        <w:rPr>
          <w:lang w:val="es-419"/>
        </w:rPr>
        <w:t xml:space="preserve">idónea </w:t>
      </w:r>
      <w:r w:rsidR="006A07BB" w:rsidRPr="0038186B">
        <w:rPr>
          <w:lang w:val="es-419"/>
        </w:rPr>
        <w:t xml:space="preserve">para </w:t>
      </w:r>
      <w:r w:rsidR="00FA2372" w:rsidRPr="0038186B">
        <w:rPr>
          <w:lang w:val="es-419"/>
        </w:rPr>
        <w:t>garantizar</w:t>
      </w:r>
      <w:r w:rsidR="006A07BB" w:rsidRPr="0038186B">
        <w:rPr>
          <w:lang w:val="es-419"/>
        </w:rPr>
        <w:t xml:space="preserve"> la debida conservación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6A07BB" w:rsidRPr="0038186B">
        <w:rPr>
          <w:lang w:val="es-419"/>
        </w:rPr>
        <w:t xml:space="preserve"> Así pues, la duración </w:t>
      </w:r>
      <w:r w:rsidR="00FA2372" w:rsidRPr="0038186B">
        <w:rPr>
          <w:lang w:val="es-419"/>
        </w:rPr>
        <w:t xml:space="preserve">limitada </w:t>
      </w:r>
      <w:r w:rsidR="006A07BB" w:rsidRPr="0038186B">
        <w:rPr>
          <w:lang w:val="es-419"/>
        </w:rPr>
        <w:t>de la pro</w:t>
      </w:r>
      <w:r w:rsidR="001970C2" w:rsidRPr="0038186B">
        <w:rPr>
          <w:lang w:val="es-419"/>
        </w:rPr>
        <w:t>tección</w:t>
      </w:r>
      <w:r w:rsidR="006A07BB" w:rsidRPr="0038186B">
        <w:rPr>
          <w:lang w:val="es-419"/>
        </w:rPr>
        <w:t xml:space="preserve"> puede </w:t>
      </w:r>
      <w:r w:rsidR="008C3A79" w:rsidRPr="0038186B">
        <w:rPr>
          <w:lang w:val="es-419"/>
        </w:rPr>
        <w:t>considerarse</w:t>
      </w:r>
      <w:r w:rsidR="006A07BB" w:rsidRPr="0038186B">
        <w:rPr>
          <w:lang w:val="es-419"/>
        </w:rPr>
        <w:t xml:space="preserve"> una 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FA2372" w:rsidRPr="0038186B">
        <w:rPr>
          <w:lang w:val="es-419"/>
        </w:rPr>
        <w:t>u</w:t>
      </w:r>
      <w:r w:rsidR="00344979" w:rsidRPr="0038186B">
        <w:rPr>
          <w:lang w:val="es-419"/>
        </w:rPr>
        <w:t>na comunidad ha desarrollado un</w:t>
      </w:r>
      <w:r w:rsidR="00FA2372" w:rsidRPr="0038186B">
        <w:rPr>
          <w:lang w:val="es-419"/>
        </w:rPr>
        <w:t>a serie</w:t>
      </w:r>
      <w:r w:rsidR="00344979" w:rsidRPr="0038186B">
        <w:rPr>
          <w:lang w:val="es-419"/>
        </w:rPr>
        <w:t xml:space="preserve"> de aplicaciones útiles </w:t>
      </w:r>
      <w:r w:rsidR="00FA2372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una planta medicinal y ha </w:t>
      </w:r>
      <w:r w:rsidR="00FA2372" w:rsidRPr="0038186B">
        <w:rPr>
          <w:lang w:val="es-419"/>
        </w:rPr>
        <w:t>const</w:t>
      </w:r>
      <w:r w:rsidR="00B14D81" w:rsidRPr="0038186B">
        <w:rPr>
          <w:lang w:val="es-419"/>
        </w:rPr>
        <w:t>ituido un</w:t>
      </w:r>
      <w:r w:rsidR="00FA2372" w:rsidRPr="0038186B">
        <w:rPr>
          <w:lang w:val="es-419"/>
        </w:rPr>
        <w:t xml:space="preserve"> </w:t>
      </w:r>
      <w:r w:rsidR="00B14D81" w:rsidRPr="0038186B">
        <w:rPr>
          <w:lang w:val="es-419"/>
        </w:rPr>
        <w:t xml:space="preserve">acervo de </w:t>
      </w:r>
      <w:r w:rsidR="00344979" w:rsidRPr="0038186B">
        <w:rPr>
          <w:lang w:val="es-419"/>
        </w:rPr>
        <w:t>conocimiento</w:t>
      </w:r>
      <w:r w:rsidR="00B14D81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sistemáticos </w:t>
      </w:r>
      <w:r w:rsidR="00B14D81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cómo debe cultivarse, cosecharse y posteriormente utilizarse la planta (incluida </w:t>
      </w:r>
      <w:r w:rsidR="00971637" w:rsidRPr="0038186B">
        <w:rPr>
          <w:lang w:val="es-419"/>
        </w:rPr>
        <w:t>su</w:t>
      </w:r>
      <w:r w:rsidR="00344979" w:rsidRPr="0038186B">
        <w:rPr>
          <w:lang w:val="es-419"/>
        </w:rPr>
        <w:t xml:space="preserve"> combinación sinérgica con otros extractos vegetales) para tratar diversas enfermedades.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sistema de conocimientos está asociado de manera característica a esta comunidad y se mantiene dentro de ésta a través de </w:t>
      </w:r>
      <w:r w:rsidR="00A711D8" w:rsidRPr="0038186B">
        <w:rPr>
          <w:lang w:val="es-419"/>
        </w:rPr>
        <w:t>prácticas</w:t>
      </w:r>
      <w:r w:rsidR="00344979" w:rsidRPr="0038186B">
        <w:rPr>
          <w:lang w:val="es-419"/>
        </w:rPr>
        <w:t xml:space="preserve"> consuetudinarias.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internacionales no permiten a esta comunidad impedir que otros tomen y utilicen elementos de estos conocimientos para un uso industrial y comercial sin </w:t>
      </w:r>
      <w:r w:rsidR="00362D3D" w:rsidRPr="0038186B">
        <w:rPr>
          <w:lang w:val="es-419"/>
        </w:rPr>
        <w:t>el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correspondiente </w:t>
      </w:r>
      <w:r w:rsidR="00344979" w:rsidRPr="0038186B">
        <w:rPr>
          <w:lang w:val="es-419"/>
        </w:rPr>
        <w:t xml:space="preserve">reconocimiento y sin </w:t>
      </w:r>
      <w:r w:rsidR="00362D3D" w:rsidRPr="0038186B">
        <w:rPr>
          <w:lang w:val="es-419"/>
        </w:rPr>
        <w:t xml:space="preserve">prever </w:t>
      </w:r>
      <w:r w:rsidR="00344979" w:rsidRPr="0038186B">
        <w:rPr>
          <w:lang w:val="es-419"/>
        </w:rPr>
        <w:t>beneficios equitativos a cambio (</w:t>
      </w:r>
      <w:r w:rsidR="00971637" w:rsidRPr="0038186B">
        <w:rPr>
          <w:lang w:val="es-419"/>
        </w:rPr>
        <w:t>salvo en el caso de</w:t>
      </w:r>
      <w:r w:rsidR="00344979" w:rsidRPr="0038186B">
        <w:rPr>
          <w:lang w:val="es-419"/>
        </w:rPr>
        <w:t xml:space="preserve"> los elementos de dichos conocimientos que estén patentados o que cumplan los criterios relativos a la información no divulgada).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>Las modalidades de</w:t>
      </w:r>
      <w:r w:rsidR="006826CC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existentes</w:t>
      </w:r>
      <w:r w:rsidR="006826CC" w:rsidRPr="0038186B">
        <w:rPr>
          <w:lang w:val="es-419"/>
        </w:rPr>
        <w:t xml:space="preserve">, </w:t>
      </w:r>
      <w:r w:rsidR="006A07BB" w:rsidRPr="0038186B">
        <w:rPr>
          <w:lang w:val="es-419"/>
        </w:rPr>
        <w:t xml:space="preserve">cuando son aplicables, por lo general no se </w:t>
      </w:r>
      <w:r w:rsidR="00B13C95" w:rsidRPr="0038186B">
        <w:rPr>
          <w:lang w:val="es-419"/>
        </w:rPr>
        <w:t xml:space="preserve">ajustan </w:t>
      </w:r>
      <w:r w:rsidR="006A07BB" w:rsidRPr="0038186B">
        <w:rPr>
          <w:lang w:val="es-419"/>
        </w:rPr>
        <w:t>a</w:t>
      </w:r>
      <w:r w:rsidR="00B13C95" w:rsidRPr="0038186B">
        <w:rPr>
          <w:lang w:val="es-419"/>
        </w:rPr>
        <w:t>l</w:t>
      </w:r>
      <w:r w:rsidR="006A07BB" w:rsidRPr="0038186B">
        <w:rPr>
          <w:lang w:val="es-419"/>
        </w:rPr>
        <w:t xml:space="preserve"> </w:t>
      </w:r>
      <w:r w:rsidR="00971637" w:rsidRPr="0038186B">
        <w:rPr>
          <w:lang w:val="es-419"/>
        </w:rPr>
        <w:t>marco temporal</w:t>
      </w:r>
      <w:r w:rsidR="006A07B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pertinente para el</w:t>
      </w:r>
      <w:r w:rsidR="006A07BB" w:rsidRPr="0038186B">
        <w:rPr>
          <w:lang w:val="es-419"/>
        </w:rPr>
        <w:t xml:space="preserve"> contexto intergeneracional</w:t>
      </w:r>
      <w:r w:rsidR="006826CC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ni atienden la</w:t>
      </w:r>
      <w:r w:rsidR="006A07BB" w:rsidRPr="0038186B">
        <w:rPr>
          <w:lang w:val="es-419"/>
        </w:rPr>
        <w:t xml:space="preserve"> necesidad de </w:t>
      </w:r>
      <w:r w:rsidR="00B13C95" w:rsidRPr="0038186B">
        <w:rPr>
          <w:lang w:val="es-419"/>
        </w:rPr>
        <w:t xml:space="preserve">preservar los sistemas de </w:t>
      </w:r>
      <w:r w:rsidR="001970C2" w:rsidRPr="0038186B">
        <w:rPr>
          <w:lang w:val="es-419"/>
        </w:rPr>
        <w:t>conocimientos tradicionales</w:t>
      </w:r>
      <w:r w:rsidR="006826CC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 xml:space="preserve">Los </w:t>
      </w:r>
      <w:r w:rsidR="008C3A79" w:rsidRPr="0038186B">
        <w:rPr>
          <w:lang w:val="es-419"/>
        </w:rPr>
        <w:t>aspectos</w:t>
      </w:r>
      <w:r w:rsidR="00B13C95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relacionados</w:t>
      </w:r>
      <w:r w:rsidR="00B13C95" w:rsidRPr="0038186B">
        <w:rPr>
          <w:lang w:val="es-419"/>
        </w:rPr>
        <w:t xml:space="preserve"> con la utilización por la </w:t>
      </w:r>
      <w:r w:rsidR="008C3A79" w:rsidRPr="0038186B">
        <w:rPr>
          <w:lang w:val="es-419"/>
        </w:rPr>
        <w:t>comunidad</w:t>
      </w:r>
      <w:r w:rsidR="00B13C95" w:rsidRPr="0038186B">
        <w:rPr>
          <w:lang w:val="es-419"/>
        </w:rPr>
        <w:t xml:space="preserve"> de plantas medicinales pueden protegerse </w:t>
      </w:r>
      <w:r w:rsidR="00971637" w:rsidRPr="0038186B">
        <w:rPr>
          <w:lang w:val="es-419"/>
        </w:rPr>
        <w:t xml:space="preserve">a través de </w:t>
      </w:r>
      <w:r w:rsidR="004A19D6" w:rsidRPr="0038186B">
        <w:rPr>
          <w:lang w:val="es-419"/>
        </w:rPr>
        <w:t>instrumentos</w:t>
      </w:r>
      <w:r w:rsidR="00B13C95" w:rsidRPr="0038186B">
        <w:rPr>
          <w:lang w:val="es-419"/>
        </w:rPr>
        <w:t xml:space="preserve"> conexos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>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B13C95" w:rsidRPr="0038186B">
        <w:rPr>
          <w:lang w:val="es-419"/>
        </w:rPr>
        <w:t>de</w:t>
      </w:r>
      <w:r w:rsidR="004A19D6" w:rsidRPr="0038186B">
        <w:rPr>
          <w:lang w:val="es-419"/>
        </w:rPr>
        <w:t>l nombre</w:t>
      </w:r>
      <w:r w:rsidR="00B13C95" w:rsidRPr="0038186B">
        <w:rPr>
          <w:lang w:val="es-419"/>
        </w:rPr>
        <w:t xml:space="preserve"> de la comunidad </w:t>
      </w:r>
      <w:r w:rsidR="004A19D6" w:rsidRPr="0038186B">
        <w:rPr>
          <w:lang w:val="es-419"/>
        </w:rPr>
        <w:t xml:space="preserve">que se </w:t>
      </w:r>
      <w:r w:rsidR="00B13C95" w:rsidRPr="0038186B">
        <w:rPr>
          <w:lang w:val="es-419"/>
        </w:rPr>
        <w:t>asocia</w:t>
      </w:r>
      <w:r w:rsidR="004A19D6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a la planta y sus usos medicinales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 xml:space="preserve">o mediante sistemas de </w:t>
      </w:r>
      <w:r w:rsidR="008C3A79" w:rsidRPr="0038186B">
        <w:rPr>
          <w:lang w:val="es-419"/>
        </w:rPr>
        <w:t>certificación</w:t>
      </w:r>
      <w:r w:rsidR="00B13C95" w:rsidRPr="0038186B">
        <w:rPr>
          <w:lang w:val="es-419"/>
        </w:rPr>
        <w:t xml:space="preserve"> de la </w:t>
      </w:r>
      <w:r w:rsidR="008C3A79" w:rsidRPr="0038186B">
        <w:rPr>
          <w:lang w:val="es-419"/>
        </w:rPr>
        <w:t>aprobación</w:t>
      </w:r>
      <w:r w:rsidR="00B13C95" w:rsidRPr="0038186B">
        <w:rPr>
          <w:lang w:val="es-419"/>
        </w:rPr>
        <w:t xml:space="preserve"> o la </w:t>
      </w:r>
      <w:r w:rsidR="008C3A79" w:rsidRPr="0038186B">
        <w:rPr>
          <w:lang w:val="es-419"/>
        </w:rPr>
        <w:t>participación</w:t>
      </w:r>
      <w:r w:rsidR="00B13C95" w:rsidRPr="0038186B">
        <w:rPr>
          <w:lang w:val="es-419"/>
        </w:rPr>
        <w:t xml:space="preserve"> de la comunidad en la </w:t>
      </w:r>
      <w:r w:rsidR="008C3A79" w:rsidRPr="0038186B">
        <w:rPr>
          <w:lang w:val="es-419"/>
        </w:rPr>
        <w:t>comercialización</w:t>
      </w:r>
      <w:r w:rsidR="00B13C95" w:rsidRPr="0038186B">
        <w:rPr>
          <w:lang w:val="es-419"/>
        </w:rPr>
        <w:t xml:space="preserve"> de sus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344979" w:rsidP="00E10198">
      <w:pPr>
        <w:pStyle w:val="Heading3"/>
        <w:rPr>
          <w:i/>
          <w:u w:val="none"/>
          <w:lang w:val="es-419"/>
        </w:rPr>
      </w:pPr>
      <w:bookmarkStart w:id="45" w:name="_Toc116899021"/>
      <w:r w:rsidRPr="0038186B">
        <w:rPr>
          <w:i/>
          <w:u w:val="none"/>
          <w:lang w:val="es-419"/>
        </w:rPr>
        <w:t>ii)</w:t>
      </w:r>
      <w:r w:rsidR="00E10198" w:rsidRPr="0038186B">
        <w:rPr>
          <w:i/>
          <w:u w:val="none"/>
          <w:lang w:val="es-419"/>
        </w:rPr>
        <w:tab/>
      </w:r>
      <w:r w:rsidR="002900F4" w:rsidRPr="0038186B">
        <w:rPr>
          <w:i/>
          <w:u w:val="none"/>
          <w:lang w:val="es-419"/>
        </w:rPr>
        <w:t xml:space="preserve">Beneficiarios o </w:t>
      </w:r>
      <w:r w:rsidRPr="0038186B">
        <w:rPr>
          <w:i/>
          <w:u w:val="none"/>
          <w:lang w:val="es-419"/>
        </w:rPr>
        <w:t>titulares de derechos</w:t>
      </w:r>
      <w:r w:rsidR="002900F4" w:rsidRPr="0038186B">
        <w:rPr>
          <w:i/>
          <w:u w:val="none"/>
          <w:lang w:val="es-419"/>
        </w:rPr>
        <w:t xml:space="preserve"> no reconocidos</w:t>
      </w:r>
      <w:bookmarkEnd w:id="45"/>
    </w:p>
    <w:p w:rsidR="00DF5574" w:rsidRPr="0038186B" w:rsidRDefault="00344979" w:rsidP="00E10198">
      <w:pPr>
        <w:pStyle w:val="Heading4"/>
        <w:rPr>
          <w:lang w:val="es-419"/>
        </w:rPr>
      </w:pPr>
      <w:r w:rsidRPr="0038186B">
        <w:rPr>
          <w:lang w:val="es-419"/>
        </w:rPr>
        <w:t xml:space="preserve">Reconocimiento de los derechos, intereses y </w:t>
      </w:r>
      <w:r w:rsidR="00CA2BE8" w:rsidRPr="0038186B">
        <w:rPr>
          <w:lang w:val="es-419"/>
        </w:rPr>
        <w:t>prerrogativas</w:t>
      </w:r>
      <w:r w:rsidRPr="0038186B">
        <w:rPr>
          <w:lang w:val="es-419"/>
        </w:rPr>
        <w:t xml:space="preserve"> colectiv</w:t>
      </w:r>
      <w:r w:rsidR="004A19D6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4A19D6" w:rsidRPr="0038186B">
        <w:rPr>
          <w:lang w:val="es-419"/>
        </w:rPr>
        <w:t xml:space="preserve">en el marco de </w:t>
      </w:r>
      <w:r w:rsidRPr="0038186B">
        <w:rPr>
          <w:lang w:val="es-419"/>
        </w:rPr>
        <w:t xml:space="preserve">un sistema de </w:t>
      </w:r>
      <w:r w:rsidR="002900F4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19D6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Los mecanismos jurídicos vigentes suelen </w:t>
      </w:r>
      <w:r w:rsidR="00084B77" w:rsidRPr="0038186B">
        <w:rPr>
          <w:lang w:val="es-419"/>
        </w:rPr>
        <w:t xml:space="preserve">atribuir </w:t>
      </w:r>
      <w:r w:rsidR="00344979" w:rsidRPr="0038186B">
        <w:rPr>
          <w:lang w:val="es-419"/>
        </w:rPr>
        <w:t xml:space="preserve">los derechos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>a una persona</w:t>
      </w:r>
      <w:r w:rsidR="00344979" w:rsidRPr="0038186B">
        <w:rPr>
          <w:lang w:val="es-419"/>
        </w:rPr>
        <w:t xml:space="preserve"> o pequeño grupo de </w:t>
      </w:r>
      <w:r w:rsidR="00084B77" w:rsidRPr="0038186B">
        <w:rPr>
          <w:lang w:val="es-419"/>
        </w:rPr>
        <w:t>personas</w:t>
      </w:r>
      <w:r w:rsidR="00344979" w:rsidRPr="0038186B">
        <w:rPr>
          <w:lang w:val="es-419"/>
        </w:rPr>
        <w:t xml:space="preserve"> (como un inventor o inventores reconocidos).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cierta medida, </w:t>
      </w:r>
      <w:r w:rsidR="00084B77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algunas formas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 xml:space="preserve">se reconoce el derecho de </w:t>
      </w:r>
      <w:r w:rsidR="00344979" w:rsidRPr="0038186B">
        <w:rPr>
          <w:lang w:val="es-419"/>
        </w:rPr>
        <w:t xml:space="preserve">una entidad colectiva a ejercer y beneficiarse de derechos sobre la materia protegida – por ejemplo, las indicaciones geográficas, las marcas colectivas y </w:t>
      </w:r>
      <w:r w:rsidR="004F797B" w:rsidRPr="0038186B">
        <w:rPr>
          <w:lang w:val="es-419"/>
        </w:rPr>
        <w:t xml:space="preserve">la protección de información </w:t>
      </w:r>
      <w:r w:rsidR="00344979" w:rsidRPr="0038186B">
        <w:rPr>
          <w:lang w:val="es-419"/>
        </w:rPr>
        <w:t>no divulgada, cuando una entidad colectiva, incluida una comunidad indígena o local reconocida jurídicamente, puede ser la titular o la beneficiaria.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en general, no existen sistemas </w:t>
      </w:r>
      <w:r w:rsidR="004F797B" w:rsidRPr="0038186B">
        <w:rPr>
          <w:lang w:val="es-419"/>
        </w:rPr>
        <w:t>que reconozcan</w:t>
      </w:r>
      <w:r w:rsidR="00344979" w:rsidRPr="0038186B">
        <w:rPr>
          <w:lang w:val="es-419"/>
        </w:rPr>
        <w:t xml:space="preserve"> la titularidad y cus</w:t>
      </w:r>
      <w:r w:rsidR="004F797B" w:rsidRPr="0038186B">
        <w:rPr>
          <w:lang w:val="es-419"/>
        </w:rPr>
        <w:t>todia colectiva o comunitaria u</w:t>
      </w:r>
      <w:r w:rsidR="00344979" w:rsidRPr="0038186B">
        <w:rPr>
          <w:lang w:val="es-419"/>
        </w:rPr>
        <w:t xml:space="preserve"> otras formas de autoridad o derechos sobre sus conocimientos o sobre elementos particulares de los conocimientos.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En esos sistemas se debería tener en cuenta el hecho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comprobado por</w:t>
      </w:r>
      <w:r w:rsidR="004F797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experiencia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de que </w:t>
      </w:r>
      <w:r w:rsidR="004F797B" w:rsidRPr="0038186B">
        <w:rPr>
          <w:lang w:val="es-419"/>
        </w:rPr>
        <w:t>una o más comunidades pu</w:t>
      </w:r>
      <w:r w:rsidR="003F1BD1" w:rsidRPr="0038186B">
        <w:rPr>
          <w:lang w:val="es-419"/>
        </w:rPr>
        <w:t>e</w:t>
      </w:r>
      <w:r w:rsidR="004F797B" w:rsidRPr="0038186B">
        <w:rPr>
          <w:lang w:val="es-419"/>
        </w:rPr>
        <w:t>den ser titulares de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carencia se </w:t>
      </w:r>
      <w:r w:rsidR="003F1BD1" w:rsidRPr="0038186B">
        <w:rPr>
          <w:lang w:val="es-419"/>
        </w:rPr>
        <w:t xml:space="preserve">aborda </w:t>
      </w:r>
      <w:r w:rsidR="00344979" w:rsidRPr="0038186B">
        <w:rPr>
          <w:lang w:val="es-419"/>
        </w:rPr>
        <w:t xml:space="preserve">en parte </w:t>
      </w:r>
      <w:r w:rsidR="003F1BD1" w:rsidRPr="0038186B">
        <w:rPr>
          <w:lang w:val="es-419"/>
        </w:rPr>
        <w:t xml:space="preserve">mediante </w:t>
      </w:r>
      <w:r w:rsidR="00344979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344979" w:rsidRPr="0038186B">
        <w:rPr>
          <w:lang w:val="es-419"/>
        </w:rPr>
        <w:t xml:space="preserve">ndígenas, que prevé que “los pueblos indígenas tienen derecho a mantener, controlar, proteger y desarrollar </w:t>
      </w:r>
      <w:r w:rsidR="003F1BD1" w:rsidRPr="0038186B">
        <w:rPr>
          <w:lang w:val="es-419"/>
        </w:rPr>
        <w:t>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</w:t>
      </w:r>
      <w:r w:rsidR="003F1BD1" w:rsidRPr="0038186B">
        <w:rPr>
          <w:lang w:val="es-419"/>
        </w:rPr>
        <w:t>adicionales[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[y] derecho a mantener, controlar, proteger y desarrollar su propiedad intelectual ...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[sobre dichos] ... conocimientos tradicionales”.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3F1BD1" w:rsidRPr="0038186B">
        <w:rPr>
          <w:lang w:val="es-419"/>
        </w:rPr>
        <w:t xml:space="preserve">dada la </w:t>
      </w:r>
      <w:r w:rsidR="00FB7430" w:rsidRPr="0038186B">
        <w:rPr>
          <w:lang w:val="es-419"/>
        </w:rPr>
        <w:t>naturaleza n</w:t>
      </w:r>
      <w:r w:rsidR="003F1BD1" w:rsidRPr="0038186B">
        <w:rPr>
          <w:lang w:val="es-419"/>
        </w:rPr>
        <w:t>o vinculante de ese instrumento internacional</w:t>
      </w:r>
      <w:r w:rsidR="00344979" w:rsidRPr="0038186B">
        <w:rPr>
          <w:lang w:val="es-419"/>
        </w:rPr>
        <w:t xml:space="preserve">, </w:t>
      </w:r>
      <w:r w:rsidR="00FB7430" w:rsidRPr="0038186B">
        <w:rPr>
          <w:lang w:val="es-419"/>
        </w:rPr>
        <w:t xml:space="preserve">esa afirmación es una </w:t>
      </w:r>
      <w:r w:rsidR="00344979" w:rsidRPr="0038186B">
        <w:rPr>
          <w:lang w:val="es-419"/>
        </w:rPr>
        <w:t>declaración genera</w:t>
      </w:r>
      <w:r w:rsidR="00FB7430" w:rsidRPr="0038186B">
        <w:rPr>
          <w:lang w:val="es-419"/>
        </w:rPr>
        <w:t>l d</w:t>
      </w:r>
      <w:r w:rsidR="00344979" w:rsidRPr="0038186B">
        <w:rPr>
          <w:lang w:val="es-419"/>
        </w:rPr>
        <w:t xml:space="preserve">e derechos más </w:t>
      </w:r>
      <w:r w:rsidR="00FB7430" w:rsidRPr="0038186B">
        <w:rPr>
          <w:lang w:val="es-419"/>
        </w:rPr>
        <w:t xml:space="preserve">bien </w:t>
      </w:r>
      <w:r w:rsidR="00344979" w:rsidRPr="0038186B">
        <w:rPr>
          <w:lang w:val="es-419"/>
        </w:rPr>
        <w:t xml:space="preserve">que un mecanismo jurídico específico </w:t>
      </w:r>
      <w:r w:rsidR="00FB7430" w:rsidRPr="0038186B">
        <w:rPr>
          <w:lang w:val="es-419"/>
        </w:rPr>
        <w:t>que permita subsanar directamente es</w:t>
      </w:r>
      <w:r w:rsidR="00344979" w:rsidRPr="0038186B">
        <w:rPr>
          <w:lang w:val="es-419"/>
        </w:rPr>
        <w:t>a carencia</w:t>
      </w:r>
      <w:r w:rsidR="00FB7430" w:rsidRPr="0038186B">
        <w:rPr>
          <w:lang w:val="es-419"/>
        </w:rPr>
        <w:t xml:space="preserve"> en la práctica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FB7430" w:rsidRPr="0038186B">
        <w:rPr>
          <w:lang w:val="es-419"/>
        </w:rPr>
        <w:t>el r</w:t>
      </w:r>
      <w:r w:rsidR="00344979" w:rsidRPr="0038186B">
        <w:rPr>
          <w:lang w:val="es-419"/>
        </w:rPr>
        <w:t xml:space="preserve">econocimiento de </w:t>
      </w:r>
      <w:r w:rsidR="00FB7430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una comunidad indígena o local como tal </w:t>
      </w:r>
      <w:r w:rsidR="00FB7430" w:rsidRPr="0038186B">
        <w:rPr>
          <w:lang w:val="es-419"/>
        </w:rPr>
        <w:t>puede tener</w:t>
      </w:r>
      <w:r w:rsidR="00344979" w:rsidRPr="0038186B">
        <w:rPr>
          <w:lang w:val="es-419"/>
        </w:rPr>
        <w:t xml:space="preserve"> derechos, autoridad, custodia u otr</w:t>
      </w:r>
      <w:r w:rsidR="00CA2BE8" w:rsidRPr="0038186B">
        <w:rPr>
          <w:lang w:val="es-419"/>
        </w:rPr>
        <w:t>as prerrogativas</w:t>
      </w:r>
      <w:r w:rsidR="00344979" w:rsidRPr="0038186B">
        <w:rPr>
          <w:lang w:val="es-419"/>
        </w:rPr>
        <w:t xml:space="preserve"> sobre</w:t>
      </w:r>
      <w:r w:rsidR="00566817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conocimientos </w:t>
      </w:r>
      <w:r w:rsidR="00FB7430" w:rsidRPr="0038186B">
        <w:rPr>
          <w:lang w:val="es-419"/>
        </w:rPr>
        <w:t>que forman parte de</w:t>
      </w:r>
      <w:r w:rsidR="00344979" w:rsidRPr="0038186B">
        <w:rPr>
          <w:lang w:val="es-419"/>
        </w:rPr>
        <w:t xml:space="preserve"> un sistema de conocimientos tradicionales que está asociado de forma característica a dicha comunidad.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la comunidad </w:t>
      </w:r>
      <w:r w:rsidR="00566817" w:rsidRPr="0038186B">
        <w:rPr>
          <w:lang w:val="es-419"/>
        </w:rPr>
        <w:t xml:space="preserve">en cuestión </w:t>
      </w:r>
      <w:r w:rsidR="00344979" w:rsidRPr="0038186B">
        <w:rPr>
          <w:lang w:val="es-419"/>
        </w:rPr>
        <w:t xml:space="preserve">no tendría actualmente, como comunidad, ningún derecho colectivo a </w:t>
      </w:r>
      <w:r w:rsidR="00566817" w:rsidRPr="0038186B">
        <w:rPr>
          <w:lang w:val="es-419"/>
        </w:rPr>
        <w:t>tomar medidas contra las</w:t>
      </w:r>
      <w:r w:rsidR="00344979" w:rsidRPr="0038186B">
        <w:rPr>
          <w:lang w:val="es-419"/>
        </w:rPr>
        <w:t xml:space="preserve"> formas de utilización o apropiación indebidas de sus conocimientos.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46" w:name="_Toc116899022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B13C95" w:rsidRPr="0038186B">
        <w:rPr>
          <w:i/>
          <w:u w:val="none"/>
          <w:lang w:val="es-419"/>
        </w:rPr>
        <w:t>Aclara</w:t>
      </w:r>
      <w:r w:rsidR="00514646" w:rsidRPr="0038186B">
        <w:rPr>
          <w:i/>
          <w:u w:val="none"/>
          <w:lang w:val="es-419"/>
        </w:rPr>
        <w:t>ción o confirmación de</w:t>
      </w:r>
      <w:r w:rsidR="00B13C95" w:rsidRPr="0038186B">
        <w:rPr>
          <w:i/>
          <w:u w:val="none"/>
          <w:lang w:val="es-419"/>
        </w:rPr>
        <w:t xml:space="preserve"> la </w:t>
      </w:r>
      <w:r w:rsidR="001E6D81" w:rsidRPr="0038186B">
        <w:rPr>
          <w:i/>
          <w:u w:val="none"/>
          <w:lang w:val="es-419"/>
        </w:rPr>
        <w:t>aplicación</w:t>
      </w:r>
      <w:r w:rsidR="00B13C95" w:rsidRPr="0038186B">
        <w:rPr>
          <w:i/>
          <w:u w:val="none"/>
          <w:lang w:val="es-419"/>
        </w:rPr>
        <w:t xml:space="preserve"> de los </w:t>
      </w:r>
      <w:r w:rsidR="00514646" w:rsidRPr="0038186B">
        <w:rPr>
          <w:i/>
          <w:u w:val="none"/>
          <w:lang w:val="es-419"/>
        </w:rPr>
        <w:t xml:space="preserve">actuales </w:t>
      </w:r>
      <w:r w:rsidR="00B13C95" w:rsidRPr="0038186B">
        <w:rPr>
          <w:i/>
          <w:u w:val="none"/>
          <w:lang w:val="es-419"/>
        </w:rPr>
        <w:t>principios a los</w:t>
      </w:r>
      <w:r w:rsidR="00FD6EEF" w:rsidRPr="0038186B">
        <w:rPr>
          <w:i/>
          <w:u w:val="none"/>
          <w:lang w:val="es-419"/>
        </w:rPr>
        <w:t xml:space="preserve"> </w:t>
      </w:r>
      <w:r w:rsidR="001970C2" w:rsidRPr="0038186B">
        <w:rPr>
          <w:i/>
          <w:u w:val="none"/>
          <w:lang w:val="es-419"/>
        </w:rPr>
        <w:t>CC.TT.</w:t>
      </w:r>
      <w:bookmarkEnd w:id="46"/>
    </w:p>
    <w:p w:rsidR="00DF5574" w:rsidRPr="0038186B" w:rsidRDefault="00B13C95" w:rsidP="00E10198">
      <w:pPr>
        <w:pStyle w:val="Heading4"/>
        <w:rPr>
          <w:lang w:val="es-419"/>
        </w:rPr>
      </w:pPr>
      <w:r w:rsidRPr="0038186B">
        <w:rPr>
          <w:lang w:val="es-419"/>
        </w:rPr>
        <w:t xml:space="preserve">Norma que aplica expresamente los principios </w:t>
      </w:r>
      <w:r w:rsidR="001E6D81" w:rsidRPr="0038186B">
        <w:rPr>
          <w:lang w:val="es-419"/>
        </w:rPr>
        <w:t xml:space="preserve">relativos a las </w:t>
      </w:r>
      <w:r w:rsidRPr="0038186B">
        <w:rPr>
          <w:lang w:val="es-419"/>
        </w:rPr>
        <w:t>patente</w:t>
      </w:r>
      <w:r w:rsidR="001E6D81" w:rsidRPr="0038186B">
        <w:rPr>
          <w:lang w:val="es-419"/>
        </w:rPr>
        <w:t>s</w:t>
      </w:r>
      <w:r w:rsidRPr="0038186B">
        <w:rPr>
          <w:lang w:val="es-419"/>
        </w:rPr>
        <w:t xml:space="preserve"> en </w:t>
      </w:r>
      <w:r w:rsidR="00514646" w:rsidRPr="0038186B">
        <w:rPr>
          <w:lang w:val="es-419"/>
        </w:rPr>
        <w:t>el ámbito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66817" w:rsidRPr="0038186B">
        <w:rPr>
          <w:lang w:val="es-419"/>
        </w:rPr>
        <w:t>Introducción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1E6D81" w:rsidRPr="0038186B">
        <w:rPr>
          <w:lang w:val="es-419"/>
        </w:rPr>
        <w:t xml:space="preserve">n principio no </w:t>
      </w:r>
      <w:r w:rsidR="00A47040" w:rsidRPr="0038186B">
        <w:rPr>
          <w:lang w:val="es-419"/>
        </w:rPr>
        <w:t>se puede</w:t>
      </w:r>
      <w:r w:rsidR="001E6D81" w:rsidRPr="0038186B">
        <w:rPr>
          <w:lang w:val="es-419"/>
        </w:rPr>
        <w:t xml:space="preserve"> obtener una patente legítima respecto de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que no sean nuevos o </w:t>
      </w:r>
      <w:r w:rsidR="00F47D93" w:rsidRPr="0038186B">
        <w:rPr>
          <w:lang w:val="es-419"/>
        </w:rPr>
        <w:t xml:space="preserve">que sean </w:t>
      </w:r>
      <w:r w:rsidR="001E6D81" w:rsidRPr="0038186B">
        <w:rPr>
          <w:lang w:val="es-419"/>
        </w:rPr>
        <w:t>evidentes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para un grupo pertinente de personas expertas en la materia en cuestión </w:t>
      </w:r>
      <w:r w:rsidRPr="0038186B">
        <w:rPr>
          <w:lang w:val="es-419"/>
        </w:rPr>
        <w:t>(</w:t>
      </w:r>
      <w:r w:rsidR="001E6D81" w:rsidRPr="0038186B">
        <w:rPr>
          <w:lang w:val="es-419"/>
        </w:rPr>
        <w:t>que puede incluir a especialistas en co</w:t>
      </w:r>
      <w:r w:rsidR="001970C2" w:rsidRPr="0038186B">
        <w:rPr>
          <w:lang w:val="es-419"/>
        </w:rPr>
        <w:t>nocimientos tradicionales</w:t>
      </w:r>
      <w:r w:rsidRPr="0038186B">
        <w:rPr>
          <w:lang w:val="es-419"/>
        </w:rPr>
        <w:t>).</w:t>
      </w:r>
      <w:r w:rsidR="009B55F6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Por otra parte, </w:t>
      </w:r>
      <w:r w:rsidR="00566817" w:rsidRPr="0038186B">
        <w:rPr>
          <w:lang w:val="es-419"/>
        </w:rPr>
        <w:t>tampoco</w:t>
      </w:r>
      <w:r w:rsidR="00B059B5" w:rsidRPr="0038186B">
        <w:rPr>
          <w:lang w:val="es-419"/>
        </w:rPr>
        <w:t xml:space="preserve"> se puede obten</w:t>
      </w:r>
      <w:r w:rsidR="00566817" w:rsidRPr="0038186B">
        <w:rPr>
          <w:lang w:val="es-419"/>
        </w:rPr>
        <w:t>er una patente legí</w:t>
      </w:r>
      <w:r w:rsidR="00B059B5" w:rsidRPr="0038186B">
        <w:rPr>
          <w:lang w:val="es-419"/>
        </w:rPr>
        <w:t>tima sobre una invención reivindicada cuando el solicitante no es el verdadero inventor o no ha obtenido</w:t>
      </w:r>
      <w:r w:rsidR="00A47040" w:rsidRPr="0038186B">
        <w:rPr>
          <w:lang w:val="es-419"/>
        </w:rPr>
        <w:t xml:space="preserve"> directamente del verdadero inventor</w:t>
      </w:r>
      <w:r w:rsidR="00B059B5" w:rsidRPr="0038186B">
        <w:rPr>
          <w:lang w:val="es-419"/>
        </w:rPr>
        <w:t xml:space="preserve"> el derecho a </w:t>
      </w:r>
      <w:r w:rsidR="00A47040" w:rsidRPr="0038186B">
        <w:rPr>
          <w:lang w:val="es-419"/>
        </w:rPr>
        <w:t xml:space="preserve">presentar </w:t>
      </w:r>
      <w:r w:rsidR="00B059B5" w:rsidRPr="0038186B">
        <w:rPr>
          <w:lang w:val="es-419"/>
        </w:rPr>
        <w:t>la solicitud</w:t>
      </w:r>
      <w:r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por ejemplo, si las </w:t>
      </w:r>
      <w:r w:rsidR="001104B2" w:rsidRPr="0038186B">
        <w:rPr>
          <w:lang w:val="es-419"/>
        </w:rPr>
        <w:t>reivindicaciones</w:t>
      </w:r>
      <w:r w:rsidR="00B059B5" w:rsidRPr="0038186B">
        <w:rPr>
          <w:lang w:val="es-419"/>
        </w:rPr>
        <w:t xml:space="preserve"> de patente abarcan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104B2" w:rsidRPr="0038186B">
        <w:rPr>
          <w:lang w:val="es-419"/>
        </w:rPr>
        <w:t>obtenidos</w:t>
      </w:r>
      <w:r w:rsidR="00B059B5" w:rsidRPr="0038186B">
        <w:rPr>
          <w:lang w:val="es-419"/>
        </w:rPr>
        <w:t xml:space="preserve"> de un titular de </w:t>
      </w:r>
      <w:r w:rsidR="001970C2" w:rsidRPr="0038186B">
        <w:rPr>
          <w:lang w:val="es-419"/>
        </w:rPr>
        <w:t>CC.TT.</w:t>
      </w:r>
      <w:r w:rsidR="00A47040"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o si 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059B5" w:rsidRPr="0038186B">
        <w:rPr>
          <w:lang w:val="es-419"/>
        </w:rPr>
        <w:t xml:space="preserve">hizo una </w:t>
      </w:r>
      <w:r w:rsidR="00A47040" w:rsidRPr="0038186B">
        <w:rPr>
          <w:lang w:val="es-419"/>
        </w:rPr>
        <w:t xml:space="preserve">contribución </w:t>
      </w:r>
      <w:r w:rsidR="00B059B5" w:rsidRPr="0038186B">
        <w:rPr>
          <w:lang w:val="es-419"/>
        </w:rPr>
        <w:t>inventiva a la invención reivindicada</w:t>
      </w:r>
      <w:r w:rsidRPr="0038186B">
        <w:rPr>
          <w:lang w:val="es-419"/>
        </w:rPr>
        <w:t>.</w:t>
      </w:r>
      <w:r w:rsidR="00B059B5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Además, </w:t>
      </w:r>
      <w:r w:rsidR="00B059B5" w:rsidRPr="0038186B">
        <w:rPr>
          <w:lang w:val="es-419"/>
        </w:rPr>
        <w:t>el verd</w:t>
      </w:r>
      <w:r w:rsidR="001104B2" w:rsidRPr="0038186B">
        <w:rPr>
          <w:lang w:val="es-419"/>
        </w:rPr>
        <w:t>ad</w:t>
      </w:r>
      <w:r w:rsidR="00B059B5" w:rsidRPr="0038186B">
        <w:rPr>
          <w:lang w:val="es-419"/>
        </w:rPr>
        <w:t xml:space="preserve">ero inventor o </w:t>
      </w:r>
      <w:r w:rsidR="001104B2" w:rsidRPr="0038186B">
        <w:rPr>
          <w:lang w:val="es-419"/>
        </w:rPr>
        <w:t>inventores</w:t>
      </w:r>
      <w:r w:rsidR="00B059B5" w:rsidRPr="0038186B">
        <w:rPr>
          <w:lang w:val="es-419"/>
        </w:rPr>
        <w:t xml:space="preserve"> tienen derecho a ser mencionados como tales en el documento de patente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059B5" w:rsidRPr="0038186B">
        <w:rPr>
          <w:lang w:val="es-419"/>
        </w:rPr>
        <w:t>Estos principios gen</w:t>
      </w:r>
      <w:r w:rsidR="001104B2" w:rsidRPr="0038186B">
        <w:rPr>
          <w:lang w:val="es-419"/>
        </w:rPr>
        <w:t>erales</w:t>
      </w:r>
      <w:r w:rsidR="00A47040" w:rsidRPr="0038186B">
        <w:rPr>
          <w:lang w:val="es-419"/>
        </w:rPr>
        <w:t xml:space="preserve"> s</w:t>
      </w:r>
      <w:r w:rsidR="00B059B5" w:rsidRPr="0038186B">
        <w:rPr>
          <w:lang w:val="es-419"/>
        </w:rPr>
        <w:t xml:space="preserve">e aceptan en </w:t>
      </w:r>
      <w:r w:rsidR="00A47040" w:rsidRPr="0038186B">
        <w:rPr>
          <w:lang w:val="es-419"/>
        </w:rPr>
        <w:t xml:space="preserve">la legislación </w:t>
      </w:r>
      <w:r w:rsidR="001104B2" w:rsidRPr="0038186B">
        <w:rPr>
          <w:lang w:val="es-419"/>
        </w:rPr>
        <w:t>internacional</w:t>
      </w:r>
      <w:r w:rsidR="00A47040" w:rsidRPr="0038186B">
        <w:rPr>
          <w:lang w:val="es-419"/>
        </w:rPr>
        <w:t xml:space="preserve"> de patentes</w:t>
      </w:r>
      <w:r w:rsidRPr="0038186B">
        <w:rPr>
          <w:lang w:val="es-419"/>
        </w:rPr>
        <w:t xml:space="preserve">, </w:t>
      </w:r>
      <w:r w:rsidR="001104B2" w:rsidRPr="0038186B">
        <w:rPr>
          <w:lang w:val="es-419"/>
        </w:rPr>
        <w:t>aunque</w:t>
      </w:r>
      <w:r w:rsidR="00B059B5" w:rsidRPr="0038186B">
        <w:rPr>
          <w:lang w:val="es-419"/>
        </w:rPr>
        <w:t xml:space="preserve"> nunca se han </w:t>
      </w:r>
      <w:r w:rsidR="001104B2" w:rsidRPr="0038186B">
        <w:rPr>
          <w:lang w:val="es-419"/>
        </w:rPr>
        <w:t>aplicado</w:t>
      </w:r>
      <w:r w:rsidR="00B059B5" w:rsidRPr="0038186B">
        <w:rPr>
          <w:lang w:val="es-419"/>
        </w:rPr>
        <w:t xml:space="preserve"> explícitamente a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948B2" w:rsidRPr="0038186B">
        <w:rPr>
          <w:lang w:val="es-419"/>
        </w:rPr>
        <w:t>al nivel de</w:t>
      </w:r>
      <w:r w:rsidR="00A47040" w:rsidRPr="0038186B">
        <w:rPr>
          <w:lang w:val="es-419"/>
        </w:rPr>
        <w:t xml:space="preserve"> la normalización i</w:t>
      </w:r>
      <w:r w:rsidR="001104B2" w:rsidRPr="0038186B">
        <w:rPr>
          <w:lang w:val="es-419"/>
        </w:rPr>
        <w:t>nternacional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104B2" w:rsidRPr="0038186B">
        <w:rPr>
          <w:lang w:val="es-419"/>
        </w:rPr>
        <w:t>Se puede debatir si la falta de un principio expreso constituye o no una “carencia”</w:t>
      </w:r>
      <w:r w:rsidRPr="0038186B">
        <w:rPr>
          <w:lang w:val="es-419"/>
        </w:rPr>
        <w:t>:</w:t>
      </w:r>
      <w:r w:rsidR="001104B2" w:rsidRPr="0038186B">
        <w:rPr>
          <w:lang w:val="es-419"/>
        </w:rPr>
        <w:t xml:space="preserve"> cabe preguntarse si </w:t>
      </w:r>
      <w:r w:rsidR="00362D3D" w:rsidRPr="0038186B">
        <w:rPr>
          <w:lang w:val="es-419"/>
        </w:rPr>
        <w:t xml:space="preserve">aplicar </w:t>
      </w:r>
      <w:r w:rsidR="001104B2" w:rsidRPr="0038186B">
        <w:rPr>
          <w:lang w:val="es-419"/>
        </w:rPr>
        <w:t xml:space="preserve">principios generales específicamente a los </w:t>
      </w:r>
      <w:r w:rsidR="001970C2" w:rsidRPr="0038186B">
        <w:rPr>
          <w:lang w:val="es-419"/>
        </w:rPr>
        <w:t>CC.TT.</w:t>
      </w:r>
      <w:r w:rsidR="001104B2" w:rsidRPr="0038186B">
        <w:rPr>
          <w:lang w:val="es-419"/>
        </w:rPr>
        <w:t xml:space="preserve"> y hacer explícito lo que está im</w:t>
      </w:r>
      <w:r w:rsidR="00362D3D" w:rsidRPr="0038186B">
        <w:rPr>
          <w:lang w:val="es-419"/>
        </w:rPr>
        <w:t>plícito en los principios y el D</w:t>
      </w:r>
      <w:r w:rsidR="001104B2" w:rsidRPr="0038186B">
        <w:rPr>
          <w:lang w:val="es-419"/>
        </w:rPr>
        <w:t>erecho de patentes</w:t>
      </w:r>
      <w:r w:rsidR="00362D3D" w:rsidRPr="0038186B">
        <w:rPr>
          <w:lang w:val="es-419"/>
        </w:rPr>
        <w:t xml:space="preserve"> permite</w:t>
      </w:r>
      <w:r w:rsidR="006D4DE7" w:rsidRPr="0038186B">
        <w:rPr>
          <w:lang w:val="es-419"/>
        </w:rPr>
        <w:t xml:space="preserve"> “subsana</w:t>
      </w:r>
      <w:r w:rsidR="00362D3D" w:rsidRPr="0038186B">
        <w:rPr>
          <w:lang w:val="es-419"/>
        </w:rPr>
        <w:t>r</w:t>
      </w:r>
      <w:r w:rsidR="006D4DE7" w:rsidRPr="0038186B">
        <w:rPr>
          <w:lang w:val="es-419"/>
        </w:rPr>
        <w:t>” la “carencia”</w:t>
      </w:r>
      <w:r w:rsidR="001104B2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04B2" w:rsidRPr="0038186B">
        <w:rPr>
          <w:lang w:val="es-419"/>
        </w:rPr>
        <w:t xml:space="preserve">Por otra parte, </w:t>
      </w:r>
      <w:r w:rsidR="00C818A1" w:rsidRPr="0038186B">
        <w:rPr>
          <w:lang w:val="es-419"/>
        </w:rPr>
        <w:t>podría ser útil explicar, en el ámbito internacional, el modo en que los principios generales sobre patentes se aplican específicamente a los CC.TT. para evitar la concesión errónea de patentes, como los intentos de reivindicar que los CC.TT. obtenidos a partir de un titular de CC.TT. son una invención de terceras partes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D3CE6" w:rsidRPr="0038186B">
        <w:rPr>
          <w:lang w:val="es-419"/>
        </w:rPr>
        <w:t xml:space="preserve">Esta expectativa </w:t>
      </w:r>
      <w:r w:rsidR="00C818A1" w:rsidRPr="0038186B">
        <w:rPr>
          <w:lang w:val="es-419"/>
        </w:rPr>
        <w:t xml:space="preserve">está </w:t>
      </w:r>
      <w:r w:rsidR="005D3CE6" w:rsidRPr="0038186B">
        <w:rPr>
          <w:lang w:val="es-419"/>
        </w:rPr>
        <w:t xml:space="preserve">implícita en los principios </w:t>
      </w:r>
      <w:r w:rsidR="00C818A1" w:rsidRPr="0038186B">
        <w:rPr>
          <w:lang w:val="es-419"/>
        </w:rPr>
        <w:t xml:space="preserve">existentes, por lo que surge </w:t>
      </w:r>
      <w:r w:rsidR="00191C36" w:rsidRPr="0038186B">
        <w:rPr>
          <w:lang w:val="es-419"/>
        </w:rPr>
        <w:t xml:space="preserve">la duda de si la formulación </w:t>
      </w:r>
      <w:r w:rsidR="00C818A1" w:rsidRPr="0038186B">
        <w:rPr>
          <w:lang w:val="es-419"/>
        </w:rPr>
        <w:t xml:space="preserve">más </w:t>
      </w:r>
      <w:r w:rsidR="00191C36" w:rsidRPr="0038186B">
        <w:rPr>
          <w:lang w:val="es-419"/>
        </w:rPr>
        <w:t>explícita de esas expectativas</w:t>
      </w:r>
      <w:r w:rsidR="006D4DE7" w:rsidRPr="0038186B">
        <w:rPr>
          <w:lang w:val="es-419"/>
        </w:rPr>
        <w:t xml:space="preserve"> es una </w:t>
      </w:r>
      <w:r w:rsidR="00C818A1" w:rsidRPr="0038186B">
        <w:rPr>
          <w:lang w:val="es-419"/>
        </w:rPr>
        <w:t xml:space="preserve">verdadera </w:t>
      </w:r>
      <w:r w:rsidR="006D4DE7" w:rsidRPr="0038186B">
        <w:rPr>
          <w:lang w:val="es-419"/>
        </w:rPr>
        <w:t xml:space="preserve">carencia que </w:t>
      </w:r>
      <w:r w:rsidR="00C818A1" w:rsidRPr="0038186B">
        <w:rPr>
          <w:lang w:val="es-419"/>
        </w:rPr>
        <w:t>debe</w:t>
      </w:r>
      <w:r w:rsidR="006D4DE7" w:rsidRPr="0038186B">
        <w:rPr>
          <w:lang w:val="es-419"/>
        </w:rPr>
        <w:t xml:space="preserve"> subsanar</w:t>
      </w:r>
      <w:r w:rsidR="00C818A1" w:rsidRPr="0038186B">
        <w:rPr>
          <w:lang w:val="es-419"/>
        </w:rPr>
        <w:t>se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191C36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no </w:t>
      </w:r>
      <w:r w:rsidR="00C818A1" w:rsidRPr="0038186B">
        <w:rPr>
          <w:lang w:val="es-419"/>
        </w:rPr>
        <w:t>existe una</w:t>
      </w:r>
      <w:r w:rsidR="00191C36" w:rsidRPr="0038186B">
        <w:rPr>
          <w:lang w:val="es-419"/>
        </w:rPr>
        <w:t xml:space="preserve"> declaración internacional formal que prevea la aplicación directa de </w:t>
      </w:r>
      <w:r w:rsidR="00C818A1" w:rsidRPr="0038186B">
        <w:rPr>
          <w:lang w:val="es-419"/>
        </w:rPr>
        <w:t xml:space="preserve">las </w:t>
      </w:r>
      <w:r w:rsidR="00191C36" w:rsidRPr="0038186B">
        <w:rPr>
          <w:lang w:val="es-419"/>
        </w:rPr>
        <w:t xml:space="preserve">normas y </w:t>
      </w:r>
      <w:r w:rsidR="00C818A1" w:rsidRPr="0038186B">
        <w:rPr>
          <w:lang w:val="es-419"/>
        </w:rPr>
        <w:t xml:space="preserve">los </w:t>
      </w:r>
      <w:r w:rsidR="00191C36" w:rsidRPr="0038186B">
        <w:rPr>
          <w:lang w:val="es-419"/>
        </w:rPr>
        <w:t xml:space="preserve">principios generales </w:t>
      </w:r>
      <w:r w:rsidR="00C818A1" w:rsidRPr="0038186B">
        <w:rPr>
          <w:lang w:val="es-419"/>
        </w:rPr>
        <w:t xml:space="preserve">sobre patentes </w:t>
      </w:r>
      <w:r w:rsidR="00191C36" w:rsidRPr="0038186B">
        <w:rPr>
          <w:lang w:val="es-419"/>
        </w:rPr>
        <w:t xml:space="preserve">en el contexto de los </w:t>
      </w:r>
      <w:r w:rsidR="00C818A1" w:rsidRPr="0038186B">
        <w:rPr>
          <w:lang w:val="es-419"/>
        </w:rPr>
        <w:t>CC.TT.:</w:t>
      </w:r>
      <w:r w:rsidR="009B55F6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por ejemplo, </w:t>
      </w:r>
      <w:r w:rsidR="00E70593" w:rsidRPr="0038186B">
        <w:rPr>
          <w:lang w:val="es-419"/>
        </w:rPr>
        <w:t>que permita rechazar</w:t>
      </w:r>
      <w:r w:rsidR="00C818A1" w:rsidRPr="0038186B">
        <w:rPr>
          <w:lang w:val="es-419"/>
        </w:rPr>
        <w:t xml:space="preserve"> </w:t>
      </w:r>
      <w:r w:rsidR="00191C36" w:rsidRPr="0038186B">
        <w:rPr>
          <w:lang w:val="es-419"/>
        </w:rPr>
        <w:t>específic</w:t>
      </w:r>
      <w:r w:rsidR="00E70593" w:rsidRPr="0038186B">
        <w:rPr>
          <w:lang w:val="es-419"/>
        </w:rPr>
        <w:t>a</w:t>
      </w:r>
      <w:r w:rsidR="00191C36" w:rsidRPr="0038186B">
        <w:rPr>
          <w:lang w:val="es-419"/>
        </w:rPr>
        <w:t xml:space="preserve"> y </w:t>
      </w:r>
      <w:r w:rsidR="00582405" w:rsidRPr="0038186B">
        <w:rPr>
          <w:lang w:val="es-419"/>
        </w:rPr>
        <w:t>categóric</w:t>
      </w:r>
      <w:r w:rsidR="00E70593" w:rsidRPr="0038186B">
        <w:rPr>
          <w:lang w:val="es-419"/>
        </w:rPr>
        <w:t>amente</w:t>
      </w:r>
      <w:r w:rsidR="00C818A1" w:rsidRPr="0038186B">
        <w:rPr>
          <w:lang w:val="es-419"/>
        </w:rPr>
        <w:t xml:space="preserve"> solicitudes de</w:t>
      </w:r>
      <w:r w:rsidR="00191C36" w:rsidRPr="0038186B">
        <w:rPr>
          <w:lang w:val="es-419"/>
        </w:rPr>
        <w:t xml:space="preserve"> patentes </w:t>
      </w:r>
      <w:r w:rsidR="00C818A1" w:rsidRPr="0038186B">
        <w:rPr>
          <w:lang w:val="es-419"/>
        </w:rPr>
        <w:t xml:space="preserve">en </w:t>
      </w:r>
      <w:r w:rsidR="00E70593" w:rsidRPr="0038186B">
        <w:rPr>
          <w:lang w:val="es-419"/>
        </w:rPr>
        <w:t xml:space="preserve">las </w:t>
      </w:r>
      <w:r w:rsidR="00C818A1" w:rsidRPr="0038186B">
        <w:rPr>
          <w:lang w:val="es-419"/>
        </w:rPr>
        <w:t xml:space="preserve">que se </w:t>
      </w:r>
      <w:r w:rsidR="00191C36" w:rsidRPr="0038186B">
        <w:rPr>
          <w:lang w:val="es-419"/>
        </w:rPr>
        <w:t>reivindique</w:t>
      </w:r>
      <w:r w:rsidR="00E70593" w:rsidRPr="0038186B">
        <w:rPr>
          <w:lang w:val="es-419"/>
        </w:rPr>
        <w:t>n</w:t>
      </w:r>
      <w:r w:rsidR="00191C36" w:rsidRPr="0038186B">
        <w:rPr>
          <w:lang w:val="es-419"/>
        </w:rPr>
        <w:t xml:space="preserve"> </w:t>
      </w:r>
      <w:r w:rsidR="00582405" w:rsidRPr="0038186B">
        <w:rPr>
          <w:lang w:val="es-419"/>
        </w:rPr>
        <w:t>expresamente</w:t>
      </w:r>
      <w:r w:rsidR="00191C36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i) </w:t>
      </w:r>
      <w:r w:rsidR="00E70593" w:rsidRPr="0038186B">
        <w:rPr>
          <w:lang w:val="es-419"/>
        </w:rPr>
        <w:t xml:space="preserve">que </w:t>
      </w:r>
      <w:r w:rsidR="00191C36" w:rsidRPr="0038186B">
        <w:rPr>
          <w:lang w:val="es-419"/>
        </w:rPr>
        <w:t>no s</w:t>
      </w:r>
      <w:r w:rsidR="00C818A1" w:rsidRPr="0038186B">
        <w:rPr>
          <w:lang w:val="es-419"/>
        </w:rPr>
        <w:t>on</w:t>
      </w:r>
      <w:r w:rsidR="00191C36" w:rsidRPr="0038186B">
        <w:rPr>
          <w:lang w:val="es-419"/>
        </w:rPr>
        <w:t xml:space="preserve"> nuevos, porque son notoriamente conocidos o est</w:t>
      </w:r>
      <w:r w:rsidR="00C818A1" w:rsidRPr="0038186B">
        <w:rPr>
          <w:lang w:val="es-419"/>
        </w:rPr>
        <w:t>á</w:t>
      </w:r>
      <w:r w:rsidR="00191C36" w:rsidRPr="0038186B">
        <w:rPr>
          <w:lang w:val="es-419"/>
        </w:rPr>
        <w:t>n a disposición del público</w:t>
      </w:r>
      <w:r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ii) </w:t>
      </w:r>
      <w:r w:rsidR="00E70593" w:rsidRPr="0038186B">
        <w:rPr>
          <w:lang w:val="es-419"/>
        </w:rPr>
        <w:t xml:space="preserve">que </w:t>
      </w:r>
      <w:r w:rsidR="00C818A1" w:rsidRPr="0038186B">
        <w:rPr>
          <w:lang w:val="es-419"/>
        </w:rPr>
        <w:t>son</w:t>
      </w:r>
      <w:r w:rsidR="00D62EFA" w:rsidRPr="0038186B">
        <w:rPr>
          <w:lang w:val="es-419"/>
        </w:rPr>
        <w:t xml:space="preserve"> evidentes para </w:t>
      </w:r>
      <w:r w:rsidR="00C818A1" w:rsidRPr="0038186B">
        <w:rPr>
          <w:lang w:val="es-419"/>
        </w:rPr>
        <w:t xml:space="preserve">especialistas en </w:t>
      </w:r>
      <w:r w:rsidR="00582405" w:rsidRPr="0038186B">
        <w:rPr>
          <w:lang w:val="es-419"/>
        </w:rPr>
        <w:t xml:space="preserve">esos </w:t>
      </w:r>
      <w:r w:rsidR="00C818A1" w:rsidRPr="0038186B">
        <w:rPr>
          <w:lang w:val="es-419"/>
        </w:rPr>
        <w:t xml:space="preserve">CC.TT. en tanto que </w:t>
      </w:r>
      <w:r w:rsidR="00D62EFA" w:rsidRPr="0038186B">
        <w:rPr>
          <w:lang w:val="es-419"/>
        </w:rPr>
        <w:t>experto</w:t>
      </w:r>
      <w:r w:rsidR="00C818A1" w:rsidRPr="0038186B">
        <w:rPr>
          <w:lang w:val="es-419"/>
        </w:rPr>
        <w:t>s</w:t>
      </w:r>
      <w:r w:rsidR="00D62EFA" w:rsidRPr="0038186B">
        <w:rPr>
          <w:lang w:val="es-419"/>
        </w:rPr>
        <w:t xml:space="preserve"> </w:t>
      </w:r>
      <w:r w:rsidR="00C818A1" w:rsidRPr="0038186B">
        <w:rPr>
          <w:lang w:val="es-419"/>
        </w:rPr>
        <w:t xml:space="preserve">competentes </w:t>
      </w:r>
      <w:r w:rsidR="00D62EFA" w:rsidRPr="0038186B">
        <w:rPr>
          <w:lang w:val="es-419"/>
        </w:rPr>
        <w:t>en la materia</w:t>
      </w:r>
      <w:r w:rsidR="00C818A1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  <w:r w:rsidR="00D62EFA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iii) </w:t>
      </w:r>
      <w:r w:rsidR="00E70593" w:rsidRPr="0038186B">
        <w:rPr>
          <w:lang w:val="es-419"/>
        </w:rPr>
        <w:t xml:space="preserve">que </w:t>
      </w:r>
      <w:r w:rsidR="00582405" w:rsidRPr="0038186B">
        <w:rPr>
          <w:lang w:val="es-419"/>
        </w:rPr>
        <w:t xml:space="preserve">se </w:t>
      </w:r>
      <w:r w:rsidR="00C818A1" w:rsidRPr="0038186B">
        <w:rPr>
          <w:lang w:val="es-419"/>
        </w:rPr>
        <w:t xml:space="preserve">han </w:t>
      </w:r>
      <w:r w:rsidR="00D62EFA" w:rsidRPr="0038186B">
        <w:rPr>
          <w:lang w:val="es-419"/>
        </w:rPr>
        <w:t xml:space="preserve">obtenido de un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E70593" w:rsidRPr="0038186B">
        <w:rPr>
          <w:lang w:val="es-419"/>
        </w:rPr>
        <w:t xml:space="preserve">al </w:t>
      </w:r>
      <w:r w:rsidR="00C818A1" w:rsidRPr="0038186B">
        <w:rPr>
          <w:lang w:val="es-419"/>
        </w:rPr>
        <w:t xml:space="preserve">que no </w:t>
      </w:r>
      <w:r w:rsidR="00E70593" w:rsidRPr="0038186B">
        <w:rPr>
          <w:lang w:val="es-419"/>
        </w:rPr>
        <w:t>se reconoce</w:t>
      </w:r>
      <w:r w:rsidR="00D62EFA" w:rsidRPr="0038186B">
        <w:rPr>
          <w:lang w:val="es-419"/>
        </w:rPr>
        <w:t xml:space="preserve"> como </w:t>
      </w:r>
      <w:r w:rsidRPr="0038186B">
        <w:rPr>
          <w:lang w:val="es-419"/>
        </w:rPr>
        <w:t xml:space="preserve">inventor </w:t>
      </w:r>
      <w:r w:rsidR="00D62EFA" w:rsidRPr="0038186B">
        <w:rPr>
          <w:lang w:val="es-419"/>
        </w:rPr>
        <w:t xml:space="preserve">y </w:t>
      </w:r>
      <w:r w:rsidR="00C818A1" w:rsidRPr="0038186B">
        <w:rPr>
          <w:lang w:val="es-419"/>
        </w:rPr>
        <w:t xml:space="preserve">no se ha </w:t>
      </w:r>
      <w:r w:rsidR="00582405" w:rsidRPr="0038186B">
        <w:rPr>
          <w:lang w:val="es-419"/>
        </w:rPr>
        <w:t>obtenido</w:t>
      </w:r>
      <w:r w:rsidR="00C818A1" w:rsidRPr="0038186B">
        <w:rPr>
          <w:lang w:val="es-419"/>
        </w:rPr>
        <w:t xml:space="preserve"> de este </w:t>
      </w:r>
      <w:r w:rsidR="00E70593" w:rsidRPr="0038186B">
        <w:rPr>
          <w:lang w:val="es-419"/>
        </w:rPr>
        <w:t>el</w:t>
      </w:r>
      <w:r w:rsidR="00C818A1" w:rsidRPr="0038186B">
        <w:rPr>
          <w:lang w:val="es-419"/>
        </w:rPr>
        <w:t xml:space="preserve"> derecho de</w:t>
      </w:r>
      <w:r w:rsidR="00D62EFA" w:rsidRPr="0038186B">
        <w:rPr>
          <w:lang w:val="es-419"/>
        </w:rPr>
        <w:t xml:space="preserve"> propiedad </w:t>
      </w:r>
      <w:r w:rsidR="00E70593" w:rsidRPr="0038186B">
        <w:rPr>
          <w:lang w:val="es-419"/>
        </w:rPr>
        <w:t>necesario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E7059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persona </w:t>
      </w:r>
      <w:r w:rsidR="00E70593" w:rsidRPr="0038186B">
        <w:rPr>
          <w:lang w:val="es-419"/>
        </w:rPr>
        <w:t xml:space="preserve">que visita una comunidad indígena </w:t>
      </w:r>
      <w:r w:rsidR="00344979" w:rsidRPr="0038186B">
        <w:rPr>
          <w:lang w:val="es-419"/>
        </w:rPr>
        <w:t>obtiene conocimiento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tradicional</w:t>
      </w:r>
      <w:r w:rsidR="00401305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valioso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Presenta dos solicitudes de patente sobre es</w:t>
      </w:r>
      <w:r w:rsidR="00401305" w:rsidRPr="0038186B">
        <w:rPr>
          <w:lang w:val="es-419"/>
        </w:rPr>
        <w:t>os</w:t>
      </w:r>
      <w:r w:rsidR="00344979" w:rsidRPr="0038186B">
        <w:rPr>
          <w:lang w:val="es-419"/>
        </w:rPr>
        <w:t xml:space="preserve"> conocimiento</w:t>
      </w:r>
      <w:r w:rsidR="00401305" w:rsidRPr="0038186B">
        <w:rPr>
          <w:lang w:val="es-419"/>
        </w:rPr>
        <w:t>s tal como los obtuvo</w:t>
      </w:r>
      <w:r w:rsidR="00344979" w:rsidRPr="0038186B">
        <w:rPr>
          <w:lang w:val="es-419"/>
        </w:rPr>
        <w:t xml:space="preserve"> y se cita a sí mis</w:t>
      </w:r>
      <w:r w:rsidR="00401305" w:rsidRPr="0038186B">
        <w:rPr>
          <w:lang w:val="es-419"/>
        </w:rPr>
        <w:t xml:space="preserve">ma como inventor, </w:t>
      </w:r>
      <w:r w:rsidR="00344979" w:rsidRPr="0038186B">
        <w:rPr>
          <w:lang w:val="es-419"/>
        </w:rPr>
        <w:t xml:space="preserve">sin hacer ninguna mejora significativa posterior </w:t>
      </w:r>
      <w:r w:rsidR="00401305" w:rsidRPr="0038186B">
        <w:rPr>
          <w:lang w:val="es-419"/>
        </w:rPr>
        <w:t xml:space="preserve">a esos CC.TT. </w:t>
      </w:r>
      <w:r w:rsidR="00344979" w:rsidRPr="0038186B">
        <w:rPr>
          <w:lang w:val="es-419"/>
        </w:rPr>
        <w:t xml:space="preserve">y sin informar </w:t>
      </w:r>
      <w:r w:rsidR="00401305" w:rsidRPr="0038186B">
        <w:rPr>
          <w:lang w:val="es-419"/>
        </w:rPr>
        <w:t xml:space="preserve">ni mencionar </w:t>
      </w:r>
      <w:r w:rsidR="00344979" w:rsidRPr="0038186B">
        <w:rPr>
          <w:lang w:val="es-419"/>
        </w:rPr>
        <w:t>al titular de</w:t>
      </w:r>
      <w:r w:rsidR="00401305" w:rsidRPr="0038186B">
        <w:rPr>
          <w:lang w:val="es-419"/>
        </w:rPr>
        <w:t xml:space="preserve"> los CC.TT.</w:t>
      </w:r>
      <w:r w:rsidR="00344979" w:rsidRPr="0038186B">
        <w:rPr>
          <w:lang w:val="es-419"/>
        </w:rPr>
        <w:t xml:space="preserve"> de quien </w:t>
      </w:r>
      <w:r w:rsidR="0040130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ha obtenido.</w:t>
      </w:r>
      <w:r w:rsidR="001A60B0" w:rsidRPr="0038186B">
        <w:rPr>
          <w:lang w:val="es-419"/>
        </w:rPr>
        <w:t xml:space="preserve"> </w:t>
      </w:r>
      <w:r w:rsidR="0040130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de las solicitudes de patente trata de una invención genuinamente patentable: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este caso, el solicitante no tiene derecho a solicitar la patente, ya que el verdadero inventor es el e</w:t>
      </w:r>
      <w:r w:rsidR="00401305" w:rsidRPr="0038186B">
        <w:rPr>
          <w:lang w:val="es-419"/>
        </w:rPr>
        <w:t>xperto</w:t>
      </w:r>
      <w:r w:rsidR="00344979" w:rsidRPr="0038186B">
        <w:rPr>
          <w:lang w:val="es-419"/>
        </w:rPr>
        <w:t xml:space="preserve"> original en los conocimientos tradicionales y el solicitante no ha </w:t>
      </w:r>
      <w:r w:rsidR="00A170AC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la solicitud en un título de propiedad legal obtenido del verdadero inventor.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la otra solicitud de patente se reivindican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que han sido divulgados al público y constituyen un método ya conocido en la comunidad del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ese caso</w:t>
      </w:r>
      <w:r w:rsidR="00A170AC" w:rsidRPr="0038186B">
        <w:rPr>
          <w:lang w:val="es-419"/>
        </w:rPr>
        <w:t xml:space="preserve"> también </w:t>
      </w:r>
      <w:r w:rsidR="006D4DE7" w:rsidRPr="0038186B">
        <w:rPr>
          <w:lang w:val="es-419"/>
        </w:rPr>
        <w:t>la patente sería nula por falta de novedad o de actividad inventiva</w:t>
      </w:r>
      <w:r w:rsidRPr="0038186B">
        <w:rPr>
          <w:lang w:val="es-419"/>
        </w:rPr>
        <w:t>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47" w:name="_Toc116899023"/>
      <w:r w:rsidRPr="0038186B">
        <w:rPr>
          <w:i/>
          <w:u w:val="none"/>
          <w:lang w:val="es-419"/>
        </w:rPr>
        <w:t>iv)</w:t>
      </w:r>
      <w:r w:rsidR="009D67E8" w:rsidRPr="0038186B">
        <w:rPr>
          <w:i/>
          <w:u w:val="none"/>
          <w:lang w:val="es-419"/>
        </w:rPr>
        <w:tab/>
      </w:r>
      <w:r w:rsidR="006D4DE7" w:rsidRPr="0038186B">
        <w:rPr>
          <w:i/>
          <w:u w:val="none"/>
          <w:lang w:val="es-419"/>
        </w:rPr>
        <w:t>Modalidades de p</w:t>
      </w:r>
      <w:r w:rsidR="001970C2" w:rsidRPr="0038186B">
        <w:rPr>
          <w:i/>
          <w:u w:val="none"/>
          <w:lang w:val="es-419"/>
        </w:rPr>
        <w:t>rotección</w:t>
      </w:r>
      <w:r w:rsidR="00FD6EEF" w:rsidRPr="0038186B">
        <w:rPr>
          <w:i/>
          <w:u w:val="none"/>
          <w:lang w:val="es-419"/>
        </w:rPr>
        <w:t xml:space="preserve"> </w:t>
      </w:r>
      <w:r w:rsidR="006D4DE7" w:rsidRPr="0038186B">
        <w:rPr>
          <w:i/>
          <w:u w:val="none"/>
          <w:lang w:val="es-419"/>
        </w:rPr>
        <w:t xml:space="preserve">no previstas en las normas internacionales </w:t>
      </w:r>
      <w:r w:rsidR="009961B1" w:rsidRPr="0038186B">
        <w:rPr>
          <w:i/>
          <w:u w:val="none"/>
          <w:lang w:val="es-419"/>
        </w:rPr>
        <w:t>vigentes</w:t>
      </w:r>
      <w:bookmarkEnd w:id="47"/>
    </w:p>
    <w:p w:rsidR="00DF5574" w:rsidRPr="0038186B" w:rsidRDefault="00A170AC" w:rsidP="00E10198">
      <w:pPr>
        <w:pStyle w:val="Heading4"/>
        <w:rPr>
          <w:lang w:val="es-419"/>
        </w:rPr>
      </w:pPr>
      <w:r w:rsidRPr="0038186B">
        <w:rPr>
          <w:lang w:val="es-419"/>
        </w:rPr>
        <w:t>R</w:t>
      </w:r>
      <w:r w:rsidR="00344979" w:rsidRPr="0038186B">
        <w:rPr>
          <w:lang w:val="es-419"/>
        </w:rPr>
        <w:t xml:space="preserve">equisito de divulgación </w:t>
      </w:r>
      <w:r w:rsidR="009961B1" w:rsidRPr="0038186B">
        <w:rPr>
          <w:lang w:val="es-419"/>
        </w:rPr>
        <w:t>específico en relación con los CC.TT.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170AC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170AC" w:rsidRPr="0038186B">
        <w:rPr>
          <w:lang w:val="es-419"/>
        </w:rPr>
        <w:t>v</w:t>
      </w:r>
      <w:r w:rsidR="00344979" w:rsidRPr="0038186B">
        <w:rPr>
          <w:lang w:val="es-419"/>
        </w:rPr>
        <w:t xml:space="preserve">arios países han establecido mecanismos específicos </w:t>
      </w:r>
      <w:r w:rsidR="00A170AC" w:rsidRPr="0038186B">
        <w:rPr>
          <w:lang w:val="es-419"/>
        </w:rPr>
        <w:t xml:space="preserve">para </w:t>
      </w:r>
      <w:r w:rsidR="00344979" w:rsidRPr="0038186B">
        <w:rPr>
          <w:lang w:val="es-419"/>
        </w:rPr>
        <w:t>los conocimientos tradicionales (</w:t>
      </w:r>
      <w:r w:rsidR="00A170AC" w:rsidRPr="0038186B">
        <w:rPr>
          <w:lang w:val="es-419"/>
        </w:rPr>
        <w:t>y para</w:t>
      </w:r>
      <w:r w:rsidR="00344979" w:rsidRPr="0038186B">
        <w:rPr>
          <w:lang w:val="es-419"/>
        </w:rPr>
        <w:t xml:space="preserve"> los recursos genéticos, que no se tratan en el presen</w:t>
      </w:r>
      <w:r w:rsidR="005D4273" w:rsidRPr="0038186B">
        <w:rPr>
          <w:lang w:val="es-419"/>
        </w:rPr>
        <w:t xml:space="preserve">te análisis de carencias), que han tomado la </w:t>
      </w:r>
      <w:r w:rsidR="00344979" w:rsidRPr="0038186B">
        <w:rPr>
          <w:lang w:val="es-419"/>
        </w:rPr>
        <w:t xml:space="preserve">forma de requisitos de divulgación </w:t>
      </w:r>
      <w:r w:rsidR="005D4273" w:rsidRPr="0038186B">
        <w:rPr>
          <w:lang w:val="es-419"/>
        </w:rPr>
        <w:t>adicionales en</w:t>
      </w:r>
      <w:r w:rsidR="00344979" w:rsidRPr="0038186B">
        <w:rPr>
          <w:lang w:val="es-419"/>
        </w:rPr>
        <w:t xml:space="preserve"> las legislaciones nacionales sobre patentes.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Esos requisitos exigen al solicitante de la patente </w:t>
      </w:r>
      <w:r w:rsidR="005D4273" w:rsidRPr="0038186B">
        <w:rPr>
          <w:lang w:val="es-419"/>
        </w:rPr>
        <w:t>que divulgue</w:t>
      </w:r>
      <w:r w:rsidR="00344979" w:rsidRPr="0038186B">
        <w:rPr>
          <w:lang w:val="es-419"/>
        </w:rPr>
        <w:t xml:space="preserve"> la fuente o el origen de los </w:t>
      </w:r>
      <w:r w:rsidR="005D427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utilizados en</w:t>
      </w:r>
      <w:r w:rsidR="005D4273" w:rsidRPr="0038186B">
        <w:rPr>
          <w:lang w:val="es-419"/>
        </w:rPr>
        <w:t xml:space="preserve"> la invención que se reivindica</w:t>
      </w:r>
      <w:r w:rsidR="00344979" w:rsidRPr="0038186B">
        <w:rPr>
          <w:lang w:val="es-419"/>
        </w:rPr>
        <w:t xml:space="preserve"> y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algunos casos también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>proporcione</w:t>
      </w:r>
      <w:r w:rsidR="00344979" w:rsidRPr="0038186B">
        <w:rPr>
          <w:lang w:val="es-419"/>
        </w:rPr>
        <w:t xml:space="preserve"> pruebas del consentimiento fundamentado previo y la </w:t>
      </w:r>
      <w:r w:rsidR="00362D3D" w:rsidRPr="0038186B">
        <w:rPr>
          <w:lang w:val="es-419"/>
        </w:rPr>
        <w:t>existencia de</w:t>
      </w:r>
      <w:r w:rsidR="00344979" w:rsidRPr="0038186B">
        <w:rPr>
          <w:lang w:val="es-419"/>
        </w:rPr>
        <w:t xml:space="preserve"> acuerdos para la participación equitativa en los beneficios.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Ese requisito no se ha previsto en las normas del derecho internacional aunque se ha formulado </w:t>
      </w:r>
      <w:r w:rsidR="001572C4" w:rsidRPr="0038186B">
        <w:rPr>
          <w:lang w:val="es-419"/>
        </w:rPr>
        <w:t>un</w:t>
      </w:r>
      <w:r w:rsidR="006D4DE7" w:rsidRPr="0038186B">
        <w:rPr>
          <w:lang w:val="es-419"/>
        </w:rPr>
        <w:t>a propuesta</w:t>
      </w:r>
      <w:r w:rsidR="009B6BE2" w:rsidRPr="0038186B">
        <w:rPr>
          <w:lang w:val="es-419"/>
        </w:rPr>
        <w:t>,</w:t>
      </w:r>
      <w:r w:rsidR="006B4337" w:rsidRPr="0038186B">
        <w:rPr>
          <w:rStyle w:val="FootnoteReference"/>
          <w:lang w:val="es-419"/>
        </w:rPr>
        <w:footnoteReference w:id="37"/>
      </w:r>
      <w:r w:rsidR="001572C4" w:rsidRPr="0038186B">
        <w:rPr>
          <w:lang w:val="es-419"/>
        </w:rPr>
        <w:t xml:space="preserve"> que ha recabado el apoyo de</w:t>
      </w:r>
      <w:r w:rsidR="006D4DE7" w:rsidRPr="0038186B">
        <w:rPr>
          <w:lang w:val="es-419"/>
        </w:rPr>
        <w:t xml:space="preserve"> varios </w:t>
      </w:r>
      <w:r w:rsidR="004B4704" w:rsidRPr="0038186B">
        <w:rPr>
          <w:lang w:val="es-419"/>
        </w:rPr>
        <w:t>países</w:t>
      </w:r>
      <w:r w:rsidR="006D4DE7" w:rsidRPr="0038186B">
        <w:rPr>
          <w:lang w:val="es-419"/>
        </w:rPr>
        <w:t xml:space="preserve">, de revisar el Acuerdo de los ADPIC </w:t>
      </w:r>
      <w:r w:rsidR="005D4273" w:rsidRPr="0038186B">
        <w:rPr>
          <w:lang w:val="es-419"/>
        </w:rPr>
        <w:t>a fin de</w:t>
      </w:r>
      <w:r w:rsidR="006D4DE7" w:rsidRPr="0038186B">
        <w:rPr>
          <w:lang w:val="es-419"/>
        </w:rPr>
        <w:t xml:space="preserve"> </w:t>
      </w:r>
      <w:r w:rsidR="004B4704" w:rsidRPr="0038186B">
        <w:rPr>
          <w:lang w:val="es-419"/>
        </w:rPr>
        <w:t>introducir</w:t>
      </w:r>
      <w:r w:rsidR="006D4DE7" w:rsidRPr="0038186B">
        <w:rPr>
          <w:lang w:val="es-419"/>
        </w:rPr>
        <w:t xml:space="preserve"> dicho </w:t>
      </w:r>
      <w:r w:rsidR="004B4704" w:rsidRPr="0038186B">
        <w:rPr>
          <w:lang w:val="es-419"/>
        </w:rPr>
        <w:t>requisito</w:t>
      </w:r>
      <w:r w:rsidR="005D4273" w:rsidRPr="0038186B">
        <w:rPr>
          <w:lang w:val="es-419"/>
        </w:rPr>
        <w:t>;</w:t>
      </w:r>
      <w:r w:rsidR="006D4DE7" w:rsidRPr="0038186B">
        <w:rPr>
          <w:lang w:val="es-419"/>
        </w:rPr>
        <w:t xml:space="preserve"> </w:t>
      </w:r>
      <w:r w:rsidR="001572C4" w:rsidRPr="0038186B">
        <w:rPr>
          <w:lang w:val="es-419"/>
        </w:rPr>
        <w:t xml:space="preserve">también </w:t>
      </w:r>
      <w:r w:rsidR="006D4DE7" w:rsidRPr="0038186B">
        <w:rPr>
          <w:lang w:val="es-419"/>
        </w:rPr>
        <w:t>se han formulado propuestas en ese sentido en la OMPI.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Otras partes se han opuesto a dicho requisito</w:t>
      </w:r>
      <w:r w:rsidR="005D4273" w:rsidRPr="0038186B">
        <w:rPr>
          <w:lang w:val="es-419"/>
        </w:rPr>
        <w:t>, poniendo</w:t>
      </w:r>
      <w:r w:rsidR="004B4704" w:rsidRPr="0038186B">
        <w:rPr>
          <w:lang w:val="es-419"/>
        </w:rPr>
        <w:t xml:space="preserve"> en duda su utilidad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No se valoran </w:t>
      </w:r>
      <w:r w:rsidR="001F5AE3" w:rsidRPr="0038186B">
        <w:rPr>
          <w:lang w:val="es-419"/>
        </w:rPr>
        <w:t>en el presente documento</w:t>
      </w:r>
      <w:r w:rsidR="004B4704" w:rsidRPr="0038186B">
        <w:rPr>
          <w:lang w:val="es-419"/>
        </w:rPr>
        <w:t xml:space="preserve"> los diferentes puntos de vista</w:t>
      </w:r>
      <w:r w:rsidRPr="0038186B">
        <w:rPr>
          <w:lang w:val="es-419"/>
        </w:rPr>
        <w:t xml:space="preserve">, </w:t>
      </w:r>
      <w:r w:rsidR="001F5AE3" w:rsidRPr="0038186B">
        <w:rPr>
          <w:lang w:val="es-419"/>
        </w:rPr>
        <w:t xml:space="preserve">más allá del </w:t>
      </w:r>
      <w:r w:rsidR="004B4704" w:rsidRPr="0038186B">
        <w:rPr>
          <w:lang w:val="es-419"/>
        </w:rPr>
        <w:t xml:space="preserve">hecho objetivo de que, desde una perspectiva técnica, </w:t>
      </w:r>
      <w:r w:rsidR="001572C4" w:rsidRPr="0038186B">
        <w:rPr>
          <w:lang w:val="es-419"/>
        </w:rPr>
        <w:t xml:space="preserve">se </w:t>
      </w:r>
      <w:r w:rsidR="001F5AE3" w:rsidRPr="0038186B">
        <w:rPr>
          <w:lang w:val="es-419"/>
        </w:rPr>
        <w:t>constata</w:t>
      </w:r>
      <w:r w:rsidR="004B4704" w:rsidRPr="0038186B">
        <w:rPr>
          <w:lang w:val="es-419"/>
        </w:rPr>
        <w:t xml:space="preserve"> una </w:t>
      </w:r>
      <w:r w:rsidR="006A07BB" w:rsidRPr="0038186B">
        <w:rPr>
          <w:lang w:val="es-419"/>
        </w:rPr>
        <w:t xml:space="preserve">carencia </w:t>
      </w:r>
      <w:r w:rsidRPr="0038186B">
        <w:rPr>
          <w:lang w:val="es-419"/>
        </w:rPr>
        <w:t>o</w:t>
      </w:r>
      <w:r w:rsidR="004B4704" w:rsidRPr="0038186B">
        <w:rPr>
          <w:lang w:val="es-419"/>
        </w:rPr>
        <w:t xml:space="preserve"> </w:t>
      </w:r>
      <w:r w:rsidR="001572C4" w:rsidRPr="0038186B">
        <w:rPr>
          <w:lang w:val="es-419"/>
        </w:rPr>
        <w:t>vacío</w:t>
      </w:r>
      <w:r w:rsidR="004B4704" w:rsidRPr="0038186B">
        <w:rPr>
          <w:lang w:val="es-419"/>
        </w:rPr>
        <w:t xml:space="preserve"> en las normas internacionales en relación con ese requisito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La necesidad de colmar ese vacío </w:t>
      </w:r>
      <w:r w:rsidR="00C95524" w:rsidRPr="0038186B">
        <w:rPr>
          <w:lang w:val="es-419"/>
        </w:rPr>
        <w:t>y</w:t>
      </w:r>
      <w:r w:rsidR="004B4704" w:rsidRPr="0038186B">
        <w:rPr>
          <w:lang w:val="es-419"/>
        </w:rPr>
        <w:t xml:space="preserve">, </w:t>
      </w:r>
      <w:r w:rsidR="00C95524" w:rsidRPr="0038186B">
        <w:rPr>
          <w:lang w:val="es-419"/>
        </w:rPr>
        <w:t xml:space="preserve">en su caso, qué hacer para </w:t>
      </w:r>
      <w:r w:rsidR="004B4704" w:rsidRPr="0038186B">
        <w:rPr>
          <w:lang w:val="es-419"/>
        </w:rPr>
        <w:t xml:space="preserve">colmarlo, son obviamente, cuestiones de política que los Estados tendrán que </w:t>
      </w:r>
      <w:r w:rsidR="001F5AE3" w:rsidRPr="0038186B">
        <w:rPr>
          <w:lang w:val="es-419"/>
        </w:rPr>
        <w:t>debatir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B4704" w:rsidRPr="0038186B">
        <w:rPr>
          <w:lang w:val="es-419"/>
        </w:rPr>
        <w:t>Carencia: no existe un</w:t>
      </w:r>
      <w:r w:rsidR="000003AA" w:rsidRPr="0038186B">
        <w:rPr>
          <w:lang w:val="es-419"/>
        </w:rPr>
        <w:t xml:space="preserve"> requisito</w:t>
      </w:r>
      <w:r w:rsidR="004B4704" w:rsidRPr="0038186B">
        <w:rPr>
          <w:lang w:val="es-419"/>
        </w:rPr>
        <w:t xml:space="preserve"> espec</w:t>
      </w:r>
      <w:r w:rsidR="000003AA" w:rsidRPr="0038186B">
        <w:rPr>
          <w:lang w:val="es-419"/>
        </w:rPr>
        <w:t>ífico</w:t>
      </w:r>
      <w:r w:rsidR="004B4704" w:rsidRPr="0038186B">
        <w:rPr>
          <w:lang w:val="es-419"/>
        </w:rPr>
        <w:t xml:space="preserve"> a nivel internacional que </w:t>
      </w:r>
      <w:r w:rsidR="001F5AE3" w:rsidRPr="0038186B">
        <w:rPr>
          <w:lang w:val="es-419"/>
        </w:rPr>
        <w:t>obligue</w:t>
      </w:r>
      <w:r w:rsidR="004B4704" w:rsidRPr="0038186B">
        <w:rPr>
          <w:lang w:val="es-419"/>
        </w:rPr>
        <w:t xml:space="preserve"> a los solicitantes de una patente </w:t>
      </w:r>
      <w:r w:rsidR="001F5AE3" w:rsidRPr="0038186B">
        <w:rPr>
          <w:lang w:val="es-419"/>
        </w:rPr>
        <w:t xml:space="preserve">a </w:t>
      </w:r>
      <w:r w:rsidR="004B4704" w:rsidRPr="0038186B">
        <w:rPr>
          <w:lang w:val="es-419"/>
        </w:rPr>
        <w:t>divulgar la fuente o el origen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utilizados en la invención reivindicada, ni a divulgar </w:t>
      </w:r>
      <w:r w:rsidR="000003AA" w:rsidRPr="0038186B">
        <w:rPr>
          <w:lang w:val="es-419"/>
        </w:rPr>
        <w:t>información</w:t>
      </w:r>
      <w:r w:rsidR="004B4704" w:rsidRPr="0038186B">
        <w:rPr>
          <w:lang w:val="es-419"/>
        </w:rPr>
        <w:t xml:space="preserve"> sobre el consentimiento </w:t>
      </w:r>
      <w:r w:rsidR="000003AA" w:rsidRPr="0038186B">
        <w:rPr>
          <w:lang w:val="es-419"/>
        </w:rPr>
        <w:t>fundamentado previo y la participación equitativa en los beneficios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FD6EEF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0003AA" w:rsidRPr="0038186B">
        <w:rPr>
          <w:lang w:val="es-419"/>
        </w:rPr>
        <w:t xml:space="preserve">no existe un requisito específico a nivel internacional que exija </w:t>
      </w:r>
      <w:r w:rsidR="00B3077F" w:rsidRPr="0038186B">
        <w:rPr>
          <w:lang w:val="es-419"/>
        </w:rPr>
        <w:t xml:space="preserve">que </w:t>
      </w:r>
      <w:r w:rsidR="000003AA" w:rsidRPr="0038186B">
        <w:rPr>
          <w:lang w:val="es-419"/>
        </w:rPr>
        <w:t xml:space="preserve">los solicitantes </w:t>
      </w:r>
      <w:r w:rsidR="00B3077F" w:rsidRPr="0038186B">
        <w:rPr>
          <w:lang w:val="es-419"/>
        </w:rPr>
        <w:t>de una</w:t>
      </w:r>
      <w:r w:rsidR="000003AA" w:rsidRPr="0038186B">
        <w:rPr>
          <w:lang w:val="es-419"/>
        </w:rPr>
        <w:t xml:space="preserve"> patente divulg</w:t>
      </w:r>
      <w:r w:rsidR="00B3077F" w:rsidRPr="0038186B">
        <w:rPr>
          <w:lang w:val="es-419"/>
        </w:rPr>
        <w:t>uen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información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pertinente</w:t>
      </w:r>
      <w:r w:rsidR="000003AA" w:rsidRPr="0038186B">
        <w:rPr>
          <w:lang w:val="es-419"/>
        </w:rPr>
        <w:t xml:space="preserve"> para la patentabilidad</w:t>
      </w:r>
      <w:r w:rsidR="00FD6EEF" w:rsidRPr="0038186B">
        <w:rPr>
          <w:lang w:val="es-419"/>
        </w:rPr>
        <w:t>,</w:t>
      </w:r>
      <w:r w:rsidR="000003AA" w:rsidRPr="0038186B">
        <w:rPr>
          <w:lang w:val="es-419"/>
        </w:rPr>
        <w:t xml:space="preserve"> como</w:t>
      </w:r>
      <w:r w:rsidR="009B55F6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todo lo relativo al estado de la técnica pertinente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Protección frente al enriquecimiento injusto o la apropiación indebida de los conocimientos tradicionales</w:t>
      </w:r>
    </w:p>
    <w:p w:rsidR="00DF5574" w:rsidRPr="0038186B" w:rsidRDefault="00DF5574" w:rsidP="008F2F5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5AE3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DE54E9" w:rsidRPr="0038186B">
        <w:rPr>
          <w:lang w:val="es-419"/>
        </w:rPr>
        <w:t xml:space="preserve">se han realizado diversos estudios sobre </w:t>
      </w:r>
      <w:r w:rsidR="00344979" w:rsidRPr="0038186B">
        <w:rPr>
          <w:lang w:val="es-419"/>
        </w:rPr>
        <w:t xml:space="preserve">el alcance </w:t>
      </w:r>
      <w:r w:rsidR="00DE54E9" w:rsidRPr="0038186B">
        <w:rPr>
          <w:lang w:val="es-419"/>
        </w:rPr>
        <w:t>total</w:t>
      </w:r>
      <w:r w:rsidR="00344979" w:rsidRPr="0038186B">
        <w:rPr>
          <w:lang w:val="es-419"/>
        </w:rPr>
        <w:t xml:space="preserve"> de la norma internacional vigente en el Convenio de París que exige la eliminación de la competencia desleal.</w:t>
      </w:r>
      <w:r w:rsidR="001A60B0" w:rsidRPr="0038186B">
        <w:rPr>
          <w:lang w:val="es-419"/>
        </w:rPr>
        <w:t xml:space="preserve"> </w:t>
      </w:r>
      <w:r w:rsidR="00DE54E9" w:rsidRPr="0038186B">
        <w:rPr>
          <w:lang w:val="es-419"/>
        </w:rPr>
        <w:t>E</w:t>
      </w:r>
      <w:r w:rsidR="003445AB" w:rsidRPr="0038186B">
        <w:rPr>
          <w:lang w:val="es-419"/>
        </w:rPr>
        <w:t>s posible que e</w:t>
      </w:r>
      <w:r w:rsidR="00DE54E9" w:rsidRPr="0038186B">
        <w:rPr>
          <w:lang w:val="es-419"/>
        </w:rPr>
        <w:t xml:space="preserve">l alcance de las </w:t>
      </w:r>
      <w:r w:rsidR="003445AB" w:rsidRPr="0038186B">
        <w:rPr>
          <w:lang w:val="es-419"/>
        </w:rPr>
        <w:t>actuaciones desleales</w:t>
      </w:r>
      <w:r w:rsidR="00344979" w:rsidRPr="0038186B">
        <w:rPr>
          <w:lang w:val="es-419"/>
        </w:rPr>
        <w:t xml:space="preserve"> que </w:t>
      </w:r>
      <w:r w:rsidR="00362D3D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norma </w:t>
      </w:r>
      <w:r w:rsidR="00362D3D" w:rsidRPr="0038186B">
        <w:rPr>
          <w:lang w:val="es-419"/>
        </w:rPr>
        <w:t xml:space="preserve">busca eliminar </w:t>
      </w:r>
      <w:r w:rsidR="003445AB" w:rsidRPr="0038186B">
        <w:rPr>
          <w:lang w:val="es-419"/>
        </w:rPr>
        <w:t xml:space="preserve">incluya </w:t>
      </w:r>
      <w:r w:rsidR="00344979" w:rsidRPr="0038186B">
        <w:rPr>
          <w:lang w:val="es-419"/>
        </w:rPr>
        <w:t xml:space="preserve">al menos algunas formas de apropiación indebida o uso indebido de los </w:t>
      </w:r>
      <w:r w:rsidR="003445AB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aunque </w:t>
      </w:r>
      <w:r w:rsidR="003445AB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>es probable que no englobe t</w:t>
      </w:r>
      <w:r w:rsidR="003445AB" w:rsidRPr="0038186B">
        <w:rPr>
          <w:lang w:val="es-419"/>
        </w:rPr>
        <w:t>odas esas actuaciones, en particular los usos</w:t>
      </w:r>
      <w:r w:rsidR="00344979" w:rsidRPr="0038186B">
        <w:rPr>
          <w:lang w:val="es-419"/>
        </w:rPr>
        <w:t xml:space="preserve"> comercial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e industrial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de los </w:t>
      </w:r>
      <w:r w:rsidR="003445A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se consideraría</w:t>
      </w:r>
      <w:r w:rsidR="003445AB" w:rsidRPr="0038186B">
        <w:rPr>
          <w:lang w:val="es-419"/>
        </w:rPr>
        <w:t>n contrarios</w:t>
      </w:r>
      <w:r w:rsidR="00344979" w:rsidRPr="0038186B">
        <w:rPr>
          <w:lang w:val="es-419"/>
        </w:rPr>
        <w:t xml:space="preserve"> a las prácticas comerciales honestas o a la equidad.</w:t>
      </w:r>
      <w:r w:rsidR="001A60B0" w:rsidRPr="0038186B">
        <w:rPr>
          <w:lang w:val="es-419"/>
        </w:rPr>
        <w:t xml:space="preserve"> </w:t>
      </w:r>
      <w:r w:rsidR="00B3077F" w:rsidRPr="0038186B">
        <w:rPr>
          <w:lang w:val="es-419"/>
        </w:rPr>
        <w:t xml:space="preserve">A nivel internacional hay opiniones muy divergentes en cuanto a qué usos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>podrían</w:t>
      </w:r>
      <w:r w:rsidR="00B3077F" w:rsidRPr="0038186B">
        <w:rPr>
          <w:lang w:val="es-419"/>
        </w:rPr>
        <w:t xml:space="preserve"> considerarse indebidos</w:t>
      </w:r>
      <w:r w:rsidRPr="0038186B">
        <w:rPr>
          <w:lang w:val="es-419"/>
        </w:rPr>
        <w:t xml:space="preserve">, </w:t>
      </w:r>
      <w:r w:rsidR="00B3077F" w:rsidRPr="0038186B">
        <w:rPr>
          <w:lang w:val="es-419"/>
        </w:rPr>
        <w:t xml:space="preserve">enriquecimiento injusto u otros usos </w:t>
      </w:r>
      <w:r w:rsidR="008C3A79" w:rsidRPr="0038186B">
        <w:rPr>
          <w:lang w:val="es-419"/>
        </w:rPr>
        <w:t>ilegítimos</w:t>
      </w:r>
      <w:r w:rsidRPr="0038186B">
        <w:rPr>
          <w:lang w:val="es-419"/>
        </w:rPr>
        <w:t>,</w:t>
      </w:r>
      <w:r w:rsidR="00B3077F" w:rsidRPr="0038186B">
        <w:rPr>
          <w:lang w:val="es-419"/>
        </w:rPr>
        <w:t xml:space="preserve"> y qué usos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por personas ajenas a la comunidad</w:t>
      </w:r>
      <w:r w:rsidRPr="0038186B">
        <w:rPr>
          <w:lang w:val="es-419"/>
        </w:rPr>
        <w:t xml:space="preserve"> original (</w:t>
      </w:r>
      <w:r w:rsidR="00B3077F" w:rsidRPr="0038186B">
        <w:rPr>
          <w:lang w:val="es-419"/>
        </w:rPr>
        <w:t xml:space="preserve">incluidos los usos </w:t>
      </w:r>
      <w:r w:rsidR="008C3A79" w:rsidRPr="0038186B">
        <w:rPr>
          <w:lang w:val="es-419"/>
        </w:rPr>
        <w:t>comerciales</w:t>
      </w:r>
      <w:r w:rsidRPr="0038186B">
        <w:rPr>
          <w:lang w:val="es-419"/>
        </w:rPr>
        <w:t>)</w:t>
      </w:r>
      <w:r w:rsidR="00B3077F" w:rsidRPr="0038186B">
        <w:rPr>
          <w:lang w:val="es-419"/>
        </w:rPr>
        <w:t xml:space="preserve"> podrían considerarse justos y </w:t>
      </w:r>
      <w:r w:rsidR="008C3A79" w:rsidRPr="0038186B">
        <w:rPr>
          <w:lang w:val="es-419"/>
        </w:rPr>
        <w:t>legítimos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todos los usos de los </w:t>
      </w:r>
      <w:r w:rsidR="001970C2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 por terceros pueden considerarse enteramente legítimos o ilegítimos</w:t>
      </w:r>
      <w:r w:rsidRPr="0038186B">
        <w:rPr>
          <w:lang w:val="es-419"/>
        </w:rPr>
        <w:t xml:space="preserve">, </w:t>
      </w:r>
      <w:r w:rsidR="008C3A79" w:rsidRPr="0038186B">
        <w:rPr>
          <w:lang w:val="es-419"/>
        </w:rPr>
        <w:t>y hay disparidad de opiniones en cuanto a cómo delimitar la frontera entre esos dos usos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Esa</w:t>
      </w:r>
      <w:r w:rsidR="00F165E7" w:rsidRPr="0038186B">
        <w:rPr>
          <w:lang w:val="es-419"/>
        </w:rPr>
        <w:t xml:space="preserve"> divergencia de </w:t>
      </w:r>
      <w:r w:rsidR="008C3A79" w:rsidRPr="0038186B">
        <w:rPr>
          <w:lang w:val="es-419"/>
        </w:rPr>
        <w:t xml:space="preserve">opiniones </w:t>
      </w:r>
      <w:r w:rsidR="00F165E7" w:rsidRPr="0038186B">
        <w:rPr>
          <w:lang w:val="es-419"/>
        </w:rPr>
        <w:t xml:space="preserve">pone de manifiesto </w:t>
      </w:r>
      <w:r w:rsidR="00362D3D" w:rsidRPr="0038186B">
        <w:rPr>
          <w:lang w:val="es-419"/>
        </w:rPr>
        <w:t xml:space="preserve">la existencia de </w:t>
      </w:r>
      <w:r w:rsidR="00F165E7" w:rsidRPr="0038186B">
        <w:rPr>
          <w:lang w:val="es-419"/>
        </w:rPr>
        <w:t>u</w:t>
      </w:r>
      <w:r w:rsidR="008C3A79" w:rsidRPr="0038186B">
        <w:rPr>
          <w:lang w:val="es-419"/>
        </w:rPr>
        <w:t>na carencia</w:t>
      </w:r>
      <w:r w:rsidR="00F165E7" w:rsidRPr="0038186B">
        <w:rPr>
          <w:lang w:val="es-419"/>
        </w:rPr>
        <w:t>:</w:t>
      </w:r>
      <w:r w:rsidR="008C3A79" w:rsidRPr="0038186B">
        <w:rPr>
          <w:lang w:val="es-419"/>
        </w:rPr>
        <w:t xml:space="preserve"> la falta de una orientación internacional sobre estas cuestiones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existe un requisito expreso a nivel internacional para eliminar el enriquecimiento injusto derivado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o la apropiación </w:t>
      </w:r>
      <w:r w:rsidR="001A4EC1" w:rsidRPr="0038186B">
        <w:rPr>
          <w:lang w:val="es-419"/>
        </w:rPr>
        <w:t xml:space="preserve">o utilización </w:t>
      </w:r>
      <w:r w:rsidR="008C3A79" w:rsidRPr="0038186B">
        <w:rPr>
          <w:lang w:val="es-419"/>
        </w:rPr>
        <w:t xml:space="preserve">indebida de los </w:t>
      </w:r>
      <w:r w:rsidR="00F165E7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, ni tampoco existen directrices internacionales </w:t>
      </w:r>
      <w:r w:rsidR="00F165E7" w:rsidRPr="0038186B">
        <w:rPr>
          <w:lang w:val="es-419"/>
        </w:rPr>
        <w:t xml:space="preserve">que permitan </w:t>
      </w:r>
      <w:r w:rsidR="008C3A79" w:rsidRPr="0038186B">
        <w:rPr>
          <w:lang w:val="es-419"/>
        </w:rPr>
        <w:t>determinar qué uso de lo</w:t>
      </w:r>
      <w:r w:rsidR="00F165E7" w:rsidRPr="0038186B">
        <w:rPr>
          <w:lang w:val="es-419"/>
        </w:rPr>
        <w:t>s CC.TT. puede considerarse legí</w:t>
      </w:r>
      <w:r w:rsidR="008C3A79" w:rsidRPr="0038186B">
        <w:rPr>
          <w:lang w:val="es-419"/>
        </w:rPr>
        <w:t>timo o justo y cómo definir el enriquecimiento injusto o la apropiación indebida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F165E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</w:t>
      </w:r>
      <w:r w:rsidR="00F165E7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carencia atañe al derecho a oponerse al uso </w:t>
      </w:r>
      <w:r w:rsidR="00D51246" w:rsidRPr="0038186B">
        <w:rPr>
          <w:lang w:val="es-419"/>
        </w:rPr>
        <w:t xml:space="preserve">-o a obtener reparación por ese uso- </w:t>
      </w:r>
      <w:r w:rsidR="00344979" w:rsidRPr="0038186B">
        <w:rPr>
          <w:lang w:val="es-419"/>
        </w:rPr>
        <w:t xml:space="preserve">por parte de un tercero de los </w:t>
      </w:r>
      <w:r w:rsidR="00D5124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1A4EC1" w:rsidRPr="0038186B">
        <w:rPr>
          <w:lang w:val="es-419"/>
        </w:rPr>
        <w:t>pertenecientes a</w:t>
      </w:r>
      <w:r w:rsidR="00344979" w:rsidRPr="0038186B">
        <w:rPr>
          <w:lang w:val="es-419"/>
        </w:rPr>
        <w:t xml:space="preserve"> una comunidad, por ejemplo para producir remedios basados en “productos naturales” o medicinas que se obtengan directamente de dichos conocimientos y que utilicen directamente las propiedades conocidas del material biológico empleado de acuerdo con esos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C95524" w:rsidRPr="0038186B">
        <w:rPr>
          <w:lang w:val="es-419"/>
        </w:rPr>
        <w:tab/>
      </w:r>
      <w:r w:rsidR="00917FB2" w:rsidRPr="0038186B">
        <w:rPr>
          <w:lang w:val="es-419"/>
        </w:rPr>
        <w:t>O</w:t>
      </w:r>
      <w:r w:rsidR="00C95524" w:rsidRPr="0038186B">
        <w:rPr>
          <w:lang w:val="es-419"/>
        </w:rPr>
        <w:t>tros ejemplos</w:t>
      </w:r>
      <w:r w:rsidR="00917FB2" w:rsidRPr="0038186B">
        <w:rPr>
          <w:lang w:val="es-419"/>
        </w:rPr>
        <w:t xml:space="preserve"> que cabe mencionar son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clear" w:pos="1177"/>
          <w:tab w:val="num" w:pos="990"/>
          <w:tab w:val="num" w:pos="108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creación</w:t>
      </w:r>
      <w:r w:rsidRPr="0038186B">
        <w:rPr>
          <w:lang w:val="es-419"/>
        </w:rPr>
        <w:t xml:space="preserve"> de un remedio o medicamento directamente a partir de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una comunidad </w:t>
      </w:r>
      <w:r w:rsidR="00220C90" w:rsidRPr="0038186B">
        <w:rPr>
          <w:lang w:val="es-419"/>
        </w:rPr>
        <w:t>indígena;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</w:t>
      </w:r>
      <w:r w:rsidRPr="0038186B">
        <w:rPr>
          <w:lang w:val="es-419"/>
        </w:rPr>
        <w:t xml:space="preserve">ión de un remedio o medicamento a partir de conocimientos </w:t>
      </w:r>
      <w:r w:rsidR="00220C90" w:rsidRPr="0038186B">
        <w:rPr>
          <w:lang w:val="es-419"/>
        </w:rPr>
        <w:t>notoriamente conocidos</w:t>
      </w:r>
      <w:r w:rsidR="00FD6EEF" w:rsidRPr="0038186B">
        <w:rPr>
          <w:lang w:val="es-419"/>
        </w:rPr>
        <w:t>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</w:t>
      </w:r>
      <w:r w:rsidRPr="0038186B">
        <w:rPr>
          <w:lang w:val="es-419"/>
        </w:rPr>
        <w:t xml:space="preserve">ón de un remedio o medicamento </w:t>
      </w:r>
      <w:r w:rsidR="00220C90" w:rsidRPr="0038186B">
        <w:rPr>
          <w:lang w:val="es-419"/>
        </w:rPr>
        <w:t>mediante</w:t>
      </w:r>
      <w:r w:rsidRPr="0038186B">
        <w:rPr>
          <w:lang w:val="es-419"/>
        </w:rPr>
        <w:t xml:space="preserve"> la </w:t>
      </w:r>
      <w:r w:rsidR="00220C90" w:rsidRPr="0038186B">
        <w:rPr>
          <w:lang w:val="es-419"/>
        </w:rPr>
        <w:t>utilización</w:t>
      </w:r>
      <w:r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en complemento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3650EB" w:rsidP="004B7C7C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95524" w:rsidRPr="0038186B">
        <w:rPr>
          <w:lang w:val="es-419"/>
        </w:rPr>
        <w:t xml:space="preserve">Es importante asimismo </w:t>
      </w:r>
      <w:r w:rsidR="00220C90" w:rsidRPr="0038186B">
        <w:rPr>
          <w:lang w:val="es-419"/>
        </w:rPr>
        <w:t xml:space="preserve">prestar más atención a </w:t>
      </w:r>
      <w:r w:rsidR="00C95524" w:rsidRPr="0038186B">
        <w:rPr>
          <w:lang w:val="es-419"/>
        </w:rPr>
        <w:t>los ca</w:t>
      </w:r>
      <w:r w:rsidR="00220C90" w:rsidRPr="0038186B">
        <w:rPr>
          <w:lang w:val="es-419"/>
        </w:rPr>
        <w:t>s</w:t>
      </w:r>
      <w:r w:rsidR="00C95524" w:rsidRPr="0038186B">
        <w:rPr>
          <w:lang w:val="es-419"/>
        </w:rPr>
        <w:t xml:space="preserve">os en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han contribuido a conformar la materia de un </w:t>
      </w:r>
      <w:r w:rsidR="00220C90" w:rsidRPr="0038186B">
        <w:rPr>
          <w:lang w:val="es-419"/>
        </w:rPr>
        <w:t xml:space="preserve">determinado </w:t>
      </w:r>
      <w:r w:rsidR="00C95524" w:rsidRPr="0038186B">
        <w:rPr>
          <w:lang w:val="es-419"/>
        </w:rPr>
        <w:t>der</w:t>
      </w:r>
      <w:r w:rsidR="00220C90" w:rsidRPr="0038186B">
        <w:rPr>
          <w:lang w:val="es-419"/>
        </w:rPr>
        <w:t>echo de PI</w:t>
      </w:r>
      <w:r w:rsidRPr="0038186B">
        <w:rPr>
          <w:lang w:val="es-419"/>
        </w:rPr>
        <w:t>,</w:t>
      </w:r>
      <w:r w:rsidR="00C95524" w:rsidRPr="0038186B">
        <w:rPr>
          <w:lang w:val="es-419"/>
        </w:rPr>
        <w:t xml:space="preserve"> incluso </w:t>
      </w:r>
      <w:r w:rsidR="00220C90" w:rsidRPr="0038186B">
        <w:rPr>
          <w:lang w:val="es-419"/>
        </w:rPr>
        <w:t>cuando</w:t>
      </w:r>
      <w:r w:rsidR="00C95524" w:rsidRPr="0038186B">
        <w:rPr>
          <w:lang w:val="es-419"/>
        </w:rPr>
        <w:t xml:space="preserve"> este </w:t>
      </w:r>
      <w:r w:rsidR="00220C90" w:rsidRPr="0038186B">
        <w:rPr>
          <w:lang w:val="es-419"/>
        </w:rPr>
        <w:t>último</w:t>
      </w:r>
      <w:r w:rsidR="00C95524" w:rsidRPr="0038186B">
        <w:rPr>
          <w:lang w:val="es-419"/>
        </w:rPr>
        <w:t xml:space="preserve"> </w:t>
      </w:r>
      <w:r w:rsidR="000A1988" w:rsidRPr="0038186B">
        <w:rPr>
          <w:lang w:val="es-419"/>
        </w:rPr>
        <w:t xml:space="preserve">no </w:t>
      </w:r>
      <w:r w:rsidR="00C95524" w:rsidRPr="0038186B">
        <w:rPr>
          <w:lang w:val="es-419"/>
        </w:rPr>
        <w:t xml:space="preserve">se ha derivado </w:t>
      </w:r>
      <w:r w:rsidR="00220C90" w:rsidRPr="0038186B">
        <w:rPr>
          <w:lang w:val="es-419"/>
        </w:rPr>
        <w:t>directamente</w:t>
      </w:r>
      <w:r w:rsidR="00C95524" w:rsidRPr="0038186B">
        <w:rPr>
          <w:lang w:val="es-419"/>
        </w:rPr>
        <w:t xml:space="preserve">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El hecho de </w:t>
      </w:r>
      <w:r w:rsidR="00220C90" w:rsidRPr="0038186B">
        <w:rPr>
          <w:lang w:val="es-419"/>
        </w:rPr>
        <w:t xml:space="preserve">no reconocer </w:t>
      </w:r>
      <w:r w:rsidR="00C95524" w:rsidRPr="0038186B">
        <w:rPr>
          <w:lang w:val="es-419"/>
        </w:rPr>
        <w:t>est</w:t>
      </w:r>
      <w:r w:rsidR="00220C90" w:rsidRPr="0038186B">
        <w:rPr>
          <w:lang w:val="es-419"/>
        </w:rPr>
        <w:t>a</w:t>
      </w:r>
      <w:r w:rsidR="00C95524" w:rsidRPr="0038186B">
        <w:rPr>
          <w:lang w:val="es-419"/>
        </w:rPr>
        <w:t xml:space="preserve"> </w:t>
      </w:r>
      <w:r w:rsidR="00220C90" w:rsidRPr="0038186B">
        <w:rPr>
          <w:lang w:val="es-419"/>
        </w:rPr>
        <w:t>contribución</w:t>
      </w:r>
      <w:r w:rsidR="00C95524" w:rsidRPr="0038186B">
        <w:rPr>
          <w:lang w:val="es-419"/>
        </w:rPr>
        <w:t xml:space="preserve"> de los CC.TT. </w:t>
      </w:r>
      <w:r w:rsidR="00220C90" w:rsidRPr="0038186B">
        <w:rPr>
          <w:lang w:val="es-419"/>
        </w:rPr>
        <w:t xml:space="preserve">a un nuevo producto puede considerarse una </w:t>
      </w:r>
      <w:r w:rsidR="006A07BB" w:rsidRPr="0038186B">
        <w:rPr>
          <w:lang w:val="es-419"/>
        </w:rPr>
        <w:t xml:space="preserve">carencia </w:t>
      </w:r>
      <w:r w:rsidR="00220C90" w:rsidRPr="0038186B">
        <w:rPr>
          <w:lang w:val="es-419"/>
        </w:rPr>
        <w:t xml:space="preserve">respecto de la </w:t>
      </w:r>
      <w:r w:rsidR="001C5882" w:rsidRPr="0038186B">
        <w:rPr>
          <w:lang w:val="es-419"/>
        </w:rPr>
        <w:t>protección de los 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20C90" w:rsidRPr="0038186B">
        <w:rPr>
          <w:lang w:val="es-419"/>
        </w:rPr>
        <w:t xml:space="preserve">En cada caso, para </w:t>
      </w:r>
      <w:r w:rsidR="00C62A9A" w:rsidRPr="0038186B">
        <w:rPr>
          <w:lang w:val="es-419"/>
        </w:rPr>
        <w:t xml:space="preserve">establecer si se trata de una </w:t>
      </w:r>
      <w:r w:rsidR="00220C90" w:rsidRPr="0038186B">
        <w:rPr>
          <w:lang w:val="es-419"/>
        </w:rPr>
        <w:t xml:space="preserve">carencia en la protección </w:t>
      </w:r>
      <w:r w:rsidR="00C62A9A" w:rsidRPr="0038186B">
        <w:rPr>
          <w:lang w:val="es-419"/>
        </w:rPr>
        <w:t>contra</w:t>
      </w:r>
      <w:r w:rsidR="00220C90" w:rsidRPr="0038186B">
        <w:rPr>
          <w:lang w:val="es-419"/>
        </w:rPr>
        <w:t xml:space="preserve"> la apropiación indebida o el enriquecimiento injusto será necesario responder las siguientes preguntas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20C90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¿en qué casos </w:t>
      </w:r>
      <w:r w:rsidR="00DF782C" w:rsidRPr="0038186B">
        <w:rPr>
          <w:lang w:val="es-419"/>
        </w:rPr>
        <w:t xml:space="preserve">crearía </w:t>
      </w:r>
      <w:r w:rsidRPr="0038186B">
        <w:rPr>
          <w:lang w:val="es-419"/>
        </w:rPr>
        <w:t>la utilización de los CC.TT. la obligación de reconocer la fuente</w:t>
      </w:r>
      <w:r w:rsidR="00C62A9A" w:rsidRPr="0038186B">
        <w:rPr>
          <w:lang w:val="es-419"/>
        </w:rPr>
        <w:t xml:space="preserve">, </w:t>
      </w:r>
      <w:r w:rsidRPr="0038186B">
        <w:rPr>
          <w:lang w:val="es-419"/>
        </w:rPr>
        <w:t>compartir los benefic</w:t>
      </w:r>
      <w:r w:rsidR="00C62A9A" w:rsidRPr="0038186B">
        <w:rPr>
          <w:lang w:val="es-419"/>
        </w:rPr>
        <w:t xml:space="preserve">ios con la comunidad, o </w:t>
      </w:r>
      <w:r w:rsidRPr="0038186B">
        <w:rPr>
          <w:lang w:val="es-419"/>
        </w:rPr>
        <w:t>compensar a la comunidad o de reconocerla, y en qué casos las distintas formas de utilización se considerar</w:t>
      </w:r>
      <w:r w:rsidR="00DF782C" w:rsidRPr="0038186B">
        <w:rPr>
          <w:lang w:val="es-419"/>
        </w:rPr>
        <w:t>ía</w:t>
      </w:r>
      <w:r w:rsidRPr="0038186B">
        <w:rPr>
          <w:lang w:val="es-419"/>
        </w:rPr>
        <w:t>n enriquecimiento injusto o u</w:t>
      </w:r>
      <w:r w:rsidR="000A1988" w:rsidRPr="0038186B">
        <w:rPr>
          <w:lang w:val="es-419"/>
        </w:rPr>
        <w:t>n acto de apropiación indebida?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¿qué relación debe existir entre la forma de acceso al conocimiento</w:t>
      </w:r>
      <w:r w:rsidR="000A1988" w:rsidRPr="0038186B">
        <w:rPr>
          <w:lang w:val="es-419"/>
        </w:rPr>
        <w:t xml:space="preserve"> y su subsiguiente utilización?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a la hora de determinar si en la utilización de los conocimientos ha habido apropiación indebida o enriquecimiento injusto, ¿se tienen en cuenta las circunstancias en que se adquirió originalmente dicho conocimiento de la comunidad, o sólo se tiene en cuenta el modo en que se utilizan tales conocimientos</w:t>
      </w:r>
      <w:r w:rsidR="00FD6EEF" w:rsidRPr="0038186B">
        <w:rPr>
          <w:lang w:val="es-419"/>
        </w:rPr>
        <w:t>?</w:t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¿se limita la apropiación indebida a la explotación comercial a gran escala de tales conocimientos, o abarca también los usos no comerciales o los usos a una escala comercial limitada?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17FB2" w:rsidRPr="0038186B">
        <w:rPr>
          <w:lang w:val="es-419"/>
        </w:rPr>
        <w:t>Se ha manifestado preocupación sobre el hecho de que las normas internacionales no otorgan a las comunidades los medios de impedir que terceros se apoderen o utilicen elementos de sus CC.TT. con fines industriales o comerciales</w:t>
      </w:r>
      <w:r w:rsidR="00C671C5" w:rsidRPr="0038186B">
        <w:rPr>
          <w:lang w:val="es-419"/>
        </w:rPr>
        <w:t>,</w:t>
      </w:r>
      <w:r w:rsidR="00917FB2" w:rsidRPr="0038186B">
        <w:rPr>
          <w:lang w:val="es-419"/>
        </w:rPr>
        <w:t xml:space="preserve"> sin que se reconozca la fuente o se proporcionen los beneficios equitativos correspondientes.</w:t>
      </w:r>
      <w:r w:rsidR="009B55F6" w:rsidRPr="0038186B">
        <w:rPr>
          <w:lang w:val="es-419"/>
        </w:rPr>
        <w:t xml:space="preserve"> </w:t>
      </w:r>
      <w:r w:rsidR="00917FB2" w:rsidRPr="0038186B">
        <w:rPr>
          <w:lang w:val="es-419"/>
        </w:rPr>
        <w:t xml:space="preserve">Se ha hecho hincapié </w:t>
      </w:r>
      <w:r w:rsidR="00B361FF" w:rsidRPr="0038186B">
        <w:rPr>
          <w:lang w:val="es-419"/>
        </w:rPr>
        <w:t xml:space="preserve">también </w:t>
      </w:r>
      <w:r w:rsidR="00917FB2" w:rsidRPr="0038186B">
        <w:rPr>
          <w:lang w:val="es-419"/>
        </w:rPr>
        <w:t xml:space="preserve">en la incidencia que la falta de sanciones adecuadas </w:t>
      </w:r>
      <w:r w:rsidR="00B361FF" w:rsidRPr="0038186B">
        <w:rPr>
          <w:lang w:val="es-419"/>
        </w:rPr>
        <w:t xml:space="preserve">podría tener </w:t>
      </w:r>
      <w:r w:rsidR="00917FB2" w:rsidRPr="0038186B">
        <w:rPr>
          <w:lang w:val="es-419"/>
        </w:rPr>
        <w:t>en la reparación de los daños causados por los actos de apropiación indebida</w:t>
      </w:r>
      <w:r w:rsidR="005D52D7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Consentimiento fundamentado previo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171A6" w:rsidRPr="0038186B">
        <w:rPr>
          <w:lang w:val="es-419"/>
        </w:rPr>
        <w:t>Introducción:</w:t>
      </w:r>
      <w:r w:rsidR="00A711D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</w:t>
      </w:r>
      <w:r w:rsidR="002171A6" w:rsidRPr="0038186B">
        <w:rPr>
          <w:lang w:val="es-419"/>
        </w:rPr>
        <w:t>n e</w:t>
      </w:r>
      <w:r w:rsidR="00344979" w:rsidRPr="0038186B">
        <w:rPr>
          <w:lang w:val="es-419"/>
        </w:rPr>
        <w:t xml:space="preserve">l CDB </w:t>
      </w:r>
      <w:r w:rsidR="002171A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reconoce el derecho al consentimiento </w:t>
      </w:r>
      <w:r w:rsidR="00AE77D7" w:rsidRPr="0038186B">
        <w:rPr>
          <w:lang w:val="es-419"/>
        </w:rPr>
        <w:t xml:space="preserve">fundamentado </w:t>
      </w:r>
      <w:r w:rsidR="00344979" w:rsidRPr="0038186B">
        <w:rPr>
          <w:lang w:val="es-419"/>
        </w:rPr>
        <w:t>previo respect</w:t>
      </w:r>
      <w:r w:rsidR="002171A6" w:rsidRPr="0038186B">
        <w:rPr>
          <w:lang w:val="es-419"/>
        </w:rPr>
        <w:t>o del uso de recursos genéticos</w:t>
      </w:r>
      <w:r w:rsidR="00344979" w:rsidRPr="0038186B">
        <w:rPr>
          <w:lang w:val="es-419"/>
        </w:rPr>
        <w:t xml:space="preserve"> y las Directrices de Bonn sugieren que esto podría aplicarse también a los </w:t>
      </w:r>
      <w:r w:rsidR="002171A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El párrafo 7 del artículo 5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, dispone que, con arreglo a la legislación local, cada Parte tomará las medidas adecuadas para velar por que el acceso a los conocimientos tradicionales relacionados con los recursos genéticos que poseen las comunidades indígenas y locales se </w:t>
      </w:r>
      <w:r w:rsidR="00C62A9A" w:rsidRPr="0038186B">
        <w:rPr>
          <w:lang w:val="es-419"/>
        </w:rPr>
        <w:t>conceda</w:t>
      </w:r>
      <w:r w:rsidR="00344979" w:rsidRPr="0038186B">
        <w:rPr>
          <w:lang w:val="es-419"/>
        </w:rPr>
        <w:t xml:space="preserve"> con el consentimiento fundamentado previo o la aprobación y participación de dichas comunidades, y que se hayan fijado condiciones acordadas entre ambas partes.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no existe una norma internacional explícita en la que se reconozca expresamente el derecho al consentimiento </w:t>
      </w:r>
      <w:r w:rsidR="00AE77D7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previo respecto del uso de cualquier tipo de conocimiento tradicional.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11A66" w:rsidRPr="0038186B">
        <w:rPr>
          <w:lang w:val="es-419"/>
        </w:rPr>
        <w:tab/>
      </w:r>
      <w:r w:rsidR="00A711D8" w:rsidRPr="0038186B">
        <w:rPr>
          <w:lang w:val="es-419"/>
        </w:rPr>
        <w:t xml:space="preserve">Carencia: </w:t>
      </w:r>
      <w:r w:rsidR="00C62A9A" w:rsidRPr="0038186B">
        <w:rPr>
          <w:lang w:val="es-419"/>
        </w:rPr>
        <w:t>la existencia de u</w:t>
      </w:r>
      <w:r w:rsidR="00344979" w:rsidRPr="0038186B">
        <w:rPr>
          <w:lang w:val="es-419"/>
        </w:rPr>
        <w:t xml:space="preserve">n principio expreso sobre el consentimiento </w:t>
      </w:r>
      <w:r w:rsidR="00AE77D7" w:rsidRPr="0038186B">
        <w:rPr>
          <w:lang w:val="es-419"/>
        </w:rPr>
        <w:t>fundamentado</w:t>
      </w:r>
      <w:r w:rsidR="00C62A9A" w:rsidRPr="0038186B">
        <w:rPr>
          <w:lang w:val="es-419"/>
        </w:rPr>
        <w:t xml:space="preserve"> previo relativo a </w:t>
      </w:r>
      <w:r w:rsidR="002171A6"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que </w:t>
      </w:r>
      <w:r w:rsidR="00C62A9A" w:rsidRPr="0038186B">
        <w:rPr>
          <w:lang w:val="es-419"/>
        </w:rPr>
        <w:t>pertenezcan a un</w:t>
      </w:r>
      <w:r w:rsidR="00344979" w:rsidRPr="0038186B">
        <w:rPr>
          <w:lang w:val="es-419"/>
        </w:rPr>
        <w:t>a comunidad indígena o local reconocida.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Otra carencia </w:t>
      </w:r>
      <w:r w:rsidR="00E90FBA" w:rsidRPr="0038186B">
        <w:rPr>
          <w:lang w:val="es-419"/>
        </w:rPr>
        <w:t xml:space="preserve">que se destaca en </w:t>
      </w:r>
      <w:r w:rsidR="00B361FF" w:rsidRPr="0038186B">
        <w:rPr>
          <w:lang w:val="es-419"/>
        </w:rPr>
        <w:t>los comentarios se re</w:t>
      </w:r>
      <w:r w:rsidR="00E90FBA" w:rsidRPr="0038186B">
        <w:rPr>
          <w:lang w:val="es-419"/>
        </w:rPr>
        <w:t>fiere a</w:t>
      </w:r>
      <w:r w:rsidR="00B361FF" w:rsidRPr="0038186B">
        <w:rPr>
          <w:lang w:val="es-419"/>
        </w:rPr>
        <w:t xml:space="preserve"> </w:t>
      </w:r>
      <w:r w:rsidR="00C671C5" w:rsidRPr="0038186B">
        <w:rPr>
          <w:lang w:val="es-419"/>
        </w:rPr>
        <w:t xml:space="preserve">la posibilidad de que </w:t>
      </w:r>
      <w:r w:rsidR="00B361FF" w:rsidRPr="0038186B">
        <w:rPr>
          <w:lang w:val="es-419"/>
        </w:rPr>
        <w:t xml:space="preserve">las obligaciones relativas al consentimiento </w:t>
      </w:r>
      <w:r w:rsidR="00AE77D7" w:rsidRPr="0038186B">
        <w:rPr>
          <w:lang w:val="es-419"/>
        </w:rPr>
        <w:t>fundamentado</w:t>
      </w:r>
      <w:r w:rsidR="00B361FF" w:rsidRPr="0038186B">
        <w:rPr>
          <w:lang w:val="es-419"/>
        </w:rPr>
        <w:t xml:space="preserve"> previo y la legislación </w:t>
      </w:r>
      <w:r w:rsidR="00C671C5" w:rsidRPr="0038186B">
        <w:rPr>
          <w:lang w:val="es-419"/>
        </w:rPr>
        <w:t>sobre la</w:t>
      </w:r>
      <w:r w:rsidR="00B361FF" w:rsidRPr="0038186B">
        <w:rPr>
          <w:lang w:val="es-419"/>
        </w:rPr>
        <w:t xml:space="preserve"> participación en los beneficios vigentes en un país n</w:t>
      </w:r>
      <w:r w:rsidR="00C671C5" w:rsidRPr="0038186B">
        <w:rPr>
          <w:lang w:val="es-419"/>
        </w:rPr>
        <w:t xml:space="preserve">o se apliquen en un tercero, lo </w:t>
      </w:r>
      <w:r w:rsidR="00B361FF" w:rsidRPr="0038186B">
        <w:rPr>
          <w:lang w:val="es-419"/>
        </w:rPr>
        <w:t xml:space="preserve">que </w:t>
      </w:r>
      <w:r w:rsidR="00E90FBA" w:rsidRPr="0038186B">
        <w:rPr>
          <w:lang w:val="es-419"/>
        </w:rPr>
        <w:t xml:space="preserve">pone de manifiesto las dificultades que puede plantear </w:t>
      </w:r>
      <w:r w:rsidR="00B361FF" w:rsidRPr="0038186B">
        <w:rPr>
          <w:lang w:val="es-419"/>
        </w:rPr>
        <w:t xml:space="preserve">la aplicación extraterritorial de dicha legislación por los tribunales de terceros países, con independencia de que existan o no normas internacionales para la protección de los </w:t>
      </w:r>
      <w:r w:rsidR="001C5882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</w:t>
      </w:r>
      <w:r w:rsidR="0055024F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investigadora etnobotánica está llevando a cabo un programa de investigación de campo relativo a los conocimientos tradicionales de una comunidad determinada.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investigadora no tiene </w:t>
      </w:r>
      <w:r w:rsidR="0055024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obligación</w:t>
      </w:r>
      <w:r w:rsidR="0055024F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obtener el consentimiento de la comunidad antes</w:t>
      </w:r>
      <w:r w:rsidR="0055024F" w:rsidRPr="0038186B">
        <w:rPr>
          <w:lang w:val="es-419"/>
        </w:rPr>
        <w:t xml:space="preserve"> de recopilar conocimientos</w:t>
      </w:r>
      <w:r w:rsidR="009B55F6" w:rsidRPr="0038186B">
        <w:rPr>
          <w:lang w:val="es-419"/>
        </w:rPr>
        <w:t xml:space="preserve"> </w:t>
      </w:r>
      <w:r w:rsidR="0055024F" w:rsidRPr="0038186B">
        <w:rPr>
          <w:lang w:val="es-419"/>
        </w:rPr>
        <w:t>y</w:t>
      </w:r>
      <w:r w:rsidR="00344979" w:rsidRPr="0038186B">
        <w:rPr>
          <w:lang w:val="es-419"/>
        </w:rPr>
        <w:t xml:space="preserve"> </w:t>
      </w:r>
      <w:r w:rsidR="0055024F" w:rsidRPr="0038186B">
        <w:rPr>
          <w:lang w:val="es-419"/>
        </w:rPr>
        <w:t xml:space="preserve">ella podría luego difundir libremente </w:t>
      </w:r>
      <w:r w:rsidR="00197EA8" w:rsidRPr="0038186B">
        <w:rPr>
          <w:lang w:val="es-419"/>
        </w:rPr>
        <w:t xml:space="preserve">esos conocimientos </w:t>
      </w:r>
      <w:r w:rsidR="00344979" w:rsidRPr="0038186B">
        <w:rPr>
          <w:lang w:val="es-419"/>
        </w:rPr>
        <w:t xml:space="preserve">a otras personas, </w:t>
      </w:r>
      <w:r w:rsidR="0055024F" w:rsidRPr="0038186B">
        <w:rPr>
          <w:lang w:val="es-419"/>
        </w:rPr>
        <w:t xml:space="preserve">que podrían </w:t>
      </w:r>
      <w:r w:rsidR="00344979" w:rsidRPr="0038186B">
        <w:rPr>
          <w:lang w:val="es-419"/>
        </w:rPr>
        <w:t>utilizarlos comercial o industrialmente.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62A9A" w:rsidRPr="0038186B">
        <w:rPr>
          <w:lang w:val="es-419"/>
        </w:rPr>
        <w:t>T</w:t>
      </w:r>
      <w:r w:rsidR="00B361FF" w:rsidRPr="0038186B">
        <w:rPr>
          <w:lang w:val="es-419"/>
        </w:rPr>
        <w:t xml:space="preserve">ambién </w:t>
      </w:r>
      <w:r w:rsidR="00197EA8" w:rsidRPr="0038186B">
        <w:rPr>
          <w:lang w:val="es-419"/>
        </w:rPr>
        <w:t>podr</w:t>
      </w:r>
      <w:r w:rsidR="00C62A9A" w:rsidRPr="0038186B">
        <w:rPr>
          <w:lang w:val="es-419"/>
        </w:rPr>
        <w:t>ía</w:t>
      </w:r>
      <w:r w:rsidR="00197EA8" w:rsidRPr="0038186B">
        <w:rPr>
          <w:lang w:val="es-419"/>
        </w:rPr>
        <w:t xml:space="preserve"> haber una carencia</w:t>
      </w:r>
      <w:r w:rsidR="00C62A9A" w:rsidRPr="0038186B">
        <w:rPr>
          <w:lang w:val="es-419"/>
        </w:rPr>
        <w:t xml:space="preserve"> en términos prácticos:</w:t>
      </w:r>
      <w:r w:rsidR="00B361FF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es preciso contar con </w:t>
      </w:r>
      <w:r w:rsidR="00B361FF" w:rsidRPr="0038186B">
        <w:rPr>
          <w:lang w:val="es-419"/>
        </w:rPr>
        <w:t>a</w:t>
      </w:r>
      <w:r w:rsidR="007D3824" w:rsidRPr="0038186B">
        <w:rPr>
          <w:lang w:val="es-419"/>
        </w:rPr>
        <w:t>sistencia</w:t>
      </w:r>
      <w:r w:rsidR="00B361FF" w:rsidRPr="0038186B">
        <w:rPr>
          <w:lang w:val="es-419"/>
        </w:rPr>
        <w:t xml:space="preserve"> práctica para </w:t>
      </w:r>
      <w:r w:rsidR="00197EA8" w:rsidRPr="0038186B">
        <w:rPr>
          <w:lang w:val="es-419"/>
        </w:rPr>
        <w:t>crear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un sistema </w:t>
      </w:r>
      <w:r w:rsidR="007D3824" w:rsidRPr="0038186B">
        <w:rPr>
          <w:lang w:val="es-419"/>
        </w:rPr>
        <w:t xml:space="preserve">eficaz </w:t>
      </w:r>
      <w:r w:rsidR="00B361FF" w:rsidRPr="0038186B">
        <w:rPr>
          <w:lang w:val="es-419"/>
        </w:rPr>
        <w:t xml:space="preserve">de certificación </w:t>
      </w:r>
      <w:r w:rsidR="007D3824" w:rsidRPr="0038186B">
        <w:rPr>
          <w:lang w:val="es-419"/>
        </w:rPr>
        <w:t>y de bases de datos</w:t>
      </w:r>
      <w:r w:rsidR="00B361FF" w:rsidRPr="0038186B">
        <w:rPr>
          <w:lang w:val="es-419"/>
        </w:rPr>
        <w:t xml:space="preserve">, </w:t>
      </w:r>
      <w:r w:rsidR="00197EA8" w:rsidRPr="0038186B">
        <w:rPr>
          <w:lang w:val="es-419"/>
        </w:rPr>
        <w:t>y</w:t>
      </w:r>
      <w:r w:rsidR="007D3824" w:rsidRPr="0038186B">
        <w:rPr>
          <w:lang w:val="es-419"/>
        </w:rPr>
        <w:t xml:space="preserve"> también </w:t>
      </w:r>
      <w:r w:rsidR="00B361FF" w:rsidRPr="0038186B">
        <w:rPr>
          <w:lang w:val="es-419"/>
        </w:rPr>
        <w:t>a</w:t>
      </w:r>
      <w:r w:rsidR="007D3824" w:rsidRPr="0038186B">
        <w:rPr>
          <w:lang w:val="es-419"/>
        </w:rPr>
        <w:t xml:space="preserve">poyo </w:t>
      </w:r>
      <w:r w:rsidR="00B361FF" w:rsidRPr="0038186B">
        <w:rPr>
          <w:lang w:val="es-419"/>
        </w:rPr>
        <w:t xml:space="preserve">institucional y </w:t>
      </w:r>
      <w:r w:rsidR="00197EA8" w:rsidRPr="0038186B">
        <w:rPr>
          <w:lang w:val="es-419"/>
        </w:rPr>
        <w:t xml:space="preserve">un marco legislativo </w:t>
      </w:r>
      <w:r w:rsidR="00B361FF" w:rsidRPr="0038186B">
        <w:rPr>
          <w:lang w:val="es-419"/>
        </w:rPr>
        <w:t xml:space="preserve">para </w:t>
      </w:r>
      <w:r w:rsidR="007D3824" w:rsidRPr="0038186B">
        <w:rPr>
          <w:lang w:val="es-419"/>
        </w:rPr>
        <w:t>la certificación del</w:t>
      </w:r>
      <w:r w:rsidR="00B361FF" w:rsidRPr="0038186B">
        <w:rPr>
          <w:lang w:val="es-419"/>
        </w:rPr>
        <w:t xml:space="preserve"> consentimiento fundamentado previo, </w:t>
      </w:r>
      <w:r w:rsidR="007D3824" w:rsidRPr="0038186B">
        <w:rPr>
          <w:lang w:val="es-419"/>
        </w:rPr>
        <w:t xml:space="preserve">en </w:t>
      </w:r>
      <w:r w:rsidR="00B361FF" w:rsidRPr="0038186B">
        <w:rPr>
          <w:lang w:val="es-419"/>
        </w:rPr>
        <w:t>especial el consentimiento de las c</w:t>
      </w:r>
      <w:r w:rsidR="007D3824" w:rsidRPr="0038186B">
        <w:rPr>
          <w:lang w:val="es-419"/>
        </w:rPr>
        <w:t>omunidades locales e indígenas.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A </w:t>
      </w:r>
      <w:r w:rsidR="00B361FF" w:rsidRPr="0038186B">
        <w:rPr>
          <w:lang w:val="es-419"/>
        </w:rPr>
        <w:t xml:space="preserve">corto plazo, </w:t>
      </w:r>
      <w:r w:rsidR="007D3824" w:rsidRPr="0038186B">
        <w:rPr>
          <w:lang w:val="es-419"/>
        </w:rPr>
        <w:t>es</w:t>
      </w:r>
      <w:r w:rsidR="00197EA8" w:rsidRPr="0038186B">
        <w:rPr>
          <w:lang w:val="es-419"/>
        </w:rPr>
        <w:t>a asistencia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>ayudar</w:t>
      </w:r>
      <w:r w:rsidR="007D3824" w:rsidRPr="0038186B">
        <w:rPr>
          <w:lang w:val="es-419"/>
        </w:rPr>
        <w:t>ía</w:t>
      </w:r>
      <w:r w:rsidR="00B361FF" w:rsidRPr="0038186B">
        <w:rPr>
          <w:lang w:val="es-419"/>
        </w:rPr>
        <w:t xml:space="preserve"> a </w:t>
      </w:r>
      <w:r w:rsidR="007D3824" w:rsidRPr="0038186B">
        <w:rPr>
          <w:lang w:val="es-419"/>
        </w:rPr>
        <w:t xml:space="preserve">hacer frente a </w:t>
      </w:r>
      <w:r w:rsidR="00B361FF" w:rsidRPr="0038186B">
        <w:rPr>
          <w:lang w:val="es-419"/>
        </w:rPr>
        <w:t>los problemas que plantea</w:t>
      </w:r>
      <w:r w:rsidR="00AE77D7" w:rsidRPr="0038186B">
        <w:rPr>
          <w:lang w:val="es-419"/>
        </w:rPr>
        <w:t>n</w:t>
      </w:r>
      <w:r w:rsidR="00B361FF" w:rsidRPr="0038186B">
        <w:rPr>
          <w:lang w:val="es-419"/>
        </w:rPr>
        <w:t xml:space="preserve"> la apropiación y la utilización indebidas</w:t>
      </w:r>
      <w:r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Derecho al reconocimiento y la integridad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EA8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 usuario de conocimientos tradicionales normalmente no tiene la obligación de reconocer la fuente o el origen de los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Además, el usuario no tiene obligación de tratar ese conocimiento con respecto, por ejemplo cuando determinados usos resultan ofensivos </w:t>
      </w:r>
      <w:r w:rsidR="00911C59" w:rsidRPr="0038186B">
        <w:rPr>
          <w:lang w:val="es-419"/>
        </w:rPr>
        <w:t>para la cultura en cuestión</w:t>
      </w:r>
      <w:r w:rsidR="00344979" w:rsidRPr="0038186B">
        <w:rPr>
          <w:lang w:val="es-419"/>
        </w:rPr>
        <w:t xml:space="preserve">, o cuando los conocimientos tradicionales se emplean de </w:t>
      </w:r>
      <w:r w:rsidR="00C62A9A" w:rsidRPr="0038186B">
        <w:rPr>
          <w:lang w:val="es-419"/>
        </w:rPr>
        <w:t xml:space="preserve">tal </w:t>
      </w:r>
      <w:r w:rsidR="00344979" w:rsidRPr="0038186B">
        <w:rPr>
          <w:lang w:val="es-419"/>
        </w:rPr>
        <w:t>manera que menoscaban su autenticidad o integridad.</w:t>
      </w:r>
      <w:r w:rsidR="001A60B0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En muchos casos, puede ser difícil o </w:t>
      </w:r>
      <w:r w:rsidR="00911C59" w:rsidRPr="0038186B">
        <w:rPr>
          <w:lang w:val="es-419"/>
        </w:rPr>
        <w:t>incluso</w:t>
      </w:r>
      <w:r w:rsidR="007D3824" w:rsidRPr="0038186B">
        <w:rPr>
          <w:lang w:val="es-419"/>
        </w:rPr>
        <w:t xml:space="preserve"> imposible identificar todas las fuentes del conocimiento, y puede ser inapropiado o socialm</w:t>
      </w:r>
      <w:r w:rsidR="00911C59" w:rsidRPr="0038186B">
        <w:rPr>
          <w:lang w:val="es-419"/>
        </w:rPr>
        <w:t>ente contraproducente conceder el</w:t>
      </w:r>
      <w:r w:rsidR="007D3824" w:rsidRPr="0038186B">
        <w:rPr>
          <w:lang w:val="es-419"/>
        </w:rPr>
        <w:t xml:space="preserve"> derecho a oponerse a determinados usos de los CC.TT.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Se ha señalado, no obstante, la importancia de contar con un mecanismo de este tipo, al menos en el caso de CC.TT. que tienen un valor sagrado particular o que están especialmente vinculados con la identidad colectiva de una comunidad.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No existe formalmente tal requisito en las normas internacionales, y en ese sentido técnico puede decirse que hay una carencia, lo que no implica que sea necesario subsanarla, ni en qué modo o hasta qué punto sería necesario hacerlo;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éstas </w:t>
      </w:r>
      <w:r w:rsidR="003D6640" w:rsidRPr="0038186B">
        <w:rPr>
          <w:lang w:val="es-419"/>
        </w:rPr>
        <w:t>s</w:t>
      </w:r>
      <w:r w:rsidR="007D3824" w:rsidRPr="0038186B">
        <w:rPr>
          <w:lang w:val="es-419"/>
        </w:rPr>
        <w:t xml:space="preserve">on </w:t>
      </w:r>
      <w:r w:rsidR="003D6640" w:rsidRPr="0038186B">
        <w:rPr>
          <w:lang w:val="es-419"/>
        </w:rPr>
        <w:t xml:space="preserve">complejas </w:t>
      </w:r>
      <w:r w:rsidR="007D3824" w:rsidRPr="0038186B">
        <w:rPr>
          <w:lang w:val="es-419"/>
        </w:rPr>
        <w:t xml:space="preserve">cuestiones de política que </w:t>
      </w:r>
      <w:r w:rsidR="003D6640" w:rsidRPr="0038186B">
        <w:rPr>
          <w:lang w:val="es-419"/>
        </w:rPr>
        <w:t>han de</w:t>
      </w:r>
      <w:r w:rsidR="007D3824" w:rsidRPr="0038186B">
        <w:rPr>
          <w:lang w:val="es-419"/>
        </w:rPr>
        <w:t xml:space="preserve"> examinarse </w:t>
      </w:r>
      <w:r w:rsidR="003D6640" w:rsidRPr="0038186B">
        <w:rPr>
          <w:lang w:val="es-419"/>
        </w:rPr>
        <w:t>con detenimiento</w:t>
      </w:r>
      <w:r w:rsidR="007D3824" w:rsidRPr="0038186B">
        <w:rPr>
          <w:lang w:val="es-419"/>
        </w:rPr>
        <w:t xml:space="preserve">. Con todo, </w:t>
      </w:r>
      <w:r w:rsidR="003D6640" w:rsidRPr="0038186B">
        <w:rPr>
          <w:lang w:val="es-419"/>
        </w:rPr>
        <w:t xml:space="preserve">se puede afirmar que, desde una perspectiva formal, existe una </w:t>
      </w:r>
      <w:r w:rsidR="007D3824" w:rsidRPr="0038186B">
        <w:rPr>
          <w:lang w:val="es-419"/>
        </w:rPr>
        <w:t>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Derecho a oponerse </w:t>
      </w:r>
      <w:r w:rsidR="00C62A9A" w:rsidRPr="0038186B">
        <w:rPr>
          <w:lang w:val="es-419"/>
        </w:rPr>
        <w:t>a que se utilicen los</w:t>
      </w:r>
      <w:r w:rsidR="00344979" w:rsidRPr="0038186B">
        <w:rPr>
          <w:lang w:val="es-419"/>
        </w:rPr>
        <w:t xml:space="preserve"> conocimientos tradicionales sin el reconocimiento explícito de la comunidad de origen de </w:t>
      </w:r>
      <w:r w:rsidR="00C62A9A" w:rsidRPr="0038186B">
        <w:rPr>
          <w:lang w:val="es-419"/>
        </w:rPr>
        <w:t>dichos</w:t>
      </w:r>
      <w:r w:rsidR="00344979" w:rsidRPr="0038186B">
        <w:rPr>
          <w:lang w:val="es-419"/>
        </w:rPr>
        <w:t xml:space="preserve">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Derecho a oponerse al uso de conocimientos tradicionales cuando su uso suponga un agravio cultural o espiritual o menoscabe de otro modo su integridad.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tercero utiliza en un producto comercial </w:t>
      </w:r>
      <w:r w:rsidR="0096124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son característicos de una comunidad determinada;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se reconoce a dicha comunidad como fuente, descubridora o custodio tradicional de esos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otro caso, un producto de características </w:t>
      </w:r>
      <w:r w:rsidR="00961244" w:rsidRPr="0038186B">
        <w:rPr>
          <w:lang w:val="es-419"/>
        </w:rPr>
        <w:t xml:space="preserve">similares </w:t>
      </w:r>
      <w:r w:rsidR="00344979" w:rsidRPr="0038186B">
        <w:rPr>
          <w:lang w:val="es-419"/>
        </w:rPr>
        <w:t xml:space="preserve">se presenta y distribuye de manera que menosprecia u ofende a la comunidad original (esto </w:t>
      </w:r>
      <w:r w:rsidR="003D6640" w:rsidRPr="0038186B">
        <w:rPr>
          <w:lang w:val="es-419"/>
        </w:rPr>
        <w:t>último</w:t>
      </w:r>
      <w:r w:rsidR="00344979" w:rsidRPr="0038186B">
        <w:rPr>
          <w:lang w:val="es-419"/>
        </w:rPr>
        <w:t xml:space="preserve"> queda parcial</w:t>
      </w:r>
      <w:r w:rsidR="00911C59" w:rsidRPr="0038186B">
        <w:rPr>
          <w:lang w:val="es-419"/>
        </w:rPr>
        <w:t>mente amparado por el a</w:t>
      </w:r>
      <w:r w:rsidR="00344979" w:rsidRPr="0038186B">
        <w:rPr>
          <w:lang w:val="es-419"/>
        </w:rPr>
        <w:t>rtículo 10bis del Convenio de París).</w:t>
      </w:r>
    </w:p>
    <w:p w:rsidR="00DF5574" w:rsidRPr="0038186B" w:rsidRDefault="00A711D8" w:rsidP="008F2F55">
      <w:pPr>
        <w:pStyle w:val="Heading3"/>
        <w:rPr>
          <w:i/>
          <w:lang w:val="es-419"/>
        </w:rPr>
      </w:pPr>
      <w:bookmarkStart w:id="48" w:name="_Toc116899024"/>
      <w:r w:rsidRPr="0038186B">
        <w:rPr>
          <w:i/>
          <w:lang w:val="es-419"/>
        </w:rPr>
        <w:t>v)</w:t>
      </w:r>
      <w:r w:rsidRPr="0038186B">
        <w:rPr>
          <w:i/>
          <w:lang w:val="es-419"/>
        </w:rPr>
        <w:tab/>
      </w:r>
      <w:r w:rsidR="00E11373" w:rsidRPr="0038186B">
        <w:rPr>
          <w:i/>
          <w:lang w:val="es-419"/>
        </w:rPr>
        <w:t>Inexistencia</w:t>
      </w:r>
      <w:r w:rsidR="009B55F6" w:rsidRPr="0038186B">
        <w:rPr>
          <w:i/>
          <w:lang w:val="es-419"/>
        </w:rPr>
        <w:t xml:space="preserve"> </w:t>
      </w:r>
      <w:r w:rsidR="00344979" w:rsidRPr="0038186B">
        <w:rPr>
          <w:i/>
          <w:lang w:val="es-419"/>
        </w:rPr>
        <w:t>de</w:t>
      </w:r>
      <w:r w:rsidR="00081CC8" w:rsidRPr="0038186B">
        <w:rPr>
          <w:i/>
          <w:lang w:val="es-419"/>
        </w:rPr>
        <w:t>l</w:t>
      </w:r>
      <w:r w:rsidR="00344979" w:rsidRPr="0038186B">
        <w:rPr>
          <w:i/>
          <w:lang w:val="es-419"/>
        </w:rPr>
        <w:t xml:space="preserve"> derecho a obtener una remuneración u otros beneficios.</w:t>
      </w:r>
      <w:bookmarkEnd w:id="4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C6479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analogía con el derecho a obtener una remuneración equitativa </w:t>
      </w:r>
      <w:r w:rsidR="00081CC8" w:rsidRPr="0038186B">
        <w:rPr>
          <w:lang w:val="es-419"/>
        </w:rPr>
        <w:t xml:space="preserve">previsto </w:t>
      </w:r>
      <w:r w:rsidR="00344979" w:rsidRPr="0038186B">
        <w:rPr>
          <w:lang w:val="es-419"/>
        </w:rPr>
        <w:t xml:space="preserve">en algunos sistemas de </w:t>
      </w:r>
      <w:r w:rsidR="00081CC8" w:rsidRPr="0038186B">
        <w:rPr>
          <w:lang w:val="es-419"/>
        </w:rPr>
        <w:t>PI</w:t>
      </w:r>
      <w:r w:rsidR="00344979" w:rsidRPr="0038186B">
        <w:rPr>
          <w:lang w:val="es-419"/>
        </w:rPr>
        <w:t>, y de</w:t>
      </w:r>
      <w:r w:rsidR="00081CC8" w:rsidRPr="0038186B">
        <w:rPr>
          <w:lang w:val="es-419"/>
        </w:rPr>
        <w:t xml:space="preserve"> acuerdo con las teorías de la “</w:t>
      </w:r>
      <w:r w:rsidR="00344979" w:rsidRPr="0038186B">
        <w:rPr>
          <w:lang w:val="es-419"/>
        </w:rPr>
        <w:t xml:space="preserve">responsabilidad pecuniaria” y el principio de la participación equitativa en los beneficios, se ha propuesto que los titulares de </w:t>
      </w:r>
      <w:r w:rsidR="00081CC8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tengan</w:t>
      </w:r>
      <w:r w:rsidR="00344979" w:rsidRPr="0038186B">
        <w:rPr>
          <w:lang w:val="es-419"/>
        </w:rPr>
        <w:t xml:space="preserve"> derecho a recibir una parte equitativa de los beneficios que otras personas obtienen del uso de sus conocimie</w:t>
      </w:r>
      <w:r w:rsidR="00930EA8" w:rsidRPr="0038186B">
        <w:rPr>
          <w:lang w:val="es-419"/>
        </w:rPr>
        <w:t>ntos, particularmente cuando es</w:t>
      </w:r>
      <w:r w:rsidR="00344979" w:rsidRPr="0038186B">
        <w:rPr>
          <w:lang w:val="es-419"/>
        </w:rPr>
        <w:t xml:space="preserve">e uso </w:t>
      </w:r>
      <w:r w:rsidR="00930EA8" w:rsidRPr="0038186B">
        <w:rPr>
          <w:lang w:val="es-419"/>
        </w:rPr>
        <w:t xml:space="preserve">conlleva </w:t>
      </w:r>
      <w:r w:rsidR="00344979" w:rsidRPr="0038186B">
        <w:rPr>
          <w:lang w:val="es-419"/>
        </w:rPr>
        <w:t>un</w:t>
      </w:r>
      <w:r w:rsidR="00930EA8" w:rsidRPr="0038186B">
        <w:rPr>
          <w:lang w:val="es-419"/>
        </w:rPr>
        <w:t xml:space="preserve"> beneficio </w:t>
      </w:r>
      <w:r w:rsidR="00344979" w:rsidRPr="0038186B">
        <w:rPr>
          <w:lang w:val="es-419"/>
        </w:rPr>
        <w:t>financier</w:t>
      </w:r>
      <w:r w:rsidR="00930EA8" w:rsidRPr="0038186B">
        <w:rPr>
          <w:lang w:val="es-419"/>
        </w:rPr>
        <w:t>o o comercial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930EA8" w:rsidRPr="0038186B">
        <w:rPr>
          <w:lang w:val="es-419"/>
        </w:rPr>
        <w:t>aunque</w:t>
      </w:r>
      <w:r w:rsidR="00344979" w:rsidRPr="0038186B">
        <w:rPr>
          <w:lang w:val="es-419"/>
        </w:rPr>
        <w:t xml:space="preserve"> los beneficios no </w:t>
      </w:r>
      <w:r w:rsidR="00930EA8" w:rsidRPr="0038186B">
        <w:rPr>
          <w:lang w:val="es-419"/>
        </w:rPr>
        <w:t xml:space="preserve">deben ser necesariamente </w:t>
      </w:r>
      <w:r w:rsidR="00344979" w:rsidRPr="0038186B">
        <w:rPr>
          <w:lang w:val="es-419"/>
        </w:rPr>
        <w:t xml:space="preserve">financieros o monetarios, </w:t>
      </w:r>
      <w:r w:rsidR="00930EA8" w:rsidRPr="0038186B">
        <w:rPr>
          <w:lang w:val="es-419"/>
        </w:rPr>
        <w:t xml:space="preserve">sobre todo en los casos en que van </w:t>
      </w:r>
      <w:r w:rsidR="00344979" w:rsidRPr="0038186B">
        <w:rPr>
          <w:lang w:val="es-419"/>
        </w:rPr>
        <w:t>en contra de los valores o de los deseos expresos de la comunidad interesada)</w:t>
      </w:r>
      <w:r w:rsidR="003D6640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D6640" w:rsidRPr="0038186B">
        <w:rPr>
          <w:lang w:val="es-419"/>
        </w:rPr>
        <w:t>Los titulares de CC.TT. pueden ser muy di</w:t>
      </w:r>
      <w:r w:rsidR="000C69F8" w:rsidRPr="0038186B">
        <w:rPr>
          <w:lang w:val="es-419"/>
        </w:rPr>
        <w:t>ferentes</w:t>
      </w:r>
      <w:r w:rsidR="003D6640" w:rsidRPr="0038186B">
        <w:rPr>
          <w:lang w:val="es-419"/>
        </w:rPr>
        <w:t>:</w:t>
      </w:r>
      <w:r w:rsidR="009B55F6" w:rsidRPr="0038186B">
        <w:rPr>
          <w:lang w:val="es-419"/>
        </w:rPr>
        <w:t xml:space="preserve"> </w:t>
      </w:r>
      <w:r w:rsidR="000C69F8" w:rsidRPr="0038186B">
        <w:rPr>
          <w:lang w:val="es-419"/>
        </w:rPr>
        <w:t xml:space="preserve">puede tratarse de </w:t>
      </w:r>
      <w:r w:rsidR="003D6640" w:rsidRPr="0038186B">
        <w:rPr>
          <w:lang w:val="es-419"/>
        </w:rPr>
        <w:t xml:space="preserve">una persona </w:t>
      </w:r>
      <w:r w:rsidR="000C69F8" w:rsidRPr="0038186B">
        <w:rPr>
          <w:lang w:val="es-419"/>
        </w:rPr>
        <w:t xml:space="preserve">que tiene </w:t>
      </w:r>
      <w:r w:rsidR="003D6640" w:rsidRPr="0038186B">
        <w:rPr>
          <w:lang w:val="es-419"/>
        </w:rPr>
        <w:t xml:space="preserve">derecho a una compensación o a recibir beneficios, o bien de CC.TT. </w:t>
      </w:r>
      <w:r w:rsidR="00886D86" w:rsidRPr="0038186B">
        <w:rPr>
          <w:lang w:val="es-419"/>
        </w:rPr>
        <w:t xml:space="preserve">cuyo origen sea </w:t>
      </w:r>
      <w:r w:rsidR="003D6640" w:rsidRPr="0038186B">
        <w:rPr>
          <w:lang w:val="es-419"/>
        </w:rPr>
        <w:t xml:space="preserve">tan difuso que </w:t>
      </w:r>
      <w:r w:rsidR="00886D86" w:rsidRPr="0038186B">
        <w:rPr>
          <w:lang w:val="es-419"/>
        </w:rPr>
        <w:t xml:space="preserve">solo un fondo nacional, mundial o regional permitiría </w:t>
      </w:r>
      <w:r w:rsidR="0027795E" w:rsidRPr="0038186B">
        <w:rPr>
          <w:lang w:val="es-419"/>
        </w:rPr>
        <w:t xml:space="preserve">garantizar una distribución equitativa de los </w:t>
      </w:r>
      <w:r w:rsidR="003D6640" w:rsidRPr="0038186B">
        <w:rPr>
          <w:lang w:val="es-419"/>
        </w:rPr>
        <w:t>beneficios.</w:t>
      </w:r>
      <w:r w:rsidR="009B55F6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Así pues, a la hora de analizar las </w:t>
      </w:r>
      <w:r w:rsidR="003D6640" w:rsidRPr="0038186B">
        <w:rPr>
          <w:lang w:val="es-419"/>
        </w:rPr>
        <w:t>carencia</w:t>
      </w:r>
      <w:r w:rsidR="0027795E" w:rsidRPr="0038186B">
        <w:rPr>
          <w:lang w:val="es-419"/>
        </w:rPr>
        <w:t>s, además del</w:t>
      </w:r>
      <w:r w:rsidR="003D6640" w:rsidRPr="0038186B">
        <w:rPr>
          <w:lang w:val="es-419"/>
        </w:rPr>
        <w:t xml:space="preserve"> posible derecho a recibir una remuneración justa, cabría también tener en cuenta la falta de marcos institucionales apropiados para gestionar y </w:t>
      </w:r>
      <w:r w:rsidR="00886D86" w:rsidRPr="0038186B">
        <w:rPr>
          <w:lang w:val="es-419"/>
        </w:rPr>
        <w:t>distribuir</w:t>
      </w:r>
      <w:r w:rsidR="00A258D3" w:rsidRPr="0038186B">
        <w:rPr>
          <w:lang w:val="es-419"/>
        </w:rPr>
        <w:t xml:space="preserve"> los beneficios, sean estos </w:t>
      </w:r>
      <w:r w:rsidR="003D6640" w:rsidRPr="0038186B">
        <w:rPr>
          <w:lang w:val="es-419"/>
        </w:rPr>
        <w:t>financieros o de otra índole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795E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>Derecho colectivo a una remuneración equitativa u otro tipo de participación equitativa en los beneficios derivados del uso comerci</w:t>
      </w:r>
      <w:r w:rsidR="0052675F" w:rsidRPr="0038186B">
        <w:rPr>
          <w:lang w:val="es-419"/>
        </w:rPr>
        <w:t>al de CC.TT. en general, u otras formas de obtener beneficios</w:t>
      </w:r>
      <w:r w:rsidR="00A258D3" w:rsidRPr="0038186B">
        <w:rPr>
          <w:lang w:val="es-419"/>
        </w:rPr>
        <w:t xml:space="preserve"> de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los CC.TT., </w:t>
      </w:r>
      <w:r w:rsidR="00A258D3" w:rsidRPr="0038186B">
        <w:rPr>
          <w:lang w:val="es-419"/>
        </w:rPr>
        <w:t>además</w:t>
      </w:r>
      <w:r w:rsidR="0052675F" w:rsidRPr="0038186B">
        <w:rPr>
          <w:lang w:val="es-419"/>
        </w:rPr>
        <w:t xml:space="preserve"> de </w:t>
      </w:r>
      <w:r w:rsidR="00CA2BE8" w:rsidRPr="0038186B">
        <w:rPr>
          <w:lang w:val="es-419"/>
        </w:rPr>
        <w:t>l</w:t>
      </w:r>
      <w:r w:rsidR="00A258D3" w:rsidRPr="0038186B">
        <w:rPr>
          <w:lang w:val="es-419"/>
        </w:rPr>
        <w:t>os derechos</w:t>
      </w:r>
      <w:r w:rsidR="00CA2BE8" w:rsidRPr="0038186B">
        <w:rPr>
          <w:lang w:val="es-419"/>
        </w:rPr>
        <w:t xml:space="preserve"> previst</w:t>
      </w:r>
      <w:r w:rsidR="00A258D3" w:rsidRPr="0038186B">
        <w:rPr>
          <w:lang w:val="es-419"/>
        </w:rPr>
        <w:t>o</w:t>
      </w:r>
      <w:r w:rsidR="0052675F" w:rsidRPr="0038186B">
        <w:rPr>
          <w:lang w:val="es-419"/>
        </w:rPr>
        <w:t xml:space="preserve">s para </w:t>
      </w:r>
      <w:r w:rsidR="00A258D3" w:rsidRPr="0038186B">
        <w:rPr>
          <w:lang w:val="es-419"/>
        </w:rPr>
        <w:t xml:space="preserve">determinadas </w:t>
      </w:r>
      <w:r w:rsidR="0052675F" w:rsidRPr="0038186B">
        <w:rPr>
          <w:lang w:val="es-419"/>
        </w:rPr>
        <w:t xml:space="preserve">formas de conocimientos tradicionales, </w:t>
      </w:r>
      <w:r w:rsidR="0027795E" w:rsidRPr="0038186B">
        <w:rPr>
          <w:lang w:val="es-419"/>
        </w:rPr>
        <w:t xml:space="preserve">como </w:t>
      </w:r>
      <w:r w:rsidR="00A258D3" w:rsidRPr="0038186B">
        <w:rPr>
          <w:lang w:val="es-419"/>
        </w:rPr>
        <w:t>lo</w:t>
      </w:r>
      <w:r w:rsidR="0052675F" w:rsidRPr="0038186B">
        <w:rPr>
          <w:lang w:val="es-419"/>
        </w:rPr>
        <w:t xml:space="preserve">s vinculados a la </w:t>
      </w:r>
      <w:r w:rsidR="0027795E" w:rsidRPr="0038186B">
        <w:rPr>
          <w:lang w:val="es-419"/>
        </w:rPr>
        <w:t xml:space="preserve">biodiversidad en </w:t>
      </w:r>
      <w:r w:rsidR="0052675F" w:rsidRPr="0038186B">
        <w:rPr>
          <w:lang w:val="es-419"/>
        </w:rPr>
        <w:t>virtud del</w:t>
      </w:r>
      <w:r w:rsidR="0027795E" w:rsidRPr="0038186B">
        <w:rPr>
          <w:lang w:val="es-419"/>
        </w:rPr>
        <w:t xml:space="preserve"> CDB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2675F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>Marco institucional apropiado para la obtención y el reparto equitativo de los beneficios (e</w:t>
      </w:r>
      <w:r w:rsidR="00A258D3" w:rsidRPr="0038186B">
        <w:rPr>
          <w:lang w:val="es-419"/>
        </w:rPr>
        <w:t>n es</w:t>
      </w:r>
      <w:r w:rsidR="0052675F" w:rsidRPr="0038186B">
        <w:rPr>
          <w:lang w:val="es-419"/>
        </w:rPr>
        <w:t>pecial</w:t>
      </w:r>
      <w:r w:rsidR="00A258D3" w:rsidRPr="0038186B">
        <w:rPr>
          <w:lang w:val="es-419"/>
        </w:rPr>
        <w:t xml:space="preserve"> los de </w:t>
      </w:r>
      <w:r w:rsidR="0052675F" w:rsidRPr="0038186B">
        <w:rPr>
          <w:lang w:val="es-419"/>
        </w:rPr>
        <w:t>carácter financiero).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Los conocimientos médicos tradicionales de una comunidad determinada se emplean para elaborar una línea de productos médicos de consumo de gran aceptación.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</w:t>
      </w:r>
      <w:r w:rsidR="006856A0" w:rsidRPr="0038186B">
        <w:rPr>
          <w:lang w:val="es-419"/>
        </w:rPr>
        <w:t xml:space="preserve">l margen </w:t>
      </w:r>
      <w:r w:rsidR="00344979" w:rsidRPr="0038186B">
        <w:rPr>
          <w:lang w:val="es-419"/>
        </w:rPr>
        <w:t>de otras consideraciones (como el derecho a ser reconocid</w:t>
      </w:r>
      <w:r w:rsidR="006856A0" w:rsidRPr="0038186B">
        <w:rPr>
          <w:lang w:val="es-419"/>
        </w:rPr>
        <w:t xml:space="preserve">a), la comunidad puede tener </w:t>
      </w:r>
      <w:r w:rsidR="00344979" w:rsidRPr="0038186B">
        <w:rPr>
          <w:lang w:val="es-419"/>
        </w:rPr>
        <w:t xml:space="preserve">derecho a participar </w:t>
      </w:r>
      <w:r w:rsidR="006856A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beneficios de esta actividad comercial</w:t>
      </w:r>
      <w:r w:rsidR="006856A0"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="006856A0" w:rsidRPr="0038186B">
        <w:rPr>
          <w:lang w:val="es-419"/>
        </w:rPr>
        <w:t xml:space="preserve">que podrían no ser estrictamente de carácter </w:t>
      </w:r>
      <w:r w:rsidR="00344979" w:rsidRPr="0038186B">
        <w:rPr>
          <w:lang w:val="es-419"/>
        </w:rPr>
        <w:t xml:space="preserve">financiero (puede </w:t>
      </w:r>
      <w:r w:rsidR="006856A0" w:rsidRPr="0038186B">
        <w:rPr>
          <w:lang w:val="es-419"/>
        </w:rPr>
        <w:t xml:space="preserve">ser </w:t>
      </w:r>
      <w:r w:rsidR="00344979" w:rsidRPr="0038186B">
        <w:rPr>
          <w:lang w:val="es-419"/>
        </w:rPr>
        <w:t xml:space="preserve">que la comunidad no acoja </w:t>
      </w:r>
      <w:r w:rsidR="006856A0" w:rsidRPr="0038186B">
        <w:rPr>
          <w:lang w:val="es-419"/>
        </w:rPr>
        <w:t>con agrado es</w:t>
      </w:r>
      <w:r w:rsidR="00344979" w:rsidRPr="0038186B">
        <w:rPr>
          <w:lang w:val="es-419"/>
        </w:rPr>
        <w:t>a monetización de sus</w:t>
      </w:r>
      <w:r w:rsidR="0007154D" w:rsidRPr="0038186B">
        <w:rPr>
          <w:lang w:val="es-419"/>
        </w:rPr>
        <w:t xml:space="preserve"> conocimientos), sino tomar la </w:t>
      </w:r>
      <w:r w:rsidR="00344979" w:rsidRPr="0038186B">
        <w:rPr>
          <w:lang w:val="es-419"/>
        </w:rPr>
        <w:t xml:space="preserve">forma de </w:t>
      </w:r>
      <w:r w:rsidR="0007154D" w:rsidRPr="0038186B">
        <w:rPr>
          <w:lang w:val="es-419"/>
        </w:rPr>
        <w:t>ventajas no financiera</w:t>
      </w:r>
      <w:r w:rsidR="00344979" w:rsidRPr="0038186B">
        <w:rPr>
          <w:lang w:val="es-419"/>
        </w:rPr>
        <w:t xml:space="preserve">s como la participación en actividades de investigación, el desarrollo </w:t>
      </w:r>
      <w:r w:rsidR="0007154D" w:rsidRPr="0038186B">
        <w:rPr>
          <w:lang w:val="es-419"/>
        </w:rPr>
        <w:t>comunitario culturalmente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adecuado y la </w:t>
      </w:r>
      <w:r w:rsidR="0007154D" w:rsidRPr="0038186B">
        <w:rPr>
          <w:lang w:val="es-419"/>
        </w:rPr>
        <w:t xml:space="preserve">cosecha o </w:t>
      </w:r>
      <w:r w:rsidR="00344979" w:rsidRPr="0038186B">
        <w:rPr>
          <w:lang w:val="es-419"/>
        </w:rPr>
        <w:t>recolección sostenible de los materiales empleados.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711D8" w:rsidP="00880F45">
      <w:pPr>
        <w:pStyle w:val="Heading1"/>
        <w:spacing w:before="360" w:after="120"/>
        <w:ind w:left="567" w:hanging="567"/>
        <w:rPr>
          <w:b w:val="0"/>
          <w:lang w:val="es-419"/>
        </w:rPr>
      </w:pPr>
      <w:bookmarkStart w:id="49" w:name="_Toc116899025"/>
      <w:r w:rsidRPr="0038186B">
        <w:rPr>
          <w:b w:val="0"/>
          <w:lang w:val="es-419"/>
        </w:rPr>
        <w:t>V.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CONSIDERACIONES PARA DETERMINAR SI </w:t>
      </w:r>
      <w:r w:rsidR="005D19A4" w:rsidRPr="0038186B">
        <w:rPr>
          <w:b w:val="0"/>
          <w:lang w:val="es-419"/>
        </w:rPr>
        <w:t xml:space="preserve">ES NECESARIO </w:t>
      </w:r>
      <w:r w:rsidR="004C1537" w:rsidRPr="0038186B">
        <w:rPr>
          <w:b w:val="0"/>
          <w:lang w:val="es-419"/>
        </w:rPr>
        <w:t>PALIAR</w:t>
      </w:r>
      <w:r w:rsidR="005D19A4" w:rsidRPr="0038186B">
        <w:rPr>
          <w:b w:val="0"/>
          <w:lang w:val="es-419"/>
        </w:rPr>
        <w:t xml:space="preserve"> </w:t>
      </w:r>
      <w:r w:rsidR="00344979" w:rsidRPr="0038186B">
        <w:rPr>
          <w:b w:val="0"/>
          <w:lang w:val="es-419"/>
        </w:rPr>
        <w:t>ESAS CARENCIAS</w:t>
      </w:r>
      <w:bookmarkEnd w:id="49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pertinentes para determinar si </w:t>
      </w:r>
      <w:r w:rsidR="00DE5472" w:rsidRPr="0038186B">
        <w:rPr>
          <w:lang w:val="es-419"/>
        </w:rPr>
        <w:t xml:space="preserve">es necesario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las carencias </w:t>
      </w:r>
      <w:r w:rsidR="0007154D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clasificarse como sigue: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institucional y orientadas hacia procesos y</w:t>
      </w:r>
    </w:p>
    <w:p w:rsidR="00D36164" w:rsidRPr="0038186B" w:rsidRDefault="00D36164" w:rsidP="00D36164">
      <w:pPr>
        <w:pStyle w:val="ListParagraph"/>
        <w:ind w:left="99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sustantivo.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de carácter institucional o relativas a procesos </w:t>
      </w:r>
      <w:r w:rsidR="00E75EF3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cuestiones como </w:t>
      </w:r>
      <w:r w:rsidR="00E75EF3" w:rsidRPr="0038186B">
        <w:rPr>
          <w:lang w:val="es-419"/>
        </w:rPr>
        <w:t>la de determinar s</w:t>
      </w:r>
      <w:r w:rsidR="00344979" w:rsidRPr="0038186B">
        <w:rPr>
          <w:lang w:val="es-419"/>
        </w:rPr>
        <w:t xml:space="preserve">i </w:t>
      </w:r>
      <w:r w:rsidR="008F30AC" w:rsidRPr="0038186B">
        <w:rPr>
          <w:lang w:val="es-419"/>
        </w:rPr>
        <w:t xml:space="preserve">ya </w:t>
      </w:r>
      <w:r w:rsidR="00344979" w:rsidRPr="0038186B">
        <w:rPr>
          <w:lang w:val="es-419"/>
        </w:rPr>
        <w:t xml:space="preserve">existe un proceso internacional </w:t>
      </w:r>
      <w:r w:rsidR="008F30AC" w:rsidRPr="0038186B">
        <w:rPr>
          <w:lang w:val="es-419"/>
        </w:rPr>
        <w:t xml:space="preserve">dirigido a solucionar </w:t>
      </w:r>
      <w:r w:rsidR="00E75EF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</w:t>
      </w:r>
      <w:r w:rsidR="008F30AC" w:rsidRPr="0038186B">
        <w:rPr>
          <w:lang w:val="es-419"/>
        </w:rPr>
        <w:t>determinada carencia</w:t>
      </w:r>
      <w:r w:rsidR="00344979" w:rsidRPr="0038186B">
        <w:rPr>
          <w:lang w:val="es-419"/>
        </w:rPr>
        <w:t xml:space="preserve"> y </w:t>
      </w:r>
      <w:r w:rsidR="008F30AC" w:rsidRPr="0038186B">
        <w:rPr>
          <w:lang w:val="es-419"/>
        </w:rPr>
        <w:t xml:space="preserve">la </w:t>
      </w:r>
      <w:r w:rsidR="00AE1023" w:rsidRPr="0038186B">
        <w:rPr>
          <w:lang w:val="es-419"/>
        </w:rPr>
        <w:t xml:space="preserve">utilidad </w:t>
      </w:r>
      <w:r w:rsidR="00344979" w:rsidRPr="0038186B">
        <w:rPr>
          <w:lang w:val="es-419"/>
        </w:rPr>
        <w:t xml:space="preserve">que ello </w:t>
      </w:r>
      <w:r w:rsidR="00AE1023" w:rsidRPr="0038186B">
        <w:rPr>
          <w:lang w:val="es-419"/>
        </w:rPr>
        <w:t xml:space="preserve">podría tener para la labor que se dedique en el futuro a la solución de </w:t>
      </w:r>
      <w:r w:rsidR="00344979" w:rsidRPr="0038186B">
        <w:rPr>
          <w:lang w:val="es-419"/>
        </w:rPr>
        <w:t>esa misma carencia.</w:t>
      </w:r>
      <w:r w:rsidR="001A60B0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Además de</w:t>
      </w:r>
      <w:r w:rsidR="00344979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las cuestiones de carácter sustantivo</w:t>
      </w:r>
      <w:r w:rsidR="00344979" w:rsidRPr="0038186B">
        <w:rPr>
          <w:lang w:val="es-419"/>
        </w:rPr>
        <w:t xml:space="preserve">, </w:t>
      </w:r>
      <w:r w:rsidR="00AE1023" w:rsidRPr="0038186B">
        <w:rPr>
          <w:lang w:val="es-419"/>
        </w:rPr>
        <w:t xml:space="preserve">hay también un debate relativo a los </w:t>
      </w:r>
      <w:r w:rsidR="00344979" w:rsidRPr="0038186B">
        <w:rPr>
          <w:lang w:val="es-419"/>
        </w:rPr>
        <w:t>procesos</w:t>
      </w:r>
      <w:r w:rsidR="00AE1023" w:rsidRPr="0038186B">
        <w:rPr>
          <w:lang w:val="es-419"/>
        </w:rPr>
        <w:t xml:space="preserve"> </w:t>
      </w:r>
      <w:r w:rsidR="005F538F" w:rsidRPr="0038186B">
        <w:rPr>
          <w:lang w:val="es-419"/>
        </w:rPr>
        <w:t>para</w:t>
      </w:r>
      <w:r w:rsidR="00AE1023" w:rsidRPr="0038186B">
        <w:rPr>
          <w:lang w:val="es-419"/>
        </w:rPr>
        <w:t xml:space="preserve"> determinar </w:t>
      </w:r>
      <w:r w:rsidR="005F538F" w:rsidRPr="0038186B">
        <w:rPr>
          <w:lang w:val="es-419"/>
        </w:rPr>
        <w:t xml:space="preserve">qué </w:t>
      </w:r>
      <w:r w:rsidR="00344979" w:rsidRPr="0038186B">
        <w:rPr>
          <w:lang w:val="es-419"/>
        </w:rPr>
        <w:t xml:space="preserve">foro o foros </w:t>
      </w:r>
      <w:r w:rsidR="005F538F" w:rsidRPr="0038186B">
        <w:rPr>
          <w:lang w:val="es-419"/>
        </w:rPr>
        <w:t xml:space="preserve">podrían ser más idóneos </w:t>
      </w:r>
      <w:r w:rsidR="00344979" w:rsidRPr="0038186B">
        <w:rPr>
          <w:lang w:val="es-419"/>
        </w:rPr>
        <w:t xml:space="preserve">para tratar esa </w:t>
      </w:r>
      <w:r w:rsidR="005F538F" w:rsidRPr="0038186B">
        <w:rPr>
          <w:lang w:val="es-419"/>
        </w:rPr>
        <w:t>carencia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</w:t>
      </w:r>
      <w:r w:rsidR="005F538F" w:rsidRPr="0038186B">
        <w:rPr>
          <w:lang w:val="es-419"/>
        </w:rPr>
        <w:t>cambio</w:t>
      </w:r>
      <w:r w:rsidR="00344979" w:rsidRPr="0038186B">
        <w:rPr>
          <w:lang w:val="es-419"/>
        </w:rPr>
        <w:t xml:space="preserve">, </w:t>
      </w:r>
      <w:r w:rsidR="0003490D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las consideraciones </w:t>
      </w:r>
      <w:r w:rsidR="0003490D" w:rsidRPr="0038186B">
        <w:rPr>
          <w:lang w:val="es-419"/>
        </w:rPr>
        <w:t xml:space="preserve">de carácter sustantivo se examina si </w:t>
      </w:r>
      <w:r w:rsidR="00344979" w:rsidRPr="0038186B">
        <w:rPr>
          <w:lang w:val="es-419"/>
        </w:rPr>
        <w:t xml:space="preserve">existen razones </w:t>
      </w:r>
      <w:r w:rsidR="0003490D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convincentes para </w:t>
      </w:r>
      <w:r w:rsidR="0003490D" w:rsidRPr="0038186B">
        <w:rPr>
          <w:lang w:val="es-419"/>
        </w:rPr>
        <w:t>subsanar</w:t>
      </w:r>
      <w:r w:rsidR="00344979" w:rsidRPr="0038186B">
        <w:rPr>
          <w:lang w:val="es-419"/>
        </w:rPr>
        <w:t xml:space="preserve"> una carencia en particular.</w:t>
      </w:r>
      <w:r w:rsidR="001A60B0" w:rsidRPr="0038186B">
        <w:rPr>
          <w:lang w:val="es-419"/>
        </w:rPr>
        <w:t xml:space="preserve"> </w:t>
      </w:r>
      <w:r w:rsidR="0003490D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or ejemplo, puede haber en principio un “vacío” legal respecto de la protección de los </w:t>
      </w:r>
      <w:r w:rsidR="0003490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frente al uso privado no comercial, </w:t>
      </w:r>
      <w:r w:rsidR="00961244" w:rsidRPr="0038186B">
        <w:rPr>
          <w:lang w:val="es-419"/>
        </w:rPr>
        <w:t>y esa</w:t>
      </w:r>
      <w:r w:rsidR="009B4F43" w:rsidRPr="0038186B">
        <w:rPr>
          <w:lang w:val="es-419"/>
        </w:rPr>
        <w:t xml:space="preserve"> protección podría </w:t>
      </w:r>
      <w:r w:rsidR="00344979" w:rsidRPr="0038186B">
        <w:rPr>
          <w:lang w:val="es-419"/>
        </w:rPr>
        <w:t xml:space="preserve">no </w:t>
      </w:r>
      <w:r w:rsidR="009B4F43" w:rsidRPr="0038186B">
        <w:rPr>
          <w:lang w:val="es-419"/>
        </w:rPr>
        <w:t xml:space="preserve">considerarse </w:t>
      </w:r>
      <w:r w:rsidR="00344979" w:rsidRPr="0038186B">
        <w:rPr>
          <w:lang w:val="es-419"/>
        </w:rPr>
        <w:t xml:space="preserve">una prioridad </w:t>
      </w:r>
      <w:r w:rsidR="009B4F43" w:rsidRPr="0038186B">
        <w:rPr>
          <w:lang w:val="es-419"/>
        </w:rPr>
        <w:t>normativa</w:t>
      </w:r>
      <w:r w:rsidR="00344979" w:rsidRPr="0038186B">
        <w:rPr>
          <w:lang w:val="es-419"/>
        </w:rPr>
        <w:t xml:space="preserve">, </w:t>
      </w:r>
      <w:r w:rsidR="009B4F43" w:rsidRPr="0038186B">
        <w:rPr>
          <w:lang w:val="es-419"/>
        </w:rPr>
        <w:t>por lo menos en comparación con la protección frente a los</w:t>
      </w:r>
      <w:r w:rsidR="00344979" w:rsidRPr="0038186B">
        <w:rPr>
          <w:lang w:val="es-419"/>
        </w:rPr>
        <w:t xml:space="preserve"> usos comerciales lucrativos de los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1244" w:rsidRPr="0038186B">
        <w:rPr>
          <w:lang w:val="es-419"/>
        </w:rPr>
        <w:t xml:space="preserve">Otras consideraciones se centran </w:t>
      </w:r>
      <w:r w:rsidR="00344979" w:rsidRPr="0038186B">
        <w:rPr>
          <w:lang w:val="es-419"/>
        </w:rPr>
        <w:t xml:space="preserve">no </w:t>
      </w:r>
      <w:r w:rsidR="00961244" w:rsidRPr="0038186B">
        <w:rPr>
          <w:lang w:val="es-419"/>
        </w:rPr>
        <w:t xml:space="preserve">tanto en determinar si cabe </w:t>
      </w:r>
      <w:r w:rsidR="004C1537" w:rsidRPr="0038186B">
        <w:rPr>
          <w:lang w:val="es-419"/>
        </w:rPr>
        <w:t>paliar</w:t>
      </w:r>
      <w:r w:rsidR="00961244" w:rsidRPr="0038186B">
        <w:rPr>
          <w:lang w:val="es-419"/>
        </w:rPr>
        <w:t xml:space="preserve"> una</w:t>
      </w:r>
      <w:r w:rsidR="00344979" w:rsidRPr="0038186B">
        <w:rPr>
          <w:lang w:val="es-419"/>
        </w:rPr>
        <w:t xml:space="preserve"> carencia, sino </w:t>
      </w:r>
      <w:r w:rsidR="00961244" w:rsidRPr="0038186B">
        <w:rPr>
          <w:lang w:val="es-419"/>
        </w:rPr>
        <w:t xml:space="preserve">en la manera </w:t>
      </w:r>
      <w:r w:rsidR="00344979" w:rsidRPr="0038186B">
        <w:rPr>
          <w:lang w:val="es-419"/>
        </w:rPr>
        <w:t>de hacerlo</w:t>
      </w:r>
      <w:r w:rsidR="00961244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es decir, si mediante u</w:t>
      </w:r>
      <w:r w:rsidR="00344979" w:rsidRPr="0038186B">
        <w:rPr>
          <w:lang w:val="es-419"/>
        </w:rPr>
        <w:t xml:space="preserve">na ley internacional vinculante, </w:t>
      </w:r>
      <w:r w:rsidR="0038186B" w:rsidRPr="0038186B">
        <w:rPr>
          <w:lang w:val="es-419"/>
        </w:rPr>
        <w:t>incitación política</w:t>
      </w:r>
      <w:r w:rsidR="00344979" w:rsidRPr="0038186B">
        <w:rPr>
          <w:lang w:val="es-419"/>
        </w:rPr>
        <w:t xml:space="preserve"> o </w:t>
      </w:r>
      <w:r w:rsidR="00961244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ley tipo </w:t>
      </w:r>
      <w:r w:rsidR="00961244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</w:t>
      </w:r>
      <w:r w:rsidR="00961244" w:rsidRPr="0038186B">
        <w:rPr>
          <w:lang w:val="es-419"/>
        </w:rPr>
        <w:t xml:space="preserve">colmar </w:t>
      </w:r>
      <w:r w:rsidR="00344979" w:rsidRPr="0038186B">
        <w:rPr>
          <w:lang w:val="es-419"/>
        </w:rPr>
        <w:t>mejor una determinada</w:t>
      </w:r>
      <w:r w:rsidR="00961244" w:rsidRPr="0038186B">
        <w:rPr>
          <w:lang w:val="es-419"/>
        </w:rPr>
        <w:t xml:space="preserve"> laguna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consideraciones se examinan en profundidad en la última sección del presente análisis de carencias.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50" w:name="_Toc116899026"/>
      <w:r w:rsidRPr="0038186B">
        <w:rPr>
          <w:i/>
          <w:caps w:val="0"/>
          <w:u w:val="single"/>
          <w:lang w:val="es-419"/>
        </w:rPr>
        <w:t>a)</w:t>
      </w:r>
      <w:r w:rsidRPr="0038186B">
        <w:rPr>
          <w:i/>
          <w:caps w:val="0"/>
          <w:u w:val="single"/>
          <w:lang w:val="es-419"/>
        </w:rPr>
        <w:tab/>
        <w:t>Consideraciones de carácter sustantivo</w:t>
      </w:r>
      <w:bookmarkEnd w:id="50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1" w:name="_Toc116899027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E11373" w:rsidRPr="0038186B">
        <w:rPr>
          <w:i/>
          <w:u w:val="none"/>
          <w:lang w:val="es-419"/>
        </w:rPr>
        <w:t>Derecho</w:t>
      </w:r>
      <w:r w:rsidRPr="0038186B">
        <w:rPr>
          <w:i/>
          <w:u w:val="none"/>
          <w:lang w:val="es-419"/>
        </w:rPr>
        <w:t xml:space="preserve"> internacional</w:t>
      </w:r>
      <w:r w:rsidR="00E11373" w:rsidRPr="0038186B">
        <w:rPr>
          <w:i/>
          <w:u w:val="none"/>
          <w:lang w:val="es-419"/>
        </w:rPr>
        <w:t xml:space="preserve"> y políticas</w:t>
      </w:r>
      <w:r w:rsidR="00FA2EAF" w:rsidRPr="0038186B">
        <w:rPr>
          <w:i/>
          <w:u w:val="none"/>
          <w:lang w:val="es-419"/>
        </w:rPr>
        <w:t xml:space="preserve"> internacionales</w:t>
      </w:r>
      <w:bookmarkEnd w:id="5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04280" w:rsidRPr="0038186B">
        <w:rPr>
          <w:lang w:val="es-419"/>
        </w:rPr>
        <w:t xml:space="preserve">El </w:t>
      </w:r>
      <w:r w:rsidR="00184BC8" w:rsidRPr="0038186B">
        <w:rPr>
          <w:lang w:val="es-419"/>
        </w:rPr>
        <w:t xml:space="preserve">nuevo </w:t>
      </w:r>
      <w:r w:rsidR="00704280" w:rsidRPr="0038186B">
        <w:rPr>
          <w:lang w:val="es-419"/>
        </w:rPr>
        <w:t>marco normativo</w:t>
      </w:r>
      <w:r w:rsidR="00184BC8" w:rsidRPr="0038186B">
        <w:rPr>
          <w:lang w:val="es-419"/>
        </w:rPr>
        <w:t xml:space="preserve"> y de</w:t>
      </w:r>
      <w:r w:rsidR="00704280" w:rsidRPr="0038186B">
        <w:rPr>
          <w:lang w:val="es-419"/>
        </w:rPr>
        <w:t xml:space="preserve"> D</w:t>
      </w:r>
      <w:r w:rsidR="00344979" w:rsidRPr="0038186B">
        <w:rPr>
          <w:lang w:val="es-419"/>
        </w:rPr>
        <w:t>erecho internacional</w:t>
      </w:r>
      <w:r w:rsidR="00704280" w:rsidRPr="0038186B">
        <w:rPr>
          <w:lang w:val="es-419"/>
        </w:rPr>
        <w:t xml:space="preserve"> </w:t>
      </w:r>
      <w:r w:rsidR="00184BC8" w:rsidRPr="0038186B">
        <w:rPr>
          <w:lang w:val="es-419"/>
        </w:rPr>
        <w:t>que afecta a los CC.TT.</w:t>
      </w:r>
      <w:r w:rsidR="00344979" w:rsidRPr="0038186B">
        <w:rPr>
          <w:lang w:val="es-419"/>
        </w:rPr>
        <w:t xml:space="preserve"> p</w:t>
      </w:r>
      <w:r w:rsidR="00184BC8" w:rsidRPr="0038186B">
        <w:rPr>
          <w:lang w:val="es-419"/>
        </w:rPr>
        <w:t xml:space="preserve">odría </w:t>
      </w:r>
      <w:r w:rsidR="00344979" w:rsidRPr="0038186B">
        <w:rPr>
          <w:lang w:val="es-419"/>
        </w:rPr>
        <w:t xml:space="preserve">crear la expectativa de que las normas sobre </w:t>
      </w:r>
      <w:r w:rsidR="00FE53E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protección de la propiedad intelectual </w:t>
      </w:r>
      <w:r w:rsidR="00344EB9" w:rsidRPr="0038186B">
        <w:rPr>
          <w:lang w:val="es-419"/>
        </w:rPr>
        <w:t>podr</w:t>
      </w:r>
      <w:r w:rsidR="00FE53EF" w:rsidRPr="0038186B">
        <w:rPr>
          <w:lang w:val="es-419"/>
        </w:rPr>
        <w:t>ían</w:t>
      </w:r>
      <w:r w:rsidR="00344EB9" w:rsidRPr="0038186B">
        <w:rPr>
          <w:lang w:val="es-419"/>
        </w:rPr>
        <w:t xml:space="preserve"> adaptarse para cor</w:t>
      </w:r>
      <w:r w:rsidR="00344979" w:rsidRPr="0038186B">
        <w:rPr>
          <w:lang w:val="es-419"/>
        </w:rPr>
        <w:t xml:space="preserve">regir las carencias </w:t>
      </w:r>
      <w:r w:rsidR="00344EB9" w:rsidRPr="0038186B">
        <w:rPr>
          <w:lang w:val="es-419"/>
        </w:rPr>
        <w:t>detectadas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</w:t>
      </w:r>
      <w:r w:rsidR="00344EB9" w:rsidRPr="0038186B">
        <w:rPr>
          <w:lang w:val="es-419"/>
        </w:rPr>
        <w:t>os cambios</w:t>
      </w:r>
      <w:r w:rsidR="00344979" w:rsidRPr="0038186B">
        <w:rPr>
          <w:lang w:val="es-419"/>
        </w:rPr>
        <w:t xml:space="preserve"> y </w:t>
      </w:r>
      <w:r w:rsidR="00344EB9" w:rsidRPr="0038186B">
        <w:rPr>
          <w:lang w:val="es-419"/>
        </w:rPr>
        <w:t>resultados</w:t>
      </w:r>
      <w:r w:rsidR="00344979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obtenidos </w:t>
      </w:r>
      <w:r w:rsidR="00344979" w:rsidRPr="0038186B">
        <w:rPr>
          <w:lang w:val="es-419"/>
        </w:rPr>
        <w:t xml:space="preserve">en el ámbito del </w:t>
      </w:r>
      <w:r w:rsidR="00344EB9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 xml:space="preserve">público </w:t>
      </w:r>
      <w:r w:rsidR="00344EB9" w:rsidRPr="0038186B">
        <w:rPr>
          <w:lang w:val="es-419"/>
        </w:rPr>
        <w:t>podrían percibirse como</w:t>
      </w:r>
      <w:r w:rsidR="00344979" w:rsidRPr="0038186B">
        <w:rPr>
          <w:lang w:val="es-419"/>
        </w:rPr>
        <w:t xml:space="preserve"> una “consideración” </w:t>
      </w:r>
      <w:r w:rsidR="00344EB9" w:rsidRPr="0038186B">
        <w:rPr>
          <w:lang w:val="es-419"/>
        </w:rPr>
        <w:t xml:space="preserve">que podría servir </w:t>
      </w:r>
      <w:r w:rsidR="00344979" w:rsidRPr="0038186B">
        <w:rPr>
          <w:lang w:val="es-419"/>
        </w:rPr>
        <w:t>para determinar si deben subsanarse las carencias:</w:t>
      </w:r>
      <w:r w:rsidR="001A60B0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un </w:t>
      </w:r>
      <w:r w:rsidR="00626578" w:rsidRPr="0038186B">
        <w:rPr>
          <w:lang w:val="es-419"/>
        </w:rPr>
        <w:t>logro en materia</w:t>
      </w:r>
      <w:r w:rsidR="00344979" w:rsidRPr="0038186B">
        <w:rPr>
          <w:lang w:val="es-419"/>
        </w:rPr>
        <w:t xml:space="preserve"> jurídic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o polític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en un á</w:t>
      </w:r>
      <w:r w:rsidR="00626578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conex</w:t>
      </w:r>
      <w:r w:rsidR="00626578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po</w:t>
      </w:r>
      <w:r w:rsidR="00626578" w:rsidRPr="0038186B">
        <w:rPr>
          <w:lang w:val="es-419"/>
        </w:rPr>
        <w:t xml:space="preserve">dría poner </w:t>
      </w:r>
      <w:r w:rsidR="00344979" w:rsidRPr="0038186B">
        <w:rPr>
          <w:lang w:val="es-419"/>
        </w:rPr>
        <w:t xml:space="preserve">de </w:t>
      </w:r>
      <w:r w:rsidR="00626578" w:rsidRPr="0038186B">
        <w:rPr>
          <w:lang w:val="es-419"/>
        </w:rPr>
        <w:t>manifiesto</w:t>
      </w:r>
      <w:r w:rsidR="00344979" w:rsidRPr="0038186B">
        <w:rPr>
          <w:lang w:val="es-419"/>
        </w:rPr>
        <w:t xml:space="preserve"> una carencia de detalle en el sistema </w:t>
      </w:r>
      <w:r w:rsidR="00626578" w:rsidRPr="0038186B">
        <w:rPr>
          <w:lang w:val="es-419"/>
        </w:rPr>
        <w:t>del Derecho 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D5D99" w:rsidRPr="0038186B">
        <w:rPr>
          <w:lang w:val="es-419"/>
        </w:rPr>
        <w:t>Entre los avances más significativos, tanto en el contexto del Derecho internacional vinculante como en el de los marcos de orientación normativa</w:t>
      </w:r>
      <w:r w:rsidR="00344979" w:rsidRPr="0038186B">
        <w:rPr>
          <w:lang w:val="es-419"/>
        </w:rPr>
        <w:t xml:space="preserve">, </w:t>
      </w:r>
      <w:r w:rsidR="008D5D99" w:rsidRPr="0038186B">
        <w:rPr>
          <w:lang w:val="es-419"/>
        </w:rPr>
        <w:t>como las declaraciones, cabe mencionar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8D5D99" w:rsidRPr="0038186B">
        <w:rPr>
          <w:lang w:val="es-419"/>
        </w:rPr>
        <w:t xml:space="preserve">conclusión </w:t>
      </w:r>
      <w:r w:rsidRPr="0038186B">
        <w:rPr>
          <w:lang w:val="es-419"/>
        </w:rPr>
        <w:t xml:space="preserve">y entrada en vigor del artículo 8.j) del CDB, </w:t>
      </w:r>
      <w:r w:rsidR="008D5D99" w:rsidRPr="0038186B">
        <w:rPr>
          <w:lang w:val="es-419"/>
        </w:rPr>
        <w:t xml:space="preserve">en el </w:t>
      </w:r>
      <w:r w:rsidRPr="0038186B">
        <w:rPr>
          <w:lang w:val="es-419"/>
        </w:rPr>
        <w:t xml:space="preserve">que </w:t>
      </w:r>
      <w:r w:rsidR="008D5D99" w:rsidRPr="0038186B">
        <w:rPr>
          <w:lang w:val="es-419"/>
        </w:rPr>
        <w:t xml:space="preserve">se </w:t>
      </w:r>
      <w:r w:rsidRPr="0038186B">
        <w:rPr>
          <w:lang w:val="es-419"/>
        </w:rPr>
        <w:t>prevé el re</w:t>
      </w:r>
      <w:r w:rsidR="008D5D99" w:rsidRPr="0038186B">
        <w:rPr>
          <w:lang w:val="es-419"/>
        </w:rPr>
        <w:t>speto</w:t>
      </w:r>
      <w:r w:rsidRPr="0038186B">
        <w:rPr>
          <w:lang w:val="es-419"/>
        </w:rPr>
        <w:t xml:space="preserve">, la </w:t>
      </w:r>
      <w:r w:rsidR="006F59C1" w:rsidRPr="0038186B">
        <w:rPr>
          <w:lang w:val="es-419"/>
        </w:rPr>
        <w:t xml:space="preserve">preservación y el mantenimiento </w:t>
      </w:r>
      <w:r w:rsidRPr="0038186B">
        <w:rPr>
          <w:lang w:val="es-419"/>
        </w:rPr>
        <w:t>de los conocimientos tradicionales relacionados con la biodiversidad.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2D99" w:rsidP="0020270C">
      <w:pPr>
        <w:pStyle w:val="ListParagraph"/>
        <w:numPr>
          <w:ilvl w:val="0"/>
          <w:numId w:val="30"/>
        </w:numPr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La adopción de la Declaración de las Naciones Unidas sob</w:t>
      </w:r>
      <w:r w:rsidR="007E6CD5" w:rsidRPr="0038186B">
        <w:rPr>
          <w:rFonts w:ascii="Arial" w:eastAsia="SimSun" w:hAnsi="Arial" w:cs="Arial"/>
          <w:sz w:val="22"/>
          <w:szCs w:val="20"/>
          <w:lang w:val="es-419" w:eastAsia="zh-CN"/>
        </w:rPr>
        <w:t>re los Derechos de los Pueblos 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ndígenas, que establece una amplia serie de derechos que inciden directamente en los conocimientos tradicionales como tales y en la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PI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relativa a los CC.TT. (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al ser una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declaración internacional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su objetivo es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enmarca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las normas vigentes 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más que crear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obligaciones jurídicas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específicas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);</w:t>
      </w:r>
    </w:p>
    <w:p w:rsidR="00D36164" w:rsidRPr="0038186B" w:rsidRDefault="00D36164" w:rsidP="00D36164">
      <w:pPr>
        <w:pStyle w:val="ListParagraph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36164" w:rsidRPr="0038186B" w:rsidRDefault="00D36164" w:rsidP="00D36164">
      <w:pPr>
        <w:pStyle w:val="ListParagraph"/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6F59C1" w:rsidRPr="0038186B">
        <w:rPr>
          <w:lang w:val="es-419"/>
        </w:rPr>
        <w:t>conclusión y</w:t>
      </w:r>
      <w:r w:rsidRPr="0038186B">
        <w:rPr>
          <w:lang w:val="es-419"/>
        </w:rPr>
        <w:t xml:space="preserve"> entrada en vigor del Tratado Internacional de la FAO sobre los Recursos Fitogenéticos para la Alimentación y la Agricultura</w:t>
      </w:r>
      <w:r w:rsidR="00ED364C" w:rsidRPr="0038186B">
        <w:rPr>
          <w:lang w:val="es-419"/>
        </w:rPr>
        <w:t xml:space="preserve"> (TIRFAA)</w:t>
      </w:r>
      <w:r w:rsidRPr="0038186B">
        <w:rPr>
          <w:lang w:val="es-419"/>
        </w:rPr>
        <w:t xml:space="preserve">, que </w:t>
      </w:r>
      <w:r w:rsidR="00DD5B54" w:rsidRPr="0038186B">
        <w:rPr>
          <w:lang w:val="es-419"/>
        </w:rPr>
        <w:t xml:space="preserve">exige que </w:t>
      </w:r>
      <w:r w:rsidRPr="0038186B">
        <w:rPr>
          <w:lang w:val="es-419"/>
        </w:rPr>
        <w:t>los conocimientos tradicionales que atañen a los recursos fitogenéticos para la alimentación y la agricultura</w:t>
      </w:r>
      <w:r w:rsidR="00DD5B54" w:rsidRPr="0038186B">
        <w:rPr>
          <w:lang w:val="es-419"/>
        </w:rPr>
        <w:t xml:space="preserve"> sean protegidos</w:t>
      </w:r>
      <w:r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El creciente reconocimiento de </w:t>
      </w:r>
      <w:r w:rsidR="00DD5B54" w:rsidRPr="0038186B">
        <w:rPr>
          <w:lang w:val="es-419"/>
        </w:rPr>
        <w:t xml:space="preserve">que </w:t>
      </w:r>
      <w:r w:rsidRPr="0038186B">
        <w:rPr>
          <w:lang w:val="es-419"/>
        </w:rPr>
        <w:t xml:space="preserve">los conocimientos tradicionales </w:t>
      </w:r>
      <w:r w:rsidR="00DD5B54" w:rsidRPr="0038186B">
        <w:rPr>
          <w:lang w:val="es-419"/>
        </w:rPr>
        <w:t>son una cuestión normativa</w:t>
      </w:r>
      <w:r w:rsidRPr="0038186B">
        <w:rPr>
          <w:lang w:val="es-419"/>
        </w:rPr>
        <w:t xml:space="preserve"> fundamental en materia de </w:t>
      </w:r>
      <w:r w:rsidR="00DD5B54" w:rsidRPr="0038186B">
        <w:rPr>
          <w:lang w:val="es-419"/>
        </w:rPr>
        <w:t xml:space="preserve">políticas de </w:t>
      </w:r>
      <w:r w:rsidRPr="0038186B">
        <w:rPr>
          <w:lang w:val="es-419"/>
        </w:rPr>
        <w:t>salud pública (en particular, en el informe de la Comisión de Derechos de Propiedad Intelectual, Innovación y Salud Pública de la Organización Mundial de la Salud y la estrategia mundial sobre salud pública, innovación y propiedad intelectual</w:t>
      </w:r>
      <w:r w:rsidR="00454B58" w:rsidRPr="0038186B">
        <w:rPr>
          <w:lang w:val="es-419"/>
        </w:rPr>
        <w:t>,</w:t>
      </w:r>
      <w:r w:rsidRPr="0038186B">
        <w:rPr>
          <w:lang w:val="es-419"/>
        </w:rPr>
        <w:t xml:space="preserve"> adoptada por la Asamblea Mundial de la Salud en mayo de 2008).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Convención de las Naciones Unidas de Lucha contra la Desertificación</w:t>
      </w:r>
      <w:r w:rsidR="00454B58" w:rsidRPr="0038186B">
        <w:rPr>
          <w:lang w:val="es-419"/>
        </w:rPr>
        <w:t>, que</w:t>
      </w:r>
      <w:r w:rsidRPr="0038186B">
        <w:rPr>
          <w:lang w:val="es-419"/>
        </w:rPr>
        <w:t xml:space="preserve"> prevé obligaciones dirigidas a proteger, promover y utilizar las tecnologías, los conocimientos, la experiencia y las prácticas tradicionales y locales pertinentes.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4B58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Teniendo en cu</w:t>
      </w:r>
      <w:r w:rsidR="00344979" w:rsidRPr="0038186B">
        <w:rPr>
          <w:lang w:val="es-419"/>
        </w:rPr>
        <w:t xml:space="preserve">enta </w:t>
      </w:r>
      <w:r w:rsidR="00FE53EF" w:rsidRPr="0038186B">
        <w:rPr>
          <w:lang w:val="es-419"/>
        </w:rPr>
        <w:t>el vínculo existente</w:t>
      </w:r>
      <w:r w:rsidR="00344979" w:rsidRPr="0038186B">
        <w:rPr>
          <w:lang w:val="es-419"/>
        </w:rPr>
        <w:t xml:space="preserve"> entre los </w:t>
      </w:r>
      <w:r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y las </w:t>
      </w:r>
      <w:r w:rsidRPr="0038186B">
        <w:rPr>
          <w:lang w:val="es-419"/>
        </w:rPr>
        <w:t>ECT, la creación de marcos</w:t>
      </w:r>
      <w:r w:rsidR="00344979" w:rsidRPr="0038186B">
        <w:rPr>
          <w:lang w:val="es-419"/>
        </w:rPr>
        <w:t xml:space="preserve"> jurídicos y </w:t>
      </w:r>
      <w:r w:rsidRPr="0038186B">
        <w:rPr>
          <w:lang w:val="es-419"/>
        </w:rPr>
        <w:t>normativos</w:t>
      </w:r>
      <w:r w:rsidR="00344979" w:rsidRPr="0038186B">
        <w:rPr>
          <w:lang w:val="es-419"/>
        </w:rPr>
        <w:t xml:space="preserve"> más </w:t>
      </w:r>
      <w:r w:rsidRPr="0038186B">
        <w:rPr>
          <w:lang w:val="es-419"/>
        </w:rPr>
        <w:t xml:space="preserve">sólidos en relación con </w:t>
      </w:r>
      <w:r w:rsidR="00344979" w:rsidRPr="0038186B">
        <w:rPr>
          <w:lang w:val="es-419"/>
        </w:rPr>
        <w:t>la salvaguardia del patrimonio cultural inmaterial y la promoción de la diversidad cultural p</w:t>
      </w:r>
      <w:r w:rsidR="00FE53EF" w:rsidRPr="0038186B">
        <w:rPr>
          <w:lang w:val="es-419"/>
        </w:rPr>
        <w:t>odrían incidir en</w:t>
      </w:r>
      <w:r w:rsidR="00344979" w:rsidRPr="0038186B">
        <w:rPr>
          <w:lang w:val="es-419"/>
        </w:rPr>
        <w:t xml:space="preserve"> la protección de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(aunque esas </w:t>
      </w:r>
      <w:r w:rsidRPr="0038186B">
        <w:rPr>
          <w:lang w:val="es-419"/>
        </w:rPr>
        <w:t>esferas son más pertinentes para</w:t>
      </w:r>
      <w:r w:rsidR="00344979" w:rsidRPr="0038186B">
        <w:rPr>
          <w:lang w:val="es-419"/>
        </w:rPr>
        <w:t xml:space="preserve"> la protección de las </w:t>
      </w:r>
      <w:r w:rsidR="00686E3B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como tales, por lo que</w:t>
      </w:r>
      <w:r w:rsidR="00686E3B" w:rsidRPr="0038186B">
        <w:rPr>
          <w:lang w:val="es-419"/>
        </w:rPr>
        <w:t xml:space="preserve"> convendría referirse al proyecto actualizado del </w:t>
      </w:r>
      <w:r w:rsidR="00344979" w:rsidRPr="0038186B">
        <w:rPr>
          <w:lang w:val="es-419"/>
        </w:rPr>
        <w:t xml:space="preserve">análisis de carencias en materia de </w:t>
      </w:r>
      <w:r w:rsidR="00686E3B" w:rsidRPr="0038186B">
        <w:rPr>
          <w:lang w:val="es-419"/>
        </w:rPr>
        <w:t xml:space="preserve">ECT al abordar </w:t>
      </w:r>
      <w:r w:rsidR="00344979" w:rsidRPr="0038186B">
        <w:rPr>
          <w:lang w:val="es-419"/>
        </w:rPr>
        <w:t>esa esfera</w:t>
      </w:r>
      <w:r w:rsidR="00686E3B" w:rsidRPr="0038186B">
        <w:rPr>
          <w:lang w:val="es-419"/>
        </w:rPr>
        <w:t xml:space="preserve"> de</w:t>
      </w:r>
      <w:r w:rsidR="00344979" w:rsidRPr="0038186B">
        <w:rPr>
          <w:lang w:val="es-419"/>
        </w:rPr>
        <w:t xml:space="preserve"> política).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adopción de la Declaración de Interlaken sobre Recursos Zoogenéticos, en la que se prevé el respeto, la preservación y el mantenimiento de los CC.TT. relativos a la cría y producción de animales</w:t>
      </w:r>
      <w:r w:rsidR="00FD6EEF"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</w:t>
      </w:r>
      <w:r w:rsidR="00582405" w:rsidRPr="0038186B">
        <w:rPr>
          <w:lang w:val="es-419"/>
        </w:rPr>
        <w:t>ió</w:t>
      </w:r>
      <w:r w:rsidRPr="0038186B">
        <w:rPr>
          <w:lang w:val="es-419"/>
        </w:rPr>
        <w:t xml:space="preserve">n del Protocolo de </w:t>
      </w:r>
      <w:r w:rsidR="001649A8" w:rsidRPr="0038186B">
        <w:rPr>
          <w:lang w:val="es-419"/>
        </w:rPr>
        <w:t xml:space="preserve">Nagoya, </w:t>
      </w:r>
      <w:r w:rsidR="00582405" w:rsidRPr="0038186B">
        <w:rPr>
          <w:lang w:val="es-419"/>
        </w:rPr>
        <w:t xml:space="preserve">que amplía las disposiciones relacionadas con los </w:t>
      </w:r>
      <w:r w:rsidR="00686E3B" w:rsidRPr="0038186B">
        <w:rPr>
          <w:lang w:val="es-419"/>
        </w:rPr>
        <w:t>CC.TT.</w:t>
      </w:r>
      <w:r w:rsidR="00582405" w:rsidRPr="0038186B">
        <w:rPr>
          <w:lang w:val="es-419"/>
        </w:rPr>
        <w:t xml:space="preserve"> del </w:t>
      </w:r>
      <w:r w:rsidR="001649A8" w:rsidRPr="0038186B">
        <w:rPr>
          <w:lang w:val="es-419"/>
        </w:rPr>
        <w:t>CBD.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la OM</w:t>
      </w:r>
      <w:r w:rsidR="00B47242" w:rsidRPr="0038186B">
        <w:rPr>
          <w:lang w:val="es-419"/>
        </w:rPr>
        <w:t>PI</w:t>
      </w:r>
      <w:r w:rsidR="00686E3B" w:rsidRPr="0038186B">
        <w:rPr>
          <w:lang w:val="es-419"/>
        </w:rPr>
        <w:t xml:space="preserve"> hay</w:t>
      </w:r>
      <w:r w:rsidR="00344979" w:rsidRPr="0038186B">
        <w:rPr>
          <w:lang w:val="es-419"/>
        </w:rPr>
        <w:t xml:space="preserve"> dos consideraciones particulares que pueden </w:t>
      </w:r>
      <w:r w:rsidR="00686E3B" w:rsidRPr="0038186B">
        <w:rPr>
          <w:lang w:val="es-419"/>
        </w:rPr>
        <w:t xml:space="preserve">considerarse pertinentes para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algunas de las carencias </w:t>
      </w:r>
      <w:r w:rsidR="00686E3B" w:rsidRPr="0038186B">
        <w:rPr>
          <w:lang w:val="es-419"/>
        </w:rPr>
        <w:t>identificadas e</w:t>
      </w:r>
      <w:r w:rsidR="00344979" w:rsidRPr="0038186B">
        <w:rPr>
          <w:lang w:val="es-419"/>
        </w:rPr>
        <w:t>n el presente proceso: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1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el contexto del Programa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 xml:space="preserve">PI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el Desarrollo, </w:t>
      </w:r>
      <w:r w:rsidR="00686E3B" w:rsidRPr="0038186B">
        <w:rPr>
          <w:rFonts w:ascii="Arial" w:hAnsi="Arial" w:cs="Arial"/>
          <w:sz w:val="22"/>
          <w:szCs w:val="22"/>
          <w:lang w:val="es-419"/>
        </w:rPr>
        <w:t>en curso de examen en el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Comité sobre Desarrollo y Propiedad Intelectual (véase, por ejemplo, el documento CDIP/1/3), la propuesta 18 </w:t>
      </w:r>
      <w:r w:rsidR="0043118A" w:rsidRPr="0038186B">
        <w:rPr>
          <w:rFonts w:ascii="Arial" w:hAnsi="Arial" w:cs="Arial"/>
          <w:sz w:val="22"/>
          <w:szCs w:val="22"/>
          <w:lang w:val="es-419"/>
        </w:rPr>
        <w:t>pide</w:t>
      </w:r>
      <w:r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t>Instar al Comité a agilizar el proceso sobre la protección de recursos genéticos,</w:t>
      </w: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t>conocimientos tradicionales y folclore, sin perjuicio de ningún posible resultado, como pueda ser la elaboración de un instrumento o instrumentos de dimensión internacional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47242" w:rsidP="0020270C">
      <w:pPr>
        <w:pStyle w:val="ListParagraph"/>
        <w:numPr>
          <w:ilvl w:val="0"/>
          <w:numId w:val="31"/>
        </w:numPr>
        <w:rPr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Asamblea General de la OMPI, en su reunión de octubre de 2017, también decidió, al renovar el mandato del Comité que este</w:t>
      </w:r>
      <w:r w:rsidR="004E1DAA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“seguirá agilizando su labor con objeto de alcanzar un acuerdo sobre uno o varios instrumentos jurídicos internacionales, sin prejuzgar la naturaleza del resultado o resultados, en relación con la propiedad intelectual, que aseguren la protección eficaz y equilibrada de […] los conocimientos tradicionales </w:t>
      </w:r>
      <w:r w:rsidR="007F6234" w:rsidRPr="0038186B">
        <w:rPr>
          <w:rFonts w:ascii="Arial" w:hAnsi="Arial" w:cs="Arial"/>
          <w:sz w:val="22"/>
          <w:szCs w:val="22"/>
          <w:lang w:val="es-419"/>
        </w:rPr>
        <w:t>[…]</w:t>
      </w:r>
      <w:r w:rsidR="00FD6EEF" w:rsidRPr="0038186B">
        <w:rPr>
          <w:lang w:val="es-419"/>
        </w:rPr>
        <w:t>”.</w:t>
      </w:r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2" w:name="_Toc116899028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Consideraciones de carácter social, cultural, político y económico</w:t>
      </w:r>
      <w:bookmarkEnd w:id="5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las consideraciones de carácter social, cultural, político y económico que </w:t>
      </w:r>
      <w:r w:rsidR="00EF7DD0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>considera</w:t>
      </w:r>
      <w:r w:rsidR="00EF7DD0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pertinentes se </w:t>
      </w:r>
      <w:r w:rsidR="00EF7DD0" w:rsidRPr="0038186B">
        <w:rPr>
          <w:lang w:val="es-419"/>
        </w:rPr>
        <w:t>cuentan</w:t>
      </w:r>
      <w:r w:rsidR="00344979" w:rsidRPr="0038186B">
        <w:rPr>
          <w:lang w:val="es-419"/>
        </w:rPr>
        <w:t xml:space="preserve">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El </w:t>
      </w:r>
      <w:r w:rsidR="00EF7DD0" w:rsidRPr="0038186B">
        <w:rPr>
          <w:lang w:val="es-419"/>
        </w:rPr>
        <w:t xml:space="preserve">especial </w:t>
      </w:r>
      <w:r w:rsidRPr="0038186B">
        <w:rPr>
          <w:lang w:val="es-419"/>
        </w:rPr>
        <w:t xml:space="preserve">hincapié que hacen muchos representantes de comunidades y gobiernos </w:t>
      </w:r>
      <w:r w:rsidR="00EF7DD0" w:rsidRPr="0038186B">
        <w:rPr>
          <w:lang w:val="es-419"/>
        </w:rPr>
        <w:t>en</w:t>
      </w:r>
      <w:r w:rsidRPr="0038186B">
        <w:rPr>
          <w:lang w:val="es-419"/>
        </w:rPr>
        <w:t xml:space="preserve"> la</w:t>
      </w:r>
      <w:r w:rsidR="00EF7DD0" w:rsidRPr="0038186B">
        <w:rPr>
          <w:lang w:val="es-419"/>
        </w:rPr>
        <w:t>s</w:t>
      </w:r>
      <w:r w:rsidRPr="0038186B">
        <w:rPr>
          <w:lang w:val="es-419"/>
        </w:rPr>
        <w:t xml:space="preserve"> </w:t>
      </w:r>
      <w:r w:rsidR="00EF7DD0" w:rsidRPr="0038186B">
        <w:rPr>
          <w:lang w:val="es-419"/>
        </w:rPr>
        <w:t>quejas sobre injusticias resultantes de la apropiación y uso indebidos de los CC.TT.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La función de los CC.TT.</w:t>
      </w:r>
      <w:r w:rsidR="00344979" w:rsidRPr="0038186B">
        <w:rPr>
          <w:lang w:val="es-419"/>
        </w:rPr>
        <w:t xml:space="preserve"> en el desarrollo sostenible a nivel local.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Los vínculos que existen entre la protección de los </w:t>
      </w:r>
      <w:r w:rsidR="00554E20" w:rsidRPr="0038186B">
        <w:rPr>
          <w:lang w:val="es-419"/>
        </w:rPr>
        <w:t>CC.TT.</w:t>
      </w:r>
      <w:r w:rsidRPr="0038186B">
        <w:rPr>
          <w:lang w:val="es-419"/>
        </w:rPr>
        <w:t xml:space="preserve"> y la preservación de la identidad cultural y social de las comunidades indígenas y locales.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creciente interés por los 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una gran cantidad de aplicaciones industriales y comerciales.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7F6234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valor y la aplicación práctica de los CC.TT. rela</w:t>
      </w:r>
      <w:r w:rsidR="00554E20" w:rsidRPr="0038186B">
        <w:rPr>
          <w:lang w:val="es-419"/>
        </w:rPr>
        <w:t>tivos a</w:t>
      </w:r>
      <w:r w:rsidRPr="0038186B">
        <w:rPr>
          <w:lang w:val="es-419"/>
        </w:rPr>
        <w:t xml:space="preserve"> la conservación y el uso sostenible de la biodiversidad biológica para hacer frente a los </w:t>
      </w:r>
      <w:r w:rsidR="00554E20" w:rsidRPr="0038186B">
        <w:rPr>
          <w:lang w:val="es-419"/>
        </w:rPr>
        <w:t>retos</w:t>
      </w:r>
      <w:r w:rsidRPr="0038186B">
        <w:rPr>
          <w:lang w:val="es-419"/>
        </w:rPr>
        <w:t xml:space="preserve"> medioambientales y al cambio climático.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szCs w:val="22"/>
          <w:lang w:val="es-419"/>
        </w:rPr>
      </w:pPr>
      <w:r w:rsidRPr="0038186B">
        <w:rPr>
          <w:szCs w:val="22"/>
          <w:lang w:val="es-419"/>
        </w:rPr>
        <w:t xml:space="preserve">La creciente </w:t>
      </w:r>
      <w:r w:rsidR="00427AF6" w:rsidRPr="0038186B">
        <w:rPr>
          <w:szCs w:val="22"/>
          <w:lang w:val="es-419"/>
        </w:rPr>
        <w:t>utilización</w:t>
      </w:r>
      <w:r w:rsidR="009B55F6" w:rsidRPr="0038186B">
        <w:rPr>
          <w:szCs w:val="22"/>
          <w:lang w:val="es-419"/>
        </w:rPr>
        <w:t xml:space="preserve"> </w:t>
      </w:r>
      <w:r w:rsidR="00427AF6" w:rsidRPr="0038186B">
        <w:rPr>
          <w:szCs w:val="22"/>
          <w:lang w:val="es-419"/>
        </w:rPr>
        <w:t xml:space="preserve">de </w:t>
      </w:r>
      <w:r w:rsidRPr="0038186B">
        <w:rPr>
          <w:szCs w:val="22"/>
          <w:lang w:val="es-419"/>
        </w:rPr>
        <w:t xml:space="preserve">los </w:t>
      </w:r>
      <w:r w:rsidR="00427AF6" w:rsidRPr="0038186B">
        <w:rPr>
          <w:szCs w:val="22"/>
          <w:lang w:val="es-419"/>
        </w:rPr>
        <w:t>CC.TT.</w:t>
      </w:r>
      <w:r w:rsidRPr="0038186B">
        <w:rPr>
          <w:szCs w:val="22"/>
          <w:lang w:val="es-419"/>
        </w:rPr>
        <w:t xml:space="preserve"> en diversos contextos regulatorios, como en la </w:t>
      </w:r>
      <w:r w:rsidR="00427AF6" w:rsidRPr="0038186B">
        <w:rPr>
          <w:szCs w:val="22"/>
          <w:lang w:val="es-419"/>
        </w:rPr>
        <w:t xml:space="preserve">realización de evaluaciones de </w:t>
      </w:r>
      <w:r w:rsidRPr="0038186B">
        <w:rPr>
          <w:szCs w:val="22"/>
          <w:lang w:val="es-419"/>
        </w:rPr>
        <w:t xml:space="preserve">impacto medioambiental y </w:t>
      </w:r>
      <w:r w:rsidR="00427AF6" w:rsidRPr="0038186B">
        <w:rPr>
          <w:szCs w:val="22"/>
          <w:lang w:val="es-419"/>
        </w:rPr>
        <w:t xml:space="preserve">evaluaciones de </w:t>
      </w:r>
      <w:r w:rsidRPr="0038186B">
        <w:rPr>
          <w:szCs w:val="22"/>
          <w:lang w:val="es-419"/>
        </w:rPr>
        <w:t>la seguridad y eficacia de los medicamentos.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27AF6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Nociones como la </w:t>
      </w:r>
      <w:r w:rsidR="000E25E9" w:rsidRPr="0038186B">
        <w:rPr>
          <w:lang w:val="es-419"/>
        </w:rPr>
        <w:t>responsabilidad</w:t>
      </w:r>
      <w:r w:rsidR="009B55F6" w:rsidRPr="0038186B">
        <w:rPr>
          <w:lang w:val="es-419"/>
        </w:rPr>
        <w:t xml:space="preserve"> </w:t>
      </w:r>
      <w:r w:rsidR="007F6234" w:rsidRPr="0038186B">
        <w:rPr>
          <w:lang w:val="es-419"/>
        </w:rPr>
        <w:t>social</w:t>
      </w:r>
      <w:r w:rsidRPr="0038186B">
        <w:rPr>
          <w:lang w:val="es-419"/>
        </w:rPr>
        <w:t xml:space="preserve">, los </w:t>
      </w:r>
      <w:r w:rsidR="007F6234" w:rsidRPr="0038186B">
        <w:rPr>
          <w:lang w:val="es-419"/>
        </w:rPr>
        <w:t>valores morales</w:t>
      </w:r>
      <w:r w:rsidRPr="0038186B">
        <w:rPr>
          <w:lang w:val="es-419"/>
        </w:rPr>
        <w:t xml:space="preserve"> y </w:t>
      </w:r>
      <w:r w:rsidR="007F6234" w:rsidRPr="0038186B">
        <w:rPr>
          <w:lang w:val="es-419"/>
        </w:rPr>
        <w:t>las obligaciones éticas</w:t>
      </w:r>
      <w:r w:rsidR="00FD6EEF" w:rsidRPr="0038186B">
        <w:rPr>
          <w:lang w:val="es-419"/>
        </w:rPr>
        <w:t>.</w:t>
      </w:r>
    </w:p>
    <w:p w:rsidR="00DF5574" w:rsidRPr="0038186B" w:rsidRDefault="00A711D8" w:rsidP="008F2F55">
      <w:pPr>
        <w:pStyle w:val="Heading3"/>
        <w:rPr>
          <w:i/>
          <w:u w:val="none"/>
          <w:lang w:val="es-419"/>
        </w:rPr>
      </w:pPr>
      <w:bookmarkStart w:id="53" w:name="_Toc116899029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  <w:t>I</w:t>
      </w:r>
      <w:r w:rsidR="00344979" w:rsidRPr="0038186B">
        <w:rPr>
          <w:i/>
          <w:u w:val="none"/>
          <w:lang w:val="es-419"/>
        </w:rPr>
        <w:t xml:space="preserve">mportancia de la protección de los </w:t>
      </w:r>
      <w:r w:rsidR="00427AF6" w:rsidRPr="0038186B">
        <w:rPr>
          <w:i/>
          <w:u w:val="none"/>
          <w:lang w:val="es-419"/>
        </w:rPr>
        <w:t>CC.TT.</w:t>
      </w:r>
      <w:r w:rsidR="00344979" w:rsidRPr="0038186B">
        <w:rPr>
          <w:i/>
          <w:u w:val="none"/>
          <w:lang w:val="es-419"/>
        </w:rPr>
        <w:t xml:space="preserve"> en los contextos más generales de la formulación de políticas y la reglamentación</w:t>
      </w:r>
      <w:bookmarkEnd w:id="5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Tal como </w:t>
      </w:r>
      <w:r w:rsidR="00427AF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 puesto de manifiesto </w:t>
      </w:r>
      <w:r w:rsidR="00427AF6" w:rsidRPr="0038186B">
        <w:rPr>
          <w:lang w:val="es-419"/>
        </w:rPr>
        <w:t>e</w:t>
      </w:r>
      <w:r w:rsidR="0049435C" w:rsidRPr="0038186B">
        <w:rPr>
          <w:lang w:val="es-419"/>
        </w:rPr>
        <w:t>n</w:t>
      </w:r>
      <w:r w:rsidR="00427AF6" w:rsidRPr="0038186B">
        <w:rPr>
          <w:lang w:val="es-419"/>
        </w:rPr>
        <w:t xml:space="preserve"> la descripción de los marcos </w:t>
      </w:r>
      <w:r w:rsidR="0049435C" w:rsidRPr="0038186B">
        <w:rPr>
          <w:lang w:val="es-419"/>
        </w:rPr>
        <w:t>jurídicos</w:t>
      </w:r>
      <w:r w:rsidR="00427AF6" w:rsidRPr="0038186B">
        <w:rPr>
          <w:lang w:val="es-419"/>
        </w:rPr>
        <w:t xml:space="preserve"> y normativos</w:t>
      </w:r>
      <w:r w:rsidR="0049435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apartado i), los </w:t>
      </w:r>
      <w:r w:rsidR="0049435C" w:rsidRPr="0038186B">
        <w:rPr>
          <w:lang w:val="es-419"/>
        </w:rPr>
        <w:t xml:space="preserve">CC.TT. se mencionan </w:t>
      </w:r>
      <w:r w:rsidR="00344979" w:rsidRPr="0038186B">
        <w:rPr>
          <w:lang w:val="es-419"/>
        </w:rPr>
        <w:t>y utiliza</w:t>
      </w:r>
      <w:r w:rsidR="0049435C" w:rsidRPr="0038186B">
        <w:rPr>
          <w:lang w:val="es-419"/>
        </w:rPr>
        <w:t xml:space="preserve">n activamente en numerosos </w:t>
      </w:r>
      <w:r w:rsidR="00344979" w:rsidRPr="0038186B">
        <w:rPr>
          <w:lang w:val="es-419"/>
        </w:rPr>
        <w:t xml:space="preserve">contextos </w:t>
      </w:r>
      <w:r w:rsidR="0049435C" w:rsidRPr="0038186B">
        <w:rPr>
          <w:lang w:val="es-419"/>
        </w:rPr>
        <w:t>pertinentes para la formulación de políticas, entre los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protección de la biodiversidad y el uso equitativo de sus beneficios.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reconocimiento de los derechos de los pueblos indígenas.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fomento de la seguridad alimentaria y la promoción de la diversidad cultivos para la alimentación.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9435C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acceso a la salud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garantizado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de forma </w:t>
      </w:r>
      <w:r w:rsidRPr="0038186B">
        <w:rPr>
          <w:rFonts w:ascii="Arial" w:hAnsi="Arial" w:cs="Arial"/>
          <w:sz w:val="22"/>
          <w:szCs w:val="22"/>
          <w:lang w:val="es-419"/>
        </w:rPr>
        <w:t>culturalmente adecuada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desarrollo sostenible a nivel local.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La disminución y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>atenuación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cambio climático.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7F6234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solapamiento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los programas de investigación y desarrollo entre los CC.TT. como tales y las disciplinas científicas formales, como la biotecnología y la farmacología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contribución de los sistemas de CC.TT. a la innovación y la diversidad cultural.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54" w:name="_Toc116899030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consideraciones relativas a los procesos o formales</w:t>
      </w:r>
      <w:bookmarkEnd w:id="54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5" w:name="_Toc116899031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7F6234" w:rsidRPr="0038186B">
        <w:rPr>
          <w:i/>
          <w:u w:val="none"/>
          <w:lang w:val="es-419"/>
        </w:rPr>
        <w:t>Consideraciones específicas relativas a los p</w:t>
      </w:r>
      <w:r w:rsidRPr="0038186B">
        <w:rPr>
          <w:i/>
          <w:u w:val="none"/>
          <w:lang w:val="es-419"/>
        </w:rPr>
        <w:t>roce</w:t>
      </w:r>
      <w:r w:rsidR="007F6234" w:rsidRPr="0038186B">
        <w:rPr>
          <w:i/>
          <w:u w:val="none"/>
          <w:lang w:val="es-419"/>
        </w:rPr>
        <w:t>sos</w:t>
      </w:r>
      <w:r w:rsidRPr="0038186B">
        <w:rPr>
          <w:i/>
          <w:u w:val="none"/>
          <w:lang w:val="es-419"/>
        </w:rPr>
        <w:t xml:space="preserve"> </w:t>
      </w:r>
      <w:r w:rsidR="007F6234" w:rsidRPr="0038186B">
        <w:rPr>
          <w:i/>
          <w:u w:val="none"/>
          <w:lang w:val="es-419"/>
        </w:rPr>
        <w:t>o formales</w:t>
      </w:r>
      <w:bookmarkEnd w:id="55"/>
    </w:p>
    <w:p w:rsidR="00DF5574" w:rsidRPr="0038186B" w:rsidRDefault="00DF5574" w:rsidP="007B6E48">
      <w:pPr>
        <w:keepNext/>
        <w:keepLines/>
        <w:rPr>
          <w:lang w:val="es-419"/>
        </w:rPr>
      </w:pPr>
    </w:p>
    <w:p w:rsidR="00DF5574" w:rsidRPr="0038186B" w:rsidRDefault="00FD6EEF" w:rsidP="007B6E48">
      <w:pPr>
        <w:keepNext/>
        <w:keepLines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</w:t>
      </w:r>
      <w:r w:rsidR="007F6234" w:rsidRPr="0038186B">
        <w:rPr>
          <w:lang w:val="es-419"/>
        </w:rPr>
        <w:t>demás</w:t>
      </w:r>
      <w:r w:rsidR="00344979" w:rsidRPr="0038186B">
        <w:rPr>
          <w:lang w:val="es-419"/>
        </w:rPr>
        <w:t xml:space="preserve"> de </w:t>
      </w:r>
      <w:r w:rsidR="007F6234" w:rsidRPr="0038186B">
        <w:rPr>
          <w:lang w:val="es-419"/>
        </w:rPr>
        <w:t>las</w:t>
      </w:r>
      <w:r w:rsidR="00344979" w:rsidRPr="0038186B">
        <w:rPr>
          <w:lang w:val="es-419"/>
        </w:rPr>
        <w:t xml:space="preserve"> cuestiones </w:t>
      </w:r>
      <w:r w:rsidR="007F6234" w:rsidRPr="0038186B">
        <w:rPr>
          <w:lang w:val="es-419"/>
        </w:rPr>
        <w:t>de política más generales</w:t>
      </w:r>
      <w:r w:rsidR="00344979" w:rsidRPr="0038186B">
        <w:rPr>
          <w:lang w:val="es-419"/>
        </w:rPr>
        <w:t xml:space="preserve">, </w:t>
      </w:r>
      <w:r w:rsidR="007F6234" w:rsidRPr="0038186B">
        <w:rPr>
          <w:lang w:val="es-419"/>
        </w:rPr>
        <w:t xml:space="preserve">cabe examinar cuestiones más </w:t>
      </w:r>
      <w:r w:rsidR="00534998" w:rsidRPr="0038186B">
        <w:rPr>
          <w:lang w:val="es-419"/>
        </w:rPr>
        <w:t>específicas</w:t>
      </w:r>
      <w:r w:rsidR="007F623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podrían </w:t>
      </w:r>
      <w:r w:rsidR="00534998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pertinentes para abordar las carencias </w:t>
      </w:r>
      <w:r w:rsidR="00534998" w:rsidRPr="0038186B">
        <w:rPr>
          <w:lang w:val="es-419"/>
        </w:rPr>
        <w:t>observadas, entre las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hecho de que en muchos procesos nacionales o regionales se están ya elaborando marcos de protección de los CC.TT. más sólidos: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la adopción de una perspectiva internacional y de una plataforma común permitiría reducir las dificultades prácticas y la incertidumbre jurídica que podrían resultar de las diferencias en los regímenes nacionales o regionales de protección de los CC.TT.;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necesidad, </w:t>
      </w:r>
      <w:r w:rsidR="0051555D" w:rsidRPr="0038186B">
        <w:rPr>
          <w:lang w:val="es-419"/>
        </w:rPr>
        <w:t>no obstante</w:t>
      </w:r>
      <w:r w:rsidRPr="0038186B">
        <w:rPr>
          <w:lang w:val="es-419"/>
        </w:rPr>
        <w:t xml:space="preserve">, de </w:t>
      </w:r>
      <w:r w:rsidR="00965CBB" w:rsidRPr="0038186B">
        <w:rPr>
          <w:lang w:val="es-419"/>
        </w:rPr>
        <w:t xml:space="preserve">mantener </w:t>
      </w:r>
      <w:r w:rsidRPr="0038186B">
        <w:rPr>
          <w:lang w:val="es-419"/>
        </w:rPr>
        <w:t>un</w:t>
      </w:r>
      <w:r w:rsidR="00965CBB" w:rsidRPr="0038186B">
        <w:rPr>
          <w:lang w:val="es-419"/>
        </w:rPr>
        <w:t xml:space="preserve">a adecuada diversidad normativa y reconocer que </w:t>
      </w:r>
      <w:r w:rsidRPr="0038186B">
        <w:rPr>
          <w:lang w:val="es-419"/>
        </w:rPr>
        <w:t xml:space="preserve">los sistemas de CC.TT. y los medios específicos </w:t>
      </w:r>
      <w:r w:rsidR="00965CBB" w:rsidRPr="0038186B">
        <w:rPr>
          <w:lang w:val="es-419"/>
        </w:rPr>
        <w:t xml:space="preserve">para protegerlos </w:t>
      </w:r>
      <w:r w:rsidRPr="0038186B">
        <w:rPr>
          <w:lang w:val="es-419"/>
        </w:rPr>
        <w:t xml:space="preserve">deben </w:t>
      </w:r>
      <w:r w:rsidR="00965CBB" w:rsidRPr="0038186B">
        <w:rPr>
          <w:lang w:val="es-419"/>
        </w:rPr>
        <w:t>ajustarse a</w:t>
      </w:r>
      <w:r w:rsidRPr="0038186B">
        <w:rPr>
          <w:lang w:val="es-419"/>
        </w:rPr>
        <w:t xml:space="preserve"> las necesidades locales y normas culturales;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Las posi</w:t>
      </w:r>
      <w:r w:rsidR="0051555D" w:rsidRPr="0038186B">
        <w:rPr>
          <w:lang w:val="es-419"/>
        </w:rPr>
        <w:t xml:space="preserve">bles repercusiones sistémicas resultantes de la </w:t>
      </w:r>
      <w:r w:rsidRPr="0038186B">
        <w:rPr>
          <w:lang w:val="es-419"/>
        </w:rPr>
        <w:t xml:space="preserve">falta de claridad en </w:t>
      </w:r>
      <w:r w:rsidR="00E11373" w:rsidRPr="0038186B">
        <w:rPr>
          <w:lang w:val="es-419"/>
        </w:rPr>
        <w:t xml:space="preserve">el Derecho </w:t>
      </w:r>
      <w:r w:rsidRPr="0038186B">
        <w:rPr>
          <w:lang w:val="es-419"/>
        </w:rPr>
        <w:t xml:space="preserve">internacional </w:t>
      </w:r>
      <w:r w:rsidR="00E11373" w:rsidRPr="0038186B">
        <w:rPr>
          <w:lang w:val="es-419"/>
        </w:rPr>
        <w:t xml:space="preserve">de </w:t>
      </w:r>
      <w:r w:rsidR="0030450C" w:rsidRPr="0038186B">
        <w:rPr>
          <w:lang w:val="es-419"/>
        </w:rPr>
        <w:t>PI</w:t>
      </w:r>
      <w:r w:rsidRPr="0038186B">
        <w:rPr>
          <w:lang w:val="es-419"/>
        </w:rPr>
        <w:t xml:space="preserve"> en </w:t>
      </w:r>
      <w:r w:rsidR="00256315" w:rsidRPr="0038186B">
        <w:rPr>
          <w:lang w:val="es-419"/>
        </w:rPr>
        <w:t xml:space="preserve">esferas pertinentes </w:t>
      </w:r>
      <w:r w:rsidRPr="0038186B">
        <w:rPr>
          <w:lang w:val="es-419"/>
        </w:rPr>
        <w:t>para los CC.TT. y los sistemas de CC.TT. y de innovación.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Las </w:t>
      </w:r>
      <w:r w:rsidR="0051555D" w:rsidRPr="0038186B">
        <w:rPr>
          <w:lang w:val="es-419"/>
        </w:rPr>
        <w:t xml:space="preserve">posibles </w:t>
      </w:r>
      <w:r w:rsidR="00256315" w:rsidRPr="0038186B">
        <w:rPr>
          <w:lang w:val="es-419"/>
        </w:rPr>
        <w:t xml:space="preserve">ventajas que </w:t>
      </w:r>
      <w:r w:rsidR="0051555D" w:rsidRPr="0038186B">
        <w:rPr>
          <w:lang w:val="es-419"/>
        </w:rPr>
        <w:t>se derivarían de</w:t>
      </w:r>
      <w:r w:rsidR="00256315" w:rsidRPr="0038186B">
        <w:rPr>
          <w:lang w:val="es-419"/>
        </w:rPr>
        <w:t xml:space="preserve"> la reducción de </w:t>
      </w:r>
      <w:r w:rsidRPr="0038186B">
        <w:rPr>
          <w:lang w:val="es-419"/>
        </w:rPr>
        <w:t xml:space="preserve">la incertidumbre jurídica </w:t>
      </w:r>
      <w:r w:rsidR="00A776F7" w:rsidRPr="0038186B">
        <w:rPr>
          <w:lang w:val="es-419"/>
        </w:rPr>
        <w:t>debida a</w:t>
      </w:r>
      <w:r w:rsidRPr="0038186B">
        <w:rPr>
          <w:lang w:val="es-419"/>
        </w:rPr>
        <w:t xml:space="preserve"> </w:t>
      </w:r>
      <w:r w:rsidR="00A776F7" w:rsidRPr="0038186B">
        <w:rPr>
          <w:lang w:val="es-419"/>
        </w:rPr>
        <w:t xml:space="preserve">preocupaciones </w:t>
      </w:r>
      <w:r w:rsidRPr="0038186B">
        <w:rPr>
          <w:lang w:val="es-419"/>
        </w:rPr>
        <w:t>relativas a la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posible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responsabilidades sobre la </w:t>
      </w:r>
      <w:r w:rsidR="00A776F7" w:rsidRPr="0038186B">
        <w:rPr>
          <w:lang w:val="es-419"/>
        </w:rPr>
        <w:t xml:space="preserve">titularidad o la </w:t>
      </w:r>
      <w:r w:rsidRPr="0038186B">
        <w:rPr>
          <w:lang w:val="es-419"/>
        </w:rPr>
        <w:t xml:space="preserve">custodia </w:t>
      </w:r>
      <w:r w:rsidR="00A776F7" w:rsidRPr="0038186B">
        <w:rPr>
          <w:lang w:val="es-419"/>
        </w:rPr>
        <w:t>en relación con los</w:t>
      </w:r>
      <w:r w:rsidRPr="0038186B">
        <w:rPr>
          <w:lang w:val="es-419"/>
        </w:rPr>
        <w:t xml:space="preserve"> CC.TT.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</w:t>
      </w:r>
      <w:r w:rsidR="00965CBB" w:rsidRPr="0038186B">
        <w:rPr>
          <w:lang w:val="es-419"/>
        </w:rPr>
        <w:t xml:space="preserve">os costos y beneficios resultantes de </w:t>
      </w:r>
      <w:r w:rsidRPr="0038186B">
        <w:rPr>
          <w:lang w:val="es-419"/>
        </w:rPr>
        <w:t xml:space="preserve">la adopción de </w:t>
      </w:r>
      <w:r w:rsidR="00965CBB" w:rsidRPr="0038186B">
        <w:rPr>
          <w:lang w:val="es-419"/>
        </w:rPr>
        <w:t xml:space="preserve">un enfoque común a nivel internacional respecto de las cuestiones relativas a la protección de los CC.TT., o la creación de una nueva forma de protección en el marco de la PI, </w:t>
      </w:r>
      <w:r w:rsidRPr="0038186B">
        <w:rPr>
          <w:lang w:val="es-419"/>
        </w:rPr>
        <w:t>incluidas</w:t>
      </w:r>
      <w:r w:rsidR="00965CBB" w:rsidRPr="0038186B">
        <w:rPr>
          <w:lang w:val="es-419"/>
        </w:rPr>
        <w:t xml:space="preserve"> las consecuencias </w:t>
      </w:r>
      <w:r w:rsidR="00256315" w:rsidRPr="0038186B">
        <w:rPr>
          <w:lang w:val="es-419"/>
        </w:rPr>
        <w:t>para</w:t>
      </w:r>
      <w:r w:rsidR="00C855ED" w:rsidRPr="0038186B">
        <w:rPr>
          <w:lang w:val="es-419"/>
        </w:rPr>
        <w:t xml:space="preserve"> </w:t>
      </w:r>
      <w:r w:rsidR="00965CBB" w:rsidRPr="0038186B">
        <w:rPr>
          <w:lang w:val="es-419"/>
        </w:rPr>
        <w:t xml:space="preserve">la </w:t>
      </w:r>
      <w:r w:rsidRPr="0038186B">
        <w:rPr>
          <w:lang w:val="es-419"/>
        </w:rPr>
        <w:t xml:space="preserve">administración </w:t>
      </w:r>
      <w:r w:rsidR="00965CBB" w:rsidRPr="0038186B">
        <w:rPr>
          <w:lang w:val="es-419"/>
        </w:rPr>
        <w:t xml:space="preserve">nacional y regional y </w:t>
      </w:r>
      <w:r w:rsidR="00C855ED" w:rsidRPr="0038186B">
        <w:rPr>
          <w:lang w:val="es-419"/>
        </w:rPr>
        <w:t xml:space="preserve">el acceso de los titulares extranjeros </w:t>
      </w:r>
      <w:r w:rsidR="00301AF1" w:rsidRPr="0038186B">
        <w:rPr>
          <w:lang w:val="es-419"/>
        </w:rPr>
        <w:t xml:space="preserve">de CC.TT. </w:t>
      </w:r>
      <w:r w:rsidR="00C855ED" w:rsidRPr="0038186B">
        <w:rPr>
          <w:lang w:val="es-419"/>
        </w:rPr>
        <w:t>a la protección</w:t>
      </w:r>
      <w:r w:rsidR="00FD6EEF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</w:t>
      </w:r>
      <w:r w:rsidR="00C855ED" w:rsidRPr="0038186B">
        <w:rPr>
          <w:lang w:val="es-419"/>
        </w:rPr>
        <w:t xml:space="preserve">l contraste y la interrelación entre un enfoque legislativo y normativo que prevea expectativas y </w:t>
      </w:r>
      <w:r w:rsidR="00301AF1" w:rsidRPr="0038186B">
        <w:rPr>
          <w:lang w:val="es-419"/>
        </w:rPr>
        <w:t>criterios</w:t>
      </w:r>
      <w:r w:rsidR="00C855ED" w:rsidRPr="0038186B">
        <w:rPr>
          <w:lang w:val="es-419"/>
        </w:rPr>
        <w:t xml:space="preserve"> generales y un mecanismo contractual bilateral en el que los titulares y usuarios de </w:t>
      </w:r>
      <w:r w:rsidR="00301AF1" w:rsidRPr="0038186B">
        <w:rPr>
          <w:lang w:val="es-419"/>
        </w:rPr>
        <w:t xml:space="preserve">los </w:t>
      </w:r>
      <w:r w:rsidR="00C855ED" w:rsidRPr="0038186B">
        <w:rPr>
          <w:lang w:val="es-419"/>
        </w:rPr>
        <w:t>CC.TT. definan las condiciones específicas de utilización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56" w:name="_Toc116899032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Consideraciones que </w:t>
      </w:r>
      <w:r w:rsidR="00301AF1" w:rsidRPr="0038186B">
        <w:rPr>
          <w:i/>
          <w:u w:val="none"/>
          <w:lang w:val="es-419"/>
        </w:rPr>
        <w:t>abogan en contra de la solución de las</w:t>
      </w:r>
      <w:r w:rsidRPr="0038186B">
        <w:rPr>
          <w:i/>
          <w:u w:val="none"/>
          <w:lang w:val="es-419"/>
        </w:rPr>
        <w:t xml:space="preserve"> carencias</w:t>
      </w:r>
      <w:bookmarkEnd w:id="5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el Comité también se han p</w:t>
      </w:r>
      <w:r w:rsidR="00301AF1" w:rsidRPr="0038186B">
        <w:rPr>
          <w:lang w:val="es-419"/>
        </w:rPr>
        <w:t>resentado</w:t>
      </w:r>
      <w:r w:rsidR="00344979" w:rsidRPr="0038186B">
        <w:rPr>
          <w:lang w:val="es-419"/>
        </w:rPr>
        <w:t xml:space="preserve"> propuestas de consideraciones particulares que podrían </w:t>
      </w:r>
      <w:r w:rsidR="00301AF1" w:rsidRPr="0038186B">
        <w:rPr>
          <w:lang w:val="es-419"/>
        </w:rPr>
        <w:t>abogar en contra de la búsqueda de soluciones a</w:t>
      </w:r>
      <w:r w:rsidR="00344979" w:rsidRPr="0038186B">
        <w:rPr>
          <w:lang w:val="es-419"/>
        </w:rPr>
        <w:t xml:space="preserve"> las carencias </w:t>
      </w:r>
      <w:r w:rsidR="00301AF1" w:rsidRPr="0038186B">
        <w:rPr>
          <w:lang w:val="es-419"/>
        </w:rPr>
        <w:t>detectadas,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</w:t>
      </w:r>
      <w:r w:rsidR="00301AF1" w:rsidRPr="0038186B">
        <w:rPr>
          <w:lang w:val="es-419"/>
        </w:rPr>
        <w:t>las cuales figuran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posibilidad de que </w:t>
      </w:r>
      <w:r w:rsidR="000819E5" w:rsidRPr="0038186B">
        <w:rPr>
          <w:lang w:val="es-419"/>
        </w:rPr>
        <w:t xml:space="preserve">se considere </w:t>
      </w:r>
      <w:r w:rsidRPr="0038186B">
        <w:rPr>
          <w:lang w:val="es-419"/>
        </w:rPr>
        <w:t xml:space="preserve">prematuro </w:t>
      </w:r>
      <w:r w:rsidR="000819E5" w:rsidRPr="0038186B">
        <w:rPr>
          <w:lang w:val="es-419"/>
        </w:rPr>
        <w:t>subsanar</w:t>
      </w:r>
      <w:r w:rsidRPr="0038186B">
        <w:rPr>
          <w:lang w:val="es-419"/>
        </w:rPr>
        <w:t xml:space="preserve"> determinadas carencias </w:t>
      </w:r>
      <w:r w:rsidR="000819E5" w:rsidRPr="0038186B">
        <w:rPr>
          <w:lang w:val="es-419"/>
        </w:rPr>
        <w:t>a nivel</w:t>
      </w:r>
      <w:r w:rsidRPr="0038186B">
        <w:rPr>
          <w:lang w:val="es-419"/>
        </w:rPr>
        <w:t xml:space="preserve"> internacional, incluso </w:t>
      </w:r>
      <w:r w:rsidR="000819E5" w:rsidRPr="0038186B">
        <w:rPr>
          <w:lang w:val="es-419"/>
        </w:rPr>
        <w:t xml:space="preserve">las que han sido </w:t>
      </w:r>
      <w:r w:rsidRPr="0038186B">
        <w:rPr>
          <w:lang w:val="es-419"/>
        </w:rPr>
        <w:t xml:space="preserve">claramente definidas, </w:t>
      </w:r>
      <w:r w:rsidR="000819E5" w:rsidRPr="0038186B">
        <w:rPr>
          <w:lang w:val="es-419"/>
        </w:rPr>
        <w:t xml:space="preserve">ya que es necesario adquirir y </w:t>
      </w:r>
      <w:r w:rsidRPr="0038186B">
        <w:rPr>
          <w:lang w:val="es-419"/>
        </w:rPr>
        <w:t xml:space="preserve">compartir más experiencia a nivel nacional como condición previa para </w:t>
      </w:r>
      <w:r w:rsidR="000819E5" w:rsidRPr="0038186B">
        <w:rPr>
          <w:lang w:val="es-419"/>
        </w:rPr>
        <w:t>la obtención de r</w:t>
      </w:r>
      <w:r w:rsidRPr="0038186B">
        <w:rPr>
          <w:lang w:val="es-419"/>
        </w:rPr>
        <w:t xml:space="preserve">esultados </w:t>
      </w:r>
      <w:r w:rsidR="000819E5" w:rsidRPr="0038186B">
        <w:rPr>
          <w:lang w:val="es-419"/>
        </w:rPr>
        <w:t xml:space="preserve">más contundentes a escala </w:t>
      </w:r>
      <w:r w:rsidRPr="0038186B">
        <w:rPr>
          <w:lang w:val="es-419"/>
        </w:rPr>
        <w:t>internacional;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 diversidad de los CC.TT. y de las comunidades que los poseen, que puede</w:t>
      </w:r>
      <w:r w:rsidR="000819E5" w:rsidRPr="0038186B">
        <w:rPr>
          <w:lang w:val="es-419"/>
        </w:rPr>
        <w:t xml:space="preserve"> limitar el alcance </w:t>
      </w:r>
      <w:r w:rsidRPr="0038186B">
        <w:rPr>
          <w:lang w:val="es-419"/>
        </w:rPr>
        <w:t>internacional de la actividad normativa</w:t>
      </w:r>
      <w:r w:rsidR="0057369B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incertidumbre </w:t>
      </w:r>
      <w:r w:rsidR="000819E5" w:rsidRPr="0038186B">
        <w:rPr>
          <w:lang w:val="es-419"/>
        </w:rPr>
        <w:t xml:space="preserve">en relación con </w:t>
      </w:r>
      <w:r w:rsidRPr="0038186B">
        <w:rPr>
          <w:lang w:val="es-419"/>
        </w:rPr>
        <w:t xml:space="preserve">los derechos y </w:t>
      </w:r>
      <w:r w:rsidR="000819E5" w:rsidRPr="0038186B">
        <w:rPr>
          <w:lang w:val="es-419"/>
        </w:rPr>
        <w:t>prerrogativas</w:t>
      </w:r>
      <w:r w:rsidRPr="0038186B">
        <w:rPr>
          <w:lang w:val="es-419"/>
        </w:rPr>
        <w:t xml:space="preserve"> de los titulares extranjeros de derechos, como las comunidades titulares de CC.TT. que p</w:t>
      </w:r>
      <w:r w:rsidR="000819E5" w:rsidRPr="0038186B">
        <w:rPr>
          <w:lang w:val="es-419"/>
        </w:rPr>
        <w:t>roceden</w:t>
      </w:r>
      <w:r w:rsidR="009B55F6" w:rsidRPr="0038186B">
        <w:rPr>
          <w:lang w:val="es-419"/>
        </w:rPr>
        <w:t xml:space="preserve"> </w:t>
      </w:r>
      <w:r w:rsidR="000819E5" w:rsidRPr="0038186B">
        <w:rPr>
          <w:lang w:val="es-419"/>
        </w:rPr>
        <w:t>de</w:t>
      </w:r>
      <w:r w:rsidRPr="0038186B">
        <w:rPr>
          <w:lang w:val="es-419"/>
        </w:rPr>
        <w:t xml:space="preserve"> contextos culturales y sociales radicalmente diferentes;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posible necesidad de establecer procesos de consulta más </w:t>
      </w:r>
      <w:r w:rsidR="009B0390" w:rsidRPr="0038186B">
        <w:rPr>
          <w:lang w:val="es-419"/>
        </w:rPr>
        <w:t>sólidos</w:t>
      </w:r>
      <w:r w:rsidRPr="0038186B">
        <w:rPr>
          <w:lang w:val="es-419"/>
        </w:rPr>
        <w:t xml:space="preserve"> y</w:t>
      </w:r>
      <w:r w:rsidR="009B0390" w:rsidRPr="0038186B">
        <w:rPr>
          <w:lang w:val="es-419"/>
        </w:rPr>
        <w:t xml:space="preserve"> diversos</w:t>
      </w:r>
      <w:r w:rsidRPr="0038186B">
        <w:rPr>
          <w:lang w:val="es-419"/>
        </w:rPr>
        <w:t xml:space="preserve"> antes de pasar a </w:t>
      </w:r>
      <w:r w:rsidR="009B0390" w:rsidRPr="0038186B">
        <w:rPr>
          <w:lang w:val="es-419"/>
        </w:rPr>
        <w:t xml:space="preserve">la etapa de la consecución de resultados políticos y jurídicos </w:t>
      </w:r>
      <w:r w:rsidR="00FE53EF" w:rsidRPr="0038186B">
        <w:rPr>
          <w:lang w:val="es-419"/>
        </w:rPr>
        <w:t>de gran envergadura</w:t>
      </w:r>
      <w:r w:rsidR="009B0390" w:rsidRPr="0038186B">
        <w:rPr>
          <w:lang w:val="es-419"/>
        </w:rPr>
        <w:t xml:space="preserve"> que luego podría resultar </w:t>
      </w:r>
      <w:r w:rsidRPr="0038186B">
        <w:rPr>
          <w:lang w:val="es-419"/>
        </w:rPr>
        <w:t>difícil y costoso revisar una vez concluidos.</w:t>
      </w:r>
    </w:p>
    <w:p w:rsidR="00DF5574" w:rsidRPr="0038186B" w:rsidRDefault="00344979" w:rsidP="00880F45">
      <w:pPr>
        <w:pStyle w:val="Heading1"/>
        <w:keepNext w:val="0"/>
        <w:spacing w:before="360" w:after="120"/>
        <w:ind w:left="567" w:hanging="567"/>
        <w:rPr>
          <w:b w:val="0"/>
          <w:lang w:val="es-419"/>
        </w:rPr>
      </w:pPr>
      <w:bookmarkStart w:id="57" w:name="_Toc116899033"/>
      <w:r w:rsidRPr="0038186B">
        <w:rPr>
          <w:b w:val="0"/>
          <w:lang w:val="es-419"/>
        </w:rPr>
        <w:t>V</w:t>
      </w:r>
      <w:r w:rsidR="008F2F55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.</w:t>
      </w:r>
      <w:r w:rsidR="008F2F55" w:rsidRPr="0038186B">
        <w:rPr>
          <w:b w:val="0"/>
          <w:lang w:val="es-419"/>
        </w:rPr>
        <w:tab/>
      </w:r>
      <w:r w:rsidRPr="0038186B">
        <w:rPr>
          <w:b w:val="0"/>
          <w:lang w:val="es-419"/>
        </w:rPr>
        <w:t xml:space="preserve">OPCIONES </w:t>
      </w:r>
      <w:r w:rsidR="005D19A4" w:rsidRPr="0038186B">
        <w:rPr>
          <w:b w:val="0"/>
          <w:lang w:val="es-419"/>
        </w:rPr>
        <w:t>EXISTENTES Y POTENCIALES PARA SUBSANAR</w:t>
      </w:r>
      <w:r w:rsidRPr="0038186B">
        <w:rPr>
          <w:b w:val="0"/>
          <w:lang w:val="es-419"/>
        </w:rPr>
        <w:t xml:space="preserve"> </w:t>
      </w:r>
      <w:r w:rsidR="009B0390" w:rsidRPr="0038186B">
        <w:rPr>
          <w:b w:val="0"/>
          <w:lang w:val="es-419"/>
        </w:rPr>
        <w:t xml:space="preserve">LAS </w:t>
      </w:r>
      <w:r w:rsidRPr="0038186B">
        <w:rPr>
          <w:b w:val="0"/>
          <w:lang w:val="es-419"/>
        </w:rPr>
        <w:t>CARENCIA</w:t>
      </w:r>
      <w:r w:rsidR="005D19A4" w:rsidRPr="0038186B">
        <w:rPr>
          <w:b w:val="0"/>
          <w:lang w:val="es-419"/>
        </w:rPr>
        <w:t xml:space="preserve">S </w:t>
      </w:r>
      <w:r w:rsidR="00FE53EF" w:rsidRPr="0038186B">
        <w:rPr>
          <w:b w:val="0"/>
          <w:lang w:val="es-419"/>
        </w:rPr>
        <w:t>DEFINIDAS</w:t>
      </w:r>
      <w:bookmarkEnd w:id="57"/>
    </w:p>
    <w:p w:rsidR="00DF5574" w:rsidRPr="0038186B" w:rsidRDefault="00344979" w:rsidP="00880F45">
      <w:pPr>
        <w:spacing w:before="240"/>
        <w:rPr>
          <w:i/>
          <w:lang w:val="es-419"/>
        </w:rPr>
      </w:pPr>
      <w:r w:rsidRPr="0038186B">
        <w:rPr>
          <w:i/>
          <w:lang w:val="es-419"/>
        </w:rPr>
        <w:t>Opciones jurídicas o de otra índole, ya sea a nivel internacional, regional o nacional;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0390" w:rsidRPr="0038186B">
        <w:rPr>
          <w:lang w:val="es-419"/>
        </w:rPr>
        <w:t>E</w:t>
      </w:r>
      <w:r w:rsidR="00344979" w:rsidRPr="0038186B">
        <w:rPr>
          <w:lang w:val="es-419"/>
        </w:rPr>
        <w:t>n el documento WIPO/</w:t>
      </w:r>
      <w:r w:rsidR="000B6E41" w:rsidRPr="0038186B">
        <w:rPr>
          <w:lang w:val="es-419"/>
        </w:rPr>
        <w:t>GRTK</w:t>
      </w:r>
      <w:r w:rsidR="00344979" w:rsidRPr="0038186B">
        <w:rPr>
          <w:lang w:val="es-419"/>
        </w:rPr>
        <w:t>F/IC/14/6 y en los documentos precedentes en esta serie se determina</w:t>
      </w:r>
      <w:r w:rsidR="00542604" w:rsidRPr="0038186B">
        <w:rPr>
          <w:lang w:val="es-419"/>
        </w:rPr>
        <w:t>ron</w:t>
      </w:r>
      <w:r w:rsidR="00344979" w:rsidRPr="0038186B">
        <w:rPr>
          <w:lang w:val="es-419"/>
        </w:rPr>
        <w:t xml:space="preserve"> las opciones siguientes</w:t>
      </w:r>
      <w:r w:rsidR="00542604" w:rsidRPr="0038186B">
        <w:rPr>
          <w:lang w:val="es-419"/>
        </w:rPr>
        <w:t xml:space="preserve"> a nivel internacional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 internacionales vinculantes;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AA4B3D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explicaciones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interpretaciones </w:t>
      </w:r>
      <w:r w:rsidRPr="0038186B">
        <w:rPr>
          <w:rFonts w:ascii="Arial" w:hAnsi="Arial" w:cs="Arial"/>
          <w:sz w:val="22"/>
          <w:szCs w:val="22"/>
          <w:lang w:val="es-419"/>
        </w:rPr>
        <w:t>autorizadas o exhortativas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de los instrumentos jurídicos vigentes;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 normativos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internacionales no vinculantes;</w:t>
      </w:r>
    </w:p>
    <w:p w:rsidR="00D36164" w:rsidRPr="0038186B" w:rsidRDefault="00D36164" w:rsidP="00D36164">
      <w:pPr>
        <w:tabs>
          <w:tab w:val="left" w:pos="1134"/>
        </w:tabs>
        <w:ind w:left="567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una res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olución, declaración o decisión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 alto nivel,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declaración política internacional en la que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enuncien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los principios fundamentales,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establezca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una norma contra la apropiación y utilización indebidas, y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definan </w:t>
      </w:r>
      <w:r w:rsidRPr="0038186B">
        <w:rPr>
          <w:rFonts w:ascii="Arial" w:hAnsi="Arial" w:cs="Arial"/>
          <w:sz w:val="22"/>
          <w:szCs w:val="22"/>
          <w:lang w:val="es-419"/>
        </w:rPr>
        <w:t>las necesidades y expectativas de los titulares de las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ECT y CC.TT.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 prioridades políticas</w:t>
      </w:r>
      <w:r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fortalecimiento de la coordinación internacional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mediante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directrices o leyes tipo;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de los avances en materia legislativa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a nivel nacional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y cooperación en materia de creación de capacidades y de iniciativas prácticas.</w:t>
      </w:r>
    </w:p>
    <w:p w:rsidR="00DF5574" w:rsidRPr="0038186B" w:rsidRDefault="00DF5574" w:rsidP="00964AF1">
      <w:pPr>
        <w:tabs>
          <w:tab w:val="left" w:pos="6298"/>
        </w:tabs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 continuación se examinan una a una.</w:t>
      </w:r>
    </w:p>
    <w:p w:rsidR="00DF5574" w:rsidRPr="0038186B" w:rsidRDefault="00344979" w:rsidP="008F2F55">
      <w:pPr>
        <w:pStyle w:val="Heading2"/>
        <w:keepNext w:val="0"/>
        <w:rPr>
          <w:i/>
          <w:caps w:val="0"/>
          <w:u w:val="single"/>
          <w:lang w:val="es-419"/>
        </w:rPr>
      </w:pPr>
      <w:bookmarkStart w:id="58" w:name="_Toc116899034"/>
      <w:r w:rsidRPr="0038186B">
        <w:rPr>
          <w:i/>
          <w:caps w:val="0"/>
          <w:u w:val="single"/>
          <w:lang w:val="es-419"/>
        </w:rPr>
        <w:t>a)</w:t>
      </w:r>
      <w:r w:rsidR="008F2F55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Opciones jurídicas o de otra índole a nivel internacional:</w:t>
      </w:r>
      <w:bookmarkEnd w:id="58"/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59" w:name="_Toc116899035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o instrumentos internacionales vinculantes</w:t>
      </w:r>
      <w:bookmarkEnd w:id="59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 instrumento vinculante que </w:t>
      </w:r>
      <w:r w:rsidR="00C357AD" w:rsidRPr="0038186B">
        <w:rPr>
          <w:lang w:val="es-419"/>
        </w:rPr>
        <w:t xml:space="preserve">colmara </w:t>
      </w:r>
      <w:r w:rsidR="00070985" w:rsidRPr="0038186B">
        <w:rPr>
          <w:lang w:val="es-419"/>
        </w:rPr>
        <w:t>lagunas</w:t>
      </w:r>
      <w:r w:rsidR="00C357AD" w:rsidRPr="0038186B">
        <w:rPr>
          <w:lang w:val="es-419"/>
        </w:rPr>
        <w:t xml:space="preserve"> </w:t>
      </w:r>
      <w:r w:rsidR="00070985" w:rsidRPr="0038186B">
        <w:rPr>
          <w:lang w:val="es-419"/>
        </w:rPr>
        <w:t>concretas</w:t>
      </w:r>
      <w:r w:rsidR="00C357A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</w:t>
      </w:r>
      <w:r w:rsidR="00070985" w:rsidRPr="0038186B">
        <w:rPr>
          <w:lang w:val="es-419"/>
        </w:rPr>
        <w:t>l</w:t>
      </w:r>
      <w:r w:rsidR="000B7A8F" w:rsidRPr="0038186B">
        <w:rPr>
          <w:lang w:val="es-419"/>
        </w:rPr>
        <w:t xml:space="preserve">a </w:t>
      </w:r>
      <w:r w:rsidR="00344979" w:rsidRPr="0038186B">
        <w:rPr>
          <w:lang w:val="es-419"/>
        </w:rPr>
        <w:t>protección obligar</w:t>
      </w:r>
      <w:r w:rsidR="00070985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a las Partes Contratantes a </w:t>
      </w:r>
      <w:r w:rsidR="00FE53EF" w:rsidRPr="0038186B">
        <w:rPr>
          <w:lang w:val="es-419"/>
        </w:rPr>
        <w:t>aplicar</w:t>
      </w:r>
      <w:r w:rsidR="00344979" w:rsidRPr="0038186B">
        <w:rPr>
          <w:lang w:val="es-419"/>
        </w:rPr>
        <w:t xml:space="preserve"> las normas prescritas </w:t>
      </w:r>
      <w:r w:rsidR="00070985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su legislación nacional</w:t>
      </w:r>
      <w:r w:rsidR="00070985" w:rsidRPr="0038186B">
        <w:rPr>
          <w:lang w:val="es-419"/>
        </w:rPr>
        <w:t xml:space="preserve">, </w:t>
      </w:r>
      <w:r w:rsidR="000B7A8F" w:rsidRPr="0038186B">
        <w:rPr>
          <w:lang w:val="es-419"/>
        </w:rPr>
        <w:t>en virtud del D</w:t>
      </w:r>
      <w:r w:rsidR="00344979" w:rsidRPr="0038186B">
        <w:rPr>
          <w:lang w:val="es-419"/>
        </w:rPr>
        <w:t>erecho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los posibles </w:t>
      </w:r>
      <w:r w:rsidR="00070985" w:rsidRPr="0038186B">
        <w:rPr>
          <w:lang w:val="es-419"/>
        </w:rPr>
        <w:t>instrumentos de ese tipo se cuentan los</w:t>
      </w:r>
      <w:r w:rsidR="00344979" w:rsidRPr="0038186B">
        <w:rPr>
          <w:lang w:val="es-419"/>
        </w:rPr>
        <w:t xml:space="preserve"> instrumentos jurídicos independientes, los protocolos de los instrumentos vigentes o los acuerdos especiales</w:t>
      </w:r>
      <w:r w:rsidR="00F81D1A" w:rsidRPr="0038186B">
        <w:rPr>
          <w:lang w:val="es-419"/>
        </w:rPr>
        <w:t xml:space="preserve"> establecidos con arreglo a </w:t>
      </w:r>
      <w:r w:rsidR="00344979" w:rsidRPr="0038186B">
        <w:rPr>
          <w:lang w:val="es-419"/>
        </w:rPr>
        <w:t>acuerdos vigentes.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tratados </w:t>
      </w:r>
      <w:r w:rsidR="00F81D1A" w:rsidRPr="0038186B">
        <w:rPr>
          <w:lang w:val="es-419"/>
        </w:rPr>
        <w:t>concluidos en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 OM</w:t>
      </w:r>
      <w:r w:rsidR="0030450C" w:rsidRPr="0038186B">
        <w:rPr>
          <w:lang w:val="es-419"/>
        </w:rPr>
        <w:t xml:space="preserve">PI </w:t>
      </w:r>
      <w:r w:rsidR="00CE40C2" w:rsidRPr="0038186B">
        <w:rPr>
          <w:lang w:val="es-419"/>
        </w:rPr>
        <w:t>han</w:t>
      </w:r>
      <w:r w:rsidR="00344979" w:rsidRPr="0038186B">
        <w:rPr>
          <w:lang w:val="es-419"/>
        </w:rPr>
        <w:t xml:space="preserve"> </w:t>
      </w:r>
      <w:r w:rsidR="00CE40C2" w:rsidRPr="0038186B">
        <w:rPr>
          <w:lang w:val="es-419"/>
        </w:rPr>
        <w:t xml:space="preserve">pasado a ser </w:t>
      </w:r>
      <w:r w:rsidR="00F81D1A" w:rsidRPr="0038186B">
        <w:rPr>
          <w:lang w:val="es-419"/>
        </w:rPr>
        <w:t>vinculantes</w:t>
      </w:r>
      <w:r w:rsidR="00CE40C2" w:rsidRPr="0038186B">
        <w:rPr>
          <w:lang w:val="es-419"/>
        </w:rPr>
        <w:t xml:space="preserve"> en virtud del D</w:t>
      </w:r>
      <w:r w:rsidR="00344979" w:rsidRPr="0038186B">
        <w:rPr>
          <w:lang w:val="es-419"/>
        </w:rPr>
        <w:t xml:space="preserve">erecho internacional </w:t>
      </w:r>
      <w:r w:rsidR="00F81D1A" w:rsidRPr="0038186B">
        <w:rPr>
          <w:lang w:val="es-419"/>
        </w:rPr>
        <w:t xml:space="preserve">merced </w:t>
      </w:r>
      <w:r w:rsidR="00344979" w:rsidRPr="0038186B">
        <w:rPr>
          <w:lang w:val="es-419"/>
        </w:rPr>
        <w:t>a la decisión de las partes interesadas de adherirse a ellos;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otros </w:t>
      </w:r>
      <w:r w:rsidR="00F81D1A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no están obligados por el tratado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(en algunos casos han decidido aplicar las normas establecidas por el tratado sin adherirse oficialmente a él de pleno derecho, por ejemplo en </w:t>
      </w:r>
      <w:r w:rsidR="00CA7654" w:rsidRPr="0038186B">
        <w:rPr>
          <w:lang w:val="es-419"/>
        </w:rPr>
        <w:t>la esfera</w:t>
      </w:r>
      <w:r w:rsidR="00344979" w:rsidRPr="0038186B">
        <w:rPr>
          <w:lang w:val="es-419"/>
        </w:rPr>
        <w:t xml:space="preserve"> de las clasificaciones de la propiedad industrial).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Sería </w:t>
      </w:r>
      <w:r w:rsidR="00CA7654" w:rsidRPr="0038186B">
        <w:rPr>
          <w:lang w:val="es-419"/>
        </w:rPr>
        <w:t xml:space="preserve">preciso iniciar un </w:t>
      </w:r>
      <w:r w:rsidR="00344979" w:rsidRPr="0038186B">
        <w:rPr>
          <w:lang w:val="es-419"/>
        </w:rPr>
        <w:t xml:space="preserve">procedimiento </w:t>
      </w:r>
      <w:r w:rsidR="00CA7654" w:rsidRPr="0038186B">
        <w:rPr>
          <w:lang w:val="es-419"/>
        </w:rPr>
        <w:t>específico</w:t>
      </w:r>
      <w:r w:rsidR="00344979" w:rsidRPr="0038186B">
        <w:rPr>
          <w:lang w:val="es-419"/>
        </w:rPr>
        <w:t xml:space="preserve"> de elaboración de tratados (por lo general, una conferencia diplomática) para negociar </w:t>
      </w:r>
      <w:r w:rsidR="00CA7654" w:rsidRPr="0038186B">
        <w:rPr>
          <w:lang w:val="es-419"/>
        </w:rPr>
        <w:t>dicho</w:t>
      </w:r>
      <w:r w:rsidR="00344979" w:rsidRPr="0038186B">
        <w:rPr>
          <w:lang w:val="es-419"/>
        </w:rPr>
        <w:t xml:space="preserve"> instrumento</w:t>
      </w:r>
      <w:r w:rsidR="00CA7654" w:rsidRPr="0038186B">
        <w:rPr>
          <w:lang w:val="es-419"/>
        </w:rPr>
        <w:t>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</w:t>
      </w:r>
      <w:r w:rsidR="00CA7654" w:rsidRPr="0038186B">
        <w:rPr>
          <w:lang w:val="es-419"/>
        </w:rPr>
        <w:t>pasaría a ser</w:t>
      </w:r>
      <w:r w:rsidR="00344979" w:rsidRPr="0038186B">
        <w:rPr>
          <w:lang w:val="es-419"/>
        </w:rPr>
        <w:t xml:space="preserve"> </w:t>
      </w:r>
      <w:r w:rsidR="00AF44B3" w:rsidRPr="0038186B">
        <w:rPr>
          <w:lang w:val="es-419"/>
        </w:rPr>
        <w:t xml:space="preserve">jurídicamente </w:t>
      </w:r>
      <w:r w:rsidR="00344979" w:rsidRPr="0038186B">
        <w:rPr>
          <w:lang w:val="es-419"/>
        </w:rPr>
        <w:t xml:space="preserve">vinculante únicamente en los países que opten por adherirse a él </w:t>
      </w:r>
      <w:r w:rsidR="00AF44B3" w:rsidRPr="0038186B">
        <w:rPr>
          <w:lang w:val="es-419"/>
        </w:rPr>
        <w:t xml:space="preserve">mediante la adopción de un instrumento de </w:t>
      </w:r>
      <w:r w:rsidR="00344979" w:rsidRPr="0038186B">
        <w:rPr>
          <w:lang w:val="es-419"/>
        </w:rPr>
        <w:t>ratificación o adhesión específic</w:t>
      </w:r>
      <w:r w:rsidR="00AF44B3" w:rsidRPr="0038186B">
        <w:rPr>
          <w:lang w:val="es-419"/>
        </w:rPr>
        <w:t>o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B13E5" w:rsidRPr="0038186B" w:rsidRDefault="00FD6EEF" w:rsidP="00880F45">
      <w:pPr>
        <w:spacing w:after="24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08A0" w:rsidRPr="0038186B">
        <w:rPr>
          <w:lang w:val="es-419"/>
        </w:rPr>
        <w:t xml:space="preserve">Los instrumentos </w:t>
      </w:r>
      <w:r w:rsidR="0033180D" w:rsidRPr="0038186B">
        <w:rPr>
          <w:lang w:val="es-419"/>
        </w:rPr>
        <w:t xml:space="preserve">jurídicamente </w:t>
      </w:r>
      <w:r w:rsidR="004008A0" w:rsidRPr="0038186B">
        <w:rPr>
          <w:lang w:val="es-419"/>
        </w:rPr>
        <w:t>vinculantes pueden adoptar la forma de conven</w:t>
      </w:r>
      <w:r w:rsidR="0033180D" w:rsidRPr="0038186B">
        <w:rPr>
          <w:lang w:val="es-419"/>
        </w:rPr>
        <w:t>ios</w:t>
      </w:r>
      <w:r w:rsidR="004008A0" w:rsidRPr="0038186B">
        <w:rPr>
          <w:lang w:val="es-419"/>
        </w:rPr>
        <w:t xml:space="preserve"> marco o </w:t>
      </w:r>
      <w:r w:rsidR="00020140" w:rsidRPr="0038186B">
        <w:rPr>
          <w:lang w:val="es-419"/>
        </w:rPr>
        <w:t>normativos</w:t>
      </w:r>
      <w:r w:rsidR="004008A0" w:rsidRPr="0038186B">
        <w:rPr>
          <w:lang w:val="es-419"/>
        </w:rPr>
        <w:t xml:space="preserve"> que sirven de base o </w:t>
      </w:r>
      <w:r w:rsidR="0033180D" w:rsidRPr="0038186B">
        <w:rPr>
          <w:lang w:val="es-419"/>
        </w:rPr>
        <w:t xml:space="preserve">de </w:t>
      </w:r>
      <w:r w:rsidR="004008A0" w:rsidRPr="0038186B">
        <w:rPr>
          <w:lang w:val="es-419"/>
        </w:rPr>
        <w:t xml:space="preserve">plataforma </w:t>
      </w:r>
      <w:r w:rsidR="00020140" w:rsidRPr="0038186B">
        <w:rPr>
          <w:lang w:val="es-419"/>
        </w:rPr>
        <w:t>normativa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 xml:space="preserve">para </w:t>
      </w:r>
      <w:r w:rsidR="005927C1" w:rsidRPr="0038186B">
        <w:rPr>
          <w:lang w:val="es-419"/>
        </w:rPr>
        <w:t xml:space="preserve">avanzar en el proceso de </w:t>
      </w:r>
      <w:r w:rsidR="00020140" w:rsidRPr="0038186B">
        <w:rPr>
          <w:lang w:val="es-419"/>
        </w:rPr>
        <w:t>formulación de políticas</w:t>
      </w:r>
      <w:r w:rsidR="004008A0" w:rsidRPr="0038186B">
        <w:rPr>
          <w:lang w:val="es-419"/>
        </w:rPr>
        <w:t xml:space="preserve"> y lograr una mayor convergencia y transparencia </w:t>
      </w:r>
      <w:r w:rsidR="0033180D" w:rsidRPr="0038186B">
        <w:rPr>
          <w:lang w:val="es-419"/>
        </w:rPr>
        <w:t>en</w:t>
      </w:r>
      <w:r w:rsidR="004008A0" w:rsidRPr="0038186B">
        <w:rPr>
          <w:lang w:val="es-419"/>
        </w:rPr>
        <w:t xml:space="preserve"> las iniciativas nacionales en materia de política</w:t>
      </w:r>
      <w:r w:rsidR="005927C1" w:rsidRPr="0038186B">
        <w:rPr>
          <w:lang w:val="es-419"/>
        </w:rPr>
        <w:t>s</w:t>
      </w:r>
      <w:r w:rsidR="004008A0" w:rsidRPr="0038186B">
        <w:rPr>
          <w:lang w:val="es-419"/>
        </w:rPr>
        <w:t xml:space="preserve">, </w:t>
      </w:r>
      <w:r w:rsidR="005927C1" w:rsidRPr="0038186B">
        <w:rPr>
          <w:lang w:val="es-419"/>
        </w:rPr>
        <w:t>dando cabida al mismo tiempo a</w:t>
      </w:r>
      <w:r w:rsidR="004008A0" w:rsidRPr="0038186B">
        <w:rPr>
          <w:lang w:val="es-419"/>
        </w:rPr>
        <w:t xml:space="preserve"> la </w:t>
      </w:r>
      <w:r w:rsidR="0033180D" w:rsidRPr="0038186B">
        <w:rPr>
          <w:lang w:val="es-419"/>
        </w:rPr>
        <w:t xml:space="preserve">necesaria </w:t>
      </w:r>
      <w:r w:rsidR="004008A0" w:rsidRPr="0038186B">
        <w:rPr>
          <w:lang w:val="es-419"/>
        </w:rPr>
        <w:t>diversidad de enfoques en los ámbitos nacional y regional.</w:t>
      </w:r>
      <w:r w:rsidR="009B55F6" w:rsidRPr="0038186B">
        <w:rPr>
          <w:lang w:val="es-419"/>
        </w:rPr>
        <w:t xml:space="preserve"> </w:t>
      </w:r>
      <w:r w:rsidR="005927C1" w:rsidRPr="0038186B">
        <w:rPr>
          <w:lang w:val="es-419"/>
        </w:rPr>
        <w:t xml:space="preserve">Concluida esa fase, </w:t>
      </w:r>
      <w:r w:rsidR="0033180D" w:rsidRPr="0038186B">
        <w:rPr>
          <w:lang w:val="es-419"/>
        </w:rPr>
        <w:t xml:space="preserve">se </w:t>
      </w:r>
      <w:r w:rsidR="004008A0" w:rsidRPr="0038186B">
        <w:rPr>
          <w:lang w:val="es-419"/>
        </w:rPr>
        <w:t>p</w:t>
      </w:r>
      <w:r w:rsidR="0033180D" w:rsidRPr="0038186B">
        <w:rPr>
          <w:lang w:val="es-419"/>
        </w:rPr>
        <w:t>ueden</w:t>
      </w:r>
      <w:r w:rsidR="004008A0" w:rsidRPr="0038186B">
        <w:rPr>
          <w:lang w:val="es-419"/>
        </w:rPr>
        <w:t xml:space="preserve"> negociar mecanismos jurídicos internacionales </w:t>
      </w:r>
      <w:r w:rsidR="00F13BF2" w:rsidRPr="0038186B">
        <w:rPr>
          <w:lang w:val="es-419"/>
        </w:rPr>
        <w:t>específicos con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>obligaciones más precisas en forma de protoc</w:t>
      </w:r>
      <w:r w:rsidR="0033180D" w:rsidRPr="0038186B">
        <w:rPr>
          <w:lang w:val="es-419"/>
        </w:rPr>
        <w:t>olos del acuerdo marco original</w:t>
      </w:r>
      <w:r w:rsidR="00344979" w:rsidRPr="0038186B">
        <w:rPr>
          <w:lang w:val="es-4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8F2F55">
        <w:tc>
          <w:tcPr>
            <w:tcW w:w="9571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3180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</w:t>
            </w:r>
            <w:r w:rsidR="00BB7E3A" w:rsidRPr="0038186B">
              <w:rPr>
                <w:lang w:val="es-419"/>
              </w:rPr>
              <w:t>el contexto del</w:t>
            </w:r>
            <w:r w:rsidR="00F13BF2" w:rsidRPr="0038186B">
              <w:rPr>
                <w:lang w:val="es-419"/>
              </w:rPr>
              <w:t xml:space="preserve"> Comité Intergubernamental: varias</w:t>
            </w:r>
            <w:r w:rsidRPr="0038186B">
              <w:rPr>
                <w:lang w:val="es-419"/>
              </w:rPr>
              <w:t xml:space="preserve"> delegaciones han solicitado que se elabore un instrumento o instrumentos internacionales vinculantes como </w:t>
            </w:r>
            <w:r w:rsidR="0059779C" w:rsidRPr="0038186B">
              <w:rPr>
                <w:lang w:val="es-419"/>
              </w:rPr>
              <w:t xml:space="preserve">culminación de la </w:t>
            </w:r>
            <w:r w:rsidRPr="0038186B">
              <w:rPr>
                <w:lang w:val="es-419"/>
              </w:rPr>
              <w:t>labor del Comité</w:t>
            </w:r>
            <w:r w:rsidR="00624534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El Comité y la Asamblea General de la OM</w:t>
            </w:r>
            <w:r w:rsidR="0030450C" w:rsidRPr="0038186B">
              <w:rPr>
                <w:lang w:val="es-419"/>
              </w:rPr>
              <w:t xml:space="preserve">PI </w:t>
            </w:r>
            <w:r w:rsidR="0059779C" w:rsidRPr="0038186B">
              <w:rPr>
                <w:lang w:val="es-419"/>
              </w:rPr>
              <w:t>no están facultados para crear D</w:t>
            </w:r>
            <w:r w:rsidR="000E1356" w:rsidRPr="0038186B">
              <w:rPr>
                <w:lang w:val="es-419"/>
              </w:rPr>
              <w:t>erecho internacional vinculante, por lo que s</w:t>
            </w:r>
            <w:r w:rsidR="00344979" w:rsidRPr="0038186B">
              <w:rPr>
                <w:lang w:val="es-419"/>
              </w:rPr>
              <w:t xml:space="preserve">ería necesario </w:t>
            </w:r>
            <w:r w:rsidR="00655D0A" w:rsidRPr="0038186B">
              <w:rPr>
                <w:lang w:val="es-419"/>
              </w:rPr>
              <w:t>prever</w:t>
            </w:r>
            <w:r w:rsidR="00E613E3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un proceso </w:t>
            </w:r>
            <w:r w:rsidR="00E613E3" w:rsidRPr="0038186B">
              <w:rPr>
                <w:lang w:val="es-419"/>
              </w:rPr>
              <w:t xml:space="preserve">específico </w:t>
            </w:r>
            <w:r w:rsidR="00655D0A" w:rsidRPr="0038186B">
              <w:rPr>
                <w:lang w:val="es-419"/>
              </w:rPr>
              <w:t xml:space="preserve">primero </w:t>
            </w:r>
            <w:r w:rsidR="00344979" w:rsidRPr="0038186B">
              <w:rPr>
                <w:lang w:val="es-419"/>
              </w:rPr>
              <w:t xml:space="preserve">para </w:t>
            </w:r>
            <w:r w:rsidR="00E613E3" w:rsidRPr="0038186B">
              <w:rPr>
                <w:lang w:val="es-419"/>
              </w:rPr>
              <w:t xml:space="preserve">concluir </w:t>
            </w:r>
            <w:r w:rsidR="00655D0A" w:rsidRPr="0038186B">
              <w:rPr>
                <w:lang w:val="es-419"/>
              </w:rPr>
              <w:t xml:space="preserve">dicho texto, </w:t>
            </w:r>
            <w:r w:rsidR="00E613E3" w:rsidRPr="0038186B">
              <w:rPr>
                <w:lang w:val="es-419"/>
              </w:rPr>
              <w:t xml:space="preserve">y </w:t>
            </w:r>
            <w:r w:rsidR="00655D0A" w:rsidRPr="0038186B">
              <w:rPr>
                <w:lang w:val="es-419"/>
              </w:rPr>
              <w:t xml:space="preserve">luego para asegurar que entre en </w:t>
            </w:r>
            <w:r w:rsidR="00E613E3" w:rsidRPr="0038186B">
              <w:rPr>
                <w:lang w:val="es-419"/>
              </w:rPr>
              <w:t xml:space="preserve">vigor </w:t>
            </w:r>
            <w:r w:rsidR="00344979" w:rsidRPr="0038186B">
              <w:rPr>
                <w:lang w:val="es-419"/>
              </w:rPr>
              <w:t>en los países que se adhieran a él.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Convenio sobre la Diversidad Biológica, la Convención para la Salvaguardia del Patrimonio Cultural Inmaterial, el Tratado Internacional de la FAO sobre los Recursos Fitogenéticos para la Alimentación y la Agricultura, la Convención sobre las </w:t>
            </w:r>
            <w:r w:rsidR="00670A37" w:rsidRPr="0038186B">
              <w:rPr>
                <w:lang w:val="es-419"/>
              </w:rPr>
              <w:t>M</w:t>
            </w:r>
            <w:r w:rsidRPr="0038186B">
              <w:rPr>
                <w:lang w:val="es-419"/>
              </w:rPr>
              <w:t xml:space="preserve">edidas que </w:t>
            </w:r>
            <w:r w:rsidR="00670A37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eben </w:t>
            </w:r>
            <w:r w:rsidR="00670A37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doptarse para </w:t>
            </w:r>
            <w:r w:rsidR="00670A37" w:rsidRPr="0038186B">
              <w:rPr>
                <w:lang w:val="es-419"/>
              </w:rPr>
              <w:t>Prohibir e Impedir la Importación, la Exportación y la Transferencia de Propiedad Ilícitas de Bienes C</w:t>
            </w:r>
            <w:r w:rsidRPr="0038186B">
              <w:rPr>
                <w:lang w:val="es-419"/>
              </w:rPr>
              <w:t>ulturales, el Convenio N.º 169 de la OIT, el Pacto Internacional de Derechos Económicos, Sociales y Culturales.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Tratado </w:t>
            </w:r>
            <w:r w:rsidR="00670A37" w:rsidRPr="0038186B">
              <w:rPr>
                <w:lang w:val="es-419"/>
              </w:rPr>
              <w:t xml:space="preserve">de Singapur </w:t>
            </w:r>
            <w:r w:rsidRPr="0038186B">
              <w:rPr>
                <w:lang w:val="es-419"/>
              </w:rPr>
              <w:t>sobre el Derecho de Marcas, el Tratado sobre el Derecho de Patentes,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Derecho de Autor,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0" w:name="_Toc116899036"/>
      <w:r w:rsidRPr="0038186B">
        <w:rPr>
          <w:i/>
          <w:u w:val="none"/>
          <w:lang w:val="es-419"/>
        </w:rPr>
        <w:t>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Interpretaciones o explicaciones de los instrumentos jurídicos vigentes</w:t>
      </w:r>
      <w:bookmarkEnd w:id="6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7F48" w:rsidRPr="0038186B">
        <w:rPr>
          <w:lang w:val="es-419"/>
        </w:rPr>
        <w:t xml:space="preserve">Contar con </w:t>
      </w:r>
      <w:r w:rsidR="00344979" w:rsidRPr="0038186B">
        <w:rPr>
          <w:lang w:val="es-419"/>
        </w:rPr>
        <w:t xml:space="preserve">interpretaciones autorizadas o </w:t>
      </w:r>
      <w:r w:rsidR="00AA4B3D" w:rsidRPr="0038186B">
        <w:rPr>
          <w:lang w:val="es-419"/>
        </w:rPr>
        <w:t>exhortativas</w:t>
      </w:r>
      <w:r w:rsidR="00344979" w:rsidRPr="0038186B">
        <w:rPr>
          <w:lang w:val="es-419"/>
        </w:rPr>
        <w:t xml:space="preserve"> de los instrumentos jurídicos vigentes p</w:t>
      </w:r>
      <w:r w:rsidR="0088533A" w:rsidRPr="0038186B">
        <w:rPr>
          <w:lang w:val="es-419"/>
        </w:rPr>
        <w:t>ermitiría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exigir, sugerir o instar a que </w:t>
      </w:r>
      <w:r w:rsidR="00344979" w:rsidRPr="0038186B">
        <w:rPr>
          <w:lang w:val="es-419"/>
        </w:rPr>
        <w:t xml:space="preserve">las obligaciones existentes </w:t>
      </w:r>
      <w:r w:rsidR="0088533A" w:rsidRPr="0038186B">
        <w:rPr>
          <w:lang w:val="es-419"/>
        </w:rPr>
        <w:t xml:space="preserve">se </w:t>
      </w:r>
      <w:r w:rsidR="00347F48" w:rsidRPr="0038186B">
        <w:rPr>
          <w:lang w:val="es-419"/>
        </w:rPr>
        <w:t xml:space="preserve">interpretaran en el sentido de </w:t>
      </w:r>
      <w:r w:rsidR="00344979" w:rsidRPr="0038186B">
        <w:rPr>
          <w:lang w:val="es-419"/>
        </w:rPr>
        <w:t xml:space="preserve">subsanar en parte </w:t>
      </w:r>
      <w:r w:rsidR="0088533A" w:rsidRPr="0038186B">
        <w:rPr>
          <w:lang w:val="es-419"/>
        </w:rPr>
        <w:t>las c</w:t>
      </w:r>
      <w:r w:rsidR="00344979" w:rsidRPr="0038186B">
        <w:rPr>
          <w:lang w:val="es-419"/>
        </w:rPr>
        <w:t>arencia</w:t>
      </w:r>
      <w:r w:rsidR="0088533A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detectadas en la </w:t>
      </w:r>
      <w:r w:rsidR="00344979" w:rsidRPr="0038186B">
        <w:rPr>
          <w:lang w:val="es-419"/>
        </w:rPr>
        <w:t xml:space="preserve">protección de los </w:t>
      </w:r>
      <w:r w:rsidR="0088533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5D219F" w:rsidRPr="0038186B">
        <w:rPr>
          <w:lang w:val="es-419"/>
        </w:rPr>
        <w:t>Entre l</w:t>
      </w:r>
      <w:r w:rsidR="00344979" w:rsidRPr="0038186B">
        <w:rPr>
          <w:lang w:val="es-419"/>
        </w:rPr>
        <w:t xml:space="preserve">as opciones </w:t>
      </w:r>
      <w:r w:rsidR="005D219F" w:rsidRPr="0038186B">
        <w:rPr>
          <w:lang w:val="es-419"/>
        </w:rPr>
        <w:t xml:space="preserve">posibles figuran los </w:t>
      </w:r>
      <w:r w:rsidR="00344979" w:rsidRPr="0038186B">
        <w:rPr>
          <w:lang w:val="es-419"/>
        </w:rPr>
        <w:t>protocolo</w:t>
      </w:r>
      <w:r w:rsidR="005D219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de </w:t>
      </w:r>
      <w:r w:rsidR="005D219F" w:rsidRPr="0038186B">
        <w:rPr>
          <w:lang w:val="es-419"/>
        </w:rPr>
        <w:t>tratados existentes o las</w:t>
      </w:r>
      <w:r w:rsidR="00344979" w:rsidRPr="0038186B">
        <w:rPr>
          <w:lang w:val="es-419"/>
        </w:rPr>
        <w:t xml:space="preserve"> declaraci</w:t>
      </w:r>
      <w:r w:rsidR="005D219F" w:rsidRPr="0038186B">
        <w:rPr>
          <w:lang w:val="es-419"/>
        </w:rPr>
        <w:t xml:space="preserve">ones exhortativas </w:t>
      </w:r>
      <w:r w:rsidR="00344979" w:rsidRPr="0038186B">
        <w:rPr>
          <w:lang w:val="es-419"/>
        </w:rPr>
        <w:t>de carácter no vinculante.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Estas opciones pueden, n</w:t>
      </w:r>
      <w:r w:rsidR="00344979" w:rsidRPr="0038186B">
        <w:rPr>
          <w:lang w:val="es-419"/>
        </w:rPr>
        <w:t>o obstante, influir en la interpretación de las normas de</w:t>
      </w:r>
      <w:r w:rsidR="00B62C7D" w:rsidRPr="0038186B">
        <w:rPr>
          <w:lang w:val="es-419"/>
        </w:rPr>
        <w:t xml:space="preserve"> los tratados</w:t>
      </w:r>
      <w:r w:rsidR="00344979" w:rsidRPr="0038186B">
        <w:rPr>
          <w:lang w:val="es-419"/>
        </w:rPr>
        <w:t xml:space="preserve"> y </w:t>
      </w:r>
      <w:r w:rsidR="00B62C7D" w:rsidRPr="0038186B">
        <w:rPr>
          <w:lang w:val="es-419"/>
        </w:rPr>
        <w:t xml:space="preserve">ofrecer orientaciones prácticas a los encargados de formulación de </w:t>
      </w:r>
      <w:r w:rsidR="00344979" w:rsidRPr="0038186B">
        <w:rPr>
          <w:lang w:val="es-419"/>
        </w:rPr>
        <w:t>políticas nacionales sobre la base de las normas internacionales acordadas.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Pueden</w:t>
      </w:r>
      <w:r w:rsidR="00344979" w:rsidRPr="0038186B">
        <w:rPr>
          <w:lang w:val="es-419"/>
        </w:rPr>
        <w:t xml:space="preserve"> o</w:t>
      </w:r>
      <w:r w:rsidR="00B62C7D" w:rsidRPr="0038186B">
        <w:rPr>
          <w:lang w:val="es-419"/>
        </w:rPr>
        <w:t xml:space="preserve">rientar de forma </w:t>
      </w:r>
      <w:r w:rsidR="00344979" w:rsidRPr="0038186B">
        <w:rPr>
          <w:lang w:val="es-419"/>
        </w:rPr>
        <w:t>más precisa sobre la manera de aplicar las normas internacionales, sin crear obligaciones específicas.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</w:t>
      </w:r>
      <w:r w:rsidR="00B62C7D" w:rsidRPr="0038186B">
        <w:rPr>
          <w:lang w:val="es-419"/>
        </w:rPr>
        <w:t xml:space="preserve">pronunciarse sobre la </w:t>
      </w:r>
      <w:r w:rsidR="00344979" w:rsidRPr="0038186B">
        <w:rPr>
          <w:lang w:val="es-419"/>
        </w:rPr>
        <w:t>condición jurídica concreta de este texto, la Declaración de Doha relativa al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 y la salud pública</w:t>
      </w:r>
      <w:r w:rsidR="00F40859" w:rsidRPr="0038186B">
        <w:rPr>
          <w:lang w:val="es-419"/>
        </w:rPr>
        <w:t xml:space="preserve">, entre otras cosas, ofrece </w:t>
      </w:r>
      <w:r w:rsidR="00344979" w:rsidRPr="0038186B">
        <w:rPr>
          <w:lang w:val="es-419"/>
        </w:rPr>
        <w:t>orientaciones sobre la manera en que debe interpretarse el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C.</w:t>
      </w:r>
      <w:r w:rsidR="00F40859" w:rsidRPr="0038186B">
        <w:rPr>
          <w:rStyle w:val="FootnoteReference"/>
          <w:lang w:val="es-419"/>
        </w:rPr>
        <w:footnoteReference w:id="38"/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</w:t>
            </w:r>
            <w:r w:rsidR="009132FF" w:rsidRPr="0038186B">
              <w:rPr>
                <w:lang w:val="es-419"/>
              </w:rPr>
              <w:t>estudiado</w:t>
            </w:r>
            <w:r w:rsidRPr="0038186B">
              <w:rPr>
                <w:lang w:val="es-419"/>
              </w:rPr>
              <w:t xml:space="preserve"> la posibilidad de interpretar o adaptar las </w:t>
            </w:r>
            <w:r w:rsidR="00717AEC" w:rsidRPr="0038186B">
              <w:rPr>
                <w:lang w:val="es-419"/>
              </w:rPr>
              <w:t xml:space="preserve">actuales </w:t>
            </w:r>
            <w:r w:rsidRPr="0038186B">
              <w:rPr>
                <w:lang w:val="es-419"/>
              </w:rPr>
              <w:t xml:space="preserve">normas internacionales </w:t>
            </w:r>
            <w:r w:rsidR="00717AEC" w:rsidRPr="0038186B">
              <w:rPr>
                <w:lang w:val="es-419"/>
              </w:rPr>
              <w:t xml:space="preserve">generales </w:t>
            </w:r>
            <w:r w:rsidRPr="0038186B">
              <w:rPr>
                <w:lang w:val="es-419"/>
              </w:rPr>
              <w:t xml:space="preserve">contra la competencia desleal </w:t>
            </w:r>
            <w:r w:rsidR="00717AEC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 xml:space="preserve">incluir explícitamente los actos de apropiación indebida, </w:t>
            </w:r>
            <w:r w:rsidR="00717AE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 xml:space="preserve">una interpretación </w:t>
            </w:r>
            <w:r w:rsidR="00717AEC" w:rsidRPr="0038186B">
              <w:rPr>
                <w:lang w:val="es-419"/>
              </w:rPr>
              <w:t xml:space="preserve">o ampliación </w:t>
            </w:r>
            <w:r w:rsidRPr="0038186B">
              <w:rPr>
                <w:lang w:val="es-419"/>
              </w:rPr>
              <w:t>por analogía del artículo 10</w:t>
            </w:r>
            <w:r w:rsidRPr="0038186B">
              <w:rPr>
                <w:i/>
                <w:lang w:val="es-419"/>
              </w:rPr>
              <w:t xml:space="preserve">bis </w:t>
            </w:r>
            <w:r w:rsidRPr="0038186B">
              <w:rPr>
                <w:lang w:val="es-419"/>
              </w:rPr>
              <w:t>del Convenio de París.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Observación General N.º 17 (2005) El derecho de toda persona a beneficiarse de la protección de los intereses morales y materiales que le correspondan por razón de las producciones científicas, literarias o artísticas de que sea autor</w:t>
            </w:r>
            <w:r w:rsidR="0057444D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 (artículo 14, párrafo 1.c) del Pacto Internacional de Derechos Económicos Sociales y Culturales).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Recomendación conjunta relativa a las disposiciones sobre la protección de las marcas notoriamente conocidas;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Declaraciones concertadas de la Conferencia Diplomática </w:t>
            </w:r>
            <w:r w:rsidR="0057444D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57444D" w:rsidRPr="0038186B">
              <w:rPr>
                <w:lang w:val="es-419"/>
              </w:rPr>
              <w:t xml:space="preserve">se </w:t>
            </w:r>
            <w:r w:rsidRPr="0038186B">
              <w:rPr>
                <w:lang w:val="es-419"/>
              </w:rPr>
              <w:t>adoptó el Tratado (Conferencia Diplomática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sobre ciertas cuestiones de derecho de autor y derechos conexos.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1" w:name="_Toc116899037"/>
      <w:r w:rsidRPr="0038186B">
        <w:rPr>
          <w:i/>
          <w:u w:val="none"/>
          <w:lang w:val="es-419"/>
        </w:rPr>
        <w:t>iii)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normativo internacional no vinculante</w:t>
      </w:r>
      <w:bookmarkEnd w:id="6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A793D" w:rsidRPr="0038186B">
        <w:rPr>
          <w:lang w:val="es-419"/>
        </w:rPr>
        <w:t>Un i</w:t>
      </w:r>
      <w:r w:rsidR="00344979" w:rsidRPr="0038186B">
        <w:rPr>
          <w:lang w:val="es-419"/>
        </w:rPr>
        <w:t xml:space="preserve">nstrumento no vinculante (“indicativo”) </w:t>
      </w:r>
      <w:r w:rsidR="000A793D" w:rsidRPr="0038186B">
        <w:rPr>
          <w:lang w:val="es-419"/>
        </w:rPr>
        <w:t xml:space="preserve">permitiría </w:t>
      </w:r>
      <w:r w:rsidR="00344979" w:rsidRPr="0038186B">
        <w:rPr>
          <w:lang w:val="es-419"/>
        </w:rPr>
        <w:t xml:space="preserve">recomendar </w:t>
      </w:r>
      <w:r w:rsidR="008C5A3F" w:rsidRPr="0038186B">
        <w:rPr>
          <w:lang w:val="es-419"/>
        </w:rPr>
        <w:t>o alentar a</w:t>
      </w:r>
      <w:r w:rsidR="00344979" w:rsidRPr="0038186B">
        <w:rPr>
          <w:lang w:val="es-419"/>
        </w:rPr>
        <w:t xml:space="preserve"> los </w:t>
      </w:r>
      <w:r w:rsidR="000A793D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</w:t>
      </w:r>
      <w:r w:rsidR="000A793D" w:rsidRPr="0038186B">
        <w:rPr>
          <w:lang w:val="es-419"/>
        </w:rPr>
        <w:t xml:space="preserve">a </w:t>
      </w:r>
      <w:r w:rsidR="00547EB7" w:rsidRPr="0038186B">
        <w:rPr>
          <w:lang w:val="es-419"/>
        </w:rPr>
        <w:t>asegurar el cumplimiento de</w:t>
      </w:r>
      <w:r w:rsidR="008C5A3F" w:rsidRPr="0038186B">
        <w:rPr>
          <w:lang w:val="es-419"/>
        </w:rPr>
        <w:t xml:space="preserve"> determinadas </w:t>
      </w:r>
      <w:r w:rsidR="00344979" w:rsidRPr="0038186B">
        <w:rPr>
          <w:lang w:val="es-419"/>
        </w:rPr>
        <w:t xml:space="preserve">normas en su legislación nacional y en otros procesos y políticas de </w:t>
      </w:r>
      <w:r w:rsidR="008C5A3F" w:rsidRPr="0038186B">
        <w:rPr>
          <w:lang w:val="es-419"/>
        </w:rPr>
        <w:t xml:space="preserve">carácter </w:t>
      </w:r>
      <w:r w:rsidR="00344979" w:rsidRPr="0038186B">
        <w:rPr>
          <w:lang w:val="es-419"/>
        </w:rPr>
        <w:t>administrativ</w:t>
      </w:r>
      <w:r w:rsidR="008C5A3F" w:rsidRPr="0038186B">
        <w:rPr>
          <w:lang w:val="es-419"/>
        </w:rPr>
        <w:t>o no jurídico</w:t>
      </w:r>
      <w:r w:rsidR="00344979" w:rsidRPr="0038186B">
        <w:rPr>
          <w:lang w:val="es-419"/>
        </w:rPr>
        <w:t xml:space="preserve">, o simplemente </w:t>
      </w:r>
      <w:r w:rsidR="00547EB7" w:rsidRPr="0038186B">
        <w:rPr>
          <w:lang w:val="es-419"/>
        </w:rPr>
        <w:t>ofrecer un</w:t>
      </w:r>
      <w:r w:rsidR="00344979" w:rsidRPr="0038186B">
        <w:rPr>
          <w:lang w:val="es-419"/>
        </w:rPr>
        <w:t xml:space="preserve"> marco </w:t>
      </w:r>
      <w:r w:rsidR="00547EB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coordinación </w:t>
      </w:r>
      <w:r w:rsidR="00547EB7" w:rsidRPr="0038186B">
        <w:rPr>
          <w:lang w:val="es-419"/>
        </w:rPr>
        <w:t xml:space="preserve">entre los Estados </w:t>
      </w:r>
      <w:r w:rsidR="00344979" w:rsidRPr="0038186B">
        <w:rPr>
          <w:lang w:val="es-419"/>
        </w:rPr>
        <w:t xml:space="preserve">que decidan </w:t>
      </w:r>
      <w:r w:rsidR="00547EB7" w:rsidRPr="0038186B">
        <w:rPr>
          <w:lang w:val="es-419"/>
        </w:rPr>
        <w:t>seguir ese enfoque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22C6D" w:rsidRPr="0038186B">
        <w:rPr>
          <w:lang w:val="es-419"/>
        </w:rPr>
        <w:t xml:space="preserve">Una de las opciones podría ser </w:t>
      </w:r>
      <w:r w:rsidR="00547EB7" w:rsidRPr="0038186B">
        <w:rPr>
          <w:lang w:val="es-419"/>
        </w:rPr>
        <w:t>la adopción de</w:t>
      </w:r>
      <w:r w:rsidR="00D22C6D" w:rsidRPr="0038186B">
        <w:rPr>
          <w:lang w:val="es-419"/>
        </w:rPr>
        <w:t xml:space="preserve"> una recomendación </w:t>
      </w:r>
      <w:r w:rsidR="00547EB7" w:rsidRPr="0038186B">
        <w:rPr>
          <w:lang w:val="es-419"/>
        </w:rPr>
        <w:t>autorizada</w:t>
      </w:r>
      <w:r w:rsidR="00D22C6D" w:rsidRPr="0038186B">
        <w:rPr>
          <w:lang w:val="es-419"/>
        </w:rPr>
        <w:t xml:space="preserve"> o un instrumento </w:t>
      </w:r>
      <w:r w:rsidR="00DF3C38" w:rsidRPr="0038186B">
        <w:rPr>
          <w:lang w:val="es-419"/>
        </w:rPr>
        <w:t xml:space="preserve">no vinculante </w:t>
      </w:r>
      <w:r w:rsidR="00547EB7" w:rsidRPr="0038186B">
        <w:rPr>
          <w:lang w:val="es-419"/>
        </w:rPr>
        <w:t>de carácter e</w:t>
      </w:r>
      <w:r w:rsidR="00AA4B3D" w:rsidRPr="0038186B">
        <w:rPr>
          <w:lang w:val="es-419"/>
        </w:rPr>
        <w:t>xhortativo</w:t>
      </w:r>
      <w:r w:rsidR="00DF3C38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y </w:t>
      </w:r>
      <w:r w:rsidR="00072024" w:rsidRPr="0038186B">
        <w:rPr>
          <w:lang w:val="es-419"/>
        </w:rPr>
        <w:t xml:space="preserve">que pueda tener </w:t>
      </w:r>
      <w:r w:rsidR="00D22C6D" w:rsidRPr="0038186B">
        <w:rPr>
          <w:lang w:val="es-419"/>
        </w:rPr>
        <w:t>fuerza moral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Otras organizaciones internacionales han elaborado instrumentos </w:t>
      </w:r>
      <w:r w:rsidR="00072024" w:rsidRPr="0038186B">
        <w:rPr>
          <w:lang w:val="es-419"/>
        </w:rPr>
        <w:t xml:space="preserve">de ese tipo </w:t>
      </w:r>
      <w:r w:rsidR="00344979" w:rsidRPr="0038186B">
        <w:rPr>
          <w:lang w:val="es-419"/>
        </w:rPr>
        <w:t xml:space="preserve">en esferas </w:t>
      </w:r>
      <w:r w:rsidR="00072024" w:rsidRPr="0038186B">
        <w:rPr>
          <w:lang w:val="es-419"/>
        </w:rPr>
        <w:t xml:space="preserve">de interés para la </w:t>
      </w:r>
      <w:r w:rsidR="00344979" w:rsidRPr="0038186B">
        <w:rPr>
          <w:lang w:val="es-419"/>
        </w:rPr>
        <w:t>labor del Comité, y se enumeran a continuación.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Varios de esos instrumentos se convirtieron ulteriormente en instrumentos jurídicos vinculantes.</w:t>
      </w:r>
      <w:r w:rsidR="001A60B0" w:rsidRPr="0038186B">
        <w:rPr>
          <w:lang w:val="es-419"/>
        </w:rPr>
        <w:t xml:space="preserve"> </w:t>
      </w:r>
      <w:r w:rsidR="006E7007" w:rsidRPr="0038186B">
        <w:rPr>
          <w:lang w:val="es-419"/>
        </w:rPr>
        <w:t>La propia Declaración Universal de Derechos Humanos (que comprende algunas disposiciones relacionadas con la política de PI) fue redactada como instrumento no vinculante.</w:t>
      </w:r>
      <w:r w:rsidR="009B55F6" w:rsidRPr="0038186B">
        <w:rPr>
          <w:lang w:val="es-419"/>
        </w:rPr>
        <w:t xml:space="preserve"> </w:t>
      </w:r>
      <w:r w:rsidR="00D72EB6" w:rsidRPr="0038186B">
        <w:rPr>
          <w:lang w:val="es-419"/>
        </w:rPr>
        <w:t>Los</w:t>
      </w:r>
      <w:r w:rsidR="006E7007" w:rsidRPr="0038186B">
        <w:rPr>
          <w:lang w:val="es-419"/>
        </w:rPr>
        <w:t xml:space="preserve"> instrumento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no vinculante</w:t>
      </w:r>
      <w:r w:rsidR="00D72EB6" w:rsidRPr="0038186B">
        <w:rPr>
          <w:lang w:val="es-419"/>
        </w:rPr>
        <w:t>s</w:t>
      </w:r>
      <w:r w:rsidR="00112E06" w:rsidRPr="0038186B">
        <w:rPr>
          <w:lang w:val="es-419"/>
        </w:rPr>
        <w:t xml:space="preserve"> o de </w:t>
      </w:r>
      <w:r w:rsidR="00FE53EF" w:rsidRPr="0038186B">
        <w:rPr>
          <w:lang w:val="es-419"/>
        </w:rPr>
        <w:t>D</w:t>
      </w:r>
      <w:r w:rsidR="006E7007" w:rsidRPr="0038186B">
        <w:rPr>
          <w:lang w:val="es-419"/>
        </w:rPr>
        <w:t>erecho indicativo puede</w:t>
      </w:r>
      <w:r w:rsidR="00D72EB6" w:rsidRPr="0038186B">
        <w:rPr>
          <w:lang w:val="es-419"/>
        </w:rPr>
        <w:t>n</w:t>
      </w:r>
      <w:r w:rsidR="006E7007" w:rsidRPr="0038186B">
        <w:rPr>
          <w:lang w:val="es-419"/>
        </w:rPr>
        <w:t xml:space="preserve"> </w:t>
      </w:r>
      <w:r w:rsidR="00D72EB6" w:rsidRPr="0038186B">
        <w:rPr>
          <w:lang w:val="es-419"/>
        </w:rPr>
        <w:t xml:space="preserve">traslaparse con las declaraciones políticas y </w:t>
      </w:r>
      <w:r w:rsidR="006E7007" w:rsidRPr="0038186B">
        <w:rPr>
          <w:lang w:val="es-419"/>
        </w:rPr>
        <w:t>otr</w:t>
      </w:r>
      <w:r w:rsidR="00D72EB6" w:rsidRPr="0038186B">
        <w:rPr>
          <w:lang w:val="es-419"/>
        </w:rPr>
        <w:t xml:space="preserve">os tipos de </w:t>
      </w:r>
      <w:r w:rsidR="006E7007" w:rsidRPr="0038186B">
        <w:rPr>
          <w:lang w:val="es-419"/>
        </w:rPr>
        <w:t>compromiso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político</w:t>
      </w:r>
      <w:r w:rsidR="00D72EB6" w:rsidRPr="0038186B">
        <w:rPr>
          <w:lang w:val="es-419"/>
        </w:rPr>
        <w:t>s</w:t>
      </w:r>
      <w:r w:rsidR="00F7131C" w:rsidRPr="0038186B">
        <w:rPr>
          <w:lang w:val="es-419"/>
        </w:rPr>
        <w:t xml:space="preserve">, de tal forma que </w:t>
      </w:r>
      <w:r w:rsidR="00D72EB6" w:rsidRPr="0038186B">
        <w:rPr>
          <w:lang w:val="es-419"/>
        </w:rPr>
        <w:t xml:space="preserve">una </w:t>
      </w:r>
      <w:r w:rsidR="006E7007" w:rsidRPr="0038186B">
        <w:rPr>
          <w:lang w:val="es-419"/>
        </w:rPr>
        <w:t>declaración política</w:t>
      </w:r>
      <w:r w:rsidR="00D72EB6" w:rsidRPr="0038186B">
        <w:rPr>
          <w:lang w:val="es-419"/>
        </w:rPr>
        <w:t xml:space="preserve"> p</w:t>
      </w:r>
      <w:r w:rsidR="00F7131C" w:rsidRPr="0038186B">
        <w:rPr>
          <w:lang w:val="es-419"/>
        </w:rPr>
        <w:t>odría</w:t>
      </w:r>
      <w:r w:rsidR="00D72EB6" w:rsidRPr="0038186B">
        <w:rPr>
          <w:lang w:val="es-419"/>
        </w:rPr>
        <w:t xml:space="preserve"> tener </w:t>
      </w:r>
      <w:r w:rsidR="0022175D" w:rsidRPr="0038186B">
        <w:rPr>
          <w:lang w:val="es-419"/>
        </w:rPr>
        <w:t>un</w:t>
      </w:r>
      <w:r w:rsidR="00F7131C" w:rsidRPr="0038186B">
        <w:rPr>
          <w:lang w:val="es-419"/>
        </w:rPr>
        <w:t xml:space="preserve"> carácter </w:t>
      </w:r>
      <w:r w:rsidR="00D72EB6" w:rsidRPr="0038186B">
        <w:rPr>
          <w:lang w:val="es-419"/>
        </w:rPr>
        <w:t>exhortativ</w:t>
      </w:r>
      <w:r w:rsidR="00F7131C" w:rsidRPr="0038186B">
        <w:rPr>
          <w:lang w:val="es-419"/>
        </w:rPr>
        <w:t>o</w:t>
      </w:r>
      <w:r w:rsidR="006E7007" w:rsidRPr="0038186B">
        <w:rPr>
          <w:lang w:val="es-419"/>
        </w:rPr>
        <w:t xml:space="preserve"> y </w:t>
      </w:r>
      <w:r w:rsidR="002B0AE0" w:rsidRPr="0038186B">
        <w:rPr>
          <w:lang w:val="es-419"/>
        </w:rPr>
        <w:t xml:space="preserve">una </w:t>
      </w:r>
      <w:r w:rsidR="00F7131C" w:rsidRPr="0038186B">
        <w:rPr>
          <w:lang w:val="es-419"/>
        </w:rPr>
        <w:t xml:space="preserve">función de </w:t>
      </w:r>
      <w:r w:rsidR="00D72EB6" w:rsidRPr="0038186B">
        <w:rPr>
          <w:lang w:val="es-419"/>
        </w:rPr>
        <w:t xml:space="preserve">orientación </w:t>
      </w:r>
      <w:r w:rsidR="00096F58" w:rsidRPr="0038186B">
        <w:rPr>
          <w:lang w:val="es-419"/>
        </w:rPr>
        <w:t xml:space="preserve">de </w:t>
      </w:r>
      <w:r w:rsidR="006E7007" w:rsidRPr="0038186B">
        <w:rPr>
          <w:lang w:val="es-419"/>
        </w:rPr>
        <w:t xml:space="preserve">política </w:t>
      </w:r>
      <w:r w:rsidR="0022175D" w:rsidRPr="0038186B">
        <w:rPr>
          <w:lang w:val="es-419"/>
        </w:rPr>
        <w:t xml:space="preserve">similar a la </w:t>
      </w:r>
      <w:r w:rsidR="00F7131C" w:rsidRPr="0038186B">
        <w:rPr>
          <w:lang w:val="es-419"/>
        </w:rPr>
        <w:t>de</w:t>
      </w:r>
      <w:r w:rsidR="00D72EB6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un documento </w:t>
      </w:r>
      <w:r w:rsidR="00F7131C" w:rsidRPr="0038186B">
        <w:rPr>
          <w:lang w:val="es-419"/>
        </w:rPr>
        <w:t xml:space="preserve">elaborado como instrumento </w:t>
      </w:r>
      <w:r w:rsidR="0022175D" w:rsidRPr="0038186B">
        <w:rPr>
          <w:lang w:val="es-419"/>
        </w:rPr>
        <w:t>no vinculante</w:t>
      </w:r>
      <w:r w:rsidR="00112E06" w:rsidRPr="0038186B">
        <w:rPr>
          <w:lang w:val="es-419"/>
        </w:rPr>
        <w:t>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instrumentos no vinculantes y otros textos similares, como </w:t>
      </w:r>
      <w:r w:rsidR="00112E06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leyes y disposiciones</w:t>
      </w:r>
      <w:r w:rsidR="00112E06" w:rsidRPr="0038186B">
        <w:rPr>
          <w:lang w:val="es-419"/>
        </w:rPr>
        <w:t xml:space="preserve"> </w:t>
      </w:r>
      <w:r w:rsidR="00EE688C" w:rsidRPr="0038186B">
        <w:rPr>
          <w:lang w:val="es-419"/>
        </w:rPr>
        <w:t>tipo</w:t>
      </w:r>
      <w:r w:rsidR="00344979" w:rsidRPr="0038186B">
        <w:rPr>
          <w:lang w:val="es-419"/>
        </w:rPr>
        <w:t>, s</w:t>
      </w:r>
      <w:r w:rsidR="00112E06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en gran medida</w:t>
      </w:r>
      <w:r w:rsidR="00112E06" w:rsidRPr="0038186B">
        <w:rPr>
          <w:lang w:val="es-419"/>
        </w:rPr>
        <w:t xml:space="preserve"> redundantes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2E06" w:rsidRPr="0038186B">
        <w:rPr>
          <w:lang w:val="es-419"/>
        </w:rPr>
        <w:t xml:space="preserve">Sin embargo, es importante tener en cuenta </w:t>
      </w:r>
      <w:r w:rsidR="00906B69" w:rsidRPr="0038186B">
        <w:rPr>
          <w:lang w:val="es-419"/>
        </w:rPr>
        <w:t xml:space="preserve">también </w:t>
      </w:r>
      <w:r w:rsidR="00112E06" w:rsidRPr="0038186B">
        <w:rPr>
          <w:lang w:val="es-419"/>
        </w:rPr>
        <w:t>que la legislación no vinculante no permite abordar eficazmente los problemas de apropiación indebida;</w:t>
      </w:r>
      <w:r w:rsidR="009B55F6" w:rsidRPr="0038186B">
        <w:rPr>
          <w:lang w:val="es-419"/>
        </w:rPr>
        <w:t xml:space="preserve"> </w:t>
      </w:r>
      <w:r w:rsidR="00112E06" w:rsidRPr="0038186B">
        <w:rPr>
          <w:lang w:val="es-419"/>
        </w:rPr>
        <w:t>el carácter no vinculante de dichas normas puede considerarse una carencia en sí.</w:t>
      </w:r>
    </w:p>
    <w:p w:rsidR="003F7E91" w:rsidRPr="0038186B" w:rsidRDefault="003F7E91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5746AD">
            <w:pPr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Como se ha </w:t>
            </w:r>
            <w:r w:rsidR="002B0AE0" w:rsidRPr="0038186B">
              <w:rPr>
                <w:lang w:val="es-419"/>
              </w:rPr>
              <w:t>señalado</w:t>
            </w:r>
            <w:r w:rsidRPr="0038186B">
              <w:rPr>
                <w:lang w:val="es-419"/>
              </w:rPr>
              <w:t xml:space="preserve">, ningún instrumento que </w:t>
            </w:r>
            <w:r w:rsidR="002B0AE0" w:rsidRPr="0038186B">
              <w:rPr>
                <w:lang w:val="es-419"/>
              </w:rPr>
              <w:t>emane del</w:t>
            </w:r>
            <w:r w:rsidRPr="0038186B">
              <w:rPr>
                <w:lang w:val="es-419"/>
              </w:rPr>
              <w:t xml:space="preserve"> Comité o que sea adoptado por la Asamblea General podría tener efectos </w:t>
            </w:r>
            <w:r w:rsidR="0027279E" w:rsidRPr="0038186B">
              <w:rPr>
                <w:lang w:val="es-419"/>
              </w:rPr>
              <w:t xml:space="preserve">jurídicamente </w:t>
            </w:r>
            <w:r w:rsidRPr="0038186B">
              <w:rPr>
                <w:lang w:val="es-419"/>
              </w:rPr>
              <w:t>vinculantes</w:t>
            </w:r>
            <w:r w:rsidR="0027279E" w:rsidRPr="0038186B">
              <w:rPr>
                <w:lang w:val="es-419"/>
              </w:rPr>
              <w:t xml:space="preserve"> por </w:t>
            </w:r>
            <w:r w:rsidRPr="0038186B">
              <w:rPr>
                <w:lang w:val="es-419"/>
              </w:rPr>
              <w:t>sí</w:t>
            </w:r>
            <w:r w:rsidR="0027279E" w:rsidRPr="0038186B">
              <w:rPr>
                <w:lang w:val="es-419"/>
              </w:rPr>
              <w:t xml:space="preserve"> mismos</w:t>
            </w:r>
            <w:r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realizado una </w:t>
            </w:r>
            <w:r w:rsidR="0027279E" w:rsidRPr="0038186B">
              <w:rPr>
                <w:lang w:val="es-419"/>
              </w:rPr>
              <w:t>extensa</w:t>
            </w:r>
            <w:r w:rsidRPr="0038186B">
              <w:rPr>
                <w:lang w:val="es-419"/>
              </w:rPr>
              <w:t xml:space="preserve"> labor sobre los objetivos y los principios de la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opciones y mecanismos de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directrices </w:t>
            </w:r>
            <w:r w:rsidR="0027279E" w:rsidRPr="0038186B">
              <w:rPr>
                <w:lang w:val="es-419"/>
              </w:rPr>
              <w:t xml:space="preserve">para el </w:t>
            </w:r>
            <w:r w:rsidRPr="0038186B">
              <w:rPr>
                <w:lang w:val="es-419"/>
              </w:rPr>
              <w:t xml:space="preserve">examen de las patentes relacionadas con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y las directrices relativas a los aspectos de la </w:t>
            </w:r>
            <w:r w:rsidR="0027279E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que guardan relación con el acceso y la participación en los beneficios, y </w:t>
            </w:r>
            <w:r w:rsidR="0027279E" w:rsidRPr="0038186B">
              <w:rPr>
                <w:lang w:val="es-419"/>
              </w:rPr>
              <w:t xml:space="preserve">sería conveniente que toda esa información se hiciese llegar a la </w:t>
            </w:r>
            <w:r w:rsidRPr="0038186B">
              <w:rPr>
                <w:lang w:val="es-419"/>
              </w:rPr>
              <w:t>Asamblea General y a otros órganos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para que sean adoptados o reconocidos como orientación no vinculante y como base para </w:t>
            </w:r>
            <w:r w:rsidR="009E1238" w:rsidRPr="0038186B">
              <w:rPr>
                <w:lang w:val="es-419"/>
              </w:rPr>
              <w:t>proseguir esa labor</w:t>
            </w:r>
            <w:r w:rsidRPr="0038186B">
              <w:rPr>
                <w:lang w:val="es-419"/>
              </w:rPr>
              <w:t xml:space="preserve"> normativ</w:t>
            </w:r>
            <w:r w:rsidR="009E1238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Universal de</w:t>
            </w:r>
            <w:r w:rsidR="009E12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Derechos Humanos, la Declaración Universal sobre Bioética y Derechos Humanos de la UNESCO, el Código Internacional de Conducta para la Recolección y Transferencia de Germoplasma Vegetal de la FAO, la Declaración sobre los Derechos de los Pueblos Indígenas, las declaraciones de la UNESCO sobre bioética y diversidad cultural; el Compromiso Internacional de la FAO sobre los Recursos Fitogenéticos y las resoluciones </w:t>
            </w:r>
            <w:r w:rsidR="0041274E" w:rsidRPr="0038186B">
              <w:rPr>
                <w:lang w:val="es-419"/>
              </w:rPr>
              <w:t xml:space="preserve">sobre </w:t>
            </w:r>
            <w:r w:rsidRPr="0038186B">
              <w:rPr>
                <w:lang w:val="es-419"/>
              </w:rPr>
              <w:t>cuestiones como los dere</w:t>
            </w:r>
            <w:r w:rsidR="00E403AC" w:rsidRPr="0038186B">
              <w:rPr>
                <w:lang w:val="es-419"/>
              </w:rPr>
              <w:t xml:space="preserve">chos de los agricultores; y las </w:t>
            </w:r>
            <w:r w:rsidRPr="0038186B">
              <w:rPr>
                <w:lang w:val="es-419"/>
              </w:rPr>
              <w:t>Decisiones de las Conferencias de las Partes en el CDB, incluidas las Directrices de Bonn.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Culturales </w:t>
            </w:r>
            <w:r w:rsidR="002D4753" w:rsidRPr="0038186B">
              <w:rPr>
                <w:lang w:val="es-419"/>
              </w:rPr>
              <w:t xml:space="preserve">y de Propiedad Intelectual </w:t>
            </w:r>
            <w:r w:rsidRPr="0038186B">
              <w:rPr>
                <w:lang w:val="es-419"/>
              </w:rPr>
              <w:t>de los Pueblos Indígenas, las Disposiciones tipo OM</w:t>
            </w:r>
            <w:r w:rsidR="0030450C" w:rsidRPr="0038186B">
              <w:rPr>
                <w:lang w:val="es-419"/>
              </w:rPr>
              <w:t>PI</w:t>
            </w:r>
            <w:r w:rsidR="002D4753" w:rsidRPr="0038186B">
              <w:rPr>
                <w:lang w:val="es-419"/>
              </w:rPr>
              <w:noBreakHyphen/>
            </w:r>
            <w:r w:rsidRPr="0038186B">
              <w:rPr>
                <w:lang w:val="es-419"/>
              </w:rPr>
              <w:t>UNESCO para leyes nacionales sobre la protección de las expresiones del folclore contra la explotación ilícita y otras acciones lesivas.</w:t>
            </w:r>
            <w:r w:rsidR="009B4D9F" w:rsidRPr="0038186B">
              <w:rPr>
                <w:rStyle w:val="FootnoteReference"/>
                <w:lang w:val="es-419"/>
              </w:rPr>
              <w:footnoteReference w:id="39"/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2" w:name="_Toc116899038"/>
      <w:r w:rsidRPr="0038186B">
        <w:rPr>
          <w:i/>
          <w:u w:val="none"/>
          <w:lang w:val="es-419"/>
        </w:rPr>
        <w:t>iv)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Resolución, declaración o decisión política de alto nivel</w:t>
      </w:r>
      <w:bookmarkEnd w:id="6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5587A" w:rsidRPr="0038186B">
        <w:rPr>
          <w:lang w:val="es-419"/>
        </w:rPr>
        <w:t xml:space="preserve">Una </w:t>
      </w:r>
      <w:r w:rsidR="00096F58" w:rsidRPr="0038186B">
        <w:rPr>
          <w:lang w:val="es-419"/>
        </w:rPr>
        <w:t xml:space="preserve">de las opciones </w:t>
      </w:r>
      <w:r w:rsidR="0045587A" w:rsidRPr="0038186B">
        <w:rPr>
          <w:lang w:val="es-419"/>
        </w:rPr>
        <w:t xml:space="preserve">que se ha examinado en documentos anteriores es la de elaborar una </w:t>
      </w:r>
      <w:r w:rsidR="00096F58" w:rsidRPr="0038186B">
        <w:rPr>
          <w:lang w:val="es-419"/>
        </w:rPr>
        <w:t xml:space="preserve">resolución </w:t>
      </w:r>
      <w:r w:rsidR="0045587A" w:rsidRPr="0038186B">
        <w:rPr>
          <w:lang w:val="es-419"/>
        </w:rPr>
        <w:t>de alto nivel</w:t>
      </w:r>
      <w:r w:rsidR="00906B69" w:rsidRPr="0038186B">
        <w:rPr>
          <w:lang w:val="es-419"/>
        </w:rPr>
        <w:t>, declaración</w:t>
      </w:r>
      <w:r w:rsidR="0045587A" w:rsidRPr="0038186B">
        <w:rPr>
          <w:lang w:val="es-419"/>
        </w:rPr>
        <w:t xml:space="preserve"> o declaración conjunta de las Asambleas pertinentes de la OMPI.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La</w:t>
      </w:r>
      <w:r w:rsidR="00906B69" w:rsidRPr="0038186B">
        <w:rPr>
          <w:lang w:val="es-419"/>
        </w:rPr>
        <w:t xml:space="preserve"> declaración podría incluir </w:t>
      </w:r>
      <w:r w:rsidR="00B2747E" w:rsidRPr="0038186B">
        <w:rPr>
          <w:lang w:val="es-419"/>
        </w:rPr>
        <w:t>las cuestiones que son objeto de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negociación actualmente en el </w:t>
      </w:r>
      <w:r w:rsidR="0045587A" w:rsidRPr="0038186B">
        <w:rPr>
          <w:lang w:val="es-419"/>
        </w:rPr>
        <w:t xml:space="preserve">Comité y permitiría abordar en cierta medida las carencias definidas en el presente análisis </w:t>
      </w:r>
      <w:r w:rsidR="00906B69" w:rsidRPr="0038186B">
        <w:rPr>
          <w:lang w:val="es-419"/>
        </w:rPr>
        <w:t>y</w:t>
      </w:r>
      <w:r w:rsidR="0045587A" w:rsidRPr="0038186B">
        <w:rPr>
          <w:lang w:val="es-419"/>
        </w:rPr>
        <w:t xml:space="preserve"> en otros trabajos del Comité. Por ejemplo, en </w:t>
      </w:r>
      <w:r w:rsidR="00B2747E" w:rsidRPr="0038186B">
        <w:rPr>
          <w:lang w:val="es-419"/>
        </w:rPr>
        <w:t xml:space="preserve">ese texto </w:t>
      </w:r>
      <w:r w:rsidR="0045587A" w:rsidRPr="0038186B">
        <w:rPr>
          <w:lang w:val="es-419"/>
        </w:rPr>
        <w:t xml:space="preserve">se podría reconocer el valor y la importancia de los CC.TT. </w:t>
      </w:r>
      <w:r w:rsidR="00B2747E" w:rsidRPr="0038186B">
        <w:rPr>
          <w:lang w:val="es-419"/>
        </w:rPr>
        <w:t xml:space="preserve">como </w:t>
      </w:r>
      <w:r w:rsidR="0045587A" w:rsidRPr="0038186B">
        <w:rPr>
          <w:lang w:val="es-419"/>
        </w:rPr>
        <w:t>“propiedad intelectual”;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destacar </w:t>
      </w:r>
      <w:r w:rsidR="0045587A" w:rsidRPr="0038186B">
        <w:rPr>
          <w:lang w:val="es-419"/>
        </w:rPr>
        <w:t xml:space="preserve">la necesidad </w:t>
      </w:r>
      <w:r w:rsidR="00F55DF3" w:rsidRPr="0038186B">
        <w:rPr>
          <w:lang w:val="es-419"/>
        </w:rPr>
        <w:t>de d</w:t>
      </w:r>
      <w:r w:rsidR="00B2747E" w:rsidRPr="0038186B">
        <w:rPr>
          <w:lang w:val="es-419"/>
        </w:rPr>
        <w:t>otar</w:t>
      </w:r>
      <w:r w:rsidR="00F55DF3" w:rsidRPr="0038186B">
        <w:rPr>
          <w:lang w:val="es-419"/>
        </w:rPr>
        <w:t xml:space="preserve"> a </w:t>
      </w:r>
      <w:r w:rsidR="0045587A" w:rsidRPr="0038186B">
        <w:rPr>
          <w:lang w:val="es-419"/>
        </w:rPr>
        <w:t xml:space="preserve">los titulares o custodios tradicionales </w:t>
      </w:r>
      <w:r w:rsidR="00B2747E" w:rsidRPr="0038186B">
        <w:rPr>
          <w:lang w:val="es-419"/>
        </w:rPr>
        <w:t xml:space="preserve">de </w:t>
      </w:r>
      <w:r w:rsidR="00F55DF3" w:rsidRPr="0038186B">
        <w:rPr>
          <w:lang w:val="es-419"/>
        </w:rPr>
        <w:t xml:space="preserve">los medios </w:t>
      </w:r>
      <w:r w:rsidR="00B2747E" w:rsidRPr="0038186B">
        <w:rPr>
          <w:lang w:val="es-419"/>
        </w:rPr>
        <w:t xml:space="preserve">necesarios </w:t>
      </w:r>
      <w:r w:rsidR="00F55DF3" w:rsidRPr="0038186B">
        <w:rPr>
          <w:lang w:val="es-419"/>
        </w:rPr>
        <w:t xml:space="preserve">para que </w:t>
      </w:r>
      <w:r w:rsidR="0045587A" w:rsidRPr="0038186B">
        <w:rPr>
          <w:lang w:val="es-419"/>
        </w:rPr>
        <w:t>puedan defender sus intereses en relación con los CC.TT. y que los utilicen como base para promover un desarrollo ec</w:t>
      </w:r>
      <w:r w:rsidR="009B55F6" w:rsidRPr="0038186B">
        <w:rPr>
          <w:lang w:val="es-419"/>
        </w:rPr>
        <w:t xml:space="preserve">onómico y cultural sostenible; </w:t>
      </w:r>
      <w:r w:rsidR="0045587A" w:rsidRPr="0038186B">
        <w:rPr>
          <w:lang w:val="es-419"/>
        </w:rPr>
        <w:t>establecer los objetivos y principi</w:t>
      </w:r>
      <w:r w:rsidR="00B2747E" w:rsidRPr="0038186B">
        <w:rPr>
          <w:lang w:val="es-419"/>
        </w:rPr>
        <w:t>os fundamentales</w:t>
      </w:r>
      <w:r w:rsidR="00DA24A2" w:rsidRPr="0038186B">
        <w:rPr>
          <w:lang w:val="es-419"/>
        </w:rPr>
        <w:t xml:space="preserve"> de la protección</w:t>
      </w:r>
      <w:r w:rsidR="00B2747E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 xml:space="preserve">instar a los Estados miembros a que apliquen efectivamente esos objetivos y principios en </w:t>
      </w:r>
      <w:r w:rsidR="00DA24A2" w:rsidRPr="0038186B">
        <w:rPr>
          <w:lang w:val="es-419"/>
        </w:rPr>
        <w:t>el marco de su</w:t>
      </w:r>
      <w:r w:rsidR="00FE53EF" w:rsidRPr="0038186B">
        <w:rPr>
          <w:lang w:val="es-419"/>
        </w:rPr>
        <w:t xml:space="preserve">s esfuerzos </w:t>
      </w:r>
      <w:r w:rsidR="0045587A" w:rsidRPr="0038186B">
        <w:rPr>
          <w:lang w:val="es-419"/>
        </w:rPr>
        <w:t>por mejorar la protección nacional e internacional;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y fijar los objetivos de la labor futura, en particular la elaboración de un instrumento o instrumentos más específicos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</w:t>
      </w:r>
      <w:r w:rsidR="009878F5" w:rsidRPr="0038186B">
        <w:rPr>
          <w:lang w:val="es-419"/>
        </w:rPr>
        <w:t>a posibilidad no debe i</w:t>
      </w:r>
      <w:r w:rsidR="00344979" w:rsidRPr="0038186B">
        <w:rPr>
          <w:lang w:val="es-419"/>
        </w:rPr>
        <w:t xml:space="preserve">mpedir ni </w:t>
      </w:r>
      <w:r w:rsidR="00FE53EF" w:rsidRPr="0038186B">
        <w:rPr>
          <w:lang w:val="es-419"/>
        </w:rPr>
        <w:t>atrasar</w:t>
      </w:r>
      <w:r w:rsidR="00344979" w:rsidRPr="0038186B">
        <w:rPr>
          <w:lang w:val="es-419"/>
        </w:rPr>
        <w:t xml:space="preserve"> el desarrollo ulterior de una </w:t>
      </w:r>
      <w:r w:rsidR="009878F5" w:rsidRPr="0038186B">
        <w:rPr>
          <w:lang w:val="es-419"/>
        </w:rPr>
        <w:t xml:space="preserve">norma </w:t>
      </w:r>
      <w:r w:rsidR="00344979" w:rsidRPr="0038186B">
        <w:rPr>
          <w:lang w:val="es-419"/>
        </w:rPr>
        <w:t xml:space="preserve">vinculante </w:t>
      </w:r>
      <w:r w:rsidR="009878F5" w:rsidRPr="0038186B">
        <w:rPr>
          <w:lang w:val="es-419"/>
        </w:rPr>
        <w:t xml:space="preserve">de Derecho </w:t>
      </w:r>
      <w:r w:rsidR="00344979" w:rsidRPr="0038186B">
        <w:rPr>
          <w:lang w:val="es-419"/>
        </w:rPr>
        <w:t>internacional</w:t>
      </w:r>
      <w:r w:rsidR="009878F5" w:rsidRPr="0038186B">
        <w:rPr>
          <w:lang w:val="es-419"/>
        </w:rPr>
        <w:t xml:space="preserve">; </w:t>
      </w:r>
      <w:r w:rsidR="00344979" w:rsidRPr="0038186B">
        <w:rPr>
          <w:lang w:val="es-419"/>
        </w:rPr>
        <w:t xml:space="preserve">en algunos casos, </w:t>
      </w:r>
      <w:r w:rsidR="009878F5" w:rsidRPr="0038186B">
        <w:rPr>
          <w:lang w:val="es-419"/>
        </w:rPr>
        <w:t>se ha utilizado ese tipo de textos como base para la negociación de instrumentos vinculantes (u</w:t>
      </w:r>
      <w:r w:rsidR="00344979" w:rsidRPr="0038186B">
        <w:rPr>
          <w:lang w:val="es-419"/>
        </w:rPr>
        <w:t>n ejemplo de ello es la elaboración del T</w:t>
      </w:r>
      <w:r w:rsidR="00ED364C" w:rsidRPr="0038186B">
        <w:rPr>
          <w:lang w:val="es-419"/>
        </w:rPr>
        <w:t>IRFAA</w:t>
      </w:r>
      <w:r w:rsidR="00344979" w:rsidRPr="0038186B">
        <w:rPr>
          <w:lang w:val="es-419"/>
        </w:rPr>
        <w:t xml:space="preserve"> a partir del Compromiso Internacional, que no era vinculante).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recomendaciones conjuntas </w:t>
      </w:r>
      <w:r w:rsidR="009878F5" w:rsidRPr="0038186B">
        <w:rPr>
          <w:lang w:val="es-419"/>
        </w:rPr>
        <w:t>formuladas por la</w:t>
      </w:r>
      <w:r w:rsidR="00344979" w:rsidRPr="0038186B">
        <w:rPr>
          <w:lang w:val="es-419"/>
        </w:rPr>
        <w:t xml:space="preserve"> OM</w:t>
      </w:r>
      <w:r w:rsidR="009B55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66620C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han </w:t>
      </w:r>
      <w:r w:rsidR="0066620C" w:rsidRPr="0038186B">
        <w:rPr>
          <w:lang w:val="es-419"/>
        </w:rPr>
        <w:t>generalmente observado y tenido</w:t>
      </w:r>
      <w:r w:rsidR="00344979" w:rsidRPr="0038186B">
        <w:rPr>
          <w:lang w:val="es-419"/>
        </w:rPr>
        <w:t xml:space="preserve"> en cuenta, por ejemplo en el ámbito de las marcas, y </w:t>
      </w:r>
      <w:r w:rsidR="00A30A5F" w:rsidRPr="0038186B">
        <w:rPr>
          <w:lang w:val="es-419"/>
        </w:rPr>
        <w:t xml:space="preserve">se han </w:t>
      </w:r>
      <w:r w:rsidR="0066620C" w:rsidRPr="0038186B">
        <w:rPr>
          <w:lang w:val="es-419"/>
        </w:rPr>
        <w:t>reconocid</w:t>
      </w:r>
      <w:r w:rsidR="00A30A5F" w:rsidRPr="0038186B">
        <w:rPr>
          <w:lang w:val="es-419"/>
        </w:rPr>
        <w:t>o</w:t>
      </w:r>
      <w:r w:rsidR="0066620C" w:rsidRPr="0038186B">
        <w:rPr>
          <w:lang w:val="es-419"/>
        </w:rPr>
        <w:t xml:space="preserve"> y aplicad</w:t>
      </w:r>
      <w:r w:rsidR="00A30A5F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en otros instrumentos jurídicos.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880F45">
            <w:pPr>
              <w:keepNext/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="00A30A5F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el debate general del Comité </w:t>
            </w:r>
            <w:r w:rsidR="00A30A5F" w:rsidRPr="0038186B">
              <w:rPr>
                <w:lang w:val="es-419"/>
              </w:rPr>
              <w:t xml:space="preserve">se ha planteado </w:t>
            </w:r>
            <w:r w:rsidRPr="0038186B">
              <w:rPr>
                <w:lang w:val="es-419"/>
              </w:rPr>
              <w:t xml:space="preserve">la posibilidad de elaborar </w:t>
            </w:r>
            <w:r w:rsidR="00A30A5F" w:rsidRPr="0038186B">
              <w:rPr>
                <w:lang w:val="es-419"/>
              </w:rPr>
              <w:t xml:space="preserve">un texto de ese </w:t>
            </w:r>
            <w:r w:rsidRPr="0038186B">
              <w:rPr>
                <w:lang w:val="es-419"/>
              </w:rPr>
              <w:t>tipo.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Entre las opciones </w:t>
            </w:r>
            <w:r w:rsidR="00A30A5F" w:rsidRPr="0038186B">
              <w:rPr>
                <w:lang w:val="es-419"/>
              </w:rPr>
              <w:t xml:space="preserve">examinadas </w:t>
            </w:r>
            <w:r w:rsidRPr="0038186B">
              <w:rPr>
                <w:lang w:val="es-419"/>
              </w:rPr>
              <w:t xml:space="preserve">figura </w:t>
            </w:r>
            <w:r w:rsidR="00A30A5F" w:rsidRPr="0038186B">
              <w:rPr>
                <w:lang w:val="es-419"/>
              </w:rPr>
              <w:t>la de recomendar a la</w:t>
            </w:r>
            <w:r w:rsidRPr="0038186B">
              <w:rPr>
                <w:lang w:val="es-419"/>
              </w:rPr>
              <w:t xml:space="preserve"> Asamblea General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(posiblemente junto con otros órganos de la OM</w:t>
            </w:r>
            <w:r w:rsidR="009B55F6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) </w:t>
            </w:r>
            <w:r w:rsidR="00A30A5F" w:rsidRPr="0038186B">
              <w:rPr>
                <w:lang w:val="es-419"/>
              </w:rPr>
              <w:t xml:space="preserve">que </w:t>
            </w:r>
            <w:r w:rsidRPr="0038186B">
              <w:rPr>
                <w:lang w:val="es-419"/>
              </w:rPr>
              <w:t xml:space="preserve">adopte </w:t>
            </w:r>
            <w:r w:rsidR="00A30A5F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decisión </w:t>
            </w:r>
            <w:r w:rsidR="00A30A5F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elabor</w:t>
            </w:r>
            <w:r w:rsidR="00A30A5F" w:rsidRPr="0038186B">
              <w:rPr>
                <w:lang w:val="es-419"/>
              </w:rPr>
              <w:t>ar</w:t>
            </w:r>
            <w:r w:rsidRPr="0038186B">
              <w:rPr>
                <w:lang w:val="es-419"/>
              </w:rPr>
              <w:t xml:space="preserve"> una declaración p</w:t>
            </w:r>
            <w:r w:rsidR="00A30A5F" w:rsidRPr="0038186B">
              <w:rPr>
                <w:lang w:val="es-419"/>
              </w:rPr>
              <w:t>olítica de alto nivel</w:t>
            </w:r>
            <w:r w:rsidR="009A36B5" w:rsidRPr="0038186B">
              <w:rPr>
                <w:lang w:val="es-419"/>
              </w:rPr>
              <w:t>,</w:t>
            </w:r>
            <w:r w:rsidR="00A30A5F" w:rsidRPr="0038186B">
              <w:rPr>
                <w:lang w:val="es-419"/>
              </w:rPr>
              <w:t xml:space="preserve"> en la que se </w:t>
            </w:r>
            <w:r w:rsidRPr="0038186B">
              <w:rPr>
                <w:lang w:val="es-419"/>
              </w:rPr>
              <w:t>recono</w:t>
            </w:r>
            <w:r w:rsidR="00A30A5F" w:rsidRPr="0038186B">
              <w:rPr>
                <w:lang w:val="es-419"/>
              </w:rPr>
              <w:t xml:space="preserve">zcan </w:t>
            </w:r>
            <w:r w:rsidRPr="0038186B">
              <w:rPr>
                <w:lang w:val="es-419"/>
              </w:rPr>
              <w:t xml:space="preserve">los </w:t>
            </w:r>
            <w:r w:rsidR="00A30A5F" w:rsidRPr="0038186B">
              <w:rPr>
                <w:lang w:val="es-419"/>
              </w:rPr>
              <w:t>progresos realizados hasta la fecha</w:t>
            </w:r>
            <w:r w:rsidR="009A36B5" w:rsidRPr="0038186B">
              <w:rPr>
                <w:lang w:val="es-419"/>
              </w:rPr>
              <w:t xml:space="preserve"> y se establezcan las prioridades de </w:t>
            </w:r>
            <w:r w:rsidR="0038186B" w:rsidRPr="0038186B">
              <w:rPr>
                <w:lang w:val="es-419"/>
              </w:rPr>
              <w:t>la labor</w:t>
            </w:r>
            <w:r w:rsidRPr="0038186B">
              <w:rPr>
                <w:lang w:val="es-419"/>
              </w:rPr>
              <w:t xml:space="preserve"> futura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esos ámbitos.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la Conferencia I</w:t>
            </w:r>
            <w:r w:rsidR="009A36B5" w:rsidRPr="0038186B">
              <w:rPr>
                <w:lang w:val="es-419"/>
              </w:rPr>
              <w:t>nternacional de Alma Ata sobre A</w:t>
            </w:r>
            <w:r w:rsidRPr="0038186B">
              <w:rPr>
                <w:lang w:val="es-419"/>
              </w:rPr>
              <w:t>tenc</w:t>
            </w:r>
            <w:r w:rsidR="009A36B5" w:rsidRPr="0038186B">
              <w:rPr>
                <w:lang w:val="es-419"/>
              </w:rPr>
              <w:t>ión Primaria de S</w:t>
            </w:r>
            <w:r w:rsidRPr="0038186B">
              <w:rPr>
                <w:lang w:val="es-419"/>
              </w:rPr>
              <w:t>alud;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Compromiso Internacional de la FAO sobre los Recursos Fitogenéticos para la Alimentación y la Agricultura.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 60/184 de la Asamblea General de las Naciones Unidas sobre comercio y desarrollo;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 2000/7 de la Subcomisión de Promoción y Protección de los Derechos Humanos relativa a los derechos de propiedad intelectual y derechos humanos;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Recomendación conjunta relativa a las licencias de marcas;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 Culturales y de Propiedad Intelectual de los Pueblos Indígenas.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3" w:name="_Toc116899039"/>
      <w:r w:rsidRPr="0038186B">
        <w:rPr>
          <w:i/>
          <w:u w:val="none"/>
          <w:lang w:val="es-419"/>
        </w:rPr>
        <w:t>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Fortalecer la coordinación mediante directrices o leyes </w:t>
      </w:r>
      <w:r w:rsidR="00EE688C" w:rsidRPr="0038186B">
        <w:rPr>
          <w:i/>
          <w:u w:val="none"/>
          <w:lang w:val="es-419"/>
        </w:rPr>
        <w:t>tipo</w:t>
      </w:r>
      <w:bookmarkEnd w:id="6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5B6B" w:rsidRPr="0038186B">
        <w:rPr>
          <w:lang w:val="es-419"/>
        </w:rPr>
        <w:t>Hasta la fecha, l</w:t>
      </w:r>
      <w:r w:rsidR="00344979" w:rsidRPr="0038186B">
        <w:rPr>
          <w:lang w:val="es-419"/>
        </w:rPr>
        <w:t>as directrices o leyes tipo se</w:t>
      </w:r>
      <w:r w:rsidR="00EE688C" w:rsidRPr="0038186B">
        <w:rPr>
          <w:lang w:val="es-419"/>
        </w:rPr>
        <w:t xml:space="preserve"> han </w:t>
      </w:r>
      <w:r w:rsidR="00FC5B6B" w:rsidRPr="0038186B">
        <w:rPr>
          <w:lang w:val="es-419"/>
        </w:rPr>
        <w:t xml:space="preserve">utilizado para </w:t>
      </w:r>
      <w:r w:rsidR="00E65B7E" w:rsidRPr="0038186B">
        <w:rPr>
          <w:lang w:val="es-419"/>
        </w:rPr>
        <w:t xml:space="preserve">reflejar perspectivas </w:t>
      </w:r>
      <w:r w:rsidR="00FC5B6B" w:rsidRPr="0038186B">
        <w:rPr>
          <w:lang w:val="es-419"/>
        </w:rPr>
        <w:t>internacionales comunes</w:t>
      </w:r>
      <w:r w:rsidR="00EE688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y </w:t>
      </w:r>
      <w:r w:rsidR="00FC5B6B" w:rsidRPr="0038186B">
        <w:rPr>
          <w:lang w:val="es-419"/>
        </w:rPr>
        <w:t>contribuir a la coordinación de la labor de formulación de leyes y políticas</w:t>
      </w:r>
      <w:r w:rsidR="00344979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a nivel nacional, </w:t>
      </w:r>
      <w:r w:rsidR="00344979" w:rsidRPr="0038186B">
        <w:rPr>
          <w:lang w:val="es-419"/>
        </w:rPr>
        <w:t xml:space="preserve">en particular para </w:t>
      </w:r>
      <w:r w:rsidR="00FC5B6B" w:rsidRPr="0038186B">
        <w:rPr>
          <w:lang w:val="es-419"/>
        </w:rPr>
        <w:t>solventar</w:t>
      </w:r>
      <w:r w:rsidR="00344979" w:rsidRPr="0038186B">
        <w:rPr>
          <w:lang w:val="es-419"/>
        </w:rPr>
        <w:t xml:space="preserve"> carencias como las que se han </w:t>
      </w:r>
      <w:r w:rsidR="00FC5B6B" w:rsidRPr="0038186B">
        <w:rPr>
          <w:lang w:val="es-419"/>
        </w:rPr>
        <w:t>señalado</w:t>
      </w:r>
      <w:r w:rsidR="00344979" w:rsidRPr="0038186B">
        <w:rPr>
          <w:lang w:val="es-419"/>
        </w:rPr>
        <w:t xml:space="preserve"> en el presente análisis, sin </w:t>
      </w:r>
      <w:r w:rsidR="00E65B7E" w:rsidRPr="0038186B">
        <w:rPr>
          <w:lang w:val="es-419"/>
        </w:rPr>
        <w:t>pasar por la adopción de</w:t>
      </w:r>
      <w:r w:rsidR="00344979" w:rsidRPr="0038186B">
        <w:rPr>
          <w:lang w:val="es-419"/>
        </w:rPr>
        <w:t xml:space="preserve"> un instrumento internacional específico.</w:t>
      </w:r>
      <w:r w:rsidR="001A60B0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Esos instrumentos </w:t>
      </w:r>
      <w:r w:rsidR="00073491" w:rsidRPr="0038186B">
        <w:rPr>
          <w:lang w:val="es-419"/>
        </w:rPr>
        <w:t>sientan las bases para la</w:t>
      </w:r>
      <w:r w:rsidR="00356BA5" w:rsidRPr="0038186B">
        <w:rPr>
          <w:lang w:val="es-419"/>
        </w:rPr>
        <w:t xml:space="preserve"> </w:t>
      </w:r>
      <w:r w:rsidR="00EE688C" w:rsidRPr="0038186B">
        <w:rPr>
          <w:lang w:val="es-419"/>
        </w:rPr>
        <w:t xml:space="preserve">cooperación, </w:t>
      </w:r>
      <w:r w:rsidR="00073491" w:rsidRPr="0038186B">
        <w:rPr>
          <w:lang w:val="es-419"/>
        </w:rPr>
        <w:t xml:space="preserve">la </w:t>
      </w:r>
      <w:r w:rsidR="00EE688C" w:rsidRPr="0038186B">
        <w:rPr>
          <w:lang w:val="es-419"/>
        </w:rPr>
        <w:t xml:space="preserve">convergencia y compatibilidad </w:t>
      </w:r>
      <w:r w:rsidR="00FC5B6B" w:rsidRPr="0038186B">
        <w:rPr>
          <w:lang w:val="es-419"/>
        </w:rPr>
        <w:t>mutua</w:t>
      </w:r>
      <w:r w:rsidR="00356BA5" w:rsidRPr="0038186B">
        <w:rPr>
          <w:lang w:val="es-419"/>
        </w:rPr>
        <w:t xml:space="preserve"> de</w:t>
      </w:r>
      <w:r w:rsidR="00EE688C" w:rsidRPr="0038186B">
        <w:rPr>
          <w:lang w:val="es-419"/>
        </w:rPr>
        <w:t xml:space="preserve"> las iniciativas </w:t>
      </w:r>
      <w:r w:rsidR="00356BA5" w:rsidRPr="0038186B">
        <w:rPr>
          <w:lang w:val="es-419"/>
        </w:rPr>
        <w:t xml:space="preserve">legislativas </w:t>
      </w:r>
      <w:r w:rsidR="00EE688C" w:rsidRPr="0038186B">
        <w:rPr>
          <w:lang w:val="es-419"/>
        </w:rPr>
        <w:t xml:space="preserve">nacionales </w:t>
      </w:r>
      <w:r w:rsidR="00073491" w:rsidRPr="0038186B">
        <w:rPr>
          <w:lang w:val="es-419"/>
        </w:rPr>
        <w:t>relativas a la</w:t>
      </w:r>
      <w:r w:rsidR="00EE688C" w:rsidRPr="0038186B">
        <w:rPr>
          <w:lang w:val="es-419"/>
        </w:rPr>
        <w:t xml:space="preserve"> protección de los CC.TT., y </w:t>
      </w:r>
      <w:r w:rsidR="00073491" w:rsidRPr="0038186B">
        <w:rPr>
          <w:lang w:val="es-419"/>
        </w:rPr>
        <w:t>para</w:t>
      </w:r>
      <w:r w:rsidR="00356BA5" w:rsidRPr="0038186B">
        <w:rPr>
          <w:lang w:val="es-419"/>
        </w:rPr>
        <w:t xml:space="preserve"> la creación de </w:t>
      </w:r>
      <w:r w:rsidR="00EE688C" w:rsidRPr="0038186B">
        <w:rPr>
          <w:lang w:val="es-419"/>
        </w:rPr>
        <w:t xml:space="preserve">instrumentos internacionales más </w:t>
      </w:r>
      <w:r w:rsidR="00356BA5" w:rsidRPr="0038186B">
        <w:rPr>
          <w:lang w:val="es-419"/>
        </w:rPr>
        <w:t>formales</w:t>
      </w:r>
      <w:r w:rsidR="00073491" w:rsidRPr="0038186B">
        <w:rPr>
          <w:lang w:val="es-419"/>
        </w:rPr>
        <w:t xml:space="preserve">, previendo asimismo un </w:t>
      </w:r>
      <w:r w:rsidR="00356BA5" w:rsidRPr="0038186B">
        <w:rPr>
          <w:lang w:val="es-419"/>
        </w:rPr>
        <w:t xml:space="preserve">margen </w:t>
      </w:r>
      <w:r w:rsidR="00073491" w:rsidRPr="0038186B">
        <w:rPr>
          <w:lang w:val="es-419"/>
        </w:rPr>
        <w:t xml:space="preserve">apropiado para atender la </w:t>
      </w:r>
      <w:r w:rsidR="00EE688C" w:rsidRPr="0038186B">
        <w:rPr>
          <w:lang w:val="es-419"/>
        </w:rPr>
        <w:t xml:space="preserve">diversidad </w:t>
      </w:r>
      <w:r w:rsidR="00356BA5" w:rsidRPr="0038186B">
        <w:rPr>
          <w:lang w:val="es-419"/>
        </w:rPr>
        <w:t>de enfoques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la práctica, </w:t>
      </w:r>
      <w:r w:rsidR="008F6B8F" w:rsidRPr="0038186B">
        <w:rPr>
          <w:lang w:val="es-419"/>
        </w:rPr>
        <w:t>podría ser</w:t>
      </w:r>
      <w:r w:rsidR="00344979" w:rsidRPr="0038186B">
        <w:rPr>
          <w:lang w:val="es-419"/>
        </w:rPr>
        <w:t xml:space="preserve"> difícil distinguir entre las directrices o leyes tipo y las normas </w:t>
      </w:r>
      <w:r w:rsidR="008F6B8F" w:rsidRPr="0038186B">
        <w:rPr>
          <w:lang w:val="es-419"/>
        </w:rPr>
        <w:t>no vinculantes</w:t>
      </w:r>
      <w:r w:rsidR="00344979" w:rsidRPr="0038186B">
        <w:rPr>
          <w:lang w:val="es-419"/>
        </w:rPr>
        <w:t xml:space="preserve"> expuestas anteriormente.</w:t>
      </w:r>
      <w:r w:rsidR="001A60B0" w:rsidRPr="0038186B">
        <w:rPr>
          <w:lang w:val="es-419"/>
        </w:rPr>
        <w:t xml:space="preserve"> </w:t>
      </w:r>
      <w:r w:rsidR="008F6B8F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xisten </w:t>
      </w:r>
      <w:r w:rsidR="008F6B8F" w:rsidRPr="0038186B">
        <w:rPr>
          <w:lang w:val="es-419"/>
        </w:rPr>
        <w:t>diversas</w:t>
      </w:r>
      <w:r w:rsidR="00344979" w:rsidRPr="0038186B">
        <w:rPr>
          <w:lang w:val="es-419"/>
        </w:rPr>
        <w:t xml:space="preserve"> directrices, marco</w:t>
      </w:r>
      <w:r w:rsidR="008F6B8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y leyes tipo en esferas directamente relacionadas con la labor del Comité.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D051D" w:rsidRPr="0038186B">
        <w:rPr>
          <w:lang w:val="es-419"/>
        </w:rPr>
        <w:t>O</w:t>
      </w:r>
      <w:r w:rsidR="008F6B8F" w:rsidRPr="0038186B">
        <w:rPr>
          <w:lang w:val="es-419"/>
        </w:rPr>
        <w:t xml:space="preserve">tros </w:t>
      </w:r>
      <w:r w:rsidR="00CC6F27" w:rsidRPr="0038186B">
        <w:rPr>
          <w:lang w:val="es-419"/>
        </w:rPr>
        <w:t xml:space="preserve">prestigiosos </w:t>
      </w:r>
      <w:r w:rsidR="00344979" w:rsidRPr="0038186B">
        <w:rPr>
          <w:lang w:val="es-419"/>
        </w:rPr>
        <w:t xml:space="preserve">instrumentos internacionales </w:t>
      </w:r>
      <w:r w:rsidR="008F6B8F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la protección de los </w:t>
      </w:r>
      <w:r w:rsidR="00CC6F27" w:rsidRPr="0038186B">
        <w:rPr>
          <w:lang w:val="es-419"/>
        </w:rPr>
        <w:t>CC.TT.</w:t>
      </w:r>
      <w:r w:rsidR="00BD051D" w:rsidRPr="0038186B">
        <w:rPr>
          <w:lang w:val="es-419"/>
        </w:rPr>
        <w:t xml:space="preserve">, que se concibieron como instrumentos no vinculantes, </w:t>
      </w:r>
      <w:r w:rsidR="00CC6F27" w:rsidRPr="0038186B">
        <w:rPr>
          <w:lang w:val="es-419"/>
        </w:rPr>
        <w:t>tienen la</w:t>
      </w:r>
      <w:r w:rsidR="00344979" w:rsidRPr="0038186B">
        <w:rPr>
          <w:lang w:val="es-419"/>
        </w:rPr>
        <w:t xml:space="preserve"> capacidad para determinar las obligaciones jurídicas establecidas en las legislaciones nacionales (como la Ley Modelo Africana para la protección de los derechos de las comunidades locales, los agricultores y los obtentores, y para la regulación del acceso a los recursos biológicos, establecida en 2000, y el Marco Regional para el Pacífico relativo a la protección de los conocimientos tradicionales y las expresiones de la cultura, de 2002).</w:t>
      </w:r>
      <w:r w:rsidR="001A60B0" w:rsidRPr="0038186B">
        <w:rPr>
          <w:lang w:val="es-419"/>
        </w:rPr>
        <w:t xml:space="preserve"> </w:t>
      </w:r>
      <w:r w:rsidR="00356BA5" w:rsidRPr="0038186B">
        <w:rPr>
          <w:lang w:val="es-419"/>
        </w:rPr>
        <w:t>Estos modelos han contribuido a su vez al debate y examen de la cuestión de la protección en el 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D051D" w:rsidRPr="0038186B">
        <w:rPr>
          <w:lang w:val="es-419"/>
        </w:rPr>
        <w:t>Como se señaló anteriormente:</w:t>
      </w:r>
      <w:r w:rsidR="00344979" w:rsidRPr="0038186B">
        <w:rPr>
          <w:lang w:val="es-419"/>
        </w:rPr>
        <w:t xml:space="preserve"> “aunque se trata claramente de una cuestión que los miembros del Comité han de examinar y definir, la experiencia en otros ámbitos sugiere la posibilidad de adoptar un enfoque gradual, en el que a partir de un mecanismo que delimite las normas internacionales y promueva el enfoque que se desea dar a las normas nacionales respecto de la protección, se vayan creando mecanismos más elaborados o revisados, que generen expectativas más elevadas de cumplimiento y tengan un mayor efecto jurídico”.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344979" w:rsidP="00130037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objetivos y principios para la protección de los </w:t>
            </w:r>
            <w:r w:rsidR="00FA5045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elaborados </w:t>
            </w:r>
            <w:r w:rsidR="007F0652" w:rsidRPr="0038186B">
              <w:rPr>
                <w:lang w:val="es-419"/>
              </w:rPr>
              <w:t xml:space="preserve">en 2005 </w:t>
            </w:r>
            <w:r w:rsidRPr="0038186B">
              <w:rPr>
                <w:lang w:val="es-419"/>
              </w:rPr>
              <w:t xml:space="preserve">sobre la base de la labor del Comité y </w:t>
            </w:r>
            <w:r w:rsidR="007F0652" w:rsidRPr="0038186B">
              <w:rPr>
                <w:lang w:val="es-419"/>
              </w:rPr>
              <w:t>bajo su dirección</w:t>
            </w:r>
            <w:r w:rsidRPr="0038186B">
              <w:rPr>
                <w:lang w:val="es-419"/>
              </w:rPr>
              <w:t xml:space="preserve">, ya han sido ampliamente utilizados como </w:t>
            </w:r>
            <w:r w:rsidR="00BB7E3A" w:rsidRPr="0038186B">
              <w:rPr>
                <w:lang w:val="es-419"/>
              </w:rPr>
              <w:t>marcos</w:t>
            </w:r>
            <w:r w:rsidRPr="0038186B">
              <w:rPr>
                <w:lang w:val="es-419"/>
              </w:rPr>
              <w:t xml:space="preserve"> de referencia para la protección en instrumentos regionales, procesos internacionales y procesos normativos y legislativos nacionales.</w:t>
            </w:r>
            <w:r w:rsidR="001A60B0" w:rsidRPr="0038186B">
              <w:rPr>
                <w:lang w:val="es-419"/>
              </w:rPr>
              <w:t xml:space="preserve"> </w:t>
            </w:r>
            <w:r w:rsidR="001C26C0" w:rsidRPr="0038186B">
              <w:rPr>
                <w:lang w:val="es-419"/>
              </w:rPr>
              <w:t>M</w:t>
            </w:r>
            <w:r w:rsidR="00BB7E3A" w:rsidRPr="0038186B">
              <w:rPr>
                <w:lang w:val="es-419"/>
              </w:rPr>
              <w:t xml:space="preserve">ás recientemente, las diferentes versiones, alternativas y opciones incluidas en los proyectos de </w:t>
            </w:r>
            <w:r w:rsidR="001970C2" w:rsidRPr="0038186B">
              <w:rPr>
                <w:lang w:val="es-419"/>
              </w:rPr>
              <w:t>artículo</w:t>
            </w:r>
            <w:r w:rsidR="00B036F7" w:rsidRPr="0038186B">
              <w:rPr>
                <w:lang w:val="es-419"/>
              </w:rPr>
              <w:t xml:space="preserve">s </w:t>
            </w:r>
            <w:r w:rsidR="00BB7E3A" w:rsidRPr="0038186B">
              <w:rPr>
                <w:lang w:val="es-419"/>
              </w:rPr>
              <w:t xml:space="preserve">sobre la </w:t>
            </w:r>
            <w:r w:rsidR="001C5882" w:rsidRPr="0038186B">
              <w:rPr>
                <w:lang w:val="es-419"/>
              </w:rPr>
              <w:t>protección de los CC.TT.</w:t>
            </w:r>
            <w:r w:rsidR="00B036F7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 xml:space="preserve">han servido de inspiración para la elaboración de instrumentos </w:t>
            </w:r>
            <w:r w:rsidR="00B036F7" w:rsidRPr="0038186B">
              <w:rPr>
                <w:lang w:val="es-419"/>
              </w:rPr>
              <w:t>regional</w:t>
            </w:r>
            <w:r w:rsidR="00BB7E3A" w:rsidRPr="0038186B">
              <w:rPr>
                <w:lang w:val="es-419"/>
              </w:rPr>
              <w:t>es, legislación nacional y procesos normativos</w:t>
            </w:r>
            <w:r w:rsidR="00B036F7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 xml:space="preserve">Aunque </w:t>
            </w:r>
            <w:r w:rsidR="00BB7E3A" w:rsidRPr="0038186B">
              <w:rPr>
                <w:lang w:val="es-419"/>
              </w:rPr>
              <w:t xml:space="preserve">no </w:t>
            </w:r>
            <w:r w:rsidR="007F0652" w:rsidRPr="0038186B">
              <w:rPr>
                <w:lang w:val="es-419"/>
              </w:rPr>
              <w:t>se han adoptado</w:t>
            </w:r>
            <w:r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>ni</w:t>
            </w:r>
            <w:r w:rsidRPr="0038186B">
              <w:rPr>
                <w:lang w:val="es-419"/>
              </w:rPr>
              <w:t xml:space="preserve"> aprobado en su forma actual, </w:t>
            </w:r>
            <w:r w:rsidR="00BB7E3A" w:rsidRPr="0038186B">
              <w:rPr>
                <w:lang w:val="es-419"/>
              </w:rPr>
              <w:t xml:space="preserve">esos textos </w:t>
            </w:r>
            <w:r w:rsidRPr="0038186B">
              <w:rPr>
                <w:lang w:val="es-419"/>
              </w:rPr>
              <w:t xml:space="preserve">pueden </w:t>
            </w:r>
            <w:r w:rsidR="00BB7E3A" w:rsidRPr="0038186B">
              <w:rPr>
                <w:lang w:val="es-419"/>
              </w:rPr>
              <w:t xml:space="preserve">contribuir a determinar el </w:t>
            </w:r>
            <w:r w:rsidRPr="0038186B">
              <w:rPr>
                <w:lang w:val="es-419"/>
              </w:rPr>
              <w:t xml:space="preserve">contenido </w:t>
            </w:r>
            <w:r w:rsidR="00BB7E3A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directrices</w:t>
            </w:r>
            <w:r w:rsidR="00BB7E3A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leyes tipo</w:t>
            </w:r>
            <w:r w:rsidR="00BB7E3A" w:rsidRPr="0038186B">
              <w:rPr>
                <w:lang w:val="es-419"/>
              </w:rPr>
              <w:t xml:space="preserve"> u otros “instrumentos”</w:t>
            </w:r>
            <w:r w:rsidRPr="0038186B">
              <w:rPr>
                <w:lang w:val="es-419"/>
              </w:rPr>
              <w:t>.</w:t>
            </w:r>
            <w:r w:rsidR="009B55F6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>E</w:t>
            </w:r>
            <w:r w:rsidR="007F0652" w:rsidRPr="0038186B">
              <w:rPr>
                <w:lang w:val="es-419"/>
              </w:rPr>
              <w:t>n el pasado, e</w:t>
            </w:r>
            <w:r w:rsidR="00BB7E3A" w:rsidRPr="0038186B">
              <w:rPr>
                <w:lang w:val="es-419"/>
              </w:rPr>
              <w:t xml:space="preserve">l Comité </w:t>
            </w:r>
            <w:r w:rsidR="007F0652" w:rsidRPr="0038186B">
              <w:rPr>
                <w:lang w:val="es-419"/>
              </w:rPr>
              <w:t>rechazó u</w:t>
            </w:r>
            <w:r w:rsidR="00BB7E3A" w:rsidRPr="0038186B">
              <w:rPr>
                <w:lang w:val="es-419"/>
              </w:rPr>
              <w:t xml:space="preserve">na propuesta de elaborar disposiciones tipo sobre mecanismos </w:t>
            </w:r>
            <w:r w:rsidR="007F0652" w:rsidRPr="0038186B">
              <w:rPr>
                <w:lang w:val="es-419"/>
              </w:rPr>
              <w:t>relativos a la</w:t>
            </w:r>
            <w:r w:rsidR="00BB7E3A" w:rsidRPr="0038186B">
              <w:rPr>
                <w:lang w:val="es-419"/>
              </w:rPr>
              <w:t xml:space="preserve"> divulgación en el ámbito de las patentes en relación con los recursos genéticos y los conocimientos tradicionales.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BB7E3A" w:rsidP="00624534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Ejemplos en ámbitos </w:t>
            </w:r>
            <w:r w:rsidR="004C27AF" w:rsidRPr="0038186B">
              <w:rPr>
                <w:lang w:val="es-419"/>
              </w:rPr>
              <w:t>afines</w:t>
            </w:r>
            <w:r w:rsidRPr="0038186B">
              <w:rPr>
                <w:lang w:val="es-419"/>
              </w:rPr>
              <w:t>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iCs/>
                <w:lang w:val="es-419"/>
              </w:rPr>
              <w:t xml:space="preserve">Akwe: Kon </w:t>
            </w:r>
            <w:r w:rsidR="00690A62" w:rsidRPr="0038186B">
              <w:rPr>
                <w:iCs/>
                <w:lang w:val="es-419"/>
              </w:rPr>
              <w:t>Directrices voluntarias  para</w:t>
            </w:r>
            <w:r w:rsidRPr="0038186B">
              <w:rPr>
                <w:lang w:val="es-419"/>
              </w:rPr>
              <w:t xml:space="preserve"> </w:t>
            </w:r>
            <w:r w:rsidR="00BD051D" w:rsidRPr="0038186B">
              <w:rPr>
                <w:lang w:val="es-419"/>
              </w:rPr>
              <w:t>realizar evaluaciones de las repercusiones culturales, ambientales y sociales</w:t>
            </w:r>
            <w:r w:rsidRPr="0038186B">
              <w:rPr>
                <w:lang w:val="es-419"/>
              </w:rPr>
              <w:t xml:space="preserve">, las Directrices de Bonn sobre </w:t>
            </w:r>
            <w:r w:rsidR="00690A62" w:rsidRPr="0038186B">
              <w:rPr>
                <w:lang w:val="es-419"/>
              </w:rPr>
              <w:t>Acceso a los Recursos G</w:t>
            </w:r>
            <w:r w:rsidRPr="0038186B">
              <w:rPr>
                <w:lang w:val="es-419"/>
              </w:rPr>
              <w:t xml:space="preserve">enéticos y </w:t>
            </w:r>
            <w:r w:rsidR="00690A62" w:rsidRPr="0038186B">
              <w:rPr>
                <w:lang w:val="es-419"/>
              </w:rPr>
              <w:t>Participación Justa y Equitativa en los B</w:t>
            </w:r>
            <w:r w:rsidRPr="0038186B">
              <w:rPr>
                <w:lang w:val="es-419"/>
              </w:rPr>
              <w:t xml:space="preserve">eneficios </w:t>
            </w:r>
            <w:r w:rsidR="00690A62" w:rsidRPr="0038186B">
              <w:rPr>
                <w:lang w:val="es-419"/>
              </w:rPr>
              <w:t>Provenientes de su Uti</w:t>
            </w:r>
            <w:r w:rsidRPr="0038186B">
              <w:rPr>
                <w:lang w:val="es-419"/>
              </w:rPr>
              <w:t xml:space="preserve">lización; </w:t>
            </w:r>
            <w:r w:rsidR="004C27AF" w:rsidRPr="0038186B">
              <w:rPr>
                <w:lang w:val="es-419"/>
              </w:rPr>
              <w:t>el Código Internacional de Conducta de la FAO sobre la distribución y el uso de los pesticidas; el Código de Conducta de la ONUDI para la liberación de OGM en el medio ambiente;</w:t>
            </w:r>
            <w:r w:rsidR="009B55F6" w:rsidRPr="0038186B">
              <w:rPr>
                <w:lang w:val="es-419"/>
              </w:rPr>
              <w:t xml:space="preserve"> </w:t>
            </w:r>
            <w:r w:rsidR="004C27AF" w:rsidRPr="0038186B">
              <w:rPr>
                <w:lang w:val="es-419"/>
              </w:rPr>
              <w:t>las Directrices Prácticas de la Unión Africana para la Aplicación Coordinada del Protocolo de Nagoya en África.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Ley Tipo de Túnez, las </w:t>
            </w:r>
            <w:r w:rsidR="00D36BB9" w:rsidRPr="0038186B">
              <w:rPr>
                <w:lang w:val="es-419"/>
              </w:rPr>
              <w:t>Disposiciones tipo OMPI</w:t>
            </w:r>
            <w:r w:rsidR="00D36BB9" w:rsidRPr="0038186B">
              <w:rPr>
                <w:lang w:val="es-419"/>
              </w:rPr>
              <w:noBreakHyphen/>
              <w:t>UNESCO para leyes nacionales sobre la protección de las expresiones del folclore contra la explotación ilícita y otras acciones lesivas</w:t>
            </w:r>
            <w:r w:rsidRPr="0038186B">
              <w:rPr>
                <w:lang w:val="es-419"/>
              </w:rPr>
              <w:t>, el Marco Regional para el Pacífico relativo a la protección de los conocimientos tradicionales y las expresiones de la cultura;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Directrices de la OCDE sobre la concesión de licencias de invenciones genéticas.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4" w:name="_Toc116899040"/>
      <w:r w:rsidRPr="0038186B">
        <w:rPr>
          <w:i/>
          <w:u w:val="none"/>
          <w:lang w:val="es-419"/>
        </w:rPr>
        <w:t>vi)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Coordinación de los avances en materia legislativa</w:t>
      </w:r>
      <w:r w:rsidR="00D36BB9" w:rsidRPr="0038186B">
        <w:rPr>
          <w:i/>
          <w:u w:val="none"/>
          <w:lang w:val="es-419"/>
        </w:rPr>
        <w:t xml:space="preserve"> a nivel nacional</w:t>
      </w:r>
      <w:bookmarkEnd w:id="6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Muchos países </w:t>
      </w:r>
      <w:r w:rsidR="00D36BB9" w:rsidRPr="0038186B">
        <w:rPr>
          <w:lang w:val="es-419"/>
        </w:rPr>
        <w:t xml:space="preserve">están </w:t>
      </w:r>
      <w:r w:rsidR="003F3B0F" w:rsidRPr="0038186B">
        <w:rPr>
          <w:lang w:val="es-419"/>
        </w:rPr>
        <w:t xml:space="preserve">trabajando en la elaboración de </w:t>
      </w:r>
      <w:r w:rsidR="00344979" w:rsidRPr="0038186B">
        <w:rPr>
          <w:lang w:val="es-419"/>
        </w:rPr>
        <w:t xml:space="preserve">nuevas leyes y políticas </w:t>
      </w:r>
      <w:r w:rsidR="006278A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protección de los </w:t>
      </w:r>
      <w:r w:rsidR="006278A7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</w:t>
      </w:r>
      <w:r w:rsidR="006278A7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en algunos casos </w:t>
      </w:r>
      <w:r w:rsidR="006278A7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también las </w:t>
      </w:r>
      <w:r w:rsidR="006278A7" w:rsidRPr="0038186B">
        <w:rPr>
          <w:lang w:val="es-419"/>
        </w:rPr>
        <w:t xml:space="preserve">ECT o </w:t>
      </w:r>
      <w:r w:rsidR="00344979" w:rsidRPr="0038186B">
        <w:rPr>
          <w:lang w:val="es-419"/>
        </w:rPr>
        <w:t>el folclore)</w:t>
      </w:r>
      <w:r w:rsidR="009B6BE2" w:rsidRPr="0038186B">
        <w:rPr>
          <w:lang w:val="es-419"/>
        </w:rPr>
        <w:t>.</w:t>
      </w:r>
      <w:r w:rsidR="006278A7" w:rsidRPr="0038186B">
        <w:rPr>
          <w:rStyle w:val="FootnoteReference"/>
          <w:lang w:val="es-419"/>
        </w:rPr>
        <w:footnoteReference w:id="40"/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os países han manifestado gran interés en </w:t>
      </w:r>
      <w:r w:rsidR="003F3B0F" w:rsidRPr="0038186B">
        <w:rPr>
          <w:lang w:val="es-419"/>
        </w:rPr>
        <w:t xml:space="preserve">saber cuáles son las </w:t>
      </w:r>
      <w:r w:rsidR="00344979" w:rsidRPr="0038186B">
        <w:rPr>
          <w:lang w:val="es-419"/>
        </w:rPr>
        <w:t xml:space="preserve">medidas adoptadas por otros gobiernos y órganos regionales y las experiencias </w:t>
      </w:r>
      <w:r w:rsidR="003F3B0F" w:rsidRPr="0038186B">
        <w:rPr>
          <w:lang w:val="es-419"/>
        </w:rPr>
        <w:t>que han tenido con</w:t>
      </w:r>
      <w:r w:rsidR="00344979" w:rsidRPr="0038186B">
        <w:rPr>
          <w:lang w:val="es-419"/>
        </w:rPr>
        <w:t xml:space="preserve"> su aplicación.</w:t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 xml:space="preserve">Eso </w:t>
      </w:r>
      <w:r w:rsidR="00474241" w:rsidRPr="0038186B">
        <w:rPr>
          <w:lang w:val="es-419"/>
        </w:rPr>
        <w:t>permite no solo</w:t>
      </w:r>
      <w:r w:rsidR="003F3B0F" w:rsidRPr="0038186B">
        <w:rPr>
          <w:lang w:val="es-419"/>
        </w:rPr>
        <w:t xml:space="preserve"> el intercambio de las “</w:t>
      </w:r>
      <w:r w:rsidR="00474241" w:rsidRPr="0038186B">
        <w:rPr>
          <w:lang w:val="es-419"/>
        </w:rPr>
        <w:t>mejores p</w:t>
      </w:r>
      <w:r w:rsidR="003F3B0F" w:rsidRPr="0038186B">
        <w:rPr>
          <w:lang w:val="es-419"/>
        </w:rPr>
        <w:t xml:space="preserve">rácticas” </w:t>
      </w:r>
      <w:r w:rsidR="00474241" w:rsidRPr="0038186B">
        <w:rPr>
          <w:lang w:val="es-419"/>
        </w:rPr>
        <w:t xml:space="preserve">sino también permite </w:t>
      </w:r>
      <w:r w:rsidR="00344979" w:rsidRPr="0038186B">
        <w:rPr>
          <w:lang w:val="es-419"/>
        </w:rPr>
        <w:t>asegura</w:t>
      </w:r>
      <w:r w:rsidR="00474241" w:rsidRPr="0038186B">
        <w:rPr>
          <w:lang w:val="es-419"/>
        </w:rPr>
        <w:t xml:space="preserve">r la </w:t>
      </w:r>
      <w:r w:rsidR="00344979" w:rsidRPr="0038186B">
        <w:rPr>
          <w:lang w:val="es-419"/>
        </w:rPr>
        <w:t xml:space="preserve">coherencia y armonía </w:t>
      </w:r>
      <w:r w:rsidR="00474241" w:rsidRPr="0038186B">
        <w:rPr>
          <w:lang w:val="es-419"/>
        </w:rPr>
        <w:t>entre</w:t>
      </w:r>
      <w:r w:rsidR="00344979" w:rsidRPr="0038186B">
        <w:rPr>
          <w:lang w:val="es-419"/>
        </w:rPr>
        <w:t xml:space="preserve"> las leyes nacionales, </w:t>
      </w:r>
      <w:r w:rsidR="00474241" w:rsidRPr="0038186B">
        <w:rPr>
          <w:lang w:val="es-419"/>
        </w:rPr>
        <w:t xml:space="preserve">dada la necesidad de garantizar una interacción eficaz entre los </w:t>
      </w:r>
      <w:r w:rsidR="00344979" w:rsidRPr="0038186B">
        <w:rPr>
          <w:lang w:val="es-419"/>
        </w:rPr>
        <w:t>diferentes sistemas jurídicos nacionales.</w:t>
      </w:r>
      <w:r w:rsidR="001A60B0" w:rsidRPr="0038186B">
        <w:rPr>
          <w:lang w:val="es-419"/>
        </w:rPr>
        <w:t xml:space="preserve"> </w:t>
      </w:r>
      <w:r w:rsidR="008658F3" w:rsidRPr="0038186B">
        <w:rPr>
          <w:lang w:val="es-419"/>
        </w:rPr>
        <w:t xml:space="preserve">Uno de los efectos de la elaboración de textos –incluso de proyectos de texto- internacionales sobre la naturaleza y el contexto normativo de la protección podría ser la promoción y apoyo de esa </w:t>
      </w:r>
      <w:r w:rsidR="00344979" w:rsidRPr="0038186B">
        <w:rPr>
          <w:lang w:val="es-419"/>
        </w:rPr>
        <w:t>coordinación de las inic</w:t>
      </w:r>
      <w:r w:rsidR="008658F3" w:rsidRPr="0038186B">
        <w:rPr>
          <w:lang w:val="es-419"/>
        </w:rPr>
        <w:t xml:space="preserve">iativas nacionales y regionales, siempre que </w:t>
      </w:r>
      <w:r w:rsidR="00344979" w:rsidRPr="0038186B">
        <w:rPr>
          <w:lang w:val="es-419"/>
        </w:rPr>
        <w:t>lo deseen los gobiernos interesados.</w:t>
      </w:r>
      <w:r w:rsidR="001A60B0" w:rsidRPr="0038186B">
        <w:rPr>
          <w:lang w:val="es-419"/>
        </w:rPr>
        <w:t xml:space="preserve"> </w:t>
      </w:r>
      <w:r w:rsidR="00F62174" w:rsidRPr="0038186B">
        <w:rPr>
          <w:lang w:val="es-419"/>
        </w:rPr>
        <w:t xml:space="preserve">Se </w:t>
      </w:r>
      <w:r w:rsidR="00982DC4" w:rsidRPr="0038186B">
        <w:rPr>
          <w:lang w:val="es-419"/>
        </w:rPr>
        <w:t>ha podido establecer</w:t>
      </w:r>
      <w:r w:rsidR="00F62174" w:rsidRPr="0038186B">
        <w:rPr>
          <w:lang w:val="es-419"/>
        </w:rPr>
        <w:t xml:space="preserve">, </w:t>
      </w:r>
      <w:r w:rsidR="00982DC4" w:rsidRPr="0038186B">
        <w:rPr>
          <w:lang w:val="es-419"/>
        </w:rPr>
        <w:t>a partir de</w:t>
      </w:r>
      <w:r w:rsidR="00F62174" w:rsidRPr="0038186B">
        <w:rPr>
          <w:lang w:val="es-419"/>
        </w:rPr>
        <w:t xml:space="preserve"> c</w:t>
      </w:r>
      <w:r w:rsidR="008658F3" w:rsidRPr="0038186B">
        <w:rPr>
          <w:lang w:val="es-419"/>
        </w:rPr>
        <w:t xml:space="preserve">omentarios </w:t>
      </w:r>
      <w:r w:rsidR="00F62174" w:rsidRPr="0038186B">
        <w:rPr>
          <w:lang w:val="es-419"/>
        </w:rPr>
        <w:t>informales</w:t>
      </w:r>
      <w:r w:rsidR="008658F3" w:rsidRPr="0038186B">
        <w:rPr>
          <w:lang w:val="es-419"/>
        </w:rPr>
        <w:t xml:space="preserve"> y </w:t>
      </w:r>
      <w:r w:rsidR="00982DC4" w:rsidRPr="0038186B">
        <w:rPr>
          <w:lang w:val="es-419"/>
        </w:rPr>
        <w:t>del</w:t>
      </w:r>
      <w:r w:rsidR="00F62174" w:rsidRPr="0038186B">
        <w:rPr>
          <w:lang w:val="es-419"/>
        </w:rPr>
        <w:t xml:space="preserve"> creciente </w:t>
      </w:r>
      <w:r w:rsidR="00344979" w:rsidRPr="0038186B">
        <w:rPr>
          <w:lang w:val="es-419"/>
        </w:rPr>
        <w:t xml:space="preserve">número de peticiones de apoyo </w:t>
      </w:r>
      <w:r w:rsidR="00F62174" w:rsidRPr="0038186B">
        <w:rPr>
          <w:lang w:val="es-419"/>
        </w:rPr>
        <w:t>para el</w:t>
      </w:r>
      <w:r w:rsidR="00344979" w:rsidRPr="0038186B">
        <w:rPr>
          <w:lang w:val="es-419"/>
        </w:rPr>
        <w:t xml:space="preserve"> fortalecimiento de la capacidad</w:t>
      </w:r>
      <w:r w:rsidR="00F62174" w:rsidRPr="0038186B">
        <w:rPr>
          <w:lang w:val="es-419"/>
        </w:rPr>
        <w:t xml:space="preserve"> y otras in</w:t>
      </w:r>
      <w:r w:rsidR="00FE53EF" w:rsidRPr="0038186B">
        <w:rPr>
          <w:lang w:val="es-419"/>
        </w:rPr>
        <w:t>formaciones</w:t>
      </w:r>
      <w:r w:rsidR="00344979" w:rsidRPr="0038186B">
        <w:rPr>
          <w:lang w:val="es-419"/>
        </w:rPr>
        <w:t xml:space="preserve">, que </w:t>
      </w:r>
      <w:r w:rsidR="00C2233E" w:rsidRPr="0038186B">
        <w:rPr>
          <w:lang w:val="es-419"/>
        </w:rPr>
        <w:t xml:space="preserve">aunque </w:t>
      </w:r>
      <w:r w:rsidR="00344979" w:rsidRPr="0038186B">
        <w:rPr>
          <w:lang w:val="es-419"/>
        </w:rPr>
        <w:t xml:space="preserve">muchos gobiernos </w:t>
      </w:r>
      <w:r w:rsidR="00982DC4" w:rsidRPr="0038186B">
        <w:rPr>
          <w:lang w:val="es-419"/>
        </w:rPr>
        <w:t xml:space="preserve">han optado por </w:t>
      </w:r>
      <w:r w:rsidR="00344979" w:rsidRPr="0038186B">
        <w:rPr>
          <w:lang w:val="es-419"/>
        </w:rPr>
        <w:t>avanzar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982DC4" w:rsidRPr="0038186B">
        <w:rPr>
          <w:lang w:val="es-419"/>
        </w:rPr>
        <w:t>como objetivo</w:t>
      </w:r>
      <w:r w:rsidR="00344979" w:rsidRPr="0038186B">
        <w:rPr>
          <w:lang w:val="es-419"/>
        </w:rPr>
        <w:t xml:space="preserve"> prioritario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la </w:t>
      </w:r>
      <w:r w:rsidR="00982DC4" w:rsidRPr="0038186B">
        <w:rPr>
          <w:lang w:val="es-419"/>
        </w:rPr>
        <w:t xml:space="preserve">elaboración de un marco de </w:t>
      </w:r>
      <w:r w:rsidR="00344979" w:rsidRPr="0038186B">
        <w:rPr>
          <w:lang w:val="es-419"/>
        </w:rPr>
        <w:t xml:space="preserve">protección nacional de los </w:t>
      </w:r>
      <w:r w:rsidR="00982DC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C2233E" w:rsidRPr="0038186B">
        <w:rPr>
          <w:lang w:val="es-419"/>
        </w:rPr>
        <w:t xml:space="preserve">estarían interesados en que se adoptara </w:t>
      </w:r>
      <w:r w:rsidR="00344979" w:rsidRPr="0038186B">
        <w:rPr>
          <w:lang w:val="es-419"/>
        </w:rPr>
        <w:t xml:space="preserve">un </w:t>
      </w:r>
      <w:r w:rsidR="00982DC4" w:rsidRPr="0038186B">
        <w:rPr>
          <w:lang w:val="es-419"/>
        </w:rPr>
        <w:t xml:space="preserve">enfoque </w:t>
      </w:r>
      <w:r w:rsidR="00C2233E" w:rsidRPr="0038186B">
        <w:rPr>
          <w:lang w:val="es-419"/>
        </w:rPr>
        <w:t>uniforme q</w:t>
      </w:r>
      <w:r w:rsidR="00982DC4" w:rsidRPr="0038186B">
        <w:rPr>
          <w:lang w:val="es-419"/>
        </w:rPr>
        <w:t>ue permit</w:t>
      </w:r>
      <w:r w:rsidR="00C2233E" w:rsidRPr="0038186B">
        <w:rPr>
          <w:lang w:val="es-419"/>
        </w:rPr>
        <w:t>ier</w:t>
      </w:r>
      <w:r w:rsidR="00982DC4" w:rsidRPr="0038186B">
        <w:rPr>
          <w:lang w:val="es-419"/>
        </w:rPr>
        <w:t>a a los</w:t>
      </w:r>
      <w:r w:rsidR="00C2233E" w:rsidRPr="0038186B">
        <w:rPr>
          <w:lang w:val="es-419"/>
        </w:rPr>
        <w:t xml:space="preserve"> gobiernos </w:t>
      </w:r>
      <w:r w:rsidR="00344979" w:rsidRPr="0038186B">
        <w:rPr>
          <w:lang w:val="es-419"/>
        </w:rPr>
        <w:t xml:space="preserve">intercambiar experiencias de </w:t>
      </w:r>
      <w:r w:rsidR="00C2233E" w:rsidRPr="0038186B">
        <w:rPr>
          <w:lang w:val="es-419"/>
        </w:rPr>
        <w:t xml:space="preserve">forma </w:t>
      </w:r>
      <w:r w:rsidR="00344979" w:rsidRPr="0038186B">
        <w:rPr>
          <w:lang w:val="es-419"/>
        </w:rPr>
        <w:t xml:space="preserve">estructurada, garantizar una coherencia razonable y evitar </w:t>
      </w:r>
      <w:r w:rsidR="00266395" w:rsidRPr="0038186B">
        <w:rPr>
          <w:lang w:val="es-419"/>
        </w:rPr>
        <w:t>planteamientos</w:t>
      </w:r>
      <w:r w:rsidR="00344979" w:rsidRPr="0038186B">
        <w:rPr>
          <w:lang w:val="es-419"/>
        </w:rPr>
        <w:t xml:space="preserve"> conflictiv</w:t>
      </w:r>
      <w:r w:rsidR="00266395" w:rsidRPr="0038186B">
        <w:rPr>
          <w:lang w:val="es-419"/>
        </w:rPr>
        <w:t>o</w:t>
      </w:r>
      <w:r w:rsidR="00344979" w:rsidRPr="0038186B">
        <w:rPr>
          <w:lang w:val="es-419"/>
        </w:rPr>
        <w:t>s.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La elaboración de un </w:t>
      </w:r>
      <w:r w:rsidR="00344979" w:rsidRPr="0038186B">
        <w:rPr>
          <w:lang w:val="es-419"/>
        </w:rPr>
        <w:t xml:space="preserve">instrumento no vinculante </w:t>
      </w:r>
      <w:r w:rsidR="00266395" w:rsidRPr="0038186B">
        <w:rPr>
          <w:lang w:val="es-419"/>
        </w:rPr>
        <w:t>podría contribuir a lograr ese objetivo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Ese instrumento, que </w:t>
      </w:r>
      <w:r w:rsidR="00344979" w:rsidRPr="0038186B">
        <w:rPr>
          <w:lang w:val="es-419"/>
        </w:rPr>
        <w:t xml:space="preserve">se </w:t>
      </w:r>
      <w:r w:rsidR="00266395" w:rsidRPr="0038186B">
        <w:rPr>
          <w:lang w:val="es-419"/>
        </w:rPr>
        <w:t>elaboraría esencialmente sobre la base de</w:t>
      </w:r>
      <w:r w:rsidR="00344979" w:rsidRPr="0038186B">
        <w:rPr>
          <w:lang w:val="es-419"/>
        </w:rPr>
        <w:t xml:space="preserve"> la</w:t>
      </w:r>
      <w:r w:rsidR="00266395" w:rsidRPr="0038186B">
        <w:rPr>
          <w:lang w:val="es-419"/>
        </w:rPr>
        <w:t xml:space="preserve">s leyes nacionales -que podría ser </w:t>
      </w:r>
      <w:r w:rsidR="00344979" w:rsidRPr="0038186B">
        <w:rPr>
          <w:lang w:val="es-419"/>
        </w:rPr>
        <w:t xml:space="preserve">incluso </w:t>
      </w:r>
      <w:r w:rsidR="0026639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síntesis de la legislación nacional y </w:t>
      </w:r>
      <w:r w:rsidR="00266395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textos conexos</w:t>
      </w:r>
      <w:r w:rsidR="00266395" w:rsidRPr="0038186B">
        <w:rPr>
          <w:lang w:val="es-419"/>
        </w:rPr>
        <w:t>-</w:t>
      </w:r>
      <w:r w:rsidR="00344979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podría </w:t>
      </w:r>
      <w:r w:rsidR="00096835" w:rsidRPr="0038186B">
        <w:rPr>
          <w:lang w:val="es-419"/>
        </w:rPr>
        <w:t xml:space="preserve">tener </w:t>
      </w:r>
      <w:r w:rsidR="00FE53EF" w:rsidRPr="0038186B">
        <w:rPr>
          <w:lang w:val="es-419"/>
        </w:rPr>
        <w:t xml:space="preserve">el tipo de influencia que tiene </w:t>
      </w:r>
      <w:r w:rsidR="00096835" w:rsidRPr="0038186B">
        <w:rPr>
          <w:lang w:val="es-419"/>
        </w:rPr>
        <w:t xml:space="preserve">el “derecho indicativo” </w:t>
      </w:r>
      <w:r w:rsidR="00344979" w:rsidRPr="0038186B">
        <w:rPr>
          <w:lang w:val="es-419"/>
        </w:rPr>
        <w:t>en</w:t>
      </w:r>
      <w:r w:rsidR="00096835" w:rsidRPr="0038186B">
        <w:rPr>
          <w:lang w:val="es-419"/>
        </w:rPr>
        <w:t xml:space="preserve"> el ámbito </w:t>
      </w:r>
      <w:r w:rsidR="00344979" w:rsidRPr="0038186B">
        <w:rPr>
          <w:lang w:val="es-419"/>
        </w:rPr>
        <w:t>internacional, promoviendo la coherencia y la compatibilidad entre las l</w:t>
      </w:r>
      <w:r w:rsidR="00096835" w:rsidRPr="0038186B">
        <w:rPr>
          <w:lang w:val="es-419"/>
        </w:rPr>
        <w:t>eyes nacionales,</w:t>
      </w:r>
      <w:r w:rsidR="00344979" w:rsidRPr="0038186B">
        <w:rPr>
          <w:lang w:val="es-419"/>
        </w:rPr>
        <w:t xml:space="preserve"> y fortaleciendo la base común de la protección colectiva a escala internacional.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9B55F6" w:rsidRPr="0038186B">
              <w:rPr>
                <w:lang w:val="es-419"/>
              </w:rPr>
              <w:t xml:space="preserve"> </w:t>
            </w:r>
            <w:r w:rsidR="009B6627" w:rsidRPr="0038186B">
              <w:rPr>
                <w:lang w:val="es-419"/>
              </w:rPr>
              <w:t xml:space="preserve">Las diferentes versiones, alternativas y opciones incluidas en los proyectos de artículos sobre la protección de los CC.TT constituyen en gran medida una síntesis de las actuales medidas legislativas que </w:t>
            </w:r>
            <w:r w:rsidRPr="0038186B">
              <w:rPr>
                <w:lang w:val="es-419"/>
              </w:rPr>
              <w:t xml:space="preserve">los Estados miembros </w:t>
            </w:r>
            <w:r w:rsidR="009B6627" w:rsidRPr="0038186B">
              <w:rPr>
                <w:lang w:val="es-419"/>
              </w:rPr>
              <w:t xml:space="preserve">están preparando </w:t>
            </w:r>
            <w:r w:rsidRPr="0038186B">
              <w:rPr>
                <w:lang w:val="es-419"/>
              </w:rPr>
              <w:t xml:space="preserve">para proteger los aspectos de los </w:t>
            </w:r>
            <w:r w:rsidR="009B6627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mediante la </w:t>
            </w:r>
            <w:r w:rsidR="009B662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y los mecanismos que ésta ofrece: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documentos </w:t>
            </w:r>
            <w:r w:rsidR="00757DCE" w:rsidRPr="0038186B">
              <w:rPr>
                <w:lang w:val="es-419"/>
              </w:rPr>
              <w:t>contienen</w:t>
            </w:r>
            <w:r w:rsidRPr="0038186B">
              <w:rPr>
                <w:lang w:val="es-419"/>
              </w:rPr>
              <w:t xml:space="preserve"> amplias referencias </w:t>
            </w:r>
            <w:r w:rsidR="00757DCE" w:rsidRPr="0038186B">
              <w:rPr>
                <w:lang w:val="es-419"/>
              </w:rPr>
              <w:t xml:space="preserve">a las </w:t>
            </w:r>
            <w:r w:rsidRPr="0038186B">
              <w:rPr>
                <w:lang w:val="es-419"/>
              </w:rPr>
              <w:t>fuentes de la legislación de los Estados miembros.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el documento 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 xml:space="preserve">F/IC/9/INF/5 (protección de los </w:t>
            </w:r>
            <w:r w:rsidR="004C27AF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) se </w:t>
            </w:r>
            <w:r w:rsidR="00E33F73" w:rsidRPr="0038186B">
              <w:rPr>
                <w:lang w:val="es-419"/>
              </w:rPr>
              <w:t xml:space="preserve">analizan en detalle las </w:t>
            </w:r>
            <w:r w:rsidRPr="0038186B">
              <w:rPr>
                <w:lang w:val="es-419"/>
              </w:rPr>
              <w:t>manera</w:t>
            </w:r>
            <w:r w:rsidR="00E33F73" w:rsidRPr="0038186B">
              <w:rPr>
                <w:lang w:val="es-419"/>
              </w:rPr>
              <w:t>s</w:t>
            </w:r>
            <w:r w:rsidRPr="0038186B">
              <w:rPr>
                <w:lang w:val="es-419"/>
              </w:rPr>
              <w:t xml:space="preserve"> en que los Estados miembros han aplicado estos principios y objetivos.</w:t>
            </w:r>
            <w:r w:rsidR="001A60B0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 xml:space="preserve">Otros recursos elaborados </w:t>
            </w:r>
            <w:r w:rsidR="00757DCE" w:rsidRPr="0038186B">
              <w:rPr>
                <w:lang w:val="es-419"/>
              </w:rPr>
              <w:t>para</w:t>
            </w:r>
            <w:r w:rsidR="00E33F73" w:rsidRPr="0038186B">
              <w:rPr>
                <w:lang w:val="es-419"/>
              </w:rPr>
              <w:t xml:space="preserve"> el Comité son el Resumen comparativo de la legislación</w:t>
            </w:r>
            <w:r w:rsidR="008156A1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i/>
                <w:iCs/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para la protección de las expresiones culturales tradicionales (WIPO/GRTKF/IC/5/INF/3);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el Resumen comparativo de disposiciones jurídicas y leyes</w:t>
            </w:r>
            <w:r w:rsidR="00615952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lang w:val="es-419"/>
              </w:rPr>
              <w:t xml:space="preserve"> vigentes a escala nacional para la protección de los CC.TT. (WIPO/GRTKF/IC/5/INF/4);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y los cuestionarios sobre la protección de las ECT/el folclore y los CC.TT.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Informes nacionales </w:t>
            </w:r>
            <w:r w:rsidR="00B6079E" w:rsidRPr="0038186B">
              <w:rPr>
                <w:lang w:val="es-419"/>
              </w:rPr>
              <w:t xml:space="preserve">en virtud del </w:t>
            </w:r>
            <w:r w:rsidRPr="0038186B">
              <w:rPr>
                <w:lang w:val="es-419"/>
              </w:rPr>
              <w:t>CDB (</w:t>
            </w:r>
            <w:hyperlink r:id="rId15" w:history="1">
              <w:r w:rsidR="000C7D07" w:rsidRPr="0038186B">
                <w:rPr>
                  <w:rStyle w:val="Hyperlink"/>
                  <w:lang w:val="es-419"/>
                </w:rPr>
                <w:t>http://www.biodiv.org/reports/list.aspx</w:t>
              </w:r>
            </w:hyperlink>
            <w:r w:rsidRPr="0038186B">
              <w:rPr>
                <w:lang w:val="es-419"/>
              </w:rPr>
              <w:t>);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Legislación y directrices relativas a la ética, Observatorio Mundial de la Ética, UNESCO.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Estudio sobre las prácticas relativas a las invenciones biotecnológicas (WIPO/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>F/IC/1/6).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5" w:name="_Toc116899041"/>
      <w:r w:rsidRPr="0038186B">
        <w:rPr>
          <w:i/>
          <w:u w:val="none"/>
          <w:lang w:val="es-419"/>
        </w:rPr>
        <w:t>vii)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Coordinación y cooperación </w:t>
      </w:r>
      <w:r w:rsidR="009C2C2B" w:rsidRPr="0038186B">
        <w:rPr>
          <w:i/>
          <w:u w:val="none"/>
          <w:lang w:val="es-419"/>
        </w:rPr>
        <w:t xml:space="preserve">en materia de creación de capacidad e </w:t>
      </w:r>
      <w:r w:rsidRPr="0038186B">
        <w:rPr>
          <w:i/>
          <w:u w:val="none"/>
          <w:lang w:val="es-419"/>
        </w:rPr>
        <w:t>iniciativas prácticas.</w:t>
      </w:r>
      <w:bookmarkEnd w:id="6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C2C2B" w:rsidRPr="0038186B">
        <w:rPr>
          <w:lang w:val="es-419"/>
        </w:rPr>
        <w:t xml:space="preserve">Se ha pedido que el análisis de carencias abarque el examen de las </w:t>
      </w:r>
      <w:r w:rsidR="00344979" w:rsidRPr="0038186B">
        <w:rPr>
          <w:lang w:val="es-419"/>
        </w:rPr>
        <w:t>“opciones jurídicas y de otra índole”.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Para que la protección </w:t>
      </w:r>
      <w:r w:rsidR="00344979" w:rsidRPr="0038186B">
        <w:rPr>
          <w:lang w:val="es-419"/>
        </w:rPr>
        <w:t xml:space="preserve">de los </w:t>
      </w:r>
      <w:r w:rsidR="009C2C2B" w:rsidRPr="0038186B">
        <w:rPr>
          <w:lang w:val="es-419"/>
        </w:rPr>
        <w:t>CC.TT.</w:t>
      </w:r>
      <w:r w:rsidR="005A7E68" w:rsidRPr="0038186B">
        <w:rPr>
          <w:lang w:val="es-419"/>
        </w:rPr>
        <w:t xml:space="preserve"> sea efectiva es preciso adoptar una serie de m</w:t>
      </w:r>
      <w:r w:rsidR="00344979" w:rsidRPr="0038186B">
        <w:rPr>
          <w:lang w:val="es-419"/>
        </w:rPr>
        <w:t xml:space="preserve">edidas prácticas y de creación de capacidad </w:t>
      </w:r>
      <w:r w:rsidR="005A7E68" w:rsidRPr="0038186B">
        <w:rPr>
          <w:lang w:val="es-419"/>
        </w:rPr>
        <w:t xml:space="preserve">destinadas a aplicar o </w:t>
      </w:r>
      <w:r w:rsidR="00344979" w:rsidRPr="0038186B">
        <w:rPr>
          <w:lang w:val="es-419"/>
        </w:rPr>
        <w:t xml:space="preserve">complementar las medidas jurídicas, </w:t>
      </w:r>
      <w:r w:rsidR="005A7E68" w:rsidRPr="0038186B">
        <w:rPr>
          <w:lang w:val="es-419"/>
        </w:rPr>
        <w:t xml:space="preserve">por lo que el </w:t>
      </w:r>
      <w:r w:rsidR="00344979" w:rsidRPr="0038186B">
        <w:rPr>
          <w:lang w:val="es-419"/>
        </w:rPr>
        <w:t xml:space="preserve">análisis de carencias </w:t>
      </w:r>
      <w:r w:rsidR="005A7E68" w:rsidRPr="0038186B">
        <w:rPr>
          <w:lang w:val="es-419"/>
        </w:rPr>
        <w:t xml:space="preserve">tendría que incluir, para ser </w:t>
      </w:r>
      <w:r w:rsidR="00344979" w:rsidRPr="0038186B">
        <w:rPr>
          <w:lang w:val="es-419"/>
        </w:rPr>
        <w:t>completo</w:t>
      </w:r>
      <w:r w:rsidR="005A7E68" w:rsidRPr="0038186B">
        <w:rPr>
          <w:lang w:val="es-419"/>
        </w:rPr>
        <w:t xml:space="preserve">, las </w:t>
      </w:r>
      <w:r w:rsidR="00344979" w:rsidRPr="0038186B">
        <w:rPr>
          <w:lang w:val="es-419"/>
        </w:rPr>
        <w:t xml:space="preserve">medidas internacionales </w:t>
      </w:r>
      <w:r w:rsidR="005A7E68" w:rsidRPr="0038186B">
        <w:rPr>
          <w:lang w:val="es-419"/>
        </w:rPr>
        <w:t>que podría ser necesario adoptar para</w:t>
      </w:r>
      <w:r w:rsidR="00344979" w:rsidRPr="0038186B">
        <w:rPr>
          <w:lang w:val="es-419"/>
        </w:rPr>
        <w:t xml:space="preserve"> coordinar, coope</w:t>
      </w:r>
      <w:r w:rsidR="005A7E68" w:rsidRPr="0038186B">
        <w:rPr>
          <w:lang w:val="es-419"/>
        </w:rPr>
        <w:t>rar y aplicar en la práctica es</w:t>
      </w:r>
      <w:r w:rsidR="00344979" w:rsidRPr="0038186B">
        <w:rPr>
          <w:lang w:val="es-419"/>
        </w:rPr>
        <w:t>as medidas prácticas y de creación de capacidad.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Dichas medidas podrían </w:t>
      </w:r>
      <w:r w:rsidR="00F57885" w:rsidRPr="0038186B">
        <w:rPr>
          <w:lang w:val="es-419"/>
        </w:rPr>
        <w:t xml:space="preserve">clasificarse en las </w:t>
      </w:r>
      <w:r w:rsidR="00344979" w:rsidRPr="0038186B">
        <w:rPr>
          <w:lang w:val="es-419"/>
        </w:rPr>
        <w:t>categorías siguientes: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 xml:space="preserve">Creación de capacidad y material sustantivo para los procesos jurídicos y </w:t>
      </w:r>
      <w:r w:rsidR="00F57885" w:rsidRPr="0038186B">
        <w:rPr>
          <w:lang w:val="es-419"/>
        </w:rPr>
        <w:t>normativos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57885" w:rsidRPr="0038186B">
        <w:rPr>
          <w:lang w:val="es-419"/>
        </w:rPr>
        <w:t>Se ha seguido trabajando en la elaboración de</w:t>
      </w:r>
      <w:r w:rsidR="00344979" w:rsidRPr="0038186B">
        <w:rPr>
          <w:lang w:val="es-419"/>
        </w:rPr>
        <w:t xml:space="preserve"> material de apoyo </w:t>
      </w:r>
      <w:r w:rsidR="00F57885" w:rsidRPr="0038186B">
        <w:rPr>
          <w:lang w:val="es-419"/>
        </w:rPr>
        <w:t>destinado a</w:t>
      </w:r>
      <w:r w:rsidR="001A60B0" w:rsidRPr="0038186B">
        <w:rPr>
          <w:lang w:val="es-419"/>
        </w:rPr>
        <w:t xml:space="preserve"> </w:t>
      </w:r>
      <w:r w:rsidR="00F57885" w:rsidRPr="0038186B">
        <w:rPr>
          <w:lang w:val="es-419"/>
        </w:rPr>
        <w:t>los encargados de la formulación de políticas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negociadores y legisladores que </w:t>
      </w:r>
      <w:r w:rsidR="00F57885" w:rsidRPr="0038186B">
        <w:rPr>
          <w:lang w:val="es-419"/>
        </w:rPr>
        <w:t xml:space="preserve">buscan solucionar las deficiencias </w:t>
      </w:r>
      <w:r w:rsidR="00344979" w:rsidRPr="0038186B">
        <w:rPr>
          <w:lang w:val="es-419"/>
        </w:rPr>
        <w:t>encontradas</w:t>
      </w:r>
      <w:r w:rsidR="00F57885" w:rsidRPr="0038186B">
        <w:rPr>
          <w:lang w:val="es-419"/>
        </w:rPr>
        <w:t>. Ese material abarca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>entre otras cosas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Los r</w:t>
      </w:r>
      <w:r w:rsidR="00344979" w:rsidRPr="0038186B">
        <w:rPr>
          <w:lang w:val="es-419"/>
        </w:rPr>
        <w:t xml:space="preserve">ecursos para la elaboración de leyes y políticas, en particular disposiciones tipo, bases de datos de leyes e instrumentos </w:t>
      </w:r>
      <w:r w:rsidR="002469FB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</w:t>
      </w:r>
      <w:r w:rsidR="002469FB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y análisis de opciones </w:t>
      </w:r>
      <w:r w:rsidR="002469FB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y mecanismos jurídicos, con el fin de </w:t>
      </w:r>
      <w:r w:rsidR="002469FB" w:rsidRPr="0038186B">
        <w:rPr>
          <w:lang w:val="es-419"/>
        </w:rPr>
        <w:t xml:space="preserve">contribuir con apoyo y asistencia a los </w:t>
      </w:r>
      <w:r w:rsidR="00344979" w:rsidRPr="0038186B">
        <w:rPr>
          <w:lang w:val="es-419"/>
        </w:rPr>
        <w:t>procesos legislativo</w:t>
      </w:r>
      <w:r w:rsidRPr="0038186B">
        <w:rPr>
          <w:lang w:val="es-419"/>
        </w:rPr>
        <w:t>s y de formulación de políticas;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a</w:t>
      </w:r>
      <w:r w:rsidR="00344979" w:rsidRPr="0038186B">
        <w:rPr>
          <w:lang w:val="es-419"/>
        </w:rPr>
        <w:t xml:space="preserve">nálisis de cuestiones jurídicas, como </w:t>
      </w:r>
      <w:r w:rsidR="00FE53EF" w:rsidRPr="0038186B">
        <w:rPr>
          <w:lang w:val="es-419"/>
        </w:rPr>
        <w:t xml:space="preserve">las normas y </w:t>
      </w:r>
      <w:r w:rsidR="002469FB" w:rsidRPr="0038186B">
        <w:rPr>
          <w:lang w:val="es-419"/>
        </w:rPr>
        <w:t xml:space="preserve">la práctica </w:t>
      </w:r>
      <w:r w:rsidR="0034679B" w:rsidRPr="0038186B">
        <w:rPr>
          <w:lang w:val="es-419"/>
        </w:rPr>
        <w:t>en materia de P</w:t>
      </w:r>
      <w:r w:rsidR="002469FB" w:rsidRPr="0038186B">
        <w:rPr>
          <w:lang w:val="es-419"/>
        </w:rPr>
        <w:t>I</w:t>
      </w:r>
      <w:r w:rsidR="00344979" w:rsidRPr="0038186B">
        <w:rPr>
          <w:lang w:val="es-419"/>
        </w:rPr>
        <w:t xml:space="preserve"> que in</w:t>
      </w:r>
      <w:r w:rsidR="002469FB" w:rsidRPr="0038186B">
        <w:rPr>
          <w:lang w:val="es-419"/>
        </w:rPr>
        <w:t>cide</w:t>
      </w:r>
      <w:r w:rsidR="0034679B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en la protección de los </w:t>
      </w:r>
      <w:r w:rsidR="002469F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el reconocimiento de</w:t>
      </w:r>
      <w:r w:rsidR="002469FB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consuetudinari</w:t>
      </w:r>
      <w:r w:rsidR="002469FB" w:rsidRPr="0038186B">
        <w:rPr>
          <w:lang w:val="es-419"/>
        </w:rPr>
        <w:t>o</w:t>
      </w:r>
      <w:r w:rsidRPr="0038186B">
        <w:rPr>
          <w:lang w:val="es-419"/>
        </w:rPr>
        <w:t>, con el fin de ofrecer</w:t>
      </w:r>
      <w:r w:rsidR="00344979" w:rsidRPr="0038186B">
        <w:rPr>
          <w:lang w:val="es-419"/>
        </w:rPr>
        <w:t xml:space="preserve"> información de referencia a </w:t>
      </w:r>
      <w:r w:rsidRPr="0038186B">
        <w:rPr>
          <w:lang w:val="es-419"/>
        </w:rPr>
        <w:t>los legisladores y responsables de formulación de políticas;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679B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examen</w:t>
      </w:r>
      <w:r w:rsidR="00E33F73" w:rsidRPr="0038186B">
        <w:rPr>
          <w:lang w:val="es-419"/>
        </w:rPr>
        <w:t xml:space="preserve"> de los métodos que podrían ser adecuados para la consulta de las comunidades durante el proceso de elaboración de opciones, políticas y legislación.</w:t>
      </w:r>
    </w:p>
    <w:p w:rsidR="00DF5574" w:rsidRPr="0038186B" w:rsidRDefault="00344979" w:rsidP="00880F45">
      <w:pPr>
        <w:pStyle w:val="Heading4"/>
        <w:rPr>
          <w:lang w:val="es-419"/>
        </w:rPr>
      </w:pPr>
      <w:r w:rsidRPr="0038186B">
        <w:rPr>
          <w:lang w:val="es-419"/>
        </w:rPr>
        <w:t xml:space="preserve">Fortalecimiento de la capacidad práctica de los titulares de </w:t>
      </w:r>
      <w:r w:rsidR="00E61610" w:rsidRPr="0038186B">
        <w:rPr>
          <w:lang w:val="es-419"/>
        </w:rPr>
        <w:t>CC.TT.</w:t>
      </w:r>
    </w:p>
    <w:p w:rsidR="00DF5574" w:rsidRPr="0038186B" w:rsidRDefault="00DF5574" w:rsidP="00880F4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61610" w:rsidRPr="0038186B">
        <w:rPr>
          <w:lang w:val="es-419"/>
        </w:rPr>
        <w:t xml:space="preserve">Teniendo en cuenta </w:t>
      </w:r>
      <w:r w:rsidR="00344979" w:rsidRPr="0038186B">
        <w:rPr>
          <w:lang w:val="es-419"/>
        </w:rPr>
        <w:t xml:space="preserve">la observación general de que ningún instrumento jurídico ni conjunto de normas legales, </w:t>
      </w:r>
      <w:r w:rsidR="002B2434" w:rsidRPr="0038186B">
        <w:rPr>
          <w:lang w:val="es-419"/>
        </w:rPr>
        <w:t>vigentes</w:t>
      </w:r>
      <w:r w:rsidR="00344979" w:rsidRPr="0038186B">
        <w:rPr>
          <w:lang w:val="es-419"/>
        </w:rPr>
        <w:t xml:space="preserve"> o previstos, </w:t>
      </w:r>
      <w:r w:rsidR="002B2434" w:rsidRPr="0038186B">
        <w:rPr>
          <w:lang w:val="es-419"/>
        </w:rPr>
        <w:t>podrá</w:t>
      </w:r>
      <w:r w:rsidR="00344979" w:rsidRPr="0038186B">
        <w:rPr>
          <w:lang w:val="es-419"/>
        </w:rPr>
        <w:t xml:space="preserve"> satisfacer las necesidades de los titulares de </w:t>
      </w:r>
      <w:r w:rsidR="002B2434" w:rsidRPr="0038186B">
        <w:rPr>
          <w:lang w:val="es-419"/>
        </w:rPr>
        <w:t xml:space="preserve">los </w:t>
      </w:r>
      <w:r w:rsidR="00E61610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E61610" w:rsidRPr="0038186B">
        <w:rPr>
          <w:lang w:val="es-419"/>
        </w:rPr>
        <w:t xml:space="preserve">a menos que se pongan a </w:t>
      </w:r>
      <w:r w:rsidR="002B2434" w:rsidRPr="0038186B">
        <w:rPr>
          <w:lang w:val="es-419"/>
        </w:rPr>
        <w:t xml:space="preserve">su disposición </w:t>
      </w:r>
      <w:r w:rsidR="00344979" w:rsidRPr="0038186B">
        <w:rPr>
          <w:lang w:val="es-419"/>
        </w:rPr>
        <w:t xml:space="preserve">los recursos y </w:t>
      </w:r>
      <w:r w:rsidR="002B2434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capacidad necesarios para asegurar que los princip</w:t>
      </w:r>
      <w:r w:rsidR="00585280" w:rsidRPr="0038186B">
        <w:rPr>
          <w:lang w:val="es-419"/>
        </w:rPr>
        <w:t xml:space="preserve">ios se aplican en la práctica, se ha decidido seguir adelante en la </w:t>
      </w:r>
      <w:r w:rsidR="00344979" w:rsidRPr="0038186B">
        <w:rPr>
          <w:lang w:val="es-419"/>
        </w:rPr>
        <w:t xml:space="preserve">elaboración de material de apoyo </w:t>
      </w:r>
      <w:r w:rsidR="002B2434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titulares de </w:t>
      </w:r>
      <w:r w:rsidR="00585280" w:rsidRPr="0038186B">
        <w:rPr>
          <w:lang w:val="es-419"/>
        </w:rPr>
        <w:t>CC.TT.</w:t>
      </w:r>
      <w:r w:rsidR="00344979" w:rsidRPr="0038186B">
        <w:rPr>
          <w:lang w:val="es-419"/>
        </w:rPr>
        <w:t>, en particular: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 y bases de datos de protocolos, licencias y acuerdos comunitarios para acceder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, con vistas a reforzar la capacidad de los titulares de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para crear protocolos, licencias u otros acuerdos que rijan el acceso a sus </w:t>
      </w:r>
      <w:r w:rsidR="00585280" w:rsidRPr="0038186B">
        <w:rPr>
          <w:lang w:val="es-419"/>
        </w:rPr>
        <w:t>CC.TT.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33F73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Prestar el apoyo necesario a las </w:t>
      </w:r>
      <w:r w:rsidR="001C5882" w:rsidRPr="0038186B">
        <w:rPr>
          <w:lang w:val="es-419"/>
        </w:rPr>
        <w:t>comunidades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que puedan </w:t>
      </w:r>
      <w:r w:rsidR="00361848" w:rsidRPr="0038186B">
        <w:rPr>
          <w:lang w:val="es-419"/>
        </w:rPr>
        <w:t>determinar y promover sus intereses durante el proceso de catalogación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6BE2" w:rsidRPr="0038186B">
        <w:rPr>
          <w:lang w:val="es-419"/>
        </w:rPr>
        <w:t>;</w:t>
      </w:r>
      <w:r w:rsidR="00FD5438" w:rsidRPr="0038186B">
        <w:rPr>
          <w:rStyle w:val="FootnoteReference"/>
          <w:lang w:val="es-419"/>
        </w:rPr>
        <w:footnoteReference w:id="41"/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Modelos, bases de datos y directrices sobre la participación equitativa en los beneficios para el acceso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y los recursos genéticos conexos.</w:t>
      </w:r>
      <w:r w:rsidR="00585280" w:rsidRPr="0038186B">
        <w:rPr>
          <w:rStyle w:val="FootnoteReference"/>
          <w:lang w:val="es-419"/>
        </w:rPr>
        <w:footnoteReference w:id="42"/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>Material de sensibilización, casos prácticos y análisis jurídicos sobre cuestiones como el reconocimiento de</w:t>
      </w:r>
      <w:r w:rsidR="00F947FD" w:rsidRPr="0038186B">
        <w:rPr>
          <w:lang w:val="es-419"/>
        </w:rPr>
        <w:t>l derecho</w:t>
      </w:r>
      <w:r w:rsidRPr="0038186B">
        <w:rPr>
          <w:lang w:val="es-419"/>
        </w:rPr>
        <w:t xml:space="preserve"> consuetudinari</w:t>
      </w:r>
      <w:r w:rsidR="00F947FD" w:rsidRPr="0038186B">
        <w:rPr>
          <w:lang w:val="es-419"/>
        </w:rPr>
        <w:t>o adaptado a las</w:t>
      </w:r>
      <w:r w:rsidRPr="0038186B">
        <w:rPr>
          <w:lang w:val="es-419"/>
        </w:rPr>
        <w:t xml:space="preserve"> necesidades de las comunidades titulares de </w:t>
      </w:r>
      <w:r w:rsidR="00F947FD" w:rsidRPr="0038186B">
        <w:rPr>
          <w:lang w:val="es-419"/>
        </w:rPr>
        <w:t>CC.TT.</w:t>
      </w:r>
    </w:p>
    <w:p w:rsidR="00DF5574" w:rsidRPr="0038186B" w:rsidRDefault="00344979" w:rsidP="00130037">
      <w:pPr>
        <w:pStyle w:val="Heading4"/>
        <w:rPr>
          <w:lang w:val="es-419"/>
        </w:rPr>
      </w:pPr>
      <w:r w:rsidRPr="0038186B">
        <w:rPr>
          <w:lang w:val="es-419"/>
        </w:rPr>
        <w:t>Fortalecimiento y orientación de las instituciones</w:t>
      </w:r>
    </w:p>
    <w:p w:rsidR="00DF5574" w:rsidRPr="0038186B" w:rsidRDefault="00DF5574" w:rsidP="00130037">
      <w:pPr>
        <w:keepNext/>
        <w:rPr>
          <w:lang w:val="es-419"/>
        </w:rPr>
      </w:pPr>
    </w:p>
    <w:p w:rsidR="00DF5574" w:rsidRPr="0038186B" w:rsidRDefault="00FD6EEF" w:rsidP="00130037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411CF" w:rsidRPr="0038186B">
        <w:rPr>
          <w:lang w:val="es-419"/>
        </w:rPr>
        <w:t>A menudo</w:t>
      </w:r>
      <w:r w:rsidR="00361848" w:rsidRPr="0038186B">
        <w:rPr>
          <w:lang w:val="es-419"/>
        </w:rPr>
        <w:t xml:space="preserve"> se </w:t>
      </w:r>
      <w:r w:rsidR="009411CF" w:rsidRPr="0038186B">
        <w:rPr>
          <w:lang w:val="es-419"/>
        </w:rPr>
        <w:t>insta</w:t>
      </w:r>
      <w:r w:rsidR="00361848" w:rsidRPr="0038186B">
        <w:rPr>
          <w:lang w:val="es-419"/>
        </w:rPr>
        <w:t xml:space="preserve"> a las instituciones </w:t>
      </w:r>
      <w:r w:rsidR="002342A4" w:rsidRPr="0038186B">
        <w:rPr>
          <w:lang w:val="es-419"/>
        </w:rPr>
        <w:t xml:space="preserve">nacionales, </w:t>
      </w:r>
      <w:r w:rsidR="009411CF" w:rsidRPr="0038186B">
        <w:rPr>
          <w:lang w:val="es-419"/>
        </w:rPr>
        <w:t>científicas</w:t>
      </w:r>
      <w:r w:rsidR="00361848" w:rsidRPr="0038186B">
        <w:rPr>
          <w:lang w:val="es-419"/>
        </w:rPr>
        <w:t xml:space="preserve"> y educativas, </w:t>
      </w:r>
      <w:r w:rsidR="002342A4" w:rsidRPr="0038186B">
        <w:rPr>
          <w:lang w:val="es-419"/>
        </w:rPr>
        <w:t>y</w:t>
      </w:r>
      <w:r w:rsidR="00361848" w:rsidRPr="0038186B">
        <w:rPr>
          <w:lang w:val="es-419"/>
        </w:rPr>
        <w:t xml:space="preserve"> a otras administraciones</w:t>
      </w:r>
      <w:r w:rsidR="002342A4" w:rsidRPr="0038186B">
        <w:rPr>
          <w:lang w:val="es-419"/>
        </w:rPr>
        <w:t>,</w:t>
      </w:r>
      <w:r w:rsidR="00361848" w:rsidRPr="0038186B">
        <w:rPr>
          <w:lang w:val="es-419"/>
        </w:rPr>
        <w:t xml:space="preserve"> como las oficinas d</w:t>
      </w:r>
      <w:r w:rsidR="009411CF" w:rsidRPr="0038186B">
        <w:rPr>
          <w:lang w:val="es-419"/>
        </w:rPr>
        <w:t>e patente</w:t>
      </w:r>
      <w:r w:rsidR="002342A4" w:rsidRPr="0038186B">
        <w:rPr>
          <w:lang w:val="es-419"/>
        </w:rPr>
        <w:t>,</w:t>
      </w:r>
      <w:r w:rsidR="009411CF" w:rsidRPr="0038186B">
        <w:rPr>
          <w:lang w:val="es-419"/>
        </w:rPr>
        <w:t xml:space="preserve"> a que desempeñen un papel </w:t>
      </w:r>
      <w:r w:rsidR="002342A4" w:rsidRPr="0038186B">
        <w:rPr>
          <w:lang w:val="es-419"/>
        </w:rPr>
        <w:t xml:space="preserve">más activo con </w:t>
      </w:r>
      <w:r w:rsidR="0073617C" w:rsidRPr="0038186B">
        <w:rPr>
          <w:lang w:val="es-419"/>
        </w:rPr>
        <w:t xml:space="preserve">respecto a la solución de las </w:t>
      </w:r>
      <w:r w:rsidR="001C5882" w:rsidRPr="0038186B">
        <w:rPr>
          <w:lang w:val="es-419"/>
        </w:rPr>
        <w:t xml:space="preserve">carencias </w:t>
      </w:r>
      <w:r w:rsidR="009411CF" w:rsidRPr="0038186B">
        <w:rPr>
          <w:lang w:val="es-419"/>
        </w:rPr>
        <w:t xml:space="preserve">prácticas </w:t>
      </w:r>
      <w:r w:rsidR="0073617C" w:rsidRPr="0038186B">
        <w:rPr>
          <w:lang w:val="es-419"/>
        </w:rPr>
        <w:t xml:space="preserve">en </w:t>
      </w:r>
      <w:r w:rsidR="002342A4" w:rsidRPr="0038186B">
        <w:rPr>
          <w:lang w:val="es-419"/>
        </w:rPr>
        <w:t>la</w:t>
      </w:r>
      <w:r w:rsidR="009411CF" w:rsidRPr="0038186B">
        <w:rPr>
          <w:lang w:val="es-419"/>
        </w:rPr>
        <w:t xml:space="preserve"> </w:t>
      </w:r>
      <w:r w:rsidR="001C5882" w:rsidRPr="0038186B">
        <w:rPr>
          <w:lang w:val="es-419"/>
        </w:rPr>
        <w:t>protección de los CC.TT.</w:t>
      </w:r>
      <w:r w:rsidRPr="0038186B">
        <w:rPr>
          <w:lang w:val="es-419"/>
        </w:rPr>
        <w:t xml:space="preserve"> </w:t>
      </w:r>
      <w:r w:rsidR="0073617C" w:rsidRPr="0038186B">
        <w:rPr>
          <w:lang w:val="es-419"/>
        </w:rPr>
        <w:t>a favor de los</w:t>
      </w:r>
      <w:r w:rsidR="009411CF" w:rsidRPr="0038186B">
        <w:rPr>
          <w:lang w:val="es-419"/>
        </w:rPr>
        <w:t xml:space="preserve"> titulares de los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2342A4" w:rsidRPr="0038186B">
        <w:rPr>
          <w:lang w:val="es-419"/>
        </w:rPr>
        <w:t xml:space="preserve">Así pues, </w:t>
      </w:r>
      <w:r w:rsidR="009411CF" w:rsidRPr="0038186B">
        <w:rPr>
          <w:lang w:val="es-419"/>
        </w:rPr>
        <w:t xml:space="preserve">se ha </w:t>
      </w:r>
      <w:r w:rsidR="0073617C" w:rsidRPr="0038186B">
        <w:rPr>
          <w:lang w:val="es-419"/>
        </w:rPr>
        <w:t xml:space="preserve">proseguido la labor de </w:t>
      </w:r>
      <w:r w:rsidR="009411CF" w:rsidRPr="0038186B">
        <w:rPr>
          <w:lang w:val="es-419"/>
        </w:rPr>
        <w:t xml:space="preserve">elaboración de materiales prácticos destinados a </w:t>
      </w:r>
      <w:r w:rsidR="00A66599" w:rsidRPr="0038186B">
        <w:rPr>
          <w:lang w:val="es-419"/>
        </w:rPr>
        <w:t>esas</w:t>
      </w:r>
      <w:r w:rsidR="009411CF" w:rsidRPr="0038186B">
        <w:rPr>
          <w:lang w:val="es-419"/>
        </w:rPr>
        <w:t xml:space="preserve"> instituciones y administraciones, en particular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Protocolos tipo, políticas recomendadas y directrices sobre </w:t>
      </w:r>
      <w:r w:rsidR="00FA0E7F" w:rsidRPr="0038186B">
        <w:rPr>
          <w:lang w:val="es-419"/>
        </w:rPr>
        <w:t xml:space="preserve">mejores </w:t>
      </w:r>
      <w:r w:rsidRPr="0038186B">
        <w:rPr>
          <w:lang w:val="es-419"/>
        </w:rPr>
        <w:t xml:space="preserve">prácticas </w:t>
      </w:r>
      <w:r w:rsidR="00FA0E7F" w:rsidRPr="0038186B">
        <w:rPr>
          <w:lang w:val="es-419"/>
        </w:rPr>
        <w:t xml:space="preserve">destinados a las </w:t>
      </w:r>
      <w:r w:rsidRPr="0038186B">
        <w:rPr>
          <w:lang w:val="es-419"/>
        </w:rPr>
        <w:t xml:space="preserve">instituciones </w:t>
      </w:r>
      <w:r w:rsidR="00FA0E7F" w:rsidRPr="0038186B">
        <w:rPr>
          <w:lang w:val="es-419"/>
        </w:rPr>
        <w:t>encargadas de recolectar o mantener c</w:t>
      </w:r>
      <w:r w:rsidRPr="0038186B">
        <w:rPr>
          <w:lang w:val="es-419"/>
        </w:rPr>
        <w:t xml:space="preserve">olecciones de </w:t>
      </w:r>
      <w:r w:rsidR="00FA0E7F" w:rsidRPr="0038186B">
        <w:rPr>
          <w:lang w:val="es-419"/>
        </w:rPr>
        <w:t>CC.TT.</w:t>
      </w:r>
      <w:r w:rsidRPr="0038186B">
        <w:rPr>
          <w:lang w:val="es-419"/>
        </w:rPr>
        <w:t xml:space="preserve">, como </w:t>
      </w:r>
      <w:r w:rsidR="00FA0E7F" w:rsidRPr="0038186B">
        <w:rPr>
          <w:lang w:val="es-419"/>
        </w:rPr>
        <w:t xml:space="preserve">los </w:t>
      </w:r>
      <w:r w:rsidRPr="0038186B">
        <w:rPr>
          <w:lang w:val="es-419"/>
        </w:rPr>
        <w:t xml:space="preserve">museos,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instituciones etnográficas,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autoridades nacionales </w:t>
      </w:r>
      <w:r w:rsidR="00FA0E7F" w:rsidRPr="0038186B">
        <w:rPr>
          <w:lang w:val="es-419"/>
        </w:rPr>
        <w:t xml:space="preserve">y </w:t>
      </w:r>
      <w:r w:rsidR="00A66599" w:rsidRPr="0038186B">
        <w:rPr>
          <w:lang w:val="es-419"/>
        </w:rPr>
        <w:t>los centros de enseñanza y de in</w:t>
      </w:r>
      <w:r w:rsidR="001510F3" w:rsidRPr="0038186B">
        <w:rPr>
          <w:lang w:val="es-419"/>
        </w:rPr>
        <w:t>vestigación;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>Directrices y recomendaciones para el examen de patentes relativa</w:t>
      </w:r>
      <w:r w:rsidR="001510F3" w:rsidRPr="0038186B">
        <w:rPr>
          <w:lang w:val="es-419"/>
        </w:rPr>
        <w:t>s a conocimientos tradicionales;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Orientaciones sobre medidas destinadas a </w:t>
      </w:r>
      <w:r w:rsidR="00A66599" w:rsidRPr="0038186B">
        <w:rPr>
          <w:lang w:val="es-419"/>
        </w:rPr>
        <w:t xml:space="preserve">lograr </w:t>
      </w:r>
      <w:r w:rsidRPr="0038186B">
        <w:rPr>
          <w:lang w:val="es-419"/>
        </w:rPr>
        <w:t xml:space="preserve">que las comunidades </w:t>
      </w:r>
      <w:r w:rsidR="00A66599" w:rsidRPr="0038186B">
        <w:rPr>
          <w:lang w:val="es-419"/>
        </w:rPr>
        <w:t>puedan definir</w:t>
      </w:r>
      <w:r w:rsidRPr="0038186B">
        <w:rPr>
          <w:lang w:val="es-419"/>
        </w:rPr>
        <w:t xml:space="preserve"> y promover sus intereses durante el proceso de </w:t>
      </w:r>
      <w:r w:rsidR="00A66599" w:rsidRPr="0038186B">
        <w:rPr>
          <w:lang w:val="es-419"/>
        </w:rPr>
        <w:t>catalogac</w:t>
      </w:r>
      <w:r w:rsidRPr="0038186B">
        <w:rPr>
          <w:lang w:val="es-419"/>
        </w:rPr>
        <w:t xml:space="preserve">ión de los </w:t>
      </w:r>
      <w:r w:rsidR="00A66599" w:rsidRPr="0038186B">
        <w:rPr>
          <w:lang w:val="es-419"/>
        </w:rPr>
        <w:t>CC.TT.,</w:t>
      </w:r>
      <w:r w:rsidRPr="0038186B">
        <w:rPr>
          <w:lang w:val="es-419"/>
        </w:rPr>
        <w:t xml:space="preserve"> </w:t>
      </w:r>
      <w:r w:rsidR="00A66599" w:rsidRPr="0038186B">
        <w:rPr>
          <w:lang w:val="es-419"/>
        </w:rPr>
        <w:t xml:space="preserve">que podrían </w:t>
      </w:r>
      <w:r w:rsidR="003178DD" w:rsidRPr="0038186B">
        <w:rPr>
          <w:lang w:val="es-419"/>
        </w:rPr>
        <w:t xml:space="preserve">tomar la forma de </w:t>
      </w:r>
      <w:r w:rsidR="0072534F" w:rsidRPr="0038186B">
        <w:rPr>
          <w:lang w:val="es-419"/>
        </w:rPr>
        <w:t xml:space="preserve">proyecto de </w:t>
      </w:r>
      <w:r w:rsidR="003178DD" w:rsidRPr="0038186B">
        <w:rPr>
          <w:lang w:val="es-419"/>
        </w:rPr>
        <w:t xml:space="preserve">la </w:t>
      </w:r>
      <w:r w:rsidR="0072534F" w:rsidRPr="0038186B">
        <w:rPr>
          <w:lang w:val="es-419"/>
        </w:rPr>
        <w:t>guía de catalogación de los conocimientos tradicionales</w:t>
      </w:r>
      <w:r w:rsidR="001510F3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Normas para la </w:t>
      </w:r>
      <w:r w:rsidR="003178DD" w:rsidRPr="0038186B">
        <w:rPr>
          <w:lang w:val="es-419"/>
        </w:rPr>
        <w:t>cataloga</w:t>
      </w:r>
      <w:r w:rsidRPr="0038186B">
        <w:rPr>
          <w:lang w:val="es-419"/>
        </w:rPr>
        <w:t xml:space="preserve">ción de </w:t>
      </w:r>
      <w:r w:rsidR="003178DD" w:rsidRPr="0038186B">
        <w:rPr>
          <w:lang w:val="es-419"/>
        </w:rPr>
        <w:t>los CC.TT.</w:t>
      </w:r>
      <w:r w:rsidRPr="0038186B">
        <w:rPr>
          <w:lang w:val="es-419"/>
        </w:rPr>
        <w:t xml:space="preserve">, </w:t>
      </w:r>
      <w:r w:rsidR="001510F3" w:rsidRPr="0038186B">
        <w:rPr>
          <w:lang w:val="es-419"/>
        </w:rPr>
        <w:t xml:space="preserve">con inclusión de </w:t>
      </w:r>
      <w:r w:rsidRPr="0038186B">
        <w:rPr>
          <w:lang w:val="es-419"/>
        </w:rPr>
        <w:t xml:space="preserve">medidas </w:t>
      </w:r>
      <w:r w:rsidR="003178DD" w:rsidRPr="0038186B">
        <w:rPr>
          <w:lang w:val="es-419"/>
        </w:rPr>
        <w:t xml:space="preserve">para garantizar que </w:t>
      </w:r>
      <w:r w:rsidRPr="0038186B">
        <w:rPr>
          <w:lang w:val="es-419"/>
        </w:rPr>
        <w:t>la identidad y l</w:t>
      </w:r>
      <w:r w:rsidR="003178DD" w:rsidRPr="0038186B">
        <w:rPr>
          <w:lang w:val="es-419"/>
        </w:rPr>
        <w:t>as necesidades</w:t>
      </w:r>
      <w:r w:rsidRPr="0038186B">
        <w:rPr>
          <w:lang w:val="es-419"/>
        </w:rPr>
        <w:t xml:space="preserve"> de los titulares de los </w:t>
      </w:r>
      <w:r w:rsidR="003178DD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3178DD" w:rsidRPr="0038186B">
        <w:rPr>
          <w:lang w:val="es-419"/>
        </w:rPr>
        <w:t>se catalog</w:t>
      </w:r>
      <w:r w:rsidR="001510F3" w:rsidRPr="0038186B">
        <w:rPr>
          <w:lang w:val="es-419"/>
        </w:rPr>
        <w:t>uen</w:t>
      </w:r>
      <w:r w:rsidR="003178D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junto con los </w:t>
      </w:r>
      <w:r w:rsidR="003178DD" w:rsidRPr="0038186B">
        <w:rPr>
          <w:lang w:val="es-419"/>
        </w:rPr>
        <w:t>CC.TT. correspondientes</w:t>
      </w:r>
      <w:r w:rsidR="001510F3" w:rsidRPr="0038186B">
        <w:rPr>
          <w:lang w:val="es-419"/>
        </w:rPr>
        <w:t>; y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Estudios sobre </w:t>
      </w:r>
      <w:r w:rsidR="001510F3" w:rsidRPr="0038186B">
        <w:rPr>
          <w:lang w:val="es-419"/>
        </w:rPr>
        <w:t>aspectos</w:t>
      </w:r>
      <w:r w:rsidRPr="0038186B">
        <w:rPr>
          <w:lang w:val="es-419"/>
        </w:rPr>
        <w:t xml:space="preserve"> polític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 y jurídic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s, como los mecanismos de divulgación de las patentes y las normas bioéticas que in</w:t>
      </w:r>
      <w:r w:rsidR="001510F3" w:rsidRPr="0038186B">
        <w:rPr>
          <w:lang w:val="es-419"/>
        </w:rPr>
        <w:t>ciden en los CC.TT.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>Cooperación y coordinación interinstitucional dentro del sistema de las Naciones Unidas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coordinación y cooperación en </w:t>
      </w:r>
      <w:r w:rsidR="00CB4BBA" w:rsidRPr="0038186B">
        <w:rPr>
          <w:lang w:val="es-419"/>
        </w:rPr>
        <w:t>lo referente al</w:t>
      </w:r>
      <w:r w:rsidR="00344979" w:rsidRPr="0038186B">
        <w:rPr>
          <w:lang w:val="es-419"/>
        </w:rPr>
        <w:t xml:space="preserve"> fortalecimiento de la capacidad y las iniciativas prácticas a nivel internacional </w:t>
      </w:r>
      <w:r w:rsidR="00CB4BBA" w:rsidRPr="0038186B">
        <w:rPr>
          <w:lang w:val="es-419"/>
        </w:rPr>
        <w:t xml:space="preserve">podría integrar el </w:t>
      </w:r>
      <w:r w:rsidR="00344979" w:rsidRPr="0038186B">
        <w:rPr>
          <w:lang w:val="es-419"/>
        </w:rPr>
        <w:t xml:space="preserve">tipo de cooperación, coordinación e intercambio </w:t>
      </w:r>
      <w:r w:rsidR="0084267C" w:rsidRPr="0038186B">
        <w:rPr>
          <w:lang w:val="es-419"/>
        </w:rPr>
        <w:t xml:space="preserve">interinstitucional </w:t>
      </w:r>
      <w:r w:rsidR="00344979" w:rsidRPr="0038186B">
        <w:rPr>
          <w:lang w:val="es-419"/>
        </w:rPr>
        <w:t>de informa</w:t>
      </w:r>
      <w:r w:rsidR="0084267C" w:rsidRPr="0038186B">
        <w:rPr>
          <w:lang w:val="es-419"/>
        </w:rPr>
        <w:t xml:space="preserve">ción técnica y de </w:t>
      </w:r>
      <w:r w:rsidR="00344979" w:rsidRPr="0038186B">
        <w:rPr>
          <w:lang w:val="es-419"/>
        </w:rPr>
        <w:t xml:space="preserve">otro tipo </w:t>
      </w:r>
      <w:r w:rsidR="0084267C" w:rsidRPr="0038186B">
        <w:rPr>
          <w:lang w:val="es-419"/>
        </w:rPr>
        <w:t>de materiales</w:t>
      </w:r>
      <w:r w:rsidR="00344979" w:rsidRPr="0038186B">
        <w:rPr>
          <w:lang w:val="es-419"/>
        </w:rPr>
        <w:t xml:space="preserve"> que ha </w:t>
      </w:r>
      <w:r w:rsidR="0084267C" w:rsidRPr="0038186B">
        <w:rPr>
          <w:lang w:val="es-419"/>
        </w:rPr>
        <w:t>impulsado</w:t>
      </w:r>
      <w:r w:rsidR="00344979" w:rsidRPr="0038186B">
        <w:rPr>
          <w:lang w:val="es-419"/>
        </w:rPr>
        <w:t xml:space="preserve">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cooperación con otros organismos, como el CDB, </w:t>
      </w:r>
      <w:r w:rsidR="006B29C2" w:rsidRPr="0038186B">
        <w:rPr>
          <w:lang w:val="es-419"/>
        </w:rPr>
        <w:t xml:space="preserve">el Centro del Sur, </w:t>
      </w:r>
      <w:r w:rsidR="00344979" w:rsidRPr="0038186B">
        <w:rPr>
          <w:lang w:val="es-419"/>
        </w:rPr>
        <w:t>la FAO, la </w:t>
      </w:r>
      <w:r w:rsidR="006B29C2" w:rsidRPr="0038186B">
        <w:rPr>
          <w:lang w:val="es-419"/>
        </w:rPr>
        <w:t xml:space="preserve">OMS, el PNUMA, la UNCTAD y </w:t>
      </w:r>
      <w:r w:rsidR="00344979" w:rsidRPr="0038186B">
        <w:rPr>
          <w:lang w:val="es-419"/>
        </w:rPr>
        <w:t xml:space="preserve">la UNESCO, así como con ONG y otros actores internacionales que se ocupan de </w:t>
      </w:r>
      <w:r w:rsidR="0084267C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cuestiones conexas.</w:t>
      </w:r>
    </w:p>
    <w:p w:rsidR="00DF5574" w:rsidRPr="0038186B" w:rsidRDefault="00344979" w:rsidP="008F2F55">
      <w:pPr>
        <w:pStyle w:val="Heading4"/>
        <w:rPr>
          <w:lang w:val="es-419"/>
        </w:rPr>
      </w:pPr>
      <w:r w:rsidRPr="0038186B">
        <w:rPr>
          <w:lang w:val="es-419"/>
        </w:rPr>
        <w:t xml:space="preserve">Sensibilización y creación de capacidad </w:t>
      </w:r>
      <w:r w:rsidR="00860077" w:rsidRPr="0038186B">
        <w:rPr>
          <w:lang w:val="es-419"/>
        </w:rPr>
        <w:t>del</w:t>
      </w:r>
      <w:r w:rsidRPr="0038186B">
        <w:rPr>
          <w:lang w:val="es-419"/>
        </w:rPr>
        <w:t xml:space="preserve"> público en general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Una carencia </w:t>
      </w:r>
      <w:r w:rsidR="006B29C2" w:rsidRPr="0038186B">
        <w:rPr>
          <w:lang w:val="es-419"/>
        </w:rPr>
        <w:t>evidente</w:t>
      </w:r>
      <w:r w:rsidR="00344979" w:rsidRPr="0038186B">
        <w:rPr>
          <w:lang w:val="es-419"/>
        </w:rPr>
        <w:t xml:space="preserve"> es la </w:t>
      </w:r>
      <w:r w:rsidR="006B29C2" w:rsidRPr="0038186B">
        <w:rPr>
          <w:lang w:val="es-419"/>
        </w:rPr>
        <w:t>considerable falta de información y comprensión de los CC.TT.</w:t>
      </w:r>
      <w:r w:rsidR="00344979" w:rsidRPr="0038186B">
        <w:rPr>
          <w:lang w:val="es-419"/>
        </w:rPr>
        <w:t xml:space="preserve">, </w:t>
      </w:r>
      <w:r w:rsidR="006B29C2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los sistemas de </w:t>
      </w:r>
      <w:r w:rsidR="006B29C2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su contexto cultural e intelectual por </w:t>
      </w:r>
      <w:r w:rsidR="007638E2" w:rsidRPr="0038186B">
        <w:rPr>
          <w:lang w:val="es-419"/>
        </w:rPr>
        <w:t xml:space="preserve">el público en general y por </w:t>
      </w:r>
      <w:r w:rsidR="00344979" w:rsidRPr="0038186B">
        <w:rPr>
          <w:lang w:val="es-419"/>
        </w:rPr>
        <w:t xml:space="preserve">los responsables </w:t>
      </w:r>
      <w:r w:rsidR="007638E2" w:rsidRPr="0038186B">
        <w:rPr>
          <w:lang w:val="es-419"/>
        </w:rPr>
        <w:t xml:space="preserve">de formulación de </w:t>
      </w:r>
      <w:r w:rsidR="00344979" w:rsidRPr="0038186B">
        <w:rPr>
          <w:lang w:val="es-419"/>
        </w:rPr>
        <w:t>polític</w:t>
      </w:r>
      <w:r w:rsidR="007638E2" w:rsidRPr="0038186B">
        <w:rPr>
          <w:lang w:val="es-419"/>
        </w:rPr>
        <w:t>as</w:t>
      </w:r>
      <w:r w:rsidR="00344979" w:rsidRPr="0038186B">
        <w:rPr>
          <w:lang w:val="es-419"/>
        </w:rPr>
        <w:t xml:space="preserve">, </w:t>
      </w:r>
      <w:r w:rsidR="007638E2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representantes del mundo empresarial y las organizaciones de la sociedad civil internacionales.</w:t>
      </w:r>
      <w:r w:rsidR="001A60B0" w:rsidRPr="0038186B">
        <w:rPr>
          <w:lang w:val="es-419"/>
        </w:rPr>
        <w:t xml:space="preserve"> </w:t>
      </w:r>
      <w:r w:rsidR="007638E2" w:rsidRPr="0038186B">
        <w:rPr>
          <w:lang w:val="es-419"/>
        </w:rPr>
        <w:t>Para s</w:t>
      </w:r>
      <w:r w:rsidR="00344979" w:rsidRPr="0038186B">
        <w:rPr>
          <w:lang w:val="es-419"/>
        </w:rPr>
        <w:t>ubsa</w:t>
      </w:r>
      <w:r w:rsidR="007638E2" w:rsidRPr="0038186B">
        <w:rPr>
          <w:lang w:val="es-419"/>
        </w:rPr>
        <w:t>nar es</w:t>
      </w:r>
      <w:r w:rsidR="00344979" w:rsidRPr="0038186B">
        <w:rPr>
          <w:lang w:val="es-419"/>
        </w:rPr>
        <w:t xml:space="preserve">a carencia </w:t>
      </w:r>
      <w:r w:rsidR="007638E2" w:rsidRPr="0038186B">
        <w:rPr>
          <w:lang w:val="es-419"/>
        </w:rPr>
        <w:t>sería necesario emprender iniciativas como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638E2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Estudios de caso</w:t>
      </w:r>
      <w:r w:rsidR="00344979" w:rsidRPr="0038186B">
        <w:rPr>
          <w:lang w:val="es-419"/>
        </w:rPr>
        <w:t>, a</w:t>
      </w:r>
      <w:r w:rsidR="008C4D69" w:rsidRPr="0038186B">
        <w:rPr>
          <w:lang w:val="es-419"/>
        </w:rPr>
        <w:t>nálisis y sesiones informativas;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Misiones de investigación y consultas</w:t>
      </w:r>
      <w:r w:rsidR="008C4D69" w:rsidRPr="0038186B">
        <w:rPr>
          <w:lang w:val="es-419"/>
        </w:rPr>
        <w:t>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Activi</w:t>
      </w:r>
      <w:r w:rsidR="008C4D69" w:rsidRPr="0038186B">
        <w:rPr>
          <w:lang w:val="es-419"/>
        </w:rPr>
        <w:t>dades educativas y de formación;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Estudios </w:t>
      </w:r>
      <w:r w:rsidR="008C4D69" w:rsidRPr="0038186B">
        <w:rPr>
          <w:lang w:val="es-419"/>
        </w:rPr>
        <w:t>sobre las experiencias nacionales;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8C4D6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Reseñas de </w:t>
      </w:r>
      <w:r w:rsidR="00344979" w:rsidRPr="0038186B">
        <w:rPr>
          <w:lang w:val="es-419"/>
        </w:rPr>
        <w:t xml:space="preserve">las opciones jurídicas y </w:t>
      </w:r>
      <w:r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política.</w:t>
      </w:r>
    </w:p>
    <w:p w:rsidR="00DF5574" w:rsidRPr="0038186B" w:rsidRDefault="00736AFE" w:rsidP="008F2F55">
      <w:pPr>
        <w:pStyle w:val="Heading2"/>
        <w:rPr>
          <w:i/>
          <w:u w:val="single"/>
          <w:lang w:val="es-419"/>
        </w:rPr>
      </w:pPr>
      <w:bookmarkStart w:id="66" w:name="_Toc116899042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Opciones jurídicas o de otra índole a nivel regional:</w:t>
      </w:r>
      <w:bookmarkEnd w:id="6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Algunas </w:t>
      </w:r>
      <w:r w:rsidR="008C4D69" w:rsidRPr="0038186B">
        <w:rPr>
          <w:lang w:val="es-419"/>
        </w:rPr>
        <w:t xml:space="preserve">de las </w:t>
      </w:r>
      <w:r w:rsidR="00344979" w:rsidRPr="0038186B">
        <w:rPr>
          <w:lang w:val="es-419"/>
        </w:rPr>
        <w:t xml:space="preserve">medidas </w:t>
      </w:r>
      <w:r w:rsidR="008C4D69" w:rsidRPr="0038186B">
        <w:rPr>
          <w:lang w:val="es-419"/>
        </w:rPr>
        <w:t xml:space="preserve">concebidas para solucionar </w:t>
      </w:r>
      <w:r w:rsidR="00344979" w:rsidRPr="0038186B">
        <w:rPr>
          <w:lang w:val="es-419"/>
        </w:rPr>
        <w:t xml:space="preserve">las carencias </w:t>
      </w:r>
      <w:r w:rsidR="008C4D69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</w:t>
      </w:r>
      <w:r w:rsidR="008C4D69" w:rsidRPr="0038186B">
        <w:rPr>
          <w:lang w:val="es-419"/>
        </w:rPr>
        <w:t xml:space="preserve">ser particularmente idóneas para los contextos </w:t>
      </w:r>
      <w:r w:rsidR="00344979" w:rsidRPr="0038186B">
        <w:rPr>
          <w:lang w:val="es-419"/>
        </w:rPr>
        <w:t>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o subregional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, </w:t>
      </w:r>
      <w:r w:rsidR="00602EEF" w:rsidRPr="0038186B">
        <w:rPr>
          <w:lang w:val="es-419"/>
        </w:rPr>
        <w:t xml:space="preserve">ya que pondrían </w:t>
      </w:r>
      <w:r w:rsidR="008C4D69" w:rsidRPr="0038186B">
        <w:rPr>
          <w:lang w:val="es-419"/>
        </w:rPr>
        <w:t xml:space="preserve">de </w:t>
      </w:r>
      <w:r w:rsidR="00602EEF" w:rsidRPr="0038186B">
        <w:rPr>
          <w:lang w:val="es-419"/>
        </w:rPr>
        <w:t>manifiesto</w:t>
      </w:r>
      <w:r w:rsidR="008C4D69" w:rsidRPr="0038186B">
        <w:rPr>
          <w:lang w:val="es-419"/>
        </w:rPr>
        <w:t xml:space="preserve"> los </w:t>
      </w:r>
      <w:r w:rsidR="00344979" w:rsidRPr="0038186B">
        <w:rPr>
          <w:lang w:val="es-419"/>
        </w:rPr>
        <w:t xml:space="preserve">beneficios </w:t>
      </w:r>
      <w:r w:rsidR="00602EEF" w:rsidRPr="0038186B">
        <w:rPr>
          <w:lang w:val="es-419"/>
        </w:rPr>
        <w:t>que supone la creación de</w:t>
      </w:r>
      <w:r w:rsidR="00344979" w:rsidRPr="0038186B">
        <w:rPr>
          <w:lang w:val="es-419"/>
        </w:rPr>
        <w:t xml:space="preserve"> normas, instituciones y medidas prácticas comunes </w:t>
      </w:r>
      <w:r w:rsidR="00602EEF" w:rsidRPr="0038186B">
        <w:rPr>
          <w:lang w:val="es-419"/>
        </w:rPr>
        <w:t>en relación con las</w:t>
      </w:r>
      <w:r w:rsidR="00344979" w:rsidRPr="0038186B">
        <w:rPr>
          <w:lang w:val="es-419"/>
        </w:rPr>
        <w:t xml:space="preserve"> culturas jurídicas y </w:t>
      </w:r>
      <w:r w:rsidR="00602EEF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sistemas de </w:t>
      </w:r>
      <w:r w:rsidR="00602E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602EEF" w:rsidRPr="0038186B">
        <w:rPr>
          <w:lang w:val="es-419"/>
        </w:rPr>
        <w:t xml:space="preserve">que comparten o se superponen </w:t>
      </w:r>
      <w:r w:rsidR="00344979" w:rsidRPr="0038186B">
        <w:rPr>
          <w:lang w:val="es-419"/>
        </w:rPr>
        <w:t>entre sí.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Además, </w:t>
      </w:r>
      <w:r w:rsidR="00344979" w:rsidRPr="0038186B">
        <w:rPr>
          <w:lang w:val="es-419"/>
        </w:rPr>
        <w:t xml:space="preserve">existen varias organizaciones regionales que desempeñan un papel activo tanto en la elaboración de nuevos instrumentos jurídicos como en la labor de creación de capacidad práctica </w:t>
      </w:r>
      <w:r w:rsidR="00851F27"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reforzar la protección de los </w:t>
      </w:r>
      <w:r w:rsidR="00851F27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Muchas de las medidas internacionales descritas anteriormente podrían aplicarse </w:t>
      </w:r>
      <w:r w:rsidR="00851F27" w:rsidRPr="0038186B">
        <w:rPr>
          <w:lang w:val="es-419"/>
        </w:rPr>
        <w:t xml:space="preserve">también al ámbito </w:t>
      </w:r>
      <w:r w:rsidR="00344979" w:rsidRPr="0038186B">
        <w:rPr>
          <w:lang w:val="es-419"/>
        </w:rPr>
        <w:t>regional.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En el examen de las </w:t>
      </w:r>
      <w:r w:rsidR="00344979" w:rsidRPr="0038186B">
        <w:rPr>
          <w:lang w:val="es-419"/>
        </w:rPr>
        <w:t xml:space="preserve">medidas internacionales </w:t>
      </w:r>
      <w:r w:rsidR="00851F27" w:rsidRPr="0038186B">
        <w:rPr>
          <w:lang w:val="es-419"/>
        </w:rPr>
        <w:t xml:space="preserve">anterior </w:t>
      </w:r>
      <w:r w:rsidR="00344979" w:rsidRPr="0038186B">
        <w:rPr>
          <w:lang w:val="es-419"/>
        </w:rPr>
        <w:t>se citan varios ejemplos.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las categorías generales de medidas </w:t>
      </w:r>
      <w:r w:rsidR="002B0517" w:rsidRPr="0038186B">
        <w:rPr>
          <w:lang w:val="es-419"/>
        </w:rPr>
        <w:t>que cabría examinar están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Los i</w:t>
      </w:r>
      <w:r w:rsidR="00344979" w:rsidRPr="0038186B">
        <w:rPr>
          <w:lang w:val="es-419"/>
        </w:rPr>
        <w:t>nstrumentos jurídicos con</w:t>
      </w:r>
      <w:r w:rsidRPr="0038186B">
        <w:rPr>
          <w:lang w:val="es-419"/>
        </w:rPr>
        <w:t>cluidos</w:t>
      </w:r>
      <w:r w:rsidR="00344979" w:rsidRPr="0038186B">
        <w:rPr>
          <w:lang w:val="es-419"/>
        </w:rPr>
        <w:t xml:space="preserve"> a nivel regional, subregional o bilateral, e</w:t>
      </w:r>
      <w:r w:rsidRPr="0038186B">
        <w:rPr>
          <w:lang w:val="es-419"/>
        </w:rPr>
        <w:t>n particular los instrumen</w:t>
      </w:r>
      <w:r w:rsidR="00344979" w:rsidRPr="0038186B">
        <w:rPr>
          <w:lang w:val="es-419"/>
        </w:rPr>
        <w:t>tos</w:t>
      </w:r>
      <w:r w:rsidR="008156A1" w:rsidRPr="0038186B">
        <w:rPr>
          <w:lang w:val="es-419"/>
        </w:rPr>
        <w:t xml:space="preserve"> sui géneris</w:t>
      </w:r>
      <w:r w:rsidR="00344979" w:rsidRPr="0038186B">
        <w:rPr>
          <w:lang w:val="es-419"/>
        </w:rPr>
        <w:t xml:space="preserve"> y </w:t>
      </w:r>
      <w:r w:rsidRPr="0038186B">
        <w:rPr>
          <w:lang w:val="es-419"/>
        </w:rPr>
        <w:t xml:space="preserve">el Derecho de PI </w:t>
      </w:r>
      <w:r w:rsidR="00344979" w:rsidRPr="0038186B">
        <w:rPr>
          <w:lang w:val="es-419"/>
        </w:rPr>
        <w:t>convencional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Las d</w:t>
      </w:r>
      <w:r w:rsidR="00344979" w:rsidRPr="0038186B">
        <w:rPr>
          <w:lang w:val="es-419"/>
        </w:rPr>
        <w:t xml:space="preserve">eclaraciones </w:t>
      </w:r>
      <w:r w:rsidR="00F56963" w:rsidRPr="0038186B">
        <w:rPr>
          <w:lang w:val="es-419"/>
        </w:rPr>
        <w:t xml:space="preserve">de carácter político o normativo formuladas </w:t>
      </w:r>
      <w:r w:rsidR="00344979" w:rsidRPr="0038186B">
        <w:rPr>
          <w:lang w:val="es-419"/>
        </w:rPr>
        <w:t>a nivel regional, subregional o bilateral.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Leyes tipo y otras formas de orientación legislativa adoptadas a nivel 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2B0517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a nivel regional o subregional.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regionales, subregionales y bilaterales para apoyar la creación de capacidad </w:t>
      </w:r>
      <w:r w:rsidR="00A84B5C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F56963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F56963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344979" w:rsidP="00736AFE">
      <w:pPr>
        <w:pStyle w:val="Heading2"/>
        <w:rPr>
          <w:i/>
          <w:caps w:val="0"/>
          <w:u w:val="single"/>
          <w:lang w:val="es-419"/>
        </w:rPr>
      </w:pPr>
      <w:bookmarkStart w:id="67" w:name="_Toc116899043"/>
      <w:r w:rsidRPr="0038186B">
        <w:rPr>
          <w:i/>
          <w:caps w:val="0"/>
          <w:u w:val="single"/>
          <w:lang w:val="es-419"/>
        </w:rPr>
        <w:t>c)</w:t>
      </w:r>
      <w:r w:rsidR="00736AFE" w:rsidRPr="0038186B">
        <w:rPr>
          <w:i/>
          <w:caps w:val="0"/>
          <w:u w:val="single"/>
          <w:lang w:val="es-419"/>
        </w:rPr>
        <w:tab/>
      </w:r>
      <w:r w:rsidR="002B2434" w:rsidRPr="0038186B">
        <w:rPr>
          <w:i/>
          <w:caps w:val="0"/>
          <w:u w:val="single"/>
          <w:lang w:val="es-419"/>
        </w:rPr>
        <w:t>Medidas</w:t>
      </w:r>
      <w:r w:rsidRPr="0038186B">
        <w:rPr>
          <w:i/>
          <w:caps w:val="0"/>
          <w:u w:val="single"/>
          <w:lang w:val="es-419"/>
        </w:rPr>
        <w:t xml:space="preserve"> jurídicas o de otra índole a nivel nacional:</w:t>
      </w:r>
      <w:bookmarkEnd w:id="6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C5882" w:rsidRPr="0038186B">
        <w:rPr>
          <w:lang w:val="es-419"/>
        </w:rPr>
        <w:t xml:space="preserve">Varios Estados y comunidades </w:t>
      </w:r>
      <w:r w:rsidR="002B2434" w:rsidRPr="0038186B">
        <w:rPr>
          <w:lang w:val="es-419"/>
        </w:rPr>
        <w:t>dentro de</w:t>
      </w:r>
      <w:r w:rsidR="001C5882" w:rsidRPr="0038186B">
        <w:rPr>
          <w:lang w:val="es-419"/>
        </w:rPr>
        <w:t xml:space="preserve"> esos Estados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han </w:t>
      </w:r>
      <w:r w:rsidR="002342A4" w:rsidRPr="0038186B">
        <w:rPr>
          <w:lang w:val="es-419"/>
        </w:rPr>
        <w:t xml:space="preserve">emprendido una serie de </w:t>
      </w:r>
      <w:r w:rsidR="001C5882" w:rsidRPr="0038186B">
        <w:rPr>
          <w:lang w:val="es-419"/>
        </w:rPr>
        <w:t xml:space="preserve">iniciativas destinadas a </w:t>
      </w:r>
      <w:r w:rsidR="00A84B5C" w:rsidRPr="0038186B">
        <w:rPr>
          <w:lang w:val="es-419"/>
        </w:rPr>
        <w:t>adoptar</w:t>
      </w:r>
      <w:r w:rsidR="001C5882" w:rsidRPr="0038186B">
        <w:rPr>
          <w:lang w:val="es-419"/>
        </w:rPr>
        <w:t xml:space="preserve"> y </w:t>
      </w:r>
      <w:r w:rsidR="002B2434" w:rsidRPr="0038186B">
        <w:rPr>
          <w:lang w:val="es-419"/>
        </w:rPr>
        <w:t xml:space="preserve">poner en </w:t>
      </w:r>
      <w:r w:rsidR="002342A4" w:rsidRPr="0038186B">
        <w:rPr>
          <w:lang w:val="es-419"/>
        </w:rPr>
        <w:t xml:space="preserve">práctica </w:t>
      </w:r>
      <w:r w:rsidR="00A84B5C" w:rsidRPr="0038186B">
        <w:rPr>
          <w:lang w:val="es-419"/>
        </w:rPr>
        <w:t>medidas</w:t>
      </w:r>
      <w:r w:rsidR="002342A4" w:rsidRPr="0038186B">
        <w:rPr>
          <w:lang w:val="es-419"/>
        </w:rPr>
        <w:t xml:space="preserve"> jurídicas y de otra índole para </w:t>
      </w:r>
      <w:r w:rsidR="002B2434" w:rsidRPr="0038186B">
        <w:rPr>
          <w:lang w:val="es-419"/>
        </w:rPr>
        <w:t xml:space="preserve">paliar las </w:t>
      </w:r>
      <w:r w:rsidR="001C5882" w:rsidRPr="0038186B">
        <w:rPr>
          <w:lang w:val="es-419"/>
        </w:rPr>
        <w:t xml:space="preserve">carencias </w:t>
      </w:r>
      <w:r w:rsidR="002A4FA1" w:rsidRPr="0038186B">
        <w:rPr>
          <w:lang w:val="es-419"/>
        </w:rPr>
        <w:t>detectadas</w:t>
      </w:r>
      <w:r w:rsidR="002B2434" w:rsidRPr="0038186B">
        <w:rPr>
          <w:lang w:val="es-419"/>
        </w:rPr>
        <w:t xml:space="preserve"> en la </w:t>
      </w:r>
      <w:r w:rsidR="001C5882" w:rsidRPr="0038186B">
        <w:rPr>
          <w:lang w:val="es-419"/>
        </w:rPr>
        <w:t>protección jurídica de los CC.TT.</w:t>
      </w:r>
      <w:r w:rsidR="002B2434" w:rsidRPr="0038186B">
        <w:rPr>
          <w:lang w:val="es-419"/>
        </w:rPr>
        <w:t xml:space="preserve"> </w:t>
      </w:r>
      <w:r w:rsidR="002A4FA1" w:rsidRPr="0038186B">
        <w:rPr>
          <w:lang w:val="es-419"/>
        </w:rPr>
        <w:t>Aunque n</w:t>
      </w:r>
      <w:r w:rsidR="002B2434" w:rsidRPr="0038186B">
        <w:rPr>
          <w:lang w:val="es-419"/>
        </w:rPr>
        <w:t>o se pretende hacer una reseña completa de esas med</w:t>
      </w:r>
      <w:r w:rsidR="00F1138F" w:rsidRPr="0038186B">
        <w:rPr>
          <w:lang w:val="es-419"/>
        </w:rPr>
        <w:t>idas</w:t>
      </w:r>
      <w:r w:rsidR="002A4FA1" w:rsidRPr="0038186B">
        <w:rPr>
          <w:lang w:val="es-419"/>
        </w:rPr>
        <w:t>, se pueden resumir como sigue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Legislación destinada a proteger los </w:t>
      </w:r>
      <w:r w:rsidR="002A4FA1" w:rsidRPr="0038186B">
        <w:rPr>
          <w:lang w:val="es-419"/>
        </w:rPr>
        <w:t>CC.TT.</w:t>
      </w:r>
      <w:r w:rsidRPr="0038186B">
        <w:rPr>
          <w:lang w:val="es-419"/>
        </w:rPr>
        <w:t>, en particular instrumento</w:t>
      </w:r>
      <w:r w:rsidR="00F56963" w:rsidRPr="0038186B">
        <w:rPr>
          <w:lang w:val="es-419"/>
        </w:rPr>
        <w:t>s sui géneris</w:t>
      </w:r>
      <w:r w:rsidRPr="0038186B">
        <w:rPr>
          <w:lang w:val="es-419"/>
        </w:rPr>
        <w:t xml:space="preserve"> y adaptaciones o revisiones de</w:t>
      </w:r>
      <w:r w:rsidR="002A4FA1" w:rsidRPr="0038186B">
        <w:rPr>
          <w:lang w:val="es-419"/>
        </w:rPr>
        <w:t>l Derecho de PI c</w:t>
      </w:r>
      <w:r w:rsidRPr="0038186B">
        <w:rPr>
          <w:lang w:val="es-419"/>
        </w:rPr>
        <w:t>onvencional.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Marcos </w:t>
      </w:r>
      <w:r w:rsidR="002A4FA1" w:rsidRPr="0038186B">
        <w:rPr>
          <w:lang w:val="es-419"/>
        </w:rPr>
        <w:t>normativos</w:t>
      </w:r>
      <w:r w:rsidRPr="0038186B">
        <w:rPr>
          <w:lang w:val="es-419"/>
        </w:rPr>
        <w:t xml:space="preserve"> y mecanismos administrativos </w:t>
      </w:r>
      <w:r w:rsidR="00790C3E" w:rsidRPr="0038186B">
        <w:rPr>
          <w:lang w:val="es-419"/>
        </w:rPr>
        <w:t>destinados</w:t>
      </w:r>
      <w:r w:rsidRPr="0038186B">
        <w:rPr>
          <w:lang w:val="es-419"/>
        </w:rPr>
        <w:t xml:space="preserve"> a </w:t>
      </w:r>
      <w:r w:rsidR="002A4FA1" w:rsidRPr="0038186B">
        <w:rPr>
          <w:lang w:val="es-419"/>
        </w:rPr>
        <w:t xml:space="preserve">la promoción y protección de </w:t>
      </w:r>
      <w:r w:rsidRPr="0038186B">
        <w:rPr>
          <w:lang w:val="es-419"/>
        </w:rPr>
        <w:t xml:space="preserve">los CC.TT., </w:t>
      </w:r>
      <w:r w:rsidR="00790C3E" w:rsidRPr="0038186B">
        <w:rPr>
          <w:lang w:val="es-419"/>
        </w:rPr>
        <w:t xml:space="preserve">en particular en sectores </w:t>
      </w:r>
      <w:r w:rsidRPr="0038186B">
        <w:rPr>
          <w:lang w:val="es-419"/>
        </w:rPr>
        <w:t>específic</w:t>
      </w:r>
      <w:r w:rsidR="00790C3E" w:rsidRPr="0038186B">
        <w:rPr>
          <w:lang w:val="es-419"/>
        </w:rPr>
        <w:t>o</w:t>
      </w:r>
      <w:r w:rsidRPr="0038186B">
        <w:rPr>
          <w:lang w:val="es-419"/>
        </w:rPr>
        <w:t>s como la medicina y la salud pública, el medio ambiente y la agricultura.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790C3E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por las autoridades nacionales u otras instituciones.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nacionales para apoyar la creación de capacidad </w:t>
      </w:r>
      <w:r w:rsidR="00790C3E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790C3E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790C3E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030"/>
        <w:rPr>
          <w:lang w:val="es-419"/>
        </w:rPr>
      </w:pPr>
      <w:r w:rsidRPr="0038186B">
        <w:rPr>
          <w:lang w:val="es-419"/>
        </w:rPr>
        <w:t>[Sigue el Anexo II]</w:t>
      </w:r>
    </w:p>
    <w:p w:rsidR="00DF5574" w:rsidRPr="0038186B" w:rsidRDefault="00DF5574" w:rsidP="00DA0CAC">
      <w:pPr>
        <w:ind w:left="6030"/>
        <w:rPr>
          <w:lang w:val="es-419"/>
        </w:rPr>
      </w:pPr>
    </w:p>
    <w:p w:rsidR="00396BEB" w:rsidRPr="0038186B" w:rsidRDefault="00396BEB" w:rsidP="00DA0CAC">
      <w:pPr>
        <w:ind w:left="6030"/>
        <w:rPr>
          <w:lang w:val="es-419"/>
        </w:rPr>
        <w:sectPr w:rsidR="00396BEB" w:rsidRPr="0038186B" w:rsidSect="000A4D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MATRIZ DEL ANÁLISIS DE CARENCIAS</w:t>
      </w:r>
    </w:p>
    <w:p w:rsidR="00DF5574" w:rsidRPr="0038186B" w:rsidRDefault="00D36164" w:rsidP="00D36164">
      <w:pPr>
        <w:tabs>
          <w:tab w:val="left" w:pos="7110"/>
        </w:tabs>
        <w:rPr>
          <w:lang w:val="es-419"/>
        </w:rPr>
      </w:pPr>
      <w:r w:rsidRPr="0038186B">
        <w:rPr>
          <w:lang w:val="es-419"/>
        </w:rPr>
        <w:tab/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E</w:t>
      </w:r>
      <w:r w:rsidR="00BB5158" w:rsidRPr="0038186B">
        <w:rPr>
          <w:lang w:val="es-419"/>
        </w:rPr>
        <w:t>n e</w:t>
      </w:r>
      <w:r w:rsidRPr="0038186B">
        <w:rPr>
          <w:lang w:val="es-419"/>
        </w:rPr>
        <w:t>sta matriz</w:t>
      </w:r>
      <w:r w:rsidR="001C2373" w:rsidRPr="0038186B">
        <w:rPr>
          <w:lang w:val="es-419"/>
        </w:rPr>
        <w:t xml:space="preserve"> </w:t>
      </w:r>
      <w:r w:rsidR="00BB5158" w:rsidRPr="0038186B">
        <w:rPr>
          <w:lang w:val="es-419"/>
        </w:rPr>
        <w:t>se exponen</w:t>
      </w:r>
      <w:r w:rsidR="001C2373" w:rsidRPr="0038186B">
        <w:rPr>
          <w:lang w:val="es-419"/>
        </w:rPr>
        <w:t xml:space="preserve"> los temas a los que se hace referencia en los apartados a) a d) </w:t>
      </w:r>
      <w:r w:rsidRPr="0038186B">
        <w:rPr>
          <w:lang w:val="es-419"/>
        </w:rPr>
        <w:t xml:space="preserve">de la decisión </w:t>
      </w:r>
      <w:r w:rsidR="001C2373" w:rsidRPr="0038186B">
        <w:rPr>
          <w:lang w:val="es-419"/>
        </w:rPr>
        <w:t xml:space="preserve">adoptada en la </w:t>
      </w:r>
      <w:r w:rsidR="0034679B" w:rsidRPr="0038186B">
        <w:rPr>
          <w:lang w:val="es-419"/>
        </w:rPr>
        <w:t xml:space="preserve">duodécima </w:t>
      </w:r>
      <w:r w:rsidR="001C2373" w:rsidRPr="0038186B">
        <w:rPr>
          <w:lang w:val="es-419"/>
        </w:rPr>
        <w:t xml:space="preserve">sesión del </w:t>
      </w:r>
      <w:r w:rsidRPr="0038186B">
        <w:rPr>
          <w:lang w:val="es-419"/>
        </w:rPr>
        <w:t>Comité Intergubernamental de la OM</w:t>
      </w:r>
      <w:r w:rsidR="001C2373" w:rsidRPr="0038186B">
        <w:rPr>
          <w:lang w:val="es-419"/>
        </w:rPr>
        <w:t>PI</w:t>
      </w:r>
      <w:r w:rsidRPr="0038186B">
        <w:rPr>
          <w:lang w:val="es-419"/>
        </w:rPr>
        <w:t xml:space="preserve">, </w:t>
      </w:r>
      <w:r w:rsidR="0004704B" w:rsidRPr="0038186B">
        <w:rPr>
          <w:lang w:val="es-419"/>
        </w:rPr>
        <w:t>de conformidad con</w:t>
      </w:r>
      <w:r w:rsidR="00497EEE" w:rsidRPr="0038186B">
        <w:rPr>
          <w:lang w:val="es-419"/>
        </w:rPr>
        <w:t xml:space="preserve"> </w:t>
      </w:r>
      <w:r w:rsidR="001679A3" w:rsidRPr="0038186B">
        <w:rPr>
          <w:lang w:val="es-419"/>
        </w:rPr>
        <w:t xml:space="preserve">lo dispuesto en </w:t>
      </w:r>
      <w:r w:rsidR="00497EEE" w:rsidRPr="0038186B">
        <w:rPr>
          <w:lang w:val="es-419"/>
        </w:rPr>
        <w:t xml:space="preserve">dicha </w:t>
      </w:r>
      <w:r w:rsidRPr="0038186B">
        <w:rPr>
          <w:lang w:val="es-419"/>
        </w:rPr>
        <w:t>decisión.</w:t>
      </w:r>
      <w:r w:rsidR="001A60B0" w:rsidRPr="0038186B">
        <w:rPr>
          <w:lang w:val="es-419"/>
        </w:rPr>
        <w:t xml:space="preserve"> </w:t>
      </w:r>
      <w:r w:rsidR="00AB3CD2" w:rsidRPr="0038186B">
        <w:rPr>
          <w:lang w:val="es-419"/>
        </w:rPr>
        <w:t xml:space="preserve">En forma de cuadro sinóptico, </w:t>
      </w:r>
      <w:r w:rsidR="00BB5158" w:rsidRPr="0038186B">
        <w:rPr>
          <w:lang w:val="es-419"/>
        </w:rPr>
        <w:t xml:space="preserve">la matriz </w:t>
      </w:r>
      <w:r w:rsidR="00AB3CD2" w:rsidRPr="0038186B">
        <w:rPr>
          <w:lang w:val="es-419"/>
        </w:rPr>
        <w:t xml:space="preserve">comprende las cuestiones abordadas </w:t>
      </w:r>
      <w:r w:rsidRPr="0038186B">
        <w:rPr>
          <w:lang w:val="es-419"/>
        </w:rPr>
        <w:t xml:space="preserve">en el análisis de carencias </w:t>
      </w:r>
      <w:r w:rsidR="00607D0F" w:rsidRPr="0038186B">
        <w:rPr>
          <w:lang w:val="es-419"/>
        </w:rPr>
        <w:t xml:space="preserve">presentado </w:t>
      </w:r>
      <w:r w:rsidRPr="0038186B">
        <w:rPr>
          <w:lang w:val="es-419"/>
        </w:rPr>
        <w:t>anterior</w:t>
      </w:r>
      <w:r w:rsidR="00607D0F" w:rsidRPr="0038186B">
        <w:rPr>
          <w:lang w:val="es-419"/>
        </w:rPr>
        <w:t>mente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ÍNDICE DEL ANEXO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E4D47" w:rsidP="00344979">
      <w:pPr>
        <w:rPr>
          <w:lang w:val="es-419"/>
        </w:rPr>
      </w:pPr>
      <w:r w:rsidRPr="0038186B">
        <w:rPr>
          <w:lang w:val="es-419"/>
        </w:rPr>
        <w:t xml:space="preserve">RESUMEN DE LA </w:t>
      </w:r>
      <w:r w:rsidR="00344979" w:rsidRPr="0038186B">
        <w:rPr>
          <w:lang w:val="es-419"/>
        </w:rPr>
        <w:t>MATRIZ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4C11DC" w:rsidRPr="0038186B">
        <w:rPr>
          <w:lang w:val="es-419"/>
        </w:rPr>
        <w:t>VIGENTES</w:t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B.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CARENCIAS </w:t>
      </w:r>
      <w:r w:rsidR="007F73DA" w:rsidRPr="0038186B">
        <w:rPr>
          <w:lang w:val="es-419"/>
        </w:rPr>
        <w:t>EXISTENTES</w:t>
      </w:r>
      <w:r w:rsidR="00EE4D47" w:rsidRPr="0038186B">
        <w:rPr>
          <w:lang w:val="es-419"/>
        </w:rPr>
        <w:t xml:space="preserve"> </w:t>
      </w:r>
      <w:r w:rsidRPr="0038186B">
        <w:rPr>
          <w:lang w:val="es-419"/>
        </w:rPr>
        <w:t>A NIVEL INTERNACIONAL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C.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CONSIDERACIONES PARA DETERMINAR SI </w:t>
      </w:r>
      <w:r w:rsidR="004C11DC" w:rsidRPr="0038186B">
        <w:rPr>
          <w:lang w:val="es-419"/>
        </w:rPr>
        <w:t>ES NECESARIO</w:t>
      </w:r>
      <w:r w:rsidR="00607D0F" w:rsidRPr="0038186B">
        <w:rPr>
          <w:lang w:val="es-419"/>
        </w:rPr>
        <w:t xml:space="preserve"> </w:t>
      </w:r>
      <w:r w:rsidR="000E25E9" w:rsidRPr="0038186B">
        <w:rPr>
          <w:lang w:val="es-419"/>
        </w:rPr>
        <w:t>PALIAR</w:t>
      </w:r>
      <w:r w:rsidR="00607D0F" w:rsidRPr="0038186B">
        <w:rPr>
          <w:lang w:val="es-419"/>
        </w:rPr>
        <w:t xml:space="preserve"> </w:t>
      </w:r>
      <w:r w:rsidRPr="0038186B">
        <w:rPr>
          <w:lang w:val="es-419"/>
        </w:rPr>
        <w:t>ESAS CARENCIAS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D.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OPCIONES </w:t>
      </w:r>
      <w:r w:rsidR="004C11DC" w:rsidRPr="0038186B">
        <w:rPr>
          <w:lang w:val="es-419"/>
        </w:rPr>
        <w:t>EXISTENTES Y POTENCIALES</w:t>
      </w:r>
      <w:r w:rsidR="0030503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</w:t>
      </w:r>
      <w:r w:rsidR="004C11DC" w:rsidRPr="0038186B">
        <w:rPr>
          <w:lang w:val="es-419"/>
        </w:rPr>
        <w:t>SUBSANAR L</w:t>
      </w:r>
      <w:r w:rsidR="00607D0F" w:rsidRPr="0038186B">
        <w:rPr>
          <w:lang w:val="es-419"/>
        </w:rPr>
        <w:t>AS</w:t>
      </w:r>
      <w:r w:rsidRPr="0038186B">
        <w:rPr>
          <w:lang w:val="es-419"/>
        </w:rPr>
        <w:t xml:space="preserve"> CARENCIA</w:t>
      </w:r>
      <w:r w:rsidR="004C11DC" w:rsidRPr="0038186B">
        <w:rPr>
          <w:lang w:val="es-419"/>
        </w:rPr>
        <w:t>S DEFINIDAS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t>I.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RESUMEN DE LA MATRIZ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40"/>
        <w:gridCol w:w="3939"/>
        <w:gridCol w:w="5670"/>
      </w:tblGrid>
      <w:tr w:rsidR="00573757" w:rsidRPr="0038186B" w:rsidTr="00130037">
        <w:trPr>
          <w:tblHeader/>
        </w:trPr>
        <w:tc>
          <w:tcPr>
            <w:tcW w:w="2830" w:type="dxa"/>
          </w:tcPr>
          <w:p w:rsidR="00FD6EEF" w:rsidRPr="0038186B" w:rsidRDefault="007B6E48" w:rsidP="00131CD3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</w:t>
            </w:r>
            <w:r w:rsidR="00131CD3" w:rsidRPr="0038186B">
              <w:rPr>
                <w:b/>
                <w:lang w:val="es-419"/>
              </w:rPr>
              <w:t xml:space="preserve">os de la protección de los </w:t>
            </w:r>
            <w:r w:rsidR="001970C2" w:rsidRPr="0038186B">
              <w:rPr>
                <w:b/>
                <w:lang w:val="es-419"/>
              </w:rPr>
              <w:t>CC.TT.</w:t>
            </w:r>
          </w:p>
        </w:tc>
        <w:tc>
          <w:tcPr>
            <w:tcW w:w="2440" w:type="dxa"/>
          </w:tcPr>
          <w:p w:rsidR="004C11DC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M</w:t>
            </w:r>
            <w:r w:rsidR="00614714" w:rsidRPr="0038186B">
              <w:rPr>
                <w:b/>
                <w:lang w:val="es-419"/>
              </w:rPr>
              <w:t>edidas vigentes</w:t>
            </w:r>
            <w:r w:rsidRPr="0038186B">
              <w:rPr>
                <w:b/>
                <w:lang w:val="es-419"/>
              </w:rPr>
              <w:t xml:space="preserve">  (apartado a))</w:t>
            </w:r>
          </w:p>
        </w:tc>
        <w:tc>
          <w:tcPr>
            <w:tcW w:w="3939" w:type="dxa"/>
          </w:tcPr>
          <w:p w:rsidR="00FD6EEF" w:rsidRPr="0038186B" w:rsidRDefault="004C11DC" w:rsidP="007F73DA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1C5882" w:rsidRPr="0038186B">
              <w:rPr>
                <w:b/>
                <w:lang w:val="es-419"/>
              </w:rPr>
              <w:t xml:space="preserve">arencias </w:t>
            </w:r>
            <w:r w:rsidR="007F73DA" w:rsidRPr="0038186B">
              <w:rPr>
                <w:b/>
                <w:lang w:val="es-419"/>
              </w:rPr>
              <w:t>existentes</w:t>
            </w:r>
            <w:r w:rsidRPr="0038186B">
              <w:rPr>
                <w:b/>
                <w:lang w:val="es-419"/>
              </w:rPr>
              <w:t xml:space="preserve"> (apartado b))</w:t>
            </w:r>
          </w:p>
        </w:tc>
        <w:tc>
          <w:tcPr>
            <w:tcW w:w="5670" w:type="dxa"/>
          </w:tcPr>
          <w:p w:rsidR="00FD6EEF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D04270" w:rsidRPr="0038186B">
              <w:rPr>
                <w:b/>
                <w:lang w:val="es-419"/>
              </w:rPr>
              <w:t>onsidera</w:t>
            </w:r>
            <w:r w:rsidR="00131CD3" w:rsidRPr="0038186B">
              <w:rPr>
                <w:b/>
                <w:lang w:val="es-419"/>
              </w:rPr>
              <w:t>ciones y opciones</w:t>
            </w:r>
            <w:r w:rsidRPr="0038186B">
              <w:rPr>
                <w:b/>
                <w:lang w:val="es-419"/>
              </w:rPr>
              <w:t xml:space="preserve"> (apartados c) y d))</w:t>
            </w: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Objetivos y principios de la protección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aplicados a los CC.TT.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del derecho internacional público vigente (no relacionado con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 sobre los derechos de los pueblos indígenas, el medio ambiente (incluidas la biodiversidad y los recursos genéticos),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autorizada sobre la función </w:t>
            </w:r>
            <w:r w:rsidR="0078560B" w:rsidRPr="0038186B">
              <w:rPr>
                <w:lang w:val="es-419"/>
              </w:rPr>
              <w:t xml:space="preserve">del Derecho y las </w:t>
            </w:r>
            <w:r w:rsidRPr="0038186B">
              <w:rPr>
                <w:lang w:val="es-419"/>
              </w:rPr>
              <w:t xml:space="preserve">políticas en materia de </w:t>
            </w:r>
            <w:r w:rsidR="0030450C" w:rsidRPr="0038186B">
              <w:rPr>
                <w:lang w:val="es-419"/>
              </w:rPr>
              <w:t xml:space="preserve">PI </w:t>
            </w:r>
            <w:r w:rsidR="007B2A5C" w:rsidRPr="0038186B">
              <w:rPr>
                <w:lang w:val="es-419"/>
              </w:rPr>
              <w:t>para abordar</w:t>
            </w:r>
            <w:r w:rsidRPr="0038186B">
              <w:rPr>
                <w:lang w:val="es-419"/>
              </w:rPr>
              <w:t xml:space="preserve"> cuestiones </w:t>
            </w:r>
            <w:r w:rsidR="00D0210A" w:rsidRPr="0038186B">
              <w:rPr>
                <w:lang w:val="es-419"/>
              </w:rPr>
              <w:t xml:space="preserve">de política </w:t>
            </w:r>
            <w:r w:rsidRPr="0038186B">
              <w:rPr>
                <w:lang w:val="es-419"/>
              </w:rPr>
              <w:t>púb</w:t>
            </w:r>
            <w:r w:rsidR="00D0210A" w:rsidRPr="0038186B">
              <w:rPr>
                <w:lang w:val="es-419"/>
              </w:rPr>
              <w:t>lica relacionadas con los CC.TT.</w:t>
            </w:r>
          </w:p>
          <w:p w:rsidR="00DF5574" w:rsidRPr="0038186B" w:rsidRDefault="00D0210A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Reconocer el </w:t>
            </w:r>
            <w:r w:rsidR="00F55DF3" w:rsidRPr="0038186B">
              <w:rPr>
                <w:lang w:val="es-419"/>
              </w:rPr>
              <w:t xml:space="preserve">valor </w:t>
            </w:r>
            <w:r w:rsidR="003E18B8" w:rsidRPr="0038186B">
              <w:rPr>
                <w:lang w:val="es-419"/>
              </w:rPr>
              <w:t xml:space="preserve">de los sistemas de CC.TT. </w:t>
            </w:r>
            <w:r w:rsidR="00F55DF3" w:rsidRPr="0038186B">
              <w:rPr>
                <w:lang w:val="es-419"/>
              </w:rPr>
              <w:t xml:space="preserve">y fomentar </w:t>
            </w:r>
            <w:r w:rsidR="003E18B8" w:rsidRPr="0038186B">
              <w:rPr>
                <w:lang w:val="es-419"/>
              </w:rPr>
              <w:t>su</w:t>
            </w:r>
            <w:r w:rsidR="00F55DF3" w:rsidRPr="0038186B">
              <w:rPr>
                <w:lang w:val="es-419"/>
              </w:rPr>
              <w:t xml:space="preserve"> respeto</w:t>
            </w:r>
            <w:r w:rsidR="003E18B8" w:rsidRPr="0038186B">
              <w:rPr>
                <w:lang w:val="es-419"/>
              </w:rPr>
              <w:t>;</w:t>
            </w:r>
            <w:r w:rsidR="00F55DF3" w:rsidRPr="0038186B">
              <w:rPr>
                <w:lang w:val="es-419"/>
              </w:rPr>
              <w:t xml:space="preserve"> atender las necesidades reales de los titulares de CC.TT.;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proteger</w:t>
            </w:r>
            <w:r w:rsidR="00F55DF3" w:rsidRPr="0038186B">
              <w:rPr>
                <w:lang w:val="es-419"/>
              </w:rPr>
              <w:t xml:space="preserve"> contra la apropiación indebida de los CC.TT. y otros usos desleales o injustos;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proteger la creatividad y la innovación basadas en la tradición;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apoyar los sistemas de CC.TT. y empoderar a los titulares de P.I.;</w:t>
            </w:r>
            <w:r w:rsidR="003E18B8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 xml:space="preserve">fomentar </w:t>
            </w:r>
            <w:r w:rsidR="003E18B8" w:rsidRPr="0038186B">
              <w:rPr>
                <w:lang w:val="es-419"/>
              </w:rPr>
              <w:t xml:space="preserve">la distribución </w:t>
            </w:r>
            <w:r w:rsidR="00DF1243" w:rsidRPr="0038186B">
              <w:rPr>
                <w:lang w:val="es-419"/>
              </w:rPr>
              <w:t>equitativ</w:t>
            </w:r>
            <w:r w:rsidR="003E18B8" w:rsidRPr="0038186B">
              <w:rPr>
                <w:lang w:val="es-419"/>
              </w:rPr>
              <w:t>a</w:t>
            </w:r>
            <w:r w:rsidR="00DF1243" w:rsidRPr="0038186B">
              <w:rPr>
                <w:lang w:val="es-419"/>
              </w:rPr>
              <w:t xml:space="preserve"> de los beneficios derivados de la utilización de los CC.TT.;</w:t>
            </w:r>
            <w:r w:rsidR="009B55F6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fomentar la utilización de los CC.TT. en aras de un desarrollo adecuado</w:t>
            </w:r>
            <w:r w:rsidR="00E35C55" w:rsidRPr="0038186B">
              <w:rPr>
                <w:lang w:val="es-419"/>
              </w:rPr>
              <w:t xml:space="preserve">; </w:t>
            </w:r>
            <w:r w:rsidR="00DF1243" w:rsidRPr="0038186B">
              <w:rPr>
                <w:lang w:val="es-419"/>
              </w:rPr>
              <w:t xml:space="preserve">apoyar la salvaguardia y preservación de los </w:t>
            </w:r>
            <w:r w:rsidR="001970C2" w:rsidRPr="0038186B">
              <w:rPr>
                <w:lang w:val="es-419"/>
              </w:rPr>
              <w:t>CC.TT.</w:t>
            </w:r>
          </w:p>
          <w:p w:rsidR="003F7E91" w:rsidRPr="0038186B" w:rsidRDefault="003F7E91" w:rsidP="003F7E91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Tratado o declaración </w:t>
            </w:r>
            <w:r w:rsidR="00E419E9" w:rsidRPr="0038186B">
              <w:rPr>
                <w:lang w:val="es-419"/>
              </w:rPr>
              <w:t xml:space="preserve">internacional </w:t>
            </w:r>
            <w:r w:rsidRPr="0038186B">
              <w:rPr>
                <w:lang w:val="es-419"/>
              </w:rPr>
              <w:t xml:space="preserve">que establezca un marco para la protección de los CC.TT. en el sistema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E419E9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xplicite</w:t>
            </w:r>
            <w:r w:rsidR="00344979" w:rsidRPr="0038186B">
              <w:rPr>
                <w:lang w:val="es-419"/>
              </w:rPr>
              <w:t xml:space="preserve"> los objetivos de la protección;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78560B" w:rsidRPr="0038186B">
              <w:rPr>
                <w:lang w:val="es-419"/>
              </w:rPr>
              <w:t>defina los</w:t>
            </w:r>
            <w:r w:rsidR="00344979" w:rsidRPr="0038186B">
              <w:rPr>
                <w:lang w:val="es-419"/>
              </w:rPr>
              <w:t xml:space="preserve"> principios generales de </w:t>
            </w:r>
            <w:r w:rsidR="0078560B"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protección.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función de los instrumentos </w:t>
            </w:r>
            <w:r w:rsidR="007B2A5C" w:rsidRPr="0038186B">
              <w:rPr>
                <w:lang w:val="es-419"/>
              </w:rPr>
              <w:t>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 xml:space="preserve"> y no 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0210A" w:rsidRPr="0038186B">
              <w:rPr>
                <w:lang w:val="es-419"/>
              </w:rPr>
              <w:t xml:space="preserve">contraste entre la </w:t>
            </w:r>
            <w:r w:rsidR="000910E8" w:rsidRPr="0038186B">
              <w:rPr>
                <w:lang w:val="es-419"/>
              </w:rPr>
              <w:t xml:space="preserve">dimensión </w:t>
            </w:r>
            <w:r w:rsidRPr="0038186B">
              <w:rPr>
                <w:lang w:val="es-419"/>
              </w:rPr>
              <w:t>polític</w:t>
            </w:r>
            <w:r w:rsidR="000910E8" w:rsidRPr="0038186B">
              <w:rPr>
                <w:lang w:val="es-419"/>
              </w:rPr>
              <w:t xml:space="preserve">a y </w:t>
            </w:r>
            <w:r w:rsidR="00D0210A" w:rsidRPr="0038186B">
              <w:rPr>
                <w:lang w:val="es-419"/>
              </w:rPr>
              <w:t xml:space="preserve">la dimensión </w:t>
            </w:r>
            <w:r w:rsidRPr="0038186B">
              <w:rPr>
                <w:lang w:val="es-419"/>
              </w:rPr>
              <w:t>jurídic</w:t>
            </w:r>
            <w:r w:rsidR="000910E8" w:rsidRPr="0038186B">
              <w:rPr>
                <w:lang w:val="es-419"/>
              </w:rPr>
              <w:t xml:space="preserve">a </w:t>
            </w:r>
            <w:r w:rsidRPr="0038186B">
              <w:rPr>
                <w:lang w:val="es-419"/>
              </w:rPr>
              <w:t>de las cuestiones</w:t>
            </w:r>
            <w:r w:rsidR="000910E8" w:rsidRPr="0038186B">
              <w:rPr>
                <w:lang w:val="es-419"/>
              </w:rPr>
              <w:t xml:space="preserve"> examinadas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enfoque internacional coordinado frente a </w:t>
            </w:r>
            <w:r w:rsidR="00F31CD6" w:rsidRPr="0038186B">
              <w:rPr>
                <w:lang w:val="es-419"/>
              </w:rPr>
              <w:t>las</w:t>
            </w:r>
            <w:r w:rsidR="002443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iniciativas nacionales autónomas;</w:t>
            </w:r>
          </w:p>
          <w:p w:rsidR="00DF5574" w:rsidRPr="0038186B" w:rsidRDefault="00344979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beneficio de </w:t>
            </w:r>
            <w:r w:rsidR="000910E8" w:rsidRPr="0038186B">
              <w:rPr>
                <w:lang w:val="es-419"/>
              </w:rPr>
              <w:t xml:space="preserve">contar con </w:t>
            </w:r>
            <w:r w:rsidRPr="0038186B">
              <w:rPr>
                <w:lang w:val="es-419"/>
              </w:rPr>
              <w:t xml:space="preserve">una base </w:t>
            </w:r>
            <w:r w:rsidR="00F31CD6" w:rsidRPr="0038186B">
              <w:rPr>
                <w:lang w:val="es-419"/>
              </w:rPr>
              <w:t xml:space="preserve">normativa </w:t>
            </w:r>
            <w:r w:rsidRPr="0038186B">
              <w:rPr>
                <w:lang w:val="es-419"/>
              </w:rPr>
              <w:t xml:space="preserve">más </w:t>
            </w:r>
            <w:r w:rsidR="000910E8" w:rsidRPr="0038186B">
              <w:rPr>
                <w:lang w:val="es-419"/>
              </w:rPr>
              <w:t xml:space="preserve">sólida </w:t>
            </w:r>
            <w:r w:rsidRPr="0038186B">
              <w:rPr>
                <w:lang w:val="es-419"/>
              </w:rPr>
              <w:t>y principios general</w:t>
            </w:r>
            <w:r w:rsidR="00DB4FB2" w:rsidRPr="0038186B">
              <w:rPr>
                <w:lang w:val="es-419"/>
              </w:rPr>
              <w:t>es bien asentados</w:t>
            </w:r>
            <w:r w:rsidRPr="0038186B">
              <w:rPr>
                <w:lang w:val="es-419"/>
              </w:rPr>
              <w:t xml:space="preserve"> para </w:t>
            </w:r>
            <w:r w:rsidR="00DB4FB2" w:rsidRPr="0038186B">
              <w:rPr>
                <w:lang w:val="es-419"/>
              </w:rPr>
              <w:t xml:space="preserve">proseguir </w:t>
            </w:r>
            <w:r w:rsidRPr="0038186B">
              <w:rPr>
                <w:lang w:val="es-419"/>
              </w:rPr>
              <w:t xml:space="preserve">la labor sobre </w:t>
            </w:r>
            <w:r w:rsidR="000910E8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protección jurídica.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necesidad de abordar la protección positiva y la protección preventiva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B4FB2" w:rsidRPr="0038186B">
              <w:rPr>
                <w:lang w:val="es-419"/>
              </w:rPr>
              <w:t xml:space="preserve">tratar la cuestión del </w:t>
            </w:r>
            <w:r w:rsidR="00DF1243" w:rsidRPr="0038186B">
              <w:rPr>
                <w:lang w:val="es-419"/>
              </w:rPr>
              <w:t>consentimiento fundamentado previo y la participación en los beneficios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F31CD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</w:t>
            </w:r>
            <w:r w:rsidR="005C25A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susceptibles de </w:t>
            </w:r>
            <w:r w:rsidR="00F31CD6" w:rsidRPr="0038186B">
              <w:rPr>
                <w:lang w:val="es-419"/>
              </w:rPr>
              <w:t xml:space="preserve">protección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9524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 xml:space="preserve">CC.TT. </w:t>
            </w:r>
            <w:r w:rsidRPr="0038186B">
              <w:rPr>
                <w:lang w:val="es-419"/>
              </w:rPr>
              <w:t>están abarcados en</w:t>
            </w:r>
            <w:r w:rsidR="00344979" w:rsidRPr="0038186B">
              <w:rPr>
                <w:lang w:val="es-419"/>
              </w:rPr>
              <w:t xml:space="preserve"> instrumentos jurídicos vigentes no relacionados con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sin </w:t>
            </w:r>
            <w:r w:rsidRPr="0038186B">
              <w:rPr>
                <w:lang w:val="es-419"/>
              </w:rPr>
              <w:t>ser definidos de forma precisa desde un punto de vista</w:t>
            </w:r>
            <w:r w:rsidR="00344979" w:rsidRPr="0038186B">
              <w:rPr>
                <w:lang w:val="es-419"/>
              </w:rPr>
              <w:t xml:space="preserve"> jurídic</w:t>
            </w:r>
            <w:r w:rsidRPr="0038186B">
              <w:rPr>
                <w:lang w:val="es-419"/>
              </w:rPr>
              <w:t>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49524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trabajo en el </w:t>
            </w:r>
            <w:r w:rsidR="0049524D" w:rsidRPr="0038186B">
              <w:rPr>
                <w:lang w:val="es-419"/>
              </w:rPr>
              <w:t>CIG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de trabajo de los CC.TT.:</w:t>
            </w:r>
          </w:p>
          <w:p w:rsidR="00DF5574" w:rsidRPr="0038186B" w:rsidRDefault="00DF124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e</w:t>
            </w:r>
            <w:r w:rsidR="00344979" w:rsidRPr="0038186B">
              <w:rPr>
                <w:lang w:val="es-419"/>
              </w:rPr>
              <w:t xml:space="preserve">n </w:t>
            </w:r>
            <w:r w:rsidRPr="0038186B">
              <w:rPr>
                <w:lang w:val="es-419"/>
              </w:rPr>
              <w:t>términos generales</w:t>
            </w:r>
          </w:p>
          <w:p w:rsidR="00DF5574" w:rsidRPr="0038186B" w:rsidRDefault="00DF1243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como objeto </w:t>
            </w:r>
            <w:r w:rsidR="00667988" w:rsidRPr="0038186B">
              <w:rPr>
                <w:lang w:val="es-419"/>
              </w:rPr>
              <w:t>específico</w:t>
            </w:r>
            <w:r w:rsidR="00344979" w:rsidRPr="0038186B">
              <w:rPr>
                <w:lang w:val="es-419"/>
              </w:rPr>
              <w:t xml:space="preserve"> de protección jurídica.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18B8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Precisar</w:t>
            </w:r>
            <w:r w:rsidR="00667988" w:rsidRPr="0038186B">
              <w:rPr>
                <w:lang w:val="es-419"/>
              </w:rPr>
              <w:t xml:space="preserve"> la base comunitaria de los derechos y </w:t>
            </w:r>
            <w:r w:rsidR="00CA2BE8" w:rsidRPr="0038186B">
              <w:rPr>
                <w:lang w:val="es-419"/>
              </w:rPr>
              <w:t>prerrogativas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Definición </w:t>
            </w:r>
            <w:r w:rsidR="005C25AE" w:rsidRPr="0038186B">
              <w:rPr>
                <w:szCs w:val="22"/>
                <w:lang w:val="es-419"/>
              </w:rPr>
              <w:t xml:space="preserve">jurídicamente vinculante </w:t>
            </w:r>
            <w:r w:rsidRPr="0038186B">
              <w:rPr>
                <w:szCs w:val="22"/>
                <w:lang w:val="es-419"/>
              </w:rPr>
              <w:t xml:space="preserve">de </w:t>
            </w:r>
            <w:r w:rsidR="005C25AE" w:rsidRPr="0038186B">
              <w:rPr>
                <w:szCs w:val="22"/>
                <w:lang w:val="es-419"/>
              </w:rPr>
              <w:t xml:space="preserve">los </w:t>
            </w:r>
            <w:r w:rsidRPr="0038186B">
              <w:rPr>
                <w:szCs w:val="22"/>
                <w:lang w:val="es-419"/>
              </w:rPr>
              <w:t>CC.TT.:</w:t>
            </w: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5"/>
              </w:numPr>
              <w:tabs>
                <w:tab w:val="clear" w:pos="1080"/>
              </w:tabs>
              <w:ind w:left="195" w:firstLine="0"/>
              <w:rPr>
                <w:rFonts w:ascii="Arial" w:hAnsi="Arial" w:cs="Arial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ce</w:t>
            </w:r>
            <w:r w:rsidR="0049524D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rtidumbre y claridad jurídicas;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podría no reflejar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toda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d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iversidad de los CC.TT.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, de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los sistemas de conocimientos y de las comunidades titulares de CC.TT</w:t>
            </w:r>
            <w:r w:rsidRPr="0038186B">
              <w:rPr>
                <w:rFonts w:ascii="Arial" w:hAnsi="Arial" w:cs="Arial"/>
                <w:lang w:val="es-419"/>
              </w:rPr>
              <w:t>.</w:t>
            </w:r>
          </w:p>
          <w:p w:rsidR="00DF5574" w:rsidRPr="0038186B" w:rsidRDefault="00FD6EEF" w:rsidP="005C25AE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noBreakHyphen/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vinculada a la cuestión del alcance de la protección y </w:t>
            </w:r>
            <w:r w:rsidR="005C25AE"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beneficiarios;</w:t>
            </w:r>
          </w:p>
          <w:p w:rsidR="00DF5574" w:rsidRPr="0038186B" w:rsidRDefault="00DF5574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Caracterización de los CC.TT.</w:t>
            </w:r>
            <w:r w:rsidR="00B63935" w:rsidRPr="0038186B">
              <w:rPr>
                <w:lang w:val="es-419"/>
              </w:rPr>
              <w:t xml:space="preserve"> acordada internacionalmente</w:t>
            </w:r>
            <w:r w:rsidR="00D95D00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sin fuerza jurídica vinculante:</w:t>
            </w:r>
          </w:p>
          <w:p w:rsidR="00DF5574" w:rsidRPr="0038186B" w:rsidRDefault="005C25AE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noBreakHyphen/>
            </w:r>
            <w:r w:rsidR="009B55F6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>mayor grado de claridad, base de trabajo más sólida</w:t>
            </w:r>
          </w:p>
          <w:p w:rsidR="00DF5574" w:rsidRPr="0038186B" w:rsidRDefault="00D7240A" w:rsidP="00D7240A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noBreakHyphen/>
            </w:r>
            <w:r w:rsidR="001A60B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no prejuzga 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las cuestiones 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>jurídic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s y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normativ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as más compleja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positiva de patentes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de patentes establecido, </w:t>
            </w:r>
            <w:r w:rsidR="00D2721E" w:rsidRPr="0038186B">
              <w:rPr>
                <w:lang w:val="es-419"/>
              </w:rPr>
              <w:t xml:space="preserve">incluidas </w:t>
            </w:r>
            <w:r w:rsidRPr="0038186B">
              <w:rPr>
                <w:lang w:val="es-419"/>
              </w:rPr>
              <w:t xml:space="preserve">las normas y </w:t>
            </w:r>
            <w:r w:rsidR="00D2721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procedimientos del Acuerdo sobre los AD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y del PCT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1970C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de marcas, símbolos y nombres asociados con los </w:t>
            </w:r>
            <w:r w:rsidRPr="0038186B">
              <w:rPr>
                <w:lang w:val="es-419"/>
              </w:rPr>
              <w:t>CC.TT.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y los sistemas de </w:t>
            </w:r>
            <w:r w:rsidRPr="0038186B">
              <w:rPr>
                <w:lang w:val="es-419"/>
              </w:rPr>
              <w:t>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95D0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se ofrece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>directa a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la innovación colectiva acumulada </w:t>
            </w:r>
            <w:r w:rsidR="000C2F75" w:rsidRPr="0038186B">
              <w:rPr>
                <w:lang w:val="es-419"/>
              </w:rPr>
              <w:t>y de carácter intergeneracional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ii)</w:t>
            </w:r>
            <w:r w:rsidR="001A60B0" w:rsidRPr="0038186B">
              <w:rPr>
                <w:lang w:val="es-419"/>
              </w:rPr>
              <w:t xml:space="preserve"> </w:t>
            </w:r>
            <w:r w:rsidR="00667988" w:rsidRPr="0038186B">
              <w:rPr>
                <w:lang w:val="es-419"/>
              </w:rPr>
              <w:t>los sistemas de CC.TT. como tales (</w:t>
            </w:r>
            <w:r w:rsidR="00D2721E" w:rsidRPr="0038186B">
              <w:rPr>
                <w:lang w:val="es-419"/>
              </w:rPr>
              <w:t xml:space="preserve">al contrario de las </w:t>
            </w:r>
            <w:r w:rsidR="00667988" w:rsidRPr="0038186B">
              <w:rPr>
                <w:lang w:val="es-419"/>
              </w:rPr>
              <w:t xml:space="preserve">innovaciones específicas </w:t>
            </w:r>
            <w:r w:rsidR="00D2721E" w:rsidRPr="0038186B">
              <w:rPr>
                <w:lang w:val="es-419"/>
              </w:rPr>
              <w:t xml:space="preserve">dentro </w:t>
            </w:r>
            <w:r w:rsidR="00667988" w:rsidRPr="0038186B">
              <w:rPr>
                <w:lang w:val="es-419"/>
              </w:rPr>
              <w:t>de los sistem</w:t>
            </w:r>
            <w:r w:rsidR="00D2721E" w:rsidRPr="0038186B">
              <w:rPr>
                <w:lang w:val="es-419"/>
              </w:rPr>
              <w:t xml:space="preserve">as de CC.TT., los </w:t>
            </w:r>
            <w:r w:rsidR="00667988" w:rsidRPr="0038186B">
              <w:rPr>
                <w:lang w:val="es-419"/>
              </w:rPr>
              <w:t xml:space="preserve">medios de certificación de la autenticidad y </w:t>
            </w:r>
            <w:r w:rsidR="00D2721E" w:rsidRPr="0038186B">
              <w:rPr>
                <w:lang w:val="es-419"/>
              </w:rPr>
              <w:t xml:space="preserve">la </w:t>
            </w:r>
            <w:r w:rsidR="00667988" w:rsidRPr="0038186B">
              <w:rPr>
                <w:lang w:val="es-419"/>
              </w:rPr>
              <w:t xml:space="preserve">protección de </w:t>
            </w:r>
            <w:r w:rsidR="00C664A0" w:rsidRPr="0038186B">
              <w:rPr>
                <w:lang w:val="es-419"/>
              </w:rPr>
              <w:t xml:space="preserve">la reputación y los </w:t>
            </w:r>
            <w:r w:rsidR="00667988" w:rsidRPr="0038186B">
              <w:rPr>
                <w:lang w:val="es-419"/>
              </w:rPr>
              <w:t xml:space="preserve">signos </w:t>
            </w:r>
            <w:r w:rsidR="00C664A0" w:rsidRPr="0038186B">
              <w:rPr>
                <w:lang w:val="es-419"/>
              </w:rPr>
              <w:t>distintivos</w:t>
            </w:r>
            <w:r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C2F75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Revisar</w:t>
            </w:r>
            <w:r w:rsidR="00344979" w:rsidRPr="0038186B">
              <w:rPr>
                <w:lang w:val="es-419"/>
              </w:rPr>
              <w:t xml:space="preserve"> o adaptar los criterios y </w:t>
            </w:r>
            <w:r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normas de patentabilidad para </w:t>
            </w:r>
            <w:r w:rsidRPr="0038186B">
              <w:rPr>
                <w:lang w:val="es-419"/>
              </w:rPr>
              <w:t xml:space="preserve">asegurar el reconocimiento de los </w:t>
            </w:r>
            <w:r w:rsidR="00344979" w:rsidRPr="0038186B">
              <w:rPr>
                <w:lang w:val="es-419"/>
              </w:rPr>
              <w:t xml:space="preserve">sistemas de CC.TT. y </w:t>
            </w:r>
            <w:r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intereses colectivos: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37502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5D5692" w:rsidRPr="0038186B">
              <w:rPr>
                <w:lang w:val="es-419"/>
              </w:rPr>
              <w:t>a nivel nacional</w:t>
            </w:r>
            <w:r w:rsidR="00D2721E" w:rsidRPr="0038186B">
              <w:rPr>
                <w:lang w:val="es-419"/>
              </w:rPr>
              <w:t>/</w:t>
            </w:r>
            <w:r w:rsidR="005D5692" w:rsidRPr="0038186B">
              <w:rPr>
                <w:lang w:val="es-419"/>
              </w:rPr>
              <w:t>regional para mantener la flexibilidad necesaria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Establecer una 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(véase más a</w:t>
            </w:r>
            <w:r w:rsidR="005D5692" w:rsidRPr="0038186B">
              <w:rPr>
                <w:lang w:val="es-419"/>
              </w:rPr>
              <w:t>bajo</w:t>
            </w:r>
            <w:r w:rsidRPr="0038186B">
              <w:rPr>
                <w:lang w:val="es-419"/>
              </w:rPr>
              <w:t>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Reconocer</w:t>
            </w:r>
            <w:r w:rsidR="00C664A0" w:rsidRPr="0038186B">
              <w:rPr>
                <w:lang w:val="es-419"/>
              </w:rPr>
              <w:t xml:space="preserve"> que, en la medida en </w:t>
            </w:r>
            <w:r w:rsidR="0034679B" w:rsidRPr="0038186B">
              <w:rPr>
                <w:lang w:val="es-419"/>
              </w:rPr>
              <w:t xml:space="preserve">que </w:t>
            </w:r>
            <w:r w:rsidR="00DA16DA" w:rsidRPr="0038186B">
              <w:rPr>
                <w:lang w:val="es-419"/>
              </w:rPr>
              <w:t xml:space="preserve">muchos aspectos de </w:t>
            </w:r>
            <w:r w:rsidR="00C664A0" w:rsidRPr="0038186B">
              <w:rPr>
                <w:lang w:val="es-419"/>
              </w:rPr>
              <w:t xml:space="preserve">los CC.TT. </w:t>
            </w:r>
            <w:r w:rsidR="00DA16DA" w:rsidRPr="0038186B">
              <w:rPr>
                <w:lang w:val="es-419"/>
              </w:rPr>
              <w:t>están excluidos</w:t>
            </w:r>
            <w:r w:rsidR="00C664A0" w:rsidRPr="0038186B">
              <w:rPr>
                <w:lang w:val="es-419"/>
              </w:rPr>
              <w:t xml:space="preserve"> del sistema de patentes, </w:t>
            </w:r>
            <w:r w:rsidR="00DA16DA" w:rsidRPr="0038186B">
              <w:rPr>
                <w:lang w:val="es-419"/>
              </w:rPr>
              <w:t>sería preferible tratar</w:t>
            </w:r>
            <w:r w:rsidR="00C664A0" w:rsidRPr="0038186B">
              <w:rPr>
                <w:lang w:val="es-419"/>
              </w:rPr>
              <w:t xml:space="preserve"> los sistemas de innovación de los CC.TT. </w:t>
            </w:r>
            <w:r w:rsidRPr="0038186B">
              <w:rPr>
                <w:lang w:val="es-419"/>
              </w:rPr>
              <w:t xml:space="preserve">sobre la base de </w:t>
            </w:r>
            <w:r w:rsidR="00C664A0" w:rsidRPr="0038186B">
              <w:rPr>
                <w:lang w:val="es-419"/>
              </w:rPr>
              <w:t>sus características propias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Invenciones basadas en CC.TT</w:t>
            </w:r>
            <w:r w:rsidR="001970C2" w:rsidRPr="0038186B">
              <w:rPr>
                <w:lang w:val="es-419"/>
              </w:rPr>
              <w:t>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Medidas específicas en el PCT, la C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y el CIG para reconocer los CC.TT.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Falta </w:t>
            </w:r>
            <w:r w:rsidR="00344979" w:rsidRPr="0038186B">
              <w:rPr>
                <w:lang w:val="es-419"/>
              </w:rPr>
              <w:t xml:space="preserve">de una norma internacional acordada </w:t>
            </w:r>
            <w:r w:rsidR="00DA16DA" w:rsidRPr="0038186B">
              <w:rPr>
                <w:lang w:val="es-419"/>
              </w:rPr>
              <w:t xml:space="preserve">en relación con </w:t>
            </w:r>
            <w:r w:rsidR="00344979" w:rsidRPr="0038186B">
              <w:rPr>
                <w:lang w:val="es-419"/>
              </w:rPr>
              <w:t xml:space="preserve">un mecanismo de divulgación </w:t>
            </w:r>
            <w:r w:rsidRPr="0038186B">
              <w:rPr>
                <w:lang w:val="es-419"/>
              </w:rPr>
              <w:t>específico para</w:t>
            </w:r>
            <w:r w:rsidR="00344979" w:rsidRPr="0038186B">
              <w:rPr>
                <w:lang w:val="es-419"/>
              </w:rPr>
              <w:t xml:space="preserve"> los CC.TT. y los recursos genéticos conexos: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propuestas </w:t>
            </w:r>
            <w:r w:rsidR="005D5692" w:rsidRPr="0038186B">
              <w:rPr>
                <w:lang w:val="es-419"/>
              </w:rPr>
              <w:t xml:space="preserve">diversas </w:t>
            </w:r>
            <w:r w:rsidRPr="0038186B">
              <w:rPr>
                <w:lang w:val="es-419"/>
              </w:rPr>
              <w:t>(CDB, OMC, OM</w:t>
            </w:r>
            <w:r w:rsidR="00F5316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</w:t>
            </w:r>
            <w:r w:rsidR="00DA16DA" w:rsidRPr="0038186B">
              <w:rPr>
                <w:lang w:val="es-419"/>
              </w:rPr>
              <w:t xml:space="preserve">stituir </w:t>
            </w:r>
            <w:r w:rsidRPr="0038186B">
              <w:rPr>
                <w:lang w:val="es-419"/>
              </w:rPr>
              <w:t xml:space="preserve">mecanismos de divulgación </w:t>
            </w:r>
            <w:r w:rsidR="00DA16DA" w:rsidRPr="0038186B">
              <w:rPr>
                <w:lang w:val="es-419"/>
              </w:rPr>
              <w:t>para</w:t>
            </w:r>
            <w:r w:rsidRPr="0038186B">
              <w:rPr>
                <w:lang w:val="es-419"/>
              </w:rPr>
              <w:t xml:space="preserve"> los CC.TT.: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C664A0" w:rsidRPr="0038186B">
              <w:rPr>
                <w:lang w:val="es-419"/>
              </w:rPr>
              <w:t>a nivel nacional</w:t>
            </w:r>
            <w:r w:rsidR="00DA16DA" w:rsidRPr="0038186B">
              <w:rPr>
                <w:lang w:val="es-419"/>
              </w:rPr>
              <w:t>/</w:t>
            </w:r>
            <w:r w:rsidR="00C664A0" w:rsidRPr="0038186B">
              <w:rPr>
                <w:lang w:val="es-419"/>
              </w:rPr>
              <w:t>regional para mantener la flexibilidad nece</w:t>
            </w:r>
            <w:r w:rsidR="005D5692" w:rsidRPr="0038186B">
              <w:rPr>
                <w:lang w:val="es-419"/>
              </w:rPr>
              <w:t>s</w:t>
            </w:r>
            <w:r w:rsidR="00C664A0" w:rsidRPr="0038186B">
              <w:rPr>
                <w:lang w:val="es-419"/>
              </w:rPr>
              <w:t>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Reforzar el marco de las obligaciones contractuales que rigen el acceso a los CC.TT. en la </w:t>
            </w:r>
            <w:r w:rsidR="00F53161" w:rsidRPr="0038186B">
              <w:rPr>
                <w:lang w:val="es-419"/>
              </w:rPr>
              <w:t>legislación</w:t>
            </w:r>
            <w:r w:rsidRPr="0038186B">
              <w:rPr>
                <w:lang w:val="es-419"/>
              </w:rPr>
              <w:t xml:space="preserve"> nacional </w:t>
            </w:r>
            <w:r w:rsidR="00F53161" w:rsidRPr="0038186B">
              <w:rPr>
                <w:lang w:val="es-419"/>
              </w:rPr>
              <w:t xml:space="preserve">de modo que se </w:t>
            </w:r>
            <w:r w:rsidRPr="0038186B">
              <w:rPr>
                <w:lang w:val="es-419"/>
              </w:rPr>
              <w:t xml:space="preserve">exija </w:t>
            </w:r>
            <w:r w:rsidR="00F53161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divulgación y otras condiciones para el acceso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Conocimientos tradicionales no divulgados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Normas del 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sobre la protección de información no divulgada en general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5316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Falta de</w:t>
            </w:r>
            <w:r w:rsidR="00344979" w:rsidRPr="0038186B">
              <w:rPr>
                <w:lang w:val="es-419"/>
              </w:rPr>
              <w:t xml:space="preserve"> normas explícitas sobre: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divulgados </w:t>
            </w:r>
            <w:r w:rsidR="00F53161" w:rsidRPr="0038186B">
              <w:rPr>
                <w:lang w:val="es-419"/>
              </w:rPr>
              <w:t xml:space="preserve">dentro de </w:t>
            </w:r>
            <w:r w:rsidRPr="0038186B">
              <w:rPr>
                <w:lang w:val="es-419"/>
              </w:rPr>
              <w:t>una comunidad definida;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que la comunidad valora </w:t>
            </w:r>
            <w:r w:rsidR="00F4285B" w:rsidRPr="0038186B">
              <w:rPr>
                <w:lang w:val="es-419"/>
              </w:rPr>
              <w:t xml:space="preserve">por motivos culturales o </w:t>
            </w:r>
            <w:r w:rsidRPr="0038186B">
              <w:rPr>
                <w:lang w:val="es-419"/>
              </w:rPr>
              <w:t>espiritual</w:t>
            </w:r>
            <w:r w:rsidR="00F4285B" w:rsidRPr="0038186B">
              <w:rPr>
                <w:lang w:val="es-419"/>
              </w:rPr>
              <w:t>es,</w:t>
            </w:r>
            <w:r w:rsidRPr="0038186B">
              <w:rPr>
                <w:lang w:val="es-419"/>
              </w:rPr>
              <w:t xml:space="preserve"> </w:t>
            </w:r>
            <w:r w:rsidR="00F4285B" w:rsidRPr="0038186B">
              <w:rPr>
                <w:lang w:val="es-419"/>
              </w:rPr>
              <w:t>y no</w:t>
            </w:r>
            <w:r w:rsidRPr="0038186B">
              <w:rPr>
                <w:lang w:val="es-419"/>
              </w:rPr>
              <w:t xml:space="preserve"> comercial</w:t>
            </w:r>
            <w:r w:rsidR="00F4285B" w:rsidRPr="0038186B">
              <w:rPr>
                <w:lang w:val="es-419"/>
              </w:rPr>
              <w:t>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</w:t>
            </w:r>
            <w:r w:rsidR="00F4285B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 xml:space="preserve">divulgación de los CC.TT. </w:t>
            </w:r>
            <w:r w:rsidR="00F4285B" w:rsidRPr="0038186B">
              <w:rPr>
                <w:lang w:val="es-419"/>
              </w:rPr>
              <w:t xml:space="preserve">puede estar </w:t>
            </w:r>
            <w:r w:rsidRPr="0038186B">
              <w:rPr>
                <w:lang w:val="es-419"/>
              </w:rPr>
              <w:t xml:space="preserve">limitada por </w:t>
            </w:r>
            <w:r w:rsidR="00573757" w:rsidRPr="0038186B">
              <w:rPr>
                <w:lang w:val="es-419"/>
              </w:rPr>
              <w:t xml:space="preserve">normas del derecho </w:t>
            </w:r>
            <w:r w:rsidRPr="0038186B">
              <w:rPr>
                <w:lang w:val="es-419"/>
              </w:rPr>
              <w:t>consuetudinari</w:t>
            </w:r>
            <w:r w:rsidR="00573757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>.</w:t>
            </w: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Aclarar o adaptar las normas vigentes </w:t>
            </w:r>
            <w:r w:rsidR="00573757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>asegurar: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que la difusión </w:t>
            </w:r>
            <w:r w:rsidR="00573757" w:rsidRPr="0038186B">
              <w:rPr>
                <w:lang w:val="es-419"/>
              </w:rPr>
              <w:t>limitada</w:t>
            </w:r>
            <w:r w:rsidRPr="0038186B">
              <w:rPr>
                <w:lang w:val="es-419"/>
              </w:rPr>
              <w:t xml:space="preserve"> </w:t>
            </w:r>
            <w:r w:rsidR="00573757" w:rsidRPr="0038186B">
              <w:rPr>
                <w:lang w:val="es-419"/>
              </w:rPr>
              <w:t>dentro de</w:t>
            </w:r>
            <w:r w:rsidRPr="0038186B">
              <w:rPr>
                <w:lang w:val="es-419"/>
              </w:rPr>
              <w:t xml:space="preserve"> una comunidad de</w:t>
            </w:r>
            <w:r w:rsidR="00573757" w:rsidRPr="0038186B">
              <w:rPr>
                <w:lang w:val="es-419"/>
              </w:rPr>
              <w:t>terminada</w:t>
            </w:r>
            <w:r w:rsidRPr="0038186B">
              <w:rPr>
                <w:lang w:val="es-419"/>
              </w:rPr>
              <w:t xml:space="preserve"> no </w:t>
            </w:r>
            <w:r w:rsidR="00573757" w:rsidRPr="0038186B">
              <w:rPr>
                <w:lang w:val="es-419"/>
              </w:rPr>
              <w:t xml:space="preserve">sea motivo para </w:t>
            </w:r>
            <w:r w:rsidR="00233C28" w:rsidRPr="0038186B">
              <w:rPr>
                <w:lang w:val="es-419"/>
              </w:rPr>
              <w:t>una</w:t>
            </w:r>
            <w:r w:rsidRPr="0038186B">
              <w:rPr>
                <w:lang w:val="es-419"/>
              </w:rPr>
              <w:t xml:space="preserve"> divulgación pública </w:t>
            </w:r>
            <w:r w:rsidR="00233C28" w:rsidRPr="0038186B">
              <w:rPr>
                <w:lang w:val="es-419"/>
              </w:rPr>
              <w:t>total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652309" w:rsidRPr="0038186B">
              <w:rPr>
                <w:lang w:val="es-419"/>
              </w:rPr>
              <w:t>que se proteja</w:t>
            </w:r>
            <w:r w:rsidR="008F5FCB" w:rsidRPr="0038186B">
              <w:rPr>
                <w:lang w:val="es-419"/>
              </w:rPr>
              <w:t>n los CC.TT.</w:t>
            </w:r>
            <w:r w:rsidR="002A3C63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</w:t>
            </w:r>
            <w:r w:rsidR="00652309" w:rsidRPr="0038186B">
              <w:rPr>
                <w:lang w:val="es-419"/>
              </w:rPr>
              <w:t>aun si</w:t>
            </w:r>
            <w:r w:rsidR="00233C28" w:rsidRPr="0038186B">
              <w:rPr>
                <w:lang w:val="es-419"/>
              </w:rPr>
              <w:t xml:space="preserve"> la comunidad de origen </w:t>
            </w:r>
            <w:r w:rsidR="008F5FCB" w:rsidRPr="0038186B">
              <w:rPr>
                <w:lang w:val="es-419"/>
              </w:rPr>
              <w:t xml:space="preserve">les </w:t>
            </w:r>
            <w:r w:rsidR="00233C28" w:rsidRPr="0038186B">
              <w:rPr>
                <w:lang w:val="es-419"/>
              </w:rPr>
              <w:t>confiere valor motivos no comerciales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que las limitaciones impuestas por </w:t>
            </w:r>
            <w:r w:rsidR="00652309" w:rsidRPr="0038186B">
              <w:rPr>
                <w:lang w:val="es-419"/>
              </w:rPr>
              <w:t>las normas y</w:t>
            </w:r>
            <w:r w:rsidRPr="0038186B">
              <w:rPr>
                <w:lang w:val="es-419"/>
              </w:rPr>
              <w:t xml:space="preserve"> prácticas consuetudinarias se consideren suficientes para </w:t>
            </w:r>
            <w:r w:rsidR="00597435" w:rsidRPr="0038186B">
              <w:rPr>
                <w:lang w:val="es-419"/>
              </w:rPr>
              <w:t>preservar</w:t>
            </w:r>
            <w:r w:rsidRPr="0038186B">
              <w:rPr>
                <w:lang w:val="es-419"/>
              </w:rPr>
              <w:t xml:space="preserve"> la confidencialidad o el carácter “secreto”.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Signos y símbolos relacionados con los CC.TT.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marcas (</w:t>
            </w:r>
            <w:r w:rsidR="00597435" w:rsidRPr="0038186B">
              <w:rPr>
                <w:lang w:val="es-419"/>
              </w:rPr>
              <w:t xml:space="preserve">incluidas las </w:t>
            </w:r>
            <w:r w:rsidRPr="0038186B">
              <w:rPr>
                <w:lang w:val="es-419"/>
              </w:rPr>
              <w:t xml:space="preserve">marcas colectivas y de certificación) </w:t>
            </w:r>
            <w:r w:rsidR="00597435" w:rsidRPr="0038186B">
              <w:rPr>
                <w:lang w:val="es-419"/>
              </w:rPr>
              <w:t>y las</w:t>
            </w:r>
            <w:r w:rsidRPr="0038186B">
              <w:rPr>
                <w:lang w:val="es-419"/>
              </w:rPr>
              <w:t xml:space="preserve"> indicaciones geográficas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A3C63" w:rsidP="002A3C63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signos y símbolos relacionados con CC.TT. frente a la apropiación por parte de terceros</w:t>
            </w:r>
          </w:p>
        </w:tc>
        <w:tc>
          <w:tcPr>
            <w:tcW w:w="5670" w:type="dxa"/>
          </w:tcPr>
          <w:p w:rsidR="00DF5574" w:rsidRPr="0038186B" w:rsidRDefault="002A3C63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Registros especiales de material relacionado con CC.TT.</w:t>
            </w:r>
          </w:p>
          <w:p w:rsidR="00DF5574" w:rsidRPr="0038186B" w:rsidRDefault="00344979" w:rsidP="00597435">
            <w:pPr>
              <w:rPr>
                <w:lang w:val="es-419"/>
              </w:rPr>
            </w:pPr>
            <w:r w:rsidRPr="0038186B">
              <w:rPr>
                <w:lang w:val="es-419"/>
              </w:rPr>
              <w:t>Ref</w:t>
            </w:r>
            <w:r w:rsidR="00597435" w:rsidRPr="0038186B">
              <w:rPr>
                <w:lang w:val="es-419"/>
              </w:rPr>
              <w:t>orzar</w:t>
            </w:r>
            <w:r w:rsidRPr="0038186B">
              <w:rPr>
                <w:lang w:val="es-419"/>
              </w:rPr>
              <w:t xml:space="preserve"> las medidas contra el registro de m</w:t>
            </w:r>
            <w:r w:rsidR="00597435" w:rsidRPr="0038186B">
              <w:rPr>
                <w:lang w:val="es-419"/>
              </w:rPr>
              <w:t>arcas contrarias a la moralidad</w:t>
            </w:r>
            <w:r w:rsidR="002A3C63" w:rsidRPr="0038186B">
              <w:rPr>
                <w:lang w:val="es-419"/>
              </w:rPr>
              <w:t xml:space="preserve"> (v</w:t>
            </w:r>
            <w:r w:rsidR="00C664A0" w:rsidRPr="0038186B">
              <w:rPr>
                <w:lang w:val="es-419"/>
              </w:rPr>
              <w:t>éase también el proyecto actualizado de análisis de carencias en materia de ECT).</w:t>
            </w: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Solo </w:t>
            </w:r>
            <w:r w:rsidR="00597435" w:rsidRPr="0038186B">
              <w:rPr>
                <w:lang w:val="es-419"/>
              </w:rPr>
              <w:t>aplicable a</w:t>
            </w:r>
            <w:r w:rsidRPr="0038186B">
              <w:rPr>
                <w:lang w:val="es-419"/>
              </w:rPr>
              <w:t xml:space="preserve"> </w:t>
            </w:r>
            <w:r w:rsidR="00597435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protección contra usos comerciales ilegítimos de signos y símbolos relacionados con los CC.TT, y </w:t>
            </w:r>
            <w:r w:rsidR="00597435" w:rsidRPr="0038186B">
              <w:rPr>
                <w:lang w:val="es-419"/>
              </w:rPr>
              <w:t>a la protección de</w:t>
            </w:r>
            <w:r w:rsidRPr="0038186B">
              <w:rPr>
                <w:lang w:val="es-419"/>
              </w:rPr>
              <w:t xml:space="preserve"> los CC.TT. </w:t>
            </w:r>
            <w:r w:rsidR="00743898" w:rsidRPr="0038186B">
              <w:rPr>
                <w:lang w:val="es-419"/>
              </w:rPr>
              <w:t>como tales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22A97" w:rsidP="00222A97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m</w:t>
            </w:r>
            <w:r w:rsidR="00344979" w:rsidRPr="0038186B">
              <w:rPr>
                <w:lang w:val="es-419"/>
              </w:rPr>
              <w:t xml:space="preserve">ateria de los CC.TT. </w:t>
            </w:r>
            <w:r w:rsidR="008D6A30" w:rsidRPr="0038186B">
              <w:rPr>
                <w:lang w:val="es-419"/>
              </w:rPr>
              <w:t xml:space="preserve">cubierta </w:t>
            </w:r>
            <w:r w:rsidR="00344979" w:rsidRPr="0038186B">
              <w:rPr>
                <w:lang w:val="es-419"/>
              </w:rPr>
              <w:t xml:space="preserve">por el sistema convencional de </w:t>
            </w:r>
            <w:r w:rsidR="0030450C" w:rsidRPr="0038186B">
              <w:rPr>
                <w:lang w:val="es-419"/>
              </w:rPr>
              <w:t xml:space="preserve">PI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8160FF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Algunos CC.TT. o elementos de éstos pueden estar protegidos: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directamente</w:t>
            </w:r>
            <w:r w:rsidRPr="0038186B">
              <w:rPr>
                <w:lang w:val="es-419"/>
              </w:rPr>
              <w:t xml:space="preserve"> mediante patentes, información no divulgada, </w:t>
            </w:r>
            <w:r w:rsidR="008D6A30" w:rsidRPr="0038186B">
              <w:rPr>
                <w:lang w:val="es-419"/>
              </w:rPr>
              <w:t>legislación s</w:t>
            </w:r>
            <w:r w:rsidRPr="0038186B">
              <w:rPr>
                <w:lang w:val="es-419"/>
              </w:rPr>
              <w:t xml:space="preserve">obre </w:t>
            </w:r>
            <w:r w:rsidR="008D6A30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competencia desleal;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344979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indirectamente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mediante el derecho de autor y derechos conexos, la protección de las </w:t>
            </w:r>
            <w:r w:rsidR="008D6A30" w:rsidRPr="0038186B">
              <w:rPr>
                <w:lang w:val="es-419"/>
              </w:rPr>
              <w:t>ECT</w:t>
            </w:r>
            <w:r w:rsidR="00344979" w:rsidRPr="0038186B">
              <w:rPr>
                <w:lang w:val="es-419"/>
              </w:rPr>
              <w:t xml:space="preserve">, la protección de </w:t>
            </w:r>
            <w:r w:rsidR="008D6A30"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marcas </w:t>
            </w:r>
            <w:r w:rsidR="008D6A30" w:rsidRPr="0038186B">
              <w:rPr>
                <w:lang w:val="es-419"/>
              </w:rPr>
              <w:t>y las</w:t>
            </w:r>
            <w:r w:rsidR="00344979" w:rsidRPr="0038186B">
              <w:rPr>
                <w:lang w:val="es-419"/>
              </w:rPr>
              <w:t xml:space="preserve"> indicaciones geográficas, la protección de </w:t>
            </w:r>
            <w:r w:rsidR="008D6A30"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diseños y la legislación sobre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D6A3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Algunos</w:t>
            </w:r>
            <w:r w:rsidR="00344979" w:rsidRPr="0038186B">
              <w:rPr>
                <w:lang w:val="es-419"/>
              </w:rPr>
              <w:t xml:space="preserve"> CC.TT. no están </w:t>
            </w:r>
            <w:r w:rsidR="00743898" w:rsidRPr="0038186B">
              <w:rPr>
                <w:lang w:val="es-419"/>
              </w:rPr>
              <w:t>contemplados</w:t>
            </w:r>
            <w:r w:rsidR="00344979" w:rsidRPr="0038186B">
              <w:rPr>
                <w:lang w:val="es-419"/>
              </w:rPr>
              <w:t xml:space="preserve"> en la protección </w:t>
            </w:r>
            <w:r w:rsidR="00743898" w:rsidRPr="0038186B">
              <w:rPr>
                <w:lang w:val="es-419"/>
              </w:rPr>
              <w:t xml:space="preserve">que ofrece el actual sistema de </w:t>
            </w:r>
            <w:r w:rsidR="0038186B" w:rsidRPr="0038186B">
              <w:rPr>
                <w:lang w:val="es-419"/>
              </w:rPr>
              <w:t>PI,</w:t>
            </w:r>
            <w:r w:rsidR="00344979" w:rsidRPr="0038186B">
              <w:rPr>
                <w:lang w:val="es-419"/>
              </w:rPr>
              <w:t xml:space="preserve"> por ejemplo: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que no s</w:t>
            </w:r>
            <w:r w:rsidR="008D6A30" w:rsidRPr="0038186B">
              <w:rPr>
                <w:lang w:val="es-419"/>
              </w:rPr>
              <w:t>on</w:t>
            </w:r>
            <w:r w:rsidRPr="0038186B">
              <w:rPr>
                <w:lang w:val="es-419"/>
              </w:rPr>
              <w:t xml:space="preserve"> nuevos;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resultado de actividad inventiva no patentables;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CC.TT. divulgados públicamente o que no cumplen los criterios </w:t>
            </w:r>
            <w:r w:rsidR="00222A97" w:rsidRPr="0038186B">
              <w:rPr>
                <w:lang w:val="es-419"/>
              </w:rPr>
              <w:t>relativos al</w:t>
            </w:r>
            <w:r w:rsidRPr="0038186B">
              <w:rPr>
                <w:lang w:val="es-419"/>
              </w:rPr>
              <w:t xml:space="preserve"> secreto comercial o </w:t>
            </w:r>
            <w:r w:rsidR="00222A97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confidencialidad.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DF5574" w:rsidRPr="0038186B" w:rsidRDefault="00C833B0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La duración de la protección ofrecida </w:t>
            </w:r>
            <w:r w:rsidR="00222A97" w:rsidRPr="0038186B">
              <w:rPr>
                <w:lang w:val="es-419"/>
              </w:rPr>
              <w:t>no se ajusta a la dimensión i</w:t>
            </w:r>
            <w:r w:rsidRPr="0038186B">
              <w:rPr>
                <w:lang w:val="es-419"/>
              </w:rPr>
              <w:t>ntergeneracional del desarrollo y la conservación de los sistemas de CC.TT.</w:t>
            </w:r>
          </w:p>
          <w:p w:rsidR="00DF5574" w:rsidRPr="0038186B" w:rsidRDefault="00DF5574" w:rsidP="00C833B0">
            <w:pPr>
              <w:rPr>
                <w:lang w:val="es-419"/>
              </w:rPr>
            </w:pPr>
          </w:p>
          <w:p w:rsidR="00DF5574" w:rsidRPr="0038186B" w:rsidRDefault="0031569F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>R</w:t>
            </w:r>
            <w:r w:rsidR="00C833B0" w:rsidRPr="0038186B">
              <w:rPr>
                <w:lang w:val="es-419"/>
              </w:rPr>
              <w:t xml:space="preserve">econocimiento de las contribuciones directas o menos inmediatas de los </w:t>
            </w:r>
            <w:r w:rsidRPr="0038186B">
              <w:rPr>
                <w:lang w:val="es-419"/>
              </w:rPr>
              <w:t xml:space="preserve">CC.TT. </w:t>
            </w:r>
            <w:r w:rsidR="00C833B0" w:rsidRPr="0038186B">
              <w:rPr>
                <w:lang w:val="es-419"/>
              </w:rPr>
              <w:t>a las invenciones patentables</w:t>
            </w:r>
            <w:r w:rsidR="00C50BFE" w:rsidRPr="0038186B">
              <w:rPr>
                <w:lang w:val="es-419"/>
              </w:rPr>
              <w:t>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E35C55" w:rsidRPr="0038186B" w:rsidRDefault="00E35C55" w:rsidP="001D06BB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de materia no prevista</w:t>
            </w:r>
            <w:r w:rsidR="00743898" w:rsidRPr="0038186B">
              <w:rPr>
                <w:lang w:val="es-419"/>
              </w:rPr>
              <w:t xml:space="preserve"> actualmente</w:t>
            </w:r>
            <w:r w:rsidRPr="0038186B">
              <w:rPr>
                <w:lang w:val="es-419"/>
              </w:rPr>
              <w:t>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31569F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Adaptación de las medidas vigentes sobre </w:t>
            </w:r>
            <w:r w:rsidR="0038186B" w:rsidRPr="0038186B">
              <w:rPr>
                <w:lang w:val="es-419"/>
              </w:rPr>
              <w:t>PI,</w:t>
            </w:r>
            <w:r w:rsidRPr="0038186B">
              <w:rPr>
                <w:lang w:val="es-419"/>
              </w:rPr>
              <w:t xml:space="preserve"> por ejemplo: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interpretación o adaptación de las normas internacionales vigentes para abordar la materia de los CC.TT. de forma más adecuada;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iniciativas legislativas y administrativas nacionales (y evolución judicial del derecho) para reconocer </w:t>
            </w:r>
            <w:r w:rsidR="00222A97" w:rsidRPr="0038186B">
              <w:rPr>
                <w:lang w:val="es-419"/>
              </w:rPr>
              <w:t xml:space="preserve">los distintos </w:t>
            </w:r>
            <w:r w:rsidRPr="0038186B">
              <w:rPr>
                <w:lang w:val="es-419"/>
              </w:rPr>
              <w:t xml:space="preserve">sistemas de CC.TT. </w:t>
            </w:r>
            <w:r w:rsidR="00222A97" w:rsidRPr="0038186B">
              <w:rPr>
                <w:lang w:val="es-419"/>
              </w:rPr>
              <w:t>en el marco d</w:t>
            </w:r>
            <w:r w:rsidRPr="0038186B">
              <w:rPr>
                <w:lang w:val="es-419"/>
              </w:rPr>
              <w:t xml:space="preserve">el </w:t>
            </w:r>
            <w:r w:rsidR="0031569F" w:rsidRPr="0038186B">
              <w:rPr>
                <w:lang w:val="es-419"/>
              </w:rPr>
              <w:t>Derecho de</w:t>
            </w:r>
            <w:r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Posibles consideraciones sustantivas:</w:t>
            </w:r>
          </w:p>
          <w:p w:rsidR="00DF5574" w:rsidRPr="0038186B" w:rsidRDefault="00D4166A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Dimensión</w:t>
            </w:r>
            <w:r w:rsidR="00C50BFE"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holístic</w:t>
            </w:r>
            <w:r w:rsidRPr="0038186B">
              <w:rPr>
                <w:lang w:val="es-419"/>
              </w:rPr>
              <w:t>a</w:t>
            </w:r>
            <w:r w:rsidR="00222A97" w:rsidRPr="0038186B">
              <w:rPr>
                <w:lang w:val="es-419"/>
              </w:rPr>
              <w:t xml:space="preserve"> </w:t>
            </w:r>
            <w:r w:rsidR="00C50BFE" w:rsidRPr="0038186B">
              <w:rPr>
                <w:lang w:val="es-419"/>
              </w:rPr>
              <w:t xml:space="preserve">de los CC.TT. y los derechos colectivos </w:t>
            </w:r>
            <w:r w:rsidR="00222A97" w:rsidRPr="0038186B">
              <w:rPr>
                <w:lang w:val="es-419"/>
              </w:rPr>
              <w:t>sobre</w:t>
            </w:r>
            <w:r w:rsidR="00C50BFE" w:rsidRPr="0038186B">
              <w:rPr>
                <w:lang w:val="es-419"/>
              </w:rPr>
              <w:t xml:space="preserve"> los CC.TT.;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 controlar sus recursos naturales y gestionar sus conocimientos;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humano de los titulares de CC.TT. a la libre determinación;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al consentimiento fundamentado previo;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de la función de las normas y sistemas de conocimientos consuetudinarios en </w:t>
            </w:r>
            <w:r w:rsidR="0031569F" w:rsidRPr="0038186B">
              <w:rPr>
                <w:lang w:val="es-419"/>
              </w:rPr>
              <w:t xml:space="preserve">lo tocante a </w:t>
            </w:r>
            <w:r w:rsidRPr="0038186B">
              <w:rPr>
                <w:lang w:val="es-419"/>
              </w:rPr>
              <w:t>la protección y preservación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Pr="0038186B">
              <w:rPr>
                <w:lang w:val="es-419"/>
              </w:rPr>
              <w:t>sus CC.TT. acumulados, de titularidad 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y de sus sistemas </w:t>
            </w:r>
            <w:r w:rsidR="00EC6B09" w:rsidRPr="0038186B">
              <w:rPr>
                <w:lang w:val="es-419"/>
              </w:rPr>
              <w:t xml:space="preserve">integrados de conocimientos tradicionales </w:t>
            </w:r>
            <w:r w:rsidRPr="0038186B">
              <w:rPr>
                <w:lang w:val="es-419"/>
              </w:rPr>
              <w:t>como tales.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limitada, principalmente como información confidencial.</w:t>
            </w: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directo de los derechos e intereses colectivos </w:t>
            </w:r>
            <w:r w:rsidR="00F02F80" w:rsidRPr="0038186B">
              <w:rPr>
                <w:lang w:val="es-419"/>
              </w:rPr>
              <w:t xml:space="preserve">sobre los CC.TT. acumulados, de </w:t>
            </w:r>
            <w:r w:rsidRPr="0038186B">
              <w:rPr>
                <w:lang w:val="es-419"/>
              </w:rPr>
              <w:t>titularida</w:t>
            </w:r>
            <w:r w:rsidR="00F02F80" w:rsidRPr="0038186B">
              <w:rPr>
                <w:lang w:val="es-419"/>
              </w:rPr>
              <w:t>d 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integridad de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1C0E5E" w:rsidRPr="0038186B" w:rsidRDefault="00C50BFE" w:rsidP="00F02F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Posible </w:t>
            </w:r>
            <w:r w:rsidR="00F02F80" w:rsidRPr="0038186B">
              <w:rPr>
                <w:lang w:val="es-419"/>
              </w:rPr>
              <w:t>titularidad</w:t>
            </w:r>
            <w:r w:rsidRPr="0038186B">
              <w:rPr>
                <w:lang w:val="es-419"/>
              </w:rPr>
              <w:t xml:space="preserve"> compartida </w:t>
            </w:r>
            <w:r w:rsidR="00F02F80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varias comunidades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colectivos </w:t>
            </w:r>
            <w:r w:rsidR="00F02F80" w:rsidRPr="0038186B">
              <w:rPr>
                <w:lang w:val="es-419"/>
              </w:rPr>
              <w:t xml:space="preserve">relativos a </w:t>
            </w:r>
            <w:r w:rsidRPr="0038186B">
              <w:rPr>
                <w:lang w:val="es-419"/>
              </w:rPr>
              <w:t>los CC.TT. como tales (</w:t>
            </w:r>
            <w:r w:rsidR="00F02F80" w:rsidRPr="0038186B">
              <w:rPr>
                <w:lang w:val="es-419"/>
              </w:rPr>
              <w:t xml:space="preserve">y no </w:t>
            </w:r>
            <w:r w:rsidRPr="0038186B">
              <w:rPr>
                <w:lang w:val="es-419"/>
              </w:rPr>
              <w:t xml:space="preserve">como elementos susceptibles de protección independiente </w:t>
            </w:r>
            <w:r w:rsidR="00EC6B09" w:rsidRPr="0038186B">
              <w:rPr>
                <w:lang w:val="es-419"/>
              </w:rPr>
              <w:t>a través de la</w:t>
            </w:r>
            <w:r w:rsidRPr="0038186B">
              <w:rPr>
                <w:lang w:val="es-419"/>
              </w:rPr>
              <w:t xml:space="preserve"> </w:t>
            </w:r>
            <w:r w:rsidR="0038186B" w:rsidRPr="0038186B">
              <w:rPr>
                <w:lang w:val="es-419"/>
              </w:rPr>
              <w:t>PI)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="008B3B2E" w:rsidRPr="0038186B">
              <w:rPr>
                <w:lang w:val="es-419"/>
              </w:rPr>
              <w:t>los sistemas de CC.TT.</w:t>
            </w:r>
            <w:r w:rsidRPr="0038186B">
              <w:rPr>
                <w:lang w:val="es-419"/>
              </w:rPr>
              <w:t xml:space="preserve"> como tales: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Mecanismos específicos de protección de los CC.TT. frente a determinados actos lesivos y actos de apropiación indebida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02F8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existe</w:t>
            </w:r>
            <w:r w:rsidR="008B3B2E" w:rsidRPr="0038186B">
              <w:rPr>
                <w:lang w:val="es-419"/>
              </w:rPr>
              <w:t xml:space="preserve"> ninguno</w:t>
            </w:r>
            <w:r w:rsidR="00344979" w:rsidRPr="0038186B">
              <w:rPr>
                <w:lang w:val="es-419"/>
              </w:rPr>
              <w:t xml:space="preserve"> en </w:t>
            </w:r>
            <w:r w:rsidR="008B3B2E" w:rsidRPr="0038186B">
              <w:rPr>
                <w:lang w:val="es-419"/>
              </w:rPr>
              <w:t xml:space="preserve">el Derecho </w:t>
            </w:r>
            <w:r w:rsidR="00344979" w:rsidRPr="0038186B">
              <w:rPr>
                <w:lang w:val="es-419"/>
              </w:rPr>
              <w:t xml:space="preserve">convencional </w:t>
            </w:r>
            <w:r w:rsidR="008B3B2E" w:rsidRPr="0038186B">
              <w:rPr>
                <w:lang w:val="es-419"/>
              </w:rPr>
              <w:t>de</w:t>
            </w:r>
            <w:r w:rsidR="00344979"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Pueden </w:t>
            </w:r>
            <w:r w:rsidR="008B3B2E" w:rsidRPr="0038186B">
              <w:rPr>
                <w:lang w:val="es-419"/>
              </w:rPr>
              <w:t xml:space="preserve">ser parcialmente </w:t>
            </w:r>
            <w:r w:rsidRPr="0038186B">
              <w:rPr>
                <w:lang w:val="es-419"/>
              </w:rPr>
              <w:t xml:space="preserve">protegidos </w:t>
            </w:r>
            <w:r w:rsidR="008B3B2E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>contratos y la doctrina más general de la competencia injusta y el enriquecimiento injusto.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Véanse los detalles más adelante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8B3B2E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Norma para combatir</w:t>
            </w:r>
            <w:r w:rsidR="00C50BFE" w:rsidRPr="0038186B">
              <w:rPr>
                <w:lang w:val="es-419"/>
              </w:rPr>
              <w:t xml:space="preserve"> el enriquecimiento injusto y la apropiación indebida, o </w:t>
            </w:r>
            <w:r w:rsidRPr="0038186B">
              <w:rPr>
                <w:lang w:val="es-419"/>
              </w:rPr>
              <w:t xml:space="preserve">los </w:t>
            </w:r>
            <w:r w:rsidR="00C50BFE" w:rsidRPr="0038186B">
              <w:rPr>
                <w:lang w:val="es-419"/>
              </w:rPr>
              <w:t xml:space="preserve">actos contrarios a las prácticas comerciales leales </w:t>
            </w:r>
            <w:r w:rsidRPr="0038186B">
              <w:rPr>
                <w:lang w:val="es-419"/>
              </w:rPr>
              <w:t xml:space="preserve">en </w:t>
            </w:r>
            <w:r w:rsidR="00C50BFE" w:rsidRPr="0038186B">
              <w:rPr>
                <w:lang w:val="es-419"/>
              </w:rPr>
              <w:t xml:space="preserve">relación </w:t>
            </w:r>
            <w:r w:rsidRPr="0038186B">
              <w:rPr>
                <w:lang w:val="es-419"/>
              </w:rPr>
              <w:t>con</w:t>
            </w:r>
            <w:r w:rsidR="00C50BFE" w:rsidRPr="0038186B">
              <w:rPr>
                <w:lang w:val="es-419"/>
              </w:rPr>
              <w:t xml:space="preserve"> los CC.TT.</w:t>
            </w:r>
            <w:r w:rsidR="009B55F6" w:rsidRPr="0038186B">
              <w:rPr>
                <w:lang w:val="es-419"/>
              </w:rPr>
              <w:t xml:space="preserve"> </w:t>
            </w:r>
          </w:p>
        </w:tc>
        <w:tc>
          <w:tcPr>
            <w:tcW w:w="567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EF3AB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F02F80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F02F80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ley vinculante</w:t>
            </w:r>
            <w:r w:rsidR="005403C1"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si </w:t>
            </w:r>
            <w:r w:rsidR="000F2BCE" w:rsidRPr="0038186B">
              <w:rPr>
                <w:lang w:val="es-419"/>
              </w:rPr>
              <w:t xml:space="preserve">resulta </w:t>
            </w:r>
            <w:r w:rsidR="00344979" w:rsidRPr="0038186B">
              <w:rPr>
                <w:lang w:val="es-419"/>
              </w:rPr>
              <w:t>oportuna</w:t>
            </w:r>
            <w:r w:rsidR="000F2BCE" w:rsidRPr="0038186B">
              <w:rPr>
                <w:lang w:val="es-419"/>
              </w:rPr>
              <w:t xml:space="preserve"> para una</w:t>
            </w:r>
            <w:r w:rsidR="00344979" w:rsidRPr="0038186B">
              <w:rPr>
                <w:lang w:val="es-419"/>
              </w:rPr>
              <w:t xml:space="preserve"> norma internacional </w:t>
            </w:r>
            <w:r w:rsidR="005403C1" w:rsidRPr="0038186B">
              <w:rPr>
                <w:lang w:val="es-419"/>
              </w:rPr>
              <w:t>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2073C" w:rsidP="00130037">
            <w:pPr>
              <w:keepNext/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="00EF3AB3"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12073C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</w:t>
            </w:r>
            <w:r w:rsidR="003410BF" w:rsidRPr="0038186B">
              <w:rPr>
                <w:lang w:val="es-419"/>
              </w:rPr>
              <w:t>asegurar</w:t>
            </w:r>
            <w:r w:rsidR="00344979" w:rsidRPr="0038186B">
              <w:rPr>
                <w:lang w:val="es-419"/>
              </w:rPr>
              <w:t xml:space="preserve"> la máxima flexibilidad y evolución y diversidad</w:t>
            </w:r>
            <w:r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8160FF" w:rsidRPr="0038186B" w:rsidRDefault="008160FF" w:rsidP="00130037">
            <w:pPr>
              <w:keepNext/>
              <w:rPr>
                <w:lang w:val="es-419"/>
              </w:rPr>
            </w:pPr>
          </w:p>
          <w:p w:rsidR="008160FF" w:rsidRPr="0038186B" w:rsidRDefault="008160FF" w:rsidP="00130037">
            <w:pPr>
              <w:keepNext/>
              <w:rPr>
                <w:lang w:val="es-419"/>
              </w:rPr>
            </w:pPr>
          </w:p>
          <w:p w:rsidR="00062200" w:rsidRPr="0038186B" w:rsidRDefault="00062200" w:rsidP="00130037">
            <w:pPr>
              <w:keepNext/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explícita sobre el principio del consentimiento fundamentado previo respecto de los CC.TT. que </w:t>
            </w:r>
            <w:r w:rsidR="00EF3AB3" w:rsidRPr="0038186B">
              <w:rPr>
                <w:lang w:val="es-419"/>
              </w:rPr>
              <w:t>posee</w:t>
            </w:r>
            <w:r w:rsidRPr="0038186B">
              <w:rPr>
                <w:lang w:val="es-419"/>
              </w:rPr>
              <w:t xml:space="preserve"> una comunidad.</w:t>
            </w:r>
          </w:p>
          <w:p w:rsidR="00DF5574" w:rsidRPr="0038186B" w:rsidRDefault="00DF5574" w:rsidP="00C50BFE">
            <w:pPr>
              <w:rPr>
                <w:lang w:val="es-419"/>
              </w:rPr>
            </w:pPr>
          </w:p>
          <w:p w:rsidR="00E35C55" w:rsidRPr="0038186B" w:rsidRDefault="00C50BFE" w:rsidP="00AE77D7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extraterritorial del consentimiento </w:t>
            </w:r>
            <w:r w:rsidR="00AE77D7" w:rsidRPr="0038186B">
              <w:rPr>
                <w:lang w:val="es-419"/>
              </w:rPr>
              <w:t xml:space="preserve">fundamentado </w:t>
            </w:r>
            <w:r w:rsidRPr="0038186B">
              <w:rPr>
                <w:lang w:val="es-419"/>
              </w:rPr>
              <w:t xml:space="preserve">previo y de los acuerdos de acceso y participación en los beneficios en los tribunales de terceros países.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sigue </w:t>
            </w:r>
            <w:r w:rsidRPr="0038186B">
              <w:rPr>
                <w:lang w:val="es-419"/>
              </w:rPr>
              <w:t>en curso la formulación de</w:t>
            </w:r>
            <w:r w:rsidR="00344979" w:rsidRPr="0038186B">
              <w:rPr>
                <w:lang w:val="es-419"/>
              </w:rPr>
              <w:t>l fundamento 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que exija el reconocimiento explícito de la comunidad de origen a</w:t>
            </w:r>
            <w:r w:rsidR="003410BF" w:rsidRPr="0038186B">
              <w:rPr>
                <w:lang w:val="es-419"/>
              </w:rPr>
              <w:t>l</w:t>
            </w:r>
            <w:r w:rsidRPr="0038186B">
              <w:rPr>
                <w:lang w:val="es-419"/>
              </w:rPr>
              <w:t xml:space="preserve"> utilizar </w:t>
            </w:r>
            <w:r w:rsidR="003410BF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CC.TT. asociados característicamente a una comunidad</w:t>
            </w:r>
            <w:r w:rsidR="00FD6EEF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>orma específica articulada 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EF3AB3" w:rsidP="00C3349B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2440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Norma </w:t>
            </w:r>
            <w:r w:rsidR="00C3349B" w:rsidRPr="0038186B">
              <w:rPr>
                <w:lang w:val="es-419"/>
              </w:rPr>
              <w:t>que permita luchar contra</w:t>
            </w:r>
            <w:r w:rsidRPr="0038186B">
              <w:rPr>
                <w:lang w:val="es-419"/>
              </w:rPr>
              <w:t xml:space="preserve"> usos que supongan una ofensa cultural o espiritual, o menoscaben la integridad de los CC.TT.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internacional para promover un enfoque coordinado:</w:t>
            </w:r>
          </w:p>
          <w:p w:rsidR="00DF5574" w:rsidRPr="0038186B" w:rsidRDefault="005403C1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5403C1" w:rsidP="00062200">
            <w:pPr>
              <w:keepNext/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C3349B" w:rsidRPr="0038186B">
              <w:rPr>
                <w:lang w:val="es-419"/>
              </w:rPr>
              <w:t>declaración política si sigue en curso la formulación del fundamento jurídico de la norma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</w:t>
            </w:r>
            <w:r w:rsidR="005403C1" w:rsidRPr="0038186B">
              <w:rPr>
                <w:lang w:val="es-419"/>
              </w:rPr>
              <w:t>evolución y diversidad jurídicas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573757" w:rsidRPr="0038186B" w:rsidTr="00130037">
        <w:tc>
          <w:tcPr>
            <w:tcW w:w="283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E75AA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Patentamiento de CC.TT. contrario a los principios del </w:t>
            </w:r>
            <w:r w:rsidR="00E75AAF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erecho de patentes </w:t>
            </w: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1409C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Derecho de patentes vigente </w:t>
            </w:r>
            <w:r w:rsidR="00034956" w:rsidRPr="0038186B">
              <w:rPr>
                <w:lang w:val="es-419"/>
              </w:rPr>
              <w:t xml:space="preserve">exige que </w:t>
            </w:r>
            <w:r w:rsidR="0082747F" w:rsidRPr="0038186B">
              <w:rPr>
                <w:lang w:val="es-419"/>
              </w:rPr>
              <w:t>l</w:t>
            </w:r>
            <w:r w:rsidR="00034956" w:rsidRPr="0038186B">
              <w:rPr>
                <w:lang w:val="es-419"/>
              </w:rPr>
              <w:t xml:space="preserve">a solicitud </w:t>
            </w:r>
            <w:r w:rsidR="0082747F" w:rsidRPr="0038186B">
              <w:rPr>
                <w:lang w:val="es-419"/>
              </w:rPr>
              <w:t xml:space="preserve">se refiera a un </w:t>
            </w:r>
            <w:r w:rsidR="00DE3DBC" w:rsidRPr="0038186B">
              <w:rPr>
                <w:lang w:val="es-419"/>
              </w:rPr>
              <w:t>v</w:t>
            </w:r>
            <w:r w:rsidR="00034956" w:rsidRPr="0038186B">
              <w:rPr>
                <w:lang w:val="es-419"/>
              </w:rPr>
              <w:t xml:space="preserve">erdadero inventor o inventores y </w:t>
            </w:r>
            <w:r w:rsidR="0082747F" w:rsidRPr="0038186B">
              <w:rPr>
                <w:lang w:val="es-419"/>
              </w:rPr>
              <w:t xml:space="preserve">a </w:t>
            </w:r>
            <w:r w:rsidR="00DE3DBC" w:rsidRPr="0038186B">
              <w:rPr>
                <w:lang w:val="es-419"/>
              </w:rPr>
              <w:t>una</w:t>
            </w:r>
            <w:r w:rsidR="00034956" w:rsidRPr="0038186B">
              <w:rPr>
                <w:lang w:val="es-419"/>
              </w:rPr>
              <w:t xml:space="preserve"> invención genuina.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convenio de París </w:t>
            </w:r>
            <w:r w:rsidR="00DE3DBC" w:rsidRPr="0038186B">
              <w:rPr>
                <w:lang w:val="es-419"/>
              </w:rPr>
              <w:t>exige</w:t>
            </w:r>
            <w:r w:rsidRPr="0038186B">
              <w:rPr>
                <w:lang w:val="es-419"/>
              </w:rPr>
              <w:t xml:space="preserve"> la mención e</w:t>
            </w:r>
            <w:r w:rsidR="00DE3DBC" w:rsidRPr="0038186B">
              <w:rPr>
                <w:lang w:val="es-419"/>
              </w:rPr>
              <w:t>xpresa</w:t>
            </w:r>
            <w:r w:rsidRPr="0038186B">
              <w:rPr>
                <w:lang w:val="es-419"/>
              </w:rPr>
              <w:t xml:space="preserve"> del verdadero inventor.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 ambigüedad en el sistema de patentes para determinar la contribución inventiva de un titular de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explícita frente al:</w:t>
            </w:r>
          </w:p>
          <w:p w:rsidR="00063B93" w:rsidRPr="0038186B" w:rsidRDefault="00063B93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</w:t>
            </w:r>
            <w:r w:rsidR="00DE3DBC" w:rsidRPr="0038186B">
              <w:rPr>
                <w:lang w:val="es-419"/>
              </w:rPr>
              <w:t xml:space="preserve"> los</w:t>
            </w:r>
            <w:r w:rsidRPr="0038186B">
              <w:rPr>
                <w:lang w:val="es-419"/>
              </w:rPr>
              <w:t xml:space="preserve"> CC.TT. como tales sin el consentimiento y la participación de los titulares de los CC.TT.;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 invenciones que han sido posibles por la apropiación indebida de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internacional:</w:t>
            </w:r>
          </w:p>
          <w:p w:rsidR="00DF5574" w:rsidRPr="0038186B" w:rsidRDefault="00BA7CE6" w:rsidP="00344979">
            <w:pPr>
              <w:ind w:left="15"/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interpretación autorizada de las normas vigentes;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declaración política.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nacional:</w:t>
            </w:r>
          </w:p>
          <w:p w:rsidR="00FD6EEF" w:rsidRPr="0038186B" w:rsidRDefault="00BA7CE6" w:rsidP="00BA7CE6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</w:tc>
      </w:tr>
      <w:tr w:rsidR="00573757" w:rsidRPr="0038186B" w:rsidTr="00130037">
        <w:tc>
          <w:tcPr>
            <w:tcW w:w="283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4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Requisitos específicos de divulgación </w:t>
            </w:r>
            <w:r w:rsidR="00DE3DBC" w:rsidRPr="0038186B">
              <w:rPr>
                <w:lang w:val="es-419"/>
              </w:rPr>
              <w:t>en relación con los</w:t>
            </w:r>
            <w:r w:rsidRPr="0038186B">
              <w:rPr>
                <w:lang w:val="es-419"/>
              </w:rPr>
              <w:t xml:space="preserve"> CC.TT.: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</w:t>
            </w:r>
            <w:r w:rsidRPr="0038186B">
              <w:rPr>
                <w:lang w:val="es-419"/>
              </w:rPr>
              <w:t xml:space="preserve">yes </w:t>
            </w:r>
            <w:r w:rsidR="00344979" w:rsidRPr="0038186B">
              <w:rPr>
                <w:lang w:val="es-419"/>
              </w:rPr>
              <w:t>nacionales</w:t>
            </w:r>
            <w:r w:rsidR="00DE3DBC" w:rsidRPr="0038186B">
              <w:rPr>
                <w:lang w:val="es-419"/>
              </w:rPr>
              <w:t xml:space="preserve"> o </w:t>
            </w:r>
            <w:r w:rsidR="00344979" w:rsidRPr="0038186B">
              <w:rPr>
                <w:lang w:val="es-419"/>
              </w:rPr>
              <w:t>regionales;</w:t>
            </w:r>
          </w:p>
          <w:p w:rsidR="00DF5574" w:rsidRPr="0038186B" w:rsidRDefault="00041B3C" w:rsidP="00130037">
            <w:pPr>
              <w:ind w:left="155" w:hanging="15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propuestas en el CDB, la OMC y la OM</w:t>
            </w:r>
            <w:r w:rsidRPr="0038186B">
              <w:rPr>
                <w:lang w:val="es-419"/>
              </w:rPr>
              <w:t>PI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939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lang w:val="es-419"/>
              </w:rPr>
              <w:t xml:space="preserve">A </w:t>
            </w:r>
            <w:r w:rsidRPr="0038186B">
              <w:rPr>
                <w:szCs w:val="22"/>
                <w:lang w:val="es-419"/>
              </w:rPr>
              <w:t>nivel internacional:</w:t>
            </w:r>
          </w:p>
          <w:p w:rsidR="00DF5574" w:rsidRPr="0038186B" w:rsidRDefault="00DE3DBC" w:rsidP="00DE3DBC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041B3C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szCs w:val="22"/>
                <w:lang w:val="es-419"/>
              </w:rPr>
              <w:t>-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interpretación autorizada o ampliación de las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normas vigentes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D36F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="00041B3C" w:rsidRPr="0038186B">
              <w:rPr>
                <w:lang w:val="es-419"/>
              </w:rPr>
              <w:t>d</w:t>
            </w:r>
            <w:r w:rsidR="00034956" w:rsidRPr="0038186B">
              <w:rPr>
                <w:lang w:val="es-419"/>
              </w:rPr>
              <w:t>eclara</w:t>
            </w:r>
            <w:r w:rsidR="001970C2" w:rsidRPr="0038186B">
              <w:rPr>
                <w:lang w:val="es-419"/>
              </w:rPr>
              <w:t>ción</w:t>
            </w:r>
            <w:r w:rsidR="00034956" w:rsidRPr="0038186B">
              <w:rPr>
                <w:lang w:val="es-419"/>
              </w:rPr>
              <w:t xml:space="preserve"> política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nacional: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30503D" w:rsidRPr="0038186B">
        <w:rPr>
          <w:lang w:val="es-419"/>
        </w:rPr>
        <w:t>VIGENTES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Obligaciones, disposiciones y posibilidades que ya existen a nivel internacional en </w:t>
      </w:r>
      <w:r w:rsidR="000F2BCE" w:rsidRPr="0038186B">
        <w:rPr>
          <w:i/>
          <w:lang w:val="es-419"/>
        </w:rPr>
        <w:t>materia de</w:t>
      </w:r>
      <w:r w:rsidRPr="0038186B">
        <w:rPr>
          <w:i/>
          <w:lang w:val="es-419"/>
        </w:rPr>
        <w:t xml:space="preserve"> protección de los CC.TT.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D04270" w:rsidRPr="0038186B" w:rsidTr="00130037">
        <w:trPr>
          <w:tblHeader/>
        </w:trPr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Forma de protección</w:t>
            </w:r>
          </w:p>
        </w:tc>
        <w:tc>
          <w:tcPr>
            <w:tcW w:w="5915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Extensión de la protección</w:t>
            </w:r>
          </w:p>
        </w:tc>
        <w:tc>
          <w:tcPr>
            <w:tcW w:w="567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Factores considerados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041B3C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positiva de los CC.TT. </w:t>
            </w:r>
            <w:r w:rsidR="00041B3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>patentes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Algunos elementos de los CC.TT. podrían protegerse en virtud de los principios vigentes sobre patentes, </w:t>
            </w:r>
            <w:r w:rsidR="000F2BCE" w:rsidRPr="0038186B">
              <w:rPr>
                <w:lang w:val="es-419"/>
              </w:rPr>
              <w:t>aunque</w:t>
            </w:r>
            <w:r w:rsidRPr="0038186B">
              <w:rPr>
                <w:lang w:val="es-419"/>
              </w:rPr>
              <w:t xml:space="preserve"> no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Debe obtenerse un </w:t>
            </w:r>
            <w:r w:rsidR="007527DA" w:rsidRPr="0038186B">
              <w:rPr>
                <w:lang w:val="es-419"/>
              </w:rPr>
              <w:t>título</w:t>
            </w:r>
            <w:r w:rsidRPr="0038186B">
              <w:rPr>
                <w:lang w:val="es-419"/>
              </w:rPr>
              <w:t xml:space="preserve"> de propiedad del verdadero inventor o inventores, incluidos el titular o </w:t>
            </w:r>
            <w:r w:rsidR="007527DA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titulares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8160FF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Para que la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 xml:space="preserve">sea </w:t>
            </w:r>
            <w:r w:rsidR="00344979" w:rsidRPr="0038186B">
              <w:rPr>
                <w:lang w:val="es-419"/>
              </w:rPr>
              <w:t xml:space="preserve">válida </w:t>
            </w:r>
            <w:r w:rsidRPr="0038186B">
              <w:rPr>
                <w:lang w:val="es-419"/>
              </w:rPr>
              <w:t xml:space="preserve">es preciso que los </w:t>
            </w:r>
            <w:r w:rsidR="00344979" w:rsidRPr="0038186B">
              <w:rPr>
                <w:lang w:val="es-419"/>
              </w:rPr>
              <w:t>verdaderos titulares de CC.TT. patentables</w:t>
            </w:r>
            <w:r w:rsidRPr="0038186B">
              <w:rPr>
                <w:lang w:val="es-419"/>
              </w:rPr>
              <w:t xml:space="preserve"> adopten medidas activas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 una flexibilidad considerable en las normas internacionales que atañen a la patentabilidad de los CC.TT., por ejemplo: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definición de “invención”;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interpretación de los criterios para la protección (novedad, actividad inventiva, utilidad) </w:t>
            </w:r>
            <w:r w:rsidR="00041B3C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 xml:space="preserve"> se aplican a los CC.TT.;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exclusiones </w:t>
            </w:r>
            <w:r w:rsidR="00041B3C" w:rsidRPr="0038186B">
              <w:rPr>
                <w:lang w:val="es-419"/>
              </w:rPr>
              <w:t xml:space="preserve">de la materia patentable </w:t>
            </w:r>
            <w:r w:rsidRPr="0038186B">
              <w:rPr>
                <w:lang w:val="es-419"/>
              </w:rPr>
              <w:t>por razones de política pública.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CC.TT. en el sistema de patentes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33A3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 principio, muchos</w:t>
            </w:r>
            <w:r w:rsidR="00344979" w:rsidRPr="0038186B">
              <w:rPr>
                <w:lang w:val="es-419"/>
              </w:rPr>
              <w:t xml:space="preserve"> CC.TT. están protegidos </w:t>
            </w:r>
            <w:r w:rsidRPr="0038186B">
              <w:rPr>
                <w:lang w:val="es-419"/>
              </w:rPr>
              <w:t xml:space="preserve">contra </w:t>
            </w:r>
            <w:r w:rsidR="007527DA" w:rsidRPr="0038186B">
              <w:rPr>
                <w:lang w:val="es-419"/>
              </w:rPr>
              <w:t xml:space="preserve">afirmaciones </w:t>
            </w:r>
            <w:r w:rsidR="00344979" w:rsidRPr="0038186B">
              <w:rPr>
                <w:lang w:val="es-419"/>
              </w:rPr>
              <w:t xml:space="preserve">ilegítimas </w:t>
            </w:r>
            <w:r w:rsidR="007527DA" w:rsidRPr="0038186B">
              <w:rPr>
                <w:lang w:val="es-419"/>
              </w:rPr>
              <w:t>en las</w:t>
            </w:r>
            <w:r w:rsidR="00344979" w:rsidRPr="0038186B">
              <w:rPr>
                <w:lang w:val="es-419"/>
              </w:rPr>
              <w:t xml:space="preserve"> patentes, por ejemplo </w:t>
            </w:r>
            <w:r w:rsidRPr="0038186B">
              <w:rPr>
                <w:lang w:val="es-419"/>
              </w:rPr>
              <w:t xml:space="preserve">los casos en que el </w:t>
            </w:r>
            <w:r w:rsidR="00344979" w:rsidRPr="0038186B">
              <w:rPr>
                <w:lang w:val="es-419"/>
              </w:rPr>
              <w:t xml:space="preserve">solicitante de una patente trata de obtener derechos sobre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 elaborados por otros.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Entre las medidas específicas figuran: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mejorar el acceso a los CC.TT. como estado de la técnica durante el procedimiento de patentam</w:t>
            </w:r>
            <w:r w:rsidR="00433A31" w:rsidRPr="0038186B">
              <w:rPr>
                <w:lang w:val="es-419"/>
              </w:rPr>
              <w:t xml:space="preserve">iento sin </w:t>
            </w:r>
            <w:r w:rsidR="00C50336" w:rsidRPr="0038186B">
              <w:rPr>
                <w:lang w:val="es-419"/>
              </w:rPr>
              <w:t>favorecer</w:t>
            </w:r>
            <w:r w:rsidRPr="0038186B">
              <w:rPr>
                <w:lang w:val="es-419"/>
              </w:rPr>
              <w:t xml:space="preserve"> la apropiación indebida de CC.TT. (por ejemplo, incluyendo los CC.TT. en la documentación mínima del PCT, normas sobre </w:t>
            </w:r>
            <w:r w:rsidR="007527DA" w:rsidRPr="0038186B">
              <w:rPr>
                <w:lang w:val="es-419"/>
              </w:rPr>
              <w:t>la catalogación d</w:t>
            </w:r>
            <w:r w:rsidRPr="0038186B">
              <w:rPr>
                <w:lang w:val="es-419"/>
              </w:rPr>
              <w:t>e los CC.TT., inclusión de los CC.TT. en la Cl</w:t>
            </w:r>
            <w:r w:rsidR="007527DA" w:rsidRPr="0038186B">
              <w:rPr>
                <w:lang w:val="es-419"/>
              </w:rPr>
              <w:t>P</w:t>
            </w:r>
            <w:r w:rsidRPr="0038186B">
              <w:rPr>
                <w:lang w:val="es-419"/>
              </w:rPr>
              <w:t>);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para el examen de patentes relacionadas con CC.TT.;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portales, vías de acceso y bases de datos adecuadas de CC.TT. y recursos genéticos conexos para su utilización en los procedimientos de patentamiento.</w:t>
            </w: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336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Preocupación por el hecho de que la disponibilidad de los CC.TT. </w:t>
            </w:r>
            <w:r w:rsidR="00BF5507" w:rsidRPr="0038186B">
              <w:rPr>
                <w:lang w:val="es-419"/>
              </w:rPr>
              <w:t>para</w:t>
            </w:r>
            <w:r w:rsidR="00344979" w:rsidRPr="0038186B">
              <w:rPr>
                <w:lang w:val="es-419"/>
              </w:rPr>
              <w:t xml:space="preserve"> los procedimientos de patentamiento p</w:t>
            </w:r>
            <w:r w:rsidRPr="0038186B">
              <w:rPr>
                <w:lang w:val="es-419"/>
              </w:rPr>
              <w:t xml:space="preserve">odría </w:t>
            </w:r>
            <w:r w:rsidR="00BF5507" w:rsidRPr="0038186B">
              <w:rPr>
                <w:lang w:val="es-419"/>
              </w:rPr>
              <w:t>dar lugar</w:t>
            </w:r>
            <w:r w:rsidRPr="0038186B">
              <w:rPr>
                <w:lang w:val="es-419"/>
              </w:rPr>
              <w:t xml:space="preserve"> involuntariamente a </w:t>
            </w:r>
            <w:r w:rsidR="00BF5507" w:rsidRPr="0038186B">
              <w:rPr>
                <w:lang w:val="es-419"/>
              </w:rPr>
              <w:t>una</w:t>
            </w:r>
            <w:r w:rsidR="00344979" w:rsidRPr="0038186B">
              <w:rPr>
                <w:lang w:val="es-419"/>
              </w:rPr>
              <w:t xml:space="preserve"> apropiación indebida por parte de terceros.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Mecanismos </w:t>
            </w:r>
            <w:r w:rsidR="00BF5507" w:rsidRPr="0038186B">
              <w:rPr>
                <w:lang w:val="es-419"/>
              </w:rPr>
              <w:t>relativos a la</w:t>
            </w:r>
            <w:r w:rsidRPr="0038186B">
              <w:rPr>
                <w:lang w:val="es-419"/>
              </w:rPr>
              <w:t xml:space="preserve"> divulgación de patentes </w:t>
            </w:r>
            <w:r w:rsidR="00251C0C" w:rsidRPr="0038186B">
              <w:rPr>
                <w:lang w:val="es-419"/>
              </w:rPr>
              <w:t>específicos para</w:t>
            </w:r>
            <w:r w:rsidRPr="0038186B">
              <w:rPr>
                <w:lang w:val="es-419"/>
              </w:rPr>
              <w:t xml:space="preserve"> los CC.TT. y </w:t>
            </w:r>
            <w:r w:rsidR="00251C0C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recursos genéticos conexos</w:t>
            </w:r>
            <w:r w:rsidR="00251C0C" w:rsidRPr="0038186B">
              <w:rPr>
                <w:lang w:val="es-419"/>
              </w:rPr>
              <w:t xml:space="preserve"> en las leyes nacionales</w:t>
            </w:r>
            <w:r w:rsidRPr="0038186B">
              <w:rPr>
                <w:lang w:val="es-419"/>
              </w:rPr>
              <w:t>, en particular: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divulgación de la fuente </w:t>
            </w:r>
            <w:r w:rsidR="00251C0C" w:rsidRPr="0038186B">
              <w:rPr>
                <w:lang w:val="es-419"/>
              </w:rPr>
              <w:t>o del</w:t>
            </w:r>
            <w:r w:rsidRPr="0038186B">
              <w:rPr>
                <w:lang w:val="es-419"/>
              </w:rPr>
              <w:t xml:space="preserve"> origen de los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del consentimiento fundamentado previo;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 la participación equitativa en los beneficios.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Sistemas nacionales de acceso y participación en los beneficios derivados de la utilización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Extensos debates y estudios a nivel internacional sobre los requisitos de divulgación específicos para los CC.TT., en particular sobre su eficacia para impedir la apropiación indebida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de Bonn del CDB.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propuestas de nuevos requisitos en la OMC y</w:t>
            </w:r>
            <w:r w:rsidR="00251C0C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OM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BF5507" w:rsidRPr="0038186B">
              <w:rPr>
                <w:lang w:val="es-419"/>
              </w:rPr>
              <w:t xml:space="preserve">C.TT. </w:t>
            </w:r>
            <w:r w:rsidRPr="0038186B">
              <w:rPr>
                <w:lang w:val="es-419"/>
              </w:rPr>
              <w:t>no divulgados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Pueden protegerse los CC.TT. que sean secretos, tengan un valor comercial por ser secretos y hayan sido objeto de medidas razonables para mantenerlos en secreto.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344979" w:rsidRPr="0038186B">
              <w:rPr>
                <w:lang w:val="es-419"/>
              </w:rPr>
              <w:t xml:space="preserve">uestiones </w:t>
            </w:r>
            <w:r w:rsidRPr="0038186B">
              <w:rPr>
                <w:lang w:val="es-419"/>
              </w:rPr>
              <w:t>de interés particular: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cuándo se considera “secreto” un conocimiento tradicional divulgado </w:t>
            </w:r>
            <w:r w:rsidR="00BF5507" w:rsidRPr="0038186B">
              <w:rPr>
                <w:lang w:val="es-419"/>
              </w:rPr>
              <w:t xml:space="preserve">dentro </w:t>
            </w:r>
            <w:r w:rsidRPr="0038186B">
              <w:rPr>
                <w:lang w:val="es-419"/>
              </w:rPr>
              <w:t>de una comunidad tradicional;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</w:t>
            </w:r>
            <w:r w:rsidR="00251C0C" w:rsidRPr="0038186B">
              <w:rPr>
                <w:lang w:val="es-419"/>
              </w:rPr>
              <w:t xml:space="preserve">a función de las </w:t>
            </w:r>
            <w:r w:rsidR="00BF5507" w:rsidRPr="0038186B">
              <w:rPr>
                <w:lang w:val="es-419"/>
              </w:rPr>
              <w:t>normas</w:t>
            </w:r>
            <w:r w:rsidR="00251C0C" w:rsidRPr="0038186B">
              <w:rPr>
                <w:lang w:val="es-419"/>
              </w:rPr>
              <w:t xml:space="preserve"> o prá</w:t>
            </w:r>
            <w:r w:rsidRPr="0038186B">
              <w:rPr>
                <w:lang w:val="es-419"/>
              </w:rPr>
              <w:t>cticas consuetudinarias;</w:t>
            </w:r>
          </w:p>
          <w:p w:rsidR="00FD6EEF" w:rsidRPr="0038186B" w:rsidRDefault="00344979" w:rsidP="00BF5507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protección de los CC.TT. con valor espiritual y cultural para la comunidad, aunque sin valor comercial para ésta.</w:t>
            </w:r>
          </w:p>
          <w:p w:rsidR="008160FF" w:rsidRPr="0038186B" w:rsidRDefault="008160FF" w:rsidP="00BF5507">
            <w:pPr>
              <w:ind w:left="252" w:hanging="252"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0427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</w:t>
            </w:r>
            <w:r w:rsidR="00344979" w:rsidRPr="0038186B">
              <w:rPr>
                <w:lang w:val="es-419"/>
              </w:rPr>
              <w:t>contra la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frente a: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 xml:space="preserve">• cualquier acto </w:t>
            </w:r>
            <w:r w:rsidR="00251C0C" w:rsidRPr="0038186B">
              <w:rPr>
                <w:lang w:val="es-419"/>
              </w:rPr>
              <w:t>susceptible de crear</w:t>
            </w:r>
            <w:r w:rsidRPr="0038186B">
              <w:rPr>
                <w:lang w:val="es-419"/>
              </w:rPr>
              <w:t xml:space="preserve"> confusión;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aseveraciones falsas, en el ejercicio del comercio;</w:t>
            </w:r>
          </w:p>
          <w:p w:rsidR="00FD6EEF" w:rsidRPr="0038186B" w:rsidRDefault="00344979" w:rsidP="00BF5507">
            <w:pPr>
              <w:ind w:left="216" w:hanging="180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indicaciones o aseveraciones que p</w:t>
            </w:r>
            <w:r w:rsidR="00BF5507" w:rsidRPr="0038186B">
              <w:rPr>
                <w:lang w:val="es-419"/>
              </w:rPr>
              <w:t xml:space="preserve">odrían </w:t>
            </w:r>
            <w:r w:rsidRPr="0038186B">
              <w:rPr>
                <w:lang w:val="es-419"/>
              </w:rPr>
              <w:t>inducir al público a error.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Flexibilidad en la interpretación de las medidas </w:t>
            </w:r>
            <w:r w:rsidR="00317562" w:rsidRPr="0038186B">
              <w:rPr>
                <w:lang w:val="es-419"/>
              </w:rPr>
              <w:t>contra</w:t>
            </w:r>
            <w:r w:rsidRPr="0038186B">
              <w:rPr>
                <w:lang w:val="es-419"/>
              </w:rPr>
              <w:t xml:space="preserve"> la competencia desleal para incluir una norma más general contra el enriquecimiento injusto y la apropiación indebida.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signos distintivos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aplicable a los CC.TT. como tales, aunque sí a los signos distintivos y los símbolos asociados a productos relacionados con CC.TT., en particular: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de bienes y servicios con un componente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colectivas o de certificación;</w:t>
            </w:r>
          </w:p>
          <w:p w:rsidR="00FD6EEF" w:rsidRPr="0038186B" w:rsidRDefault="00D04270" w:rsidP="00D04270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indicaci</w:t>
            </w:r>
            <w:r w:rsidRPr="0038186B">
              <w:rPr>
                <w:lang w:val="es-419"/>
              </w:rPr>
              <w:t>o</w:t>
            </w:r>
            <w:r w:rsidR="00344979" w:rsidRPr="0038186B">
              <w:rPr>
                <w:lang w:val="es-419"/>
              </w:rPr>
              <w:t>n</w:t>
            </w:r>
            <w:r w:rsidRPr="0038186B">
              <w:rPr>
                <w:lang w:val="es-419"/>
              </w:rPr>
              <w:t>es</w:t>
            </w:r>
            <w:r w:rsidR="00344979" w:rsidRPr="0038186B">
              <w:rPr>
                <w:lang w:val="es-419"/>
              </w:rPr>
              <w:t xml:space="preserve"> geográfica</w:t>
            </w:r>
            <w:r w:rsidRPr="0038186B">
              <w:rPr>
                <w:lang w:val="es-419"/>
              </w:rPr>
              <w:t>s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Legislación sobre diseños industriales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25129A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Diseños industriales que sean nuevos u originales.</w:t>
            </w:r>
          </w:p>
          <w:p w:rsidR="0025129A" w:rsidRPr="0038186B" w:rsidRDefault="0025129A" w:rsidP="0025129A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 posible</w:t>
            </w:r>
            <w:r w:rsidR="00344979" w:rsidRPr="0038186B">
              <w:rPr>
                <w:lang w:val="es-419"/>
              </w:rPr>
              <w:t xml:space="preserve"> </w:t>
            </w:r>
            <w:r w:rsidR="00F93847" w:rsidRPr="0038186B">
              <w:rPr>
                <w:lang w:val="es-419"/>
              </w:rPr>
              <w:t xml:space="preserve">que los </w:t>
            </w:r>
            <w:r w:rsidR="00344979" w:rsidRPr="0038186B">
              <w:rPr>
                <w:lang w:val="es-419"/>
              </w:rPr>
              <w:t>diseños dictados esencialmente por consideraciones técnicas o funcionales</w:t>
            </w:r>
            <w:r w:rsidR="00F93847" w:rsidRPr="0038186B">
              <w:rPr>
                <w:lang w:val="es-419"/>
              </w:rPr>
              <w:t xml:space="preserve"> queden excluidos de la protección</w:t>
            </w:r>
            <w:r w:rsidR="00344979" w:rsidRPr="0038186B">
              <w:rPr>
                <w:lang w:val="es-419"/>
              </w:rPr>
              <w:t>.</w:t>
            </w:r>
          </w:p>
          <w:p w:rsidR="0025129A" w:rsidRPr="0038186B" w:rsidRDefault="0025129A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de autor y legislación conexa (incluida la protección de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bases de datos y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>ejecuciones de expresiones del folclore)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>los conocimientos como tales</w:t>
            </w:r>
            <w:r w:rsidR="00317562" w:rsidRPr="0038186B">
              <w:rPr>
                <w:lang w:val="es-419"/>
              </w:rPr>
              <w:t xml:space="preserve">, aunque </w:t>
            </w:r>
            <w:r w:rsidR="00F549C3" w:rsidRPr="0038186B">
              <w:rPr>
                <w:lang w:val="es-419"/>
              </w:rPr>
              <w:t xml:space="preserve">sí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 xml:space="preserve">los medios de registro y transmisión de los CC.TT., especialmente de las </w:t>
            </w:r>
            <w:r w:rsidR="00F93847" w:rsidRPr="0038186B">
              <w:rPr>
                <w:lang w:val="es-419"/>
              </w:rPr>
              <w:t xml:space="preserve">ECT </w:t>
            </w:r>
            <w:r w:rsidRPr="0038186B">
              <w:rPr>
                <w:lang w:val="es-419"/>
              </w:rPr>
              <w:t>susceptibles de protección.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</w:t>
            </w:r>
            <w:r w:rsidR="00034956" w:rsidRPr="0038186B">
              <w:rPr>
                <w:lang w:val="es-419"/>
              </w:rPr>
              <w:t>royecto actualizado de</w:t>
            </w:r>
            <w:r w:rsidR="009B55F6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análisis de carencias</w:t>
            </w:r>
            <w:r w:rsidR="001E11AB" w:rsidRPr="0038186B">
              <w:rPr>
                <w:lang w:val="es-419"/>
              </w:rPr>
              <w:t xml:space="preserve"> </w:t>
            </w:r>
            <w:r w:rsidR="003E077C" w:rsidRPr="0038186B">
              <w:rPr>
                <w:lang w:val="es-419"/>
              </w:rPr>
              <w:t>relativo a</w:t>
            </w:r>
            <w:r w:rsidRPr="0038186B">
              <w:rPr>
                <w:lang w:val="es-419"/>
              </w:rPr>
              <w:t xml:space="preserve"> las</w:t>
            </w:r>
            <w:r w:rsidR="001E11AB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ECT</w:t>
            </w:r>
            <w:r w:rsidR="001E11AB" w:rsidRPr="0038186B">
              <w:rPr>
                <w:lang w:val="es-419"/>
              </w:rPr>
              <w:t xml:space="preserve"> </w:t>
            </w:r>
            <w:r w:rsidR="00FD6EEF" w:rsidRPr="0038186B">
              <w:rPr>
                <w:lang w:val="es-419"/>
              </w:rPr>
              <w:t>(WIPO/</w:t>
            </w:r>
            <w:r w:rsidR="000B6E41" w:rsidRPr="0038186B">
              <w:rPr>
                <w:lang w:val="es-419"/>
              </w:rPr>
              <w:t>GRTK</w:t>
            </w:r>
            <w:r w:rsidR="00FD6EEF" w:rsidRPr="0038186B">
              <w:rPr>
                <w:lang w:val="es-419"/>
              </w:rPr>
              <w:t>F/IC/</w:t>
            </w:r>
            <w:r w:rsidR="0024532D" w:rsidRPr="0038186B">
              <w:rPr>
                <w:lang w:val="es-419"/>
              </w:rPr>
              <w:t>37/7</w:t>
            </w:r>
            <w:r w:rsidR="00FD6EEF"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internacional</w:t>
            </w:r>
            <w:r w:rsidR="00493055" w:rsidRPr="0038186B">
              <w:rPr>
                <w:lang w:val="es-419"/>
              </w:rPr>
              <w:t xml:space="preserve"> público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CDB: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relativos a la biodiversidad pertinentes para la conservación y el uso sostenible de la diversidad biológica.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077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FAO </w:t>
            </w:r>
            <w:r w:rsidR="00344979" w:rsidRPr="0038186B">
              <w:rPr>
                <w:lang w:val="es-419"/>
              </w:rPr>
              <w:t>T</w:t>
            </w:r>
            <w:r w:rsidR="00ED364C" w:rsidRPr="0038186B">
              <w:rPr>
                <w:lang w:val="es-419"/>
              </w:rPr>
              <w:t>IRFAA</w:t>
            </w:r>
            <w:r w:rsidR="00344979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CC.TT. relativos a los recursos fitogenéticos para la alimentación y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Otros textos </w:t>
            </w:r>
            <w:r w:rsidR="00FD6EEF" w:rsidRPr="0038186B">
              <w:rPr>
                <w:lang w:val="es-419"/>
              </w:rPr>
              <w:t>interna</w:t>
            </w:r>
            <w:r w:rsidRPr="0038186B">
              <w:rPr>
                <w:lang w:val="es-419"/>
              </w:rPr>
              <w:t>cionales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Declaración de</w:t>
            </w:r>
            <w:r w:rsidR="00317562" w:rsidRPr="0038186B">
              <w:rPr>
                <w:lang w:val="es-419"/>
              </w:rPr>
              <w:t xml:space="preserve"> las Naciones Unidas sobre los Derechos de los P</w:t>
            </w:r>
            <w:r w:rsidRPr="0038186B">
              <w:rPr>
                <w:lang w:val="es-419"/>
              </w:rPr>
              <w:t>ueb</w:t>
            </w:r>
            <w:r w:rsidR="00317562" w:rsidRPr="0038186B">
              <w:rPr>
                <w:lang w:val="es-419"/>
              </w:rPr>
              <w:t>los I</w:t>
            </w:r>
            <w:r w:rsidRPr="0038186B">
              <w:rPr>
                <w:lang w:val="es-419"/>
              </w:rPr>
              <w:t>ndígenas: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declaración no vinculante </w:t>
            </w:r>
            <w:r w:rsidR="00317562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317562" w:rsidRPr="0038186B">
              <w:rPr>
                <w:lang w:val="es-419"/>
              </w:rPr>
              <w:t>se exponen</w:t>
            </w:r>
            <w:r w:rsidRPr="0038186B">
              <w:rPr>
                <w:lang w:val="es-419"/>
              </w:rPr>
              <w:t xml:space="preserve"> los derechos de los pueblos indígenas relacionados con los CC.TT.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03495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Directrices de Bonn: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relacionados con la biodiversidad</w:t>
            </w:r>
            <w:r w:rsidR="003E077C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pertinentes para la conservación y el uso sostenible de la biodiversidad biológica.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130037" w:rsidRDefault="00130037" w:rsidP="00344979">
      <w:pPr>
        <w:rPr>
          <w:lang w:val="es-419"/>
        </w:rPr>
      </w:pPr>
    </w:p>
    <w:p w:rsidR="00130037" w:rsidRDefault="00130037" w:rsidP="00344979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B.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CARENCIAS </w:t>
      </w:r>
      <w:r w:rsidR="003E077C" w:rsidRPr="0038186B">
        <w:rPr>
          <w:lang w:val="es-419"/>
        </w:rPr>
        <w:t>EXISTENTES</w:t>
      </w:r>
      <w:r w:rsidRPr="0038186B">
        <w:rPr>
          <w:lang w:val="es-419"/>
        </w:rPr>
        <w:t xml:space="preserve"> A NIVEL INTERNACIONAL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FD6EEF" w:rsidRPr="0038186B" w:rsidTr="00130037"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Aspecto de la protección</w:t>
            </w:r>
          </w:p>
        </w:tc>
        <w:tc>
          <w:tcPr>
            <w:tcW w:w="5915" w:type="dxa"/>
          </w:tcPr>
          <w:p w:rsidR="00FD6EEF" w:rsidRPr="0038186B" w:rsidRDefault="003E077C" w:rsidP="003E077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 xml:space="preserve">Carencia definida </w:t>
            </w:r>
            <w:r w:rsidR="00344979" w:rsidRPr="0038186B">
              <w:rPr>
                <w:b/>
                <w:lang w:val="es-419"/>
              </w:rPr>
              <w:t xml:space="preserve">en </w:t>
            </w:r>
            <w:r w:rsidRPr="0038186B">
              <w:rPr>
                <w:b/>
                <w:lang w:val="es-419"/>
              </w:rPr>
              <w:t xml:space="preserve">materia de </w:t>
            </w:r>
            <w:r w:rsidR="00344979" w:rsidRPr="0038186B">
              <w:rPr>
                <w:b/>
                <w:lang w:val="es-419"/>
              </w:rPr>
              <w:t>protección</w:t>
            </w:r>
            <w:r w:rsidRPr="0038186B">
              <w:rPr>
                <w:b/>
                <w:lang w:val="es-419"/>
              </w:rPr>
              <w:t xml:space="preserve"> </w:t>
            </w:r>
          </w:p>
        </w:tc>
        <w:tc>
          <w:tcPr>
            <w:tcW w:w="567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o determinación de los CC.TT. que deb</w:t>
            </w:r>
            <w:r w:rsidR="00317562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n protegerse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E203E3" w:rsidRPr="0038186B">
              <w:rPr>
                <w:lang w:val="es-419"/>
              </w:rPr>
              <w:t>existe una definición formal de los C</w:t>
            </w:r>
            <w:r w:rsidR="00344979" w:rsidRPr="0038186B">
              <w:rPr>
                <w:lang w:val="es-419"/>
              </w:rPr>
              <w:t>C.TT. que deb</w:t>
            </w: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 xml:space="preserve">n ser protegidos, </w:t>
            </w:r>
            <w:r w:rsidRPr="0038186B">
              <w:rPr>
                <w:lang w:val="es-419"/>
              </w:rPr>
              <w:t xml:space="preserve">aunque diversos </w:t>
            </w:r>
            <w:r w:rsidR="00344979" w:rsidRPr="0038186B">
              <w:rPr>
                <w:lang w:val="es-419"/>
              </w:rPr>
              <w:t>instrumentos internacionales</w:t>
            </w:r>
            <w:r w:rsidR="00E7038E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se</w:t>
            </w:r>
            <w:r w:rsidR="00E7038E" w:rsidRPr="0038186B">
              <w:rPr>
                <w:lang w:val="es-419"/>
              </w:rPr>
              <w:t xml:space="preserve"> refieren a ellos </w:t>
            </w:r>
            <w:r w:rsidR="00344979" w:rsidRPr="0038186B">
              <w:rPr>
                <w:lang w:val="es-419"/>
              </w:rPr>
              <w:t>(</w:t>
            </w:r>
            <w:r w:rsidR="00E7038E" w:rsidRPr="0038186B">
              <w:rPr>
                <w:lang w:val="es-419"/>
              </w:rPr>
              <w:t>a</w:t>
            </w:r>
            <w:r w:rsidR="00344979" w:rsidRPr="0038186B">
              <w:rPr>
                <w:lang w:val="es-419"/>
              </w:rPr>
              <w:t xml:space="preserve"> </w:t>
            </w:r>
            <w:r w:rsidR="00E7038E" w:rsidRPr="0038186B">
              <w:rPr>
                <w:lang w:val="es-419"/>
              </w:rPr>
              <w:t>determinados aspectos</w:t>
            </w:r>
            <w:r w:rsidR="00344979" w:rsidRPr="0038186B">
              <w:rPr>
                <w:lang w:val="es-419"/>
              </w:rPr>
              <w:t xml:space="preserve"> de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E7038E" w:rsidRPr="0038186B">
              <w:rPr>
                <w:lang w:val="es-419"/>
              </w:rPr>
              <w:t>n los trabajos del CIG se han detallado algunos elementos de la definición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Carencias respecto de los objetivos expresos de protección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Valor intrí</w:t>
            </w:r>
            <w:r w:rsidR="00FB4F87" w:rsidRPr="0038186B">
              <w:rPr>
                <w:lang w:val="es-419"/>
              </w:rPr>
              <w:t>nseco de los sistemas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Los sistemas de CC.TT. como formas valiosas de innovación.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Respeto </w:t>
            </w:r>
            <w:r w:rsidR="00FB4F87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los sistemas de CC.TT. y </w:t>
            </w:r>
            <w:r w:rsidR="00FB4F87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los valores intelectuales y espirituales de los titulares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Respeto de los derechos de los titulares y custodios de los CC.TT.</w:t>
            </w:r>
          </w:p>
          <w:p w:rsidR="00DF5574" w:rsidRPr="0038186B" w:rsidRDefault="005E44ED" w:rsidP="00130037">
            <w:pPr>
              <w:keepNext/>
              <w:rPr>
                <w:lang w:val="es-419"/>
              </w:rPr>
            </w:pPr>
            <w:r w:rsidRPr="0038186B">
              <w:rPr>
                <w:iCs/>
                <w:lang w:val="es-419"/>
              </w:rPr>
              <w:t>Conservación de los CC.TT. y</w:t>
            </w:r>
            <w:r w:rsidRPr="0038186B">
              <w:rPr>
                <w:lang w:val="es-419"/>
              </w:rPr>
              <w:t xml:space="preserve"> fortalecimiento de los sistemas de CC.TT.</w:t>
            </w:r>
          </w:p>
          <w:p w:rsidR="00DF5574" w:rsidRPr="0038186B" w:rsidRDefault="005E44ED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de los estilos de vida tradicionales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a la innovación dentro de los sistemas de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Apoyo a la preservación y salvaguardia de los CC.TT.</w:t>
            </w:r>
          </w:p>
          <w:p w:rsidR="00DF5574" w:rsidRPr="0038186B" w:rsidRDefault="00E203E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apropiación indebida y la utilización desleal e injusta de los CC.TT., y </w:t>
            </w:r>
            <w:r w:rsidRPr="0038186B">
              <w:rPr>
                <w:lang w:val="es-419"/>
              </w:rPr>
              <w:t xml:space="preserve">para </w:t>
            </w:r>
            <w:r w:rsidR="00344979" w:rsidRPr="0038186B">
              <w:rPr>
                <w:lang w:val="es-419"/>
              </w:rPr>
              <w:t>promo</w:t>
            </w:r>
            <w:r w:rsidR="00FB4F87" w:rsidRPr="0038186B">
              <w:rPr>
                <w:lang w:val="es-419"/>
              </w:rPr>
              <w:t>ver</w:t>
            </w:r>
            <w:r w:rsidR="00344979" w:rsidRPr="0038186B">
              <w:rPr>
                <w:lang w:val="es-419"/>
              </w:rPr>
              <w:t xml:space="preserve"> la participación equitativa en los beneficios de los CC.TT.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Garantizar que el acceso y el uso de los CC.TT. están sujetos al consentimiento fundamentado previo.</w:t>
            </w: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Promoción del desarrollo sostenible de las comunidades y las actividades comerciales legítimas basadas en los sistemas de CC.TT.</w:t>
            </w:r>
          </w:p>
          <w:p w:rsidR="00FD6EEF" w:rsidRPr="0038186B" w:rsidRDefault="00E203E3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concesión o el ejercicio de derechos </w:t>
            </w:r>
            <w:r w:rsidR="006D521B" w:rsidRPr="0038186B">
              <w:rPr>
                <w:lang w:val="es-419"/>
              </w:rPr>
              <w:t xml:space="preserve">ilegítimos </w:t>
            </w:r>
            <w:r w:rsidR="00344979" w:rsidRPr="0038186B">
              <w:rPr>
                <w:lang w:val="es-419"/>
              </w:rPr>
              <w:t xml:space="preserve">de </w:t>
            </w:r>
            <w:r w:rsidR="0030450C" w:rsidRPr="0038186B">
              <w:rPr>
                <w:lang w:val="es-419"/>
              </w:rPr>
              <w:t xml:space="preserve">PI </w:t>
            </w:r>
            <w:r w:rsidR="006D521B" w:rsidRPr="0038186B">
              <w:rPr>
                <w:lang w:val="es-419"/>
              </w:rPr>
              <w:t>s</w:t>
            </w:r>
            <w:r w:rsidR="00344979" w:rsidRPr="0038186B">
              <w:rPr>
                <w:lang w:val="es-419"/>
              </w:rPr>
              <w:t>obre los CC.TT.</w:t>
            </w:r>
          </w:p>
        </w:tc>
        <w:tc>
          <w:tcPr>
            <w:tcW w:w="567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</w:tr>
      <w:tr w:rsidR="00E203E3" w:rsidRPr="0038186B" w:rsidTr="00130037">
        <w:tc>
          <w:tcPr>
            <w:tcW w:w="3294" w:type="dxa"/>
          </w:tcPr>
          <w:p w:rsidR="00FD6EEF" w:rsidRPr="0038186B" w:rsidRDefault="00344979" w:rsidP="00E203E3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 xml:space="preserve">Carencias en </w:t>
            </w:r>
            <w:r w:rsidR="00E203E3" w:rsidRPr="0038186B">
              <w:rPr>
                <w:i/>
                <w:lang w:val="es-419"/>
              </w:rPr>
              <w:t>los</w:t>
            </w:r>
            <w:r w:rsidRPr="0038186B">
              <w:rPr>
                <w:i/>
                <w:lang w:val="es-419"/>
              </w:rPr>
              <w:t xml:space="preserve"> mecanismos jurídicos vigentes</w:t>
            </w:r>
            <w:r w:rsidR="00FD6EEF" w:rsidRPr="0038186B">
              <w:rPr>
                <w:i/>
                <w:lang w:val="es-419"/>
              </w:rPr>
              <w:t xml:space="preserve"> </w:t>
            </w:r>
          </w:p>
        </w:tc>
        <w:tc>
          <w:tcPr>
            <w:tcW w:w="591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B4F8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</w:t>
            </w:r>
            <w:r w:rsidR="00344979" w:rsidRPr="0038186B">
              <w:rPr>
                <w:lang w:val="es-419"/>
              </w:rPr>
              <w:t>ateria no prevista en la legislación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203E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</w:t>
            </w:r>
            <w:r w:rsidR="00FB4F87" w:rsidRPr="0038186B">
              <w:rPr>
                <w:lang w:val="es-419"/>
              </w:rPr>
              <w:t>C.TT.</w:t>
            </w:r>
            <w:r w:rsidR="00344979" w:rsidRPr="0038186B">
              <w:rPr>
                <w:lang w:val="es-419"/>
              </w:rPr>
              <w:t xml:space="preserve"> no contemplados </w:t>
            </w:r>
            <w:r w:rsidR="00FB4F87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</w:t>
            </w:r>
            <w:r w:rsidR="00B934A1" w:rsidRPr="0038186B">
              <w:rPr>
                <w:lang w:val="es-419"/>
              </w:rPr>
              <w:t xml:space="preserve">las modalidades de </w:t>
            </w:r>
            <w:r w:rsidR="00344979" w:rsidRPr="0038186B">
              <w:rPr>
                <w:lang w:val="es-419"/>
              </w:rPr>
              <w:t xml:space="preserve">protección </w:t>
            </w:r>
            <w:r w:rsidR="00B934A1" w:rsidRPr="0038186B">
              <w:rPr>
                <w:lang w:val="es-419"/>
              </w:rPr>
              <w:t xml:space="preserve">existentes en el marco de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son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no se consideran nuevos;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consideran evidentes;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han divulgado públicamente o que no cumplen los criterios relativos a la protección de la información confidencial.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punto A anterior.</w:t>
            </w: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Los CC.TT. acumulados, de titularidad colectiva y de carácter intergeneracional, que no cumplen los criterios relativos a la información no divulgada o confidencial.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</w:t>
            </w:r>
            <w:r w:rsidR="00B934A1" w:rsidRPr="0038186B">
              <w:rPr>
                <w:lang w:val="es-419"/>
              </w:rPr>
              <w:t xml:space="preserve">integrado </w:t>
            </w:r>
            <w:r w:rsidRPr="0038186B">
              <w:rPr>
                <w:lang w:val="es-419"/>
              </w:rPr>
              <w:t>de CC.TT. como tal.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se reconoce a los beneficiarios o los titulares de los derechos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Derechos, intereses y </w:t>
            </w:r>
            <w:r w:rsidR="00B4162E" w:rsidRPr="0038186B">
              <w:rPr>
                <w:lang w:val="es-419"/>
              </w:rPr>
              <w:t>prerrog</w:t>
            </w:r>
            <w:r w:rsidR="00CA2BE8" w:rsidRPr="0038186B">
              <w:rPr>
                <w:lang w:val="es-419"/>
              </w:rPr>
              <w:t>ativas</w:t>
            </w:r>
            <w:r w:rsidR="00B934A1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colectiv</w:t>
            </w:r>
            <w:r w:rsidR="00B934A1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 xml:space="preserve">s </w:t>
            </w:r>
            <w:r w:rsidR="00B80EB2" w:rsidRPr="0038186B">
              <w:rPr>
                <w:lang w:val="es-419"/>
              </w:rPr>
              <w:t>dentro de u</w:t>
            </w:r>
            <w:r w:rsidRPr="0038186B">
              <w:rPr>
                <w:lang w:val="es-419"/>
              </w:rPr>
              <w:t>n sistema de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Formas de utilización y </w:t>
            </w:r>
            <w:r w:rsidR="00B80EB2" w:rsidRPr="0038186B">
              <w:rPr>
                <w:lang w:val="es-419"/>
              </w:rPr>
              <w:t>otros actos</w:t>
            </w:r>
            <w:r w:rsidRPr="0038186B">
              <w:rPr>
                <w:lang w:val="es-419"/>
              </w:rPr>
              <w:t xml:space="preserve"> que la legislación vigente</w:t>
            </w:r>
            <w:r w:rsidR="00B934A1" w:rsidRPr="0038186B">
              <w:rPr>
                <w:lang w:val="es-419"/>
              </w:rPr>
              <w:t xml:space="preserve"> no permite impedir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934A1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No</w:t>
            </w:r>
            <w:r w:rsidR="00344979" w:rsidRPr="0038186B">
              <w:rPr>
                <w:lang w:val="es-419"/>
              </w:rPr>
              <w:t xml:space="preserve">rma expresa </w:t>
            </w:r>
            <w:r w:rsidRPr="0038186B">
              <w:rPr>
                <w:lang w:val="es-419"/>
              </w:rPr>
              <w:t xml:space="preserve">para </w:t>
            </w:r>
            <w:r w:rsidR="00B80EB2" w:rsidRPr="0038186B">
              <w:rPr>
                <w:lang w:val="es-419"/>
              </w:rPr>
              <w:t>combatir</w:t>
            </w:r>
            <w:r w:rsidRPr="0038186B">
              <w:rPr>
                <w:lang w:val="es-419"/>
              </w:rPr>
              <w:t xml:space="preserve"> e</w:t>
            </w:r>
            <w:r w:rsidR="00344979" w:rsidRPr="0038186B">
              <w:rPr>
                <w:lang w:val="es-419"/>
              </w:rPr>
              <w:t>l patentamiento ilegítimo de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3F95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 de divulgación </w:t>
            </w:r>
            <w:r w:rsidR="00313F95" w:rsidRPr="0038186B">
              <w:rPr>
                <w:lang w:val="es-419"/>
              </w:rPr>
              <w:t>específico en relación con los</w:t>
            </w:r>
            <w:r w:rsidRPr="0038186B">
              <w:rPr>
                <w:lang w:val="es-419"/>
              </w:rPr>
              <w:t xml:space="preserve"> CC.TT.</w:t>
            </w: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B80EB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contra e</w:t>
            </w:r>
            <w:r w:rsidR="00344979" w:rsidRPr="0038186B">
              <w:rPr>
                <w:lang w:val="es-419"/>
              </w:rPr>
              <w:t>l enriquecimiento injusto o la apropiación indebida de los CC.TT.</w:t>
            </w:r>
          </w:p>
          <w:p w:rsidR="00AE77D7" w:rsidRPr="0038186B" w:rsidRDefault="00AE77D7" w:rsidP="00344979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al reconocimiento y la integridad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Oposición a que se usen</w:t>
            </w:r>
            <w:r w:rsidR="00880997" w:rsidRPr="0038186B">
              <w:rPr>
                <w:lang w:val="es-419"/>
              </w:rPr>
              <w:t xml:space="preserve"> los </w:t>
            </w:r>
            <w:r w:rsidR="00344979" w:rsidRPr="0038186B">
              <w:rPr>
                <w:lang w:val="es-419"/>
              </w:rPr>
              <w:t>CC.TT.</w:t>
            </w:r>
            <w:r w:rsidR="00880997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sin el</w:t>
            </w:r>
            <w:r w:rsidR="009B55F6" w:rsidRPr="0038186B">
              <w:rPr>
                <w:lang w:val="es-419"/>
              </w:rPr>
              <w:t xml:space="preserve"> </w:t>
            </w:r>
            <w:r w:rsidR="00880997" w:rsidRPr="0038186B">
              <w:rPr>
                <w:lang w:val="es-419"/>
              </w:rPr>
              <w:t xml:space="preserve">reconocimiento explícito de </w:t>
            </w:r>
            <w:r w:rsidR="00344979" w:rsidRPr="0038186B">
              <w:rPr>
                <w:lang w:val="es-419"/>
              </w:rPr>
              <w:t xml:space="preserve">la comunidad </w:t>
            </w:r>
            <w:r w:rsidRPr="0038186B">
              <w:rPr>
                <w:lang w:val="es-419"/>
              </w:rPr>
              <w:t>de origen</w:t>
            </w:r>
            <w:r w:rsidR="00344979" w:rsidRPr="0038186B">
              <w:rPr>
                <w:lang w:val="es-419"/>
              </w:rPr>
              <w:t xml:space="preserve"> de los conocimientos.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Oposición a que se usen </w:t>
            </w:r>
            <w:r w:rsidR="00880997" w:rsidRPr="0038186B">
              <w:rPr>
                <w:lang w:val="es-419"/>
              </w:rPr>
              <w:t>CC.TT. que s</w:t>
            </w:r>
            <w:r w:rsidR="00344979" w:rsidRPr="0038186B">
              <w:rPr>
                <w:lang w:val="es-419"/>
              </w:rPr>
              <w:t>uponga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una ofensa cultural o espiritual o </w:t>
            </w:r>
            <w:r w:rsidR="00866FFB" w:rsidRPr="0038186B">
              <w:rPr>
                <w:lang w:val="es-419"/>
              </w:rPr>
              <w:t xml:space="preserve">que </w:t>
            </w:r>
            <w:r w:rsidR="00344979" w:rsidRPr="0038186B">
              <w:rPr>
                <w:lang w:val="es-419"/>
              </w:rPr>
              <w:t>menoscabe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la integridad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510F41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No se reconoce expresamente el derecho de los</w:t>
            </w:r>
            <w:r w:rsidR="00344979" w:rsidRPr="0038186B">
              <w:rPr>
                <w:lang w:val="es-419"/>
              </w:rPr>
              <w:t xml:space="preserve"> titulares de </w:t>
            </w:r>
            <w:r w:rsidRPr="0038186B">
              <w:rPr>
                <w:lang w:val="es-419"/>
              </w:rPr>
              <w:t xml:space="preserve">CC.TT. </w:t>
            </w:r>
            <w:r w:rsidR="00344979" w:rsidRPr="0038186B">
              <w:rPr>
                <w:lang w:val="es-419"/>
              </w:rPr>
              <w:t>al consentimiento fundamentado previo respecto del acceso a determinadas formas de CC.TT.</w:t>
            </w:r>
          </w:p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DF5574" w:rsidRPr="0038186B" w:rsidRDefault="00EB34A6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Aclarar</w:t>
            </w:r>
            <w:r w:rsidR="009D74DA" w:rsidRPr="0038186B">
              <w:rPr>
                <w:lang w:val="es-419"/>
              </w:rPr>
              <w:t xml:space="preserve"> que </w:t>
            </w:r>
            <w:r w:rsidR="00344979" w:rsidRPr="0038186B">
              <w:rPr>
                <w:lang w:val="es-419"/>
              </w:rPr>
              <w:t xml:space="preserve">la protección de la información no divulgada </w:t>
            </w:r>
            <w:r w:rsidR="009D74DA" w:rsidRPr="0038186B">
              <w:rPr>
                <w:lang w:val="es-419"/>
              </w:rPr>
              <w:t>permit</w:t>
            </w:r>
            <w:r w:rsidR="00510F41" w:rsidRPr="0038186B">
              <w:rPr>
                <w:lang w:val="es-419"/>
              </w:rPr>
              <w:t>iría garantizar</w:t>
            </w:r>
            <w:r w:rsidR="00344979" w:rsidRPr="0038186B">
              <w:rPr>
                <w:lang w:val="es-419"/>
              </w:rPr>
              <w:t xml:space="preserve"> el derecho al consentimiento </w:t>
            </w:r>
            <w:r w:rsidR="00AE77D7" w:rsidRPr="0038186B">
              <w:rPr>
                <w:lang w:val="es-419"/>
              </w:rPr>
              <w:t>fundamentado</w:t>
            </w:r>
            <w:r w:rsidR="00344979" w:rsidRPr="0038186B">
              <w:rPr>
                <w:lang w:val="es-419"/>
              </w:rPr>
              <w:t xml:space="preserve"> previo.</w:t>
            </w:r>
          </w:p>
          <w:p w:rsidR="00FD6EEF" w:rsidRPr="0038186B" w:rsidRDefault="00FD6EEF" w:rsidP="00130037">
            <w:pPr>
              <w:keepNext/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130037">
            <w:pPr>
              <w:keepNext/>
              <w:rPr>
                <w:lang w:val="es-419"/>
              </w:rPr>
            </w:pPr>
          </w:p>
          <w:p w:rsidR="00FD6EEF" w:rsidRPr="0038186B" w:rsidRDefault="00344979" w:rsidP="00130037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Necesidad de </w:t>
            </w:r>
            <w:r w:rsidR="00B80EB2" w:rsidRPr="0038186B">
              <w:rPr>
                <w:lang w:val="es-419"/>
              </w:rPr>
              <w:t>aclarar</w:t>
            </w:r>
            <w:r w:rsidRPr="0038186B">
              <w:rPr>
                <w:lang w:val="es-419"/>
              </w:rPr>
              <w:t xml:space="preserve"> el principio de consentimiento fundamentado previo respecto de conocimientos compartidos con otros titulares de CC.TT. que ya </w:t>
            </w:r>
            <w:r w:rsidR="00A10D6E" w:rsidRPr="0038186B">
              <w:rPr>
                <w:lang w:val="es-419"/>
              </w:rPr>
              <w:t>se han</w:t>
            </w:r>
            <w:r w:rsidRPr="0038186B">
              <w:rPr>
                <w:lang w:val="es-419"/>
              </w:rPr>
              <w:t xml:space="preserve"> divulgado </w:t>
            </w:r>
            <w:r w:rsidR="00A10D6E" w:rsidRPr="0038186B">
              <w:rPr>
                <w:lang w:val="es-419"/>
              </w:rPr>
              <w:t>fuera</w:t>
            </w:r>
            <w:r w:rsidRPr="0038186B">
              <w:rPr>
                <w:lang w:val="es-419"/>
              </w:rPr>
              <w:t xml:space="preserve"> de la comunidad con el consentimiento (tácito o expreso) o sin el consentimiento de ésta.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5E44ED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Consentimiento fundamentado previo relativo a los CC.TT. y el sistema de patentes 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35143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hay un vínculo </w:t>
            </w:r>
            <w:r w:rsidR="00351432" w:rsidRPr="0038186B">
              <w:rPr>
                <w:lang w:val="es-419"/>
              </w:rPr>
              <w:t>jurídico</w:t>
            </w:r>
            <w:r w:rsidRPr="0038186B">
              <w:rPr>
                <w:lang w:val="es-419"/>
              </w:rPr>
              <w:t xml:space="preserve"> claro</w:t>
            </w:r>
            <w:r w:rsidR="00351432" w:rsidRPr="0038186B">
              <w:rPr>
                <w:lang w:val="es-419"/>
              </w:rPr>
              <w:t xml:space="preserve"> entre los sistemas de consentimiento fundamentado previo relativos a los CC.TT. y el patentamiento de: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los CC.TT. como tales; y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las invenciones basadas en CC.TT.</w:t>
            </w:r>
          </w:p>
          <w:p w:rsidR="00FD6EEF" w:rsidRPr="0038186B" w:rsidRDefault="00FD6EEF" w:rsidP="00351432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Ex</w:t>
            </w:r>
            <w:r w:rsidR="009E07EC" w:rsidRPr="0038186B">
              <w:rPr>
                <w:lang w:val="es-419"/>
              </w:rPr>
              <w:t>istencia de la</w:t>
            </w:r>
            <w:r w:rsidRPr="0038186B">
              <w:rPr>
                <w:lang w:val="es-419"/>
              </w:rPr>
              <w:t xml:space="preserve"> </w:t>
            </w:r>
            <w:r w:rsidR="009E07EC" w:rsidRPr="0038186B">
              <w:rPr>
                <w:lang w:val="es-419"/>
              </w:rPr>
              <w:t>obligación</w:t>
            </w:r>
            <w:r w:rsidRPr="0038186B">
              <w:rPr>
                <w:lang w:val="es-419"/>
              </w:rPr>
              <w:t xml:space="preserve"> de </w:t>
            </w:r>
            <w:r w:rsidR="004B2C61" w:rsidRPr="0038186B">
              <w:rPr>
                <w:lang w:val="es-419"/>
              </w:rPr>
              <w:t>mencionar</w:t>
            </w:r>
            <w:r w:rsidRPr="0038186B">
              <w:rPr>
                <w:lang w:val="es-419"/>
              </w:rPr>
              <w:t xml:space="preserve"> al verdadero inventor </w:t>
            </w:r>
            <w:r w:rsidR="009E07EC" w:rsidRPr="0038186B">
              <w:rPr>
                <w:lang w:val="es-419"/>
              </w:rPr>
              <w:t xml:space="preserve">y </w:t>
            </w:r>
            <w:r w:rsidR="004B2C61" w:rsidRPr="0038186B">
              <w:rPr>
                <w:lang w:val="es-419"/>
              </w:rPr>
              <w:t xml:space="preserve">de </w:t>
            </w:r>
            <w:r w:rsidR="009E07EC" w:rsidRPr="0038186B">
              <w:rPr>
                <w:lang w:val="es-419"/>
              </w:rPr>
              <w:t xml:space="preserve">fundamentar una patente en un título de </w:t>
            </w:r>
            <w:r w:rsidR="004B2C61" w:rsidRPr="0038186B">
              <w:rPr>
                <w:lang w:val="es-419"/>
              </w:rPr>
              <w:t xml:space="preserve">propiedad del </w:t>
            </w:r>
            <w:r w:rsidR="009E07EC" w:rsidRPr="0038186B">
              <w:rPr>
                <w:lang w:val="es-419"/>
              </w:rPr>
              <w:t>inventor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a la participación equitativa en los beneficios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80EB2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Inexistencia</w:t>
            </w:r>
            <w:r w:rsidR="00467BFB" w:rsidRPr="0038186B">
              <w:rPr>
                <w:lang w:val="es-419"/>
              </w:rPr>
              <w:t xml:space="preserve"> </w:t>
            </w:r>
            <w:r w:rsidR="00866FFB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>l</w:t>
            </w:r>
            <w:r w:rsidR="00866FFB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derecho a obtener una remuneración u otros beneficios (incluidos </w:t>
            </w:r>
            <w:r w:rsidR="00444477" w:rsidRPr="0038186B">
              <w:rPr>
                <w:lang w:val="es-419"/>
              </w:rPr>
              <w:t xml:space="preserve">los que se consideren culturalmente apropiados </w:t>
            </w:r>
            <w:r w:rsidR="00344979" w:rsidRPr="0038186B">
              <w:rPr>
                <w:lang w:val="es-419"/>
              </w:rPr>
              <w:t>y otros beneficios no financieros).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4447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Importancia del derecho </w:t>
            </w:r>
            <w:r w:rsidR="00344979" w:rsidRPr="0038186B">
              <w:rPr>
                <w:lang w:val="es-419"/>
              </w:rPr>
              <w:t>consuetudinari</w:t>
            </w:r>
            <w:r w:rsidRPr="0038186B">
              <w:rPr>
                <w:lang w:val="es-419"/>
              </w:rPr>
              <w:t>o para la determinación de los</w:t>
            </w:r>
            <w:r w:rsidR="00CF71A9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beneficios </w:t>
            </w:r>
            <w:r w:rsidR="00CF71A9" w:rsidRPr="0038186B">
              <w:rPr>
                <w:lang w:val="es-419"/>
              </w:rPr>
              <w:t xml:space="preserve">que se consideran </w:t>
            </w:r>
            <w:r w:rsidR="00344979" w:rsidRPr="0038186B">
              <w:rPr>
                <w:lang w:val="es-419"/>
              </w:rPr>
              <w:t>equitativos y a</w:t>
            </w:r>
            <w:r w:rsidR="00CF71A9" w:rsidRPr="0038186B">
              <w:rPr>
                <w:lang w:val="es-419"/>
              </w:rPr>
              <w:t>propiados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C.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CONSIDERACIONES PARA DETERMINAR SI </w:t>
      </w:r>
      <w:r w:rsidR="0003627E" w:rsidRPr="0038186B">
        <w:rPr>
          <w:lang w:val="es-419"/>
        </w:rPr>
        <w:t xml:space="preserve">ES NECESARIO </w:t>
      </w:r>
      <w:r w:rsidR="000E25E9" w:rsidRPr="0038186B">
        <w:rPr>
          <w:lang w:val="es-419"/>
        </w:rPr>
        <w:t xml:space="preserve">PALIAR </w:t>
      </w:r>
      <w:r w:rsidRPr="0038186B">
        <w:rPr>
          <w:lang w:val="es-419"/>
        </w:rPr>
        <w:t>ESAS CARENCIAS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5915"/>
        <w:gridCol w:w="5670"/>
      </w:tblGrid>
      <w:tr w:rsidR="00FD6EEF" w:rsidRPr="0038186B" w:rsidTr="00130037">
        <w:tc>
          <w:tcPr>
            <w:tcW w:w="3294" w:type="dxa"/>
          </w:tcPr>
          <w:p w:rsidR="00FD6EEF" w:rsidRPr="0038186B" w:rsidRDefault="00FD6EEF" w:rsidP="001E7064">
            <w:pPr>
              <w:spacing w:before="240"/>
              <w:rPr>
                <w:b/>
                <w:lang w:val="es-419"/>
              </w:rPr>
            </w:pPr>
          </w:p>
        </w:tc>
        <w:tc>
          <w:tcPr>
            <w:tcW w:w="5915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Naturaleza de la consideración</w:t>
            </w:r>
          </w:p>
        </w:tc>
        <w:tc>
          <w:tcPr>
            <w:tcW w:w="5670" w:type="dxa"/>
          </w:tcPr>
          <w:p w:rsidR="00FD6EEF" w:rsidRPr="0038186B" w:rsidRDefault="0003627E" w:rsidP="0003627E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Detalles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FD6EEF" w:rsidRPr="0038186B" w:rsidRDefault="00344979" w:rsidP="00344979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>Consideraciones de carácter sustantivo</w:t>
            </w: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F71A9" w:rsidP="0082747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internacional y </w:t>
            </w:r>
            <w:r w:rsidR="00344979" w:rsidRPr="0038186B">
              <w:rPr>
                <w:lang w:val="es-419"/>
              </w:rPr>
              <w:t xml:space="preserve">políticas 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particular </w:t>
            </w:r>
            <w:r w:rsidR="00467BFB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obligaciones legales y marcos </w:t>
            </w:r>
            <w:r w:rsidR="00467BFB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relativos a: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conservación de la biodiversidad y la lucha contra la desertificación;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derechos de los pueblos indígenas;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políticas sostenibles sobre salud y acceso a los medicamentos.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 de carácter social, cultural, político y económico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03627E"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>especial</w:t>
            </w:r>
            <w:r w:rsidR="0010406F" w:rsidRPr="0038186B">
              <w:rPr>
                <w:lang w:val="es-419"/>
              </w:rPr>
              <w:t xml:space="preserve"> hincapié en las </w:t>
            </w:r>
            <w:r w:rsidR="007D4263" w:rsidRPr="0038186B">
              <w:rPr>
                <w:lang w:val="es-419"/>
              </w:rPr>
              <w:t xml:space="preserve">quejas de </w:t>
            </w:r>
            <w:r w:rsidRPr="0038186B">
              <w:rPr>
                <w:lang w:val="es-419"/>
              </w:rPr>
              <w:t xml:space="preserve">injusticias </w:t>
            </w:r>
            <w:r w:rsidR="002B5C7C" w:rsidRPr="0038186B">
              <w:rPr>
                <w:lang w:val="es-419"/>
              </w:rPr>
              <w:t xml:space="preserve">resultantes de </w:t>
            </w:r>
            <w:r w:rsidRPr="0038186B">
              <w:rPr>
                <w:lang w:val="es-419"/>
              </w:rPr>
              <w:t>la apropiación y uso indebidos de los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237617" w:rsidRPr="0038186B">
              <w:rPr>
                <w:lang w:val="es-419"/>
              </w:rPr>
              <w:t>f</w:t>
            </w:r>
            <w:r w:rsidRPr="0038186B">
              <w:rPr>
                <w:lang w:val="es-419"/>
              </w:rPr>
              <w:t>unción de los CC.TT. en el desarrollo sostenible a nivel local.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lazo</w:t>
            </w:r>
            <w:r w:rsidRPr="0038186B">
              <w:rPr>
                <w:lang w:val="es-419"/>
              </w:rPr>
              <w:t xml:space="preserve"> entre la protección de los CC.TT. y la identidad cultural y social de las comunidades.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u</w:t>
            </w:r>
            <w:r w:rsidRPr="0038186B">
              <w:rPr>
                <w:lang w:val="es-419"/>
              </w:rPr>
              <w:t>tilización industrial y comercial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03627E" w:rsidRPr="0038186B">
              <w:rPr>
                <w:lang w:val="es-419"/>
              </w:rPr>
              <w:t xml:space="preserve">valor que representan </w:t>
            </w:r>
            <w:r w:rsidR="005A11B4" w:rsidRPr="0038186B">
              <w:rPr>
                <w:lang w:val="es-419"/>
              </w:rPr>
              <w:t>de los</w:t>
            </w:r>
            <w:r w:rsidRPr="0038186B">
              <w:rPr>
                <w:lang w:val="es-419"/>
              </w:rPr>
              <w:t xml:space="preserve"> CC.TT. </w:t>
            </w:r>
            <w:r w:rsidR="005A11B4" w:rsidRPr="0038186B">
              <w:rPr>
                <w:lang w:val="es-419"/>
              </w:rPr>
              <w:t xml:space="preserve">para abordar los retos ambientales y el cambio </w:t>
            </w:r>
            <w:r w:rsidRPr="0038186B">
              <w:rPr>
                <w:lang w:val="es-419"/>
              </w:rPr>
              <w:t>climático.</w:t>
            </w:r>
          </w:p>
          <w:p w:rsidR="00DF5574" w:rsidRPr="0038186B" w:rsidRDefault="003D110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 r</w:t>
            </w:r>
            <w:r w:rsidR="00344979" w:rsidRPr="0038186B">
              <w:rPr>
                <w:lang w:val="es-419"/>
              </w:rPr>
              <w:t>eferencia a los CC.TT. en diversos contextos regulatorios.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Papel de la protección de los CC.TT. en los contextos más generales de la formulación de políticas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670" w:type="dxa"/>
          </w:tcPr>
          <w:p w:rsidR="00DF5574" w:rsidRPr="0038186B" w:rsidRDefault="00DF5574" w:rsidP="005D4386">
            <w:pPr>
              <w:ind w:left="162" w:hanging="162"/>
              <w:rPr>
                <w:lang w:val="es-419"/>
              </w:rPr>
            </w:pPr>
          </w:p>
          <w:p w:rsidR="00DF5574" w:rsidRPr="0038186B" w:rsidRDefault="005A11B4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F3B29" w:rsidRPr="0038186B">
              <w:rPr>
                <w:lang w:val="es-419"/>
              </w:rPr>
              <w:t xml:space="preserve"> proteger</w:t>
            </w:r>
            <w:r w:rsidR="00344979" w:rsidRPr="0038186B">
              <w:rPr>
                <w:lang w:val="es-419"/>
              </w:rPr>
              <w:t xml:space="preserve"> la biodiversidad y el uso equitativo de sus beneficios.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reconocer</w:t>
            </w:r>
            <w:r w:rsidR="00344979" w:rsidRPr="0038186B">
              <w:rPr>
                <w:lang w:val="es-419"/>
              </w:rPr>
              <w:t xml:space="preserve"> los derechos de los pueblos indígenas.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fomentar</w:t>
            </w:r>
            <w:r w:rsidR="00344979" w:rsidRPr="0038186B">
              <w:rPr>
                <w:lang w:val="es-419"/>
              </w:rPr>
              <w:t xml:space="preserve"> la seguridad alimentaria y </w:t>
            </w:r>
            <w:r w:rsidRPr="0038186B">
              <w:rPr>
                <w:lang w:val="es-419"/>
              </w:rPr>
              <w:t>promover</w:t>
            </w:r>
            <w:r w:rsidR="00344979" w:rsidRPr="0038186B">
              <w:rPr>
                <w:lang w:val="es-419"/>
              </w:rPr>
              <w:t xml:space="preserve"> la diversidad cultivos para la alimentación.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g</w:t>
            </w:r>
            <w:r w:rsidR="00344979" w:rsidRPr="0038186B">
              <w:rPr>
                <w:lang w:val="es-419"/>
              </w:rPr>
              <w:t>arantizar el acceso a la salud de forma adecuada desde el punto de vista cultural.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fomentar el</w:t>
            </w:r>
            <w:r w:rsidR="00344979" w:rsidRPr="0038186B">
              <w:rPr>
                <w:lang w:val="es-419"/>
              </w:rPr>
              <w:t xml:space="preserve"> desarrollo sostenible a nivel local.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reducir y atenuar </w:t>
            </w:r>
            <w:r w:rsidR="00344979" w:rsidRPr="0038186B">
              <w:rPr>
                <w:lang w:val="es-419"/>
              </w:rPr>
              <w:t>el cambio climático.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creciente solapamiento entre los CC.TT. como tales y las disciplinas formales de la biotecnología.</w:t>
            </w:r>
          </w:p>
          <w:p w:rsidR="005D4386" w:rsidRPr="0038186B" w:rsidRDefault="001F3B29" w:rsidP="001F3B2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c</w:t>
            </w:r>
            <w:r w:rsidR="00344979" w:rsidRPr="0038186B">
              <w:rPr>
                <w:lang w:val="es-419"/>
              </w:rPr>
              <w:t>ontribución de los sistemas de CC.TT. a la innovación y la diversidad cultural.</w:t>
            </w:r>
          </w:p>
        </w:tc>
      </w:tr>
      <w:tr w:rsidR="00FD6EEF" w:rsidRPr="0038186B" w:rsidTr="00130037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57235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</w:t>
            </w:r>
            <w:r w:rsidR="0057235F" w:rsidRPr="0038186B">
              <w:rPr>
                <w:lang w:val="es-419"/>
              </w:rPr>
              <w:t xml:space="preserve">específicas de índole </w:t>
            </w:r>
            <w:r w:rsidRPr="0038186B">
              <w:rPr>
                <w:lang w:val="es-419"/>
              </w:rPr>
              <w:t>jurídica</w:t>
            </w:r>
            <w:r w:rsidR="0057235F" w:rsidRPr="0038186B">
              <w:rPr>
                <w:lang w:val="es-419"/>
              </w:rPr>
              <w:t xml:space="preserve"> y normativa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82747F" w:rsidRPr="0038186B">
              <w:rPr>
                <w:lang w:val="es-419"/>
              </w:rPr>
              <w:t>El hecho de que en m</w:t>
            </w:r>
            <w:r w:rsidRPr="0038186B">
              <w:rPr>
                <w:lang w:val="es-419"/>
              </w:rPr>
              <w:t xml:space="preserve">uchos procesos nacionales o regionales </w:t>
            </w:r>
            <w:r w:rsidR="0082747F" w:rsidRPr="0038186B">
              <w:rPr>
                <w:lang w:val="es-419"/>
              </w:rPr>
              <w:t xml:space="preserve">se </w:t>
            </w:r>
            <w:r w:rsidR="0010406F" w:rsidRPr="0038186B">
              <w:rPr>
                <w:lang w:val="es-419"/>
              </w:rPr>
              <w:t>esté</w:t>
            </w:r>
            <w:r w:rsidR="0082747F" w:rsidRPr="0038186B">
              <w:rPr>
                <w:lang w:val="es-419"/>
              </w:rPr>
              <w:t xml:space="preserve"> obrando por</w:t>
            </w:r>
            <w:r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 xml:space="preserve">ofrecer </w:t>
            </w:r>
            <w:r w:rsidRPr="0038186B">
              <w:rPr>
                <w:lang w:val="es-419"/>
              </w:rPr>
              <w:t>una protec</w:t>
            </w:r>
            <w:r w:rsidR="0057235F" w:rsidRPr="0038186B">
              <w:rPr>
                <w:lang w:val="es-419"/>
              </w:rPr>
              <w:t xml:space="preserve">ción más </w:t>
            </w:r>
            <w:r w:rsidR="007D4263" w:rsidRPr="0038186B">
              <w:rPr>
                <w:lang w:val="es-419"/>
              </w:rPr>
              <w:t>sólida de los CC.TT.</w:t>
            </w:r>
            <w:r w:rsidR="0057235F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sugiere que podría haber dificultades, impedimentos u otro tipo de obstáculos si no se </w:t>
            </w:r>
            <w:r w:rsidR="007D4263" w:rsidRPr="0038186B">
              <w:rPr>
                <w:lang w:val="es-419"/>
              </w:rPr>
              <w:t xml:space="preserve">adopta una perspectiva </w:t>
            </w:r>
            <w:r w:rsidRPr="0038186B">
              <w:rPr>
                <w:lang w:val="es-419"/>
              </w:rPr>
              <w:t xml:space="preserve">internacional </w:t>
            </w:r>
            <w:r w:rsidR="007D4263" w:rsidRPr="0038186B">
              <w:rPr>
                <w:lang w:val="es-419"/>
              </w:rPr>
              <w:t xml:space="preserve">y una plataforma común que permita hacer frente a la enorme diversidad de los </w:t>
            </w:r>
            <w:r w:rsidRPr="0038186B">
              <w:rPr>
                <w:lang w:val="es-419"/>
              </w:rPr>
              <w:t>sistemas nacionales o regionales de protección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repercusiones sistémicas </w:t>
            </w:r>
            <w:r w:rsidR="00256315" w:rsidRPr="0038186B">
              <w:rPr>
                <w:lang w:val="es-419"/>
              </w:rPr>
              <w:t>que l</w:t>
            </w:r>
            <w:r w:rsidRPr="0038186B">
              <w:rPr>
                <w:lang w:val="es-419"/>
              </w:rPr>
              <w:t xml:space="preserve">a falta de claridad en </w:t>
            </w:r>
            <w:r w:rsidR="00256315" w:rsidRPr="0038186B">
              <w:rPr>
                <w:lang w:val="es-419"/>
              </w:rPr>
              <w:t>el Derecho</w:t>
            </w:r>
            <w:r w:rsidRPr="0038186B">
              <w:rPr>
                <w:lang w:val="es-419"/>
              </w:rPr>
              <w:t xml:space="preserve"> internacional </w:t>
            </w:r>
            <w:r w:rsidR="00256315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 xml:space="preserve">PI </w:t>
            </w:r>
            <w:r w:rsidR="00256315" w:rsidRPr="0038186B">
              <w:rPr>
                <w:lang w:val="es-419"/>
              </w:rPr>
              <w:t>p</w:t>
            </w:r>
            <w:r w:rsidR="005A279A" w:rsidRPr="0038186B">
              <w:rPr>
                <w:lang w:val="es-419"/>
              </w:rPr>
              <w:t>odría</w:t>
            </w:r>
            <w:r w:rsidR="00256315" w:rsidRPr="0038186B">
              <w:rPr>
                <w:lang w:val="es-419"/>
              </w:rPr>
              <w:t xml:space="preserve"> tener</w:t>
            </w:r>
            <w:r w:rsidRPr="0038186B">
              <w:rPr>
                <w:lang w:val="es-419"/>
              </w:rPr>
              <w:t xml:space="preserve"> en </w:t>
            </w:r>
            <w:r w:rsidR="00256315" w:rsidRPr="0038186B">
              <w:rPr>
                <w:lang w:val="es-419"/>
              </w:rPr>
              <w:t>esferas pertinentes para</w:t>
            </w:r>
            <w:r w:rsidRPr="0038186B">
              <w:rPr>
                <w:lang w:val="es-419"/>
              </w:rPr>
              <w:t xml:space="preserve"> los CC.TT. y los sistemas de CC.TT. y de innovación.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</w:t>
            </w:r>
            <w:r w:rsidR="00E75AAF" w:rsidRPr="0038186B">
              <w:rPr>
                <w:lang w:val="es-419"/>
              </w:rPr>
              <w:t xml:space="preserve">posibles ventajas que </w:t>
            </w:r>
            <w:r w:rsidR="005A279A" w:rsidRPr="0038186B">
              <w:rPr>
                <w:lang w:val="es-419"/>
              </w:rPr>
              <w:t>supondría</w:t>
            </w:r>
            <w:r w:rsidRPr="0038186B">
              <w:rPr>
                <w:lang w:val="es-419"/>
              </w:rPr>
              <w:t xml:space="preserve"> la reducción de la incertidumbre jurídica relacionada con cuestiones relativas a la posible titularidad o a responsabilidades sobre la custodia relacionadas con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Los costos y beneficios resultantes de un enfoque </w:t>
            </w:r>
            <w:r w:rsidR="005A279A" w:rsidRPr="0038186B">
              <w:rPr>
                <w:lang w:val="es-419"/>
              </w:rPr>
              <w:t xml:space="preserve">común a nivel </w:t>
            </w:r>
            <w:r w:rsidRPr="0038186B">
              <w:rPr>
                <w:lang w:val="es-419"/>
              </w:rPr>
              <w:t>internacional respecto de las cuestiones relativas a la protección de los CC.TT.</w:t>
            </w:r>
          </w:p>
          <w:p w:rsidR="005D4386" w:rsidRPr="0038186B" w:rsidRDefault="005D4386" w:rsidP="005D4386">
            <w:pPr>
              <w:ind w:left="162" w:hanging="162"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1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DC53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que </w:t>
            </w:r>
            <w:r w:rsidR="00DC5380" w:rsidRPr="0038186B">
              <w:rPr>
                <w:lang w:val="es-419"/>
              </w:rPr>
              <w:t>abogan en contra de la búsqueda de</w:t>
            </w:r>
            <w:r w:rsidRPr="0038186B">
              <w:rPr>
                <w:lang w:val="es-419"/>
              </w:rPr>
              <w:t xml:space="preserve"> soluciones a las carencias</w:t>
            </w:r>
          </w:p>
        </w:tc>
        <w:tc>
          <w:tcPr>
            <w:tcW w:w="567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B7AC5" w:rsidRPr="0038186B">
              <w:rPr>
                <w:lang w:val="es-419"/>
              </w:rPr>
              <w:t>Se puede considerar</w:t>
            </w:r>
            <w:r w:rsidRPr="0038186B">
              <w:rPr>
                <w:lang w:val="es-419"/>
              </w:rPr>
              <w:t xml:space="preserve"> prematuro </w:t>
            </w:r>
            <w:r w:rsidR="00DB7AC5" w:rsidRPr="0038186B">
              <w:rPr>
                <w:lang w:val="es-419"/>
              </w:rPr>
              <w:t xml:space="preserve">subsanar </w:t>
            </w:r>
            <w:r w:rsidRPr="0038186B">
              <w:rPr>
                <w:lang w:val="es-419"/>
              </w:rPr>
              <w:t xml:space="preserve">determinadas carencias </w:t>
            </w:r>
            <w:r w:rsidR="00DB7AC5" w:rsidRPr="0038186B">
              <w:rPr>
                <w:lang w:val="es-419"/>
              </w:rPr>
              <w:t>a nivel</w:t>
            </w:r>
            <w:r w:rsidRPr="0038186B">
              <w:rPr>
                <w:lang w:val="es-419"/>
              </w:rPr>
              <w:t xml:space="preserve"> internacional, </w:t>
            </w:r>
            <w:r w:rsidR="00DB7AC5" w:rsidRPr="0038186B">
              <w:rPr>
                <w:lang w:val="es-419"/>
              </w:rPr>
              <w:t xml:space="preserve">incluso las que han sido </w:t>
            </w:r>
            <w:r w:rsidRPr="0038186B">
              <w:rPr>
                <w:lang w:val="es-419"/>
              </w:rPr>
              <w:t xml:space="preserve">claramente definidas, </w:t>
            </w:r>
            <w:r w:rsidR="00944A50" w:rsidRPr="0038186B">
              <w:rPr>
                <w:lang w:val="es-419"/>
              </w:rPr>
              <w:t xml:space="preserve">y </w:t>
            </w:r>
            <w:r w:rsidR="00DB7AC5" w:rsidRPr="0038186B">
              <w:rPr>
                <w:lang w:val="es-419"/>
              </w:rPr>
              <w:t xml:space="preserve">necesario </w:t>
            </w:r>
            <w:r w:rsidRPr="0038186B">
              <w:rPr>
                <w:lang w:val="es-419"/>
              </w:rPr>
              <w:t>a</w:t>
            </w:r>
            <w:r w:rsidR="00BB7AAA" w:rsidRPr="0038186B">
              <w:rPr>
                <w:lang w:val="es-419"/>
              </w:rPr>
              <w:t xml:space="preserve">dquirir y compartir más experiencias </w:t>
            </w:r>
            <w:r w:rsidRPr="0038186B">
              <w:rPr>
                <w:lang w:val="es-419"/>
              </w:rPr>
              <w:t xml:space="preserve">a nivel nacional como condición previa para </w:t>
            </w:r>
            <w:r w:rsidR="00BB7AAA" w:rsidRPr="0038186B">
              <w:rPr>
                <w:lang w:val="es-419"/>
              </w:rPr>
              <w:t xml:space="preserve">la obtención de </w:t>
            </w:r>
            <w:r w:rsidRPr="0038186B">
              <w:rPr>
                <w:lang w:val="es-419"/>
              </w:rPr>
              <w:t xml:space="preserve">resultados </w:t>
            </w:r>
            <w:r w:rsidR="00BB7AAA" w:rsidRPr="0038186B">
              <w:rPr>
                <w:lang w:val="es-419"/>
              </w:rPr>
              <w:t xml:space="preserve">más contundentes a nivel </w:t>
            </w:r>
            <w:r w:rsidRPr="0038186B">
              <w:rPr>
                <w:lang w:val="es-419"/>
              </w:rPr>
              <w:t>internacional;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 La diversidad de los CC.TT. y de las comunidades que los poseen, que puede</w:t>
            </w:r>
            <w:r w:rsidR="00BB7AAA" w:rsidRPr="0038186B">
              <w:rPr>
                <w:lang w:val="es-419"/>
              </w:rPr>
              <w:t xml:space="preserve"> limitar</w:t>
            </w:r>
            <w:r w:rsidRPr="0038186B">
              <w:rPr>
                <w:lang w:val="es-419"/>
              </w:rPr>
              <w:t xml:space="preserve"> la dimensión internacional de la actividad normativa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 incertidumbre </w:t>
            </w:r>
            <w:r w:rsidR="00F35499" w:rsidRPr="0038186B">
              <w:rPr>
                <w:lang w:val="es-419"/>
              </w:rPr>
              <w:t xml:space="preserve">en relación con </w:t>
            </w:r>
            <w:r w:rsidRPr="0038186B">
              <w:rPr>
                <w:lang w:val="es-419"/>
              </w:rPr>
              <w:t xml:space="preserve">los derechos y </w:t>
            </w:r>
            <w:r w:rsidR="00CA2BE8" w:rsidRPr="0038186B">
              <w:rPr>
                <w:lang w:val="es-419"/>
              </w:rPr>
              <w:t>prerrogativas</w:t>
            </w:r>
            <w:r w:rsidRPr="0038186B">
              <w:rPr>
                <w:lang w:val="es-419"/>
              </w:rPr>
              <w:t xml:space="preserve"> de los titulares extranjeros de derechos, como las comunidades titulares de CC.TT. que </w:t>
            </w:r>
            <w:r w:rsidR="00F35499" w:rsidRPr="0038186B">
              <w:rPr>
                <w:lang w:val="es-419"/>
              </w:rPr>
              <w:t>proceden de</w:t>
            </w:r>
            <w:r w:rsidRPr="0038186B">
              <w:rPr>
                <w:lang w:val="es-419"/>
              </w:rPr>
              <w:t xml:space="preserve"> contextos culturales y sociales radicalmente diferentes;</w:t>
            </w:r>
          </w:p>
          <w:p w:rsidR="00FD6EEF" w:rsidRPr="0038186B" w:rsidRDefault="00344979" w:rsidP="005A279A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5A279A" w:rsidRPr="0038186B">
              <w:rPr>
                <w:lang w:val="es-419"/>
              </w:rPr>
              <w:t xml:space="preserve">La posible necesidad de </w:t>
            </w:r>
            <w:r w:rsidR="00F3549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 xml:space="preserve">stablecer procesos de consulta más </w:t>
            </w:r>
            <w:r w:rsidR="00F35499" w:rsidRPr="0038186B">
              <w:rPr>
                <w:lang w:val="es-419"/>
              </w:rPr>
              <w:t>sólidos</w:t>
            </w:r>
            <w:r w:rsidRPr="0038186B">
              <w:rPr>
                <w:lang w:val="es-419"/>
              </w:rPr>
              <w:t xml:space="preserve"> y </w:t>
            </w:r>
            <w:r w:rsidR="00F35499" w:rsidRPr="0038186B">
              <w:rPr>
                <w:lang w:val="es-419"/>
              </w:rPr>
              <w:t>diversos</w:t>
            </w:r>
            <w:r w:rsidR="0025501D" w:rsidRPr="0038186B">
              <w:rPr>
                <w:lang w:val="es-419"/>
              </w:rPr>
              <w:t xml:space="preserve"> antes de </w:t>
            </w:r>
            <w:r w:rsidR="006E0E1B" w:rsidRPr="0038186B">
              <w:rPr>
                <w:lang w:val="es-419"/>
              </w:rPr>
              <w:t xml:space="preserve">pasar a la etapa de </w:t>
            </w:r>
            <w:r w:rsidR="0025501D" w:rsidRPr="0038186B">
              <w:rPr>
                <w:lang w:val="es-419"/>
              </w:rPr>
              <w:t>la consecución de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resultados políticos y jurídicos </w:t>
            </w:r>
            <w:r w:rsidR="00944A50" w:rsidRPr="0038186B">
              <w:rPr>
                <w:lang w:val="es-419"/>
              </w:rPr>
              <w:t>de gran envergadura</w:t>
            </w:r>
            <w:r w:rsidRPr="0038186B">
              <w:rPr>
                <w:lang w:val="es-419"/>
              </w:rPr>
              <w:t xml:space="preserve"> que </w:t>
            </w:r>
            <w:r w:rsidR="0025501D" w:rsidRPr="0038186B">
              <w:rPr>
                <w:lang w:val="es-419"/>
              </w:rPr>
              <w:t>luego podría ser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difícil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y costoso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revisar una vez </w:t>
            </w:r>
            <w:r w:rsidR="006E0E1B" w:rsidRPr="0038186B">
              <w:rPr>
                <w:lang w:val="es-419"/>
              </w:rPr>
              <w:t>concluidos</w:t>
            </w:r>
            <w:r w:rsidRPr="0038186B">
              <w:rPr>
                <w:lang w:val="es-419"/>
              </w:rPr>
              <w:t>.</w:t>
            </w:r>
          </w:p>
        </w:tc>
      </w:tr>
    </w:tbl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t>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OPCIONES </w:t>
      </w:r>
      <w:r w:rsidR="00944A50" w:rsidRPr="0038186B">
        <w:rPr>
          <w:lang w:val="es-419"/>
        </w:rPr>
        <w:t xml:space="preserve">EXISTENTES O PETENCIALES </w:t>
      </w:r>
      <w:r w:rsidR="00344979" w:rsidRPr="0038186B">
        <w:rPr>
          <w:lang w:val="es-419"/>
        </w:rPr>
        <w:t xml:space="preserve">PARA </w:t>
      </w:r>
      <w:r w:rsidR="00944A50" w:rsidRPr="0038186B">
        <w:rPr>
          <w:lang w:val="es-419"/>
        </w:rPr>
        <w:t xml:space="preserve">SUBSANAR LAS </w:t>
      </w:r>
      <w:r w:rsidR="00344979" w:rsidRPr="0038186B">
        <w:rPr>
          <w:lang w:val="es-419"/>
        </w:rPr>
        <w:t>CARENCIA</w:t>
      </w:r>
      <w:r w:rsidR="00944A50" w:rsidRPr="0038186B">
        <w:rPr>
          <w:lang w:val="es-419"/>
        </w:rPr>
        <w:t>S DEFINIDAS</w:t>
      </w:r>
      <w:r w:rsidR="00344979" w:rsidRPr="0038186B">
        <w:rPr>
          <w:lang w:val="es-419"/>
        </w:rPr>
        <w:t>: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11"/>
      </w:tblGrid>
      <w:tr w:rsidR="00FD6EEF" w:rsidRPr="0038186B" w:rsidTr="00130037">
        <w:tc>
          <w:tcPr>
            <w:tcW w:w="4068" w:type="dxa"/>
          </w:tcPr>
          <w:p w:rsidR="00FD6EEF" w:rsidRPr="0038186B" w:rsidRDefault="00344979" w:rsidP="007E1438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Opciones a diferentes niveles</w:t>
            </w:r>
          </w:p>
        </w:tc>
        <w:tc>
          <w:tcPr>
            <w:tcW w:w="10811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 aplicables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b/>
                <w:lang w:val="es-419"/>
              </w:rPr>
            </w:pPr>
          </w:p>
          <w:p w:rsidR="00DF5574" w:rsidRPr="0038186B" w:rsidRDefault="00344979" w:rsidP="00344979">
            <w:pPr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Ámbito internacional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i) Un instrumento o instrumentos internacionales vinculantes</w:t>
            </w: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 concretas </w:t>
            </w:r>
            <w:r w:rsidRPr="0038186B">
              <w:rPr>
                <w:lang w:val="es-419"/>
              </w:rPr>
              <w:t>se consideran s</w:t>
            </w:r>
            <w:r w:rsidR="00344979" w:rsidRPr="0038186B">
              <w:rPr>
                <w:lang w:val="es-419"/>
              </w:rPr>
              <w:t xml:space="preserve">uficientemente </w:t>
            </w:r>
            <w:r w:rsidRPr="0038186B">
              <w:rPr>
                <w:lang w:val="es-419"/>
              </w:rPr>
              <w:t xml:space="preserve">desarrolladas en sus aspectos sustanciales </w:t>
            </w:r>
            <w:r w:rsidR="00344979" w:rsidRPr="0038186B">
              <w:rPr>
                <w:lang w:val="es-419"/>
              </w:rPr>
              <w:t>para traducirse</w:t>
            </w:r>
            <w:r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oportunamente, </w:t>
            </w:r>
            <w:r w:rsidR="00344979" w:rsidRPr="0038186B">
              <w:rPr>
                <w:lang w:val="es-419"/>
              </w:rPr>
              <w:t>en una ley internacional vinculante?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</w:t>
            </w:r>
            <w:r w:rsidR="00344979" w:rsidRPr="0038186B">
              <w:rPr>
                <w:lang w:val="es-419"/>
              </w:rPr>
              <w:t xml:space="preserve"> la protección </w:t>
            </w:r>
            <w:r w:rsidR="006E0E1B" w:rsidRPr="0038186B">
              <w:rPr>
                <w:lang w:val="es-419"/>
              </w:rPr>
              <w:t xml:space="preserve">directa </w:t>
            </w:r>
            <w:r w:rsidR="00344979" w:rsidRPr="0038186B">
              <w:rPr>
                <w:lang w:val="es-419"/>
              </w:rPr>
              <w:t>de los CC.TT.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 e</w:t>
            </w:r>
            <w:r w:rsidR="00344979" w:rsidRPr="0038186B">
              <w:rPr>
                <w:lang w:val="es-419"/>
              </w:rPr>
              <w:t xml:space="preserve">l reconocimiento de los CC.TT. en el sistema de patentes y otras esferas de la legislación sobre </w:t>
            </w:r>
            <w:r w:rsidR="0030450C" w:rsidRPr="0038186B">
              <w:rPr>
                <w:lang w:val="es-419"/>
              </w:rPr>
              <w:t>PI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Interpretaciones o explicaciones </w:t>
            </w:r>
            <w:r w:rsidR="00AA4B3D" w:rsidRPr="0038186B">
              <w:rPr>
                <w:lang w:val="es-419"/>
              </w:rPr>
              <w:t>autorizadas o exhortativas</w:t>
            </w:r>
            <w:r w:rsidRPr="0038186B">
              <w:rPr>
                <w:lang w:val="es-419"/>
              </w:rPr>
              <w:t xml:space="preserve"> de los instrumentos jurídicos vigentes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>Qué disposiciones y principios jurídicos vigentes p</w:t>
            </w:r>
            <w:r w:rsidR="00CB649F" w:rsidRPr="0038186B">
              <w:rPr>
                <w:lang w:val="es-419"/>
              </w:rPr>
              <w:t xml:space="preserve">odrían servir de base para </w:t>
            </w:r>
            <w:r w:rsidR="0043388A" w:rsidRPr="0038186B">
              <w:rPr>
                <w:lang w:val="es-419"/>
              </w:rPr>
              <w:t xml:space="preserve">una </w:t>
            </w:r>
            <w:r w:rsidR="00344979" w:rsidRPr="0038186B">
              <w:rPr>
                <w:lang w:val="es-419"/>
              </w:rPr>
              <w:t>interpretación</w:t>
            </w:r>
            <w:r w:rsidR="00AA4B3D" w:rsidRPr="0038186B">
              <w:rPr>
                <w:lang w:val="es-419"/>
              </w:rPr>
              <w:t xml:space="preserve"> autorizada</w:t>
            </w:r>
            <w:r w:rsidR="0043388A" w:rsidRPr="0038186B">
              <w:rPr>
                <w:lang w:val="es-419"/>
              </w:rPr>
              <w:t xml:space="preserve"> en el ámbito de los</w:t>
            </w:r>
            <w:r w:rsidR="00344979" w:rsidRPr="0038186B">
              <w:rPr>
                <w:lang w:val="es-419"/>
              </w:rPr>
              <w:t xml:space="preserve"> CC.TT.?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Por ejemplo: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 competencia desleal;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las normas de</w:t>
            </w:r>
            <w:r w:rsidR="004F30C5" w:rsidRPr="0038186B">
              <w:rPr>
                <w:lang w:val="es-419"/>
              </w:rPr>
              <w:t>l D</w:t>
            </w:r>
            <w:r w:rsidRPr="0038186B">
              <w:rPr>
                <w:lang w:val="es-419"/>
              </w:rPr>
              <w:t>erecho de</w:t>
            </w:r>
            <w:r w:rsidR="00344979" w:rsidRPr="0038186B">
              <w:rPr>
                <w:lang w:val="es-419"/>
              </w:rPr>
              <w:t xml:space="preserve"> patentes y otras esferas de la legislación sobre </w:t>
            </w:r>
            <w:r w:rsidR="0038186B" w:rsidRPr="0038186B">
              <w:rPr>
                <w:lang w:val="es-419"/>
              </w:rPr>
              <w:t>PI;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la información no divulgada o la legislación sobre </w:t>
            </w:r>
            <w:r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confidencialidad.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iii) Un instrumento o instrumentos normativos internacionales no vinculantes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43388A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normas, criterios y prioridades políticas pueden </w:t>
            </w:r>
            <w:r w:rsidRPr="0038186B">
              <w:rPr>
                <w:lang w:val="es-419"/>
              </w:rPr>
              <w:t xml:space="preserve">ser objeto de consenso y traducirse en un </w:t>
            </w:r>
            <w:r w:rsidR="00344979" w:rsidRPr="0038186B">
              <w:rPr>
                <w:lang w:val="es-419"/>
              </w:rPr>
              <w:t xml:space="preserve">instrumento no vinculante </w:t>
            </w:r>
            <w:r w:rsidR="0099560D" w:rsidRPr="0038186B">
              <w:rPr>
                <w:lang w:val="es-419"/>
              </w:rPr>
              <w:t>a nivel</w:t>
            </w:r>
            <w:r w:rsidR="00344979" w:rsidRPr="0038186B">
              <w:rPr>
                <w:lang w:val="es-419"/>
              </w:rPr>
              <w:t xml:space="preserve"> internacional?</w:t>
            </w:r>
            <w:r w:rsidR="00FD6EEF" w:rsidRPr="0038186B">
              <w:rPr>
                <w:lang w:val="es-419"/>
              </w:rPr>
              <w:t xml:space="preserve"> 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iv) Resolución, declaración o decisión política de alto nivel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Qué normas, criterios y prioridades políticas </w:t>
            </w:r>
            <w:r w:rsidR="0043388A" w:rsidRPr="0038186B">
              <w:rPr>
                <w:lang w:val="es-419"/>
              </w:rPr>
              <w:t>pueden ser objeto de consenso y traducirse en una</w:t>
            </w:r>
            <w:r w:rsidRPr="0038186B">
              <w:rPr>
                <w:lang w:val="es-419"/>
              </w:rPr>
              <w:t xml:space="preserve"> resolución política </w:t>
            </w:r>
            <w:r w:rsidR="0099560D" w:rsidRPr="0038186B">
              <w:rPr>
                <w:lang w:val="es-419"/>
              </w:rPr>
              <w:t>a nivel internacional?</w:t>
            </w: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v) Fortalecer la coordinación internacional mediante directrices o leyes tipo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10811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FD6EEF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vi) Coordinación de los avances en materia legislativa</w:t>
            </w:r>
            <w:r w:rsidR="0099560D" w:rsidRPr="0038186B">
              <w:rPr>
                <w:lang w:val="es-419"/>
              </w:rPr>
              <w:t xml:space="preserve"> a nivel nacional</w:t>
            </w:r>
          </w:p>
        </w:tc>
        <w:tc>
          <w:tcPr>
            <w:tcW w:w="10811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vii) Cooperación internacional </w:t>
            </w:r>
            <w:r w:rsidR="0099560D" w:rsidRPr="0038186B">
              <w:rPr>
                <w:lang w:val="es-419"/>
              </w:rPr>
              <w:t xml:space="preserve">para la adopción de </w:t>
            </w:r>
            <w:r w:rsidRPr="0038186B">
              <w:rPr>
                <w:lang w:val="es-419"/>
              </w:rPr>
              <w:t>medidas prácticas</w:t>
            </w:r>
          </w:p>
        </w:tc>
        <w:tc>
          <w:tcPr>
            <w:tcW w:w="1081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Existencia de programas, materiales e iniciativas encaminadas a: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creación de capacidad y material sustantivo para los procesos jurídicos y políticos;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de la capacidad práctica de los titulares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y orientación de las instituciones;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cooperación y coordinación interinstitucional dentro del sistema de las Naciones Unidas;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sensibilización y creación de capacidad </w:t>
            </w:r>
            <w:r w:rsidR="0099560D" w:rsidRPr="0038186B">
              <w:rPr>
                <w:lang w:val="es-419"/>
              </w:rPr>
              <w:t>del</w:t>
            </w:r>
            <w:r w:rsidRPr="0038186B">
              <w:rPr>
                <w:lang w:val="es-419"/>
              </w:rPr>
              <w:t xml:space="preserve"> público en general.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130037">
        <w:tc>
          <w:tcPr>
            <w:tcW w:w="14879" w:type="dxa"/>
            <w:gridSpan w:val="2"/>
          </w:tcPr>
          <w:p w:rsidR="00FD6EEF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t>Ámbito regional</w:t>
            </w:r>
          </w:p>
        </w:tc>
      </w:tr>
      <w:tr w:rsidR="00FD6EEF" w:rsidRPr="0038186B" w:rsidTr="00130037">
        <w:tc>
          <w:tcPr>
            <w:tcW w:w="14879" w:type="dxa"/>
            <w:gridSpan w:val="2"/>
          </w:tcPr>
          <w:p w:rsidR="00DF5574" w:rsidRPr="0038186B" w:rsidRDefault="00DF5574" w:rsidP="006935DC">
            <w:pPr>
              <w:ind w:left="907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jurídicos concertados a nivel regional, subregional o bilateral, </w:t>
            </w:r>
            <w:r w:rsidR="0099560D" w:rsidRPr="0038186B">
              <w:rPr>
                <w:lang w:val="es-419"/>
              </w:rPr>
              <w:t xml:space="preserve">en </w:t>
            </w:r>
            <w:r w:rsidR="008156A1" w:rsidRPr="0038186B">
              <w:rPr>
                <w:lang w:val="es-419"/>
              </w:rPr>
              <w:t>particular</w:t>
            </w:r>
            <w:r w:rsidRPr="0038186B">
              <w:rPr>
                <w:lang w:val="es-419"/>
              </w:rPr>
              <w:t xml:space="preserve"> instrumento</w:t>
            </w:r>
            <w:r w:rsidR="008156A1" w:rsidRPr="0038186B">
              <w:rPr>
                <w:lang w:val="es-419"/>
              </w:rPr>
              <w:t>s sui géneris</w:t>
            </w:r>
            <w:r w:rsidRPr="0038186B">
              <w:rPr>
                <w:lang w:val="es-419"/>
              </w:rPr>
              <w:t xml:space="preserve"> y legislación convencional en materia de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99560D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Declaraciones de carácter político o normativo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formuladas</w:t>
            </w:r>
            <w:r w:rsidR="00344979" w:rsidRPr="0038186B">
              <w:rPr>
                <w:lang w:val="es-419"/>
              </w:rPr>
              <w:t xml:space="preserve"> a nivel regional, subregional o bilateral.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Leyes tipo y otras formas de orientación legislativa adoptadas a nivel 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DD027A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Protocolos tipo, directrices </w:t>
            </w:r>
            <w:r w:rsidR="00344979" w:rsidRPr="0038186B">
              <w:rPr>
                <w:lang w:val="es-419"/>
              </w:rPr>
              <w:t xml:space="preserve">y recomendaciones sobre </w:t>
            </w:r>
            <w:r w:rsidR="005A279A" w:rsidRPr="0038186B">
              <w:rPr>
                <w:lang w:val="es-419"/>
              </w:rPr>
              <w:t xml:space="preserve">las mejores </w:t>
            </w:r>
            <w:r w:rsidR="00344979" w:rsidRPr="0038186B">
              <w:rPr>
                <w:lang w:val="es-419"/>
              </w:rPr>
              <w:t>prácticas adoptadas a nivel regional o subregional.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regionales, subregionales y bilaterales para apoyar </w:t>
            </w:r>
            <w:r w:rsidR="00DD027A" w:rsidRPr="0038186B">
              <w:rPr>
                <w:lang w:val="es-419"/>
              </w:rPr>
              <w:t>actividades de</w:t>
            </w:r>
            <w:r w:rsidRPr="0038186B">
              <w:rPr>
                <w:lang w:val="es-419"/>
              </w:rPr>
              <w:t xml:space="preserve"> creación de capacidad en las comunidades </w:t>
            </w:r>
            <w:r w:rsidR="00DD027A" w:rsidRPr="0038186B">
              <w:rPr>
                <w:lang w:val="es-419"/>
              </w:rPr>
              <w:t>en</w:t>
            </w:r>
            <w:r w:rsidRPr="0038186B">
              <w:rPr>
                <w:lang w:val="es-419"/>
              </w:rPr>
              <w:t xml:space="preserve"> relación </w:t>
            </w:r>
            <w:r w:rsidR="00DD027A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FD6EEF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FD6EEF" w:rsidRPr="0038186B" w:rsidTr="00CA62E4">
        <w:tc>
          <w:tcPr>
            <w:tcW w:w="14879" w:type="dxa"/>
          </w:tcPr>
          <w:p w:rsidR="001E7064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t>Ámbito nacional</w:t>
            </w:r>
          </w:p>
        </w:tc>
      </w:tr>
      <w:tr w:rsidR="00FD6EEF" w:rsidRPr="0038186B" w:rsidTr="00CA62E4">
        <w:tc>
          <w:tcPr>
            <w:tcW w:w="14879" w:type="dxa"/>
          </w:tcPr>
          <w:p w:rsidR="00DF5574" w:rsidRPr="0038186B" w:rsidRDefault="00DF5574" w:rsidP="001E7064">
            <w:pPr>
              <w:rPr>
                <w:lang w:val="es-419"/>
              </w:rPr>
            </w:pP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44"/>
              </w:numPr>
              <w:ind w:left="270" w:hanging="270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Legislación destinada a proteger los CC.TT., en particular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los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instrumentos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sui géneris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y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>la l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egislación convencional en materia de </w:t>
            </w:r>
            <w:r w:rsidR="0030450C" w:rsidRPr="0038186B">
              <w:rPr>
                <w:rFonts w:ascii="Arial" w:hAnsi="Arial" w:cs="Arial"/>
                <w:sz w:val="22"/>
                <w:szCs w:val="22"/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Marcos </w:t>
            </w:r>
            <w:r w:rsidR="008156A1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y mecanismos administrativos </w:t>
            </w:r>
            <w:r w:rsidR="008156A1" w:rsidRPr="0038186B">
              <w:rPr>
                <w:lang w:val="es-419"/>
              </w:rPr>
              <w:t>para la promoción y protección de los</w:t>
            </w:r>
            <w:r w:rsidRPr="0038186B">
              <w:rPr>
                <w:lang w:val="es-419"/>
              </w:rPr>
              <w:t xml:space="preserve"> CC.TT.,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>especial</w:t>
            </w:r>
            <w:r w:rsidR="008156A1" w:rsidRPr="0038186B">
              <w:rPr>
                <w:lang w:val="es-419"/>
              </w:rPr>
              <w:t xml:space="preserve"> en ámbitos específicos como l</w:t>
            </w:r>
            <w:r w:rsidRPr="0038186B">
              <w:rPr>
                <w:lang w:val="es-419"/>
              </w:rPr>
              <w:t>a medicina y la salud pública, el medio ambiente y la agricultura.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>Protocolos tipo, directrices, y recomendaciones sobre prácticas óptimas adoptadas por las autoridades nacionales u otras instituciones.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nacionales para apoyar la creación de capacidad en las comunidades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relación </w:t>
            </w:r>
            <w:r w:rsidR="008156A1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5746AD" w:rsidRPr="0038186B" w:rsidRDefault="005746AD" w:rsidP="005746AD">
      <w:pPr>
        <w:pStyle w:val="Endofdocument-Annex"/>
        <w:rPr>
          <w:lang w:val="es-419"/>
        </w:rPr>
      </w:pPr>
    </w:p>
    <w:p w:rsidR="005746AD" w:rsidRPr="0038186B" w:rsidRDefault="005746AD" w:rsidP="005746AD">
      <w:pPr>
        <w:pStyle w:val="Endofdocument-Annex"/>
        <w:rPr>
          <w:lang w:val="es-419"/>
        </w:rPr>
      </w:pPr>
    </w:p>
    <w:p w:rsidR="00DF5574" w:rsidRPr="0038186B" w:rsidRDefault="00344979" w:rsidP="00CA62E4">
      <w:pPr>
        <w:pStyle w:val="Endofdocument-Annex"/>
        <w:ind w:left="10773"/>
        <w:rPr>
          <w:lang w:val="es-419"/>
        </w:rPr>
      </w:pPr>
      <w:r w:rsidRPr="0038186B">
        <w:rPr>
          <w:lang w:val="es-419"/>
        </w:rPr>
        <w:t>[Fin del Anexo II y del documento]</w:t>
      </w:r>
    </w:p>
    <w:sectPr w:rsidR="00DF5574" w:rsidRPr="0038186B" w:rsidSect="001300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BE" w:rsidRDefault="00B063BE">
      <w:r>
        <w:separator/>
      </w:r>
    </w:p>
  </w:endnote>
  <w:endnote w:type="continuationSeparator" w:id="0">
    <w:p w:rsidR="00B063BE" w:rsidRDefault="00B063BE" w:rsidP="003B38C1">
      <w:r>
        <w:separator/>
      </w:r>
    </w:p>
    <w:p w:rsidR="00B063BE" w:rsidRPr="003B38C1" w:rsidRDefault="00B06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63BE" w:rsidRPr="003B38C1" w:rsidRDefault="00B06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 w:rsidP="00955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 w:rsidP="00955BA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 w:rsidP="00955BA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BE" w:rsidRDefault="00B063BE">
      <w:r>
        <w:separator/>
      </w:r>
    </w:p>
  </w:footnote>
  <w:footnote w:type="continuationSeparator" w:id="0">
    <w:p w:rsidR="00B063BE" w:rsidRDefault="00B063BE" w:rsidP="008B60B2">
      <w:r>
        <w:separator/>
      </w:r>
    </w:p>
    <w:p w:rsidR="00B063BE" w:rsidRPr="00ED77FB" w:rsidRDefault="00B06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063BE" w:rsidRPr="00ED77FB" w:rsidRDefault="00B06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0037" w:rsidRPr="0038186B" w:rsidRDefault="00130037" w:rsidP="004B505C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Los comentarios que se recibieron en aquel entonces aún están disponibles en el sitio web de la OMPI, en </w:t>
      </w:r>
      <w:hyperlink r:id="rId1" w:history="1">
        <w:r w:rsidRPr="0038186B">
          <w:rPr>
            <w:rStyle w:val="Hyperlink"/>
            <w:lang w:val="es-419"/>
          </w:rPr>
          <w:t>https://www.wipo.int/tk/es/igc/gap-analyses.html</w:t>
        </w:r>
      </w:hyperlink>
      <w:r w:rsidRPr="0038186B">
        <w:rPr>
          <w:lang w:val="es-419"/>
        </w:rPr>
        <w:t>.</w:t>
      </w:r>
    </w:p>
  </w:footnote>
  <w:footnote w:id="3">
    <w:p w:rsidR="00130037" w:rsidRPr="0038186B" w:rsidRDefault="00130037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WIPO/GRTKF/IC/13/11.</w:t>
      </w:r>
    </w:p>
  </w:footnote>
  <w:footnote w:id="4">
    <w:p w:rsidR="00130037" w:rsidRPr="0038186B" w:rsidRDefault="00130037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WIPO/GRTKF/IC/13/DECISIONS.</w:t>
      </w:r>
    </w:p>
  </w:footnote>
  <w:footnote w:id="5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Art. 8.j), Convenio sobre la Diversidad Biológica.</w:t>
      </w:r>
    </w:p>
  </w:footnote>
  <w:footnote w:id="6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7, Protocolo de Nagoya sobre Acceso a los Recursos Genéticos y Participación Justa y Equitativa en los Beneficios que se Deriven de su Utilización al Convenio sobre la Diversidad Biológica (Protocolo de Nagoya).</w:t>
      </w:r>
    </w:p>
  </w:footnote>
  <w:footnote w:id="7">
    <w:p w:rsidR="00130037" w:rsidRPr="0038186B" w:rsidRDefault="00130037" w:rsidP="00BD4608">
      <w:pPr>
        <w:pStyle w:val="FootnoteText"/>
        <w:rPr>
          <w:color w:val="808080"/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Art. 9.2.a), Tratado Internacional sobre los Recursos Fitogenéticos para la Alimentación y la Agricultura</w:t>
      </w:r>
      <w:r w:rsidRPr="0038186B">
        <w:rPr>
          <w:color w:val="808080"/>
          <w:lang w:val="es-419"/>
        </w:rPr>
        <w:t>.</w:t>
      </w:r>
    </w:p>
  </w:footnote>
  <w:footnote w:id="8">
    <w:p w:rsidR="00130037" w:rsidRPr="0038186B" w:rsidRDefault="0013003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31 de la Declaración de las Naciones Unidas sobre los Derechos de los Pueblos Indígenas, documento WIPO/GRTKF/IC/12/INF/6.</w:t>
      </w:r>
    </w:p>
  </w:footnote>
  <w:footnote w:id="9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0">
    <w:p w:rsidR="00130037" w:rsidRPr="0038186B" w:rsidRDefault="00130037" w:rsidP="00344979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El Glosario de los términos más importantes relacionados con la propiedad intelectual y los recursos genéticos, los conocimientos tradicionales y las expresiones culturales tradicionales se puede consultar en: </w:t>
      </w:r>
      <w:hyperlink r:id="rId2" w:history="1">
        <w:r w:rsidRPr="0038186B">
          <w:rPr>
            <w:rStyle w:val="Hyperlink"/>
            <w:lang w:val="es-419"/>
          </w:rPr>
          <w:t>https://www.wipo.int/tk/en/resources/glossary.html</w:t>
        </w:r>
      </w:hyperlink>
      <w:r w:rsidRPr="0038186B">
        <w:rPr>
          <w:lang w:val="es-419"/>
        </w:rPr>
        <w:t>.</w:t>
      </w:r>
    </w:p>
  </w:footnote>
  <w:footnote w:id="11">
    <w:p w:rsidR="00130037" w:rsidRPr="0038186B" w:rsidRDefault="00130037" w:rsidP="0015163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Estos criterios se han extraído del artículo 4 – Criterios en los que se basa la protección, documento WIPO/GRTKF/IC/8/5, “La protección de los conocimientos tradicionales: objetivos y principios revisados”. Habida cuenta de que no se ha alcanzado un acuerdo acerca de estos criterios que son aún objeto de negociación en el Comité Intergubernamental sobre Propiedad Intelectual y Recursos Genéticos, Conocimientos Tradicionales y Folclore de la OMPI, esta referencia no se ha actualizado. No obstante, para obtener el proyecto más reciente de disposiciones para la protección de los CC.TT., véase: </w:t>
      </w:r>
      <w:hyperlink r:id="rId3" w:history="1">
        <w:r w:rsidRPr="0038186B">
          <w:rPr>
            <w:rStyle w:val="Hyperlink"/>
            <w:lang w:val="es-419"/>
          </w:rPr>
          <w:t>http://www.wipo.int/meetings/es/doc_details.jsp?doc_id=368218</w:t>
        </w:r>
      </w:hyperlink>
      <w:r w:rsidRPr="0038186B">
        <w:rPr>
          <w:lang w:val="es-419"/>
        </w:rPr>
        <w:t>.</w:t>
      </w:r>
    </w:p>
  </w:footnote>
  <w:footnote w:id="1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CDB, 8.j)</w:t>
      </w:r>
    </w:p>
  </w:footnote>
  <w:footnote w:id="13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FAO, IGPGRFA 9.2.a)</w:t>
      </w:r>
    </w:p>
  </w:footnote>
  <w:footnote w:id="14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5">
    <w:p w:rsidR="00130037" w:rsidRPr="0038186B" w:rsidRDefault="00130037" w:rsidP="000076E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hyperlink r:id="rId4" w:history="1">
        <w:r w:rsidRPr="0038186B">
          <w:rPr>
            <w:rStyle w:val="Hyperlink"/>
            <w:lang w:val="es-419"/>
          </w:rPr>
          <w:t>https://ich.unesco.org/es/conocimientos-relacionados-con-la-naturaleza-00056</w:t>
        </w:r>
      </w:hyperlink>
      <w:r w:rsidRPr="0038186B">
        <w:rPr>
          <w:lang w:val="es-419"/>
        </w:rPr>
        <w:t>.</w:t>
      </w:r>
    </w:p>
  </w:footnote>
  <w:footnote w:id="16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también WIPO/GRTKF/IC/17/INF/9, Lista y breve descripción técnica de las diversas formas que pueden presentar los conocimientos tradicionales, disponible en: </w:t>
      </w:r>
      <w:hyperlink r:id="rId5" w:history="1">
        <w:r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Pr="0038186B">
        <w:rPr>
          <w:lang w:val="es-419"/>
        </w:rPr>
        <w:t xml:space="preserve">. </w:t>
      </w:r>
    </w:p>
  </w:footnote>
  <w:footnote w:id="1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notas de información preparadas para la ICG 31 y la ICG 32 por el Sr. Ian Goss, Presidente del CIG.</w:t>
      </w:r>
    </w:p>
  </w:footnote>
  <w:footnote w:id="1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Véase: OMPI (2017) Proteja y promueva su cultura: Guía práctica sobre la propiedad intelectual para los pueblos indígenas y las comunidades locales, disponible en: http://www.wipo.int/edocs/pubdocs/es/wipo_pub_1048.pdf: Véase también WIPO/GRTKF/IC/17/INF/9, Lista y breve descripción técnica de las diversas formas que pueden presentar los conocimientos tradicionales, disponible en: </w:t>
      </w:r>
      <w:hyperlink r:id="rId6" w:history="1">
        <w:r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Pr="0038186B">
        <w:rPr>
          <w:lang w:val="es-419"/>
        </w:rPr>
        <w:t>.</w:t>
      </w:r>
    </w:p>
  </w:footnote>
  <w:footnote w:id="19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por ejemplo, los documentos WIPO/GRTKF/IC/5/7 y WIPO/GRTKF/IC/5/8, así como los estudios y cuestionarios en que se basan.</w:t>
      </w:r>
    </w:p>
  </w:footnote>
  <w:footnote w:id="2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La publicación de la OMPI: Proteja y promueva su cultura: Guía práctica sobre la propiedad intelectual para los pueblos indígenas y las comunidades locales, cita dos ejemplos de patentes otorgadas a pueblos indígenas y comunidades locales por innovaciones desarrolladas gracias a los CC.TT. Los CC.TT. como tales no fueron patentados, pero las inventivas innovaciones desarrolladas gracias a los CC.TT. sí lo fueron.</w:t>
      </w:r>
    </w:p>
  </w:footnote>
  <w:footnote w:id="21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el documento WIPO/GRTKF/IC/4/14, disponible en: </w:t>
      </w:r>
      <w:hyperlink r:id="rId7" w:history="1">
        <w:r w:rsidRPr="0038186B">
          <w:rPr>
            <w:rStyle w:val="Hyperlink"/>
            <w:lang w:val="es-419"/>
          </w:rPr>
          <w:t>http://www.wipo.int/edocs/mdocs/tk/es/wipo_grtkf_ic_4/wipo_grtkf_ic_4_14.pdf</w:t>
        </w:r>
      </w:hyperlink>
      <w:r w:rsidRPr="0038186B">
        <w:rPr>
          <w:rStyle w:val="Hyperlink"/>
          <w:lang w:val="es-419"/>
        </w:rPr>
        <w:t>.</w:t>
      </w:r>
    </w:p>
  </w:footnote>
  <w:footnote w:id="22">
    <w:p w:rsidR="00130037" w:rsidRPr="0038186B" w:rsidRDefault="00130037" w:rsidP="006C7B9D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la publicación de la OMPI: “Cuestiones clave sobre la divulgación de recursos genéticos y conocimientos tradicionales en las solicitudes de patente”, de 2017, disponible en: </w:t>
      </w:r>
      <w:hyperlink r:id="rId8" w:history="1">
        <w:r w:rsidRPr="0038186B">
          <w:rPr>
            <w:rStyle w:val="Hyperlink"/>
            <w:color w:val="auto"/>
            <w:u w:val="none"/>
            <w:lang w:val="es-419"/>
          </w:rPr>
          <w:t>http://www.wipo.int/edocs/pubdocs/en/wipo_pub_1047.pdf</w:t>
        </w:r>
      </w:hyperlink>
      <w:r w:rsidRPr="0038186B">
        <w:rPr>
          <w:lang w:val="es-419"/>
        </w:rPr>
        <w:t>.</w:t>
      </w:r>
    </w:p>
  </w:footnote>
  <w:footnote w:id="23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El Protocolo de Nagoya no hace ninguna referencia a los requisitos de divulgación.</w:t>
      </w:r>
    </w:p>
  </w:footnote>
  <w:footnote w:id="24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Esos estudios están disponibles en: </w:t>
      </w:r>
      <w:hyperlink r:id="rId9" w:history="1">
        <w:r w:rsidRPr="0038186B">
          <w:rPr>
            <w:rStyle w:val="Hyperlink"/>
            <w:lang w:val="es-419"/>
          </w:rPr>
          <w:t>http://www.wipo.int/edocs/mdocs/govbody/es/wo_ga_32/wo_ga_32_8.pdf</w:t>
        </w:r>
      </w:hyperlink>
      <w:r w:rsidRPr="0038186B">
        <w:rPr>
          <w:lang w:val="es-419"/>
        </w:rPr>
        <w:t xml:space="preserve"> y en inglés en.</w:t>
      </w:r>
      <w:r w:rsidRPr="0038186B">
        <w:rPr>
          <w:color w:val="545454"/>
          <w:lang w:val="es-419"/>
        </w:rPr>
        <w:t xml:space="preserve"> </w:t>
      </w:r>
      <w:hyperlink r:id="rId10" w:history="1">
        <w:r w:rsidRPr="0038186B">
          <w:rPr>
            <w:rStyle w:val="Hyperlink"/>
            <w:lang w:val="es-419"/>
          </w:rPr>
          <w:t>http://www.wipo</w:t>
        </w:r>
        <w:r w:rsidRPr="0038186B">
          <w:rPr>
            <w:rStyle w:val="Hyperlink"/>
            <w:b/>
            <w:lang w:val="es-419"/>
          </w:rPr>
          <w:t>.</w:t>
        </w:r>
        <w:r w:rsidRPr="0038186B">
          <w:rPr>
            <w:rStyle w:val="Hyperlink"/>
            <w:lang w:val="es-419"/>
          </w:rPr>
          <w:t>int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edocs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pubdocs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en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tk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786</w:t>
        </w:r>
        <w:r w:rsidRPr="0038186B">
          <w:rPr>
            <w:rStyle w:val="Hyperlink"/>
            <w:b/>
            <w:lang w:val="es-419"/>
          </w:rPr>
          <w:t>/</w:t>
        </w:r>
        <w:r w:rsidRPr="0038186B">
          <w:rPr>
            <w:rStyle w:val="Hyperlink"/>
            <w:lang w:val="es-419"/>
          </w:rPr>
          <w:t>wipo_pub_786</w:t>
        </w:r>
        <w:r w:rsidRPr="0038186B">
          <w:rPr>
            <w:rStyle w:val="Hyperlink"/>
            <w:b/>
            <w:lang w:val="es-419"/>
          </w:rPr>
          <w:t>.</w:t>
        </w:r>
        <w:r w:rsidRPr="0038186B">
          <w:rPr>
            <w:rStyle w:val="Hyperlink"/>
            <w:lang w:val="es-419"/>
          </w:rPr>
          <w:t>pdf</w:t>
        </w:r>
      </w:hyperlink>
      <w:r w:rsidRPr="0038186B">
        <w:rPr>
          <w:rStyle w:val="Emphasis"/>
          <w:b w:val="0"/>
          <w:lang w:val="es-419"/>
        </w:rPr>
        <w:t>.</w:t>
      </w:r>
    </w:p>
  </w:footnote>
  <w:footnote w:id="25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Directrices de Bonn, 16.d)</w:t>
      </w:r>
    </w:p>
  </w:footnote>
  <w:footnote w:id="26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Por ejemplo: Necesidades y expectativas de los poseedores de conocimientos tradicionales en materia de propiedad intelectual (Informe de la OMPI sobre las misiones exploratorias)</w:t>
      </w:r>
      <w:r w:rsidRPr="0038186B">
        <w:rPr>
          <w:i/>
          <w:lang w:val="es-419"/>
        </w:rPr>
        <w:t xml:space="preserve"> (1998-1999)</w:t>
      </w:r>
      <w:r w:rsidRPr="0038186B">
        <w:rPr>
          <w:lang w:val="es-419"/>
        </w:rPr>
        <w:t>, OMPI, 2001, pág. 75</w:t>
      </w:r>
    </w:p>
  </w:footnote>
  <w:footnote w:id="2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los ejemplos en: OMPI (2017) Proteja y promueva su cultura: Guía práctica sobre la propiedad intelectual para los pueblos indígenas y las comunidades locales, página 57.</w:t>
      </w:r>
    </w:p>
  </w:footnote>
  <w:footnote w:id="2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G.H.C. Bodenhausen, Guía para la aplicación del Convenio de París para la Protección de la Propiedad Industrial (1968), página 144 (omitida la nota a pie de página).</w:t>
      </w:r>
    </w:p>
  </w:footnote>
  <w:footnote w:id="29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Nueva Zelandia y la Comunidad Andina han adoptado disposiciones concretas que prohíben el registro de marcas que incluyen nombres y expresiones de las culturas de los pueblos indígenas, a menos que las solicitudes de marca sean cumplimentadas por los propios pueblos indígenas en cuestión o con su consentimiento. Para mayor información véanse los ejemplos en el documento de la OMPI: Proteja y promueva su cultura: Guía práctica sobre la propiedad intelectual para los pueblos indígenas y las comunidades locales, página 44.</w:t>
      </w:r>
    </w:p>
  </w:footnote>
  <w:footnote w:id="3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Anexo del documento WIPO/GRTKF/IC/37/7, parte II, “</w:t>
      </w:r>
      <w:bookmarkStart w:id="21" w:name="_Toc199928119"/>
      <w:bookmarkStart w:id="22" w:name="_Toc200178799"/>
      <w:bookmarkStart w:id="23" w:name="_Toc210816801"/>
      <w:r w:rsidRPr="0038186B">
        <w:rPr>
          <w:bCs/>
          <w:i/>
          <w:iCs/>
          <w:szCs w:val="23"/>
          <w:lang w:val="es-419"/>
        </w:rPr>
        <w:t>Qué se entiende por “carencias”</w:t>
      </w:r>
      <w:bookmarkEnd w:id="21"/>
      <w:bookmarkEnd w:id="22"/>
      <w:bookmarkEnd w:id="23"/>
      <w:r w:rsidRPr="0038186B">
        <w:rPr>
          <w:lang w:val="es-419"/>
        </w:rPr>
        <w:t>, párrafo 34; parte III, A., “</w:t>
      </w:r>
      <w:bookmarkStart w:id="24" w:name="_Toc210816810"/>
      <w:r w:rsidRPr="0038186B">
        <w:rPr>
          <w:i/>
          <w:szCs w:val="23"/>
          <w:lang w:val="es-419"/>
        </w:rPr>
        <w:t>Nombres, palabras y símbolos indígenas y tradicionales</w:t>
      </w:r>
      <w:bookmarkEnd w:id="24"/>
      <w:r w:rsidRPr="0038186B">
        <w:rPr>
          <w:lang w:val="es-419"/>
        </w:rPr>
        <w:t>”, párrafos 58 y 59; parte III, B., “</w:t>
      </w:r>
      <w:bookmarkStart w:id="25" w:name="_Toc210816816"/>
      <w:r w:rsidRPr="0038186B">
        <w:rPr>
          <w:i/>
          <w:szCs w:val="23"/>
          <w:lang w:val="es-419"/>
        </w:rPr>
        <w:t>Nombres, palabras y símbolos indígenas y tradicionales</w:t>
      </w:r>
      <w:bookmarkEnd w:id="25"/>
      <w:r w:rsidRPr="0038186B">
        <w:rPr>
          <w:lang w:val="es-419"/>
        </w:rPr>
        <w:t>” párrafos 71 a 75; y parte IV, D., “</w:t>
      </w:r>
      <w:r w:rsidRPr="0038186B">
        <w:rPr>
          <w:i/>
          <w:iCs/>
          <w:lang w:val="es-419"/>
        </w:rPr>
        <w:t>Utilización de los signos distintivos y de los principios relativos a la competencia desleal para luchar contra la apropiación indebida de la reputación asociada a las ECT (“estilo”)</w:t>
      </w:r>
      <w:r w:rsidRPr="0038186B">
        <w:rPr>
          <w:lang w:val="es-419"/>
        </w:rPr>
        <w:t>, párrafo 102; y parte III, D., “</w:t>
      </w:r>
      <w:bookmarkStart w:id="26" w:name="_Toc199928156"/>
      <w:bookmarkStart w:id="27" w:name="_Toc200178838"/>
      <w:bookmarkStart w:id="28" w:name="_Toc210816841"/>
      <w:r w:rsidRPr="0038186B">
        <w:rPr>
          <w:i/>
          <w:szCs w:val="23"/>
          <w:lang w:val="es-419"/>
        </w:rPr>
        <w:t>Nombres, palabras y símbolos indígenas y tradicionales</w:t>
      </w:r>
      <w:bookmarkEnd w:id="26"/>
      <w:bookmarkEnd w:id="27"/>
      <w:bookmarkEnd w:id="28"/>
      <w:r w:rsidRPr="0038186B">
        <w:rPr>
          <w:lang w:val="es-419"/>
        </w:rPr>
        <w:t>” párrafo 113.</w:t>
      </w:r>
    </w:p>
  </w:footnote>
  <w:footnote w:id="31">
    <w:p w:rsidR="00130037" w:rsidRPr="0038186B" w:rsidRDefault="00130037" w:rsidP="00A17708">
      <w:pPr>
        <w:pStyle w:val="FootnoteText"/>
        <w:rPr>
          <w:szCs w:val="18"/>
          <w:lang w:val="es-419"/>
        </w:rPr>
      </w:pPr>
      <w:r w:rsidRPr="0038186B">
        <w:rPr>
          <w:rStyle w:val="FootnoteReference"/>
          <w:szCs w:val="18"/>
          <w:lang w:val="es-419"/>
        </w:rPr>
        <w:footnoteRef/>
      </w:r>
      <w:r w:rsidRPr="0038186B">
        <w:rPr>
          <w:szCs w:val="18"/>
          <w:lang w:val="es-419"/>
        </w:rPr>
        <w:t xml:space="preserve"> SCT/35/2.</w:t>
      </w:r>
    </w:p>
  </w:footnote>
  <w:footnote w:id="3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9 – Derechos del agricultor, TIRFAA.</w:t>
      </w:r>
    </w:p>
  </w:footnote>
  <w:footnote w:id="33">
    <w:p w:rsidR="00130037" w:rsidRPr="0038186B" w:rsidRDefault="00130037" w:rsidP="00491FB2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Documento WIPO/GRTKF/IC/12/INF/6 (de 15 de febrero de 2008), adoptado por la Asamblea General de las Naciones Unidas en 2007.</w:t>
      </w:r>
    </w:p>
  </w:footnote>
  <w:footnote w:id="34">
    <w:p w:rsidR="00130037" w:rsidRPr="0038186B" w:rsidRDefault="00130037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Glosario de los términos más importantes.</w:t>
      </w:r>
    </w:p>
  </w:footnote>
  <w:footnote w:id="35">
    <w:p w:rsidR="00130037" w:rsidRPr="0038186B" w:rsidRDefault="00130037" w:rsidP="00B0758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Nota: el documento WIPO/GRTKF/IC/13/5(b) Rev. fue elaborado sobre la base del documento de WIPO/GRTKF/IC/8/5 La protección de los conocimientos tradicionales: Objetivos y principios revisados. En vista de que las negociaciones siguen en curso en el CIG, esta referencia no se ha actualizado.</w:t>
      </w:r>
    </w:p>
  </w:footnote>
  <w:footnote w:id="36">
    <w:p w:rsidR="00130037" w:rsidRPr="0038186B" w:rsidRDefault="00130037" w:rsidP="00E35D7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r w:rsidRPr="0038186B">
        <w:rPr>
          <w:szCs w:val="18"/>
          <w:lang w:val="es-419"/>
        </w:rPr>
        <w:t>O bien el “consentimiento libre, previo e informado”, como se establece en la Declaración de las Naciones Unidas sobre los Derechos de los Pueblos Indígenas.</w:t>
      </w:r>
    </w:p>
  </w:footnote>
  <w:footnote w:id="37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propuestas presentadas ante el Comité de Negociaciones Comerciales de la OMC: documentos TN/C/W/52 de 19 de julio de 2008 y TN/CW/59 de 19 de abril de 2011.</w:t>
      </w:r>
    </w:p>
  </w:footnote>
  <w:footnote w:id="38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5.a): Al aplicar las normas consuetudinarias de interpretación del derecho internacional público, cada disposición del Acuerdo sobre los ADPIC se leerá a la luz del objeto y fin del Acuerdo tal como se expresa, en particular, en sus objetivos y principios.</w:t>
      </w:r>
    </w:p>
  </w:footnote>
  <w:footnote w:id="39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Esas disposiciones tipo se refieren exclusivamente a las ECT.</w:t>
      </w:r>
    </w:p>
  </w:footnote>
  <w:footnote w:id="40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 Lex, disponible en </w:t>
      </w:r>
      <w:hyperlink r:id="rId11" w:history="1">
        <w:r w:rsidRPr="0038186B">
          <w:rPr>
            <w:rStyle w:val="Hyperlink"/>
            <w:lang w:val="es-419"/>
          </w:rPr>
          <w:t>http://www.wipo.int/wipolex/es/</w:t>
        </w:r>
      </w:hyperlink>
      <w:r w:rsidRPr="0038186B">
        <w:rPr>
          <w:lang w:val="es-419"/>
        </w:rPr>
        <w:t>, es una base de datos mundial que puede utilizarse para encontrar las leyes nacionales y los instrumentos regionales adoptados para la protección de los CC.TT. (y ECT).</w:t>
      </w:r>
    </w:p>
  </w:footnote>
  <w:footnote w:id="41">
    <w:p w:rsidR="00130037" w:rsidRPr="0038186B" w:rsidRDefault="00130037" w:rsidP="0036184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Véase, por ejemplo: OMPI (2017) Guía para la catalogación de conocimientos tradicionales, disponible en: </w:t>
      </w:r>
      <w:hyperlink r:id="rId12" w:history="1">
        <w:r w:rsidRPr="0038186B">
          <w:rPr>
            <w:rStyle w:val="Hyperlink"/>
            <w:lang w:val="es-419"/>
          </w:rPr>
          <w:t>http://www.wipo.int/edocs/pubdocs/es/wipo_pub_1049.pdf</w:t>
        </w:r>
      </w:hyperlink>
      <w:r w:rsidRPr="0038186B">
        <w:rPr>
          <w:lang w:val="es-419"/>
        </w:rPr>
        <w:t>.</w:t>
      </w:r>
    </w:p>
  </w:footnote>
  <w:footnote w:id="42">
    <w:p w:rsidR="00130037" w:rsidRPr="0038186B" w:rsidRDefault="00130037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Otro ejemplo:  OMPI (2018) Una guía sobre cuestiones de propiedad intelectual relacionadas con los acuerdos de acceso y participación en los beneficios, disponible en: </w:t>
      </w:r>
      <w:r w:rsidRPr="0038186B">
        <w:rPr>
          <w:rStyle w:val="Hyperlink"/>
          <w:lang w:val="es-419"/>
        </w:rPr>
        <w:t>https://www.wipo.int/edocs/pubdocs/es/wipo_pub_1048.pdf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Pr="00293D1E" w:rsidRDefault="00955BAE" w:rsidP="00955BAE">
    <w:pPr>
      <w:pStyle w:val="Header"/>
      <w:jc w:val="right"/>
    </w:pPr>
    <w:r w:rsidRPr="00293D1E">
      <w:rPr>
        <w:lang w:val="es-ES_tradnl"/>
      </w:rPr>
      <w:t>WIPO/GRTKF/IC/</w:t>
    </w:r>
    <w:r>
      <w:t>46/6</w:t>
    </w:r>
  </w:p>
  <w:p w:rsidR="00955BAE" w:rsidRPr="00293D1E" w:rsidRDefault="00955BAE" w:rsidP="00955BAE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2F7B55">
      <w:rPr>
        <w:rStyle w:val="PageNumber"/>
        <w:noProof/>
      </w:rPr>
      <w:t>2</w:t>
    </w:r>
    <w:r w:rsidRPr="00293D1E">
      <w:rPr>
        <w:rStyle w:val="PageNumber"/>
      </w:rPr>
      <w:fldChar w:fldCharType="end"/>
    </w:r>
  </w:p>
  <w:p w:rsidR="00955BAE" w:rsidRDefault="00955BAE" w:rsidP="00955BA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293D1E" w:rsidRDefault="00130037" w:rsidP="00344979">
    <w:pPr>
      <w:pStyle w:val="Header"/>
      <w:jc w:val="right"/>
    </w:pPr>
    <w:r w:rsidRPr="00293D1E">
      <w:rPr>
        <w:lang w:val="es-ES_tradnl"/>
      </w:rPr>
      <w:t>WIPO/GRTKF/IC/</w:t>
    </w:r>
    <w:r>
      <w:t>4</w:t>
    </w:r>
    <w:r w:rsidR="00955BAE">
      <w:t>6</w:t>
    </w:r>
    <w:r>
      <w:t>/6</w:t>
    </w:r>
  </w:p>
  <w:p w:rsidR="00130037" w:rsidRPr="00293D1E" w:rsidRDefault="00130037" w:rsidP="00344979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2F7B55">
      <w:rPr>
        <w:rStyle w:val="PageNumber"/>
        <w:noProof/>
      </w:rPr>
      <w:t>3</w:t>
    </w:r>
    <w:r w:rsidRPr="00293D1E">
      <w:rPr>
        <w:rStyle w:val="PageNumber"/>
      </w:rPr>
      <w:fldChar w:fldCharType="end"/>
    </w:r>
  </w:p>
  <w:p w:rsidR="00130037" w:rsidRDefault="00130037" w:rsidP="00555E6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Default="00955B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Pr="00DA41A6" w:rsidRDefault="00955BAE" w:rsidP="00955BAE">
    <w:pPr>
      <w:jc w:val="right"/>
      <w:rPr>
        <w:lang w:val="pt-PT"/>
      </w:rPr>
    </w:pPr>
    <w:r w:rsidRPr="00DA41A6">
      <w:rPr>
        <w:lang w:val="pt-PT"/>
      </w:rPr>
      <w:t>WIPO/GRTKF/IC/</w:t>
    </w:r>
    <w:r>
      <w:t>46/6</w:t>
    </w:r>
  </w:p>
  <w:p w:rsidR="00955BAE" w:rsidRPr="00DA41A6" w:rsidRDefault="00955BAE" w:rsidP="00955BAE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2F7B55">
      <w:rPr>
        <w:noProof/>
        <w:lang w:val="pt-PT"/>
      </w:rPr>
      <w:t>16</w:t>
    </w:r>
    <w:r w:rsidRPr="00293D1E">
      <w:fldChar w:fldCharType="end"/>
    </w:r>
  </w:p>
  <w:p w:rsidR="00955BAE" w:rsidRPr="00DA41A6" w:rsidRDefault="00955BAE" w:rsidP="00955BAE">
    <w:pPr>
      <w:jc w:val="right"/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>WIPO/GRTKF/IC/</w:t>
    </w:r>
    <w:r>
      <w:t>4</w:t>
    </w:r>
    <w:r w:rsidR="00955BAE">
      <w:t>6</w:t>
    </w:r>
    <w:r>
      <w:t>/6</w:t>
    </w:r>
  </w:p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2F7B55">
      <w:rPr>
        <w:noProof/>
        <w:lang w:val="pt-PT"/>
      </w:rPr>
      <w:t>17</w:t>
    </w:r>
    <w:r w:rsidRPr="00293D1E">
      <w:fldChar w:fldCharType="end"/>
    </w:r>
  </w:p>
  <w:p w:rsidR="00130037" w:rsidRPr="00DA41A6" w:rsidRDefault="00130037" w:rsidP="00477D6B">
    <w:pPr>
      <w:jc w:val="right"/>
      <w:rPr>
        <w:lang w:val="pt-P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Default="00130037" w:rsidP="00264ECF">
    <w:pPr>
      <w:pStyle w:val="Header"/>
      <w:jc w:val="right"/>
    </w:pPr>
    <w:r w:rsidRPr="00FE004A">
      <w:t>WIPO/GRTKF/IC/</w:t>
    </w:r>
    <w:r>
      <w:t>4</w:t>
    </w:r>
    <w:r w:rsidR="00955BAE">
      <w:t>6</w:t>
    </w:r>
    <w:r>
      <w:t>/6</w:t>
    </w:r>
  </w:p>
  <w:p w:rsidR="00130037" w:rsidRDefault="00130037" w:rsidP="00264ECF">
    <w:pPr>
      <w:pStyle w:val="Header"/>
      <w:jc w:val="right"/>
    </w:pPr>
    <w:r>
      <w:t>ANEXO I</w:t>
    </w:r>
  </w:p>
  <w:p w:rsidR="00130037" w:rsidRDefault="00130037" w:rsidP="00264ECF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AE" w:rsidRPr="00DA41A6" w:rsidRDefault="00955BAE" w:rsidP="00955BAE">
    <w:pPr>
      <w:jc w:val="right"/>
      <w:rPr>
        <w:lang w:val="pt-PT"/>
      </w:rPr>
    </w:pPr>
    <w:r w:rsidRPr="00DA41A6">
      <w:rPr>
        <w:lang w:val="pt-PT"/>
      </w:rPr>
      <w:t>WIPO/GRTKF/IC/</w:t>
    </w:r>
    <w:r>
      <w:rPr>
        <w:lang w:val="pt-PT"/>
      </w:rPr>
      <w:t>46</w:t>
    </w:r>
    <w:r w:rsidRPr="00DA41A6">
      <w:rPr>
        <w:lang w:val="pt-PT"/>
      </w:rPr>
      <w:t>/</w:t>
    </w:r>
    <w:r>
      <w:rPr>
        <w:lang w:val="pt-PT"/>
      </w:rPr>
      <w:t>6</w:t>
    </w:r>
  </w:p>
  <w:p w:rsidR="00955BAE" w:rsidRPr="00DA41A6" w:rsidRDefault="00955BAE" w:rsidP="00955BAE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047E90">
      <w:rPr>
        <w:noProof/>
        <w:lang w:val="pt-PT"/>
      </w:rPr>
      <w:t>20</w:t>
    </w:r>
    <w:r>
      <w:fldChar w:fldCharType="end"/>
    </w:r>
  </w:p>
  <w:p w:rsidR="00955BAE" w:rsidRPr="00DA41A6" w:rsidRDefault="00955BAE" w:rsidP="00955BAE">
    <w:pPr>
      <w:jc w:val="right"/>
      <w:rPr>
        <w:lang w:val="pt-PT"/>
      </w:rPr>
    </w:pPr>
  </w:p>
  <w:p w:rsidR="00955BAE" w:rsidRPr="00DA41A6" w:rsidRDefault="00955BAE" w:rsidP="00955BAE">
    <w:pPr>
      <w:rPr>
        <w:lang w:val="pt-PT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>WIPO/GRTKF/IC/</w:t>
    </w:r>
    <w:r>
      <w:rPr>
        <w:lang w:val="pt-PT"/>
      </w:rPr>
      <w:t>4</w:t>
    </w:r>
    <w:r w:rsidR="00955BAE">
      <w:rPr>
        <w:lang w:val="pt-PT"/>
      </w:rPr>
      <w:t>6</w:t>
    </w:r>
    <w:r w:rsidRPr="00DA41A6">
      <w:rPr>
        <w:lang w:val="pt-PT"/>
      </w:rPr>
      <w:t>/</w:t>
    </w:r>
    <w:r>
      <w:rPr>
        <w:lang w:val="pt-PT"/>
      </w:rPr>
      <w:t>6</w:t>
    </w:r>
  </w:p>
  <w:p w:rsidR="00130037" w:rsidRPr="00DA41A6" w:rsidRDefault="00130037" w:rsidP="00344979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047E90">
      <w:rPr>
        <w:noProof/>
        <w:lang w:val="pt-PT"/>
      </w:rPr>
      <w:t>21</w:t>
    </w:r>
    <w:r>
      <w:fldChar w:fldCharType="end"/>
    </w:r>
  </w:p>
  <w:p w:rsidR="00130037" w:rsidRPr="00DA41A6" w:rsidRDefault="00130037" w:rsidP="00477D6B">
    <w:pPr>
      <w:jc w:val="right"/>
      <w:rPr>
        <w:lang w:val="pt-PT"/>
      </w:rPr>
    </w:pPr>
  </w:p>
  <w:p w:rsidR="00130037" w:rsidRPr="00DA41A6" w:rsidRDefault="00130037">
    <w:pPr>
      <w:rPr>
        <w:lang w:val="pt-PT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37" w:rsidRDefault="00130037" w:rsidP="001D20BF">
    <w:pPr>
      <w:pStyle w:val="Header"/>
      <w:jc w:val="right"/>
    </w:pPr>
    <w:r w:rsidRPr="00FE004A">
      <w:t>WIPO/GRTKF/IC/</w:t>
    </w:r>
    <w:r>
      <w:t>4</w:t>
    </w:r>
    <w:r w:rsidR="00955BAE">
      <w:t>6</w:t>
    </w:r>
    <w:r>
      <w:t>/6</w:t>
    </w:r>
  </w:p>
  <w:p w:rsidR="00130037" w:rsidRDefault="00130037" w:rsidP="001D20BF">
    <w:pPr>
      <w:pStyle w:val="Header"/>
      <w:jc w:val="right"/>
    </w:pPr>
    <w:r>
      <w:t>ANEXO II</w:t>
    </w:r>
  </w:p>
  <w:p w:rsidR="00130037" w:rsidRDefault="00130037" w:rsidP="00880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38D"/>
    <w:multiLevelType w:val="hybridMultilevel"/>
    <w:tmpl w:val="4EF6BFE0"/>
    <w:lvl w:ilvl="0" w:tplc="BC20A606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658B1"/>
    <w:multiLevelType w:val="hybridMultilevel"/>
    <w:tmpl w:val="9744A56A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E578A3"/>
    <w:multiLevelType w:val="hybridMultilevel"/>
    <w:tmpl w:val="A6C68D32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752089"/>
    <w:multiLevelType w:val="hybridMultilevel"/>
    <w:tmpl w:val="D5C6B470"/>
    <w:lvl w:ilvl="0" w:tplc="BC20A606">
      <w:start w:val="1"/>
      <w:numFmt w:val="bullet"/>
      <w:lvlText w:val="­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45337"/>
    <w:multiLevelType w:val="hybridMultilevel"/>
    <w:tmpl w:val="A7E8F5C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5514"/>
    <w:multiLevelType w:val="hybridMultilevel"/>
    <w:tmpl w:val="749AB4F2"/>
    <w:lvl w:ilvl="0" w:tplc="B5CCC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6E12"/>
    <w:multiLevelType w:val="hybridMultilevel"/>
    <w:tmpl w:val="F2927C96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2709D"/>
    <w:multiLevelType w:val="hybridMultilevel"/>
    <w:tmpl w:val="EFA2C91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DF7"/>
    <w:multiLevelType w:val="hybridMultilevel"/>
    <w:tmpl w:val="70E805B2"/>
    <w:lvl w:ilvl="0" w:tplc="88E8AA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4060"/>
    <w:multiLevelType w:val="hybridMultilevel"/>
    <w:tmpl w:val="B2EC9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6EAC"/>
    <w:multiLevelType w:val="hybridMultilevel"/>
    <w:tmpl w:val="3288F392"/>
    <w:lvl w:ilvl="0" w:tplc="BC20A606">
      <w:start w:val="1"/>
      <w:numFmt w:val="bullet"/>
      <w:lvlText w:val="­"/>
      <w:lvlJc w:val="left"/>
      <w:pPr>
        <w:tabs>
          <w:tab w:val="num" w:pos="1087"/>
        </w:tabs>
        <w:ind w:left="108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07"/>
        </w:tabs>
        <w:ind w:left="180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A0017A4"/>
    <w:multiLevelType w:val="hybridMultilevel"/>
    <w:tmpl w:val="2E1E7B2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D027E"/>
    <w:multiLevelType w:val="hybridMultilevel"/>
    <w:tmpl w:val="B36A5782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002EA"/>
    <w:multiLevelType w:val="hybridMultilevel"/>
    <w:tmpl w:val="360493B4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E8AEE5FC">
      <w:numFmt w:val="bullet"/>
      <w:lvlText w:val="•"/>
      <w:lvlJc w:val="left"/>
      <w:pPr>
        <w:ind w:left="19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2833FB3"/>
    <w:multiLevelType w:val="hybridMultilevel"/>
    <w:tmpl w:val="C08A0714"/>
    <w:lvl w:ilvl="0" w:tplc="75D619A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5FA3347"/>
    <w:multiLevelType w:val="hybridMultilevel"/>
    <w:tmpl w:val="C798C38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7437008"/>
    <w:multiLevelType w:val="hybridMultilevel"/>
    <w:tmpl w:val="8B56E12C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09D1"/>
    <w:multiLevelType w:val="hybridMultilevel"/>
    <w:tmpl w:val="B532AC56"/>
    <w:lvl w:ilvl="0" w:tplc="BC20A606">
      <w:start w:val="1"/>
      <w:numFmt w:val="bullet"/>
      <w:lvlText w:val="­"/>
      <w:lvlJc w:val="left"/>
      <w:pPr>
        <w:tabs>
          <w:tab w:val="num" w:pos="1177"/>
        </w:tabs>
        <w:ind w:left="117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97"/>
        </w:tabs>
        <w:ind w:left="189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2ECA3797"/>
    <w:multiLevelType w:val="hybridMultilevel"/>
    <w:tmpl w:val="CC149408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00825"/>
    <w:multiLevelType w:val="hybridMultilevel"/>
    <w:tmpl w:val="6CB49BE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07BA2"/>
    <w:multiLevelType w:val="hybridMultilevel"/>
    <w:tmpl w:val="87F68C38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2E365FE"/>
    <w:multiLevelType w:val="hybridMultilevel"/>
    <w:tmpl w:val="27DA4DE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F07D80"/>
    <w:multiLevelType w:val="hybridMultilevel"/>
    <w:tmpl w:val="EC74A2D8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33CBB"/>
    <w:multiLevelType w:val="hybridMultilevel"/>
    <w:tmpl w:val="40B2667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D0536"/>
    <w:multiLevelType w:val="hybridMultilevel"/>
    <w:tmpl w:val="46C0A376"/>
    <w:lvl w:ilvl="0" w:tplc="0C0A0017">
      <w:start w:val="1"/>
      <w:numFmt w:val="lowerLetter"/>
      <w:lvlText w:val="%1)"/>
      <w:lvlJc w:val="left"/>
      <w:pPr>
        <w:ind w:left="922" w:hanging="360"/>
      </w:p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7" w15:restartNumberingAfterBreak="0">
    <w:nsid w:val="3AB56F91"/>
    <w:multiLevelType w:val="hybridMultilevel"/>
    <w:tmpl w:val="9FB69338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B415B16"/>
    <w:multiLevelType w:val="hybridMultilevel"/>
    <w:tmpl w:val="6420B6AC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0965FF"/>
    <w:multiLevelType w:val="hybridMultilevel"/>
    <w:tmpl w:val="7838835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A707A"/>
    <w:multiLevelType w:val="hybridMultilevel"/>
    <w:tmpl w:val="A57AE8C4"/>
    <w:lvl w:ilvl="0" w:tplc="CE8ED3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07A73"/>
    <w:multiLevelType w:val="hybridMultilevel"/>
    <w:tmpl w:val="B6E640D4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B062D"/>
    <w:multiLevelType w:val="hybridMultilevel"/>
    <w:tmpl w:val="337C9586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7730EC"/>
    <w:multiLevelType w:val="multilevel"/>
    <w:tmpl w:val="B4F4AD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230448C"/>
    <w:multiLevelType w:val="hybridMultilevel"/>
    <w:tmpl w:val="D2CEA0EC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74FE8"/>
    <w:multiLevelType w:val="hybridMultilevel"/>
    <w:tmpl w:val="89B0A64C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2DE47AF"/>
    <w:multiLevelType w:val="hybridMultilevel"/>
    <w:tmpl w:val="9C223734"/>
    <w:lvl w:ilvl="0" w:tplc="05668AC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FD5392"/>
    <w:multiLevelType w:val="hybridMultilevel"/>
    <w:tmpl w:val="C10EE95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F588F"/>
    <w:multiLevelType w:val="hybridMultilevel"/>
    <w:tmpl w:val="3D16ED3A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326FB"/>
    <w:multiLevelType w:val="hybridMultilevel"/>
    <w:tmpl w:val="3ADA2AC4"/>
    <w:lvl w:ilvl="0" w:tplc="75D619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8405F4E"/>
    <w:multiLevelType w:val="hybridMultilevel"/>
    <w:tmpl w:val="11AC42B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CDF0FC7"/>
    <w:multiLevelType w:val="hybridMultilevel"/>
    <w:tmpl w:val="E69A4A3C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E51013"/>
    <w:multiLevelType w:val="hybridMultilevel"/>
    <w:tmpl w:val="95DECD6E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4927622"/>
    <w:multiLevelType w:val="hybridMultilevel"/>
    <w:tmpl w:val="8E68BFC4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E720DC"/>
    <w:multiLevelType w:val="hybridMultilevel"/>
    <w:tmpl w:val="BD308D28"/>
    <w:lvl w:ilvl="0" w:tplc="BC20A60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69EB399C"/>
    <w:multiLevelType w:val="hybridMultilevel"/>
    <w:tmpl w:val="9A32EEE0"/>
    <w:lvl w:ilvl="0" w:tplc="562C4E4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FCF3A56"/>
    <w:multiLevelType w:val="hybridMultilevel"/>
    <w:tmpl w:val="8C8A21C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820CD"/>
    <w:multiLevelType w:val="hybridMultilevel"/>
    <w:tmpl w:val="518A8FB8"/>
    <w:lvl w:ilvl="0" w:tplc="CE8ED312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A461C99"/>
    <w:multiLevelType w:val="hybridMultilevel"/>
    <w:tmpl w:val="8CF2AF68"/>
    <w:lvl w:ilvl="0" w:tplc="F3047D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60852"/>
    <w:multiLevelType w:val="hybridMultilevel"/>
    <w:tmpl w:val="B134B5C2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71D15"/>
    <w:multiLevelType w:val="hybridMultilevel"/>
    <w:tmpl w:val="BCD6CE4C"/>
    <w:lvl w:ilvl="0" w:tplc="5F5CA06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5"/>
  </w:num>
  <w:num w:numId="4">
    <w:abstractNumId w:val="5"/>
  </w:num>
  <w:num w:numId="5">
    <w:abstractNumId w:val="51"/>
  </w:num>
  <w:num w:numId="6">
    <w:abstractNumId w:val="4"/>
  </w:num>
  <w:num w:numId="7">
    <w:abstractNumId w:val="6"/>
  </w:num>
  <w:num w:numId="8">
    <w:abstractNumId w:val="27"/>
  </w:num>
  <w:num w:numId="9">
    <w:abstractNumId w:val="47"/>
  </w:num>
  <w:num w:numId="10">
    <w:abstractNumId w:val="8"/>
  </w:num>
  <w:num w:numId="11">
    <w:abstractNumId w:val="34"/>
  </w:num>
  <w:num w:numId="12">
    <w:abstractNumId w:val="21"/>
  </w:num>
  <w:num w:numId="13">
    <w:abstractNumId w:val="18"/>
  </w:num>
  <w:num w:numId="14">
    <w:abstractNumId w:val="46"/>
  </w:num>
  <w:num w:numId="15">
    <w:abstractNumId w:val="42"/>
  </w:num>
  <w:num w:numId="16">
    <w:abstractNumId w:val="50"/>
  </w:num>
  <w:num w:numId="17">
    <w:abstractNumId w:val="24"/>
  </w:num>
  <w:num w:numId="18">
    <w:abstractNumId w:val="25"/>
  </w:num>
  <w:num w:numId="19">
    <w:abstractNumId w:val="39"/>
  </w:num>
  <w:num w:numId="20">
    <w:abstractNumId w:val="23"/>
  </w:num>
  <w:num w:numId="21">
    <w:abstractNumId w:val="28"/>
  </w:num>
  <w:num w:numId="22">
    <w:abstractNumId w:val="12"/>
  </w:num>
  <w:num w:numId="23">
    <w:abstractNumId w:val="45"/>
  </w:num>
  <w:num w:numId="24">
    <w:abstractNumId w:val="41"/>
  </w:num>
  <w:num w:numId="25">
    <w:abstractNumId w:val="0"/>
  </w:num>
  <w:num w:numId="26">
    <w:abstractNumId w:val="31"/>
  </w:num>
  <w:num w:numId="27">
    <w:abstractNumId w:val="19"/>
  </w:num>
  <w:num w:numId="28">
    <w:abstractNumId w:val="11"/>
  </w:num>
  <w:num w:numId="29">
    <w:abstractNumId w:val="44"/>
  </w:num>
  <w:num w:numId="30">
    <w:abstractNumId w:val="20"/>
  </w:num>
  <w:num w:numId="31">
    <w:abstractNumId w:val="14"/>
  </w:num>
  <w:num w:numId="32">
    <w:abstractNumId w:val="29"/>
  </w:num>
  <w:num w:numId="33">
    <w:abstractNumId w:val="3"/>
  </w:num>
  <w:num w:numId="34">
    <w:abstractNumId w:val="36"/>
  </w:num>
  <w:num w:numId="35">
    <w:abstractNumId w:val="17"/>
  </w:num>
  <w:num w:numId="36">
    <w:abstractNumId w:val="43"/>
  </w:num>
  <w:num w:numId="37">
    <w:abstractNumId w:val="7"/>
  </w:num>
  <w:num w:numId="38">
    <w:abstractNumId w:val="22"/>
  </w:num>
  <w:num w:numId="39">
    <w:abstractNumId w:val="1"/>
  </w:num>
  <w:num w:numId="40">
    <w:abstractNumId w:val="35"/>
  </w:num>
  <w:num w:numId="41">
    <w:abstractNumId w:val="13"/>
  </w:num>
  <w:num w:numId="42">
    <w:abstractNumId w:val="32"/>
  </w:num>
  <w:num w:numId="43">
    <w:abstractNumId w:val="49"/>
  </w:num>
  <w:num w:numId="44">
    <w:abstractNumId w:val="38"/>
  </w:num>
  <w:num w:numId="45">
    <w:abstractNumId w:val="9"/>
  </w:num>
  <w:num w:numId="46">
    <w:abstractNumId w:val="30"/>
  </w:num>
  <w:num w:numId="47">
    <w:abstractNumId w:val="26"/>
  </w:num>
  <w:num w:numId="48">
    <w:abstractNumId w:val="10"/>
  </w:num>
  <w:num w:numId="49">
    <w:abstractNumId w:val="37"/>
  </w:num>
  <w:num w:numId="50">
    <w:abstractNumId w:val="48"/>
  </w:num>
  <w:num w:numId="51">
    <w:abstractNumId w:val="16"/>
  </w:num>
  <w:num w:numId="52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FAB Instrument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Brands, Designs &amp; DN\H Instruments|TextBase TMs\WorkspaceSTS\Brands, Designs &amp; DN\Lisbon|TextBase TMs\WorkspaceSTS\Brands, Designs &amp; DN\L Instruments|TextBase TMs\WorkspaceSTS\Development\Dev_Agenda|TextBase TMs\WorkspaceSTS\Copyright\Copyright|TextBase TMs\WorkspaceSTS\Outreach\POW Main"/>
    <w:docVar w:name="TextBaseURL" w:val="empty"/>
    <w:docVar w:name="UILng" w:val="en"/>
  </w:docVars>
  <w:rsids>
    <w:rsidRoot w:val="00FD6EEF"/>
    <w:rsid w:val="000003AA"/>
    <w:rsid w:val="00003366"/>
    <w:rsid w:val="000044F0"/>
    <w:rsid w:val="000076E3"/>
    <w:rsid w:val="000128B7"/>
    <w:rsid w:val="000146AC"/>
    <w:rsid w:val="00014BA7"/>
    <w:rsid w:val="00017F3B"/>
    <w:rsid w:val="00020140"/>
    <w:rsid w:val="00027C6D"/>
    <w:rsid w:val="0003286C"/>
    <w:rsid w:val="0003490D"/>
    <w:rsid w:val="00034956"/>
    <w:rsid w:val="0003518D"/>
    <w:rsid w:val="0003627E"/>
    <w:rsid w:val="00041B3C"/>
    <w:rsid w:val="00042C2A"/>
    <w:rsid w:val="00043CAA"/>
    <w:rsid w:val="00045097"/>
    <w:rsid w:val="00045817"/>
    <w:rsid w:val="00045B28"/>
    <w:rsid w:val="00045C6D"/>
    <w:rsid w:val="000462BD"/>
    <w:rsid w:val="0004704B"/>
    <w:rsid w:val="00047E90"/>
    <w:rsid w:val="00052F9A"/>
    <w:rsid w:val="000549B9"/>
    <w:rsid w:val="000569CE"/>
    <w:rsid w:val="000607B3"/>
    <w:rsid w:val="00062200"/>
    <w:rsid w:val="00063B93"/>
    <w:rsid w:val="00070985"/>
    <w:rsid w:val="0007154D"/>
    <w:rsid w:val="00072024"/>
    <w:rsid w:val="00073491"/>
    <w:rsid w:val="00073C9D"/>
    <w:rsid w:val="00074B2F"/>
    <w:rsid w:val="00075338"/>
    <w:rsid w:val="00075432"/>
    <w:rsid w:val="000815D2"/>
    <w:rsid w:val="000819E5"/>
    <w:rsid w:val="00081CC8"/>
    <w:rsid w:val="00081D3C"/>
    <w:rsid w:val="00084B77"/>
    <w:rsid w:val="00085763"/>
    <w:rsid w:val="000910E8"/>
    <w:rsid w:val="00096835"/>
    <w:rsid w:val="000968ED"/>
    <w:rsid w:val="00096F58"/>
    <w:rsid w:val="000A1988"/>
    <w:rsid w:val="000A2CD6"/>
    <w:rsid w:val="000A451A"/>
    <w:rsid w:val="000A4DB2"/>
    <w:rsid w:val="000A793D"/>
    <w:rsid w:val="000B3507"/>
    <w:rsid w:val="000B5422"/>
    <w:rsid w:val="000B69D9"/>
    <w:rsid w:val="000B6E41"/>
    <w:rsid w:val="000B7A8F"/>
    <w:rsid w:val="000C2F75"/>
    <w:rsid w:val="000C3203"/>
    <w:rsid w:val="000C5624"/>
    <w:rsid w:val="000C5EE9"/>
    <w:rsid w:val="000C6239"/>
    <w:rsid w:val="000C69F8"/>
    <w:rsid w:val="000C7D07"/>
    <w:rsid w:val="000D178D"/>
    <w:rsid w:val="000D3F34"/>
    <w:rsid w:val="000E1356"/>
    <w:rsid w:val="000E25E9"/>
    <w:rsid w:val="000E4D4E"/>
    <w:rsid w:val="000E6C44"/>
    <w:rsid w:val="000F0DF4"/>
    <w:rsid w:val="000F2BCE"/>
    <w:rsid w:val="000F4909"/>
    <w:rsid w:val="000F5E56"/>
    <w:rsid w:val="0010406F"/>
    <w:rsid w:val="00104EA5"/>
    <w:rsid w:val="0010614C"/>
    <w:rsid w:val="001069B0"/>
    <w:rsid w:val="001104B2"/>
    <w:rsid w:val="00112C50"/>
    <w:rsid w:val="00112E06"/>
    <w:rsid w:val="0011376E"/>
    <w:rsid w:val="0011494D"/>
    <w:rsid w:val="00117671"/>
    <w:rsid w:val="0012073C"/>
    <w:rsid w:val="001237E0"/>
    <w:rsid w:val="00130037"/>
    <w:rsid w:val="00130D26"/>
    <w:rsid w:val="00131CD3"/>
    <w:rsid w:val="00132A50"/>
    <w:rsid w:val="00132CEA"/>
    <w:rsid w:val="00133B73"/>
    <w:rsid w:val="001362EE"/>
    <w:rsid w:val="00137408"/>
    <w:rsid w:val="00146214"/>
    <w:rsid w:val="001501BB"/>
    <w:rsid w:val="001510F3"/>
    <w:rsid w:val="00151633"/>
    <w:rsid w:val="00154AC2"/>
    <w:rsid w:val="001572C4"/>
    <w:rsid w:val="001573A9"/>
    <w:rsid w:val="00160329"/>
    <w:rsid w:val="00160ACF"/>
    <w:rsid w:val="00161EA7"/>
    <w:rsid w:val="001623F3"/>
    <w:rsid w:val="00162BB0"/>
    <w:rsid w:val="001647D5"/>
    <w:rsid w:val="001649A8"/>
    <w:rsid w:val="001679A3"/>
    <w:rsid w:val="00170D97"/>
    <w:rsid w:val="00177D65"/>
    <w:rsid w:val="00181D3C"/>
    <w:rsid w:val="00182A42"/>
    <w:rsid w:val="001832A6"/>
    <w:rsid w:val="00184BC8"/>
    <w:rsid w:val="001868A8"/>
    <w:rsid w:val="00191C36"/>
    <w:rsid w:val="001948B2"/>
    <w:rsid w:val="001970C2"/>
    <w:rsid w:val="00197EA8"/>
    <w:rsid w:val="001A24B6"/>
    <w:rsid w:val="001A4EC1"/>
    <w:rsid w:val="001A60B0"/>
    <w:rsid w:val="001B0428"/>
    <w:rsid w:val="001B08A3"/>
    <w:rsid w:val="001B176F"/>
    <w:rsid w:val="001C09D1"/>
    <w:rsid w:val="001C0E5E"/>
    <w:rsid w:val="001C2373"/>
    <w:rsid w:val="001C26C0"/>
    <w:rsid w:val="001C34E0"/>
    <w:rsid w:val="001C55EB"/>
    <w:rsid w:val="001C5882"/>
    <w:rsid w:val="001D06BB"/>
    <w:rsid w:val="001D0CDB"/>
    <w:rsid w:val="001D18BC"/>
    <w:rsid w:val="001D20BF"/>
    <w:rsid w:val="001D36F6"/>
    <w:rsid w:val="001D377C"/>
    <w:rsid w:val="001D7AF7"/>
    <w:rsid w:val="001E11AB"/>
    <w:rsid w:val="001E4DE1"/>
    <w:rsid w:val="001E6D81"/>
    <w:rsid w:val="001E7064"/>
    <w:rsid w:val="001F0E8C"/>
    <w:rsid w:val="001F3B29"/>
    <w:rsid w:val="001F40FE"/>
    <w:rsid w:val="001F5AE3"/>
    <w:rsid w:val="001F7685"/>
    <w:rsid w:val="002007A2"/>
    <w:rsid w:val="0020270C"/>
    <w:rsid w:val="002058E1"/>
    <w:rsid w:val="0021217E"/>
    <w:rsid w:val="002163AB"/>
    <w:rsid w:val="002171A6"/>
    <w:rsid w:val="00220C90"/>
    <w:rsid w:val="0022175D"/>
    <w:rsid w:val="00222A97"/>
    <w:rsid w:val="00225649"/>
    <w:rsid w:val="0022594F"/>
    <w:rsid w:val="00231DB0"/>
    <w:rsid w:val="00232822"/>
    <w:rsid w:val="00232D2B"/>
    <w:rsid w:val="00233BC9"/>
    <w:rsid w:val="00233C28"/>
    <w:rsid w:val="00234280"/>
    <w:rsid w:val="002342A4"/>
    <w:rsid w:val="00237617"/>
    <w:rsid w:val="002423D7"/>
    <w:rsid w:val="00244338"/>
    <w:rsid w:val="0024532D"/>
    <w:rsid w:val="002469FB"/>
    <w:rsid w:val="0025129A"/>
    <w:rsid w:val="00251C0C"/>
    <w:rsid w:val="00254CB1"/>
    <w:rsid w:val="0025501D"/>
    <w:rsid w:val="00256315"/>
    <w:rsid w:val="002607B2"/>
    <w:rsid w:val="002608E0"/>
    <w:rsid w:val="00261BF2"/>
    <w:rsid w:val="002620F7"/>
    <w:rsid w:val="002634C4"/>
    <w:rsid w:val="00264ACE"/>
    <w:rsid w:val="00264ECF"/>
    <w:rsid w:val="00266395"/>
    <w:rsid w:val="00266F85"/>
    <w:rsid w:val="002703A3"/>
    <w:rsid w:val="0027279E"/>
    <w:rsid w:val="00274BD8"/>
    <w:rsid w:val="00274E08"/>
    <w:rsid w:val="002769A9"/>
    <w:rsid w:val="0027795E"/>
    <w:rsid w:val="0028543D"/>
    <w:rsid w:val="002900F4"/>
    <w:rsid w:val="002911E5"/>
    <w:rsid w:val="002928D3"/>
    <w:rsid w:val="00293D1E"/>
    <w:rsid w:val="00297A04"/>
    <w:rsid w:val="002A2961"/>
    <w:rsid w:val="002A3C63"/>
    <w:rsid w:val="002A4FA1"/>
    <w:rsid w:val="002A66FD"/>
    <w:rsid w:val="002A6E3C"/>
    <w:rsid w:val="002B0517"/>
    <w:rsid w:val="002B0AE0"/>
    <w:rsid w:val="002B2088"/>
    <w:rsid w:val="002B2434"/>
    <w:rsid w:val="002B2AF4"/>
    <w:rsid w:val="002B3F97"/>
    <w:rsid w:val="002B43A6"/>
    <w:rsid w:val="002B5C7C"/>
    <w:rsid w:val="002B63A9"/>
    <w:rsid w:val="002C2806"/>
    <w:rsid w:val="002C401B"/>
    <w:rsid w:val="002C6C28"/>
    <w:rsid w:val="002C7268"/>
    <w:rsid w:val="002D2089"/>
    <w:rsid w:val="002D4646"/>
    <w:rsid w:val="002D4753"/>
    <w:rsid w:val="002F1FE6"/>
    <w:rsid w:val="002F3951"/>
    <w:rsid w:val="002F4E68"/>
    <w:rsid w:val="002F7811"/>
    <w:rsid w:val="002F7B55"/>
    <w:rsid w:val="00301AF1"/>
    <w:rsid w:val="0030450C"/>
    <w:rsid w:val="0030503D"/>
    <w:rsid w:val="00306EB8"/>
    <w:rsid w:val="00311A66"/>
    <w:rsid w:val="00312F7F"/>
    <w:rsid w:val="00313F95"/>
    <w:rsid w:val="00313FCC"/>
    <w:rsid w:val="0031569F"/>
    <w:rsid w:val="00317562"/>
    <w:rsid w:val="003178DD"/>
    <w:rsid w:val="00317FB2"/>
    <w:rsid w:val="003204C7"/>
    <w:rsid w:val="00320DBB"/>
    <w:rsid w:val="0032532E"/>
    <w:rsid w:val="003268AB"/>
    <w:rsid w:val="00327608"/>
    <w:rsid w:val="00330781"/>
    <w:rsid w:val="00330914"/>
    <w:rsid w:val="0033180D"/>
    <w:rsid w:val="00333001"/>
    <w:rsid w:val="003368CF"/>
    <w:rsid w:val="0033694C"/>
    <w:rsid w:val="00340F4F"/>
    <w:rsid w:val="003410BF"/>
    <w:rsid w:val="003445AB"/>
    <w:rsid w:val="00344979"/>
    <w:rsid w:val="00344EB9"/>
    <w:rsid w:val="0034679B"/>
    <w:rsid w:val="00346DE2"/>
    <w:rsid w:val="00347F48"/>
    <w:rsid w:val="00351432"/>
    <w:rsid w:val="00354E68"/>
    <w:rsid w:val="00356BA5"/>
    <w:rsid w:val="00357D39"/>
    <w:rsid w:val="00361450"/>
    <w:rsid w:val="00361848"/>
    <w:rsid w:val="00362D3D"/>
    <w:rsid w:val="00362F4B"/>
    <w:rsid w:val="003650EB"/>
    <w:rsid w:val="003673CF"/>
    <w:rsid w:val="003728BF"/>
    <w:rsid w:val="0037438D"/>
    <w:rsid w:val="00374DFA"/>
    <w:rsid w:val="00380EBC"/>
    <w:rsid w:val="0038186B"/>
    <w:rsid w:val="0038235E"/>
    <w:rsid w:val="00383128"/>
    <w:rsid w:val="00383FE2"/>
    <w:rsid w:val="003845C1"/>
    <w:rsid w:val="00387F49"/>
    <w:rsid w:val="00392E94"/>
    <w:rsid w:val="00396BEB"/>
    <w:rsid w:val="00397085"/>
    <w:rsid w:val="003970D4"/>
    <w:rsid w:val="003A0D01"/>
    <w:rsid w:val="003A2810"/>
    <w:rsid w:val="003A6F89"/>
    <w:rsid w:val="003A7F9C"/>
    <w:rsid w:val="003B1B35"/>
    <w:rsid w:val="003B38C1"/>
    <w:rsid w:val="003B3F88"/>
    <w:rsid w:val="003C1EBE"/>
    <w:rsid w:val="003C34AD"/>
    <w:rsid w:val="003D110A"/>
    <w:rsid w:val="003D6640"/>
    <w:rsid w:val="003E077C"/>
    <w:rsid w:val="003E18B8"/>
    <w:rsid w:val="003E467E"/>
    <w:rsid w:val="003E725E"/>
    <w:rsid w:val="003F17D8"/>
    <w:rsid w:val="003F1BD1"/>
    <w:rsid w:val="003F3B0F"/>
    <w:rsid w:val="003F7E91"/>
    <w:rsid w:val="004008A0"/>
    <w:rsid w:val="00401305"/>
    <w:rsid w:val="004020CF"/>
    <w:rsid w:val="004028CE"/>
    <w:rsid w:val="0040441C"/>
    <w:rsid w:val="0041274E"/>
    <w:rsid w:val="004149A4"/>
    <w:rsid w:val="00415480"/>
    <w:rsid w:val="0041579D"/>
    <w:rsid w:val="00415BA3"/>
    <w:rsid w:val="004212E6"/>
    <w:rsid w:val="00422DCC"/>
    <w:rsid w:val="00423E3E"/>
    <w:rsid w:val="00423FDD"/>
    <w:rsid w:val="004258C7"/>
    <w:rsid w:val="00425EB0"/>
    <w:rsid w:val="00426ADA"/>
    <w:rsid w:val="00427AF4"/>
    <w:rsid w:val="00427AF6"/>
    <w:rsid w:val="00427FA3"/>
    <w:rsid w:val="0043118A"/>
    <w:rsid w:val="0043377C"/>
    <w:rsid w:val="0043388A"/>
    <w:rsid w:val="00433A31"/>
    <w:rsid w:val="00434BC3"/>
    <w:rsid w:val="00440A53"/>
    <w:rsid w:val="00440BAA"/>
    <w:rsid w:val="004417EC"/>
    <w:rsid w:val="004436A0"/>
    <w:rsid w:val="00444477"/>
    <w:rsid w:val="004475AD"/>
    <w:rsid w:val="00447852"/>
    <w:rsid w:val="00447B2F"/>
    <w:rsid w:val="00452D99"/>
    <w:rsid w:val="00454B58"/>
    <w:rsid w:val="0045587A"/>
    <w:rsid w:val="00456A7F"/>
    <w:rsid w:val="004622A9"/>
    <w:rsid w:val="004647DA"/>
    <w:rsid w:val="004648D5"/>
    <w:rsid w:val="004677EA"/>
    <w:rsid w:val="00467BFB"/>
    <w:rsid w:val="004733DC"/>
    <w:rsid w:val="00474062"/>
    <w:rsid w:val="00474241"/>
    <w:rsid w:val="00477067"/>
    <w:rsid w:val="00477D6B"/>
    <w:rsid w:val="00481FE4"/>
    <w:rsid w:val="00485D81"/>
    <w:rsid w:val="00491FB2"/>
    <w:rsid w:val="00493055"/>
    <w:rsid w:val="0049435C"/>
    <w:rsid w:val="0049524D"/>
    <w:rsid w:val="00497EEE"/>
    <w:rsid w:val="004A09F4"/>
    <w:rsid w:val="004A19D6"/>
    <w:rsid w:val="004A45C1"/>
    <w:rsid w:val="004A5A5D"/>
    <w:rsid w:val="004A6952"/>
    <w:rsid w:val="004A7526"/>
    <w:rsid w:val="004B2770"/>
    <w:rsid w:val="004B2C61"/>
    <w:rsid w:val="004B4704"/>
    <w:rsid w:val="004B505C"/>
    <w:rsid w:val="004B506D"/>
    <w:rsid w:val="004B7C7C"/>
    <w:rsid w:val="004B7E1E"/>
    <w:rsid w:val="004C11DC"/>
    <w:rsid w:val="004C1537"/>
    <w:rsid w:val="004C27AF"/>
    <w:rsid w:val="004C2FA7"/>
    <w:rsid w:val="004C5A37"/>
    <w:rsid w:val="004C5FD0"/>
    <w:rsid w:val="004C7683"/>
    <w:rsid w:val="004D64BE"/>
    <w:rsid w:val="004E1DAA"/>
    <w:rsid w:val="004E6702"/>
    <w:rsid w:val="004F1794"/>
    <w:rsid w:val="004F21A3"/>
    <w:rsid w:val="004F30C5"/>
    <w:rsid w:val="004F4D8C"/>
    <w:rsid w:val="004F5226"/>
    <w:rsid w:val="004F797B"/>
    <w:rsid w:val="005019FF"/>
    <w:rsid w:val="00505010"/>
    <w:rsid w:val="00506AC7"/>
    <w:rsid w:val="00507CC5"/>
    <w:rsid w:val="00510F41"/>
    <w:rsid w:val="00514646"/>
    <w:rsid w:val="0051555D"/>
    <w:rsid w:val="005157D1"/>
    <w:rsid w:val="00517C56"/>
    <w:rsid w:val="005256F0"/>
    <w:rsid w:val="0052675F"/>
    <w:rsid w:val="00527C2E"/>
    <w:rsid w:val="00530367"/>
    <w:rsid w:val="0053057A"/>
    <w:rsid w:val="00534998"/>
    <w:rsid w:val="005403C1"/>
    <w:rsid w:val="00542604"/>
    <w:rsid w:val="00543D38"/>
    <w:rsid w:val="00545880"/>
    <w:rsid w:val="00547EB7"/>
    <w:rsid w:val="0055024F"/>
    <w:rsid w:val="005521A2"/>
    <w:rsid w:val="005524A4"/>
    <w:rsid w:val="00554B1E"/>
    <w:rsid w:val="00554E20"/>
    <w:rsid w:val="00555E69"/>
    <w:rsid w:val="00560A29"/>
    <w:rsid w:val="00563FC9"/>
    <w:rsid w:val="005640A8"/>
    <w:rsid w:val="00564F79"/>
    <w:rsid w:val="0056541A"/>
    <w:rsid w:val="00566817"/>
    <w:rsid w:val="0057235F"/>
    <w:rsid w:val="0057369B"/>
    <w:rsid w:val="00573757"/>
    <w:rsid w:val="0057444D"/>
    <w:rsid w:val="005746AD"/>
    <w:rsid w:val="00577215"/>
    <w:rsid w:val="00577806"/>
    <w:rsid w:val="00582405"/>
    <w:rsid w:val="00582C76"/>
    <w:rsid w:val="005840A5"/>
    <w:rsid w:val="00585280"/>
    <w:rsid w:val="005914B2"/>
    <w:rsid w:val="00591A8E"/>
    <w:rsid w:val="005927C1"/>
    <w:rsid w:val="00597435"/>
    <w:rsid w:val="0059779C"/>
    <w:rsid w:val="005A11B4"/>
    <w:rsid w:val="005A279A"/>
    <w:rsid w:val="005A6102"/>
    <w:rsid w:val="005A6B17"/>
    <w:rsid w:val="005A73D1"/>
    <w:rsid w:val="005A7E68"/>
    <w:rsid w:val="005B2BC2"/>
    <w:rsid w:val="005B510C"/>
    <w:rsid w:val="005C0D74"/>
    <w:rsid w:val="005C1663"/>
    <w:rsid w:val="005C21DB"/>
    <w:rsid w:val="005C25AE"/>
    <w:rsid w:val="005C38EC"/>
    <w:rsid w:val="005C6649"/>
    <w:rsid w:val="005C6C07"/>
    <w:rsid w:val="005C74ED"/>
    <w:rsid w:val="005D029E"/>
    <w:rsid w:val="005D19A4"/>
    <w:rsid w:val="005D219F"/>
    <w:rsid w:val="005D3CE6"/>
    <w:rsid w:val="005D4273"/>
    <w:rsid w:val="005D4386"/>
    <w:rsid w:val="005D52D7"/>
    <w:rsid w:val="005D5692"/>
    <w:rsid w:val="005E0986"/>
    <w:rsid w:val="005E266F"/>
    <w:rsid w:val="005E2C9C"/>
    <w:rsid w:val="005E44ED"/>
    <w:rsid w:val="005F2640"/>
    <w:rsid w:val="005F3FB5"/>
    <w:rsid w:val="005F538F"/>
    <w:rsid w:val="005F7BFB"/>
    <w:rsid w:val="00602EEF"/>
    <w:rsid w:val="00605827"/>
    <w:rsid w:val="006077AD"/>
    <w:rsid w:val="00607D0F"/>
    <w:rsid w:val="00610E0B"/>
    <w:rsid w:val="00613A02"/>
    <w:rsid w:val="00614549"/>
    <w:rsid w:val="00614714"/>
    <w:rsid w:val="00615952"/>
    <w:rsid w:val="006219C4"/>
    <w:rsid w:val="00623E66"/>
    <w:rsid w:val="0062406D"/>
    <w:rsid w:val="00624534"/>
    <w:rsid w:val="00624AE8"/>
    <w:rsid w:val="0062592D"/>
    <w:rsid w:val="00626578"/>
    <w:rsid w:val="006278A7"/>
    <w:rsid w:val="0063583B"/>
    <w:rsid w:val="00644CEB"/>
    <w:rsid w:val="00646050"/>
    <w:rsid w:val="00646DD0"/>
    <w:rsid w:val="006501EE"/>
    <w:rsid w:val="00652266"/>
    <w:rsid w:val="00652309"/>
    <w:rsid w:val="00652B65"/>
    <w:rsid w:val="00654EBC"/>
    <w:rsid w:val="00655D0A"/>
    <w:rsid w:val="0066127F"/>
    <w:rsid w:val="00662D70"/>
    <w:rsid w:val="00664D36"/>
    <w:rsid w:val="0066620C"/>
    <w:rsid w:val="00667988"/>
    <w:rsid w:val="00670A37"/>
    <w:rsid w:val="006713CA"/>
    <w:rsid w:val="00676C5C"/>
    <w:rsid w:val="00676DF2"/>
    <w:rsid w:val="006826CC"/>
    <w:rsid w:val="006856A0"/>
    <w:rsid w:val="00686E3B"/>
    <w:rsid w:val="00690757"/>
    <w:rsid w:val="00690A62"/>
    <w:rsid w:val="006935DC"/>
    <w:rsid w:val="006939C0"/>
    <w:rsid w:val="00695132"/>
    <w:rsid w:val="006A0310"/>
    <w:rsid w:val="006A07BB"/>
    <w:rsid w:val="006A1697"/>
    <w:rsid w:val="006A1F30"/>
    <w:rsid w:val="006A441B"/>
    <w:rsid w:val="006A4B8B"/>
    <w:rsid w:val="006A5EE6"/>
    <w:rsid w:val="006B29C2"/>
    <w:rsid w:val="006B3025"/>
    <w:rsid w:val="006B4337"/>
    <w:rsid w:val="006B6CF6"/>
    <w:rsid w:val="006C2749"/>
    <w:rsid w:val="006C4B03"/>
    <w:rsid w:val="006C72D1"/>
    <w:rsid w:val="006C7B9D"/>
    <w:rsid w:val="006D1361"/>
    <w:rsid w:val="006D2433"/>
    <w:rsid w:val="006D2AA9"/>
    <w:rsid w:val="006D2F00"/>
    <w:rsid w:val="006D38DD"/>
    <w:rsid w:val="006D46FA"/>
    <w:rsid w:val="006D4DE7"/>
    <w:rsid w:val="006D521B"/>
    <w:rsid w:val="006E0E1B"/>
    <w:rsid w:val="006E139E"/>
    <w:rsid w:val="006E1DCE"/>
    <w:rsid w:val="006E4128"/>
    <w:rsid w:val="006E661B"/>
    <w:rsid w:val="006E7007"/>
    <w:rsid w:val="006F0132"/>
    <w:rsid w:val="006F0339"/>
    <w:rsid w:val="006F13A8"/>
    <w:rsid w:val="006F1D0C"/>
    <w:rsid w:val="006F2C00"/>
    <w:rsid w:val="006F31D9"/>
    <w:rsid w:val="006F59C1"/>
    <w:rsid w:val="007028EC"/>
    <w:rsid w:val="00703AFD"/>
    <w:rsid w:val="00704280"/>
    <w:rsid w:val="007054D2"/>
    <w:rsid w:val="00707C84"/>
    <w:rsid w:val="007123DF"/>
    <w:rsid w:val="0071371F"/>
    <w:rsid w:val="007141FD"/>
    <w:rsid w:val="00717547"/>
    <w:rsid w:val="00717AEC"/>
    <w:rsid w:val="00721A82"/>
    <w:rsid w:val="0072534F"/>
    <w:rsid w:val="00730A22"/>
    <w:rsid w:val="0073141B"/>
    <w:rsid w:val="0073143F"/>
    <w:rsid w:val="0073535C"/>
    <w:rsid w:val="0073617C"/>
    <w:rsid w:val="00736A25"/>
    <w:rsid w:val="00736AFE"/>
    <w:rsid w:val="00740210"/>
    <w:rsid w:val="0074364F"/>
    <w:rsid w:val="00743898"/>
    <w:rsid w:val="0074409B"/>
    <w:rsid w:val="00746AB2"/>
    <w:rsid w:val="007527DA"/>
    <w:rsid w:val="00756381"/>
    <w:rsid w:val="00757DCE"/>
    <w:rsid w:val="007638E2"/>
    <w:rsid w:val="007662FE"/>
    <w:rsid w:val="00772EA8"/>
    <w:rsid w:val="00775C33"/>
    <w:rsid w:val="00781DC6"/>
    <w:rsid w:val="00784421"/>
    <w:rsid w:val="0078548F"/>
    <w:rsid w:val="0078560B"/>
    <w:rsid w:val="00790C3E"/>
    <w:rsid w:val="00791554"/>
    <w:rsid w:val="00794328"/>
    <w:rsid w:val="00797CA8"/>
    <w:rsid w:val="007A0585"/>
    <w:rsid w:val="007A38A2"/>
    <w:rsid w:val="007A39C8"/>
    <w:rsid w:val="007A6E1E"/>
    <w:rsid w:val="007B2A5C"/>
    <w:rsid w:val="007B5118"/>
    <w:rsid w:val="007B6E48"/>
    <w:rsid w:val="007C311C"/>
    <w:rsid w:val="007C3789"/>
    <w:rsid w:val="007C6479"/>
    <w:rsid w:val="007D1613"/>
    <w:rsid w:val="007D1CF9"/>
    <w:rsid w:val="007D3824"/>
    <w:rsid w:val="007D4263"/>
    <w:rsid w:val="007E1438"/>
    <w:rsid w:val="007E4C0E"/>
    <w:rsid w:val="007E606F"/>
    <w:rsid w:val="007E6CD5"/>
    <w:rsid w:val="007F0652"/>
    <w:rsid w:val="007F5B93"/>
    <w:rsid w:val="007F6234"/>
    <w:rsid w:val="007F631E"/>
    <w:rsid w:val="007F73DA"/>
    <w:rsid w:val="0081409C"/>
    <w:rsid w:val="008154AE"/>
    <w:rsid w:val="008156A1"/>
    <w:rsid w:val="008160FF"/>
    <w:rsid w:val="008236B9"/>
    <w:rsid w:val="008250E0"/>
    <w:rsid w:val="0082747F"/>
    <w:rsid w:val="00830902"/>
    <w:rsid w:val="008318C0"/>
    <w:rsid w:val="00834E24"/>
    <w:rsid w:val="00835719"/>
    <w:rsid w:val="00837170"/>
    <w:rsid w:val="008407DC"/>
    <w:rsid w:val="0084267C"/>
    <w:rsid w:val="00851F27"/>
    <w:rsid w:val="00852A19"/>
    <w:rsid w:val="00854015"/>
    <w:rsid w:val="00854A26"/>
    <w:rsid w:val="0085562B"/>
    <w:rsid w:val="00860077"/>
    <w:rsid w:val="00861482"/>
    <w:rsid w:val="00861E60"/>
    <w:rsid w:val="00865250"/>
    <w:rsid w:val="008658F3"/>
    <w:rsid w:val="00866103"/>
    <w:rsid w:val="00866FFB"/>
    <w:rsid w:val="00871C0C"/>
    <w:rsid w:val="008742BC"/>
    <w:rsid w:val="008762CC"/>
    <w:rsid w:val="00876EBA"/>
    <w:rsid w:val="008807FE"/>
    <w:rsid w:val="00880997"/>
    <w:rsid w:val="00880F45"/>
    <w:rsid w:val="0088228F"/>
    <w:rsid w:val="0088533A"/>
    <w:rsid w:val="00886D86"/>
    <w:rsid w:val="008921CB"/>
    <w:rsid w:val="008945FA"/>
    <w:rsid w:val="008947D3"/>
    <w:rsid w:val="00894E4A"/>
    <w:rsid w:val="00897AA9"/>
    <w:rsid w:val="008A10FE"/>
    <w:rsid w:val="008A134B"/>
    <w:rsid w:val="008A2C47"/>
    <w:rsid w:val="008A4748"/>
    <w:rsid w:val="008A4A20"/>
    <w:rsid w:val="008A577B"/>
    <w:rsid w:val="008A7B35"/>
    <w:rsid w:val="008B13BB"/>
    <w:rsid w:val="008B1845"/>
    <w:rsid w:val="008B2CC1"/>
    <w:rsid w:val="008B3B2E"/>
    <w:rsid w:val="008B60B2"/>
    <w:rsid w:val="008B6809"/>
    <w:rsid w:val="008C114F"/>
    <w:rsid w:val="008C24FA"/>
    <w:rsid w:val="008C3018"/>
    <w:rsid w:val="008C31C8"/>
    <w:rsid w:val="008C3209"/>
    <w:rsid w:val="008C3A79"/>
    <w:rsid w:val="008C4D69"/>
    <w:rsid w:val="008C53C7"/>
    <w:rsid w:val="008C5A3F"/>
    <w:rsid w:val="008C72B3"/>
    <w:rsid w:val="008D4D30"/>
    <w:rsid w:val="008D5D99"/>
    <w:rsid w:val="008D65C1"/>
    <w:rsid w:val="008D6A30"/>
    <w:rsid w:val="008D7F6D"/>
    <w:rsid w:val="008E1C03"/>
    <w:rsid w:val="008E39CC"/>
    <w:rsid w:val="008E4549"/>
    <w:rsid w:val="008E6ECE"/>
    <w:rsid w:val="008F2F55"/>
    <w:rsid w:val="008F30AC"/>
    <w:rsid w:val="008F5AEA"/>
    <w:rsid w:val="008F5FCB"/>
    <w:rsid w:val="008F6B8F"/>
    <w:rsid w:val="00902A6D"/>
    <w:rsid w:val="00903665"/>
    <w:rsid w:val="00906B69"/>
    <w:rsid w:val="0090731E"/>
    <w:rsid w:val="00911C59"/>
    <w:rsid w:val="00911F6D"/>
    <w:rsid w:val="009132FF"/>
    <w:rsid w:val="00914E0C"/>
    <w:rsid w:val="00916EE2"/>
    <w:rsid w:val="00917FB2"/>
    <w:rsid w:val="009209EA"/>
    <w:rsid w:val="00930EA8"/>
    <w:rsid w:val="00931723"/>
    <w:rsid w:val="00933C71"/>
    <w:rsid w:val="009411CF"/>
    <w:rsid w:val="00944727"/>
    <w:rsid w:val="009448CE"/>
    <w:rsid w:val="00944A50"/>
    <w:rsid w:val="00955BAE"/>
    <w:rsid w:val="00957837"/>
    <w:rsid w:val="00957E89"/>
    <w:rsid w:val="00961244"/>
    <w:rsid w:val="00961EDE"/>
    <w:rsid w:val="00964527"/>
    <w:rsid w:val="00964AF1"/>
    <w:rsid w:val="00965CBB"/>
    <w:rsid w:val="009666AD"/>
    <w:rsid w:val="00966858"/>
    <w:rsid w:val="00966A22"/>
    <w:rsid w:val="00966F9C"/>
    <w:rsid w:val="0096722F"/>
    <w:rsid w:val="00971637"/>
    <w:rsid w:val="00980843"/>
    <w:rsid w:val="00980E49"/>
    <w:rsid w:val="00982DC4"/>
    <w:rsid w:val="00984E5E"/>
    <w:rsid w:val="00984F69"/>
    <w:rsid w:val="009878F5"/>
    <w:rsid w:val="00990AA7"/>
    <w:rsid w:val="00991BB0"/>
    <w:rsid w:val="0099560D"/>
    <w:rsid w:val="009961B1"/>
    <w:rsid w:val="009A1951"/>
    <w:rsid w:val="009A36B5"/>
    <w:rsid w:val="009B0390"/>
    <w:rsid w:val="009B19E7"/>
    <w:rsid w:val="009B21E5"/>
    <w:rsid w:val="009B27C5"/>
    <w:rsid w:val="009B4D9F"/>
    <w:rsid w:val="009B4F43"/>
    <w:rsid w:val="009B55F6"/>
    <w:rsid w:val="009B5747"/>
    <w:rsid w:val="009B6627"/>
    <w:rsid w:val="009B6BE2"/>
    <w:rsid w:val="009C0924"/>
    <w:rsid w:val="009C106C"/>
    <w:rsid w:val="009C2BA0"/>
    <w:rsid w:val="009C2C2B"/>
    <w:rsid w:val="009C2FDA"/>
    <w:rsid w:val="009C30D8"/>
    <w:rsid w:val="009C4842"/>
    <w:rsid w:val="009C6EC0"/>
    <w:rsid w:val="009D357A"/>
    <w:rsid w:val="009D4916"/>
    <w:rsid w:val="009D541F"/>
    <w:rsid w:val="009D56E5"/>
    <w:rsid w:val="009D67E8"/>
    <w:rsid w:val="009D74DA"/>
    <w:rsid w:val="009D787F"/>
    <w:rsid w:val="009E07EC"/>
    <w:rsid w:val="009E1238"/>
    <w:rsid w:val="009E1D06"/>
    <w:rsid w:val="009E2615"/>
    <w:rsid w:val="009E2791"/>
    <w:rsid w:val="009E3F6F"/>
    <w:rsid w:val="009F0F00"/>
    <w:rsid w:val="009F403A"/>
    <w:rsid w:val="009F43B4"/>
    <w:rsid w:val="009F499F"/>
    <w:rsid w:val="00A054D9"/>
    <w:rsid w:val="00A059CF"/>
    <w:rsid w:val="00A0631E"/>
    <w:rsid w:val="00A10D6E"/>
    <w:rsid w:val="00A11766"/>
    <w:rsid w:val="00A170AC"/>
    <w:rsid w:val="00A17708"/>
    <w:rsid w:val="00A17B6A"/>
    <w:rsid w:val="00A17E10"/>
    <w:rsid w:val="00A258D3"/>
    <w:rsid w:val="00A26131"/>
    <w:rsid w:val="00A26B48"/>
    <w:rsid w:val="00A30A5F"/>
    <w:rsid w:val="00A31006"/>
    <w:rsid w:val="00A37342"/>
    <w:rsid w:val="00A401BD"/>
    <w:rsid w:val="00A42DAF"/>
    <w:rsid w:val="00A45BD8"/>
    <w:rsid w:val="00A47040"/>
    <w:rsid w:val="00A47C02"/>
    <w:rsid w:val="00A52A88"/>
    <w:rsid w:val="00A53460"/>
    <w:rsid w:val="00A540B1"/>
    <w:rsid w:val="00A60B37"/>
    <w:rsid w:val="00A62B6A"/>
    <w:rsid w:val="00A65724"/>
    <w:rsid w:val="00A66599"/>
    <w:rsid w:val="00A711D8"/>
    <w:rsid w:val="00A718F8"/>
    <w:rsid w:val="00A72FA3"/>
    <w:rsid w:val="00A738F4"/>
    <w:rsid w:val="00A74AD0"/>
    <w:rsid w:val="00A776F7"/>
    <w:rsid w:val="00A80467"/>
    <w:rsid w:val="00A81782"/>
    <w:rsid w:val="00A84B5C"/>
    <w:rsid w:val="00A869B7"/>
    <w:rsid w:val="00A9256D"/>
    <w:rsid w:val="00A92C53"/>
    <w:rsid w:val="00A9301A"/>
    <w:rsid w:val="00A96ADB"/>
    <w:rsid w:val="00AA437A"/>
    <w:rsid w:val="00AA4B3D"/>
    <w:rsid w:val="00AB0369"/>
    <w:rsid w:val="00AB3CD2"/>
    <w:rsid w:val="00AB3F24"/>
    <w:rsid w:val="00AC0BD1"/>
    <w:rsid w:val="00AC12F9"/>
    <w:rsid w:val="00AC205C"/>
    <w:rsid w:val="00AC4244"/>
    <w:rsid w:val="00AC4E15"/>
    <w:rsid w:val="00AC5500"/>
    <w:rsid w:val="00AC6F4E"/>
    <w:rsid w:val="00AC7F6F"/>
    <w:rsid w:val="00AD2D02"/>
    <w:rsid w:val="00AD3C35"/>
    <w:rsid w:val="00AD50B0"/>
    <w:rsid w:val="00AD52CA"/>
    <w:rsid w:val="00AD5893"/>
    <w:rsid w:val="00AE1023"/>
    <w:rsid w:val="00AE1D8F"/>
    <w:rsid w:val="00AE3512"/>
    <w:rsid w:val="00AE682B"/>
    <w:rsid w:val="00AE6BEF"/>
    <w:rsid w:val="00AE77D7"/>
    <w:rsid w:val="00AF0A6B"/>
    <w:rsid w:val="00AF1894"/>
    <w:rsid w:val="00AF3DE6"/>
    <w:rsid w:val="00AF44B3"/>
    <w:rsid w:val="00B00C14"/>
    <w:rsid w:val="00B011E4"/>
    <w:rsid w:val="00B036F7"/>
    <w:rsid w:val="00B03CF0"/>
    <w:rsid w:val="00B04C1E"/>
    <w:rsid w:val="00B059B5"/>
    <w:rsid w:val="00B05A69"/>
    <w:rsid w:val="00B063BE"/>
    <w:rsid w:val="00B07588"/>
    <w:rsid w:val="00B1068F"/>
    <w:rsid w:val="00B13C95"/>
    <w:rsid w:val="00B14094"/>
    <w:rsid w:val="00B140C1"/>
    <w:rsid w:val="00B14D81"/>
    <w:rsid w:val="00B20836"/>
    <w:rsid w:val="00B26B31"/>
    <w:rsid w:val="00B26CBA"/>
    <w:rsid w:val="00B270F9"/>
    <w:rsid w:val="00B2747E"/>
    <w:rsid w:val="00B3077F"/>
    <w:rsid w:val="00B31F4D"/>
    <w:rsid w:val="00B361FF"/>
    <w:rsid w:val="00B365ED"/>
    <w:rsid w:val="00B37502"/>
    <w:rsid w:val="00B4162E"/>
    <w:rsid w:val="00B42CAD"/>
    <w:rsid w:val="00B44F26"/>
    <w:rsid w:val="00B453E8"/>
    <w:rsid w:val="00B47242"/>
    <w:rsid w:val="00B576B4"/>
    <w:rsid w:val="00B6079E"/>
    <w:rsid w:val="00B61111"/>
    <w:rsid w:val="00B62C7D"/>
    <w:rsid w:val="00B63935"/>
    <w:rsid w:val="00B7018A"/>
    <w:rsid w:val="00B72E90"/>
    <w:rsid w:val="00B74C73"/>
    <w:rsid w:val="00B752E1"/>
    <w:rsid w:val="00B80EB2"/>
    <w:rsid w:val="00B824BD"/>
    <w:rsid w:val="00B836DA"/>
    <w:rsid w:val="00B847BC"/>
    <w:rsid w:val="00B91451"/>
    <w:rsid w:val="00B934A1"/>
    <w:rsid w:val="00B95218"/>
    <w:rsid w:val="00B96D36"/>
    <w:rsid w:val="00B96EC1"/>
    <w:rsid w:val="00B9734B"/>
    <w:rsid w:val="00BA1811"/>
    <w:rsid w:val="00BA30E2"/>
    <w:rsid w:val="00BA381C"/>
    <w:rsid w:val="00BA7CE6"/>
    <w:rsid w:val="00BB1FB6"/>
    <w:rsid w:val="00BB4F32"/>
    <w:rsid w:val="00BB5158"/>
    <w:rsid w:val="00BB6F2F"/>
    <w:rsid w:val="00BB7AAA"/>
    <w:rsid w:val="00BB7E3A"/>
    <w:rsid w:val="00BC33C3"/>
    <w:rsid w:val="00BC7A72"/>
    <w:rsid w:val="00BD051D"/>
    <w:rsid w:val="00BD4608"/>
    <w:rsid w:val="00BD6DD9"/>
    <w:rsid w:val="00BE1FB6"/>
    <w:rsid w:val="00BE40D8"/>
    <w:rsid w:val="00BE40F6"/>
    <w:rsid w:val="00BE58EC"/>
    <w:rsid w:val="00BF4043"/>
    <w:rsid w:val="00BF5507"/>
    <w:rsid w:val="00BF64DE"/>
    <w:rsid w:val="00BF6896"/>
    <w:rsid w:val="00BF6C6A"/>
    <w:rsid w:val="00BF723E"/>
    <w:rsid w:val="00C04D91"/>
    <w:rsid w:val="00C06F91"/>
    <w:rsid w:val="00C11A16"/>
    <w:rsid w:val="00C11A89"/>
    <w:rsid w:val="00C11BFE"/>
    <w:rsid w:val="00C1265A"/>
    <w:rsid w:val="00C1301B"/>
    <w:rsid w:val="00C14035"/>
    <w:rsid w:val="00C1492A"/>
    <w:rsid w:val="00C1594C"/>
    <w:rsid w:val="00C15C7F"/>
    <w:rsid w:val="00C214B6"/>
    <w:rsid w:val="00C219E6"/>
    <w:rsid w:val="00C2233E"/>
    <w:rsid w:val="00C2289F"/>
    <w:rsid w:val="00C24F7B"/>
    <w:rsid w:val="00C27068"/>
    <w:rsid w:val="00C3349B"/>
    <w:rsid w:val="00C357AD"/>
    <w:rsid w:val="00C35F56"/>
    <w:rsid w:val="00C427F5"/>
    <w:rsid w:val="00C4722F"/>
    <w:rsid w:val="00C50336"/>
    <w:rsid w:val="00C5068F"/>
    <w:rsid w:val="00C50BFE"/>
    <w:rsid w:val="00C5593B"/>
    <w:rsid w:val="00C564FC"/>
    <w:rsid w:val="00C62A9A"/>
    <w:rsid w:val="00C63397"/>
    <w:rsid w:val="00C664A0"/>
    <w:rsid w:val="00C66F74"/>
    <w:rsid w:val="00C671C5"/>
    <w:rsid w:val="00C71043"/>
    <w:rsid w:val="00C716A3"/>
    <w:rsid w:val="00C73627"/>
    <w:rsid w:val="00C818A1"/>
    <w:rsid w:val="00C83154"/>
    <w:rsid w:val="00C833B0"/>
    <w:rsid w:val="00C85147"/>
    <w:rsid w:val="00C855ED"/>
    <w:rsid w:val="00C85AB4"/>
    <w:rsid w:val="00C86007"/>
    <w:rsid w:val="00C86D74"/>
    <w:rsid w:val="00C92A3F"/>
    <w:rsid w:val="00C9545A"/>
    <w:rsid w:val="00C95524"/>
    <w:rsid w:val="00CA01E0"/>
    <w:rsid w:val="00CA2BE8"/>
    <w:rsid w:val="00CA2DC1"/>
    <w:rsid w:val="00CA48C1"/>
    <w:rsid w:val="00CA62E4"/>
    <w:rsid w:val="00CA7654"/>
    <w:rsid w:val="00CB4BBA"/>
    <w:rsid w:val="00CB649F"/>
    <w:rsid w:val="00CB7B70"/>
    <w:rsid w:val="00CB7C29"/>
    <w:rsid w:val="00CC052E"/>
    <w:rsid w:val="00CC2DEC"/>
    <w:rsid w:val="00CC6F27"/>
    <w:rsid w:val="00CC6FF3"/>
    <w:rsid w:val="00CD04F1"/>
    <w:rsid w:val="00CD2FBC"/>
    <w:rsid w:val="00CD3946"/>
    <w:rsid w:val="00CD6D9B"/>
    <w:rsid w:val="00CE40C2"/>
    <w:rsid w:val="00CE66E0"/>
    <w:rsid w:val="00CE7133"/>
    <w:rsid w:val="00CF06E0"/>
    <w:rsid w:val="00CF1D32"/>
    <w:rsid w:val="00CF213D"/>
    <w:rsid w:val="00CF226D"/>
    <w:rsid w:val="00CF2447"/>
    <w:rsid w:val="00CF71A9"/>
    <w:rsid w:val="00D010E1"/>
    <w:rsid w:val="00D0210A"/>
    <w:rsid w:val="00D04270"/>
    <w:rsid w:val="00D04C03"/>
    <w:rsid w:val="00D07628"/>
    <w:rsid w:val="00D07F79"/>
    <w:rsid w:val="00D13B66"/>
    <w:rsid w:val="00D151FC"/>
    <w:rsid w:val="00D15AD2"/>
    <w:rsid w:val="00D20251"/>
    <w:rsid w:val="00D22C6D"/>
    <w:rsid w:val="00D2721E"/>
    <w:rsid w:val="00D3156F"/>
    <w:rsid w:val="00D3248F"/>
    <w:rsid w:val="00D35FCA"/>
    <w:rsid w:val="00D36164"/>
    <w:rsid w:val="00D36BB9"/>
    <w:rsid w:val="00D4166A"/>
    <w:rsid w:val="00D44218"/>
    <w:rsid w:val="00D45252"/>
    <w:rsid w:val="00D51246"/>
    <w:rsid w:val="00D56CE6"/>
    <w:rsid w:val="00D607C9"/>
    <w:rsid w:val="00D62547"/>
    <w:rsid w:val="00D62EFA"/>
    <w:rsid w:val="00D71B4D"/>
    <w:rsid w:val="00D7240A"/>
    <w:rsid w:val="00D72EB6"/>
    <w:rsid w:val="00D73AA7"/>
    <w:rsid w:val="00D74B56"/>
    <w:rsid w:val="00D75C27"/>
    <w:rsid w:val="00D77D51"/>
    <w:rsid w:val="00D81F9E"/>
    <w:rsid w:val="00D84D64"/>
    <w:rsid w:val="00D93D55"/>
    <w:rsid w:val="00D94469"/>
    <w:rsid w:val="00D95D00"/>
    <w:rsid w:val="00D97F8C"/>
    <w:rsid w:val="00DA02AD"/>
    <w:rsid w:val="00DA0CAC"/>
    <w:rsid w:val="00DA1047"/>
    <w:rsid w:val="00DA16DA"/>
    <w:rsid w:val="00DA24A2"/>
    <w:rsid w:val="00DA41A6"/>
    <w:rsid w:val="00DA4AAF"/>
    <w:rsid w:val="00DA6300"/>
    <w:rsid w:val="00DA7D8F"/>
    <w:rsid w:val="00DB13E5"/>
    <w:rsid w:val="00DB15DA"/>
    <w:rsid w:val="00DB4FB2"/>
    <w:rsid w:val="00DB50AD"/>
    <w:rsid w:val="00DB7AC5"/>
    <w:rsid w:val="00DC0725"/>
    <w:rsid w:val="00DC2821"/>
    <w:rsid w:val="00DC5380"/>
    <w:rsid w:val="00DD0228"/>
    <w:rsid w:val="00DD027A"/>
    <w:rsid w:val="00DD184F"/>
    <w:rsid w:val="00DD2E10"/>
    <w:rsid w:val="00DD5B54"/>
    <w:rsid w:val="00DD7F19"/>
    <w:rsid w:val="00DE3C86"/>
    <w:rsid w:val="00DE3DBC"/>
    <w:rsid w:val="00DE3E6F"/>
    <w:rsid w:val="00DE5472"/>
    <w:rsid w:val="00DE54E9"/>
    <w:rsid w:val="00DE5A51"/>
    <w:rsid w:val="00DF1243"/>
    <w:rsid w:val="00DF17BE"/>
    <w:rsid w:val="00DF3C38"/>
    <w:rsid w:val="00DF5574"/>
    <w:rsid w:val="00DF782C"/>
    <w:rsid w:val="00E06202"/>
    <w:rsid w:val="00E10198"/>
    <w:rsid w:val="00E11373"/>
    <w:rsid w:val="00E13DCE"/>
    <w:rsid w:val="00E15015"/>
    <w:rsid w:val="00E203E3"/>
    <w:rsid w:val="00E219E8"/>
    <w:rsid w:val="00E23818"/>
    <w:rsid w:val="00E25E71"/>
    <w:rsid w:val="00E305A2"/>
    <w:rsid w:val="00E335FE"/>
    <w:rsid w:val="00E33F73"/>
    <w:rsid w:val="00E35C55"/>
    <w:rsid w:val="00E35CFB"/>
    <w:rsid w:val="00E35D71"/>
    <w:rsid w:val="00E3659B"/>
    <w:rsid w:val="00E403AC"/>
    <w:rsid w:val="00E406A9"/>
    <w:rsid w:val="00E419E9"/>
    <w:rsid w:val="00E4213C"/>
    <w:rsid w:val="00E4405D"/>
    <w:rsid w:val="00E47F51"/>
    <w:rsid w:val="00E55842"/>
    <w:rsid w:val="00E55DD1"/>
    <w:rsid w:val="00E613E3"/>
    <w:rsid w:val="00E6158E"/>
    <w:rsid w:val="00E61610"/>
    <w:rsid w:val="00E618BB"/>
    <w:rsid w:val="00E61B32"/>
    <w:rsid w:val="00E634BE"/>
    <w:rsid w:val="00E64D43"/>
    <w:rsid w:val="00E65B7E"/>
    <w:rsid w:val="00E7038E"/>
    <w:rsid w:val="00E70593"/>
    <w:rsid w:val="00E70C4E"/>
    <w:rsid w:val="00E71AA9"/>
    <w:rsid w:val="00E71E63"/>
    <w:rsid w:val="00E75AAF"/>
    <w:rsid w:val="00E75EF3"/>
    <w:rsid w:val="00E85B1E"/>
    <w:rsid w:val="00E86028"/>
    <w:rsid w:val="00E905F8"/>
    <w:rsid w:val="00E90FBA"/>
    <w:rsid w:val="00E93902"/>
    <w:rsid w:val="00EA2804"/>
    <w:rsid w:val="00EA564C"/>
    <w:rsid w:val="00EA7D6E"/>
    <w:rsid w:val="00EB34A6"/>
    <w:rsid w:val="00EB3CEE"/>
    <w:rsid w:val="00EC19B8"/>
    <w:rsid w:val="00EC25AE"/>
    <w:rsid w:val="00EC2955"/>
    <w:rsid w:val="00EC2DD0"/>
    <w:rsid w:val="00EC4E49"/>
    <w:rsid w:val="00EC4EE5"/>
    <w:rsid w:val="00EC6B09"/>
    <w:rsid w:val="00ED1B76"/>
    <w:rsid w:val="00ED364C"/>
    <w:rsid w:val="00ED51CA"/>
    <w:rsid w:val="00ED67BB"/>
    <w:rsid w:val="00ED77FB"/>
    <w:rsid w:val="00EE4109"/>
    <w:rsid w:val="00EE45FA"/>
    <w:rsid w:val="00EE4D47"/>
    <w:rsid w:val="00EE6517"/>
    <w:rsid w:val="00EE688C"/>
    <w:rsid w:val="00EE6D69"/>
    <w:rsid w:val="00EF03E2"/>
    <w:rsid w:val="00EF3AB3"/>
    <w:rsid w:val="00EF5A1E"/>
    <w:rsid w:val="00EF5A2A"/>
    <w:rsid w:val="00EF7DD0"/>
    <w:rsid w:val="00F02F80"/>
    <w:rsid w:val="00F057A1"/>
    <w:rsid w:val="00F1138F"/>
    <w:rsid w:val="00F1264B"/>
    <w:rsid w:val="00F13BF2"/>
    <w:rsid w:val="00F1506D"/>
    <w:rsid w:val="00F1635F"/>
    <w:rsid w:val="00F165E7"/>
    <w:rsid w:val="00F23F3E"/>
    <w:rsid w:val="00F30F7F"/>
    <w:rsid w:val="00F31CD6"/>
    <w:rsid w:val="00F35499"/>
    <w:rsid w:val="00F373CD"/>
    <w:rsid w:val="00F40859"/>
    <w:rsid w:val="00F4285B"/>
    <w:rsid w:val="00F46E0D"/>
    <w:rsid w:val="00F47198"/>
    <w:rsid w:val="00F47D93"/>
    <w:rsid w:val="00F5119A"/>
    <w:rsid w:val="00F53161"/>
    <w:rsid w:val="00F549C3"/>
    <w:rsid w:val="00F55DF3"/>
    <w:rsid w:val="00F562E6"/>
    <w:rsid w:val="00F56963"/>
    <w:rsid w:val="00F57885"/>
    <w:rsid w:val="00F62174"/>
    <w:rsid w:val="00F6338E"/>
    <w:rsid w:val="00F66152"/>
    <w:rsid w:val="00F7131C"/>
    <w:rsid w:val="00F72EB3"/>
    <w:rsid w:val="00F77420"/>
    <w:rsid w:val="00F81D1A"/>
    <w:rsid w:val="00F829A3"/>
    <w:rsid w:val="00F85D19"/>
    <w:rsid w:val="00F91AEA"/>
    <w:rsid w:val="00F93847"/>
    <w:rsid w:val="00F947FD"/>
    <w:rsid w:val="00F957B6"/>
    <w:rsid w:val="00F96500"/>
    <w:rsid w:val="00FA0E7F"/>
    <w:rsid w:val="00FA1696"/>
    <w:rsid w:val="00FA2114"/>
    <w:rsid w:val="00FA2372"/>
    <w:rsid w:val="00FA26E8"/>
    <w:rsid w:val="00FA2EAF"/>
    <w:rsid w:val="00FA5045"/>
    <w:rsid w:val="00FB4F87"/>
    <w:rsid w:val="00FB7430"/>
    <w:rsid w:val="00FB75C8"/>
    <w:rsid w:val="00FB76C7"/>
    <w:rsid w:val="00FC0C5E"/>
    <w:rsid w:val="00FC21E4"/>
    <w:rsid w:val="00FC35E3"/>
    <w:rsid w:val="00FC5718"/>
    <w:rsid w:val="00FC5B6B"/>
    <w:rsid w:val="00FD10BF"/>
    <w:rsid w:val="00FD4DE1"/>
    <w:rsid w:val="00FD5375"/>
    <w:rsid w:val="00FD5438"/>
    <w:rsid w:val="00FD6B00"/>
    <w:rsid w:val="00FD6EEF"/>
    <w:rsid w:val="00FD7DEF"/>
    <w:rsid w:val="00FE0F57"/>
    <w:rsid w:val="00FE17C4"/>
    <w:rsid w:val="00FE293C"/>
    <w:rsid w:val="00FE53EF"/>
    <w:rsid w:val="00FF16A6"/>
    <w:rsid w:val="00FF2E8E"/>
    <w:rsid w:val="00FF3F1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7626FFD-5CE5-4F64-BA1C-DB66C6F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D6EEF"/>
    <w:pPr>
      <w:keepNext/>
      <w:spacing w:after="120"/>
      <w:ind w:firstLine="567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6EEF"/>
    <w:pPr>
      <w:keepNext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6EEF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6EEF"/>
    <w:pPr>
      <w:keepNext/>
      <w:spacing w:before="640"/>
      <w:ind w:left="1276"/>
      <w:outlineLvl w:val="7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EEF"/>
    <w:pPr>
      <w:keepNext/>
      <w:ind w:left="567" w:right="191"/>
      <w:outlineLvl w:val="8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D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E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D6EEF"/>
    <w:rPr>
      <w:i/>
      <w:i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D6EEF"/>
    <w:rPr>
      <w:i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D6EEF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D6EEF"/>
    <w:rPr>
      <w:sz w:val="96"/>
      <w:szCs w:val="9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D6EEF"/>
    <w:rPr>
      <w:i/>
      <w:snapToGrid w:val="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6EE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D6EE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D6EE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D6EE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rsid w:val="00FD6EEF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FD6EEF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6EE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EF"/>
    <w:rPr>
      <w:b/>
      <w:bCs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6EE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6EEF"/>
    <w:rPr>
      <w:vertAlign w:val="superscript"/>
    </w:rPr>
  </w:style>
  <w:style w:type="character" w:styleId="PageNumber">
    <w:name w:val="page number"/>
    <w:basedOn w:val="DefaultParagraphFont"/>
    <w:rsid w:val="00FD6EEF"/>
  </w:style>
  <w:style w:type="paragraph" w:customStyle="1" w:styleId="PlaceAndDate">
    <w:name w:val="PlaceAndDate"/>
    <w:basedOn w:val="Session"/>
    <w:rsid w:val="00FD6EEF"/>
  </w:style>
  <w:style w:type="paragraph" w:customStyle="1" w:styleId="Session">
    <w:name w:val="Session"/>
    <w:basedOn w:val="Normal"/>
    <w:rsid w:val="00FD6EEF"/>
    <w:pPr>
      <w:spacing w:before="60"/>
      <w:jc w:val="center"/>
    </w:pPr>
    <w:rPr>
      <w:rFonts w:eastAsia="Times New Roman"/>
      <w:b/>
      <w:bCs/>
      <w:sz w:val="30"/>
      <w:szCs w:val="30"/>
      <w:lang w:eastAsia="en-US"/>
    </w:rPr>
  </w:style>
  <w:style w:type="paragraph" w:customStyle="1" w:styleId="preparedby">
    <w:name w:val="prepared by"/>
    <w:basedOn w:val="Normal"/>
    <w:rsid w:val="00FD6EEF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D6EEF"/>
    <w:pPr>
      <w:spacing w:after="300"/>
      <w:jc w:val="center"/>
    </w:pPr>
    <w:rPr>
      <w:rFonts w:eastAsia="Times New Roman"/>
      <w:b/>
      <w:bCs/>
      <w:caps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FD6EEF"/>
    <w:rPr>
      <w:rFonts w:ascii="Arial" w:hAnsi="Arial" w:cs="Arial"/>
      <w:b/>
      <w:bCs/>
      <w:caps/>
      <w:kern w:val="28"/>
      <w:sz w:val="30"/>
      <w:szCs w:val="30"/>
      <w:lang w:val="en-US" w:eastAsia="en-US"/>
    </w:rPr>
  </w:style>
  <w:style w:type="paragraph" w:customStyle="1" w:styleId="WW-Textbody">
    <w:name w:val="WW-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D6EEF"/>
    <w:pPr>
      <w:ind w:left="567"/>
    </w:pPr>
    <w:rPr>
      <w:rFonts w:ascii="Times New Roman" w:eastAsia="Times New Roman" w:hAnsi="Times New Roman" w:cs="Times New Roman"/>
      <w:spacing w:val="-2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6EEF"/>
    <w:rPr>
      <w:spacing w:val="-2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D6EEF"/>
    <w:pPr>
      <w:ind w:left="1134" w:firstLine="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6EEF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D6EEF"/>
    <w:pPr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D6EE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D6EEF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D6EEF"/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WfxFaxNum">
    <w:name w:val="WfxFaxNum"/>
    <w:basedOn w:val="Normal"/>
    <w:rsid w:val="00FD6EEF"/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OC1">
    <w:name w:val="toc 1"/>
    <w:basedOn w:val="Normal"/>
    <w:next w:val="Normal"/>
    <w:autoRedefine/>
    <w:uiPriority w:val="39"/>
    <w:rsid w:val="005F3FB5"/>
    <w:pPr>
      <w:tabs>
        <w:tab w:val="left" w:pos="426"/>
        <w:tab w:val="right" w:leader="dot" w:pos="9345"/>
      </w:tabs>
      <w:spacing w:before="120" w:after="120"/>
      <w:ind w:left="426" w:hanging="426"/>
    </w:pPr>
    <w:rPr>
      <w:rFonts w:eastAsia="Times New Roman"/>
      <w:b/>
      <w:bCs/>
      <w:caps/>
      <w:noProof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E85B1E"/>
    <w:pPr>
      <w:tabs>
        <w:tab w:val="left" w:pos="709"/>
        <w:tab w:val="right" w:leader="dot" w:pos="9345"/>
      </w:tabs>
      <w:ind w:left="709" w:hanging="469"/>
    </w:pPr>
    <w:rPr>
      <w:rFonts w:ascii="Times New Roman" w:eastAsia="Times New Roman" w:hAnsi="Times New Roman" w:cs="Times New Roman"/>
      <w:smallCaps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E85B1E"/>
    <w:pPr>
      <w:tabs>
        <w:tab w:val="left" w:pos="993"/>
        <w:tab w:val="right" w:leader="dot" w:pos="9345"/>
      </w:tabs>
      <w:ind w:left="480"/>
    </w:pPr>
    <w:rPr>
      <w:rFonts w:ascii="Times New Roman" w:eastAsia="Times New Roman" w:hAnsi="Times New Roman" w:cs="Times New Roman"/>
      <w:i/>
      <w:iCs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F3FB5"/>
    <w:pPr>
      <w:tabs>
        <w:tab w:val="right" w:leader="dot" w:pos="9345"/>
      </w:tabs>
      <w:ind w:left="562"/>
    </w:pPr>
    <w:rPr>
      <w:rFonts w:ascii="Times New Roman" w:eastAsia="Times New Roman" w:hAnsi="Times New Roman" w:cs="Times New Roman"/>
      <w:i/>
      <w:noProof/>
      <w:sz w:val="18"/>
      <w:szCs w:val="18"/>
      <w:lang w:val="es-ES" w:eastAsia="en-US"/>
    </w:rPr>
  </w:style>
  <w:style w:type="paragraph" w:styleId="TOC5">
    <w:name w:val="toc 5"/>
    <w:basedOn w:val="Normal"/>
    <w:next w:val="Normal"/>
    <w:autoRedefine/>
    <w:rsid w:val="00FD6EEF"/>
    <w:pPr>
      <w:ind w:left="9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FD6EEF"/>
    <w:pPr>
      <w:ind w:left="120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FD6EEF"/>
    <w:pPr>
      <w:ind w:left="144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FD6EEF"/>
    <w:pPr>
      <w:ind w:left="168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FD6EEF"/>
    <w:pPr>
      <w:ind w:left="192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BlockText">
    <w:name w:val="Block Text"/>
    <w:basedOn w:val="Normal"/>
    <w:rsid w:val="00FD6EEF"/>
    <w:pPr>
      <w:ind w:left="567" w:right="191"/>
      <w:jc w:val="both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paragraph" w:styleId="Closing">
    <w:name w:val="Closing"/>
    <w:basedOn w:val="Normal"/>
    <w:link w:val="ClosingChar"/>
    <w:rsid w:val="00FD6EEF"/>
    <w:pPr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D6EEF"/>
    <w:rPr>
      <w:sz w:val="24"/>
      <w:szCs w:val="24"/>
      <w:lang w:val="en-US" w:eastAsia="en-US"/>
    </w:rPr>
  </w:style>
  <w:style w:type="paragraph" w:customStyle="1" w:styleId="normail">
    <w:name w:val="normail"/>
    <w:basedOn w:val="TitleofDoc"/>
    <w:rsid w:val="00FD6EEF"/>
    <w:pPr>
      <w:spacing w:before="0"/>
    </w:pPr>
    <w:rPr>
      <w:caps w:val="0"/>
    </w:rPr>
  </w:style>
  <w:style w:type="character" w:styleId="Hyperlink">
    <w:name w:val="Hyperlink"/>
    <w:basedOn w:val="DefaultParagraphFont"/>
    <w:uiPriority w:val="99"/>
    <w:rsid w:val="00FD6EEF"/>
    <w:rPr>
      <w:color w:val="0000FF"/>
      <w:u w:val="single"/>
    </w:rPr>
  </w:style>
  <w:style w:type="paragraph" w:styleId="List">
    <w:name w:val="List"/>
    <w:basedOn w:val="Normal"/>
    <w:rsid w:val="00FD6EEF"/>
    <w:pPr>
      <w:ind w:left="283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2">
    <w:name w:val="List 2"/>
    <w:basedOn w:val="Normal"/>
    <w:rsid w:val="00FD6EEF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yle1">
    <w:name w:val="Style1"/>
    <w:basedOn w:val="Heading1"/>
    <w:rsid w:val="00FD6EEF"/>
    <w:pPr>
      <w:keepNext w:val="0"/>
      <w:widowControl w:val="0"/>
      <w:jc w:val="center"/>
    </w:pPr>
    <w:rPr>
      <w:rFonts w:ascii="Times New Roman" w:eastAsia="Times New Roman" w:hAnsi="Times New Roman"/>
      <w:b w:val="0"/>
      <w:caps w:val="0"/>
      <w:sz w:val="32"/>
      <w:lang w:val="en-GB" w:eastAsia="fr-FR"/>
    </w:rPr>
  </w:style>
  <w:style w:type="paragraph" w:customStyle="1" w:styleId="Style2">
    <w:name w:val="Style2"/>
    <w:basedOn w:val="Heading2"/>
    <w:rsid w:val="00FD6EEF"/>
    <w:rPr>
      <w:rFonts w:eastAsia="Times New Roman"/>
      <w:i/>
      <w:caps w:val="0"/>
      <w:sz w:val="28"/>
      <w:lang w:val="en-GB" w:eastAsia="fr-FR"/>
    </w:rPr>
  </w:style>
  <w:style w:type="paragraph" w:customStyle="1" w:styleId="Heading41">
    <w:name w:val="Heading 41"/>
    <w:basedOn w:val="Heading4"/>
    <w:link w:val="heading4Char0"/>
    <w:rsid w:val="00FD6EEF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FD6EEF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6EEF"/>
    <w:rPr>
      <w:rFonts w:ascii="Tahoma" w:hAnsi="Tahoma" w:cs="Tahoma"/>
      <w:shd w:val="clear" w:color="auto" w:fill="000080"/>
      <w:lang w:val="en-US" w:eastAsia="en-US"/>
    </w:rPr>
  </w:style>
  <w:style w:type="character" w:customStyle="1" w:styleId="heading4Char0">
    <w:name w:val="heading 4 Char"/>
    <w:basedOn w:val="Heading4Char"/>
    <w:link w:val="Heading41"/>
    <w:rsid w:val="00FD6EEF"/>
    <w:rPr>
      <w:rFonts w:ascii="Arial" w:eastAsia="SimSun" w:hAnsi="Arial" w:cs="Arial"/>
      <w:bCs/>
      <w:i/>
      <w:sz w:val="24"/>
      <w:szCs w:val="24"/>
      <w:lang w:val="en-GB" w:eastAsia="en-US"/>
    </w:rPr>
  </w:style>
  <w:style w:type="paragraph" w:customStyle="1" w:styleId="Heading30">
    <w:name w:val="Heading3"/>
    <w:basedOn w:val="Normal"/>
    <w:rsid w:val="00FD6EE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FD6E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D6EEF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D6EEF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D2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D2D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D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D2D02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rsid w:val="000D3F34"/>
    <w:rPr>
      <w:vertAlign w:val="superscript"/>
    </w:rPr>
  </w:style>
  <w:style w:type="paragraph" w:styleId="Revision">
    <w:name w:val="Revision"/>
    <w:hidden/>
    <w:uiPriority w:val="99"/>
    <w:semiHidden/>
    <w:rsid w:val="00A059CF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C0D74"/>
    <w:rPr>
      <w:b/>
      <w:bCs/>
      <w:i w:val="0"/>
      <w:iCs w:val="0"/>
    </w:rPr>
  </w:style>
  <w:style w:type="character" w:customStyle="1" w:styleId="st1">
    <w:name w:val="st1"/>
    <w:basedOn w:val="DefaultParagraphFont"/>
    <w:rsid w:val="005C0D74"/>
  </w:style>
  <w:style w:type="paragraph" w:styleId="TOCHeading">
    <w:name w:val="TOC Heading"/>
    <w:basedOn w:val="Heading1"/>
    <w:next w:val="Normal"/>
    <w:uiPriority w:val="39"/>
    <w:unhideWhenUsed/>
    <w:qFormat/>
    <w:rsid w:val="00264E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biodiv.org/reports/list.aspx" TargetMode="Externa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docs/pubdocs/en/wipo_pub_1047.pdf" TargetMode="External"/><Relationship Id="rId3" Type="http://schemas.openxmlformats.org/officeDocument/2006/relationships/hyperlink" Target="http://www.wipo.int/meetings/es/doc_details.jsp?doc_id=368218" TargetMode="External"/><Relationship Id="rId7" Type="http://schemas.openxmlformats.org/officeDocument/2006/relationships/hyperlink" Target="http://www.wipo.int/edocs/mdocs/tk/es/wipo_grtkf_ic_4/wipo_grtkf_ic_4_14.pdf" TargetMode="External"/><Relationship Id="rId12" Type="http://schemas.openxmlformats.org/officeDocument/2006/relationships/hyperlink" Target="http://www.wipo.int/edocs/pubdocs/es/wipo_pub_1049.pdf" TargetMode="External"/><Relationship Id="rId2" Type="http://schemas.openxmlformats.org/officeDocument/2006/relationships/hyperlink" Target="https://www.wipo.int/tk/en/resources/glossary.html" TargetMode="External"/><Relationship Id="rId1" Type="http://schemas.openxmlformats.org/officeDocument/2006/relationships/hyperlink" Target="https://www.wipo.int/tk/es/igc/gap-analyses.html" TargetMode="External"/><Relationship Id="rId6" Type="http://schemas.openxmlformats.org/officeDocument/2006/relationships/hyperlink" Target="http://www.wipo.int/edocs/mdocs/sct/es/wipo_grtkf_ic_17/wipo_grtkf_ic_17_inf_9.pdf" TargetMode="External"/><Relationship Id="rId11" Type="http://schemas.openxmlformats.org/officeDocument/2006/relationships/hyperlink" Target="http://www.wipo.int/wipolex/es/" TargetMode="External"/><Relationship Id="rId5" Type="http://schemas.openxmlformats.org/officeDocument/2006/relationships/hyperlink" Target="http://www.wipo.int/edocs/mdocs/sct/es/wipo_grtkf_ic_17/wipo_grtkf_ic_17_inf_9.pdf" TargetMode="External"/><Relationship Id="rId10" Type="http://schemas.openxmlformats.org/officeDocument/2006/relationships/hyperlink" Target="http://www.wipo.int/edocs/pubdocs/en/tk/786/wipo_pub_786.pdf" TargetMode="External"/><Relationship Id="rId4" Type="http://schemas.openxmlformats.org/officeDocument/2006/relationships/hyperlink" Target="https://ich.unesco.org/es/conocimientos-relacionados-con-la-naturaleza-00056" TargetMode="External"/><Relationship Id="rId9" Type="http://schemas.openxmlformats.org/officeDocument/2006/relationships/hyperlink" Target="http://www.wipo.int/edocs/mdocs/govbody/es/wo_ga_32/wo_ga_32_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0A17-4DF2-46ED-8D86-F37A638B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27115</Words>
  <Characters>152814</Characters>
  <Application>Microsoft Office Word</Application>
  <DocSecurity>0</DocSecurity>
  <Lines>3515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FOR OFFICIAL USE ONLY</cp:keywords>
  <cp:lastModifiedBy>MORENO PALESTINI Maria del Pilar</cp:lastModifiedBy>
  <cp:revision>3</cp:revision>
  <cp:lastPrinted>2018-10-29T10:41:00Z</cp:lastPrinted>
  <dcterms:created xsi:type="dcterms:W3CDTF">2023-01-18T08:11:00Z</dcterms:created>
  <dcterms:modified xsi:type="dcterms:W3CDTF">2023-01-19T13:50:00Z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f975743e-c290-492f-83e3-c3a15ebe8873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